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7A" w:rsidRDefault="007A5689">
      <w:pPr>
        <w:widowControl w:val="0"/>
        <w:spacing w:line="360" w:lineRule="auto"/>
        <w:jc w:val="center"/>
        <w:rPr>
          <w:color w:val="000000"/>
        </w:rPr>
      </w:pPr>
      <w:bookmarkStart w:id="0" w:name="_GoBack"/>
      <w:bookmarkEnd w:id="0"/>
      <w:r>
        <w:rPr>
          <w:color w:val="000000"/>
        </w:rPr>
        <w:t>Evidence for specificity of polygenic contributions to attainment in English, maths and science during adolescence</w:t>
      </w:r>
    </w:p>
    <w:p w:rsidR="00E6467A" w:rsidRDefault="00E6467A">
      <w:pPr>
        <w:widowControl w:val="0"/>
        <w:spacing w:line="360" w:lineRule="auto"/>
        <w:jc w:val="both"/>
        <w:rPr>
          <w:color w:val="000000"/>
        </w:rPr>
      </w:pPr>
    </w:p>
    <w:p w:rsidR="00E6467A" w:rsidRDefault="007A5689">
      <w:pPr>
        <w:widowControl w:val="0"/>
        <w:spacing w:line="360" w:lineRule="auto"/>
        <w:jc w:val="both"/>
        <w:rPr>
          <w:color w:val="000000"/>
          <w:vertAlign w:val="superscript"/>
        </w:rPr>
      </w:pPr>
      <w:r>
        <w:rPr>
          <w:color w:val="000000"/>
        </w:rPr>
        <w:t>Georgina Donati</w:t>
      </w:r>
      <w:r>
        <w:rPr>
          <w:color w:val="000000"/>
          <w:vertAlign w:val="superscript"/>
        </w:rPr>
        <w:t>1,2</w:t>
      </w:r>
      <w:r>
        <w:rPr>
          <w:color w:val="000000"/>
        </w:rPr>
        <w:t>, Iroise Dumontheil</w:t>
      </w:r>
      <w:r>
        <w:rPr>
          <w:color w:val="000000"/>
          <w:vertAlign w:val="superscript"/>
        </w:rPr>
        <w:t>1,2</w:t>
      </w:r>
      <w:r>
        <w:rPr>
          <w:color w:val="000000"/>
        </w:rPr>
        <w:t>, Oliver Pain</w:t>
      </w:r>
      <w:r>
        <w:rPr>
          <w:color w:val="000000"/>
          <w:vertAlign w:val="superscript"/>
        </w:rPr>
        <w:t>3</w:t>
      </w:r>
      <w:r>
        <w:rPr>
          <w:color w:val="000000"/>
        </w:rPr>
        <w:t>, Kathryn Asbury</w:t>
      </w:r>
      <w:r>
        <w:rPr>
          <w:color w:val="000000"/>
          <w:vertAlign w:val="superscript"/>
        </w:rPr>
        <w:t>4</w:t>
      </w:r>
      <w:r>
        <w:rPr>
          <w:color w:val="000000"/>
        </w:rPr>
        <w:t>, Emma L. Meaburn*</w:t>
      </w:r>
      <w:r>
        <w:rPr>
          <w:color w:val="000000"/>
          <w:vertAlign w:val="superscript"/>
        </w:rPr>
        <w:t>1,2</w:t>
      </w:r>
    </w:p>
    <w:p w:rsidR="00E6467A" w:rsidRDefault="00E6467A">
      <w:pPr>
        <w:widowControl w:val="0"/>
        <w:spacing w:line="360" w:lineRule="auto"/>
        <w:jc w:val="both"/>
        <w:rPr>
          <w:color w:val="000000"/>
          <w:vertAlign w:val="superscript"/>
        </w:rPr>
      </w:pPr>
    </w:p>
    <w:p w:rsidR="00E6467A" w:rsidRDefault="007A5689">
      <w:pPr>
        <w:widowControl w:val="0"/>
        <w:spacing w:line="360" w:lineRule="auto"/>
        <w:jc w:val="both"/>
        <w:rPr>
          <w:color w:val="000000"/>
        </w:rPr>
      </w:pPr>
      <w:r>
        <w:rPr>
          <w:color w:val="000000"/>
          <w:vertAlign w:val="superscript"/>
        </w:rPr>
        <w:t xml:space="preserve">1 </w:t>
      </w:r>
      <w:r>
        <w:rPr>
          <w:color w:val="000000"/>
        </w:rPr>
        <w:t>Centre for Brain and Cognitive Development, Department of Psychological Sciences, Birkbeck, University of London, London, United Kingdom</w:t>
      </w:r>
    </w:p>
    <w:p w:rsidR="00E6467A" w:rsidRDefault="007A5689">
      <w:pPr>
        <w:spacing w:line="360" w:lineRule="auto"/>
        <w:jc w:val="both"/>
        <w:rPr>
          <w:color w:val="000000"/>
        </w:rPr>
      </w:pPr>
      <w:r>
        <w:rPr>
          <w:color w:val="000000"/>
          <w:vertAlign w:val="superscript"/>
        </w:rPr>
        <w:t xml:space="preserve">2 </w:t>
      </w:r>
      <w:r>
        <w:rPr>
          <w:color w:val="000000"/>
        </w:rPr>
        <w:t>Centre for Educational Neuroscience, University of London, London, United Kingdom</w:t>
      </w:r>
    </w:p>
    <w:p w:rsidR="00E6467A" w:rsidRDefault="007A5689">
      <w:pPr>
        <w:spacing w:line="360" w:lineRule="auto"/>
        <w:jc w:val="both"/>
        <w:rPr>
          <w:color w:val="000000"/>
        </w:rPr>
      </w:pPr>
      <w:r>
        <w:rPr>
          <w:color w:val="000000"/>
          <w:vertAlign w:val="superscript"/>
        </w:rPr>
        <w:t xml:space="preserve">3 </w:t>
      </w:r>
      <w:r>
        <w:rPr>
          <w:color w:val="000000"/>
        </w:rPr>
        <w:t xml:space="preserve">Social Genetic and Developmental </w:t>
      </w:r>
      <w:r>
        <w:rPr>
          <w:color w:val="000000"/>
        </w:rPr>
        <w:t>Psychology,</w:t>
      </w:r>
      <w:r>
        <w:rPr>
          <w:color w:val="000000"/>
          <w:vertAlign w:val="superscript"/>
        </w:rPr>
        <w:t xml:space="preserve"> </w:t>
      </w:r>
      <w:r>
        <w:rPr>
          <w:color w:val="000000"/>
        </w:rPr>
        <w:t>Institute of Psychiatry, Psychology and Neuroscience, King’s College London, London, UK</w:t>
      </w:r>
    </w:p>
    <w:p w:rsidR="00E6467A" w:rsidRDefault="007A5689">
      <w:pPr>
        <w:widowControl w:val="0"/>
        <w:spacing w:line="360" w:lineRule="auto"/>
        <w:jc w:val="both"/>
        <w:rPr>
          <w:color w:val="000000"/>
        </w:rPr>
      </w:pPr>
      <w:r>
        <w:rPr>
          <w:color w:val="000000"/>
          <w:vertAlign w:val="superscript"/>
        </w:rPr>
        <w:t xml:space="preserve">4 </w:t>
      </w:r>
      <w:r>
        <w:rPr>
          <w:color w:val="000000"/>
        </w:rPr>
        <w:t>Department</w:t>
      </w:r>
      <w:r>
        <w:rPr>
          <w:color w:val="000000"/>
          <w:vertAlign w:val="superscript"/>
        </w:rPr>
        <w:t xml:space="preserve"> </w:t>
      </w:r>
      <w:r>
        <w:rPr>
          <w:color w:val="000000"/>
        </w:rPr>
        <w:t>of Education, University of York, York, UK</w:t>
      </w:r>
    </w:p>
    <w:p w:rsidR="00E6467A" w:rsidRDefault="00E6467A">
      <w:pPr>
        <w:widowControl w:val="0"/>
        <w:spacing w:line="360" w:lineRule="auto"/>
        <w:jc w:val="both"/>
        <w:rPr>
          <w:color w:val="000000"/>
        </w:rPr>
      </w:pPr>
    </w:p>
    <w:p w:rsidR="00E6467A" w:rsidRDefault="007A5689">
      <w:pPr>
        <w:widowControl w:val="0"/>
        <w:spacing w:line="360" w:lineRule="auto"/>
        <w:jc w:val="both"/>
        <w:rPr>
          <w:color w:val="000000"/>
        </w:rPr>
      </w:pPr>
      <w:r>
        <w:rPr>
          <w:color w:val="000000"/>
        </w:rPr>
        <w:t>*corresponding author: e.meaburn@bbk.ac.uk</w:t>
      </w:r>
    </w:p>
    <w:p w:rsidR="00E6467A" w:rsidRDefault="007A5689">
      <w:pPr>
        <w:pStyle w:val="Heading1"/>
      </w:pPr>
      <w:r>
        <w:t>Abstract</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strike/>
          <w:color w:val="000000"/>
        </w:rPr>
      </w:pPr>
      <w:r>
        <w:rPr>
          <w:color w:val="000000"/>
          <w:sz w:val="22"/>
          <w:szCs w:val="22"/>
        </w:rPr>
        <w:t>How well one does at school is predictive of a</w:t>
      </w:r>
      <w:r>
        <w:rPr>
          <w:color w:val="000000"/>
          <w:sz w:val="22"/>
          <w:szCs w:val="22"/>
        </w:rPr>
        <w:t xml:space="preserve"> wide range of important cognitive, socioeconomic, and health outcomes. The last few years have shown marked advancement in our understanding of the genetic contributions to, and correlations with, academic attainment. However, there exists a gap in our un</w:t>
      </w:r>
      <w:r>
        <w:rPr>
          <w:color w:val="000000"/>
          <w:sz w:val="22"/>
          <w:szCs w:val="22"/>
        </w:rPr>
        <w:t>derstanding of the specificity of genetic associations with performance in academic subjects during adolescence, a critical developmental period. To address this, the Avon Longitudinal Study of Parents and Children was used to conduct genome-wide associati</w:t>
      </w:r>
      <w:r>
        <w:rPr>
          <w:color w:val="000000"/>
          <w:sz w:val="22"/>
          <w:szCs w:val="22"/>
        </w:rPr>
        <w:t>on studies of standardised national English (N = 5,983), maths (N = 6,017) and science (N = 6,089) tests. High SNP-based heritabilities (h</w:t>
      </w:r>
      <w:r>
        <w:rPr>
          <w:color w:val="000000"/>
          <w:sz w:val="22"/>
          <w:szCs w:val="22"/>
          <w:vertAlign w:val="superscript"/>
        </w:rPr>
        <w:t>2</w:t>
      </w:r>
      <w:r>
        <w:rPr>
          <w:color w:val="000000"/>
          <w:sz w:val="22"/>
          <w:szCs w:val="22"/>
          <w:vertAlign w:val="subscript"/>
        </w:rPr>
        <w:t>SNP</w:t>
      </w:r>
      <w:r>
        <w:rPr>
          <w:color w:val="000000"/>
          <w:sz w:val="22"/>
          <w:szCs w:val="22"/>
        </w:rPr>
        <w:t>) for all subjects were found (41-53%). Further, h</w:t>
      </w:r>
      <w:r>
        <w:rPr>
          <w:color w:val="000000"/>
          <w:sz w:val="22"/>
          <w:szCs w:val="22"/>
          <w:vertAlign w:val="superscript"/>
        </w:rPr>
        <w:t>2</w:t>
      </w:r>
      <w:r>
        <w:rPr>
          <w:color w:val="000000"/>
          <w:sz w:val="22"/>
          <w:szCs w:val="22"/>
          <w:vertAlign w:val="subscript"/>
        </w:rPr>
        <w:t>SNP</w:t>
      </w:r>
      <w:r>
        <w:rPr>
          <w:color w:val="000000"/>
          <w:sz w:val="22"/>
          <w:szCs w:val="22"/>
        </w:rPr>
        <w:t xml:space="preserve"> for maths and science remained after removing shared varian</w:t>
      </w:r>
      <w:r>
        <w:rPr>
          <w:color w:val="000000"/>
          <w:sz w:val="22"/>
          <w:szCs w:val="22"/>
        </w:rPr>
        <w:t>ce between subjects or IQ (N= 3,197 – 5,895). One genome-wide significant single nucleotide polymorphism (rs952964, p = 4.86 x 10</w:t>
      </w:r>
      <w:r>
        <w:rPr>
          <w:color w:val="000000"/>
          <w:sz w:val="22"/>
          <w:szCs w:val="22"/>
          <w:vertAlign w:val="superscript"/>
        </w:rPr>
        <w:t>-8</w:t>
      </w:r>
      <w:r>
        <w:rPr>
          <w:color w:val="000000"/>
          <w:sz w:val="22"/>
          <w:szCs w:val="22"/>
        </w:rPr>
        <w:t>) and four gene-level associations with science attainment (</w:t>
      </w:r>
      <w:r>
        <w:rPr>
          <w:i/>
          <w:color w:val="000000"/>
          <w:sz w:val="22"/>
          <w:szCs w:val="22"/>
        </w:rPr>
        <w:t>MEF2C,</w:t>
      </w:r>
      <w:r>
        <w:rPr>
          <w:color w:val="000000"/>
          <w:sz w:val="22"/>
          <w:szCs w:val="22"/>
        </w:rPr>
        <w:t xml:space="preserve"> </w:t>
      </w:r>
      <w:r>
        <w:rPr>
          <w:i/>
          <w:color w:val="000000"/>
          <w:sz w:val="22"/>
          <w:szCs w:val="22"/>
        </w:rPr>
        <w:t>BRINP1</w:t>
      </w:r>
      <w:r>
        <w:rPr>
          <w:color w:val="000000"/>
          <w:sz w:val="22"/>
          <w:szCs w:val="22"/>
        </w:rPr>
        <w:t xml:space="preserve">, </w:t>
      </w:r>
      <w:r>
        <w:rPr>
          <w:i/>
          <w:color w:val="000000"/>
          <w:sz w:val="22"/>
          <w:szCs w:val="22"/>
        </w:rPr>
        <w:t xml:space="preserve">S100A1 </w:t>
      </w:r>
      <w:r>
        <w:rPr>
          <w:color w:val="000000"/>
          <w:sz w:val="22"/>
          <w:szCs w:val="22"/>
        </w:rPr>
        <w:t>and</w:t>
      </w:r>
      <w:r>
        <w:rPr>
          <w:i/>
          <w:color w:val="000000"/>
          <w:sz w:val="22"/>
          <w:szCs w:val="22"/>
        </w:rPr>
        <w:t xml:space="preserve"> S100A13) </w:t>
      </w:r>
      <w:r>
        <w:rPr>
          <w:color w:val="000000"/>
          <w:sz w:val="22"/>
          <w:szCs w:val="22"/>
        </w:rPr>
        <w:t>were identified.  Rs952964 rem</w:t>
      </w:r>
      <w:r>
        <w:rPr>
          <w:color w:val="000000"/>
          <w:sz w:val="22"/>
          <w:szCs w:val="22"/>
        </w:rPr>
        <w:t>ains significant after removing the variance shared between academic subjects. The findings highlight the benefits of using environmentally homogeneous samples for genetic analyses and indicate that finer-grained phenotyping will help build more specific b</w:t>
      </w:r>
      <w:r>
        <w:rPr>
          <w:color w:val="000000"/>
          <w:sz w:val="22"/>
          <w:szCs w:val="22"/>
        </w:rPr>
        <w:t>iological models of variance in learning processes and abilities.</w:t>
      </w:r>
    </w:p>
    <w:p w:rsidR="00E6467A" w:rsidRDefault="00E6467A">
      <w:pPr>
        <w:widowControl w:val="0"/>
        <w:spacing w:line="360" w:lineRule="auto"/>
        <w:jc w:val="both"/>
        <w:rPr>
          <w:color w:val="000000"/>
        </w:rPr>
      </w:pPr>
    </w:p>
    <w:p w:rsidR="00E6467A" w:rsidRDefault="00E6467A">
      <w:pPr>
        <w:widowControl w:val="0"/>
        <w:spacing w:line="360" w:lineRule="auto"/>
        <w:jc w:val="both"/>
        <w:rPr>
          <w:color w:val="000000"/>
        </w:rPr>
      </w:pPr>
    </w:p>
    <w:p w:rsidR="00E6467A" w:rsidRDefault="007A5689">
      <w:pPr>
        <w:widowControl w:val="0"/>
        <w:spacing w:line="360" w:lineRule="auto"/>
        <w:jc w:val="both"/>
        <w:rPr>
          <w:color w:val="000000"/>
        </w:rPr>
      </w:pPr>
      <w:r>
        <w:rPr>
          <w:color w:val="000000"/>
        </w:rPr>
        <w:t>Introduction</w:t>
      </w:r>
    </w:p>
    <w:p w:rsidR="00E6467A" w:rsidRDefault="00E6467A">
      <w:pPr>
        <w:widowControl w:val="0"/>
        <w:spacing w:line="360" w:lineRule="auto"/>
        <w:jc w:val="both"/>
        <w:rPr>
          <w:color w:val="000000"/>
        </w:rPr>
      </w:pPr>
    </w:p>
    <w:p w:rsidR="00E6467A" w:rsidRDefault="007A5689">
      <w:pPr>
        <w:widowControl w:val="0"/>
        <w:spacing w:line="360" w:lineRule="auto"/>
        <w:jc w:val="both"/>
        <w:rPr>
          <w:color w:val="000000"/>
          <w:sz w:val="22"/>
          <w:szCs w:val="22"/>
        </w:rPr>
      </w:pPr>
      <w:r>
        <w:rPr>
          <w:color w:val="000000"/>
          <w:sz w:val="22"/>
          <w:szCs w:val="22"/>
        </w:rPr>
        <w:t>Academic attainment (broadly defined as performance in educational benchmarks such as national exams and curriculum assessments; AA) consistently and reliably associates with</w:t>
      </w:r>
      <w:r>
        <w:rPr>
          <w:color w:val="000000"/>
          <w:sz w:val="22"/>
          <w:szCs w:val="22"/>
        </w:rPr>
        <w:t xml:space="preserve"> a diverse array of emotional, cognitive and health outcomes</w:t>
      </w:r>
      <w:r>
        <w:rPr>
          <w:color w:val="000000"/>
          <w:sz w:val="22"/>
          <w:szCs w:val="22"/>
          <w:vertAlign w:val="superscript"/>
        </w:rPr>
        <w:t>1,2</w:t>
      </w:r>
      <w:r>
        <w:rPr>
          <w:color w:val="000000"/>
          <w:sz w:val="22"/>
          <w:szCs w:val="22"/>
        </w:rPr>
        <w:t>. As a consequence, identifying the contributions of specific genetic (and environmental) factors to individual differences in AA and understanding the aetiology of these observed relationships could be informative for a range of societal issues.</w:t>
      </w:r>
    </w:p>
    <w:p w:rsidR="00E6467A" w:rsidRDefault="00E6467A">
      <w:pPr>
        <w:widowControl w:val="0"/>
        <w:spacing w:line="360" w:lineRule="auto"/>
        <w:rPr>
          <w:color w:val="000000"/>
          <w:sz w:val="22"/>
          <w:szCs w:val="22"/>
        </w:rPr>
      </w:pPr>
    </w:p>
    <w:p w:rsidR="00E6467A" w:rsidRDefault="007A5689">
      <w:pPr>
        <w:spacing w:line="360" w:lineRule="auto"/>
        <w:jc w:val="both"/>
        <w:rPr>
          <w:color w:val="000000"/>
          <w:sz w:val="22"/>
          <w:szCs w:val="22"/>
        </w:rPr>
      </w:pPr>
      <w:r>
        <w:rPr>
          <w:color w:val="000000"/>
          <w:sz w:val="22"/>
          <w:szCs w:val="22"/>
        </w:rPr>
        <w:t xml:space="preserve">A large </w:t>
      </w:r>
      <w:r>
        <w:rPr>
          <w:color w:val="000000"/>
          <w:sz w:val="22"/>
          <w:szCs w:val="22"/>
        </w:rPr>
        <w:t>body of twin study and DNA-based research robustly demonstrates that AA and learning abilities are heritable, with a recent meta-analysis of 61 twin studies reporting a heritability estimate of 66% for AA</w:t>
      </w:r>
      <w:r>
        <w:rPr>
          <w:color w:val="000000"/>
          <w:sz w:val="22"/>
          <w:szCs w:val="22"/>
          <w:vertAlign w:val="superscript"/>
        </w:rPr>
        <w:t>3</w:t>
      </w:r>
      <w:r>
        <w:rPr>
          <w:color w:val="000000"/>
          <w:sz w:val="22"/>
          <w:szCs w:val="22"/>
        </w:rPr>
        <w:t xml:space="preserve">. The first genome-wide association studies (GWAS) </w:t>
      </w:r>
      <w:r>
        <w:rPr>
          <w:color w:val="000000"/>
          <w:sz w:val="22"/>
          <w:szCs w:val="22"/>
          <w:highlight w:val="white"/>
        </w:rPr>
        <w:t xml:space="preserve">of learning abilities using modest (&lt; 2,500) sample sizes demonstrated that they are highly polygenic </w:t>
      </w:r>
      <w:r>
        <w:rPr>
          <w:color w:val="000000"/>
          <w:sz w:val="22"/>
          <w:szCs w:val="22"/>
        </w:rPr>
        <w:t>with thousands of common DNA variants contributing to heritability</w:t>
      </w:r>
      <w:r>
        <w:rPr>
          <w:color w:val="000000"/>
          <w:sz w:val="22"/>
          <w:szCs w:val="22"/>
          <w:vertAlign w:val="superscript"/>
        </w:rPr>
        <w:t>4–6</w:t>
      </w:r>
      <w:r>
        <w:rPr>
          <w:color w:val="000000"/>
          <w:sz w:val="22"/>
          <w:szCs w:val="22"/>
          <w:highlight w:val="white"/>
        </w:rPr>
        <w:t>. Furthermore, both twin and DNA-based studies suggest that the same genetic variants</w:t>
      </w:r>
      <w:r>
        <w:rPr>
          <w:color w:val="000000"/>
          <w:sz w:val="22"/>
          <w:szCs w:val="22"/>
          <w:highlight w:val="white"/>
        </w:rPr>
        <w:t xml:space="preserve"> influence variability in cognitive functions across domains – dubbed ‘generalists genes’</w:t>
      </w:r>
      <w:r>
        <w:rPr>
          <w:color w:val="000000"/>
          <w:sz w:val="22"/>
          <w:szCs w:val="22"/>
          <w:vertAlign w:val="superscript"/>
        </w:rPr>
        <w:t>7</w:t>
      </w:r>
      <w:r>
        <w:rPr>
          <w:color w:val="000000"/>
          <w:sz w:val="22"/>
          <w:szCs w:val="22"/>
          <w:highlight w:val="white"/>
        </w:rPr>
        <w:t xml:space="preserve">.  As a consequence, </w:t>
      </w:r>
      <w:r>
        <w:rPr>
          <w:color w:val="000000"/>
          <w:sz w:val="22"/>
          <w:szCs w:val="22"/>
        </w:rPr>
        <w:t>there has been a shift away from examining finer-grained measures of cognitive processes towards performing population-scale GWAS of broad measur</w:t>
      </w:r>
      <w:r>
        <w:rPr>
          <w:color w:val="000000"/>
          <w:sz w:val="22"/>
          <w:szCs w:val="22"/>
        </w:rPr>
        <w:t>es of academic attainment, primarily how long one spends in education (EduYrs). The first EduYrs GWAS (N = 126,559) was a meta-analysis of 42 cohorts performed by the Social Science Genetic Association Consortium (SSGAC; thessgac.org). Three independent ge</w:t>
      </w:r>
      <w:r>
        <w:rPr>
          <w:color w:val="000000"/>
          <w:sz w:val="22"/>
          <w:szCs w:val="22"/>
        </w:rPr>
        <w:t>nome-wide significant single nucleotide polymorphisms (SNPs) were identified, each accounting for around 0.02% of the variance in EduYrs. Functional interrogation revealed that the signals were located in (or close to) genes previously associated with heal</w:t>
      </w:r>
      <w:r>
        <w:rPr>
          <w:color w:val="000000"/>
          <w:sz w:val="22"/>
          <w:szCs w:val="22"/>
        </w:rPr>
        <w:t>th and cognition, and demonstrated the utility of taking a broad phenotype to maximise discovery of common genetic variants of very small effect</w:t>
      </w:r>
      <w:r>
        <w:rPr>
          <w:color w:val="000000"/>
          <w:sz w:val="22"/>
          <w:szCs w:val="22"/>
          <w:vertAlign w:val="superscript"/>
        </w:rPr>
        <w:t>8,9</w:t>
      </w:r>
      <w:r>
        <w:rPr>
          <w:color w:val="000000"/>
          <w:sz w:val="22"/>
          <w:szCs w:val="22"/>
        </w:rPr>
        <w:t xml:space="preserve">. The subsequent SSGAC GWAS (EduYrs2; N = 293,723) identified a further 74 SNP associations that were mostly </w:t>
      </w:r>
      <w:r>
        <w:rPr>
          <w:color w:val="000000"/>
          <w:sz w:val="22"/>
          <w:szCs w:val="22"/>
        </w:rPr>
        <w:t>located in regions involved in the regulation of gene expression during foetal brain development</w:t>
      </w:r>
      <w:r>
        <w:rPr>
          <w:color w:val="000000"/>
          <w:sz w:val="22"/>
          <w:szCs w:val="22"/>
          <w:vertAlign w:val="superscript"/>
        </w:rPr>
        <w:t>10</w:t>
      </w:r>
      <w:r>
        <w:rPr>
          <w:color w:val="000000"/>
          <w:sz w:val="22"/>
          <w:szCs w:val="22"/>
        </w:rPr>
        <w:t>. The most recent SSGAC GWAS comprised over 1 million people (EduYrs3) and reported 1,271 significantly associated loci and an enrichment of genes involved in</w:t>
      </w:r>
      <w:r>
        <w:rPr>
          <w:color w:val="000000"/>
          <w:sz w:val="22"/>
          <w:szCs w:val="22"/>
        </w:rPr>
        <w:t xml:space="preserve"> neurophysiological brain functions. These included genes involved in neurotransmitter secretion, the activation of ion channels, synaptic plasticity, as well as those expressed in neural tissue both pre- and postnatally</w:t>
      </w:r>
      <w:r>
        <w:rPr>
          <w:color w:val="000000"/>
          <w:sz w:val="22"/>
          <w:szCs w:val="22"/>
          <w:vertAlign w:val="superscript"/>
        </w:rPr>
        <w:t>10</w:t>
      </w:r>
      <w:r>
        <w:rPr>
          <w:color w:val="000000"/>
          <w:sz w:val="22"/>
          <w:szCs w:val="22"/>
        </w:rPr>
        <w:t>. Construction of an EduYrs genome</w:t>
      </w:r>
      <w:r>
        <w:rPr>
          <w:color w:val="000000"/>
          <w:sz w:val="22"/>
          <w:szCs w:val="22"/>
        </w:rPr>
        <w:t>-wide polygenic score (GPS; a score representing an individual’s amalgamated genetic liability derived from the GWAS results) was predictive of 7-10% of the variance in general cognitive ability and 11-13% in educational attainment, making it one of the mo</w:t>
      </w:r>
      <w:r>
        <w:rPr>
          <w:color w:val="000000"/>
          <w:sz w:val="22"/>
          <w:szCs w:val="22"/>
        </w:rPr>
        <w:t xml:space="preserve">st predictive polygenic </w:t>
      </w:r>
      <w:r>
        <w:rPr>
          <w:color w:val="000000"/>
          <w:sz w:val="22"/>
          <w:szCs w:val="22"/>
        </w:rPr>
        <w:lastRenderedPageBreak/>
        <w:t>scores currently available in the behavioural sciences</w:t>
      </w:r>
      <w:r>
        <w:rPr>
          <w:color w:val="000000"/>
          <w:sz w:val="22"/>
          <w:szCs w:val="22"/>
          <w:vertAlign w:val="superscript"/>
        </w:rPr>
        <w:t>11</w:t>
      </w:r>
      <w:r>
        <w:rPr>
          <w:color w:val="000000"/>
          <w:sz w:val="22"/>
          <w:szCs w:val="22"/>
        </w:rPr>
        <w:t>. The EduYrs GPS associates with many phenotypes, which is perhaps not surprising: such a broad-brush measure taken in adulthood (many levels removed from cell structure and br</w:t>
      </w:r>
      <w:r>
        <w:rPr>
          <w:color w:val="000000"/>
          <w:sz w:val="22"/>
          <w:szCs w:val="22"/>
        </w:rPr>
        <w:t>ain function) will necessarily capture a wide range of variables influencing the length of time people stay in formal education. For example, beyond cognitive ability the EduYrs GPS predicts traits such as child behavioural problems, negative symptoms of a</w:t>
      </w:r>
      <w:r>
        <w:rPr>
          <w:color w:val="000000"/>
          <w:sz w:val="22"/>
          <w:szCs w:val="22"/>
        </w:rPr>
        <w:t>ffect related to depression, callous and unemotional traits, and Attention Deficit Hyperactivity Disorder (ADHD)</w:t>
      </w:r>
      <w:r>
        <w:rPr>
          <w:color w:val="000000"/>
          <w:sz w:val="22"/>
          <w:szCs w:val="22"/>
          <w:vertAlign w:val="superscript"/>
        </w:rPr>
        <w:t>12,13</w:t>
      </w:r>
      <w:r>
        <w:rPr>
          <w:color w:val="000000"/>
          <w:sz w:val="22"/>
          <w:szCs w:val="22"/>
        </w:rPr>
        <w:t>. Moreover, if polygenic scores are to have practical applications in an educational setting, we need a much better understanding of the sp</w:t>
      </w:r>
      <w:r>
        <w:rPr>
          <w:color w:val="000000"/>
          <w:sz w:val="22"/>
          <w:szCs w:val="22"/>
        </w:rPr>
        <w:t xml:space="preserve">ecificity and generality of genetic causes of variance in educational performance across development. </w:t>
      </w:r>
    </w:p>
    <w:p w:rsidR="00E6467A" w:rsidRDefault="00E6467A">
      <w:pPr>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Whilst studies are limited, there is evidence of specificity in the genetic profiles of individual academic subjects and cognitive abilities.  Donati, M</w:t>
      </w:r>
      <w:r>
        <w:rPr>
          <w:color w:val="000000"/>
          <w:sz w:val="22"/>
          <w:szCs w:val="22"/>
        </w:rPr>
        <w:t xml:space="preserve">eaburn and Dumontheil (2019) demonstrated that a structural equation model that divides AA into separate academic subjects fits standardised national test score data better than a common AA model, and that there is neurocognitive specificity to attainment </w:t>
      </w:r>
      <w:r>
        <w:rPr>
          <w:color w:val="000000"/>
          <w:sz w:val="22"/>
          <w:szCs w:val="22"/>
        </w:rPr>
        <w:t>in different subjects</w:t>
      </w:r>
      <w:r>
        <w:rPr>
          <w:color w:val="000000"/>
          <w:sz w:val="22"/>
          <w:szCs w:val="22"/>
          <w:vertAlign w:val="superscript"/>
        </w:rPr>
        <w:t>14</w:t>
      </w:r>
      <w:r>
        <w:rPr>
          <w:color w:val="000000"/>
          <w:sz w:val="22"/>
          <w:szCs w:val="22"/>
        </w:rPr>
        <w:t xml:space="preserve">. Consistent with these findings, bivariate twin estimates of English, maths and science attainment at ages 7-16 years suggest that just over half to two thirds of the heritability is shared between subjects after controlling for IQ </w:t>
      </w:r>
      <w:r>
        <w:rPr>
          <w:color w:val="000000"/>
          <w:sz w:val="22"/>
          <w:szCs w:val="22"/>
        </w:rPr>
        <w:t xml:space="preserve">(maths - English (0.54), science - English (0.64), science - maths (0.69)), leaving a considerable proportion of the heritability </w:t>
      </w:r>
      <w:r>
        <w:rPr>
          <w:i/>
          <w:color w:val="000000"/>
          <w:sz w:val="22"/>
          <w:szCs w:val="22"/>
        </w:rPr>
        <w:t xml:space="preserve">not shared </w:t>
      </w:r>
      <w:r>
        <w:rPr>
          <w:color w:val="000000"/>
          <w:sz w:val="22"/>
          <w:szCs w:val="22"/>
        </w:rPr>
        <w:t>across subjects and independent of general cognitive function</w:t>
      </w:r>
      <w:r>
        <w:rPr>
          <w:color w:val="000000"/>
          <w:sz w:val="22"/>
          <w:szCs w:val="22"/>
          <w:vertAlign w:val="superscript"/>
        </w:rPr>
        <w:t>15</w:t>
      </w:r>
      <w:r>
        <w:rPr>
          <w:color w:val="000000"/>
          <w:sz w:val="22"/>
          <w:szCs w:val="22"/>
        </w:rPr>
        <w:t>. Similarly, in a study of 13,262 12-year-old twins,</w:t>
      </w:r>
      <w:r>
        <w:rPr>
          <w:color w:val="000000"/>
          <w:sz w:val="22"/>
          <w:szCs w:val="22"/>
        </w:rPr>
        <w:t xml:space="preserve"> maths retained a heritability of 0.44 when controlling for both general intelligence and reading ability</w:t>
      </w:r>
      <w:r>
        <w:rPr>
          <w:color w:val="000000"/>
          <w:sz w:val="22"/>
          <w:szCs w:val="22"/>
          <w:vertAlign w:val="superscript"/>
        </w:rPr>
        <w:t>16</w:t>
      </w:r>
      <w:r>
        <w:rPr>
          <w:color w:val="000000"/>
          <w:sz w:val="22"/>
          <w:szCs w:val="22"/>
        </w:rPr>
        <w:t xml:space="preserve">.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Taken together, these findings highlight the need to maintain specificity when investigating genetic predictors of academic attainment, and to c</w:t>
      </w:r>
      <w:r>
        <w:rPr>
          <w:color w:val="000000"/>
          <w:sz w:val="22"/>
          <w:szCs w:val="22"/>
        </w:rPr>
        <w:t>onsider the temporality of associations across childhood and adolescence. However, adequately powered molecular genetic studies focused on characterising genetic contributions to performance in individual academic subjects and their cognitive and non-cogni</w:t>
      </w:r>
      <w:r>
        <w:rPr>
          <w:color w:val="000000"/>
          <w:sz w:val="22"/>
          <w:szCs w:val="22"/>
        </w:rPr>
        <w:t>tive genetic correlates are sparse.  For instance, published GWAS of maths ability using general population samples have been limited in size (N = 602 to 3,000 individuals) and thus far have failed to identify robustly associated variants</w:t>
      </w:r>
      <w:r>
        <w:rPr>
          <w:color w:val="000000"/>
          <w:sz w:val="22"/>
          <w:szCs w:val="22"/>
          <w:vertAlign w:val="superscript"/>
        </w:rPr>
        <w:t>4,17</w:t>
      </w:r>
      <w:r>
        <w:rPr>
          <w:color w:val="000000"/>
          <w:sz w:val="22"/>
          <w:szCs w:val="22"/>
        </w:rPr>
        <w:t>. An exception</w:t>
      </w:r>
      <w:r>
        <w:rPr>
          <w:color w:val="000000"/>
          <w:sz w:val="22"/>
          <w:szCs w:val="22"/>
        </w:rPr>
        <w:t xml:space="preserve"> is a recent GWAS of Han Chinese samples (combined N = 1,597) that reported four independent SNPs associated with maths ability</w:t>
      </w:r>
      <w:r>
        <w:rPr>
          <w:color w:val="000000"/>
          <w:sz w:val="22"/>
          <w:szCs w:val="22"/>
          <w:vertAlign w:val="superscript"/>
        </w:rPr>
        <w:t>18</w:t>
      </w:r>
      <w:r>
        <w:rPr>
          <w:color w:val="000000"/>
          <w:sz w:val="22"/>
          <w:szCs w:val="22"/>
        </w:rPr>
        <w:t>, although these have yet to be independently replicated. The largest maths GWAS to date used adult self-report retrospective m</w:t>
      </w:r>
      <w:r>
        <w:rPr>
          <w:color w:val="000000"/>
          <w:sz w:val="22"/>
          <w:szCs w:val="22"/>
        </w:rPr>
        <w:t>easures of maths ability (N = 564,698) and highest maths class completed (N = 430,445), and found genetic correlations of 0.51 and 0.81 respectively with EduYrs3</w:t>
      </w:r>
      <w:r>
        <w:rPr>
          <w:color w:val="000000"/>
          <w:sz w:val="22"/>
          <w:szCs w:val="22"/>
          <w:vertAlign w:val="superscript"/>
        </w:rPr>
        <w:t>11</w:t>
      </w:r>
      <w:r>
        <w:rPr>
          <w:color w:val="000000"/>
          <w:sz w:val="22"/>
          <w:szCs w:val="22"/>
        </w:rPr>
        <w:t>. A multivariate twin and DNA-based analysis of reading and maths ability at age 12 in a UK t</w:t>
      </w:r>
      <w:r>
        <w:rPr>
          <w:color w:val="000000"/>
          <w:sz w:val="22"/>
          <w:szCs w:val="22"/>
        </w:rPr>
        <w:t xml:space="preserve">win cohort failed to identify any genome-wide significant loci but reported a SNP-based genetic correlation of 0.74 (although the exact magnitude of shared genetic influence was difficult to ascertain due to the </w:t>
      </w:r>
      <w:r>
        <w:rPr>
          <w:color w:val="000000"/>
          <w:sz w:val="22"/>
          <w:szCs w:val="22"/>
        </w:rPr>
        <w:lastRenderedPageBreak/>
        <w:t>large standard error)</w:t>
      </w:r>
      <w:r>
        <w:rPr>
          <w:color w:val="000000"/>
          <w:sz w:val="22"/>
          <w:szCs w:val="22"/>
          <w:vertAlign w:val="superscript"/>
        </w:rPr>
        <w:t>16</w:t>
      </w:r>
      <w:r>
        <w:rPr>
          <w:color w:val="000000"/>
          <w:sz w:val="22"/>
          <w:szCs w:val="22"/>
        </w:rPr>
        <w:t>. We are not aware of</w:t>
      </w:r>
      <w:r>
        <w:rPr>
          <w:color w:val="000000"/>
          <w:sz w:val="22"/>
          <w:szCs w:val="22"/>
        </w:rPr>
        <w:t xml:space="preserve"> published GWAS that examine English or science as discrete academic subjects, but note that a large GWAS of latent cognitive domains captured by school grades in Danish, English and maths is in preprint</w:t>
      </w:r>
      <w:r>
        <w:rPr>
          <w:color w:val="000000"/>
          <w:sz w:val="22"/>
          <w:szCs w:val="22"/>
          <w:vertAlign w:val="superscript"/>
        </w:rPr>
        <w:t>19</w:t>
      </w:r>
      <w:r>
        <w:rPr>
          <w:color w:val="000000"/>
          <w:sz w:val="22"/>
          <w:szCs w:val="22"/>
        </w:rPr>
        <w:t>. GWAS of reading ability and receptive language (b</w:t>
      </w:r>
      <w:r>
        <w:rPr>
          <w:color w:val="000000"/>
          <w:sz w:val="22"/>
          <w:szCs w:val="22"/>
        </w:rPr>
        <w:t>oth components of English performance) have been reported</w:t>
      </w:r>
      <w:r>
        <w:rPr>
          <w:color w:val="000000"/>
          <w:sz w:val="22"/>
          <w:szCs w:val="22"/>
          <w:vertAlign w:val="superscript"/>
        </w:rPr>
        <w:t>5,20</w:t>
      </w:r>
      <w:r>
        <w:t>.</w:t>
      </w:r>
      <w:r>
        <w:tab/>
      </w:r>
      <w:r>
        <w:rPr>
          <w:color w:val="000000"/>
          <w:sz w:val="22"/>
          <w:szCs w:val="22"/>
        </w:rPr>
        <w:t xml:space="preserve">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Untangling the generality, specificity and developmental timing of genetic causes of variance in discrete educational outcomes is necessary for understanding causal paths and will have far-reaching implications for the development of polygenic predictors a</w:t>
      </w:r>
      <w:r>
        <w:rPr>
          <w:color w:val="000000"/>
          <w:sz w:val="22"/>
          <w:szCs w:val="22"/>
        </w:rPr>
        <w:t>nd intervention strategies aimed at improving learning outcomes. To date, there have been no published GWAS for standardized attainment scores in English and maths during adolescence, and no GWAS at all for science. Adolescence is a crucial developmental p</w:t>
      </w:r>
      <w:r>
        <w:rPr>
          <w:color w:val="000000"/>
          <w:sz w:val="22"/>
          <w:szCs w:val="22"/>
        </w:rPr>
        <w:t>eriod during which individuals’ executive function continues to mature and they are able to learn increasingly abstract and complex concepts</w:t>
      </w:r>
      <w:r>
        <w:rPr>
          <w:color w:val="000000"/>
          <w:sz w:val="22"/>
          <w:szCs w:val="22"/>
          <w:vertAlign w:val="superscript"/>
        </w:rPr>
        <w:t>21</w:t>
      </w:r>
      <w:r>
        <w:rPr>
          <w:color w:val="000000"/>
          <w:sz w:val="22"/>
          <w:szCs w:val="22"/>
        </w:rPr>
        <w:t>.  Furthermore, a diverse range of cognitive and non-cognitive predictors including well-being, personality and be</w:t>
      </w:r>
      <w:r>
        <w:rPr>
          <w:color w:val="000000"/>
          <w:sz w:val="22"/>
          <w:szCs w:val="22"/>
        </w:rPr>
        <w:t>havioural problems have been shown to contribute to the heritability of adolescent academic performance</w:t>
      </w:r>
      <w:r>
        <w:rPr>
          <w:color w:val="000000"/>
          <w:sz w:val="22"/>
          <w:szCs w:val="22"/>
          <w:vertAlign w:val="superscript"/>
        </w:rPr>
        <w:t>22</w:t>
      </w:r>
      <w:r>
        <w:rPr>
          <w:color w:val="000000"/>
          <w:sz w:val="22"/>
          <w:szCs w:val="22"/>
        </w:rPr>
        <w:t xml:space="preserve">.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This study aimed to assess whether there exist academic subject-specific molecular genetic contributions to English, maths and science – signal ove</w:t>
      </w:r>
      <w:r>
        <w:rPr>
          <w:color w:val="000000"/>
          <w:sz w:val="22"/>
          <w:szCs w:val="22"/>
        </w:rPr>
        <w:t>r and above that found for generalist genetic effects.  This was approached in three ways: Firstly we performed three univariate GWA analyses of English, maths and science attainment to identify SNP-AA associations and estimate SNP-based heritability. Seco</w:t>
      </w:r>
      <w:r>
        <w:rPr>
          <w:color w:val="000000"/>
          <w:sz w:val="22"/>
          <w:szCs w:val="22"/>
        </w:rPr>
        <w:t xml:space="preserve">ndly to further explore the genetic contributions to subject-specific variance, we performed two further GWAS for each subject, one with the shared variance with the other subjects removed, and one with the shared variance with IQ removed. These GWAS were </w:t>
      </w:r>
      <w:r>
        <w:rPr>
          <w:color w:val="000000"/>
          <w:sz w:val="22"/>
          <w:szCs w:val="22"/>
        </w:rPr>
        <w:t>performed separately to assess whether subjects shared genetic variance over and above that shared with IQ. Thirdly, we used publicly available GWAS summary statistics from independent studies to estimate pairwise genetic correlations between academic atta</w:t>
      </w:r>
      <w:r>
        <w:rPr>
          <w:color w:val="000000"/>
          <w:sz w:val="22"/>
          <w:szCs w:val="22"/>
        </w:rPr>
        <w:t xml:space="preserve">inment and 14 cognitive and non-cognitive traits and disorders in order to explore the magnitude and specificity of genetic correlations between individual academic subjects and related cognitive, mental health and personality traits. We predicted that 1) </w:t>
      </w:r>
      <w:r>
        <w:rPr>
          <w:color w:val="000000"/>
          <w:sz w:val="22"/>
          <w:szCs w:val="22"/>
        </w:rPr>
        <w:t>we would find both differences and commonalities in the outcomes of the three GWAS, 2) that there would exist some residual subject-specific SNP-based heritability after removing effects of generalist genes, and 3) that genetic correlations between the thr</w:t>
      </w:r>
      <w:r>
        <w:rPr>
          <w:color w:val="000000"/>
          <w:sz w:val="22"/>
          <w:szCs w:val="22"/>
        </w:rPr>
        <w:t>ee academic subjects and the 14 related traits would vary in magnitude.</w:t>
      </w:r>
    </w:p>
    <w:p w:rsidR="00E6467A" w:rsidRDefault="00E6467A">
      <w:pPr>
        <w:widowControl w:val="0"/>
        <w:spacing w:line="360" w:lineRule="auto"/>
        <w:jc w:val="both"/>
        <w:rPr>
          <w:color w:val="000000"/>
          <w:sz w:val="22"/>
          <w:szCs w:val="22"/>
        </w:rPr>
      </w:pPr>
    </w:p>
    <w:p w:rsidR="00E6467A" w:rsidRDefault="007A5689">
      <w:pPr>
        <w:pStyle w:val="Heading1"/>
      </w:pPr>
      <w:r>
        <w:lastRenderedPageBreak/>
        <w:t>Results</w:t>
      </w:r>
    </w:p>
    <w:p w:rsidR="00E6467A" w:rsidRDefault="00E6467A">
      <w:pPr>
        <w:pStyle w:val="Heading2"/>
        <w:ind w:left="0"/>
      </w:pPr>
    </w:p>
    <w:p w:rsidR="00E6467A" w:rsidRDefault="007A5689">
      <w:pPr>
        <w:pStyle w:val="Heading2"/>
        <w:ind w:left="0"/>
      </w:pPr>
      <w:r>
        <w:t>Genome-wide association analyses of attainment in English, science and maths</w:t>
      </w:r>
    </w:p>
    <w:p w:rsidR="00E6467A" w:rsidRDefault="00E6467A">
      <w:pPr>
        <w:rPr>
          <w:color w:val="000000"/>
        </w:rPr>
      </w:pPr>
    </w:p>
    <w:p w:rsidR="00E6467A" w:rsidRDefault="007A5689">
      <w:p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Children in the UK-based ALSPAC cohort sat obligatory National Curriculum-based Standardised Ass</w:t>
      </w:r>
      <w:r>
        <w:rPr>
          <w:rFonts w:ascii="Calibri" w:eastAsia="Calibri" w:hAnsi="Calibri" w:cs="Calibri"/>
          <w:color w:val="000000"/>
          <w:sz w:val="22"/>
          <w:szCs w:val="22"/>
        </w:rPr>
        <w:t>essment tests (SATs) at 11 and 14 years of age, designed to assess performance in the academic subjects of English, maths and science. In the current study academic attainment scores for English (N = 5,983), maths (N = 6,017) and science (N = 6,089) were c</w:t>
      </w:r>
      <w:r>
        <w:rPr>
          <w:rFonts w:ascii="Calibri" w:eastAsia="Calibri" w:hAnsi="Calibri" w:cs="Calibri"/>
          <w:color w:val="000000"/>
          <w:sz w:val="22"/>
          <w:szCs w:val="22"/>
        </w:rPr>
        <w:t xml:space="preserve">alculated by summing age- and sex-regressed SAT scores from these two time points for each academic subject (see Methods). Genome-wide SNP genotyping data is available for the ALSPAC sample and following quality control procedures 6,319,684 SNPs (MAF </w:t>
      </w:r>
      <m:oMath>
        <m:r>
          <w:rPr>
            <w:rFonts w:ascii="Cambria Math" w:hAnsi="Cambria Math"/>
          </w:rPr>
          <m:t>≥</m:t>
        </m:r>
      </m:oMath>
      <w:r>
        <w:rPr>
          <w:rFonts w:ascii="Calibri" w:eastAsia="Calibri" w:hAnsi="Calibri" w:cs="Calibri"/>
          <w:color w:val="000000"/>
          <w:sz w:val="22"/>
          <w:szCs w:val="22"/>
        </w:rPr>
        <w:t>1%) were used to perform three independent GWAS of English, maths and science (see Methods and Supplementary Notes 1 and 2). Across the three GWAS we identified one genome-wide significant SNP association for attainment in science (rs9529641, p = 4.86 x 10</w:t>
      </w:r>
      <w:r>
        <w:rPr>
          <w:rFonts w:ascii="Calibri" w:eastAsia="Calibri" w:hAnsi="Calibri" w:cs="Calibri"/>
          <w:color w:val="000000"/>
          <w:sz w:val="22"/>
          <w:szCs w:val="22"/>
          <w:vertAlign w:val="superscript"/>
        </w:rPr>
        <w:t>-8</w:t>
      </w:r>
      <w:r>
        <w:rPr>
          <w:rFonts w:ascii="Calibri" w:eastAsia="Calibri" w:hAnsi="Calibri" w:cs="Calibri"/>
          <w:color w:val="000000"/>
          <w:sz w:val="22"/>
          <w:szCs w:val="22"/>
        </w:rPr>
        <w:t>) (</w:t>
      </w:r>
      <w:r>
        <w:rPr>
          <w:rFonts w:ascii="Calibri" w:eastAsia="Calibri" w:hAnsi="Calibri" w:cs="Calibri"/>
          <w:b/>
          <w:color w:val="000000"/>
          <w:sz w:val="22"/>
          <w:szCs w:val="22"/>
        </w:rPr>
        <w:t>Figure 1</w:t>
      </w:r>
      <w:r>
        <w:rPr>
          <w:rFonts w:ascii="Calibri" w:eastAsia="Calibri" w:hAnsi="Calibri" w:cs="Calibri"/>
          <w:color w:val="000000"/>
          <w:sz w:val="22"/>
          <w:szCs w:val="22"/>
        </w:rPr>
        <w:t xml:space="preserve">, see also </w:t>
      </w:r>
      <w:r>
        <w:rPr>
          <w:rFonts w:ascii="Calibri" w:eastAsia="Calibri" w:hAnsi="Calibri" w:cs="Calibri"/>
          <w:b/>
          <w:color w:val="000000"/>
          <w:sz w:val="22"/>
          <w:szCs w:val="22"/>
        </w:rPr>
        <w:t>Supplementary Figure S1 and Supplementary Table S2</w:t>
      </w:r>
      <w:r>
        <w:rPr>
          <w:rFonts w:ascii="Calibri" w:eastAsia="Calibri" w:hAnsi="Calibri" w:cs="Calibri"/>
          <w:color w:val="000000"/>
          <w:sz w:val="22"/>
          <w:szCs w:val="22"/>
        </w:rPr>
        <w:t>), but none for attainment in English or maths. A further 26 independent SNPs showed suggestive evidence of association (p ≤ 1 x 10</w:t>
      </w:r>
      <w:r>
        <w:rPr>
          <w:rFonts w:ascii="Calibri" w:eastAsia="Calibri" w:hAnsi="Calibri" w:cs="Calibri"/>
          <w:color w:val="000000"/>
          <w:sz w:val="22"/>
          <w:szCs w:val="22"/>
          <w:vertAlign w:val="superscript"/>
        </w:rPr>
        <w:t>-5</w:t>
      </w:r>
      <w:r>
        <w:rPr>
          <w:rFonts w:ascii="Calibri" w:eastAsia="Calibri" w:hAnsi="Calibri" w:cs="Calibri"/>
          <w:color w:val="000000"/>
          <w:sz w:val="22"/>
          <w:szCs w:val="22"/>
        </w:rPr>
        <w:t>) with science, 38 for maths and 16 for English (</w:t>
      </w:r>
      <w:r>
        <w:rPr>
          <w:rFonts w:ascii="Calibri" w:eastAsia="Calibri" w:hAnsi="Calibri" w:cs="Calibri"/>
          <w:b/>
          <w:color w:val="000000"/>
          <w:sz w:val="22"/>
          <w:szCs w:val="22"/>
        </w:rPr>
        <w:t>Supplementary Tables S3-5</w:t>
      </w:r>
      <w:r>
        <w:rPr>
          <w:rFonts w:ascii="Calibri" w:eastAsia="Calibri" w:hAnsi="Calibri" w:cs="Calibri"/>
          <w:color w:val="000000"/>
          <w:sz w:val="22"/>
          <w:szCs w:val="22"/>
        </w:rPr>
        <w:t>). Quantile-quantile plots demonstrate an inflation of low p-values for all three subjects, and inspection of linkage disequilibrium (LD) score regression intercept did not suggest this was due to the presence of population stratif</w:t>
      </w:r>
      <w:r>
        <w:rPr>
          <w:rFonts w:ascii="Calibri" w:eastAsia="Calibri" w:hAnsi="Calibri" w:cs="Calibri"/>
          <w:color w:val="000000"/>
          <w:sz w:val="22"/>
          <w:szCs w:val="22"/>
        </w:rPr>
        <w:t>ication (intercept = 1.01 - 1.03) (</w:t>
      </w:r>
      <w:r>
        <w:rPr>
          <w:rFonts w:ascii="Calibri" w:eastAsia="Calibri" w:hAnsi="Calibri" w:cs="Calibri"/>
          <w:b/>
          <w:color w:val="000000"/>
          <w:sz w:val="22"/>
          <w:szCs w:val="22"/>
        </w:rPr>
        <w:t>Supplementary Figure S2</w:t>
      </w:r>
      <w:r>
        <w:rPr>
          <w:rFonts w:ascii="Calibri" w:eastAsia="Calibri" w:hAnsi="Calibri" w:cs="Calibri"/>
          <w:color w:val="000000"/>
          <w:sz w:val="22"/>
          <w:szCs w:val="22"/>
        </w:rPr>
        <w:t>).</w:t>
      </w:r>
    </w:p>
    <w:p w:rsidR="00E6467A" w:rsidRDefault="00E6467A">
      <w:pPr>
        <w:pBdr>
          <w:top w:val="nil"/>
          <w:left w:val="nil"/>
          <w:bottom w:val="nil"/>
          <w:right w:val="nil"/>
          <w:between w:val="nil"/>
        </w:pBdr>
        <w:spacing w:line="360" w:lineRule="auto"/>
        <w:jc w:val="both"/>
        <w:rPr>
          <w:rFonts w:ascii="Calibri" w:eastAsia="Calibri" w:hAnsi="Calibri" w:cs="Calibri"/>
          <w:color w:val="000000"/>
          <w:sz w:val="22"/>
          <w:szCs w:val="22"/>
        </w:rPr>
      </w:pPr>
    </w:p>
    <w:p w:rsidR="00E6467A" w:rsidRDefault="007A5689">
      <w:pPr>
        <w:pBdr>
          <w:top w:val="nil"/>
          <w:left w:val="nil"/>
          <w:bottom w:val="nil"/>
          <w:right w:val="nil"/>
          <w:between w:val="nil"/>
        </w:pBdr>
        <w:spacing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 Figure 1 here***</w:t>
      </w:r>
    </w:p>
    <w:p w:rsidR="00E6467A" w:rsidRDefault="00E6467A">
      <w:pPr>
        <w:spacing w:line="276" w:lineRule="auto"/>
        <w:ind w:right="432"/>
        <w:rPr>
          <w:i/>
          <w:color w:val="000000"/>
          <w:sz w:val="18"/>
          <w:szCs w:val="18"/>
        </w:rPr>
      </w:pPr>
    </w:p>
    <w:p w:rsidR="00E6467A" w:rsidRDefault="007A5689">
      <w:pPr>
        <w:pStyle w:val="Heading2"/>
        <w:ind w:left="0"/>
      </w:pPr>
      <w:r>
        <w:t>Gene-based association analyses</w:t>
      </w:r>
    </w:p>
    <w:p w:rsidR="00E6467A" w:rsidRDefault="00E6467A">
      <w:pPr>
        <w:rPr>
          <w:color w:val="000000"/>
        </w:rPr>
      </w:pPr>
    </w:p>
    <w:p w:rsidR="00E6467A" w:rsidRDefault="007A5689">
      <w:pPr>
        <w:widowControl w:val="0"/>
        <w:spacing w:line="360" w:lineRule="auto"/>
        <w:jc w:val="both"/>
        <w:rPr>
          <w:color w:val="000000"/>
          <w:sz w:val="22"/>
          <w:szCs w:val="22"/>
        </w:rPr>
      </w:pPr>
      <w:r>
        <w:rPr>
          <w:color w:val="000000"/>
          <w:sz w:val="22"/>
          <w:szCs w:val="22"/>
        </w:rPr>
        <w:t xml:space="preserve">In order to gain insight into functional pathways associated with AA we performed gene and gene-set analysis in MAGMA </w:t>
      </w:r>
      <w:r>
        <w:rPr>
          <w:color w:val="000000"/>
          <w:sz w:val="22"/>
          <w:szCs w:val="22"/>
          <w:vertAlign w:val="superscript"/>
        </w:rPr>
        <w:t>23</w:t>
      </w:r>
      <w:r>
        <w:rPr>
          <w:color w:val="000000"/>
          <w:sz w:val="22"/>
          <w:szCs w:val="22"/>
        </w:rPr>
        <w:t xml:space="preserve"> (Methods). Results of the genome-wide gene-based test for association are shown in </w:t>
      </w:r>
      <w:r>
        <w:rPr>
          <w:b/>
          <w:color w:val="000000"/>
          <w:sz w:val="22"/>
          <w:szCs w:val="22"/>
        </w:rPr>
        <w:t>Table 1</w:t>
      </w:r>
      <w:r>
        <w:rPr>
          <w:color w:val="000000"/>
          <w:sz w:val="22"/>
          <w:szCs w:val="22"/>
        </w:rPr>
        <w:t xml:space="preserve"> and </w:t>
      </w:r>
      <w:r>
        <w:rPr>
          <w:b/>
          <w:color w:val="000000"/>
          <w:sz w:val="22"/>
          <w:szCs w:val="22"/>
        </w:rPr>
        <w:t>Supplementary Figures 3 and 4</w:t>
      </w:r>
      <w:r>
        <w:rPr>
          <w:color w:val="000000"/>
          <w:sz w:val="22"/>
          <w:szCs w:val="22"/>
        </w:rPr>
        <w:t>. In total four genome-wide significant (</w:t>
      </w:r>
      <w:r>
        <w:rPr>
          <w:color w:val="000000"/>
          <w:sz w:val="22"/>
          <w:szCs w:val="22"/>
          <w:highlight w:val="white"/>
        </w:rPr>
        <w:t>p = 0.05/17,875 genes tested = 2.80 x 10</w:t>
      </w:r>
      <w:r>
        <w:rPr>
          <w:color w:val="000000"/>
          <w:sz w:val="22"/>
          <w:szCs w:val="22"/>
          <w:highlight w:val="white"/>
          <w:vertAlign w:val="superscript"/>
        </w:rPr>
        <w:t>-6</w:t>
      </w:r>
      <w:r>
        <w:rPr>
          <w:color w:val="000000"/>
          <w:sz w:val="22"/>
          <w:szCs w:val="22"/>
        </w:rPr>
        <w:t xml:space="preserve">) gene-based associations with science were identified: </w:t>
      </w:r>
      <w:r>
        <w:rPr>
          <w:i/>
          <w:color w:val="000000"/>
          <w:sz w:val="22"/>
          <w:szCs w:val="22"/>
        </w:rPr>
        <w:t>MEF2C</w:t>
      </w:r>
      <w:r>
        <w:rPr>
          <w:color w:val="000000"/>
          <w:sz w:val="22"/>
          <w:szCs w:val="22"/>
        </w:rPr>
        <w:t xml:space="preserve"> (Myocyte Enhancer Factor 2C; p = 2 x 10</w:t>
      </w:r>
      <w:r>
        <w:rPr>
          <w:color w:val="000000"/>
          <w:sz w:val="22"/>
          <w:szCs w:val="22"/>
          <w:vertAlign w:val="superscript"/>
        </w:rPr>
        <w:t>-8</w:t>
      </w:r>
      <w:r>
        <w:rPr>
          <w:color w:val="000000"/>
          <w:sz w:val="22"/>
          <w:szCs w:val="22"/>
        </w:rPr>
        <w:t xml:space="preserve">), </w:t>
      </w:r>
      <w:r>
        <w:rPr>
          <w:i/>
          <w:color w:val="000000"/>
          <w:sz w:val="22"/>
          <w:szCs w:val="22"/>
        </w:rPr>
        <w:t>BRINP1</w:t>
      </w:r>
      <w:r>
        <w:rPr>
          <w:color w:val="000000"/>
          <w:sz w:val="22"/>
          <w:szCs w:val="22"/>
        </w:rPr>
        <w:t xml:space="preserve"> (Bone Morphogenetic Protein/Retinoic Acid Inducible Neural-Specific 1; p = 4 x 10</w:t>
      </w:r>
      <w:r>
        <w:rPr>
          <w:color w:val="000000"/>
          <w:sz w:val="22"/>
          <w:szCs w:val="22"/>
          <w:vertAlign w:val="superscript"/>
        </w:rPr>
        <w:t>-7</w:t>
      </w:r>
      <w:r>
        <w:rPr>
          <w:color w:val="000000"/>
          <w:sz w:val="22"/>
          <w:szCs w:val="22"/>
        </w:rPr>
        <w:t xml:space="preserve">), </w:t>
      </w:r>
      <w:r>
        <w:rPr>
          <w:i/>
          <w:color w:val="000000"/>
          <w:sz w:val="22"/>
          <w:szCs w:val="22"/>
        </w:rPr>
        <w:t>S100A1</w:t>
      </w:r>
      <w:r>
        <w:rPr>
          <w:color w:val="000000"/>
          <w:sz w:val="22"/>
          <w:szCs w:val="22"/>
        </w:rPr>
        <w:t xml:space="preserve"> (S100 Calcium Binding Protein A1; p = 8 x 10</w:t>
      </w:r>
      <w:r>
        <w:rPr>
          <w:color w:val="000000"/>
          <w:sz w:val="22"/>
          <w:szCs w:val="22"/>
          <w:vertAlign w:val="superscript"/>
        </w:rPr>
        <w:t>-7</w:t>
      </w:r>
      <w:r>
        <w:rPr>
          <w:color w:val="000000"/>
          <w:sz w:val="22"/>
          <w:szCs w:val="22"/>
        </w:rPr>
        <w:t>) an</w:t>
      </w:r>
      <w:r>
        <w:rPr>
          <w:color w:val="000000"/>
          <w:sz w:val="22"/>
          <w:szCs w:val="22"/>
        </w:rPr>
        <w:t xml:space="preserve">d </w:t>
      </w:r>
      <w:r>
        <w:rPr>
          <w:i/>
          <w:color w:val="000000"/>
          <w:sz w:val="22"/>
          <w:szCs w:val="22"/>
        </w:rPr>
        <w:t>S100A13</w:t>
      </w:r>
      <w:r>
        <w:rPr>
          <w:color w:val="000000"/>
          <w:sz w:val="22"/>
          <w:szCs w:val="22"/>
        </w:rPr>
        <w:t xml:space="preserve"> (S100 Calcium Binding Protein; p = 1 x 10</w:t>
      </w:r>
      <w:r>
        <w:rPr>
          <w:color w:val="000000"/>
          <w:sz w:val="22"/>
          <w:szCs w:val="22"/>
          <w:vertAlign w:val="superscript"/>
        </w:rPr>
        <w:t>-6</w:t>
      </w:r>
      <w:r>
        <w:rPr>
          <w:color w:val="000000"/>
          <w:sz w:val="22"/>
          <w:szCs w:val="22"/>
        </w:rPr>
        <w:t>). No significant gene-based associations were found for maths or English. We further examined gene expression patterns for the four genes using the Genotype-Tissue Expression (GTEx) portal (</w:t>
      </w:r>
      <w:hyperlink r:id="rId6">
        <w:r>
          <w:rPr>
            <w:color w:val="000000"/>
            <w:sz w:val="22"/>
            <w:szCs w:val="22"/>
            <w:u w:val="single"/>
          </w:rPr>
          <w:t>https://gtexportal.org</w:t>
        </w:r>
      </w:hyperlink>
      <w:r>
        <w:rPr>
          <w:color w:val="000000"/>
          <w:sz w:val="22"/>
          <w:szCs w:val="22"/>
        </w:rPr>
        <w:t xml:space="preserve">; </w:t>
      </w:r>
      <w:r>
        <w:rPr>
          <w:b/>
          <w:color w:val="000000"/>
          <w:sz w:val="22"/>
          <w:szCs w:val="22"/>
        </w:rPr>
        <w:t>Table 1,</w:t>
      </w:r>
      <w:r>
        <w:rPr>
          <w:color w:val="000000"/>
          <w:sz w:val="22"/>
          <w:szCs w:val="22"/>
        </w:rPr>
        <w:t xml:space="preserve"> </w:t>
      </w:r>
      <w:r>
        <w:rPr>
          <w:b/>
          <w:color w:val="000000"/>
          <w:sz w:val="22"/>
          <w:szCs w:val="22"/>
        </w:rPr>
        <w:t>Supplementary Figures S5 – S8)</w:t>
      </w:r>
      <w:r>
        <w:rPr>
          <w:rFonts w:ascii="Gungsuh" w:eastAsia="Gungsuh" w:hAnsi="Gungsuh" w:cs="Gungsuh"/>
          <w:color w:val="000000"/>
          <w:sz w:val="22"/>
          <w:szCs w:val="22"/>
        </w:rPr>
        <w:t xml:space="preserve">. Gene-set </w:t>
      </w:r>
      <w:r>
        <w:rPr>
          <w:rFonts w:ascii="Gungsuh" w:eastAsia="Gungsuh" w:hAnsi="Gungsuh" w:cs="Gungsuh"/>
          <w:color w:val="000000"/>
          <w:sz w:val="22"/>
          <w:szCs w:val="22"/>
        </w:rPr>
        <w:lastRenderedPageBreak/>
        <w:t>analysis revealed two gene-sets significantly (p ≤ 0.05/10,673) associated with English, and one with science (</w:t>
      </w:r>
      <w:r>
        <w:rPr>
          <w:b/>
          <w:color w:val="000000"/>
          <w:sz w:val="22"/>
          <w:szCs w:val="22"/>
        </w:rPr>
        <w:t>Supplementary Table S6</w:t>
      </w:r>
      <w:r>
        <w:rPr>
          <w:color w:val="000000"/>
          <w:sz w:val="22"/>
          <w:szCs w:val="22"/>
        </w:rPr>
        <w:t>).  For full gene-b</w:t>
      </w:r>
      <w:r>
        <w:rPr>
          <w:color w:val="000000"/>
          <w:sz w:val="22"/>
          <w:szCs w:val="22"/>
        </w:rPr>
        <w:t xml:space="preserve">ased results see </w:t>
      </w:r>
      <w:r>
        <w:rPr>
          <w:b/>
          <w:color w:val="000000"/>
          <w:sz w:val="22"/>
          <w:szCs w:val="22"/>
        </w:rPr>
        <w:t>Supplementary Data 2</w:t>
      </w:r>
      <w:r>
        <w:rPr>
          <w:color w:val="000000"/>
          <w:sz w:val="22"/>
          <w:szCs w:val="22"/>
        </w:rPr>
        <w:t>.</w:t>
      </w:r>
    </w:p>
    <w:p w:rsidR="00E6467A" w:rsidRDefault="00E6467A">
      <w:pPr>
        <w:widowControl w:val="0"/>
        <w:spacing w:line="360" w:lineRule="auto"/>
        <w:jc w:val="both"/>
        <w:rPr>
          <w:color w:val="000000"/>
          <w:sz w:val="22"/>
          <w:szCs w:val="22"/>
          <w:highlight w:val="yellow"/>
        </w:rPr>
      </w:pPr>
    </w:p>
    <w:p w:rsidR="00E6467A" w:rsidRDefault="007A5689">
      <w:pPr>
        <w:widowControl w:val="0"/>
        <w:spacing w:line="360" w:lineRule="auto"/>
        <w:jc w:val="center"/>
        <w:rPr>
          <w:i/>
          <w:color w:val="000000"/>
          <w:sz w:val="22"/>
          <w:szCs w:val="22"/>
        </w:rPr>
      </w:pPr>
      <w:r>
        <w:rPr>
          <w:i/>
          <w:color w:val="000000"/>
          <w:sz w:val="22"/>
          <w:szCs w:val="22"/>
        </w:rPr>
        <w:t>*** Table 1 about here***</w:t>
      </w:r>
    </w:p>
    <w:p w:rsidR="00E6467A" w:rsidRDefault="00E6467A">
      <w:pPr>
        <w:widowControl w:val="0"/>
        <w:spacing w:line="360" w:lineRule="auto"/>
        <w:jc w:val="both"/>
        <w:rPr>
          <w:i/>
          <w:color w:val="000000"/>
          <w:sz w:val="22"/>
          <w:szCs w:val="22"/>
        </w:rPr>
      </w:pPr>
    </w:p>
    <w:p w:rsidR="00E6467A" w:rsidRDefault="007A5689">
      <w:pPr>
        <w:widowControl w:val="0"/>
        <w:spacing w:line="360" w:lineRule="auto"/>
        <w:jc w:val="both"/>
        <w:rPr>
          <w:i/>
          <w:color w:val="000000"/>
          <w:sz w:val="22"/>
          <w:szCs w:val="22"/>
        </w:rPr>
      </w:pPr>
      <w:r>
        <w:rPr>
          <w:i/>
          <w:color w:val="000000"/>
          <w:sz w:val="22"/>
          <w:szCs w:val="22"/>
        </w:rPr>
        <w:t>Replication of SNP and gene-level associations</w:t>
      </w:r>
    </w:p>
    <w:p w:rsidR="00E6467A" w:rsidRDefault="00E6467A">
      <w:pPr>
        <w:widowControl w:val="0"/>
        <w:spacing w:line="360" w:lineRule="auto"/>
        <w:jc w:val="both"/>
        <w:rPr>
          <w:i/>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Replication of independent significantly associated SNPs and genes was performed using data from the Twins Early Development Study (N=2,330)</w:t>
      </w:r>
      <w:r>
        <w:rPr>
          <w:color w:val="000000"/>
          <w:sz w:val="22"/>
          <w:szCs w:val="22"/>
          <w:vertAlign w:val="superscript"/>
        </w:rPr>
        <w:t>24</w:t>
      </w:r>
      <w:r>
        <w:rPr>
          <w:color w:val="000000"/>
          <w:sz w:val="22"/>
          <w:szCs w:val="22"/>
        </w:rPr>
        <w:t>. We failed to replicate the genome-wide significant SNP (rs9529641) and gene-level associations for science attainment in a second independent longitudinal cohort (TEDS), although the smaller sample and different phenotype complicates interpretation (se</w:t>
      </w:r>
      <w:r>
        <w:rPr>
          <w:color w:val="000000"/>
          <w:sz w:val="22"/>
          <w:szCs w:val="22"/>
        </w:rPr>
        <w:t>e Methods and Supplementary Note 3). We also cross-referenced our SNP and genes with two closely related GWAS, EduYrs3</w:t>
      </w:r>
      <w:r>
        <w:rPr>
          <w:color w:val="000000"/>
          <w:sz w:val="22"/>
          <w:szCs w:val="22"/>
          <w:vertAlign w:val="superscript"/>
        </w:rPr>
        <w:t>11</w:t>
      </w:r>
      <w:r>
        <w:rPr>
          <w:color w:val="000000"/>
          <w:sz w:val="22"/>
          <w:szCs w:val="22"/>
        </w:rPr>
        <w:t xml:space="preserve"> and Intelligence</w:t>
      </w:r>
      <w:r>
        <w:rPr>
          <w:color w:val="000000"/>
          <w:sz w:val="22"/>
          <w:szCs w:val="22"/>
          <w:vertAlign w:val="superscript"/>
        </w:rPr>
        <w:t>25</w:t>
      </w:r>
      <w:r>
        <w:rPr>
          <w:color w:val="000000"/>
          <w:sz w:val="22"/>
          <w:szCs w:val="22"/>
        </w:rPr>
        <w:t xml:space="preserve">, and note that rs9529641 was significantly associated with the phenotype in both previously published GWAS. None of </w:t>
      </w:r>
      <w:r>
        <w:rPr>
          <w:color w:val="000000"/>
          <w:sz w:val="22"/>
          <w:szCs w:val="22"/>
        </w:rPr>
        <w:t xml:space="preserve">the gene-level associations with science in the ALSPAC cohort were significantly associated in TEDS, but </w:t>
      </w:r>
      <w:r>
        <w:rPr>
          <w:i/>
          <w:color w:val="000000"/>
          <w:sz w:val="22"/>
          <w:szCs w:val="22"/>
        </w:rPr>
        <w:t xml:space="preserve">MEFC2 </w:t>
      </w:r>
      <w:r>
        <w:rPr>
          <w:color w:val="000000"/>
          <w:sz w:val="22"/>
          <w:szCs w:val="22"/>
        </w:rPr>
        <w:t xml:space="preserve">was significantly associated with both EduYrs3 and Intelligence, and </w:t>
      </w:r>
      <w:r>
        <w:rPr>
          <w:i/>
          <w:color w:val="000000"/>
          <w:sz w:val="22"/>
          <w:szCs w:val="22"/>
        </w:rPr>
        <w:t xml:space="preserve">BRINP1 </w:t>
      </w:r>
      <w:r>
        <w:rPr>
          <w:color w:val="000000"/>
          <w:sz w:val="22"/>
          <w:szCs w:val="22"/>
        </w:rPr>
        <w:t>with EduYrs3 (</w:t>
      </w:r>
      <w:r>
        <w:rPr>
          <w:b/>
          <w:color w:val="000000"/>
          <w:sz w:val="22"/>
          <w:szCs w:val="22"/>
        </w:rPr>
        <w:t>Table 2</w:t>
      </w:r>
      <w:r>
        <w:rPr>
          <w:color w:val="000000"/>
          <w:sz w:val="22"/>
          <w:szCs w:val="22"/>
        </w:rPr>
        <w:t>).</w:t>
      </w:r>
    </w:p>
    <w:p w:rsidR="00E6467A" w:rsidRDefault="00E6467A">
      <w:pPr>
        <w:widowControl w:val="0"/>
        <w:spacing w:line="360" w:lineRule="auto"/>
        <w:jc w:val="center"/>
        <w:rPr>
          <w:b/>
          <w:color w:val="000000"/>
          <w:sz w:val="22"/>
          <w:szCs w:val="22"/>
        </w:rPr>
      </w:pPr>
    </w:p>
    <w:p w:rsidR="00E6467A" w:rsidRDefault="007A5689">
      <w:pPr>
        <w:jc w:val="center"/>
        <w:rPr>
          <w:color w:val="000000"/>
        </w:rPr>
      </w:pPr>
      <w:r>
        <w:rPr>
          <w:color w:val="000000"/>
        </w:rPr>
        <w:t>*** Table 2 about here ***</w:t>
      </w:r>
    </w:p>
    <w:p w:rsidR="00E6467A" w:rsidRDefault="00E6467A">
      <w:pPr>
        <w:rPr>
          <w:color w:val="000000"/>
        </w:rPr>
      </w:pPr>
    </w:p>
    <w:p w:rsidR="00E6467A" w:rsidRDefault="007A5689">
      <w:pPr>
        <w:pStyle w:val="Heading2"/>
        <w:ind w:left="0"/>
      </w:pPr>
      <w:r>
        <w:t>SNP-based herita</w:t>
      </w:r>
      <w:r>
        <w:t xml:space="preserve">bility and bivariate genetic correlations of AA </w:t>
      </w:r>
    </w:p>
    <w:p w:rsidR="00E6467A" w:rsidRDefault="00E6467A">
      <w:pPr>
        <w:rPr>
          <w:color w:val="000000"/>
        </w:rPr>
      </w:pPr>
    </w:p>
    <w:p w:rsidR="00E6467A" w:rsidRDefault="007A5689">
      <w:pPr>
        <w:widowControl w:val="0"/>
        <w:spacing w:line="360" w:lineRule="auto"/>
        <w:jc w:val="both"/>
        <w:rPr>
          <w:color w:val="000000"/>
          <w:sz w:val="22"/>
          <w:szCs w:val="22"/>
        </w:rPr>
      </w:pPr>
      <w:r>
        <w:rPr>
          <w:color w:val="000000"/>
          <w:sz w:val="22"/>
          <w:szCs w:val="22"/>
        </w:rPr>
        <w:t>We employed two statistical methods to provide complementary estimates of SNP heritability (h</w:t>
      </w:r>
      <w:r>
        <w:rPr>
          <w:color w:val="000000"/>
          <w:sz w:val="22"/>
          <w:szCs w:val="22"/>
          <w:vertAlign w:val="superscript"/>
        </w:rPr>
        <w:t>2</w:t>
      </w:r>
      <w:r>
        <w:rPr>
          <w:color w:val="000000"/>
          <w:sz w:val="22"/>
          <w:szCs w:val="22"/>
          <w:vertAlign w:val="subscript"/>
        </w:rPr>
        <w:t>SNP</w:t>
      </w:r>
      <w:r>
        <w:rPr>
          <w:color w:val="000000"/>
          <w:sz w:val="22"/>
          <w:szCs w:val="22"/>
        </w:rPr>
        <w:t>) for science, maths, and English: LD-score regression (LDSC</w:t>
      </w:r>
      <w:r>
        <w:rPr>
          <w:color w:val="000000"/>
          <w:sz w:val="22"/>
          <w:szCs w:val="22"/>
          <w:vertAlign w:val="superscript"/>
        </w:rPr>
        <w:t>26</w:t>
      </w:r>
      <w:r>
        <w:rPr>
          <w:color w:val="000000"/>
          <w:sz w:val="22"/>
          <w:szCs w:val="22"/>
        </w:rPr>
        <w:t>) and Genome-Based Restricted Maximum Likelihoo</w:t>
      </w:r>
      <w:r>
        <w:rPr>
          <w:color w:val="000000"/>
          <w:sz w:val="22"/>
          <w:szCs w:val="22"/>
        </w:rPr>
        <w:t>d (GREML) analysis</w:t>
      </w:r>
      <w:r>
        <w:rPr>
          <w:color w:val="000000"/>
          <w:sz w:val="22"/>
          <w:szCs w:val="22"/>
          <w:vertAlign w:val="superscript"/>
        </w:rPr>
        <w:t>27</w:t>
      </w:r>
      <w:r>
        <w:rPr>
          <w:color w:val="000000"/>
          <w:sz w:val="22"/>
          <w:szCs w:val="22"/>
        </w:rPr>
        <w:t>. LDSC regression h</w:t>
      </w:r>
      <w:r>
        <w:rPr>
          <w:color w:val="000000"/>
          <w:sz w:val="22"/>
          <w:szCs w:val="22"/>
          <w:vertAlign w:val="superscript"/>
        </w:rPr>
        <w:t>2</w:t>
      </w:r>
      <w:r>
        <w:rPr>
          <w:color w:val="000000"/>
          <w:sz w:val="22"/>
          <w:szCs w:val="22"/>
          <w:vertAlign w:val="subscript"/>
        </w:rPr>
        <w:t>SNP</w:t>
      </w:r>
      <w:r>
        <w:rPr>
          <w:color w:val="000000"/>
          <w:sz w:val="22"/>
          <w:szCs w:val="22"/>
        </w:rPr>
        <w:t xml:space="preserve"> estimates using GWAS summary statistics were moderate and significant for all three academic subjects (LDSC unconstrained h</w:t>
      </w:r>
      <w:r>
        <w:rPr>
          <w:color w:val="000000"/>
          <w:sz w:val="22"/>
          <w:szCs w:val="22"/>
          <w:vertAlign w:val="superscript"/>
        </w:rPr>
        <w:t>2</w:t>
      </w:r>
      <w:r>
        <w:rPr>
          <w:color w:val="000000"/>
          <w:sz w:val="22"/>
          <w:szCs w:val="22"/>
          <w:vertAlign w:val="subscript"/>
        </w:rPr>
        <w:t>SNP</w:t>
      </w:r>
      <w:r>
        <w:rPr>
          <w:color w:val="000000"/>
          <w:sz w:val="22"/>
          <w:szCs w:val="22"/>
        </w:rPr>
        <w:t xml:space="preserve"> = 0.29 - 0.34, constrained h</w:t>
      </w:r>
      <w:r>
        <w:rPr>
          <w:color w:val="000000"/>
          <w:sz w:val="22"/>
          <w:szCs w:val="22"/>
          <w:vertAlign w:val="superscript"/>
        </w:rPr>
        <w:t>2</w:t>
      </w:r>
      <w:r>
        <w:rPr>
          <w:color w:val="000000"/>
          <w:sz w:val="22"/>
          <w:szCs w:val="22"/>
          <w:vertAlign w:val="subscript"/>
        </w:rPr>
        <w:t>SNP</w:t>
      </w:r>
      <w:r>
        <w:rPr>
          <w:color w:val="000000"/>
          <w:sz w:val="22"/>
          <w:szCs w:val="22"/>
        </w:rPr>
        <w:t xml:space="preserve"> = 0.36 - 0.54), with the highest estimate obtained </w:t>
      </w:r>
      <w:r>
        <w:rPr>
          <w:color w:val="000000"/>
          <w:sz w:val="22"/>
          <w:szCs w:val="22"/>
        </w:rPr>
        <w:t>for science (</w:t>
      </w:r>
      <w:r>
        <w:rPr>
          <w:b/>
          <w:color w:val="000000"/>
          <w:sz w:val="22"/>
          <w:szCs w:val="22"/>
        </w:rPr>
        <w:t>Table 3</w:t>
      </w:r>
      <w:r>
        <w:rPr>
          <w:color w:val="000000"/>
          <w:sz w:val="22"/>
          <w:szCs w:val="22"/>
        </w:rPr>
        <w:t xml:space="preserve">, </w:t>
      </w:r>
      <w:r>
        <w:rPr>
          <w:b/>
          <w:color w:val="000000"/>
          <w:sz w:val="22"/>
          <w:szCs w:val="22"/>
        </w:rPr>
        <w:t>Supplementary</w:t>
      </w:r>
      <w:r>
        <w:rPr>
          <w:color w:val="000000"/>
          <w:sz w:val="22"/>
          <w:szCs w:val="22"/>
        </w:rPr>
        <w:t xml:space="preserve"> </w:t>
      </w:r>
      <w:r>
        <w:rPr>
          <w:b/>
          <w:color w:val="000000"/>
          <w:sz w:val="22"/>
          <w:szCs w:val="22"/>
        </w:rPr>
        <w:t>Table S7</w:t>
      </w:r>
      <w:r>
        <w:rPr>
          <w:color w:val="000000"/>
          <w:sz w:val="22"/>
          <w:szCs w:val="22"/>
        </w:rPr>
        <w:t>).  GREML h</w:t>
      </w:r>
      <w:r>
        <w:rPr>
          <w:color w:val="000000"/>
          <w:sz w:val="22"/>
          <w:szCs w:val="22"/>
          <w:vertAlign w:val="superscript"/>
        </w:rPr>
        <w:t>2</w:t>
      </w:r>
      <w:r>
        <w:rPr>
          <w:color w:val="000000"/>
          <w:sz w:val="22"/>
          <w:szCs w:val="22"/>
          <w:vertAlign w:val="subscript"/>
        </w:rPr>
        <w:t xml:space="preserve"> SNP</w:t>
      </w:r>
      <w:r>
        <w:rPr>
          <w:color w:val="000000"/>
          <w:sz w:val="22"/>
          <w:szCs w:val="22"/>
        </w:rPr>
        <w:t xml:space="preserve"> estimates were similar in magnitude, ranging from 0.41 (English) to 0.53 (science) (</w:t>
      </w:r>
      <w:r>
        <w:rPr>
          <w:b/>
          <w:color w:val="000000"/>
          <w:sz w:val="22"/>
          <w:szCs w:val="22"/>
        </w:rPr>
        <w:t>Table S7).</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Bivariate genetic correlations (r</w:t>
      </w:r>
      <w:r>
        <w:rPr>
          <w:color w:val="000000"/>
          <w:sz w:val="22"/>
          <w:szCs w:val="22"/>
          <w:vertAlign w:val="subscript"/>
        </w:rPr>
        <w:t>g</w:t>
      </w:r>
      <w:r>
        <w:rPr>
          <w:color w:val="000000"/>
          <w:sz w:val="22"/>
          <w:szCs w:val="22"/>
        </w:rPr>
        <w:t>) between academic subjects estimated by LDSC regression performe</w:t>
      </w:r>
      <w:r>
        <w:rPr>
          <w:color w:val="000000"/>
          <w:sz w:val="22"/>
          <w:szCs w:val="22"/>
        </w:rPr>
        <w:t>d in Unix were high (r</w:t>
      </w:r>
      <w:r>
        <w:rPr>
          <w:color w:val="000000"/>
          <w:sz w:val="22"/>
          <w:szCs w:val="22"/>
          <w:vertAlign w:val="subscript"/>
        </w:rPr>
        <w:t xml:space="preserve">g </w:t>
      </w:r>
      <w:r>
        <w:rPr>
          <w:color w:val="000000"/>
          <w:sz w:val="22"/>
          <w:szCs w:val="22"/>
        </w:rPr>
        <w:t>= 0.62 - 0.75) but significantly less than 1, illustrating a degree of genetic specificity (</w:t>
      </w:r>
      <w:r>
        <w:rPr>
          <w:b/>
          <w:color w:val="000000"/>
          <w:sz w:val="22"/>
          <w:szCs w:val="22"/>
        </w:rPr>
        <w:t>Table 3</w:t>
      </w:r>
      <w:r>
        <w:rPr>
          <w:color w:val="000000"/>
          <w:sz w:val="22"/>
          <w:szCs w:val="22"/>
        </w:rPr>
        <w:t>).</w:t>
      </w: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E6467A">
      <w:pPr>
        <w:jc w:val="center"/>
        <w:rPr>
          <w:b/>
          <w:color w:val="000000"/>
        </w:rPr>
      </w:pPr>
    </w:p>
    <w:p w:rsidR="00E6467A" w:rsidRDefault="007A5689">
      <w:pPr>
        <w:widowControl w:val="0"/>
        <w:spacing w:line="360" w:lineRule="auto"/>
        <w:jc w:val="center"/>
        <w:rPr>
          <w:color w:val="000000"/>
          <w:sz w:val="22"/>
          <w:szCs w:val="22"/>
        </w:rPr>
      </w:pPr>
      <w:r>
        <w:rPr>
          <w:color w:val="000000"/>
          <w:sz w:val="22"/>
          <w:szCs w:val="22"/>
        </w:rPr>
        <w:t>***Table 3 about here**</w:t>
      </w:r>
    </w:p>
    <w:p w:rsidR="00E6467A" w:rsidRDefault="00E6467A">
      <w:pPr>
        <w:widowControl w:val="0"/>
        <w:spacing w:line="360" w:lineRule="auto"/>
        <w:jc w:val="center"/>
        <w:rPr>
          <w:color w:val="000000"/>
          <w:sz w:val="22"/>
          <w:szCs w:val="22"/>
        </w:rPr>
      </w:pPr>
    </w:p>
    <w:p w:rsidR="00E6467A" w:rsidRDefault="007A5689">
      <w:pPr>
        <w:widowControl w:val="0"/>
        <w:spacing w:line="360" w:lineRule="auto"/>
        <w:jc w:val="both"/>
        <w:rPr>
          <w:i/>
          <w:color w:val="000000"/>
          <w:sz w:val="22"/>
          <w:szCs w:val="22"/>
        </w:rPr>
      </w:pPr>
      <w:r>
        <w:rPr>
          <w:i/>
          <w:color w:val="000000"/>
          <w:sz w:val="22"/>
          <w:szCs w:val="22"/>
        </w:rPr>
        <w:t>AA and IQ regressed analyses</w:t>
      </w:r>
    </w:p>
    <w:p w:rsidR="00E6467A" w:rsidRDefault="00E6467A">
      <w:pPr>
        <w:widowControl w:val="0"/>
        <w:spacing w:line="360" w:lineRule="auto"/>
        <w:jc w:val="both"/>
        <w:rPr>
          <w:i/>
          <w:color w:val="000000"/>
          <w:sz w:val="22"/>
          <w:szCs w:val="22"/>
        </w:rPr>
      </w:pPr>
    </w:p>
    <w:p w:rsidR="00E6467A" w:rsidRDefault="007A5689">
      <w:pPr>
        <w:widowControl w:val="0"/>
        <w:spacing w:line="360" w:lineRule="auto"/>
        <w:jc w:val="both"/>
        <w:rPr>
          <w:color w:val="000000"/>
          <w:sz w:val="20"/>
          <w:szCs w:val="20"/>
        </w:rPr>
      </w:pPr>
      <w:bookmarkStart w:id="1" w:name="_gjdgxs" w:colFirst="0" w:colLast="0"/>
      <w:bookmarkEnd w:id="1"/>
      <w:r>
        <w:rPr>
          <w:color w:val="000000"/>
          <w:sz w:val="22"/>
          <w:szCs w:val="22"/>
        </w:rPr>
        <w:t>Academic attainment across subjects are correlated at both the phenotypic and genetic level (</w:t>
      </w:r>
      <w:r>
        <w:rPr>
          <w:b/>
          <w:color w:val="000000"/>
          <w:sz w:val="22"/>
          <w:szCs w:val="22"/>
        </w:rPr>
        <w:t>Tables 3 and S1</w:t>
      </w:r>
      <w:r>
        <w:rPr>
          <w:color w:val="000000"/>
          <w:sz w:val="22"/>
          <w:szCs w:val="22"/>
        </w:rPr>
        <w:t xml:space="preserve">), and previous research demonstrates school performance is highly correlated with general cognitive function, an association partly underpinned by </w:t>
      </w:r>
      <w:r>
        <w:rPr>
          <w:color w:val="000000"/>
          <w:sz w:val="22"/>
          <w:szCs w:val="22"/>
        </w:rPr>
        <w:t>generalist genes</w:t>
      </w:r>
      <w:r>
        <w:rPr>
          <w:color w:val="000000"/>
          <w:sz w:val="22"/>
          <w:szCs w:val="22"/>
          <w:vertAlign w:val="superscript"/>
        </w:rPr>
        <w:t>7</w:t>
      </w:r>
      <w:r>
        <w:rPr>
          <w:color w:val="000000"/>
          <w:sz w:val="22"/>
          <w:szCs w:val="22"/>
        </w:rPr>
        <w:t xml:space="preserve">.  We therefore sought to examine genetic contributions to </w:t>
      </w:r>
      <w:r>
        <w:rPr>
          <w:i/>
          <w:color w:val="000000"/>
          <w:sz w:val="22"/>
          <w:szCs w:val="22"/>
        </w:rPr>
        <w:t>subject-specific</w:t>
      </w:r>
      <w:r>
        <w:rPr>
          <w:color w:val="000000"/>
          <w:sz w:val="22"/>
          <w:szCs w:val="22"/>
        </w:rPr>
        <w:t xml:space="preserve"> variance independent of performance in the other two subjects, or independent of IQ. This was achieved by regressing verbal and non-verbal IQ from the academic att</w:t>
      </w:r>
      <w:r>
        <w:rPr>
          <w:color w:val="000000"/>
          <w:sz w:val="22"/>
          <w:szCs w:val="22"/>
        </w:rPr>
        <w:t>ainment scores for English (N=3,197, verbal r = 0.548 SE = 0.011; non-verbal r = 0.209, SE = 0.015), maths (N = 3,212, verbal r = 0.491, SE = 0.012; non-verbal r = 0.298, SE = 0.015) and science (N=3,260, verbal r = 0.587, SE = 0.010;  non-verbal r = 0.269</w:t>
      </w:r>
      <w:r>
        <w:rPr>
          <w:color w:val="000000"/>
          <w:sz w:val="22"/>
          <w:szCs w:val="22"/>
        </w:rPr>
        <w:t xml:space="preserve">, SE = 0.015), or regressing out attainment in the other two subjects (N = 5,895) (see Methods). Univariate GWAS of the three AA-regressed and three IQ-regressed subjects failed to identify any genome wide significant associations </w:t>
      </w:r>
      <w:r>
        <w:rPr>
          <w:b/>
          <w:color w:val="000000"/>
          <w:sz w:val="22"/>
          <w:szCs w:val="22"/>
        </w:rPr>
        <w:t>(Supplementary Figure 9</w:t>
      </w:r>
      <w:r>
        <w:rPr>
          <w:color w:val="000000"/>
          <w:sz w:val="22"/>
          <w:szCs w:val="22"/>
        </w:rPr>
        <w:t>).</w:t>
      </w:r>
      <w:r>
        <w:rPr>
          <w:color w:val="000000"/>
          <w:sz w:val="22"/>
          <w:szCs w:val="22"/>
        </w:rPr>
        <w:t xml:space="preserve">   LDSC-based h</w:t>
      </w:r>
      <w:r>
        <w:rPr>
          <w:color w:val="000000"/>
          <w:sz w:val="22"/>
          <w:szCs w:val="22"/>
          <w:vertAlign w:val="superscript"/>
        </w:rPr>
        <w:t>2</w:t>
      </w:r>
      <w:r>
        <w:rPr>
          <w:color w:val="000000"/>
          <w:sz w:val="22"/>
          <w:szCs w:val="22"/>
          <w:vertAlign w:val="subscript"/>
        </w:rPr>
        <w:t>SNP</w:t>
      </w:r>
      <w:r>
        <w:rPr>
          <w:color w:val="000000"/>
          <w:sz w:val="22"/>
          <w:szCs w:val="22"/>
        </w:rPr>
        <w:t xml:space="preserve"> estimates were lower than in the original analyses, but still significantly larger than 0 for AA-regressed and IQ-regressed science and maths scores </w:t>
      </w:r>
      <w:r>
        <w:rPr>
          <w:color w:val="000000"/>
          <w:sz w:val="22"/>
          <w:szCs w:val="22"/>
          <w:highlight w:val="yellow"/>
        </w:rPr>
        <w:t>(p &lt; 0.05)</w:t>
      </w:r>
      <w:r>
        <w:rPr>
          <w:color w:val="000000"/>
          <w:sz w:val="22"/>
          <w:szCs w:val="22"/>
        </w:rPr>
        <w:t xml:space="preserve"> (</w:t>
      </w:r>
      <w:r>
        <w:rPr>
          <w:b/>
          <w:color w:val="000000"/>
          <w:sz w:val="22"/>
          <w:szCs w:val="22"/>
        </w:rPr>
        <w:t>Table 4</w:t>
      </w:r>
      <w:r>
        <w:rPr>
          <w:color w:val="000000"/>
          <w:sz w:val="22"/>
          <w:szCs w:val="22"/>
        </w:rPr>
        <w:t>). GREML h</w:t>
      </w:r>
      <w:r>
        <w:rPr>
          <w:color w:val="000000"/>
          <w:sz w:val="22"/>
          <w:szCs w:val="22"/>
          <w:vertAlign w:val="superscript"/>
        </w:rPr>
        <w:t>2</w:t>
      </w:r>
      <w:r>
        <w:rPr>
          <w:color w:val="000000"/>
          <w:sz w:val="22"/>
          <w:szCs w:val="22"/>
          <w:vertAlign w:val="subscript"/>
        </w:rPr>
        <w:t>SNP</w:t>
      </w:r>
      <w:r>
        <w:rPr>
          <w:color w:val="000000"/>
          <w:sz w:val="22"/>
          <w:szCs w:val="22"/>
        </w:rPr>
        <w:t xml:space="preserve"> estimates were similar, ranging from 0.08 (AAreg-Engl</w:t>
      </w:r>
      <w:r>
        <w:rPr>
          <w:color w:val="000000"/>
          <w:sz w:val="22"/>
          <w:szCs w:val="22"/>
        </w:rPr>
        <w:t>ish) to 0.21 (IQreg-maths) (</w:t>
      </w:r>
      <w:r>
        <w:rPr>
          <w:b/>
          <w:color w:val="000000"/>
          <w:sz w:val="22"/>
          <w:szCs w:val="22"/>
        </w:rPr>
        <w:t>Supplementary Table S7).</w:t>
      </w:r>
    </w:p>
    <w:p w:rsidR="00E6467A" w:rsidRDefault="00E6467A">
      <w:pPr>
        <w:widowControl w:val="0"/>
        <w:spacing w:line="360" w:lineRule="auto"/>
        <w:jc w:val="both"/>
        <w:rPr>
          <w:color w:val="000000"/>
          <w:sz w:val="22"/>
          <w:szCs w:val="22"/>
        </w:rPr>
      </w:pPr>
    </w:p>
    <w:p w:rsidR="00E6467A" w:rsidRDefault="007A5689">
      <w:pPr>
        <w:pStyle w:val="Heading2"/>
        <w:ind w:left="0"/>
        <w:jc w:val="center"/>
      </w:pPr>
      <w:r>
        <w:t>***Table 4 about here***</w:t>
      </w:r>
    </w:p>
    <w:p w:rsidR="00E6467A" w:rsidRDefault="00E6467A">
      <w:pPr>
        <w:rPr>
          <w:color w:val="000000"/>
        </w:rPr>
      </w:pPr>
    </w:p>
    <w:p w:rsidR="00E6467A" w:rsidRDefault="007A5689">
      <w:pPr>
        <w:widowControl w:val="0"/>
        <w:spacing w:line="360" w:lineRule="auto"/>
        <w:jc w:val="both"/>
        <w:rPr>
          <w:color w:val="000000"/>
          <w:sz w:val="22"/>
          <w:szCs w:val="22"/>
        </w:rPr>
      </w:pPr>
      <w:r>
        <w:rPr>
          <w:color w:val="000000"/>
          <w:sz w:val="22"/>
          <w:szCs w:val="22"/>
        </w:rPr>
        <w:t>Finally, in order to check the specificity of the SNP association identified with science, we performed a hypothesis-driven lookup in the AAreg and IQreg GWAS results (</w:t>
      </w:r>
      <w:r>
        <w:rPr>
          <w:b/>
          <w:color w:val="000000"/>
          <w:sz w:val="22"/>
          <w:szCs w:val="22"/>
        </w:rPr>
        <w:t>Table 5</w:t>
      </w:r>
      <w:r>
        <w:rPr>
          <w:color w:val="000000"/>
          <w:sz w:val="22"/>
          <w:szCs w:val="22"/>
        </w:rPr>
        <w:t>) using a Bonferroni corrected p-value threshold of 0.05/6 per SNP/gene. The SNP rs9529641 remained associated with Science attainment only in the AA regressed GWAS (p = 0.001).  None of the gene-level associations with science were significantly associate</w:t>
      </w:r>
      <w:r>
        <w:rPr>
          <w:color w:val="000000"/>
          <w:sz w:val="22"/>
          <w:szCs w:val="22"/>
        </w:rPr>
        <w:t xml:space="preserve">d with AAreg or IQ reg science after Bonferroni correction (AAreg science </w:t>
      </w:r>
      <w:r>
        <w:rPr>
          <w:i/>
          <w:color w:val="000000"/>
          <w:sz w:val="22"/>
          <w:szCs w:val="22"/>
        </w:rPr>
        <w:t>S100A1</w:t>
      </w:r>
      <w:r>
        <w:rPr>
          <w:color w:val="000000"/>
          <w:sz w:val="22"/>
          <w:szCs w:val="22"/>
        </w:rPr>
        <w:t xml:space="preserve">: z = 1.9, p = 0.03; </w:t>
      </w:r>
      <w:r>
        <w:rPr>
          <w:i/>
          <w:color w:val="000000"/>
          <w:sz w:val="22"/>
          <w:szCs w:val="22"/>
        </w:rPr>
        <w:t>S100A13</w:t>
      </w:r>
      <w:r>
        <w:rPr>
          <w:color w:val="000000"/>
          <w:sz w:val="22"/>
          <w:szCs w:val="22"/>
        </w:rPr>
        <w:t xml:space="preserve">: z = 1.3, p = 0.10; </w:t>
      </w:r>
      <w:r>
        <w:rPr>
          <w:i/>
          <w:color w:val="000000"/>
          <w:sz w:val="22"/>
          <w:szCs w:val="22"/>
        </w:rPr>
        <w:t>MEF2C</w:t>
      </w:r>
      <w:r>
        <w:rPr>
          <w:color w:val="000000"/>
          <w:sz w:val="22"/>
          <w:szCs w:val="22"/>
        </w:rPr>
        <w:t>: z = 2.3, p = 0.01;</w:t>
      </w:r>
      <w:r>
        <w:rPr>
          <w:i/>
          <w:color w:val="000000"/>
          <w:sz w:val="22"/>
          <w:szCs w:val="22"/>
        </w:rPr>
        <w:t xml:space="preserve"> BRINP1</w:t>
      </w:r>
      <w:r>
        <w:rPr>
          <w:color w:val="000000"/>
          <w:sz w:val="22"/>
          <w:szCs w:val="22"/>
        </w:rPr>
        <w:t xml:space="preserve">: z = 2.2, p = 0.01; IQreg science </w:t>
      </w:r>
      <w:r>
        <w:rPr>
          <w:i/>
          <w:color w:val="000000"/>
          <w:sz w:val="22"/>
          <w:szCs w:val="22"/>
        </w:rPr>
        <w:t>S100A1</w:t>
      </w:r>
      <w:r>
        <w:rPr>
          <w:color w:val="000000"/>
          <w:sz w:val="22"/>
          <w:szCs w:val="22"/>
        </w:rPr>
        <w:t xml:space="preserve">: z = 1.3, p = 0.10; </w:t>
      </w:r>
      <w:r>
        <w:rPr>
          <w:i/>
          <w:color w:val="000000"/>
          <w:sz w:val="22"/>
          <w:szCs w:val="22"/>
        </w:rPr>
        <w:t>S100A13</w:t>
      </w:r>
      <w:r>
        <w:rPr>
          <w:color w:val="000000"/>
          <w:sz w:val="22"/>
          <w:szCs w:val="22"/>
        </w:rPr>
        <w:t xml:space="preserve">, z = 0.8, p = 0.19; </w:t>
      </w:r>
      <w:r>
        <w:rPr>
          <w:i/>
          <w:color w:val="000000"/>
          <w:sz w:val="22"/>
          <w:szCs w:val="22"/>
        </w:rPr>
        <w:t>MEF2C</w:t>
      </w:r>
      <w:r>
        <w:rPr>
          <w:color w:val="000000"/>
          <w:sz w:val="22"/>
          <w:szCs w:val="22"/>
        </w:rPr>
        <w:t>: z = 1.7, p = 0.05,</w:t>
      </w:r>
      <w:r>
        <w:rPr>
          <w:i/>
          <w:color w:val="000000"/>
          <w:sz w:val="22"/>
          <w:szCs w:val="22"/>
        </w:rPr>
        <w:t xml:space="preserve"> BRINP1</w:t>
      </w:r>
      <w:r>
        <w:rPr>
          <w:color w:val="000000"/>
          <w:sz w:val="22"/>
          <w:szCs w:val="22"/>
        </w:rPr>
        <w:t xml:space="preserve">: z = 1.8, p = 0.03).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Using a z-test we were able to show that rs9529641 is significantly more associated with science than English (z = 2.48, p = 0.01) but not maths (z = 1.06, p = 0.14).  It was significantly more associate</w:t>
      </w:r>
      <w:r>
        <w:rPr>
          <w:color w:val="000000"/>
          <w:sz w:val="22"/>
          <w:szCs w:val="22"/>
        </w:rPr>
        <w:t>d with AAreg science than both AAreg English (z = 3.54, p &lt; 0.001) and AAreg maths (z = 2.12, p = 0.02) and it was also significantly more associated with IQ reg science than IQ reg English (z = 1.65, p = 0.05), but not maths (z = 0.94, p = 0.17).</w:t>
      </w:r>
    </w:p>
    <w:p w:rsidR="00E6467A" w:rsidRDefault="00E6467A">
      <w:pPr>
        <w:widowControl w:val="0"/>
        <w:spacing w:line="360" w:lineRule="auto"/>
        <w:jc w:val="both"/>
        <w:rPr>
          <w:color w:val="000000"/>
          <w:sz w:val="22"/>
          <w:szCs w:val="22"/>
        </w:rPr>
      </w:pPr>
    </w:p>
    <w:p w:rsidR="00E6467A" w:rsidRDefault="007A5689">
      <w:pPr>
        <w:jc w:val="center"/>
        <w:rPr>
          <w:color w:val="000000"/>
        </w:rPr>
      </w:pPr>
      <w:r>
        <w:rPr>
          <w:color w:val="000000"/>
        </w:rPr>
        <w:lastRenderedPageBreak/>
        <w:t>***Tabl</w:t>
      </w:r>
      <w:r>
        <w:rPr>
          <w:color w:val="000000"/>
        </w:rPr>
        <w:t>e 5 about here***</w:t>
      </w:r>
    </w:p>
    <w:p w:rsidR="00E6467A" w:rsidRDefault="007A5689">
      <w:pPr>
        <w:pStyle w:val="Heading2"/>
        <w:ind w:left="0"/>
      </w:pPr>
      <w:r>
        <w:t>Genetic correlations between AA and related phenotypes</w:t>
      </w:r>
    </w:p>
    <w:p w:rsidR="00E6467A" w:rsidRDefault="00E6467A">
      <w:pPr>
        <w:rPr>
          <w:color w:val="000000"/>
        </w:rPr>
      </w:pPr>
    </w:p>
    <w:p w:rsidR="00E6467A" w:rsidRDefault="007A5689">
      <w:pPr>
        <w:spacing w:line="360" w:lineRule="auto"/>
        <w:jc w:val="both"/>
        <w:rPr>
          <w:color w:val="000000"/>
        </w:rPr>
      </w:pPr>
      <w:r>
        <w:rPr>
          <w:color w:val="000000"/>
          <w:sz w:val="22"/>
          <w:szCs w:val="22"/>
        </w:rPr>
        <w:t xml:space="preserve">We estimated genetic correlations between subject attainment scores and the GWAS summary statistics of 13 cognitive, educational, psychiatric and personality phenotypes available in </w:t>
      </w:r>
      <w:r>
        <w:rPr>
          <w:color w:val="000000"/>
          <w:sz w:val="22"/>
          <w:szCs w:val="22"/>
        </w:rPr>
        <w:t>the LD hub resource for European samples (</w:t>
      </w:r>
      <w:hyperlink r:id="rId7">
        <w:r>
          <w:rPr>
            <w:color w:val="000000"/>
            <w:sz w:val="22"/>
            <w:szCs w:val="22"/>
            <w:u w:val="single"/>
          </w:rPr>
          <w:t>http://ldsc.broadinstitute.org/ldhub/</w:t>
        </w:r>
      </w:hyperlink>
      <w:r>
        <w:rPr>
          <w:color w:val="000000"/>
          <w:sz w:val="22"/>
          <w:szCs w:val="22"/>
        </w:rPr>
        <w:t xml:space="preserve">). </w:t>
      </w:r>
      <w:r>
        <w:rPr>
          <w:b/>
          <w:color w:val="000000"/>
          <w:sz w:val="22"/>
          <w:szCs w:val="22"/>
        </w:rPr>
        <w:t xml:space="preserve">Table 6 </w:t>
      </w:r>
      <w:r>
        <w:rPr>
          <w:color w:val="000000"/>
          <w:sz w:val="22"/>
          <w:szCs w:val="22"/>
        </w:rPr>
        <w:t>shows the magnitude and direction of the genetic relationships for all three academic traits. As expected, ge</w:t>
      </w:r>
      <w:r>
        <w:rPr>
          <w:color w:val="000000"/>
          <w:sz w:val="22"/>
          <w:szCs w:val="22"/>
        </w:rPr>
        <w:t>netic correlations with adult academic attainment (years of schooling) and general intelligence were consistently high and positive (r</w:t>
      </w:r>
      <w:r>
        <w:rPr>
          <w:color w:val="000000"/>
          <w:sz w:val="22"/>
          <w:szCs w:val="22"/>
          <w:vertAlign w:val="subscript"/>
        </w:rPr>
        <w:t xml:space="preserve">g </w:t>
      </w:r>
      <w:r>
        <w:rPr>
          <w:color w:val="000000"/>
          <w:sz w:val="22"/>
          <w:szCs w:val="22"/>
        </w:rPr>
        <w:t>= 0.89 to 1.26). Genetic correlations with personality and psychiatric traits were lower, with some variation across sub</w:t>
      </w:r>
      <w:r>
        <w:rPr>
          <w:color w:val="000000"/>
          <w:sz w:val="22"/>
          <w:szCs w:val="22"/>
        </w:rPr>
        <w:t>jects, although not statistically different after correction (</w:t>
      </w:r>
      <w:r>
        <w:rPr>
          <w:b/>
          <w:color w:val="000000"/>
          <w:sz w:val="22"/>
          <w:szCs w:val="22"/>
        </w:rPr>
        <w:t xml:space="preserve">Supplementary Table S8 </w:t>
      </w:r>
      <w:r>
        <w:rPr>
          <w:color w:val="000000"/>
          <w:sz w:val="22"/>
          <w:szCs w:val="22"/>
        </w:rPr>
        <w:t>for full details).</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center"/>
        <w:rPr>
          <w:color w:val="000000"/>
          <w:sz w:val="22"/>
          <w:szCs w:val="22"/>
        </w:rPr>
      </w:pPr>
      <w:r>
        <w:rPr>
          <w:color w:val="000000"/>
          <w:sz w:val="22"/>
          <w:szCs w:val="22"/>
        </w:rPr>
        <w:t>***Table 6 about here***</w:t>
      </w:r>
    </w:p>
    <w:p w:rsidR="00E6467A" w:rsidRDefault="007A5689">
      <w:pPr>
        <w:pStyle w:val="Heading1"/>
      </w:pPr>
      <w:r>
        <w:t>Discussion</w:t>
      </w:r>
    </w:p>
    <w:p w:rsidR="00E6467A" w:rsidRDefault="00E6467A">
      <w:pPr>
        <w:rPr>
          <w:color w:val="000000"/>
        </w:rPr>
      </w:pPr>
    </w:p>
    <w:p w:rsidR="00E6467A" w:rsidRDefault="007A5689">
      <w:pPr>
        <w:widowControl w:val="0"/>
        <w:spacing w:line="360" w:lineRule="auto"/>
        <w:jc w:val="both"/>
        <w:rPr>
          <w:color w:val="000000"/>
          <w:sz w:val="22"/>
          <w:szCs w:val="22"/>
        </w:rPr>
      </w:pPr>
      <w:r>
        <w:rPr>
          <w:color w:val="000000"/>
          <w:sz w:val="22"/>
          <w:szCs w:val="22"/>
        </w:rPr>
        <w:t>This study reports the first GWAS of science attainment and the largest published GWAS of maths and English attain</w:t>
      </w:r>
      <w:r>
        <w:rPr>
          <w:color w:val="000000"/>
          <w:sz w:val="22"/>
          <w:szCs w:val="22"/>
        </w:rPr>
        <w:t>ment using national standardised tests. The current dominant framework for assessing the genetic contributions to variance in academic attainment and its relationship to other outcomes uses a broad measure of attainment</w:t>
      </w:r>
      <w:r>
        <w:rPr>
          <w:color w:val="000000"/>
          <w:sz w:val="22"/>
          <w:szCs w:val="22"/>
          <w:vertAlign w:val="superscript"/>
        </w:rPr>
        <w:t>11</w:t>
      </w:r>
      <w:r>
        <w:rPr>
          <w:color w:val="000000"/>
          <w:sz w:val="22"/>
          <w:szCs w:val="22"/>
        </w:rPr>
        <w:t xml:space="preserve">, which prevents interpretation of </w:t>
      </w:r>
      <w:r>
        <w:rPr>
          <w:color w:val="000000"/>
          <w:sz w:val="22"/>
          <w:szCs w:val="22"/>
        </w:rPr>
        <w:t>the specificity of the relationships identified.  We sought to overcome this issue by differentiating between performance in the academic subjects of English, maths and science using national standardised tests of performance to investigate the degree of g</w:t>
      </w:r>
      <w:r>
        <w:rPr>
          <w:color w:val="000000"/>
          <w:sz w:val="22"/>
          <w:szCs w:val="22"/>
        </w:rPr>
        <w:t>enetic specificity and overlap with other cognitive, educational, psychiatric and personality traits.  Despite clear evidence for the role of general mechanisms in building the brain, the brain also supports different functional operations (e.g. counting v</w:t>
      </w:r>
      <w:r>
        <w:rPr>
          <w:color w:val="000000"/>
          <w:sz w:val="22"/>
          <w:szCs w:val="22"/>
        </w:rPr>
        <w:t>s reading), which must be supported by a degree of genetic specificity. To understand these mechanisms better, analyses of more specific phenotypes are needed.</w:t>
      </w:r>
    </w:p>
    <w:p w:rsidR="00E6467A" w:rsidRDefault="00E6467A">
      <w:pPr>
        <w:widowControl w:val="0"/>
        <w:spacing w:line="360" w:lineRule="auto"/>
        <w:jc w:val="both"/>
        <w:rPr>
          <w:color w:val="000000"/>
          <w:sz w:val="22"/>
          <w:szCs w:val="22"/>
        </w:rPr>
      </w:pPr>
    </w:p>
    <w:p w:rsidR="00E6467A" w:rsidRDefault="007A5689">
      <w:pPr>
        <w:pBdr>
          <w:top w:val="nil"/>
          <w:left w:val="nil"/>
          <w:bottom w:val="nil"/>
          <w:right w:val="nil"/>
          <w:between w:val="nil"/>
        </w:pBdr>
        <w:spacing w:line="360" w:lineRule="auto"/>
        <w:jc w:val="both"/>
        <w:rPr>
          <w:rFonts w:ascii="Cambria" w:eastAsia="Cambria" w:hAnsi="Cambria" w:cs="Cambria"/>
          <w:color w:val="000000"/>
          <w:sz w:val="22"/>
          <w:szCs w:val="22"/>
        </w:rPr>
      </w:pPr>
      <w:r>
        <w:rPr>
          <w:rFonts w:ascii="Cambria" w:eastAsia="Cambria" w:hAnsi="Cambria" w:cs="Cambria"/>
          <w:color w:val="000000"/>
          <w:sz w:val="22"/>
          <w:szCs w:val="22"/>
        </w:rPr>
        <w:t xml:space="preserve">The three GWAS of maths, science and English found one genome-wide significant independent SNP </w:t>
      </w:r>
      <w:r>
        <w:rPr>
          <w:rFonts w:ascii="Cambria" w:eastAsia="Cambria" w:hAnsi="Cambria" w:cs="Cambria"/>
          <w:color w:val="000000"/>
          <w:sz w:val="22"/>
          <w:szCs w:val="22"/>
        </w:rPr>
        <w:t xml:space="preserve">(rs9529641) associated with science attainment.  Rs9529641 is not an expression quantitative trait loci, i.e. it does not influence gene expression, but the nearby gene </w:t>
      </w:r>
      <w:r>
        <w:rPr>
          <w:rFonts w:ascii="Cambria" w:eastAsia="Cambria" w:hAnsi="Cambria" w:cs="Cambria"/>
          <w:i/>
          <w:color w:val="000000"/>
          <w:sz w:val="22"/>
          <w:szCs w:val="22"/>
        </w:rPr>
        <w:t>NBEA</w:t>
      </w:r>
      <w:r>
        <w:rPr>
          <w:rFonts w:ascii="Cambria" w:eastAsia="Cambria" w:hAnsi="Cambria" w:cs="Cambria"/>
          <w:color w:val="000000"/>
          <w:sz w:val="22"/>
          <w:szCs w:val="22"/>
        </w:rPr>
        <w:t xml:space="preserve"> is largely expressed in the brain, and </w:t>
      </w:r>
      <w:r>
        <w:rPr>
          <w:rFonts w:ascii="Cambria" w:eastAsia="Cambria" w:hAnsi="Cambria" w:cs="Cambria"/>
          <w:i/>
          <w:color w:val="000000"/>
          <w:sz w:val="22"/>
          <w:szCs w:val="22"/>
        </w:rPr>
        <w:t>de novo</w:t>
      </w:r>
      <w:r>
        <w:rPr>
          <w:rFonts w:ascii="Cambria" w:eastAsia="Cambria" w:hAnsi="Cambria" w:cs="Cambria"/>
          <w:color w:val="000000"/>
          <w:sz w:val="22"/>
          <w:szCs w:val="22"/>
        </w:rPr>
        <w:t xml:space="preserve"> variants in </w:t>
      </w:r>
      <w:r>
        <w:rPr>
          <w:rFonts w:ascii="Cambria" w:eastAsia="Cambria" w:hAnsi="Cambria" w:cs="Cambria"/>
          <w:i/>
          <w:color w:val="000000"/>
          <w:sz w:val="22"/>
          <w:szCs w:val="22"/>
        </w:rPr>
        <w:t>NBEA</w:t>
      </w:r>
      <w:r>
        <w:rPr>
          <w:rFonts w:ascii="Cambria" w:eastAsia="Cambria" w:hAnsi="Cambria" w:cs="Cambria"/>
          <w:color w:val="000000"/>
          <w:sz w:val="22"/>
          <w:szCs w:val="22"/>
        </w:rPr>
        <w:t xml:space="preserve">  have been reported in neurodevelopmental cohorts</w:t>
      </w:r>
      <w:r>
        <w:rPr>
          <w:rFonts w:ascii="Cambria" w:eastAsia="Cambria" w:hAnsi="Cambria" w:cs="Cambria"/>
          <w:color w:val="000000"/>
          <w:sz w:val="22"/>
          <w:szCs w:val="22"/>
          <w:vertAlign w:val="superscript"/>
        </w:rPr>
        <w:t>28</w:t>
      </w:r>
      <w:r>
        <w:rPr>
          <w:rFonts w:ascii="Cambria" w:eastAsia="Cambria" w:hAnsi="Cambria" w:cs="Cambria"/>
          <w:color w:val="000000"/>
          <w:sz w:val="22"/>
          <w:szCs w:val="22"/>
        </w:rPr>
        <w:t>.  Rs9529641 was also nominally associated with maths (p = 0.0001), but not English (p = 0.011) leaving open the possibility that the difference in p-values between the subjects is due to chance and the s</w:t>
      </w:r>
      <w:r>
        <w:rPr>
          <w:rFonts w:ascii="Cambria" w:eastAsia="Cambria" w:hAnsi="Cambria" w:cs="Cambria"/>
          <w:color w:val="000000"/>
          <w:sz w:val="22"/>
          <w:szCs w:val="22"/>
        </w:rPr>
        <w:t xml:space="preserve">lightly different sample sizes, however the significant differences in effect sizes suggests otherwise.   </w:t>
      </w:r>
      <w:r>
        <w:rPr>
          <w:rFonts w:ascii="Cambria" w:eastAsia="Cambria" w:hAnsi="Cambria" w:cs="Cambria"/>
          <w:color w:val="000000"/>
          <w:sz w:val="22"/>
          <w:szCs w:val="22"/>
        </w:rPr>
        <w:lastRenderedPageBreak/>
        <w:t>rs9529641 also reaches p</w:t>
      </w:r>
      <m:oMath>
        <m:r>
          <w:rPr>
            <w:rFonts w:ascii="Cambria Math" w:eastAsia="Cambria Math" w:hAnsi="Cambria Math" w:cs="Cambria Math"/>
            <w:color w:val="000000"/>
            <w:sz w:val="22"/>
            <w:szCs w:val="22"/>
          </w:rPr>
          <m:t xml:space="preserve"> ≤</m:t>
        </m:r>
      </m:oMath>
      <w:r>
        <w:rPr>
          <w:rFonts w:ascii="Cambria" w:eastAsia="Cambria" w:hAnsi="Cambria" w:cs="Cambria"/>
          <w:color w:val="000000"/>
          <w:sz w:val="22"/>
          <w:szCs w:val="22"/>
        </w:rPr>
        <w:t xml:space="preserve"> 0.001 in both the EduYrs3</w:t>
      </w:r>
      <w:r>
        <w:rPr>
          <w:rFonts w:ascii="Cambria" w:eastAsia="Cambria" w:hAnsi="Cambria" w:cs="Cambria"/>
          <w:color w:val="000000"/>
          <w:sz w:val="22"/>
          <w:szCs w:val="22"/>
          <w:vertAlign w:val="superscript"/>
        </w:rPr>
        <w:t>11</w:t>
      </w:r>
      <w:r>
        <w:rPr>
          <w:rFonts w:ascii="Cambria" w:eastAsia="Cambria" w:hAnsi="Cambria" w:cs="Cambria"/>
          <w:color w:val="000000"/>
          <w:sz w:val="22"/>
          <w:szCs w:val="22"/>
        </w:rPr>
        <w:t xml:space="preserve"> and Intelligence</w:t>
      </w:r>
      <w:r>
        <w:rPr>
          <w:rFonts w:ascii="Cambria" w:eastAsia="Cambria" w:hAnsi="Cambria" w:cs="Cambria"/>
          <w:color w:val="000000"/>
          <w:sz w:val="22"/>
          <w:szCs w:val="22"/>
          <w:vertAlign w:val="superscript"/>
        </w:rPr>
        <w:t>25</w:t>
      </w:r>
      <w:r>
        <w:rPr>
          <w:rFonts w:ascii="Cambria" w:eastAsia="Cambria" w:hAnsi="Cambria" w:cs="Cambria"/>
          <w:color w:val="000000"/>
          <w:sz w:val="22"/>
          <w:szCs w:val="22"/>
        </w:rPr>
        <w:t xml:space="preserve"> large GWAS meta-analyses.  Furthermore, after regressing out variance explai</w:t>
      </w:r>
      <w:r>
        <w:rPr>
          <w:rFonts w:ascii="Cambria" w:eastAsia="Cambria" w:hAnsi="Cambria" w:cs="Cambria"/>
          <w:color w:val="000000"/>
          <w:sz w:val="22"/>
          <w:szCs w:val="22"/>
        </w:rPr>
        <w:t>ned by performance in the other two academic subjects, this association remained significant and specific to science. What predicts variance in science academic achievement is an understudied topic compared to mathematics and English. Research to-date sugg</w:t>
      </w:r>
      <w:r>
        <w:rPr>
          <w:rFonts w:ascii="Cambria" w:eastAsia="Cambria" w:hAnsi="Cambria" w:cs="Cambria"/>
          <w:color w:val="000000"/>
          <w:sz w:val="22"/>
          <w:szCs w:val="22"/>
        </w:rPr>
        <w:t xml:space="preserve">ests a pattern similar to the genetic results found here, with considerable similarities but also some subtle differences in the patterns of association with executive function skills, vocabulary and IQ </w:t>
      </w:r>
      <w:r>
        <w:rPr>
          <w:color w:val="000000"/>
          <w:sz w:val="22"/>
          <w:szCs w:val="22"/>
          <w:vertAlign w:val="superscript"/>
        </w:rPr>
        <w:t>14,29</w:t>
      </w:r>
      <w:r>
        <w:rPr>
          <w:rFonts w:ascii="Cambria" w:eastAsia="Cambria" w:hAnsi="Cambria" w:cs="Cambria"/>
          <w:color w:val="000000"/>
          <w:sz w:val="22"/>
          <w:szCs w:val="22"/>
        </w:rPr>
        <w:t>. There is some evidence that science achievemen</w:t>
      </w:r>
      <w:r>
        <w:rPr>
          <w:rFonts w:ascii="Cambria" w:eastAsia="Cambria" w:hAnsi="Cambria" w:cs="Cambria"/>
          <w:color w:val="000000"/>
          <w:sz w:val="22"/>
          <w:szCs w:val="22"/>
        </w:rPr>
        <w:t xml:space="preserve">t may be more dependent than mathematics or English on central executive working memory processes and more complex aspects of EF, such as planning </w:t>
      </w:r>
      <w:r>
        <w:rPr>
          <w:color w:val="000000"/>
          <w:sz w:val="22"/>
          <w:szCs w:val="22"/>
          <w:vertAlign w:val="superscript"/>
        </w:rPr>
        <w:t>29,30</w:t>
      </w:r>
      <w:r>
        <w:rPr>
          <w:rFonts w:ascii="Cambria" w:eastAsia="Cambria" w:hAnsi="Cambria" w:cs="Cambria"/>
          <w:color w:val="000000"/>
          <w:sz w:val="22"/>
          <w:szCs w:val="22"/>
        </w:rPr>
        <w:t>.  When regressing out IQ, the science association with rs9529641 was not significant after correction f</w:t>
      </w:r>
      <w:r>
        <w:rPr>
          <w:rFonts w:ascii="Cambria" w:eastAsia="Cambria" w:hAnsi="Cambria" w:cs="Cambria"/>
          <w:color w:val="000000"/>
          <w:sz w:val="22"/>
          <w:szCs w:val="22"/>
        </w:rPr>
        <w:t xml:space="preserve">or multiple testing, </w:t>
      </w:r>
      <w:r>
        <w:rPr>
          <w:rFonts w:ascii="Cambria" w:eastAsia="Cambria" w:hAnsi="Cambria" w:cs="Cambria"/>
          <w:color w:val="000000"/>
          <w:sz w:val="22"/>
          <w:szCs w:val="22"/>
          <w:highlight w:val="yellow"/>
        </w:rPr>
        <w:t xml:space="preserve">however the effect size remained the same. </w:t>
      </w:r>
      <w:r>
        <w:rPr>
          <w:rFonts w:ascii="Cambria" w:eastAsia="Cambria" w:hAnsi="Cambria" w:cs="Cambria"/>
          <w:color w:val="000000"/>
          <w:sz w:val="22"/>
          <w:szCs w:val="22"/>
        </w:rPr>
        <w:t>Although the SNP association with science failed to replicate in the independent Twins Early Development Study (TEDS) sample, we note the relatively small TEDS sample and that the TEDS attainm</w:t>
      </w:r>
      <w:r>
        <w:rPr>
          <w:rFonts w:ascii="Cambria" w:eastAsia="Cambria" w:hAnsi="Cambria" w:cs="Cambria"/>
          <w:color w:val="000000"/>
          <w:sz w:val="22"/>
          <w:szCs w:val="22"/>
        </w:rPr>
        <w:t>ent measures were based on teacher ratings and not standardised across participants.</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 xml:space="preserve">Gene-based association analyses identified four genes associated with attainment in science, but none for maths or English. The strongest signal came from the </w:t>
      </w:r>
      <w:r>
        <w:rPr>
          <w:i/>
          <w:color w:val="000000"/>
          <w:sz w:val="22"/>
          <w:szCs w:val="22"/>
        </w:rPr>
        <w:t>MEF2C</w:t>
      </w:r>
      <w:r>
        <w:rPr>
          <w:color w:val="000000"/>
          <w:sz w:val="22"/>
          <w:szCs w:val="22"/>
        </w:rPr>
        <w:t xml:space="preserve"> gene, which also shows strong evidence of association in the EduYrs3 and Intelligence GWAS studies. Notably, studies looking at general cognitive ability have sought </w:t>
      </w:r>
      <w:r>
        <w:rPr>
          <w:i/>
          <w:color w:val="000000"/>
          <w:sz w:val="22"/>
          <w:szCs w:val="22"/>
        </w:rPr>
        <w:t>MEF2C</w:t>
      </w:r>
      <w:r>
        <w:rPr>
          <w:color w:val="000000"/>
          <w:sz w:val="22"/>
          <w:szCs w:val="22"/>
        </w:rPr>
        <w:t xml:space="preserve"> associations in hypothesis driven tests </w:t>
      </w:r>
      <w:r>
        <w:rPr>
          <w:color w:val="000000"/>
          <w:sz w:val="22"/>
          <w:szCs w:val="22"/>
          <w:vertAlign w:val="superscript"/>
        </w:rPr>
        <w:t>31</w:t>
      </w:r>
      <w:r>
        <w:rPr>
          <w:color w:val="000000"/>
          <w:sz w:val="22"/>
          <w:szCs w:val="22"/>
        </w:rPr>
        <w:t xml:space="preserve"> and more recently it has been associated</w:t>
      </w:r>
      <w:r>
        <w:rPr>
          <w:color w:val="000000"/>
          <w:sz w:val="22"/>
          <w:szCs w:val="22"/>
        </w:rPr>
        <w:t xml:space="preserve"> with a large meta-analysis of intelligence and years in education</w:t>
      </w:r>
      <w:r>
        <w:rPr>
          <w:color w:val="000000"/>
          <w:sz w:val="22"/>
          <w:szCs w:val="22"/>
          <w:vertAlign w:val="superscript"/>
        </w:rPr>
        <w:t>32</w:t>
      </w:r>
      <w:r>
        <w:rPr>
          <w:color w:val="000000"/>
          <w:sz w:val="22"/>
          <w:szCs w:val="22"/>
        </w:rPr>
        <w:t xml:space="preserve"> and the largest depression GWAS to date</w:t>
      </w:r>
      <w:r>
        <w:rPr>
          <w:color w:val="000000"/>
          <w:sz w:val="22"/>
          <w:szCs w:val="22"/>
          <w:vertAlign w:val="superscript"/>
        </w:rPr>
        <w:t>33</w:t>
      </w:r>
      <w:r>
        <w:rPr>
          <w:color w:val="000000"/>
          <w:sz w:val="22"/>
          <w:szCs w:val="22"/>
        </w:rPr>
        <w:t xml:space="preserve">.  </w:t>
      </w:r>
      <w:r>
        <w:rPr>
          <w:i/>
          <w:color w:val="000000"/>
          <w:sz w:val="22"/>
          <w:szCs w:val="22"/>
        </w:rPr>
        <w:t>MEF2C</w:t>
      </w:r>
      <w:r>
        <w:rPr>
          <w:color w:val="000000"/>
          <w:sz w:val="22"/>
          <w:szCs w:val="22"/>
        </w:rPr>
        <w:t>, located on chromosome 5, has been linked to synaptic plasticity, memory and learning</w:t>
      </w:r>
      <w:r>
        <w:rPr>
          <w:color w:val="000000"/>
          <w:sz w:val="22"/>
          <w:szCs w:val="22"/>
          <w:vertAlign w:val="superscript"/>
        </w:rPr>
        <w:t>34</w:t>
      </w:r>
      <w:r>
        <w:rPr>
          <w:color w:val="000000"/>
          <w:sz w:val="22"/>
          <w:szCs w:val="22"/>
        </w:rPr>
        <w:t>. It is primarily expressed in the brain and haplo</w:t>
      </w:r>
      <w:r>
        <w:rPr>
          <w:color w:val="000000"/>
          <w:sz w:val="22"/>
          <w:szCs w:val="22"/>
        </w:rPr>
        <w:t xml:space="preserve">insufficiency of </w:t>
      </w:r>
      <w:r>
        <w:rPr>
          <w:i/>
          <w:color w:val="000000"/>
          <w:sz w:val="22"/>
          <w:szCs w:val="22"/>
        </w:rPr>
        <w:t>MEF2C</w:t>
      </w:r>
      <w:r>
        <w:rPr>
          <w:color w:val="000000"/>
          <w:sz w:val="22"/>
          <w:szCs w:val="22"/>
        </w:rPr>
        <w:t xml:space="preserve"> is associated with severe cognitive impairment, stereotypic movements, epilepsy and cerebral malformation</w:t>
      </w:r>
      <w:r>
        <w:rPr>
          <w:color w:val="000000"/>
          <w:sz w:val="22"/>
          <w:szCs w:val="22"/>
          <w:vertAlign w:val="superscript"/>
        </w:rPr>
        <w:t>35</w:t>
      </w:r>
      <w:r>
        <w:rPr>
          <w:color w:val="000000"/>
          <w:sz w:val="22"/>
          <w:szCs w:val="22"/>
        </w:rPr>
        <w:t>. Evidence from animal models also suggests that it is involved in the development of memory and the consolidation of informat</w:t>
      </w:r>
      <w:r>
        <w:rPr>
          <w:color w:val="000000"/>
          <w:sz w:val="22"/>
          <w:szCs w:val="22"/>
        </w:rPr>
        <w:t>ion</w:t>
      </w:r>
      <w:r>
        <w:rPr>
          <w:color w:val="000000"/>
          <w:sz w:val="22"/>
          <w:szCs w:val="22"/>
          <w:vertAlign w:val="superscript"/>
        </w:rPr>
        <w:t>34</w:t>
      </w:r>
      <w:r>
        <w:rPr>
          <w:color w:val="000000"/>
          <w:sz w:val="22"/>
          <w:szCs w:val="22"/>
        </w:rPr>
        <w:t xml:space="preserve">. Over-expression of </w:t>
      </w:r>
      <w:r>
        <w:rPr>
          <w:i/>
          <w:color w:val="000000"/>
          <w:sz w:val="22"/>
          <w:szCs w:val="22"/>
        </w:rPr>
        <w:t>MEF2C</w:t>
      </w:r>
      <w:r>
        <w:rPr>
          <w:color w:val="000000"/>
          <w:sz w:val="22"/>
          <w:szCs w:val="22"/>
        </w:rPr>
        <w:t xml:space="preserve"> has also been implicated in poor developmental and cognitive outcomes</w:t>
      </w:r>
      <w:r>
        <w:rPr>
          <w:color w:val="000000"/>
          <w:sz w:val="22"/>
          <w:szCs w:val="22"/>
          <w:vertAlign w:val="superscript"/>
        </w:rPr>
        <w:t>36,37</w:t>
      </w:r>
      <w:r>
        <w:rPr>
          <w:color w:val="000000"/>
          <w:sz w:val="22"/>
          <w:szCs w:val="22"/>
        </w:rPr>
        <w:t xml:space="preserve"> and it has been associated with Alzheimer’s disease</w:t>
      </w:r>
      <w:r>
        <w:rPr>
          <w:color w:val="000000"/>
          <w:sz w:val="22"/>
          <w:szCs w:val="22"/>
          <w:vertAlign w:val="superscript"/>
        </w:rPr>
        <w:t>38</w:t>
      </w:r>
      <w:r>
        <w:rPr>
          <w:color w:val="000000"/>
          <w:sz w:val="22"/>
          <w:szCs w:val="22"/>
        </w:rPr>
        <w:t>.  Again, given its apparently more general role in cognition, and the lower but not trivial ass</w:t>
      </w:r>
      <w:r>
        <w:rPr>
          <w:color w:val="000000"/>
          <w:sz w:val="22"/>
          <w:szCs w:val="22"/>
        </w:rPr>
        <w:t>ociations with maths (p = 5.12 x 10</w:t>
      </w:r>
      <w:r>
        <w:rPr>
          <w:color w:val="000000"/>
          <w:sz w:val="22"/>
          <w:szCs w:val="22"/>
          <w:vertAlign w:val="superscript"/>
        </w:rPr>
        <w:t>-6</w:t>
      </w:r>
      <w:r>
        <w:rPr>
          <w:color w:val="000000"/>
          <w:sz w:val="22"/>
          <w:szCs w:val="22"/>
        </w:rPr>
        <w:t>) and English (p = 9.76 x 10</w:t>
      </w:r>
      <w:r>
        <w:rPr>
          <w:color w:val="000000"/>
          <w:sz w:val="22"/>
          <w:szCs w:val="22"/>
          <w:vertAlign w:val="superscript"/>
        </w:rPr>
        <w:t>-5</w:t>
      </w:r>
      <w:r>
        <w:rPr>
          <w:color w:val="000000"/>
          <w:sz w:val="22"/>
          <w:szCs w:val="22"/>
        </w:rPr>
        <w:t xml:space="preserve">), we are not suggesting </w:t>
      </w:r>
      <w:r>
        <w:rPr>
          <w:i/>
          <w:color w:val="000000"/>
          <w:sz w:val="22"/>
          <w:szCs w:val="22"/>
        </w:rPr>
        <w:t>MEF2C</w:t>
      </w:r>
      <w:r>
        <w:rPr>
          <w:color w:val="000000"/>
          <w:sz w:val="22"/>
          <w:szCs w:val="22"/>
        </w:rPr>
        <w:t xml:space="preserve"> is a science specific gene.  Rather, we suggest there may be evidence for a ‘dosage effect’, where the brain mechanisms that are built through the </w:t>
      </w:r>
      <w:r>
        <w:rPr>
          <w:i/>
          <w:color w:val="000000"/>
          <w:sz w:val="22"/>
          <w:szCs w:val="22"/>
        </w:rPr>
        <w:t>MEFC2</w:t>
      </w:r>
      <w:r>
        <w:rPr>
          <w:color w:val="000000"/>
          <w:sz w:val="22"/>
          <w:szCs w:val="22"/>
        </w:rPr>
        <w:t xml:space="preserve"> gene </w:t>
      </w:r>
      <w:r>
        <w:rPr>
          <w:color w:val="000000"/>
          <w:sz w:val="22"/>
          <w:szCs w:val="22"/>
        </w:rPr>
        <w:t>may explain more variance in science than in English and maths.</w:t>
      </w:r>
      <w:r>
        <w:rPr>
          <w:color w:val="000000"/>
          <w:sz w:val="22"/>
          <w:szCs w:val="22"/>
          <w:highlight w:val="yellow"/>
        </w:rPr>
        <w:t xml:space="preserve">  A similar effect may be at play with the SNP association with rs9529641, where the mechanism linked to this SNP leads to greater individual differences in science than in English and maths.</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bookmarkStart w:id="2" w:name="_30j0zll" w:colFirst="0" w:colLast="0"/>
      <w:bookmarkEnd w:id="2"/>
      <w:r>
        <w:rPr>
          <w:color w:val="000000"/>
          <w:sz w:val="22"/>
          <w:szCs w:val="22"/>
        </w:rPr>
        <w:lastRenderedPageBreak/>
        <w:t xml:space="preserve">The second most strongly associated gene was </w:t>
      </w:r>
      <w:r>
        <w:rPr>
          <w:i/>
          <w:color w:val="000000"/>
          <w:sz w:val="22"/>
          <w:szCs w:val="22"/>
        </w:rPr>
        <w:t>BRINP1</w:t>
      </w:r>
      <w:r>
        <w:rPr>
          <w:color w:val="000000"/>
          <w:sz w:val="22"/>
          <w:szCs w:val="22"/>
        </w:rPr>
        <w:t xml:space="preserve">, which is also primarily expressed in the brain, and is involved in protein binding. </w:t>
      </w:r>
      <w:r>
        <w:rPr>
          <w:i/>
          <w:color w:val="000000"/>
          <w:sz w:val="22"/>
          <w:szCs w:val="22"/>
        </w:rPr>
        <w:t>BRINP1</w:t>
      </w:r>
      <w:r>
        <w:rPr>
          <w:color w:val="000000"/>
          <w:sz w:val="22"/>
          <w:szCs w:val="22"/>
        </w:rPr>
        <w:t xml:space="preserve"> has been involved in a wide range of processes related to cognition and behaviour </w:t>
      </w:r>
      <w:r>
        <w:rPr>
          <w:color w:val="000000"/>
          <w:sz w:val="22"/>
          <w:szCs w:val="22"/>
          <w:vertAlign w:val="superscript"/>
        </w:rPr>
        <w:t>39,40</w:t>
      </w:r>
      <w:r>
        <w:rPr>
          <w:color w:val="000000"/>
          <w:sz w:val="22"/>
          <w:szCs w:val="22"/>
        </w:rPr>
        <w:t>.  The final two associat</w:t>
      </w:r>
      <w:r>
        <w:rPr>
          <w:color w:val="000000"/>
          <w:sz w:val="22"/>
          <w:szCs w:val="22"/>
        </w:rPr>
        <w:t xml:space="preserve">ed genes were </w:t>
      </w:r>
      <w:r>
        <w:rPr>
          <w:i/>
          <w:color w:val="000000"/>
          <w:sz w:val="22"/>
          <w:szCs w:val="22"/>
        </w:rPr>
        <w:t>S100A1</w:t>
      </w:r>
      <w:r>
        <w:rPr>
          <w:color w:val="000000"/>
          <w:sz w:val="22"/>
          <w:szCs w:val="22"/>
        </w:rPr>
        <w:t xml:space="preserve"> and </w:t>
      </w:r>
      <w:r>
        <w:rPr>
          <w:i/>
          <w:color w:val="000000"/>
          <w:sz w:val="22"/>
          <w:szCs w:val="22"/>
        </w:rPr>
        <w:t>S100A13</w:t>
      </w:r>
      <w:r>
        <w:rPr>
          <w:color w:val="000000"/>
          <w:sz w:val="22"/>
          <w:szCs w:val="22"/>
        </w:rPr>
        <w:t>, both of which are members of the S100 protein family that encode calcium binding proteins and are involved in the regulation of a wide range of intra- and extracellular processes. These include cell cycle progression, diff</w:t>
      </w:r>
      <w:r>
        <w:rPr>
          <w:color w:val="000000"/>
          <w:sz w:val="22"/>
          <w:szCs w:val="22"/>
        </w:rPr>
        <w:t>erentiation and possibly stimulation of Ca</w:t>
      </w:r>
      <w:r>
        <w:rPr>
          <w:color w:val="000000"/>
          <w:sz w:val="22"/>
          <w:szCs w:val="22"/>
          <w:vertAlign w:val="superscript"/>
        </w:rPr>
        <w:t>2+</w:t>
      </w:r>
      <w:r>
        <w:rPr>
          <w:color w:val="000000"/>
          <w:sz w:val="22"/>
          <w:szCs w:val="22"/>
        </w:rPr>
        <w:t xml:space="preserve"> release</w:t>
      </w:r>
      <w:r>
        <w:rPr>
          <w:color w:val="000000"/>
          <w:sz w:val="22"/>
          <w:szCs w:val="22"/>
          <w:vertAlign w:val="superscript"/>
        </w:rPr>
        <w:t>41,42</w:t>
      </w:r>
      <w:r>
        <w:rPr>
          <w:color w:val="000000"/>
          <w:sz w:val="22"/>
          <w:szCs w:val="22"/>
        </w:rPr>
        <w:t xml:space="preserve">. </w:t>
      </w:r>
      <w:r>
        <w:rPr>
          <w:color w:val="000000"/>
          <w:sz w:val="22"/>
          <w:szCs w:val="22"/>
          <w:highlight w:val="yellow"/>
        </w:rPr>
        <w:t xml:space="preserve">After correction for multiple testing, none of the four genes were significantly associated with science after regressing out variance explained by maths and English or IQ.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SNP-based heritability</w:t>
      </w:r>
      <w:r>
        <w:rPr>
          <w:color w:val="000000"/>
          <w:sz w:val="22"/>
          <w:szCs w:val="22"/>
        </w:rPr>
        <w:t xml:space="preserve"> estimates were moderate for all three subjects, and substantially closer to the twin-based heritability estimates of 65% for maths (h</w:t>
      </w:r>
      <w:r>
        <w:rPr>
          <w:color w:val="000000"/>
          <w:sz w:val="22"/>
          <w:szCs w:val="22"/>
          <w:vertAlign w:val="superscript"/>
        </w:rPr>
        <w:t>2</w:t>
      </w:r>
      <w:r>
        <w:rPr>
          <w:color w:val="000000"/>
          <w:sz w:val="22"/>
          <w:szCs w:val="22"/>
          <w:vertAlign w:val="subscript"/>
        </w:rPr>
        <w:t>SNP</w:t>
      </w:r>
      <w:r>
        <w:rPr>
          <w:color w:val="000000"/>
          <w:sz w:val="22"/>
          <w:szCs w:val="22"/>
        </w:rPr>
        <w:t xml:space="preserve"> = 47%) and 54% for science (h</w:t>
      </w:r>
      <w:r>
        <w:rPr>
          <w:color w:val="000000"/>
          <w:sz w:val="22"/>
          <w:szCs w:val="22"/>
          <w:vertAlign w:val="superscript"/>
        </w:rPr>
        <w:t>2</w:t>
      </w:r>
      <w:r>
        <w:rPr>
          <w:color w:val="000000"/>
          <w:sz w:val="22"/>
          <w:szCs w:val="22"/>
          <w:vertAlign w:val="subscript"/>
        </w:rPr>
        <w:t>SNP</w:t>
      </w:r>
      <w:r>
        <w:rPr>
          <w:color w:val="000000"/>
          <w:sz w:val="22"/>
          <w:szCs w:val="22"/>
        </w:rPr>
        <w:t xml:space="preserve"> = 54%)</w:t>
      </w:r>
      <w:r>
        <w:rPr>
          <w:color w:val="000000"/>
          <w:sz w:val="22"/>
          <w:szCs w:val="22"/>
          <w:vertAlign w:val="superscript"/>
        </w:rPr>
        <w:t>15</w:t>
      </w:r>
      <w:r>
        <w:rPr>
          <w:color w:val="000000"/>
          <w:sz w:val="22"/>
          <w:szCs w:val="22"/>
        </w:rPr>
        <w:t xml:space="preserve"> than is often the case with DNA-based estimates (e.g. maths ability h</w:t>
      </w:r>
      <w:r>
        <w:rPr>
          <w:color w:val="000000"/>
          <w:sz w:val="22"/>
          <w:szCs w:val="22"/>
          <w:vertAlign w:val="superscript"/>
        </w:rPr>
        <w:t>2</w:t>
      </w:r>
      <w:r>
        <w:rPr>
          <w:color w:val="000000"/>
          <w:sz w:val="22"/>
          <w:szCs w:val="22"/>
          <w:vertAlign w:val="subscript"/>
        </w:rPr>
        <w:t>SNP</w:t>
      </w:r>
      <w:r>
        <w:rPr>
          <w:color w:val="000000"/>
          <w:sz w:val="22"/>
          <w:szCs w:val="22"/>
        </w:rPr>
        <w:t xml:space="preserve"> </w:t>
      </w:r>
      <w:r>
        <w:rPr>
          <w:color w:val="000000"/>
          <w:sz w:val="22"/>
          <w:szCs w:val="22"/>
        </w:rPr>
        <w:t>= 0.16</w:t>
      </w:r>
      <w:r>
        <w:rPr>
          <w:color w:val="000000"/>
          <w:sz w:val="22"/>
          <w:szCs w:val="22"/>
          <w:vertAlign w:val="superscript"/>
        </w:rPr>
        <w:t>11</w:t>
      </w:r>
      <w:r>
        <w:rPr>
          <w:color w:val="000000"/>
          <w:sz w:val="22"/>
          <w:szCs w:val="22"/>
        </w:rPr>
        <w:t>). This is unusual because twin estimates capture all additive genetic effects that contribute to a phenotype, whereas GWAS estimates include only additive effects of common SNPs.  These high estimates might be driven by the homogenous nature of th</w:t>
      </w:r>
      <w:r>
        <w:rPr>
          <w:color w:val="000000"/>
          <w:sz w:val="22"/>
          <w:szCs w:val="22"/>
        </w:rPr>
        <w:t>e sample, both environmentally and ancestrally, as well as the use of a standardised assessment of academic ability.  Moreover, they suggest that the majority, if not all, of the genetic variance contributing to individual differences in academic attainmen</w:t>
      </w:r>
      <w:r>
        <w:rPr>
          <w:color w:val="000000"/>
          <w:sz w:val="22"/>
          <w:szCs w:val="22"/>
        </w:rPr>
        <w:t xml:space="preserve">t in adolescence comes from the additive effects of common, rather than rare, genetic variation.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We found a significant overlap of common genetic variants influencing variability in the three academic subjects, indicated by the large, but significantly s</w:t>
      </w:r>
      <w:r>
        <w:rPr>
          <w:color w:val="000000"/>
          <w:sz w:val="22"/>
          <w:szCs w:val="22"/>
        </w:rPr>
        <w:t>maller than 1, genetic correlations (r</w:t>
      </w:r>
      <w:r>
        <w:rPr>
          <w:color w:val="000000"/>
          <w:sz w:val="22"/>
          <w:szCs w:val="22"/>
          <w:vertAlign w:val="subscript"/>
        </w:rPr>
        <w:t>g</w:t>
      </w:r>
      <w:r>
        <w:rPr>
          <w:color w:val="000000"/>
          <w:sz w:val="22"/>
          <w:szCs w:val="22"/>
        </w:rPr>
        <w:t xml:space="preserve"> = 0.62 - 0.75).  The degree of specificity estimated by looking at genetic correlations using LDscore indicate a moderate to small but potentially informative degree of specificity.  In order to confirm this, we perf</w:t>
      </w:r>
      <w:r>
        <w:rPr>
          <w:color w:val="000000"/>
          <w:sz w:val="22"/>
          <w:szCs w:val="22"/>
        </w:rPr>
        <w:t>ormed further GWA analyses of each subject with the variance of the other two subjects removed and the same controlling for IQ.  Maths and science maintained heritability significantly higher than 0 in both instances.  Interestingly the IQ regressed measur</w:t>
      </w:r>
      <w:r>
        <w:rPr>
          <w:color w:val="000000"/>
          <w:sz w:val="22"/>
          <w:szCs w:val="22"/>
        </w:rPr>
        <w:t xml:space="preserve">es retained more heritability than the AA regressed measures suggesting that the subject attainment measures shared more heritable variance with each other than with IQ.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bookmarkStart w:id="3" w:name="_1fob9te" w:colFirst="0" w:colLast="0"/>
      <w:bookmarkEnd w:id="3"/>
      <w:r>
        <w:rPr>
          <w:color w:val="000000"/>
          <w:sz w:val="22"/>
          <w:szCs w:val="22"/>
        </w:rPr>
        <w:t>Phenotypically, science was significantly more highly correlated with English than these were with each other (</w:t>
      </w:r>
      <w:r>
        <w:rPr>
          <w:b/>
          <w:color w:val="000000"/>
          <w:sz w:val="22"/>
          <w:szCs w:val="22"/>
        </w:rPr>
        <w:t>Table 3</w:t>
      </w:r>
      <w:r>
        <w:rPr>
          <w:color w:val="000000"/>
          <w:sz w:val="22"/>
          <w:szCs w:val="22"/>
        </w:rPr>
        <w:t>), suggesting academic performance in science might incorporate variance from the other two subjects</w:t>
      </w:r>
      <w:r>
        <w:rPr>
          <w:color w:val="000000"/>
          <w:sz w:val="22"/>
          <w:szCs w:val="22"/>
          <w:vertAlign w:val="superscript"/>
        </w:rPr>
        <w:t>43</w:t>
      </w:r>
      <w:r>
        <w:rPr>
          <w:color w:val="000000"/>
          <w:sz w:val="22"/>
          <w:szCs w:val="22"/>
        </w:rPr>
        <w:t xml:space="preserve">.  </w:t>
      </w:r>
      <w:r>
        <w:rPr>
          <w:color w:val="000000"/>
          <w:sz w:val="22"/>
          <w:szCs w:val="22"/>
          <w:highlight w:val="yellow"/>
        </w:rPr>
        <w:t>Whilst no significant differences</w:t>
      </w:r>
      <w:r>
        <w:rPr>
          <w:color w:val="000000"/>
          <w:sz w:val="22"/>
          <w:szCs w:val="22"/>
          <w:highlight w:val="yellow"/>
        </w:rPr>
        <w:t xml:space="preserve"> in genetic correlations between academic subjects were found, we note the</w:t>
      </w:r>
      <w:r>
        <w:rPr>
          <w:color w:val="000000"/>
          <w:sz w:val="22"/>
          <w:szCs w:val="22"/>
        </w:rPr>
        <w:t xml:space="preserve"> </w:t>
      </w:r>
      <w:r>
        <w:rPr>
          <w:color w:val="000000"/>
          <w:sz w:val="22"/>
          <w:szCs w:val="22"/>
          <w:highlight w:val="yellow"/>
        </w:rPr>
        <w:t>opposite pattern of associations observed for genetic correlations compared to phenotypic correlations</w:t>
      </w:r>
      <w:r>
        <w:rPr>
          <w:color w:val="000000"/>
          <w:sz w:val="22"/>
          <w:szCs w:val="22"/>
        </w:rPr>
        <w:t>, with English and maths being the most highly genetically correlated. A possib</w:t>
      </w:r>
      <w:r>
        <w:rPr>
          <w:color w:val="000000"/>
          <w:sz w:val="22"/>
          <w:szCs w:val="22"/>
        </w:rPr>
        <w:t xml:space="preserve">le explanation is that the factors contributing to the phenotypic correlation in performance between science and maths, and science and English, </w:t>
      </w:r>
      <w:r>
        <w:rPr>
          <w:color w:val="000000"/>
          <w:sz w:val="22"/>
          <w:szCs w:val="22"/>
        </w:rPr>
        <w:lastRenderedPageBreak/>
        <w:t xml:space="preserve">are under greater environmental influence than the factors contributing to the correlation between English and </w:t>
      </w:r>
      <w:r>
        <w:rPr>
          <w:color w:val="000000"/>
          <w:sz w:val="22"/>
          <w:szCs w:val="22"/>
        </w:rPr>
        <w:t>maths performance, that correlate more for genetic reasons.  Note, it is possible that this is a specific effect of this period of development and may not be found earlier or later.</w:t>
      </w:r>
    </w:p>
    <w:p w:rsidR="00E6467A" w:rsidRDefault="00E6467A">
      <w:pPr>
        <w:widowControl w:val="0"/>
        <w:spacing w:line="360" w:lineRule="auto"/>
        <w:jc w:val="both"/>
        <w:rPr>
          <w:color w:val="000000"/>
          <w:sz w:val="22"/>
          <w:szCs w:val="22"/>
        </w:rPr>
      </w:pPr>
    </w:p>
    <w:p w:rsidR="00E6467A" w:rsidRDefault="007A5689">
      <w:pPr>
        <w:pBdr>
          <w:top w:val="nil"/>
          <w:left w:val="nil"/>
          <w:bottom w:val="nil"/>
          <w:right w:val="nil"/>
          <w:between w:val="nil"/>
        </w:pBdr>
        <w:spacing w:line="360" w:lineRule="auto"/>
        <w:jc w:val="both"/>
        <w:rPr>
          <w:rFonts w:ascii="Cambria" w:eastAsia="Cambria" w:hAnsi="Cambria" w:cs="Cambria"/>
          <w:color w:val="000000"/>
          <w:sz w:val="18"/>
          <w:szCs w:val="18"/>
        </w:rPr>
      </w:pPr>
      <w:r>
        <w:rPr>
          <w:rFonts w:ascii="Cambria" w:eastAsia="Cambria" w:hAnsi="Cambria" w:cs="Cambria"/>
          <w:color w:val="000000"/>
          <w:sz w:val="22"/>
          <w:szCs w:val="22"/>
        </w:rPr>
        <w:t>Genetic correlations with cognitive and academic attainment in other samp</w:t>
      </w:r>
      <w:r>
        <w:rPr>
          <w:rFonts w:ascii="Cambria" w:eastAsia="Cambria" w:hAnsi="Cambria" w:cs="Cambria"/>
          <w:color w:val="000000"/>
          <w:sz w:val="22"/>
          <w:szCs w:val="22"/>
        </w:rPr>
        <w:t>les were found to be high and consistent across the academic subjects. Genetic correlations with personality traits varied more across academic subjects, although these differences in estimates were not statistically significant.</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Associations between cogn</w:t>
      </w:r>
      <w:r>
        <w:rPr>
          <w:color w:val="000000"/>
          <w:sz w:val="22"/>
          <w:szCs w:val="22"/>
        </w:rPr>
        <w:t>ition and mental health have been noted in a number of genetic and non-genetic studies</w:t>
      </w:r>
      <w:r>
        <w:rPr>
          <w:color w:val="000000"/>
          <w:sz w:val="22"/>
          <w:szCs w:val="22"/>
          <w:vertAlign w:val="superscript"/>
        </w:rPr>
        <w:t>44,45</w:t>
      </w:r>
      <w:r>
        <w:rPr>
          <w:color w:val="000000"/>
          <w:sz w:val="22"/>
          <w:szCs w:val="22"/>
        </w:rPr>
        <w:t>. The fact that pairwise genetic correlations between AA and autism, and AA and ADHD go in opposite directions is interesting because recent work has shown a positiv</w:t>
      </w:r>
      <w:r>
        <w:rPr>
          <w:color w:val="000000"/>
          <w:sz w:val="22"/>
          <w:szCs w:val="22"/>
        </w:rPr>
        <w:t>e shared genetic basis to ASD and ADHD symptomology in the ALSPAC sample</w:t>
      </w:r>
      <w:r>
        <w:rPr>
          <w:color w:val="000000"/>
          <w:sz w:val="22"/>
          <w:szCs w:val="22"/>
          <w:vertAlign w:val="superscript"/>
        </w:rPr>
        <w:t>46</w:t>
      </w:r>
      <w:r>
        <w:rPr>
          <w:color w:val="000000"/>
          <w:sz w:val="22"/>
          <w:szCs w:val="22"/>
        </w:rPr>
        <w:t>. Depression and anorexia represent another pair of traits that have been found to be correlated phenotypically and genetically in twin studies</w:t>
      </w:r>
      <w:r>
        <w:rPr>
          <w:color w:val="000000"/>
          <w:sz w:val="22"/>
          <w:szCs w:val="22"/>
          <w:vertAlign w:val="superscript"/>
        </w:rPr>
        <w:t>47</w:t>
      </w:r>
      <w:r>
        <w:rPr>
          <w:color w:val="000000"/>
          <w:sz w:val="22"/>
          <w:szCs w:val="22"/>
        </w:rPr>
        <w:t>, but each show opposite directions o</w:t>
      </w:r>
      <w:r>
        <w:rPr>
          <w:color w:val="000000"/>
          <w:sz w:val="22"/>
          <w:szCs w:val="22"/>
        </w:rPr>
        <w:t xml:space="preserve">f genetic overlap with the three academic subjects. Further analysis using multivariate models would be needed to directly assess whether there are specific cognitive or academic abilities that may differentiate between these disorders.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Broadly, the res</w:t>
      </w:r>
      <w:r>
        <w:rPr>
          <w:color w:val="000000"/>
          <w:sz w:val="22"/>
          <w:szCs w:val="22"/>
        </w:rPr>
        <w:t xml:space="preserve">ults suggest that although there are underlying cognitive features which contribute to variance across all three academic subjects, there are other (both genetic and non-genetic) factors which contribute to subject-specific variance. These results reflect </w:t>
      </w:r>
      <w:r>
        <w:rPr>
          <w:color w:val="000000"/>
          <w:sz w:val="22"/>
          <w:szCs w:val="22"/>
        </w:rPr>
        <w:t>the conclusions of multivariate twin studies that examine genetic covariance between cognitive ability and subject attainment in a large UK twin cohort. For example, Kovas et al. (2005) investigated the genetic overlap between mathematics performance, read</w:t>
      </w:r>
      <w:r>
        <w:rPr>
          <w:color w:val="000000"/>
          <w:sz w:val="22"/>
          <w:szCs w:val="22"/>
        </w:rPr>
        <w:t>ing and general intelligence in childhood. They reported considerable genetic correlations between mathematics and reading (r</w:t>
      </w:r>
      <w:r>
        <w:rPr>
          <w:color w:val="000000"/>
          <w:sz w:val="22"/>
          <w:szCs w:val="22"/>
          <w:vertAlign w:val="subscript"/>
        </w:rPr>
        <w:t>gTWIN</w:t>
      </w:r>
      <w:r>
        <w:rPr>
          <w:color w:val="000000"/>
          <w:sz w:val="22"/>
          <w:szCs w:val="22"/>
        </w:rPr>
        <w:t xml:space="preserve"> = 0.74) and between mathematics and ‘g’ (r</w:t>
      </w:r>
      <w:r>
        <w:rPr>
          <w:color w:val="000000"/>
          <w:sz w:val="22"/>
          <w:szCs w:val="22"/>
          <w:vertAlign w:val="subscript"/>
        </w:rPr>
        <w:t>gTWIN</w:t>
      </w:r>
      <w:r>
        <w:rPr>
          <w:color w:val="000000"/>
          <w:sz w:val="22"/>
          <w:szCs w:val="22"/>
        </w:rPr>
        <w:t xml:space="preserve"> = 0.67), but noted that approximately a third of the genetic variance in math</w:t>
      </w:r>
      <w:r>
        <w:rPr>
          <w:color w:val="000000"/>
          <w:sz w:val="22"/>
          <w:szCs w:val="22"/>
        </w:rPr>
        <w:t>ematics was independent of both of these factors, suggesting some degree of genetic specificity</w:t>
      </w:r>
      <w:r>
        <w:rPr>
          <w:color w:val="000000"/>
          <w:sz w:val="22"/>
          <w:szCs w:val="22"/>
          <w:vertAlign w:val="superscript"/>
        </w:rPr>
        <w:t>7</w:t>
      </w:r>
      <w:r>
        <w:rPr>
          <w:color w:val="000000"/>
          <w:sz w:val="22"/>
          <w:szCs w:val="22"/>
        </w:rPr>
        <w:t xml:space="preserve">. A subsequent study controlling for performance in maths, English and ‘g’ investigated the extent to which there was genetic specificity in science attainment </w:t>
      </w:r>
      <w:r>
        <w:rPr>
          <w:color w:val="000000"/>
          <w:sz w:val="22"/>
          <w:szCs w:val="22"/>
        </w:rPr>
        <w:t>in childhood</w:t>
      </w:r>
      <w:r>
        <w:rPr>
          <w:color w:val="000000"/>
          <w:sz w:val="22"/>
          <w:szCs w:val="22"/>
          <w:vertAlign w:val="superscript"/>
        </w:rPr>
        <w:t>48</w:t>
      </w:r>
      <w:r>
        <w:rPr>
          <w:color w:val="000000"/>
          <w:sz w:val="22"/>
          <w:szCs w:val="22"/>
        </w:rPr>
        <w:t>.  The authors report a h</w:t>
      </w:r>
      <w:r>
        <w:rPr>
          <w:color w:val="000000"/>
          <w:sz w:val="22"/>
          <w:szCs w:val="22"/>
          <w:vertAlign w:val="superscript"/>
        </w:rPr>
        <w:t>2</w:t>
      </w:r>
      <w:r>
        <w:rPr>
          <w:color w:val="000000"/>
          <w:sz w:val="22"/>
          <w:szCs w:val="22"/>
          <w:vertAlign w:val="subscript"/>
        </w:rPr>
        <w:t>twin</w:t>
      </w:r>
      <w:r>
        <w:rPr>
          <w:color w:val="000000"/>
          <w:sz w:val="22"/>
          <w:szCs w:val="22"/>
        </w:rPr>
        <w:t xml:space="preserve"> of 49% for science and genetic effects beyond the other factors, which were therefore specific to science.</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i/>
          <w:color w:val="000000"/>
          <w:sz w:val="22"/>
          <w:szCs w:val="22"/>
        </w:rPr>
      </w:pPr>
      <w:r>
        <w:rPr>
          <w:i/>
          <w:color w:val="000000"/>
          <w:sz w:val="22"/>
          <w:szCs w:val="22"/>
        </w:rPr>
        <w:t>Limitations</w:t>
      </w:r>
    </w:p>
    <w:p w:rsidR="00E6467A" w:rsidRDefault="00E6467A">
      <w:pPr>
        <w:widowControl w:val="0"/>
        <w:spacing w:line="360" w:lineRule="auto"/>
        <w:jc w:val="both"/>
        <w:rPr>
          <w:i/>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 xml:space="preserve">Whilst this study represents the largest GWAS to-date for science and English attainment, </w:t>
      </w:r>
      <w:r>
        <w:rPr>
          <w:color w:val="000000"/>
          <w:sz w:val="22"/>
          <w:szCs w:val="22"/>
        </w:rPr>
        <w:t>it is still underpowered to detect common variants of very small effect. Recently developed multivariate GWAS approaches such as genomic-structural equation modelling (SEM)</w:t>
      </w:r>
      <w:r>
        <w:rPr>
          <w:color w:val="000000"/>
          <w:sz w:val="22"/>
          <w:szCs w:val="22"/>
          <w:highlight w:val="yellow"/>
          <w:vertAlign w:val="superscript"/>
        </w:rPr>
        <w:t>49</w:t>
      </w:r>
      <w:r>
        <w:rPr>
          <w:color w:val="000000"/>
          <w:sz w:val="22"/>
          <w:szCs w:val="22"/>
        </w:rPr>
        <w:t xml:space="preserve"> may help mitigate this issue, as well as shed light on the specific causes of the observed genetic correlations identified.  Furthermore, although this study utilised an adolescent sample, in order to fully understand how genetic influences unfold over de</w:t>
      </w:r>
      <w:r>
        <w:rPr>
          <w:color w:val="000000"/>
          <w:sz w:val="22"/>
          <w:szCs w:val="22"/>
        </w:rPr>
        <w:t>velopment, longitudinal genetic studies will be necessary.  While we believe the use of a single, homogeneous, UK cohort allowed greater sensitivity to explore our research questions, it also limits the generalisability of the results to different populati</w:t>
      </w:r>
      <w:r>
        <w:rPr>
          <w:color w:val="000000"/>
          <w:sz w:val="22"/>
          <w:szCs w:val="22"/>
        </w:rPr>
        <w:t>ons. In particular, differences in schooling, such as a greater focus on drilling in mathematics, or differences intrinsic to the language spoken, such as grammatical complexity or spelling irregularities, may impact genetic associations with specific scho</w:t>
      </w:r>
      <w:r>
        <w:rPr>
          <w:color w:val="000000"/>
          <w:sz w:val="22"/>
          <w:szCs w:val="22"/>
        </w:rPr>
        <w:t>ol subjects.  However, if GWAS results are population specific due to variants becoming more relevant in particular contexts, perhaps in order for polygenic scores to be accurate, they will have to be population/environment specific. Finally, regressing ou</w:t>
      </w:r>
      <w:r>
        <w:rPr>
          <w:color w:val="000000"/>
          <w:sz w:val="22"/>
          <w:szCs w:val="22"/>
        </w:rPr>
        <w:t>t attainment in other subjects or IQ (both of which are heritable) risks inducing collider bias and distorting towards or away from true associations. However, we note that the focus of the AAreg and IQreg analyses were on exploring the specificity of scie</w:t>
      </w:r>
      <w:r>
        <w:rPr>
          <w:color w:val="000000"/>
          <w:sz w:val="22"/>
          <w:szCs w:val="22"/>
        </w:rPr>
        <w:t>nce attainment associations, rather than identification of novel associations</w:t>
      </w:r>
      <w:r>
        <w:rPr>
          <w:color w:val="000000"/>
          <w:sz w:val="22"/>
          <w:szCs w:val="22"/>
          <w:vertAlign w:val="superscript"/>
        </w:rPr>
        <w:t>50</w:t>
      </w:r>
      <w:r>
        <w:rPr>
          <w:color w:val="000000"/>
          <w:sz w:val="22"/>
          <w:szCs w:val="22"/>
        </w:rPr>
        <w:t xml:space="preserve">.  </w:t>
      </w:r>
    </w:p>
    <w:p w:rsidR="00E6467A" w:rsidRDefault="00E6467A">
      <w:pPr>
        <w:widowControl w:val="0"/>
        <w:spacing w:line="360" w:lineRule="auto"/>
        <w:jc w:val="both"/>
        <w:rPr>
          <w:color w:val="000000"/>
          <w:sz w:val="22"/>
          <w:szCs w:val="22"/>
        </w:rPr>
      </w:pPr>
    </w:p>
    <w:p w:rsidR="00E6467A" w:rsidRDefault="007A5689">
      <w:pPr>
        <w:pStyle w:val="Heading1"/>
      </w:pPr>
      <w:r>
        <w:t>Conclusion</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 xml:space="preserve">In this study, we performed a series of univariate GWAS of English, maths and science standardised national attainment scores, estimated SNP-based heritability </w:t>
      </w:r>
      <w:r>
        <w:rPr>
          <w:color w:val="000000"/>
          <w:sz w:val="22"/>
          <w:szCs w:val="22"/>
        </w:rPr>
        <w:t xml:space="preserve">and assessed shared genetic architecture with educational, cognitive, behavioural and psychiatric phenotypes. We found that rs9529641, </w:t>
      </w:r>
      <w:r>
        <w:rPr>
          <w:i/>
          <w:color w:val="000000"/>
          <w:sz w:val="22"/>
          <w:szCs w:val="22"/>
        </w:rPr>
        <w:t xml:space="preserve">MEFC2 </w:t>
      </w:r>
      <w:r>
        <w:rPr>
          <w:color w:val="000000"/>
          <w:sz w:val="22"/>
          <w:szCs w:val="22"/>
        </w:rPr>
        <w:t>and</w:t>
      </w:r>
      <w:r>
        <w:rPr>
          <w:i/>
          <w:color w:val="000000"/>
          <w:sz w:val="22"/>
          <w:szCs w:val="22"/>
        </w:rPr>
        <w:t xml:space="preserve"> BRINP1</w:t>
      </w:r>
      <w:r>
        <w:rPr>
          <w:color w:val="000000"/>
          <w:sz w:val="22"/>
          <w:szCs w:val="22"/>
        </w:rPr>
        <w:t xml:space="preserve"> were significantly and fairly robustly associated with science attainment. We also found differences in </w:t>
      </w:r>
      <w:r>
        <w:rPr>
          <w:color w:val="000000"/>
          <w:sz w:val="22"/>
          <w:szCs w:val="22"/>
        </w:rPr>
        <w:t>SNP-based heritability estimates and genetic correlations with other neurocognitive traits indicating, as with the phenotypic data, a degree of overlap and specificity between academic subjects. These findings suggest that understanding the sources of indi</w:t>
      </w:r>
      <w:r>
        <w:rPr>
          <w:color w:val="000000"/>
          <w:sz w:val="22"/>
          <w:szCs w:val="22"/>
        </w:rPr>
        <w:t>vidual differences in academic attainment may facilitate a better understanding of the causal paths to later educational outcomes and mental health disorders.  Future studies should examine these genetic relationships within a multivariate framework to all</w:t>
      </w:r>
      <w:r>
        <w:rPr>
          <w:color w:val="000000"/>
          <w:sz w:val="22"/>
          <w:szCs w:val="22"/>
        </w:rPr>
        <w:t>ow the separation of general versus specific effects at the level of individual DNA sequence variants.</w:t>
      </w: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7A5689">
      <w:pPr>
        <w:pStyle w:val="Heading1"/>
      </w:pPr>
      <w:r>
        <w:t>Methods</w:t>
      </w:r>
    </w:p>
    <w:p w:rsidR="00E6467A" w:rsidRDefault="00E6467A">
      <w:pPr>
        <w:widowControl w:val="0"/>
        <w:spacing w:line="360" w:lineRule="auto"/>
        <w:jc w:val="both"/>
        <w:rPr>
          <w:color w:val="000000"/>
          <w:sz w:val="22"/>
          <w:szCs w:val="22"/>
        </w:rPr>
      </w:pPr>
    </w:p>
    <w:p w:rsidR="00E6467A" w:rsidRDefault="007A5689">
      <w:pPr>
        <w:pStyle w:val="Heading2"/>
        <w:ind w:left="0"/>
      </w:pPr>
      <w:r>
        <w:t>Participants</w:t>
      </w:r>
    </w:p>
    <w:p w:rsidR="00E6467A" w:rsidRDefault="00E6467A">
      <w:pPr>
        <w:spacing w:line="360" w:lineRule="auto"/>
        <w:jc w:val="both"/>
        <w:rPr>
          <w:color w:val="000000"/>
          <w:sz w:val="22"/>
          <w:szCs w:val="22"/>
        </w:rPr>
      </w:pPr>
    </w:p>
    <w:p w:rsidR="00E6467A" w:rsidRDefault="007A5689">
      <w:pPr>
        <w:spacing w:line="360" w:lineRule="auto"/>
        <w:jc w:val="both"/>
        <w:rPr>
          <w:color w:val="000000"/>
          <w:sz w:val="22"/>
          <w:szCs w:val="22"/>
        </w:rPr>
      </w:pPr>
      <w:r>
        <w:rPr>
          <w:color w:val="000000"/>
          <w:sz w:val="22"/>
          <w:szCs w:val="22"/>
        </w:rPr>
        <w:t>The Avon Longitudinal Study of Parents and Children (ALSPAC) (</w:t>
      </w:r>
      <w:hyperlink r:id="rId8">
        <w:r>
          <w:rPr>
            <w:color w:val="000000"/>
            <w:sz w:val="22"/>
            <w:szCs w:val="22"/>
            <w:u w:val="single"/>
          </w:rPr>
          <w:t>http://www.bristol.ac.uk/alspac/)</w:t>
        </w:r>
      </w:hyperlink>
      <w:r>
        <w:rPr>
          <w:color w:val="000000"/>
          <w:sz w:val="22"/>
          <w:szCs w:val="22"/>
          <w:u w:val="single"/>
        </w:rPr>
        <w:t xml:space="preserve"> </w:t>
      </w:r>
      <w:r>
        <w:rPr>
          <w:color w:val="000000"/>
          <w:sz w:val="22"/>
          <w:szCs w:val="22"/>
        </w:rPr>
        <w:t>is an on-going population-based study investigating factors influencing development and health.  The study website contains details of all the data that is available through a fully searchable data dictionary (</w:t>
      </w:r>
      <w:hyperlink r:id="rId9">
        <w:r>
          <w:rPr>
            <w:color w:val="000000"/>
            <w:sz w:val="22"/>
            <w:szCs w:val="22"/>
          </w:rPr>
          <w:t>http://www.bristol.ac.uk/alspac/researchers/our-data/</w:t>
        </w:r>
      </w:hyperlink>
      <w:r>
        <w:rPr>
          <w:color w:val="000000"/>
          <w:sz w:val="22"/>
          <w:szCs w:val="22"/>
          <w:u w:val="single"/>
        </w:rPr>
        <w:t> </w:t>
      </w:r>
      <w:r>
        <w:rPr>
          <w:color w:val="000000"/>
          <w:sz w:val="22"/>
          <w:szCs w:val="22"/>
        </w:rPr>
        <w:t>).  Initial recruitment included 14,541 mothers with 13,988 children alive at age one.  A second round of recruitment at around age 7 yielded a total sample size for data col</w:t>
      </w:r>
      <w:r>
        <w:rPr>
          <w:color w:val="000000"/>
          <w:sz w:val="22"/>
          <w:szCs w:val="22"/>
        </w:rPr>
        <w:t xml:space="preserve">lected after this age of 15,247.  See </w:t>
      </w:r>
      <w:r>
        <w:rPr>
          <w:b/>
          <w:color w:val="000000"/>
          <w:sz w:val="22"/>
          <w:szCs w:val="22"/>
        </w:rPr>
        <w:t>Supplementary Note 1</w:t>
      </w:r>
      <w:r>
        <w:rPr>
          <w:color w:val="000000"/>
          <w:sz w:val="22"/>
          <w:szCs w:val="22"/>
        </w:rPr>
        <w:t xml:space="preserve"> for more details and Boyd et al., (2013) and Fraser el al., (2013) </w:t>
      </w:r>
      <w:r>
        <w:rPr>
          <w:color w:val="000000"/>
          <w:sz w:val="22"/>
          <w:szCs w:val="22"/>
          <w:vertAlign w:val="superscript"/>
        </w:rPr>
        <w:t>51,52</w:t>
      </w:r>
      <w:r>
        <w:rPr>
          <w:color w:val="000000"/>
          <w:sz w:val="22"/>
          <w:szCs w:val="22"/>
        </w:rPr>
        <w:t>. The sample for this study is comprised of children for whom data were available at both age 11 and 14 for English, maths or</w:t>
      </w:r>
      <w:r>
        <w:rPr>
          <w:color w:val="000000"/>
          <w:sz w:val="22"/>
          <w:szCs w:val="22"/>
        </w:rPr>
        <w:t xml:space="preserve"> science attainment, along with genome-wide SNP genotyping data. Ethical approval for the study was obtained from the ALSPAC Ethics and Law Committee, and Birkbeck’s Department of Psychological Sciences Research Ethics committee. All research was performed</w:t>
      </w:r>
      <w:r>
        <w:rPr>
          <w:color w:val="000000"/>
          <w:sz w:val="22"/>
          <w:szCs w:val="22"/>
        </w:rPr>
        <w:t xml:space="preserve"> in accordance with ALSPAC’s and Birkbeck’s Departmental relevant guidelines/regulations. Parents and/or legal guardians gave informed consent, and the authors had no access to any participant identifying information.</w:t>
      </w:r>
    </w:p>
    <w:p w:rsidR="00E6467A" w:rsidRDefault="00E6467A">
      <w:pPr>
        <w:spacing w:line="360" w:lineRule="auto"/>
        <w:jc w:val="both"/>
        <w:rPr>
          <w:color w:val="000000"/>
          <w:sz w:val="22"/>
          <w:szCs w:val="22"/>
        </w:rPr>
      </w:pPr>
    </w:p>
    <w:p w:rsidR="00E6467A" w:rsidRDefault="007A5689">
      <w:pPr>
        <w:pStyle w:val="Heading2"/>
        <w:ind w:left="0"/>
      </w:pPr>
      <w:r>
        <w:t>Measures</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Attainment in English, math</w:t>
      </w:r>
      <w:r>
        <w:rPr>
          <w:color w:val="000000"/>
          <w:sz w:val="22"/>
          <w:szCs w:val="22"/>
        </w:rPr>
        <w:t>s, and science were assessed using National Curriculum standardised tests at 11 and 14 years of age.  At age 11 (end of Key Stage 2) and age 14 (end of Key Stage 3), national exams - known as the SATs - were obligatory in schools across the UK when these d</w:t>
      </w:r>
      <w:r>
        <w:rPr>
          <w:color w:val="000000"/>
          <w:sz w:val="22"/>
          <w:szCs w:val="22"/>
        </w:rPr>
        <w:t xml:space="preserve">ata were collected.  Pupils sit the tests under exam conditions and scripts are externally marked, standardised, and given a curriculum level 1-9 (low to high). </w:t>
      </w:r>
    </w:p>
    <w:p w:rsidR="00E6467A" w:rsidRDefault="00E6467A">
      <w:pPr>
        <w:spacing w:line="360" w:lineRule="auto"/>
        <w:jc w:val="both"/>
        <w:rPr>
          <w:color w:val="000000"/>
          <w:sz w:val="22"/>
          <w:szCs w:val="22"/>
        </w:rPr>
      </w:pPr>
    </w:p>
    <w:p w:rsidR="00E6467A" w:rsidRDefault="007A5689">
      <w:pPr>
        <w:spacing w:line="360" w:lineRule="auto"/>
        <w:jc w:val="both"/>
        <w:rPr>
          <w:color w:val="000000"/>
          <w:sz w:val="22"/>
          <w:szCs w:val="22"/>
        </w:rPr>
      </w:pPr>
      <w:r>
        <w:rPr>
          <w:color w:val="000000"/>
          <w:sz w:val="22"/>
          <w:szCs w:val="22"/>
        </w:rPr>
        <w:t>At ages 11 and 14 the English SATs assess reading, grammar, punctuation and spelling, in addi</w:t>
      </w:r>
      <w:r>
        <w:rPr>
          <w:color w:val="000000"/>
          <w:sz w:val="22"/>
          <w:szCs w:val="22"/>
        </w:rPr>
        <w:t>tion to comprehension and interpretation of a studied text.  Maths is assessed at both ages by written SATs that cover all areas of mathematics including conceptual understanding, mathematical reasoning and problem solving.  At age 11, the maths SAT also i</w:t>
      </w:r>
      <w:r>
        <w:rPr>
          <w:color w:val="000000"/>
          <w:sz w:val="22"/>
          <w:szCs w:val="22"/>
        </w:rPr>
        <w:t xml:space="preserve">ncludes a ‘mental maths’ component in which the students are asked questions orally and, under timed conditions, must record their answers having performed the computations in their head. The science SAT </w:t>
      </w:r>
      <w:r>
        <w:rPr>
          <w:color w:val="000000"/>
          <w:sz w:val="22"/>
          <w:szCs w:val="22"/>
        </w:rPr>
        <w:lastRenderedPageBreak/>
        <w:t>at ages 11 and 14 assesses the development of scient</w:t>
      </w:r>
      <w:r>
        <w:rPr>
          <w:color w:val="000000"/>
          <w:sz w:val="22"/>
          <w:szCs w:val="22"/>
        </w:rPr>
        <w:t>ific thinking and knowledge, experimental skills and strategies, analysis and evaluation, scientific vocabulary, units, symbols and nomenclature.</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To get the most reliable score of attainment only individuals with data at both 11 and 14yrs (r = 0.67 to 0.8</w:t>
      </w:r>
      <w:r>
        <w:rPr>
          <w:color w:val="000000"/>
          <w:sz w:val="22"/>
          <w:szCs w:val="22"/>
        </w:rPr>
        <w:t>1) were included. To remove variance associated with sex and age at testing, each academic subject score was first regressed on age and sex (at each time point) and the residuals from the linear regression were summed together to create a final score for e</w:t>
      </w:r>
      <w:r>
        <w:rPr>
          <w:color w:val="000000"/>
          <w:sz w:val="22"/>
          <w:szCs w:val="22"/>
        </w:rPr>
        <w:t xml:space="preserve">ach subject. This resulted in sample sizes of 5,983 for English, 6,017 for maths and 6,089 for science. </w:t>
      </w:r>
    </w:p>
    <w:p w:rsidR="00E6467A" w:rsidRDefault="00E6467A">
      <w:pPr>
        <w:widowControl w:val="0"/>
        <w:spacing w:line="360" w:lineRule="auto"/>
        <w:jc w:val="both"/>
        <w:rPr>
          <w:color w:val="000000"/>
          <w:sz w:val="22"/>
          <w:szCs w:val="22"/>
        </w:rPr>
      </w:pPr>
    </w:p>
    <w:p w:rsidR="00E6467A" w:rsidRDefault="007A5689">
      <w:pPr>
        <w:spacing w:line="360" w:lineRule="auto"/>
        <w:jc w:val="both"/>
        <w:rPr>
          <w:color w:val="000000"/>
          <w:sz w:val="22"/>
          <w:szCs w:val="22"/>
        </w:rPr>
      </w:pPr>
      <w:r>
        <w:rPr>
          <w:color w:val="000000"/>
          <w:sz w:val="22"/>
          <w:szCs w:val="22"/>
        </w:rPr>
        <w:t>To assess subject-specific genetics effects, AA regressed scores were created by removing the variance shared with the other two subjects from each of</w:t>
      </w:r>
      <w:r>
        <w:rPr>
          <w:color w:val="000000"/>
          <w:sz w:val="22"/>
          <w:szCs w:val="22"/>
        </w:rPr>
        <w:t xml:space="preserve"> the final scores. This resulted in a sample of 5,895 individuals for each subject. Finally, in order to assess genetic effects independent of general cognitive ability, IQ regressed scores were created by removing the variance shared with IQ from each of </w:t>
      </w:r>
      <w:r>
        <w:rPr>
          <w:color w:val="000000"/>
          <w:sz w:val="22"/>
          <w:szCs w:val="22"/>
        </w:rPr>
        <w:t xml:space="preserve">the individual subject scores, leaving a smaller sample due to the lower availability of IQ scores than academic attainment measures (see </w:t>
      </w:r>
      <w:r>
        <w:rPr>
          <w:b/>
          <w:color w:val="000000"/>
          <w:sz w:val="22"/>
          <w:szCs w:val="22"/>
        </w:rPr>
        <w:t>Table 7</w:t>
      </w:r>
      <w:r>
        <w:rPr>
          <w:color w:val="000000"/>
          <w:sz w:val="22"/>
          <w:szCs w:val="22"/>
        </w:rPr>
        <w:t>). IQ was calculated using a combined measure of Vocabulary and Matrix Reasoning raw scores taken from the Wech</w:t>
      </w:r>
      <w:r>
        <w:rPr>
          <w:color w:val="000000"/>
          <w:sz w:val="22"/>
          <w:szCs w:val="22"/>
        </w:rPr>
        <w:t>sler Abbreviated Scale of Intelligence</w:t>
      </w:r>
      <w:r>
        <w:rPr>
          <w:color w:val="000000"/>
          <w:sz w:val="22"/>
          <w:szCs w:val="22"/>
          <w:vertAlign w:val="superscript"/>
        </w:rPr>
        <w:t>53</w:t>
      </w:r>
      <w:r>
        <w:rPr>
          <w:color w:val="000000"/>
          <w:sz w:val="22"/>
          <w:szCs w:val="22"/>
        </w:rPr>
        <w:t xml:space="preserve"> at age 15. In the vocabulary subtest participants were asked the meaning of a list of gradually more complex words. The Matrix reasoning subtest consisted of a multiple-choice visual puzzle in which the participants</w:t>
      </w:r>
      <w:r>
        <w:rPr>
          <w:color w:val="000000"/>
          <w:sz w:val="22"/>
          <w:szCs w:val="22"/>
        </w:rPr>
        <w:t xml:space="preserve"> were presented with a series of pictures and had to choose the missing image.</w:t>
      </w:r>
    </w:p>
    <w:p w:rsidR="00E6467A" w:rsidRDefault="00E6467A">
      <w:pPr>
        <w:widowControl w:val="0"/>
        <w:spacing w:line="360" w:lineRule="auto"/>
        <w:jc w:val="both"/>
        <w:rPr>
          <w:b/>
          <w:color w:val="000000"/>
          <w:sz w:val="22"/>
          <w:szCs w:val="22"/>
        </w:rPr>
      </w:pPr>
    </w:p>
    <w:p w:rsidR="00E6467A" w:rsidRDefault="007A5689">
      <w:pPr>
        <w:pStyle w:val="Heading2"/>
        <w:ind w:left="0"/>
        <w:jc w:val="center"/>
      </w:pPr>
      <w:r>
        <w:t>*** Table 7 about here***</w:t>
      </w:r>
    </w:p>
    <w:p w:rsidR="00E6467A" w:rsidRDefault="00E6467A">
      <w:pPr>
        <w:rPr>
          <w:color w:val="000000"/>
        </w:rPr>
      </w:pPr>
    </w:p>
    <w:p w:rsidR="00E6467A" w:rsidRDefault="007A5689">
      <w:pPr>
        <w:pStyle w:val="Heading2"/>
        <w:ind w:left="0"/>
      </w:pPr>
      <w:r>
        <w:t>Genotyping and quality control</w:t>
      </w:r>
    </w:p>
    <w:p w:rsidR="00E6467A" w:rsidRDefault="00E6467A">
      <w:pPr>
        <w:spacing w:line="360" w:lineRule="auto"/>
        <w:jc w:val="both"/>
        <w:rPr>
          <w:color w:val="000000"/>
          <w:sz w:val="22"/>
          <w:szCs w:val="22"/>
        </w:rPr>
      </w:pPr>
    </w:p>
    <w:p w:rsidR="00E6467A" w:rsidRDefault="007A5689">
      <w:pPr>
        <w:spacing w:line="360" w:lineRule="auto"/>
        <w:jc w:val="both"/>
        <w:rPr>
          <w:color w:val="000000"/>
          <w:sz w:val="22"/>
          <w:szCs w:val="22"/>
        </w:rPr>
      </w:pPr>
      <w:r>
        <w:rPr>
          <w:color w:val="000000"/>
          <w:sz w:val="22"/>
          <w:szCs w:val="22"/>
        </w:rPr>
        <w:t>Genotyping and imputation were performed by ALSPAC. Adolescents from ALSPAC were genotyped using the Illumina HumanHap550 quad chip by 23andMe subcontracting the Wellcome Trust (Welcome Sanger Institute, Cambridge, UK) and the Laboratory Corporation of Ame</w:t>
      </w:r>
      <w:r>
        <w:rPr>
          <w:color w:val="000000"/>
          <w:sz w:val="22"/>
          <w:szCs w:val="22"/>
        </w:rPr>
        <w:t>rica (Burlington, NC, US). The raw genotype data were subjected to standard quality control procedures to identify individuals and SNPs for exclusion. Samples that passed quality control stages were phased and imputed using the Haplotype Reference Consorti</w:t>
      </w:r>
      <w:r>
        <w:rPr>
          <w:color w:val="000000"/>
          <w:sz w:val="22"/>
          <w:szCs w:val="22"/>
        </w:rPr>
        <w:t xml:space="preserve">um panel of ~31,000 phased whole genomes and Impute V3 </w:t>
      </w:r>
      <w:r>
        <w:rPr>
          <w:color w:val="000000"/>
          <w:sz w:val="22"/>
          <w:szCs w:val="22"/>
          <w:vertAlign w:val="superscript"/>
        </w:rPr>
        <w:t>54</w:t>
      </w:r>
      <w:r>
        <w:rPr>
          <w:color w:val="000000"/>
          <w:sz w:val="22"/>
          <w:szCs w:val="22"/>
        </w:rPr>
        <w:t xml:space="preserve">. SNP and sample quality control were repeated post-imputation (see online </w:t>
      </w:r>
      <w:r>
        <w:rPr>
          <w:b/>
          <w:color w:val="000000"/>
          <w:sz w:val="22"/>
          <w:szCs w:val="22"/>
        </w:rPr>
        <w:t>Supplementary Note 2</w:t>
      </w:r>
      <w:r>
        <w:rPr>
          <w:color w:val="000000"/>
          <w:sz w:val="22"/>
          <w:szCs w:val="22"/>
        </w:rPr>
        <w:t xml:space="preserve"> for full details). </w:t>
      </w:r>
    </w:p>
    <w:p w:rsidR="00E6467A" w:rsidRDefault="00E6467A">
      <w:pPr>
        <w:spacing w:line="360" w:lineRule="auto"/>
        <w:jc w:val="both"/>
        <w:rPr>
          <w:color w:val="000000"/>
          <w:sz w:val="22"/>
          <w:szCs w:val="22"/>
        </w:rPr>
      </w:pPr>
    </w:p>
    <w:p w:rsidR="00E6467A" w:rsidRDefault="00E6467A">
      <w:pPr>
        <w:spacing w:line="360" w:lineRule="auto"/>
        <w:jc w:val="both"/>
        <w:rPr>
          <w:color w:val="000000"/>
          <w:sz w:val="22"/>
          <w:szCs w:val="22"/>
        </w:rPr>
      </w:pPr>
    </w:p>
    <w:p w:rsidR="00E6467A" w:rsidRDefault="00E6467A">
      <w:pPr>
        <w:spacing w:line="360" w:lineRule="auto"/>
        <w:jc w:val="both"/>
        <w:rPr>
          <w:color w:val="000000"/>
          <w:sz w:val="22"/>
          <w:szCs w:val="22"/>
        </w:rPr>
      </w:pPr>
    </w:p>
    <w:p w:rsidR="00E6467A" w:rsidRDefault="007A5689">
      <w:pPr>
        <w:pStyle w:val="Heading2"/>
        <w:ind w:left="0"/>
      </w:pPr>
      <w:r>
        <w:lastRenderedPageBreak/>
        <w:t xml:space="preserve">Statistical Analysis </w:t>
      </w:r>
    </w:p>
    <w:p w:rsidR="00E6467A" w:rsidRDefault="00E6467A">
      <w:pPr>
        <w:widowControl w:val="0"/>
        <w:spacing w:line="360" w:lineRule="auto"/>
        <w:jc w:val="both"/>
        <w:rPr>
          <w:color w:val="000000"/>
          <w:sz w:val="22"/>
          <w:szCs w:val="22"/>
        </w:rPr>
      </w:pPr>
    </w:p>
    <w:p w:rsidR="00E6467A" w:rsidRDefault="007A5689">
      <w:pPr>
        <w:spacing w:line="360" w:lineRule="auto"/>
        <w:jc w:val="both"/>
        <w:rPr>
          <w:color w:val="000000"/>
          <w:sz w:val="22"/>
          <w:szCs w:val="22"/>
        </w:rPr>
      </w:pPr>
      <w:r>
        <w:rPr>
          <w:color w:val="000000"/>
          <w:sz w:val="22"/>
          <w:szCs w:val="22"/>
        </w:rPr>
        <w:t>All data preparation was performed using R 3.4</w:t>
      </w:r>
      <w:r>
        <w:rPr>
          <w:color w:val="000000"/>
          <w:sz w:val="22"/>
          <w:szCs w:val="22"/>
          <w:vertAlign w:val="superscript"/>
        </w:rPr>
        <w:t>55</w:t>
      </w:r>
      <w:r>
        <w:rPr>
          <w:color w:val="000000"/>
          <w:sz w:val="22"/>
          <w:szCs w:val="22"/>
        </w:rPr>
        <w:t>. Scores were regressed on the first 10 ancestry principal components to control for population structure and then quantile normalized in SNPtest</w:t>
      </w:r>
      <w:r>
        <w:rPr>
          <w:color w:val="000000"/>
          <w:sz w:val="22"/>
          <w:szCs w:val="22"/>
          <w:vertAlign w:val="superscript"/>
        </w:rPr>
        <w:t>56</w:t>
      </w:r>
      <w:r>
        <w:rPr>
          <w:color w:val="000000"/>
          <w:sz w:val="22"/>
          <w:szCs w:val="22"/>
        </w:rPr>
        <w:t>. In total nine GWA analyses were performed using (1) individual subject scores for attainment in English, ma</w:t>
      </w:r>
      <w:r>
        <w:rPr>
          <w:color w:val="000000"/>
          <w:sz w:val="22"/>
          <w:szCs w:val="22"/>
        </w:rPr>
        <w:t>ths and science, (2) AA regressed scores for attainment in English, maths and science (3), and IQ regressed scores for in English, maths and science. Each univariate GWA analysis was performed in SNPTest v.2 using an additive linear model and imputation pr</w:t>
      </w:r>
      <w:r>
        <w:rPr>
          <w:color w:val="000000"/>
          <w:sz w:val="22"/>
          <w:szCs w:val="22"/>
        </w:rPr>
        <w:t>obability calls</w:t>
      </w:r>
      <w:r>
        <w:rPr>
          <w:color w:val="000000"/>
          <w:sz w:val="22"/>
          <w:szCs w:val="22"/>
          <w:vertAlign w:val="superscript"/>
        </w:rPr>
        <w:t>57</w:t>
      </w:r>
      <w:r>
        <w:rPr>
          <w:color w:val="000000"/>
          <w:sz w:val="22"/>
          <w:szCs w:val="22"/>
        </w:rPr>
        <w:t>. Independent SNP association signals were identified by LD clumping in PLINKv1.9, with a genome-wide significance threshold for index SNPs and 0.2 threshold for LD clumping</w:t>
      </w:r>
      <w:r>
        <w:rPr>
          <w:color w:val="000000"/>
          <w:sz w:val="22"/>
          <w:szCs w:val="22"/>
          <w:vertAlign w:val="superscript"/>
        </w:rPr>
        <w:t>58</w:t>
      </w:r>
      <w:r>
        <w:rPr>
          <w:color w:val="000000"/>
          <w:sz w:val="22"/>
          <w:szCs w:val="22"/>
        </w:rPr>
        <w:t xml:space="preserve">. </w:t>
      </w:r>
    </w:p>
    <w:p w:rsidR="00E6467A" w:rsidRDefault="00E6467A">
      <w:pPr>
        <w:spacing w:line="360" w:lineRule="auto"/>
        <w:jc w:val="both"/>
        <w:rPr>
          <w:color w:val="000000"/>
          <w:sz w:val="22"/>
          <w:szCs w:val="22"/>
        </w:rPr>
      </w:pPr>
    </w:p>
    <w:p w:rsidR="00E6467A" w:rsidRDefault="007A5689">
      <w:pPr>
        <w:spacing w:line="360" w:lineRule="auto"/>
        <w:jc w:val="both"/>
        <w:rPr>
          <w:i/>
          <w:color w:val="000000"/>
          <w:sz w:val="22"/>
          <w:szCs w:val="22"/>
        </w:rPr>
      </w:pPr>
      <w:r>
        <w:rPr>
          <w:color w:val="000000"/>
          <w:sz w:val="22"/>
          <w:szCs w:val="22"/>
        </w:rPr>
        <w:t>Gene-based association analyses, which tests for association</w:t>
      </w:r>
      <w:r>
        <w:rPr>
          <w:color w:val="000000"/>
          <w:sz w:val="22"/>
          <w:szCs w:val="22"/>
        </w:rPr>
        <w:t xml:space="preserve"> between aggregated SNP effects across each gene, were performed using MAGMA, within the FUMA programme, using the summary statistics from each GWAS</w:t>
      </w:r>
      <w:r>
        <w:rPr>
          <w:color w:val="000000"/>
          <w:sz w:val="22"/>
          <w:szCs w:val="22"/>
          <w:vertAlign w:val="superscript"/>
        </w:rPr>
        <w:t>23,59</w:t>
      </w:r>
      <w:r>
        <w:rPr>
          <w:color w:val="000000"/>
          <w:sz w:val="22"/>
          <w:szCs w:val="22"/>
        </w:rPr>
        <w:t>.  Significantly associated genes were identified as those surviving Bonferroni correction for multiple</w:t>
      </w:r>
      <w:r>
        <w:rPr>
          <w:color w:val="000000"/>
          <w:sz w:val="22"/>
          <w:szCs w:val="22"/>
        </w:rPr>
        <w:t xml:space="preserve"> testing (</w:t>
      </w:r>
      <w:r>
        <w:rPr>
          <w:color w:val="000000"/>
          <w:sz w:val="22"/>
          <w:szCs w:val="22"/>
          <w:highlight w:val="white"/>
        </w:rPr>
        <w:t>p = 0.05/17,875 genes tested = 2.80 x 10</w:t>
      </w:r>
      <w:r>
        <w:rPr>
          <w:color w:val="000000"/>
          <w:sz w:val="22"/>
          <w:szCs w:val="22"/>
          <w:highlight w:val="white"/>
          <w:vertAlign w:val="superscript"/>
        </w:rPr>
        <w:t>-6</w:t>
      </w:r>
      <w:r>
        <w:rPr>
          <w:color w:val="000000"/>
          <w:sz w:val="22"/>
          <w:szCs w:val="22"/>
          <w:highlight w:val="white"/>
        </w:rPr>
        <w:t>)</w:t>
      </w:r>
      <w:r>
        <w:rPr>
          <w:color w:val="000000"/>
          <w:sz w:val="22"/>
          <w:szCs w:val="22"/>
        </w:rPr>
        <w:t>. Competitive gene-set analyses were also carried out in MAGMA using 10,673 gene sets (5,915 GO terms, 4,758 Curated gene sets) obtained from MsigDB v5.2. Functional interrogation of gene-based associati</w:t>
      </w:r>
      <w:r>
        <w:rPr>
          <w:color w:val="000000"/>
          <w:sz w:val="22"/>
          <w:szCs w:val="22"/>
        </w:rPr>
        <w:t>ons was conducted using the GTEx portal (</w:t>
      </w:r>
      <w:hyperlink r:id="rId10">
        <w:r>
          <w:rPr>
            <w:color w:val="000000"/>
            <w:sz w:val="22"/>
            <w:szCs w:val="22"/>
            <w:u w:val="single"/>
          </w:rPr>
          <w:t>https://gtexportal.org/home/</w:t>
        </w:r>
      </w:hyperlink>
      <w:r>
        <w:rPr>
          <w:color w:val="000000"/>
          <w:sz w:val="22"/>
          <w:szCs w:val="22"/>
        </w:rPr>
        <w:t xml:space="preserve">).  </w:t>
      </w:r>
    </w:p>
    <w:p w:rsidR="00E6467A" w:rsidRDefault="00E6467A">
      <w:pPr>
        <w:spacing w:line="360" w:lineRule="auto"/>
        <w:jc w:val="both"/>
        <w:rPr>
          <w:i/>
          <w:color w:val="000000"/>
          <w:sz w:val="22"/>
          <w:szCs w:val="22"/>
        </w:rPr>
      </w:pPr>
    </w:p>
    <w:p w:rsidR="00E6467A" w:rsidRDefault="007A5689">
      <w:pPr>
        <w:spacing w:line="360" w:lineRule="auto"/>
        <w:jc w:val="both"/>
        <w:rPr>
          <w:color w:val="000000"/>
          <w:sz w:val="22"/>
          <w:szCs w:val="22"/>
        </w:rPr>
      </w:pPr>
      <w:r>
        <w:rPr>
          <w:color w:val="000000"/>
          <w:sz w:val="22"/>
          <w:szCs w:val="22"/>
        </w:rPr>
        <w:t xml:space="preserve">The proportion of variance in science, maths or English accounted for by all the SNPs on the array passing QC, i.e. SNP heritability </w:t>
      </w:r>
      <w:r>
        <w:rPr>
          <w:color w:val="000000"/>
          <w:sz w:val="22"/>
          <w:szCs w:val="22"/>
        </w:rPr>
        <w:t>(h</w:t>
      </w:r>
      <w:r>
        <w:rPr>
          <w:color w:val="000000"/>
          <w:sz w:val="22"/>
          <w:szCs w:val="22"/>
          <w:vertAlign w:val="superscript"/>
        </w:rPr>
        <w:t>2</w:t>
      </w:r>
      <w:r>
        <w:rPr>
          <w:color w:val="000000"/>
          <w:sz w:val="22"/>
          <w:szCs w:val="22"/>
          <w:vertAlign w:val="subscript"/>
        </w:rPr>
        <w:t>SNP</w:t>
      </w:r>
      <w:r>
        <w:rPr>
          <w:color w:val="000000"/>
          <w:sz w:val="22"/>
          <w:szCs w:val="22"/>
        </w:rPr>
        <w:t>), was estimated using two methods that have differing modelling assumptions of the underlying genetic architecture</w:t>
      </w:r>
      <w:r>
        <w:rPr>
          <w:color w:val="000000"/>
          <w:sz w:val="22"/>
          <w:szCs w:val="22"/>
          <w:vertAlign w:val="superscript"/>
        </w:rPr>
        <w:t>60</w:t>
      </w:r>
      <w:r>
        <w:rPr>
          <w:color w:val="000000"/>
          <w:sz w:val="22"/>
          <w:szCs w:val="22"/>
        </w:rPr>
        <w:t xml:space="preserve">, with the view to gain consensus estimates of SNP heritability for academic attainment.  GREML was implemented in the GCTA software </w:t>
      </w:r>
      <w:r>
        <w:rPr>
          <w:color w:val="000000"/>
          <w:sz w:val="22"/>
          <w:szCs w:val="22"/>
        </w:rPr>
        <w:t>package in Unix to provide h</w:t>
      </w:r>
      <w:r>
        <w:rPr>
          <w:color w:val="000000"/>
          <w:sz w:val="22"/>
          <w:szCs w:val="22"/>
          <w:vertAlign w:val="superscript"/>
        </w:rPr>
        <w:t>2</w:t>
      </w:r>
      <w:r>
        <w:rPr>
          <w:color w:val="000000"/>
          <w:sz w:val="22"/>
          <w:szCs w:val="22"/>
          <w:vertAlign w:val="subscript"/>
        </w:rPr>
        <w:t>SNP</w:t>
      </w:r>
      <w:r>
        <w:rPr>
          <w:color w:val="000000"/>
          <w:sz w:val="22"/>
          <w:szCs w:val="22"/>
        </w:rPr>
        <w:t xml:space="preserve"> estimates using individual level genetic data</w:t>
      </w:r>
      <w:r>
        <w:rPr>
          <w:color w:val="000000"/>
          <w:sz w:val="22"/>
          <w:szCs w:val="22"/>
          <w:vertAlign w:val="superscript"/>
        </w:rPr>
        <w:t>27</w:t>
      </w:r>
      <w:r>
        <w:rPr>
          <w:color w:val="000000"/>
          <w:sz w:val="22"/>
          <w:szCs w:val="22"/>
        </w:rPr>
        <w:t>. LD-score regression (LDSC</w:t>
      </w:r>
      <w:r>
        <w:rPr>
          <w:color w:val="000000"/>
          <w:sz w:val="22"/>
          <w:szCs w:val="22"/>
          <w:vertAlign w:val="superscript"/>
        </w:rPr>
        <w:t>26</w:t>
      </w:r>
      <w:r>
        <w:rPr>
          <w:color w:val="000000"/>
          <w:sz w:val="22"/>
          <w:szCs w:val="22"/>
        </w:rPr>
        <w:t>) in Unix was used to estimate h</w:t>
      </w:r>
      <w:r>
        <w:rPr>
          <w:color w:val="000000"/>
          <w:sz w:val="22"/>
          <w:szCs w:val="22"/>
          <w:vertAlign w:val="superscript"/>
        </w:rPr>
        <w:t>2</w:t>
      </w:r>
      <w:r>
        <w:rPr>
          <w:color w:val="000000"/>
          <w:sz w:val="22"/>
          <w:szCs w:val="22"/>
          <w:vertAlign w:val="subscript"/>
        </w:rPr>
        <w:t>SNP</w:t>
      </w:r>
      <w:r>
        <w:rPr>
          <w:color w:val="000000"/>
          <w:sz w:val="22"/>
          <w:szCs w:val="22"/>
        </w:rPr>
        <w:t xml:space="preserve"> using the GWAS summary statistics.  Genetic correlations were estimated between cognitive, educational, psychiatric and personality traits available in – and using – LD hub (</w:t>
      </w:r>
      <w:hyperlink r:id="rId11">
        <w:r>
          <w:rPr>
            <w:color w:val="000000"/>
            <w:sz w:val="22"/>
            <w:szCs w:val="22"/>
            <w:u w:val="single"/>
          </w:rPr>
          <w:t>http://ldsc.broadinstitute.org</w:t>
        </w:r>
      </w:hyperlink>
      <w:r>
        <w:rPr>
          <w:color w:val="000000"/>
          <w:sz w:val="22"/>
          <w:szCs w:val="22"/>
        </w:rPr>
        <w:t>)</w:t>
      </w:r>
      <w:r>
        <w:rPr>
          <w:color w:val="000000"/>
          <w:sz w:val="22"/>
          <w:szCs w:val="22"/>
        </w:rPr>
        <w:t xml:space="preserve">.  See </w:t>
      </w:r>
      <w:r>
        <w:rPr>
          <w:b/>
          <w:color w:val="000000"/>
          <w:sz w:val="22"/>
          <w:szCs w:val="22"/>
        </w:rPr>
        <w:t>Supplementary Note 4.</w:t>
      </w:r>
      <w:r>
        <w:rPr>
          <w:color w:val="000000"/>
          <w:sz w:val="22"/>
          <w:szCs w:val="22"/>
        </w:rPr>
        <w:t xml:space="preserve"> Due to the homogeneous nature of the ALSPAC sample the LDSC h</w:t>
      </w:r>
      <w:r>
        <w:rPr>
          <w:color w:val="000000"/>
          <w:sz w:val="22"/>
          <w:szCs w:val="22"/>
          <w:vertAlign w:val="superscript"/>
        </w:rPr>
        <w:t>2</w:t>
      </w:r>
      <w:r>
        <w:rPr>
          <w:color w:val="000000"/>
          <w:sz w:val="22"/>
          <w:szCs w:val="22"/>
        </w:rPr>
        <w:t xml:space="preserve"> intercept was constrained to 1. We note that this will result in lower standard errors</w:t>
      </w:r>
      <w:r>
        <w:rPr>
          <w:color w:val="000000"/>
          <w:sz w:val="22"/>
          <w:szCs w:val="22"/>
          <w:vertAlign w:val="superscript"/>
        </w:rPr>
        <w:t>26</w:t>
      </w:r>
      <w:r>
        <w:rPr>
          <w:color w:val="000000"/>
          <w:sz w:val="22"/>
          <w:szCs w:val="22"/>
        </w:rPr>
        <w:t xml:space="preserve"> </w:t>
      </w:r>
      <w:r>
        <w:rPr>
          <w:color w:val="000000"/>
          <w:sz w:val="22"/>
          <w:szCs w:val="22"/>
        </w:rPr>
        <w:t>and also report unconstrained estimates.  The AA-regressed and IQ-regressed</w:t>
      </w:r>
      <w:r>
        <w:rPr>
          <w:color w:val="000000"/>
          <w:sz w:val="22"/>
          <w:szCs w:val="22"/>
        </w:rPr>
        <w:t xml:space="preserve"> attainment scores were excluded from this LDSC analysis due to the low SNP heritability estimates (and large standard errors) obtained leading to low heritability z-score (Z &lt; 4). Finally, z-tests were used to assess whether heritability results were sign</w:t>
      </w:r>
      <w:r>
        <w:rPr>
          <w:color w:val="000000"/>
          <w:sz w:val="22"/>
          <w:szCs w:val="22"/>
        </w:rPr>
        <w:t xml:space="preserve">ificantly larger than 0, whether correlations were significantly smaller than 1 and whether correlations were significantly different from each other (p &lt; 0.05).  </w:t>
      </w:r>
    </w:p>
    <w:p w:rsidR="00E6467A" w:rsidRDefault="007A5689">
      <w:pPr>
        <w:pStyle w:val="Heading2"/>
        <w:ind w:left="0"/>
      </w:pPr>
      <w:r>
        <w:lastRenderedPageBreak/>
        <w:t xml:space="preserve">Replication </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Replication of independent significantly associated SNPs and genes was perform</w:t>
      </w:r>
      <w:r>
        <w:rPr>
          <w:color w:val="000000"/>
          <w:sz w:val="22"/>
          <w:szCs w:val="22"/>
        </w:rPr>
        <w:t>ed using data from the Twins Early Development Study. TEDS is a longitudinal study investigating the cognitive and behavioural development of twins born in England and Wales between January 1994 and December 1996 (</w:t>
      </w:r>
      <w:hyperlink r:id="rId12">
        <w:r>
          <w:rPr>
            <w:color w:val="000000"/>
            <w:sz w:val="22"/>
            <w:szCs w:val="22"/>
            <w:u w:val="single"/>
          </w:rPr>
          <w:t>w</w:t>
        </w:r>
        <w:r>
          <w:rPr>
            <w:color w:val="000000"/>
            <w:sz w:val="22"/>
            <w:szCs w:val="22"/>
            <w:u w:val="single"/>
          </w:rPr>
          <w:t>ww.teds.ac.uk</w:t>
        </w:r>
      </w:hyperlink>
      <w:r>
        <w:rPr>
          <w:color w:val="000000"/>
          <w:sz w:val="22"/>
          <w:szCs w:val="22"/>
          <w:u w:val="single"/>
        </w:rPr>
        <w:t>)</w:t>
      </w:r>
      <w:r>
        <w:rPr>
          <w:color w:val="000000"/>
          <w:sz w:val="22"/>
          <w:szCs w:val="22"/>
          <w:vertAlign w:val="superscript"/>
        </w:rPr>
        <w:t>24</w:t>
      </w:r>
      <w:r>
        <w:rPr>
          <w:color w:val="000000"/>
          <w:sz w:val="22"/>
          <w:szCs w:val="22"/>
        </w:rPr>
        <w:t>. TEDS participants completed various web and telephone-based tests and questionnaires at regular intervals over childhood and adolescence designed to assess various aspects of cognition, language and behaviour, which are described in detai</w:t>
      </w:r>
      <w:r>
        <w:rPr>
          <w:color w:val="000000"/>
          <w:sz w:val="22"/>
          <w:szCs w:val="22"/>
        </w:rPr>
        <w:t>l elsewhere</w:t>
      </w:r>
      <w:r>
        <w:rPr>
          <w:color w:val="000000"/>
          <w:sz w:val="22"/>
          <w:szCs w:val="22"/>
          <w:vertAlign w:val="superscript"/>
        </w:rPr>
        <w:t>61</w:t>
      </w:r>
      <w:r>
        <w:rPr>
          <w:color w:val="000000"/>
          <w:sz w:val="22"/>
          <w:szCs w:val="22"/>
        </w:rPr>
        <w:t xml:space="preserve">. The available sample consisted of 2,352 individuals (one member of each twin pair) for whom academic attainment data at age 14 and genome-wide SNP genotyping data were available (full details can be found in </w:t>
      </w:r>
      <w:r>
        <w:rPr>
          <w:b/>
          <w:color w:val="000000"/>
          <w:sz w:val="22"/>
          <w:szCs w:val="22"/>
        </w:rPr>
        <w:t xml:space="preserve">Supplementary Note </w:t>
      </w:r>
      <w:r>
        <w:rPr>
          <w:b/>
          <w:color w:val="000000"/>
          <w:sz w:val="22"/>
          <w:szCs w:val="22"/>
          <w:highlight w:val="yellow"/>
        </w:rPr>
        <w:t>3</w:t>
      </w:r>
      <w:r>
        <w:rPr>
          <w:color w:val="000000"/>
          <w:sz w:val="22"/>
          <w:szCs w:val="22"/>
        </w:rPr>
        <w:t>). The TEDS c</w:t>
      </w:r>
      <w:r>
        <w:rPr>
          <w:color w:val="000000"/>
          <w:sz w:val="22"/>
          <w:szCs w:val="22"/>
        </w:rPr>
        <w:t>ohort is a few years younger than the ALSPAC cohort (recruited 1994-96), and as school exam procedures had changed during this time national exams (SATs) were no longer obligatory.  Although Key Stage 3 (KS3; age 14) SAT assessments were given to some TEDS</w:t>
      </w:r>
      <w:r>
        <w:rPr>
          <w:color w:val="000000"/>
          <w:sz w:val="22"/>
          <w:szCs w:val="22"/>
        </w:rPr>
        <w:t xml:space="preserve"> pupils, they were teacher rated, </w:t>
      </w:r>
      <w:r>
        <w:rPr>
          <w:i/>
          <w:color w:val="000000"/>
          <w:sz w:val="22"/>
          <w:szCs w:val="22"/>
        </w:rPr>
        <w:t>not</w:t>
      </w:r>
      <w:r>
        <w:rPr>
          <w:color w:val="000000"/>
          <w:sz w:val="22"/>
          <w:szCs w:val="22"/>
        </w:rPr>
        <w:t xml:space="preserve"> nationally standardised. TEDS KS3 scores are therefore not directly comparable with ALSPAC scores and will necessarily capture school and teacher effects. Phenotype and genotype data were retained for 2,352 unrelated i</w:t>
      </w:r>
      <w:r>
        <w:rPr>
          <w:color w:val="000000"/>
          <w:sz w:val="22"/>
          <w:szCs w:val="22"/>
        </w:rPr>
        <w:t xml:space="preserve">ndividuals for maths and 2,330 for science. </w:t>
      </w:r>
      <w:r>
        <w:rPr>
          <w:color w:val="000000"/>
          <w:sz w:val="22"/>
          <w:szCs w:val="22"/>
          <w:highlight w:val="yellow"/>
        </w:rPr>
        <w:t>Linear genotype-phenotype regressions for SNP rs9529641 and the SNPs in genes S100A1, S100A13, BRINP1 and MEF2c were performed separately for each TEDS genotyping array platform (OEE or Affy), regressed on the fi</w:t>
      </w:r>
      <w:r>
        <w:rPr>
          <w:color w:val="000000"/>
          <w:sz w:val="22"/>
          <w:szCs w:val="22"/>
          <w:highlight w:val="yellow"/>
        </w:rPr>
        <w:t>rst 10 ancestry principal components and were quantile normalized in SNPtest</w:t>
      </w:r>
      <w:r>
        <w:rPr>
          <w:color w:val="000000"/>
          <w:sz w:val="22"/>
          <w:szCs w:val="22"/>
          <w:vertAlign w:val="superscript"/>
        </w:rPr>
        <w:t>57</w:t>
      </w:r>
      <w:r>
        <w:rPr>
          <w:color w:val="000000"/>
          <w:sz w:val="22"/>
          <w:szCs w:val="22"/>
          <w:highlight w:val="yellow"/>
        </w:rPr>
        <w:t>. Platform-specific results were then meta-analysed using METAL</w:t>
      </w:r>
      <w:r>
        <w:rPr>
          <w:color w:val="000000"/>
          <w:sz w:val="22"/>
          <w:szCs w:val="22"/>
          <w:vertAlign w:val="superscript"/>
        </w:rPr>
        <w:t>62</w:t>
      </w:r>
      <w:r>
        <w:rPr>
          <w:sz w:val="18"/>
          <w:szCs w:val="18"/>
          <w:highlight w:val="yellow"/>
        </w:rPr>
        <w:t>.</w:t>
      </w:r>
      <w:r>
        <w:rPr>
          <w:color w:val="000000"/>
          <w:sz w:val="22"/>
          <w:szCs w:val="22"/>
          <w:highlight w:val="yellow"/>
        </w:rPr>
        <w:t xml:space="preserve"> Gene-level replication was performed using MAGMA</w:t>
      </w:r>
      <w:r>
        <w:rPr>
          <w:color w:val="000000"/>
          <w:sz w:val="22"/>
          <w:szCs w:val="22"/>
          <w:vertAlign w:val="superscript"/>
        </w:rPr>
        <w:t>59</w:t>
      </w:r>
      <w:r>
        <w:rPr>
          <w:color w:val="000000"/>
          <w:sz w:val="22"/>
          <w:szCs w:val="22"/>
        </w:rPr>
        <w:t>.</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Data Availability:</w:t>
      </w: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color w:val="000000"/>
          <w:sz w:val="22"/>
          <w:szCs w:val="22"/>
        </w:rPr>
        <w:t>Requests for the genotypic and phenoty</w:t>
      </w:r>
      <w:r>
        <w:rPr>
          <w:color w:val="000000"/>
          <w:sz w:val="22"/>
          <w:szCs w:val="22"/>
        </w:rPr>
        <w:t xml:space="preserve">pic datasets analysed and/or generated in the current study can be made via the ALSPAC website  </w:t>
      </w:r>
      <w:hyperlink r:id="rId13">
        <w:r>
          <w:rPr>
            <w:color w:val="000000"/>
            <w:sz w:val="22"/>
            <w:szCs w:val="22"/>
            <w:u w:val="single"/>
          </w:rPr>
          <w:t>http://www.bristol.ac.uk/alspac/researchers/access/</w:t>
        </w:r>
      </w:hyperlink>
      <w:r>
        <w:rPr>
          <w:color w:val="000000"/>
          <w:sz w:val="22"/>
          <w:szCs w:val="22"/>
        </w:rPr>
        <w:t xml:space="preserve">. </w:t>
      </w: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E6467A">
      <w:pPr>
        <w:rPr>
          <w:color w:val="000000"/>
        </w:rPr>
      </w:pPr>
    </w:p>
    <w:p w:rsidR="00E6467A" w:rsidRDefault="007A5689">
      <w:pPr>
        <w:rPr>
          <w:color w:val="000000"/>
        </w:rPr>
      </w:pPr>
      <w:r>
        <w:rPr>
          <w:color w:val="000000"/>
        </w:rPr>
        <w:lastRenderedPageBreak/>
        <w:t>References:</w:t>
      </w:r>
    </w:p>
    <w:p w:rsidR="00E6467A" w:rsidRDefault="00E6467A">
      <w:pPr>
        <w:rPr>
          <w:color w:val="000000"/>
        </w:rPr>
      </w:pP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w:t>
      </w:r>
      <w:r>
        <w:rPr>
          <w:rFonts w:ascii="Georgia" w:eastAsia="Georgia" w:hAnsi="Georgia" w:cs="Georgia"/>
          <w:color w:val="000000"/>
          <w:sz w:val="22"/>
          <w:szCs w:val="22"/>
        </w:rPr>
        <w:tab/>
      </w:r>
      <w:r>
        <w:rPr>
          <w:rFonts w:ascii="Georgia" w:eastAsia="Georgia" w:hAnsi="Georgia" w:cs="Georgia"/>
          <w:color w:val="000000"/>
          <w:sz w:val="22"/>
          <w:szCs w:val="22"/>
        </w:rPr>
        <w:t xml:space="preserve">Herd, P. Education and Health in Late-life among High School Graduates: Cognitive versus Psychological Aspects of Human Capital. </w:t>
      </w:r>
      <w:r>
        <w:rPr>
          <w:rFonts w:ascii="Georgia" w:eastAsia="Georgia" w:hAnsi="Georgia" w:cs="Georgia"/>
          <w:i/>
          <w:color w:val="000000"/>
          <w:sz w:val="22"/>
          <w:szCs w:val="22"/>
        </w:rPr>
        <w:t>J. Health Soc. Behav.</w:t>
      </w:r>
      <w:r>
        <w:rPr>
          <w:rFonts w:ascii="Georgia" w:eastAsia="Georgia" w:hAnsi="Georgia" w:cs="Georgia"/>
          <w:color w:val="000000"/>
          <w:sz w:val="22"/>
          <w:szCs w:val="22"/>
        </w:rPr>
        <w:t xml:space="preserve"> </w:t>
      </w:r>
      <w:r>
        <w:rPr>
          <w:rFonts w:ascii="Georgia" w:eastAsia="Georgia" w:hAnsi="Georgia" w:cs="Georgia"/>
          <w:b/>
          <w:color w:val="000000"/>
          <w:sz w:val="22"/>
          <w:szCs w:val="22"/>
        </w:rPr>
        <w:t>51</w:t>
      </w:r>
      <w:r>
        <w:rPr>
          <w:rFonts w:ascii="Georgia" w:eastAsia="Georgia" w:hAnsi="Georgia" w:cs="Georgia"/>
          <w:color w:val="000000"/>
          <w:sz w:val="22"/>
          <w:szCs w:val="22"/>
        </w:rPr>
        <w:t>, 478–496 (2010).</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w:t>
      </w:r>
      <w:r>
        <w:rPr>
          <w:rFonts w:ascii="Georgia" w:eastAsia="Georgia" w:hAnsi="Georgia" w:cs="Georgia"/>
          <w:color w:val="000000"/>
          <w:sz w:val="22"/>
          <w:szCs w:val="22"/>
        </w:rPr>
        <w:tab/>
        <w:t>Krapohl, E. &amp; Plomin, R. Genetic link between family socioeconomic status and chil</w:t>
      </w:r>
      <w:r>
        <w:rPr>
          <w:rFonts w:ascii="Georgia" w:eastAsia="Georgia" w:hAnsi="Georgia" w:cs="Georgia"/>
          <w:color w:val="000000"/>
          <w:sz w:val="22"/>
          <w:szCs w:val="22"/>
        </w:rPr>
        <w:t xml:space="preserve">dren’s educational achievement estimated from genome-wide SNPs. </w:t>
      </w:r>
      <w:r>
        <w:rPr>
          <w:rFonts w:ascii="Georgia" w:eastAsia="Georgia" w:hAnsi="Georgia" w:cs="Georgia"/>
          <w:i/>
          <w:color w:val="000000"/>
          <w:sz w:val="22"/>
          <w:szCs w:val="22"/>
        </w:rPr>
        <w:t>Mol. Psychiatry</w:t>
      </w:r>
      <w:r>
        <w:rPr>
          <w:rFonts w:ascii="Georgia" w:eastAsia="Georgia" w:hAnsi="Georgia" w:cs="Georgia"/>
          <w:color w:val="000000"/>
          <w:sz w:val="22"/>
          <w:szCs w:val="22"/>
        </w:rPr>
        <w:t xml:space="preserve"> </w:t>
      </w:r>
      <w:r>
        <w:rPr>
          <w:rFonts w:ascii="Georgia" w:eastAsia="Georgia" w:hAnsi="Georgia" w:cs="Georgia"/>
          <w:b/>
          <w:color w:val="000000"/>
          <w:sz w:val="22"/>
          <w:szCs w:val="22"/>
        </w:rPr>
        <w:t>21</w:t>
      </w:r>
      <w:r>
        <w:rPr>
          <w:rFonts w:ascii="Georgia" w:eastAsia="Georgia" w:hAnsi="Georgia" w:cs="Georgia"/>
          <w:color w:val="000000"/>
          <w:sz w:val="22"/>
          <w:szCs w:val="22"/>
        </w:rPr>
        <w:t>, 437–443 (2016).</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w:t>
      </w:r>
      <w:r>
        <w:rPr>
          <w:rFonts w:ascii="Georgia" w:eastAsia="Georgia" w:hAnsi="Georgia" w:cs="Georgia"/>
          <w:color w:val="000000"/>
          <w:sz w:val="22"/>
          <w:szCs w:val="22"/>
        </w:rPr>
        <w:tab/>
        <w:t>de Zeeuw, E. L., de Geus, E. J. C. &amp; Boomsma, D. I. Meta-analysis of twin studies highlights the importance of genetic variation in primary school educat</w:t>
      </w:r>
      <w:r>
        <w:rPr>
          <w:rFonts w:ascii="Georgia" w:eastAsia="Georgia" w:hAnsi="Georgia" w:cs="Georgia"/>
          <w:color w:val="000000"/>
          <w:sz w:val="22"/>
          <w:szCs w:val="22"/>
        </w:rPr>
        <w:t xml:space="preserve">ional achievement. </w:t>
      </w:r>
      <w:r>
        <w:rPr>
          <w:rFonts w:ascii="Georgia" w:eastAsia="Georgia" w:hAnsi="Georgia" w:cs="Georgia"/>
          <w:i/>
          <w:color w:val="000000"/>
          <w:sz w:val="22"/>
          <w:szCs w:val="22"/>
        </w:rPr>
        <w:t>Trends Neurosci. Educ.</w:t>
      </w:r>
      <w:r>
        <w:rPr>
          <w:rFonts w:ascii="Georgia" w:eastAsia="Georgia" w:hAnsi="Georgia" w:cs="Georgia"/>
          <w:color w:val="000000"/>
          <w:sz w:val="22"/>
          <w:szCs w:val="22"/>
        </w:rPr>
        <w:t xml:space="preserve"> </w:t>
      </w:r>
      <w:r>
        <w:rPr>
          <w:rFonts w:ascii="Georgia" w:eastAsia="Georgia" w:hAnsi="Georgia" w:cs="Georgia"/>
          <w:b/>
          <w:color w:val="000000"/>
          <w:sz w:val="22"/>
          <w:szCs w:val="22"/>
        </w:rPr>
        <w:t>4</w:t>
      </w:r>
      <w:r>
        <w:rPr>
          <w:rFonts w:ascii="Georgia" w:eastAsia="Georgia" w:hAnsi="Georgia" w:cs="Georgia"/>
          <w:color w:val="000000"/>
          <w:sz w:val="22"/>
          <w:szCs w:val="22"/>
        </w:rPr>
        <w:t>, 69–76 (2015).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w:t>
      </w:r>
      <w:r>
        <w:rPr>
          <w:rFonts w:ascii="Georgia" w:eastAsia="Georgia" w:hAnsi="Georgia" w:cs="Georgia"/>
          <w:color w:val="000000"/>
          <w:sz w:val="22"/>
          <w:szCs w:val="22"/>
        </w:rPr>
        <w:tab/>
        <w:t xml:space="preserve">Docherty, S. J.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A genome-wide association study identifies multiple loci associated with mathematics ability and disability. </w:t>
      </w:r>
      <w:r>
        <w:rPr>
          <w:rFonts w:ascii="Georgia" w:eastAsia="Georgia" w:hAnsi="Georgia" w:cs="Georgia"/>
          <w:i/>
          <w:color w:val="000000"/>
          <w:sz w:val="22"/>
          <w:szCs w:val="22"/>
        </w:rPr>
        <w:t>Genes Brain Behav.</w:t>
      </w:r>
      <w:r>
        <w:rPr>
          <w:rFonts w:ascii="Georgia" w:eastAsia="Georgia" w:hAnsi="Georgia" w:cs="Georgia"/>
          <w:color w:val="000000"/>
          <w:sz w:val="22"/>
          <w:szCs w:val="22"/>
        </w:rPr>
        <w:t xml:space="preserve"> </w:t>
      </w:r>
      <w:r>
        <w:rPr>
          <w:rFonts w:ascii="Georgia" w:eastAsia="Georgia" w:hAnsi="Georgia" w:cs="Georgia"/>
          <w:b/>
          <w:color w:val="000000"/>
          <w:sz w:val="22"/>
          <w:szCs w:val="22"/>
        </w:rPr>
        <w:t>9</w:t>
      </w:r>
      <w:r>
        <w:rPr>
          <w:rFonts w:ascii="Georgia" w:eastAsia="Georgia" w:hAnsi="Georgia" w:cs="Georgia"/>
          <w:color w:val="000000"/>
          <w:sz w:val="22"/>
          <w:szCs w:val="22"/>
        </w:rPr>
        <w:t>, 234–247 (2010).</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w:t>
      </w:r>
      <w:r>
        <w:rPr>
          <w:rFonts w:ascii="Georgia" w:eastAsia="Georgia" w:hAnsi="Georgia" w:cs="Georgia"/>
          <w:color w:val="000000"/>
          <w:sz w:val="22"/>
          <w:szCs w:val="22"/>
        </w:rPr>
        <w:tab/>
        <w:t xml:space="preserve">Harlaar, N.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Genome-wide association study of receptive language ability of 12-year-olds. </w:t>
      </w:r>
      <w:r>
        <w:rPr>
          <w:rFonts w:ascii="Georgia" w:eastAsia="Georgia" w:hAnsi="Georgia" w:cs="Georgia"/>
          <w:i/>
          <w:color w:val="000000"/>
          <w:sz w:val="22"/>
          <w:szCs w:val="22"/>
        </w:rPr>
        <w:t>J. Speech Lang. Hear. Res.</w:t>
      </w:r>
      <w:r>
        <w:rPr>
          <w:rFonts w:ascii="Georgia" w:eastAsia="Georgia" w:hAnsi="Georgia" w:cs="Georgia"/>
          <w:color w:val="000000"/>
          <w:sz w:val="22"/>
          <w:szCs w:val="22"/>
        </w:rPr>
        <w:t xml:space="preserve"> </w:t>
      </w:r>
      <w:r>
        <w:rPr>
          <w:rFonts w:ascii="Georgia" w:eastAsia="Georgia" w:hAnsi="Georgia" w:cs="Georgia"/>
          <w:b/>
          <w:color w:val="000000"/>
          <w:sz w:val="22"/>
          <w:szCs w:val="22"/>
        </w:rPr>
        <w:t>57</w:t>
      </w:r>
      <w:r>
        <w:rPr>
          <w:rFonts w:ascii="Georgia" w:eastAsia="Georgia" w:hAnsi="Georgia" w:cs="Georgia"/>
          <w:color w:val="000000"/>
          <w:sz w:val="22"/>
          <w:szCs w:val="22"/>
        </w:rPr>
        <w:t>, 96–105 (2014).</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6.</w:t>
      </w:r>
      <w:r>
        <w:rPr>
          <w:rFonts w:ascii="Georgia" w:eastAsia="Georgia" w:hAnsi="Georgia" w:cs="Georgia"/>
          <w:color w:val="000000"/>
          <w:sz w:val="22"/>
          <w:szCs w:val="22"/>
        </w:rPr>
        <w:tab/>
        <w:t>Meaburn, E. L., Harlaar, N., Craig, I. W., Schalkwyk, L. C. &amp; Plomin, R. Quantitative trait locus association scan of early readi</w:t>
      </w:r>
      <w:r>
        <w:rPr>
          <w:rFonts w:ascii="Georgia" w:eastAsia="Georgia" w:hAnsi="Georgia" w:cs="Georgia"/>
          <w:color w:val="000000"/>
          <w:sz w:val="22"/>
          <w:szCs w:val="22"/>
        </w:rPr>
        <w:t xml:space="preserve">ng disability and ability using pooled DNA and 100K SNP microarrays in a sample of 5760 children. </w:t>
      </w:r>
      <w:r>
        <w:rPr>
          <w:rFonts w:ascii="Georgia" w:eastAsia="Georgia" w:hAnsi="Georgia" w:cs="Georgia"/>
          <w:i/>
          <w:color w:val="000000"/>
          <w:sz w:val="22"/>
          <w:szCs w:val="22"/>
        </w:rPr>
        <w:t>Mol. Psychiatry</w:t>
      </w:r>
      <w:r>
        <w:rPr>
          <w:rFonts w:ascii="Georgia" w:eastAsia="Georgia" w:hAnsi="Georgia" w:cs="Georgia"/>
          <w:color w:val="000000"/>
          <w:sz w:val="22"/>
          <w:szCs w:val="22"/>
        </w:rPr>
        <w:t xml:space="preserve"> </w:t>
      </w:r>
      <w:r>
        <w:rPr>
          <w:rFonts w:ascii="Georgia" w:eastAsia="Georgia" w:hAnsi="Georgia" w:cs="Georgia"/>
          <w:b/>
          <w:color w:val="000000"/>
          <w:sz w:val="22"/>
          <w:szCs w:val="22"/>
        </w:rPr>
        <w:t>13</w:t>
      </w:r>
      <w:r>
        <w:rPr>
          <w:rFonts w:ascii="Georgia" w:eastAsia="Georgia" w:hAnsi="Georgia" w:cs="Georgia"/>
          <w:color w:val="000000"/>
          <w:sz w:val="22"/>
          <w:szCs w:val="22"/>
        </w:rPr>
        <w:t>, 729–740 (2008).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7.</w:t>
      </w:r>
      <w:r>
        <w:rPr>
          <w:rFonts w:ascii="Georgia" w:eastAsia="Georgia" w:hAnsi="Georgia" w:cs="Georgia"/>
          <w:color w:val="000000"/>
          <w:sz w:val="22"/>
          <w:szCs w:val="22"/>
        </w:rPr>
        <w:tab/>
        <w:t xml:space="preserve">Kovas, Y., Harlaar, N., Petrill, S. A. &amp; Plomin, R. ‘Generalist genes’ and mathematics in 7-year-old twins. </w:t>
      </w:r>
      <w:r>
        <w:rPr>
          <w:rFonts w:ascii="Georgia" w:eastAsia="Georgia" w:hAnsi="Georgia" w:cs="Georgia"/>
          <w:i/>
          <w:color w:val="000000"/>
          <w:sz w:val="22"/>
          <w:szCs w:val="22"/>
        </w:rPr>
        <w:t>Intelligenc</w:t>
      </w:r>
      <w:r>
        <w:rPr>
          <w:rFonts w:ascii="Georgia" w:eastAsia="Georgia" w:hAnsi="Georgia" w:cs="Georgia"/>
          <w:i/>
          <w:color w:val="000000"/>
          <w:sz w:val="22"/>
          <w:szCs w:val="22"/>
        </w:rPr>
        <w:t>e</w:t>
      </w:r>
      <w:r>
        <w:rPr>
          <w:rFonts w:ascii="Georgia" w:eastAsia="Georgia" w:hAnsi="Georgia" w:cs="Georgia"/>
          <w:color w:val="000000"/>
          <w:sz w:val="22"/>
          <w:szCs w:val="22"/>
        </w:rPr>
        <w:t xml:space="preserve"> </w:t>
      </w:r>
      <w:r>
        <w:rPr>
          <w:rFonts w:ascii="Georgia" w:eastAsia="Georgia" w:hAnsi="Georgia" w:cs="Georgia"/>
          <w:b/>
          <w:color w:val="000000"/>
          <w:sz w:val="22"/>
          <w:szCs w:val="22"/>
        </w:rPr>
        <w:t>33</w:t>
      </w:r>
      <w:r>
        <w:rPr>
          <w:rFonts w:ascii="Georgia" w:eastAsia="Georgia" w:hAnsi="Georgia" w:cs="Georgia"/>
          <w:color w:val="000000"/>
          <w:sz w:val="22"/>
          <w:szCs w:val="22"/>
        </w:rPr>
        <w:t>, 473–489 (2005).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8.</w:t>
      </w:r>
      <w:r>
        <w:rPr>
          <w:rFonts w:ascii="Georgia" w:eastAsia="Georgia" w:hAnsi="Georgia" w:cs="Georgia"/>
          <w:color w:val="000000"/>
          <w:sz w:val="22"/>
          <w:szCs w:val="22"/>
        </w:rPr>
        <w:tab/>
        <w:t xml:space="preserve">Rietveld, C. A.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GWAS of 126,559 individuals identifies genetic variants associated with educational attainment. </w:t>
      </w:r>
      <w:r>
        <w:rPr>
          <w:rFonts w:ascii="Georgia" w:eastAsia="Georgia" w:hAnsi="Georgia" w:cs="Georgia"/>
          <w:i/>
          <w:color w:val="000000"/>
          <w:sz w:val="22"/>
          <w:szCs w:val="22"/>
        </w:rPr>
        <w:t>Science</w:t>
      </w:r>
      <w:r>
        <w:rPr>
          <w:rFonts w:ascii="Georgia" w:eastAsia="Georgia" w:hAnsi="Georgia" w:cs="Georgia"/>
          <w:color w:val="000000"/>
          <w:sz w:val="22"/>
          <w:szCs w:val="22"/>
        </w:rPr>
        <w:t xml:space="preserve"> </w:t>
      </w:r>
      <w:r>
        <w:rPr>
          <w:rFonts w:ascii="Georgia" w:eastAsia="Georgia" w:hAnsi="Georgia" w:cs="Georgia"/>
          <w:b/>
          <w:color w:val="000000"/>
          <w:sz w:val="22"/>
          <w:szCs w:val="22"/>
        </w:rPr>
        <w:t>340</w:t>
      </w:r>
      <w:r>
        <w:rPr>
          <w:rFonts w:ascii="Georgia" w:eastAsia="Georgia" w:hAnsi="Georgia" w:cs="Georgia"/>
          <w:color w:val="000000"/>
          <w:sz w:val="22"/>
          <w:szCs w:val="22"/>
        </w:rPr>
        <w:t>, 1467–1471 (2013).</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9.</w:t>
      </w:r>
      <w:r>
        <w:rPr>
          <w:rFonts w:ascii="Georgia" w:eastAsia="Georgia" w:hAnsi="Georgia" w:cs="Georgia"/>
          <w:color w:val="000000"/>
          <w:sz w:val="22"/>
          <w:szCs w:val="22"/>
        </w:rPr>
        <w:tab/>
        <w:t xml:space="preserve">Trampush, J. W.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Independent evidence for an association between general</w:t>
      </w:r>
      <w:r>
        <w:rPr>
          <w:rFonts w:ascii="Georgia" w:eastAsia="Georgia" w:hAnsi="Georgia" w:cs="Georgia"/>
          <w:color w:val="000000"/>
          <w:sz w:val="22"/>
          <w:szCs w:val="22"/>
        </w:rPr>
        <w:t xml:space="preserve"> cognitive ability and a genetic locus for educational attainment. </w:t>
      </w:r>
      <w:r>
        <w:rPr>
          <w:rFonts w:ascii="Georgia" w:eastAsia="Georgia" w:hAnsi="Georgia" w:cs="Georgia"/>
          <w:i/>
          <w:color w:val="000000"/>
          <w:sz w:val="22"/>
          <w:szCs w:val="22"/>
        </w:rPr>
        <w:t>Am. J. Med. Genet. B Neuropsychiatr.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168</w:t>
      </w:r>
      <w:r>
        <w:rPr>
          <w:rFonts w:ascii="Georgia" w:eastAsia="Georgia" w:hAnsi="Georgia" w:cs="Georgia"/>
          <w:color w:val="000000"/>
          <w:sz w:val="22"/>
          <w:szCs w:val="22"/>
        </w:rPr>
        <w:t>, 363–373 (2015).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10.</w:t>
      </w:r>
      <w:r>
        <w:rPr>
          <w:rFonts w:ascii="Georgia" w:eastAsia="Georgia" w:hAnsi="Georgia" w:cs="Georgia"/>
          <w:color w:val="000000"/>
          <w:sz w:val="22"/>
          <w:szCs w:val="22"/>
        </w:rPr>
        <w:tab/>
        <w:t xml:space="preserve">Okbay, A.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Genome-wide association study identifies 74 loci associated with educational attainment. </w:t>
      </w:r>
      <w:r>
        <w:rPr>
          <w:rFonts w:ascii="Georgia" w:eastAsia="Georgia" w:hAnsi="Georgia" w:cs="Georgia"/>
          <w:i/>
          <w:color w:val="000000"/>
          <w:sz w:val="22"/>
          <w:szCs w:val="22"/>
        </w:rPr>
        <w:t>Nature</w:t>
      </w:r>
      <w:r>
        <w:rPr>
          <w:rFonts w:ascii="Georgia" w:eastAsia="Georgia" w:hAnsi="Georgia" w:cs="Georgia"/>
          <w:color w:val="000000"/>
          <w:sz w:val="22"/>
          <w:szCs w:val="22"/>
        </w:rPr>
        <w:t xml:space="preserve"> </w:t>
      </w:r>
      <w:r>
        <w:rPr>
          <w:rFonts w:ascii="Georgia" w:eastAsia="Georgia" w:hAnsi="Georgia" w:cs="Georgia"/>
          <w:b/>
          <w:color w:val="000000"/>
          <w:sz w:val="22"/>
          <w:szCs w:val="22"/>
        </w:rPr>
        <w:t>533</w:t>
      </w:r>
      <w:r>
        <w:rPr>
          <w:rFonts w:ascii="Georgia" w:eastAsia="Georgia" w:hAnsi="Georgia" w:cs="Georgia"/>
          <w:color w:val="000000"/>
          <w:sz w:val="22"/>
          <w:szCs w:val="22"/>
        </w:rPr>
        <w:t>, 53</w:t>
      </w:r>
      <w:r>
        <w:rPr>
          <w:rFonts w:ascii="Georgia" w:eastAsia="Georgia" w:hAnsi="Georgia" w:cs="Georgia"/>
          <w:color w:val="000000"/>
          <w:sz w:val="22"/>
          <w:szCs w:val="22"/>
        </w:rPr>
        <w:t>9–542 (2016).</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lastRenderedPageBreak/>
        <w:t>11.</w:t>
      </w:r>
      <w:r>
        <w:rPr>
          <w:rFonts w:ascii="Georgia" w:eastAsia="Georgia" w:hAnsi="Georgia" w:cs="Georgia"/>
          <w:color w:val="000000"/>
          <w:sz w:val="22"/>
          <w:szCs w:val="22"/>
        </w:rPr>
        <w:tab/>
        <w:t xml:space="preserve">Lee, J. J.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Gene discovery and polygenic prediction from a genome-wide association study of educational attainment in 1.1 million individuals. </w:t>
      </w:r>
      <w:r>
        <w:rPr>
          <w:rFonts w:ascii="Georgia" w:eastAsia="Georgia" w:hAnsi="Georgia" w:cs="Georgia"/>
          <w:i/>
          <w:color w:val="000000"/>
          <w:sz w:val="22"/>
          <w:szCs w:val="22"/>
        </w:rPr>
        <w:t>Nat.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50</w:t>
      </w:r>
      <w:r>
        <w:rPr>
          <w:rFonts w:ascii="Georgia" w:eastAsia="Georgia" w:hAnsi="Georgia" w:cs="Georgia"/>
          <w:color w:val="000000"/>
          <w:sz w:val="22"/>
          <w:szCs w:val="22"/>
        </w:rPr>
        <w:t>, 1112–1121 (2018).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12.</w:t>
      </w:r>
      <w:r>
        <w:rPr>
          <w:rFonts w:ascii="Georgia" w:eastAsia="Georgia" w:hAnsi="Georgia" w:cs="Georgia"/>
          <w:color w:val="000000"/>
          <w:sz w:val="22"/>
          <w:szCs w:val="22"/>
        </w:rPr>
        <w:tab/>
        <w:t xml:space="preserve">Krapohl, E.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Phenome-wide analysis of genome-wide polygenic scores. </w:t>
      </w:r>
      <w:r>
        <w:rPr>
          <w:rFonts w:ascii="Georgia" w:eastAsia="Georgia" w:hAnsi="Georgia" w:cs="Georgia"/>
          <w:i/>
          <w:color w:val="000000"/>
          <w:sz w:val="22"/>
          <w:szCs w:val="22"/>
        </w:rPr>
        <w:t>Mol. Psychiatry</w:t>
      </w:r>
      <w:r>
        <w:rPr>
          <w:rFonts w:ascii="Georgia" w:eastAsia="Georgia" w:hAnsi="Georgia" w:cs="Georgia"/>
          <w:color w:val="000000"/>
          <w:sz w:val="22"/>
          <w:szCs w:val="22"/>
        </w:rPr>
        <w:t xml:space="preserve"> </w:t>
      </w:r>
      <w:r>
        <w:rPr>
          <w:rFonts w:ascii="Georgia" w:eastAsia="Georgia" w:hAnsi="Georgia" w:cs="Georgia"/>
          <w:b/>
          <w:color w:val="000000"/>
          <w:sz w:val="22"/>
          <w:szCs w:val="22"/>
        </w:rPr>
        <w:t>21</w:t>
      </w:r>
      <w:r>
        <w:rPr>
          <w:rFonts w:ascii="Georgia" w:eastAsia="Georgia" w:hAnsi="Georgia" w:cs="Georgia"/>
          <w:color w:val="000000"/>
          <w:sz w:val="22"/>
          <w:szCs w:val="22"/>
        </w:rPr>
        <w:t>, 1188–1193 (2016).</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13.</w:t>
      </w:r>
      <w:r>
        <w:rPr>
          <w:rFonts w:ascii="Georgia" w:eastAsia="Georgia" w:hAnsi="Georgia" w:cs="Georgia"/>
          <w:color w:val="000000"/>
          <w:sz w:val="22"/>
          <w:szCs w:val="22"/>
        </w:rPr>
        <w:tab/>
        <w:t xml:space="preserve">Zeeuw, E. L. de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Polygenic scores associated with educational attainment in adults predict educational achievement and ADHD symptoms in children. </w:t>
      </w:r>
      <w:r>
        <w:rPr>
          <w:rFonts w:ascii="Georgia" w:eastAsia="Georgia" w:hAnsi="Georgia" w:cs="Georgia"/>
          <w:i/>
          <w:color w:val="000000"/>
          <w:sz w:val="22"/>
          <w:szCs w:val="22"/>
        </w:rPr>
        <w:t>Am. J.</w:t>
      </w:r>
      <w:r>
        <w:rPr>
          <w:rFonts w:ascii="Georgia" w:eastAsia="Georgia" w:hAnsi="Georgia" w:cs="Georgia"/>
          <w:i/>
          <w:color w:val="000000"/>
          <w:sz w:val="22"/>
          <w:szCs w:val="22"/>
        </w:rPr>
        <w:t xml:space="preserve"> Med. Genet. B Neuropsychiatr.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165</w:t>
      </w:r>
      <w:r>
        <w:rPr>
          <w:rFonts w:ascii="Georgia" w:eastAsia="Georgia" w:hAnsi="Georgia" w:cs="Georgia"/>
          <w:color w:val="000000"/>
          <w:sz w:val="22"/>
          <w:szCs w:val="22"/>
        </w:rPr>
        <w:t>, 510–520 (2014).</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14.</w:t>
      </w:r>
      <w:r>
        <w:rPr>
          <w:rFonts w:ascii="Georgia" w:eastAsia="Georgia" w:hAnsi="Georgia" w:cs="Georgia"/>
          <w:color w:val="000000"/>
          <w:sz w:val="22"/>
          <w:szCs w:val="22"/>
        </w:rPr>
        <w:tab/>
        <w:t xml:space="preserve">Donati, G., Meaburn, E. L. &amp; Dumontheil, I. The specificity of associations between cognition and attainment in English, maths and science during adolescence. </w:t>
      </w:r>
      <w:r>
        <w:rPr>
          <w:rFonts w:ascii="Georgia" w:eastAsia="Georgia" w:hAnsi="Georgia" w:cs="Georgia"/>
          <w:i/>
          <w:color w:val="000000"/>
          <w:sz w:val="22"/>
          <w:szCs w:val="22"/>
        </w:rPr>
        <w:t>Learn. Individ. Differ.</w:t>
      </w:r>
      <w:r>
        <w:rPr>
          <w:rFonts w:ascii="Georgia" w:eastAsia="Georgia" w:hAnsi="Georgia" w:cs="Georgia"/>
          <w:color w:val="000000"/>
          <w:sz w:val="22"/>
          <w:szCs w:val="22"/>
        </w:rPr>
        <w:t xml:space="preserve"> </w:t>
      </w:r>
      <w:r>
        <w:rPr>
          <w:rFonts w:ascii="Georgia" w:eastAsia="Georgia" w:hAnsi="Georgia" w:cs="Georgia"/>
          <w:b/>
          <w:color w:val="000000"/>
          <w:sz w:val="22"/>
          <w:szCs w:val="22"/>
        </w:rPr>
        <w:t>69</w:t>
      </w:r>
      <w:r>
        <w:rPr>
          <w:rFonts w:ascii="Georgia" w:eastAsia="Georgia" w:hAnsi="Georgia" w:cs="Georgia"/>
          <w:color w:val="000000"/>
          <w:sz w:val="22"/>
          <w:szCs w:val="22"/>
        </w:rPr>
        <w:t xml:space="preserve">, 84–93 </w:t>
      </w:r>
      <w:r>
        <w:rPr>
          <w:rFonts w:ascii="Georgia" w:eastAsia="Georgia" w:hAnsi="Georgia" w:cs="Georgia"/>
          <w:color w:val="000000"/>
          <w:sz w:val="22"/>
          <w:szCs w:val="22"/>
        </w:rPr>
        <w:t>(2019).</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15.</w:t>
      </w:r>
      <w:r>
        <w:rPr>
          <w:rFonts w:ascii="Georgia" w:eastAsia="Georgia" w:hAnsi="Georgia" w:cs="Georgia"/>
          <w:color w:val="000000"/>
          <w:sz w:val="22"/>
          <w:szCs w:val="22"/>
        </w:rPr>
        <w:tab/>
        <w:t xml:space="preserve">Rimfeld, K., Kovas, Y., Dale, P. S. &amp; Plomin, R. Pleiotropy across academic subjects at the end of compulsory education. </w:t>
      </w:r>
      <w:r>
        <w:rPr>
          <w:rFonts w:ascii="Georgia" w:eastAsia="Georgia" w:hAnsi="Georgia" w:cs="Georgia"/>
          <w:i/>
          <w:color w:val="000000"/>
          <w:sz w:val="22"/>
          <w:szCs w:val="22"/>
        </w:rPr>
        <w:t>Sci. Rep.</w:t>
      </w:r>
      <w:r>
        <w:rPr>
          <w:rFonts w:ascii="Georgia" w:eastAsia="Georgia" w:hAnsi="Georgia" w:cs="Georgia"/>
          <w:color w:val="000000"/>
          <w:sz w:val="22"/>
          <w:szCs w:val="22"/>
        </w:rPr>
        <w:t xml:space="preserve"> </w:t>
      </w:r>
      <w:r>
        <w:rPr>
          <w:rFonts w:ascii="Georgia" w:eastAsia="Georgia" w:hAnsi="Georgia" w:cs="Georgia"/>
          <w:b/>
          <w:color w:val="000000"/>
          <w:sz w:val="22"/>
          <w:szCs w:val="22"/>
        </w:rPr>
        <w:t>5</w:t>
      </w:r>
      <w:r>
        <w:rPr>
          <w:rFonts w:ascii="Georgia" w:eastAsia="Georgia" w:hAnsi="Georgia" w:cs="Georgia"/>
          <w:color w:val="000000"/>
          <w:sz w:val="22"/>
          <w:szCs w:val="22"/>
        </w:rPr>
        <w:t>, 11713 (2015).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16.</w:t>
      </w:r>
      <w:r>
        <w:rPr>
          <w:rFonts w:ascii="Georgia" w:eastAsia="Georgia" w:hAnsi="Georgia" w:cs="Georgia"/>
          <w:color w:val="000000"/>
          <w:sz w:val="22"/>
          <w:szCs w:val="22"/>
        </w:rPr>
        <w:tab/>
        <w:t>Tosto, M. G., Malykh, S., Voronin, I., Plomin, R. &amp; Kovas, Y. The Etiology of Individual Dif</w:t>
      </w:r>
      <w:r>
        <w:rPr>
          <w:rFonts w:ascii="Georgia" w:eastAsia="Georgia" w:hAnsi="Georgia" w:cs="Georgia"/>
          <w:color w:val="000000"/>
          <w:sz w:val="22"/>
          <w:szCs w:val="22"/>
        </w:rPr>
        <w:t xml:space="preserve">ferences in Maths beyond IQ: Insights from 12-year Old Twins. </w:t>
      </w:r>
      <w:r>
        <w:rPr>
          <w:rFonts w:ascii="Georgia" w:eastAsia="Georgia" w:hAnsi="Georgia" w:cs="Georgia"/>
          <w:i/>
          <w:color w:val="000000"/>
          <w:sz w:val="22"/>
          <w:szCs w:val="22"/>
        </w:rPr>
        <w:t>Procedia - Soc. Behav. Sci.</w:t>
      </w:r>
      <w:r>
        <w:rPr>
          <w:rFonts w:ascii="Georgia" w:eastAsia="Georgia" w:hAnsi="Georgia" w:cs="Georgia"/>
          <w:color w:val="000000"/>
          <w:sz w:val="22"/>
          <w:szCs w:val="22"/>
        </w:rPr>
        <w:t xml:space="preserve"> </w:t>
      </w:r>
      <w:r>
        <w:rPr>
          <w:rFonts w:ascii="Georgia" w:eastAsia="Georgia" w:hAnsi="Georgia" w:cs="Georgia"/>
          <w:b/>
          <w:color w:val="000000"/>
          <w:sz w:val="22"/>
          <w:szCs w:val="22"/>
        </w:rPr>
        <w:t>86</w:t>
      </w:r>
      <w:r>
        <w:rPr>
          <w:rFonts w:ascii="Georgia" w:eastAsia="Georgia" w:hAnsi="Georgia" w:cs="Georgia"/>
          <w:color w:val="000000"/>
          <w:sz w:val="22"/>
          <w:szCs w:val="22"/>
        </w:rPr>
        <w:t>, 429–434 (2013).</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17.</w:t>
      </w:r>
      <w:r>
        <w:rPr>
          <w:rFonts w:ascii="Georgia" w:eastAsia="Georgia" w:hAnsi="Georgia" w:cs="Georgia"/>
          <w:color w:val="000000"/>
          <w:sz w:val="22"/>
          <w:szCs w:val="22"/>
        </w:rPr>
        <w:tab/>
        <w:t xml:space="preserve">Baron-Cohen, S.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A Genome Wide Association Study of Mathematical Ability Reveals an Association at Chromosome 3q29, a Locus Associated w</w:t>
      </w:r>
      <w:r>
        <w:rPr>
          <w:rFonts w:ascii="Georgia" w:eastAsia="Georgia" w:hAnsi="Georgia" w:cs="Georgia"/>
          <w:color w:val="000000"/>
          <w:sz w:val="22"/>
          <w:szCs w:val="22"/>
        </w:rPr>
        <w:t xml:space="preserve">ith Autism and Learning Difficulties: A Preliminary Study. </w:t>
      </w:r>
      <w:r>
        <w:rPr>
          <w:rFonts w:ascii="Georgia" w:eastAsia="Georgia" w:hAnsi="Georgia" w:cs="Georgia"/>
          <w:i/>
          <w:color w:val="000000"/>
          <w:sz w:val="22"/>
          <w:szCs w:val="22"/>
        </w:rPr>
        <w:t>PLOS ONE</w:t>
      </w:r>
      <w:r>
        <w:rPr>
          <w:rFonts w:ascii="Georgia" w:eastAsia="Georgia" w:hAnsi="Georgia" w:cs="Georgia"/>
          <w:color w:val="000000"/>
          <w:sz w:val="22"/>
          <w:szCs w:val="22"/>
        </w:rPr>
        <w:t xml:space="preserve"> </w:t>
      </w:r>
      <w:r>
        <w:rPr>
          <w:rFonts w:ascii="Georgia" w:eastAsia="Georgia" w:hAnsi="Georgia" w:cs="Georgia"/>
          <w:b/>
          <w:color w:val="000000"/>
          <w:sz w:val="22"/>
          <w:szCs w:val="22"/>
        </w:rPr>
        <w:t>9</w:t>
      </w:r>
      <w:r>
        <w:rPr>
          <w:rFonts w:ascii="Georgia" w:eastAsia="Georgia" w:hAnsi="Georgia" w:cs="Georgia"/>
          <w:color w:val="000000"/>
          <w:sz w:val="22"/>
          <w:szCs w:val="22"/>
        </w:rPr>
        <w:t>, e96374 (2014).</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18.</w:t>
      </w:r>
      <w:r>
        <w:rPr>
          <w:rFonts w:ascii="Georgia" w:eastAsia="Georgia" w:hAnsi="Georgia" w:cs="Georgia"/>
          <w:color w:val="000000"/>
          <w:sz w:val="22"/>
          <w:szCs w:val="22"/>
        </w:rPr>
        <w:tab/>
        <w:t xml:space="preserve">Chen, H.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A Genome-Wide Association Study Identifies Genetic Variants Associated with Mathematics Ability. </w:t>
      </w:r>
      <w:r>
        <w:rPr>
          <w:rFonts w:ascii="Georgia" w:eastAsia="Georgia" w:hAnsi="Georgia" w:cs="Georgia"/>
          <w:i/>
          <w:color w:val="000000"/>
          <w:sz w:val="22"/>
          <w:szCs w:val="22"/>
        </w:rPr>
        <w:t>Sci. Rep.</w:t>
      </w:r>
      <w:r>
        <w:rPr>
          <w:rFonts w:ascii="Georgia" w:eastAsia="Georgia" w:hAnsi="Georgia" w:cs="Georgia"/>
          <w:color w:val="000000"/>
          <w:sz w:val="22"/>
          <w:szCs w:val="22"/>
        </w:rPr>
        <w:t xml:space="preserve"> </w:t>
      </w:r>
      <w:r>
        <w:rPr>
          <w:rFonts w:ascii="Georgia" w:eastAsia="Georgia" w:hAnsi="Georgia" w:cs="Georgia"/>
          <w:b/>
          <w:color w:val="000000"/>
          <w:sz w:val="22"/>
          <w:szCs w:val="22"/>
        </w:rPr>
        <w:t>7</w:t>
      </w:r>
      <w:r>
        <w:rPr>
          <w:rFonts w:ascii="Georgia" w:eastAsia="Georgia" w:hAnsi="Georgia" w:cs="Georgia"/>
          <w:color w:val="000000"/>
          <w:sz w:val="22"/>
          <w:szCs w:val="22"/>
        </w:rPr>
        <w:t>, 40365 (2017).</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19.</w:t>
      </w:r>
      <w:r>
        <w:rPr>
          <w:rFonts w:ascii="Georgia" w:eastAsia="Georgia" w:hAnsi="Georgia" w:cs="Georgia"/>
          <w:color w:val="000000"/>
          <w:sz w:val="22"/>
          <w:szCs w:val="22"/>
        </w:rPr>
        <w:tab/>
        <w:t xml:space="preserve">Rajagopal, V. M.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Genome-wide association study of school grades identifies a genetic overlap between language ability, psychopathology and creativity. </w:t>
      </w:r>
      <w:r>
        <w:rPr>
          <w:rFonts w:ascii="Georgia" w:eastAsia="Georgia" w:hAnsi="Georgia" w:cs="Georgia"/>
          <w:i/>
          <w:color w:val="000000"/>
          <w:sz w:val="22"/>
          <w:szCs w:val="22"/>
        </w:rPr>
        <w:t>bioRxiv</w:t>
      </w:r>
      <w:r>
        <w:rPr>
          <w:rFonts w:ascii="Georgia" w:eastAsia="Georgia" w:hAnsi="Georgia" w:cs="Georgia"/>
          <w:color w:val="000000"/>
          <w:sz w:val="22"/>
          <w:szCs w:val="22"/>
        </w:rPr>
        <w:t xml:space="preserve"> 2020.05.09.075226 (2020) doi:10.1101/2020.05.09.075226.</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20.</w:t>
      </w:r>
      <w:r>
        <w:rPr>
          <w:rFonts w:ascii="Georgia" w:eastAsia="Georgia" w:hAnsi="Georgia" w:cs="Georgia"/>
          <w:color w:val="000000"/>
          <w:sz w:val="22"/>
          <w:szCs w:val="22"/>
        </w:rPr>
        <w:tab/>
        <w:t xml:space="preserve">Gialluisi, A.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Genome-wide screening for DNA variants associated with reading and language traits. </w:t>
      </w:r>
      <w:r>
        <w:rPr>
          <w:rFonts w:ascii="Georgia" w:eastAsia="Georgia" w:hAnsi="Georgia" w:cs="Georgia"/>
          <w:i/>
          <w:color w:val="000000"/>
          <w:sz w:val="22"/>
          <w:szCs w:val="22"/>
        </w:rPr>
        <w:t>Genes Brain Behav.</w:t>
      </w:r>
      <w:r>
        <w:rPr>
          <w:rFonts w:ascii="Georgia" w:eastAsia="Georgia" w:hAnsi="Georgia" w:cs="Georgia"/>
          <w:color w:val="000000"/>
          <w:sz w:val="22"/>
          <w:szCs w:val="22"/>
        </w:rPr>
        <w:t xml:space="preserve"> </w:t>
      </w:r>
      <w:r>
        <w:rPr>
          <w:rFonts w:ascii="Georgia" w:eastAsia="Georgia" w:hAnsi="Georgia" w:cs="Georgia"/>
          <w:b/>
          <w:color w:val="000000"/>
          <w:sz w:val="22"/>
          <w:szCs w:val="22"/>
        </w:rPr>
        <w:t>13</w:t>
      </w:r>
      <w:r>
        <w:rPr>
          <w:rFonts w:ascii="Georgia" w:eastAsia="Georgia" w:hAnsi="Georgia" w:cs="Georgia"/>
          <w:color w:val="000000"/>
          <w:sz w:val="22"/>
          <w:szCs w:val="22"/>
        </w:rPr>
        <w:t>, 686–701 (2014).</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lastRenderedPageBreak/>
        <w:t>21.</w:t>
      </w:r>
      <w:r>
        <w:rPr>
          <w:rFonts w:ascii="Georgia" w:eastAsia="Georgia" w:hAnsi="Georgia" w:cs="Georgia"/>
          <w:color w:val="000000"/>
          <w:sz w:val="22"/>
          <w:szCs w:val="22"/>
        </w:rPr>
        <w:tab/>
        <w:t xml:space="preserve">Dumontheil, I. Development of abstract thinking during childhood and adolescence: The role of rostrolateral prefrontal cortex. </w:t>
      </w:r>
      <w:r>
        <w:rPr>
          <w:rFonts w:ascii="Georgia" w:eastAsia="Georgia" w:hAnsi="Georgia" w:cs="Georgia"/>
          <w:i/>
          <w:color w:val="000000"/>
          <w:sz w:val="22"/>
          <w:szCs w:val="22"/>
        </w:rPr>
        <w:t>D</w:t>
      </w:r>
      <w:r>
        <w:rPr>
          <w:rFonts w:ascii="Georgia" w:eastAsia="Georgia" w:hAnsi="Georgia" w:cs="Georgia"/>
          <w:i/>
          <w:color w:val="000000"/>
          <w:sz w:val="22"/>
          <w:szCs w:val="22"/>
        </w:rPr>
        <w:t>ev. Cogn. Neurosci.</w:t>
      </w:r>
      <w:r>
        <w:rPr>
          <w:rFonts w:ascii="Georgia" w:eastAsia="Georgia" w:hAnsi="Georgia" w:cs="Georgia"/>
          <w:color w:val="000000"/>
          <w:sz w:val="22"/>
          <w:szCs w:val="22"/>
        </w:rPr>
        <w:t xml:space="preserve"> </w:t>
      </w:r>
      <w:r>
        <w:rPr>
          <w:rFonts w:ascii="Georgia" w:eastAsia="Georgia" w:hAnsi="Georgia" w:cs="Georgia"/>
          <w:b/>
          <w:color w:val="000000"/>
          <w:sz w:val="22"/>
          <w:szCs w:val="22"/>
        </w:rPr>
        <w:t>10</w:t>
      </w:r>
      <w:r>
        <w:rPr>
          <w:rFonts w:ascii="Georgia" w:eastAsia="Georgia" w:hAnsi="Georgia" w:cs="Georgia"/>
          <w:color w:val="000000"/>
          <w:sz w:val="22"/>
          <w:szCs w:val="22"/>
        </w:rPr>
        <w:t>, 57–76 (2014).</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22.</w:t>
      </w:r>
      <w:r>
        <w:rPr>
          <w:rFonts w:ascii="Georgia" w:eastAsia="Georgia" w:hAnsi="Georgia" w:cs="Georgia"/>
          <w:color w:val="000000"/>
          <w:sz w:val="22"/>
          <w:szCs w:val="22"/>
        </w:rPr>
        <w:tab/>
        <w:t xml:space="preserve">Krapohl, E.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The high heritability of educational achievement reflects many genetically influenced traits, not just intelligence. </w:t>
      </w:r>
      <w:r>
        <w:rPr>
          <w:rFonts w:ascii="Georgia" w:eastAsia="Georgia" w:hAnsi="Georgia" w:cs="Georgia"/>
          <w:i/>
          <w:color w:val="000000"/>
          <w:sz w:val="22"/>
          <w:szCs w:val="22"/>
        </w:rPr>
        <w:t>Proc. Natl. Acad. Sci.</w:t>
      </w:r>
      <w:r>
        <w:rPr>
          <w:rFonts w:ascii="Georgia" w:eastAsia="Georgia" w:hAnsi="Georgia" w:cs="Georgia"/>
          <w:color w:val="000000"/>
          <w:sz w:val="22"/>
          <w:szCs w:val="22"/>
        </w:rPr>
        <w:t xml:space="preserve"> </w:t>
      </w:r>
      <w:r>
        <w:rPr>
          <w:rFonts w:ascii="Georgia" w:eastAsia="Georgia" w:hAnsi="Georgia" w:cs="Georgia"/>
          <w:b/>
          <w:color w:val="000000"/>
          <w:sz w:val="22"/>
          <w:szCs w:val="22"/>
        </w:rPr>
        <w:t>111</w:t>
      </w:r>
      <w:r>
        <w:rPr>
          <w:rFonts w:ascii="Georgia" w:eastAsia="Georgia" w:hAnsi="Georgia" w:cs="Georgia"/>
          <w:color w:val="000000"/>
          <w:sz w:val="22"/>
          <w:szCs w:val="22"/>
        </w:rPr>
        <w:t>, 15273–15278 (2014).</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23.</w:t>
      </w:r>
      <w:r>
        <w:rPr>
          <w:rFonts w:ascii="Georgia" w:eastAsia="Georgia" w:hAnsi="Georgia" w:cs="Georgia"/>
          <w:color w:val="000000"/>
          <w:sz w:val="22"/>
          <w:szCs w:val="22"/>
        </w:rPr>
        <w:tab/>
        <w:t>Watanabe, K., Taskesen, E.</w:t>
      </w:r>
      <w:r>
        <w:rPr>
          <w:rFonts w:ascii="Georgia" w:eastAsia="Georgia" w:hAnsi="Georgia" w:cs="Georgia"/>
          <w:color w:val="000000"/>
          <w:sz w:val="22"/>
          <w:szCs w:val="22"/>
        </w:rPr>
        <w:t xml:space="preserve">, Bochoven, A. van &amp; Posthuma, D. Functional mapping and annotation of genetic associations with FUMA. </w:t>
      </w:r>
      <w:r>
        <w:rPr>
          <w:rFonts w:ascii="Georgia" w:eastAsia="Georgia" w:hAnsi="Georgia" w:cs="Georgia"/>
          <w:i/>
          <w:color w:val="000000"/>
          <w:sz w:val="22"/>
          <w:szCs w:val="22"/>
        </w:rPr>
        <w:t>Nat. Commun.</w:t>
      </w:r>
      <w:r>
        <w:rPr>
          <w:rFonts w:ascii="Georgia" w:eastAsia="Georgia" w:hAnsi="Georgia" w:cs="Georgia"/>
          <w:color w:val="000000"/>
          <w:sz w:val="22"/>
          <w:szCs w:val="22"/>
        </w:rPr>
        <w:t xml:space="preserve"> </w:t>
      </w:r>
      <w:r>
        <w:rPr>
          <w:rFonts w:ascii="Georgia" w:eastAsia="Georgia" w:hAnsi="Georgia" w:cs="Georgia"/>
          <w:b/>
          <w:color w:val="000000"/>
          <w:sz w:val="22"/>
          <w:szCs w:val="22"/>
        </w:rPr>
        <w:t>8</w:t>
      </w:r>
      <w:r>
        <w:rPr>
          <w:rFonts w:ascii="Georgia" w:eastAsia="Georgia" w:hAnsi="Georgia" w:cs="Georgia"/>
          <w:color w:val="000000"/>
          <w:sz w:val="22"/>
          <w:szCs w:val="22"/>
        </w:rPr>
        <w:t>, 1826 (2017).</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24.</w:t>
      </w:r>
      <w:r>
        <w:rPr>
          <w:rFonts w:ascii="Georgia" w:eastAsia="Georgia" w:hAnsi="Georgia" w:cs="Georgia"/>
          <w:color w:val="000000"/>
          <w:sz w:val="22"/>
          <w:szCs w:val="22"/>
        </w:rPr>
        <w:tab/>
        <w:t xml:space="preserve">Rimfeld, K.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Twins early development study: A genetically sensitive investigation into behavioral and cognitive de</w:t>
      </w:r>
      <w:r>
        <w:rPr>
          <w:rFonts w:ascii="Georgia" w:eastAsia="Georgia" w:hAnsi="Georgia" w:cs="Georgia"/>
          <w:color w:val="000000"/>
          <w:sz w:val="22"/>
          <w:szCs w:val="22"/>
        </w:rPr>
        <w:t xml:space="preserve">velopment from infancy to emerging adulthood. </w:t>
      </w:r>
      <w:r>
        <w:rPr>
          <w:rFonts w:ascii="Georgia" w:eastAsia="Georgia" w:hAnsi="Georgia" w:cs="Georgia"/>
          <w:i/>
          <w:color w:val="000000"/>
          <w:sz w:val="22"/>
          <w:szCs w:val="22"/>
        </w:rPr>
        <w:t>Twin Res. Hum. Genet.</w:t>
      </w:r>
      <w:r>
        <w:rPr>
          <w:rFonts w:ascii="Georgia" w:eastAsia="Georgia" w:hAnsi="Georgia" w:cs="Georgia"/>
          <w:color w:val="000000"/>
          <w:sz w:val="22"/>
          <w:szCs w:val="22"/>
        </w:rPr>
        <w:t xml:space="preserve"> 1–6 (2019).</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25.</w:t>
      </w:r>
      <w:r>
        <w:rPr>
          <w:rFonts w:ascii="Georgia" w:eastAsia="Georgia" w:hAnsi="Georgia" w:cs="Georgia"/>
          <w:color w:val="000000"/>
          <w:sz w:val="22"/>
          <w:szCs w:val="22"/>
        </w:rPr>
        <w:tab/>
        <w:t xml:space="preserve">Sniekers, S.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Genome-wide association meta-analysis of 78,308 individuals identifies new loci and genes influencing human intelligence. </w:t>
      </w:r>
      <w:r>
        <w:rPr>
          <w:rFonts w:ascii="Georgia" w:eastAsia="Georgia" w:hAnsi="Georgia" w:cs="Georgia"/>
          <w:i/>
          <w:color w:val="000000"/>
          <w:sz w:val="22"/>
          <w:szCs w:val="22"/>
        </w:rPr>
        <w:t>Nat.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49</w:t>
      </w:r>
      <w:r>
        <w:rPr>
          <w:rFonts w:ascii="Georgia" w:eastAsia="Georgia" w:hAnsi="Georgia" w:cs="Georgia"/>
          <w:color w:val="000000"/>
          <w:sz w:val="22"/>
          <w:szCs w:val="22"/>
        </w:rPr>
        <w:t>, 1107–1112 (201</w:t>
      </w:r>
      <w:r>
        <w:rPr>
          <w:rFonts w:ascii="Georgia" w:eastAsia="Georgia" w:hAnsi="Georgia" w:cs="Georgia"/>
          <w:color w:val="000000"/>
          <w:sz w:val="22"/>
          <w:szCs w:val="22"/>
        </w:rPr>
        <w:t>7).</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26.</w:t>
      </w:r>
      <w:r>
        <w:rPr>
          <w:rFonts w:ascii="Georgia" w:eastAsia="Georgia" w:hAnsi="Georgia" w:cs="Georgia"/>
          <w:color w:val="000000"/>
          <w:sz w:val="22"/>
          <w:szCs w:val="22"/>
        </w:rPr>
        <w:tab/>
        <w:t xml:space="preserve">Bulik-Sullivan, B.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LD Score Regression Distinguishes Confounding from Polygenicity in Genome-Wide Association Studies. </w:t>
      </w:r>
      <w:r>
        <w:rPr>
          <w:rFonts w:ascii="Georgia" w:eastAsia="Georgia" w:hAnsi="Georgia" w:cs="Georgia"/>
          <w:i/>
          <w:color w:val="000000"/>
          <w:sz w:val="22"/>
          <w:szCs w:val="22"/>
        </w:rPr>
        <w:t>Nat.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47</w:t>
      </w:r>
      <w:r>
        <w:rPr>
          <w:rFonts w:ascii="Georgia" w:eastAsia="Georgia" w:hAnsi="Georgia" w:cs="Georgia"/>
          <w:color w:val="000000"/>
          <w:sz w:val="22"/>
          <w:szCs w:val="22"/>
        </w:rPr>
        <w:t>, 291–295 (2015).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27.</w:t>
      </w:r>
      <w:r>
        <w:rPr>
          <w:rFonts w:ascii="Georgia" w:eastAsia="Georgia" w:hAnsi="Georgia" w:cs="Georgia"/>
          <w:color w:val="000000"/>
          <w:sz w:val="22"/>
          <w:szCs w:val="22"/>
        </w:rPr>
        <w:tab/>
      </w:r>
      <w:r>
        <w:rPr>
          <w:rFonts w:ascii="Georgia" w:eastAsia="Georgia" w:hAnsi="Georgia" w:cs="Georgia"/>
          <w:color w:val="000000"/>
          <w:sz w:val="22"/>
          <w:szCs w:val="22"/>
        </w:rPr>
        <w:t xml:space="preserve">Lee, S. H., Yang, J., Goddard, M. E., Visscher, P. M. &amp; Wray, N. R. Estimation of pleiotropy between complex diseases using single-nucleotide polymorphism-derived genomic relationships and restricted maximum likelihood. </w:t>
      </w:r>
      <w:r>
        <w:rPr>
          <w:rFonts w:ascii="Georgia" w:eastAsia="Georgia" w:hAnsi="Georgia" w:cs="Georgia"/>
          <w:i/>
          <w:color w:val="000000"/>
          <w:sz w:val="22"/>
          <w:szCs w:val="22"/>
        </w:rPr>
        <w:t>Bioinformatics</w:t>
      </w:r>
      <w:r>
        <w:rPr>
          <w:rFonts w:ascii="Georgia" w:eastAsia="Georgia" w:hAnsi="Georgia" w:cs="Georgia"/>
          <w:color w:val="000000"/>
          <w:sz w:val="22"/>
          <w:szCs w:val="22"/>
        </w:rPr>
        <w:t xml:space="preserve"> </w:t>
      </w:r>
      <w:r>
        <w:rPr>
          <w:rFonts w:ascii="Georgia" w:eastAsia="Georgia" w:hAnsi="Georgia" w:cs="Georgia"/>
          <w:b/>
          <w:color w:val="000000"/>
          <w:sz w:val="22"/>
          <w:szCs w:val="22"/>
        </w:rPr>
        <w:t>28</w:t>
      </w:r>
      <w:r>
        <w:rPr>
          <w:rFonts w:ascii="Georgia" w:eastAsia="Georgia" w:hAnsi="Georgia" w:cs="Georgia"/>
          <w:color w:val="000000"/>
          <w:sz w:val="22"/>
          <w:szCs w:val="22"/>
        </w:rPr>
        <w:t>, 2540–2542 (2012).</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28.</w:t>
      </w:r>
      <w:r>
        <w:rPr>
          <w:rFonts w:ascii="Georgia" w:eastAsia="Georgia" w:hAnsi="Georgia" w:cs="Georgia"/>
          <w:color w:val="000000"/>
          <w:sz w:val="22"/>
          <w:szCs w:val="22"/>
        </w:rPr>
        <w:tab/>
        <w:t xml:space="preserve">Mulhern, M. S.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w:t>
      </w:r>
      <w:r>
        <w:rPr>
          <w:rFonts w:ascii="Georgia" w:eastAsia="Georgia" w:hAnsi="Georgia" w:cs="Georgia"/>
          <w:i/>
          <w:color w:val="000000"/>
          <w:sz w:val="22"/>
          <w:szCs w:val="22"/>
        </w:rPr>
        <w:t>NBEA</w:t>
      </w:r>
      <w:r>
        <w:rPr>
          <w:color w:val="000000"/>
          <w:sz w:val="22"/>
          <w:szCs w:val="22"/>
        </w:rPr>
        <w:t> </w:t>
      </w:r>
      <w:r>
        <w:rPr>
          <w:rFonts w:ascii="Georgia" w:eastAsia="Georgia" w:hAnsi="Georgia" w:cs="Georgia"/>
          <w:color w:val="000000"/>
          <w:sz w:val="22"/>
          <w:szCs w:val="22"/>
        </w:rPr>
        <w:t xml:space="preserve">: Developmental disease gene with early generalized epilepsy phenotypes. </w:t>
      </w:r>
      <w:r>
        <w:rPr>
          <w:rFonts w:ascii="Georgia" w:eastAsia="Georgia" w:hAnsi="Georgia" w:cs="Georgia"/>
          <w:i/>
          <w:color w:val="000000"/>
          <w:sz w:val="22"/>
          <w:szCs w:val="22"/>
        </w:rPr>
        <w:t>Ann. Neurol.</w:t>
      </w:r>
      <w:r>
        <w:rPr>
          <w:rFonts w:ascii="Georgia" w:eastAsia="Georgia" w:hAnsi="Georgia" w:cs="Georgia"/>
          <w:color w:val="000000"/>
          <w:sz w:val="22"/>
          <w:szCs w:val="22"/>
        </w:rPr>
        <w:t xml:space="preserve"> </w:t>
      </w:r>
      <w:r>
        <w:rPr>
          <w:rFonts w:ascii="Georgia" w:eastAsia="Georgia" w:hAnsi="Georgia" w:cs="Georgia"/>
          <w:b/>
          <w:color w:val="000000"/>
          <w:sz w:val="22"/>
          <w:szCs w:val="22"/>
        </w:rPr>
        <w:t>84</w:t>
      </w:r>
      <w:r>
        <w:rPr>
          <w:rFonts w:ascii="Georgia" w:eastAsia="Georgia" w:hAnsi="Georgia" w:cs="Georgia"/>
          <w:color w:val="000000"/>
          <w:sz w:val="22"/>
          <w:szCs w:val="22"/>
        </w:rPr>
        <w:t>, 788–795 (2018).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29.</w:t>
      </w:r>
      <w:r>
        <w:rPr>
          <w:rFonts w:ascii="Georgia" w:eastAsia="Georgia" w:hAnsi="Georgia" w:cs="Georgia"/>
          <w:color w:val="000000"/>
          <w:sz w:val="22"/>
          <w:szCs w:val="22"/>
        </w:rPr>
        <w:tab/>
        <w:t xml:space="preserve">Rhodes, S. M.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Evidence for a Role of Executive Functions in Learning Biology: Executive Functions and Scien</w:t>
      </w:r>
      <w:r>
        <w:rPr>
          <w:rFonts w:ascii="Georgia" w:eastAsia="Georgia" w:hAnsi="Georgia" w:cs="Georgia"/>
          <w:color w:val="000000"/>
          <w:sz w:val="22"/>
          <w:szCs w:val="22"/>
        </w:rPr>
        <w:t xml:space="preserve">ce. </w:t>
      </w:r>
      <w:r>
        <w:rPr>
          <w:rFonts w:ascii="Georgia" w:eastAsia="Georgia" w:hAnsi="Georgia" w:cs="Georgia"/>
          <w:i/>
          <w:color w:val="000000"/>
          <w:sz w:val="22"/>
          <w:szCs w:val="22"/>
        </w:rPr>
        <w:t>Infant Child Dev.</w:t>
      </w:r>
      <w:r>
        <w:rPr>
          <w:rFonts w:ascii="Georgia" w:eastAsia="Georgia" w:hAnsi="Georgia" w:cs="Georgia"/>
          <w:color w:val="000000"/>
          <w:sz w:val="22"/>
          <w:szCs w:val="22"/>
        </w:rPr>
        <w:t xml:space="preserve"> </w:t>
      </w:r>
      <w:r>
        <w:rPr>
          <w:rFonts w:ascii="Georgia" w:eastAsia="Georgia" w:hAnsi="Georgia" w:cs="Georgia"/>
          <w:b/>
          <w:color w:val="000000"/>
          <w:sz w:val="22"/>
          <w:szCs w:val="22"/>
        </w:rPr>
        <w:t>23</w:t>
      </w:r>
      <w:r>
        <w:rPr>
          <w:rFonts w:ascii="Georgia" w:eastAsia="Georgia" w:hAnsi="Georgia" w:cs="Georgia"/>
          <w:color w:val="000000"/>
          <w:sz w:val="22"/>
          <w:szCs w:val="22"/>
        </w:rPr>
        <w:t>, 67–83 (2014).</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30.</w:t>
      </w:r>
      <w:r>
        <w:rPr>
          <w:rFonts w:ascii="Georgia" w:eastAsia="Georgia" w:hAnsi="Georgia" w:cs="Georgia"/>
          <w:color w:val="000000"/>
          <w:sz w:val="22"/>
          <w:szCs w:val="22"/>
        </w:rPr>
        <w:tab/>
        <w:t xml:space="preserve">Jarvis, H. L. &amp; Gathercole, S. E. Verbal and non-verbal working memory and achievements on national curriculum tests at 11 and 14 years of age. </w:t>
      </w:r>
      <w:r>
        <w:rPr>
          <w:rFonts w:ascii="Georgia" w:eastAsia="Georgia" w:hAnsi="Georgia" w:cs="Georgia"/>
          <w:i/>
          <w:color w:val="000000"/>
          <w:sz w:val="22"/>
          <w:szCs w:val="22"/>
        </w:rPr>
        <w:t>Educ. Child Psychol.</w:t>
      </w:r>
      <w:r>
        <w:rPr>
          <w:rFonts w:ascii="Georgia" w:eastAsia="Georgia" w:hAnsi="Georgia" w:cs="Georgia"/>
          <w:color w:val="000000"/>
          <w:sz w:val="22"/>
          <w:szCs w:val="22"/>
        </w:rPr>
        <w:t xml:space="preserve"> </w:t>
      </w:r>
      <w:r>
        <w:rPr>
          <w:rFonts w:ascii="Georgia" w:eastAsia="Georgia" w:hAnsi="Georgia" w:cs="Georgia"/>
          <w:b/>
          <w:color w:val="000000"/>
          <w:sz w:val="22"/>
          <w:szCs w:val="22"/>
        </w:rPr>
        <w:t>20</w:t>
      </w:r>
      <w:r>
        <w:rPr>
          <w:rFonts w:ascii="Georgia" w:eastAsia="Georgia" w:hAnsi="Georgia" w:cs="Georgia"/>
          <w:color w:val="000000"/>
          <w:sz w:val="22"/>
          <w:szCs w:val="22"/>
        </w:rPr>
        <w:t>, 123–140 (2003).</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lastRenderedPageBreak/>
        <w:t>31.</w:t>
      </w:r>
      <w:r>
        <w:rPr>
          <w:rFonts w:ascii="Georgia" w:eastAsia="Georgia" w:hAnsi="Georgia" w:cs="Georgia"/>
          <w:color w:val="000000"/>
          <w:sz w:val="22"/>
          <w:szCs w:val="22"/>
        </w:rPr>
        <w:tab/>
        <w:t xml:space="preserve">Davies, G.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Genet</w:t>
      </w:r>
      <w:r>
        <w:rPr>
          <w:rFonts w:ascii="Georgia" w:eastAsia="Georgia" w:hAnsi="Georgia" w:cs="Georgia"/>
          <w:color w:val="000000"/>
          <w:sz w:val="22"/>
          <w:szCs w:val="22"/>
        </w:rPr>
        <w:t>ic contributions to variation in general cognitive function: a meta-analysis of genome-wide association studies in the CHARGE consortium (N=53</w:t>
      </w:r>
      <w:r>
        <w:rPr>
          <w:color w:val="000000"/>
          <w:sz w:val="22"/>
          <w:szCs w:val="22"/>
        </w:rPr>
        <w:t> </w:t>
      </w:r>
      <w:r>
        <w:rPr>
          <w:rFonts w:ascii="Georgia" w:eastAsia="Georgia" w:hAnsi="Georgia" w:cs="Georgia"/>
          <w:color w:val="000000"/>
          <w:sz w:val="22"/>
          <w:szCs w:val="22"/>
        </w:rPr>
        <w:t xml:space="preserve">949). </w:t>
      </w:r>
      <w:r>
        <w:rPr>
          <w:rFonts w:ascii="Georgia" w:eastAsia="Georgia" w:hAnsi="Georgia" w:cs="Georgia"/>
          <w:i/>
          <w:color w:val="000000"/>
          <w:sz w:val="22"/>
          <w:szCs w:val="22"/>
        </w:rPr>
        <w:t>Mol. Psychiatry</w:t>
      </w:r>
      <w:r>
        <w:rPr>
          <w:rFonts w:ascii="Georgia" w:eastAsia="Georgia" w:hAnsi="Georgia" w:cs="Georgia"/>
          <w:color w:val="000000"/>
          <w:sz w:val="22"/>
          <w:szCs w:val="22"/>
        </w:rPr>
        <w:t xml:space="preserve"> </w:t>
      </w:r>
      <w:r>
        <w:rPr>
          <w:rFonts w:ascii="Georgia" w:eastAsia="Georgia" w:hAnsi="Georgia" w:cs="Georgia"/>
          <w:b/>
          <w:color w:val="000000"/>
          <w:sz w:val="22"/>
          <w:szCs w:val="22"/>
        </w:rPr>
        <w:t>20</w:t>
      </w:r>
      <w:r>
        <w:rPr>
          <w:rFonts w:ascii="Georgia" w:eastAsia="Georgia" w:hAnsi="Georgia" w:cs="Georgia"/>
          <w:color w:val="000000"/>
          <w:sz w:val="22"/>
          <w:szCs w:val="22"/>
        </w:rPr>
        <w:t>, 183–192 (2015).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32.</w:t>
      </w:r>
      <w:r>
        <w:rPr>
          <w:rFonts w:ascii="Georgia" w:eastAsia="Georgia" w:hAnsi="Georgia" w:cs="Georgia"/>
          <w:color w:val="000000"/>
          <w:sz w:val="22"/>
          <w:szCs w:val="22"/>
        </w:rPr>
        <w:tab/>
        <w:t xml:space="preserve">Hill, W. D.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A combined analysis of genetically correlated traits identifies 187 loci and a role for neurogenesis and myelination in intelligence. </w:t>
      </w:r>
      <w:r>
        <w:rPr>
          <w:rFonts w:ascii="Georgia" w:eastAsia="Georgia" w:hAnsi="Georgia" w:cs="Georgia"/>
          <w:i/>
          <w:color w:val="000000"/>
          <w:sz w:val="22"/>
          <w:szCs w:val="22"/>
        </w:rPr>
        <w:t>Mol. Psychiatry</w:t>
      </w:r>
      <w:r>
        <w:rPr>
          <w:rFonts w:ascii="Georgia" w:eastAsia="Georgia" w:hAnsi="Georgia" w:cs="Georgia"/>
          <w:color w:val="000000"/>
          <w:sz w:val="22"/>
          <w:szCs w:val="22"/>
        </w:rPr>
        <w:t xml:space="preserve"> 1 (2018).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33.</w:t>
      </w:r>
      <w:r>
        <w:rPr>
          <w:rFonts w:ascii="Georgia" w:eastAsia="Georgia" w:hAnsi="Georgia" w:cs="Georgia"/>
          <w:color w:val="000000"/>
          <w:sz w:val="22"/>
          <w:szCs w:val="22"/>
        </w:rPr>
        <w:tab/>
        <w:t xml:space="preserve">Wray, N. R.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Genome-wide association analyses identify 44 risk variants and refine th</w:t>
      </w:r>
      <w:r>
        <w:rPr>
          <w:rFonts w:ascii="Georgia" w:eastAsia="Georgia" w:hAnsi="Georgia" w:cs="Georgia"/>
          <w:color w:val="000000"/>
          <w:sz w:val="22"/>
          <w:szCs w:val="22"/>
        </w:rPr>
        <w:t xml:space="preserve">e genetic architecture of major depression. </w:t>
      </w:r>
      <w:r>
        <w:rPr>
          <w:rFonts w:ascii="Georgia" w:eastAsia="Georgia" w:hAnsi="Georgia" w:cs="Georgia"/>
          <w:i/>
          <w:color w:val="000000"/>
          <w:sz w:val="22"/>
          <w:szCs w:val="22"/>
        </w:rPr>
        <w:t>Nat.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50</w:t>
      </w:r>
      <w:r>
        <w:rPr>
          <w:rFonts w:ascii="Georgia" w:eastAsia="Georgia" w:hAnsi="Georgia" w:cs="Georgia"/>
          <w:color w:val="000000"/>
          <w:sz w:val="22"/>
          <w:szCs w:val="22"/>
        </w:rPr>
        <w:t>, 668–681 (2018).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34.</w:t>
      </w:r>
      <w:r>
        <w:rPr>
          <w:rFonts w:ascii="Georgia" w:eastAsia="Georgia" w:hAnsi="Georgia" w:cs="Georgia"/>
          <w:color w:val="000000"/>
          <w:sz w:val="22"/>
          <w:szCs w:val="22"/>
        </w:rPr>
        <w:tab/>
        <w:t xml:space="preserve">Barbosa, A. C.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MEF2C, a transcription factor that facilitates learning and memory by negative regulation of synapse numbers and function. </w:t>
      </w:r>
      <w:r>
        <w:rPr>
          <w:rFonts w:ascii="Georgia" w:eastAsia="Georgia" w:hAnsi="Georgia" w:cs="Georgia"/>
          <w:i/>
          <w:color w:val="000000"/>
          <w:sz w:val="22"/>
          <w:szCs w:val="22"/>
        </w:rPr>
        <w:t>Proc. Natl. Acad. Sci.</w:t>
      </w:r>
      <w:r>
        <w:rPr>
          <w:rFonts w:ascii="Georgia" w:eastAsia="Georgia" w:hAnsi="Georgia" w:cs="Georgia"/>
          <w:color w:val="000000"/>
          <w:sz w:val="22"/>
          <w:szCs w:val="22"/>
        </w:rPr>
        <w:t xml:space="preserve"> </w:t>
      </w:r>
      <w:r>
        <w:rPr>
          <w:rFonts w:ascii="Georgia" w:eastAsia="Georgia" w:hAnsi="Georgia" w:cs="Georgia"/>
          <w:b/>
          <w:color w:val="000000"/>
          <w:sz w:val="22"/>
          <w:szCs w:val="22"/>
        </w:rPr>
        <w:t>105</w:t>
      </w:r>
      <w:r>
        <w:rPr>
          <w:rFonts w:ascii="Georgia" w:eastAsia="Georgia" w:hAnsi="Georgia" w:cs="Georgia"/>
          <w:color w:val="000000"/>
          <w:sz w:val="22"/>
          <w:szCs w:val="22"/>
        </w:rPr>
        <w:t>, 939</w:t>
      </w:r>
      <w:r>
        <w:rPr>
          <w:rFonts w:ascii="Georgia" w:eastAsia="Georgia" w:hAnsi="Georgia" w:cs="Georgia"/>
          <w:color w:val="000000"/>
          <w:sz w:val="22"/>
          <w:szCs w:val="22"/>
        </w:rPr>
        <w:t>1–9396 (2008).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35.</w:t>
      </w:r>
      <w:r>
        <w:rPr>
          <w:rFonts w:ascii="Georgia" w:eastAsia="Georgia" w:hAnsi="Georgia" w:cs="Georgia"/>
          <w:color w:val="000000"/>
          <w:sz w:val="22"/>
          <w:szCs w:val="22"/>
        </w:rPr>
        <w:tab/>
        <w:t xml:space="preserve">Rocha, H., Sampaio, M., Rocha, R., Fernandes, S. &amp; Leão, M. MEF2C haploinsufficiency syndrome: Report of a new MEF2C mutation and review. </w:t>
      </w:r>
      <w:r>
        <w:rPr>
          <w:rFonts w:ascii="Georgia" w:eastAsia="Georgia" w:hAnsi="Georgia" w:cs="Georgia"/>
          <w:i/>
          <w:color w:val="000000"/>
          <w:sz w:val="22"/>
          <w:szCs w:val="22"/>
        </w:rPr>
        <w:t>Eur. J. Med.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59</w:t>
      </w:r>
      <w:r>
        <w:rPr>
          <w:rFonts w:ascii="Georgia" w:eastAsia="Georgia" w:hAnsi="Georgia" w:cs="Georgia"/>
          <w:color w:val="000000"/>
          <w:sz w:val="22"/>
          <w:szCs w:val="22"/>
        </w:rPr>
        <w:t>, 478–482 (2016).</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36.</w:t>
      </w:r>
      <w:r>
        <w:rPr>
          <w:rFonts w:ascii="Georgia" w:eastAsia="Georgia" w:hAnsi="Georgia" w:cs="Georgia"/>
          <w:color w:val="000000"/>
          <w:sz w:val="22"/>
          <w:szCs w:val="22"/>
        </w:rPr>
        <w:tab/>
        <w:t xml:space="preserve">Cesaretti, C.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Prenatal detection of 5q14.3 dupli</w:t>
      </w:r>
      <w:r>
        <w:rPr>
          <w:rFonts w:ascii="Georgia" w:eastAsia="Georgia" w:hAnsi="Georgia" w:cs="Georgia"/>
          <w:color w:val="000000"/>
          <w:sz w:val="22"/>
          <w:szCs w:val="22"/>
        </w:rPr>
        <w:t xml:space="preserve">cation including MEF2C and brain phenotype. </w:t>
      </w:r>
      <w:r>
        <w:rPr>
          <w:rFonts w:ascii="Georgia" w:eastAsia="Georgia" w:hAnsi="Georgia" w:cs="Georgia"/>
          <w:i/>
          <w:color w:val="000000"/>
          <w:sz w:val="22"/>
          <w:szCs w:val="22"/>
        </w:rPr>
        <w:t>Am. J. Med. Genet. A.</w:t>
      </w:r>
      <w:r>
        <w:rPr>
          <w:rFonts w:ascii="Georgia" w:eastAsia="Georgia" w:hAnsi="Georgia" w:cs="Georgia"/>
          <w:color w:val="000000"/>
          <w:sz w:val="22"/>
          <w:szCs w:val="22"/>
        </w:rPr>
        <w:t xml:space="preserve"> </w:t>
      </w:r>
      <w:r>
        <w:rPr>
          <w:rFonts w:ascii="Georgia" w:eastAsia="Georgia" w:hAnsi="Georgia" w:cs="Georgia"/>
          <w:b/>
          <w:color w:val="000000"/>
          <w:sz w:val="22"/>
          <w:szCs w:val="22"/>
        </w:rPr>
        <w:t>170A</w:t>
      </w:r>
      <w:r>
        <w:rPr>
          <w:rFonts w:ascii="Georgia" w:eastAsia="Georgia" w:hAnsi="Georgia" w:cs="Georgia"/>
          <w:color w:val="000000"/>
          <w:sz w:val="22"/>
          <w:szCs w:val="22"/>
        </w:rPr>
        <w:t>, 1352–1357 (2016).</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37.</w:t>
      </w:r>
      <w:r>
        <w:rPr>
          <w:rFonts w:ascii="Georgia" w:eastAsia="Georgia" w:hAnsi="Georgia" w:cs="Georgia"/>
          <w:color w:val="000000"/>
          <w:sz w:val="22"/>
          <w:szCs w:val="22"/>
        </w:rPr>
        <w:tab/>
        <w:t xml:space="preserve">Novara, F.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MEF2C deletions and mutations versus duplications: a clinical comparison. </w:t>
      </w:r>
      <w:r>
        <w:rPr>
          <w:rFonts w:ascii="Georgia" w:eastAsia="Georgia" w:hAnsi="Georgia" w:cs="Georgia"/>
          <w:i/>
          <w:color w:val="000000"/>
          <w:sz w:val="22"/>
          <w:szCs w:val="22"/>
        </w:rPr>
        <w:t>Eur. J. Med.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56</w:t>
      </w:r>
      <w:r>
        <w:rPr>
          <w:rFonts w:ascii="Georgia" w:eastAsia="Georgia" w:hAnsi="Georgia" w:cs="Georgia"/>
          <w:color w:val="000000"/>
          <w:sz w:val="22"/>
          <w:szCs w:val="22"/>
        </w:rPr>
        <w:t>, 260–265 (2013).</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38.</w:t>
      </w:r>
      <w:r>
        <w:rPr>
          <w:rFonts w:ascii="Georgia" w:eastAsia="Georgia" w:hAnsi="Georgia" w:cs="Georgia"/>
          <w:color w:val="000000"/>
          <w:sz w:val="22"/>
          <w:szCs w:val="22"/>
        </w:rPr>
        <w:tab/>
        <w:t xml:space="preserve">Tang, S.-S.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MEF2C r</w:t>
      </w:r>
      <w:r>
        <w:rPr>
          <w:rFonts w:ascii="Georgia" w:eastAsia="Georgia" w:hAnsi="Georgia" w:cs="Georgia"/>
          <w:color w:val="000000"/>
          <w:sz w:val="22"/>
          <w:szCs w:val="22"/>
        </w:rPr>
        <w:t xml:space="preserve">s190982 polymorphism with late-onset Alzheimer’s disease in Han Chinese: A replication study and meta-analyses. </w:t>
      </w:r>
      <w:r>
        <w:rPr>
          <w:rFonts w:ascii="Georgia" w:eastAsia="Georgia" w:hAnsi="Georgia" w:cs="Georgia"/>
          <w:i/>
          <w:color w:val="000000"/>
          <w:sz w:val="22"/>
          <w:szCs w:val="22"/>
        </w:rPr>
        <w:t>Oncotarget</w:t>
      </w:r>
      <w:r>
        <w:rPr>
          <w:rFonts w:ascii="Georgia" w:eastAsia="Georgia" w:hAnsi="Georgia" w:cs="Georgia"/>
          <w:color w:val="000000"/>
          <w:sz w:val="22"/>
          <w:szCs w:val="22"/>
        </w:rPr>
        <w:t xml:space="preserve"> </w:t>
      </w:r>
      <w:r>
        <w:rPr>
          <w:rFonts w:ascii="Georgia" w:eastAsia="Georgia" w:hAnsi="Georgia" w:cs="Georgia"/>
          <w:b/>
          <w:color w:val="000000"/>
          <w:sz w:val="22"/>
          <w:szCs w:val="22"/>
        </w:rPr>
        <w:t>7</w:t>
      </w:r>
      <w:r>
        <w:rPr>
          <w:rFonts w:ascii="Georgia" w:eastAsia="Georgia" w:hAnsi="Georgia" w:cs="Georgia"/>
          <w:color w:val="000000"/>
          <w:sz w:val="22"/>
          <w:szCs w:val="22"/>
        </w:rPr>
        <w:t>, 39136–39142 (2016).</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39.</w:t>
      </w:r>
      <w:r>
        <w:rPr>
          <w:rFonts w:ascii="Georgia" w:eastAsia="Georgia" w:hAnsi="Georgia" w:cs="Georgia"/>
          <w:color w:val="000000"/>
          <w:sz w:val="22"/>
          <w:szCs w:val="22"/>
        </w:rPr>
        <w:tab/>
        <w:t xml:space="preserve">Uhlén, M.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Tissue-based map of the human proteome. </w:t>
      </w:r>
      <w:r>
        <w:rPr>
          <w:rFonts w:ascii="Georgia" w:eastAsia="Georgia" w:hAnsi="Georgia" w:cs="Georgia"/>
          <w:i/>
          <w:color w:val="000000"/>
          <w:sz w:val="22"/>
          <w:szCs w:val="22"/>
        </w:rPr>
        <w:t>Science</w:t>
      </w:r>
      <w:r>
        <w:rPr>
          <w:rFonts w:ascii="Georgia" w:eastAsia="Georgia" w:hAnsi="Georgia" w:cs="Georgia"/>
          <w:color w:val="000000"/>
          <w:sz w:val="22"/>
          <w:szCs w:val="22"/>
        </w:rPr>
        <w:t xml:space="preserve"> </w:t>
      </w:r>
      <w:r>
        <w:rPr>
          <w:rFonts w:ascii="Georgia" w:eastAsia="Georgia" w:hAnsi="Georgia" w:cs="Georgia"/>
          <w:b/>
          <w:color w:val="000000"/>
          <w:sz w:val="22"/>
          <w:szCs w:val="22"/>
        </w:rPr>
        <w:t>347</w:t>
      </w:r>
      <w:r>
        <w:rPr>
          <w:rFonts w:ascii="Georgia" w:eastAsia="Georgia" w:hAnsi="Georgia" w:cs="Georgia"/>
          <w:color w:val="000000"/>
          <w:sz w:val="22"/>
          <w:szCs w:val="22"/>
        </w:rPr>
        <w:t>, 1260419 (2015).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40.</w:t>
      </w:r>
      <w:r>
        <w:rPr>
          <w:rFonts w:ascii="Georgia" w:eastAsia="Georgia" w:hAnsi="Georgia" w:cs="Georgia"/>
          <w:color w:val="000000"/>
          <w:sz w:val="22"/>
          <w:szCs w:val="22"/>
        </w:rPr>
        <w:tab/>
        <w:t xml:space="preserve">NCBI. </w:t>
      </w:r>
      <w:r>
        <w:rPr>
          <w:rFonts w:ascii="Georgia" w:eastAsia="Georgia" w:hAnsi="Georgia" w:cs="Georgia"/>
          <w:i/>
          <w:color w:val="000000"/>
          <w:sz w:val="22"/>
          <w:szCs w:val="22"/>
        </w:rPr>
        <w:t>Retrieved from https://www.ncbi.nlm.nih.gov/gene</w:t>
      </w:r>
      <w:r>
        <w:rPr>
          <w:rFonts w:ascii="Georgia" w:eastAsia="Georgia" w:hAnsi="Georgia" w:cs="Georgia"/>
          <w:color w:val="000000"/>
          <w:sz w:val="22"/>
          <w:szCs w:val="22"/>
        </w:rPr>
        <w:t xml:space="preserve"> (2018).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41.</w:t>
      </w:r>
      <w:r>
        <w:rPr>
          <w:rFonts w:ascii="Georgia" w:eastAsia="Georgia" w:hAnsi="Georgia" w:cs="Georgia"/>
          <w:color w:val="000000"/>
          <w:sz w:val="22"/>
          <w:szCs w:val="22"/>
        </w:rPr>
        <w:tab/>
        <w:t xml:space="preserve">Cannon, B. R., Zimmer, D. B. &amp; Weber, D. J. S100A1 (S100 calcium binding protein A1). </w:t>
      </w:r>
      <w:r>
        <w:rPr>
          <w:rFonts w:ascii="Georgia" w:eastAsia="Georgia" w:hAnsi="Georgia" w:cs="Georgia"/>
          <w:i/>
          <w:color w:val="000000"/>
          <w:sz w:val="22"/>
          <w:szCs w:val="22"/>
        </w:rPr>
        <w:t>Atlas Genet. Cytogenet. Oncol. Haematol.</w:t>
      </w:r>
      <w:r>
        <w:rPr>
          <w:rFonts w:ascii="Georgia" w:eastAsia="Georgia" w:hAnsi="Georgia" w:cs="Georgia"/>
          <w:color w:val="000000"/>
          <w:sz w:val="22"/>
          <w:szCs w:val="22"/>
        </w:rPr>
        <w:t xml:space="preserve"> </w:t>
      </w:r>
      <w:r>
        <w:rPr>
          <w:rFonts w:ascii="Georgia" w:eastAsia="Georgia" w:hAnsi="Georgia" w:cs="Georgia"/>
          <w:b/>
          <w:color w:val="000000"/>
          <w:sz w:val="22"/>
          <w:szCs w:val="22"/>
        </w:rPr>
        <w:t>15</w:t>
      </w:r>
      <w:r>
        <w:rPr>
          <w:rFonts w:ascii="Georgia" w:eastAsia="Georgia" w:hAnsi="Georgia" w:cs="Georgia"/>
          <w:color w:val="000000"/>
          <w:sz w:val="22"/>
          <w:szCs w:val="22"/>
        </w:rPr>
        <w:t>, 873 (2011).</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42.</w:t>
      </w:r>
      <w:r>
        <w:rPr>
          <w:rFonts w:ascii="Georgia" w:eastAsia="Georgia" w:hAnsi="Georgia" w:cs="Georgia"/>
          <w:color w:val="000000"/>
          <w:sz w:val="22"/>
          <w:szCs w:val="22"/>
        </w:rPr>
        <w:tab/>
        <w:t xml:space="preserve">Donato, R.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Functions of S100 Proteins. 59 (2013).</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lastRenderedPageBreak/>
        <w:t>43.</w:t>
      </w:r>
      <w:r>
        <w:rPr>
          <w:rFonts w:ascii="Georgia" w:eastAsia="Georgia" w:hAnsi="Georgia" w:cs="Georgia"/>
          <w:color w:val="000000"/>
          <w:sz w:val="22"/>
          <w:szCs w:val="22"/>
        </w:rPr>
        <w:tab/>
        <w:t xml:space="preserve">Barnard-Brak, L., Stevens, T. &amp; Ritter, W. Reading and mathematics equally important to science achievement: Results from nationally-representative data. </w:t>
      </w:r>
      <w:r>
        <w:rPr>
          <w:rFonts w:ascii="Georgia" w:eastAsia="Georgia" w:hAnsi="Georgia" w:cs="Georgia"/>
          <w:i/>
          <w:color w:val="000000"/>
          <w:sz w:val="22"/>
          <w:szCs w:val="22"/>
        </w:rPr>
        <w:t>Learn. Individ. Differ.</w:t>
      </w:r>
      <w:r>
        <w:rPr>
          <w:rFonts w:ascii="Georgia" w:eastAsia="Georgia" w:hAnsi="Georgia" w:cs="Georgia"/>
          <w:color w:val="000000"/>
          <w:sz w:val="22"/>
          <w:szCs w:val="22"/>
        </w:rPr>
        <w:t xml:space="preserve"> </w:t>
      </w:r>
      <w:r>
        <w:rPr>
          <w:rFonts w:ascii="Georgia" w:eastAsia="Georgia" w:hAnsi="Georgia" w:cs="Georgia"/>
          <w:b/>
          <w:color w:val="000000"/>
          <w:sz w:val="22"/>
          <w:szCs w:val="22"/>
        </w:rPr>
        <w:t>58</w:t>
      </w:r>
      <w:r>
        <w:rPr>
          <w:rFonts w:ascii="Georgia" w:eastAsia="Georgia" w:hAnsi="Georgia" w:cs="Georgia"/>
          <w:color w:val="000000"/>
          <w:sz w:val="22"/>
          <w:szCs w:val="22"/>
        </w:rPr>
        <w:t>, 1–9 (2017).</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44.</w:t>
      </w:r>
      <w:r>
        <w:rPr>
          <w:rFonts w:ascii="Georgia" w:eastAsia="Georgia" w:hAnsi="Georgia" w:cs="Georgia"/>
          <w:color w:val="000000"/>
          <w:sz w:val="22"/>
          <w:szCs w:val="22"/>
        </w:rPr>
        <w:tab/>
        <w:t>Snyder, H. R.,</w:t>
      </w:r>
      <w:r>
        <w:rPr>
          <w:rFonts w:ascii="Georgia" w:eastAsia="Georgia" w:hAnsi="Georgia" w:cs="Georgia"/>
          <w:color w:val="000000"/>
          <w:sz w:val="22"/>
          <w:szCs w:val="22"/>
        </w:rPr>
        <w:t xml:space="preserve"> Miyake, A. &amp; Hankin, B. L. Advancing understanding of executive function impairments and psychopathology: bridging the gap between clinical and cognitive approaches. </w:t>
      </w:r>
      <w:r>
        <w:rPr>
          <w:rFonts w:ascii="Georgia" w:eastAsia="Georgia" w:hAnsi="Georgia" w:cs="Georgia"/>
          <w:i/>
          <w:color w:val="000000"/>
          <w:sz w:val="22"/>
          <w:szCs w:val="22"/>
        </w:rPr>
        <w:t>Front. Psychol.</w:t>
      </w:r>
      <w:r>
        <w:rPr>
          <w:rFonts w:ascii="Georgia" w:eastAsia="Georgia" w:hAnsi="Georgia" w:cs="Georgia"/>
          <w:color w:val="000000"/>
          <w:sz w:val="22"/>
          <w:szCs w:val="22"/>
        </w:rPr>
        <w:t xml:space="preserve"> </w:t>
      </w:r>
      <w:r>
        <w:rPr>
          <w:rFonts w:ascii="Georgia" w:eastAsia="Georgia" w:hAnsi="Georgia" w:cs="Georgia"/>
          <w:b/>
          <w:color w:val="000000"/>
          <w:sz w:val="22"/>
          <w:szCs w:val="22"/>
        </w:rPr>
        <w:t>6</w:t>
      </w:r>
      <w:r>
        <w:rPr>
          <w:rFonts w:ascii="Georgia" w:eastAsia="Georgia" w:hAnsi="Georgia" w:cs="Georgia"/>
          <w:color w:val="000000"/>
          <w:sz w:val="22"/>
          <w:szCs w:val="22"/>
        </w:rPr>
        <w:t>, (2015).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45.</w:t>
      </w:r>
      <w:r>
        <w:rPr>
          <w:rFonts w:ascii="Georgia" w:eastAsia="Georgia" w:hAnsi="Georgia" w:cs="Georgia"/>
          <w:color w:val="000000"/>
          <w:sz w:val="22"/>
          <w:szCs w:val="22"/>
        </w:rPr>
        <w:tab/>
        <w:t>Hill, W. D., Davies, G., Liewald, D. C., McIntosh, A. M. &amp;</w:t>
      </w:r>
      <w:r>
        <w:rPr>
          <w:rFonts w:ascii="Georgia" w:eastAsia="Georgia" w:hAnsi="Georgia" w:cs="Georgia"/>
          <w:color w:val="000000"/>
          <w:sz w:val="22"/>
          <w:szCs w:val="22"/>
        </w:rPr>
        <w:t xml:space="preserve"> Deary, I. J. Age-Dependent Pleiotropy Between General Cognitive Function and Major Psychiatric Disorders. </w:t>
      </w:r>
      <w:r>
        <w:rPr>
          <w:rFonts w:ascii="Georgia" w:eastAsia="Georgia" w:hAnsi="Georgia" w:cs="Georgia"/>
          <w:i/>
          <w:color w:val="000000"/>
          <w:sz w:val="22"/>
          <w:szCs w:val="22"/>
        </w:rPr>
        <w:t>Biol. Psychiatry</w:t>
      </w:r>
      <w:r>
        <w:rPr>
          <w:rFonts w:ascii="Georgia" w:eastAsia="Georgia" w:hAnsi="Georgia" w:cs="Georgia"/>
          <w:color w:val="000000"/>
          <w:sz w:val="22"/>
          <w:szCs w:val="22"/>
        </w:rPr>
        <w:t xml:space="preserve"> </w:t>
      </w:r>
      <w:r>
        <w:rPr>
          <w:rFonts w:ascii="Georgia" w:eastAsia="Georgia" w:hAnsi="Georgia" w:cs="Georgia"/>
          <w:b/>
          <w:color w:val="000000"/>
          <w:sz w:val="22"/>
          <w:szCs w:val="22"/>
        </w:rPr>
        <w:t>80</w:t>
      </w:r>
      <w:r>
        <w:rPr>
          <w:rFonts w:ascii="Georgia" w:eastAsia="Georgia" w:hAnsi="Georgia" w:cs="Georgia"/>
          <w:color w:val="000000"/>
          <w:sz w:val="22"/>
          <w:szCs w:val="22"/>
        </w:rPr>
        <w:t>, 266–273 (2016).</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46.</w:t>
      </w:r>
      <w:r>
        <w:rPr>
          <w:rFonts w:ascii="Georgia" w:eastAsia="Georgia" w:hAnsi="Georgia" w:cs="Georgia"/>
          <w:color w:val="000000"/>
          <w:sz w:val="22"/>
          <w:szCs w:val="22"/>
        </w:rPr>
        <w:tab/>
        <w:t xml:space="preserve">Stergiakouli, E.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Shared genetic influences between dimensional ASD and ADHD symptoms during child and</w:t>
      </w:r>
      <w:r>
        <w:rPr>
          <w:rFonts w:ascii="Georgia" w:eastAsia="Georgia" w:hAnsi="Georgia" w:cs="Georgia"/>
          <w:color w:val="000000"/>
          <w:sz w:val="22"/>
          <w:szCs w:val="22"/>
        </w:rPr>
        <w:t xml:space="preserve"> adolescent development. </w:t>
      </w:r>
      <w:r>
        <w:rPr>
          <w:rFonts w:ascii="Georgia" w:eastAsia="Georgia" w:hAnsi="Georgia" w:cs="Georgia"/>
          <w:i/>
          <w:color w:val="000000"/>
          <w:sz w:val="22"/>
          <w:szCs w:val="22"/>
        </w:rPr>
        <w:t>Mol. Autism</w:t>
      </w:r>
      <w:r>
        <w:rPr>
          <w:rFonts w:ascii="Georgia" w:eastAsia="Georgia" w:hAnsi="Georgia" w:cs="Georgia"/>
          <w:color w:val="000000"/>
          <w:sz w:val="22"/>
          <w:szCs w:val="22"/>
        </w:rPr>
        <w:t xml:space="preserve"> </w:t>
      </w:r>
      <w:r>
        <w:rPr>
          <w:rFonts w:ascii="Georgia" w:eastAsia="Georgia" w:hAnsi="Georgia" w:cs="Georgia"/>
          <w:b/>
          <w:color w:val="000000"/>
          <w:sz w:val="22"/>
          <w:szCs w:val="22"/>
        </w:rPr>
        <w:t>8</w:t>
      </w:r>
      <w:r>
        <w:rPr>
          <w:rFonts w:ascii="Georgia" w:eastAsia="Georgia" w:hAnsi="Georgia" w:cs="Georgia"/>
          <w:color w:val="000000"/>
          <w:sz w:val="22"/>
          <w:szCs w:val="22"/>
        </w:rPr>
        <w:t>, (2017).</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47.</w:t>
      </w:r>
      <w:r>
        <w:rPr>
          <w:rFonts w:ascii="Georgia" w:eastAsia="Georgia" w:hAnsi="Georgia" w:cs="Georgia"/>
          <w:color w:val="000000"/>
          <w:sz w:val="22"/>
          <w:szCs w:val="22"/>
        </w:rPr>
        <w:tab/>
        <w:t xml:space="preserve">Wade, T. D., Bulik, C. M., Neale, M. &amp; Kendler, K. S. Anorexia Nervosa and Major Depression: Shared Genetic and Environmental Risk Factors. </w:t>
      </w:r>
      <w:r>
        <w:rPr>
          <w:rFonts w:ascii="Georgia" w:eastAsia="Georgia" w:hAnsi="Georgia" w:cs="Georgia"/>
          <w:i/>
          <w:color w:val="000000"/>
          <w:sz w:val="22"/>
          <w:szCs w:val="22"/>
        </w:rPr>
        <w:t>Am. J. Psychiatry</w:t>
      </w:r>
      <w:r>
        <w:rPr>
          <w:rFonts w:ascii="Georgia" w:eastAsia="Georgia" w:hAnsi="Georgia" w:cs="Georgia"/>
          <w:color w:val="000000"/>
          <w:sz w:val="22"/>
          <w:szCs w:val="22"/>
        </w:rPr>
        <w:t xml:space="preserve"> </w:t>
      </w:r>
      <w:r>
        <w:rPr>
          <w:rFonts w:ascii="Georgia" w:eastAsia="Georgia" w:hAnsi="Georgia" w:cs="Georgia"/>
          <w:b/>
          <w:color w:val="000000"/>
          <w:sz w:val="22"/>
          <w:szCs w:val="22"/>
        </w:rPr>
        <w:t>157</w:t>
      </w:r>
      <w:r>
        <w:rPr>
          <w:rFonts w:ascii="Georgia" w:eastAsia="Georgia" w:hAnsi="Georgia" w:cs="Georgia"/>
          <w:color w:val="000000"/>
          <w:sz w:val="22"/>
          <w:szCs w:val="22"/>
        </w:rPr>
        <w:t>, 469–471 (2000).</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48.</w:t>
      </w:r>
      <w:r>
        <w:rPr>
          <w:rFonts w:ascii="Georgia" w:eastAsia="Georgia" w:hAnsi="Georgia" w:cs="Georgia"/>
          <w:color w:val="000000"/>
          <w:sz w:val="22"/>
          <w:szCs w:val="22"/>
        </w:rPr>
        <w:tab/>
      </w:r>
      <w:r>
        <w:rPr>
          <w:rFonts w:ascii="Georgia" w:eastAsia="Georgia" w:hAnsi="Georgia" w:cs="Georgia"/>
          <w:color w:val="000000"/>
          <w:sz w:val="22"/>
          <w:szCs w:val="22"/>
        </w:rPr>
        <w:t xml:space="preserve">Haworth, C. M. A., Kovas, Y., Dale, P. S. &amp; Plomin, R. Science in elementary school: Generalist genes and school environments. </w:t>
      </w:r>
      <w:r>
        <w:rPr>
          <w:rFonts w:ascii="Georgia" w:eastAsia="Georgia" w:hAnsi="Georgia" w:cs="Georgia"/>
          <w:i/>
          <w:color w:val="000000"/>
          <w:sz w:val="22"/>
          <w:szCs w:val="22"/>
        </w:rPr>
        <w:t>Intelligence</w:t>
      </w:r>
      <w:r>
        <w:rPr>
          <w:rFonts w:ascii="Georgia" w:eastAsia="Georgia" w:hAnsi="Georgia" w:cs="Georgia"/>
          <w:color w:val="000000"/>
          <w:sz w:val="22"/>
          <w:szCs w:val="22"/>
        </w:rPr>
        <w:t xml:space="preserve"> </w:t>
      </w:r>
      <w:r>
        <w:rPr>
          <w:rFonts w:ascii="Georgia" w:eastAsia="Georgia" w:hAnsi="Georgia" w:cs="Georgia"/>
          <w:b/>
          <w:color w:val="000000"/>
          <w:sz w:val="22"/>
          <w:szCs w:val="22"/>
        </w:rPr>
        <w:t>36</w:t>
      </w:r>
      <w:r>
        <w:rPr>
          <w:rFonts w:ascii="Georgia" w:eastAsia="Georgia" w:hAnsi="Georgia" w:cs="Georgia"/>
          <w:color w:val="000000"/>
          <w:sz w:val="22"/>
          <w:szCs w:val="22"/>
        </w:rPr>
        <w:t>, 694–701 (2008).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49.</w:t>
      </w:r>
      <w:r>
        <w:rPr>
          <w:rFonts w:ascii="Georgia" w:eastAsia="Georgia" w:hAnsi="Georgia" w:cs="Georgia"/>
          <w:color w:val="000000"/>
          <w:sz w:val="22"/>
          <w:szCs w:val="22"/>
        </w:rPr>
        <w:tab/>
        <w:t xml:space="preserve">Grotzinger, A. D.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Genomic SEM Provides Insights into the Multivariate Genetic Archite</w:t>
      </w:r>
      <w:r>
        <w:rPr>
          <w:rFonts w:ascii="Georgia" w:eastAsia="Georgia" w:hAnsi="Georgia" w:cs="Georgia"/>
          <w:color w:val="000000"/>
          <w:sz w:val="22"/>
          <w:szCs w:val="22"/>
        </w:rPr>
        <w:t>cture of Complex Traits. (2018) doi:10.1101/305029.</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50.</w:t>
      </w:r>
      <w:r>
        <w:rPr>
          <w:rFonts w:ascii="Georgia" w:eastAsia="Georgia" w:hAnsi="Georgia" w:cs="Georgia"/>
          <w:color w:val="000000"/>
          <w:sz w:val="22"/>
          <w:szCs w:val="22"/>
        </w:rPr>
        <w:tab/>
        <w:t xml:space="preserve">Akimova, E. T., Breen, R., Brazel, D. M. &amp; Mills, M. C. Heritable environments: bias due to conditioning on a collider in models with polygenic scores. </w:t>
      </w:r>
      <w:r>
        <w:rPr>
          <w:rFonts w:ascii="Georgia" w:eastAsia="Georgia" w:hAnsi="Georgia" w:cs="Georgia"/>
          <w:i/>
          <w:color w:val="000000"/>
          <w:sz w:val="22"/>
          <w:szCs w:val="22"/>
        </w:rPr>
        <w:t>bioRxiv</w:t>
      </w:r>
      <w:r>
        <w:rPr>
          <w:rFonts w:ascii="Georgia" w:eastAsia="Georgia" w:hAnsi="Georgia" w:cs="Georgia"/>
          <w:color w:val="000000"/>
          <w:sz w:val="22"/>
          <w:szCs w:val="22"/>
        </w:rPr>
        <w:t xml:space="preserve"> 2020.11.02.364539 (2020) doi:10.1101/202</w:t>
      </w:r>
      <w:r>
        <w:rPr>
          <w:rFonts w:ascii="Georgia" w:eastAsia="Georgia" w:hAnsi="Georgia" w:cs="Georgia"/>
          <w:color w:val="000000"/>
          <w:sz w:val="22"/>
          <w:szCs w:val="22"/>
        </w:rPr>
        <w:t>0.11.02.364539.</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51.</w:t>
      </w:r>
      <w:r>
        <w:rPr>
          <w:rFonts w:ascii="Georgia" w:eastAsia="Georgia" w:hAnsi="Georgia" w:cs="Georgia"/>
          <w:color w:val="000000"/>
          <w:sz w:val="22"/>
          <w:szCs w:val="22"/>
        </w:rPr>
        <w:tab/>
        <w:t xml:space="preserve">Boyd, A.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Cohort Profile: the ’children of the 90s’--the index offspring of the Avon Longitudinal Study of Parents and Children. </w:t>
      </w:r>
      <w:r>
        <w:rPr>
          <w:rFonts w:ascii="Georgia" w:eastAsia="Georgia" w:hAnsi="Georgia" w:cs="Georgia"/>
          <w:i/>
          <w:color w:val="000000"/>
          <w:sz w:val="22"/>
          <w:szCs w:val="22"/>
        </w:rPr>
        <w:t>Int. J. Epidemiol.</w:t>
      </w:r>
      <w:r>
        <w:rPr>
          <w:rFonts w:ascii="Georgia" w:eastAsia="Georgia" w:hAnsi="Georgia" w:cs="Georgia"/>
          <w:color w:val="000000"/>
          <w:sz w:val="22"/>
          <w:szCs w:val="22"/>
        </w:rPr>
        <w:t xml:space="preserve"> </w:t>
      </w:r>
      <w:r>
        <w:rPr>
          <w:rFonts w:ascii="Georgia" w:eastAsia="Georgia" w:hAnsi="Georgia" w:cs="Georgia"/>
          <w:b/>
          <w:color w:val="000000"/>
          <w:sz w:val="22"/>
          <w:szCs w:val="22"/>
        </w:rPr>
        <w:t>42</w:t>
      </w:r>
      <w:r>
        <w:rPr>
          <w:rFonts w:ascii="Georgia" w:eastAsia="Georgia" w:hAnsi="Georgia" w:cs="Georgia"/>
          <w:color w:val="000000"/>
          <w:sz w:val="22"/>
          <w:szCs w:val="22"/>
        </w:rPr>
        <w:t>, 111–127 (2013).</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52.</w:t>
      </w:r>
      <w:r>
        <w:rPr>
          <w:rFonts w:ascii="Georgia" w:eastAsia="Georgia" w:hAnsi="Georgia" w:cs="Georgia"/>
          <w:color w:val="000000"/>
          <w:sz w:val="22"/>
          <w:szCs w:val="22"/>
        </w:rPr>
        <w:tab/>
        <w:t xml:space="preserve">Fraser, A.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Cohort Profile: The Avon Longitudinal St</w:t>
      </w:r>
      <w:r>
        <w:rPr>
          <w:rFonts w:ascii="Georgia" w:eastAsia="Georgia" w:hAnsi="Georgia" w:cs="Georgia"/>
          <w:color w:val="000000"/>
          <w:sz w:val="22"/>
          <w:szCs w:val="22"/>
        </w:rPr>
        <w:t xml:space="preserve">udy of Parents and Children: ALSPAC mothers cohort. </w:t>
      </w:r>
      <w:r>
        <w:rPr>
          <w:rFonts w:ascii="Georgia" w:eastAsia="Georgia" w:hAnsi="Georgia" w:cs="Georgia"/>
          <w:i/>
          <w:color w:val="000000"/>
          <w:sz w:val="22"/>
          <w:szCs w:val="22"/>
        </w:rPr>
        <w:t>Int. J. Epidemiol.</w:t>
      </w:r>
      <w:r>
        <w:rPr>
          <w:rFonts w:ascii="Georgia" w:eastAsia="Georgia" w:hAnsi="Georgia" w:cs="Georgia"/>
          <w:color w:val="000000"/>
          <w:sz w:val="22"/>
          <w:szCs w:val="22"/>
        </w:rPr>
        <w:t xml:space="preserve"> </w:t>
      </w:r>
      <w:r>
        <w:rPr>
          <w:rFonts w:ascii="Georgia" w:eastAsia="Georgia" w:hAnsi="Georgia" w:cs="Georgia"/>
          <w:b/>
          <w:color w:val="000000"/>
          <w:sz w:val="22"/>
          <w:szCs w:val="22"/>
        </w:rPr>
        <w:t>42</w:t>
      </w:r>
      <w:r>
        <w:rPr>
          <w:rFonts w:ascii="Georgia" w:eastAsia="Georgia" w:hAnsi="Georgia" w:cs="Georgia"/>
          <w:color w:val="000000"/>
          <w:sz w:val="22"/>
          <w:szCs w:val="22"/>
        </w:rPr>
        <w:t>, 97–110 (2013).</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53.</w:t>
      </w:r>
      <w:r>
        <w:rPr>
          <w:rFonts w:ascii="Georgia" w:eastAsia="Georgia" w:hAnsi="Georgia" w:cs="Georgia"/>
          <w:color w:val="000000"/>
          <w:sz w:val="22"/>
          <w:szCs w:val="22"/>
        </w:rPr>
        <w:tab/>
        <w:t>Wechsler, D. Wechsler Abbreviated Scale of Intelligence. (1999).</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lastRenderedPageBreak/>
        <w:t>54.</w:t>
      </w:r>
      <w:r>
        <w:rPr>
          <w:rFonts w:ascii="Georgia" w:eastAsia="Georgia" w:hAnsi="Georgia" w:cs="Georgia"/>
          <w:color w:val="000000"/>
          <w:sz w:val="22"/>
          <w:szCs w:val="22"/>
        </w:rPr>
        <w:tab/>
        <w:t>Delaneau, O., Marchini, J. &amp; Zagury, J.-F. A linear complexity phasing method for thousands o</w:t>
      </w:r>
      <w:r>
        <w:rPr>
          <w:rFonts w:ascii="Georgia" w:eastAsia="Georgia" w:hAnsi="Georgia" w:cs="Georgia"/>
          <w:color w:val="000000"/>
          <w:sz w:val="22"/>
          <w:szCs w:val="22"/>
        </w:rPr>
        <w:t xml:space="preserve">f genomes. </w:t>
      </w:r>
      <w:r>
        <w:rPr>
          <w:rFonts w:ascii="Georgia" w:eastAsia="Georgia" w:hAnsi="Georgia" w:cs="Georgia"/>
          <w:i/>
          <w:color w:val="000000"/>
          <w:sz w:val="22"/>
          <w:szCs w:val="22"/>
        </w:rPr>
        <w:t>Nat. Methods</w:t>
      </w:r>
      <w:r>
        <w:rPr>
          <w:rFonts w:ascii="Georgia" w:eastAsia="Georgia" w:hAnsi="Georgia" w:cs="Georgia"/>
          <w:color w:val="000000"/>
          <w:sz w:val="22"/>
          <w:szCs w:val="22"/>
        </w:rPr>
        <w:t xml:space="preserve"> </w:t>
      </w:r>
      <w:r>
        <w:rPr>
          <w:rFonts w:ascii="Georgia" w:eastAsia="Georgia" w:hAnsi="Georgia" w:cs="Georgia"/>
          <w:b/>
          <w:color w:val="000000"/>
          <w:sz w:val="22"/>
          <w:szCs w:val="22"/>
        </w:rPr>
        <w:t>9</w:t>
      </w:r>
      <w:r>
        <w:rPr>
          <w:rFonts w:ascii="Georgia" w:eastAsia="Georgia" w:hAnsi="Georgia" w:cs="Georgia"/>
          <w:color w:val="000000"/>
          <w:sz w:val="22"/>
          <w:szCs w:val="22"/>
        </w:rPr>
        <w:t>, 179–181 (2012).</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55.</w:t>
      </w:r>
      <w:r>
        <w:rPr>
          <w:rFonts w:ascii="Georgia" w:eastAsia="Georgia" w:hAnsi="Georgia" w:cs="Georgia"/>
          <w:color w:val="000000"/>
          <w:sz w:val="22"/>
          <w:szCs w:val="22"/>
        </w:rPr>
        <w:tab/>
        <w:t xml:space="preserve">R Core Team. </w:t>
      </w:r>
      <w:r>
        <w:rPr>
          <w:rFonts w:ascii="Georgia" w:eastAsia="Georgia" w:hAnsi="Georgia" w:cs="Georgia"/>
          <w:i/>
          <w:color w:val="000000"/>
          <w:sz w:val="22"/>
          <w:szCs w:val="22"/>
        </w:rPr>
        <w:t>R: A language and environment for statistical   computing. R Foundation for Statistical Computing</w:t>
      </w:r>
      <w:r>
        <w:rPr>
          <w:rFonts w:ascii="Georgia" w:eastAsia="Georgia" w:hAnsi="Georgia" w:cs="Georgia"/>
          <w:color w:val="000000"/>
          <w:sz w:val="22"/>
          <w:szCs w:val="22"/>
        </w:rPr>
        <w:t>. (2013).</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56.</w:t>
      </w:r>
      <w:r>
        <w:rPr>
          <w:rFonts w:ascii="Georgia" w:eastAsia="Georgia" w:hAnsi="Georgia" w:cs="Georgia"/>
          <w:color w:val="000000"/>
          <w:sz w:val="22"/>
          <w:szCs w:val="22"/>
        </w:rPr>
        <w:tab/>
        <w:t>Goh, L. &amp; Yap, V. B. Effects of normalization on quantitative traits in association t</w:t>
      </w:r>
      <w:r>
        <w:rPr>
          <w:rFonts w:ascii="Georgia" w:eastAsia="Georgia" w:hAnsi="Georgia" w:cs="Georgia"/>
          <w:color w:val="000000"/>
          <w:sz w:val="22"/>
          <w:szCs w:val="22"/>
        </w:rPr>
        <w:t xml:space="preserve">est. </w:t>
      </w:r>
      <w:r>
        <w:rPr>
          <w:rFonts w:ascii="Georgia" w:eastAsia="Georgia" w:hAnsi="Georgia" w:cs="Georgia"/>
          <w:i/>
          <w:color w:val="000000"/>
          <w:sz w:val="22"/>
          <w:szCs w:val="22"/>
        </w:rPr>
        <w:t>BMC Bioinformatics</w:t>
      </w:r>
      <w:r>
        <w:rPr>
          <w:rFonts w:ascii="Georgia" w:eastAsia="Georgia" w:hAnsi="Georgia" w:cs="Georgia"/>
          <w:color w:val="000000"/>
          <w:sz w:val="22"/>
          <w:szCs w:val="22"/>
        </w:rPr>
        <w:t xml:space="preserve"> </w:t>
      </w:r>
      <w:r>
        <w:rPr>
          <w:rFonts w:ascii="Georgia" w:eastAsia="Georgia" w:hAnsi="Georgia" w:cs="Georgia"/>
          <w:b/>
          <w:color w:val="000000"/>
          <w:sz w:val="22"/>
          <w:szCs w:val="22"/>
        </w:rPr>
        <w:t>10</w:t>
      </w:r>
      <w:r>
        <w:rPr>
          <w:rFonts w:ascii="Georgia" w:eastAsia="Georgia" w:hAnsi="Georgia" w:cs="Georgia"/>
          <w:color w:val="000000"/>
          <w:sz w:val="22"/>
          <w:szCs w:val="22"/>
        </w:rPr>
        <w:t>, 415 (2009).</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57.</w:t>
      </w:r>
      <w:r>
        <w:rPr>
          <w:rFonts w:ascii="Georgia" w:eastAsia="Georgia" w:hAnsi="Georgia" w:cs="Georgia"/>
          <w:color w:val="000000"/>
          <w:sz w:val="22"/>
          <w:szCs w:val="22"/>
        </w:rPr>
        <w:tab/>
        <w:t xml:space="preserve">Marchini, J., Howie, B., Myers, S., McVean, G. &amp; Donnelly, P. A new multipoint method for genome-wide association studies by imputation of genotypes. </w:t>
      </w:r>
      <w:r>
        <w:rPr>
          <w:rFonts w:ascii="Georgia" w:eastAsia="Georgia" w:hAnsi="Georgia" w:cs="Georgia"/>
          <w:i/>
          <w:color w:val="000000"/>
          <w:sz w:val="22"/>
          <w:szCs w:val="22"/>
        </w:rPr>
        <w:t>Nat.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39</w:t>
      </w:r>
      <w:r>
        <w:rPr>
          <w:rFonts w:ascii="Georgia" w:eastAsia="Georgia" w:hAnsi="Georgia" w:cs="Georgia"/>
          <w:color w:val="000000"/>
          <w:sz w:val="22"/>
          <w:szCs w:val="22"/>
        </w:rPr>
        <w:t>, 906–913 (2007).</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58.</w:t>
      </w:r>
      <w:r>
        <w:rPr>
          <w:rFonts w:ascii="Georgia" w:eastAsia="Georgia" w:hAnsi="Georgia" w:cs="Georgia"/>
          <w:color w:val="000000"/>
          <w:sz w:val="22"/>
          <w:szCs w:val="22"/>
        </w:rPr>
        <w:tab/>
        <w:t xml:space="preserve">Purcell, S.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PLINK: a tool set for whole-genome association and population-based linkage analyses. </w:t>
      </w:r>
      <w:r>
        <w:rPr>
          <w:rFonts w:ascii="Georgia" w:eastAsia="Georgia" w:hAnsi="Georgia" w:cs="Georgia"/>
          <w:i/>
          <w:color w:val="000000"/>
          <w:sz w:val="22"/>
          <w:szCs w:val="22"/>
        </w:rPr>
        <w:t>Am. J. Hum.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81</w:t>
      </w:r>
      <w:r>
        <w:rPr>
          <w:rFonts w:ascii="Georgia" w:eastAsia="Georgia" w:hAnsi="Georgia" w:cs="Georgia"/>
          <w:color w:val="000000"/>
          <w:sz w:val="22"/>
          <w:szCs w:val="22"/>
        </w:rPr>
        <w:t>, 559–575 (2007).</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59.</w:t>
      </w:r>
      <w:r>
        <w:rPr>
          <w:rFonts w:ascii="Georgia" w:eastAsia="Georgia" w:hAnsi="Georgia" w:cs="Georgia"/>
          <w:color w:val="000000"/>
          <w:sz w:val="22"/>
          <w:szCs w:val="22"/>
        </w:rPr>
        <w:tab/>
        <w:t xml:space="preserve">Leeuw, C. A. de, Mooij, J. M., Heskes, T. &amp; Posthuma, D. MAGMA: Generalized Gene-Set Analysis of GWAS Data. </w:t>
      </w:r>
      <w:r>
        <w:rPr>
          <w:rFonts w:ascii="Georgia" w:eastAsia="Georgia" w:hAnsi="Georgia" w:cs="Georgia"/>
          <w:i/>
          <w:color w:val="000000"/>
          <w:sz w:val="22"/>
          <w:szCs w:val="22"/>
        </w:rPr>
        <w:t>PLOS Comput. Biol.</w:t>
      </w:r>
      <w:r>
        <w:rPr>
          <w:rFonts w:ascii="Georgia" w:eastAsia="Georgia" w:hAnsi="Georgia" w:cs="Georgia"/>
          <w:color w:val="000000"/>
          <w:sz w:val="22"/>
          <w:szCs w:val="22"/>
        </w:rPr>
        <w:t xml:space="preserve"> </w:t>
      </w:r>
      <w:r>
        <w:rPr>
          <w:rFonts w:ascii="Georgia" w:eastAsia="Georgia" w:hAnsi="Georgia" w:cs="Georgia"/>
          <w:b/>
          <w:color w:val="000000"/>
          <w:sz w:val="22"/>
          <w:szCs w:val="22"/>
        </w:rPr>
        <w:t>11</w:t>
      </w:r>
      <w:r>
        <w:rPr>
          <w:rFonts w:ascii="Georgia" w:eastAsia="Georgia" w:hAnsi="Georgia" w:cs="Georgia"/>
          <w:color w:val="000000"/>
          <w:sz w:val="22"/>
          <w:szCs w:val="22"/>
        </w:rPr>
        <w:t>, e1004219 (2015).</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60.</w:t>
      </w:r>
      <w:r>
        <w:rPr>
          <w:rFonts w:ascii="Georgia" w:eastAsia="Georgia" w:hAnsi="Georgia" w:cs="Georgia"/>
          <w:color w:val="000000"/>
          <w:sz w:val="22"/>
          <w:szCs w:val="22"/>
        </w:rPr>
        <w:tab/>
        <w:t xml:space="preserve">Haplotype Reference Consortium </w:t>
      </w:r>
      <w:r>
        <w:rPr>
          <w:rFonts w:ascii="Georgia" w:eastAsia="Georgia" w:hAnsi="Georgia" w:cs="Georgia"/>
          <w:i/>
          <w:color w:val="000000"/>
          <w:sz w:val="22"/>
          <w:szCs w:val="22"/>
        </w:rPr>
        <w:t>et al.</w:t>
      </w:r>
      <w:r>
        <w:rPr>
          <w:rFonts w:ascii="Georgia" w:eastAsia="Georgia" w:hAnsi="Georgia" w:cs="Georgia"/>
          <w:color w:val="000000"/>
          <w:sz w:val="22"/>
          <w:szCs w:val="22"/>
        </w:rPr>
        <w:t xml:space="preserve"> Comparison of methods that use whole genome data to estimate the heritability and genetic architecture of complex traits. </w:t>
      </w:r>
      <w:r>
        <w:rPr>
          <w:rFonts w:ascii="Georgia" w:eastAsia="Georgia" w:hAnsi="Georgia" w:cs="Georgia"/>
          <w:i/>
          <w:color w:val="000000"/>
          <w:sz w:val="22"/>
          <w:szCs w:val="22"/>
        </w:rPr>
        <w:t>Nat. Genet.</w:t>
      </w:r>
      <w:r>
        <w:rPr>
          <w:rFonts w:ascii="Georgia" w:eastAsia="Georgia" w:hAnsi="Georgia" w:cs="Georgia"/>
          <w:color w:val="000000"/>
          <w:sz w:val="22"/>
          <w:szCs w:val="22"/>
        </w:rPr>
        <w:t xml:space="preserve"> </w:t>
      </w:r>
      <w:r>
        <w:rPr>
          <w:rFonts w:ascii="Georgia" w:eastAsia="Georgia" w:hAnsi="Georgia" w:cs="Georgia"/>
          <w:b/>
          <w:color w:val="000000"/>
          <w:sz w:val="22"/>
          <w:szCs w:val="22"/>
        </w:rPr>
        <w:t>50</w:t>
      </w:r>
      <w:r>
        <w:rPr>
          <w:rFonts w:ascii="Georgia" w:eastAsia="Georgia" w:hAnsi="Georgia" w:cs="Georgia"/>
          <w:color w:val="000000"/>
          <w:sz w:val="22"/>
          <w:szCs w:val="22"/>
        </w:rPr>
        <w:t>, 737–745 (2018).</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61.</w:t>
      </w:r>
      <w:r>
        <w:rPr>
          <w:rFonts w:ascii="Georgia" w:eastAsia="Georgia" w:hAnsi="Georgia" w:cs="Georgia"/>
          <w:color w:val="000000"/>
          <w:sz w:val="22"/>
          <w:szCs w:val="22"/>
        </w:rPr>
        <w:tab/>
        <w:t>Trouton, A., Spinath, F. M. &amp; Plom</w:t>
      </w:r>
      <w:r>
        <w:rPr>
          <w:rFonts w:ascii="Georgia" w:eastAsia="Georgia" w:hAnsi="Georgia" w:cs="Georgia"/>
          <w:color w:val="000000"/>
          <w:sz w:val="22"/>
          <w:szCs w:val="22"/>
        </w:rPr>
        <w:t>in, R. Twins Early Development Study (TEDS): A Multivariate, Longitudinal Genetic Investigation of Language, Cognition and Behavior Problems in Childhood. 5 (2002).</w:t>
      </w:r>
    </w:p>
    <w:p w:rsidR="00E6467A" w:rsidRDefault="007A5689">
      <w:pPr>
        <w:pBdr>
          <w:top w:val="nil"/>
          <w:left w:val="nil"/>
          <w:bottom w:val="nil"/>
          <w:right w:val="nil"/>
          <w:between w:val="nil"/>
        </w:pBdr>
        <w:tabs>
          <w:tab w:val="left" w:pos="380"/>
        </w:tabs>
        <w:spacing w:line="480" w:lineRule="auto"/>
        <w:ind w:left="384" w:hanging="384"/>
        <w:jc w:val="both"/>
        <w:rPr>
          <w:rFonts w:ascii="Georgia" w:eastAsia="Georgia" w:hAnsi="Georgia" w:cs="Georgia"/>
          <w:color w:val="000000"/>
          <w:sz w:val="22"/>
          <w:szCs w:val="22"/>
        </w:rPr>
      </w:pPr>
      <w:r>
        <w:rPr>
          <w:rFonts w:ascii="Georgia" w:eastAsia="Georgia" w:hAnsi="Georgia" w:cs="Georgia"/>
          <w:color w:val="000000"/>
          <w:sz w:val="22"/>
          <w:szCs w:val="22"/>
        </w:rPr>
        <w:t>62.</w:t>
      </w:r>
      <w:r>
        <w:rPr>
          <w:rFonts w:ascii="Georgia" w:eastAsia="Georgia" w:hAnsi="Georgia" w:cs="Georgia"/>
          <w:color w:val="000000"/>
          <w:sz w:val="22"/>
          <w:szCs w:val="22"/>
        </w:rPr>
        <w:tab/>
        <w:t>Willer, C. J., Li, Y. &amp; Abecasis, G. R. METAL: fast and efficient meta-analysis of geno</w:t>
      </w:r>
      <w:r>
        <w:rPr>
          <w:rFonts w:ascii="Georgia" w:eastAsia="Georgia" w:hAnsi="Georgia" w:cs="Georgia"/>
          <w:color w:val="000000"/>
          <w:sz w:val="22"/>
          <w:szCs w:val="22"/>
        </w:rPr>
        <w:t xml:space="preserve">mewide association scans. </w:t>
      </w:r>
      <w:r>
        <w:rPr>
          <w:rFonts w:ascii="Georgia" w:eastAsia="Georgia" w:hAnsi="Georgia" w:cs="Georgia"/>
          <w:i/>
          <w:color w:val="000000"/>
          <w:sz w:val="22"/>
          <w:szCs w:val="22"/>
        </w:rPr>
        <w:t>Bioinformatics</w:t>
      </w:r>
      <w:r>
        <w:rPr>
          <w:rFonts w:ascii="Georgia" w:eastAsia="Georgia" w:hAnsi="Georgia" w:cs="Georgia"/>
          <w:color w:val="000000"/>
          <w:sz w:val="22"/>
          <w:szCs w:val="22"/>
        </w:rPr>
        <w:t xml:space="preserve"> </w:t>
      </w:r>
      <w:r>
        <w:rPr>
          <w:rFonts w:ascii="Georgia" w:eastAsia="Georgia" w:hAnsi="Georgia" w:cs="Georgia"/>
          <w:b/>
          <w:color w:val="000000"/>
          <w:sz w:val="22"/>
          <w:szCs w:val="22"/>
        </w:rPr>
        <w:t>26</w:t>
      </w:r>
      <w:r>
        <w:rPr>
          <w:rFonts w:ascii="Georgia" w:eastAsia="Georgia" w:hAnsi="Georgia" w:cs="Georgia"/>
          <w:color w:val="000000"/>
          <w:sz w:val="22"/>
          <w:szCs w:val="22"/>
        </w:rPr>
        <w:t>, 2190–2191 (2010).</w:t>
      </w:r>
    </w:p>
    <w:p w:rsidR="00E6467A" w:rsidRDefault="00E6467A">
      <w:pPr>
        <w:rPr>
          <w:color w:val="000000"/>
        </w:rPr>
      </w:pPr>
    </w:p>
    <w:p w:rsidR="00E6467A" w:rsidRDefault="007A5689">
      <w:pPr>
        <w:pStyle w:val="Heading1"/>
        <w:rPr>
          <w:b/>
        </w:rPr>
      </w:pPr>
      <w:r>
        <w:rPr>
          <w:b/>
        </w:rPr>
        <w:t>Acknowledgements</w:t>
      </w:r>
    </w:p>
    <w:p w:rsidR="00E6467A" w:rsidRDefault="007A5689">
      <w:pPr>
        <w:pBdr>
          <w:top w:val="nil"/>
          <w:left w:val="nil"/>
          <w:bottom w:val="nil"/>
          <w:right w:val="nil"/>
          <w:between w:val="nil"/>
        </w:pBdr>
        <w:spacing w:line="360" w:lineRule="auto"/>
        <w:jc w:val="both"/>
        <w:rPr>
          <w:color w:val="000000"/>
          <w:sz w:val="22"/>
          <w:szCs w:val="22"/>
        </w:rPr>
      </w:pPr>
      <w:r>
        <w:rPr>
          <w:color w:val="000000"/>
          <w:sz w:val="22"/>
          <w:szCs w:val="22"/>
        </w:rPr>
        <w:t>We are extremely grateful to all the families who took part in this study, the midwives for their help in recruiting the participants and the whole ALSPAC team, which includes interviewers, computer and laboratory technicians, clerical workers, research sc</w:t>
      </w:r>
      <w:r>
        <w:rPr>
          <w:color w:val="000000"/>
          <w:sz w:val="22"/>
          <w:szCs w:val="22"/>
        </w:rPr>
        <w:t>ientists, volunteers, managers, receptionist and nurses. The UK Medical Research Council and Wellcome (Grant ref: 217065/Z/19/Z) and the University of Bristol provide core support for ALSPAC. A comprehensive list of grants funding is available on the ALSPA</w:t>
      </w:r>
      <w:r>
        <w:rPr>
          <w:color w:val="000000"/>
          <w:sz w:val="22"/>
          <w:szCs w:val="22"/>
        </w:rPr>
        <w:t xml:space="preserve">C website </w:t>
      </w:r>
      <w:r>
        <w:rPr>
          <w:color w:val="000000"/>
          <w:sz w:val="22"/>
          <w:szCs w:val="22"/>
        </w:rPr>
        <w:lastRenderedPageBreak/>
        <w:t>(http://www.bristol.ac.uk/alspac/external/documents/grant-acknowledgements.pdf); This research was specifically funded by Wellcome (Grant 08426812/Z/07/Z), Wellcome and MRC (Grant 076467/Z/05/Z); Dr Donati’s research was funded by the Birkbeck We</w:t>
      </w:r>
      <w:r>
        <w:rPr>
          <w:color w:val="000000"/>
          <w:sz w:val="22"/>
          <w:szCs w:val="22"/>
        </w:rPr>
        <w:t>llcome Trust Institutional Strategic Support Fund (ISSF).  GWAS data was generated by Sample Logistics and Genotyping Facilities at Wellcome Sanger Institute and LabCorp (Laboratory Corporation of America) using support from 23andMe. This publication is th</w:t>
      </w:r>
      <w:r>
        <w:rPr>
          <w:color w:val="000000"/>
          <w:sz w:val="22"/>
          <w:szCs w:val="22"/>
        </w:rPr>
        <w:t>e work of the authors and they will serve as guarantors for the contents of this paper.</w:t>
      </w:r>
    </w:p>
    <w:p w:rsidR="00E6467A" w:rsidRDefault="007A5689">
      <w:pPr>
        <w:spacing w:line="360" w:lineRule="auto"/>
        <w:rPr>
          <w:color w:val="000000"/>
          <w:sz w:val="22"/>
          <w:szCs w:val="22"/>
        </w:rPr>
      </w:pPr>
      <w:r>
        <w:rPr>
          <w:color w:val="000000"/>
          <w:sz w:val="22"/>
          <w:szCs w:val="22"/>
        </w:rPr>
        <w:t>We gratefully acknowledge the ongoing contribution of the participants in the Twins Early Development Study (TEDS) and their families. TEDS is supported by a program gr</w:t>
      </w:r>
      <w:r>
        <w:rPr>
          <w:color w:val="000000"/>
          <w:sz w:val="22"/>
          <w:szCs w:val="22"/>
        </w:rPr>
        <w:t>ant to RP from the UK Medical Research Council (MR/M021475/1 and previously G0901245), with additional support from the US National Institutes of Health (AG046938). </w:t>
      </w:r>
    </w:p>
    <w:p w:rsidR="00E6467A" w:rsidRDefault="00E6467A">
      <w:pPr>
        <w:rPr>
          <w:color w:val="000000"/>
        </w:rPr>
      </w:pPr>
    </w:p>
    <w:p w:rsidR="00E6467A" w:rsidRDefault="00E6467A">
      <w:pPr>
        <w:rPr>
          <w:color w:val="000000"/>
        </w:rPr>
      </w:pPr>
    </w:p>
    <w:p w:rsidR="00E6467A" w:rsidRDefault="007A5689">
      <w:pPr>
        <w:spacing w:line="360" w:lineRule="auto"/>
        <w:jc w:val="both"/>
        <w:rPr>
          <w:b/>
          <w:color w:val="000000"/>
        </w:rPr>
      </w:pPr>
      <w:r>
        <w:rPr>
          <w:b/>
          <w:color w:val="000000"/>
        </w:rPr>
        <w:t>Author contributions</w:t>
      </w:r>
    </w:p>
    <w:p w:rsidR="00E6467A" w:rsidRDefault="00E6467A">
      <w:pPr>
        <w:spacing w:line="360" w:lineRule="auto"/>
        <w:jc w:val="both"/>
        <w:rPr>
          <w:color w:val="000000"/>
        </w:rPr>
      </w:pPr>
    </w:p>
    <w:p w:rsidR="00E6467A" w:rsidRDefault="007A5689">
      <w:pPr>
        <w:spacing w:line="360" w:lineRule="auto"/>
        <w:jc w:val="both"/>
        <w:rPr>
          <w:color w:val="000000"/>
        </w:rPr>
      </w:pPr>
      <w:r>
        <w:rPr>
          <w:color w:val="000000"/>
        </w:rPr>
        <w:t>The study was designed by GD, ID and ELM, GD carried out the analy</w:t>
      </w:r>
      <w:r>
        <w:rPr>
          <w:color w:val="000000"/>
        </w:rPr>
        <w:t>sis with help from OP.  KA advised on the TEDS analysis. GD and ELM wrote the paper with comments and revisions from ID, KA and OP.</w:t>
      </w:r>
    </w:p>
    <w:p w:rsidR="00E6467A" w:rsidRDefault="00E6467A">
      <w:pPr>
        <w:spacing w:line="360" w:lineRule="auto"/>
        <w:jc w:val="both"/>
        <w:rPr>
          <w:color w:val="000000"/>
        </w:rPr>
      </w:pPr>
    </w:p>
    <w:p w:rsidR="00E6467A" w:rsidRDefault="007A5689">
      <w:pPr>
        <w:rPr>
          <w:b/>
          <w:color w:val="000000"/>
        </w:rPr>
      </w:pPr>
      <w:r>
        <w:rPr>
          <w:b/>
          <w:color w:val="000000"/>
        </w:rPr>
        <w:t>Competing Interests</w:t>
      </w:r>
    </w:p>
    <w:p w:rsidR="00E6467A" w:rsidRDefault="00E6467A">
      <w:pPr>
        <w:rPr>
          <w:color w:val="000000"/>
        </w:rPr>
      </w:pPr>
    </w:p>
    <w:p w:rsidR="00E6467A" w:rsidRDefault="007A5689">
      <w:pPr>
        <w:rPr>
          <w:color w:val="000000"/>
        </w:rPr>
      </w:pPr>
      <w:r>
        <w:rPr>
          <w:color w:val="000000"/>
        </w:rPr>
        <w:t>The authors declare no competing interests</w:t>
      </w:r>
    </w:p>
    <w:p w:rsidR="00E6467A" w:rsidRDefault="00E6467A">
      <w:pPr>
        <w:rPr>
          <w:color w:val="000000"/>
        </w:rPr>
      </w:pPr>
    </w:p>
    <w:p w:rsidR="00E6467A" w:rsidRDefault="00E6467A">
      <w:pPr>
        <w:widowControl w:val="0"/>
        <w:spacing w:line="360" w:lineRule="auto"/>
        <w:jc w:val="both"/>
        <w:rPr>
          <w:color w:val="000000"/>
          <w:sz w:val="22"/>
          <w:szCs w:val="22"/>
        </w:rPr>
      </w:pPr>
    </w:p>
    <w:p w:rsidR="00E6467A" w:rsidRDefault="007A5689">
      <w:pPr>
        <w:rPr>
          <w:b/>
          <w:color w:val="000000"/>
        </w:rPr>
      </w:pPr>
      <w:r>
        <w:rPr>
          <w:b/>
          <w:color w:val="000000"/>
        </w:rPr>
        <w:t>Figure Legends</w:t>
      </w:r>
    </w:p>
    <w:p w:rsidR="00E6467A" w:rsidRDefault="00E6467A">
      <w:pPr>
        <w:widowControl w:val="0"/>
        <w:spacing w:line="360" w:lineRule="auto"/>
        <w:jc w:val="both"/>
        <w:rPr>
          <w:i/>
          <w:color w:val="000000"/>
          <w:sz w:val="22"/>
          <w:szCs w:val="22"/>
        </w:rPr>
      </w:pPr>
    </w:p>
    <w:p w:rsidR="00E6467A" w:rsidRDefault="007A5689">
      <w:pPr>
        <w:spacing w:line="276" w:lineRule="auto"/>
        <w:ind w:right="432"/>
        <w:rPr>
          <w:i/>
          <w:color w:val="000000"/>
          <w:sz w:val="18"/>
          <w:szCs w:val="18"/>
        </w:rPr>
      </w:pPr>
      <w:r>
        <w:rPr>
          <w:b/>
          <w:i/>
          <w:color w:val="000000"/>
          <w:sz w:val="22"/>
          <w:szCs w:val="22"/>
        </w:rPr>
        <w:t>Figure 1</w:t>
      </w:r>
      <w:r>
        <w:rPr>
          <w:i/>
          <w:color w:val="000000"/>
          <w:sz w:val="22"/>
          <w:szCs w:val="22"/>
        </w:rPr>
        <w:t>: Locus Zoom plot of the SNP rs95</w:t>
      </w:r>
      <w:r>
        <w:rPr>
          <w:i/>
          <w:color w:val="000000"/>
          <w:sz w:val="22"/>
          <w:szCs w:val="22"/>
        </w:rPr>
        <w:t xml:space="preserve">2964 (+/- 200kb) on chromosome 13 (position: 35319175, minor allele frequency: 0.25, beta: 0.12 (0.02)) showing genome-wide significant association with science attainment during adolescence (11-14 years). The y-axis shows the p-value and the x-axis shows </w:t>
      </w:r>
      <w:r>
        <w:rPr>
          <w:i/>
          <w:color w:val="000000"/>
          <w:sz w:val="22"/>
          <w:szCs w:val="22"/>
        </w:rPr>
        <w:t>position on chromosome 13.  Points show other SNPs located in this region - the purple SNP is the lead SNP and the other colours show the level of LD shared with the lead SNP.</w:t>
      </w:r>
    </w:p>
    <w:p w:rsidR="00E6467A" w:rsidRDefault="00E6467A">
      <w:pPr>
        <w:widowControl w:val="0"/>
        <w:spacing w:line="360" w:lineRule="auto"/>
        <w:jc w:val="both"/>
        <w:rPr>
          <w:i/>
          <w:color w:val="000000"/>
          <w:sz w:val="22"/>
          <w:szCs w:val="22"/>
        </w:rPr>
      </w:pP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7A5689">
      <w:pPr>
        <w:rPr>
          <w:b/>
          <w:color w:val="000000"/>
        </w:rPr>
      </w:pPr>
      <w:r>
        <w:rPr>
          <w:b/>
          <w:color w:val="000000"/>
        </w:rPr>
        <w:t>Tables</w:t>
      </w:r>
    </w:p>
    <w:p w:rsidR="00E6467A" w:rsidRDefault="00E6467A">
      <w:pPr>
        <w:widowControl w:val="0"/>
        <w:spacing w:line="360" w:lineRule="auto"/>
        <w:jc w:val="both"/>
        <w:rPr>
          <w:b/>
          <w:color w:val="000000"/>
          <w:sz w:val="22"/>
          <w:szCs w:val="22"/>
        </w:rPr>
      </w:pPr>
    </w:p>
    <w:p w:rsidR="00E6467A" w:rsidRDefault="007A5689">
      <w:pPr>
        <w:widowControl w:val="0"/>
        <w:spacing w:line="360" w:lineRule="auto"/>
        <w:jc w:val="both"/>
        <w:rPr>
          <w:color w:val="000000"/>
          <w:sz w:val="22"/>
          <w:szCs w:val="22"/>
        </w:rPr>
      </w:pPr>
      <w:r>
        <w:rPr>
          <w:b/>
          <w:color w:val="000000"/>
          <w:sz w:val="22"/>
          <w:szCs w:val="22"/>
        </w:rPr>
        <w:t>Table 1:</w:t>
      </w:r>
      <w:r>
        <w:rPr>
          <w:color w:val="000000"/>
          <w:sz w:val="22"/>
          <w:szCs w:val="22"/>
        </w:rPr>
        <w:t xml:space="preserve"> Significant gene-level associations with science attainment scores.</w:t>
      </w:r>
    </w:p>
    <w:tbl>
      <w:tblPr>
        <w:tblStyle w:val="a"/>
        <w:tblW w:w="8432" w:type="dxa"/>
        <w:tblInd w:w="9" w:type="dxa"/>
        <w:tblLayout w:type="fixed"/>
        <w:tblLook w:val="0400" w:firstRow="0" w:lastRow="0" w:firstColumn="0" w:lastColumn="0" w:noHBand="0" w:noVBand="1"/>
      </w:tblPr>
      <w:tblGrid>
        <w:gridCol w:w="426"/>
        <w:gridCol w:w="1550"/>
        <w:gridCol w:w="1500"/>
        <w:gridCol w:w="916"/>
        <w:gridCol w:w="1102"/>
        <w:gridCol w:w="917"/>
        <w:gridCol w:w="2021"/>
      </w:tblGrid>
      <w:tr w:rsidR="00E6467A">
        <w:trPr>
          <w:trHeight w:val="544"/>
        </w:trPr>
        <w:tc>
          <w:tcPr>
            <w:tcW w:w="426" w:type="dxa"/>
            <w:tcBorders>
              <w:top w:val="single" w:sz="4" w:space="0" w:color="000000"/>
              <w:bottom w:val="single" w:sz="4" w:space="0" w:color="000000"/>
            </w:tcBorders>
            <w:tcMar>
              <w:left w:w="28" w:type="dxa"/>
              <w:right w:w="28" w:type="dxa"/>
            </w:tcMar>
            <w:vAlign w:val="center"/>
          </w:tcPr>
          <w:p w:rsidR="00E6467A" w:rsidRDefault="007A5689">
            <w:pPr>
              <w:spacing w:line="360" w:lineRule="auto"/>
              <w:jc w:val="center"/>
              <w:rPr>
                <w:b/>
                <w:color w:val="000000"/>
                <w:sz w:val="18"/>
                <w:szCs w:val="18"/>
              </w:rPr>
            </w:pPr>
            <w:r>
              <w:rPr>
                <w:b/>
                <w:color w:val="000000"/>
                <w:sz w:val="18"/>
                <w:szCs w:val="18"/>
              </w:rPr>
              <w:t>Chr</w:t>
            </w:r>
          </w:p>
        </w:tc>
        <w:tc>
          <w:tcPr>
            <w:tcW w:w="1550" w:type="dxa"/>
            <w:tcBorders>
              <w:top w:val="single" w:sz="4" w:space="0" w:color="000000"/>
              <w:bottom w:val="single" w:sz="4" w:space="0" w:color="000000"/>
            </w:tcBorders>
            <w:tcMar>
              <w:left w:w="28" w:type="dxa"/>
              <w:right w:w="28" w:type="dxa"/>
            </w:tcMar>
            <w:vAlign w:val="center"/>
          </w:tcPr>
          <w:p w:rsidR="00E6467A" w:rsidRDefault="007A5689">
            <w:pPr>
              <w:spacing w:line="360" w:lineRule="auto"/>
              <w:jc w:val="center"/>
              <w:rPr>
                <w:b/>
                <w:color w:val="000000"/>
                <w:sz w:val="18"/>
                <w:szCs w:val="18"/>
              </w:rPr>
            </w:pPr>
            <w:r>
              <w:rPr>
                <w:b/>
                <w:color w:val="000000"/>
                <w:sz w:val="18"/>
                <w:szCs w:val="18"/>
              </w:rPr>
              <w:t>Position</w:t>
            </w:r>
          </w:p>
        </w:tc>
        <w:tc>
          <w:tcPr>
            <w:tcW w:w="1500" w:type="dxa"/>
            <w:tcBorders>
              <w:top w:val="single" w:sz="4" w:space="0" w:color="000000"/>
              <w:bottom w:val="single" w:sz="4" w:space="0" w:color="000000"/>
            </w:tcBorders>
            <w:tcMar>
              <w:left w:w="28" w:type="dxa"/>
              <w:right w:w="28" w:type="dxa"/>
            </w:tcMar>
            <w:vAlign w:val="center"/>
          </w:tcPr>
          <w:p w:rsidR="00E6467A" w:rsidRDefault="007A5689">
            <w:pPr>
              <w:spacing w:line="360" w:lineRule="auto"/>
              <w:jc w:val="center"/>
              <w:rPr>
                <w:b/>
                <w:color w:val="000000"/>
                <w:sz w:val="18"/>
                <w:szCs w:val="18"/>
              </w:rPr>
            </w:pPr>
            <w:r>
              <w:rPr>
                <w:b/>
                <w:color w:val="000000"/>
                <w:sz w:val="18"/>
                <w:szCs w:val="18"/>
              </w:rPr>
              <w:t>Ensembl gene ID</w:t>
            </w:r>
          </w:p>
        </w:tc>
        <w:tc>
          <w:tcPr>
            <w:tcW w:w="916" w:type="dxa"/>
            <w:tcBorders>
              <w:top w:val="single" w:sz="4" w:space="0" w:color="000000"/>
              <w:bottom w:val="single" w:sz="4" w:space="0" w:color="000000"/>
            </w:tcBorders>
            <w:tcMar>
              <w:left w:w="28" w:type="dxa"/>
              <w:right w:w="28" w:type="dxa"/>
            </w:tcMar>
            <w:vAlign w:val="center"/>
          </w:tcPr>
          <w:p w:rsidR="00E6467A" w:rsidRDefault="007A5689">
            <w:pPr>
              <w:spacing w:line="360" w:lineRule="auto"/>
              <w:jc w:val="center"/>
              <w:rPr>
                <w:b/>
                <w:color w:val="000000"/>
                <w:sz w:val="18"/>
                <w:szCs w:val="18"/>
              </w:rPr>
            </w:pPr>
            <w:r>
              <w:rPr>
                <w:b/>
                <w:color w:val="000000"/>
                <w:sz w:val="18"/>
                <w:szCs w:val="18"/>
              </w:rPr>
              <w:t>Gene name</w:t>
            </w:r>
          </w:p>
        </w:tc>
        <w:tc>
          <w:tcPr>
            <w:tcW w:w="1102" w:type="dxa"/>
            <w:tcBorders>
              <w:top w:val="single" w:sz="4" w:space="0" w:color="000000"/>
              <w:bottom w:val="single" w:sz="4" w:space="0" w:color="000000"/>
            </w:tcBorders>
            <w:tcMar>
              <w:left w:w="28" w:type="dxa"/>
              <w:right w:w="28" w:type="dxa"/>
            </w:tcMar>
            <w:vAlign w:val="center"/>
          </w:tcPr>
          <w:p w:rsidR="00E6467A" w:rsidRDefault="007A5689">
            <w:pPr>
              <w:spacing w:line="360" w:lineRule="auto"/>
              <w:jc w:val="center"/>
              <w:rPr>
                <w:b/>
                <w:color w:val="000000"/>
                <w:sz w:val="18"/>
                <w:szCs w:val="18"/>
              </w:rPr>
            </w:pPr>
            <w:r>
              <w:rPr>
                <w:b/>
                <w:color w:val="000000"/>
                <w:sz w:val="18"/>
                <w:szCs w:val="18"/>
              </w:rPr>
              <w:t>p-value</w:t>
            </w:r>
          </w:p>
        </w:tc>
        <w:tc>
          <w:tcPr>
            <w:tcW w:w="917" w:type="dxa"/>
            <w:tcBorders>
              <w:top w:val="single" w:sz="4" w:space="0" w:color="000000"/>
              <w:bottom w:val="single" w:sz="4" w:space="0" w:color="000000"/>
            </w:tcBorders>
            <w:tcMar>
              <w:left w:w="28" w:type="dxa"/>
              <w:right w:w="28" w:type="dxa"/>
            </w:tcMar>
            <w:vAlign w:val="center"/>
          </w:tcPr>
          <w:p w:rsidR="00E6467A" w:rsidRDefault="007A5689">
            <w:pPr>
              <w:spacing w:line="360" w:lineRule="auto"/>
              <w:jc w:val="center"/>
              <w:rPr>
                <w:b/>
                <w:color w:val="000000"/>
                <w:sz w:val="18"/>
                <w:szCs w:val="18"/>
              </w:rPr>
            </w:pPr>
            <w:r>
              <w:rPr>
                <w:b/>
                <w:color w:val="000000"/>
                <w:sz w:val="18"/>
                <w:szCs w:val="18"/>
              </w:rPr>
              <w:t>z-statistic</w:t>
            </w:r>
          </w:p>
        </w:tc>
        <w:tc>
          <w:tcPr>
            <w:tcW w:w="2021" w:type="dxa"/>
            <w:tcBorders>
              <w:top w:val="single" w:sz="4" w:space="0" w:color="000000"/>
              <w:bottom w:val="single" w:sz="4" w:space="0" w:color="000000"/>
            </w:tcBorders>
            <w:tcMar>
              <w:left w:w="28" w:type="dxa"/>
              <w:right w:w="28" w:type="dxa"/>
            </w:tcMar>
            <w:vAlign w:val="center"/>
          </w:tcPr>
          <w:p w:rsidR="00E6467A" w:rsidRDefault="007A5689">
            <w:pPr>
              <w:spacing w:line="360" w:lineRule="auto"/>
              <w:jc w:val="center"/>
              <w:rPr>
                <w:b/>
                <w:color w:val="000000"/>
                <w:sz w:val="18"/>
                <w:szCs w:val="18"/>
              </w:rPr>
            </w:pPr>
            <w:r>
              <w:rPr>
                <w:b/>
                <w:color w:val="000000"/>
                <w:sz w:val="18"/>
                <w:szCs w:val="18"/>
              </w:rPr>
              <w:t>Gene expression*</w:t>
            </w:r>
          </w:p>
        </w:tc>
      </w:tr>
      <w:tr w:rsidR="00E6467A">
        <w:trPr>
          <w:trHeight w:val="231"/>
        </w:trPr>
        <w:tc>
          <w:tcPr>
            <w:tcW w:w="426" w:type="dxa"/>
            <w:shd w:val="clear" w:color="auto" w:fill="FFFFFF"/>
            <w:tcMar>
              <w:left w:w="28" w:type="dxa"/>
              <w:right w:w="28" w:type="dxa"/>
            </w:tcMar>
          </w:tcPr>
          <w:p w:rsidR="00E6467A" w:rsidRDefault="007A5689">
            <w:pPr>
              <w:jc w:val="center"/>
              <w:rPr>
                <w:b/>
                <w:color w:val="000000"/>
                <w:sz w:val="16"/>
                <w:szCs w:val="16"/>
              </w:rPr>
            </w:pPr>
            <w:r>
              <w:rPr>
                <w:b/>
                <w:color w:val="000000"/>
                <w:sz w:val="16"/>
                <w:szCs w:val="16"/>
              </w:rPr>
              <w:t>1</w:t>
            </w:r>
          </w:p>
        </w:tc>
        <w:tc>
          <w:tcPr>
            <w:tcW w:w="1550"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 xml:space="preserve">153,600,873 – </w:t>
            </w:r>
          </w:p>
          <w:p w:rsidR="00E6467A" w:rsidRDefault="007A5689">
            <w:pPr>
              <w:jc w:val="center"/>
              <w:rPr>
                <w:color w:val="000000"/>
                <w:sz w:val="16"/>
                <w:szCs w:val="16"/>
              </w:rPr>
            </w:pPr>
            <w:r>
              <w:rPr>
                <w:color w:val="000000"/>
                <w:sz w:val="16"/>
                <w:szCs w:val="16"/>
              </w:rPr>
              <w:t>153,604,513</w:t>
            </w:r>
          </w:p>
        </w:tc>
        <w:tc>
          <w:tcPr>
            <w:tcW w:w="1500"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ENSG00000160678</w:t>
            </w:r>
          </w:p>
        </w:tc>
        <w:tc>
          <w:tcPr>
            <w:tcW w:w="916" w:type="dxa"/>
            <w:shd w:val="clear" w:color="auto" w:fill="FFFFFF"/>
            <w:tcMar>
              <w:left w:w="28" w:type="dxa"/>
              <w:right w:w="28" w:type="dxa"/>
            </w:tcMar>
          </w:tcPr>
          <w:p w:rsidR="00E6467A" w:rsidRDefault="007A5689">
            <w:pPr>
              <w:jc w:val="center"/>
              <w:rPr>
                <w:i/>
                <w:color w:val="000000"/>
                <w:sz w:val="16"/>
                <w:szCs w:val="16"/>
              </w:rPr>
            </w:pPr>
            <w:r>
              <w:rPr>
                <w:i/>
                <w:color w:val="000000"/>
                <w:sz w:val="16"/>
                <w:szCs w:val="16"/>
              </w:rPr>
              <w:t>S100A1</w:t>
            </w:r>
          </w:p>
        </w:tc>
        <w:tc>
          <w:tcPr>
            <w:tcW w:w="1102" w:type="dxa"/>
            <w:shd w:val="clear" w:color="auto" w:fill="FFFFFF"/>
            <w:tcMar>
              <w:left w:w="28" w:type="dxa"/>
              <w:right w:w="28" w:type="dxa"/>
            </w:tcMar>
          </w:tcPr>
          <w:p w:rsidR="00E6467A" w:rsidRDefault="007A5689">
            <w:pPr>
              <w:jc w:val="center"/>
              <w:rPr>
                <w:b/>
                <w:color w:val="000000"/>
                <w:sz w:val="16"/>
                <w:szCs w:val="16"/>
                <w:highlight w:val="yellow"/>
              </w:rPr>
            </w:pPr>
            <w:r>
              <w:rPr>
                <w:b/>
                <w:color w:val="000000"/>
                <w:sz w:val="16"/>
                <w:szCs w:val="16"/>
              </w:rPr>
              <w:t>8.32 x 10</w:t>
            </w:r>
            <w:r>
              <w:rPr>
                <w:b/>
                <w:color w:val="000000"/>
                <w:sz w:val="16"/>
                <w:szCs w:val="16"/>
                <w:vertAlign w:val="superscript"/>
              </w:rPr>
              <w:t>-7</w:t>
            </w:r>
          </w:p>
        </w:tc>
        <w:tc>
          <w:tcPr>
            <w:tcW w:w="917"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4.790</w:t>
            </w:r>
          </w:p>
        </w:tc>
        <w:tc>
          <w:tcPr>
            <w:tcW w:w="2021"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Mostly brain</w:t>
            </w:r>
          </w:p>
        </w:tc>
      </w:tr>
      <w:tr w:rsidR="00E6467A">
        <w:trPr>
          <w:trHeight w:val="354"/>
        </w:trPr>
        <w:tc>
          <w:tcPr>
            <w:tcW w:w="426" w:type="dxa"/>
            <w:shd w:val="clear" w:color="auto" w:fill="FFFFFF"/>
            <w:tcMar>
              <w:left w:w="28" w:type="dxa"/>
              <w:right w:w="28" w:type="dxa"/>
            </w:tcMar>
          </w:tcPr>
          <w:p w:rsidR="00E6467A" w:rsidRDefault="007A5689">
            <w:pPr>
              <w:jc w:val="center"/>
              <w:rPr>
                <w:b/>
                <w:color w:val="000000"/>
                <w:sz w:val="16"/>
                <w:szCs w:val="16"/>
              </w:rPr>
            </w:pPr>
            <w:r>
              <w:rPr>
                <w:b/>
                <w:color w:val="000000"/>
                <w:sz w:val="16"/>
                <w:szCs w:val="16"/>
              </w:rPr>
              <w:t>1</w:t>
            </w:r>
          </w:p>
        </w:tc>
        <w:tc>
          <w:tcPr>
            <w:tcW w:w="1550"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 xml:space="preserve">153,591,275 – </w:t>
            </w:r>
          </w:p>
          <w:p w:rsidR="00E6467A" w:rsidRDefault="007A5689">
            <w:pPr>
              <w:jc w:val="center"/>
              <w:rPr>
                <w:color w:val="000000"/>
                <w:sz w:val="16"/>
                <w:szCs w:val="16"/>
              </w:rPr>
            </w:pPr>
            <w:r>
              <w:rPr>
                <w:color w:val="000000"/>
                <w:sz w:val="16"/>
                <w:szCs w:val="16"/>
              </w:rPr>
              <w:t>153,606,582</w:t>
            </w:r>
          </w:p>
        </w:tc>
        <w:tc>
          <w:tcPr>
            <w:tcW w:w="1500"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ENSG00000189171</w:t>
            </w:r>
          </w:p>
        </w:tc>
        <w:tc>
          <w:tcPr>
            <w:tcW w:w="916" w:type="dxa"/>
            <w:shd w:val="clear" w:color="auto" w:fill="FFFFFF"/>
            <w:tcMar>
              <w:left w:w="28" w:type="dxa"/>
              <w:right w:w="28" w:type="dxa"/>
            </w:tcMar>
          </w:tcPr>
          <w:p w:rsidR="00E6467A" w:rsidRDefault="007A5689">
            <w:pPr>
              <w:jc w:val="center"/>
              <w:rPr>
                <w:i/>
                <w:color w:val="000000"/>
                <w:sz w:val="16"/>
                <w:szCs w:val="16"/>
              </w:rPr>
            </w:pPr>
            <w:r>
              <w:rPr>
                <w:i/>
                <w:color w:val="000000"/>
                <w:sz w:val="16"/>
                <w:szCs w:val="16"/>
              </w:rPr>
              <w:t>S100A13</w:t>
            </w:r>
          </w:p>
        </w:tc>
        <w:tc>
          <w:tcPr>
            <w:tcW w:w="1102" w:type="dxa"/>
            <w:shd w:val="clear" w:color="auto" w:fill="FFFFFF"/>
            <w:tcMar>
              <w:left w:w="28" w:type="dxa"/>
              <w:right w:w="28" w:type="dxa"/>
            </w:tcMar>
          </w:tcPr>
          <w:p w:rsidR="00E6467A" w:rsidRDefault="007A5689">
            <w:pPr>
              <w:jc w:val="center"/>
              <w:rPr>
                <w:b/>
                <w:color w:val="000000"/>
                <w:sz w:val="16"/>
                <w:szCs w:val="16"/>
                <w:highlight w:val="yellow"/>
              </w:rPr>
            </w:pPr>
            <w:r>
              <w:rPr>
                <w:b/>
                <w:color w:val="000000"/>
                <w:sz w:val="16"/>
                <w:szCs w:val="16"/>
              </w:rPr>
              <w:t>1.16 x 10</w:t>
            </w:r>
            <w:r>
              <w:rPr>
                <w:b/>
                <w:color w:val="000000"/>
                <w:sz w:val="16"/>
                <w:szCs w:val="16"/>
                <w:vertAlign w:val="superscript"/>
              </w:rPr>
              <w:t>-6</w:t>
            </w:r>
          </w:p>
        </w:tc>
        <w:tc>
          <w:tcPr>
            <w:tcW w:w="917"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4.723</w:t>
            </w:r>
          </w:p>
        </w:tc>
        <w:tc>
          <w:tcPr>
            <w:tcW w:w="2021"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Broadly throughout the body</w:t>
            </w:r>
          </w:p>
        </w:tc>
      </w:tr>
      <w:tr w:rsidR="00E6467A">
        <w:trPr>
          <w:trHeight w:val="305"/>
        </w:trPr>
        <w:tc>
          <w:tcPr>
            <w:tcW w:w="426" w:type="dxa"/>
            <w:shd w:val="clear" w:color="auto" w:fill="FFFFFF"/>
            <w:tcMar>
              <w:left w:w="28" w:type="dxa"/>
              <w:right w:w="28" w:type="dxa"/>
            </w:tcMar>
          </w:tcPr>
          <w:p w:rsidR="00E6467A" w:rsidRDefault="007A5689">
            <w:pPr>
              <w:jc w:val="center"/>
              <w:rPr>
                <w:b/>
                <w:color w:val="000000"/>
                <w:sz w:val="16"/>
                <w:szCs w:val="16"/>
              </w:rPr>
            </w:pPr>
            <w:r>
              <w:rPr>
                <w:b/>
                <w:color w:val="000000"/>
                <w:sz w:val="16"/>
                <w:szCs w:val="16"/>
              </w:rPr>
              <w:t>5</w:t>
            </w:r>
          </w:p>
        </w:tc>
        <w:tc>
          <w:tcPr>
            <w:tcW w:w="1550"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 xml:space="preserve">88,014,058  – </w:t>
            </w:r>
          </w:p>
          <w:p w:rsidR="00E6467A" w:rsidRDefault="007A5689">
            <w:pPr>
              <w:jc w:val="center"/>
              <w:rPr>
                <w:color w:val="000000"/>
                <w:sz w:val="16"/>
                <w:szCs w:val="16"/>
              </w:rPr>
            </w:pPr>
            <w:r>
              <w:rPr>
                <w:color w:val="000000"/>
                <w:sz w:val="16"/>
                <w:szCs w:val="16"/>
              </w:rPr>
              <w:t>88,199,922</w:t>
            </w:r>
          </w:p>
        </w:tc>
        <w:tc>
          <w:tcPr>
            <w:tcW w:w="1500"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ENSG00000078725</w:t>
            </w:r>
          </w:p>
        </w:tc>
        <w:tc>
          <w:tcPr>
            <w:tcW w:w="916" w:type="dxa"/>
            <w:shd w:val="clear" w:color="auto" w:fill="FFFFFF"/>
            <w:tcMar>
              <w:left w:w="28" w:type="dxa"/>
              <w:right w:w="28" w:type="dxa"/>
            </w:tcMar>
          </w:tcPr>
          <w:p w:rsidR="00E6467A" w:rsidRDefault="007A5689">
            <w:pPr>
              <w:jc w:val="center"/>
              <w:rPr>
                <w:i/>
                <w:color w:val="000000"/>
                <w:sz w:val="16"/>
                <w:szCs w:val="16"/>
              </w:rPr>
            </w:pPr>
            <w:r>
              <w:rPr>
                <w:i/>
                <w:color w:val="000000"/>
                <w:sz w:val="16"/>
                <w:szCs w:val="16"/>
              </w:rPr>
              <w:t>MEF2C</w:t>
            </w:r>
          </w:p>
        </w:tc>
        <w:tc>
          <w:tcPr>
            <w:tcW w:w="1102" w:type="dxa"/>
            <w:shd w:val="clear" w:color="auto" w:fill="FFFFFF"/>
            <w:tcMar>
              <w:left w:w="28" w:type="dxa"/>
              <w:right w:w="28" w:type="dxa"/>
            </w:tcMar>
          </w:tcPr>
          <w:p w:rsidR="00E6467A" w:rsidRDefault="007A5689">
            <w:pPr>
              <w:jc w:val="center"/>
              <w:rPr>
                <w:b/>
                <w:color w:val="000000"/>
                <w:sz w:val="16"/>
                <w:szCs w:val="16"/>
              </w:rPr>
            </w:pPr>
            <w:r>
              <w:rPr>
                <w:b/>
                <w:color w:val="000000"/>
                <w:sz w:val="16"/>
                <w:szCs w:val="16"/>
              </w:rPr>
              <w:t>2.39 x 10</w:t>
            </w:r>
            <w:r>
              <w:rPr>
                <w:b/>
                <w:color w:val="000000"/>
                <w:sz w:val="16"/>
                <w:szCs w:val="16"/>
                <w:vertAlign w:val="superscript"/>
              </w:rPr>
              <w:t>-8</w:t>
            </w:r>
          </w:p>
        </w:tc>
        <w:tc>
          <w:tcPr>
            <w:tcW w:w="917"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5.459</w:t>
            </w:r>
          </w:p>
        </w:tc>
        <w:tc>
          <w:tcPr>
            <w:tcW w:w="2021" w:type="dxa"/>
            <w:shd w:val="clear" w:color="auto" w:fill="FFFFFF"/>
            <w:tcMar>
              <w:left w:w="28" w:type="dxa"/>
              <w:right w:w="28" w:type="dxa"/>
            </w:tcMar>
          </w:tcPr>
          <w:p w:rsidR="00E6467A" w:rsidRDefault="007A5689">
            <w:pPr>
              <w:jc w:val="center"/>
              <w:rPr>
                <w:color w:val="000000"/>
                <w:sz w:val="16"/>
                <w:szCs w:val="16"/>
              </w:rPr>
            </w:pPr>
            <w:r>
              <w:rPr>
                <w:color w:val="000000"/>
                <w:sz w:val="16"/>
                <w:szCs w:val="16"/>
              </w:rPr>
              <w:t>Primarily in brain, lymphocytes and musculature</w:t>
            </w:r>
          </w:p>
        </w:tc>
      </w:tr>
      <w:tr w:rsidR="00E6467A">
        <w:trPr>
          <w:trHeight w:val="410"/>
        </w:trPr>
        <w:tc>
          <w:tcPr>
            <w:tcW w:w="426" w:type="dxa"/>
            <w:tcBorders>
              <w:bottom w:val="single" w:sz="4" w:space="0" w:color="000000"/>
            </w:tcBorders>
            <w:shd w:val="clear" w:color="auto" w:fill="FFFFFF"/>
            <w:tcMar>
              <w:left w:w="28" w:type="dxa"/>
              <w:right w:w="28" w:type="dxa"/>
            </w:tcMar>
          </w:tcPr>
          <w:p w:rsidR="00E6467A" w:rsidRDefault="007A5689">
            <w:pPr>
              <w:jc w:val="center"/>
              <w:rPr>
                <w:b/>
                <w:color w:val="000000"/>
                <w:sz w:val="16"/>
                <w:szCs w:val="16"/>
              </w:rPr>
            </w:pPr>
            <w:r>
              <w:rPr>
                <w:b/>
                <w:color w:val="000000"/>
                <w:sz w:val="16"/>
                <w:szCs w:val="16"/>
              </w:rPr>
              <w:t>9</w:t>
            </w:r>
          </w:p>
        </w:tc>
        <w:tc>
          <w:tcPr>
            <w:tcW w:w="1550" w:type="dxa"/>
            <w:tcBorders>
              <w:bottom w:val="single" w:sz="4" w:space="0" w:color="000000"/>
            </w:tcBorders>
            <w:shd w:val="clear" w:color="auto" w:fill="FFFFFF"/>
            <w:tcMar>
              <w:left w:w="28" w:type="dxa"/>
              <w:right w:w="28" w:type="dxa"/>
            </w:tcMar>
          </w:tcPr>
          <w:p w:rsidR="00E6467A" w:rsidRDefault="007A5689">
            <w:pPr>
              <w:jc w:val="center"/>
              <w:rPr>
                <w:color w:val="000000"/>
                <w:sz w:val="16"/>
                <w:szCs w:val="16"/>
              </w:rPr>
            </w:pPr>
            <w:r>
              <w:rPr>
                <w:color w:val="000000"/>
                <w:sz w:val="16"/>
                <w:szCs w:val="16"/>
              </w:rPr>
              <w:t xml:space="preserve">121,928,907 – </w:t>
            </w:r>
          </w:p>
          <w:p w:rsidR="00E6467A" w:rsidRDefault="007A5689">
            <w:pPr>
              <w:jc w:val="center"/>
              <w:rPr>
                <w:color w:val="000000"/>
                <w:sz w:val="16"/>
                <w:szCs w:val="16"/>
              </w:rPr>
            </w:pPr>
            <w:r>
              <w:rPr>
                <w:color w:val="000000"/>
                <w:sz w:val="16"/>
                <w:szCs w:val="16"/>
              </w:rPr>
              <w:t>122,131,739</w:t>
            </w:r>
          </w:p>
        </w:tc>
        <w:tc>
          <w:tcPr>
            <w:tcW w:w="1500" w:type="dxa"/>
            <w:tcBorders>
              <w:bottom w:val="single" w:sz="4" w:space="0" w:color="000000"/>
            </w:tcBorders>
            <w:shd w:val="clear" w:color="auto" w:fill="FFFFFF"/>
            <w:tcMar>
              <w:left w:w="28" w:type="dxa"/>
              <w:right w:w="28" w:type="dxa"/>
            </w:tcMar>
          </w:tcPr>
          <w:p w:rsidR="00E6467A" w:rsidRDefault="007A5689">
            <w:pPr>
              <w:jc w:val="center"/>
              <w:rPr>
                <w:color w:val="000000"/>
                <w:sz w:val="16"/>
                <w:szCs w:val="16"/>
              </w:rPr>
            </w:pPr>
            <w:r>
              <w:rPr>
                <w:color w:val="000000"/>
                <w:sz w:val="16"/>
                <w:szCs w:val="16"/>
              </w:rPr>
              <w:t>ENSG00000081189</w:t>
            </w:r>
          </w:p>
        </w:tc>
        <w:tc>
          <w:tcPr>
            <w:tcW w:w="916" w:type="dxa"/>
            <w:tcBorders>
              <w:bottom w:val="single" w:sz="4" w:space="0" w:color="000000"/>
            </w:tcBorders>
            <w:shd w:val="clear" w:color="auto" w:fill="FFFFFF"/>
            <w:tcMar>
              <w:left w:w="28" w:type="dxa"/>
              <w:right w:w="28" w:type="dxa"/>
            </w:tcMar>
          </w:tcPr>
          <w:p w:rsidR="00E6467A" w:rsidRDefault="007A5689">
            <w:pPr>
              <w:jc w:val="center"/>
              <w:rPr>
                <w:i/>
                <w:color w:val="000000"/>
                <w:sz w:val="16"/>
                <w:szCs w:val="16"/>
              </w:rPr>
            </w:pPr>
            <w:r>
              <w:rPr>
                <w:i/>
                <w:color w:val="000000"/>
                <w:sz w:val="16"/>
                <w:szCs w:val="16"/>
              </w:rPr>
              <w:t>BRINP1</w:t>
            </w:r>
          </w:p>
        </w:tc>
        <w:tc>
          <w:tcPr>
            <w:tcW w:w="1102" w:type="dxa"/>
            <w:tcBorders>
              <w:bottom w:val="single" w:sz="4" w:space="0" w:color="000000"/>
            </w:tcBorders>
            <w:shd w:val="clear" w:color="auto" w:fill="FFFFFF"/>
            <w:tcMar>
              <w:left w:w="28" w:type="dxa"/>
              <w:right w:w="28" w:type="dxa"/>
            </w:tcMar>
          </w:tcPr>
          <w:p w:rsidR="00E6467A" w:rsidRDefault="007A5689">
            <w:pPr>
              <w:jc w:val="center"/>
              <w:rPr>
                <w:b/>
                <w:color w:val="000000"/>
                <w:sz w:val="16"/>
                <w:szCs w:val="16"/>
              </w:rPr>
            </w:pPr>
            <w:r>
              <w:rPr>
                <w:b/>
                <w:color w:val="000000"/>
                <w:sz w:val="16"/>
                <w:szCs w:val="16"/>
              </w:rPr>
              <w:t>3.82 x 10</w:t>
            </w:r>
            <w:r>
              <w:rPr>
                <w:b/>
                <w:color w:val="000000"/>
                <w:sz w:val="16"/>
                <w:szCs w:val="16"/>
                <w:vertAlign w:val="superscript"/>
              </w:rPr>
              <w:t>-7</w:t>
            </w:r>
          </w:p>
        </w:tc>
        <w:tc>
          <w:tcPr>
            <w:tcW w:w="917" w:type="dxa"/>
            <w:tcBorders>
              <w:bottom w:val="single" w:sz="4" w:space="0" w:color="000000"/>
            </w:tcBorders>
            <w:shd w:val="clear" w:color="auto" w:fill="FFFFFF"/>
            <w:tcMar>
              <w:left w:w="28" w:type="dxa"/>
              <w:right w:w="28" w:type="dxa"/>
            </w:tcMar>
          </w:tcPr>
          <w:p w:rsidR="00E6467A" w:rsidRDefault="007A5689">
            <w:pPr>
              <w:jc w:val="center"/>
              <w:rPr>
                <w:color w:val="000000"/>
                <w:sz w:val="16"/>
                <w:szCs w:val="16"/>
              </w:rPr>
            </w:pPr>
            <w:r>
              <w:rPr>
                <w:color w:val="000000"/>
                <w:sz w:val="16"/>
                <w:szCs w:val="16"/>
              </w:rPr>
              <w:t>4.944</w:t>
            </w:r>
          </w:p>
        </w:tc>
        <w:tc>
          <w:tcPr>
            <w:tcW w:w="2021" w:type="dxa"/>
            <w:tcBorders>
              <w:bottom w:val="single" w:sz="4" w:space="0" w:color="000000"/>
            </w:tcBorders>
            <w:shd w:val="clear" w:color="auto" w:fill="FFFFFF"/>
            <w:tcMar>
              <w:left w:w="28" w:type="dxa"/>
              <w:right w:w="28" w:type="dxa"/>
            </w:tcMar>
          </w:tcPr>
          <w:p w:rsidR="00E6467A" w:rsidRDefault="007A5689">
            <w:pPr>
              <w:jc w:val="center"/>
              <w:rPr>
                <w:color w:val="000000"/>
                <w:sz w:val="16"/>
                <w:szCs w:val="16"/>
              </w:rPr>
            </w:pPr>
            <w:r>
              <w:rPr>
                <w:color w:val="000000"/>
                <w:sz w:val="16"/>
                <w:szCs w:val="16"/>
              </w:rPr>
              <w:t>Almost entirely brain</w:t>
            </w:r>
          </w:p>
        </w:tc>
      </w:tr>
    </w:tbl>
    <w:p w:rsidR="00E6467A" w:rsidRDefault="007A5689">
      <w:pPr>
        <w:widowControl w:val="0"/>
        <w:jc w:val="both"/>
        <w:rPr>
          <w:color w:val="000000"/>
          <w:sz w:val="20"/>
          <w:szCs w:val="20"/>
        </w:rPr>
      </w:pPr>
      <w:r>
        <w:rPr>
          <w:color w:val="000000"/>
          <w:sz w:val="20"/>
          <w:szCs w:val="20"/>
        </w:rPr>
        <w:t>Position based on build 37.  *Expression data examined using the GTEx portal on 22/08/2018.</w:t>
      </w:r>
    </w:p>
    <w:p w:rsidR="00E6467A" w:rsidRDefault="00E6467A">
      <w:pPr>
        <w:widowControl w:val="0"/>
        <w:spacing w:line="360" w:lineRule="auto"/>
        <w:jc w:val="both"/>
        <w:rPr>
          <w:b/>
          <w:color w:val="000000"/>
          <w:sz w:val="22"/>
          <w:szCs w:val="22"/>
        </w:rPr>
      </w:pPr>
    </w:p>
    <w:p w:rsidR="00E6467A" w:rsidRDefault="00E6467A">
      <w:pPr>
        <w:widowControl w:val="0"/>
        <w:spacing w:line="360" w:lineRule="auto"/>
        <w:jc w:val="both"/>
        <w:rPr>
          <w:b/>
          <w:color w:val="000000"/>
          <w:sz w:val="22"/>
          <w:szCs w:val="22"/>
        </w:rPr>
      </w:pPr>
    </w:p>
    <w:p w:rsidR="00E6467A" w:rsidRDefault="007A5689">
      <w:pPr>
        <w:widowControl w:val="0"/>
        <w:spacing w:line="360" w:lineRule="auto"/>
        <w:jc w:val="both"/>
        <w:rPr>
          <w:color w:val="000000"/>
          <w:sz w:val="22"/>
          <w:szCs w:val="22"/>
        </w:rPr>
      </w:pPr>
      <w:r>
        <w:rPr>
          <w:b/>
          <w:color w:val="000000"/>
          <w:sz w:val="22"/>
          <w:szCs w:val="22"/>
        </w:rPr>
        <w:t>Table 2:</w:t>
      </w:r>
      <w:r>
        <w:rPr>
          <w:color w:val="000000"/>
          <w:sz w:val="22"/>
          <w:szCs w:val="22"/>
        </w:rPr>
        <w:t xml:space="preserve"> Table of SNP and gene-level replication in TEDS, EduYrs3 and Intelligence GWAS.</w:t>
      </w:r>
    </w:p>
    <w:tbl>
      <w:tblPr>
        <w:tblStyle w:val="a0"/>
        <w:tblW w:w="7492" w:type="dxa"/>
        <w:jc w:val="center"/>
        <w:tblLayout w:type="fixed"/>
        <w:tblLook w:val="0400" w:firstRow="0" w:lastRow="0" w:firstColumn="0" w:lastColumn="0" w:noHBand="0" w:noVBand="1"/>
      </w:tblPr>
      <w:tblGrid>
        <w:gridCol w:w="523"/>
        <w:gridCol w:w="1216"/>
        <w:gridCol w:w="1241"/>
        <w:gridCol w:w="1508"/>
        <w:gridCol w:w="1322"/>
        <w:gridCol w:w="1682"/>
      </w:tblGrid>
      <w:tr w:rsidR="00E6467A">
        <w:trPr>
          <w:trHeight w:val="601"/>
          <w:jc w:val="center"/>
        </w:trPr>
        <w:tc>
          <w:tcPr>
            <w:tcW w:w="523" w:type="dxa"/>
            <w:tcBorders>
              <w:top w:val="single" w:sz="4" w:space="0" w:color="000000"/>
              <w:bottom w:val="single" w:sz="4" w:space="0" w:color="000000"/>
            </w:tcBorders>
            <w:shd w:val="clear" w:color="auto" w:fill="F2F2F2"/>
            <w:vAlign w:val="bottom"/>
          </w:tcPr>
          <w:p w:rsidR="00E6467A" w:rsidRDefault="007A5689">
            <w:pPr>
              <w:jc w:val="center"/>
              <w:rPr>
                <w:b/>
                <w:color w:val="000000"/>
                <w:sz w:val="18"/>
                <w:szCs w:val="18"/>
              </w:rPr>
            </w:pPr>
            <w:r>
              <w:rPr>
                <w:color w:val="000000"/>
                <w:sz w:val="18"/>
                <w:szCs w:val="18"/>
              </w:rPr>
              <w:t>Chr</w:t>
            </w:r>
          </w:p>
        </w:tc>
        <w:tc>
          <w:tcPr>
            <w:tcW w:w="1216" w:type="dxa"/>
            <w:tcBorders>
              <w:top w:val="single" w:sz="4" w:space="0" w:color="000000"/>
              <w:bottom w:val="single" w:sz="4" w:space="0" w:color="000000"/>
            </w:tcBorders>
            <w:shd w:val="clear" w:color="auto" w:fill="F2F2F2"/>
            <w:vAlign w:val="bottom"/>
          </w:tcPr>
          <w:p w:rsidR="00E6467A" w:rsidRDefault="007A5689">
            <w:pPr>
              <w:jc w:val="center"/>
              <w:rPr>
                <w:b/>
                <w:color w:val="000000"/>
                <w:sz w:val="18"/>
                <w:szCs w:val="18"/>
              </w:rPr>
            </w:pPr>
            <w:r>
              <w:rPr>
                <w:color w:val="000000"/>
                <w:sz w:val="18"/>
                <w:szCs w:val="18"/>
              </w:rPr>
              <w:t>SNP/Gene</w:t>
            </w:r>
          </w:p>
        </w:tc>
        <w:tc>
          <w:tcPr>
            <w:tcW w:w="1241" w:type="dxa"/>
            <w:tcBorders>
              <w:top w:val="single" w:sz="4" w:space="0" w:color="000000"/>
              <w:bottom w:val="single" w:sz="4" w:space="0" w:color="000000"/>
            </w:tcBorders>
            <w:shd w:val="clear" w:color="auto" w:fill="F2F2F2"/>
            <w:vAlign w:val="bottom"/>
          </w:tcPr>
          <w:p w:rsidR="00E6467A" w:rsidRDefault="007A5689">
            <w:pPr>
              <w:jc w:val="center"/>
              <w:rPr>
                <w:color w:val="000000"/>
                <w:sz w:val="18"/>
                <w:szCs w:val="18"/>
              </w:rPr>
            </w:pPr>
            <w:r>
              <w:rPr>
                <w:color w:val="000000"/>
                <w:sz w:val="18"/>
                <w:szCs w:val="18"/>
              </w:rPr>
              <w:t>P (ALSPAC)</w:t>
            </w:r>
          </w:p>
          <w:p w:rsidR="00E6467A" w:rsidRDefault="007A5689">
            <w:pPr>
              <w:jc w:val="center"/>
              <w:rPr>
                <w:b/>
                <w:color w:val="000000"/>
                <w:sz w:val="18"/>
                <w:szCs w:val="18"/>
              </w:rPr>
            </w:pPr>
            <w:r>
              <w:rPr>
                <w:color w:val="000000"/>
                <w:sz w:val="18"/>
                <w:szCs w:val="18"/>
              </w:rPr>
              <w:t>N = 6,089</w:t>
            </w:r>
          </w:p>
        </w:tc>
        <w:tc>
          <w:tcPr>
            <w:tcW w:w="1508" w:type="dxa"/>
            <w:tcBorders>
              <w:top w:val="single" w:sz="4" w:space="0" w:color="000000"/>
              <w:bottom w:val="single" w:sz="4" w:space="0" w:color="000000"/>
            </w:tcBorders>
            <w:vAlign w:val="bottom"/>
          </w:tcPr>
          <w:p w:rsidR="00E6467A" w:rsidRDefault="007A5689">
            <w:pPr>
              <w:jc w:val="center"/>
              <w:rPr>
                <w:color w:val="000000"/>
                <w:sz w:val="18"/>
                <w:szCs w:val="18"/>
              </w:rPr>
            </w:pPr>
            <w:r>
              <w:rPr>
                <w:color w:val="000000"/>
                <w:sz w:val="18"/>
                <w:szCs w:val="18"/>
              </w:rPr>
              <w:t>P (TEDS)</w:t>
            </w:r>
          </w:p>
          <w:p w:rsidR="00E6467A" w:rsidRDefault="007A5689">
            <w:pPr>
              <w:jc w:val="center"/>
              <w:rPr>
                <w:b/>
                <w:color w:val="000000"/>
                <w:sz w:val="18"/>
                <w:szCs w:val="18"/>
              </w:rPr>
            </w:pPr>
            <w:r>
              <w:rPr>
                <w:color w:val="000000"/>
                <w:sz w:val="18"/>
                <w:szCs w:val="18"/>
              </w:rPr>
              <w:t>N = 2,330</w:t>
            </w:r>
          </w:p>
        </w:tc>
        <w:tc>
          <w:tcPr>
            <w:tcW w:w="1322" w:type="dxa"/>
            <w:tcBorders>
              <w:top w:val="single" w:sz="4" w:space="0" w:color="000000"/>
              <w:bottom w:val="single" w:sz="4" w:space="0" w:color="000000"/>
            </w:tcBorders>
            <w:vAlign w:val="bottom"/>
          </w:tcPr>
          <w:p w:rsidR="00E6467A" w:rsidRDefault="007A5689">
            <w:pPr>
              <w:jc w:val="center"/>
              <w:rPr>
                <w:color w:val="000000"/>
                <w:sz w:val="18"/>
                <w:szCs w:val="18"/>
              </w:rPr>
            </w:pPr>
            <w:r>
              <w:rPr>
                <w:color w:val="000000"/>
                <w:sz w:val="18"/>
                <w:szCs w:val="18"/>
              </w:rPr>
              <w:t>P (EduYrs3)*</w:t>
            </w:r>
          </w:p>
          <w:p w:rsidR="00E6467A" w:rsidRDefault="007A5689">
            <w:pPr>
              <w:jc w:val="center"/>
              <w:rPr>
                <w:color w:val="000000"/>
                <w:sz w:val="18"/>
                <w:szCs w:val="18"/>
              </w:rPr>
            </w:pPr>
            <w:r>
              <w:rPr>
                <w:color w:val="000000"/>
                <w:sz w:val="18"/>
                <w:szCs w:val="18"/>
              </w:rPr>
              <w:t>N = 1.1mil</w:t>
            </w:r>
          </w:p>
        </w:tc>
        <w:tc>
          <w:tcPr>
            <w:tcW w:w="1682" w:type="dxa"/>
            <w:tcBorders>
              <w:top w:val="single" w:sz="4" w:space="0" w:color="000000"/>
              <w:bottom w:val="single" w:sz="4" w:space="0" w:color="000000"/>
            </w:tcBorders>
            <w:vAlign w:val="bottom"/>
          </w:tcPr>
          <w:p w:rsidR="00E6467A" w:rsidRDefault="007A5689">
            <w:pPr>
              <w:jc w:val="center"/>
              <w:rPr>
                <w:color w:val="000000"/>
                <w:sz w:val="18"/>
                <w:szCs w:val="18"/>
              </w:rPr>
            </w:pPr>
            <w:r>
              <w:rPr>
                <w:color w:val="000000"/>
                <w:sz w:val="18"/>
                <w:szCs w:val="18"/>
              </w:rPr>
              <w:t>P (Intelligence)*</w:t>
            </w:r>
          </w:p>
          <w:p w:rsidR="00E6467A" w:rsidRDefault="007A5689">
            <w:pPr>
              <w:jc w:val="center"/>
              <w:rPr>
                <w:color w:val="000000"/>
                <w:sz w:val="18"/>
                <w:szCs w:val="18"/>
                <w:highlight w:val="yellow"/>
              </w:rPr>
            </w:pPr>
            <w:r>
              <w:rPr>
                <w:color w:val="000000"/>
                <w:sz w:val="18"/>
                <w:szCs w:val="18"/>
              </w:rPr>
              <w:t>N = 78,308</w:t>
            </w:r>
          </w:p>
        </w:tc>
      </w:tr>
      <w:tr w:rsidR="00E6467A">
        <w:trPr>
          <w:trHeight w:val="359"/>
          <w:jc w:val="center"/>
        </w:trPr>
        <w:tc>
          <w:tcPr>
            <w:tcW w:w="523" w:type="dxa"/>
            <w:tcBorders>
              <w:bottom w:val="single" w:sz="4" w:space="0" w:color="000000"/>
            </w:tcBorders>
            <w:shd w:val="clear" w:color="auto" w:fill="F2F2F2"/>
            <w:vAlign w:val="bottom"/>
          </w:tcPr>
          <w:p w:rsidR="00E6467A" w:rsidRDefault="007A5689">
            <w:pPr>
              <w:spacing w:line="276" w:lineRule="auto"/>
              <w:jc w:val="center"/>
              <w:rPr>
                <w:color w:val="000000"/>
                <w:sz w:val="18"/>
                <w:szCs w:val="18"/>
              </w:rPr>
            </w:pPr>
            <w:r>
              <w:rPr>
                <w:color w:val="000000"/>
                <w:sz w:val="18"/>
                <w:szCs w:val="18"/>
              </w:rPr>
              <w:t>13</w:t>
            </w:r>
          </w:p>
        </w:tc>
        <w:tc>
          <w:tcPr>
            <w:tcW w:w="1216" w:type="dxa"/>
            <w:tcBorders>
              <w:bottom w:val="single" w:sz="4" w:space="0" w:color="000000"/>
            </w:tcBorders>
            <w:shd w:val="clear" w:color="auto" w:fill="F2F2F2"/>
            <w:vAlign w:val="bottom"/>
          </w:tcPr>
          <w:p w:rsidR="00E6467A" w:rsidRDefault="007A5689">
            <w:pPr>
              <w:spacing w:line="276" w:lineRule="auto"/>
              <w:jc w:val="center"/>
              <w:rPr>
                <w:color w:val="000000"/>
                <w:sz w:val="18"/>
                <w:szCs w:val="18"/>
              </w:rPr>
            </w:pPr>
            <w:r>
              <w:rPr>
                <w:color w:val="000000"/>
                <w:sz w:val="18"/>
                <w:szCs w:val="18"/>
              </w:rPr>
              <w:t>rs9529641</w:t>
            </w:r>
          </w:p>
        </w:tc>
        <w:tc>
          <w:tcPr>
            <w:tcW w:w="1241" w:type="dxa"/>
            <w:tcBorders>
              <w:bottom w:val="single" w:sz="4" w:space="0" w:color="000000"/>
            </w:tcBorders>
            <w:shd w:val="clear" w:color="auto" w:fill="F2F2F2"/>
            <w:vAlign w:val="bottom"/>
          </w:tcPr>
          <w:p w:rsidR="00E6467A" w:rsidRDefault="007A5689">
            <w:pPr>
              <w:spacing w:line="276" w:lineRule="auto"/>
              <w:jc w:val="center"/>
              <w:rPr>
                <w:b/>
                <w:color w:val="000000"/>
                <w:sz w:val="18"/>
                <w:szCs w:val="18"/>
              </w:rPr>
            </w:pPr>
            <w:r>
              <w:rPr>
                <w:b/>
                <w:color w:val="000000"/>
                <w:sz w:val="18"/>
                <w:szCs w:val="18"/>
              </w:rPr>
              <w:t>4.86 x 10</w:t>
            </w:r>
            <w:r>
              <w:rPr>
                <w:b/>
                <w:color w:val="000000"/>
                <w:sz w:val="18"/>
                <w:szCs w:val="18"/>
                <w:vertAlign w:val="superscript"/>
              </w:rPr>
              <w:t>-8</w:t>
            </w:r>
          </w:p>
        </w:tc>
        <w:tc>
          <w:tcPr>
            <w:tcW w:w="1508" w:type="dxa"/>
            <w:tcBorders>
              <w:bottom w:val="single" w:sz="4" w:space="0" w:color="000000"/>
            </w:tcBorders>
            <w:shd w:val="clear" w:color="auto" w:fill="FFFFFF"/>
            <w:vAlign w:val="bottom"/>
          </w:tcPr>
          <w:p w:rsidR="00E6467A" w:rsidRDefault="007A5689">
            <w:pPr>
              <w:spacing w:line="276" w:lineRule="auto"/>
              <w:jc w:val="center"/>
              <w:rPr>
                <w:color w:val="000000"/>
                <w:sz w:val="18"/>
                <w:szCs w:val="18"/>
                <w:vertAlign w:val="superscript"/>
              </w:rPr>
            </w:pPr>
            <w:r>
              <w:rPr>
                <w:color w:val="000000"/>
                <w:sz w:val="18"/>
                <w:szCs w:val="18"/>
              </w:rPr>
              <w:t>0.417</w:t>
            </w:r>
          </w:p>
        </w:tc>
        <w:tc>
          <w:tcPr>
            <w:tcW w:w="1322" w:type="dxa"/>
            <w:tcBorders>
              <w:bottom w:val="single" w:sz="4" w:space="0" w:color="000000"/>
            </w:tcBorders>
            <w:shd w:val="clear" w:color="auto" w:fill="FFFFFF"/>
            <w:vAlign w:val="bottom"/>
          </w:tcPr>
          <w:p w:rsidR="00E6467A" w:rsidRDefault="007A5689">
            <w:pPr>
              <w:spacing w:line="276" w:lineRule="auto"/>
              <w:jc w:val="center"/>
              <w:rPr>
                <w:b/>
                <w:color w:val="000000"/>
                <w:sz w:val="18"/>
                <w:szCs w:val="18"/>
              </w:rPr>
            </w:pPr>
            <w:r>
              <w:rPr>
                <w:b/>
                <w:color w:val="000000"/>
                <w:sz w:val="18"/>
                <w:szCs w:val="18"/>
              </w:rPr>
              <w:t>1.53 x 10</w:t>
            </w:r>
            <w:r>
              <w:rPr>
                <w:b/>
                <w:color w:val="000000"/>
                <w:sz w:val="18"/>
                <w:szCs w:val="18"/>
                <w:vertAlign w:val="superscript"/>
              </w:rPr>
              <w:t>-3</w:t>
            </w:r>
          </w:p>
        </w:tc>
        <w:tc>
          <w:tcPr>
            <w:tcW w:w="1682" w:type="dxa"/>
            <w:tcBorders>
              <w:bottom w:val="single" w:sz="4" w:space="0" w:color="000000"/>
            </w:tcBorders>
            <w:shd w:val="clear" w:color="auto" w:fill="FFFFFF"/>
            <w:vAlign w:val="bottom"/>
          </w:tcPr>
          <w:p w:rsidR="00E6467A" w:rsidRDefault="007A5689">
            <w:pPr>
              <w:spacing w:line="276" w:lineRule="auto"/>
              <w:jc w:val="center"/>
              <w:rPr>
                <w:b/>
                <w:color w:val="000000"/>
                <w:sz w:val="18"/>
                <w:szCs w:val="18"/>
              </w:rPr>
            </w:pPr>
            <w:r>
              <w:rPr>
                <w:b/>
                <w:color w:val="000000"/>
                <w:sz w:val="18"/>
                <w:szCs w:val="18"/>
              </w:rPr>
              <w:t>3.98 x 10</w:t>
            </w:r>
            <w:r>
              <w:rPr>
                <w:b/>
                <w:color w:val="000000"/>
                <w:sz w:val="18"/>
                <w:szCs w:val="18"/>
                <w:vertAlign w:val="superscript"/>
              </w:rPr>
              <w:t>-5</w:t>
            </w:r>
          </w:p>
        </w:tc>
      </w:tr>
      <w:tr w:rsidR="00E6467A">
        <w:trPr>
          <w:trHeight w:val="317"/>
          <w:jc w:val="center"/>
        </w:trPr>
        <w:tc>
          <w:tcPr>
            <w:tcW w:w="523" w:type="dxa"/>
            <w:tcBorders>
              <w:top w:val="single" w:sz="4" w:space="0" w:color="000000"/>
              <w:bottom w:val="nil"/>
            </w:tcBorders>
            <w:shd w:val="clear" w:color="auto" w:fill="F2F2F2"/>
            <w:vAlign w:val="bottom"/>
          </w:tcPr>
          <w:p w:rsidR="00E6467A" w:rsidRDefault="007A5689">
            <w:pPr>
              <w:spacing w:line="276" w:lineRule="auto"/>
              <w:jc w:val="center"/>
              <w:rPr>
                <w:color w:val="000000"/>
                <w:sz w:val="18"/>
                <w:szCs w:val="18"/>
              </w:rPr>
            </w:pPr>
            <w:r>
              <w:rPr>
                <w:color w:val="000000"/>
                <w:sz w:val="18"/>
                <w:szCs w:val="18"/>
              </w:rPr>
              <w:t>1</w:t>
            </w:r>
          </w:p>
        </w:tc>
        <w:tc>
          <w:tcPr>
            <w:tcW w:w="1216" w:type="dxa"/>
            <w:tcBorders>
              <w:top w:val="single" w:sz="4" w:space="0" w:color="000000"/>
              <w:bottom w:val="nil"/>
            </w:tcBorders>
            <w:shd w:val="clear" w:color="auto" w:fill="F2F2F2"/>
            <w:vAlign w:val="bottom"/>
          </w:tcPr>
          <w:p w:rsidR="00E6467A" w:rsidRDefault="007A5689">
            <w:pPr>
              <w:spacing w:line="276" w:lineRule="auto"/>
              <w:jc w:val="center"/>
              <w:rPr>
                <w:i/>
                <w:color w:val="000000"/>
                <w:sz w:val="18"/>
                <w:szCs w:val="18"/>
              </w:rPr>
            </w:pPr>
            <w:r>
              <w:rPr>
                <w:i/>
                <w:color w:val="000000"/>
                <w:sz w:val="18"/>
                <w:szCs w:val="18"/>
              </w:rPr>
              <w:t>S100A1</w:t>
            </w:r>
          </w:p>
        </w:tc>
        <w:tc>
          <w:tcPr>
            <w:tcW w:w="1241" w:type="dxa"/>
            <w:tcBorders>
              <w:top w:val="single" w:sz="4" w:space="0" w:color="000000"/>
              <w:bottom w:val="nil"/>
            </w:tcBorders>
            <w:shd w:val="clear" w:color="auto" w:fill="F2F2F2"/>
            <w:vAlign w:val="bottom"/>
          </w:tcPr>
          <w:p w:rsidR="00E6467A" w:rsidRDefault="007A5689">
            <w:pPr>
              <w:spacing w:line="276" w:lineRule="auto"/>
              <w:jc w:val="center"/>
              <w:rPr>
                <w:b/>
                <w:color w:val="000000"/>
                <w:sz w:val="18"/>
                <w:szCs w:val="18"/>
              </w:rPr>
            </w:pPr>
            <w:r>
              <w:rPr>
                <w:b/>
                <w:color w:val="000000"/>
                <w:sz w:val="18"/>
                <w:szCs w:val="18"/>
              </w:rPr>
              <w:t>4.61 x 10</w:t>
            </w:r>
            <w:r>
              <w:rPr>
                <w:b/>
                <w:color w:val="000000"/>
                <w:sz w:val="18"/>
                <w:szCs w:val="18"/>
                <w:vertAlign w:val="superscript"/>
              </w:rPr>
              <w:t>-7</w:t>
            </w:r>
          </w:p>
        </w:tc>
        <w:tc>
          <w:tcPr>
            <w:tcW w:w="1508" w:type="dxa"/>
            <w:tcBorders>
              <w:top w:val="single" w:sz="4" w:space="0" w:color="000000"/>
              <w:bottom w:val="nil"/>
            </w:tcBorders>
            <w:shd w:val="clear" w:color="auto" w:fill="FFFFFF"/>
            <w:vAlign w:val="bottom"/>
          </w:tcPr>
          <w:p w:rsidR="00E6467A" w:rsidRDefault="007A5689">
            <w:pPr>
              <w:spacing w:line="276" w:lineRule="auto"/>
              <w:jc w:val="center"/>
              <w:rPr>
                <w:color w:val="000000"/>
                <w:sz w:val="18"/>
                <w:szCs w:val="18"/>
              </w:rPr>
            </w:pPr>
            <w:r>
              <w:rPr>
                <w:color w:val="000000"/>
                <w:sz w:val="18"/>
                <w:szCs w:val="18"/>
              </w:rPr>
              <w:t>0.484</w:t>
            </w:r>
          </w:p>
        </w:tc>
        <w:tc>
          <w:tcPr>
            <w:tcW w:w="1322" w:type="dxa"/>
            <w:tcBorders>
              <w:top w:val="single" w:sz="4" w:space="0" w:color="000000"/>
              <w:bottom w:val="nil"/>
            </w:tcBorders>
            <w:shd w:val="clear" w:color="auto" w:fill="FFFFFF"/>
            <w:vAlign w:val="bottom"/>
          </w:tcPr>
          <w:p w:rsidR="00E6467A" w:rsidRDefault="007A5689">
            <w:pPr>
              <w:spacing w:line="276" w:lineRule="auto"/>
              <w:jc w:val="center"/>
              <w:rPr>
                <w:color w:val="000000"/>
                <w:sz w:val="18"/>
                <w:szCs w:val="18"/>
              </w:rPr>
            </w:pPr>
            <w:r>
              <w:rPr>
                <w:color w:val="000000"/>
                <w:sz w:val="18"/>
                <w:szCs w:val="18"/>
              </w:rPr>
              <w:t>NA</w:t>
            </w:r>
          </w:p>
        </w:tc>
        <w:tc>
          <w:tcPr>
            <w:tcW w:w="1682" w:type="dxa"/>
            <w:tcBorders>
              <w:top w:val="single" w:sz="4" w:space="0" w:color="000000"/>
              <w:bottom w:val="nil"/>
            </w:tcBorders>
            <w:shd w:val="clear" w:color="auto" w:fill="FFFFFF"/>
            <w:vAlign w:val="bottom"/>
          </w:tcPr>
          <w:p w:rsidR="00E6467A" w:rsidRDefault="007A5689">
            <w:pPr>
              <w:spacing w:line="276" w:lineRule="auto"/>
              <w:jc w:val="center"/>
              <w:rPr>
                <w:color w:val="000000"/>
                <w:sz w:val="18"/>
                <w:szCs w:val="18"/>
              </w:rPr>
            </w:pPr>
            <w:r>
              <w:rPr>
                <w:color w:val="000000"/>
                <w:sz w:val="18"/>
                <w:szCs w:val="18"/>
              </w:rPr>
              <w:t>0.761</w:t>
            </w:r>
          </w:p>
        </w:tc>
      </w:tr>
      <w:tr w:rsidR="00E6467A">
        <w:trPr>
          <w:trHeight w:val="147"/>
          <w:jc w:val="center"/>
        </w:trPr>
        <w:tc>
          <w:tcPr>
            <w:tcW w:w="523" w:type="dxa"/>
            <w:tcBorders>
              <w:top w:val="nil"/>
            </w:tcBorders>
            <w:shd w:val="clear" w:color="auto" w:fill="F2F2F2"/>
            <w:vAlign w:val="bottom"/>
          </w:tcPr>
          <w:p w:rsidR="00E6467A" w:rsidRDefault="007A5689">
            <w:pPr>
              <w:spacing w:line="276" w:lineRule="auto"/>
              <w:jc w:val="center"/>
              <w:rPr>
                <w:color w:val="000000"/>
                <w:sz w:val="18"/>
                <w:szCs w:val="18"/>
              </w:rPr>
            </w:pPr>
            <w:r>
              <w:rPr>
                <w:color w:val="000000"/>
                <w:sz w:val="18"/>
                <w:szCs w:val="18"/>
              </w:rPr>
              <w:t>1</w:t>
            </w:r>
          </w:p>
        </w:tc>
        <w:tc>
          <w:tcPr>
            <w:tcW w:w="1216" w:type="dxa"/>
            <w:tcBorders>
              <w:top w:val="nil"/>
            </w:tcBorders>
            <w:shd w:val="clear" w:color="auto" w:fill="F2F2F2"/>
            <w:vAlign w:val="bottom"/>
          </w:tcPr>
          <w:p w:rsidR="00E6467A" w:rsidRDefault="007A5689">
            <w:pPr>
              <w:spacing w:line="276" w:lineRule="auto"/>
              <w:jc w:val="center"/>
              <w:rPr>
                <w:i/>
                <w:color w:val="000000"/>
                <w:sz w:val="18"/>
                <w:szCs w:val="18"/>
              </w:rPr>
            </w:pPr>
            <w:r>
              <w:rPr>
                <w:i/>
                <w:color w:val="000000"/>
                <w:sz w:val="18"/>
                <w:szCs w:val="18"/>
              </w:rPr>
              <w:t>S100A13</w:t>
            </w:r>
          </w:p>
        </w:tc>
        <w:tc>
          <w:tcPr>
            <w:tcW w:w="1241" w:type="dxa"/>
            <w:tcBorders>
              <w:top w:val="nil"/>
            </w:tcBorders>
            <w:shd w:val="clear" w:color="auto" w:fill="F2F2F2"/>
            <w:vAlign w:val="bottom"/>
          </w:tcPr>
          <w:p w:rsidR="00E6467A" w:rsidRDefault="007A5689">
            <w:pPr>
              <w:spacing w:line="276" w:lineRule="auto"/>
              <w:jc w:val="center"/>
              <w:rPr>
                <w:b/>
                <w:color w:val="000000"/>
                <w:sz w:val="18"/>
                <w:szCs w:val="18"/>
              </w:rPr>
            </w:pPr>
            <w:r>
              <w:rPr>
                <w:b/>
                <w:color w:val="000000"/>
                <w:sz w:val="18"/>
                <w:szCs w:val="18"/>
              </w:rPr>
              <w:t>5.71 x 10</w:t>
            </w:r>
            <w:r>
              <w:rPr>
                <w:b/>
                <w:color w:val="000000"/>
                <w:sz w:val="18"/>
                <w:szCs w:val="18"/>
                <w:vertAlign w:val="superscript"/>
              </w:rPr>
              <w:t>-7</w:t>
            </w:r>
          </w:p>
        </w:tc>
        <w:tc>
          <w:tcPr>
            <w:tcW w:w="1508" w:type="dxa"/>
            <w:tcBorders>
              <w:top w:val="nil"/>
            </w:tcBorders>
            <w:shd w:val="clear" w:color="auto" w:fill="FFFFFF"/>
            <w:vAlign w:val="bottom"/>
          </w:tcPr>
          <w:p w:rsidR="00E6467A" w:rsidRDefault="007A5689">
            <w:pPr>
              <w:spacing w:line="276" w:lineRule="auto"/>
              <w:jc w:val="center"/>
              <w:rPr>
                <w:color w:val="000000"/>
                <w:sz w:val="18"/>
                <w:szCs w:val="18"/>
              </w:rPr>
            </w:pPr>
            <w:r>
              <w:rPr>
                <w:color w:val="000000"/>
                <w:sz w:val="18"/>
                <w:szCs w:val="18"/>
              </w:rPr>
              <w:t>0.513</w:t>
            </w:r>
          </w:p>
        </w:tc>
        <w:tc>
          <w:tcPr>
            <w:tcW w:w="1322" w:type="dxa"/>
            <w:tcBorders>
              <w:top w:val="nil"/>
            </w:tcBorders>
            <w:shd w:val="clear" w:color="auto" w:fill="FFFFFF"/>
            <w:vAlign w:val="bottom"/>
          </w:tcPr>
          <w:p w:rsidR="00E6467A" w:rsidRDefault="007A5689">
            <w:pPr>
              <w:spacing w:line="276" w:lineRule="auto"/>
              <w:jc w:val="center"/>
              <w:rPr>
                <w:b/>
                <w:color w:val="000000"/>
                <w:sz w:val="18"/>
                <w:szCs w:val="18"/>
              </w:rPr>
            </w:pPr>
            <w:r>
              <w:rPr>
                <w:b/>
                <w:color w:val="000000"/>
                <w:sz w:val="18"/>
                <w:szCs w:val="18"/>
              </w:rPr>
              <w:t>0.015</w:t>
            </w:r>
          </w:p>
        </w:tc>
        <w:tc>
          <w:tcPr>
            <w:tcW w:w="1682" w:type="dxa"/>
            <w:tcBorders>
              <w:top w:val="nil"/>
            </w:tcBorders>
            <w:shd w:val="clear" w:color="auto" w:fill="FFFFFF"/>
            <w:vAlign w:val="bottom"/>
          </w:tcPr>
          <w:p w:rsidR="00E6467A" w:rsidRDefault="007A5689">
            <w:pPr>
              <w:jc w:val="center"/>
              <w:rPr>
                <w:color w:val="000000"/>
                <w:sz w:val="18"/>
                <w:szCs w:val="18"/>
              </w:rPr>
            </w:pPr>
            <w:r>
              <w:rPr>
                <w:color w:val="000000"/>
                <w:sz w:val="18"/>
                <w:szCs w:val="18"/>
              </w:rPr>
              <w:t>0.786</w:t>
            </w:r>
          </w:p>
        </w:tc>
      </w:tr>
      <w:tr w:rsidR="00E6467A">
        <w:trPr>
          <w:trHeight w:val="147"/>
          <w:jc w:val="center"/>
        </w:trPr>
        <w:tc>
          <w:tcPr>
            <w:tcW w:w="523" w:type="dxa"/>
            <w:shd w:val="clear" w:color="auto" w:fill="F2F2F2"/>
            <w:vAlign w:val="bottom"/>
          </w:tcPr>
          <w:p w:rsidR="00E6467A" w:rsidRDefault="007A5689">
            <w:pPr>
              <w:spacing w:line="276" w:lineRule="auto"/>
              <w:jc w:val="center"/>
              <w:rPr>
                <w:color w:val="000000"/>
                <w:sz w:val="18"/>
                <w:szCs w:val="18"/>
              </w:rPr>
            </w:pPr>
            <w:r>
              <w:rPr>
                <w:color w:val="000000"/>
                <w:sz w:val="18"/>
                <w:szCs w:val="18"/>
              </w:rPr>
              <w:t>9</w:t>
            </w:r>
          </w:p>
        </w:tc>
        <w:tc>
          <w:tcPr>
            <w:tcW w:w="1216" w:type="dxa"/>
            <w:shd w:val="clear" w:color="auto" w:fill="F2F2F2"/>
            <w:vAlign w:val="bottom"/>
          </w:tcPr>
          <w:p w:rsidR="00E6467A" w:rsidRDefault="007A5689">
            <w:pPr>
              <w:spacing w:line="276" w:lineRule="auto"/>
              <w:jc w:val="center"/>
              <w:rPr>
                <w:i/>
                <w:color w:val="000000"/>
                <w:sz w:val="18"/>
                <w:szCs w:val="18"/>
              </w:rPr>
            </w:pPr>
            <w:r>
              <w:rPr>
                <w:i/>
                <w:color w:val="000000"/>
                <w:sz w:val="18"/>
                <w:szCs w:val="18"/>
              </w:rPr>
              <w:t>BRINP1</w:t>
            </w:r>
          </w:p>
        </w:tc>
        <w:tc>
          <w:tcPr>
            <w:tcW w:w="1241" w:type="dxa"/>
            <w:shd w:val="clear" w:color="auto" w:fill="F2F2F2"/>
            <w:vAlign w:val="bottom"/>
          </w:tcPr>
          <w:p w:rsidR="00E6467A" w:rsidRDefault="007A5689">
            <w:pPr>
              <w:spacing w:line="276" w:lineRule="auto"/>
              <w:jc w:val="center"/>
              <w:rPr>
                <w:b/>
                <w:color w:val="000000"/>
                <w:sz w:val="18"/>
                <w:szCs w:val="18"/>
              </w:rPr>
            </w:pPr>
            <w:r>
              <w:rPr>
                <w:b/>
                <w:color w:val="000000"/>
                <w:sz w:val="18"/>
                <w:szCs w:val="18"/>
              </w:rPr>
              <w:t>4.23 x 10</w:t>
            </w:r>
            <w:r>
              <w:rPr>
                <w:b/>
                <w:color w:val="000000"/>
                <w:sz w:val="18"/>
                <w:szCs w:val="18"/>
                <w:vertAlign w:val="superscript"/>
              </w:rPr>
              <w:t>-7</w:t>
            </w:r>
          </w:p>
        </w:tc>
        <w:tc>
          <w:tcPr>
            <w:tcW w:w="1508" w:type="dxa"/>
            <w:shd w:val="clear" w:color="auto" w:fill="FFFFFF"/>
            <w:vAlign w:val="bottom"/>
          </w:tcPr>
          <w:p w:rsidR="00E6467A" w:rsidRDefault="007A5689">
            <w:pPr>
              <w:spacing w:line="276" w:lineRule="auto"/>
              <w:jc w:val="center"/>
              <w:rPr>
                <w:color w:val="000000"/>
                <w:sz w:val="18"/>
                <w:szCs w:val="18"/>
              </w:rPr>
            </w:pPr>
            <w:r>
              <w:rPr>
                <w:color w:val="000000"/>
                <w:sz w:val="18"/>
                <w:szCs w:val="18"/>
              </w:rPr>
              <w:t>0.240</w:t>
            </w:r>
          </w:p>
        </w:tc>
        <w:tc>
          <w:tcPr>
            <w:tcW w:w="1322" w:type="dxa"/>
            <w:shd w:val="clear" w:color="auto" w:fill="FFFFFF"/>
            <w:vAlign w:val="bottom"/>
          </w:tcPr>
          <w:p w:rsidR="00E6467A" w:rsidRDefault="007A5689">
            <w:pPr>
              <w:spacing w:line="276" w:lineRule="auto"/>
              <w:jc w:val="center"/>
              <w:rPr>
                <w:b/>
                <w:color w:val="000000"/>
                <w:sz w:val="18"/>
                <w:szCs w:val="18"/>
              </w:rPr>
            </w:pPr>
            <w:r>
              <w:rPr>
                <w:b/>
                <w:color w:val="000000"/>
                <w:sz w:val="18"/>
                <w:szCs w:val="18"/>
              </w:rPr>
              <w:t>1.89 x 10</w:t>
            </w:r>
            <w:r>
              <w:rPr>
                <w:b/>
                <w:color w:val="000000"/>
                <w:sz w:val="18"/>
                <w:szCs w:val="18"/>
                <w:vertAlign w:val="superscript"/>
              </w:rPr>
              <w:t>-10</w:t>
            </w:r>
          </w:p>
        </w:tc>
        <w:tc>
          <w:tcPr>
            <w:tcW w:w="1682" w:type="dxa"/>
            <w:shd w:val="clear" w:color="auto" w:fill="FFFFFF"/>
            <w:vAlign w:val="bottom"/>
          </w:tcPr>
          <w:p w:rsidR="00E6467A" w:rsidRDefault="007A5689">
            <w:pPr>
              <w:spacing w:line="276" w:lineRule="auto"/>
              <w:jc w:val="center"/>
              <w:rPr>
                <w:color w:val="000000"/>
                <w:sz w:val="18"/>
                <w:szCs w:val="18"/>
              </w:rPr>
            </w:pPr>
            <w:r>
              <w:rPr>
                <w:color w:val="000000"/>
                <w:sz w:val="18"/>
                <w:szCs w:val="18"/>
              </w:rPr>
              <w:t>0.557</w:t>
            </w:r>
          </w:p>
        </w:tc>
      </w:tr>
      <w:tr w:rsidR="00E6467A">
        <w:trPr>
          <w:trHeight w:val="147"/>
          <w:jc w:val="center"/>
        </w:trPr>
        <w:tc>
          <w:tcPr>
            <w:tcW w:w="523" w:type="dxa"/>
            <w:tcBorders>
              <w:bottom w:val="single" w:sz="4" w:space="0" w:color="000000"/>
            </w:tcBorders>
            <w:shd w:val="clear" w:color="auto" w:fill="F2F2F2"/>
            <w:vAlign w:val="bottom"/>
          </w:tcPr>
          <w:p w:rsidR="00E6467A" w:rsidRDefault="007A5689">
            <w:pPr>
              <w:spacing w:line="276" w:lineRule="auto"/>
              <w:jc w:val="center"/>
              <w:rPr>
                <w:color w:val="000000"/>
                <w:sz w:val="18"/>
                <w:szCs w:val="18"/>
              </w:rPr>
            </w:pPr>
            <w:r>
              <w:rPr>
                <w:color w:val="000000"/>
                <w:sz w:val="18"/>
                <w:szCs w:val="18"/>
              </w:rPr>
              <w:t>5</w:t>
            </w:r>
          </w:p>
        </w:tc>
        <w:tc>
          <w:tcPr>
            <w:tcW w:w="1216" w:type="dxa"/>
            <w:tcBorders>
              <w:bottom w:val="single" w:sz="4" w:space="0" w:color="000000"/>
            </w:tcBorders>
            <w:shd w:val="clear" w:color="auto" w:fill="F2F2F2"/>
            <w:vAlign w:val="bottom"/>
          </w:tcPr>
          <w:p w:rsidR="00E6467A" w:rsidRDefault="007A5689">
            <w:pPr>
              <w:spacing w:line="276" w:lineRule="auto"/>
              <w:jc w:val="center"/>
              <w:rPr>
                <w:i/>
                <w:color w:val="000000"/>
                <w:sz w:val="18"/>
                <w:szCs w:val="18"/>
              </w:rPr>
            </w:pPr>
            <w:r>
              <w:rPr>
                <w:i/>
                <w:color w:val="000000"/>
                <w:sz w:val="18"/>
                <w:szCs w:val="18"/>
              </w:rPr>
              <w:t>MEF2C</w:t>
            </w:r>
          </w:p>
        </w:tc>
        <w:tc>
          <w:tcPr>
            <w:tcW w:w="1241" w:type="dxa"/>
            <w:tcBorders>
              <w:bottom w:val="single" w:sz="4" w:space="0" w:color="000000"/>
            </w:tcBorders>
            <w:shd w:val="clear" w:color="auto" w:fill="F2F2F2"/>
            <w:vAlign w:val="bottom"/>
          </w:tcPr>
          <w:p w:rsidR="00E6467A" w:rsidRDefault="007A5689">
            <w:pPr>
              <w:spacing w:line="276" w:lineRule="auto"/>
              <w:jc w:val="center"/>
              <w:rPr>
                <w:b/>
                <w:color w:val="000000"/>
                <w:sz w:val="18"/>
                <w:szCs w:val="18"/>
              </w:rPr>
            </w:pPr>
            <w:r>
              <w:rPr>
                <w:b/>
                <w:color w:val="000000"/>
                <w:sz w:val="18"/>
                <w:szCs w:val="18"/>
              </w:rPr>
              <w:t>2.29 x 10</w:t>
            </w:r>
            <w:r>
              <w:rPr>
                <w:b/>
                <w:color w:val="000000"/>
                <w:sz w:val="18"/>
                <w:szCs w:val="18"/>
                <w:vertAlign w:val="superscript"/>
              </w:rPr>
              <w:t>-8</w:t>
            </w:r>
          </w:p>
        </w:tc>
        <w:tc>
          <w:tcPr>
            <w:tcW w:w="1508" w:type="dxa"/>
            <w:tcBorders>
              <w:bottom w:val="single" w:sz="4" w:space="0" w:color="000000"/>
            </w:tcBorders>
            <w:shd w:val="clear" w:color="auto" w:fill="FFFFFF"/>
            <w:vAlign w:val="bottom"/>
          </w:tcPr>
          <w:p w:rsidR="00E6467A" w:rsidRDefault="007A5689">
            <w:pPr>
              <w:spacing w:line="276" w:lineRule="auto"/>
              <w:jc w:val="center"/>
              <w:rPr>
                <w:color w:val="000000"/>
                <w:sz w:val="18"/>
                <w:szCs w:val="18"/>
              </w:rPr>
            </w:pPr>
            <w:r>
              <w:rPr>
                <w:color w:val="000000"/>
                <w:sz w:val="18"/>
                <w:szCs w:val="18"/>
              </w:rPr>
              <w:t>0.907</w:t>
            </w:r>
          </w:p>
        </w:tc>
        <w:tc>
          <w:tcPr>
            <w:tcW w:w="1322" w:type="dxa"/>
            <w:tcBorders>
              <w:bottom w:val="single" w:sz="4" w:space="0" w:color="000000"/>
            </w:tcBorders>
            <w:shd w:val="clear" w:color="auto" w:fill="FFFFFF"/>
            <w:vAlign w:val="bottom"/>
          </w:tcPr>
          <w:p w:rsidR="00E6467A" w:rsidRDefault="007A5689">
            <w:pPr>
              <w:spacing w:line="276" w:lineRule="auto"/>
              <w:jc w:val="center"/>
              <w:rPr>
                <w:b/>
                <w:color w:val="000000"/>
                <w:sz w:val="18"/>
                <w:szCs w:val="18"/>
              </w:rPr>
            </w:pPr>
            <w:r>
              <w:rPr>
                <w:b/>
                <w:color w:val="000000"/>
                <w:sz w:val="18"/>
                <w:szCs w:val="18"/>
              </w:rPr>
              <w:t>7.31 x 10</w:t>
            </w:r>
            <w:r>
              <w:rPr>
                <w:b/>
                <w:color w:val="000000"/>
                <w:sz w:val="18"/>
                <w:szCs w:val="18"/>
                <w:vertAlign w:val="superscript"/>
              </w:rPr>
              <w:t>-39</w:t>
            </w:r>
          </w:p>
        </w:tc>
        <w:tc>
          <w:tcPr>
            <w:tcW w:w="1682" w:type="dxa"/>
            <w:tcBorders>
              <w:bottom w:val="single" w:sz="4" w:space="0" w:color="000000"/>
            </w:tcBorders>
            <w:shd w:val="clear" w:color="auto" w:fill="FFFFFF"/>
            <w:vAlign w:val="bottom"/>
          </w:tcPr>
          <w:p w:rsidR="00E6467A" w:rsidRDefault="007A5689">
            <w:pPr>
              <w:spacing w:line="276" w:lineRule="auto"/>
              <w:jc w:val="center"/>
              <w:rPr>
                <w:b/>
                <w:color w:val="000000"/>
                <w:sz w:val="18"/>
                <w:szCs w:val="18"/>
              </w:rPr>
            </w:pPr>
            <w:r>
              <w:rPr>
                <w:b/>
                <w:color w:val="000000"/>
                <w:sz w:val="18"/>
                <w:szCs w:val="18"/>
              </w:rPr>
              <w:t>6.79 x 10</w:t>
            </w:r>
            <w:r>
              <w:rPr>
                <w:b/>
                <w:color w:val="000000"/>
                <w:sz w:val="18"/>
                <w:szCs w:val="18"/>
                <w:vertAlign w:val="superscript"/>
              </w:rPr>
              <w:t>-13</w:t>
            </w:r>
          </w:p>
        </w:tc>
      </w:tr>
    </w:tbl>
    <w:p w:rsidR="00E6467A" w:rsidRDefault="007A5689">
      <w:pPr>
        <w:widowControl w:val="0"/>
        <w:rPr>
          <w:color w:val="000000"/>
          <w:sz w:val="20"/>
          <w:szCs w:val="20"/>
        </w:rPr>
      </w:pPr>
      <w:r>
        <w:rPr>
          <w:color w:val="000000"/>
          <w:sz w:val="20"/>
          <w:szCs w:val="20"/>
        </w:rPr>
        <w:t>* Results were extracted from the supplementary tables provided in the papers and included all participants.</w:t>
      </w:r>
    </w:p>
    <w:p w:rsidR="00E6467A" w:rsidRDefault="00E6467A">
      <w:pPr>
        <w:widowControl w:val="0"/>
        <w:spacing w:line="360" w:lineRule="auto"/>
        <w:jc w:val="both"/>
        <w:rPr>
          <w:i/>
          <w:color w:val="000000"/>
          <w:sz w:val="22"/>
          <w:szCs w:val="22"/>
        </w:rPr>
      </w:pPr>
    </w:p>
    <w:p w:rsidR="00E6467A" w:rsidRDefault="00E6467A">
      <w:pPr>
        <w:widowControl w:val="0"/>
        <w:spacing w:line="360" w:lineRule="auto"/>
        <w:jc w:val="both"/>
        <w:rPr>
          <w:i/>
          <w:color w:val="000000"/>
          <w:sz w:val="22"/>
          <w:szCs w:val="22"/>
        </w:rPr>
      </w:pPr>
    </w:p>
    <w:p w:rsidR="00E6467A" w:rsidRDefault="00E6467A">
      <w:pPr>
        <w:widowControl w:val="0"/>
        <w:spacing w:line="360" w:lineRule="auto"/>
        <w:jc w:val="both"/>
        <w:rPr>
          <w:i/>
          <w:color w:val="000000"/>
          <w:sz w:val="22"/>
          <w:szCs w:val="22"/>
        </w:rPr>
      </w:pPr>
    </w:p>
    <w:p w:rsidR="00E6467A" w:rsidRDefault="007A5689">
      <w:pPr>
        <w:widowControl w:val="0"/>
        <w:spacing w:line="360" w:lineRule="auto"/>
        <w:jc w:val="both"/>
        <w:rPr>
          <w:color w:val="000000"/>
          <w:sz w:val="22"/>
          <w:szCs w:val="22"/>
        </w:rPr>
      </w:pPr>
      <w:r>
        <w:rPr>
          <w:b/>
          <w:color w:val="000000"/>
          <w:sz w:val="22"/>
          <w:szCs w:val="22"/>
        </w:rPr>
        <w:t>Table 3:</w:t>
      </w:r>
      <w:r>
        <w:rPr>
          <w:color w:val="000000"/>
          <w:sz w:val="22"/>
          <w:szCs w:val="22"/>
        </w:rPr>
        <w:t xml:space="preserve"> SNP-based heritability estimates, and genetic and phenotypic correlations between academic subjects. </w:t>
      </w:r>
    </w:p>
    <w:tbl>
      <w:tblPr>
        <w:tblStyle w:val="a1"/>
        <w:tblW w:w="6730" w:type="dxa"/>
        <w:jc w:val="center"/>
        <w:tblLayout w:type="fixed"/>
        <w:tblLook w:val="0400" w:firstRow="0" w:lastRow="0" w:firstColumn="0" w:lastColumn="0" w:noHBand="0" w:noVBand="1"/>
      </w:tblPr>
      <w:tblGrid>
        <w:gridCol w:w="1234"/>
        <w:gridCol w:w="1832"/>
        <w:gridCol w:w="1832"/>
        <w:gridCol w:w="1832"/>
      </w:tblGrid>
      <w:tr w:rsidR="00E6467A">
        <w:trPr>
          <w:trHeight w:val="574"/>
          <w:jc w:val="center"/>
        </w:trPr>
        <w:tc>
          <w:tcPr>
            <w:tcW w:w="1235" w:type="dxa"/>
            <w:tcBorders>
              <w:top w:val="single" w:sz="4" w:space="0" w:color="000000"/>
              <w:left w:val="nil"/>
              <w:bottom w:val="single" w:sz="4" w:space="0" w:color="000000"/>
              <w:right w:val="single" w:sz="4" w:space="0" w:color="000000"/>
            </w:tcBorders>
            <w:shd w:val="clear" w:color="auto" w:fill="auto"/>
            <w:vAlign w:val="center"/>
          </w:tcPr>
          <w:p w:rsidR="00E6467A" w:rsidRDefault="007A5689">
            <w:pPr>
              <w:spacing w:line="480" w:lineRule="auto"/>
              <w:jc w:val="center"/>
              <w:rPr>
                <w:color w:val="000000"/>
                <w:sz w:val="20"/>
                <w:szCs w:val="20"/>
                <w:vertAlign w:val="superscript"/>
              </w:rPr>
            </w:pPr>
            <w:r>
              <w:rPr>
                <w:color w:val="000000"/>
                <w:sz w:val="20"/>
                <w:szCs w:val="20"/>
              </w:rPr>
              <w:t>LDSC h</w:t>
            </w:r>
            <w:r>
              <w:rPr>
                <w:color w:val="000000"/>
                <w:sz w:val="20"/>
                <w:szCs w:val="20"/>
                <w:vertAlign w:val="superscript"/>
              </w:rPr>
              <w:t>2</w:t>
            </w:r>
            <w:r>
              <w:rPr>
                <w:color w:val="000000"/>
                <w:sz w:val="20"/>
                <w:szCs w:val="20"/>
                <w:vertAlign w:val="subscript"/>
              </w:rPr>
              <w:t>SNP</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7A" w:rsidRDefault="007A5689">
            <w:pPr>
              <w:spacing w:line="480" w:lineRule="auto"/>
              <w:jc w:val="center"/>
              <w:rPr>
                <w:color w:val="000000"/>
                <w:sz w:val="20"/>
                <w:szCs w:val="20"/>
              </w:rPr>
            </w:pPr>
            <w:r>
              <w:rPr>
                <w:color w:val="000000"/>
                <w:sz w:val="20"/>
                <w:szCs w:val="20"/>
              </w:rPr>
              <w:t>English</w:t>
            </w:r>
          </w:p>
        </w:tc>
        <w:tc>
          <w:tcPr>
            <w:tcW w:w="1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67A" w:rsidRDefault="007A5689">
            <w:pPr>
              <w:spacing w:line="480" w:lineRule="auto"/>
              <w:jc w:val="center"/>
              <w:rPr>
                <w:color w:val="000000"/>
                <w:sz w:val="20"/>
                <w:szCs w:val="20"/>
              </w:rPr>
            </w:pPr>
            <w:r>
              <w:rPr>
                <w:color w:val="000000"/>
                <w:sz w:val="20"/>
                <w:szCs w:val="20"/>
              </w:rPr>
              <w:t>Maths</w:t>
            </w:r>
          </w:p>
        </w:tc>
        <w:tc>
          <w:tcPr>
            <w:tcW w:w="1832" w:type="dxa"/>
            <w:tcBorders>
              <w:top w:val="single" w:sz="4" w:space="0" w:color="000000"/>
              <w:left w:val="single" w:sz="4" w:space="0" w:color="000000"/>
              <w:bottom w:val="single" w:sz="4" w:space="0" w:color="000000"/>
              <w:right w:val="nil"/>
            </w:tcBorders>
            <w:shd w:val="clear" w:color="auto" w:fill="auto"/>
            <w:vAlign w:val="center"/>
          </w:tcPr>
          <w:p w:rsidR="00E6467A" w:rsidRDefault="007A5689">
            <w:pPr>
              <w:spacing w:line="480" w:lineRule="auto"/>
              <w:jc w:val="center"/>
              <w:rPr>
                <w:color w:val="000000"/>
                <w:sz w:val="20"/>
                <w:szCs w:val="20"/>
              </w:rPr>
            </w:pPr>
            <w:r>
              <w:rPr>
                <w:color w:val="000000"/>
                <w:sz w:val="20"/>
                <w:szCs w:val="20"/>
              </w:rPr>
              <w:t>Science</w:t>
            </w:r>
          </w:p>
        </w:tc>
      </w:tr>
      <w:tr w:rsidR="00E6467A">
        <w:trPr>
          <w:trHeight w:val="257"/>
          <w:jc w:val="center"/>
        </w:trPr>
        <w:tc>
          <w:tcPr>
            <w:tcW w:w="1235" w:type="dxa"/>
            <w:tcBorders>
              <w:top w:val="single" w:sz="4" w:space="0" w:color="000000"/>
            </w:tcBorders>
            <w:shd w:val="clear" w:color="auto" w:fill="auto"/>
            <w:vAlign w:val="center"/>
          </w:tcPr>
          <w:p w:rsidR="00E6467A" w:rsidRDefault="007A5689">
            <w:pPr>
              <w:spacing w:line="360" w:lineRule="auto"/>
              <w:jc w:val="center"/>
              <w:rPr>
                <w:color w:val="000000"/>
                <w:sz w:val="20"/>
                <w:szCs w:val="20"/>
              </w:rPr>
            </w:pPr>
            <w:r>
              <w:rPr>
                <w:color w:val="000000"/>
                <w:sz w:val="20"/>
                <w:szCs w:val="20"/>
              </w:rPr>
              <w:t>English</w:t>
            </w:r>
          </w:p>
        </w:tc>
        <w:tc>
          <w:tcPr>
            <w:tcW w:w="1832" w:type="dxa"/>
            <w:tcBorders>
              <w:top w:val="single" w:sz="4" w:space="0" w:color="000000"/>
            </w:tcBorders>
            <w:shd w:val="clear" w:color="auto" w:fill="auto"/>
            <w:vAlign w:val="center"/>
          </w:tcPr>
          <w:p w:rsidR="00E6467A" w:rsidRDefault="007A5689">
            <w:pPr>
              <w:spacing w:line="360" w:lineRule="auto"/>
              <w:jc w:val="center"/>
              <w:rPr>
                <w:color w:val="000000"/>
                <w:sz w:val="20"/>
                <w:szCs w:val="20"/>
              </w:rPr>
            </w:pPr>
            <w:r>
              <w:rPr>
                <w:color w:val="000000"/>
                <w:sz w:val="20"/>
                <w:szCs w:val="20"/>
              </w:rPr>
              <w:t>0.360 (0.058)</w:t>
            </w:r>
            <w:r>
              <w:rPr>
                <w:color w:val="000000"/>
                <w:sz w:val="20"/>
                <w:szCs w:val="20"/>
                <w:highlight w:val="yellow"/>
              </w:rPr>
              <w:t>***</w:t>
            </w:r>
          </w:p>
        </w:tc>
        <w:tc>
          <w:tcPr>
            <w:tcW w:w="1832" w:type="dxa"/>
            <w:tcBorders>
              <w:top w:val="single" w:sz="4" w:space="0" w:color="000000"/>
            </w:tcBorders>
            <w:shd w:val="clear" w:color="auto" w:fill="F2F2F2"/>
            <w:vAlign w:val="center"/>
          </w:tcPr>
          <w:p w:rsidR="00E6467A" w:rsidRDefault="007A5689">
            <w:pPr>
              <w:spacing w:line="360" w:lineRule="auto"/>
              <w:jc w:val="center"/>
              <w:rPr>
                <w:color w:val="000000"/>
                <w:sz w:val="20"/>
                <w:szCs w:val="20"/>
              </w:rPr>
            </w:pPr>
            <w:r>
              <w:rPr>
                <w:color w:val="000000"/>
                <w:sz w:val="20"/>
                <w:szCs w:val="20"/>
              </w:rPr>
              <w:t>0.691 (0.005)***</w:t>
            </w:r>
          </w:p>
        </w:tc>
        <w:tc>
          <w:tcPr>
            <w:tcW w:w="1832" w:type="dxa"/>
            <w:tcBorders>
              <w:top w:val="single" w:sz="4" w:space="0" w:color="000000"/>
            </w:tcBorders>
            <w:shd w:val="clear" w:color="auto" w:fill="F2F2F2"/>
            <w:vAlign w:val="center"/>
          </w:tcPr>
          <w:p w:rsidR="00E6467A" w:rsidRDefault="007A5689">
            <w:pPr>
              <w:spacing w:line="360" w:lineRule="auto"/>
              <w:jc w:val="center"/>
              <w:rPr>
                <w:color w:val="000000"/>
                <w:sz w:val="20"/>
                <w:szCs w:val="20"/>
              </w:rPr>
            </w:pPr>
            <w:r>
              <w:rPr>
                <w:color w:val="000000"/>
                <w:sz w:val="20"/>
                <w:szCs w:val="20"/>
              </w:rPr>
              <w:t>0.732 (0.005)***</w:t>
            </w:r>
          </w:p>
        </w:tc>
      </w:tr>
      <w:tr w:rsidR="00E6467A">
        <w:trPr>
          <w:trHeight w:val="214"/>
          <w:jc w:val="center"/>
        </w:trPr>
        <w:tc>
          <w:tcPr>
            <w:tcW w:w="1235" w:type="dxa"/>
            <w:shd w:val="clear" w:color="auto" w:fill="auto"/>
            <w:vAlign w:val="center"/>
          </w:tcPr>
          <w:p w:rsidR="00E6467A" w:rsidRDefault="007A5689">
            <w:pPr>
              <w:spacing w:line="360" w:lineRule="auto"/>
              <w:jc w:val="center"/>
              <w:rPr>
                <w:color w:val="000000"/>
                <w:sz w:val="20"/>
                <w:szCs w:val="20"/>
              </w:rPr>
            </w:pPr>
            <w:r>
              <w:rPr>
                <w:color w:val="000000"/>
                <w:sz w:val="20"/>
                <w:szCs w:val="20"/>
              </w:rPr>
              <w:t>Maths</w:t>
            </w:r>
          </w:p>
        </w:tc>
        <w:tc>
          <w:tcPr>
            <w:tcW w:w="1832" w:type="dxa"/>
            <w:shd w:val="clear" w:color="auto" w:fill="BFBFBF"/>
            <w:vAlign w:val="center"/>
          </w:tcPr>
          <w:p w:rsidR="00E6467A" w:rsidRDefault="007A5689">
            <w:pPr>
              <w:spacing w:line="360" w:lineRule="auto"/>
              <w:jc w:val="center"/>
              <w:rPr>
                <w:color w:val="000000"/>
                <w:sz w:val="20"/>
                <w:szCs w:val="20"/>
                <w:vertAlign w:val="superscript"/>
              </w:rPr>
            </w:pPr>
            <w:r>
              <w:rPr>
                <w:color w:val="000000"/>
                <w:sz w:val="20"/>
                <w:szCs w:val="20"/>
              </w:rPr>
              <w:t>0.745 (0.141)***</w:t>
            </w:r>
            <w:r>
              <w:rPr>
                <w:color w:val="000000"/>
                <w:sz w:val="20"/>
                <w:szCs w:val="20"/>
                <w:vertAlign w:val="superscript"/>
              </w:rPr>
              <w:t>a</w:t>
            </w:r>
          </w:p>
        </w:tc>
        <w:tc>
          <w:tcPr>
            <w:tcW w:w="1832" w:type="dxa"/>
            <w:shd w:val="clear" w:color="auto" w:fill="FFFFFF"/>
            <w:vAlign w:val="center"/>
          </w:tcPr>
          <w:p w:rsidR="00E6467A" w:rsidRDefault="007A5689">
            <w:pPr>
              <w:spacing w:line="360" w:lineRule="auto"/>
              <w:jc w:val="center"/>
              <w:rPr>
                <w:color w:val="000000"/>
                <w:sz w:val="20"/>
                <w:szCs w:val="20"/>
              </w:rPr>
            </w:pPr>
            <w:r>
              <w:rPr>
                <w:color w:val="000000"/>
                <w:sz w:val="20"/>
                <w:szCs w:val="20"/>
              </w:rPr>
              <w:t>0.473 (0.058)</w:t>
            </w:r>
            <w:r>
              <w:rPr>
                <w:color w:val="000000"/>
                <w:sz w:val="20"/>
                <w:szCs w:val="20"/>
                <w:highlight w:val="yellow"/>
              </w:rPr>
              <w:t>***</w:t>
            </w:r>
          </w:p>
        </w:tc>
        <w:tc>
          <w:tcPr>
            <w:tcW w:w="1832" w:type="dxa"/>
            <w:shd w:val="clear" w:color="auto" w:fill="F2F2F2"/>
            <w:vAlign w:val="center"/>
          </w:tcPr>
          <w:p w:rsidR="00E6467A" w:rsidRDefault="007A5689">
            <w:pPr>
              <w:spacing w:line="360" w:lineRule="auto"/>
              <w:jc w:val="center"/>
              <w:rPr>
                <w:color w:val="000000"/>
                <w:sz w:val="20"/>
                <w:szCs w:val="20"/>
              </w:rPr>
            </w:pPr>
            <w:r>
              <w:rPr>
                <w:color w:val="000000"/>
                <w:sz w:val="20"/>
                <w:szCs w:val="20"/>
              </w:rPr>
              <w:t>0.811 (0.003)***</w:t>
            </w:r>
          </w:p>
        </w:tc>
      </w:tr>
      <w:tr w:rsidR="00E6467A">
        <w:trPr>
          <w:trHeight w:val="53"/>
          <w:jc w:val="center"/>
        </w:trPr>
        <w:tc>
          <w:tcPr>
            <w:tcW w:w="1235" w:type="dxa"/>
            <w:tcBorders>
              <w:bottom w:val="single" w:sz="4" w:space="0" w:color="000000"/>
            </w:tcBorders>
            <w:shd w:val="clear" w:color="auto" w:fill="auto"/>
            <w:vAlign w:val="center"/>
          </w:tcPr>
          <w:p w:rsidR="00E6467A" w:rsidRDefault="007A5689">
            <w:pPr>
              <w:spacing w:line="360" w:lineRule="auto"/>
              <w:jc w:val="center"/>
              <w:rPr>
                <w:color w:val="000000"/>
                <w:sz w:val="20"/>
                <w:szCs w:val="20"/>
              </w:rPr>
            </w:pPr>
            <w:r>
              <w:rPr>
                <w:color w:val="000000"/>
                <w:sz w:val="20"/>
                <w:szCs w:val="20"/>
              </w:rPr>
              <w:t>Science</w:t>
            </w:r>
          </w:p>
        </w:tc>
        <w:tc>
          <w:tcPr>
            <w:tcW w:w="1832" w:type="dxa"/>
            <w:tcBorders>
              <w:bottom w:val="single" w:sz="4" w:space="0" w:color="000000"/>
            </w:tcBorders>
            <w:shd w:val="clear" w:color="auto" w:fill="BFBFBF"/>
            <w:vAlign w:val="center"/>
          </w:tcPr>
          <w:p w:rsidR="00E6467A" w:rsidRDefault="007A5689">
            <w:pPr>
              <w:spacing w:line="360" w:lineRule="auto"/>
              <w:jc w:val="center"/>
              <w:rPr>
                <w:color w:val="000000"/>
                <w:sz w:val="20"/>
                <w:szCs w:val="20"/>
                <w:vertAlign w:val="superscript"/>
              </w:rPr>
            </w:pPr>
            <w:r>
              <w:rPr>
                <w:color w:val="000000"/>
                <w:sz w:val="20"/>
                <w:szCs w:val="20"/>
              </w:rPr>
              <w:t>0.722 (0.141)***</w:t>
            </w:r>
            <w:r>
              <w:rPr>
                <w:color w:val="000000"/>
                <w:sz w:val="20"/>
                <w:szCs w:val="20"/>
                <w:vertAlign w:val="superscript"/>
              </w:rPr>
              <w:t>a</w:t>
            </w:r>
          </w:p>
        </w:tc>
        <w:tc>
          <w:tcPr>
            <w:tcW w:w="1832" w:type="dxa"/>
            <w:tcBorders>
              <w:bottom w:val="single" w:sz="4" w:space="0" w:color="000000"/>
            </w:tcBorders>
            <w:shd w:val="clear" w:color="auto" w:fill="BFBFBF"/>
            <w:vAlign w:val="center"/>
          </w:tcPr>
          <w:p w:rsidR="00E6467A" w:rsidRDefault="007A5689">
            <w:pPr>
              <w:spacing w:line="360" w:lineRule="auto"/>
              <w:jc w:val="center"/>
              <w:rPr>
                <w:color w:val="000000"/>
                <w:sz w:val="20"/>
                <w:szCs w:val="20"/>
                <w:vertAlign w:val="superscript"/>
              </w:rPr>
            </w:pPr>
            <w:r>
              <w:rPr>
                <w:color w:val="000000"/>
                <w:sz w:val="20"/>
                <w:szCs w:val="20"/>
              </w:rPr>
              <w:t>0.620 (0.121)***</w:t>
            </w:r>
            <w:r>
              <w:rPr>
                <w:color w:val="000000"/>
                <w:sz w:val="20"/>
                <w:szCs w:val="20"/>
                <w:vertAlign w:val="superscript"/>
              </w:rPr>
              <w:t>a</w:t>
            </w:r>
          </w:p>
        </w:tc>
        <w:tc>
          <w:tcPr>
            <w:tcW w:w="1832" w:type="dxa"/>
            <w:tcBorders>
              <w:bottom w:val="single" w:sz="4" w:space="0" w:color="000000"/>
            </w:tcBorders>
            <w:shd w:val="clear" w:color="auto" w:fill="FFFFFF"/>
            <w:vAlign w:val="center"/>
          </w:tcPr>
          <w:p w:rsidR="00E6467A" w:rsidRDefault="007A5689">
            <w:pPr>
              <w:spacing w:line="360" w:lineRule="auto"/>
              <w:jc w:val="center"/>
              <w:rPr>
                <w:color w:val="000000"/>
                <w:sz w:val="20"/>
                <w:szCs w:val="20"/>
              </w:rPr>
            </w:pPr>
            <w:r>
              <w:rPr>
                <w:color w:val="000000"/>
                <w:sz w:val="20"/>
                <w:szCs w:val="20"/>
              </w:rPr>
              <w:t>0.535 (0.058)</w:t>
            </w:r>
            <w:r>
              <w:rPr>
                <w:color w:val="000000"/>
                <w:sz w:val="20"/>
                <w:szCs w:val="20"/>
                <w:highlight w:val="yellow"/>
              </w:rPr>
              <w:t>***</w:t>
            </w:r>
          </w:p>
        </w:tc>
      </w:tr>
    </w:tbl>
    <w:p w:rsidR="00E6467A" w:rsidRDefault="007A5689">
      <w:pPr>
        <w:widowControl w:val="0"/>
        <w:spacing w:line="276" w:lineRule="auto"/>
        <w:jc w:val="both"/>
        <w:rPr>
          <w:color w:val="000000"/>
          <w:sz w:val="18"/>
          <w:szCs w:val="18"/>
        </w:rPr>
      </w:pPr>
      <w:bookmarkStart w:id="4" w:name="_3znysh7" w:colFirst="0" w:colLast="0"/>
      <w:bookmarkEnd w:id="4"/>
      <w:r>
        <w:rPr>
          <w:rFonts w:ascii="Gungsuh" w:eastAsia="Gungsuh" w:hAnsi="Gungsuh" w:cs="Gungsuh"/>
          <w:color w:val="000000"/>
          <w:sz w:val="18"/>
          <w:szCs w:val="18"/>
        </w:rPr>
        <w:t>*** p ≤ 0.001. Genetic correlations are presented below the diagonal (dark grey), SNP-based heritability on the diagonal (white) and phenotypic correlations above the diagonal (light grey). Standard errors are in parentheses. Due to the genetically homogen</w:t>
      </w:r>
      <w:r>
        <w:rPr>
          <w:rFonts w:ascii="Gungsuh" w:eastAsia="Gungsuh" w:hAnsi="Gungsuh" w:cs="Gungsuh"/>
          <w:color w:val="000000"/>
          <w:sz w:val="18"/>
          <w:szCs w:val="18"/>
        </w:rPr>
        <w:t>ous nature of this sample LDSC SNP heritability and genetic correlation estimates are reported with the h</w:t>
      </w:r>
      <w:r>
        <w:rPr>
          <w:color w:val="000000"/>
          <w:sz w:val="18"/>
          <w:szCs w:val="18"/>
          <w:vertAlign w:val="superscript"/>
        </w:rPr>
        <w:t>2</w:t>
      </w:r>
      <w:r>
        <w:rPr>
          <w:color w:val="000000"/>
          <w:sz w:val="18"/>
          <w:szCs w:val="18"/>
        </w:rPr>
        <w:t xml:space="preserve"> intercept constrained to 1. Unconstrained LDSC estimates are provided in </w:t>
      </w:r>
      <w:r>
        <w:rPr>
          <w:b/>
          <w:color w:val="000000"/>
          <w:sz w:val="18"/>
          <w:szCs w:val="18"/>
        </w:rPr>
        <w:t>Supplementary Table S6</w:t>
      </w:r>
      <w:r>
        <w:rPr>
          <w:color w:val="000000"/>
          <w:sz w:val="18"/>
          <w:szCs w:val="18"/>
        </w:rPr>
        <w:t>. Phenotypically, science is significantly more highly</w:t>
      </w:r>
      <w:r>
        <w:rPr>
          <w:color w:val="000000"/>
          <w:sz w:val="18"/>
          <w:szCs w:val="18"/>
        </w:rPr>
        <w:t xml:space="preserve"> correlated with English (z = 5.80, p = 3.35 x 10</w:t>
      </w:r>
      <w:r>
        <w:rPr>
          <w:color w:val="000000"/>
          <w:sz w:val="18"/>
          <w:szCs w:val="18"/>
          <w:vertAlign w:val="superscript"/>
        </w:rPr>
        <w:t>-9</w:t>
      </w:r>
      <w:r>
        <w:rPr>
          <w:color w:val="000000"/>
          <w:sz w:val="18"/>
          <w:szCs w:val="18"/>
        </w:rPr>
        <w:t>) and maths (z = 20.58, p = 2.08 x 10</w:t>
      </w:r>
      <w:r>
        <w:rPr>
          <w:color w:val="000000"/>
          <w:sz w:val="18"/>
          <w:szCs w:val="18"/>
          <w:vertAlign w:val="superscript"/>
        </w:rPr>
        <w:t>-94</w:t>
      </w:r>
      <w:r>
        <w:rPr>
          <w:color w:val="000000"/>
          <w:sz w:val="18"/>
          <w:szCs w:val="18"/>
        </w:rPr>
        <w:t xml:space="preserve">) than these were with each other.  </w:t>
      </w:r>
      <w:r>
        <w:rPr>
          <w:color w:val="000000"/>
          <w:sz w:val="18"/>
          <w:szCs w:val="18"/>
          <w:highlight w:val="yellow"/>
        </w:rPr>
        <w:t>There are no significant differences in the genetic correlations between subjects (p’s &gt; 0.05)</w:t>
      </w:r>
    </w:p>
    <w:p w:rsidR="00E6467A" w:rsidRDefault="007A5689">
      <w:pPr>
        <w:widowControl w:val="0"/>
        <w:spacing w:line="276" w:lineRule="auto"/>
        <w:jc w:val="both"/>
        <w:rPr>
          <w:color w:val="000000"/>
          <w:sz w:val="18"/>
          <w:szCs w:val="18"/>
        </w:rPr>
      </w:pPr>
      <w:r>
        <w:rPr>
          <w:color w:val="000000"/>
          <w:sz w:val="18"/>
          <w:szCs w:val="18"/>
          <w:vertAlign w:val="superscript"/>
        </w:rPr>
        <w:t xml:space="preserve">a </w:t>
      </w:r>
      <w:r>
        <w:rPr>
          <w:color w:val="000000"/>
          <w:sz w:val="18"/>
          <w:szCs w:val="18"/>
        </w:rPr>
        <w:t>These correlations were significantly less than 1 (Maths – English, p = 0.04; Science – English, p = 0.03; Science – Maths, p = 0.001).</w:t>
      </w: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b/>
          <w:color w:val="000000"/>
          <w:sz w:val="22"/>
          <w:szCs w:val="22"/>
        </w:rPr>
        <w:lastRenderedPageBreak/>
        <w:t>Table 4:</w:t>
      </w:r>
      <w:r>
        <w:rPr>
          <w:color w:val="000000"/>
          <w:sz w:val="22"/>
          <w:szCs w:val="22"/>
        </w:rPr>
        <w:t xml:space="preserve"> SNP-based heritability (h</w:t>
      </w:r>
      <w:r>
        <w:rPr>
          <w:color w:val="000000"/>
          <w:sz w:val="22"/>
          <w:szCs w:val="22"/>
          <w:vertAlign w:val="superscript"/>
        </w:rPr>
        <w:t>2</w:t>
      </w:r>
      <w:r>
        <w:rPr>
          <w:color w:val="000000"/>
          <w:sz w:val="22"/>
          <w:szCs w:val="22"/>
          <w:vertAlign w:val="subscript"/>
        </w:rPr>
        <w:t>SNP</w:t>
      </w:r>
      <w:r>
        <w:rPr>
          <w:color w:val="000000"/>
          <w:sz w:val="22"/>
          <w:szCs w:val="22"/>
        </w:rPr>
        <w:t>) estimates for academic subjects after controlling for attainment in other subj</w:t>
      </w:r>
      <w:r>
        <w:rPr>
          <w:color w:val="000000"/>
          <w:sz w:val="22"/>
          <w:szCs w:val="22"/>
        </w:rPr>
        <w:t>ects (AAreg), and after controlling for IQ (IQreg).</w:t>
      </w:r>
    </w:p>
    <w:tbl>
      <w:tblPr>
        <w:tblStyle w:val="a2"/>
        <w:tblW w:w="8300" w:type="dxa"/>
        <w:jc w:val="center"/>
        <w:tblBorders>
          <w:bottom w:val="single" w:sz="4" w:space="0" w:color="000000"/>
        </w:tblBorders>
        <w:tblLayout w:type="fixed"/>
        <w:tblLook w:val="0400" w:firstRow="0" w:lastRow="0" w:firstColumn="0" w:lastColumn="0" w:noHBand="0" w:noVBand="1"/>
      </w:tblPr>
      <w:tblGrid>
        <w:gridCol w:w="710"/>
        <w:gridCol w:w="1251"/>
        <w:gridCol w:w="1265"/>
        <w:gridCol w:w="1347"/>
        <w:gridCol w:w="1265"/>
        <w:gridCol w:w="1186"/>
        <w:gridCol w:w="1276"/>
      </w:tblGrid>
      <w:tr w:rsidR="00E6467A">
        <w:trPr>
          <w:trHeight w:val="595"/>
          <w:jc w:val="center"/>
        </w:trPr>
        <w:tc>
          <w:tcPr>
            <w:tcW w:w="710" w:type="dxa"/>
            <w:tcBorders>
              <w:top w:val="single" w:sz="4" w:space="0" w:color="000000"/>
              <w:bottom w:val="single" w:sz="4" w:space="0" w:color="000000"/>
            </w:tcBorders>
            <w:shd w:val="clear" w:color="auto" w:fill="auto"/>
            <w:vAlign w:val="center"/>
          </w:tcPr>
          <w:p w:rsidR="00E6467A" w:rsidRDefault="00E6467A">
            <w:pPr>
              <w:spacing w:line="480" w:lineRule="auto"/>
              <w:rPr>
                <w:color w:val="000000"/>
                <w:sz w:val="20"/>
                <w:szCs w:val="20"/>
                <w:vertAlign w:val="superscript"/>
              </w:rPr>
            </w:pPr>
          </w:p>
        </w:tc>
        <w:tc>
          <w:tcPr>
            <w:tcW w:w="1251" w:type="dxa"/>
            <w:tcBorders>
              <w:top w:val="single" w:sz="4" w:space="0" w:color="000000"/>
              <w:bottom w:val="single" w:sz="4" w:space="0" w:color="000000"/>
            </w:tcBorders>
            <w:shd w:val="clear" w:color="auto" w:fill="auto"/>
            <w:vAlign w:val="center"/>
          </w:tcPr>
          <w:p w:rsidR="00E6467A" w:rsidRDefault="007A5689">
            <w:pPr>
              <w:spacing w:line="276" w:lineRule="auto"/>
              <w:jc w:val="center"/>
              <w:rPr>
                <w:color w:val="000000"/>
                <w:sz w:val="20"/>
                <w:szCs w:val="20"/>
              </w:rPr>
            </w:pPr>
            <w:r>
              <w:rPr>
                <w:color w:val="000000"/>
                <w:sz w:val="20"/>
                <w:szCs w:val="20"/>
              </w:rPr>
              <w:t>English (AAreg)</w:t>
            </w:r>
          </w:p>
        </w:tc>
        <w:tc>
          <w:tcPr>
            <w:tcW w:w="1265" w:type="dxa"/>
            <w:tcBorders>
              <w:top w:val="single" w:sz="4" w:space="0" w:color="000000"/>
              <w:bottom w:val="single" w:sz="4" w:space="0" w:color="000000"/>
            </w:tcBorders>
            <w:shd w:val="clear" w:color="auto" w:fill="auto"/>
            <w:vAlign w:val="center"/>
          </w:tcPr>
          <w:p w:rsidR="00E6467A" w:rsidRDefault="007A5689">
            <w:pPr>
              <w:spacing w:line="276" w:lineRule="auto"/>
              <w:jc w:val="center"/>
              <w:rPr>
                <w:color w:val="000000"/>
                <w:sz w:val="20"/>
                <w:szCs w:val="20"/>
              </w:rPr>
            </w:pPr>
            <w:r>
              <w:rPr>
                <w:color w:val="000000"/>
                <w:sz w:val="20"/>
                <w:szCs w:val="20"/>
              </w:rPr>
              <w:t>Maths (AAreg)</w:t>
            </w:r>
          </w:p>
        </w:tc>
        <w:tc>
          <w:tcPr>
            <w:tcW w:w="1347" w:type="dxa"/>
            <w:tcBorders>
              <w:top w:val="single" w:sz="4" w:space="0" w:color="000000"/>
              <w:bottom w:val="single" w:sz="4" w:space="0" w:color="000000"/>
            </w:tcBorders>
            <w:shd w:val="clear" w:color="auto" w:fill="auto"/>
            <w:vAlign w:val="center"/>
          </w:tcPr>
          <w:p w:rsidR="00E6467A" w:rsidRDefault="007A5689">
            <w:pPr>
              <w:spacing w:line="276" w:lineRule="auto"/>
              <w:jc w:val="center"/>
              <w:rPr>
                <w:color w:val="000000"/>
                <w:sz w:val="20"/>
                <w:szCs w:val="20"/>
              </w:rPr>
            </w:pPr>
            <w:r>
              <w:rPr>
                <w:color w:val="000000"/>
                <w:sz w:val="20"/>
                <w:szCs w:val="20"/>
              </w:rPr>
              <w:t>Science (AAreg)</w:t>
            </w:r>
          </w:p>
        </w:tc>
        <w:tc>
          <w:tcPr>
            <w:tcW w:w="1265" w:type="dxa"/>
            <w:tcBorders>
              <w:top w:val="single" w:sz="4" w:space="0" w:color="000000"/>
              <w:bottom w:val="single" w:sz="4" w:space="0" w:color="000000"/>
            </w:tcBorders>
            <w:vAlign w:val="center"/>
          </w:tcPr>
          <w:p w:rsidR="00E6467A" w:rsidRDefault="007A5689">
            <w:pPr>
              <w:spacing w:line="276" w:lineRule="auto"/>
              <w:jc w:val="center"/>
              <w:rPr>
                <w:color w:val="000000"/>
                <w:sz w:val="20"/>
                <w:szCs w:val="20"/>
              </w:rPr>
            </w:pPr>
            <w:r>
              <w:rPr>
                <w:color w:val="000000"/>
                <w:sz w:val="20"/>
                <w:szCs w:val="20"/>
              </w:rPr>
              <w:t>English (IQreg)</w:t>
            </w:r>
          </w:p>
        </w:tc>
        <w:tc>
          <w:tcPr>
            <w:tcW w:w="1186" w:type="dxa"/>
            <w:tcBorders>
              <w:top w:val="single" w:sz="4" w:space="0" w:color="000000"/>
              <w:bottom w:val="single" w:sz="4" w:space="0" w:color="000000"/>
            </w:tcBorders>
            <w:vAlign w:val="center"/>
          </w:tcPr>
          <w:p w:rsidR="00E6467A" w:rsidRDefault="007A5689">
            <w:pPr>
              <w:spacing w:line="276" w:lineRule="auto"/>
              <w:jc w:val="center"/>
              <w:rPr>
                <w:color w:val="000000"/>
                <w:sz w:val="20"/>
                <w:szCs w:val="20"/>
              </w:rPr>
            </w:pPr>
            <w:r>
              <w:rPr>
                <w:color w:val="000000"/>
                <w:sz w:val="20"/>
                <w:szCs w:val="20"/>
              </w:rPr>
              <w:t>Maths (IQreg)</w:t>
            </w:r>
          </w:p>
        </w:tc>
        <w:tc>
          <w:tcPr>
            <w:tcW w:w="1276" w:type="dxa"/>
            <w:tcBorders>
              <w:top w:val="single" w:sz="4" w:space="0" w:color="000000"/>
              <w:bottom w:val="single" w:sz="4" w:space="0" w:color="000000"/>
            </w:tcBorders>
            <w:vAlign w:val="center"/>
          </w:tcPr>
          <w:p w:rsidR="00E6467A" w:rsidRDefault="007A5689">
            <w:pPr>
              <w:spacing w:line="276" w:lineRule="auto"/>
              <w:jc w:val="center"/>
              <w:rPr>
                <w:color w:val="000000"/>
                <w:sz w:val="20"/>
                <w:szCs w:val="20"/>
              </w:rPr>
            </w:pPr>
            <w:r>
              <w:rPr>
                <w:color w:val="000000"/>
                <w:sz w:val="20"/>
                <w:szCs w:val="20"/>
              </w:rPr>
              <w:t>Science (IQreg)</w:t>
            </w:r>
          </w:p>
        </w:tc>
      </w:tr>
      <w:tr w:rsidR="00E6467A">
        <w:trPr>
          <w:trHeight w:val="267"/>
          <w:jc w:val="center"/>
        </w:trPr>
        <w:tc>
          <w:tcPr>
            <w:tcW w:w="710" w:type="dxa"/>
            <w:tcBorders>
              <w:top w:val="single" w:sz="4" w:space="0" w:color="000000"/>
            </w:tcBorders>
            <w:shd w:val="clear" w:color="auto" w:fill="auto"/>
            <w:vAlign w:val="center"/>
          </w:tcPr>
          <w:p w:rsidR="00E6467A" w:rsidRDefault="007A5689">
            <w:pPr>
              <w:spacing w:line="360" w:lineRule="auto"/>
              <w:rPr>
                <w:color w:val="000000"/>
                <w:sz w:val="20"/>
                <w:szCs w:val="20"/>
              </w:rPr>
            </w:pPr>
            <w:r>
              <w:rPr>
                <w:color w:val="000000"/>
                <w:sz w:val="20"/>
                <w:szCs w:val="20"/>
              </w:rPr>
              <w:t xml:space="preserve"> h</w:t>
            </w:r>
            <w:r>
              <w:rPr>
                <w:color w:val="000000"/>
                <w:sz w:val="20"/>
                <w:szCs w:val="20"/>
                <w:vertAlign w:val="superscript"/>
              </w:rPr>
              <w:t>2</w:t>
            </w:r>
            <w:r>
              <w:rPr>
                <w:color w:val="000000"/>
                <w:sz w:val="20"/>
                <w:szCs w:val="20"/>
                <w:vertAlign w:val="subscript"/>
              </w:rPr>
              <w:t>SNP</w:t>
            </w:r>
          </w:p>
        </w:tc>
        <w:tc>
          <w:tcPr>
            <w:tcW w:w="1251" w:type="dxa"/>
            <w:tcBorders>
              <w:top w:val="single" w:sz="4" w:space="0" w:color="000000"/>
            </w:tcBorders>
            <w:shd w:val="clear" w:color="auto" w:fill="auto"/>
            <w:tcMar>
              <w:left w:w="28" w:type="dxa"/>
              <w:right w:w="28" w:type="dxa"/>
            </w:tcMar>
            <w:vAlign w:val="center"/>
          </w:tcPr>
          <w:p w:rsidR="00E6467A" w:rsidRDefault="007A5689">
            <w:pPr>
              <w:spacing w:line="360" w:lineRule="auto"/>
              <w:jc w:val="center"/>
              <w:rPr>
                <w:color w:val="000000"/>
                <w:sz w:val="20"/>
                <w:szCs w:val="20"/>
              </w:rPr>
            </w:pPr>
            <w:r>
              <w:rPr>
                <w:color w:val="000000"/>
                <w:sz w:val="20"/>
                <w:szCs w:val="20"/>
              </w:rPr>
              <w:t>0.06 (0.06)</w:t>
            </w:r>
          </w:p>
        </w:tc>
        <w:tc>
          <w:tcPr>
            <w:tcW w:w="1265" w:type="dxa"/>
            <w:tcBorders>
              <w:top w:val="single" w:sz="4" w:space="0" w:color="000000"/>
            </w:tcBorders>
            <w:shd w:val="clear" w:color="auto" w:fill="auto"/>
            <w:tcMar>
              <w:left w:w="28" w:type="dxa"/>
              <w:right w:w="28" w:type="dxa"/>
            </w:tcMar>
            <w:vAlign w:val="center"/>
          </w:tcPr>
          <w:p w:rsidR="00E6467A" w:rsidRDefault="007A5689">
            <w:pPr>
              <w:spacing w:line="360" w:lineRule="auto"/>
              <w:jc w:val="center"/>
              <w:rPr>
                <w:b/>
                <w:color w:val="000000"/>
                <w:sz w:val="20"/>
                <w:szCs w:val="20"/>
              </w:rPr>
            </w:pPr>
            <w:r>
              <w:rPr>
                <w:b/>
                <w:color w:val="000000"/>
                <w:sz w:val="20"/>
                <w:szCs w:val="20"/>
              </w:rPr>
              <w:t>0.12 (0.06)*</w:t>
            </w:r>
          </w:p>
        </w:tc>
        <w:tc>
          <w:tcPr>
            <w:tcW w:w="1347" w:type="dxa"/>
            <w:tcBorders>
              <w:top w:val="single" w:sz="4" w:space="0" w:color="000000"/>
            </w:tcBorders>
            <w:shd w:val="clear" w:color="auto" w:fill="auto"/>
            <w:tcMar>
              <w:left w:w="28" w:type="dxa"/>
              <w:right w:w="28" w:type="dxa"/>
            </w:tcMar>
            <w:vAlign w:val="center"/>
          </w:tcPr>
          <w:p w:rsidR="00E6467A" w:rsidRDefault="007A5689">
            <w:pPr>
              <w:spacing w:line="360" w:lineRule="auto"/>
              <w:jc w:val="center"/>
              <w:rPr>
                <w:b/>
                <w:color w:val="000000"/>
                <w:sz w:val="20"/>
                <w:szCs w:val="20"/>
              </w:rPr>
            </w:pPr>
            <w:r>
              <w:rPr>
                <w:b/>
                <w:color w:val="000000"/>
                <w:sz w:val="20"/>
                <w:szCs w:val="20"/>
              </w:rPr>
              <w:t>0.13 (0.05)**</w:t>
            </w:r>
          </w:p>
        </w:tc>
        <w:tc>
          <w:tcPr>
            <w:tcW w:w="1265" w:type="dxa"/>
            <w:tcBorders>
              <w:top w:val="single" w:sz="4" w:space="0" w:color="000000"/>
            </w:tcBorders>
            <w:shd w:val="clear" w:color="auto" w:fill="auto"/>
            <w:tcMar>
              <w:left w:w="28" w:type="dxa"/>
              <w:right w:w="28" w:type="dxa"/>
            </w:tcMar>
            <w:vAlign w:val="center"/>
          </w:tcPr>
          <w:p w:rsidR="00E6467A" w:rsidRDefault="007A5689">
            <w:pPr>
              <w:spacing w:line="360" w:lineRule="auto"/>
              <w:jc w:val="center"/>
              <w:rPr>
                <w:color w:val="000000"/>
                <w:sz w:val="20"/>
                <w:szCs w:val="20"/>
              </w:rPr>
            </w:pPr>
            <w:r>
              <w:rPr>
                <w:color w:val="000000"/>
                <w:sz w:val="20"/>
                <w:szCs w:val="20"/>
              </w:rPr>
              <w:t>0.07 (0.11)</w:t>
            </w:r>
          </w:p>
        </w:tc>
        <w:tc>
          <w:tcPr>
            <w:tcW w:w="1186" w:type="dxa"/>
            <w:tcBorders>
              <w:top w:val="single" w:sz="4" w:space="0" w:color="000000"/>
            </w:tcBorders>
            <w:shd w:val="clear" w:color="auto" w:fill="auto"/>
            <w:tcMar>
              <w:left w:w="28" w:type="dxa"/>
              <w:right w:w="28" w:type="dxa"/>
            </w:tcMar>
            <w:vAlign w:val="center"/>
          </w:tcPr>
          <w:p w:rsidR="00E6467A" w:rsidRDefault="007A5689">
            <w:pPr>
              <w:spacing w:line="360" w:lineRule="auto"/>
              <w:jc w:val="center"/>
              <w:rPr>
                <w:b/>
                <w:color w:val="000000"/>
                <w:sz w:val="20"/>
                <w:szCs w:val="20"/>
              </w:rPr>
            </w:pPr>
            <w:r>
              <w:rPr>
                <w:b/>
                <w:color w:val="000000"/>
                <w:sz w:val="20"/>
                <w:szCs w:val="20"/>
              </w:rPr>
              <w:t>0.24 (0.11)*</w:t>
            </w:r>
          </w:p>
        </w:tc>
        <w:tc>
          <w:tcPr>
            <w:tcW w:w="1276" w:type="dxa"/>
            <w:tcBorders>
              <w:top w:val="single" w:sz="4" w:space="0" w:color="000000"/>
            </w:tcBorders>
            <w:shd w:val="clear" w:color="auto" w:fill="auto"/>
            <w:tcMar>
              <w:left w:w="28" w:type="dxa"/>
              <w:right w:w="28" w:type="dxa"/>
            </w:tcMar>
            <w:vAlign w:val="center"/>
          </w:tcPr>
          <w:p w:rsidR="00E6467A" w:rsidRDefault="007A5689">
            <w:pPr>
              <w:spacing w:line="360" w:lineRule="auto"/>
              <w:jc w:val="center"/>
              <w:rPr>
                <w:b/>
                <w:color w:val="000000"/>
                <w:sz w:val="20"/>
                <w:szCs w:val="20"/>
              </w:rPr>
            </w:pPr>
            <w:r>
              <w:rPr>
                <w:b/>
                <w:color w:val="000000"/>
                <w:sz w:val="20"/>
                <w:szCs w:val="20"/>
              </w:rPr>
              <w:t>0.15 (0.09)*</w:t>
            </w:r>
          </w:p>
        </w:tc>
      </w:tr>
    </w:tbl>
    <w:p w:rsidR="00E6467A" w:rsidRDefault="007A5689">
      <w:pPr>
        <w:widowControl w:val="0"/>
        <w:spacing w:line="276" w:lineRule="auto"/>
        <w:jc w:val="both"/>
        <w:rPr>
          <w:color w:val="000000"/>
          <w:sz w:val="18"/>
          <w:szCs w:val="18"/>
        </w:rPr>
      </w:pPr>
      <w:r>
        <w:rPr>
          <w:color w:val="000000"/>
          <w:sz w:val="18"/>
          <w:szCs w:val="18"/>
        </w:rPr>
        <w:t>SNP-based heritabilities were estimated using LD score regression with h</w:t>
      </w:r>
      <w:r>
        <w:rPr>
          <w:color w:val="000000"/>
          <w:sz w:val="18"/>
          <w:szCs w:val="18"/>
          <w:vertAlign w:val="superscript"/>
        </w:rPr>
        <w:t>2</w:t>
      </w:r>
      <w:r>
        <w:rPr>
          <w:color w:val="000000"/>
          <w:sz w:val="18"/>
          <w:szCs w:val="18"/>
        </w:rPr>
        <w:t xml:space="preserve"> intercepts constrained to 1. Bolded estimates show those that are significantly greater than 0, *p &lt; 0.05, ** p &lt; 0.01. Standard errors are in parentheses.</w:t>
      </w: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b/>
          <w:color w:val="000000"/>
          <w:sz w:val="22"/>
          <w:szCs w:val="22"/>
        </w:rPr>
        <w:t>Table 5:</w:t>
      </w:r>
      <w:r>
        <w:rPr>
          <w:color w:val="000000"/>
          <w:sz w:val="22"/>
          <w:szCs w:val="22"/>
        </w:rPr>
        <w:t xml:space="preserve"> Associations be</w:t>
      </w:r>
      <w:r>
        <w:rPr>
          <w:color w:val="000000"/>
          <w:sz w:val="22"/>
          <w:szCs w:val="22"/>
        </w:rPr>
        <w:t>tween rs9529641 and all nine GWAS phenotypes.</w:t>
      </w:r>
    </w:p>
    <w:tbl>
      <w:tblPr>
        <w:tblStyle w:val="a3"/>
        <w:tblW w:w="8131" w:type="dxa"/>
        <w:tblBorders>
          <w:top w:val="nil"/>
          <w:left w:val="nil"/>
          <w:bottom w:val="nil"/>
          <w:right w:val="nil"/>
          <w:insideH w:val="nil"/>
          <w:insideV w:val="nil"/>
        </w:tblBorders>
        <w:tblLayout w:type="fixed"/>
        <w:tblLook w:val="0400" w:firstRow="0" w:lastRow="0" w:firstColumn="0" w:lastColumn="0" w:noHBand="0" w:noVBand="1"/>
      </w:tblPr>
      <w:tblGrid>
        <w:gridCol w:w="2031"/>
        <w:gridCol w:w="2032"/>
        <w:gridCol w:w="2034"/>
        <w:gridCol w:w="2034"/>
      </w:tblGrid>
      <w:tr w:rsidR="00E6467A">
        <w:trPr>
          <w:trHeight w:val="75"/>
        </w:trPr>
        <w:tc>
          <w:tcPr>
            <w:tcW w:w="2032" w:type="dxa"/>
            <w:tcBorders>
              <w:top w:val="single" w:sz="4" w:space="0" w:color="000000"/>
              <w:bottom w:val="single" w:sz="4" w:space="0" w:color="000000"/>
            </w:tcBorders>
            <w:vAlign w:val="center"/>
          </w:tcPr>
          <w:p w:rsidR="00E6467A" w:rsidRDefault="007A5689">
            <w:pPr>
              <w:widowControl w:val="0"/>
              <w:spacing w:line="360" w:lineRule="auto"/>
              <w:jc w:val="center"/>
              <w:rPr>
                <w:color w:val="000000"/>
                <w:sz w:val="22"/>
                <w:szCs w:val="22"/>
              </w:rPr>
            </w:pPr>
            <w:r>
              <w:rPr>
                <w:color w:val="000000"/>
                <w:sz w:val="22"/>
                <w:szCs w:val="22"/>
              </w:rPr>
              <w:t>GWAS</w:t>
            </w:r>
          </w:p>
        </w:tc>
        <w:tc>
          <w:tcPr>
            <w:tcW w:w="2032" w:type="dxa"/>
            <w:tcBorders>
              <w:top w:val="single" w:sz="4" w:space="0" w:color="000000"/>
              <w:bottom w:val="single" w:sz="4" w:space="0" w:color="000000"/>
            </w:tcBorders>
            <w:vAlign w:val="center"/>
          </w:tcPr>
          <w:p w:rsidR="00E6467A" w:rsidRDefault="007A5689">
            <w:pPr>
              <w:widowControl w:val="0"/>
              <w:spacing w:line="360" w:lineRule="auto"/>
              <w:jc w:val="center"/>
              <w:rPr>
                <w:color w:val="000000"/>
                <w:sz w:val="22"/>
                <w:szCs w:val="22"/>
              </w:rPr>
            </w:pPr>
            <w:r>
              <w:rPr>
                <w:color w:val="000000"/>
                <w:sz w:val="22"/>
                <w:szCs w:val="22"/>
              </w:rPr>
              <w:t>Beta</w:t>
            </w:r>
          </w:p>
        </w:tc>
        <w:tc>
          <w:tcPr>
            <w:tcW w:w="2034" w:type="dxa"/>
            <w:tcBorders>
              <w:top w:val="single" w:sz="4" w:space="0" w:color="000000"/>
              <w:bottom w:val="single" w:sz="4" w:space="0" w:color="000000"/>
            </w:tcBorders>
            <w:vAlign w:val="center"/>
          </w:tcPr>
          <w:p w:rsidR="00E6467A" w:rsidRDefault="007A5689">
            <w:pPr>
              <w:widowControl w:val="0"/>
              <w:spacing w:line="360" w:lineRule="auto"/>
              <w:jc w:val="center"/>
              <w:rPr>
                <w:color w:val="000000"/>
                <w:sz w:val="22"/>
                <w:szCs w:val="22"/>
              </w:rPr>
            </w:pPr>
            <w:r>
              <w:rPr>
                <w:color w:val="000000"/>
                <w:sz w:val="22"/>
                <w:szCs w:val="22"/>
              </w:rPr>
              <w:t>SE</w:t>
            </w:r>
          </w:p>
        </w:tc>
        <w:tc>
          <w:tcPr>
            <w:tcW w:w="2034" w:type="dxa"/>
            <w:tcBorders>
              <w:top w:val="single" w:sz="4" w:space="0" w:color="000000"/>
              <w:bottom w:val="single" w:sz="4" w:space="0" w:color="000000"/>
            </w:tcBorders>
            <w:vAlign w:val="center"/>
          </w:tcPr>
          <w:p w:rsidR="00E6467A" w:rsidRDefault="007A5689">
            <w:pPr>
              <w:widowControl w:val="0"/>
              <w:spacing w:line="360" w:lineRule="auto"/>
              <w:jc w:val="center"/>
              <w:rPr>
                <w:color w:val="000000"/>
                <w:sz w:val="22"/>
                <w:szCs w:val="22"/>
              </w:rPr>
            </w:pPr>
            <w:r>
              <w:rPr>
                <w:color w:val="000000"/>
                <w:sz w:val="22"/>
                <w:szCs w:val="22"/>
              </w:rPr>
              <w:t>P-value</w:t>
            </w:r>
          </w:p>
        </w:tc>
      </w:tr>
      <w:tr w:rsidR="00E6467A">
        <w:trPr>
          <w:trHeight w:val="73"/>
        </w:trPr>
        <w:tc>
          <w:tcPr>
            <w:tcW w:w="2032" w:type="dxa"/>
            <w:tcBorders>
              <w:top w:val="single" w:sz="4" w:space="0" w:color="000000"/>
            </w:tcBorders>
            <w:vAlign w:val="center"/>
          </w:tcPr>
          <w:p w:rsidR="00E6467A" w:rsidRDefault="007A5689">
            <w:pPr>
              <w:widowControl w:val="0"/>
              <w:spacing w:line="276" w:lineRule="auto"/>
              <w:jc w:val="center"/>
              <w:rPr>
                <w:b/>
                <w:color w:val="000000"/>
                <w:sz w:val="20"/>
                <w:szCs w:val="20"/>
              </w:rPr>
            </w:pPr>
            <w:r>
              <w:rPr>
                <w:b/>
                <w:color w:val="000000"/>
                <w:sz w:val="20"/>
                <w:szCs w:val="20"/>
              </w:rPr>
              <w:t>Science</w:t>
            </w:r>
          </w:p>
        </w:tc>
        <w:tc>
          <w:tcPr>
            <w:tcW w:w="2032" w:type="dxa"/>
            <w:tcBorders>
              <w:top w:val="single" w:sz="4" w:space="0" w:color="000000"/>
            </w:tcBorders>
            <w:vAlign w:val="center"/>
          </w:tcPr>
          <w:p w:rsidR="00E6467A" w:rsidRDefault="007A5689">
            <w:pPr>
              <w:widowControl w:val="0"/>
              <w:spacing w:line="276" w:lineRule="auto"/>
              <w:jc w:val="center"/>
              <w:rPr>
                <w:b/>
                <w:color w:val="000000"/>
                <w:sz w:val="20"/>
                <w:szCs w:val="20"/>
              </w:rPr>
            </w:pPr>
            <w:r>
              <w:rPr>
                <w:b/>
                <w:color w:val="000000"/>
                <w:sz w:val="20"/>
                <w:szCs w:val="20"/>
              </w:rPr>
              <w:t>0.12</w:t>
            </w:r>
          </w:p>
        </w:tc>
        <w:tc>
          <w:tcPr>
            <w:tcW w:w="2034" w:type="dxa"/>
            <w:tcBorders>
              <w:top w:val="single" w:sz="4" w:space="0" w:color="000000"/>
            </w:tcBorders>
            <w:vAlign w:val="center"/>
          </w:tcPr>
          <w:p w:rsidR="00E6467A" w:rsidRDefault="007A5689">
            <w:pPr>
              <w:widowControl w:val="0"/>
              <w:spacing w:line="276" w:lineRule="auto"/>
              <w:jc w:val="center"/>
              <w:rPr>
                <w:b/>
                <w:color w:val="000000"/>
                <w:sz w:val="20"/>
                <w:szCs w:val="20"/>
              </w:rPr>
            </w:pPr>
            <w:r>
              <w:rPr>
                <w:b/>
                <w:color w:val="000000"/>
                <w:sz w:val="20"/>
                <w:szCs w:val="20"/>
              </w:rPr>
              <w:t>0.021</w:t>
            </w:r>
          </w:p>
        </w:tc>
        <w:tc>
          <w:tcPr>
            <w:tcW w:w="2034" w:type="dxa"/>
            <w:tcBorders>
              <w:top w:val="single" w:sz="4" w:space="0" w:color="000000"/>
            </w:tcBorders>
            <w:vAlign w:val="center"/>
          </w:tcPr>
          <w:p w:rsidR="00E6467A" w:rsidRDefault="007A5689">
            <w:pPr>
              <w:widowControl w:val="0"/>
              <w:spacing w:line="276" w:lineRule="auto"/>
              <w:jc w:val="center"/>
              <w:rPr>
                <w:b/>
                <w:color w:val="000000"/>
                <w:sz w:val="20"/>
                <w:szCs w:val="20"/>
              </w:rPr>
            </w:pPr>
            <w:r>
              <w:rPr>
                <w:b/>
                <w:color w:val="000000"/>
                <w:sz w:val="20"/>
                <w:szCs w:val="20"/>
              </w:rPr>
              <w:t>4.86 x 10</w:t>
            </w:r>
            <w:r>
              <w:rPr>
                <w:b/>
                <w:color w:val="000000"/>
                <w:sz w:val="20"/>
                <w:szCs w:val="20"/>
                <w:vertAlign w:val="superscript"/>
              </w:rPr>
              <w:t>-08</w:t>
            </w:r>
          </w:p>
        </w:tc>
      </w:tr>
      <w:tr w:rsidR="00E6467A">
        <w:trPr>
          <w:trHeight w:val="111"/>
        </w:trPr>
        <w:tc>
          <w:tcPr>
            <w:tcW w:w="2032" w:type="dxa"/>
            <w:vAlign w:val="center"/>
          </w:tcPr>
          <w:p w:rsidR="00E6467A" w:rsidRDefault="007A5689">
            <w:pPr>
              <w:widowControl w:val="0"/>
              <w:spacing w:line="276" w:lineRule="auto"/>
              <w:jc w:val="center"/>
              <w:rPr>
                <w:color w:val="000000"/>
                <w:sz w:val="20"/>
                <w:szCs w:val="20"/>
              </w:rPr>
            </w:pPr>
            <w:r>
              <w:rPr>
                <w:color w:val="000000"/>
                <w:sz w:val="20"/>
                <w:szCs w:val="20"/>
              </w:rPr>
              <w:t>Maths</w:t>
            </w:r>
          </w:p>
        </w:tc>
        <w:tc>
          <w:tcPr>
            <w:tcW w:w="2032" w:type="dxa"/>
            <w:vAlign w:val="center"/>
          </w:tcPr>
          <w:p w:rsidR="00E6467A" w:rsidRDefault="007A5689">
            <w:pPr>
              <w:widowControl w:val="0"/>
              <w:spacing w:line="276" w:lineRule="auto"/>
              <w:jc w:val="center"/>
              <w:rPr>
                <w:color w:val="000000"/>
                <w:sz w:val="20"/>
                <w:szCs w:val="20"/>
              </w:rPr>
            </w:pPr>
            <w:r>
              <w:rPr>
                <w:color w:val="000000"/>
                <w:sz w:val="20"/>
                <w:szCs w:val="20"/>
              </w:rPr>
              <w:t>0.09</w:t>
            </w:r>
          </w:p>
        </w:tc>
        <w:tc>
          <w:tcPr>
            <w:tcW w:w="2034" w:type="dxa"/>
            <w:vAlign w:val="center"/>
          </w:tcPr>
          <w:p w:rsidR="00E6467A" w:rsidRDefault="007A5689">
            <w:pPr>
              <w:widowControl w:val="0"/>
              <w:spacing w:line="276" w:lineRule="auto"/>
              <w:jc w:val="center"/>
              <w:rPr>
                <w:color w:val="000000"/>
                <w:sz w:val="20"/>
                <w:szCs w:val="20"/>
              </w:rPr>
            </w:pPr>
            <w:r>
              <w:rPr>
                <w:color w:val="000000"/>
                <w:sz w:val="20"/>
                <w:szCs w:val="20"/>
              </w:rPr>
              <w:t>0.021</w:t>
            </w:r>
          </w:p>
        </w:tc>
        <w:tc>
          <w:tcPr>
            <w:tcW w:w="2034" w:type="dxa"/>
            <w:vAlign w:val="center"/>
          </w:tcPr>
          <w:p w:rsidR="00E6467A" w:rsidRDefault="007A5689">
            <w:pPr>
              <w:widowControl w:val="0"/>
              <w:spacing w:line="276" w:lineRule="auto"/>
              <w:jc w:val="center"/>
              <w:rPr>
                <w:color w:val="000000"/>
                <w:sz w:val="20"/>
                <w:szCs w:val="20"/>
              </w:rPr>
            </w:pPr>
            <w:r>
              <w:rPr>
                <w:color w:val="000000"/>
                <w:sz w:val="20"/>
                <w:szCs w:val="20"/>
              </w:rPr>
              <w:t>4.59x 10</w:t>
            </w:r>
            <w:r>
              <w:rPr>
                <w:color w:val="000000"/>
                <w:sz w:val="20"/>
                <w:szCs w:val="20"/>
                <w:vertAlign w:val="superscript"/>
              </w:rPr>
              <w:t>-05</w:t>
            </w:r>
          </w:p>
        </w:tc>
      </w:tr>
      <w:tr w:rsidR="00E6467A">
        <w:trPr>
          <w:trHeight w:val="117"/>
        </w:trPr>
        <w:tc>
          <w:tcPr>
            <w:tcW w:w="2032"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English</w:t>
            </w:r>
          </w:p>
        </w:tc>
        <w:tc>
          <w:tcPr>
            <w:tcW w:w="2032"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0.05</w:t>
            </w:r>
          </w:p>
        </w:tc>
        <w:tc>
          <w:tcPr>
            <w:tcW w:w="2034"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0.021</w:t>
            </w:r>
          </w:p>
        </w:tc>
        <w:tc>
          <w:tcPr>
            <w:tcW w:w="2034"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0.011</w:t>
            </w:r>
          </w:p>
        </w:tc>
      </w:tr>
      <w:tr w:rsidR="00E6467A">
        <w:trPr>
          <w:trHeight w:val="141"/>
        </w:trPr>
        <w:tc>
          <w:tcPr>
            <w:tcW w:w="2032" w:type="dxa"/>
            <w:tcBorders>
              <w:top w:val="single" w:sz="4" w:space="0" w:color="000000"/>
            </w:tcBorders>
            <w:vAlign w:val="center"/>
          </w:tcPr>
          <w:p w:rsidR="00E6467A" w:rsidRDefault="007A5689">
            <w:pPr>
              <w:widowControl w:val="0"/>
              <w:spacing w:line="276" w:lineRule="auto"/>
              <w:jc w:val="center"/>
              <w:rPr>
                <w:b/>
                <w:color w:val="000000"/>
                <w:sz w:val="20"/>
                <w:szCs w:val="20"/>
              </w:rPr>
            </w:pPr>
            <w:r>
              <w:rPr>
                <w:b/>
                <w:color w:val="000000"/>
                <w:sz w:val="20"/>
                <w:szCs w:val="20"/>
              </w:rPr>
              <w:t>AA reg Science</w:t>
            </w:r>
          </w:p>
        </w:tc>
        <w:tc>
          <w:tcPr>
            <w:tcW w:w="2032" w:type="dxa"/>
            <w:tcBorders>
              <w:top w:val="single" w:sz="4" w:space="0" w:color="000000"/>
            </w:tcBorders>
            <w:vAlign w:val="center"/>
          </w:tcPr>
          <w:p w:rsidR="00E6467A" w:rsidRDefault="007A5689">
            <w:pPr>
              <w:widowControl w:val="0"/>
              <w:spacing w:line="276" w:lineRule="auto"/>
              <w:jc w:val="center"/>
              <w:rPr>
                <w:b/>
                <w:color w:val="000000"/>
                <w:sz w:val="20"/>
                <w:szCs w:val="20"/>
              </w:rPr>
            </w:pPr>
            <w:r>
              <w:rPr>
                <w:b/>
                <w:color w:val="000000"/>
                <w:sz w:val="20"/>
                <w:szCs w:val="20"/>
              </w:rPr>
              <w:t>0.07</w:t>
            </w:r>
          </w:p>
        </w:tc>
        <w:tc>
          <w:tcPr>
            <w:tcW w:w="2034" w:type="dxa"/>
            <w:tcBorders>
              <w:top w:val="single" w:sz="4" w:space="0" w:color="000000"/>
            </w:tcBorders>
            <w:vAlign w:val="center"/>
          </w:tcPr>
          <w:p w:rsidR="00E6467A" w:rsidRDefault="007A5689">
            <w:pPr>
              <w:widowControl w:val="0"/>
              <w:spacing w:line="276" w:lineRule="auto"/>
              <w:jc w:val="center"/>
              <w:rPr>
                <w:b/>
                <w:color w:val="000000"/>
                <w:sz w:val="20"/>
                <w:szCs w:val="20"/>
              </w:rPr>
            </w:pPr>
            <w:r>
              <w:rPr>
                <w:b/>
                <w:color w:val="000000"/>
                <w:sz w:val="20"/>
                <w:szCs w:val="20"/>
              </w:rPr>
              <w:t>0.021</w:t>
            </w:r>
          </w:p>
        </w:tc>
        <w:tc>
          <w:tcPr>
            <w:tcW w:w="2034" w:type="dxa"/>
            <w:tcBorders>
              <w:top w:val="single" w:sz="4" w:space="0" w:color="000000"/>
            </w:tcBorders>
            <w:vAlign w:val="center"/>
          </w:tcPr>
          <w:p w:rsidR="00E6467A" w:rsidRDefault="007A5689">
            <w:pPr>
              <w:widowControl w:val="0"/>
              <w:spacing w:line="276" w:lineRule="auto"/>
              <w:jc w:val="center"/>
              <w:rPr>
                <w:b/>
                <w:color w:val="000000"/>
                <w:sz w:val="20"/>
                <w:szCs w:val="20"/>
              </w:rPr>
            </w:pPr>
            <w:r>
              <w:rPr>
                <w:b/>
                <w:color w:val="000000"/>
                <w:sz w:val="20"/>
                <w:szCs w:val="20"/>
              </w:rPr>
              <w:t>0.001</w:t>
            </w:r>
          </w:p>
        </w:tc>
      </w:tr>
      <w:tr w:rsidR="00E6467A">
        <w:trPr>
          <w:trHeight w:val="83"/>
        </w:trPr>
        <w:tc>
          <w:tcPr>
            <w:tcW w:w="2032" w:type="dxa"/>
            <w:vAlign w:val="center"/>
          </w:tcPr>
          <w:p w:rsidR="00E6467A" w:rsidRDefault="007A5689">
            <w:pPr>
              <w:widowControl w:val="0"/>
              <w:spacing w:line="276" w:lineRule="auto"/>
              <w:jc w:val="center"/>
              <w:rPr>
                <w:color w:val="000000"/>
                <w:sz w:val="20"/>
                <w:szCs w:val="20"/>
              </w:rPr>
            </w:pPr>
            <w:r>
              <w:rPr>
                <w:color w:val="000000"/>
                <w:sz w:val="20"/>
                <w:szCs w:val="20"/>
              </w:rPr>
              <w:t>AA reg Maths</w:t>
            </w:r>
          </w:p>
        </w:tc>
        <w:tc>
          <w:tcPr>
            <w:tcW w:w="2032" w:type="dxa"/>
            <w:vAlign w:val="center"/>
          </w:tcPr>
          <w:p w:rsidR="00E6467A" w:rsidRDefault="007A5689">
            <w:pPr>
              <w:widowControl w:val="0"/>
              <w:spacing w:line="276" w:lineRule="auto"/>
              <w:jc w:val="center"/>
              <w:rPr>
                <w:color w:val="000000"/>
                <w:sz w:val="20"/>
                <w:szCs w:val="20"/>
              </w:rPr>
            </w:pPr>
            <w:r>
              <w:rPr>
                <w:color w:val="000000"/>
                <w:sz w:val="20"/>
                <w:szCs w:val="20"/>
              </w:rPr>
              <w:t>0.01</w:t>
            </w:r>
          </w:p>
        </w:tc>
        <w:tc>
          <w:tcPr>
            <w:tcW w:w="2034" w:type="dxa"/>
            <w:vAlign w:val="center"/>
          </w:tcPr>
          <w:p w:rsidR="00E6467A" w:rsidRDefault="007A5689">
            <w:pPr>
              <w:widowControl w:val="0"/>
              <w:spacing w:line="276" w:lineRule="auto"/>
              <w:jc w:val="center"/>
              <w:rPr>
                <w:color w:val="000000"/>
                <w:sz w:val="20"/>
                <w:szCs w:val="20"/>
              </w:rPr>
            </w:pPr>
            <w:r>
              <w:rPr>
                <w:color w:val="000000"/>
                <w:sz w:val="20"/>
                <w:szCs w:val="20"/>
              </w:rPr>
              <w:t>0.021</w:t>
            </w:r>
          </w:p>
        </w:tc>
        <w:tc>
          <w:tcPr>
            <w:tcW w:w="2034" w:type="dxa"/>
            <w:vAlign w:val="center"/>
          </w:tcPr>
          <w:p w:rsidR="00E6467A" w:rsidRDefault="007A5689">
            <w:pPr>
              <w:widowControl w:val="0"/>
              <w:spacing w:line="276" w:lineRule="auto"/>
              <w:jc w:val="center"/>
              <w:rPr>
                <w:color w:val="000000"/>
                <w:sz w:val="20"/>
                <w:szCs w:val="20"/>
              </w:rPr>
            </w:pPr>
            <w:r>
              <w:rPr>
                <w:color w:val="000000"/>
                <w:sz w:val="20"/>
                <w:szCs w:val="20"/>
              </w:rPr>
              <w:t>0.539</w:t>
            </w:r>
          </w:p>
        </w:tc>
      </w:tr>
      <w:tr w:rsidR="00E6467A">
        <w:trPr>
          <w:trHeight w:val="83"/>
        </w:trPr>
        <w:tc>
          <w:tcPr>
            <w:tcW w:w="2032"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AA reg English</w:t>
            </w:r>
          </w:p>
        </w:tc>
        <w:tc>
          <w:tcPr>
            <w:tcW w:w="2032"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-0.03</w:t>
            </w:r>
          </w:p>
        </w:tc>
        <w:tc>
          <w:tcPr>
            <w:tcW w:w="2034"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0.021</w:t>
            </w:r>
          </w:p>
        </w:tc>
        <w:tc>
          <w:tcPr>
            <w:tcW w:w="2034"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0.252</w:t>
            </w:r>
          </w:p>
        </w:tc>
      </w:tr>
      <w:tr w:rsidR="00E6467A">
        <w:trPr>
          <w:trHeight w:val="83"/>
        </w:trPr>
        <w:tc>
          <w:tcPr>
            <w:tcW w:w="2032" w:type="dxa"/>
            <w:tcBorders>
              <w:top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IQ reg Science</w:t>
            </w:r>
          </w:p>
        </w:tc>
        <w:tc>
          <w:tcPr>
            <w:tcW w:w="2032" w:type="dxa"/>
            <w:tcBorders>
              <w:top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0.08</w:t>
            </w:r>
          </w:p>
        </w:tc>
        <w:tc>
          <w:tcPr>
            <w:tcW w:w="2034" w:type="dxa"/>
            <w:tcBorders>
              <w:top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0.029</w:t>
            </w:r>
          </w:p>
        </w:tc>
        <w:tc>
          <w:tcPr>
            <w:tcW w:w="2034" w:type="dxa"/>
            <w:tcBorders>
              <w:top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0.010</w:t>
            </w:r>
          </w:p>
        </w:tc>
      </w:tr>
      <w:tr w:rsidR="00E6467A">
        <w:trPr>
          <w:trHeight w:val="83"/>
        </w:trPr>
        <w:tc>
          <w:tcPr>
            <w:tcW w:w="2032" w:type="dxa"/>
            <w:vAlign w:val="center"/>
          </w:tcPr>
          <w:p w:rsidR="00E6467A" w:rsidRDefault="007A5689">
            <w:pPr>
              <w:widowControl w:val="0"/>
              <w:spacing w:line="276" w:lineRule="auto"/>
              <w:jc w:val="center"/>
              <w:rPr>
                <w:color w:val="000000"/>
                <w:sz w:val="20"/>
                <w:szCs w:val="20"/>
              </w:rPr>
            </w:pPr>
            <w:r>
              <w:rPr>
                <w:color w:val="000000"/>
                <w:sz w:val="20"/>
                <w:szCs w:val="20"/>
              </w:rPr>
              <w:t>IQ reg Maths</w:t>
            </w:r>
          </w:p>
        </w:tc>
        <w:tc>
          <w:tcPr>
            <w:tcW w:w="2032" w:type="dxa"/>
            <w:vAlign w:val="center"/>
          </w:tcPr>
          <w:p w:rsidR="00E6467A" w:rsidRDefault="007A5689">
            <w:pPr>
              <w:widowControl w:val="0"/>
              <w:spacing w:line="276" w:lineRule="auto"/>
              <w:jc w:val="center"/>
              <w:rPr>
                <w:color w:val="000000"/>
                <w:sz w:val="20"/>
                <w:szCs w:val="20"/>
              </w:rPr>
            </w:pPr>
            <w:r>
              <w:rPr>
                <w:color w:val="000000"/>
                <w:sz w:val="20"/>
                <w:szCs w:val="20"/>
              </w:rPr>
              <w:t>0.04</w:t>
            </w:r>
          </w:p>
        </w:tc>
        <w:tc>
          <w:tcPr>
            <w:tcW w:w="2034" w:type="dxa"/>
            <w:vAlign w:val="center"/>
          </w:tcPr>
          <w:p w:rsidR="00E6467A" w:rsidRDefault="007A5689">
            <w:pPr>
              <w:widowControl w:val="0"/>
              <w:spacing w:line="276" w:lineRule="auto"/>
              <w:jc w:val="center"/>
              <w:rPr>
                <w:color w:val="000000"/>
                <w:sz w:val="20"/>
                <w:szCs w:val="20"/>
              </w:rPr>
            </w:pPr>
            <w:r>
              <w:rPr>
                <w:color w:val="000000"/>
                <w:sz w:val="20"/>
                <w:szCs w:val="20"/>
              </w:rPr>
              <w:t>0.029</w:t>
            </w:r>
          </w:p>
        </w:tc>
        <w:tc>
          <w:tcPr>
            <w:tcW w:w="2034" w:type="dxa"/>
            <w:vAlign w:val="center"/>
          </w:tcPr>
          <w:p w:rsidR="00E6467A" w:rsidRDefault="007A5689">
            <w:pPr>
              <w:widowControl w:val="0"/>
              <w:spacing w:line="276" w:lineRule="auto"/>
              <w:jc w:val="center"/>
              <w:rPr>
                <w:color w:val="000000"/>
                <w:sz w:val="20"/>
                <w:szCs w:val="20"/>
              </w:rPr>
            </w:pPr>
            <w:r>
              <w:rPr>
                <w:color w:val="000000"/>
                <w:sz w:val="20"/>
                <w:szCs w:val="20"/>
              </w:rPr>
              <w:t>0.146</w:t>
            </w:r>
          </w:p>
        </w:tc>
      </w:tr>
      <w:tr w:rsidR="00E6467A">
        <w:trPr>
          <w:trHeight w:val="83"/>
        </w:trPr>
        <w:tc>
          <w:tcPr>
            <w:tcW w:w="2032"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IQ reg English</w:t>
            </w:r>
          </w:p>
        </w:tc>
        <w:tc>
          <w:tcPr>
            <w:tcW w:w="2032"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0.01</w:t>
            </w:r>
          </w:p>
        </w:tc>
        <w:tc>
          <w:tcPr>
            <w:tcW w:w="2034"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0.029</w:t>
            </w:r>
          </w:p>
        </w:tc>
        <w:tc>
          <w:tcPr>
            <w:tcW w:w="2034" w:type="dxa"/>
            <w:tcBorders>
              <w:bottom w:val="single" w:sz="4" w:space="0" w:color="000000"/>
            </w:tcBorders>
            <w:vAlign w:val="center"/>
          </w:tcPr>
          <w:p w:rsidR="00E6467A" w:rsidRDefault="007A5689">
            <w:pPr>
              <w:widowControl w:val="0"/>
              <w:spacing w:line="276" w:lineRule="auto"/>
              <w:jc w:val="center"/>
              <w:rPr>
                <w:color w:val="000000"/>
                <w:sz w:val="20"/>
                <w:szCs w:val="20"/>
              </w:rPr>
            </w:pPr>
            <w:r>
              <w:rPr>
                <w:color w:val="000000"/>
                <w:sz w:val="20"/>
                <w:szCs w:val="20"/>
              </w:rPr>
              <w:t>0.787</w:t>
            </w:r>
          </w:p>
        </w:tc>
      </w:tr>
    </w:tbl>
    <w:p w:rsidR="00E6467A" w:rsidRDefault="007A5689">
      <w:pPr>
        <w:widowControl w:val="0"/>
        <w:jc w:val="both"/>
        <w:rPr>
          <w:color w:val="000000"/>
          <w:sz w:val="22"/>
          <w:szCs w:val="22"/>
        </w:rPr>
      </w:pPr>
      <w:r>
        <w:rPr>
          <w:color w:val="000000"/>
          <w:sz w:val="22"/>
          <w:szCs w:val="22"/>
        </w:rPr>
        <w:t xml:space="preserve">Bolded figures show significant associations. For the first set of analyses genome-wide significance is p </w:t>
      </w:r>
      <m:oMath>
        <m:r>
          <w:rPr>
            <w:rFonts w:ascii="Cambria Math" w:hAnsi="Cambria Math"/>
          </w:rPr>
          <m:t>≤</m:t>
        </m:r>
      </m:oMath>
      <w:r>
        <w:rPr>
          <w:color w:val="000000"/>
          <w:sz w:val="22"/>
          <w:szCs w:val="22"/>
        </w:rPr>
        <w:t xml:space="preserve"> 5 x 10</w:t>
      </w:r>
      <w:r>
        <w:rPr>
          <w:color w:val="000000"/>
          <w:sz w:val="22"/>
          <w:szCs w:val="22"/>
          <w:vertAlign w:val="superscript"/>
        </w:rPr>
        <w:t>-8</w:t>
      </w:r>
      <w:r>
        <w:rPr>
          <w:color w:val="000000"/>
          <w:sz w:val="22"/>
          <w:szCs w:val="22"/>
        </w:rPr>
        <w:t xml:space="preserve">.  Subsequent tests were hypothesis driven and therefore Bonferroni corrected to p </w:t>
      </w:r>
      <m:oMath>
        <m:r>
          <w:rPr>
            <w:rFonts w:ascii="Cambria Math" w:hAnsi="Cambria Math"/>
          </w:rPr>
          <m:t>≤</m:t>
        </m:r>
      </m:oMath>
      <w:r>
        <w:rPr>
          <w:color w:val="000000"/>
          <w:sz w:val="22"/>
          <w:szCs w:val="22"/>
        </w:rPr>
        <w:t xml:space="preserve"> 0.008 (0.05/6)</w:t>
      </w:r>
    </w:p>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p w:rsidR="00E6467A" w:rsidRDefault="007A5689">
      <w:pPr>
        <w:widowControl w:val="0"/>
        <w:spacing w:line="360" w:lineRule="auto"/>
        <w:jc w:val="both"/>
        <w:rPr>
          <w:color w:val="000000"/>
          <w:sz w:val="22"/>
          <w:szCs w:val="22"/>
        </w:rPr>
      </w:pPr>
      <w:r>
        <w:rPr>
          <w:b/>
          <w:color w:val="000000"/>
          <w:sz w:val="22"/>
          <w:szCs w:val="22"/>
        </w:rPr>
        <w:t>Table 6:</w:t>
      </w:r>
      <w:r>
        <w:rPr>
          <w:color w:val="000000"/>
          <w:sz w:val="22"/>
          <w:szCs w:val="22"/>
        </w:rPr>
        <w:t xml:space="preserve"> LDSC-based genetic correlations between English, maths and science and 13 related educational and psychological traits. See </w:t>
      </w:r>
      <w:r>
        <w:rPr>
          <w:b/>
          <w:color w:val="000000"/>
          <w:sz w:val="22"/>
          <w:szCs w:val="22"/>
        </w:rPr>
        <w:t>Supplementary Table S</w:t>
      </w:r>
      <w:r>
        <w:rPr>
          <w:b/>
          <w:color w:val="000000"/>
          <w:sz w:val="22"/>
          <w:szCs w:val="22"/>
        </w:rPr>
        <w:t>8</w:t>
      </w:r>
      <w:r>
        <w:rPr>
          <w:color w:val="000000"/>
          <w:sz w:val="22"/>
          <w:szCs w:val="22"/>
        </w:rPr>
        <w:t xml:space="preserve"> for more details.</w:t>
      </w:r>
    </w:p>
    <w:tbl>
      <w:tblPr>
        <w:tblStyle w:val="a4"/>
        <w:tblW w:w="7970" w:type="dxa"/>
        <w:tblLayout w:type="fixed"/>
        <w:tblLook w:val="0400" w:firstRow="0" w:lastRow="0" w:firstColumn="0" w:lastColumn="0" w:noHBand="0" w:noVBand="1"/>
      </w:tblPr>
      <w:tblGrid>
        <w:gridCol w:w="860"/>
        <w:gridCol w:w="546"/>
        <w:gridCol w:w="547"/>
        <w:gridCol w:w="547"/>
        <w:gridCol w:w="547"/>
        <w:gridCol w:w="547"/>
        <w:gridCol w:w="547"/>
        <w:gridCol w:w="547"/>
        <w:gridCol w:w="547"/>
        <w:gridCol w:w="547"/>
        <w:gridCol w:w="547"/>
        <w:gridCol w:w="547"/>
        <w:gridCol w:w="547"/>
        <w:gridCol w:w="547"/>
      </w:tblGrid>
      <w:tr w:rsidR="00E6467A">
        <w:trPr>
          <w:trHeight w:val="1757"/>
        </w:trPr>
        <w:tc>
          <w:tcPr>
            <w:tcW w:w="860" w:type="dxa"/>
            <w:tcBorders>
              <w:top w:val="single" w:sz="4" w:space="0" w:color="000000"/>
              <w:left w:val="nil"/>
              <w:bottom w:val="nil"/>
              <w:right w:val="nil"/>
            </w:tcBorders>
            <w:shd w:val="clear" w:color="auto" w:fill="FFFFFF"/>
            <w:tcMar>
              <w:left w:w="28" w:type="dxa"/>
              <w:right w:w="28" w:type="dxa"/>
            </w:tcMar>
            <w:vAlign w:val="bottom"/>
          </w:tcPr>
          <w:p w:rsidR="00E6467A" w:rsidRDefault="007A5689">
            <w:pPr>
              <w:jc w:val="center"/>
              <w:rPr>
                <w:color w:val="000000"/>
                <w:sz w:val="18"/>
                <w:szCs w:val="18"/>
              </w:rPr>
            </w:pPr>
            <w:r>
              <w:rPr>
                <w:color w:val="000000"/>
                <w:sz w:val="18"/>
                <w:szCs w:val="18"/>
              </w:rPr>
              <w:t>r</w:t>
            </w:r>
            <w:r>
              <w:rPr>
                <w:color w:val="000000"/>
                <w:sz w:val="18"/>
                <w:szCs w:val="18"/>
                <w:vertAlign w:val="subscript"/>
              </w:rPr>
              <w:t>G</w:t>
            </w:r>
          </w:p>
        </w:tc>
        <w:tc>
          <w:tcPr>
            <w:tcW w:w="546" w:type="dxa"/>
            <w:tcBorders>
              <w:top w:val="single" w:sz="4" w:space="0" w:color="000000"/>
              <w:left w:val="nil"/>
              <w:bottom w:val="nil"/>
              <w:right w:val="nil"/>
            </w:tcBorders>
            <w:shd w:val="clear" w:color="auto" w:fill="FFFFFF"/>
            <w:tcMar>
              <w:left w:w="28" w:type="dxa"/>
              <w:right w:w="28" w:type="dxa"/>
            </w:tcMar>
          </w:tcPr>
          <w:p w:rsidR="00E6467A" w:rsidRDefault="007A5689">
            <w:pPr>
              <w:rPr>
                <w:b/>
                <w:color w:val="000000"/>
                <w:sz w:val="18"/>
                <w:szCs w:val="18"/>
                <w:u w:val="single"/>
              </w:rPr>
            </w:pPr>
            <w:r>
              <w:rPr>
                <w:color w:val="000000"/>
                <w:sz w:val="18"/>
                <w:szCs w:val="18"/>
              </w:rPr>
              <w:t>Intelligence</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b/>
                <w:color w:val="000000"/>
                <w:sz w:val="18"/>
                <w:szCs w:val="18"/>
                <w:u w:val="single"/>
              </w:rPr>
            </w:pPr>
            <w:r>
              <w:rPr>
                <w:color w:val="000000"/>
                <w:sz w:val="18"/>
                <w:szCs w:val="18"/>
              </w:rPr>
              <w:t>Childhood IQ</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b/>
                <w:color w:val="000000"/>
                <w:sz w:val="18"/>
                <w:szCs w:val="18"/>
                <w:u w:val="single"/>
              </w:rPr>
            </w:pPr>
            <w:r>
              <w:rPr>
                <w:color w:val="000000"/>
                <w:sz w:val="18"/>
                <w:szCs w:val="18"/>
              </w:rPr>
              <w:t>Years of schooling 2016</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color w:val="000000"/>
                <w:sz w:val="18"/>
                <w:szCs w:val="18"/>
              </w:rPr>
            </w:pPr>
            <w:r>
              <w:rPr>
                <w:color w:val="000000"/>
                <w:sz w:val="18"/>
                <w:szCs w:val="18"/>
              </w:rPr>
              <w:t>Neo-openness to experience</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color w:val="000000"/>
                <w:sz w:val="18"/>
                <w:szCs w:val="18"/>
              </w:rPr>
            </w:pPr>
            <w:r>
              <w:rPr>
                <w:color w:val="000000"/>
                <w:sz w:val="18"/>
                <w:szCs w:val="18"/>
              </w:rPr>
              <w:t>Neo-conscientiousness</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b/>
                <w:color w:val="000000"/>
                <w:sz w:val="18"/>
                <w:szCs w:val="18"/>
              </w:rPr>
            </w:pPr>
            <w:r>
              <w:rPr>
                <w:color w:val="000000"/>
                <w:sz w:val="18"/>
                <w:szCs w:val="18"/>
              </w:rPr>
              <w:t>Neuroticism</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color w:val="000000"/>
                <w:sz w:val="18"/>
                <w:szCs w:val="18"/>
              </w:rPr>
            </w:pPr>
            <w:r>
              <w:rPr>
                <w:color w:val="000000"/>
                <w:sz w:val="18"/>
                <w:szCs w:val="18"/>
              </w:rPr>
              <w:t>Subjective well-being</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b/>
                <w:color w:val="000000"/>
                <w:sz w:val="18"/>
                <w:szCs w:val="18"/>
                <w:u w:val="single"/>
              </w:rPr>
            </w:pPr>
            <w:r>
              <w:rPr>
                <w:color w:val="000000"/>
                <w:sz w:val="18"/>
                <w:szCs w:val="18"/>
              </w:rPr>
              <w:t>Autism spectrum disorder</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b/>
                <w:color w:val="000000"/>
                <w:sz w:val="18"/>
                <w:szCs w:val="18"/>
                <w:u w:val="single"/>
              </w:rPr>
            </w:pPr>
            <w:r>
              <w:rPr>
                <w:color w:val="000000"/>
                <w:sz w:val="18"/>
                <w:szCs w:val="18"/>
              </w:rPr>
              <w:t>Depressive symptoms</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color w:val="000000"/>
                <w:sz w:val="18"/>
                <w:szCs w:val="18"/>
              </w:rPr>
            </w:pPr>
            <w:r>
              <w:rPr>
                <w:color w:val="000000"/>
                <w:sz w:val="18"/>
                <w:szCs w:val="18"/>
              </w:rPr>
              <w:t>Bipolar disorder</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color w:val="000000"/>
                <w:sz w:val="18"/>
                <w:szCs w:val="18"/>
              </w:rPr>
            </w:pPr>
            <w:r>
              <w:rPr>
                <w:color w:val="000000"/>
                <w:sz w:val="18"/>
                <w:szCs w:val="18"/>
              </w:rPr>
              <w:t>Major depressive disorder</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color w:val="000000"/>
                <w:sz w:val="18"/>
                <w:szCs w:val="18"/>
              </w:rPr>
            </w:pPr>
            <w:r>
              <w:rPr>
                <w:color w:val="000000"/>
                <w:sz w:val="18"/>
                <w:szCs w:val="18"/>
              </w:rPr>
              <w:t>ADHD</w:t>
            </w:r>
          </w:p>
        </w:tc>
        <w:tc>
          <w:tcPr>
            <w:tcW w:w="547" w:type="dxa"/>
            <w:tcBorders>
              <w:top w:val="single" w:sz="4" w:space="0" w:color="000000"/>
              <w:left w:val="nil"/>
              <w:bottom w:val="nil"/>
              <w:right w:val="nil"/>
            </w:tcBorders>
            <w:shd w:val="clear" w:color="auto" w:fill="FFFFFF"/>
            <w:tcMar>
              <w:left w:w="28" w:type="dxa"/>
              <w:right w:w="28" w:type="dxa"/>
            </w:tcMar>
          </w:tcPr>
          <w:p w:rsidR="00E6467A" w:rsidRDefault="007A5689">
            <w:pPr>
              <w:rPr>
                <w:color w:val="000000"/>
                <w:sz w:val="18"/>
                <w:szCs w:val="18"/>
              </w:rPr>
            </w:pPr>
            <w:r>
              <w:rPr>
                <w:color w:val="000000"/>
                <w:sz w:val="18"/>
                <w:szCs w:val="18"/>
              </w:rPr>
              <w:t>Anorexia</w:t>
            </w:r>
          </w:p>
        </w:tc>
      </w:tr>
      <w:tr w:rsidR="00E6467A">
        <w:trPr>
          <w:trHeight w:val="276"/>
        </w:trPr>
        <w:tc>
          <w:tcPr>
            <w:tcW w:w="860" w:type="dxa"/>
            <w:vMerge w:val="restart"/>
            <w:tcBorders>
              <w:top w:val="single" w:sz="4" w:space="0" w:color="000000"/>
              <w:left w:val="nil"/>
              <w:bottom w:val="nil"/>
              <w:right w:val="nil"/>
            </w:tcBorders>
            <w:shd w:val="clear" w:color="auto" w:fill="auto"/>
            <w:tcMar>
              <w:left w:w="28" w:type="dxa"/>
              <w:right w:w="28" w:type="dxa"/>
            </w:tcMar>
            <w:vAlign w:val="center"/>
          </w:tcPr>
          <w:p w:rsidR="00E6467A" w:rsidRDefault="007A5689">
            <w:pPr>
              <w:jc w:val="center"/>
              <w:rPr>
                <w:color w:val="000000"/>
                <w:sz w:val="18"/>
                <w:szCs w:val="18"/>
              </w:rPr>
            </w:pPr>
            <w:r>
              <w:rPr>
                <w:color w:val="000000"/>
                <w:sz w:val="18"/>
                <w:szCs w:val="18"/>
              </w:rPr>
              <w:t>Maths</w:t>
            </w:r>
          </w:p>
        </w:tc>
        <w:tc>
          <w:tcPr>
            <w:tcW w:w="546" w:type="dxa"/>
            <w:vMerge w:val="restart"/>
            <w:tcBorders>
              <w:top w:val="single" w:sz="4" w:space="0" w:color="000000"/>
              <w:left w:val="nil"/>
              <w:bottom w:val="nil"/>
              <w:right w:val="nil"/>
            </w:tcBorders>
            <w:shd w:val="clear" w:color="auto" w:fill="6390C9"/>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1.20</w:t>
            </w:r>
            <w:r>
              <w:rPr>
                <w:b/>
                <w:color w:val="000000"/>
                <w:sz w:val="16"/>
                <w:szCs w:val="16"/>
              </w:rPr>
              <w:t xml:space="preserve"> (0.16)</w:t>
            </w:r>
          </w:p>
        </w:tc>
        <w:tc>
          <w:tcPr>
            <w:tcW w:w="547" w:type="dxa"/>
            <w:vMerge w:val="restart"/>
            <w:tcBorders>
              <w:top w:val="single" w:sz="4" w:space="0" w:color="000000"/>
              <w:left w:val="nil"/>
              <w:bottom w:val="nil"/>
              <w:right w:val="nil"/>
            </w:tcBorders>
            <w:shd w:val="clear" w:color="auto" w:fill="7BA1D2"/>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1.02</w:t>
            </w:r>
            <w:r>
              <w:rPr>
                <w:b/>
                <w:color w:val="000000"/>
                <w:sz w:val="16"/>
                <w:szCs w:val="16"/>
              </w:rPr>
              <w:t xml:space="preserve"> (0.16)</w:t>
            </w:r>
          </w:p>
        </w:tc>
        <w:tc>
          <w:tcPr>
            <w:tcW w:w="547" w:type="dxa"/>
            <w:vMerge w:val="restart"/>
            <w:tcBorders>
              <w:top w:val="single" w:sz="4" w:space="0" w:color="000000"/>
              <w:left w:val="nil"/>
              <w:bottom w:val="nil"/>
              <w:right w:val="nil"/>
            </w:tcBorders>
            <w:shd w:val="clear" w:color="auto" w:fill="8DAED8"/>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0.89</w:t>
            </w:r>
            <w:r>
              <w:rPr>
                <w:b/>
                <w:color w:val="000000"/>
                <w:sz w:val="16"/>
                <w:szCs w:val="16"/>
              </w:rPr>
              <w:t xml:space="preserve"> (0.12)</w:t>
            </w:r>
          </w:p>
        </w:tc>
        <w:tc>
          <w:tcPr>
            <w:tcW w:w="547" w:type="dxa"/>
            <w:vMerge w:val="restart"/>
            <w:tcBorders>
              <w:top w:val="single" w:sz="4" w:space="0" w:color="000000"/>
              <w:left w:val="nil"/>
              <w:bottom w:val="nil"/>
              <w:right w:val="nil"/>
            </w:tcBorders>
            <w:shd w:val="clear" w:color="auto" w:fill="DDE6F4"/>
            <w:tcMar>
              <w:left w:w="28" w:type="dxa"/>
              <w:right w:w="28" w:type="dxa"/>
            </w:tcMar>
            <w:vAlign w:val="center"/>
          </w:tcPr>
          <w:p w:rsidR="00E6467A" w:rsidRDefault="007A5689">
            <w:pPr>
              <w:jc w:val="center"/>
              <w:rPr>
                <w:color w:val="000000"/>
                <w:sz w:val="18"/>
                <w:szCs w:val="18"/>
              </w:rPr>
            </w:pPr>
            <w:r>
              <w:rPr>
                <w:color w:val="000000"/>
                <w:sz w:val="16"/>
                <w:szCs w:val="16"/>
              </w:rPr>
              <w:t>0.30 (0.2)</w:t>
            </w:r>
          </w:p>
        </w:tc>
        <w:tc>
          <w:tcPr>
            <w:tcW w:w="547" w:type="dxa"/>
            <w:vMerge w:val="restart"/>
            <w:tcBorders>
              <w:top w:val="single" w:sz="4" w:space="0" w:color="000000"/>
              <w:left w:val="nil"/>
              <w:bottom w:val="nil"/>
              <w:right w:val="nil"/>
            </w:tcBorders>
            <w:shd w:val="clear" w:color="auto" w:fill="FBECEF"/>
            <w:tcMar>
              <w:left w:w="28" w:type="dxa"/>
              <w:right w:w="28" w:type="dxa"/>
            </w:tcMar>
            <w:vAlign w:val="center"/>
          </w:tcPr>
          <w:p w:rsidR="00E6467A" w:rsidRDefault="007A5689">
            <w:pPr>
              <w:jc w:val="center"/>
              <w:rPr>
                <w:color w:val="000000"/>
                <w:sz w:val="18"/>
                <w:szCs w:val="18"/>
              </w:rPr>
            </w:pPr>
            <w:r>
              <w:rPr>
                <w:color w:val="000000"/>
                <w:sz w:val="16"/>
                <w:szCs w:val="16"/>
              </w:rPr>
              <w:t>-0.02 (0.25)</w:t>
            </w:r>
          </w:p>
        </w:tc>
        <w:tc>
          <w:tcPr>
            <w:tcW w:w="547" w:type="dxa"/>
            <w:vMerge w:val="restart"/>
            <w:tcBorders>
              <w:top w:val="single" w:sz="4" w:space="0" w:color="000000"/>
              <w:left w:val="nil"/>
              <w:bottom w:val="nil"/>
              <w:right w:val="nil"/>
            </w:tcBorders>
            <w:shd w:val="clear" w:color="auto" w:fill="FAD1D4"/>
            <w:tcMar>
              <w:left w:w="28" w:type="dxa"/>
              <w:right w:w="28" w:type="dxa"/>
            </w:tcMar>
            <w:vAlign w:val="center"/>
          </w:tcPr>
          <w:p w:rsidR="00E6467A" w:rsidRDefault="007A5689">
            <w:pPr>
              <w:jc w:val="center"/>
              <w:rPr>
                <w:b/>
                <w:color w:val="000000"/>
                <w:sz w:val="18"/>
                <w:szCs w:val="18"/>
              </w:rPr>
            </w:pPr>
            <w:r>
              <w:rPr>
                <w:b/>
                <w:color w:val="000000"/>
                <w:sz w:val="16"/>
                <w:szCs w:val="16"/>
              </w:rPr>
              <w:t>-0.17 (0.08)</w:t>
            </w:r>
          </w:p>
        </w:tc>
        <w:tc>
          <w:tcPr>
            <w:tcW w:w="547" w:type="dxa"/>
            <w:vMerge w:val="restart"/>
            <w:tcBorders>
              <w:top w:val="single" w:sz="4" w:space="0" w:color="000000"/>
              <w:left w:val="nil"/>
              <w:bottom w:val="nil"/>
              <w:right w:val="nil"/>
            </w:tcBorders>
            <w:shd w:val="clear" w:color="auto" w:fill="F8FAFE"/>
            <w:tcMar>
              <w:left w:w="28" w:type="dxa"/>
              <w:right w:w="28" w:type="dxa"/>
            </w:tcMar>
            <w:vAlign w:val="center"/>
          </w:tcPr>
          <w:p w:rsidR="00E6467A" w:rsidRDefault="007A5689">
            <w:pPr>
              <w:jc w:val="center"/>
              <w:rPr>
                <w:color w:val="000000"/>
                <w:sz w:val="18"/>
                <w:szCs w:val="18"/>
              </w:rPr>
            </w:pPr>
            <w:r>
              <w:rPr>
                <w:color w:val="000000"/>
                <w:sz w:val="16"/>
                <w:szCs w:val="16"/>
              </w:rPr>
              <w:t>0.10 (0.11)</w:t>
            </w:r>
          </w:p>
        </w:tc>
        <w:tc>
          <w:tcPr>
            <w:tcW w:w="547" w:type="dxa"/>
            <w:vMerge w:val="restart"/>
            <w:tcBorders>
              <w:top w:val="single" w:sz="4" w:space="0" w:color="000000"/>
              <w:left w:val="nil"/>
              <w:bottom w:val="nil"/>
              <w:right w:val="nil"/>
            </w:tcBorders>
            <w:shd w:val="clear" w:color="auto" w:fill="D0DDF0"/>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0.40</w:t>
            </w:r>
            <w:r>
              <w:rPr>
                <w:b/>
                <w:color w:val="000000"/>
                <w:sz w:val="16"/>
                <w:szCs w:val="16"/>
              </w:rPr>
              <w:t xml:space="preserve"> (0.12)</w:t>
            </w:r>
          </w:p>
        </w:tc>
        <w:tc>
          <w:tcPr>
            <w:tcW w:w="547" w:type="dxa"/>
            <w:vMerge w:val="restart"/>
            <w:tcBorders>
              <w:top w:val="single" w:sz="4" w:space="0" w:color="000000"/>
              <w:left w:val="nil"/>
              <w:bottom w:val="nil"/>
              <w:right w:val="nil"/>
            </w:tcBorders>
            <w:shd w:val="clear" w:color="auto" w:fill="F9AFB1"/>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-0.37</w:t>
            </w:r>
            <w:r>
              <w:rPr>
                <w:b/>
                <w:color w:val="000000"/>
                <w:sz w:val="16"/>
                <w:szCs w:val="16"/>
              </w:rPr>
              <w:t xml:space="preserve"> (0.11)</w:t>
            </w:r>
          </w:p>
        </w:tc>
        <w:tc>
          <w:tcPr>
            <w:tcW w:w="547" w:type="dxa"/>
            <w:vMerge w:val="restart"/>
            <w:tcBorders>
              <w:top w:val="single" w:sz="4" w:space="0" w:color="000000"/>
              <w:left w:val="nil"/>
              <w:bottom w:val="nil"/>
              <w:right w:val="nil"/>
            </w:tcBorders>
            <w:shd w:val="clear" w:color="auto" w:fill="E9EFF9"/>
            <w:tcMar>
              <w:left w:w="28" w:type="dxa"/>
              <w:right w:w="28" w:type="dxa"/>
            </w:tcMar>
            <w:vAlign w:val="center"/>
          </w:tcPr>
          <w:p w:rsidR="00E6467A" w:rsidRDefault="007A5689">
            <w:pPr>
              <w:jc w:val="center"/>
              <w:rPr>
                <w:color w:val="000000"/>
                <w:sz w:val="18"/>
                <w:szCs w:val="18"/>
              </w:rPr>
            </w:pPr>
            <w:r>
              <w:rPr>
                <w:color w:val="000000"/>
                <w:sz w:val="16"/>
                <w:szCs w:val="16"/>
              </w:rPr>
              <w:t>0.21 (0.11)</w:t>
            </w:r>
          </w:p>
        </w:tc>
        <w:tc>
          <w:tcPr>
            <w:tcW w:w="547" w:type="dxa"/>
            <w:vMerge w:val="restart"/>
            <w:tcBorders>
              <w:top w:val="single" w:sz="4" w:space="0" w:color="000000"/>
              <w:left w:val="nil"/>
              <w:bottom w:val="nil"/>
              <w:right w:val="nil"/>
            </w:tcBorders>
            <w:shd w:val="clear" w:color="auto" w:fill="FAD1D4"/>
            <w:tcMar>
              <w:left w:w="28" w:type="dxa"/>
              <w:right w:w="28" w:type="dxa"/>
            </w:tcMar>
            <w:vAlign w:val="center"/>
          </w:tcPr>
          <w:p w:rsidR="00E6467A" w:rsidRDefault="007A5689">
            <w:pPr>
              <w:jc w:val="center"/>
              <w:rPr>
                <w:color w:val="000000"/>
                <w:sz w:val="18"/>
                <w:szCs w:val="18"/>
              </w:rPr>
            </w:pPr>
            <w:r>
              <w:rPr>
                <w:color w:val="000000"/>
                <w:sz w:val="16"/>
                <w:szCs w:val="16"/>
              </w:rPr>
              <w:t>-0.17 (0.15)</w:t>
            </w:r>
          </w:p>
        </w:tc>
        <w:tc>
          <w:tcPr>
            <w:tcW w:w="547" w:type="dxa"/>
            <w:vMerge w:val="restart"/>
            <w:tcBorders>
              <w:top w:val="single" w:sz="4" w:space="0" w:color="000000"/>
              <w:left w:val="nil"/>
              <w:bottom w:val="nil"/>
              <w:right w:val="nil"/>
            </w:tcBorders>
            <w:shd w:val="clear" w:color="auto" w:fill="F88385"/>
            <w:tcMar>
              <w:left w:w="28" w:type="dxa"/>
              <w:right w:w="28" w:type="dxa"/>
            </w:tcMar>
            <w:vAlign w:val="center"/>
          </w:tcPr>
          <w:p w:rsidR="00E6467A" w:rsidRDefault="007A5689">
            <w:pPr>
              <w:jc w:val="center"/>
              <w:rPr>
                <w:color w:val="000000"/>
                <w:sz w:val="18"/>
                <w:szCs w:val="18"/>
              </w:rPr>
            </w:pPr>
            <w:r>
              <w:rPr>
                <w:color w:val="000000"/>
                <w:sz w:val="16"/>
                <w:szCs w:val="16"/>
              </w:rPr>
              <w:t>-</w:t>
            </w:r>
            <w:r>
              <w:rPr>
                <w:b/>
                <w:color w:val="000000"/>
                <w:sz w:val="16"/>
                <w:szCs w:val="16"/>
              </w:rPr>
              <w:t>0.62 (0.26)</w:t>
            </w:r>
          </w:p>
        </w:tc>
        <w:tc>
          <w:tcPr>
            <w:tcW w:w="547" w:type="dxa"/>
            <w:vMerge w:val="restart"/>
            <w:tcBorders>
              <w:top w:val="single" w:sz="4" w:space="0" w:color="000000"/>
              <w:left w:val="nil"/>
              <w:bottom w:val="nil"/>
              <w:right w:val="nil"/>
            </w:tcBorders>
            <w:shd w:val="clear" w:color="auto" w:fill="FBFCFF"/>
            <w:tcMar>
              <w:left w:w="28" w:type="dxa"/>
              <w:right w:w="28" w:type="dxa"/>
            </w:tcMar>
            <w:vAlign w:val="center"/>
          </w:tcPr>
          <w:p w:rsidR="00E6467A" w:rsidRDefault="007A5689">
            <w:pPr>
              <w:jc w:val="center"/>
              <w:rPr>
                <w:color w:val="000000"/>
                <w:sz w:val="18"/>
                <w:szCs w:val="18"/>
              </w:rPr>
            </w:pPr>
            <w:r>
              <w:rPr>
                <w:color w:val="000000"/>
                <w:sz w:val="16"/>
                <w:szCs w:val="16"/>
              </w:rPr>
              <w:t>0.08 (0.09)</w:t>
            </w:r>
          </w:p>
        </w:tc>
      </w:tr>
      <w:tr w:rsidR="00E6467A">
        <w:trPr>
          <w:trHeight w:val="276"/>
        </w:trPr>
        <w:tc>
          <w:tcPr>
            <w:tcW w:w="860" w:type="dxa"/>
            <w:vMerge/>
            <w:tcBorders>
              <w:top w:val="single" w:sz="4" w:space="0" w:color="000000"/>
              <w:left w:val="nil"/>
              <w:bottom w:val="nil"/>
              <w:right w:val="nil"/>
            </w:tcBorders>
            <w:shd w:val="clear" w:color="auto" w:fill="auto"/>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6" w:type="dxa"/>
            <w:vMerge/>
            <w:tcBorders>
              <w:top w:val="single" w:sz="4" w:space="0" w:color="000000"/>
              <w:left w:val="nil"/>
              <w:bottom w:val="nil"/>
              <w:right w:val="nil"/>
            </w:tcBorders>
            <w:shd w:val="clear" w:color="auto" w:fill="6390C9"/>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7BA1D2"/>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8DAED8"/>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DDE6F4"/>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FBECEF"/>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FAD1D4"/>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F8FAFE"/>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D0DDF0"/>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F9AFB1"/>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E9EFF9"/>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FAD1D4"/>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F88385"/>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top w:val="single" w:sz="4" w:space="0" w:color="000000"/>
              <w:left w:val="nil"/>
              <w:bottom w:val="nil"/>
              <w:right w:val="nil"/>
            </w:tcBorders>
            <w:shd w:val="clear" w:color="auto" w:fill="FBFCFF"/>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r>
      <w:tr w:rsidR="00E6467A">
        <w:trPr>
          <w:trHeight w:val="276"/>
        </w:trPr>
        <w:tc>
          <w:tcPr>
            <w:tcW w:w="860" w:type="dxa"/>
            <w:vMerge w:val="restart"/>
            <w:tcBorders>
              <w:left w:val="nil"/>
              <w:bottom w:val="nil"/>
              <w:right w:val="nil"/>
            </w:tcBorders>
            <w:shd w:val="clear" w:color="auto" w:fill="auto"/>
            <w:tcMar>
              <w:left w:w="28" w:type="dxa"/>
              <w:right w:w="28" w:type="dxa"/>
            </w:tcMar>
            <w:vAlign w:val="center"/>
          </w:tcPr>
          <w:p w:rsidR="00E6467A" w:rsidRDefault="007A5689">
            <w:pPr>
              <w:jc w:val="center"/>
              <w:rPr>
                <w:color w:val="000000"/>
                <w:sz w:val="18"/>
                <w:szCs w:val="18"/>
              </w:rPr>
            </w:pPr>
            <w:r>
              <w:rPr>
                <w:color w:val="000000"/>
                <w:sz w:val="18"/>
                <w:szCs w:val="18"/>
              </w:rPr>
              <w:t>Science</w:t>
            </w:r>
          </w:p>
        </w:tc>
        <w:tc>
          <w:tcPr>
            <w:tcW w:w="546" w:type="dxa"/>
            <w:vMerge w:val="restart"/>
            <w:tcBorders>
              <w:left w:val="nil"/>
              <w:bottom w:val="nil"/>
              <w:right w:val="nil"/>
            </w:tcBorders>
            <w:shd w:val="clear" w:color="auto" w:fill="5D8CC7"/>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1.24</w:t>
            </w:r>
            <w:r>
              <w:rPr>
                <w:b/>
                <w:color w:val="000000"/>
                <w:sz w:val="16"/>
                <w:szCs w:val="16"/>
              </w:rPr>
              <w:t xml:space="preserve"> (0.17)</w:t>
            </w:r>
          </w:p>
        </w:tc>
        <w:tc>
          <w:tcPr>
            <w:tcW w:w="547" w:type="dxa"/>
            <w:vMerge w:val="restart"/>
            <w:tcBorders>
              <w:left w:val="nil"/>
              <w:bottom w:val="nil"/>
              <w:right w:val="nil"/>
            </w:tcBorders>
            <w:shd w:val="clear" w:color="auto" w:fill="6390C9"/>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1.20</w:t>
            </w:r>
            <w:r>
              <w:rPr>
                <w:b/>
                <w:color w:val="000000"/>
                <w:sz w:val="16"/>
                <w:szCs w:val="16"/>
              </w:rPr>
              <w:t xml:space="preserve"> (0.21)</w:t>
            </w:r>
          </w:p>
        </w:tc>
        <w:tc>
          <w:tcPr>
            <w:tcW w:w="547" w:type="dxa"/>
            <w:vMerge w:val="restart"/>
            <w:tcBorders>
              <w:left w:val="nil"/>
              <w:bottom w:val="nil"/>
              <w:right w:val="nil"/>
            </w:tcBorders>
            <w:shd w:val="clear" w:color="auto" w:fill="85A8D5"/>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0.95</w:t>
            </w:r>
            <w:r>
              <w:rPr>
                <w:b/>
                <w:color w:val="000000"/>
                <w:sz w:val="16"/>
                <w:szCs w:val="16"/>
              </w:rPr>
              <w:t xml:space="preserve"> (0.13)</w:t>
            </w:r>
          </w:p>
        </w:tc>
        <w:tc>
          <w:tcPr>
            <w:tcW w:w="547" w:type="dxa"/>
            <w:vMerge w:val="restart"/>
            <w:tcBorders>
              <w:left w:val="nil"/>
              <w:bottom w:val="nil"/>
              <w:right w:val="nil"/>
            </w:tcBorders>
            <w:shd w:val="clear" w:color="auto" w:fill="CEDCEF"/>
            <w:tcMar>
              <w:left w:w="28" w:type="dxa"/>
              <w:right w:w="28" w:type="dxa"/>
            </w:tcMar>
            <w:vAlign w:val="center"/>
          </w:tcPr>
          <w:p w:rsidR="00E6467A" w:rsidRDefault="007A5689">
            <w:pPr>
              <w:jc w:val="center"/>
              <w:rPr>
                <w:b/>
                <w:color w:val="000000"/>
                <w:sz w:val="18"/>
                <w:szCs w:val="18"/>
              </w:rPr>
            </w:pPr>
            <w:r>
              <w:rPr>
                <w:b/>
                <w:color w:val="000000"/>
                <w:sz w:val="16"/>
                <w:szCs w:val="16"/>
              </w:rPr>
              <w:t>0.41 (0.21)</w:t>
            </w:r>
          </w:p>
        </w:tc>
        <w:tc>
          <w:tcPr>
            <w:tcW w:w="547" w:type="dxa"/>
            <w:vMerge w:val="restart"/>
            <w:tcBorders>
              <w:left w:val="nil"/>
              <w:bottom w:val="nil"/>
              <w:right w:val="nil"/>
            </w:tcBorders>
            <w:shd w:val="clear" w:color="auto" w:fill="FAC3C6"/>
            <w:tcMar>
              <w:left w:w="28" w:type="dxa"/>
              <w:right w:w="28" w:type="dxa"/>
            </w:tcMar>
            <w:vAlign w:val="center"/>
          </w:tcPr>
          <w:p w:rsidR="00E6467A" w:rsidRDefault="007A5689">
            <w:pPr>
              <w:jc w:val="center"/>
              <w:rPr>
                <w:color w:val="000000"/>
                <w:sz w:val="18"/>
                <w:szCs w:val="18"/>
              </w:rPr>
            </w:pPr>
            <w:r>
              <w:rPr>
                <w:color w:val="000000"/>
                <w:sz w:val="16"/>
                <w:szCs w:val="16"/>
              </w:rPr>
              <w:t>-0.25 (0.28)</w:t>
            </w:r>
          </w:p>
        </w:tc>
        <w:tc>
          <w:tcPr>
            <w:tcW w:w="547" w:type="dxa"/>
            <w:vMerge w:val="restart"/>
            <w:tcBorders>
              <w:left w:val="nil"/>
              <w:bottom w:val="nil"/>
              <w:right w:val="nil"/>
            </w:tcBorders>
            <w:shd w:val="clear" w:color="auto" w:fill="FACED1"/>
            <w:tcMar>
              <w:left w:w="28" w:type="dxa"/>
              <w:right w:w="28" w:type="dxa"/>
            </w:tcMar>
            <w:vAlign w:val="center"/>
          </w:tcPr>
          <w:p w:rsidR="00E6467A" w:rsidRDefault="007A5689">
            <w:pPr>
              <w:jc w:val="center"/>
              <w:rPr>
                <w:b/>
                <w:color w:val="000000"/>
                <w:sz w:val="18"/>
                <w:szCs w:val="18"/>
              </w:rPr>
            </w:pPr>
            <w:r>
              <w:rPr>
                <w:b/>
                <w:color w:val="000000"/>
                <w:sz w:val="16"/>
                <w:szCs w:val="16"/>
              </w:rPr>
              <w:t>-0.19 (0.09)</w:t>
            </w:r>
          </w:p>
        </w:tc>
        <w:tc>
          <w:tcPr>
            <w:tcW w:w="547" w:type="dxa"/>
            <w:vMerge w:val="restart"/>
            <w:tcBorders>
              <w:left w:val="nil"/>
              <w:bottom w:val="nil"/>
              <w:right w:val="nil"/>
            </w:tcBorders>
            <w:shd w:val="clear" w:color="auto" w:fill="FBFCFF"/>
            <w:tcMar>
              <w:left w:w="28" w:type="dxa"/>
              <w:right w:w="28" w:type="dxa"/>
            </w:tcMar>
            <w:vAlign w:val="center"/>
          </w:tcPr>
          <w:p w:rsidR="00E6467A" w:rsidRDefault="007A5689">
            <w:pPr>
              <w:jc w:val="center"/>
              <w:rPr>
                <w:color w:val="000000"/>
                <w:sz w:val="18"/>
                <w:szCs w:val="18"/>
              </w:rPr>
            </w:pPr>
            <w:r>
              <w:rPr>
                <w:color w:val="000000"/>
                <w:sz w:val="16"/>
                <w:szCs w:val="16"/>
              </w:rPr>
              <w:t>0.08 (0.13)</w:t>
            </w:r>
          </w:p>
        </w:tc>
        <w:tc>
          <w:tcPr>
            <w:tcW w:w="547" w:type="dxa"/>
            <w:vMerge w:val="restart"/>
            <w:tcBorders>
              <w:left w:val="nil"/>
              <w:bottom w:val="nil"/>
              <w:right w:val="nil"/>
            </w:tcBorders>
            <w:shd w:val="clear" w:color="auto" w:fill="E4EBF7"/>
            <w:tcMar>
              <w:left w:w="28" w:type="dxa"/>
              <w:right w:w="28" w:type="dxa"/>
            </w:tcMar>
            <w:vAlign w:val="center"/>
          </w:tcPr>
          <w:p w:rsidR="00E6467A" w:rsidRDefault="007A5689">
            <w:pPr>
              <w:jc w:val="center"/>
              <w:rPr>
                <w:b/>
                <w:color w:val="000000"/>
                <w:sz w:val="18"/>
                <w:szCs w:val="18"/>
              </w:rPr>
            </w:pPr>
            <w:r>
              <w:rPr>
                <w:b/>
                <w:color w:val="000000"/>
                <w:sz w:val="16"/>
                <w:szCs w:val="16"/>
              </w:rPr>
              <w:t>0.25 (0.12)</w:t>
            </w:r>
          </w:p>
        </w:tc>
        <w:tc>
          <w:tcPr>
            <w:tcW w:w="547" w:type="dxa"/>
            <w:vMerge w:val="restart"/>
            <w:tcBorders>
              <w:left w:val="nil"/>
              <w:bottom w:val="nil"/>
              <w:right w:val="nil"/>
            </w:tcBorders>
            <w:shd w:val="clear" w:color="auto" w:fill="F9ABAD"/>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-0.39</w:t>
            </w:r>
            <w:r>
              <w:rPr>
                <w:b/>
                <w:color w:val="000000"/>
                <w:sz w:val="16"/>
                <w:szCs w:val="16"/>
              </w:rPr>
              <w:t xml:space="preserve"> (0.12)</w:t>
            </w:r>
          </w:p>
        </w:tc>
        <w:tc>
          <w:tcPr>
            <w:tcW w:w="547" w:type="dxa"/>
            <w:vMerge w:val="restart"/>
            <w:tcBorders>
              <w:left w:val="nil"/>
              <w:bottom w:val="nil"/>
              <w:right w:val="nil"/>
            </w:tcBorders>
            <w:shd w:val="clear" w:color="auto" w:fill="EBF0F9"/>
            <w:tcMar>
              <w:left w:w="28" w:type="dxa"/>
              <w:right w:w="28" w:type="dxa"/>
            </w:tcMar>
            <w:vAlign w:val="center"/>
          </w:tcPr>
          <w:p w:rsidR="00E6467A" w:rsidRDefault="007A5689">
            <w:pPr>
              <w:jc w:val="center"/>
              <w:rPr>
                <w:color w:val="000000"/>
                <w:sz w:val="18"/>
                <w:szCs w:val="18"/>
              </w:rPr>
            </w:pPr>
            <w:r>
              <w:rPr>
                <w:color w:val="000000"/>
                <w:sz w:val="16"/>
                <w:szCs w:val="16"/>
              </w:rPr>
              <w:t>0.20 (0.13)</w:t>
            </w:r>
          </w:p>
        </w:tc>
        <w:tc>
          <w:tcPr>
            <w:tcW w:w="547" w:type="dxa"/>
            <w:vMerge w:val="restart"/>
            <w:tcBorders>
              <w:left w:val="nil"/>
              <w:bottom w:val="nil"/>
              <w:right w:val="nil"/>
            </w:tcBorders>
            <w:shd w:val="clear" w:color="auto" w:fill="FBD9DB"/>
            <w:tcMar>
              <w:left w:w="28" w:type="dxa"/>
              <w:right w:w="28" w:type="dxa"/>
            </w:tcMar>
            <w:vAlign w:val="center"/>
          </w:tcPr>
          <w:p w:rsidR="00E6467A" w:rsidRDefault="007A5689">
            <w:pPr>
              <w:jc w:val="center"/>
              <w:rPr>
                <w:color w:val="000000"/>
                <w:sz w:val="18"/>
                <w:szCs w:val="18"/>
              </w:rPr>
            </w:pPr>
            <w:r>
              <w:rPr>
                <w:color w:val="000000"/>
                <w:sz w:val="16"/>
                <w:szCs w:val="16"/>
              </w:rPr>
              <w:t>-0.13 (0.15)</w:t>
            </w:r>
          </w:p>
        </w:tc>
        <w:tc>
          <w:tcPr>
            <w:tcW w:w="547" w:type="dxa"/>
            <w:vMerge w:val="restart"/>
            <w:tcBorders>
              <w:left w:val="nil"/>
              <w:bottom w:val="nil"/>
              <w:right w:val="nil"/>
            </w:tcBorders>
            <w:shd w:val="clear" w:color="auto" w:fill="F8696B"/>
            <w:tcMar>
              <w:left w:w="28" w:type="dxa"/>
              <w:right w:w="28" w:type="dxa"/>
            </w:tcMar>
            <w:vAlign w:val="center"/>
          </w:tcPr>
          <w:p w:rsidR="00E6467A" w:rsidRDefault="007A5689">
            <w:pPr>
              <w:jc w:val="center"/>
              <w:rPr>
                <w:color w:val="000000"/>
                <w:sz w:val="18"/>
                <w:szCs w:val="18"/>
              </w:rPr>
            </w:pPr>
            <w:r>
              <w:rPr>
                <w:color w:val="000000"/>
                <w:sz w:val="16"/>
                <w:szCs w:val="16"/>
              </w:rPr>
              <w:t>-</w:t>
            </w:r>
            <w:r>
              <w:rPr>
                <w:b/>
                <w:color w:val="000000"/>
                <w:sz w:val="16"/>
                <w:szCs w:val="16"/>
              </w:rPr>
              <w:t>0.77 (0.29)</w:t>
            </w:r>
          </w:p>
        </w:tc>
        <w:tc>
          <w:tcPr>
            <w:tcW w:w="547" w:type="dxa"/>
            <w:vMerge w:val="restart"/>
            <w:tcBorders>
              <w:left w:val="nil"/>
              <w:bottom w:val="nil"/>
              <w:right w:val="nil"/>
            </w:tcBorders>
            <w:shd w:val="clear" w:color="auto" w:fill="FBF6F9"/>
            <w:tcMar>
              <w:left w:w="28" w:type="dxa"/>
              <w:right w:w="28" w:type="dxa"/>
            </w:tcMar>
            <w:vAlign w:val="center"/>
          </w:tcPr>
          <w:p w:rsidR="00E6467A" w:rsidRDefault="007A5689">
            <w:pPr>
              <w:jc w:val="center"/>
              <w:rPr>
                <w:color w:val="000000"/>
                <w:sz w:val="18"/>
                <w:szCs w:val="18"/>
              </w:rPr>
            </w:pPr>
            <w:r>
              <w:rPr>
                <w:color w:val="000000"/>
                <w:sz w:val="16"/>
                <w:szCs w:val="16"/>
              </w:rPr>
              <w:t>0.04 (0.09)</w:t>
            </w:r>
          </w:p>
        </w:tc>
      </w:tr>
      <w:tr w:rsidR="00E6467A">
        <w:trPr>
          <w:trHeight w:val="276"/>
        </w:trPr>
        <w:tc>
          <w:tcPr>
            <w:tcW w:w="860" w:type="dxa"/>
            <w:vMerge/>
            <w:tcBorders>
              <w:left w:val="nil"/>
              <w:bottom w:val="nil"/>
              <w:right w:val="nil"/>
            </w:tcBorders>
            <w:shd w:val="clear" w:color="auto" w:fill="auto"/>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6" w:type="dxa"/>
            <w:vMerge/>
            <w:tcBorders>
              <w:left w:val="nil"/>
              <w:bottom w:val="nil"/>
              <w:right w:val="nil"/>
            </w:tcBorders>
            <w:shd w:val="clear" w:color="auto" w:fill="5D8CC7"/>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6390C9"/>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85A8D5"/>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CEDCEF"/>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FAC3C6"/>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FACED1"/>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FBFCFF"/>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E4EBF7"/>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F9ABAD"/>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EBF0F9"/>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FBD9DB"/>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F8696B"/>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c>
          <w:tcPr>
            <w:tcW w:w="547" w:type="dxa"/>
            <w:vMerge/>
            <w:tcBorders>
              <w:left w:val="nil"/>
              <w:bottom w:val="nil"/>
              <w:right w:val="nil"/>
            </w:tcBorders>
            <w:shd w:val="clear" w:color="auto" w:fill="FBF6F9"/>
            <w:tcMar>
              <w:left w:w="28" w:type="dxa"/>
              <w:right w:w="28" w:type="dxa"/>
            </w:tcMar>
            <w:vAlign w:val="center"/>
          </w:tcPr>
          <w:p w:rsidR="00E6467A" w:rsidRDefault="00E6467A">
            <w:pPr>
              <w:widowControl w:val="0"/>
              <w:pBdr>
                <w:top w:val="nil"/>
                <w:left w:val="nil"/>
                <w:bottom w:val="nil"/>
                <w:right w:val="nil"/>
                <w:between w:val="nil"/>
              </w:pBdr>
              <w:spacing w:line="276" w:lineRule="auto"/>
              <w:rPr>
                <w:color w:val="000000"/>
                <w:sz w:val="18"/>
                <w:szCs w:val="18"/>
              </w:rPr>
            </w:pPr>
          </w:p>
        </w:tc>
      </w:tr>
      <w:tr w:rsidR="00E6467A">
        <w:trPr>
          <w:trHeight w:val="276"/>
        </w:trPr>
        <w:tc>
          <w:tcPr>
            <w:tcW w:w="860" w:type="dxa"/>
            <w:vMerge w:val="restart"/>
            <w:tcBorders>
              <w:top w:val="nil"/>
              <w:left w:val="nil"/>
              <w:bottom w:val="single" w:sz="8" w:space="0" w:color="000000"/>
              <w:right w:val="nil"/>
            </w:tcBorders>
            <w:shd w:val="clear" w:color="auto" w:fill="auto"/>
            <w:tcMar>
              <w:left w:w="28" w:type="dxa"/>
              <w:right w:w="28" w:type="dxa"/>
            </w:tcMar>
            <w:vAlign w:val="center"/>
          </w:tcPr>
          <w:p w:rsidR="00E6467A" w:rsidRDefault="007A5689">
            <w:pPr>
              <w:jc w:val="center"/>
              <w:rPr>
                <w:color w:val="000000"/>
                <w:sz w:val="18"/>
                <w:szCs w:val="18"/>
              </w:rPr>
            </w:pPr>
            <w:r>
              <w:rPr>
                <w:color w:val="000000"/>
                <w:sz w:val="18"/>
                <w:szCs w:val="18"/>
              </w:rPr>
              <w:t>English</w:t>
            </w:r>
          </w:p>
        </w:tc>
        <w:tc>
          <w:tcPr>
            <w:tcW w:w="546" w:type="dxa"/>
            <w:vMerge w:val="restart"/>
            <w:tcBorders>
              <w:top w:val="nil"/>
              <w:left w:val="nil"/>
              <w:bottom w:val="single" w:sz="8" w:space="0" w:color="000000"/>
              <w:right w:val="nil"/>
            </w:tcBorders>
            <w:shd w:val="clear" w:color="auto" w:fill="5A8AC6"/>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1.26</w:t>
            </w:r>
            <w:r>
              <w:rPr>
                <w:b/>
                <w:color w:val="000000"/>
                <w:sz w:val="16"/>
                <w:szCs w:val="16"/>
              </w:rPr>
              <w:t xml:space="preserve"> (0.19)</w:t>
            </w:r>
          </w:p>
        </w:tc>
        <w:tc>
          <w:tcPr>
            <w:tcW w:w="547" w:type="dxa"/>
            <w:vMerge w:val="restart"/>
            <w:tcBorders>
              <w:top w:val="nil"/>
              <w:left w:val="nil"/>
              <w:bottom w:val="single" w:sz="8" w:space="0" w:color="000000"/>
              <w:right w:val="nil"/>
            </w:tcBorders>
            <w:shd w:val="clear" w:color="auto" w:fill="6390C9"/>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1.20</w:t>
            </w:r>
            <w:r>
              <w:rPr>
                <w:b/>
                <w:color w:val="000000"/>
                <w:sz w:val="16"/>
                <w:szCs w:val="16"/>
              </w:rPr>
              <w:t xml:space="preserve"> (0.24)</w:t>
            </w:r>
          </w:p>
        </w:tc>
        <w:tc>
          <w:tcPr>
            <w:tcW w:w="547" w:type="dxa"/>
            <w:vMerge w:val="restart"/>
            <w:tcBorders>
              <w:top w:val="nil"/>
              <w:left w:val="nil"/>
              <w:bottom w:val="single" w:sz="8" w:space="0" w:color="000000"/>
              <w:right w:val="nil"/>
            </w:tcBorders>
            <w:shd w:val="clear" w:color="auto" w:fill="7FA4D3"/>
            <w:tcMar>
              <w:left w:w="28" w:type="dxa"/>
              <w:right w:w="28" w:type="dxa"/>
            </w:tcMar>
            <w:vAlign w:val="center"/>
          </w:tcPr>
          <w:p w:rsidR="00E6467A" w:rsidRDefault="007A5689">
            <w:pPr>
              <w:jc w:val="center"/>
              <w:rPr>
                <w:b/>
                <w:color w:val="000000"/>
                <w:sz w:val="18"/>
                <w:szCs w:val="18"/>
                <w:u w:val="single"/>
              </w:rPr>
            </w:pPr>
            <w:r>
              <w:rPr>
                <w:b/>
                <w:color w:val="000000"/>
                <w:sz w:val="16"/>
                <w:szCs w:val="16"/>
                <w:u w:val="single"/>
              </w:rPr>
              <w:t>0.99</w:t>
            </w:r>
            <w:r>
              <w:rPr>
                <w:b/>
                <w:color w:val="000000"/>
                <w:sz w:val="16"/>
                <w:szCs w:val="16"/>
              </w:rPr>
              <w:t xml:space="preserve"> (0.15)</w:t>
            </w:r>
          </w:p>
        </w:tc>
        <w:tc>
          <w:tcPr>
            <w:tcW w:w="547" w:type="dxa"/>
            <w:vMerge w:val="restart"/>
            <w:tcBorders>
              <w:top w:val="nil"/>
              <w:left w:val="nil"/>
              <w:bottom w:val="single" w:sz="8" w:space="0" w:color="000000"/>
              <w:right w:val="nil"/>
            </w:tcBorders>
            <w:shd w:val="clear" w:color="auto" w:fill="BFD1EA"/>
            <w:tcMar>
              <w:left w:w="28" w:type="dxa"/>
              <w:right w:w="28" w:type="dxa"/>
            </w:tcMar>
            <w:vAlign w:val="center"/>
          </w:tcPr>
          <w:p w:rsidR="00E6467A" w:rsidRDefault="007A5689">
            <w:pPr>
              <w:jc w:val="center"/>
              <w:rPr>
                <w:b/>
                <w:color w:val="000000"/>
                <w:sz w:val="18"/>
                <w:szCs w:val="18"/>
              </w:rPr>
            </w:pPr>
            <w:r>
              <w:rPr>
                <w:b/>
                <w:color w:val="000000"/>
                <w:sz w:val="16"/>
                <w:szCs w:val="16"/>
              </w:rPr>
              <w:t>0.52 (0.23)</w:t>
            </w:r>
          </w:p>
        </w:tc>
        <w:tc>
          <w:tcPr>
            <w:tcW w:w="547" w:type="dxa"/>
            <w:vMerge w:val="restart"/>
            <w:tcBorders>
              <w:top w:val="nil"/>
              <w:left w:val="nil"/>
              <w:bottom w:val="single" w:sz="8" w:space="0" w:color="000000"/>
              <w:right w:val="nil"/>
            </w:tcBorders>
            <w:shd w:val="clear" w:color="auto" w:fill="FAD7D9"/>
            <w:tcMar>
              <w:left w:w="28" w:type="dxa"/>
              <w:right w:w="28" w:type="dxa"/>
            </w:tcMar>
            <w:vAlign w:val="center"/>
          </w:tcPr>
          <w:p w:rsidR="00E6467A" w:rsidRDefault="007A5689">
            <w:pPr>
              <w:jc w:val="center"/>
              <w:rPr>
                <w:color w:val="000000"/>
                <w:sz w:val="18"/>
                <w:szCs w:val="18"/>
              </w:rPr>
            </w:pPr>
            <w:r>
              <w:rPr>
                <w:color w:val="000000"/>
                <w:sz w:val="16"/>
                <w:szCs w:val="16"/>
              </w:rPr>
              <w:t>-0.14 (0.27)</w:t>
            </w:r>
          </w:p>
        </w:tc>
        <w:tc>
          <w:tcPr>
            <w:tcW w:w="547" w:type="dxa"/>
            <w:vMerge w:val="restart"/>
            <w:tcBorders>
              <w:top w:val="nil"/>
              <w:left w:val="nil"/>
              <w:bottom w:val="single" w:sz="8" w:space="0" w:color="000000"/>
              <w:right w:val="nil"/>
            </w:tcBorders>
            <w:shd w:val="clear" w:color="auto" w:fill="FBDEE1"/>
            <w:tcMar>
              <w:left w:w="28" w:type="dxa"/>
              <w:right w:w="28" w:type="dxa"/>
            </w:tcMar>
            <w:vAlign w:val="center"/>
          </w:tcPr>
          <w:p w:rsidR="00E6467A" w:rsidRDefault="007A5689">
            <w:pPr>
              <w:jc w:val="center"/>
              <w:rPr>
                <w:color w:val="000000"/>
                <w:sz w:val="18"/>
                <w:szCs w:val="18"/>
              </w:rPr>
            </w:pPr>
            <w:r>
              <w:rPr>
                <w:color w:val="000000"/>
                <w:sz w:val="16"/>
                <w:szCs w:val="16"/>
              </w:rPr>
              <w:t>-0.10 (0.09)</w:t>
            </w:r>
          </w:p>
        </w:tc>
        <w:tc>
          <w:tcPr>
            <w:tcW w:w="547" w:type="dxa"/>
            <w:vMerge w:val="restart"/>
            <w:tcBorders>
              <w:top w:val="nil"/>
              <w:left w:val="nil"/>
              <w:bottom w:val="single" w:sz="8" w:space="0" w:color="000000"/>
              <w:right w:val="nil"/>
            </w:tcBorders>
            <w:shd w:val="clear" w:color="auto" w:fill="FBDADD"/>
            <w:tcMar>
              <w:left w:w="28" w:type="dxa"/>
              <w:right w:w="28" w:type="dxa"/>
            </w:tcMar>
            <w:vAlign w:val="center"/>
          </w:tcPr>
          <w:p w:rsidR="00E6467A" w:rsidRDefault="007A5689">
            <w:pPr>
              <w:jc w:val="center"/>
              <w:rPr>
                <w:color w:val="000000"/>
                <w:sz w:val="18"/>
                <w:szCs w:val="18"/>
              </w:rPr>
            </w:pPr>
            <w:r>
              <w:rPr>
                <w:color w:val="000000"/>
                <w:sz w:val="16"/>
                <w:szCs w:val="16"/>
              </w:rPr>
              <w:t>-0.12 (0.12)</w:t>
            </w:r>
          </w:p>
        </w:tc>
        <w:tc>
          <w:tcPr>
            <w:tcW w:w="547" w:type="dxa"/>
            <w:vMerge w:val="restart"/>
            <w:tcBorders>
              <w:top w:val="nil"/>
              <w:left w:val="nil"/>
              <w:bottom w:val="single" w:sz="8" w:space="0" w:color="000000"/>
              <w:right w:val="nil"/>
            </w:tcBorders>
            <w:shd w:val="clear" w:color="auto" w:fill="D1DEF0"/>
            <w:tcMar>
              <w:left w:w="28" w:type="dxa"/>
              <w:right w:w="28" w:type="dxa"/>
            </w:tcMar>
            <w:vAlign w:val="center"/>
          </w:tcPr>
          <w:p w:rsidR="00E6467A" w:rsidRDefault="007A5689">
            <w:pPr>
              <w:jc w:val="center"/>
              <w:rPr>
                <w:b/>
                <w:color w:val="000000"/>
                <w:sz w:val="18"/>
                <w:szCs w:val="18"/>
              </w:rPr>
            </w:pPr>
            <w:r>
              <w:rPr>
                <w:b/>
                <w:color w:val="000000"/>
                <w:sz w:val="16"/>
                <w:szCs w:val="16"/>
              </w:rPr>
              <w:t>0.39 (0.14)</w:t>
            </w:r>
          </w:p>
        </w:tc>
        <w:tc>
          <w:tcPr>
            <w:tcW w:w="547" w:type="dxa"/>
            <w:vMerge w:val="restart"/>
            <w:tcBorders>
              <w:top w:val="nil"/>
              <w:left w:val="nil"/>
              <w:bottom w:val="single" w:sz="8" w:space="0" w:color="000000"/>
              <w:right w:val="nil"/>
            </w:tcBorders>
            <w:shd w:val="clear" w:color="auto" w:fill="FAC0C3"/>
            <w:tcMar>
              <w:left w:w="28" w:type="dxa"/>
              <w:right w:w="28" w:type="dxa"/>
            </w:tcMar>
            <w:vAlign w:val="center"/>
          </w:tcPr>
          <w:p w:rsidR="00E6467A" w:rsidRDefault="007A5689">
            <w:pPr>
              <w:jc w:val="center"/>
              <w:rPr>
                <w:b/>
                <w:color w:val="000000"/>
                <w:sz w:val="18"/>
                <w:szCs w:val="18"/>
              </w:rPr>
            </w:pPr>
            <w:r>
              <w:rPr>
                <w:b/>
                <w:color w:val="000000"/>
                <w:sz w:val="16"/>
                <w:szCs w:val="16"/>
              </w:rPr>
              <w:t>-0.27 (0.12)</w:t>
            </w:r>
          </w:p>
        </w:tc>
        <w:tc>
          <w:tcPr>
            <w:tcW w:w="547" w:type="dxa"/>
            <w:vMerge w:val="restart"/>
            <w:tcBorders>
              <w:top w:val="nil"/>
              <w:left w:val="nil"/>
              <w:bottom w:val="single" w:sz="8" w:space="0" w:color="000000"/>
              <w:right w:val="nil"/>
            </w:tcBorders>
            <w:shd w:val="clear" w:color="auto" w:fill="FBEFF2"/>
            <w:tcMar>
              <w:left w:w="28" w:type="dxa"/>
              <w:right w:w="28" w:type="dxa"/>
            </w:tcMar>
            <w:vAlign w:val="center"/>
          </w:tcPr>
          <w:p w:rsidR="00E6467A" w:rsidRDefault="007A5689">
            <w:pPr>
              <w:jc w:val="center"/>
              <w:rPr>
                <w:color w:val="000000"/>
                <w:sz w:val="18"/>
                <w:szCs w:val="18"/>
              </w:rPr>
            </w:pPr>
            <w:r>
              <w:rPr>
                <w:color w:val="000000"/>
                <w:sz w:val="16"/>
                <w:szCs w:val="16"/>
              </w:rPr>
              <w:t>0.00 (0.14)</w:t>
            </w:r>
          </w:p>
        </w:tc>
        <w:tc>
          <w:tcPr>
            <w:tcW w:w="547" w:type="dxa"/>
            <w:vMerge w:val="restart"/>
            <w:tcBorders>
              <w:top w:val="nil"/>
              <w:left w:val="nil"/>
              <w:bottom w:val="single" w:sz="8" w:space="0" w:color="000000"/>
              <w:right w:val="nil"/>
            </w:tcBorders>
            <w:shd w:val="clear" w:color="auto" w:fill="FBF6F9"/>
            <w:tcMar>
              <w:left w:w="28" w:type="dxa"/>
              <w:right w:w="28" w:type="dxa"/>
            </w:tcMar>
            <w:vAlign w:val="center"/>
          </w:tcPr>
          <w:p w:rsidR="00E6467A" w:rsidRDefault="007A5689">
            <w:pPr>
              <w:jc w:val="center"/>
              <w:rPr>
                <w:color w:val="000000"/>
                <w:sz w:val="18"/>
                <w:szCs w:val="18"/>
              </w:rPr>
            </w:pPr>
            <w:r>
              <w:rPr>
                <w:color w:val="000000"/>
                <w:sz w:val="16"/>
                <w:szCs w:val="16"/>
              </w:rPr>
              <w:t>0.04 (0.16)</w:t>
            </w:r>
          </w:p>
        </w:tc>
        <w:tc>
          <w:tcPr>
            <w:tcW w:w="547" w:type="dxa"/>
            <w:vMerge w:val="restart"/>
            <w:tcBorders>
              <w:top w:val="nil"/>
              <w:left w:val="nil"/>
              <w:bottom w:val="single" w:sz="8" w:space="0" w:color="000000"/>
              <w:right w:val="nil"/>
            </w:tcBorders>
            <w:shd w:val="clear" w:color="auto" w:fill="F87173"/>
            <w:tcMar>
              <w:left w:w="28" w:type="dxa"/>
              <w:right w:w="28" w:type="dxa"/>
            </w:tcMar>
            <w:vAlign w:val="center"/>
          </w:tcPr>
          <w:p w:rsidR="00E6467A" w:rsidRDefault="007A5689">
            <w:pPr>
              <w:jc w:val="center"/>
              <w:rPr>
                <w:b/>
                <w:color w:val="000000"/>
                <w:sz w:val="18"/>
                <w:szCs w:val="18"/>
              </w:rPr>
            </w:pPr>
            <w:r>
              <w:rPr>
                <w:b/>
                <w:color w:val="000000"/>
                <w:sz w:val="16"/>
                <w:szCs w:val="16"/>
              </w:rPr>
              <w:t>-0.72 (0.28)</w:t>
            </w:r>
          </w:p>
        </w:tc>
        <w:tc>
          <w:tcPr>
            <w:tcW w:w="547" w:type="dxa"/>
            <w:vMerge w:val="restart"/>
            <w:tcBorders>
              <w:top w:val="nil"/>
              <w:left w:val="nil"/>
              <w:bottom w:val="single" w:sz="8" w:space="0" w:color="000000"/>
              <w:right w:val="nil"/>
            </w:tcBorders>
            <w:shd w:val="clear" w:color="auto" w:fill="E0E8F5"/>
            <w:tcMar>
              <w:left w:w="28" w:type="dxa"/>
              <w:right w:w="28" w:type="dxa"/>
            </w:tcMar>
            <w:vAlign w:val="center"/>
          </w:tcPr>
          <w:p w:rsidR="00E6467A" w:rsidRDefault="007A5689">
            <w:pPr>
              <w:jc w:val="center"/>
              <w:rPr>
                <w:b/>
                <w:color w:val="000000"/>
                <w:sz w:val="18"/>
                <w:szCs w:val="18"/>
              </w:rPr>
            </w:pPr>
            <w:r>
              <w:rPr>
                <w:b/>
                <w:color w:val="000000"/>
                <w:sz w:val="16"/>
                <w:szCs w:val="16"/>
              </w:rPr>
              <w:t>0.28 (0.10)</w:t>
            </w:r>
          </w:p>
        </w:tc>
      </w:tr>
      <w:tr w:rsidR="00E6467A">
        <w:trPr>
          <w:trHeight w:val="276"/>
        </w:trPr>
        <w:tc>
          <w:tcPr>
            <w:tcW w:w="860" w:type="dxa"/>
            <w:vMerge/>
            <w:tcBorders>
              <w:top w:val="nil"/>
              <w:left w:val="nil"/>
              <w:bottom w:val="single" w:sz="8" w:space="0" w:color="000000"/>
              <w:right w:val="nil"/>
            </w:tcBorders>
            <w:shd w:val="clear" w:color="auto" w:fill="auto"/>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6" w:type="dxa"/>
            <w:vMerge/>
            <w:tcBorders>
              <w:top w:val="nil"/>
              <w:left w:val="nil"/>
              <w:bottom w:val="single" w:sz="8" w:space="0" w:color="000000"/>
              <w:right w:val="nil"/>
            </w:tcBorders>
            <w:shd w:val="clear" w:color="auto" w:fill="5A8AC6"/>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6390C9"/>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7FA4D3"/>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BFD1EA"/>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FAD7D9"/>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FBDEE1"/>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FBDADD"/>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D1DEF0"/>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FAC0C3"/>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FBEFF2"/>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FBF6F9"/>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F87173"/>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c>
          <w:tcPr>
            <w:tcW w:w="547" w:type="dxa"/>
            <w:vMerge/>
            <w:tcBorders>
              <w:top w:val="nil"/>
              <w:left w:val="nil"/>
              <w:bottom w:val="single" w:sz="8" w:space="0" w:color="000000"/>
              <w:right w:val="nil"/>
            </w:tcBorders>
            <w:shd w:val="clear" w:color="auto" w:fill="E0E8F5"/>
            <w:tcMar>
              <w:left w:w="28" w:type="dxa"/>
              <w:right w:w="28" w:type="dxa"/>
            </w:tcMar>
            <w:vAlign w:val="center"/>
          </w:tcPr>
          <w:p w:rsidR="00E6467A" w:rsidRDefault="00E6467A">
            <w:pPr>
              <w:widowControl w:val="0"/>
              <w:pBdr>
                <w:top w:val="nil"/>
                <w:left w:val="nil"/>
                <w:bottom w:val="nil"/>
                <w:right w:val="nil"/>
                <w:between w:val="nil"/>
              </w:pBdr>
              <w:spacing w:line="276" w:lineRule="auto"/>
              <w:rPr>
                <w:b/>
                <w:color w:val="000000"/>
                <w:sz w:val="18"/>
                <w:szCs w:val="18"/>
              </w:rPr>
            </w:pPr>
          </w:p>
        </w:tc>
      </w:tr>
    </w:tbl>
    <w:p w:rsidR="00E6467A" w:rsidRDefault="007A5689">
      <w:pPr>
        <w:widowControl w:val="0"/>
        <w:spacing w:line="360" w:lineRule="auto"/>
        <w:jc w:val="both"/>
        <w:rPr>
          <w:color w:val="000000"/>
          <w:sz w:val="18"/>
          <w:szCs w:val="18"/>
        </w:rPr>
      </w:pPr>
      <w:r>
        <w:rPr>
          <w:color w:val="000000"/>
          <w:sz w:val="18"/>
          <w:szCs w:val="18"/>
        </w:rPr>
        <w:t xml:space="preserve">Bolded correlation coefficients are significant p &lt; 0.05 (uncorrected). Underlined are significant after Bonferroni correction p </w:t>
      </w:r>
      <m:oMath>
        <m:r>
          <w:rPr>
            <w:rFonts w:ascii="Cambria Math" w:hAnsi="Cambria Math"/>
          </w:rPr>
          <m:t>≤</m:t>
        </m:r>
      </m:oMath>
      <w:r>
        <w:rPr>
          <w:color w:val="000000"/>
          <w:sz w:val="18"/>
          <w:szCs w:val="18"/>
        </w:rPr>
        <w:t xml:space="preserve"> 0.001 (0.05/39). Red cells represent negative correlations and blue, positive correlations. Intercepts were not constrained in any of these analyses.  Statistical differences in correlation coefficients between academic subjects and traits were tested wit</w:t>
      </w:r>
      <w:r>
        <w:rPr>
          <w:color w:val="000000"/>
          <w:sz w:val="18"/>
          <w:szCs w:val="18"/>
        </w:rPr>
        <w:t xml:space="preserve">h a z-test, none of the correlations were significantly different from one another.  </w:t>
      </w:r>
      <w:r>
        <w:rPr>
          <w:color w:val="000000"/>
          <w:sz w:val="18"/>
          <w:szCs w:val="18"/>
          <w:highlight w:val="yellow"/>
        </w:rPr>
        <w:t>Estimates &gt; 1 are not uncommon in LDSC regression particularly if there is some sample overlap; it suggests that the estimation is close to 1 with error.</w:t>
      </w:r>
      <w:r>
        <w:rPr>
          <w:color w:val="000000"/>
          <w:sz w:val="18"/>
          <w:szCs w:val="18"/>
        </w:rPr>
        <w:t xml:space="preserve">  </w:t>
      </w:r>
    </w:p>
    <w:p w:rsidR="00E6467A" w:rsidRDefault="00E6467A">
      <w:pPr>
        <w:widowControl w:val="0"/>
        <w:spacing w:line="360" w:lineRule="auto"/>
        <w:rPr>
          <w:color w:val="000000"/>
          <w:sz w:val="22"/>
          <w:szCs w:val="22"/>
        </w:rPr>
      </w:pPr>
    </w:p>
    <w:p w:rsidR="00E6467A" w:rsidRDefault="007A5689">
      <w:pPr>
        <w:spacing w:line="360" w:lineRule="auto"/>
        <w:jc w:val="both"/>
        <w:rPr>
          <w:color w:val="000000"/>
          <w:sz w:val="22"/>
          <w:szCs w:val="22"/>
        </w:rPr>
      </w:pPr>
      <w:r>
        <w:rPr>
          <w:b/>
          <w:color w:val="000000"/>
          <w:sz w:val="20"/>
          <w:szCs w:val="20"/>
        </w:rPr>
        <w:t>Table 7</w:t>
      </w:r>
      <w:r>
        <w:rPr>
          <w:color w:val="000000"/>
          <w:sz w:val="20"/>
          <w:szCs w:val="20"/>
        </w:rPr>
        <w:t xml:space="preserve">: Sample descriptive statistics. Academic attainment scores are the sum of residuals from age and sex regressed linear models of individual SAT scores at age 11 (Key Stage 2) and 14 (Key Stage 3). Attainment in other subjects (e.g. English-AA) or IQ (e.g. </w:t>
      </w:r>
      <w:r>
        <w:rPr>
          <w:color w:val="000000"/>
          <w:sz w:val="20"/>
          <w:szCs w:val="20"/>
        </w:rPr>
        <w:t>English-IQ) were then regressed out to provide AA and IQ regressed scores to assess independent genetics effects.</w:t>
      </w:r>
    </w:p>
    <w:tbl>
      <w:tblPr>
        <w:tblStyle w:val="a5"/>
        <w:tblW w:w="8272" w:type="dxa"/>
        <w:jc w:val="center"/>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992"/>
        <w:gridCol w:w="992"/>
        <w:gridCol w:w="1893"/>
      </w:tblGrid>
      <w:tr w:rsidR="00E6467A">
        <w:trPr>
          <w:trHeight w:val="446"/>
          <w:jc w:val="center"/>
        </w:trPr>
        <w:tc>
          <w:tcPr>
            <w:tcW w:w="4395" w:type="dxa"/>
            <w:tcBorders>
              <w:top w:val="single" w:sz="4" w:space="0" w:color="000000"/>
              <w:left w:val="nil"/>
              <w:bottom w:val="single" w:sz="4" w:space="0" w:color="000000"/>
              <w:right w:val="nil"/>
            </w:tcBorders>
          </w:tcPr>
          <w:p w:rsidR="00E6467A" w:rsidRDefault="007A5689">
            <w:pPr>
              <w:spacing w:line="360" w:lineRule="auto"/>
              <w:rPr>
                <w:color w:val="000000"/>
                <w:sz w:val="20"/>
                <w:szCs w:val="20"/>
              </w:rPr>
            </w:pPr>
            <w:r>
              <w:rPr>
                <w:color w:val="000000"/>
                <w:sz w:val="20"/>
                <w:szCs w:val="20"/>
              </w:rPr>
              <w:t>Measure</w:t>
            </w:r>
          </w:p>
        </w:tc>
        <w:tc>
          <w:tcPr>
            <w:tcW w:w="992" w:type="dxa"/>
            <w:tcBorders>
              <w:top w:val="single" w:sz="4" w:space="0" w:color="000000"/>
              <w:left w:val="nil"/>
              <w:bottom w:val="single" w:sz="4" w:space="0" w:color="000000"/>
              <w:right w:val="nil"/>
            </w:tcBorders>
          </w:tcPr>
          <w:p w:rsidR="00E6467A" w:rsidRDefault="007A5689">
            <w:pPr>
              <w:spacing w:line="360" w:lineRule="auto"/>
              <w:jc w:val="center"/>
              <w:rPr>
                <w:color w:val="000000"/>
                <w:sz w:val="20"/>
                <w:szCs w:val="20"/>
              </w:rPr>
            </w:pPr>
            <w:r>
              <w:rPr>
                <w:color w:val="000000"/>
                <w:sz w:val="20"/>
                <w:szCs w:val="20"/>
              </w:rPr>
              <w:t>N</w:t>
            </w:r>
          </w:p>
        </w:tc>
        <w:tc>
          <w:tcPr>
            <w:tcW w:w="992" w:type="dxa"/>
            <w:tcBorders>
              <w:top w:val="single" w:sz="4" w:space="0" w:color="000000"/>
              <w:left w:val="nil"/>
              <w:bottom w:val="single" w:sz="4" w:space="0" w:color="000000"/>
              <w:right w:val="nil"/>
            </w:tcBorders>
          </w:tcPr>
          <w:p w:rsidR="00E6467A" w:rsidRDefault="007A5689">
            <w:pPr>
              <w:spacing w:line="360" w:lineRule="auto"/>
              <w:jc w:val="center"/>
              <w:rPr>
                <w:color w:val="000000"/>
                <w:sz w:val="20"/>
                <w:szCs w:val="20"/>
              </w:rPr>
            </w:pPr>
            <w:r>
              <w:rPr>
                <w:color w:val="000000"/>
                <w:sz w:val="20"/>
                <w:szCs w:val="20"/>
              </w:rPr>
              <w:t>N males</w:t>
            </w:r>
          </w:p>
        </w:tc>
        <w:tc>
          <w:tcPr>
            <w:tcW w:w="1893" w:type="dxa"/>
            <w:tcBorders>
              <w:top w:val="single" w:sz="4" w:space="0" w:color="000000"/>
              <w:left w:val="nil"/>
              <w:bottom w:val="single" w:sz="4" w:space="0" w:color="000000"/>
              <w:right w:val="nil"/>
            </w:tcBorders>
          </w:tcPr>
          <w:p w:rsidR="00E6467A" w:rsidRDefault="007A5689">
            <w:pPr>
              <w:spacing w:line="360" w:lineRule="auto"/>
              <w:jc w:val="center"/>
              <w:rPr>
                <w:color w:val="000000"/>
                <w:sz w:val="20"/>
                <w:szCs w:val="20"/>
              </w:rPr>
            </w:pPr>
            <w:r>
              <w:rPr>
                <w:color w:val="000000"/>
                <w:sz w:val="20"/>
                <w:szCs w:val="20"/>
              </w:rPr>
              <w:t>Range (SD)</w:t>
            </w:r>
          </w:p>
        </w:tc>
      </w:tr>
      <w:tr w:rsidR="00E6467A">
        <w:trPr>
          <w:trHeight w:val="128"/>
          <w:jc w:val="center"/>
        </w:trPr>
        <w:tc>
          <w:tcPr>
            <w:tcW w:w="4395" w:type="dxa"/>
            <w:tcBorders>
              <w:top w:val="single" w:sz="4" w:space="0" w:color="000000"/>
              <w:left w:val="nil"/>
              <w:bottom w:val="nil"/>
              <w:right w:val="nil"/>
            </w:tcBorders>
          </w:tcPr>
          <w:p w:rsidR="00E6467A" w:rsidRDefault="007A5689">
            <w:pPr>
              <w:spacing w:line="276" w:lineRule="auto"/>
              <w:rPr>
                <w:color w:val="000000"/>
                <w:sz w:val="20"/>
                <w:szCs w:val="20"/>
              </w:rPr>
            </w:pPr>
            <w:r>
              <w:rPr>
                <w:color w:val="000000"/>
                <w:sz w:val="20"/>
                <w:szCs w:val="20"/>
              </w:rPr>
              <w:t>English</w:t>
            </w:r>
          </w:p>
        </w:tc>
        <w:tc>
          <w:tcPr>
            <w:tcW w:w="992" w:type="dxa"/>
            <w:tcBorders>
              <w:top w:val="single" w:sz="4" w:space="0" w:color="000000"/>
              <w:left w:val="nil"/>
              <w:bottom w:val="nil"/>
              <w:right w:val="nil"/>
            </w:tcBorders>
          </w:tcPr>
          <w:p w:rsidR="00E6467A" w:rsidRDefault="007A5689">
            <w:pPr>
              <w:spacing w:line="276" w:lineRule="auto"/>
              <w:jc w:val="center"/>
              <w:rPr>
                <w:color w:val="000000"/>
                <w:sz w:val="20"/>
                <w:szCs w:val="20"/>
              </w:rPr>
            </w:pPr>
            <w:r>
              <w:rPr>
                <w:color w:val="000000"/>
                <w:sz w:val="20"/>
                <w:szCs w:val="20"/>
              </w:rPr>
              <w:t>5,983</w:t>
            </w:r>
          </w:p>
        </w:tc>
        <w:tc>
          <w:tcPr>
            <w:tcW w:w="992" w:type="dxa"/>
            <w:tcBorders>
              <w:top w:val="single" w:sz="4" w:space="0" w:color="000000"/>
              <w:left w:val="nil"/>
              <w:bottom w:val="nil"/>
              <w:right w:val="nil"/>
            </w:tcBorders>
          </w:tcPr>
          <w:p w:rsidR="00E6467A" w:rsidRDefault="007A5689">
            <w:pPr>
              <w:spacing w:line="276" w:lineRule="auto"/>
              <w:jc w:val="center"/>
              <w:rPr>
                <w:color w:val="000000"/>
                <w:sz w:val="20"/>
                <w:szCs w:val="20"/>
              </w:rPr>
            </w:pPr>
            <w:r>
              <w:rPr>
                <w:color w:val="000000"/>
                <w:sz w:val="20"/>
                <w:szCs w:val="20"/>
              </w:rPr>
              <w:t>2,909</w:t>
            </w:r>
          </w:p>
        </w:tc>
        <w:tc>
          <w:tcPr>
            <w:tcW w:w="1893" w:type="dxa"/>
            <w:tcBorders>
              <w:top w:val="single" w:sz="4" w:space="0" w:color="000000"/>
              <w:left w:val="nil"/>
              <w:bottom w:val="nil"/>
              <w:right w:val="nil"/>
            </w:tcBorders>
          </w:tcPr>
          <w:p w:rsidR="00E6467A" w:rsidRDefault="007A5689">
            <w:pPr>
              <w:spacing w:line="276" w:lineRule="auto"/>
              <w:jc w:val="center"/>
              <w:rPr>
                <w:color w:val="000000"/>
                <w:sz w:val="20"/>
                <w:szCs w:val="20"/>
              </w:rPr>
            </w:pPr>
            <w:r>
              <w:rPr>
                <w:color w:val="000000"/>
                <w:sz w:val="20"/>
                <w:szCs w:val="20"/>
              </w:rPr>
              <w:t>-2.50 - 1.48 (0.68)</w:t>
            </w:r>
          </w:p>
        </w:tc>
      </w:tr>
      <w:tr w:rsidR="00E6467A">
        <w:trPr>
          <w:trHeight w:val="262"/>
          <w:jc w:val="center"/>
        </w:trPr>
        <w:tc>
          <w:tcPr>
            <w:tcW w:w="4395" w:type="dxa"/>
            <w:tcBorders>
              <w:top w:val="nil"/>
              <w:left w:val="nil"/>
              <w:bottom w:val="nil"/>
              <w:right w:val="nil"/>
            </w:tcBorders>
          </w:tcPr>
          <w:p w:rsidR="00E6467A" w:rsidRDefault="007A5689">
            <w:pPr>
              <w:spacing w:line="276" w:lineRule="auto"/>
              <w:rPr>
                <w:color w:val="000000"/>
                <w:sz w:val="20"/>
                <w:szCs w:val="20"/>
              </w:rPr>
            </w:pPr>
            <w:r>
              <w:rPr>
                <w:color w:val="000000"/>
                <w:sz w:val="20"/>
                <w:szCs w:val="20"/>
              </w:rPr>
              <w:t>Maths</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6,017</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2,950</w:t>
            </w:r>
          </w:p>
        </w:tc>
        <w:tc>
          <w:tcPr>
            <w:tcW w:w="1893"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-2.77 - 1.90 (0.89)</w:t>
            </w:r>
          </w:p>
        </w:tc>
      </w:tr>
      <w:tr w:rsidR="00E6467A">
        <w:trPr>
          <w:trHeight w:val="70"/>
          <w:jc w:val="center"/>
        </w:trPr>
        <w:tc>
          <w:tcPr>
            <w:tcW w:w="4395" w:type="dxa"/>
            <w:tcBorders>
              <w:top w:val="nil"/>
              <w:left w:val="nil"/>
              <w:bottom w:val="nil"/>
              <w:right w:val="nil"/>
            </w:tcBorders>
          </w:tcPr>
          <w:p w:rsidR="00E6467A" w:rsidRDefault="007A5689">
            <w:pPr>
              <w:spacing w:line="276" w:lineRule="auto"/>
              <w:rPr>
                <w:color w:val="000000"/>
                <w:sz w:val="20"/>
                <w:szCs w:val="20"/>
              </w:rPr>
            </w:pPr>
            <w:r>
              <w:rPr>
                <w:color w:val="000000"/>
                <w:sz w:val="20"/>
                <w:szCs w:val="20"/>
              </w:rPr>
              <w:t>Science</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6,089</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2,995</w:t>
            </w:r>
          </w:p>
        </w:tc>
        <w:tc>
          <w:tcPr>
            <w:tcW w:w="1893"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-2.63 - 1.18 (0.73)</w:t>
            </w:r>
          </w:p>
        </w:tc>
      </w:tr>
      <w:tr w:rsidR="00E6467A">
        <w:trPr>
          <w:trHeight w:val="70"/>
          <w:jc w:val="center"/>
        </w:trPr>
        <w:tc>
          <w:tcPr>
            <w:tcW w:w="4395" w:type="dxa"/>
            <w:tcBorders>
              <w:top w:val="nil"/>
              <w:left w:val="nil"/>
              <w:bottom w:val="nil"/>
              <w:right w:val="nil"/>
            </w:tcBorders>
          </w:tcPr>
          <w:p w:rsidR="00E6467A" w:rsidRDefault="007A5689">
            <w:pPr>
              <w:spacing w:line="276" w:lineRule="auto"/>
              <w:rPr>
                <w:color w:val="000000"/>
                <w:sz w:val="20"/>
                <w:szCs w:val="20"/>
              </w:rPr>
            </w:pPr>
            <w:r>
              <w:rPr>
                <w:color w:val="000000"/>
                <w:sz w:val="20"/>
                <w:szCs w:val="20"/>
              </w:rPr>
              <w:t>English-AA (with Maths + Science regressed out)</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5,895</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2,871</w:t>
            </w:r>
          </w:p>
        </w:tc>
        <w:tc>
          <w:tcPr>
            <w:tcW w:w="1893" w:type="dxa"/>
            <w:tcBorders>
              <w:top w:val="nil"/>
              <w:left w:val="nil"/>
              <w:bottom w:val="nil"/>
              <w:right w:val="nil"/>
            </w:tcBorders>
          </w:tcPr>
          <w:p w:rsidR="00E6467A" w:rsidRDefault="007A5689">
            <w:pPr>
              <w:jc w:val="center"/>
              <w:rPr>
                <w:color w:val="000000"/>
                <w:sz w:val="20"/>
                <w:szCs w:val="20"/>
              </w:rPr>
            </w:pPr>
            <w:r>
              <w:rPr>
                <w:color w:val="000000"/>
                <w:sz w:val="20"/>
                <w:szCs w:val="20"/>
              </w:rPr>
              <w:t>-2.03 - 2.02 (0.48)</w:t>
            </w:r>
          </w:p>
        </w:tc>
      </w:tr>
      <w:tr w:rsidR="00E6467A">
        <w:trPr>
          <w:trHeight w:val="70"/>
          <w:jc w:val="center"/>
        </w:trPr>
        <w:tc>
          <w:tcPr>
            <w:tcW w:w="4395" w:type="dxa"/>
            <w:tcBorders>
              <w:top w:val="nil"/>
              <w:left w:val="nil"/>
              <w:bottom w:val="nil"/>
              <w:right w:val="nil"/>
            </w:tcBorders>
          </w:tcPr>
          <w:p w:rsidR="00E6467A" w:rsidRDefault="007A5689">
            <w:pPr>
              <w:spacing w:line="276" w:lineRule="auto"/>
              <w:rPr>
                <w:color w:val="000000"/>
                <w:sz w:val="20"/>
                <w:szCs w:val="20"/>
              </w:rPr>
            </w:pPr>
            <w:r>
              <w:rPr>
                <w:color w:val="000000"/>
                <w:sz w:val="20"/>
                <w:szCs w:val="20"/>
              </w:rPr>
              <w:t>Maths-AA (with English + Science regressed out)</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5,895</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2,871</w:t>
            </w:r>
          </w:p>
        </w:tc>
        <w:tc>
          <w:tcPr>
            <w:tcW w:w="1893" w:type="dxa"/>
            <w:tcBorders>
              <w:top w:val="nil"/>
              <w:left w:val="nil"/>
              <w:bottom w:val="nil"/>
              <w:right w:val="nil"/>
            </w:tcBorders>
          </w:tcPr>
          <w:p w:rsidR="00E6467A" w:rsidRDefault="007A5689">
            <w:pPr>
              <w:jc w:val="center"/>
              <w:rPr>
                <w:color w:val="000000"/>
                <w:sz w:val="20"/>
                <w:szCs w:val="20"/>
              </w:rPr>
            </w:pPr>
            <w:r>
              <w:rPr>
                <w:color w:val="000000"/>
                <w:sz w:val="20"/>
                <w:szCs w:val="20"/>
              </w:rPr>
              <w:t>-2.40 - 2.17 (0.59)</w:t>
            </w:r>
          </w:p>
        </w:tc>
      </w:tr>
      <w:tr w:rsidR="00E6467A">
        <w:trPr>
          <w:trHeight w:val="70"/>
          <w:jc w:val="center"/>
        </w:trPr>
        <w:tc>
          <w:tcPr>
            <w:tcW w:w="4395" w:type="dxa"/>
            <w:tcBorders>
              <w:top w:val="nil"/>
              <w:left w:val="nil"/>
              <w:bottom w:val="nil"/>
              <w:right w:val="nil"/>
            </w:tcBorders>
          </w:tcPr>
          <w:p w:rsidR="00E6467A" w:rsidRDefault="007A5689">
            <w:pPr>
              <w:spacing w:line="276" w:lineRule="auto"/>
              <w:rPr>
                <w:color w:val="000000"/>
                <w:sz w:val="20"/>
                <w:szCs w:val="20"/>
              </w:rPr>
            </w:pPr>
            <w:r>
              <w:rPr>
                <w:color w:val="000000"/>
                <w:sz w:val="20"/>
                <w:szCs w:val="20"/>
              </w:rPr>
              <w:t>Science-AA (with English + Maths regressed out)</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5,895</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2,871</w:t>
            </w:r>
          </w:p>
        </w:tc>
        <w:tc>
          <w:tcPr>
            <w:tcW w:w="1893" w:type="dxa"/>
            <w:tcBorders>
              <w:top w:val="nil"/>
              <w:left w:val="nil"/>
              <w:bottom w:val="nil"/>
              <w:right w:val="nil"/>
            </w:tcBorders>
          </w:tcPr>
          <w:p w:rsidR="00E6467A" w:rsidRDefault="007A5689">
            <w:pPr>
              <w:jc w:val="center"/>
              <w:rPr>
                <w:color w:val="000000"/>
                <w:sz w:val="20"/>
                <w:szCs w:val="20"/>
              </w:rPr>
            </w:pPr>
            <w:r>
              <w:rPr>
                <w:color w:val="000000"/>
                <w:sz w:val="20"/>
                <w:szCs w:val="20"/>
              </w:rPr>
              <w:t>-1.52 - 1.50 (0.44)</w:t>
            </w:r>
          </w:p>
        </w:tc>
      </w:tr>
      <w:tr w:rsidR="00E6467A">
        <w:trPr>
          <w:trHeight w:val="70"/>
          <w:jc w:val="center"/>
        </w:trPr>
        <w:tc>
          <w:tcPr>
            <w:tcW w:w="4395" w:type="dxa"/>
            <w:tcBorders>
              <w:top w:val="nil"/>
              <w:left w:val="nil"/>
              <w:bottom w:val="nil"/>
              <w:right w:val="nil"/>
            </w:tcBorders>
          </w:tcPr>
          <w:p w:rsidR="00E6467A" w:rsidRDefault="007A5689">
            <w:pPr>
              <w:spacing w:line="276" w:lineRule="auto"/>
              <w:rPr>
                <w:color w:val="000000"/>
                <w:sz w:val="20"/>
                <w:szCs w:val="20"/>
              </w:rPr>
            </w:pPr>
            <w:r>
              <w:rPr>
                <w:color w:val="000000"/>
                <w:sz w:val="20"/>
                <w:szCs w:val="20"/>
              </w:rPr>
              <w:t>English-IQ (with IQ regressed out)</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3,197</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1,484</w:t>
            </w:r>
          </w:p>
        </w:tc>
        <w:tc>
          <w:tcPr>
            <w:tcW w:w="1893" w:type="dxa"/>
            <w:tcBorders>
              <w:top w:val="nil"/>
              <w:left w:val="nil"/>
              <w:bottom w:val="nil"/>
              <w:right w:val="nil"/>
            </w:tcBorders>
          </w:tcPr>
          <w:p w:rsidR="00E6467A" w:rsidRDefault="007A5689">
            <w:pPr>
              <w:jc w:val="center"/>
              <w:rPr>
                <w:color w:val="000000"/>
                <w:sz w:val="20"/>
                <w:szCs w:val="20"/>
              </w:rPr>
            </w:pPr>
            <w:r>
              <w:rPr>
                <w:color w:val="000000"/>
                <w:sz w:val="20"/>
                <w:szCs w:val="20"/>
              </w:rPr>
              <w:t>-2.33 - 1.94 (0.56)</w:t>
            </w:r>
          </w:p>
        </w:tc>
      </w:tr>
      <w:tr w:rsidR="00E6467A">
        <w:trPr>
          <w:trHeight w:val="70"/>
          <w:jc w:val="center"/>
        </w:trPr>
        <w:tc>
          <w:tcPr>
            <w:tcW w:w="4395" w:type="dxa"/>
            <w:tcBorders>
              <w:top w:val="nil"/>
              <w:left w:val="nil"/>
              <w:bottom w:val="nil"/>
              <w:right w:val="nil"/>
            </w:tcBorders>
          </w:tcPr>
          <w:p w:rsidR="00E6467A" w:rsidRDefault="007A5689">
            <w:pPr>
              <w:spacing w:line="276" w:lineRule="auto"/>
              <w:jc w:val="both"/>
              <w:rPr>
                <w:color w:val="000000"/>
                <w:sz w:val="20"/>
                <w:szCs w:val="20"/>
              </w:rPr>
            </w:pPr>
            <w:r>
              <w:rPr>
                <w:color w:val="000000"/>
                <w:sz w:val="20"/>
                <w:szCs w:val="20"/>
              </w:rPr>
              <w:t>Maths-IQ (with IQ regressed out)</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3,212</w:t>
            </w:r>
          </w:p>
        </w:tc>
        <w:tc>
          <w:tcPr>
            <w:tcW w:w="992" w:type="dxa"/>
            <w:tcBorders>
              <w:top w:val="nil"/>
              <w:left w:val="nil"/>
              <w:bottom w:val="nil"/>
              <w:right w:val="nil"/>
            </w:tcBorders>
          </w:tcPr>
          <w:p w:rsidR="00E6467A" w:rsidRDefault="007A5689">
            <w:pPr>
              <w:spacing w:line="276" w:lineRule="auto"/>
              <w:jc w:val="center"/>
              <w:rPr>
                <w:color w:val="000000"/>
                <w:sz w:val="20"/>
                <w:szCs w:val="20"/>
              </w:rPr>
            </w:pPr>
            <w:r>
              <w:rPr>
                <w:color w:val="000000"/>
                <w:sz w:val="20"/>
                <w:szCs w:val="20"/>
              </w:rPr>
              <w:t>1,505</w:t>
            </w:r>
          </w:p>
        </w:tc>
        <w:tc>
          <w:tcPr>
            <w:tcW w:w="1893" w:type="dxa"/>
            <w:tcBorders>
              <w:top w:val="nil"/>
              <w:left w:val="nil"/>
              <w:bottom w:val="nil"/>
              <w:right w:val="nil"/>
            </w:tcBorders>
          </w:tcPr>
          <w:p w:rsidR="00E6467A" w:rsidRDefault="007A5689">
            <w:pPr>
              <w:jc w:val="center"/>
              <w:rPr>
                <w:color w:val="000000"/>
                <w:sz w:val="20"/>
                <w:szCs w:val="20"/>
              </w:rPr>
            </w:pPr>
            <w:r>
              <w:rPr>
                <w:color w:val="000000"/>
                <w:sz w:val="20"/>
                <w:szCs w:val="20"/>
              </w:rPr>
              <w:t>-2.52 - 2.16 (0.73)</w:t>
            </w:r>
          </w:p>
        </w:tc>
      </w:tr>
      <w:tr w:rsidR="00E6467A">
        <w:trPr>
          <w:trHeight w:val="325"/>
          <w:jc w:val="center"/>
        </w:trPr>
        <w:tc>
          <w:tcPr>
            <w:tcW w:w="4395" w:type="dxa"/>
            <w:tcBorders>
              <w:top w:val="nil"/>
              <w:left w:val="nil"/>
              <w:bottom w:val="single" w:sz="4" w:space="0" w:color="000000"/>
              <w:right w:val="nil"/>
            </w:tcBorders>
          </w:tcPr>
          <w:p w:rsidR="00E6467A" w:rsidRDefault="007A5689">
            <w:pPr>
              <w:spacing w:line="276" w:lineRule="auto"/>
              <w:jc w:val="both"/>
              <w:rPr>
                <w:color w:val="000000"/>
                <w:sz w:val="20"/>
                <w:szCs w:val="20"/>
              </w:rPr>
            </w:pPr>
            <w:r>
              <w:rPr>
                <w:color w:val="000000"/>
                <w:sz w:val="20"/>
                <w:szCs w:val="20"/>
              </w:rPr>
              <w:t>Science-IQ (with IQ regressed out)</w:t>
            </w:r>
          </w:p>
        </w:tc>
        <w:tc>
          <w:tcPr>
            <w:tcW w:w="992" w:type="dxa"/>
            <w:tcBorders>
              <w:top w:val="nil"/>
              <w:left w:val="nil"/>
              <w:bottom w:val="single" w:sz="4" w:space="0" w:color="000000"/>
              <w:right w:val="nil"/>
            </w:tcBorders>
          </w:tcPr>
          <w:p w:rsidR="00E6467A" w:rsidRDefault="007A5689">
            <w:pPr>
              <w:spacing w:line="276" w:lineRule="auto"/>
              <w:jc w:val="center"/>
              <w:rPr>
                <w:color w:val="000000"/>
                <w:sz w:val="20"/>
                <w:szCs w:val="20"/>
              </w:rPr>
            </w:pPr>
            <w:r>
              <w:rPr>
                <w:color w:val="000000"/>
                <w:sz w:val="20"/>
                <w:szCs w:val="20"/>
              </w:rPr>
              <w:t>3,260</w:t>
            </w:r>
          </w:p>
        </w:tc>
        <w:tc>
          <w:tcPr>
            <w:tcW w:w="992" w:type="dxa"/>
            <w:tcBorders>
              <w:top w:val="nil"/>
              <w:left w:val="nil"/>
              <w:bottom w:val="single" w:sz="4" w:space="0" w:color="000000"/>
              <w:right w:val="nil"/>
            </w:tcBorders>
          </w:tcPr>
          <w:p w:rsidR="00E6467A" w:rsidRDefault="007A5689">
            <w:pPr>
              <w:spacing w:line="276" w:lineRule="auto"/>
              <w:jc w:val="center"/>
              <w:rPr>
                <w:color w:val="000000"/>
                <w:sz w:val="20"/>
                <w:szCs w:val="20"/>
              </w:rPr>
            </w:pPr>
            <w:r>
              <w:rPr>
                <w:color w:val="000000"/>
                <w:sz w:val="20"/>
                <w:szCs w:val="20"/>
              </w:rPr>
              <w:t>1,531</w:t>
            </w:r>
          </w:p>
        </w:tc>
        <w:tc>
          <w:tcPr>
            <w:tcW w:w="1893" w:type="dxa"/>
            <w:tcBorders>
              <w:top w:val="nil"/>
              <w:left w:val="nil"/>
              <w:bottom w:val="single" w:sz="4" w:space="0" w:color="000000"/>
              <w:right w:val="nil"/>
            </w:tcBorders>
          </w:tcPr>
          <w:p w:rsidR="00E6467A" w:rsidRDefault="007A5689">
            <w:pPr>
              <w:jc w:val="center"/>
              <w:rPr>
                <w:color w:val="000000"/>
                <w:sz w:val="20"/>
                <w:szCs w:val="20"/>
              </w:rPr>
            </w:pPr>
            <w:r>
              <w:rPr>
                <w:color w:val="000000"/>
                <w:sz w:val="20"/>
                <w:szCs w:val="20"/>
              </w:rPr>
              <w:t>-2.64 - 1.75 (0.56)</w:t>
            </w:r>
          </w:p>
        </w:tc>
      </w:tr>
    </w:tbl>
    <w:p w:rsidR="00E6467A" w:rsidRDefault="00E6467A">
      <w:pPr>
        <w:widowControl w:val="0"/>
        <w:spacing w:line="360" w:lineRule="auto"/>
        <w:jc w:val="both"/>
        <w:rPr>
          <w:color w:val="000000"/>
          <w:sz w:val="22"/>
          <w:szCs w:val="22"/>
        </w:rPr>
      </w:pPr>
    </w:p>
    <w:p w:rsidR="00E6467A" w:rsidRDefault="00E6467A">
      <w:pPr>
        <w:widowControl w:val="0"/>
        <w:spacing w:line="360" w:lineRule="auto"/>
        <w:jc w:val="both"/>
        <w:rPr>
          <w:color w:val="000000"/>
          <w:sz w:val="22"/>
          <w:szCs w:val="22"/>
        </w:rPr>
      </w:pPr>
    </w:p>
    <w:sectPr w:rsidR="00E6467A">
      <w:footerReference w:type="even" r:id="rId14"/>
      <w:footerReference w:type="defaul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A5689">
      <w:r>
        <w:separator/>
      </w:r>
    </w:p>
  </w:endnote>
  <w:endnote w:type="continuationSeparator" w:id="0">
    <w:p w:rsidR="00000000" w:rsidRDefault="007A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7A" w:rsidRDefault="007A5689">
    <w:pPr>
      <w:pBdr>
        <w:top w:val="nil"/>
        <w:left w:val="nil"/>
        <w:bottom w:val="nil"/>
        <w:right w:val="nil"/>
        <w:between w:val="nil"/>
      </w:pBdr>
      <w:tabs>
        <w:tab w:val="center" w:pos="4513"/>
        <w:tab w:val="right" w:pos="9026"/>
      </w:tabs>
      <w:spacing w:line="360" w:lineRule="auto"/>
      <w:jc w:val="right"/>
      <w:rPr>
        <w:rFonts w:ascii="Georgia" w:eastAsia="Georgia" w:hAnsi="Georgia" w:cs="Georgia"/>
        <w:color w:val="000000"/>
        <w:sz w:val="22"/>
        <w:szCs w:val="22"/>
      </w:rPr>
    </w:pPr>
    <w:r>
      <w:rPr>
        <w:rFonts w:ascii="Georgia" w:eastAsia="Georgia" w:hAnsi="Georgia" w:cs="Georgia"/>
        <w:color w:val="000000"/>
        <w:sz w:val="22"/>
        <w:szCs w:val="22"/>
      </w:rPr>
      <w:fldChar w:fldCharType="begin"/>
    </w:r>
    <w:r>
      <w:rPr>
        <w:rFonts w:ascii="Georgia" w:eastAsia="Georgia" w:hAnsi="Georgia" w:cs="Georgia"/>
        <w:color w:val="000000"/>
        <w:sz w:val="22"/>
        <w:szCs w:val="22"/>
      </w:rPr>
      <w:instrText>PAGE</w:instrText>
    </w:r>
    <w:r>
      <w:rPr>
        <w:rFonts w:ascii="Georgia" w:eastAsia="Georgia" w:hAnsi="Georgia" w:cs="Georgia"/>
        <w:color w:val="000000"/>
        <w:sz w:val="22"/>
        <w:szCs w:val="22"/>
      </w:rPr>
      <w:fldChar w:fldCharType="end"/>
    </w:r>
  </w:p>
  <w:p w:rsidR="00E6467A" w:rsidRDefault="00E6467A">
    <w:pPr>
      <w:pBdr>
        <w:top w:val="nil"/>
        <w:left w:val="nil"/>
        <w:bottom w:val="nil"/>
        <w:right w:val="nil"/>
        <w:between w:val="nil"/>
      </w:pBdr>
      <w:tabs>
        <w:tab w:val="center" w:pos="4513"/>
        <w:tab w:val="right" w:pos="9026"/>
      </w:tabs>
      <w:spacing w:line="360" w:lineRule="auto"/>
      <w:ind w:right="360"/>
      <w:jc w:val="both"/>
      <w:rPr>
        <w:rFonts w:ascii="Georgia" w:eastAsia="Georgia" w:hAnsi="Georgia" w:cs="Georgia"/>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7A" w:rsidRDefault="007A5689">
    <w:pPr>
      <w:pBdr>
        <w:top w:val="nil"/>
        <w:left w:val="nil"/>
        <w:bottom w:val="nil"/>
        <w:right w:val="nil"/>
        <w:between w:val="nil"/>
      </w:pBdr>
      <w:tabs>
        <w:tab w:val="center" w:pos="4513"/>
        <w:tab w:val="right" w:pos="9026"/>
      </w:tabs>
      <w:spacing w:line="360" w:lineRule="auto"/>
      <w:jc w:val="right"/>
      <w:rPr>
        <w:rFonts w:ascii="Georgia" w:eastAsia="Georgia" w:hAnsi="Georgia" w:cs="Georgia"/>
        <w:color w:val="000000"/>
        <w:sz w:val="22"/>
        <w:szCs w:val="22"/>
      </w:rPr>
    </w:pPr>
    <w:r>
      <w:rPr>
        <w:rFonts w:ascii="Georgia" w:eastAsia="Georgia" w:hAnsi="Georgia" w:cs="Georgia"/>
        <w:color w:val="000000"/>
        <w:sz w:val="22"/>
        <w:szCs w:val="22"/>
      </w:rPr>
      <w:fldChar w:fldCharType="begin"/>
    </w:r>
    <w:r>
      <w:rPr>
        <w:rFonts w:ascii="Georgia" w:eastAsia="Georgia" w:hAnsi="Georgia" w:cs="Georgia"/>
        <w:color w:val="000000"/>
        <w:sz w:val="22"/>
        <w:szCs w:val="22"/>
      </w:rPr>
      <w:instrText>PAGE</w:instrText>
    </w:r>
    <w:r>
      <w:rPr>
        <w:rFonts w:ascii="Georgia" w:eastAsia="Georgia" w:hAnsi="Georgia" w:cs="Georgia"/>
        <w:color w:val="000000"/>
        <w:sz w:val="22"/>
        <w:szCs w:val="22"/>
      </w:rPr>
      <w:fldChar w:fldCharType="separate"/>
    </w:r>
    <w:r>
      <w:rPr>
        <w:rFonts w:ascii="Georgia" w:eastAsia="Georgia" w:hAnsi="Georgia" w:cs="Georgia"/>
        <w:noProof/>
        <w:color w:val="000000"/>
        <w:sz w:val="22"/>
        <w:szCs w:val="22"/>
      </w:rPr>
      <w:t>3</w:t>
    </w:r>
    <w:r>
      <w:rPr>
        <w:rFonts w:ascii="Georgia" w:eastAsia="Georgia" w:hAnsi="Georgia" w:cs="Georgia"/>
        <w:color w:val="000000"/>
        <w:sz w:val="22"/>
        <w:szCs w:val="22"/>
      </w:rPr>
      <w:fldChar w:fldCharType="end"/>
    </w:r>
  </w:p>
  <w:p w:rsidR="00E6467A" w:rsidRDefault="00E6467A">
    <w:pPr>
      <w:pBdr>
        <w:top w:val="nil"/>
        <w:left w:val="nil"/>
        <w:bottom w:val="nil"/>
        <w:right w:val="nil"/>
        <w:between w:val="nil"/>
      </w:pBdr>
      <w:tabs>
        <w:tab w:val="center" w:pos="4513"/>
        <w:tab w:val="right" w:pos="9026"/>
      </w:tabs>
      <w:spacing w:line="360" w:lineRule="auto"/>
      <w:ind w:right="360"/>
      <w:jc w:val="both"/>
      <w:rPr>
        <w:rFonts w:ascii="Georgia" w:eastAsia="Georgia" w:hAnsi="Georgia" w:cs="Georg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A5689">
      <w:r>
        <w:separator/>
      </w:r>
    </w:p>
  </w:footnote>
  <w:footnote w:type="continuationSeparator" w:id="0">
    <w:p w:rsidR="00000000" w:rsidRDefault="007A5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7A"/>
    <w:rsid w:val="007A5689"/>
    <w:rsid w:val="00E6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C5796-F99E-489D-9AC6-5EFB2B62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line="360" w:lineRule="auto"/>
      <w:outlineLvl w:val="0"/>
    </w:pPr>
    <w:rPr>
      <w:color w:val="000000"/>
    </w:rPr>
  </w:style>
  <w:style w:type="paragraph" w:styleId="Heading2">
    <w:name w:val="heading 2"/>
    <w:basedOn w:val="Normal"/>
    <w:next w:val="Normal"/>
    <w:pPr>
      <w:keepNext/>
      <w:keepLines/>
      <w:spacing w:before="40" w:after="120"/>
      <w:ind w:left="170"/>
      <w:outlineLvl w:val="1"/>
    </w:pPr>
    <w:rPr>
      <w:i/>
      <w:color w:val="000000"/>
      <w:sz w:val="22"/>
      <w:szCs w:val="22"/>
    </w:rPr>
  </w:style>
  <w:style w:type="paragraph" w:styleId="Heading3">
    <w:name w:val="heading 3"/>
    <w:basedOn w:val="Normal"/>
    <w:next w:val="Normal"/>
    <w:pPr>
      <w:keepNext/>
      <w:keepLines/>
      <w:spacing w:before="40" w:after="120" w:line="360" w:lineRule="auto"/>
      <w:ind w:left="144"/>
      <w:outlineLvl w:val="2"/>
    </w:pPr>
    <w:rPr>
      <w:color w:val="000000"/>
      <w:sz w:val="22"/>
      <w:szCs w:val="22"/>
    </w:rPr>
  </w:style>
  <w:style w:type="paragraph" w:styleId="Heading4">
    <w:name w:val="heading 4"/>
    <w:basedOn w:val="Normal"/>
    <w:next w:val="Normal"/>
    <w:pPr>
      <w:keepNext/>
      <w:keepLines/>
      <w:spacing w:before="40" w:after="120" w:line="360" w:lineRule="auto"/>
      <w:ind w:left="144"/>
      <w:jc w:val="both"/>
      <w:outlineLvl w:val="3"/>
    </w:pPr>
    <w:rPr>
      <w:rFonts w:ascii="Cambria" w:eastAsia="Cambria" w:hAnsi="Cambria" w:cs="Cambria"/>
      <w:color w:val="000000"/>
      <w:sz w:val="22"/>
      <w:szCs w:val="22"/>
    </w:rPr>
  </w:style>
  <w:style w:type="paragraph" w:styleId="Heading5">
    <w:name w:val="heading 5"/>
    <w:basedOn w:val="Normal"/>
    <w:next w:val="Normal"/>
    <w:pPr>
      <w:keepNext/>
      <w:keepLines/>
      <w:spacing w:before="40" w:line="480" w:lineRule="auto"/>
      <w:jc w:val="both"/>
      <w:outlineLvl w:val="4"/>
    </w:pPr>
    <w:rPr>
      <w:rFonts w:ascii="Georgia" w:eastAsia="Georgia" w:hAnsi="Georgia" w:cs="Georgia"/>
      <w:color w:val="000000"/>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120" w:line="276" w:lineRule="auto"/>
      <w:ind w:left="288"/>
      <w:jc w:val="both"/>
    </w:pPr>
    <w:rPr>
      <w:rFonts w:ascii="Cambria" w:eastAsia="Cambria" w:hAnsi="Cambria" w:cs="Cambria"/>
      <w:i/>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43" w:type="dxa"/>
        <w:right w:w="43"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color w:val="76923C"/>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76923C"/>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bristol.ac.uk/alspac/researchers/access/" TargetMode="External"/><Relationship Id="rId3" Type="http://schemas.openxmlformats.org/officeDocument/2006/relationships/webSettings" Target="webSettings.xml"/><Relationship Id="rId7" Type="http://schemas.openxmlformats.org/officeDocument/2006/relationships/hyperlink" Target="http://ldsc.broadinstitute.org/ldhub/" TargetMode="External"/><Relationship Id="rId12" Type="http://schemas.openxmlformats.org/officeDocument/2006/relationships/hyperlink" Target="http://www.teds.ac.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texportal.org" TargetMode="External"/><Relationship Id="rId11" Type="http://schemas.openxmlformats.org/officeDocument/2006/relationships/hyperlink" Target="http://ldsc.broadinstitute.or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gtexportal.org/home/" TargetMode="External"/><Relationship Id="rId4" Type="http://schemas.openxmlformats.org/officeDocument/2006/relationships/footnotes" Target="footnotes.xml"/><Relationship Id="rId9" Type="http://schemas.openxmlformats.org/officeDocument/2006/relationships/hyperlink" Target="http://www.bristol.ac.uk/alspac/researchers/our-dat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9094</Words>
  <Characters>51836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Asbury</dc:creator>
  <cp:lastModifiedBy>Kathryn Asbury</cp:lastModifiedBy>
  <cp:revision>2</cp:revision>
  <dcterms:created xsi:type="dcterms:W3CDTF">2021-01-20T19:42:00Z</dcterms:created>
  <dcterms:modified xsi:type="dcterms:W3CDTF">2021-01-20T19:42:00Z</dcterms:modified>
</cp:coreProperties>
</file>