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64158" w14:textId="00FA6575" w:rsidR="008C5FD9" w:rsidRPr="000D3EDD" w:rsidRDefault="001779C0" w:rsidP="000D3EDD">
      <w:pPr>
        <w:pStyle w:val="NormalWeb"/>
        <w:spacing w:before="0" w:beforeAutospacing="0" w:after="0" w:afterAutospacing="0" w:line="276" w:lineRule="auto"/>
        <w:rPr>
          <w:b/>
          <w:bCs/>
          <w:color w:val="000000" w:themeColor="text1"/>
        </w:rPr>
      </w:pPr>
      <w:r w:rsidRPr="000D3EDD">
        <w:rPr>
          <w:b/>
          <w:bCs/>
          <w:color w:val="000000" w:themeColor="text1"/>
        </w:rPr>
        <w:t xml:space="preserve">What is known about doctoral employment? </w:t>
      </w:r>
      <w:r w:rsidR="00460AC2" w:rsidRPr="000D3EDD">
        <w:rPr>
          <w:b/>
          <w:bCs/>
          <w:color w:val="000000" w:themeColor="text1"/>
        </w:rPr>
        <w:t>R</w:t>
      </w:r>
      <w:r w:rsidRPr="000D3EDD">
        <w:rPr>
          <w:b/>
          <w:bCs/>
          <w:color w:val="000000" w:themeColor="text1"/>
        </w:rPr>
        <w:t>eflections</w:t>
      </w:r>
      <w:r w:rsidR="00460AC2" w:rsidRPr="000D3EDD">
        <w:rPr>
          <w:b/>
          <w:bCs/>
          <w:color w:val="000000" w:themeColor="text1"/>
        </w:rPr>
        <w:t xml:space="preserve"> from a UK study</w:t>
      </w:r>
      <w:r w:rsidRPr="000D3EDD">
        <w:rPr>
          <w:b/>
          <w:bCs/>
          <w:color w:val="000000" w:themeColor="text1"/>
        </w:rPr>
        <w:t xml:space="preserve"> and directions for future research. </w:t>
      </w:r>
    </w:p>
    <w:p w14:paraId="12DD69DE" w14:textId="533317E1" w:rsidR="000D3EDD" w:rsidRPr="000D3EDD" w:rsidRDefault="000D3EDD" w:rsidP="000D3EDD">
      <w:pPr>
        <w:pStyle w:val="NormalWeb"/>
        <w:spacing w:before="0" w:beforeAutospacing="0" w:after="0" w:afterAutospacing="0" w:line="276" w:lineRule="auto"/>
        <w:rPr>
          <w:b/>
          <w:bCs/>
          <w:color w:val="000000" w:themeColor="text1"/>
        </w:rPr>
      </w:pPr>
    </w:p>
    <w:p w14:paraId="5CBFF99A" w14:textId="77777777" w:rsidR="00446DA1" w:rsidRDefault="00446DA1" w:rsidP="000D3EDD">
      <w:pPr>
        <w:pStyle w:val="NormalWeb"/>
        <w:spacing w:before="0" w:beforeAutospacing="0" w:after="0" w:afterAutospacing="0" w:line="276" w:lineRule="auto"/>
        <w:rPr>
          <w:color w:val="000000" w:themeColor="text1"/>
        </w:rPr>
      </w:pPr>
    </w:p>
    <w:p w14:paraId="6A27EF59" w14:textId="5E1813E4" w:rsidR="000D3EDD" w:rsidRPr="00446DA1" w:rsidRDefault="00446DA1" w:rsidP="000D3EDD">
      <w:pPr>
        <w:pStyle w:val="NormalWeb"/>
        <w:spacing w:before="0" w:beforeAutospacing="0" w:after="0" w:afterAutospacing="0" w:line="276" w:lineRule="auto"/>
        <w:rPr>
          <w:b/>
          <w:bCs/>
          <w:color w:val="000000" w:themeColor="text1"/>
        </w:rPr>
      </w:pPr>
      <w:r w:rsidRPr="00446DA1">
        <w:rPr>
          <w:b/>
          <w:bCs/>
          <w:color w:val="000000" w:themeColor="text1"/>
        </w:rPr>
        <w:t>Author details</w:t>
      </w:r>
    </w:p>
    <w:p w14:paraId="7F6FDF07" w14:textId="10727F42" w:rsidR="000D3EDD" w:rsidRPr="000D3EDD" w:rsidRDefault="000D3EDD" w:rsidP="000D3EDD">
      <w:pPr>
        <w:pStyle w:val="NormalWeb"/>
        <w:spacing w:before="0" w:beforeAutospacing="0" w:after="0" w:afterAutospacing="0" w:line="276" w:lineRule="auto"/>
        <w:rPr>
          <w:color w:val="000000" w:themeColor="text1"/>
        </w:rPr>
      </w:pPr>
      <w:r w:rsidRPr="000D3EDD">
        <w:rPr>
          <w:color w:val="000000" w:themeColor="text1"/>
        </w:rPr>
        <w:t xml:space="preserve">Sally Hancock, Department of Education, University of York UK. </w:t>
      </w:r>
    </w:p>
    <w:p w14:paraId="1388BAD5" w14:textId="0603E172" w:rsidR="000D3EDD" w:rsidRPr="000D3EDD" w:rsidRDefault="00320742" w:rsidP="000D3EDD">
      <w:pPr>
        <w:pStyle w:val="NormalWeb"/>
        <w:spacing w:before="0" w:beforeAutospacing="0" w:after="0" w:afterAutospacing="0" w:line="276" w:lineRule="auto"/>
        <w:rPr>
          <w:color w:val="000000" w:themeColor="text1"/>
        </w:rPr>
      </w:pPr>
      <w:hyperlink r:id="rId8" w:history="1">
        <w:r w:rsidR="000D3EDD" w:rsidRPr="000D3EDD">
          <w:rPr>
            <w:rStyle w:val="Hyperlink"/>
          </w:rPr>
          <w:t>sally.hancock@york.ac.uk</w:t>
        </w:r>
      </w:hyperlink>
    </w:p>
    <w:p w14:paraId="180D1E11" w14:textId="352ED1CB" w:rsidR="000D3EDD" w:rsidRPr="000D3EDD" w:rsidRDefault="000D3EDD" w:rsidP="000D3EDD">
      <w:r w:rsidRPr="000D3EDD">
        <w:rPr>
          <w:color w:val="000000" w:themeColor="text1"/>
        </w:rPr>
        <w:t>ORC</w:t>
      </w:r>
      <w:r>
        <w:rPr>
          <w:color w:val="000000" w:themeColor="text1"/>
        </w:rPr>
        <w:t>i</w:t>
      </w:r>
      <w:r w:rsidRPr="000D3EDD">
        <w:rPr>
          <w:color w:val="000000" w:themeColor="text1"/>
        </w:rPr>
        <w:t xml:space="preserve">D ID: </w:t>
      </w:r>
      <w:r w:rsidRPr="000D3EDD">
        <w:rPr>
          <w:color w:val="000000" w:themeColor="text1"/>
          <w:shd w:val="clear" w:color="auto" w:fill="FFFFFF"/>
        </w:rPr>
        <w:t>https://orcid.org/0000-0001-8488-2765</w:t>
      </w:r>
    </w:p>
    <w:p w14:paraId="1C755FDA" w14:textId="41279D43" w:rsidR="000D3EDD" w:rsidRPr="000D3EDD" w:rsidRDefault="000D3EDD" w:rsidP="000D3EDD">
      <w:pPr>
        <w:pStyle w:val="NormalWeb"/>
        <w:spacing w:before="0" w:beforeAutospacing="0" w:after="0" w:afterAutospacing="0" w:line="276" w:lineRule="auto"/>
        <w:rPr>
          <w:color w:val="000000" w:themeColor="text1"/>
        </w:rPr>
      </w:pPr>
      <w:r>
        <w:rPr>
          <w:color w:val="000000" w:themeColor="text1"/>
        </w:rPr>
        <w:t xml:space="preserve">Twitter: @sallyehancock </w:t>
      </w:r>
    </w:p>
    <w:p w14:paraId="6D48B0A2" w14:textId="5FA7CD41" w:rsidR="000D3EDD" w:rsidRDefault="000D3EDD" w:rsidP="000D3EDD">
      <w:pPr>
        <w:pStyle w:val="NormalWeb"/>
        <w:spacing w:before="0" w:beforeAutospacing="0" w:after="0" w:afterAutospacing="0" w:line="276" w:lineRule="auto"/>
        <w:rPr>
          <w:b/>
          <w:bCs/>
          <w:color w:val="000000" w:themeColor="text1"/>
        </w:rPr>
      </w:pPr>
    </w:p>
    <w:p w14:paraId="437A2F3F" w14:textId="41736EA9" w:rsidR="000D3EDD" w:rsidRDefault="000D3EDD" w:rsidP="000D3EDD">
      <w:pPr>
        <w:pStyle w:val="NormalWeb"/>
        <w:spacing w:before="0" w:beforeAutospacing="0" w:after="0" w:afterAutospacing="0" w:line="276" w:lineRule="auto"/>
        <w:rPr>
          <w:b/>
          <w:bCs/>
          <w:color w:val="000000" w:themeColor="text1"/>
        </w:rPr>
      </w:pPr>
    </w:p>
    <w:p w14:paraId="4A135B0D" w14:textId="785DBB58" w:rsidR="000D3EDD" w:rsidRPr="000D3EDD" w:rsidRDefault="000D3EDD" w:rsidP="000D3EDD">
      <w:pPr>
        <w:pStyle w:val="NormalWeb"/>
        <w:spacing w:before="0" w:beforeAutospacing="0" w:after="0" w:afterAutospacing="0" w:line="276" w:lineRule="auto"/>
        <w:rPr>
          <w:b/>
          <w:bCs/>
          <w:color w:val="000000" w:themeColor="text1"/>
        </w:rPr>
      </w:pPr>
      <w:r w:rsidRPr="000D3EDD">
        <w:rPr>
          <w:b/>
          <w:bCs/>
          <w:color w:val="000000" w:themeColor="text1"/>
        </w:rPr>
        <w:t>Funding details</w:t>
      </w:r>
      <w:r w:rsidRPr="000D3EDD">
        <w:rPr>
          <w:b/>
          <w:bCs/>
          <w:color w:val="000000" w:themeColor="text1"/>
        </w:rPr>
        <w:br/>
      </w:r>
      <w:r w:rsidRPr="000D3EDD">
        <w:rPr>
          <w:color w:val="000000" w:themeColor="text1"/>
        </w:rPr>
        <w:t>This work was supported by th</w:t>
      </w:r>
      <w:r w:rsidRPr="00446DA1">
        <w:rPr>
          <w:color w:val="000000" w:themeColor="text1"/>
        </w:rPr>
        <w:t>e Society for Research into Higher Education</w:t>
      </w:r>
      <w:r w:rsidRPr="000D3EDD">
        <w:rPr>
          <w:color w:val="000000" w:themeColor="text1"/>
        </w:rPr>
        <w:t xml:space="preserve"> under Grant </w:t>
      </w:r>
      <w:r w:rsidR="00446DA1" w:rsidRPr="00446DA1">
        <w:rPr>
          <w:rFonts w:eastAsia="Arial"/>
          <w:color w:val="000000" w:themeColor="text1"/>
        </w:rPr>
        <w:t>NR201609</w:t>
      </w:r>
      <w:r w:rsidR="00446DA1">
        <w:rPr>
          <w:rFonts w:eastAsia="Arial"/>
          <w:color w:val="000000" w:themeColor="text1"/>
        </w:rPr>
        <w:t xml:space="preserve">. </w:t>
      </w:r>
    </w:p>
    <w:p w14:paraId="20542E0F" w14:textId="77777777" w:rsidR="000D3EDD" w:rsidRPr="000D3EDD" w:rsidRDefault="000D3EDD" w:rsidP="000D3EDD">
      <w:pPr>
        <w:pStyle w:val="NormalWeb"/>
        <w:spacing w:before="0" w:beforeAutospacing="0" w:after="0" w:afterAutospacing="0" w:line="276" w:lineRule="auto"/>
        <w:rPr>
          <w:b/>
          <w:bCs/>
          <w:color w:val="000000" w:themeColor="text1"/>
        </w:rPr>
      </w:pPr>
    </w:p>
    <w:p w14:paraId="44E72B48" w14:textId="73745234" w:rsidR="000D3EDD" w:rsidRPr="000D3EDD" w:rsidRDefault="000D3EDD" w:rsidP="000D3EDD">
      <w:pPr>
        <w:pStyle w:val="NormalWeb"/>
        <w:spacing w:before="0" w:beforeAutospacing="0" w:after="0" w:afterAutospacing="0" w:line="276" w:lineRule="auto"/>
        <w:rPr>
          <w:b/>
          <w:bCs/>
          <w:color w:val="000000" w:themeColor="text1"/>
        </w:rPr>
      </w:pPr>
    </w:p>
    <w:p w14:paraId="5082880E" w14:textId="3AAA61F8" w:rsidR="000D3EDD" w:rsidRPr="000D3EDD" w:rsidRDefault="000D3EDD" w:rsidP="000D3EDD">
      <w:pPr>
        <w:pStyle w:val="NormalWeb"/>
        <w:spacing w:before="0" w:beforeAutospacing="0" w:after="0" w:afterAutospacing="0" w:line="276" w:lineRule="auto"/>
        <w:rPr>
          <w:b/>
          <w:bCs/>
          <w:color w:val="000000" w:themeColor="text1"/>
        </w:rPr>
      </w:pPr>
    </w:p>
    <w:p w14:paraId="357D3B9D" w14:textId="2064CBAE" w:rsidR="000D3EDD" w:rsidRPr="000D3EDD" w:rsidRDefault="000D3EDD" w:rsidP="000D3EDD">
      <w:pPr>
        <w:pStyle w:val="NormalWeb"/>
        <w:spacing w:before="0" w:beforeAutospacing="0" w:after="0" w:afterAutospacing="0" w:line="276" w:lineRule="auto"/>
        <w:rPr>
          <w:b/>
          <w:bCs/>
          <w:color w:val="000000" w:themeColor="text1"/>
        </w:rPr>
      </w:pPr>
    </w:p>
    <w:p w14:paraId="55E69D4A" w14:textId="0B2CF9E0" w:rsidR="000D3EDD" w:rsidRPr="000D3EDD" w:rsidRDefault="000D3EDD" w:rsidP="000D3EDD">
      <w:pPr>
        <w:pStyle w:val="NormalWeb"/>
        <w:spacing w:before="0" w:beforeAutospacing="0" w:after="0" w:afterAutospacing="0" w:line="276" w:lineRule="auto"/>
        <w:rPr>
          <w:b/>
          <w:bCs/>
          <w:color w:val="000000" w:themeColor="text1"/>
        </w:rPr>
      </w:pPr>
    </w:p>
    <w:p w14:paraId="577ABF9E" w14:textId="1B1607E9" w:rsidR="000D3EDD" w:rsidRPr="000D3EDD" w:rsidRDefault="000D3EDD" w:rsidP="000D3EDD">
      <w:pPr>
        <w:pStyle w:val="NormalWeb"/>
        <w:spacing w:before="0" w:beforeAutospacing="0" w:after="0" w:afterAutospacing="0" w:line="276" w:lineRule="auto"/>
        <w:rPr>
          <w:b/>
          <w:bCs/>
          <w:color w:val="000000" w:themeColor="text1"/>
        </w:rPr>
      </w:pPr>
    </w:p>
    <w:p w14:paraId="373A449F" w14:textId="51674C78" w:rsidR="000D3EDD" w:rsidRPr="000D3EDD" w:rsidRDefault="000D3EDD" w:rsidP="000D3EDD">
      <w:pPr>
        <w:pStyle w:val="NormalWeb"/>
        <w:spacing w:before="0" w:beforeAutospacing="0" w:after="0" w:afterAutospacing="0" w:line="276" w:lineRule="auto"/>
        <w:rPr>
          <w:b/>
          <w:bCs/>
          <w:color w:val="000000" w:themeColor="text1"/>
        </w:rPr>
      </w:pPr>
    </w:p>
    <w:p w14:paraId="02ED8717" w14:textId="6D643B9E" w:rsidR="000D3EDD" w:rsidRPr="000D3EDD" w:rsidRDefault="000D3EDD" w:rsidP="000D3EDD">
      <w:pPr>
        <w:pStyle w:val="NormalWeb"/>
        <w:spacing w:before="0" w:beforeAutospacing="0" w:after="0" w:afterAutospacing="0" w:line="276" w:lineRule="auto"/>
        <w:rPr>
          <w:b/>
          <w:bCs/>
          <w:color w:val="000000" w:themeColor="text1"/>
        </w:rPr>
      </w:pPr>
    </w:p>
    <w:p w14:paraId="39501A6E" w14:textId="5112CC72" w:rsidR="000D3EDD" w:rsidRPr="000D3EDD" w:rsidRDefault="000D3EDD" w:rsidP="000D3EDD">
      <w:pPr>
        <w:pStyle w:val="NormalWeb"/>
        <w:spacing w:before="0" w:beforeAutospacing="0" w:after="0" w:afterAutospacing="0" w:line="276" w:lineRule="auto"/>
        <w:rPr>
          <w:b/>
          <w:bCs/>
          <w:color w:val="000000" w:themeColor="text1"/>
        </w:rPr>
      </w:pPr>
    </w:p>
    <w:p w14:paraId="593A0D20" w14:textId="23166B0E" w:rsidR="000D3EDD" w:rsidRPr="000D3EDD" w:rsidRDefault="000D3EDD" w:rsidP="000D3EDD">
      <w:pPr>
        <w:pStyle w:val="NormalWeb"/>
        <w:spacing w:before="0" w:beforeAutospacing="0" w:after="0" w:afterAutospacing="0" w:line="276" w:lineRule="auto"/>
        <w:rPr>
          <w:b/>
          <w:bCs/>
          <w:color w:val="000000" w:themeColor="text1"/>
        </w:rPr>
      </w:pPr>
    </w:p>
    <w:p w14:paraId="2E15B72D" w14:textId="122110F1" w:rsidR="000D3EDD" w:rsidRPr="000D3EDD" w:rsidRDefault="000D3EDD" w:rsidP="000D3EDD">
      <w:pPr>
        <w:pStyle w:val="NormalWeb"/>
        <w:spacing w:before="0" w:beforeAutospacing="0" w:after="0" w:afterAutospacing="0" w:line="276" w:lineRule="auto"/>
        <w:rPr>
          <w:b/>
          <w:bCs/>
          <w:color w:val="000000" w:themeColor="text1"/>
        </w:rPr>
      </w:pPr>
    </w:p>
    <w:p w14:paraId="1993ADFE" w14:textId="5186A4D7" w:rsidR="000D3EDD" w:rsidRPr="000D3EDD" w:rsidRDefault="000D3EDD" w:rsidP="000D3EDD">
      <w:pPr>
        <w:pStyle w:val="NormalWeb"/>
        <w:spacing w:before="0" w:beforeAutospacing="0" w:after="0" w:afterAutospacing="0" w:line="276" w:lineRule="auto"/>
        <w:rPr>
          <w:b/>
          <w:bCs/>
          <w:color w:val="000000" w:themeColor="text1"/>
        </w:rPr>
      </w:pPr>
    </w:p>
    <w:p w14:paraId="356EB575" w14:textId="73340BD0" w:rsidR="000D3EDD" w:rsidRPr="000D3EDD" w:rsidRDefault="000D3EDD" w:rsidP="000D3EDD">
      <w:pPr>
        <w:pStyle w:val="NormalWeb"/>
        <w:spacing w:before="0" w:beforeAutospacing="0" w:after="0" w:afterAutospacing="0" w:line="276" w:lineRule="auto"/>
        <w:rPr>
          <w:b/>
          <w:bCs/>
          <w:color w:val="000000" w:themeColor="text1"/>
        </w:rPr>
      </w:pPr>
    </w:p>
    <w:p w14:paraId="2EB62140" w14:textId="1C26634D" w:rsidR="000D3EDD" w:rsidRPr="000D3EDD" w:rsidRDefault="000D3EDD" w:rsidP="000D3EDD">
      <w:pPr>
        <w:pStyle w:val="NormalWeb"/>
        <w:spacing w:before="0" w:beforeAutospacing="0" w:after="0" w:afterAutospacing="0" w:line="276" w:lineRule="auto"/>
        <w:rPr>
          <w:b/>
          <w:bCs/>
          <w:color w:val="000000" w:themeColor="text1"/>
        </w:rPr>
      </w:pPr>
    </w:p>
    <w:p w14:paraId="07BC4CA7" w14:textId="5DD567AD" w:rsidR="000D3EDD" w:rsidRPr="000D3EDD" w:rsidRDefault="000D3EDD" w:rsidP="000D3EDD">
      <w:pPr>
        <w:pStyle w:val="NormalWeb"/>
        <w:spacing w:before="0" w:beforeAutospacing="0" w:after="0" w:afterAutospacing="0" w:line="276" w:lineRule="auto"/>
        <w:rPr>
          <w:b/>
          <w:bCs/>
          <w:color w:val="000000" w:themeColor="text1"/>
        </w:rPr>
      </w:pPr>
    </w:p>
    <w:p w14:paraId="5EF73CD9" w14:textId="4DE64B57" w:rsidR="000D3EDD" w:rsidRPr="000D3EDD" w:rsidRDefault="000D3EDD" w:rsidP="000D3EDD">
      <w:pPr>
        <w:pStyle w:val="NormalWeb"/>
        <w:spacing w:before="0" w:beforeAutospacing="0" w:after="0" w:afterAutospacing="0" w:line="276" w:lineRule="auto"/>
        <w:rPr>
          <w:b/>
          <w:bCs/>
          <w:color w:val="000000" w:themeColor="text1"/>
        </w:rPr>
      </w:pPr>
    </w:p>
    <w:p w14:paraId="16E521C6" w14:textId="6F4D623F" w:rsidR="000D3EDD" w:rsidRPr="000D3EDD" w:rsidRDefault="000D3EDD" w:rsidP="000D3EDD">
      <w:pPr>
        <w:pStyle w:val="NormalWeb"/>
        <w:spacing w:before="0" w:beforeAutospacing="0" w:after="0" w:afterAutospacing="0" w:line="276" w:lineRule="auto"/>
        <w:rPr>
          <w:b/>
          <w:bCs/>
          <w:color w:val="000000" w:themeColor="text1"/>
        </w:rPr>
      </w:pPr>
    </w:p>
    <w:p w14:paraId="06BF095F" w14:textId="69D72600" w:rsidR="000D3EDD" w:rsidRPr="000D3EDD" w:rsidRDefault="000D3EDD" w:rsidP="000D3EDD">
      <w:pPr>
        <w:pStyle w:val="NormalWeb"/>
        <w:spacing w:before="0" w:beforeAutospacing="0" w:after="0" w:afterAutospacing="0" w:line="276" w:lineRule="auto"/>
        <w:rPr>
          <w:b/>
          <w:bCs/>
          <w:color w:val="000000" w:themeColor="text1"/>
        </w:rPr>
      </w:pPr>
    </w:p>
    <w:p w14:paraId="7DD9B972" w14:textId="24AC3663" w:rsidR="000D3EDD" w:rsidRPr="000D3EDD" w:rsidRDefault="000D3EDD" w:rsidP="000D3EDD">
      <w:pPr>
        <w:pStyle w:val="NormalWeb"/>
        <w:spacing w:before="0" w:beforeAutospacing="0" w:after="0" w:afterAutospacing="0" w:line="276" w:lineRule="auto"/>
        <w:rPr>
          <w:b/>
          <w:bCs/>
          <w:color w:val="000000" w:themeColor="text1"/>
        </w:rPr>
      </w:pPr>
    </w:p>
    <w:p w14:paraId="7DAF440F" w14:textId="47D2FA52" w:rsidR="000D3EDD" w:rsidRPr="000D3EDD" w:rsidRDefault="000D3EDD" w:rsidP="000D3EDD">
      <w:pPr>
        <w:pStyle w:val="NormalWeb"/>
        <w:spacing w:before="0" w:beforeAutospacing="0" w:after="0" w:afterAutospacing="0" w:line="276" w:lineRule="auto"/>
        <w:rPr>
          <w:b/>
          <w:bCs/>
          <w:color w:val="000000" w:themeColor="text1"/>
        </w:rPr>
      </w:pPr>
    </w:p>
    <w:p w14:paraId="03D9F3D5" w14:textId="5B6BF643" w:rsidR="000D3EDD" w:rsidRPr="000D3EDD" w:rsidRDefault="000D3EDD" w:rsidP="000D3EDD">
      <w:pPr>
        <w:pStyle w:val="NormalWeb"/>
        <w:spacing w:before="0" w:beforeAutospacing="0" w:after="0" w:afterAutospacing="0" w:line="276" w:lineRule="auto"/>
        <w:rPr>
          <w:b/>
          <w:bCs/>
          <w:color w:val="000000" w:themeColor="text1"/>
        </w:rPr>
      </w:pPr>
    </w:p>
    <w:p w14:paraId="57D357E8" w14:textId="61E04AE0" w:rsidR="000D3EDD" w:rsidRPr="000D3EDD" w:rsidRDefault="000D3EDD" w:rsidP="000D3EDD">
      <w:pPr>
        <w:pStyle w:val="NormalWeb"/>
        <w:spacing w:before="0" w:beforeAutospacing="0" w:after="0" w:afterAutospacing="0" w:line="276" w:lineRule="auto"/>
        <w:rPr>
          <w:b/>
          <w:bCs/>
          <w:color w:val="000000" w:themeColor="text1"/>
        </w:rPr>
      </w:pPr>
    </w:p>
    <w:p w14:paraId="74A56D48" w14:textId="095E514E" w:rsidR="000D3EDD" w:rsidRPr="000D3EDD" w:rsidRDefault="000D3EDD" w:rsidP="000D3EDD">
      <w:pPr>
        <w:pStyle w:val="NormalWeb"/>
        <w:spacing w:before="0" w:beforeAutospacing="0" w:after="0" w:afterAutospacing="0" w:line="276" w:lineRule="auto"/>
        <w:rPr>
          <w:b/>
          <w:bCs/>
          <w:color w:val="000000" w:themeColor="text1"/>
        </w:rPr>
      </w:pPr>
    </w:p>
    <w:p w14:paraId="0261D16A" w14:textId="7DAB8C32" w:rsidR="000D3EDD" w:rsidRPr="000D3EDD" w:rsidRDefault="000D3EDD" w:rsidP="000D3EDD">
      <w:pPr>
        <w:pStyle w:val="NormalWeb"/>
        <w:spacing w:before="0" w:beforeAutospacing="0" w:after="0" w:afterAutospacing="0" w:line="276" w:lineRule="auto"/>
        <w:rPr>
          <w:b/>
          <w:bCs/>
          <w:color w:val="000000" w:themeColor="text1"/>
        </w:rPr>
      </w:pPr>
    </w:p>
    <w:p w14:paraId="392E5F51" w14:textId="430B684A" w:rsidR="000D3EDD" w:rsidRPr="000D3EDD" w:rsidRDefault="000D3EDD" w:rsidP="000D3EDD">
      <w:pPr>
        <w:pStyle w:val="NormalWeb"/>
        <w:spacing w:before="0" w:beforeAutospacing="0" w:after="0" w:afterAutospacing="0" w:line="276" w:lineRule="auto"/>
        <w:rPr>
          <w:b/>
          <w:bCs/>
          <w:color w:val="000000" w:themeColor="text1"/>
        </w:rPr>
      </w:pPr>
    </w:p>
    <w:p w14:paraId="27ACABC3" w14:textId="26461941" w:rsidR="000D3EDD" w:rsidRPr="000D3EDD" w:rsidRDefault="000D3EDD" w:rsidP="000D3EDD">
      <w:pPr>
        <w:pStyle w:val="NormalWeb"/>
        <w:spacing w:before="0" w:beforeAutospacing="0" w:after="0" w:afterAutospacing="0" w:line="276" w:lineRule="auto"/>
        <w:rPr>
          <w:b/>
          <w:bCs/>
          <w:color w:val="000000" w:themeColor="text1"/>
        </w:rPr>
      </w:pPr>
    </w:p>
    <w:p w14:paraId="6A439C0A" w14:textId="3EC62C23" w:rsidR="000D3EDD" w:rsidRPr="000D3EDD" w:rsidRDefault="000D3EDD" w:rsidP="000D3EDD">
      <w:pPr>
        <w:pStyle w:val="NormalWeb"/>
        <w:spacing w:before="0" w:beforeAutospacing="0" w:after="0" w:afterAutospacing="0" w:line="276" w:lineRule="auto"/>
        <w:rPr>
          <w:b/>
          <w:bCs/>
          <w:color w:val="000000" w:themeColor="text1"/>
        </w:rPr>
      </w:pPr>
    </w:p>
    <w:p w14:paraId="539801E5" w14:textId="098D9D77" w:rsidR="000D3EDD" w:rsidRPr="000D3EDD" w:rsidRDefault="000D3EDD" w:rsidP="000D3EDD">
      <w:pPr>
        <w:pStyle w:val="NormalWeb"/>
        <w:spacing w:before="0" w:beforeAutospacing="0" w:after="0" w:afterAutospacing="0" w:line="276" w:lineRule="auto"/>
        <w:rPr>
          <w:b/>
          <w:bCs/>
          <w:color w:val="000000" w:themeColor="text1"/>
        </w:rPr>
      </w:pPr>
    </w:p>
    <w:p w14:paraId="7EEAF487" w14:textId="77777777" w:rsidR="00B2215F" w:rsidRDefault="00B2215F" w:rsidP="000D3EDD">
      <w:pPr>
        <w:pStyle w:val="NormalWeb"/>
        <w:spacing w:before="0" w:beforeAutospacing="0" w:after="0" w:afterAutospacing="0" w:line="276" w:lineRule="auto"/>
        <w:rPr>
          <w:b/>
          <w:bCs/>
          <w:color w:val="000000" w:themeColor="text1"/>
        </w:rPr>
      </w:pPr>
    </w:p>
    <w:p w14:paraId="0DD8C204" w14:textId="77777777" w:rsidR="00B2215F" w:rsidRDefault="00B2215F" w:rsidP="000D3EDD">
      <w:pPr>
        <w:pStyle w:val="NormalWeb"/>
        <w:spacing w:before="0" w:beforeAutospacing="0" w:after="0" w:afterAutospacing="0" w:line="276" w:lineRule="auto"/>
        <w:rPr>
          <w:b/>
          <w:bCs/>
          <w:color w:val="000000" w:themeColor="text1"/>
        </w:rPr>
      </w:pPr>
    </w:p>
    <w:p w14:paraId="59C3B110" w14:textId="16B3E159" w:rsidR="008C5FD9" w:rsidRPr="000D3EDD" w:rsidRDefault="008C5FD9" w:rsidP="000D3EDD">
      <w:pPr>
        <w:pStyle w:val="NormalWeb"/>
        <w:spacing w:before="0" w:beforeAutospacing="0" w:after="0" w:afterAutospacing="0" w:line="276" w:lineRule="auto"/>
        <w:rPr>
          <w:b/>
          <w:bCs/>
          <w:color w:val="000000" w:themeColor="text1"/>
        </w:rPr>
      </w:pPr>
      <w:r w:rsidRPr="000D3EDD">
        <w:rPr>
          <w:b/>
          <w:bCs/>
          <w:color w:val="000000" w:themeColor="text1"/>
        </w:rPr>
        <w:lastRenderedPageBreak/>
        <w:t>Abstract</w:t>
      </w:r>
    </w:p>
    <w:p w14:paraId="304007B5" w14:textId="392E7B8D" w:rsidR="008240BD" w:rsidRPr="000D3EDD" w:rsidRDefault="006E271A" w:rsidP="000D3EDD">
      <w:pPr>
        <w:pStyle w:val="NormalWeb"/>
        <w:spacing w:before="0" w:beforeAutospacing="0" w:after="0" w:afterAutospacing="0" w:line="276" w:lineRule="auto"/>
      </w:pPr>
      <w:r w:rsidRPr="000D3EDD">
        <w:t>Over the last two decades</w:t>
      </w:r>
      <w:r w:rsidR="001C142D" w:rsidRPr="000D3EDD">
        <w:t xml:space="preserve">, </w:t>
      </w:r>
      <w:r w:rsidR="00963484" w:rsidRPr="000D3EDD">
        <w:t xml:space="preserve">international </w:t>
      </w:r>
      <w:r w:rsidRPr="000D3EDD">
        <w:t>government</w:t>
      </w:r>
      <w:r w:rsidR="00963484" w:rsidRPr="000D3EDD">
        <w:t>s have</w:t>
      </w:r>
      <w:r w:rsidRPr="000D3EDD">
        <w:t xml:space="preserve"> positioned PhD holders</w:t>
      </w:r>
      <w:r w:rsidR="001C142D" w:rsidRPr="000D3EDD">
        <w:t xml:space="preserve"> a</w:t>
      </w:r>
      <w:r w:rsidR="00D054C0" w:rsidRPr="000D3EDD">
        <w:t>s</w:t>
      </w:r>
      <w:r w:rsidR="001C142D" w:rsidRPr="000D3EDD">
        <w:t xml:space="preserve"> vital to</w:t>
      </w:r>
      <w:r w:rsidR="00864225" w:rsidRPr="000D3EDD">
        <w:t xml:space="preserve"> </w:t>
      </w:r>
      <w:r w:rsidR="001C142D" w:rsidRPr="000D3EDD">
        <w:t>prosperity</w:t>
      </w:r>
      <w:r w:rsidR="002635D8" w:rsidRPr="000D3EDD">
        <w:t xml:space="preserve"> </w:t>
      </w:r>
      <w:r w:rsidR="00864225" w:rsidRPr="000D3EDD">
        <w:t>–</w:t>
      </w:r>
      <w:r w:rsidR="002635D8" w:rsidRPr="000D3EDD">
        <w:t xml:space="preserve"> </w:t>
      </w:r>
      <w:r w:rsidR="00864225" w:rsidRPr="000D3EDD">
        <w:t xml:space="preserve">and </w:t>
      </w:r>
      <w:r w:rsidR="001C142D" w:rsidRPr="000D3EDD">
        <w:t>yet</w:t>
      </w:r>
      <w:r w:rsidR="002635D8" w:rsidRPr="000D3EDD">
        <w:t>,</w:t>
      </w:r>
      <w:r w:rsidR="00070B89" w:rsidRPr="000D3EDD">
        <w:t xml:space="preserve"> </w:t>
      </w:r>
      <w:r w:rsidR="001C142D" w:rsidRPr="000D3EDD">
        <w:t xml:space="preserve">understanding of </w:t>
      </w:r>
      <w:r w:rsidR="00963484" w:rsidRPr="000D3EDD">
        <w:t>PhD holders’</w:t>
      </w:r>
      <w:r w:rsidR="001C142D" w:rsidRPr="000D3EDD">
        <w:t xml:space="preserve"> economic</w:t>
      </w:r>
      <w:r w:rsidR="002635D8" w:rsidRPr="000D3EDD">
        <w:t xml:space="preserve">, </w:t>
      </w:r>
      <w:r w:rsidR="001C142D" w:rsidRPr="000D3EDD">
        <w:t xml:space="preserve">social </w:t>
      </w:r>
      <w:r w:rsidR="002635D8" w:rsidRPr="000D3EDD">
        <w:t xml:space="preserve">and cultural </w:t>
      </w:r>
      <w:r w:rsidR="00963484" w:rsidRPr="000D3EDD">
        <w:t>contributions</w:t>
      </w:r>
      <w:r w:rsidRPr="000D3EDD">
        <w:t xml:space="preserve"> remains</w:t>
      </w:r>
      <w:r w:rsidR="002635D8" w:rsidRPr="000D3EDD">
        <w:t xml:space="preserve"> </w:t>
      </w:r>
      <w:r w:rsidR="00AB3589" w:rsidRPr="000D3EDD">
        <w:t>considerably</w:t>
      </w:r>
      <w:r w:rsidR="002635D8" w:rsidRPr="000D3EDD">
        <w:t xml:space="preserve"> undeveloped</w:t>
      </w:r>
      <w:r w:rsidR="001C142D" w:rsidRPr="000D3EDD">
        <w:t xml:space="preserve">. </w:t>
      </w:r>
      <w:r w:rsidR="00ED2FF9" w:rsidRPr="000D3EDD">
        <w:t xml:space="preserve"> </w:t>
      </w:r>
      <w:r w:rsidR="00963484" w:rsidRPr="000D3EDD">
        <w:t xml:space="preserve">This article shares insights from a secondary analysis study of PhD employment in the UK.  </w:t>
      </w:r>
      <w:r w:rsidR="001C142D" w:rsidRPr="000D3EDD">
        <w:t xml:space="preserve">This study made use of the Destination of Leavers of Higher Education Longitudinal Survey, which </w:t>
      </w:r>
      <w:r w:rsidR="001D30CB" w:rsidRPr="000D3EDD">
        <w:t>provide</w:t>
      </w:r>
      <w:r w:rsidR="00EE365B">
        <w:t>s</w:t>
      </w:r>
      <w:r w:rsidR="001C142D" w:rsidRPr="000D3EDD">
        <w:t xml:space="preserve"> the most comprehensive record of PhD employment currently available in the UK.</w:t>
      </w:r>
      <w:r w:rsidR="006709B0" w:rsidRPr="000D3EDD">
        <w:t xml:space="preserve">  </w:t>
      </w:r>
      <w:r w:rsidR="001C142D" w:rsidRPr="000D3EDD">
        <w:t xml:space="preserve">Nevertheless, significant limitations </w:t>
      </w:r>
      <w:r w:rsidR="006709B0" w:rsidRPr="000D3EDD">
        <w:t>ar</w:t>
      </w:r>
      <w:r w:rsidR="00567DD8" w:rsidRPr="000D3EDD">
        <w:t>ose</w:t>
      </w:r>
      <w:r w:rsidR="006709B0" w:rsidRPr="000D3EDD">
        <w:t xml:space="preserve"> when</w:t>
      </w:r>
      <w:r w:rsidR="001D30CB" w:rsidRPr="000D3EDD">
        <w:t xml:space="preserve"> using the</w:t>
      </w:r>
      <w:r w:rsidR="001C142D" w:rsidRPr="000D3EDD">
        <w:t xml:space="preserve"> dataset </w:t>
      </w:r>
      <w:r w:rsidR="001D30CB" w:rsidRPr="000D3EDD">
        <w:t xml:space="preserve">to explore doctoral </w:t>
      </w:r>
      <w:r w:rsidR="00963484" w:rsidRPr="000D3EDD">
        <w:t>careers</w:t>
      </w:r>
      <w:r w:rsidR="001D30CB" w:rsidRPr="000D3EDD">
        <w:t xml:space="preserve">, suggesting that a </w:t>
      </w:r>
      <w:r w:rsidR="001C142D" w:rsidRPr="000D3EDD">
        <w:t xml:space="preserve">new </w:t>
      </w:r>
      <w:r w:rsidR="00A31798" w:rsidRPr="000D3EDD">
        <w:t>empirical</w:t>
      </w:r>
      <w:r w:rsidR="00B1696E" w:rsidRPr="000D3EDD">
        <w:t xml:space="preserve"> </w:t>
      </w:r>
      <w:r w:rsidR="001C142D" w:rsidRPr="000D3EDD">
        <w:t xml:space="preserve">approach </w:t>
      </w:r>
      <w:r w:rsidR="001D30CB" w:rsidRPr="000D3EDD">
        <w:t>is needed</w:t>
      </w:r>
      <w:r w:rsidR="001C142D" w:rsidRPr="000D3EDD">
        <w:t xml:space="preserve">. </w:t>
      </w:r>
      <w:r w:rsidR="008240BD" w:rsidRPr="000D3EDD">
        <w:t xml:space="preserve">In particular, there is </w:t>
      </w:r>
      <w:r w:rsidR="00D054C0" w:rsidRPr="000D3EDD">
        <w:t>a pressing</w:t>
      </w:r>
      <w:r w:rsidR="008240BD" w:rsidRPr="000D3EDD">
        <w:t xml:space="preserve"> need for richer demographic</w:t>
      </w:r>
      <w:r w:rsidR="00B1696E" w:rsidRPr="000D3EDD">
        <w:t xml:space="preserve"> and decision-making </w:t>
      </w:r>
      <w:r w:rsidR="008240BD" w:rsidRPr="000D3EDD">
        <w:t>data</w:t>
      </w:r>
      <w:r w:rsidR="00B1696E" w:rsidRPr="000D3EDD">
        <w:t xml:space="preserve"> </w:t>
      </w:r>
      <w:r w:rsidR="00963484" w:rsidRPr="000D3EDD">
        <w:t>on</w:t>
      </w:r>
      <w:r w:rsidR="00B1696E" w:rsidRPr="000D3EDD">
        <w:t xml:space="preserve"> PhD holders</w:t>
      </w:r>
      <w:r w:rsidR="008240BD" w:rsidRPr="000D3EDD">
        <w:t xml:space="preserve">, </w:t>
      </w:r>
      <w:r w:rsidR="00B1696E" w:rsidRPr="000D3EDD">
        <w:t>along with</w:t>
      </w:r>
      <w:r w:rsidR="008240BD" w:rsidRPr="000D3EDD">
        <w:t xml:space="preserve"> a </w:t>
      </w:r>
      <w:r w:rsidR="00B1696E" w:rsidRPr="000D3EDD">
        <w:t xml:space="preserve">more extensive, </w:t>
      </w:r>
      <w:r w:rsidR="008240BD" w:rsidRPr="000D3EDD">
        <w:t xml:space="preserve">longitudinal view of </w:t>
      </w:r>
      <w:r w:rsidR="00D054C0" w:rsidRPr="000D3EDD">
        <w:t>the</w:t>
      </w:r>
      <w:r w:rsidR="008240BD" w:rsidRPr="000D3EDD">
        <w:t xml:space="preserve"> careers</w:t>
      </w:r>
      <w:r w:rsidR="00D054C0" w:rsidRPr="000D3EDD">
        <w:t xml:space="preserve"> </w:t>
      </w:r>
      <w:r w:rsidR="00B1696E" w:rsidRPr="000D3EDD">
        <w:t>they</w:t>
      </w:r>
      <w:r w:rsidR="00D054C0" w:rsidRPr="000D3EDD">
        <w:t xml:space="preserve"> forge</w:t>
      </w:r>
      <w:r w:rsidR="008240BD" w:rsidRPr="000D3EDD">
        <w:t xml:space="preserve">. </w:t>
      </w:r>
      <w:r w:rsidR="00963484" w:rsidRPr="000D3EDD">
        <w:t xml:space="preserve">The reflections and recommendations emerging from this study will be of interest to scholars and policymakers beyond the UK, given the global investment in the expansion of doctoral education.  </w:t>
      </w:r>
    </w:p>
    <w:p w14:paraId="6A2927AB" w14:textId="77777777" w:rsidR="00151EE8" w:rsidRPr="000D3EDD" w:rsidRDefault="00151EE8" w:rsidP="000D3EDD">
      <w:pPr>
        <w:spacing w:line="276" w:lineRule="auto"/>
        <w:jc w:val="both"/>
        <w:textAlignment w:val="baseline"/>
        <w:rPr>
          <w:b/>
          <w:bCs/>
          <w:highlight w:val="yellow"/>
        </w:rPr>
      </w:pPr>
    </w:p>
    <w:p w14:paraId="13EB0CD0" w14:textId="17F13EC7" w:rsidR="00CA4B56" w:rsidRPr="000D3EDD" w:rsidRDefault="008C5FD9" w:rsidP="000D3EDD">
      <w:pPr>
        <w:spacing w:line="276" w:lineRule="auto"/>
        <w:jc w:val="both"/>
        <w:textAlignment w:val="baseline"/>
        <w:rPr>
          <w:rFonts w:eastAsia="Arial"/>
          <w:color w:val="000000"/>
        </w:rPr>
      </w:pPr>
      <w:r w:rsidRPr="000D3EDD">
        <w:rPr>
          <w:b/>
          <w:bCs/>
        </w:rPr>
        <w:t>Keywords:</w:t>
      </w:r>
      <w:r w:rsidRPr="000D3EDD">
        <w:t xml:space="preserve"> </w:t>
      </w:r>
      <w:r w:rsidR="00CA4B56" w:rsidRPr="000D3EDD">
        <w:rPr>
          <w:rFonts w:eastAsia="Arial"/>
          <w:color w:val="000000"/>
        </w:rPr>
        <w:t xml:space="preserve">PhD education; </w:t>
      </w:r>
      <w:r w:rsidR="00CA4B56" w:rsidRPr="000D3EDD">
        <w:t xml:space="preserve">doctoral careers; human capital; knowledge economy; research policy; secondary analysis. </w:t>
      </w:r>
    </w:p>
    <w:p w14:paraId="5BB44E15" w14:textId="2F245D7D" w:rsidR="00012398" w:rsidRPr="000D3EDD" w:rsidRDefault="00012398" w:rsidP="000D3EDD">
      <w:pPr>
        <w:spacing w:line="276" w:lineRule="auto"/>
        <w:jc w:val="both"/>
        <w:textAlignment w:val="baseline"/>
        <w:rPr>
          <w:rFonts w:eastAsia="Arial"/>
          <w:color w:val="000000"/>
        </w:rPr>
      </w:pPr>
    </w:p>
    <w:p w14:paraId="69332FC4" w14:textId="77777777" w:rsidR="00AF5120" w:rsidRPr="000D3EDD" w:rsidRDefault="00AF5120" w:rsidP="000D3EDD">
      <w:pPr>
        <w:spacing w:line="276" w:lineRule="auto"/>
        <w:jc w:val="both"/>
        <w:textAlignment w:val="baseline"/>
        <w:rPr>
          <w:rFonts w:eastAsia="Arial"/>
          <w:b/>
          <w:bCs/>
          <w:color w:val="000000" w:themeColor="text1"/>
        </w:rPr>
      </w:pPr>
      <w:r w:rsidRPr="000D3EDD">
        <w:rPr>
          <w:rFonts w:eastAsia="Arial"/>
          <w:b/>
          <w:bCs/>
          <w:color w:val="000000" w:themeColor="text1"/>
        </w:rPr>
        <w:t xml:space="preserve">Introduction </w:t>
      </w:r>
    </w:p>
    <w:p w14:paraId="6BBC68D0" w14:textId="222517CB" w:rsidR="00AF5120" w:rsidRPr="000D3EDD" w:rsidRDefault="00AF5120" w:rsidP="000D3EDD">
      <w:pPr>
        <w:spacing w:line="276" w:lineRule="auto"/>
      </w:pPr>
      <w:r w:rsidRPr="000D3EDD">
        <w:t>The number of PhDs awarded by universities has grown steadily in recent decades</w:t>
      </w:r>
      <w:r w:rsidR="00923C07" w:rsidRPr="000D3EDD">
        <w:t xml:space="preserve"> </w:t>
      </w:r>
      <w:r w:rsidRPr="000D3EDD">
        <w:t>(</w:t>
      </w:r>
      <w:r w:rsidR="00C3443A" w:rsidRPr="000D3EDD">
        <w:t xml:space="preserve">Cyranoski, Gilbert, Ledford, </w:t>
      </w:r>
      <w:proofErr w:type="spellStart"/>
      <w:r w:rsidR="00C3443A" w:rsidRPr="000D3EDD">
        <w:t>Nayar</w:t>
      </w:r>
      <w:proofErr w:type="spellEnd"/>
      <w:r w:rsidR="00C3443A" w:rsidRPr="000D3EDD">
        <w:t xml:space="preserve">, &amp; Yahia, </w:t>
      </w:r>
      <w:r w:rsidRPr="000D3EDD">
        <w:t xml:space="preserve">2011). The expansion of doctoral education </w:t>
      </w:r>
      <w:r w:rsidR="00923C07" w:rsidRPr="000D3EDD">
        <w:t>is</w:t>
      </w:r>
      <w:r w:rsidRPr="000D3EDD">
        <w:t xml:space="preserve"> </w:t>
      </w:r>
      <w:r w:rsidR="00AC2610">
        <w:t xml:space="preserve">in part </w:t>
      </w:r>
      <w:r w:rsidRPr="000D3EDD">
        <w:t xml:space="preserve">ideologically </w:t>
      </w:r>
      <w:r w:rsidR="00923C07" w:rsidRPr="000D3EDD">
        <w:t>driven</w:t>
      </w:r>
      <w:r w:rsidR="00A24625">
        <w:t>;</w:t>
      </w:r>
      <w:r w:rsidR="00923C07" w:rsidRPr="000D3EDD">
        <w:t xml:space="preserve"> </w:t>
      </w:r>
      <w:r w:rsidR="00AC2610">
        <w:t xml:space="preserve">as policymakers invoke </w:t>
      </w:r>
      <w:r w:rsidR="00923C07" w:rsidRPr="000D3EDD">
        <w:t>the vision of an</w:t>
      </w:r>
      <w:r w:rsidRPr="000D3EDD">
        <w:t xml:space="preserve"> economy </w:t>
      </w:r>
      <w:r w:rsidR="00AC2610">
        <w:t>reliant</w:t>
      </w:r>
      <w:r w:rsidR="00923C07" w:rsidRPr="000D3EDD">
        <w:t xml:space="preserve"> on</w:t>
      </w:r>
      <w:r w:rsidRPr="000D3EDD">
        <w:t xml:space="preserve"> knowledge and </w:t>
      </w:r>
      <w:r w:rsidR="00923C07" w:rsidRPr="000D3EDD">
        <w:t>highly skilled</w:t>
      </w:r>
      <w:r w:rsidRPr="000D3EDD">
        <w:t xml:space="preserve"> workers. </w:t>
      </w:r>
      <w:r w:rsidR="00F418F1" w:rsidRPr="000D3EDD">
        <w:t>This</w:t>
      </w:r>
      <w:r w:rsidRPr="000D3EDD">
        <w:t xml:space="preserve"> perspective is </w:t>
      </w:r>
      <w:r w:rsidR="00F418F1" w:rsidRPr="000D3EDD">
        <w:t xml:space="preserve">not </w:t>
      </w:r>
      <w:r w:rsidR="00AC2610">
        <w:t>entirely</w:t>
      </w:r>
      <w:r w:rsidRPr="000D3EDD">
        <w:t xml:space="preserve"> new</w:t>
      </w:r>
      <w:r w:rsidR="00A24625">
        <w:t>:</w:t>
      </w:r>
      <w:r w:rsidRPr="000D3EDD">
        <w:t xml:space="preserve"> for the last fifty years, the </w:t>
      </w:r>
      <w:r w:rsidR="00F418F1" w:rsidRPr="000D3EDD">
        <w:t>concepts</w:t>
      </w:r>
      <w:r w:rsidRPr="000D3EDD">
        <w:t xml:space="preserve"> of human capital and the knowledge economy have underpinned ever-expanding systems of higher education (Hanushek </w:t>
      </w:r>
      <w:r w:rsidR="00C3443A" w:rsidRPr="000D3EDD">
        <w:t>&amp;</w:t>
      </w:r>
      <w:r w:rsidRPr="000D3EDD">
        <w:t xml:space="preserve"> </w:t>
      </w:r>
      <w:proofErr w:type="spellStart"/>
      <w:r w:rsidRPr="000D3EDD">
        <w:t>Woessmann</w:t>
      </w:r>
      <w:proofErr w:type="spellEnd"/>
      <w:r w:rsidRPr="000D3EDD">
        <w:t>, 2015</w:t>
      </w:r>
      <w:r w:rsidR="00F418F1" w:rsidRPr="000D3EDD">
        <w:t xml:space="preserve">; </w:t>
      </w:r>
      <w:proofErr w:type="spellStart"/>
      <w:r w:rsidR="00F418F1" w:rsidRPr="000D3EDD">
        <w:t>Marginson</w:t>
      </w:r>
      <w:proofErr w:type="spellEnd"/>
      <w:r w:rsidR="00F418F1" w:rsidRPr="000D3EDD">
        <w:t>, 2019</w:t>
      </w:r>
      <w:r w:rsidRPr="000D3EDD">
        <w:t>). Doctoral expansion</w:t>
      </w:r>
      <w:r w:rsidR="00AC2610">
        <w:t xml:space="preserve"> is</w:t>
      </w:r>
      <w:r w:rsidRPr="000D3EDD">
        <w:t xml:space="preserve">, however, a more recent phenomenon and one which – this article </w:t>
      </w:r>
      <w:r w:rsidR="00AC2610">
        <w:t>will</w:t>
      </w:r>
      <w:r w:rsidRPr="000D3EDD">
        <w:t xml:space="preserve"> argue – advances from a </w:t>
      </w:r>
      <w:r w:rsidR="00F418F1" w:rsidRPr="000D3EDD">
        <w:t>relatively</w:t>
      </w:r>
      <w:r w:rsidRPr="000D3EDD">
        <w:t xml:space="preserve"> </w:t>
      </w:r>
      <w:r w:rsidR="0059460A" w:rsidRPr="000D3EDD">
        <w:t>un</w:t>
      </w:r>
      <w:r w:rsidRPr="000D3EDD">
        <w:t xml:space="preserve">developed evidence base. </w:t>
      </w:r>
    </w:p>
    <w:p w14:paraId="360DE202" w14:textId="77777777" w:rsidR="00AF5120" w:rsidRPr="000D3EDD" w:rsidRDefault="00AF5120" w:rsidP="000D3EDD">
      <w:pPr>
        <w:spacing w:line="276" w:lineRule="auto"/>
      </w:pPr>
    </w:p>
    <w:p w14:paraId="3456B228" w14:textId="2023E721" w:rsidR="00AF5120" w:rsidRPr="000D3EDD" w:rsidRDefault="00AF5120" w:rsidP="000D3EDD">
      <w:pPr>
        <w:spacing w:line="276" w:lineRule="auto"/>
      </w:pPr>
      <w:r w:rsidRPr="000D3EDD">
        <w:t>It is</w:t>
      </w:r>
      <w:r w:rsidR="00AC2610">
        <w:t xml:space="preserve"> now</w:t>
      </w:r>
      <w:r w:rsidRPr="000D3EDD">
        <w:t xml:space="preserve"> well documented that, across most national contexts, increasing </w:t>
      </w:r>
      <w:r w:rsidR="00F418F1" w:rsidRPr="000D3EDD">
        <w:t>numbers</w:t>
      </w:r>
      <w:r w:rsidRPr="000D3EDD">
        <w:t xml:space="preserve"> of PhD holders ente</w:t>
      </w:r>
      <w:r w:rsidR="00F418F1" w:rsidRPr="000D3EDD">
        <w:t>r</w:t>
      </w:r>
      <w:r w:rsidRPr="000D3EDD">
        <w:t xml:space="preserve"> non-academic employment (Hayter </w:t>
      </w:r>
      <w:r w:rsidR="00C3443A" w:rsidRPr="000D3EDD">
        <w:t>&amp;</w:t>
      </w:r>
      <w:r w:rsidRPr="000D3EDD">
        <w:t xml:space="preserve"> Parker, 2019; Fox </w:t>
      </w:r>
      <w:r w:rsidR="00C3443A" w:rsidRPr="000D3EDD">
        <w:t>&amp;</w:t>
      </w:r>
      <w:r w:rsidRPr="000D3EDD">
        <w:t xml:space="preserve"> Stephan, 2001; Sauermann </w:t>
      </w:r>
      <w:r w:rsidR="00C3443A" w:rsidRPr="000D3EDD">
        <w:t>&amp;</w:t>
      </w:r>
      <w:r w:rsidRPr="000D3EDD">
        <w:t xml:space="preserve"> Roach, 2012). This </w:t>
      </w:r>
      <w:r w:rsidR="00F418F1" w:rsidRPr="000D3EDD">
        <w:t xml:space="preserve">trend </w:t>
      </w:r>
      <w:r w:rsidRPr="000D3EDD">
        <w:t>could</w:t>
      </w:r>
      <w:r w:rsidR="00F418F1" w:rsidRPr="000D3EDD">
        <w:t xml:space="preserve"> </w:t>
      </w:r>
      <w:r w:rsidRPr="000D3EDD">
        <w:t xml:space="preserve">be </w:t>
      </w:r>
      <w:r w:rsidR="00F418F1" w:rsidRPr="000D3EDD">
        <w:t>seen to justify</w:t>
      </w:r>
      <w:r w:rsidRPr="000D3EDD">
        <w:t xml:space="preserve"> policymakers’ assertions that PhD holders are </w:t>
      </w:r>
      <w:r w:rsidR="00F418F1" w:rsidRPr="000D3EDD">
        <w:t>highly valued across the economy</w:t>
      </w:r>
      <w:r w:rsidRPr="000D3EDD">
        <w:t xml:space="preserve"> </w:t>
      </w:r>
      <w:r w:rsidR="00A24625">
        <w:t xml:space="preserve">and </w:t>
      </w:r>
      <w:r w:rsidRPr="000D3EDD">
        <w:t>wider society. However,</w:t>
      </w:r>
      <w:r w:rsidR="00141FC5" w:rsidRPr="000D3EDD">
        <w:t xml:space="preserve"> </w:t>
      </w:r>
      <w:r w:rsidRPr="000D3EDD">
        <w:t>detailed</w:t>
      </w:r>
      <w:r w:rsidR="00C138B2">
        <w:t xml:space="preserve"> </w:t>
      </w:r>
      <w:r w:rsidRPr="000D3EDD">
        <w:t xml:space="preserve">longitudinal understanding of </w:t>
      </w:r>
      <w:r w:rsidR="00141FC5" w:rsidRPr="000D3EDD">
        <w:t>doctoral careers</w:t>
      </w:r>
      <w:r w:rsidRPr="000D3EDD">
        <w:t xml:space="preserve"> is l</w:t>
      </w:r>
      <w:r w:rsidR="00C138B2">
        <w:t>acking</w:t>
      </w:r>
      <w:r w:rsidR="00AC2610">
        <w:t>. K</w:t>
      </w:r>
      <w:r w:rsidR="00141FC5" w:rsidRPr="000D3EDD">
        <w:t>nowledge on the occupations of PhD holders beyond academia is sparse, as is</w:t>
      </w:r>
      <w:r w:rsidR="003003F7">
        <w:t xml:space="preserve"> </w:t>
      </w:r>
      <w:r w:rsidR="00141FC5" w:rsidRPr="000D3EDD">
        <w:t>understanding of</w:t>
      </w:r>
      <w:r w:rsidRPr="000D3EDD">
        <w:t xml:space="preserve"> the variables that shape</w:t>
      </w:r>
      <w:r w:rsidR="00141FC5" w:rsidRPr="000D3EDD">
        <w:t xml:space="preserve"> </w:t>
      </w:r>
      <w:r w:rsidR="003003F7">
        <w:t xml:space="preserve">particular </w:t>
      </w:r>
      <w:r w:rsidR="00141FC5" w:rsidRPr="000D3EDD">
        <w:t>employment</w:t>
      </w:r>
      <w:r w:rsidRPr="000D3EDD">
        <w:t xml:space="preserve"> outcomes. </w:t>
      </w:r>
      <w:r w:rsidR="00AC2610">
        <w:t>Given</w:t>
      </w:r>
      <w:r w:rsidR="00141FC5" w:rsidRPr="000D3EDD">
        <w:t xml:space="preserve"> such limited understanding, it is not surprising that expansion </w:t>
      </w:r>
      <w:r w:rsidR="00AC2610">
        <w:t xml:space="preserve">has polarised </w:t>
      </w:r>
      <w:r w:rsidRPr="000D3EDD">
        <w:t>doctoral stakeholders</w:t>
      </w:r>
      <w:r w:rsidR="00AC2610">
        <w:t>: while some</w:t>
      </w:r>
      <w:r w:rsidRPr="000D3EDD">
        <w:t xml:space="preserve"> support continued </w:t>
      </w:r>
      <w:r w:rsidR="00141FC5" w:rsidRPr="000D3EDD">
        <w:t>growth</w:t>
      </w:r>
      <w:r w:rsidRPr="000D3EDD">
        <w:t xml:space="preserve">, </w:t>
      </w:r>
      <w:r w:rsidR="00AC2610">
        <w:t>others</w:t>
      </w:r>
      <w:r w:rsidRPr="000D3EDD">
        <w:t xml:space="preserve"> deem it unsustainable and</w:t>
      </w:r>
      <w:r w:rsidR="00F6480B" w:rsidRPr="000D3EDD">
        <w:t xml:space="preserve"> even</w:t>
      </w:r>
      <w:r w:rsidRPr="000D3EDD">
        <w:t xml:space="preserve"> harmful. </w:t>
      </w:r>
      <w:r w:rsidRPr="000D3EDD">
        <w:rPr>
          <w:color w:val="000000" w:themeColor="text1"/>
        </w:rPr>
        <w:t xml:space="preserve">For </w:t>
      </w:r>
      <w:r w:rsidR="00141FC5" w:rsidRPr="000D3EDD">
        <w:rPr>
          <w:color w:val="000000" w:themeColor="text1"/>
        </w:rPr>
        <w:t>the latter</w:t>
      </w:r>
      <w:r w:rsidRPr="000D3EDD">
        <w:rPr>
          <w:color w:val="000000" w:themeColor="text1"/>
        </w:rPr>
        <w:t>, doctoral expansion and changing employment destinations</w:t>
      </w:r>
      <w:r w:rsidR="00F6480B" w:rsidRPr="000D3EDD">
        <w:rPr>
          <w:color w:val="000000" w:themeColor="text1"/>
        </w:rPr>
        <w:t xml:space="preserve"> </w:t>
      </w:r>
      <w:r w:rsidRPr="000D3EDD">
        <w:rPr>
          <w:color w:val="000000" w:themeColor="text1"/>
        </w:rPr>
        <w:t xml:space="preserve">have transformed the PhD from academic apprenticeship to general – if highly advanced </w:t>
      </w:r>
      <w:r w:rsidR="00F6480B" w:rsidRPr="000D3EDD">
        <w:rPr>
          <w:color w:val="000000" w:themeColor="text1"/>
        </w:rPr>
        <w:t xml:space="preserve">– </w:t>
      </w:r>
      <w:r w:rsidRPr="000D3EDD">
        <w:rPr>
          <w:color w:val="000000" w:themeColor="text1"/>
        </w:rPr>
        <w:t>occupational</w:t>
      </w:r>
      <w:r w:rsidR="00F6480B" w:rsidRPr="000D3EDD">
        <w:rPr>
          <w:color w:val="000000" w:themeColor="text1"/>
        </w:rPr>
        <w:t xml:space="preserve"> </w:t>
      </w:r>
      <w:r w:rsidRPr="000D3EDD">
        <w:rPr>
          <w:color w:val="000000" w:themeColor="text1"/>
        </w:rPr>
        <w:t>training.</w:t>
      </w:r>
      <w:r w:rsidRPr="000D3EDD">
        <w:rPr>
          <w:color w:val="FF0000"/>
        </w:rPr>
        <w:t xml:space="preserve"> </w:t>
      </w:r>
      <w:r w:rsidR="00141FC5" w:rsidRPr="000D3EDD">
        <w:rPr>
          <w:color w:val="000000" w:themeColor="text1"/>
        </w:rPr>
        <w:t xml:space="preserve">They </w:t>
      </w:r>
      <w:r w:rsidRPr="000D3EDD">
        <w:rPr>
          <w:color w:val="000000" w:themeColor="text1"/>
        </w:rPr>
        <w:t>question whether the PhD is fit for such a broad purpose</w:t>
      </w:r>
      <w:r w:rsidR="00F6480B" w:rsidRPr="000D3EDD">
        <w:rPr>
          <w:color w:val="000000" w:themeColor="text1"/>
        </w:rPr>
        <w:t xml:space="preserve">; </w:t>
      </w:r>
      <w:r w:rsidRPr="000D3EDD">
        <w:rPr>
          <w:color w:val="000000" w:themeColor="text1"/>
        </w:rPr>
        <w:t xml:space="preserve">taking the view that society faces an ‘oversupply’ of PhDs, ill-suited to careers outside of academia (Gould, 2015; Stephan, 2013). Crisis discourse is </w:t>
      </w:r>
      <w:r w:rsidR="00141FC5" w:rsidRPr="000D3EDD">
        <w:rPr>
          <w:color w:val="000000" w:themeColor="text1"/>
        </w:rPr>
        <w:t>frequently</w:t>
      </w:r>
      <w:r w:rsidRPr="000D3EDD">
        <w:rPr>
          <w:color w:val="000000" w:themeColor="text1"/>
        </w:rPr>
        <w:t xml:space="preserve"> deployed in these debates</w:t>
      </w:r>
      <w:r w:rsidR="003E1F91" w:rsidRPr="000D3EDD">
        <w:rPr>
          <w:color w:val="000000" w:themeColor="text1"/>
        </w:rPr>
        <w:t xml:space="preserve">: </w:t>
      </w:r>
      <w:r w:rsidRPr="000D3EDD">
        <w:rPr>
          <w:i/>
          <w:iCs/>
          <w:color w:val="000000" w:themeColor="text1"/>
        </w:rPr>
        <w:t>Nature</w:t>
      </w:r>
      <w:r w:rsidRPr="000D3EDD">
        <w:rPr>
          <w:color w:val="000000" w:themeColor="text1"/>
        </w:rPr>
        <w:t xml:space="preserve"> articles of recent years </w:t>
      </w:r>
      <w:r w:rsidR="00141FC5" w:rsidRPr="000D3EDD">
        <w:rPr>
          <w:color w:val="000000" w:themeColor="text1"/>
        </w:rPr>
        <w:t>make reference</w:t>
      </w:r>
      <w:r w:rsidRPr="000D3EDD">
        <w:rPr>
          <w:color w:val="000000" w:themeColor="text1"/>
        </w:rPr>
        <w:t xml:space="preserve"> to the: ‘</w:t>
      </w:r>
      <w:r w:rsidRPr="000D3EDD">
        <w:rPr>
          <w:i/>
          <w:iCs/>
          <w:color w:val="000000" w:themeColor="text1"/>
        </w:rPr>
        <w:t>PhD factory</w:t>
      </w:r>
      <w:r w:rsidRPr="000D3EDD">
        <w:rPr>
          <w:color w:val="000000" w:themeColor="text1"/>
        </w:rPr>
        <w:t>’; ‘</w:t>
      </w:r>
      <w:r w:rsidRPr="000D3EDD">
        <w:rPr>
          <w:i/>
          <w:iCs/>
          <w:color w:val="000000" w:themeColor="text1"/>
        </w:rPr>
        <w:t>uncertain futures</w:t>
      </w:r>
      <w:r w:rsidRPr="000D3EDD">
        <w:rPr>
          <w:color w:val="000000" w:themeColor="text1"/>
        </w:rPr>
        <w:t>’; and the ‘</w:t>
      </w:r>
      <w:r w:rsidRPr="000D3EDD">
        <w:rPr>
          <w:i/>
          <w:iCs/>
          <w:color w:val="000000" w:themeColor="text1"/>
        </w:rPr>
        <w:t>harsh reality</w:t>
      </w:r>
      <w:r w:rsidRPr="000D3EDD">
        <w:rPr>
          <w:color w:val="000000" w:themeColor="text1"/>
        </w:rPr>
        <w:t>’ and ‘</w:t>
      </w:r>
      <w:r w:rsidRPr="000D3EDD">
        <w:rPr>
          <w:i/>
          <w:iCs/>
          <w:color w:val="000000" w:themeColor="text1"/>
        </w:rPr>
        <w:t>empty promises</w:t>
      </w:r>
      <w:r w:rsidRPr="000D3EDD">
        <w:rPr>
          <w:color w:val="000000" w:themeColor="text1"/>
        </w:rPr>
        <w:t>’ of the postdoctoral labour market (</w:t>
      </w:r>
      <w:r w:rsidR="00141FC5" w:rsidRPr="000D3EDD">
        <w:rPr>
          <w:color w:val="000000" w:themeColor="text1"/>
        </w:rPr>
        <w:t xml:space="preserve">Cuthbert </w:t>
      </w:r>
      <w:r w:rsidR="00C3443A" w:rsidRPr="000D3EDD">
        <w:rPr>
          <w:color w:val="000000" w:themeColor="text1"/>
        </w:rPr>
        <w:t>&amp;</w:t>
      </w:r>
      <w:r w:rsidR="00141FC5" w:rsidRPr="000D3EDD">
        <w:rPr>
          <w:color w:val="000000" w:themeColor="text1"/>
        </w:rPr>
        <w:t xml:space="preserve"> Molla, 2015; </w:t>
      </w:r>
      <w:r w:rsidRPr="000D3EDD">
        <w:t>Cyranoski et al., 2011</w:t>
      </w:r>
      <w:r w:rsidRPr="000D3EDD">
        <w:rPr>
          <w:color w:val="000000" w:themeColor="text1"/>
        </w:rPr>
        <w:t xml:space="preserve">; Nature, 2014; </w:t>
      </w:r>
      <w:proofErr w:type="spellStart"/>
      <w:r w:rsidRPr="000D3EDD">
        <w:rPr>
          <w:color w:val="000000" w:themeColor="text1"/>
        </w:rPr>
        <w:t>Rohn</w:t>
      </w:r>
      <w:proofErr w:type="spellEnd"/>
      <w:r w:rsidRPr="000D3EDD">
        <w:rPr>
          <w:color w:val="000000" w:themeColor="text1"/>
        </w:rPr>
        <w:t xml:space="preserve">, 2011).  The lived experiences of </w:t>
      </w:r>
      <w:r w:rsidR="00141FC5" w:rsidRPr="000D3EDD">
        <w:rPr>
          <w:color w:val="000000" w:themeColor="text1"/>
        </w:rPr>
        <w:t xml:space="preserve">PhD holders are </w:t>
      </w:r>
      <w:r w:rsidRPr="000D3EDD">
        <w:rPr>
          <w:color w:val="000000" w:themeColor="text1"/>
        </w:rPr>
        <w:t xml:space="preserve">another concern: they </w:t>
      </w:r>
      <w:r w:rsidR="003E1F91" w:rsidRPr="000D3EDD">
        <w:rPr>
          <w:color w:val="000000" w:themeColor="text1"/>
        </w:rPr>
        <w:t>are</w:t>
      </w:r>
      <w:r w:rsidRPr="000D3EDD">
        <w:rPr>
          <w:color w:val="000000" w:themeColor="text1"/>
        </w:rPr>
        <w:t xml:space="preserve"> characterised as ‘</w:t>
      </w:r>
      <w:r w:rsidRPr="000D3EDD">
        <w:rPr>
          <w:i/>
          <w:iCs/>
          <w:color w:val="000000" w:themeColor="text1"/>
        </w:rPr>
        <w:t xml:space="preserve">young, </w:t>
      </w:r>
      <w:r w:rsidRPr="000D3EDD">
        <w:rPr>
          <w:i/>
          <w:iCs/>
          <w:color w:val="000000" w:themeColor="text1"/>
        </w:rPr>
        <w:lastRenderedPageBreak/>
        <w:t>talented and fed up</w:t>
      </w:r>
      <w:r w:rsidRPr="000D3EDD">
        <w:rPr>
          <w:color w:val="000000" w:themeColor="text1"/>
        </w:rPr>
        <w:t>’ and ‘</w:t>
      </w:r>
      <w:r w:rsidRPr="000D3EDD">
        <w:rPr>
          <w:i/>
          <w:iCs/>
          <w:color w:val="000000" w:themeColor="text1"/>
          <w:shd w:val="clear" w:color="auto" w:fill="FFFFFF"/>
        </w:rPr>
        <w:t xml:space="preserve">bright… </w:t>
      </w:r>
      <w:r w:rsidRPr="000D3EDD">
        <w:rPr>
          <w:i/>
          <w:iCs/>
          <w:color w:val="000000" w:themeColor="text1"/>
        </w:rPr>
        <w:t>disillusioned and directionless</w:t>
      </w:r>
      <w:r w:rsidRPr="000D3EDD">
        <w:rPr>
          <w:color w:val="000000" w:themeColor="text1"/>
        </w:rPr>
        <w:t>’ (Nature 2014; Powell, 2016).</w:t>
      </w:r>
      <w:r w:rsidRPr="000D3EDD">
        <w:rPr>
          <w:color w:val="FF0000"/>
        </w:rPr>
        <w:t xml:space="preserve"> </w:t>
      </w:r>
      <w:r w:rsidRPr="000D3EDD">
        <w:rPr>
          <w:color w:val="000000" w:themeColor="text1"/>
        </w:rPr>
        <w:t xml:space="preserve">More recently, the increased competition for </w:t>
      </w:r>
      <w:r w:rsidR="003E1F91" w:rsidRPr="000D3EDD">
        <w:rPr>
          <w:color w:val="000000" w:themeColor="text1"/>
        </w:rPr>
        <w:t xml:space="preserve">postdoctoral </w:t>
      </w:r>
      <w:r w:rsidRPr="000D3EDD">
        <w:rPr>
          <w:color w:val="000000" w:themeColor="text1"/>
        </w:rPr>
        <w:t xml:space="preserve">funding and academic posts associated with doctoral expansion has been linked to the relatively high prevalence of mental health problems in the PhD population (Guthrie et al., 2017).  </w:t>
      </w:r>
    </w:p>
    <w:p w14:paraId="26D67245" w14:textId="0BEA8508" w:rsidR="00AD5B56" w:rsidRPr="000D3EDD" w:rsidRDefault="00AD5B56" w:rsidP="000D3EDD">
      <w:pPr>
        <w:spacing w:line="276" w:lineRule="auto"/>
        <w:rPr>
          <w:color w:val="000000" w:themeColor="text1"/>
        </w:rPr>
      </w:pPr>
    </w:p>
    <w:p w14:paraId="7BB936C6" w14:textId="3310E78A" w:rsidR="00F34364" w:rsidRPr="000D3EDD" w:rsidRDefault="00F836C1" w:rsidP="000D3EDD">
      <w:pPr>
        <w:spacing w:line="276" w:lineRule="auto"/>
        <w:rPr>
          <w:color w:val="000000" w:themeColor="text1"/>
        </w:rPr>
      </w:pPr>
      <w:r w:rsidRPr="000D3EDD">
        <w:rPr>
          <w:color w:val="000000" w:themeColor="text1"/>
        </w:rPr>
        <w:t>Understanding the</w:t>
      </w:r>
      <w:r w:rsidR="00F34364" w:rsidRPr="000D3EDD">
        <w:rPr>
          <w:color w:val="000000" w:themeColor="text1"/>
        </w:rPr>
        <w:t xml:space="preserve"> wide-ranging</w:t>
      </w:r>
      <w:r w:rsidRPr="000D3EDD">
        <w:rPr>
          <w:color w:val="000000" w:themeColor="text1"/>
        </w:rPr>
        <w:t xml:space="preserve"> implications of doctoral expansion is</w:t>
      </w:r>
      <w:r w:rsidR="00BC247D" w:rsidRPr="000D3EDD">
        <w:rPr>
          <w:color w:val="000000" w:themeColor="text1"/>
        </w:rPr>
        <w:t xml:space="preserve"> thus</w:t>
      </w:r>
      <w:r w:rsidRPr="000D3EDD">
        <w:rPr>
          <w:color w:val="000000" w:themeColor="text1"/>
        </w:rPr>
        <w:t xml:space="preserve"> likely to assume greater international importance in years to come. This article </w:t>
      </w:r>
      <w:r w:rsidR="00F34364" w:rsidRPr="000D3EDD">
        <w:rPr>
          <w:color w:val="000000" w:themeColor="text1"/>
        </w:rPr>
        <w:t>considers recent research</w:t>
      </w:r>
      <w:r w:rsidRPr="000D3EDD">
        <w:rPr>
          <w:color w:val="000000" w:themeColor="text1"/>
        </w:rPr>
        <w:t xml:space="preserve"> on doctoral employment, identifying prominent limitations</w:t>
      </w:r>
      <w:r w:rsidR="00F34364" w:rsidRPr="000D3EDD">
        <w:rPr>
          <w:color w:val="000000" w:themeColor="text1"/>
        </w:rPr>
        <w:t xml:space="preserve"> in both the literature and common methodological approaches to researching the careers of PhD holders. It shares insights and reflections from</w:t>
      </w:r>
      <w:r w:rsidRPr="000D3EDD">
        <w:rPr>
          <w:color w:val="000000" w:themeColor="text1"/>
        </w:rPr>
        <w:t xml:space="preserve"> a study of doctoral employment in the UK, </w:t>
      </w:r>
      <w:r w:rsidR="00F34364" w:rsidRPr="000D3EDD">
        <w:rPr>
          <w:color w:val="000000" w:themeColor="text1"/>
        </w:rPr>
        <w:t>which</w:t>
      </w:r>
      <w:r w:rsidR="00187B7C" w:rsidRPr="000D3EDD">
        <w:rPr>
          <w:color w:val="000000" w:themeColor="text1"/>
        </w:rPr>
        <w:t xml:space="preserve"> serves to</w:t>
      </w:r>
      <w:r w:rsidRPr="000D3EDD">
        <w:rPr>
          <w:color w:val="000000" w:themeColor="text1"/>
        </w:rPr>
        <w:t xml:space="preserve"> illuminate key issues for doctoral stakeholders internationally. The article</w:t>
      </w:r>
      <w:r w:rsidRPr="000D3EDD">
        <w:rPr>
          <w:b/>
          <w:bCs/>
          <w:color w:val="000000" w:themeColor="text1"/>
        </w:rPr>
        <w:t xml:space="preserve"> </w:t>
      </w:r>
      <w:r w:rsidR="00F34364" w:rsidRPr="000D3EDD">
        <w:rPr>
          <w:color w:val="000000" w:themeColor="text1"/>
        </w:rPr>
        <w:t>begins with a</w:t>
      </w:r>
      <w:r w:rsidRPr="000D3EDD">
        <w:rPr>
          <w:color w:val="000000" w:themeColor="text1"/>
        </w:rPr>
        <w:t xml:space="preserve"> brief introduction to doctoral education in the UK and recent policy. </w:t>
      </w:r>
      <w:r w:rsidR="00F34364" w:rsidRPr="000D3EDD">
        <w:rPr>
          <w:color w:val="000000" w:themeColor="text1"/>
        </w:rPr>
        <w:t>This is followed by a</w:t>
      </w:r>
      <w:r w:rsidR="00B00767" w:rsidRPr="000D3EDD">
        <w:rPr>
          <w:color w:val="000000" w:themeColor="text1"/>
        </w:rPr>
        <w:t xml:space="preserve"> critical</w:t>
      </w:r>
      <w:r w:rsidR="00F34364" w:rsidRPr="000D3EDD">
        <w:rPr>
          <w:color w:val="000000" w:themeColor="text1"/>
        </w:rPr>
        <w:t xml:space="preserve"> overview of </w:t>
      </w:r>
      <w:r w:rsidR="00187B7C" w:rsidRPr="000D3EDD">
        <w:rPr>
          <w:color w:val="000000" w:themeColor="text1"/>
        </w:rPr>
        <w:t xml:space="preserve">existing </w:t>
      </w:r>
      <w:r w:rsidR="00F34364" w:rsidRPr="000D3EDD">
        <w:rPr>
          <w:color w:val="000000" w:themeColor="text1"/>
        </w:rPr>
        <w:t>scholarship on doctoral employment. Next, the methods of and focused findings from</w:t>
      </w:r>
      <w:r w:rsidR="006649ED" w:rsidRPr="000D3EDD">
        <w:rPr>
          <w:color w:val="000000" w:themeColor="text1"/>
        </w:rPr>
        <w:t xml:space="preserve"> the</w:t>
      </w:r>
      <w:r w:rsidR="00F34364" w:rsidRPr="000D3EDD">
        <w:rPr>
          <w:color w:val="000000" w:themeColor="text1"/>
        </w:rPr>
        <w:t xml:space="preserve"> UK study are presented, in response to major themes </w:t>
      </w:r>
      <w:r w:rsidR="0070691C" w:rsidRPr="000D3EDD">
        <w:rPr>
          <w:color w:val="000000" w:themeColor="text1"/>
        </w:rPr>
        <w:t>from</w:t>
      </w:r>
      <w:r w:rsidR="00F34364" w:rsidRPr="000D3EDD">
        <w:rPr>
          <w:color w:val="000000" w:themeColor="text1"/>
        </w:rPr>
        <w:t xml:space="preserve"> the current literature. The implications of these findings are discussed</w:t>
      </w:r>
      <w:r w:rsidR="00187B7C" w:rsidRPr="000D3EDD">
        <w:rPr>
          <w:color w:val="000000" w:themeColor="text1"/>
        </w:rPr>
        <w:t>, with attention to the shortcomings of present knowledge, and recommendations for future research</w:t>
      </w:r>
      <w:r w:rsidR="006808AE" w:rsidRPr="000D3EDD">
        <w:rPr>
          <w:color w:val="000000" w:themeColor="text1"/>
        </w:rPr>
        <w:t>.</w:t>
      </w:r>
    </w:p>
    <w:p w14:paraId="3A72E4F9" w14:textId="77777777" w:rsidR="00F836C1" w:rsidRPr="000D3EDD" w:rsidRDefault="00F836C1" w:rsidP="000D3EDD">
      <w:pPr>
        <w:spacing w:line="276" w:lineRule="auto"/>
      </w:pPr>
    </w:p>
    <w:p w14:paraId="21184F5F" w14:textId="5BDA68C7" w:rsidR="00AF5120" w:rsidRPr="000D3EDD" w:rsidRDefault="00A72667" w:rsidP="000D3EDD">
      <w:pPr>
        <w:spacing w:line="276" w:lineRule="auto"/>
        <w:rPr>
          <w:b/>
          <w:bCs/>
        </w:rPr>
      </w:pPr>
      <w:r w:rsidRPr="000D3EDD">
        <w:rPr>
          <w:b/>
          <w:bCs/>
        </w:rPr>
        <w:t xml:space="preserve">Recent developments in doctoral </w:t>
      </w:r>
      <w:r w:rsidR="00AF5120" w:rsidRPr="000D3EDD">
        <w:rPr>
          <w:b/>
          <w:bCs/>
        </w:rPr>
        <w:t>education in the UK</w:t>
      </w:r>
    </w:p>
    <w:p w14:paraId="3CA9B7AB" w14:textId="1D6536E0" w:rsidR="00AF5120" w:rsidRPr="000D3EDD" w:rsidRDefault="00AF5120" w:rsidP="000D3EDD">
      <w:pPr>
        <w:spacing w:line="276" w:lineRule="auto"/>
        <w:rPr>
          <w:color w:val="000000" w:themeColor="text1"/>
        </w:rPr>
      </w:pPr>
      <w:r w:rsidRPr="000D3EDD">
        <w:t xml:space="preserve">In common with the global tendency, successive UK governments have endorsed policies and investment to increase the supply of PhD holders and support their </w:t>
      </w:r>
      <w:r w:rsidR="00CE25A3" w:rsidRPr="000D3EDD">
        <w:t>transition</w:t>
      </w:r>
      <w:r w:rsidRPr="000D3EDD">
        <w:t xml:space="preserve"> into </w:t>
      </w:r>
      <w:r w:rsidRPr="000D3EDD">
        <w:rPr>
          <w:color w:val="000000" w:themeColor="text1"/>
        </w:rPr>
        <w:t xml:space="preserve">wide range of occupations </w:t>
      </w:r>
      <w:r w:rsidRPr="000D3EDD">
        <w:t>(</w:t>
      </w:r>
      <w:r w:rsidRPr="000D3EDD">
        <w:rPr>
          <w:color w:val="000000" w:themeColor="text1"/>
        </w:rPr>
        <w:t xml:space="preserve">Leitch, 2006; Skidmore, 2019). </w:t>
      </w:r>
      <w:r w:rsidR="00CE25A3" w:rsidRPr="000D3EDD">
        <w:rPr>
          <w:color w:val="000000" w:themeColor="text1"/>
        </w:rPr>
        <w:t>T</w:t>
      </w:r>
      <w:r w:rsidRPr="000D3EDD">
        <w:rPr>
          <w:color w:val="000000" w:themeColor="text1"/>
        </w:rPr>
        <w:t xml:space="preserve">o prepare PhDs for non-academic employment, transferable skills courses have become an established part of doctoral programmes over the </w:t>
      </w:r>
      <w:r w:rsidR="003E1F91" w:rsidRPr="000D3EDD">
        <w:rPr>
          <w:color w:val="000000" w:themeColor="text1"/>
        </w:rPr>
        <w:t>l</w:t>
      </w:r>
      <w:r w:rsidRPr="000D3EDD">
        <w:rPr>
          <w:color w:val="000000" w:themeColor="text1"/>
        </w:rPr>
        <w:t xml:space="preserve">ast two decades (Roberts, 2002; Hodge, 2010; </w:t>
      </w:r>
      <w:r w:rsidR="00CE25A3" w:rsidRPr="000D3EDD">
        <w:rPr>
          <w:color w:val="000000" w:themeColor="text1"/>
        </w:rPr>
        <w:t>Vitae, 2019</w:t>
      </w:r>
      <w:r w:rsidR="000F0FE3" w:rsidRPr="000D3EDD">
        <w:rPr>
          <w:color w:val="000000" w:themeColor="text1"/>
        </w:rPr>
        <w:t>a</w:t>
      </w:r>
      <w:r w:rsidRPr="000D3EDD">
        <w:rPr>
          <w:color w:val="000000" w:themeColor="text1"/>
        </w:rPr>
        <w:t xml:space="preserve">). </w:t>
      </w:r>
      <w:r w:rsidR="00CE25A3" w:rsidRPr="000D3EDD">
        <w:rPr>
          <w:color w:val="000000" w:themeColor="text1"/>
        </w:rPr>
        <w:t>In 2009, t</w:t>
      </w:r>
      <w:r w:rsidRPr="000D3EDD">
        <w:rPr>
          <w:color w:val="000000" w:themeColor="text1"/>
        </w:rPr>
        <w:t>he introduction of Doctoral Training Centres signaled a shift from the student-supervisor model</w:t>
      </w:r>
      <w:r w:rsidR="004D163E" w:rsidRPr="000D3EDD">
        <w:rPr>
          <w:color w:val="000000" w:themeColor="text1"/>
        </w:rPr>
        <w:t xml:space="preserve"> of doctoral training</w:t>
      </w:r>
      <w:r w:rsidRPr="000D3EDD">
        <w:rPr>
          <w:color w:val="000000" w:themeColor="text1"/>
        </w:rPr>
        <w:t xml:space="preserve"> to </w:t>
      </w:r>
      <w:r w:rsidR="00C0335C" w:rsidRPr="000D3EDD">
        <w:rPr>
          <w:color w:val="000000" w:themeColor="text1"/>
        </w:rPr>
        <w:t xml:space="preserve">a </w:t>
      </w:r>
      <w:r w:rsidR="003E1F91" w:rsidRPr="000D3EDD">
        <w:rPr>
          <w:color w:val="000000" w:themeColor="text1"/>
        </w:rPr>
        <w:t xml:space="preserve">cohort-based </w:t>
      </w:r>
      <w:r w:rsidR="004D163E" w:rsidRPr="000D3EDD">
        <w:rPr>
          <w:color w:val="000000" w:themeColor="text1"/>
        </w:rPr>
        <w:t xml:space="preserve">one, </w:t>
      </w:r>
      <w:r w:rsidR="00C0335C" w:rsidRPr="000D3EDD">
        <w:rPr>
          <w:color w:val="000000" w:themeColor="text1"/>
        </w:rPr>
        <w:t>emphasising</w:t>
      </w:r>
      <w:r w:rsidR="003E1F91" w:rsidRPr="000D3EDD">
        <w:rPr>
          <w:color w:val="000000" w:themeColor="text1"/>
        </w:rPr>
        <w:t xml:space="preserve"> </w:t>
      </w:r>
      <w:r w:rsidRPr="000D3EDD">
        <w:rPr>
          <w:color w:val="000000" w:themeColor="text1"/>
        </w:rPr>
        <w:t>interdisciplinary collaboration, knowledge exchange and research impact (Lunt, McAlpine</w:t>
      </w:r>
      <w:r w:rsidR="00C3443A" w:rsidRPr="000D3EDD">
        <w:rPr>
          <w:color w:val="000000" w:themeColor="text1"/>
        </w:rPr>
        <w:t>, &amp;</w:t>
      </w:r>
      <w:r w:rsidRPr="000D3EDD">
        <w:rPr>
          <w:color w:val="000000" w:themeColor="text1"/>
        </w:rPr>
        <w:t xml:space="preserve"> Mills, 2014). Collectively</w:t>
      </w:r>
      <w:r w:rsidR="00C0335C" w:rsidRPr="000D3EDD">
        <w:rPr>
          <w:color w:val="000000" w:themeColor="text1"/>
        </w:rPr>
        <w:t xml:space="preserve"> </w:t>
      </w:r>
      <w:r w:rsidRPr="000D3EDD">
        <w:rPr>
          <w:color w:val="000000" w:themeColor="text1"/>
        </w:rPr>
        <w:t xml:space="preserve">these reforms </w:t>
      </w:r>
      <w:r w:rsidR="00C0335C" w:rsidRPr="000D3EDD">
        <w:rPr>
          <w:color w:val="000000" w:themeColor="text1"/>
        </w:rPr>
        <w:t>aim</w:t>
      </w:r>
      <w:r w:rsidRPr="000D3EDD">
        <w:rPr>
          <w:color w:val="000000" w:themeColor="text1"/>
        </w:rPr>
        <w:t xml:space="preserve"> to broaden the professional horizons of PhD holders and </w:t>
      </w:r>
      <w:r w:rsidR="003E1F91" w:rsidRPr="000D3EDD">
        <w:rPr>
          <w:color w:val="000000" w:themeColor="text1"/>
        </w:rPr>
        <w:t>support preparation</w:t>
      </w:r>
      <w:r w:rsidRPr="000D3EDD">
        <w:rPr>
          <w:color w:val="000000" w:themeColor="text1"/>
        </w:rPr>
        <w:t xml:space="preserve"> </w:t>
      </w:r>
      <w:r w:rsidR="003E1F91" w:rsidRPr="000D3EDD">
        <w:rPr>
          <w:color w:val="000000" w:themeColor="text1"/>
        </w:rPr>
        <w:t xml:space="preserve">for </w:t>
      </w:r>
      <w:r w:rsidRPr="000D3EDD">
        <w:rPr>
          <w:color w:val="000000" w:themeColor="text1"/>
        </w:rPr>
        <w:t>diverse employment (</w:t>
      </w:r>
      <w:r w:rsidR="00FD58AD" w:rsidRPr="000D3EDD">
        <w:rPr>
          <w:color w:val="000000" w:themeColor="text1"/>
        </w:rPr>
        <w:t xml:space="preserve">Hancock </w:t>
      </w:r>
      <w:r w:rsidR="00C3443A" w:rsidRPr="000D3EDD">
        <w:rPr>
          <w:color w:val="000000" w:themeColor="text1"/>
        </w:rPr>
        <w:t>&amp;</w:t>
      </w:r>
      <w:r w:rsidR="00FD58AD" w:rsidRPr="000D3EDD">
        <w:rPr>
          <w:color w:val="000000" w:themeColor="text1"/>
        </w:rPr>
        <w:t xml:space="preserve"> Walsh, 2016</w:t>
      </w:r>
      <w:r w:rsidRPr="000D3EDD">
        <w:rPr>
          <w:color w:val="000000" w:themeColor="text1"/>
        </w:rPr>
        <w:t>). At the time of writing, two major funders of UK PhDs are reviewing their doctoral training offer</w:t>
      </w:r>
      <w:r w:rsidR="003E1F91" w:rsidRPr="000D3EDD">
        <w:rPr>
          <w:color w:val="000000" w:themeColor="text1"/>
        </w:rPr>
        <w:t xml:space="preserve"> </w:t>
      </w:r>
      <w:r w:rsidRPr="000D3EDD">
        <w:rPr>
          <w:color w:val="000000" w:themeColor="text1"/>
        </w:rPr>
        <w:t>to ensure the relevancy of skills development to a broad range of employment sectors (</w:t>
      </w:r>
      <w:r w:rsidR="00FD58AD" w:rsidRPr="000D3EDD">
        <w:rPr>
          <w:color w:val="000000" w:themeColor="text1"/>
        </w:rPr>
        <w:t>EPSRC</w:t>
      </w:r>
      <w:r w:rsidR="00C3443A" w:rsidRPr="000D3EDD">
        <w:rPr>
          <w:color w:val="000000" w:themeColor="text1"/>
        </w:rPr>
        <w:t>,</w:t>
      </w:r>
      <w:r w:rsidR="00FD58AD" w:rsidRPr="000D3EDD">
        <w:rPr>
          <w:color w:val="000000" w:themeColor="text1"/>
        </w:rPr>
        <w:t xml:space="preserve"> 2020; ESRC</w:t>
      </w:r>
      <w:r w:rsidR="00C3443A" w:rsidRPr="000D3EDD">
        <w:rPr>
          <w:color w:val="000000" w:themeColor="text1"/>
        </w:rPr>
        <w:t xml:space="preserve">, </w:t>
      </w:r>
      <w:r w:rsidR="00FD58AD" w:rsidRPr="000D3EDD">
        <w:rPr>
          <w:color w:val="000000" w:themeColor="text1"/>
        </w:rPr>
        <w:t>2020</w:t>
      </w:r>
      <w:r w:rsidRPr="000D3EDD">
        <w:rPr>
          <w:color w:val="000000" w:themeColor="text1"/>
        </w:rPr>
        <w:t xml:space="preserve">). </w:t>
      </w:r>
    </w:p>
    <w:p w14:paraId="55F7F1E3" w14:textId="77777777" w:rsidR="00AF5120" w:rsidRPr="000D3EDD" w:rsidRDefault="00AF5120" w:rsidP="000D3EDD">
      <w:pPr>
        <w:spacing w:line="276" w:lineRule="auto"/>
        <w:rPr>
          <w:color w:val="000000" w:themeColor="text1"/>
        </w:rPr>
      </w:pPr>
    </w:p>
    <w:p w14:paraId="24077858" w14:textId="2C217C1F" w:rsidR="00AF5120" w:rsidRPr="000D3EDD" w:rsidRDefault="00AF5120" w:rsidP="000D3EDD">
      <w:pPr>
        <w:spacing w:line="276" w:lineRule="auto"/>
      </w:pPr>
      <w:r w:rsidRPr="000D3EDD">
        <w:rPr>
          <w:color w:val="000000" w:themeColor="text1"/>
        </w:rPr>
        <w:t xml:space="preserve">In 2018, government confidence in the economic importance </w:t>
      </w:r>
      <w:r w:rsidRPr="000D3EDD">
        <w:t xml:space="preserve">of PhDs led to the introduction of the Postgraduate Doctoral Loan, through which UK and EU nationals can apply for £25,000 to support their studies. During </w:t>
      </w:r>
      <w:r w:rsidR="00FD58AD" w:rsidRPr="000D3EDD">
        <w:t xml:space="preserve">a </w:t>
      </w:r>
      <w:r w:rsidRPr="000D3EDD">
        <w:t>consultation process in 2017, the proposal was justified</w:t>
      </w:r>
      <w:r w:rsidR="00FD58AD" w:rsidRPr="000D3EDD">
        <w:t xml:space="preserve"> in light of PhD holders’ ‘vital contribution to the UK’s world class research base and… to British industrial performance and to improved economic productivity’ </w:t>
      </w:r>
      <w:r w:rsidRPr="000D3EDD">
        <w:t>(Department for Education, 2017</w:t>
      </w:r>
      <w:r w:rsidR="00FD58AD" w:rsidRPr="000D3EDD">
        <w:t>, p. 3</w:t>
      </w:r>
      <w:r w:rsidRPr="000D3EDD">
        <w:t xml:space="preserve">). The current UK government plans to increase expenditure on R&amp;D to 2.4% of GDP by </w:t>
      </w:r>
      <w:r w:rsidRPr="000D3EDD">
        <w:rPr>
          <w:color w:val="000000" w:themeColor="text1"/>
        </w:rPr>
        <w:t>2027 (</w:t>
      </w:r>
      <w:r w:rsidR="00FD58AD" w:rsidRPr="000D3EDD">
        <w:rPr>
          <w:color w:val="000000" w:themeColor="text1"/>
        </w:rPr>
        <w:t>HM Government, 2020</w:t>
      </w:r>
      <w:r w:rsidRPr="000D3EDD">
        <w:rPr>
          <w:color w:val="000000" w:themeColor="text1"/>
        </w:rPr>
        <w:t>) – an ambition which, if achieved, is estimated to bring a further 25,000 PhD students into the system</w:t>
      </w:r>
      <w:r w:rsidR="00F32F90" w:rsidRPr="000D3EDD">
        <w:rPr>
          <w:color w:val="000000" w:themeColor="text1"/>
        </w:rPr>
        <w:t>. Such expansion will further intensify</w:t>
      </w:r>
      <w:r w:rsidRPr="000D3EDD">
        <w:rPr>
          <w:color w:val="000000" w:themeColor="text1"/>
        </w:rPr>
        <w:t xml:space="preserve"> competition for academic </w:t>
      </w:r>
      <w:r w:rsidR="00F32F90" w:rsidRPr="000D3EDD">
        <w:rPr>
          <w:color w:val="000000" w:themeColor="text1"/>
        </w:rPr>
        <w:t>jobs and</w:t>
      </w:r>
      <w:r w:rsidRPr="000D3EDD">
        <w:rPr>
          <w:color w:val="000000" w:themeColor="text1"/>
        </w:rPr>
        <w:t xml:space="preserve"> increas</w:t>
      </w:r>
      <w:r w:rsidR="00F32F90" w:rsidRPr="000D3EDD">
        <w:rPr>
          <w:color w:val="000000" w:themeColor="text1"/>
        </w:rPr>
        <w:t>e</w:t>
      </w:r>
      <w:r w:rsidRPr="000D3EDD">
        <w:rPr>
          <w:color w:val="000000" w:themeColor="text1"/>
        </w:rPr>
        <w:t xml:space="preserve"> the number of PhD holders employed </w:t>
      </w:r>
      <w:r w:rsidR="00F32F90" w:rsidRPr="000D3EDD">
        <w:rPr>
          <w:color w:val="000000" w:themeColor="text1"/>
        </w:rPr>
        <w:t>beyond academia</w:t>
      </w:r>
      <w:r w:rsidRPr="000D3EDD">
        <w:rPr>
          <w:color w:val="000000" w:themeColor="text1"/>
        </w:rPr>
        <w:t xml:space="preserve">. </w:t>
      </w:r>
    </w:p>
    <w:p w14:paraId="6021EA74" w14:textId="77777777" w:rsidR="00506004" w:rsidRPr="000D3EDD" w:rsidRDefault="00506004" w:rsidP="000D3EDD">
      <w:pPr>
        <w:spacing w:line="276" w:lineRule="auto"/>
      </w:pPr>
    </w:p>
    <w:p w14:paraId="02022ED0" w14:textId="6C351EF0" w:rsidR="00543FD9" w:rsidRPr="000D3EDD" w:rsidRDefault="00543FD9" w:rsidP="000D3EDD">
      <w:pPr>
        <w:spacing w:line="276" w:lineRule="auto"/>
        <w:rPr>
          <w:b/>
          <w:bCs/>
          <w:color w:val="000000" w:themeColor="text1"/>
        </w:rPr>
      </w:pPr>
      <w:r w:rsidRPr="000D3EDD">
        <w:rPr>
          <w:b/>
          <w:bCs/>
          <w:color w:val="000000" w:themeColor="text1"/>
        </w:rPr>
        <w:t xml:space="preserve">What is known about doctoral employment? An overview of </w:t>
      </w:r>
      <w:r w:rsidR="000E6CBB" w:rsidRPr="000D3EDD">
        <w:rPr>
          <w:b/>
          <w:bCs/>
          <w:color w:val="000000" w:themeColor="text1"/>
        </w:rPr>
        <w:t xml:space="preserve">recent </w:t>
      </w:r>
      <w:r w:rsidRPr="000D3EDD">
        <w:rPr>
          <w:b/>
          <w:bCs/>
          <w:color w:val="000000" w:themeColor="text1"/>
        </w:rPr>
        <w:t xml:space="preserve">research. </w:t>
      </w:r>
    </w:p>
    <w:p w14:paraId="7E31D8E6" w14:textId="62789273" w:rsidR="00543FD9" w:rsidRPr="000D3EDD" w:rsidRDefault="00543FD9" w:rsidP="000D3EDD">
      <w:pPr>
        <w:spacing w:line="276" w:lineRule="auto"/>
      </w:pPr>
      <w:r w:rsidRPr="000D3EDD">
        <w:rPr>
          <w:color w:val="000000" w:themeColor="text1"/>
        </w:rPr>
        <w:lastRenderedPageBreak/>
        <w:t xml:space="preserve">Historically, doctoral education has received less attention than other areas of higher education </w:t>
      </w:r>
      <w:r w:rsidRPr="000D3EDD">
        <w:t>(</w:t>
      </w:r>
      <w:r w:rsidRPr="000D3EDD">
        <w:rPr>
          <w:color w:val="191919"/>
        </w:rPr>
        <w:t xml:space="preserve">Wakeling </w:t>
      </w:r>
      <w:r w:rsidR="00C3443A" w:rsidRPr="000D3EDD">
        <w:rPr>
          <w:color w:val="191919"/>
        </w:rPr>
        <w:t>&amp;</w:t>
      </w:r>
      <w:r w:rsidRPr="000D3EDD">
        <w:rPr>
          <w:color w:val="191919"/>
        </w:rPr>
        <w:t xml:space="preserve"> Kyriacou, 2010</w:t>
      </w:r>
      <w:r w:rsidRPr="000D3EDD">
        <w:t>). This is, however, changing</w:t>
      </w:r>
      <w:r w:rsidR="00F32F90" w:rsidRPr="000D3EDD">
        <w:t>: doctoral</w:t>
      </w:r>
      <w:r w:rsidRPr="000D3EDD">
        <w:t xml:space="preserve"> expansion </w:t>
      </w:r>
      <w:r w:rsidR="00F32F90" w:rsidRPr="000D3EDD">
        <w:t>has coincided with a</w:t>
      </w:r>
      <w:r w:rsidRPr="000D3EDD">
        <w:t xml:space="preserve"> multiplication </w:t>
      </w:r>
      <w:r w:rsidR="00F32F90" w:rsidRPr="000D3EDD">
        <w:t xml:space="preserve">of </w:t>
      </w:r>
      <w:r w:rsidRPr="000D3EDD">
        <w:t xml:space="preserve">interested stakeholders </w:t>
      </w:r>
      <w:r w:rsidR="00F32F90" w:rsidRPr="000D3EDD">
        <w:t>and</w:t>
      </w:r>
      <w:r w:rsidRPr="000D3EDD">
        <w:t xml:space="preserve"> </w:t>
      </w:r>
      <w:r w:rsidR="00F32F90" w:rsidRPr="000D3EDD">
        <w:t>a number of burgeoning</w:t>
      </w:r>
      <w:r w:rsidRPr="000D3EDD">
        <w:t xml:space="preserve"> research areas. Th</w:t>
      </w:r>
      <w:r w:rsidR="00F32F90" w:rsidRPr="000D3EDD">
        <w:t xml:space="preserve">e latter </w:t>
      </w:r>
      <w:r w:rsidRPr="000D3EDD">
        <w:t>has included</w:t>
      </w:r>
      <w:r w:rsidR="00F32F90" w:rsidRPr="000D3EDD">
        <w:t xml:space="preserve"> studies </w:t>
      </w:r>
      <w:proofErr w:type="gramStart"/>
      <w:r w:rsidR="00F32F90" w:rsidRPr="000D3EDD">
        <w:t>on:</w:t>
      </w:r>
      <w:proofErr w:type="gramEnd"/>
      <w:r w:rsidR="00F32F90" w:rsidRPr="000D3EDD">
        <w:t xml:space="preserve"> </w:t>
      </w:r>
      <w:r w:rsidRPr="000D3EDD">
        <w:t xml:space="preserve">inequalities </w:t>
      </w:r>
      <w:r w:rsidR="00F32F90" w:rsidRPr="000D3EDD">
        <w:t>in doctoral education</w:t>
      </w:r>
      <w:r w:rsidRPr="000D3EDD">
        <w:t xml:space="preserve"> (</w:t>
      </w:r>
      <w:proofErr w:type="spellStart"/>
      <w:r w:rsidR="005856C2" w:rsidRPr="000D3EDD">
        <w:t>Gopaul</w:t>
      </w:r>
      <w:proofErr w:type="spellEnd"/>
      <w:r w:rsidR="005856C2" w:rsidRPr="000D3EDD">
        <w:t xml:space="preserve">, 2015; </w:t>
      </w:r>
      <w:r w:rsidRPr="000D3EDD">
        <w:t xml:space="preserve">Pásztor </w:t>
      </w:r>
      <w:r w:rsidR="00C3443A" w:rsidRPr="000D3EDD">
        <w:t>&amp;</w:t>
      </w:r>
      <w:r w:rsidRPr="000D3EDD">
        <w:t xml:space="preserve"> Wakeling, 2018); lived experiences of the doctorate (</w:t>
      </w:r>
      <w:r w:rsidR="0062030B" w:rsidRPr="000D3EDD">
        <w:rPr>
          <w:color w:val="000000" w:themeColor="text1"/>
        </w:rPr>
        <w:t xml:space="preserve">Bryan </w:t>
      </w:r>
      <w:r w:rsidR="00C3443A" w:rsidRPr="000D3EDD">
        <w:rPr>
          <w:color w:val="000000" w:themeColor="text1"/>
        </w:rPr>
        <w:t>&amp;</w:t>
      </w:r>
      <w:r w:rsidR="0062030B" w:rsidRPr="000D3EDD">
        <w:rPr>
          <w:color w:val="000000" w:themeColor="text1"/>
        </w:rPr>
        <w:t xml:space="preserve"> Guccione, 2018</w:t>
      </w:r>
      <w:r w:rsidR="0062030B" w:rsidRPr="000D3EDD">
        <w:t xml:space="preserve">; </w:t>
      </w:r>
      <w:r w:rsidR="0062030B" w:rsidRPr="000D3EDD">
        <w:rPr>
          <w:rFonts w:eastAsia="Arial"/>
          <w:color w:val="000000" w:themeColor="text1"/>
        </w:rPr>
        <w:t>McAlpine and Amundsen, 2018</w:t>
      </w:r>
      <w:r w:rsidRPr="000D3EDD">
        <w:t>); critical appraisals of pedagogy, training and assessment (Budd</w:t>
      </w:r>
      <w:r w:rsidR="00C3443A" w:rsidRPr="000D3EDD">
        <w:t xml:space="preserve">, </w:t>
      </w:r>
      <w:r w:rsidR="00C3443A" w:rsidRPr="000D3EDD">
        <w:rPr>
          <w:color w:val="000000" w:themeColor="text1"/>
        </w:rPr>
        <w:t xml:space="preserve">O'Connell, Yuan, &amp; </w:t>
      </w:r>
      <w:proofErr w:type="spellStart"/>
      <w:r w:rsidR="00C3443A" w:rsidRPr="000D3EDD">
        <w:rPr>
          <w:color w:val="000000" w:themeColor="text1"/>
        </w:rPr>
        <w:t>Ververi</w:t>
      </w:r>
      <w:proofErr w:type="spellEnd"/>
      <w:r w:rsidRPr="000D3EDD">
        <w:t>, 2018</w:t>
      </w:r>
      <w:r w:rsidR="0062030B" w:rsidRPr="000D3EDD">
        <w:t xml:space="preserve">; </w:t>
      </w:r>
      <w:r w:rsidR="0062030B" w:rsidRPr="000D3EDD">
        <w:rPr>
          <w:color w:val="000000" w:themeColor="text1"/>
        </w:rPr>
        <w:t xml:space="preserve">Elliot, </w:t>
      </w:r>
      <w:proofErr w:type="spellStart"/>
      <w:r w:rsidR="0062030B" w:rsidRPr="000D3EDD">
        <w:rPr>
          <w:color w:val="000000" w:themeColor="text1"/>
        </w:rPr>
        <w:t>Bengtsen</w:t>
      </w:r>
      <w:proofErr w:type="spellEnd"/>
      <w:r w:rsidR="0062030B" w:rsidRPr="000D3EDD">
        <w:rPr>
          <w:color w:val="000000" w:themeColor="text1"/>
        </w:rPr>
        <w:t xml:space="preserve">, Guccione </w:t>
      </w:r>
      <w:r w:rsidR="00C3443A" w:rsidRPr="000D3EDD">
        <w:rPr>
          <w:color w:val="000000" w:themeColor="text1"/>
        </w:rPr>
        <w:t>&amp;</w:t>
      </w:r>
      <w:r w:rsidR="0062030B" w:rsidRPr="000D3EDD">
        <w:rPr>
          <w:color w:val="000000" w:themeColor="text1"/>
        </w:rPr>
        <w:t xml:space="preserve"> Kobayashi, 2020</w:t>
      </w:r>
      <w:r w:rsidR="0062030B" w:rsidRPr="000D3EDD">
        <w:t xml:space="preserve">); </w:t>
      </w:r>
      <w:r w:rsidRPr="000D3EDD">
        <w:t>and,</w:t>
      </w:r>
      <w:r w:rsidR="003E1F91" w:rsidRPr="000D3EDD">
        <w:t xml:space="preserve"> </w:t>
      </w:r>
      <w:r w:rsidRPr="000D3EDD">
        <w:t>employment destinations.</w:t>
      </w:r>
      <w:r w:rsidR="00C05F10">
        <w:t xml:space="preserve"> While research on doctoral employment is growing, tensions between traditional and reformist views on the purpose of the PhD have both repressed and propelled studies in this area (Barn</w:t>
      </w:r>
      <w:r w:rsidR="00FA0D67">
        <w:t>e</w:t>
      </w:r>
      <w:r w:rsidR="00C05F10">
        <w:t xml:space="preserve">tt, 2020). </w:t>
      </w:r>
      <w:r w:rsidRPr="000D3EDD">
        <w:t xml:space="preserve"> </w:t>
      </w:r>
    </w:p>
    <w:p w14:paraId="595AF24E" w14:textId="77777777" w:rsidR="00543FD9" w:rsidRPr="000D3EDD" w:rsidRDefault="00543FD9" w:rsidP="000D3EDD">
      <w:pPr>
        <w:spacing w:line="276" w:lineRule="auto"/>
      </w:pPr>
    </w:p>
    <w:p w14:paraId="110E72D4" w14:textId="03EF348B" w:rsidR="00543FD9" w:rsidRPr="000D3EDD" w:rsidRDefault="00E25ED8" w:rsidP="000D3EDD">
      <w:pPr>
        <w:spacing w:line="276" w:lineRule="auto"/>
        <w:rPr>
          <w:i/>
          <w:iCs/>
        </w:rPr>
      </w:pPr>
      <w:r w:rsidRPr="000D3EDD">
        <w:rPr>
          <w:i/>
          <w:iCs/>
        </w:rPr>
        <w:t>R</w:t>
      </w:r>
      <w:r w:rsidR="00543FD9" w:rsidRPr="000D3EDD">
        <w:rPr>
          <w:i/>
          <w:iCs/>
        </w:rPr>
        <w:t>esearching doctoral employment</w:t>
      </w:r>
    </w:p>
    <w:p w14:paraId="7257F658" w14:textId="11206BD9" w:rsidR="00543FD9" w:rsidRPr="000D3EDD" w:rsidRDefault="00543FD9" w:rsidP="000D3EDD">
      <w:pPr>
        <w:spacing w:line="276" w:lineRule="auto"/>
        <w:rPr>
          <w:color w:val="538135" w:themeColor="accent6" w:themeShade="BF"/>
        </w:rPr>
      </w:pPr>
      <w:r w:rsidRPr="000D3EDD">
        <w:t>Broadly, research on doctoral employment has involved one of two approaches: large scale quantitative studies, which typically report survey responses or draw from secondary analyses of national employment statistics; or, smaller-scale qualitative research.</w:t>
      </w:r>
      <w:r w:rsidRPr="000D3EDD">
        <w:rPr>
          <w:b/>
          <w:bCs/>
        </w:rPr>
        <w:t xml:space="preserve">  </w:t>
      </w:r>
      <w:r w:rsidRPr="000D3EDD">
        <w:t xml:space="preserve">Mixed-method inquiries in this area are rare. </w:t>
      </w:r>
      <w:r w:rsidR="00E25ED8" w:rsidRPr="000D3EDD">
        <w:t>De</w:t>
      </w:r>
      <w:r w:rsidRPr="000D3EDD">
        <w:t xml:space="preserve">spite the global consensus on the economic importance of PhD holders, there is </w:t>
      </w:r>
      <w:r w:rsidR="00E25ED8" w:rsidRPr="000D3EDD">
        <w:t>notably</w:t>
      </w:r>
      <w:r w:rsidRPr="000D3EDD">
        <w:t xml:space="preserve"> less consistency to </w:t>
      </w:r>
      <w:r w:rsidR="00E25ED8" w:rsidRPr="000D3EDD">
        <w:t xml:space="preserve">international </w:t>
      </w:r>
      <w:r w:rsidRPr="000D3EDD">
        <w:t xml:space="preserve">evidence gathering. </w:t>
      </w:r>
      <w:r w:rsidRPr="000D3EDD">
        <w:rPr>
          <w:lang w:val="en-US"/>
        </w:rPr>
        <w:t xml:space="preserve">Several nations – including the USA, Germany, </w:t>
      </w:r>
      <w:r w:rsidR="00E25ED8" w:rsidRPr="000D3EDD">
        <w:rPr>
          <w:lang w:val="en-US"/>
        </w:rPr>
        <w:t xml:space="preserve">and </w:t>
      </w:r>
      <w:r w:rsidRPr="000D3EDD">
        <w:rPr>
          <w:lang w:val="en-US"/>
        </w:rPr>
        <w:t>the Netherlands – have established l</w:t>
      </w:r>
      <w:r w:rsidRPr="000D3EDD">
        <w:rPr>
          <w:rFonts w:eastAsiaTheme="minorEastAsia"/>
          <w:lang w:val="en-US"/>
        </w:rPr>
        <w:t xml:space="preserve">arge-scale surveys </w:t>
      </w:r>
      <w:r w:rsidRPr="000D3EDD">
        <w:rPr>
          <w:lang w:val="en-US"/>
        </w:rPr>
        <w:t>to record the employment destinations of PhD holders in their countries (</w:t>
      </w:r>
      <w:r w:rsidR="0062030B" w:rsidRPr="000D3EDD">
        <w:rPr>
          <w:color w:val="000000" w:themeColor="text1"/>
          <w:lang w:val="en-US"/>
        </w:rPr>
        <w:t>Hancock, Wakeling</w:t>
      </w:r>
      <w:r w:rsidR="00C3443A" w:rsidRPr="000D3EDD">
        <w:rPr>
          <w:color w:val="000000" w:themeColor="text1"/>
          <w:lang w:val="en-US"/>
        </w:rPr>
        <w:t>, &amp;</w:t>
      </w:r>
      <w:r w:rsidR="0062030B" w:rsidRPr="000D3EDD">
        <w:rPr>
          <w:color w:val="000000" w:themeColor="text1"/>
          <w:lang w:val="en-US"/>
        </w:rPr>
        <w:t xml:space="preserve"> Chubb, 2019</w:t>
      </w:r>
      <w:r w:rsidRPr="000D3EDD">
        <w:rPr>
          <w:lang w:val="en-US"/>
        </w:rPr>
        <w:t xml:space="preserve">). These datasets, together with analyses conducted by the OECD, reveal that PhD employment trajectories are highly variable by nation (Auriol, 2010; </w:t>
      </w:r>
      <w:r w:rsidR="00C3443A" w:rsidRPr="000D3EDD">
        <w:t xml:space="preserve">Auriol, </w:t>
      </w:r>
      <w:proofErr w:type="spellStart"/>
      <w:r w:rsidR="00C3443A" w:rsidRPr="000D3EDD">
        <w:t>Misu</w:t>
      </w:r>
      <w:proofErr w:type="spellEnd"/>
      <w:r w:rsidR="00C3443A" w:rsidRPr="000D3EDD">
        <w:t xml:space="preserve">, &amp; Freeman, </w:t>
      </w:r>
      <w:r w:rsidRPr="000D3EDD">
        <w:rPr>
          <w:rFonts w:eastAsia="Gill Sans"/>
        </w:rPr>
        <w:t>2013</w:t>
      </w:r>
      <w:r w:rsidRPr="000D3EDD">
        <w:t>)</w:t>
      </w:r>
      <w:r w:rsidRPr="000D3EDD">
        <w:rPr>
          <w:lang w:val="en-US"/>
        </w:rPr>
        <w:t xml:space="preserve">. </w:t>
      </w:r>
      <w:r w:rsidR="00E25ED8" w:rsidRPr="000D3EDD">
        <w:rPr>
          <w:color w:val="000000" w:themeColor="text1"/>
          <w:lang w:val="en-US"/>
        </w:rPr>
        <w:t>S</w:t>
      </w:r>
      <w:r w:rsidRPr="000D3EDD">
        <w:rPr>
          <w:color w:val="000000" w:themeColor="text1"/>
          <w:lang w:val="en-US"/>
        </w:rPr>
        <w:t>takeholders in the UK, which</w:t>
      </w:r>
      <w:r w:rsidR="00E25ED8" w:rsidRPr="000D3EDD">
        <w:rPr>
          <w:color w:val="000000" w:themeColor="text1"/>
          <w:lang w:val="en-US"/>
        </w:rPr>
        <w:t xml:space="preserve"> currently</w:t>
      </w:r>
      <w:r w:rsidRPr="000D3EDD">
        <w:rPr>
          <w:color w:val="000000" w:themeColor="text1"/>
          <w:lang w:val="en-US"/>
        </w:rPr>
        <w:t xml:space="preserve"> has no such survey specific to doctoral employment, should therefore exercise caution in inferring the findings from other contexts to its own</w:t>
      </w:r>
      <w:r w:rsidRPr="000D3EDD">
        <w:rPr>
          <w:color w:val="000000" w:themeColor="text1"/>
        </w:rPr>
        <w:t xml:space="preserve">. </w:t>
      </w:r>
    </w:p>
    <w:p w14:paraId="33928B2D" w14:textId="77777777" w:rsidR="00543FD9" w:rsidRPr="000D3EDD" w:rsidRDefault="00543FD9" w:rsidP="000D3EDD">
      <w:pPr>
        <w:spacing w:line="276" w:lineRule="auto"/>
      </w:pPr>
    </w:p>
    <w:p w14:paraId="17F204E8" w14:textId="21D57AB8" w:rsidR="00543FD9" w:rsidRPr="000D3EDD" w:rsidRDefault="0011212E" w:rsidP="000D3EDD">
      <w:pPr>
        <w:spacing w:line="276" w:lineRule="auto"/>
        <w:rPr>
          <w:i/>
          <w:iCs/>
          <w:color w:val="000000" w:themeColor="text1"/>
        </w:rPr>
      </w:pPr>
      <w:r w:rsidRPr="000D3EDD">
        <w:rPr>
          <w:i/>
          <w:iCs/>
          <w:color w:val="000000" w:themeColor="text1"/>
        </w:rPr>
        <w:t>The</w:t>
      </w:r>
      <w:r w:rsidR="00543FD9" w:rsidRPr="000D3EDD">
        <w:rPr>
          <w:i/>
          <w:iCs/>
          <w:color w:val="000000" w:themeColor="text1"/>
        </w:rPr>
        <w:t xml:space="preserve"> knowledge economy vision</w:t>
      </w:r>
    </w:p>
    <w:p w14:paraId="3AB2FDAA" w14:textId="7BC583E7" w:rsidR="00543FD9" w:rsidRPr="000D3EDD" w:rsidRDefault="00543FD9" w:rsidP="000D3EDD">
      <w:pPr>
        <w:spacing w:line="276" w:lineRule="auto"/>
      </w:pPr>
      <w:r w:rsidRPr="000D3EDD">
        <w:t xml:space="preserve">Turning to consider the knowledge economy, existing </w:t>
      </w:r>
      <w:r w:rsidR="00E25ED8" w:rsidRPr="000D3EDD">
        <w:t>studies</w:t>
      </w:r>
      <w:r w:rsidRPr="000D3EDD">
        <w:t xml:space="preserve"> provide a tepid endorsement of its promises. PhD holders have lower rates of unemployment than all other educational groups, and a doctoral earnings premium – when considered against all other educational groups – is fairly well established (Auriol</w:t>
      </w:r>
      <w:r w:rsidR="00C3443A" w:rsidRPr="000D3EDD">
        <w:t xml:space="preserve"> et al.</w:t>
      </w:r>
      <w:r w:rsidRPr="000D3EDD">
        <w:t>, 2013; Skovgaard Pedersen, 201</w:t>
      </w:r>
      <w:r w:rsidRPr="000D3EDD">
        <w:rPr>
          <w:color w:val="000000" w:themeColor="text1"/>
        </w:rPr>
        <w:t xml:space="preserve">4). </w:t>
      </w:r>
      <w:r w:rsidRPr="000D3EDD">
        <w:t>However, this premium differs by field of study</w:t>
      </w:r>
      <w:r w:rsidR="00E25ED8" w:rsidRPr="000D3EDD">
        <w:t xml:space="preserve">, </w:t>
      </w:r>
      <w:r w:rsidRPr="000D3EDD">
        <w:t xml:space="preserve">and the benefit of holding a PhD vis-à-vis a </w:t>
      </w:r>
      <w:proofErr w:type="gramStart"/>
      <w:r w:rsidRPr="000D3EDD">
        <w:t>Master’s</w:t>
      </w:r>
      <w:proofErr w:type="gramEnd"/>
      <w:r w:rsidRPr="000D3EDD">
        <w:t xml:space="preserve"> degree can be small</w:t>
      </w:r>
      <w:r w:rsidRPr="000D3EDD">
        <w:rPr>
          <w:rFonts w:eastAsia="Gill Sans"/>
        </w:rPr>
        <w:t xml:space="preserve"> (</w:t>
      </w:r>
      <w:r w:rsidRPr="000D3EDD">
        <w:t xml:space="preserve">Auriol et al., 2013; </w:t>
      </w:r>
      <w:r w:rsidR="00C3443A" w:rsidRPr="000D3EDD">
        <w:rPr>
          <w:rFonts w:eastAsia="Gill Sans"/>
        </w:rPr>
        <w:t>Casey</w:t>
      </w:r>
      <w:r w:rsidR="00C3443A" w:rsidRPr="000D3EDD">
        <w:t>,</w:t>
      </w:r>
      <w:r w:rsidR="00C3443A" w:rsidRPr="000D3EDD">
        <w:rPr>
          <w:rFonts w:eastAsia="Gill Sans"/>
        </w:rPr>
        <w:t xml:space="preserve"> 2009; </w:t>
      </w:r>
      <w:proofErr w:type="spellStart"/>
      <w:r w:rsidRPr="000D3EDD">
        <w:rPr>
          <w:rFonts w:eastAsia="Gill Sans"/>
        </w:rPr>
        <w:t>Zolas</w:t>
      </w:r>
      <w:proofErr w:type="spellEnd"/>
      <w:r w:rsidRPr="000D3EDD">
        <w:rPr>
          <w:rFonts w:eastAsia="Gill Sans"/>
        </w:rPr>
        <w:t xml:space="preserve"> et al.</w:t>
      </w:r>
      <w:r w:rsidRPr="000D3EDD">
        <w:t>,</w:t>
      </w:r>
      <w:r w:rsidRPr="000D3EDD">
        <w:rPr>
          <w:rFonts w:eastAsia="Gill Sans"/>
        </w:rPr>
        <w:t xml:space="preserve"> 2015)</w:t>
      </w:r>
      <w:r w:rsidRPr="000D3EDD">
        <w:t xml:space="preserve">. It is plausible to hypothesise that a sustained increase in PhD awards could prompt a process of </w:t>
      </w:r>
      <w:r w:rsidRPr="000D3EDD">
        <w:rPr>
          <w:i/>
          <w:iCs/>
        </w:rPr>
        <w:t>credential inflation</w:t>
      </w:r>
      <w:r w:rsidRPr="000D3EDD">
        <w:t xml:space="preserve"> – devaluing the earnings power of the PhD and leading to declining returns (</w:t>
      </w:r>
      <w:r w:rsidRPr="000D3EDD">
        <w:rPr>
          <w:color w:val="000000" w:themeColor="text1"/>
        </w:rPr>
        <w:t>Collins, 1979</w:t>
      </w:r>
      <w:r w:rsidRPr="000D3EDD">
        <w:t xml:space="preserve">). The plausibility of credential inflation </w:t>
      </w:r>
      <w:r w:rsidR="003C493D" w:rsidRPr="000D3EDD">
        <w:t>amid further</w:t>
      </w:r>
      <w:r w:rsidRPr="000D3EDD">
        <w:t xml:space="preserve"> doctoral expansion arises because </w:t>
      </w:r>
      <w:r w:rsidR="003C493D" w:rsidRPr="000D3EDD">
        <w:t>understanding</w:t>
      </w:r>
      <w:r w:rsidRPr="000D3EDD">
        <w:t xml:space="preserve"> </w:t>
      </w:r>
      <w:r w:rsidR="003C493D" w:rsidRPr="000D3EDD">
        <w:t>of</w:t>
      </w:r>
      <w:r w:rsidRPr="000D3EDD">
        <w:t xml:space="preserve"> whether and why employers value PhD holders is limited. Empirical research with PhD employers is</w:t>
      </w:r>
      <w:r w:rsidR="003C493D" w:rsidRPr="000D3EDD">
        <w:t xml:space="preserve"> particularly</w:t>
      </w:r>
      <w:r w:rsidRPr="000D3EDD">
        <w:t xml:space="preserve"> scarce. </w:t>
      </w:r>
      <w:r w:rsidR="003C493D" w:rsidRPr="000D3EDD">
        <w:t>Why</w:t>
      </w:r>
      <w:r w:rsidRPr="000D3EDD">
        <w:t xml:space="preserve"> </w:t>
      </w:r>
      <w:r w:rsidR="003C493D" w:rsidRPr="000D3EDD">
        <w:t>a</w:t>
      </w:r>
      <w:r w:rsidRPr="000D3EDD">
        <w:t xml:space="preserve"> PhD enhances employability and earnings is unclear: the qualification may well act as a ‘signal’ of</w:t>
      </w:r>
      <w:r w:rsidR="003C493D" w:rsidRPr="000D3EDD">
        <w:t xml:space="preserve"> quality</w:t>
      </w:r>
      <w:r w:rsidRPr="000D3EDD">
        <w:t xml:space="preserve">, rather than being of </w:t>
      </w:r>
      <w:r w:rsidR="003C493D" w:rsidRPr="000D3EDD">
        <w:t xml:space="preserve">direct </w:t>
      </w:r>
      <w:r w:rsidRPr="000D3EDD">
        <w:t xml:space="preserve">relevance to </w:t>
      </w:r>
      <w:r w:rsidR="003C493D" w:rsidRPr="000D3EDD">
        <w:t>an</w:t>
      </w:r>
      <w:r w:rsidRPr="000D3EDD">
        <w:t xml:space="preserve"> occupation or</w:t>
      </w:r>
      <w:r w:rsidR="003C493D" w:rsidRPr="000D3EDD">
        <w:t xml:space="preserve"> the</w:t>
      </w:r>
      <w:r w:rsidRPr="000D3EDD">
        <w:t xml:space="preserve"> basis for increased productivity</w:t>
      </w:r>
      <w:r w:rsidRPr="000D3EDD">
        <w:rPr>
          <w:color w:val="000000" w:themeColor="text1"/>
        </w:rPr>
        <w:t>.</w:t>
      </w:r>
      <w:r w:rsidRPr="000D3EDD">
        <w:rPr>
          <w:color w:val="FF0000"/>
        </w:rPr>
        <w:t xml:space="preserve"> </w:t>
      </w:r>
    </w:p>
    <w:p w14:paraId="7FBA443C" w14:textId="77777777" w:rsidR="00543FD9" w:rsidRPr="000D3EDD" w:rsidRDefault="00543FD9" w:rsidP="000D3EDD">
      <w:pPr>
        <w:spacing w:line="276" w:lineRule="auto"/>
      </w:pPr>
    </w:p>
    <w:p w14:paraId="27D8BE10" w14:textId="77777777" w:rsidR="00543FD9" w:rsidRPr="000D3EDD" w:rsidRDefault="00543FD9" w:rsidP="000D3EDD">
      <w:pPr>
        <w:spacing w:line="276" w:lineRule="auto"/>
        <w:rPr>
          <w:b/>
          <w:bCs/>
          <w:color w:val="000000" w:themeColor="text1"/>
        </w:rPr>
      </w:pPr>
      <w:r w:rsidRPr="000D3EDD">
        <w:rPr>
          <w:i/>
          <w:iCs/>
          <w:color w:val="000000" w:themeColor="text1"/>
        </w:rPr>
        <w:t>Doctoral employment</w:t>
      </w:r>
      <w:r w:rsidRPr="000D3EDD">
        <w:rPr>
          <w:color w:val="000000" w:themeColor="text1"/>
        </w:rPr>
        <w:t xml:space="preserve"> </w:t>
      </w:r>
      <w:r w:rsidRPr="000D3EDD">
        <w:rPr>
          <w:i/>
          <w:iCs/>
          <w:color w:val="000000" w:themeColor="text1"/>
        </w:rPr>
        <w:t>destinations</w:t>
      </w:r>
    </w:p>
    <w:p w14:paraId="3177263F" w14:textId="2B044F84" w:rsidR="00543FD9" w:rsidRPr="000D3EDD" w:rsidRDefault="00543FD9" w:rsidP="000D3EDD">
      <w:pPr>
        <w:spacing w:line="276" w:lineRule="auto"/>
        <w:textAlignment w:val="baseline"/>
      </w:pPr>
      <w:r w:rsidRPr="000D3EDD">
        <w:t xml:space="preserve">A central preoccupation in the empirical research is the quantification of PhD holders’ transitions into or out of academic employment.  This is typically achieved through the analysis of large-scale survey data or official employment statistics, with a focus on PhD </w:t>
      </w:r>
      <w:r w:rsidRPr="000D3EDD">
        <w:lastRenderedPageBreak/>
        <w:t xml:space="preserve">employment destinations at a single point in time. In the UK, Vitae </w:t>
      </w:r>
      <w:r w:rsidRPr="000D3EDD">
        <w:rPr>
          <w:color w:val="000000" w:themeColor="text1"/>
        </w:rPr>
        <w:t xml:space="preserve">– </w:t>
      </w:r>
      <w:r w:rsidR="003C493D" w:rsidRPr="000D3EDD">
        <w:rPr>
          <w:color w:val="000000" w:themeColor="text1"/>
        </w:rPr>
        <w:t>an organisation which supports the professional development of researchers</w:t>
      </w:r>
      <w:r w:rsidRPr="000D3EDD">
        <w:rPr>
          <w:color w:val="000000" w:themeColor="text1"/>
        </w:rPr>
        <w:t xml:space="preserve"> – has led research on doctoral employment destinations </w:t>
      </w:r>
      <w:r w:rsidR="00500AD5" w:rsidRPr="000D3EDD">
        <w:rPr>
          <w:color w:val="000000" w:themeColor="text1"/>
        </w:rPr>
        <w:t>in</w:t>
      </w:r>
      <w:r w:rsidRPr="000D3EDD">
        <w:rPr>
          <w:color w:val="000000" w:themeColor="text1"/>
        </w:rPr>
        <w:t xml:space="preserve"> the last decade, through its series of </w:t>
      </w:r>
      <w:r w:rsidRPr="000D3EDD">
        <w:t>‘What do doctoral graduates do?’ reports. These reports relate secondary analysis of data from the Higher Education Statistics Agency’s Destinations of Leavers of Higher Education (DLHE) survey, which records graduate activity at six months and three and a half years after graduation. The most recent published data from Vitae (20</w:t>
      </w:r>
      <w:r w:rsidR="00500AD5" w:rsidRPr="000D3EDD">
        <w:t>19</w:t>
      </w:r>
      <w:r w:rsidR="000F0FE3" w:rsidRPr="000D3EDD">
        <w:t>b</w:t>
      </w:r>
      <w:r w:rsidRPr="000D3EDD">
        <w:t xml:space="preserve">) illustrate that across all fields, </w:t>
      </w:r>
      <w:r w:rsidR="00500AD5" w:rsidRPr="000D3EDD">
        <w:t xml:space="preserve">over </w:t>
      </w:r>
      <w:r w:rsidRPr="000D3EDD">
        <w:t xml:space="preserve">half of all PhD holders have left higher education six months after completion. </w:t>
      </w:r>
    </w:p>
    <w:p w14:paraId="4303131B" w14:textId="77777777" w:rsidR="00543FD9" w:rsidRPr="000D3EDD" w:rsidRDefault="00543FD9" w:rsidP="000D3EDD">
      <w:pPr>
        <w:pStyle w:val="BodyText"/>
        <w:spacing w:before="0" w:after="0" w:line="276" w:lineRule="auto"/>
        <w:rPr>
          <w:rFonts w:ascii="Times New Roman" w:hAnsi="Times New Roman" w:cs="Times New Roman"/>
          <w:szCs w:val="24"/>
        </w:rPr>
      </w:pPr>
    </w:p>
    <w:p w14:paraId="6800D2F1" w14:textId="280AC2D5" w:rsidR="00543FD9" w:rsidRPr="000D3EDD" w:rsidRDefault="00543FD9" w:rsidP="000D3EDD">
      <w:pPr>
        <w:spacing w:line="276" w:lineRule="auto"/>
      </w:pPr>
      <w:r w:rsidRPr="000D3EDD">
        <w:t xml:space="preserve">Beyond the UK, a number of comparative and single nation studies have examined </w:t>
      </w:r>
      <w:r w:rsidR="000F0FE3" w:rsidRPr="000D3EDD">
        <w:t>doctoral</w:t>
      </w:r>
      <w:r w:rsidRPr="000D3EDD">
        <w:t xml:space="preserve"> employment destinations in the last decade. Auriol, </w:t>
      </w:r>
      <w:proofErr w:type="spellStart"/>
      <w:r w:rsidRPr="000D3EDD">
        <w:t>Misu</w:t>
      </w:r>
      <w:proofErr w:type="spellEnd"/>
      <w:r w:rsidRPr="000D3EDD">
        <w:t xml:space="preserve"> and Freeman’s (2013) analysis of the Careers of Doctorate Holders (CDH) dataset – an initiative between the OECD, the UNESCO Institute for Statistics and Eurostat </w:t>
      </w:r>
      <w:r w:rsidR="000F0FE3" w:rsidRPr="000D3EDD">
        <w:t>–</w:t>
      </w:r>
      <w:r w:rsidRPr="000D3EDD">
        <w:t xml:space="preserve"> demonstrate</w:t>
      </w:r>
      <w:r w:rsidR="000F0FE3" w:rsidRPr="000D3EDD">
        <w:t xml:space="preserve">d </w:t>
      </w:r>
      <w:r w:rsidRPr="000D3EDD">
        <w:t xml:space="preserve">the increasing tendency for PhD holders to be employed beyond academia. While higher education remains the largest single employer of PhD holders, the share employed by business and government has increased in most nations. </w:t>
      </w:r>
    </w:p>
    <w:p w14:paraId="02A9431E" w14:textId="77777777" w:rsidR="00543FD9" w:rsidRPr="000D3EDD" w:rsidRDefault="00543FD9" w:rsidP="000D3EDD">
      <w:pPr>
        <w:spacing w:line="276" w:lineRule="auto"/>
      </w:pPr>
    </w:p>
    <w:p w14:paraId="32808807" w14:textId="0A0951A6" w:rsidR="00543FD9" w:rsidRPr="000D3EDD" w:rsidRDefault="00543FD9" w:rsidP="000D3EDD">
      <w:pPr>
        <w:pStyle w:val="BodyText"/>
        <w:spacing w:before="0" w:after="0" w:line="276" w:lineRule="auto"/>
        <w:rPr>
          <w:rFonts w:ascii="Times New Roman" w:hAnsi="Times New Roman" w:cs="Times New Roman"/>
          <w:szCs w:val="24"/>
        </w:rPr>
      </w:pPr>
      <w:r w:rsidRPr="000D3EDD">
        <w:rPr>
          <w:rFonts w:ascii="Times New Roman" w:hAnsi="Times New Roman" w:cs="Times New Roman"/>
          <w:szCs w:val="24"/>
        </w:rPr>
        <w:t xml:space="preserve">Most studies of PhD employment destinations are located in countries with well-developed research systems. </w:t>
      </w:r>
      <w:r w:rsidR="003A2858" w:rsidRPr="00D92F48">
        <w:rPr>
          <w:rFonts w:ascii="Times New Roman" w:hAnsi="Times New Roman" w:cs="Times New Roman"/>
          <w:szCs w:val="24"/>
        </w:rPr>
        <w:t>The trend for PhD holders to</w:t>
      </w:r>
      <w:r w:rsidR="003A2858">
        <w:rPr>
          <w:rFonts w:ascii="Times New Roman" w:hAnsi="Times New Roman" w:cs="Times New Roman"/>
          <w:szCs w:val="24"/>
        </w:rPr>
        <w:t xml:space="preserve"> increasingly</w:t>
      </w:r>
      <w:r w:rsidR="003A2858" w:rsidRPr="00D92F48">
        <w:rPr>
          <w:rFonts w:ascii="Times New Roman" w:hAnsi="Times New Roman" w:cs="Times New Roman"/>
          <w:szCs w:val="24"/>
        </w:rPr>
        <w:t xml:space="preserve"> forge non-academic careers is consistent across nations, although the precise ratio of those employed in/out of academia varies by context. </w:t>
      </w:r>
      <w:r w:rsidR="003A2858">
        <w:rPr>
          <w:rFonts w:ascii="Times New Roman" w:hAnsi="Times New Roman" w:cs="Times New Roman"/>
          <w:szCs w:val="24"/>
        </w:rPr>
        <w:t>Analysis of</w:t>
      </w:r>
      <w:r w:rsidR="003A2858" w:rsidRPr="00D92F48">
        <w:rPr>
          <w:rFonts w:ascii="Times New Roman" w:hAnsi="Times New Roman" w:cs="Times New Roman"/>
          <w:szCs w:val="24"/>
        </w:rPr>
        <w:t xml:space="preserve"> </w:t>
      </w:r>
      <w:r w:rsidR="003A2858">
        <w:rPr>
          <w:rFonts w:ascii="Times New Roman" w:hAnsi="Times New Roman" w:cs="Times New Roman"/>
          <w:szCs w:val="24"/>
        </w:rPr>
        <w:t xml:space="preserve">2016 </w:t>
      </w:r>
      <w:r w:rsidR="003A2858" w:rsidRPr="00D92F48">
        <w:rPr>
          <w:rFonts w:ascii="Times New Roman" w:hAnsi="Times New Roman" w:cs="Times New Roman"/>
          <w:szCs w:val="24"/>
        </w:rPr>
        <w:t>Australia</w:t>
      </w:r>
      <w:r w:rsidR="00A52551">
        <w:rPr>
          <w:rFonts w:ascii="Times New Roman" w:hAnsi="Times New Roman" w:cs="Times New Roman"/>
          <w:szCs w:val="24"/>
        </w:rPr>
        <w:t>n</w:t>
      </w:r>
      <w:r w:rsidR="003A2858">
        <w:rPr>
          <w:rFonts w:ascii="Times New Roman" w:hAnsi="Times New Roman" w:cs="Times New Roman"/>
          <w:szCs w:val="24"/>
        </w:rPr>
        <w:t xml:space="preserve"> census data indicates that some 41.9% of</w:t>
      </w:r>
      <w:r w:rsidR="003A2858" w:rsidRPr="00D92F48">
        <w:rPr>
          <w:rFonts w:ascii="Times New Roman" w:hAnsi="Times New Roman" w:cs="Times New Roman"/>
          <w:szCs w:val="24"/>
        </w:rPr>
        <w:t xml:space="preserve"> PhD holders are employed </w:t>
      </w:r>
      <w:r w:rsidR="003A2858">
        <w:rPr>
          <w:rFonts w:ascii="Times New Roman" w:hAnsi="Times New Roman" w:cs="Times New Roman"/>
          <w:szCs w:val="24"/>
        </w:rPr>
        <w:t>in the</w:t>
      </w:r>
      <w:r w:rsidR="003A2858" w:rsidRPr="00D92F48">
        <w:rPr>
          <w:rFonts w:ascii="Times New Roman" w:hAnsi="Times New Roman" w:cs="Times New Roman"/>
          <w:szCs w:val="24"/>
        </w:rPr>
        <w:t xml:space="preserve"> academic sector </w:t>
      </w:r>
      <w:r w:rsidR="003A2858" w:rsidRPr="00D92F48">
        <w:rPr>
          <w:rFonts w:ascii="Times New Roman" w:hAnsi="Times New Roman" w:cs="Times New Roman"/>
          <w:szCs w:val="24"/>
          <w:lang w:eastAsia="en-GB"/>
        </w:rPr>
        <w:t>(</w:t>
      </w:r>
      <w:r w:rsidR="003A2858" w:rsidRPr="00D92F48">
        <w:rPr>
          <w:rFonts w:ascii="Times New Roman" w:hAnsi="Times New Roman" w:cs="Times New Roman"/>
          <w:szCs w:val="24"/>
        </w:rPr>
        <w:t xml:space="preserve">McCarthy &amp; </w:t>
      </w:r>
      <w:proofErr w:type="spellStart"/>
      <w:r w:rsidR="003A2858" w:rsidRPr="00D92F48">
        <w:rPr>
          <w:rFonts w:ascii="Times New Roman" w:hAnsi="Times New Roman" w:cs="Times New Roman"/>
          <w:szCs w:val="24"/>
        </w:rPr>
        <w:t>Wienk</w:t>
      </w:r>
      <w:proofErr w:type="spellEnd"/>
      <w:r w:rsidR="003A2858" w:rsidRPr="00D92F48">
        <w:rPr>
          <w:rFonts w:ascii="Times New Roman" w:hAnsi="Times New Roman" w:cs="Times New Roman"/>
          <w:szCs w:val="24"/>
        </w:rPr>
        <w:t>, 2019</w:t>
      </w:r>
      <w:r w:rsidR="003A2858">
        <w:rPr>
          <w:rFonts w:ascii="Times New Roman" w:hAnsi="Times New Roman" w:cs="Times New Roman"/>
          <w:szCs w:val="24"/>
        </w:rPr>
        <w:t>, p. 8</w:t>
      </w:r>
      <w:r w:rsidR="003A2858" w:rsidRPr="00D92F48">
        <w:rPr>
          <w:rFonts w:ascii="Times New Roman" w:hAnsi="Times New Roman" w:cs="Times New Roman"/>
          <w:szCs w:val="24"/>
        </w:rPr>
        <w:t xml:space="preserve">). In Norway, </w:t>
      </w:r>
      <w:r w:rsidR="003A2858">
        <w:rPr>
          <w:rFonts w:ascii="Times New Roman" w:hAnsi="Times New Roman" w:cs="Times New Roman"/>
          <w:szCs w:val="24"/>
        </w:rPr>
        <w:t>a similar proportion</w:t>
      </w:r>
      <w:r w:rsidR="003A2858" w:rsidRPr="00D92F48">
        <w:rPr>
          <w:rFonts w:ascii="Times New Roman" w:hAnsi="Times New Roman" w:cs="Times New Roman"/>
          <w:szCs w:val="24"/>
        </w:rPr>
        <w:t xml:space="preserve"> of PhD holders are employed </w:t>
      </w:r>
      <w:r w:rsidR="003A2858">
        <w:rPr>
          <w:rFonts w:ascii="Times New Roman" w:hAnsi="Times New Roman" w:cs="Times New Roman"/>
          <w:szCs w:val="24"/>
        </w:rPr>
        <w:t>in</w:t>
      </w:r>
      <w:r w:rsidR="003A2858" w:rsidRPr="00D92F48">
        <w:rPr>
          <w:rFonts w:ascii="Times New Roman" w:hAnsi="Times New Roman" w:cs="Times New Roman"/>
          <w:szCs w:val="24"/>
        </w:rPr>
        <w:t xml:space="preserve"> academia (</w:t>
      </w:r>
      <w:proofErr w:type="spellStart"/>
      <w:r w:rsidR="003A2858" w:rsidRPr="00D92F48">
        <w:rPr>
          <w:rFonts w:ascii="Times New Roman" w:hAnsi="Times New Roman" w:cs="Times New Roman"/>
          <w:szCs w:val="24"/>
        </w:rPr>
        <w:t>Kyvik</w:t>
      </w:r>
      <w:proofErr w:type="spellEnd"/>
      <w:r w:rsidR="003A2858" w:rsidRPr="00D92F48">
        <w:rPr>
          <w:rFonts w:ascii="Times New Roman" w:hAnsi="Times New Roman" w:cs="Times New Roman"/>
          <w:szCs w:val="24"/>
        </w:rPr>
        <w:t xml:space="preserve"> &amp; </w:t>
      </w:r>
      <w:proofErr w:type="spellStart"/>
      <w:r w:rsidR="003A2858" w:rsidRPr="00D92F48">
        <w:rPr>
          <w:rFonts w:ascii="Times New Roman" w:hAnsi="Times New Roman" w:cs="Times New Roman"/>
          <w:szCs w:val="24"/>
        </w:rPr>
        <w:t>Bruen</w:t>
      </w:r>
      <w:proofErr w:type="spellEnd"/>
      <w:r w:rsidR="003A2858" w:rsidRPr="00D92F48">
        <w:rPr>
          <w:rFonts w:ascii="Times New Roman" w:hAnsi="Times New Roman" w:cs="Times New Roman"/>
          <w:szCs w:val="24"/>
        </w:rPr>
        <w:t xml:space="preserve"> Olsen, 2012</w:t>
      </w:r>
      <w:r w:rsidR="003A2858">
        <w:rPr>
          <w:rFonts w:ascii="Times New Roman" w:hAnsi="Times New Roman" w:cs="Times New Roman"/>
          <w:szCs w:val="24"/>
        </w:rPr>
        <w:t>, p. 205</w:t>
      </w:r>
      <w:r w:rsidR="003A2858" w:rsidRPr="00D92F48">
        <w:rPr>
          <w:rFonts w:ascii="Times New Roman" w:hAnsi="Times New Roman" w:cs="Times New Roman"/>
          <w:szCs w:val="24"/>
        </w:rPr>
        <w:t>; Thune et al., 2012</w:t>
      </w:r>
      <w:r w:rsidR="003A2858">
        <w:rPr>
          <w:rFonts w:ascii="Times New Roman" w:hAnsi="Times New Roman" w:cs="Times New Roman"/>
          <w:szCs w:val="24"/>
        </w:rPr>
        <w:t>, p. 82</w:t>
      </w:r>
      <w:r w:rsidR="003A2858" w:rsidRPr="00D92F48">
        <w:rPr>
          <w:rFonts w:ascii="Times New Roman" w:hAnsi="Times New Roman" w:cs="Times New Roman"/>
          <w:szCs w:val="24"/>
        </w:rPr>
        <w:t xml:space="preserve">). </w:t>
      </w:r>
      <w:r w:rsidRPr="000D3EDD">
        <w:rPr>
          <w:rFonts w:ascii="Times New Roman" w:hAnsi="Times New Roman" w:cs="Times New Roman"/>
          <w:szCs w:val="24"/>
        </w:rPr>
        <w:t xml:space="preserve">In the Netherlands and United States, around one-third of PhD holders remain in </w:t>
      </w:r>
      <w:r w:rsidR="000F0FE3" w:rsidRPr="000D3EDD">
        <w:rPr>
          <w:rFonts w:ascii="Times New Roman" w:hAnsi="Times New Roman" w:cs="Times New Roman"/>
          <w:szCs w:val="24"/>
        </w:rPr>
        <w:t>academia</w:t>
      </w:r>
      <w:r w:rsidRPr="000D3EDD">
        <w:rPr>
          <w:rFonts w:ascii="Times New Roman" w:hAnsi="Times New Roman" w:cs="Times New Roman"/>
          <w:szCs w:val="24"/>
        </w:rPr>
        <w:t xml:space="preserve"> (van de </w:t>
      </w:r>
      <w:proofErr w:type="spellStart"/>
      <w:r w:rsidRPr="000D3EDD">
        <w:rPr>
          <w:rFonts w:ascii="Times New Roman" w:hAnsi="Times New Roman" w:cs="Times New Roman"/>
          <w:szCs w:val="24"/>
        </w:rPr>
        <w:t>Schoot</w:t>
      </w:r>
      <w:proofErr w:type="spellEnd"/>
      <w:r w:rsidRPr="000D3EDD">
        <w:rPr>
          <w:rFonts w:ascii="Times New Roman" w:hAnsi="Times New Roman" w:cs="Times New Roman"/>
          <w:szCs w:val="24"/>
        </w:rPr>
        <w:t>, Yerkes</w:t>
      </w:r>
      <w:r w:rsidR="00C3443A" w:rsidRPr="000D3EDD">
        <w:rPr>
          <w:rFonts w:ascii="Times New Roman" w:hAnsi="Times New Roman" w:cs="Times New Roman"/>
          <w:szCs w:val="24"/>
        </w:rPr>
        <w:t>, &amp;</w:t>
      </w:r>
      <w:r w:rsidRPr="000D3EDD">
        <w:rPr>
          <w:rFonts w:ascii="Times New Roman" w:hAnsi="Times New Roman" w:cs="Times New Roman"/>
          <w:szCs w:val="24"/>
        </w:rPr>
        <w:t xml:space="preserve"> </w:t>
      </w:r>
      <w:proofErr w:type="spellStart"/>
      <w:r w:rsidRPr="000D3EDD">
        <w:rPr>
          <w:rFonts w:ascii="Times New Roman" w:hAnsi="Times New Roman" w:cs="Times New Roman"/>
          <w:szCs w:val="24"/>
        </w:rPr>
        <w:t>Sonneveld</w:t>
      </w:r>
      <w:proofErr w:type="spellEnd"/>
      <w:r w:rsidRPr="000D3EDD">
        <w:rPr>
          <w:rFonts w:ascii="Times New Roman" w:hAnsi="Times New Roman" w:cs="Times New Roman"/>
          <w:szCs w:val="24"/>
        </w:rPr>
        <w:t xml:space="preserve">, 2012; McCarthy &amp; </w:t>
      </w:r>
      <w:proofErr w:type="spellStart"/>
      <w:r w:rsidRPr="000D3EDD">
        <w:rPr>
          <w:rFonts w:ascii="Times New Roman" w:hAnsi="Times New Roman" w:cs="Times New Roman"/>
          <w:szCs w:val="24"/>
        </w:rPr>
        <w:t>Wienk</w:t>
      </w:r>
      <w:proofErr w:type="spellEnd"/>
      <w:r w:rsidRPr="000D3EDD">
        <w:rPr>
          <w:rFonts w:ascii="Times New Roman" w:hAnsi="Times New Roman" w:cs="Times New Roman"/>
          <w:szCs w:val="24"/>
        </w:rPr>
        <w:t>, 2019). In Germany, only one-quarter of PhD holders secure academic positions one year after completion (</w:t>
      </w:r>
      <w:proofErr w:type="spellStart"/>
      <w:r w:rsidRPr="000D3EDD">
        <w:rPr>
          <w:rFonts w:ascii="Times New Roman" w:hAnsi="Times New Roman" w:cs="Times New Roman"/>
          <w:szCs w:val="24"/>
        </w:rPr>
        <w:t>Hauss</w:t>
      </w:r>
      <w:proofErr w:type="spellEnd"/>
      <w:r w:rsidR="00C3443A" w:rsidRPr="000D3EDD">
        <w:rPr>
          <w:rFonts w:ascii="Times New Roman" w:hAnsi="Times New Roman" w:cs="Times New Roman"/>
          <w:szCs w:val="24"/>
        </w:rPr>
        <w:t xml:space="preserve">, </w:t>
      </w:r>
      <w:proofErr w:type="spellStart"/>
      <w:r w:rsidR="00C3443A" w:rsidRPr="000D3EDD">
        <w:rPr>
          <w:rFonts w:ascii="Times New Roman" w:hAnsi="Times New Roman" w:cs="Times New Roman"/>
          <w:szCs w:val="24"/>
        </w:rPr>
        <w:t>Kaulisch</w:t>
      </w:r>
      <w:proofErr w:type="spellEnd"/>
      <w:r w:rsidR="00C3443A" w:rsidRPr="000D3EDD">
        <w:rPr>
          <w:rFonts w:ascii="Times New Roman" w:hAnsi="Times New Roman" w:cs="Times New Roman"/>
          <w:szCs w:val="24"/>
        </w:rPr>
        <w:t xml:space="preserve">, &amp; </w:t>
      </w:r>
      <w:proofErr w:type="spellStart"/>
      <w:r w:rsidR="00C3443A" w:rsidRPr="000D3EDD">
        <w:rPr>
          <w:rFonts w:ascii="Times New Roman" w:hAnsi="Times New Roman" w:cs="Times New Roman"/>
          <w:szCs w:val="24"/>
        </w:rPr>
        <w:t>Tesch</w:t>
      </w:r>
      <w:proofErr w:type="spellEnd"/>
      <w:r w:rsidRPr="000D3EDD">
        <w:rPr>
          <w:rFonts w:ascii="Times New Roman" w:hAnsi="Times New Roman" w:cs="Times New Roman"/>
          <w:szCs w:val="24"/>
        </w:rPr>
        <w:t xml:space="preserve">, 2015). There is some evidence that different doctoral routes may lead to </w:t>
      </w:r>
      <w:r w:rsidR="000F0FE3" w:rsidRPr="000D3EDD">
        <w:rPr>
          <w:rFonts w:ascii="Times New Roman" w:hAnsi="Times New Roman" w:cs="Times New Roman"/>
          <w:szCs w:val="24"/>
        </w:rPr>
        <w:t>distinct</w:t>
      </w:r>
      <w:r w:rsidRPr="000D3EDD">
        <w:rPr>
          <w:rFonts w:ascii="Times New Roman" w:hAnsi="Times New Roman" w:cs="Times New Roman"/>
          <w:szCs w:val="24"/>
        </w:rPr>
        <w:t xml:space="preserve"> occupational outcomes. In the German context, a doctorate achieved under the supervision of a professor with ‘high research performance’ is associated with securing a public research role, while a doctorate undertaken with industrial links is predictive of a career in the pr</w:t>
      </w:r>
      <w:r w:rsidR="00DC1439" w:rsidRPr="000D3EDD">
        <w:rPr>
          <w:rFonts w:ascii="Times New Roman" w:hAnsi="Times New Roman" w:cs="Times New Roman"/>
          <w:szCs w:val="24"/>
        </w:rPr>
        <w:t>i</w:t>
      </w:r>
      <w:r w:rsidRPr="000D3EDD">
        <w:rPr>
          <w:rFonts w:ascii="Times New Roman" w:hAnsi="Times New Roman" w:cs="Times New Roman"/>
          <w:szCs w:val="24"/>
        </w:rPr>
        <w:t xml:space="preserve">vate sector (Hottenrott </w:t>
      </w:r>
      <w:r w:rsidR="00E57ABF" w:rsidRPr="000D3EDD">
        <w:rPr>
          <w:rFonts w:ascii="Times New Roman" w:hAnsi="Times New Roman" w:cs="Times New Roman"/>
          <w:szCs w:val="24"/>
        </w:rPr>
        <w:t>&amp;</w:t>
      </w:r>
      <w:r w:rsidRPr="000D3EDD">
        <w:rPr>
          <w:rFonts w:ascii="Times New Roman" w:hAnsi="Times New Roman" w:cs="Times New Roman"/>
          <w:szCs w:val="24"/>
        </w:rPr>
        <w:t xml:space="preserve"> Lawson, 2017). In Australia, Jackson and Michelson (2015) report that PhD holders from the prestigious Group of Eight universities are significantly more likely to enter full-time employment. </w:t>
      </w:r>
    </w:p>
    <w:p w14:paraId="07EF3BE1" w14:textId="77777777" w:rsidR="00543FD9" w:rsidRPr="000D3EDD" w:rsidRDefault="00543FD9" w:rsidP="000D3EDD">
      <w:pPr>
        <w:pStyle w:val="BodyText"/>
        <w:spacing w:before="0" w:after="0" w:line="276" w:lineRule="auto"/>
        <w:rPr>
          <w:rFonts w:ascii="Times New Roman" w:hAnsi="Times New Roman" w:cs="Times New Roman"/>
          <w:szCs w:val="24"/>
        </w:rPr>
      </w:pPr>
    </w:p>
    <w:p w14:paraId="7FD8EE37" w14:textId="03ED2806" w:rsidR="00543FD9" w:rsidRPr="000D3EDD" w:rsidRDefault="00543FD9" w:rsidP="000D3EDD">
      <w:pPr>
        <w:pStyle w:val="BodyText"/>
        <w:spacing w:before="0" w:after="0" w:line="276" w:lineRule="auto"/>
        <w:rPr>
          <w:rFonts w:ascii="Times New Roman" w:eastAsia="Gill Sans" w:hAnsi="Times New Roman" w:cs="Times New Roman"/>
          <w:szCs w:val="24"/>
        </w:rPr>
      </w:pPr>
      <w:r w:rsidRPr="000D3EDD">
        <w:rPr>
          <w:rFonts w:ascii="Times New Roman" w:hAnsi="Times New Roman" w:cs="Times New Roman"/>
          <w:szCs w:val="24"/>
        </w:rPr>
        <w:t xml:space="preserve">Given the focus on transitions into or out of academic employment, research into self-employment </w:t>
      </w:r>
      <w:r w:rsidR="00F946A8" w:rsidRPr="000D3EDD">
        <w:rPr>
          <w:rFonts w:ascii="Times New Roman" w:hAnsi="Times New Roman" w:cs="Times New Roman"/>
          <w:szCs w:val="24"/>
        </w:rPr>
        <w:t>and</w:t>
      </w:r>
      <w:r w:rsidRPr="000D3EDD">
        <w:rPr>
          <w:rFonts w:ascii="Times New Roman" w:hAnsi="Times New Roman" w:cs="Times New Roman"/>
          <w:szCs w:val="24"/>
        </w:rPr>
        <w:t xml:space="preserve"> entrepreneurial activities among PhD holders </w:t>
      </w:r>
      <w:r w:rsidR="00F946A8" w:rsidRPr="000D3EDD">
        <w:rPr>
          <w:rFonts w:ascii="Times New Roman" w:hAnsi="Times New Roman" w:cs="Times New Roman"/>
          <w:szCs w:val="24"/>
        </w:rPr>
        <w:t>is</w:t>
      </w:r>
      <w:r w:rsidRPr="000D3EDD">
        <w:rPr>
          <w:rFonts w:ascii="Times New Roman" w:hAnsi="Times New Roman" w:cs="Times New Roman"/>
          <w:szCs w:val="24"/>
        </w:rPr>
        <w:t xml:space="preserve"> </w:t>
      </w:r>
      <w:r w:rsidR="001445A1" w:rsidRPr="000D3EDD">
        <w:rPr>
          <w:rFonts w:ascii="Times New Roman" w:hAnsi="Times New Roman" w:cs="Times New Roman"/>
          <w:szCs w:val="24"/>
        </w:rPr>
        <w:t>notably</w:t>
      </w:r>
      <w:r w:rsidR="00F946A8" w:rsidRPr="000D3EDD">
        <w:rPr>
          <w:rFonts w:ascii="Times New Roman" w:hAnsi="Times New Roman" w:cs="Times New Roman"/>
          <w:szCs w:val="24"/>
        </w:rPr>
        <w:t xml:space="preserve"> underdeveloped</w:t>
      </w:r>
      <w:r w:rsidRPr="000D3EDD">
        <w:rPr>
          <w:rFonts w:ascii="Times New Roman" w:hAnsi="Times New Roman" w:cs="Times New Roman"/>
          <w:szCs w:val="24"/>
        </w:rPr>
        <w:t xml:space="preserve">. The reliance on employment statistics and large-scale quantitative surveys often means that </w:t>
      </w:r>
      <w:r w:rsidR="00F946A8" w:rsidRPr="000D3EDD">
        <w:rPr>
          <w:rFonts w:ascii="Times New Roman" w:hAnsi="Times New Roman" w:cs="Times New Roman"/>
          <w:szCs w:val="24"/>
        </w:rPr>
        <w:t>analysis of</w:t>
      </w:r>
      <w:r w:rsidRPr="000D3EDD">
        <w:rPr>
          <w:rFonts w:ascii="Times New Roman" w:hAnsi="Times New Roman" w:cs="Times New Roman"/>
          <w:szCs w:val="24"/>
        </w:rPr>
        <w:t xml:space="preserve"> the subjective factors influencing career pathways – including the role of values, aspirations</w:t>
      </w:r>
      <w:r w:rsidR="00F946A8" w:rsidRPr="000D3EDD">
        <w:rPr>
          <w:rFonts w:ascii="Times New Roman" w:hAnsi="Times New Roman" w:cs="Times New Roman"/>
          <w:szCs w:val="24"/>
        </w:rPr>
        <w:t xml:space="preserve"> </w:t>
      </w:r>
      <w:r w:rsidRPr="000D3EDD">
        <w:rPr>
          <w:rFonts w:ascii="Times New Roman" w:hAnsi="Times New Roman" w:cs="Times New Roman"/>
          <w:szCs w:val="24"/>
        </w:rPr>
        <w:t xml:space="preserve">and access to capitals – is absent. In short, the lived experiences associated with particular employment outcomes are seldom </w:t>
      </w:r>
      <w:r w:rsidR="00F946A8" w:rsidRPr="000D3EDD">
        <w:rPr>
          <w:rFonts w:ascii="Times New Roman" w:hAnsi="Times New Roman" w:cs="Times New Roman"/>
          <w:szCs w:val="24"/>
        </w:rPr>
        <w:t>addressed</w:t>
      </w:r>
      <w:r w:rsidRPr="000D3EDD">
        <w:rPr>
          <w:rFonts w:ascii="Times New Roman" w:hAnsi="Times New Roman" w:cs="Times New Roman"/>
          <w:szCs w:val="24"/>
        </w:rPr>
        <w:t xml:space="preserve">. In contrast to the optimism of policymakers, analyses </w:t>
      </w:r>
      <w:r w:rsidR="00F946A8" w:rsidRPr="000D3EDD">
        <w:rPr>
          <w:rFonts w:ascii="Times New Roman" w:hAnsi="Times New Roman" w:cs="Times New Roman"/>
          <w:szCs w:val="24"/>
        </w:rPr>
        <w:t>of</w:t>
      </w:r>
      <w:r w:rsidRPr="000D3EDD">
        <w:rPr>
          <w:rFonts w:ascii="Times New Roman" w:hAnsi="Times New Roman" w:cs="Times New Roman"/>
          <w:szCs w:val="24"/>
        </w:rPr>
        <w:t xml:space="preserve"> European economies do, however, indicate that PhD holders often experience a </w:t>
      </w:r>
      <w:r w:rsidRPr="000D3EDD">
        <w:rPr>
          <w:rFonts w:ascii="Times New Roman" w:eastAsia="Gill Sans" w:hAnsi="Times New Roman" w:cs="Times New Roman"/>
          <w:szCs w:val="24"/>
        </w:rPr>
        <w:t xml:space="preserve">protracted route into non-academic </w:t>
      </w:r>
      <w:r w:rsidR="00F946A8" w:rsidRPr="000D3EDD">
        <w:rPr>
          <w:rFonts w:ascii="Times New Roman" w:eastAsia="Gill Sans" w:hAnsi="Times New Roman" w:cs="Times New Roman"/>
          <w:szCs w:val="24"/>
        </w:rPr>
        <w:t>employment</w:t>
      </w:r>
      <w:r w:rsidRPr="000D3EDD">
        <w:rPr>
          <w:rFonts w:ascii="Times New Roman" w:eastAsia="Gill Sans" w:hAnsi="Times New Roman" w:cs="Times New Roman"/>
          <w:szCs w:val="24"/>
        </w:rPr>
        <w:t xml:space="preserve"> and face a lengthy wait for permanent contracts (Skovgaard-Pederson, 2014). </w:t>
      </w:r>
      <w:r w:rsidRPr="000D3EDD">
        <w:rPr>
          <w:rFonts w:ascii="Times New Roman" w:hAnsi="Times New Roman" w:cs="Times New Roman"/>
          <w:szCs w:val="24"/>
        </w:rPr>
        <w:t>Somewhat undermining the view of PhD holders as agents of knowledge exchange, Skovgaard Pedersen</w:t>
      </w:r>
      <w:r w:rsidR="00F946A8" w:rsidRPr="000D3EDD">
        <w:rPr>
          <w:rFonts w:ascii="Times New Roman" w:hAnsi="Times New Roman" w:cs="Times New Roman"/>
          <w:szCs w:val="24"/>
        </w:rPr>
        <w:t xml:space="preserve"> also</w:t>
      </w:r>
      <w:r w:rsidRPr="000D3EDD">
        <w:rPr>
          <w:rFonts w:ascii="Times New Roman" w:hAnsi="Times New Roman" w:cs="Times New Roman"/>
          <w:szCs w:val="24"/>
        </w:rPr>
        <w:t xml:space="preserve"> found limited evidence </w:t>
      </w:r>
      <w:r w:rsidRPr="000D3EDD">
        <w:rPr>
          <w:rFonts w:ascii="Times New Roman" w:hAnsi="Times New Roman" w:cs="Times New Roman"/>
          <w:szCs w:val="24"/>
        </w:rPr>
        <w:lastRenderedPageBreak/>
        <w:t xml:space="preserve">for intersectoral mobility; reporting that once doctoral graduates leave academia, they rarely return. </w:t>
      </w:r>
      <w:r w:rsidRPr="000D3EDD">
        <w:rPr>
          <w:rFonts w:ascii="Times New Roman" w:eastAsia="Gill Sans" w:hAnsi="Times New Roman" w:cs="Times New Roman"/>
          <w:szCs w:val="24"/>
        </w:rPr>
        <w:t xml:space="preserve">Moreover, PhD holders who leave research entirely report lower professional motivation and satisfaction (Auriol et al., 2013). </w:t>
      </w:r>
    </w:p>
    <w:p w14:paraId="4037BF1F" w14:textId="77777777" w:rsidR="00543FD9" w:rsidRPr="000D3EDD" w:rsidRDefault="00543FD9" w:rsidP="000D3EDD">
      <w:pPr>
        <w:pStyle w:val="BodyText"/>
        <w:spacing w:before="0" w:after="0" w:line="276" w:lineRule="auto"/>
        <w:rPr>
          <w:rFonts w:ascii="Times New Roman" w:eastAsia="Gill Sans" w:hAnsi="Times New Roman" w:cs="Times New Roman"/>
          <w:szCs w:val="24"/>
        </w:rPr>
      </w:pPr>
    </w:p>
    <w:p w14:paraId="35ABEDF1" w14:textId="228DF937" w:rsidR="00543FD9" w:rsidRPr="000D3EDD" w:rsidRDefault="00F77DF9" w:rsidP="000D3EDD">
      <w:pPr>
        <w:pStyle w:val="BodyText"/>
        <w:spacing w:before="0" w:after="0" w:line="276" w:lineRule="auto"/>
        <w:rPr>
          <w:rFonts w:ascii="Times New Roman" w:hAnsi="Times New Roman" w:cs="Times New Roman"/>
          <w:szCs w:val="24"/>
        </w:rPr>
      </w:pPr>
      <w:r w:rsidRPr="000D3EDD">
        <w:rPr>
          <w:rFonts w:ascii="Times New Roman" w:eastAsia="Gill Sans" w:hAnsi="Times New Roman" w:cs="Times New Roman"/>
          <w:szCs w:val="24"/>
        </w:rPr>
        <w:t>The focus on</w:t>
      </w:r>
      <w:r w:rsidR="00543FD9" w:rsidRPr="000D3EDD">
        <w:rPr>
          <w:rFonts w:ascii="Times New Roman" w:eastAsia="Gill Sans" w:hAnsi="Times New Roman" w:cs="Times New Roman"/>
          <w:szCs w:val="24"/>
        </w:rPr>
        <w:t xml:space="preserve"> employment destination </w:t>
      </w:r>
      <w:r w:rsidRPr="000D3EDD">
        <w:rPr>
          <w:rFonts w:ascii="Times New Roman" w:eastAsia="Gill Sans" w:hAnsi="Times New Roman" w:cs="Times New Roman"/>
          <w:szCs w:val="24"/>
        </w:rPr>
        <w:t>has hindered</w:t>
      </w:r>
      <w:r w:rsidR="00543FD9" w:rsidRPr="000D3EDD">
        <w:rPr>
          <w:rFonts w:ascii="Times New Roman" w:eastAsia="Gill Sans" w:hAnsi="Times New Roman" w:cs="Times New Roman"/>
          <w:szCs w:val="24"/>
        </w:rPr>
        <w:t xml:space="preserve"> </w:t>
      </w:r>
      <w:r w:rsidRPr="000D3EDD">
        <w:rPr>
          <w:rFonts w:ascii="Times New Roman" w:eastAsia="Gill Sans" w:hAnsi="Times New Roman" w:cs="Times New Roman"/>
          <w:szCs w:val="24"/>
        </w:rPr>
        <w:t xml:space="preserve">detailed </w:t>
      </w:r>
      <w:r w:rsidR="00543FD9" w:rsidRPr="000D3EDD">
        <w:rPr>
          <w:rFonts w:ascii="Times New Roman" w:eastAsia="Gill Sans" w:hAnsi="Times New Roman" w:cs="Times New Roman"/>
          <w:szCs w:val="24"/>
        </w:rPr>
        <w:t xml:space="preserve">understanding of the contributions that PhD holders </w:t>
      </w:r>
      <w:r w:rsidRPr="000D3EDD">
        <w:rPr>
          <w:rFonts w:ascii="Times New Roman" w:eastAsia="Gill Sans" w:hAnsi="Times New Roman" w:cs="Times New Roman"/>
          <w:szCs w:val="24"/>
        </w:rPr>
        <w:t>make</w:t>
      </w:r>
      <w:r w:rsidR="00543FD9" w:rsidRPr="000D3EDD">
        <w:rPr>
          <w:rFonts w:ascii="Times New Roman" w:eastAsia="Gill Sans" w:hAnsi="Times New Roman" w:cs="Times New Roman"/>
          <w:szCs w:val="24"/>
        </w:rPr>
        <w:t xml:space="preserve"> in their varied professional roles. </w:t>
      </w:r>
      <w:r w:rsidR="00C05F10">
        <w:rPr>
          <w:rFonts w:ascii="Times New Roman" w:hAnsi="Times New Roman" w:cs="Times New Roman"/>
          <w:szCs w:val="24"/>
        </w:rPr>
        <w:t>Perhaps reflecting the positionality of university-based scholars approaching this topic, f</w:t>
      </w:r>
      <w:r w:rsidR="00543FD9" w:rsidRPr="000D3EDD">
        <w:rPr>
          <w:rFonts w:ascii="Times New Roman" w:hAnsi="Times New Roman" w:cs="Times New Roman"/>
          <w:szCs w:val="24"/>
        </w:rPr>
        <w:t xml:space="preserve">ew studies extend beyond the academic/non-academic binary to </w:t>
      </w:r>
      <w:r w:rsidRPr="000D3EDD">
        <w:rPr>
          <w:rFonts w:ascii="Times New Roman" w:hAnsi="Times New Roman" w:cs="Times New Roman"/>
          <w:szCs w:val="24"/>
        </w:rPr>
        <w:t xml:space="preserve">richly </w:t>
      </w:r>
      <w:r w:rsidR="00543FD9" w:rsidRPr="000D3EDD">
        <w:rPr>
          <w:rFonts w:ascii="Times New Roman" w:hAnsi="Times New Roman" w:cs="Times New Roman"/>
          <w:szCs w:val="24"/>
        </w:rPr>
        <w:t xml:space="preserve">explore the work </w:t>
      </w:r>
      <w:r w:rsidRPr="000D3EDD">
        <w:rPr>
          <w:rFonts w:ascii="Times New Roman" w:hAnsi="Times New Roman" w:cs="Times New Roman"/>
          <w:szCs w:val="24"/>
        </w:rPr>
        <w:t>of</w:t>
      </w:r>
      <w:r w:rsidR="00543FD9" w:rsidRPr="000D3EDD">
        <w:rPr>
          <w:rFonts w:ascii="Times New Roman" w:hAnsi="Times New Roman" w:cs="Times New Roman"/>
          <w:szCs w:val="24"/>
        </w:rPr>
        <w:t xml:space="preserve"> those who exit academia or consider systematically how employers make use of doctoral-level knowledge and skills. In contrast to the analytical consensus around the notion of a ‘graduate job’ (</w:t>
      </w:r>
      <w:r w:rsidRPr="000D3EDD">
        <w:rPr>
          <w:rFonts w:ascii="Times New Roman" w:hAnsi="Times New Roman" w:cs="Times New Roman"/>
          <w:szCs w:val="24"/>
        </w:rPr>
        <w:t>c.f.</w:t>
      </w:r>
      <w:r w:rsidR="00543FD9" w:rsidRPr="000D3EDD">
        <w:rPr>
          <w:rFonts w:ascii="Times New Roman" w:hAnsi="Times New Roman" w:cs="Times New Roman"/>
          <w:szCs w:val="24"/>
        </w:rPr>
        <w:t xml:space="preserve"> Elias &amp; Purcell, 2013), there is currently no agreed definition of doctoral level work. Researchers from different nations apply vastly different measures and conceptualisations of doctoral employment. This makes comparison of </w:t>
      </w:r>
      <w:r w:rsidR="00B00767" w:rsidRPr="000D3EDD">
        <w:rPr>
          <w:rFonts w:ascii="Times New Roman" w:hAnsi="Times New Roman" w:cs="Times New Roman"/>
          <w:szCs w:val="24"/>
        </w:rPr>
        <w:t xml:space="preserve">PhDs’ </w:t>
      </w:r>
      <w:r w:rsidR="00543FD9" w:rsidRPr="000D3EDD">
        <w:rPr>
          <w:rFonts w:ascii="Times New Roman" w:hAnsi="Times New Roman" w:cs="Times New Roman"/>
          <w:szCs w:val="24"/>
        </w:rPr>
        <w:t xml:space="preserve">contributions across national contexts especially challenging, and likely underplays the research and knowledge exchange activities of PhD holders in non-academic occupations (Hancock </w:t>
      </w:r>
      <w:r w:rsidR="00543FD9" w:rsidRPr="000D3EDD">
        <w:rPr>
          <w:rFonts w:ascii="Times New Roman" w:hAnsi="Times New Roman" w:cs="Times New Roman"/>
          <w:i/>
          <w:iCs/>
          <w:szCs w:val="24"/>
        </w:rPr>
        <w:t>et al</w:t>
      </w:r>
      <w:r w:rsidR="00543FD9" w:rsidRPr="000D3EDD">
        <w:rPr>
          <w:rFonts w:ascii="Times New Roman" w:hAnsi="Times New Roman" w:cs="Times New Roman"/>
          <w:szCs w:val="24"/>
        </w:rPr>
        <w:t xml:space="preserve">., 2019). Such inconsistency limits the potential of current scholarship as a force for political scrutiny.  </w:t>
      </w:r>
    </w:p>
    <w:p w14:paraId="1FD3FCB0" w14:textId="77777777" w:rsidR="00543FD9" w:rsidRPr="000D3EDD" w:rsidRDefault="00543FD9" w:rsidP="000D3EDD">
      <w:pPr>
        <w:pStyle w:val="BodyText"/>
        <w:spacing w:before="0" w:after="0" w:line="276" w:lineRule="auto"/>
        <w:rPr>
          <w:rFonts w:ascii="Times New Roman" w:hAnsi="Times New Roman" w:cs="Times New Roman"/>
          <w:szCs w:val="24"/>
        </w:rPr>
      </w:pPr>
    </w:p>
    <w:p w14:paraId="2291A004" w14:textId="77777777" w:rsidR="00543FD9" w:rsidRPr="000D3EDD" w:rsidRDefault="00543FD9" w:rsidP="000D3EDD">
      <w:pPr>
        <w:spacing w:line="276" w:lineRule="auto"/>
        <w:rPr>
          <w:i/>
          <w:iCs/>
          <w:color w:val="000000" w:themeColor="text1"/>
        </w:rPr>
      </w:pPr>
      <w:r w:rsidRPr="000D3EDD">
        <w:rPr>
          <w:i/>
          <w:iCs/>
          <w:color w:val="000000" w:themeColor="text1"/>
        </w:rPr>
        <w:t>Doctoral career aspirations</w:t>
      </w:r>
    </w:p>
    <w:p w14:paraId="71254839" w14:textId="05A75CB7" w:rsidR="00543FD9" w:rsidRPr="000D3EDD" w:rsidRDefault="00543FD9" w:rsidP="000D3EDD">
      <w:pPr>
        <w:spacing w:line="276" w:lineRule="auto"/>
        <w:rPr>
          <w:rFonts w:eastAsia="Gill Sans"/>
        </w:rPr>
      </w:pPr>
      <w:r w:rsidRPr="000D3EDD">
        <w:rPr>
          <w:rFonts w:eastAsia="Gill Sans"/>
        </w:rPr>
        <w:t xml:space="preserve">The </w:t>
      </w:r>
      <w:r w:rsidR="00DC1439" w:rsidRPr="000D3EDD">
        <w:rPr>
          <w:rFonts w:eastAsia="Gill Sans"/>
        </w:rPr>
        <w:t>heightened</w:t>
      </w:r>
      <w:r w:rsidRPr="000D3EDD">
        <w:rPr>
          <w:rFonts w:eastAsia="Gill Sans"/>
        </w:rPr>
        <w:t xml:space="preserve"> interest in doctoral employment destinations has been complemented by a growing body of research examining PhD career preferences. Smaller-scale, qualitative methods are deployed here; which, while </w:t>
      </w:r>
      <w:r w:rsidR="00980100" w:rsidRPr="000D3EDD">
        <w:rPr>
          <w:rFonts w:eastAsia="Gill Sans"/>
        </w:rPr>
        <w:t>offering</w:t>
      </w:r>
      <w:r w:rsidRPr="000D3EDD">
        <w:rPr>
          <w:rFonts w:eastAsia="Gill Sans"/>
        </w:rPr>
        <w:t xml:space="preserve"> an in-depth account of individual preferences and behaviours, are rarely linked to macro-level data on actual employment destinations. </w:t>
      </w:r>
      <w:r w:rsidR="00980100" w:rsidRPr="000D3EDD">
        <w:rPr>
          <w:rFonts w:eastAsia="Gill Sans"/>
        </w:rPr>
        <w:t>T</w:t>
      </w:r>
      <w:r w:rsidRPr="000D3EDD">
        <w:rPr>
          <w:rFonts w:eastAsia="Gill Sans"/>
        </w:rPr>
        <w:t xml:space="preserve">he qualitative tendency of this research limits claims of representativeness or broader generalisation. </w:t>
      </w:r>
    </w:p>
    <w:p w14:paraId="3E50AA4B" w14:textId="77777777" w:rsidR="00543FD9" w:rsidRPr="000D3EDD" w:rsidRDefault="00543FD9" w:rsidP="000D3EDD">
      <w:pPr>
        <w:spacing w:line="276" w:lineRule="auto"/>
        <w:rPr>
          <w:rFonts w:eastAsia="Gill Sans"/>
        </w:rPr>
      </w:pPr>
    </w:p>
    <w:p w14:paraId="37A1D531" w14:textId="77D2340D" w:rsidR="00543FD9" w:rsidRPr="000D3EDD" w:rsidRDefault="00543FD9" w:rsidP="000D3EDD">
      <w:pPr>
        <w:pStyle w:val="BodyText"/>
        <w:spacing w:before="0" w:after="0" w:line="276" w:lineRule="auto"/>
        <w:rPr>
          <w:rFonts w:ascii="Times New Roman" w:hAnsi="Times New Roman" w:cs="Times New Roman"/>
          <w:szCs w:val="24"/>
        </w:rPr>
      </w:pPr>
      <w:r w:rsidRPr="000D3EDD">
        <w:rPr>
          <w:rFonts w:ascii="Times New Roman" w:hAnsi="Times New Roman" w:cs="Times New Roman"/>
          <w:szCs w:val="24"/>
        </w:rPr>
        <w:t xml:space="preserve">Across several national contexts, a number of studies report that PhD students continue to prioritise academic employment, despite the evidence that this is a diminishing likelihood (Åkerlind, 2005; Roach </w:t>
      </w:r>
      <w:r w:rsidR="00E57ABF" w:rsidRPr="000D3EDD">
        <w:rPr>
          <w:rFonts w:ascii="Times New Roman" w:hAnsi="Times New Roman" w:cs="Times New Roman"/>
          <w:szCs w:val="24"/>
        </w:rPr>
        <w:t xml:space="preserve">&amp; </w:t>
      </w:r>
      <w:r w:rsidRPr="000D3EDD">
        <w:rPr>
          <w:rFonts w:ascii="Times New Roman" w:hAnsi="Times New Roman" w:cs="Times New Roman"/>
          <w:szCs w:val="24"/>
        </w:rPr>
        <w:t xml:space="preserve">Sauermann, 2010; </w:t>
      </w:r>
      <w:r w:rsidR="00980100" w:rsidRPr="000D3EDD">
        <w:rPr>
          <w:rFonts w:ascii="Times New Roman" w:hAnsi="Times New Roman" w:cs="Times New Roman"/>
          <w:szCs w:val="24"/>
        </w:rPr>
        <w:t>Hancock, Hughes</w:t>
      </w:r>
      <w:r w:rsidR="00E57ABF" w:rsidRPr="000D3EDD">
        <w:rPr>
          <w:rFonts w:ascii="Times New Roman" w:hAnsi="Times New Roman" w:cs="Times New Roman"/>
          <w:szCs w:val="24"/>
        </w:rPr>
        <w:t>, &amp;</w:t>
      </w:r>
      <w:r w:rsidR="00980100" w:rsidRPr="000D3EDD">
        <w:rPr>
          <w:rFonts w:ascii="Times New Roman" w:hAnsi="Times New Roman" w:cs="Times New Roman"/>
          <w:szCs w:val="24"/>
        </w:rPr>
        <w:t xml:space="preserve"> Walsh, 2017</w:t>
      </w:r>
      <w:r w:rsidRPr="000D3EDD">
        <w:rPr>
          <w:rFonts w:ascii="Times New Roman" w:hAnsi="Times New Roman" w:cs="Times New Roman"/>
          <w:szCs w:val="24"/>
        </w:rPr>
        <w:t xml:space="preserve">). In a study of almost 8,000 doctoral graduates across Europe, Parada and Peacock (2015) </w:t>
      </w:r>
      <w:r w:rsidR="00980100" w:rsidRPr="000D3EDD">
        <w:rPr>
          <w:rFonts w:ascii="Times New Roman" w:hAnsi="Times New Roman" w:cs="Times New Roman"/>
          <w:szCs w:val="24"/>
        </w:rPr>
        <w:t>concluded</w:t>
      </w:r>
      <w:r w:rsidRPr="000D3EDD">
        <w:rPr>
          <w:rFonts w:ascii="Times New Roman" w:hAnsi="Times New Roman" w:cs="Times New Roman"/>
          <w:szCs w:val="24"/>
        </w:rPr>
        <w:t xml:space="preserve"> that academic careers </w:t>
      </w:r>
      <w:r w:rsidR="00980100" w:rsidRPr="000D3EDD">
        <w:rPr>
          <w:rFonts w:ascii="Times New Roman" w:hAnsi="Times New Roman" w:cs="Times New Roman"/>
          <w:szCs w:val="24"/>
        </w:rPr>
        <w:t>remain</w:t>
      </w:r>
      <w:r w:rsidRPr="000D3EDD">
        <w:rPr>
          <w:rFonts w:ascii="Times New Roman" w:hAnsi="Times New Roman" w:cs="Times New Roman"/>
          <w:szCs w:val="24"/>
        </w:rPr>
        <w:t xml:space="preserve"> the most popular option in all countries</w:t>
      </w:r>
      <w:r w:rsidR="00980100" w:rsidRPr="000D3EDD">
        <w:rPr>
          <w:rFonts w:ascii="Times New Roman" w:hAnsi="Times New Roman" w:cs="Times New Roman"/>
          <w:szCs w:val="24"/>
        </w:rPr>
        <w:t xml:space="preserve">, and </w:t>
      </w:r>
      <w:r w:rsidRPr="000D3EDD">
        <w:rPr>
          <w:rFonts w:ascii="Times New Roman" w:hAnsi="Times New Roman" w:cs="Times New Roman"/>
          <w:szCs w:val="24"/>
        </w:rPr>
        <w:t xml:space="preserve">that the contemporary doctorate is ‘largely mis-sold’ (p. 610). Sauermann </w:t>
      </w:r>
      <w:r w:rsidR="00E57ABF" w:rsidRPr="000D3EDD">
        <w:rPr>
          <w:rFonts w:ascii="Times New Roman" w:hAnsi="Times New Roman" w:cs="Times New Roman"/>
          <w:szCs w:val="24"/>
        </w:rPr>
        <w:t>&amp;</w:t>
      </w:r>
      <w:r w:rsidRPr="000D3EDD">
        <w:rPr>
          <w:rFonts w:ascii="Times New Roman" w:hAnsi="Times New Roman" w:cs="Times New Roman"/>
          <w:szCs w:val="24"/>
        </w:rPr>
        <w:t xml:space="preserve"> Roach’s (2012) study of natural science PhDs in 39 ‘tier-one’ US research universities found that while the attractiveness of academic careers declined over the course of doctoral study, late-stage students seeking academic careers continued to outnumber job openings. The influence of academic culture and disciplinary norms is such that PhD students appear reluctant to consider so-called ‘alternative’ careers beyond academia (Barnacle </w:t>
      </w:r>
      <w:r w:rsidR="00E57ABF" w:rsidRPr="000D3EDD">
        <w:rPr>
          <w:rFonts w:ascii="Times New Roman" w:hAnsi="Times New Roman" w:cs="Times New Roman"/>
          <w:szCs w:val="24"/>
        </w:rPr>
        <w:t>&amp;</w:t>
      </w:r>
      <w:r w:rsidRPr="000D3EDD">
        <w:rPr>
          <w:rFonts w:ascii="Times New Roman" w:hAnsi="Times New Roman" w:cs="Times New Roman"/>
          <w:szCs w:val="24"/>
        </w:rPr>
        <w:t xml:space="preserve"> Mewburn, 2010; </w:t>
      </w:r>
      <w:r w:rsidR="00E57ABF" w:rsidRPr="000D3EDD">
        <w:rPr>
          <w:rFonts w:ascii="Times New Roman" w:hAnsi="Times New Roman" w:cs="Times New Roman"/>
          <w:szCs w:val="24"/>
        </w:rPr>
        <w:t xml:space="preserve">Gardner, </w:t>
      </w:r>
      <w:proofErr w:type="spellStart"/>
      <w:r w:rsidR="00E57ABF" w:rsidRPr="000D3EDD">
        <w:rPr>
          <w:rFonts w:ascii="Times New Roman" w:hAnsi="Times New Roman" w:cs="Times New Roman"/>
          <w:szCs w:val="24"/>
        </w:rPr>
        <w:t>Jansujwicz</w:t>
      </w:r>
      <w:proofErr w:type="spellEnd"/>
      <w:r w:rsidR="00E57ABF" w:rsidRPr="000D3EDD">
        <w:rPr>
          <w:rFonts w:ascii="Times New Roman" w:hAnsi="Times New Roman" w:cs="Times New Roman"/>
          <w:szCs w:val="24"/>
        </w:rPr>
        <w:t xml:space="preserve">, Hutchins, Cline, &amp; Levesque, </w:t>
      </w:r>
      <w:r w:rsidRPr="000D3EDD">
        <w:rPr>
          <w:rFonts w:ascii="Times New Roman" w:hAnsi="Times New Roman" w:cs="Times New Roman"/>
          <w:szCs w:val="24"/>
        </w:rPr>
        <w:t xml:space="preserve">2014; </w:t>
      </w:r>
      <w:r w:rsidR="00980100" w:rsidRPr="000D3EDD">
        <w:rPr>
          <w:rFonts w:ascii="Times New Roman" w:hAnsi="Times New Roman" w:cs="Times New Roman"/>
          <w:szCs w:val="24"/>
        </w:rPr>
        <w:t>Hancock, 2019</w:t>
      </w:r>
      <w:r w:rsidRPr="000D3EDD">
        <w:rPr>
          <w:rFonts w:ascii="Times New Roman" w:hAnsi="Times New Roman" w:cs="Times New Roman"/>
          <w:szCs w:val="24"/>
        </w:rPr>
        <w:t xml:space="preserve">).  The ‘glorification’ of academic careers, supervisor influence, and </w:t>
      </w:r>
      <w:r w:rsidR="00980100" w:rsidRPr="000D3EDD">
        <w:rPr>
          <w:rFonts w:ascii="Times New Roman" w:hAnsi="Times New Roman" w:cs="Times New Roman"/>
          <w:szCs w:val="24"/>
        </w:rPr>
        <w:t>insufficient</w:t>
      </w:r>
      <w:r w:rsidRPr="000D3EDD">
        <w:rPr>
          <w:rFonts w:ascii="Times New Roman" w:hAnsi="Times New Roman" w:cs="Times New Roman"/>
          <w:szCs w:val="24"/>
        </w:rPr>
        <w:t xml:space="preserve"> careers guidance are cited as prominent factors compounding these narrow preferences (Gaughan </w:t>
      </w:r>
      <w:r w:rsidR="00E57ABF" w:rsidRPr="000D3EDD">
        <w:rPr>
          <w:rFonts w:ascii="Times New Roman" w:hAnsi="Times New Roman" w:cs="Times New Roman"/>
          <w:szCs w:val="24"/>
        </w:rPr>
        <w:t>&amp;</w:t>
      </w:r>
      <w:r w:rsidRPr="000D3EDD">
        <w:rPr>
          <w:rFonts w:ascii="Times New Roman" w:hAnsi="Times New Roman" w:cs="Times New Roman"/>
          <w:szCs w:val="24"/>
        </w:rPr>
        <w:t xml:space="preserve"> Robin, 2004;</w:t>
      </w:r>
      <w:r w:rsidR="00E57ABF" w:rsidRPr="000D3EDD">
        <w:rPr>
          <w:rFonts w:ascii="Times New Roman" w:hAnsi="Times New Roman" w:cs="Times New Roman"/>
          <w:szCs w:val="24"/>
        </w:rPr>
        <w:t xml:space="preserve"> Hayter &amp; Parker, 2019; </w:t>
      </w:r>
      <w:r w:rsidRPr="000D3EDD">
        <w:rPr>
          <w:rFonts w:ascii="Times New Roman" w:hAnsi="Times New Roman" w:cs="Times New Roman"/>
          <w:szCs w:val="24"/>
        </w:rPr>
        <w:t xml:space="preserve">Sauermann </w:t>
      </w:r>
      <w:r w:rsidR="00E57ABF" w:rsidRPr="000D3EDD">
        <w:rPr>
          <w:rFonts w:ascii="Times New Roman" w:hAnsi="Times New Roman" w:cs="Times New Roman"/>
          <w:szCs w:val="24"/>
        </w:rPr>
        <w:t>&amp;</w:t>
      </w:r>
      <w:r w:rsidRPr="000D3EDD">
        <w:rPr>
          <w:rFonts w:ascii="Times New Roman" w:hAnsi="Times New Roman" w:cs="Times New Roman"/>
          <w:szCs w:val="24"/>
        </w:rPr>
        <w:t xml:space="preserve"> Roach, 2012).  </w:t>
      </w:r>
    </w:p>
    <w:p w14:paraId="567C7963" w14:textId="77777777" w:rsidR="00543FD9" w:rsidRPr="000D3EDD" w:rsidRDefault="00543FD9" w:rsidP="000D3EDD">
      <w:pPr>
        <w:spacing w:line="276" w:lineRule="auto"/>
      </w:pPr>
    </w:p>
    <w:p w14:paraId="27CC8DA0" w14:textId="61EF13DB" w:rsidR="00543FD9" w:rsidRPr="000D3EDD" w:rsidRDefault="00543FD9" w:rsidP="000D3EDD">
      <w:pPr>
        <w:spacing w:line="276" w:lineRule="auto"/>
      </w:pPr>
      <w:r w:rsidRPr="000D3EDD">
        <w:t>From this basis, it is unsurprising that transition</w:t>
      </w:r>
      <w:r w:rsidR="006808AE" w:rsidRPr="000D3EDD">
        <w:t>s</w:t>
      </w:r>
      <w:r w:rsidRPr="000D3EDD">
        <w:t xml:space="preserve"> into non-academic employment </w:t>
      </w:r>
      <w:r w:rsidR="006808AE" w:rsidRPr="000D3EDD">
        <w:t>are</w:t>
      </w:r>
      <w:r w:rsidRPr="000D3EDD">
        <w:t xml:space="preserve"> portrayed as </w:t>
      </w:r>
      <w:r w:rsidR="006808AE" w:rsidRPr="000D3EDD">
        <w:t xml:space="preserve">a </w:t>
      </w:r>
      <w:r w:rsidRPr="000D3EDD">
        <w:t>difficult p</w:t>
      </w:r>
      <w:r w:rsidR="006808AE" w:rsidRPr="000D3EDD">
        <w:t>rocess</w:t>
      </w:r>
      <w:r w:rsidRPr="000D3EDD">
        <w:t xml:space="preserve"> – and one which PhD holders can feel substantially unprepared for (</w:t>
      </w:r>
      <w:r w:rsidRPr="000D3EDD">
        <w:rPr>
          <w:color w:val="000000" w:themeColor="text1"/>
        </w:rPr>
        <w:t>Crossouard, 2013</w:t>
      </w:r>
      <w:r w:rsidRPr="000D3EDD">
        <w:t xml:space="preserve">; Hayter </w:t>
      </w:r>
      <w:r w:rsidR="00E57ABF" w:rsidRPr="000D3EDD">
        <w:t>&amp;</w:t>
      </w:r>
      <w:r w:rsidRPr="000D3EDD">
        <w:t xml:space="preserve"> Parker, 2019). McAlpine’s qualitative studies of </w:t>
      </w:r>
      <w:r w:rsidRPr="000D3EDD">
        <w:lastRenderedPageBreak/>
        <w:t>doctoral and postdoctoral researchers characterise career strategies as identity work: involving an ongoing negotiation of personal biograph</w:t>
      </w:r>
      <w:r w:rsidR="00980100" w:rsidRPr="000D3EDD">
        <w:t>y</w:t>
      </w:r>
      <w:r w:rsidRPr="000D3EDD">
        <w:t xml:space="preserve"> and responsibil</w:t>
      </w:r>
      <w:r w:rsidR="00980100" w:rsidRPr="000D3EDD">
        <w:t>ity</w:t>
      </w:r>
      <w:r w:rsidRPr="000D3EDD">
        <w:t xml:space="preserve">, imagined future selves, and the labour market (McAlpine </w:t>
      </w:r>
      <w:r w:rsidR="00E57ABF" w:rsidRPr="000D3EDD">
        <w:t xml:space="preserve">&amp; </w:t>
      </w:r>
      <w:r w:rsidRPr="000D3EDD">
        <w:t xml:space="preserve">Emmioglu, 2015; </w:t>
      </w:r>
      <w:r w:rsidRPr="000D3EDD">
        <w:rPr>
          <w:rFonts w:eastAsia="Arial"/>
          <w:color w:val="000000" w:themeColor="text1"/>
        </w:rPr>
        <w:t xml:space="preserve">McAlpine </w:t>
      </w:r>
      <w:r w:rsidR="00E57ABF" w:rsidRPr="000D3EDD">
        <w:rPr>
          <w:rFonts w:eastAsia="Arial"/>
          <w:color w:val="000000" w:themeColor="text1"/>
        </w:rPr>
        <w:t>&amp;</w:t>
      </w:r>
      <w:r w:rsidRPr="000D3EDD">
        <w:rPr>
          <w:rFonts w:eastAsia="Arial"/>
          <w:color w:val="000000" w:themeColor="text1"/>
        </w:rPr>
        <w:t xml:space="preserve"> Amundsen, 2018</w:t>
      </w:r>
      <w:r w:rsidRPr="000D3EDD">
        <w:t xml:space="preserve">). By portraying the transition into non-academic employment as one of compromised ambition and revised professional identity, these studies add weight to the scepticism of stakeholders </w:t>
      </w:r>
      <w:r w:rsidR="00980100" w:rsidRPr="000D3EDD">
        <w:t xml:space="preserve">who are </w:t>
      </w:r>
      <w:r w:rsidRPr="000D3EDD">
        <w:t xml:space="preserve">wary of the continued </w:t>
      </w:r>
      <w:r w:rsidR="00980100" w:rsidRPr="000D3EDD">
        <w:t xml:space="preserve">doctoral </w:t>
      </w:r>
      <w:r w:rsidRPr="000D3EDD">
        <w:t>expansion. While destinations data</w:t>
      </w:r>
      <w:r w:rsidR="00B95AC3" w:rsidRPr="000D3EDD">
        <w:t xml:space="preserve"> clearly</w:t>
      </w:r>
      <w:r w:rsidRPr="000D3EDD">
        <w:t xml:space="preserve"> demonstrate that </w:t>
      </w:r>
      <w:r w:rsidR="00980100" w:rsidRPr="000D3EDD">
        <w:t>the growing likelihood of</w:t>
      </w:r>
      <w:r w:rsidRPr="000D3EDD">
        <w:t xml:space="preserve"> non-academic careers, students’ aspirations are often not aligned to these outcomes. </w:t>
      </w:r>
      <w:r w:rsidR="00B95AC3" w:rsidRPr="000D3EDD">
        <w:t>S</w:t>
      </w:r>
      <w:r w:rsidRPr="000D3EDD">
        <w:t>tudies of doctoral career aspirations highlight the diverse aims, expectations and values that students bring to the PhD – and</w:t>
      </w:r>
      <w:r w:rsidR="00B95AC3" w:rsidRPr="000D3EDD">
        <w:t xml:space="preserve"> indicate </w:t>
      </w:r>
      <w:r w:rsidRPr="000D3EDD">
        <w:t xml:space="preserve">that career planning may not be entirely or rationally responsive to employment </w:t>
      </w:r>
      <w:r w:rsidR="00B95AC3" w:rsidRPr="000D3EDD">
        <w:t>statistics</w:t>
      </w:r>
      <w:r w:rsidRPr="000D3EDD">
        <w:t xml:space="preserve">. </w:t>
      </w:r>
    </w:p>
    <w:p w14:paraId="75DF0539" w14:textId="77777777" w:rsidR="006419D9" w:rsidRPr="000D3EDD" w:rsidRDefault="006419D9" w:rsidP="000D3EDD">
      <w:pPr>
        <w:spacing w:line="276" w:lineRule="auto"/>
        <w:rPr>
          <w:b/>
          <w:bCs/>
          <w:color w:val="000000" w:themeColor="text1"/>
        </w:rPr>
      </w:pPr>
    </w:p>
    <w:p w14:paraId="4697C2BB" w14:textId="20D065D3" w:rsidR="00557E54" w:rsidRPr="000D3EDD" w:rsidRDefault="00557E54" w:rsidP="000D3EDD">
      <w:pPr>
        <w:spacing w:line="276" w:lineRule="auto"/>
        <w:rPr>
          <w:color w:val="000000" w:themeColor="text1"/>
        </w:rPr>
      </w:pPr>
      <w:r w:rsidRPr="000D3EDD">
        <w:rPr>
          <w:b/>
          <w:bCs/>
          <w:color w:val="000000" w:themeColor="text1"/>
        </w:rPr>
        <w:t>A UK study of doctoral employment</w:t>
      </w:r>
    </w:p>
    <w:p w14:paraId="4716628A" w14:textId="77777777" w:rsidR="00557E54" w:rsidRPr="000D3EDD" w:rsidRDefault="00557E54" w:rsidP="000D3EDD">
      <w:pPr>
        <w:pStyle w:val="NormalWeb"/>
        <w:spacing w:before="0" w:beforeAutospacing="0" w:after="0" w:afterAutospacing="0" w:line="276" w:lineRule="auto"/>
        <w:rPr>
          <w:b/>
          <w:bCs/>
          <w:color w:val="000000" w:themeColor="text1"/>
        </w:rPr>
      </w:pPr>
    </w:p>
    <w:p w14:paraId="40CF2378" w14:textId="77777777" w:rsidR="00557E54" w:rsidRPr="000D3EDD" w:rsidRDefault="00557E54" w:rsidP="000D3EDD">
      <w:pPr>
        <w:pStyle w:val="NormalWeb"/>
        <w:spacing w:before="0" w:beforeAutospacing="0" w:after="0" w:afterAutospacing="0" w:line="276" w:lineRule="auto"/>
        <w:rPr>
          <w:b/>
          <w:bCs/>
          <w:color w:val="000000" w:themeColor="text1"/>
        </w:rPr>
      </w:pPr>
      <w:r w:rsidRPr="000D3EDD">
        <w:rPr>
          <w:b/>
          <w:bCs/>
          <w:color w:val="000000" w:themeColor="text1"/>
        </w:rPr>
        <w:t>Methods and data</w:t>
      </w:r>
    </w:p>
    <w:p w14:paraId="77D25430" w14:textId="62EBF2DC" w:rsidR="00557E54" w:rsidRPr="000D3EDD" w:rsidRDefault="00136F86" w:rsidP="000D3EDD">
      <w:pPr>
        <w:pStyle w:val="NormalWeb"/>
        <w:spacing w:before="0" w:beforeAutospacing="0" w:after="0" w:afterAutospacing="0" w:line="276" w:lineRule="auto"/>
        <w:rPr>
          <w:color w:val="000000" w:themeColor="text1"/>
        </w:rPr>
      </w:pPr>
      <w:r w:rsidRPr="000D3EDD">
        <w:rPr>
          <w:color w:val="000000" w:themeColor="text1"/>
        </w:rPr>
        <w:t xml:space="preserve">The gaps and limitations apparent in the existing literature prompted this study of </w:t>
      </w:r>
      <w:r w:rsidR="006419D9" w:rsidRPr="000D3EDD">
        <w:rPr>
          <w:color w:val="000000" w:themeColor="text1"/>
        </w:rPr>
        <w:t>doctoral employment in the UK</w:t>
      </w:r>
      <w:r w:rsidRPr="000D3EDD">
        <w:rPr>
          <w:color w:val="000000" w:themeColor="text1"/>
        </w:rPr>
        <w:t xml:space="preserve">. </w:t>
      </w:r>
      <w:r w:rsidR="00557E54" w:rsidRPr="000D3EDD">
        <w:rPr>
          <w:color w:val="000000" w:themeColor="text1"/>
        </w:rPr>
        <w:t xml:space="preserve">The UK Higher Education Statistics Agency </w:t>
      </w:r>
      <w:r w:rsidR="0018550D" w:rsidRPr="000D3EDD">
        <w:rPr>
          <w:color w:val="000000" w:themeColor="text1"/>
        </w:rPr>
        <w:t xml:space="preserve">(HESA) </w:t>
      </w:r>
      <w:r w:rsidR="00557E54" w:rsidRPr="000D3EDD">
        <w:rPr>
          <w:color w:val="000000" w:themeColor="text1"/>
        </w:rPr>
        <w:t xml:space="preserve">collects extensive data on </w:t>
      </w:r>
      <w:r w:rsidR="0018550D" w:rsidRPr="000D3EDD">
        <w:rPr>
          <w:color w:val="000000" w:themeColor="text1"/>
        </w:rPr>
        <w:t xml:space="preserve">the </w:t>
      </w:r>
      <w:r w:rsidR="00557E54" w:rsidRPr="000D3EDD">
        <w:rPr>
          <w:color w:val="000000" w:themeColor="text1"/>
        </w:rPr>
        <w:t>students, graduates and staff of UK universities</w:t>
      </w:r>
      <w:r w:rsidR="0018550D" w:rsidRPr="000D3EDD">
        <w:rPr>
          <w:color w:val="000000" w:themeColor="text1"/>
        </w:rPr>
        <w:t>. Prior to embarking on any new data collection, i</w:t>
      </w:r>
      <w:r w:rsidR="00557E54" w:rsidRPr="000D3EDD">
        <w:rPr>
          <w:color w:val="000000" w:themeColor="text1"/>
        </w:rPr>
        <w:t>t was decided to first examine</w:t>
      </w:r>
      <w:r w:rsidR="0018550D" w:rsidRPr="000D3EDD">
        <w:rPr>
          <w:color w:val="000000" w:themeColor="text1"/>
        </w:rPr>
        <w:t xml:space="preserve"> the</w:t>
      </w:r>
      <w:r w:rsidR="00557E54" w:rsidRPr="000D3EDD">
        <w:rPr>
          <w:color w:val="000000" w:themeColor="text1"/>
        </w:rPr>
        <w:t xml:space="preserve"> available </w:t>
      </w:r>
      <w:r w:rsidR="0018550D" w:rsidRPr="000D3EDD">
        <w:rPr>
          <w:color w:val="000000" w:themeColor="text1"/>
        </w:rPr>
        <w:t xml:space="preserve">HESA </w:t>
      </w:r>
      <w:r w:rsidR="00557E54" w:rsidRPr="000D3EDD">
        <w:rPr>
          <w:color w:val="000000" w:themeColor="text1"/>
        </w:rPr>
        <w:t xml:space="preserve">data on PhD holders. The most comprehensive data available on the employment circumstances of PhD holders in the UK is collected through the Destinations of Leavers from Higher Education (DLHE) survey. As noted, DLHE survey data </w:t>
      </w:r>
      <w:r w:rsidR="0018550D" w:rsidRPr="000D3EDD">
        <w:rPr>
          <w:color w:val="000000" w:themeColor="text1"/>
        </w:rPr>
        <w:t>form</w:t>
      </w:r>
      <w:r w:rsidRPr="000D3EDD">
        <w:rPr>
          <w:color w:val="000000" w:themeColor="text1"/>
        </w:rPr>
        <w:t>ed</w:t>
      </w:r>
      <w:r w:rsidR="0018550D" w:rsidRPr="000D3EDD">
        <w:rPr>
          <w:color w:val="000000" w:themeColor="text1"/>
        </w:rPr>
        <w:t xml:space="preserve"> the basis of</w:t>
      </w:r>
      <w:r w:rsidR="00557E54" w:rsidRPr="000D3EDD">
        <w:rPr>
          <w:color w:val="000000" w:themeColor="text1"/>
        </w:rPr>
        <w:t xml:space="preserve"> Vitae’s reports on PhD employment. </w:t>
      </w:r>
    </w:p>
    <w:p w14:paraId="5AF4B184" w14:textId="77777777" w:rsidR="00557E54" w:rsidRPr="000D3EDD" w:rsidRDefault="00557E54" w:rsidP="000D3EDD">
      <w:pPr>
        <w:pStyle w:val="NormalWeb"/>
        <w:spacing w:before="0" w:beforeAutospacing="0" w:after="0" w:afterAutospacing="0" w:line="276" w:lineRule="auto"/>
        <w:rPr>
          <w:color w:val="000000" w:themeColor="text1"/>
        </w:rPr>
      </w:pPr>
    </w:p>
    <w:p w14:paraId="26DCB2BA" w14:textId="3783A762" w:rsidR="0058283F" w:rsidRPr="000D3EDD" w:rsidRDefault="00557E54" w:rsidP="000D3EDD">
      <w:pPr>
        <w:pStyle w:val="NormalWeb"/>
        <w:spacing w:before="0" w:beforeAutospacing="0" w:after="0" w:afterAutospacing="0" w:line="276" w:lineRule="auto"/>
        <w:rPr>
          <w:color w:val="000000" w:themeColor="text1"/>
        </w:rPr>
      </w:pPr>
      <w:r w:rsidRPr="000D3EDD">
        <w:rPr>
          <w:color w:val="000000" w:themeColor="text1"/>
        </w:rPr>
        <w:t>The DLHE has two variants: an initial survey records employment circumstances at six months after graduation, and the ‘Long DLHE’ takes place at three and</w:t>
      </w:r>
      <w:r w:rsidR="00F74ADC">
        <w:rPr>
          <w:color w:val="000000" w:themeColor="text1"/>
        </w:rPr>
        <w:t xml:space="preserve"> a</w:t>
      </w:r>
      <w:r w:rsidRPr="000D3EDD">
        <w:rPr>
          <w:color w:val="000000" w:themeColor="text1"/>
        </w:rPr>
        <w:t xml:space="preserve"> half years. At the time of writing, the </w:t>
      </w:r>
      <w:r w:rsidRPr="000D3EDD">
        <w:t xml:space="preserve">DLHE has been </w:t>
      </w:r>
      <w:r w:rsidR="00136F86" w:rsidRPr="000D3EDD">
        <w:t>replaced</w:t>
      </w:r>
      <w:r w:rsidRPr="000D3EDD">
        <w:t xml:space="preserve"> by the Graduate Outcomes survey</w:t>
      </w:r>
      <w:r w:rsidR="00154461">
        <w:t>; the implications of which are discussed</w:t>
      </w:r>
      <w:r w:rsidR="00A64FDE">
        <w:t xml:space="preserve"> in the concluding section of this article. </w:t>
      </w:r>
      <w:r w:rsidRPr="000D3EDD">
        <w:rPr>
          <w:color w:val="000000" w:themeColor="text1"/>
        </w:rPr>
        <w:t>Though the DLHE offers the most</w:t>
      </w:r>
      <w:r w:rsidRPr="000D3EDD">
        <w:rPr>
          <w:color w:val="000000"/>
          <w:lang w:eastAsia="en-GB"/>
        </w:rPr>
        <w:t xml:space="preserve"> comprehensive record of PhD employment in the UK, HESA do not routinely publish findings </w:t>
      </w:r>
      <w:r w:rsidR="00136F86" w:rsidRPr="000D3EDD">
        <w:rPr>
          <w:color w:val="000000"/>
          <w:lang w:eastAsia="en-GB"/>
        </w:rPr>
        <w:t>on</w:t>
      </w:r>
      <w:r w:rsidRPr="000D3EDD">
        <w:rPr>
          <w:color w:val="000000"/>
          <w:lang w:eastAsia="en-GB"/>
        </w:rPr>
        <w:t xml:space="preserve"> PhD holders</w:t>
      </w:r>
      <w:r w:rsidR="00F74ADC">
        <w:rPr>
          <w:color w:val="000000"/>
          <w:lang w:eastAsia="en-GB"/>
        </w:rPr>
        <w:t>, nor analyses of employment changes between 6 months and three and a half years</w:t>
      </w:r>
      <w:r w:rsidRPr="000D3EDD">
        <w:rPr>
          <w:color w:val="000000"/>
          <w:lang w:eastAsia="en-GB"/>
        </w:rPr>
        <w:t xml:space="preserve">. </w:t>
      </w:r>
      <w:r w:rsidR="0018550D" w:rsidRPr="000D3EDD">
        <w:rPr>
          <w:color w:val="000000"/>
          <w:lang w:eastAsia="en-GB"/>
        </w:rPr>
        <w:t>D</w:t>
      </w:r>
      <w:r w:rsidRPr="000D3EDD">
        <w:rPr>
          <w:color w:val="000000"/>
          <w:lang w:eastAsia="en-GB"/>
        </w:rPr>
        <w:t>ata on PhD holders can</w:t>
      </w:r>
      <w:r w:rsidR="00F74ADC">
        <w:rPr>
          <w:color w:val="000000"/>
          <w:lang w:eastAsia="en-GB"/>
        </w:rPr>
        <w:t xml:space="preserve"> </w:t>
      </w:r>
      <w:r w:rsidRPr="000D3EDD">
        <w:rPr>
          <w:color w:val="000000"/>
          <w:lang w:eastAsia="en-GB"/>
        </w:rPr>
        <w:t>be obtained by</w:t>
      </w:r>
      <w:r w:rsidR="00F74ADC">
        <w:rPr>
          <w:color w:val="000000"/>
          <w:lang w:eastAsia="en-GB"/>
        </w:rPr>
        <w:t xml:space="preserve"> researchers on</w:t>
      </w:r>
      <w:r w:rsidRPr="000D3EDD">
        <w:rPr>
          <w:color w:val="000000"/>
          <w:lang w:eastAsia="en-GB"/>
        </w:rPr>
        <w:t xml:space="preserve"> request. </w:t>
      </w:r>
      <w:r w:rsidR="0018550D" w:rsidRPr="000D3EDD">
        <w:rPr>
          <w:color w:val="000000"/>
          <w:lang w:eastAsia="en-GB"/>
        </w:rPr>
        <w:t>T</w:t>
      </w:r>
      <w:r w:rsidRPr="000D3EDD">
        <w:rPr>
          <w:color w:val="000000"/>
          <w:lang w:eastAsia="en-GB"/>
        </w:rPr>
        <w:t>he standard DLHE dataset is</w:t>
      </w:r>
      <w:r w:rsidR="00136F86" w:rsidRPr="000D3EDD">
        <w:rPr>
          <w:color w:val="000000"/>
          <w:lang w:eastAsia="en-GB"/>
        </w:rPr>
        <w:t xml:space="preserve">, however, </w:t>
      </w:r>
      <w:r w:rsidRPr="000D3EDD">
        <w:rPr>
          <w:color w:val="000000"/>
          <w:lang w:eastAsia="en-GB"/>
        </w:rPr>
        <w:t>limited to</w:t>
      </w:r>
      <w:r w:rsidR="00136F86" w:rsidRPr="000D3EDD">
        <w:rPr>
          <w:color w:val="000000"/>
          <w:lang w:eastAsia="en-GB"/>
        </w:rPr>
        <w:t xml:space="preserve"> </w:t>
      </w:r>
      <w:r w:rsidR="0018550D" w:rsidRPr="000D3EDD">
        <w:rPr>
          <w:color w:val="000000"/>
          <w:lang w:eastAsia="en-GB"/>
        </w:rPr>
        <w:t xml:space="preserve">survey </w:t>
      </w:r>
      <w:r w:rsidRPr="000D3EDD">
        <w:rPr>
          <w:color w:val="000000"/>
          <w:lang w:eastAsia="en-GB"/>
        </w:rPr>
        <w:t>variables</w:t>
      </w:r>
      <w:r w:rsidR="0018550D" w:rsidRPr="000D3EDD">
        <w:rPr>
          <w:color w:val="000000"/>
          <w:lang w:eastAsia="en-GB"/>
        </w:rPr>
        <w:t xml:space="preserve"> only</w:t>
      </w:r>
      <w:r w:rsidR="007065BE" w:rsidRPr="000D3EDD">
        <w:rPr>
          <w:color w:val="000000"/>
          <w:lang w:eastAsia="en-GB"/>
        </w:rPr>
        <w:t>,</w:t>
      </w:r>
      <w:r w:rsidR="0018550D" w:rsidRPr="000D3EDD">
        <w:rPr>
          <w:color w:val="000000"/>
          <w:lang w:eastAsia="en-GB"/>
        </w:rPr>
        <w:t xml:space="preserve"> which cover</w:t>
      </w:r>
      <w:r w:rsidRPr="000D3EDD">
        <w:rPr>
          <w:color w:val="000000"/>
          <w:lang w:eastAsia="en-GB"/>
        </w:rPr>
        <w:t xml:space="preserve"> the conditions and destination of employment</w:t>
      </w:r>
      <w:r w:rsidR="007065BE" w:rsidRPr="000D3EDD">
        <w:rPr>
          <w:color w:val="000000"/>
          <w:lang w:eastAsia="en-GB"/>
        </w:rPr>
        <w:t xml:space="preserve">, </w:t>
      </w:r>
      <w:r w:rsidR="00136F86" w:rsidRPr="000D3EDD">
        <w:rPr>
          <w:color w:val="000000"/>
          <w:lang w:eastAsia="en-GB"/>
        </w:rPr>
        <w:t>but not</w:t>
      </w:r>
      <w:r w:rsidRPr="000D3EDD">
        <w:rPr>
          <w:color w:val="000000"/>
          <w:lang w:eastAsia="en-GB"/>
        </w:rPr>
        <w:t xml:space="preserve"> the academic </w:t>
      </w:r>
      <w:r w:rsidR="00136F86" w:rsidRPr="000D3EDD">
        <w:rPr>
          <w:color w:val="000000"/>
          <w:lang w:eastAsia="en-GB"/>
        </w:rPr>
        <w:t xml:space="preserve">and </w:t>
      </w:r>
      <w:r w:rsidRPr="000D3EDD">
        <w:rPr>
          <w:color w:val="000000"/>
          <w:lang w:eastAsia="en-GB"/>
        </w:rPr>
        <w:t xml:space="preserve">demographic characteristics of the PhD holders. </w:t>
      </w:r>
      <w:r w:rsidR="0018550D" w:rsidRPr="000D3EDD">
        <w:rPr>
          <w:color w:val="000000"/>
          <w:lang w:eastAsia="en-GB"/>
        </w:rPr>
        <w:t>It</w:t>
      </w:r>
      <w:r w:rsidRPr="000D3EDD">
        <w:rPr>
          <w:color w:val="000000"/>
          <w:lang w:eastAsia="en-GB"/>
        </w:rPr>
        <w:t xml:space="preserve"> </w:t>
      </w:r>
      <w:r w:rsidR="007065BE" w:rsidRPr="000D3EDD">
        <w:rPr>
          <w:color w:val="000000"/>
          <w:lang w:eastAsia="en-GB"/>
        </w:rPr>
        <w:t>was reasoned that th</w:t>
      </w:r>
      <w:r w:rsidR="00136F86" w:rsidRPr="000D3EDD">
        <w:rPr>
          <w:color w:val="000000"/>
          <w:lang w:eastAsia="en-GB"/>
        </w:rPr>
        <w:t>is</w:t>
      </w:r>
      <w:r w:rsidR="007065BE" w:rsidRPr="000D3EDD">
        <w:rPr>
          <w:color w:val="000000"/>
          <w:lang w:eastAsia="en-GB"/>
        </w:rPr>
        <w:t xml:space="preserve"> analysis of </w:t>
      </w:r>
      <w:r w:rsidR="00136F86" w:rsidRPr="000D3EDD">
        <w:rPr>
          <w:color w:val="000000"/>
          <w:lang w:eastAsia="en-GB"/>
        </w:rPr>
        <w:t>doctoral</w:t>
      </w:r>
      <w:r w:rsidRPr="000D3EDD">
        <w:rPr>
          <w:color w:val="000000"/>
          <w:lang w:eastAsia="en-GB"/>
        </w:rPr>
        <w:t xml:space="preserve"> employment </w:t>
      </w:r>
      <w:r w:rsidR="007065BE" w:rsidRPr="000D3EDD">
        <w:rPr>
          <w:color w:val="000000"/>
          <w:lang w:eastAsia="en-GB"/>
        </w:rPr>
        <w:t xml:space="preserve">should include such </w:t>
      </w:r>
      <w:r w:rsidR="00136F86" w:rsidRPr="000D3EDD">
        <w:rPr>
          <w:color w:val="000000"/>
          <w:lang w:eastAsia="en-GB"/>
        </w:rPr>
        <w:t>information,</w:t>
      </w:r>
      <w:r w:rsidR="007065BE" w:rsidRPr="000D3EDD">
        <w:rPr>
          <w:color w:val="000000"/>
          <w:lang w:eastAsia="en-GB"/>
        </w:rPr>
        <w:t xml:space="preserve"> s</w:t>
      </w:r>
      <w:r w:rsidRPr="000D3EDD">
        <w:rPr>
          <w:color w:val="000000"/>
          <w:lang w:eastAsia="en-GB"/>
        </w:rPr>
        <w:t xml:space="preserve">ince </w:t>
      </w:r>
      <w:r w:rsidR="00136F86" w:rsidRPr="000D3EDD">
        <w:rPr>
          <w:color w:val="000000"/>
          <w:lang w:eastAsia="en-GB"/>
        </w:rPr>
        <w:t>variables</w:t>
      </w:r>
      <w:r w:rsidR="007065BE" w:rsidRPr="000D3EDD">
        <w:rPr>
          <w:color w:val="000000"/>
          <w:lang w:eastAsia="en-GB"/>
        </w:rPr>
        <w:t xml:space="preserve"> such as</w:t>
      </w:r>
      <w:r w:rsidRPr="000D3EDD">
        <w:rPr>
          <w:color w:val="000000"/>
          <w:lang w:eastAsia="en-GB"/>
        </w:rPr>
        <w:t xml:space="preserve"> </w:t>
      </w:r>
      <w:r w:rsidR="007065BE" w:rsidRPr="000D3EDD">
        <w:rPr>
          <w:color w:val="000000"/>
          <w:lang w:eastAsia="en-GB"/>
        </w:rPr>
        <w:t xml:space="preserve">subject, </w:t>
      </w:r>
      <w:r w:rsidRPr="000D3EDD">
        <w:rPr>
          <w:color w:val="000000"/>
          <w:lang w:eastAsia="en-GB"/>
        </w:rPr>
        <w:t xml:space="preserve">institution, gender, ethnicity and socio-economic background are associated with </w:t>
      </w:r>
      <w:r w:rsidR="007065BE" w:rsidRPr="000D3EDD">
        <w:rPr>
          <w:color w:val="000000"/>
          <w:lang w:eastAsia="en-GB"/>
        </w:rPr>
        <w:t xml:space="preserve">significant </w:t>
      </w:r>
      <w:r w:rsidRPr="000D3EDD">
        <w:t>variance in both first-degree employment outcomes and academic career progression (</w:t>
      </w:r>
      <w:r w:rsidR="00104277" w:rsidRPr="000D3EDD">
        <w:t xml:space="preserve">Britton, Dearden, Shephard, &amp; </w:t>
      </w:r>
      <w:proofErr w:type="spellStart"/>
      <w:r w:rsidR="00104277" w:rsidRPr="000D3EDD">
        <w:t>Vignoles</w:t>
      </w:r>
      <w:proofErr w:type="spellEnd"/>
      <w:r w:rsidRPr="000D3EDD">
        <w:t xml:space="preserve">, 2016; </w:t>
      </w:r>
      <w:r w:rsidRPr="000D3EDD">
        <w:rPr>
          <w:color w:val="000000" w:themeColor="text1"/>
        </w:rPr>
        <w:t xml:space="preserve">Nature, 2016; Vettese, 2019).  </w:t>
      </w:r>
    </w:p>
    <w:p w14:paraId="4149B045" w14:textId="77777777" w:rsidR="0058283F" w:rsidRPr="000D3EDD" w:rsidRDefault="0058283F" w:rsidP="000D3EDD">
      <w:pPr>
        <w:pStyle w:val="NormalWeb"/>
        <w:spacing w:before="0" w:beforeAutospacing="0" w:after="0" w:afterAutospacing="0" w:line="276" w:lineRule="auto"/>
        <w:rPr>
          <w:color w:val="000000" w:themeColor="text1"/>
        </w:rPr>
      </w:pPr>
    </w:p>
    <w:p w14:paraId="2F5BE1B5" w14:textId="006E9DF3" w:rsidR="00557E54" w:rsidRPr="000D3EDD" w:rsidRDefault="007065BE" w:rsidP="000D3EDD">
      <w:pPr>
        <w:pStyle w:val="NormalWeb"/>
        <w:spacing w:before="0" w:beforeAutospacing="0" w:after="0" w:afterAutospacing="0" w:line="276" w:lineRule="auto"/>
      </w:pPr>
      <w:r w:rsidRPr="000D3EDD">
        <w:rPr>
          <w:color w:val="000000"/>
        </w:rPr>
        <w:t xml:space="preserve">To achieve a richer analysis of </w:t>
      </w:r>
      <w:r w:rsidR="00136F86" w:rsidRPr="000D3EDD">
        <w:rPr>
          <w:color w:val="000000"/>
        </w:rPr>
        <w:t xml:space="preserve">UK </w:t>
      </w:r>
      <w:r w:rsidRPr="000D3EDD">
        <w:rPr>
          <w:color w:val="000000"/>
        </w:rPr>
        <w:t xml:space="preserve">doctoral employment than has previously been </w:t>
      </w:r>
      <w:r w:rsidR="00136F86" w:rsidRPr="000D3EDD">
        <w:rPr>
          <w:color w:val="000000"/>
        </w:rPr>
        <w:t>attempted</w:t>
      </w:r>
      <w:r w:rsidR="0018550D" w:rsidRPr="000D3EDD">
        <w:rPr>
          <w:color w:val="000000"/>
        </w:rPr>
        <w:t>,</w:t>
      </w:r>
      <w:r w:rsidR="00557E54" w:rsidRPr="000D3EDD">
        <w:rPr>
          <w:color w:val="000000"/>
        </w:rPr>
        <w:t xml:space="preserve"> a</w:t>
      </w:r>
      <w:r w:rsidR="00557E54" w:rsidRPr="000D3EDD">
        <w:t xml:space="preserve"> bespoke dataset</w:t>
      </w:r>
      <w:r w:rsidRPr="000D3EDD">
        <w:t xml:space="preserve"> –</w:t>
      </w:r>
      <w:r w:rsidR="0018550D" w:rsidRPr="000D3EDD">
        <w:t xml:space="preserve"> incorporating</w:t>
      </w:r>
      <w:r w:rsidRPr="000D3EDD">
        <w:t xml:space="preserve"> </w:t>
      </w:r>
      <w:r w:rsidR="0018550D" w:rsidRPr="000D3EDD">
        <w:t xml:space="preserve">the academic and demographic characteristics of </w:t>
      </w:r>
      <w:r w:rsidR="00557E54" w:rsidRPr="000D3EDD">
        <w:t>UK</w:t>
      </w:r>
      <w:r w:rsidR="0058283F" w:rsidRPr="000D3EDD">
        <w:t xml:space="preserve"> domiciled</w:t>
      </w:r>
      <w:r w:rsidR="00557E54" w:rsidRPr="000D3EDD">
        <w:t xml:space="preserve"> PhD holders </w:t>
      </w:r>
      <w:r w:rsidRPr="000D3EDD">
        <w:t>in</w:t>
      </w:r>
      <w:r w:rsidR="00557E54" w:rsidRPr="000D3EDD">
        <w:t xml:space="preserve"> the Long DLH</w:t>
      </w:r>
      <w:r w:rsidR="0018550D" w:rsidRPr="000D3EDD">
        <w:t>E</w:t>
      </w:r>
      <w:r w:rsidRPr="000D3EDD">
        <w:t xml:space="preserve"> – </w:t>
      </w:r>
      <w:r w:rsidR="00557E54" w:rsidRPr="000D3EDD">
        <w:t>was</w:t>
      </w:r>
      <w:r w:rsidRPr="000D3EDD">
        <w:t xml:space="preserve"> </w:t>
      </w:r>
      <w:r w:rsidR="00557E54" w:rsidRPr="000D3EDD">
        <w:t xml:space="preserve">created. </w:t>
      </w:r>
      <w:r w:rsidR="00136F86" w:rsidRPr="000D3EDD">
        <w:t xml:space="preserve">Given evidence in the literature that doctoral careers can be protracted, the </w:t>
      </w:r>
      <w:r w:rsidR="00557E54" w:rsidRPr="000D3EDD">
        <w:t xml:space="preserve">Long DLHE </w:t>
      </w:r>
      <w:r w:rsidRPr="000D3EDD">
        <w:t>was chosen as a basis for</w:t>
      </w:r>
      <w:r w:rsidR="00557E54" w:rsidRPr="000D3EDD">
        <w:t xml:space="preserve"> more meaningful insight</w:t>
      </w:r>
      <w:r w:rsidR="00136F86" w:rsidRPr="000D3EDD">
        <w:t xml:space="preserve"> </w:t>
      </w:r>
      <w:r w:rsidR="00557E54" w:rsidRPr="000D3EDD">
        <w:t xml:space="preserve">than the six-month survey. At the time of data purchase, the two most </w:t>
      </w:r>
      <w:r w:rsidR="00557E54" w:rsidRPr="000D3EDD">
        <w:lastRenderedPageBreak/>
        <w:t xml:space="preserve">recent waves were requested. </w:t>
      </w:r>
      <w:r w:rsidR="00136F86" w:rsidRPr="000D3EDD">
        <w:t>D</w:t>
      </w:r>
      <w:r w:rsidR="00557E54" w:rsidRPr="000D3EDD">
        <w:t xml:space="preserve">emographic and </w:t>
      </w:r>
      <w:r w:rsidRPr="000D3EDD">
        <w:t>a</w:t>
      </w:r>
      <w:r w:rsidR="00557E54" w:rsidRPr="000D3EDD">
        <w:t xml:space="preserve">cademic </w:t>
      </w:r>
      <w:r w:rsidRPr="000D3EDD">
        <w:t>information were obtained through</w:t>
      </w:r>
      <w:r w:rsidR="00557E54" w:rsidRPr="000D3EDD">
        <w:t xml:space="preserve"> </w:t>
      </w:r>
      <w:r w:rsidR="00557E54" w:rsidRPr="000D3EDD">
        <w:rPr>
          <w:iCs/>
        </w:rPr>
        <w:t xml:space="preserve">data linkage </w:t>
      </w:r>
      <w:r w:rsidR="00557E54" w:rsidRPr="000D3EDD">
        <w:t xml:space="preserve">to the Student Record, a census dataset </w:t>
      </w:r>
      <w:r w:rsidRPr="000D3EDD">
        <w:t>of</w:t>
      </w:r>
      <w:r w:rsidR="00557E54" w:rsidRPr="000D3EDD">
        <w:t xml:space="preserve"> students registered at UK universities</w:t>
      </w:r>
      <w:r w:rsidR="00557E54" w:rsidRPr="000D3EDD">
        <w:rPr>
          <w:rFonts w:eastAsia="Arial"/>
          <w:color w:val="000000"/>
        </w:rPr>
        <w:t xml:space="preserve">. </w:t>
      </w:r>
      <w:r w:rsidR="00557E54" w:rsidRPr="000D3EDD">
        <w:t xml:space="preserve">In theory, </w:t>
      </w:r>
      <w:r w:rsidRPr="000D3EDD">
        <w:t xml:space="preserve">the data </w:t>
      </w:r>
      <w:r w:rsidR="00557E54" w:rsidRPr="000D3EDD">
        <w:t xml:space="preserve">linkage would enable employment destination to be analysed by gender, ethnicity, social class, age and institution – though the challenges of </w:t>
      </w:r>
      <w:r w:rsidRPr="000D3EDD">
        <w:t>realising this in</w:t>
      </w:r>
      <w:r w:rsidR="00557E54" w:rsidRPr="000D3EDD">
        <w:t xml:space="preserve"> practice will </w:t>
      </w:r>
      <w:r w:rsidRPr="000D3EDD">
        <w:t xml:space="preserve">be </w:t>
      </w:r>
      <w:r w:rsidR="00557E54" w:rsidRPr="000D3EDD">
        <w:t>addressed</w:t>
      </w:r>
      <w:r w:rsidRPr="000D3EDD">
        <w:t xml:space="preserve"> in the discussion. </w:t>
      </w:r>
      <w:r w:rsidR="00557E54" w:rsidRPr="000D3EDD">
        <w:t xml:space="preserve"> </w:t>
      </w:r>
    </w:p>
    <w:p w14:paraId="72EEA6EE" w14:textId="77777777" w:rsidR="00557E54" w:rsidRPr="000D3EDD" w:rsidRDefault="00557E54" w:rsidP="000D3EDD">
      <w:pPr>
        <w:pStyle w:val="NormalWeb"/>
        <w:spacing w:before="0" w:beforeAutospacing="0" w:after="0" w:afterAutospacing="0" w:line="276" w:lineRule="auto"/>
        <w:rPr>
          <w:color w:val="000000" w:themeColor="text1"/>
        </w:rPr>
      </w:pPr>
    </w:p>
    <w:p w14:paraId="4886F1EB" w14:textId="2EAE366A" w:rsidR="00557E54" w:rsidRPr="000D3EDD" w:rsidRDefault="00557E54" w:rsidP="000D3EDD">
      <w:pPr>
        <w:spacing w:line="276" w:lineRule="auto"/>
        <w:textAlignment w:val="baseline"/>
        <w:rPr>
          <w:color w:val="000000" w:themeColor="text1"/>
        </w:rPr>
      </w:pPr>
      <w:r w:rsidRPr="000D3EDD">
        <w:t>The final dataset contained UK domiciled PhD holders who obtained their degrees in 2008/9 and 2010/11 (</w:t>
      </w:r>
      <w:r w:rsidRPr="000D3EDD">
        <w:rPr>
          <w:i/>
          <w:iCs/>
        </w:rPr>
        <w:t>n</w:t>
      </w:r>
      <w:r w:rsidRPr="000D3EDD">
        <w:t>=4,731; response rate 39</w:t>
      </w:r>
      <w:r w:rsidRPr="000D3EDD">
        <w:rPr>
          <w:color w:val="000000" w:themeColor="text1"/>
        </w:rPr>
        <w:t>.5%</w:t>
      </w:r>
      <w:r w:rsidRPr="000D3EDD">
        <w:t xml:space="preserve">). The survey therefore captures labour market activity in 2011/12 and 2013/14. The sample represents around one-fifth of the population of UK domiciled PhDs graduating in those years. Data were weighted by HESA prior to analysis, in reference to </w:t>
      </w:r>
      <w:r w:rsidR="00971F06" w:rsidRPr="000D3EDD">
        <w:t>key</w:t>
      </w:r>
      <w:r w:rsidRPr="000D3EDD">
        <w:t xml:space="preserve"> academic variables, such as doctoral subject area.  Table 1 displays the distribution of academic characteristics in the dataset. </w:t>
      </w:r>
    </w:p>
    <w:p w14:paraId="7BFBAF24" w14:textId="77777777" w:rsidR="00557E54" w:rsidRPr="000D3EDD" w:rsidRDefault="00557E54" w:rsidP="000D3EDD">
      <w:pPr>
        <w:spacing w:line="276" w:lineRule="auto"/>
        <w:textAlignment w:val="baseline"/>
      </w:pPr>
    </w:p>
    <w:p w14:paraId="017AF211" w14:textId="77777777" w:rsidR="00557E54" w:rsidRPr="000D3EDD" w:rsidRDefault="00557E54" w:rsidP="000D3EDD">
      <w:pPr>
        <w:spacing w:line="276" w:lineRule="auto"/>
        <w:textAlignment w:val="baseline"/>
      </w:pPr>
      <w:r w:rsidRPr="000D3EDD">
        <w:t>TABLE 1 HERE</w:t>
      </w:r>
    </w:p>
    <w:p w14:paraId="64A51E8F" w14:textId="77777777" w:rsidR="00557E54" w:rsidRPr="000D3EDD" w:rsidRDefault="00557E54" w:rsidP="000D3EDD">
      <w:pPr>
        <w:spacing w:line="276" w:lineRule="auto"/>
        <w:textAlignment w:val="baseline"/>
      </w:pPr>
    </w:p>
    <w:p w14:paraId="2D92507C" w14:textId="056ADAE2" w:rsidR="00557E54" w:rsidRPr="000D3EDD" w:rsidRDefault="00557E54" w:rsidP="000D3EDD">
      <w:pPr>
        <w:spacing w:line="276" w:lineRule="auto"/>
        <w:textAlignment w:val="baseline"/>
        <w:rPr>
          <w:color w:val="000000" w:themeColor="text1"/>
        </w:rPr>
      </w:pPr>
      <w:r w:rsidRPr="000D3EDD">
        <w:t>The majority of PhDs are awarded in the scientific disciplines, and from Russell Group institution</w:t>
      </w:r>
      <w:r w:rsidRPr="000D3EDD">
        <w:rPr>
          <w:color w:val="000000" w:themeColor="text1"/>
        </w:rPr>
        <w:t>s</w:t>
      </w:r>
      <w:r w:rsidR="00136F86" w:rsidRPr="000D3EDD">
        <w:rPr>
          <w:color w:val="000000" w:themeColor="text1"/>
        </w:rPr>
        <w:t>, which is comparable to HESA statistics for the wider doctoral population</w:t>
      </w:r>
      <w:r w:rsidRPr="000D3EDD">
        <w:rPr>
          <w:color w:val="000000" w:themeColor="text1"/>
        </w:rPr>
        <w:t xml:space="preserve">. </w:t>
      </w:r>
      <w:r w:rsidRPr="000D3EDD">
        <w:t xml:space="preserve">Table 2 sets out demographic characteristics. </w:t>
      </w:r>
      <w:r w:rsidRPr="000D3EDD">
        <w:rPr>
          <w:color w:val="000000" w:themeColor="text1"/>
        </w:rPr>
        <w:t xml:space="preserve">Notable here is the relatively young age of the sample; over half are 30 or under at the time of the survey. The vast majority of PhD holders are White British (90.4%). Two-thirds have a parent or guardian with a higher education qualification, and one third originate from the highest occupational group. These are well above UK averages, suggesting that PhD holders originate from comparatively advantaged social positions (Office for National Statistics, 2013). </w:t>
      </w:r>
    </w:p>
    <w:p w14:paraId="61265FA4" w14:textId="77777777" w:rsidR="00557E54" w:rsidRPr="000D3EDD" w:rsidRDefault="00557E54" w:rsidP="000D3EDD">
      <w:pPr>
        <w:spacing w:line="276" w:lineRule="auto"/>
        <w:textAlignment w:val="baseline"/>
        <w:rPr>
          <w:color w:val="000000" w:themeColor="text1"/>
        </w:rPr>
      </w:pPr>
    </w:p>
    <w:p w14:paraId="182FF211" w14:textId="77777777" w:rsidR="00557E54" w:rsidRPr="000D3EDD" w:rsidRDefault="00557E54" w:rsidP="000D3EDD">
      <w:pPr>
        <w:spacing w:line="276" w:lineRule="auto"/>
        <w:textAlignment w:val="baseline"/>
        <w:rPr>
          <w:color w:val="000000" w:themeColor="text1"/>
        </w:rPr>
      </w:pPr>
      <w:r w:rsidRPr="000D3EDD">
        <w:rPr>
          <w:color w:val="000000" w:themeColor="text1"/>
        </w:rPr>
        <w:t>TABLE 2 HERE</w:t>
      </w:r>
    </w:p>
    <w:p w14:paraId="026647B4" w14:textId="77777777" w:rsidR="00557E54" w:rsidRPr="000D3EDD" w:rsidRDefault="00557E54" w:rsidP="000D3EDD">
      <w:pPr>
        <w:spacing w:line="276" w:lineRule="auto"/>
        <w:textAlignment w:val="baseline"/>
        <w:rPr>
          <w:color w:val="000000" w:themeColor="text1"/>
        </w:rPr>
      </w:pPr>
    </w:p>
    <w:p w14:paraId="4832ABFA" w14:textId="621AC641" w:rsidR="00850494" w:rsidRPr="000D3EDD" w:rsidRDefault="00850494" w:rsidP="000D3EDD">
      <w:pPr>
        <w:spacing w:line="276" w:lineRule="auto"/>
        <w:textAlignment w:val="baseline"/>
        <w:rPr>
          <w:color w:val="000000" w:themeColor="text1"/>
        </w:rPr>
      </w:pPr>
      <w:r w:rsidRPr="000D3EDD">
        <w:rPr>
          <w:color w:val="000000" w:themeColor="text1"/>
        </w:rPr>
        <w:t xml:space="preserve">The principal aim of this </w:t>
      </w:r>
      <w:r w:rsidR="00567DD8" w:rsidRPr="000D3EDD">
        <w:rPr>
          <w:color w:val="000000" w:themeColor="text1"/>
        </w:rPr>
        <w:t>article</w:t>
      </w:r>
      <w:r w:rsidRPr="000D3EDD">
        <w:rPr>
          <w:color w:val="000000" w:themeColor="text1"/>
        </w:rPr>
        <w:t xml:space="preserve"> is to reflect on current knowledge o</w:t>
      </w:r>
      <w:r w:rsidR="005A29A4" w:rsidRPr="000D3EDD">
        <w:rPr>
          <w:color w:val="000000" w:themeColor="text1"/>
        </w:rPr>
        <w:t>f</w:t>
      </w:r>
      <w:r w:rsidRPr="000D3EDD">
        <w:rPr>
          <w:color w:val="000000" w:themeColor="text1"/>
        </w:rPr>
        <w:t xml:space="preserve"> doctoral employment</w:t>
      </w:r>
      <w:r w:rsidR="005A29A4" w:rsidRPr="000D3EDD">
        <w:rPr>
          <w:color w:val="000000" w:themeColor="text1"/>
        </w:rPr>
        <w:t xml:space="preserve"> </w:t>
      </w:r>
      <w:r w:rsidRPr="000D3EDD">
        <w:rPr>
          <w:color w:val="000000" w:themeColor="text1"/>
        </w:rPr>
        <w:t>and draw out recommendations for future research. In what follows, key insights</w:t>
      </w:r>
      <w:r w:rsidR="00971F06" w:rsidRPr="000D3EDD">
        <w:rPr>
          <w:color w:val="000000" w:themeColor="text1"/>
        </w:rPr>
        <w:t xml:space="preserve"> on</w:t>
      </w:r>
      <w:r w:rsidRPr="000D3EDD">
        <w:rPr>
          <w:color w:val="000000" w:themeColor="text1"/>
        </w:rPr>
        <w:t xml:space="preserve"> – rather than a full analysis of </w:t>
      </w:r>
      <w:r w:rsidR="00971F06" w:rsidRPr="000D3EDD">
        <w:rPr>
          <w:color w:val="000000" w:themeColor="text1"/>
        </w:rPr>
        <w:t xml:space="preserve">– </w:t>
      </w:r>
      <w:r w:rsidRPr="000D3EDD">
        <w:rPr>
          <w:color w:val="000000" w:themeColor="text1"/>
        </w:rPr>
        <w:t>doctoral</w:t>
      </w:r>
      <w:r w:rsidR="00971F06" w:rsidRPr="000D3EDD">
        <w:rPr>
          <w:color w:val="000000" w:themeColor="text1"/>
        </w:rPr>
        <w:t xml:space="preserve"> </w:t>
      </w:r>
      <w:r w:rsidRPr="000D3EDD">
        <w:rPr>
          <w:color w:val="000000" w:themeColor="text1"/>
        </w:rPr>
        <w:t>employment in the UK are presented.</w:t>
      </w:r>
      <w:r w:rsidR="00E30E16">
        <w:rPr>
          <w:color w:val="000000" w:themeColor="text1"/>
        </w:rPr>
        <w:t xml:space="preserve"> </w:t>
      </w:r>
      <w:r w:rsidR="00F74ADC">
        <w:rPr>
          <w:color w:val="000000" w:themeColor="text1"/>
        </w:rPr>
        <w:t xml:space="preserve">Since the </w:t>
      </w:r>
      <w:r w:rsidR="00F74ADC">
        <w:t xml:space="preserve">Long DLHE survey data were supplied independently of the six-month data, the following analysis is cross-sectional and does not track individuals over time. </w:t>
      </w:r>
      <w:r w:rsidR="00E30E16">
        <w:rPr>
          <w:color w:val="000000" w:themeColor="text1"/>
        </w:rPr>
        <w:t xml:space="preserve">In the absence of an </w:t>
      </w:r>
      <w:r w:rsidR="00B413DE">
        <w:rPr>
          <w:color w:val="000000" w:themeColor="text1"/>
        </w:rPr>
        <w:t xml:space="preserve">internationally </w:t>
      </w:r>
      <w:r w:rsidR="00E30E16">
        <w:rPr>
          <w:color w:val="000000" w:themeColor="text1"/>
        </w:rPr>
        <w:t>agreed definition of doctoral employment, the supplementa</w:t>
      </w:r>
      <w:r w:rsidR="006C5784">
        <w:rPr>
          <w:color w:val="000000" w:themeColor="text1"/>
        </w:rPr>
        <w:t>ry</w:t>
      </w:r>
      <w:r w:rsidR="00E30E16">
        <w:rPr>
          <w:color w:val="000000" w:themeColor="text1"/>
        </w:rPr>
        <w:t xml:space="preserve"> material details the approach taken to classifying occupational destinations.</w:t>
      </w:r>
      <w:r w:rsidRPr="000D3EDD">
        <w:rPr>
          <w:color w:val="000000" w:themeColor="text1"/>
        </w:rPr>
        <w:t xml:space="preserve"> </w:t>
      </w:r>
      <w:r w:rsidR="00D003B4" w:rsidRPr="000D3EDD">
        <w:rPr>
          <w:color w:val="000000" w:themeColor="text1"/>
        </w:rPr>
        <w:t>The findings are limited to univariate and bivariate analyses</w:t>
      </w:r>
      <w:r w:rsidR="00AC2610">
        <w:rPr>
          <w:color w:val="000000" w:themeColor="text1"/>
        </w:rPr>
        <w:t xml:space="preserve">; </w:t>
      </w:r>
      <w:r w:rsidR="00D003B4" w:rsidRPr="000D3EDD">
        <w:rPr>
          <w:color w:val="000000" w:themeColor="text1"/>
        </w:rPr>
        <w:t xml:space="preserve">selected to </w:t>
      </w:r>
      <w:r w:rsidRPr="000D3EDD">
        <w:rPr>
          <w:color w:val="000000" w:themeColor="text1"/>
        </w:rPr>
        <w:t>address</w:t>
      </w:r>
      <w:r w:rsidR="00A21D65" w:rsidRPr="000D3EDD">
        <w:rPr>
          <w:color w:val="000000" w:themeColor="text1"/>
        </w:rPr>
        <w:t xml:space="preserve"> the </w:t>
      </w:r>
      <w:r w:rsidRPr="000D3EDD">
        <w:rPr>
          <w:color w:val="000000" w:themeColor="text1"/>
        </w:rPr>
        <w:t xml:space="preserve">themes </w:t>
      </w:r>
      <w:r w:rsidR="00A21D65" w:rsidRPr="000D3EDD">
        <w:rPr>
          <w:color w:val="000000" w:themeColor="text1"/>
        </w:rPr>
        <w:t>of</w:t>
      </w:r>
      <w:r w:rsidRPr="000D3EDD">
        <w:rPr>
          <w:color w:val="000000" w:themeColor="text1"/>
        </w:rPr>
        <w:t xml:space="preserve"> the literature earlier discussed, and issues which most prominently occupy the attention of doctoral stakeholders. </w:t>
      </w:r>
      <w:r w:rsidR="00D003B4" w:rsidRPr="000D3EDD">
        <w:rPr>
          <w:color w:val="000000" w:themeColor="text1"/>
        </w:rPr>
        <w:t xml:space="preserve">This includes the employment rate of PhD holders, and the proportions forging academic </w:t>
      </w:r>
      <w:r w:rsidR="00A21D65" w:rsidRPr="000D3EDD">
        <w:rPr>
          <w:color w:val="000000" w:themeColor="text1"/>
        </w:rPr>
        <w:t>and</w:t>
      </w:r>
      <w:r w:rsidR="00D003B4" w:rsidRPr="000D3EDD">
        <w:rPr>
          <w:color w:val="000000" w:themeColor="text1"/>
        </w:rPr>
        <w:t xml:space="preserve"> non-academic research career</w:t>
      </w:r>
      <w:r w:rsidR="00A21D65" w:rsidRPr="000D3EDD">
        <w:rPr>
          <w:color w:val="000000" w:themeColor="text1"/>
        </w:rPr>
        <w:t>s</w:t>
      </w:r>
      <w:r w:rsidR="00D003B4" w:rsidRPr="000D3EDD">
        <w:rPr>
          <w:color w:val="000000" w:themeColor="text1"/>
        </w:rPr>
        <w:t xml:space="preserve">. </w:t>
      </w:r>
      <w:r w:rsidR="00971F06" w:rsidRPr="000D3EDD">
        <w:rPr>
          <w:color w:val="000000" w:themeColor="text1"/>
        </w:rPr>
        <w:t xml:space="preserve">Additional analyses, including academic and demographic differences in </w:t>
      </w:r>
      <w:r w:rsidR="00A21D65" w:rsidRPr="000D3EDD">
        <w:rPr>
          <w:color w:val="000000" w:themeColor="text1"/>
        </w:rPr>
        <w:t xml:space="preserve">employment </w:t>
      </w:r>
      <w:r w:rsidR="00971F06" w:rsidRPr="000D3EDD">
        <w:rPr>
          <w:color w:val="000000" w:themeColor="text1"/>
        </w:rPr>
        <w:t xml:space="preserve">outcomes, form the </w:t>
      </w:r>
      <w:r w:rsidR="00A21D65" w:rsidRPr="000D3EDD">
        <w:rPr>
          <w:color w:val="000000" w:themeColor="text1"/>
        </w:rPr>
        <w:t>basis</w:t>
      </w:r>
      <w:r w:rsidR="00971F06" w:rsidRPr="000D3EDD">
        <w:rPr>
          <w:color w:val="000000" w:themeColor="text1"/>
        </w:rPr>
        <w:t xml:space="preserve"> of separate </w:t>
      </w:r>
      <w:r w:rsidR="00D003B4" w:rsidRPr="000D3EDD">
        <w:rPr>
          <w:color w:val="000000" w:themeColor="text1"/>
        </w:rPr>
        <w:t>outputs</w:t>
      </w:r>
      <w:r w:rsidR="00971F06" w:rsidRPr="000D3EDD">
        <w:rPr>
          <w:color w:val="000000" w:themeColor="text1"/>
        </w:rPr>
        <w:t xml:space="preserve"> forthcoming from this study. </w:t>
      </w:r>
    </w:p>
    <w:p w14:paraId="5C842D78" w14:textId="51A2EAFA" w:rsidR="00436A66" w:rsidRPr="000D3EDD" w:rsidRDefault="00436A66" w:rsidP="000D3EDD">
      <w:pPr>
        <w:spacing w:line="276" w:lineRule="auto"/>
        <w:textAlignment w:val="baseline"/>
      </w:pPr>
    </w:p>
    <w:p w14:paraId="24C79351" w14:textId="37A7F15D" w:rsidR="00F7712A" w:rsidRPr="000D3EDD" w:rsidRDefault="00F54494" w:rsidP="000D3EDD">
      <w:pPr>
        <w:spacing w:line="276" w:lineRule="auto"/>
        <w:textAlignment w:val="baseline"/>
        <w:rPr>
          <w:b/>
          <w:bCs/>
          <w:color w:val="000000" w:themeColor="text1"/>
        </w:rPr>
      </w:pPr>
      <w:r w:rsidRPr="000D3EDD">
        <w:rPr>
          <w:b/>
          <w:bCs/>
          <w:color w:val="000000" w:themeColor="text1"/>
        </w:rPr>
        <w:t>Selected f</w:t>
      </w:r>
      <w:r w:rsidR="00D003B4" w:rsidRPr="000D3EDD">
        <w:rPr>
          <w:b/>
          <w:bCs/>
          <w:color w:val="000000" w:themeColor="text1"/>
        </w:rPr>
        <w:t xml:space="preserve">indings: </w:t>
      </w:r>
      <w:r w:rsidR="00F7712A" w:rsidRPr="000D3EDD">
        <w:rPr>
          <w:b/>
          <w:bCs/>
          <w:color w:val="000000" w:themeColor="text1"/>
        </w:rPr>
        <w:t>the employment of PhD holders in the UK</w:t>
      </w:r>
    </w:p>
    <w:p w14:paraId="0B2F3631" w14:textId="47A5F3A9" w:rsidR="00F7712A" w:rsidRPr="000D3EDD" w:rsidRDefault="00205F56" w:rsidP="000D3EDD">
      <w:pPr>
        <w:spacing w:line="276" w:lineRule="auto"/>
      </w:pPr>
      <w:r w:rsidRPr="000D3EDD">
        <w:rPr>
          <w:color w:val="000000" w:themeColor="text1"/>
        </w:rPr>
        <w:t>T</w:t>
      </w:r>
      <w:r w:rsidR="00F7712A" w:rsidRPr="000D3EDD">
        <w:rPr>
          <w:color w:val="000000" w:themeColor="text1"/>
        </w:rPr>
        <w:t xml:space="preserve">able 3 sets out PhD holders’ main activity at the time of the survey. Consistent </w:t>
      </w:r>
      <w:r w:rsidR="00C876B7" w:rsidRPr="000D3EDD">
        <w:rPr>
          <w:color w:val="000000" w:themeColor="text1"/>
        </w:rPr>
        <w:t>with earlier research</w:t>
      </w:r>
      <w:r w:rsidR="00F7712A" w:rsidRPr="000D3EDD">
        <w:rPr>
          <w:color w:val="000000" w:themeColor="text1"/>
        </w:rPr>
        <w:t xml:space="preserve"> in the UK and </w:t>
      </w:r>
      <w:r w:rsidR="00C876B7" w:rsidRPr="000D3EDD">
        <w:rPr>
          <w:color w:val="000000" w:themeColor="text1"/>
        </w:rPr>
        <w:t>beyond,</w:t>
      </w:r>
      <w:r w:rsidR="00F7712A" w:rsidRPr="000D3EDD">
        <w:rPr>
          <w:color w:val="000000" w:themeColor="text1"/>
        </w:rPr>
        <w:t xml:space="preserve"> PhD holders report a high rate of full or part time employment (88.4% across the whole sample).</w:t>
      </w:r>
      <w:r w:rsidR="00D003B4" w:rsidRPr="000D3EDD">
        <w:rPr>
          <w:color w:val="000000" w:themeColor="text1"/>
        </w:rPr>
        <w:t xml:space="preserve"> </w:t>
      </w:r>
      <w:r w:rsidR="00F7712A" w:rsidRPr="000D3EDD">
        <w:rPr>
          <w:color w:val="000000" w:themeColor="text1"/>
        </w:rPr>
        <w:t xml:space="preserve">There are, however, sharp variations by subject area, particularly in relation to full and part time employment. Differential </w:t>
      </w:r>
      <w:r w:rsidR="00F7712A" w:rsidRPr="000D3EDD">
        <w:rPr>
          <w:color w:val="000000" w:themeColor="text1"/>
        </w:rPr>
        <w:lastRenderedPageBreak/>
        <w:t>distributions of age and gender across subject areas may partly explain this. Doctoral graduates in the arts and humanities and social sciences, for example, are on average approximately ten years older than those in the scientific disciplines (</w:t>
      </w:r>
      <w:r w:rsidR="00F7712A" w:rsidRPr="000D3EDD">
        <w:rPr>
          <w:color w:val="000000" w:themeColor="text1"/>
          <w:shd w:val="clear" w:color="auto" w:fill="FFFFFF"/>
        </w:rPr>
        <w:t xml:space="preserve">x̄ age in years: arts and humanities 39; natural and physical sciences 31; social sciences 41). </w:t>
      </w:r>
    </w:p>
    <w:p w14:paraId="5A523F0C" w14:textId="77777777" w:rsidR="00F7712A" w:rsidRPr="000D3EDD" w:rsidRDefault="00F7712A" w:rsidP="000D3EDD">
      <w:pPr>
        <w:spacing w:line="276" w:lineRule="auto"/>
        <w:rPr>
          <w:color w:val="000000" w:themeColor="text1"/>
        </w:rPr>
      </w:pPr>
    </w:p>
    <w:p w14:paraId="20499171" w14:textId="77777777" w:rsidR="00F7712A" w:rsidRPr="000D3EDD" w:rsidRDefault="00F7712A" w:rsidP="000D3EDD">
      <w:pPr>
        <w:spacing w:line="276" w:lineRule="auto"/>
        <w:textAlignment w:val="baseline"/>
      </w:pPr>
      <w:r w:rsidRPr="000D3EDD">
        <w:t>TABLE 3 HERE</w:t>
      </w:r>
    </w:p>
    <w:p w14:paraId="415D6CF9" w14:textId="77777777" w:rsidR="00F7712A" w:rsidRPr="000D3EDD" w:rsidRDefault="00F7712A" w:rsidP="000D3EDD">
      <w:pPr>
        <w:spacing w:line="276" w:lineRule="auto"/>
        <w:rPr>
          <w:b/>
          <w:bCs/>
          <w:color w:val="000000" w:themeColor="text1"/>
        </w:rPr>
      </w:pPr>
    </w:p>
    <w:p w14:paraId="382A6CE4" w14:textId="00493935" w:rsidR="00F7712A" w:rsidRPr="000D3EDD" w:rsidRDefault="00F7712A" w:rsidP="000D3EDD">
      <w:pPr>
        <w:spacing w:line="276" w:lineRule="auto"/>
        <w:rPr>
          <w:color w:val="000000" w:themeColor="text1"/>
        </w:rPr>
      </w:pPr>
      <w:r w:rsidRPr="000D3EDD">
        <w:rPr>
          <w:color w:val="000000" w:themeColor="text1"/>
        </w:rPr>
        <w:t>The issue central to many studies and commentaries on PhD employment – of the proportion</w:t>
      </w:r>
      <w:r w:rsidR="00C876B7" w:rsidRPr="000D3EDD">
        <w:rPr>
          <w:color w:val="000000" w:themeColor="text1"/>
        </w:rPr>
        <w:t xml:space="preserve"> </w:t>
      </w:r>
      <w:r w:rsidRPr="000D3EDD">
        <w:rPr>
          <w:color w:val="000000" w:themeColor="text1"/>
        </w:rPr>
        <w:t xml:space="preserve">employed within or beyond </w:t>
      </w:r>
      <w:r w:rsidR="00C876B7" w:rsidRPr="000D3EDD">
        <w:rPr>
          <w:color w:val="000000" w:themeColor="text1"/>
        </w:rPr>
        <w:t>academia</w:t>
      </w:r>
      <w:r w:rsidRPr="000D3EDD">
        <w:rPr>
          <w:color w:val="000000" w:themeColor="text1"/>
        </w:rPr>
        <w:t xml:space="preserve"> – is </w:t>
      </w:r>
      <w:r w:rsidR="00382208" w:rsidRPr="000D3EDD">
        <w:rPr>
          <w:color w:val="000000" w:themeColor="text1"/>
        </w:rPr>
        <w:t>addressed</w:t>
      </w:r>
      <w:r w:rsidRPr="000D3EDD">
        <w:rPr>
          <w:color w:val="000000" w:themeColor="text1"/>
        </w:rPr>
        <w:t xml:space="preserve"> in </w:t>
      </w:r>
      <w:r w:rsidR="00382208" w:rsidRPr="000D3EDD">
        <w:rPr>
          <w:color w:val="000000" w:themeColor="text1"/>
        </w:rPr>
        <w:t>figure 1</w:t>
      </w:r>
      <w:r w:rsidRPr="000D3EDD">
        <w:rPr>
          <w:color w:val="000000" w:themeColor="text1"/>
        </w:rPr>
        <w:t>, below.  While the vast majority of PhD holders ha</w:t>
      </w:r>
      <w:r w:rsidR="00C876B7" w:rsidRPr="000D3EDD">
        <w:rPr>
          <w:color w:val="000000" w:themeColor="text1"/>
        </w:rPr>
        <w:t>ve</w:t>
      </w:r>
      <w:r w:rsidRPr="000D3EDD">
        <w:rPr>
          <w:color w:val="000000" w:themeColor="text1"/>
        </w:rPr>
        <w:t xml:space="preserve"> left academia at the time of the survey (70.1%), there are again notable differences by doctoral subject area. To an extent, these outcomes reflect the </w:t>
      </w:r>
      <w:r w:rsidR="00C876B7" w:rsidRPr="000D3EDD">
        <w:rPr>
          <w:color w:val="000000" w:themeColor="text1"/>
        </w:rPr>
        <w:t xml:space="preserve">differing </w:t>
      </w:r>
      <w:r w:rsidRPr="000D3EDD">
        <w:rPr>
          <w:color w:val="000000" w:themeColor="text1"/>
        </w:rPr>
        <w:t>numbers of PhDs obtained across fields. The majority of UK PhDs are awarded in the natural and physical sciences (</w:t>
      </w:r>
      <w:r w:rsidR="00C876B7" w:rsidRPr="000D3EDD">
        <w:rPr>
          <w:color w:val="000000" w:themeColor="text1"/>
        </w:rPr>
        <w:t>HESA, 2020</w:t>
      </w:r>
      <w:r w:rsidR="00295E4F">
        <w:rPr>
          <w:color w:val="000000" w:themeColor="text1"/>
        </w:rPr>
        <w:t>a</w:t>
      </w:r>
      <w:r w:rsidR="00C876B7" w:rsidRPr="000D3EDD">
        <w:rPr>
          <w:color w:val="000000" w:themeColor="text1"/>
        </w:rPr>
        <w:t>)</w:t>
      </w:r>
      <w:r w:rsidRPr="000D3EDD">
        <w:rPr>
          <w:color w:val="000000" w:themeColor="text1"/>
        </w:rPr>
        <w:t xml:space="preserve">, and funded places on science doctorates outnumber those available for programmes in the arts and humanities and social sciences. While it </w:t>
      </w:r>
      <w:r w:rsidR="00C876B7" w:rsidRPr="000D3EDD">
        <w:rPr>
          <w:color w:val="000000" w:themeColor="text1"/>
        </w:rPr>
        <w:t>is unknown</w:t>
      </w:r>
      <w:r w:rsidRPr="000D3EDD">
        <w:rPr>
          <w:color w:val="000000" w:themeColor="text1"/>
        </w:rPr>
        <w:t xml:space="preserve"> how many PhD holders in the dataset </w:t>
      </w:r>
      <w:r w:rsidRPr="000D3EDD">
        <w:rPr>
          <w:i/>
          <w:iCs/>
          <w:color w:val="000000" w:themeColor="text1"/>
        </w:rPr>
        <w:t>intended</w:t>
      </w:r>
      <w:r w:rsidRPr="000D3EDD">
        <w:rPr>
          <w:color w:val="000000" w:themeColor="text1"/>
        </w:rPr>
        <w:t xml:space="preserve"> to embark on an academic career, it is clear that the ratio of PhD holders to academic openings is far higher in the natural and physical sciences than for all other subject areas. If, however, the doctoral loan initiative succeeds in increasing the number of PhD holders</w:t>
      </w:r>
      <w:r w:rsidR="007E65C1" w:rsidRPr="000D3EDD">
        <w:rPr>
          <w:color w:val="000000" w:themeColor="text1"/>
        </w:rPr>
        <w:t xml:space="preserve"> over time</w:t>
      </w:r>
      <w:r w:rsidRPr="000D3EDD">
        <w:rPr>
          <w:color w:val="000000" w:themeColor="text1"/>
        </w:rPr>
        <w:t>, employment destinations by subject area may begin to look more uniform. The limited scholarship funding available for arts and humanities and social science students has made the loan a more attractive option for pursuing doctoral study in these areas (</w:t>
      </w:r>
      <w:r w:rsidR="00C876B7" w:rsidRPr="000D3EDD">
        <w:rPr>
          <w:color w:val="000000" w:themeColor="text1"/>
        </w:rPr>
        <w:t>Bennett, 2020</w:t>
      </w:r>
      <w:r w:rsidRPr="000D3EDD">
        <w:rPr>
          <w:color w:val="000000" w:themeColor="text1"/>
        </w:rPr>
        <w:t>).</w:t>
      </w:r>
      <w:r w:rsidRPr="000D3EDD">
        <w:rPr>
          <w:color w:val="FF0000"/>
        </w:rPr>
        <w:t xml:space="preserve"> </w:t>
      </w:r>
    </w:p>
    <w:p w14:paraId="4EA037E6" w14:textId="77777777" w:rsidR="00F7712A" w:rsidRPr="000D3EDD" w:rsidRDefault="00F7712A" w:rsidP="000D3EDD">
      <w:pPr>
        <w:spacing w:line="276" w:lineRule="auto"/>
        <w:rPr>
          <w:color w:val="000000" w:themeColor="text1"/>
        </w:rPr>
      </w:pPr>
    </w:p>
    <w:p w14:paraId="738D60EC" w14:textId="63C5E84D" w:rsidR="00F7712A" w:rsidRPr="000D3EDD" w:rsidRDefault="00382208" w:rsidP="000D3EDD">
      <w:pPr>
        <w:spacing w:line="276" w:lineRule="auto"/>
        <w:textAlignment w:val="baseline"/>
      </w:pPr>
      <w:r w:rsidRPr="000D3EDD">
        <w:t>FIGURE 1</w:t>
      </w:r>
      <w:r w:rsidR="00F7712A" w:rsidRPr="000D3EDD">
        <w:t xml:space="preserve"> HERE</w:t>
      </w:r>
    </w:p>
    <w:p w14:paraId="11CC2CEE" w14:textId="77777777" w:rsidR="00F7712A" w:rsidRPr="000D3EDD" w:rsidRDefault="00F7712A" w:rsidP="000D3EDD">
      <w:pPr>
        <w:spacing w:line="276" w:lineRule="auto"/>
        <w:rPr>
          <w:color w:val="000000" w:themeColor="text1"/>
        </w:rPr>
      </w:pPr>
    </w:p>
    <w:p w14:paraId="60E46F37" w14:textId="0A660E03" w:rsidR="00F7712A" w:rsidRPr="000D3EDD" w:rsidRDefault="00F7712A" w:rsidP="000D3EDD">
      <w:pPr>
        <w:spacing w:line="276" w:lineRule="auto"/>
        <w:rPr>
          <w:color w:val="000000" w:themeColor="text1"/>
        </w:rPr>
      </w:pPr>
      <w:r w:rsidRPr="000D3EDD">
        <w:rPr>
          <w:color w:val="000000" w:themeColor="text1"/>
        </w:rPr>
        <w:t xml:space="preserve">Since the majority of PhD holders have left the academic sector three and a half years after graduation, it is valuable to observe the proportion who report an ongoing involvement in research </w:t>
      </w:r>
      <w:r w:rsidR="00A63511" w:rsidRPr="000D3EDD">
        <w:rPr>
          <w:color w:val="000000" w:themeColor="text1"/>
        </w:rPr>
        <w:t>in non-academic occupations</w:t>
      </w:r>
      <w:r w:rsidRPr="000D3EDD">
        <w:rPr>
          <w:color w:val="000000" w:themeColor="text1"/>
        </w:rPr>
        <w:t xml:space="preserve"> (</w:t>
      </w:r>
      <w:r w:rsidR="00382208" w:rsidRPr="000D3EDD">
        <w:rPr>
          <w:color w:val="000000" w:themeColor="text1"/>
        </w:rPr>
        <w:t>figure 2</w:t>
      </w:r>
      <w:r w:rsidRPr="000D3EDD">
        <w:rPr>
          <w:color w:val="000000" w:themeColor="text1"/>
        </w:rPr>
        <w:t xml:space="preserve">). Considering the data in this way should not be taken to imply that a </w:t>
      </w:r>
      <w:r w:rsidR="00A63511" w:rsidRPr="000D3EDD">
        <w:rPr>
          <w:color w:val="000000" w:themeColor="text1"/>
        </w:rPr>
        <w:t>career in</w:t>
      </w:r>
      <w:r w:rsidRPr="000D3EDD">
        <w:rPr>
          <w:color w:val="000000" w:themeColor="text1"/>
        </w:rPr>
        <w:t xml:space="preserve"> research is the most important or indeed only</w:t>
      </w:r>
      <w:r w:rsidR="00A63511" w:rsidRPr="000D3EDD">
        <w:rPr>
          <w:color w:val="000000" w:themeColor="text1"/>
        </w:rPr>
        <w:t xml:space="preserve"> occupation</w:t>
      </w:r>
      <w:r w:rsidRPr="000D3EDD">
        <w:rPr>
          <w:color w:val="000000" w:themeColor="text1"/>
        </w:rPr>
        <w:t xml:space="preserve"> a PhD prepare</w:t>
      </w:r>
      <w:r w:rsidR="00A63511" w:rsidRPr="000D3EDD">
        <w:rPr>
          <w:color w:val="000000" w:themeColor="text1"/>
        </w:rPr>
        <w:t xml:space="preserve">s </w:t>
      </w:r>
      <w:r w:rsidRPr="000D3EDD">
        <w:rPr>
          <w:color w:val="000000" w:themeColor="text1"/>
        </w:rPr>
        <w:t xml:space="preserve">for. Nevertheless, </w:t>
      </w:r>
      <w:r w:rsidR="00A63511" w:rsidRPr="000D3EDD">
        <w:rPr>
          <w:color w:val="000000" w:themeColor="text1"/>
        </w:rPr>
        <w:t>since</w:t>
      </w:r>
      <w:r w:rsidRPr="000D3EDD">
        <w:rPr>
          <w:color w:val="000000" w:themeColor="text1"/>
        </w:rPr>
        <w:t xml:space="preserve"> research career</w:t>
      </w:r>
      <w:r w:rsidR="00A63511" w:rsidRPr="000D3EDD">
        <w:rPr>
          <w:color w:val="000000" w:themeColor="text1"/>
        </w:rPr>
        <w:t>s</w:t>
      </w:r>
      <w:r w:rsidRPr="000D3EDD">
        <w:rPr>
          <w:color w:val="000000" w:themeColor="text1"/>
        </w:rPr>
        <w:t xml:space="preserve"> </w:t>
      </w:r>
      <w:r w:rsidR="00A63511" w:rsidRPr="000D3EDD">
        <w:rPr>
          <w:color w:val="000000" w:themeColor="text1"/>
        </w:rPr>
        <w:t>are</w:t>
      </w:r>
      <w:r w:rsidRPr="000D3EDD">
        <w:rPr>
          <w:color w:val="000000" w:themeColor="text1"/>
        </w:rPr>
        <w:t xml:space="preserve"> </w:t>
      </w:r>
      <w:r w:rsidR="00A63511" w:rsidRPr="000D3EDD">
        <w:rPr>
          <w:color w:val="000000" w:themeColor="text1"/>
        </w:rPr>
        <w:t>the</w:t>
      </w:r>
      <w:r w:rsidR="003D0137" w:rsidRPr="000D3EDD">
        <w:rPr>
          <w:color w:val="000000" w:themeColor="text1"/>
        </w:rPr>
        <w:t xml:space="preserve"> preferred</w:t>
      </w:r>
      <w:r w:rsidRPr="000D3EDD">
        <w:rPr>
          <w:color w:val="000000" w:themeColor="text1"/>
        </w:rPr>
        <w:t xml:space="preserve"> ambition </w:t>
      </w:r>
      <w:r w:rsidR="003D0137" w:rsidRPr="000D3EDD">
        <w:rPr>
          <w:color w:val="000000" w:themeColor="text1"/>
        </w:rPr>
        <w:t>for</w:t>
      </w:r>
      <w:r w:rsidRPr="000D3EDD">
        <w:rPr>
          <w:color w:val="000000" w:themeColor="text1"/>
        </w:rPr>
        <w:t xml:space="preserve"> the majority of PhD students</w:t>
      </w:r>
      <w:r w:rsidR="00A63511" w:rsidRPr="000D3EDD">
        <w:rPr>
          <w:color w:val="000000" w:themeColor="text1"/>
        </w:rPr>
        <w:t xml:space="preserve"> –</w:t>
      </w:r>
      <w:r w:rsidRPr="000D3EDD">
        <w:rPr>
          <w:color w:val="000000" w:themeColor="text1"/>
        </w:rPr>
        <w:t xml:space="preserve"> and leaving researc</w:t>
      </w:r>
      <w:r w:rsidR="00A63511" w:rsidRPr="000D3EDD">
        <w:rPr>
          <w:color w:val="000000" w:themeColor="text1"/>
        </w:rPr>
        <w:t>h</w:t>
      </w:r>
      <w:r w:rsidRPr="000D3EDD">
        <w:rPr>
          <w:color w:val="000000" w:themeColor="text1"/>
        </w:rPr>
        <w:t xml:space="preserve"> is associated with lower career satisfaction</w:t>
      </w:r>
      <w:r w:rsidR="00A63511" w:rsidRPr="000D3EDD">
        <w:rPr>
          <w:color w:val="000000" w:themeColor="text1"/>
        </w:rPr>
        <w:t xml:space="preserve"> – these outcomes are important to note</w:t>
      </w:r>
      <w:r w:rsidRPr="000D3EDD">
        <w:rPr>
          <w:color w:val="000000" w:themeColor="text1"/>
        </w:rPr>
        <w:t xml:space="preserve">. </w:t>
      </w:r>
    </w:p>
    <w:p w14:paraId="368B7922" w14:textId="77777777" w:rsidR="00F7712A" w:rsidRPr="000D3EDD" w:rsidRDefault="00F7712A" w:rsidP="000D3EDD">
      <w:pPr>
        <w:spacing w:line="276" w:lineRule="auto"/>
        <w:rPr>
          <w:color w:val="000000" w:themeColor="text1"/>
        </w:rPr>
      </w:pPr>
    </w:p>
    <w:p w14:paraId="1FB2D343" w14:textId="4D176281" w:rsidR="00F7712A" w:rsidRPr="000D3EDD" w:rsidRDefault="00382208" w:rsidP="000D3EDD">
      <w:pPr>
        <w:spacing w:line="276" w:lineRule="auto"/>
        <w:textAlignment w:val="baseline"/>
      </w:pPr>
      <w:r w:rsidRPr="000D3EDD">
        <w:t>FIGURE 2</w:t>
      </w:r>
      <w:r w:rsidR="00F7712A" w:rsidRPr="000D3EDD">
        <w:t xml:space="preserve"> HERE</w:t>
      </w:r>
    </w:p>
    <w:p w14:paraId="2A5F76E0" w14:textId="77777777" w:rsidR="00F7712A" w:rsidRPr="000D3EDD" w:rsidRDefault="00F7712A" w:rsidP="000D3EDD">
      <w:pPr>
        <w:spacing w:line="276" w:lineRule="auto"/>
        <w:rPr>
          <w:color w:val="000000"/>
        </w:rPr>
      </w:pPr>
    </w:p>
    <w:p w14:paraId="721D5A86" w14:textId="3C78028E" w:rsidR="00557E54" w:rsidRPr="000D3EDD" w:rsidRDefault="00F7712A" w:rsidP="000D3EDD">
      <w:pPr>
        <w:spacing w:line="276" w:lineRule="auto"/>
        <w:rPr>
          <w:color w:val="000000" w:themeColor="text1"/>
        </w:rPr>
      </w:pPr>
      <w:r w:rsidRPr="000D3EDD">
        <w:rPr>
          <w:color w:val="000000" w:themeColor="text1"/>
        </w:rPr>
        <w:t>The classification of ‘research’ and ‘non-research’ roles applied here is compromised by the noted absence of an agreed definition of doctoral-level research work outside of academia. A variable for ‘research roles in non-academic occupations’ was created</w:t>
      </w:r>
      <w:r w:rsidR="00A63511" w:rsidRPr="000D3EDD">
        <w:rPr>
          <w:color w:val="000000" w:themeColor="text1"/>
        </w:rPr>
        <w:t xml:space="preserve"> by </w:t>
      </w:r>
      <w:r w:rsidRPr="000D3EDD">
        <w:rPr>
          <w:color w:val="000000" w:themeColor="text1"/>
        </w:rPr>
        <w:t xml:space="preserve">examining individual job titles and corroborating these </w:t>
      </w:r>
      <w:r w:rsidR="00A63511" w:rsidRPr="000D3EDD">
        <w:rPr>
          <w:color w:val="000000" w:themeColor="text1"/>
        </w:rPr>
        <w:t>with</w:t>
      </w:r>
      <w:r w:rsidRPr="000D3EDD">
        <w:rPr>
          <w:color w:val="000000" w:themeColor="text1"/>
        </w:rPr>
        <w:t xml:space="preserve"> questions on the use of doctoral-level knowledge and research skills in participants’ occupations. Stark disciplinary differences are again apparent. Although PhDs in natural and physical sciences leave academia at a higher rate than other subject areas</w:t>
      </w:r>
      <w:r w:rsidR="00014946" w:rsidRPr="000D3EDD">
        <w:rPr>
          <w:color w:val="000000" w:themeColor="text1"/>
        </w:rPr>
        <w:t>,</w:t>
      </w:r>
      <w:r w:rsidRPr="000D3EDD">
        <w:rPr>
          <w:color w:val="000000" w:themeColor="text1"/>
        </w:rPr>
        <w:t xml:space="preserve"> higher proportions of scientists are subsequently employed in research roles outside the academic system. This suggests clear demand for </w:t>
      </w:r>
      <w:r w:rsidR="00A63511" w:rsidRPr="000D3EDD">
        <w:rPr>
          <w:color w:val="000000" w:themeColor="text1"/>
        </w:rPr>
        <w:t>scientific</w:t>
      </w:r>
      <w:r w:rsidRPr="000D3EDD">
        <w:rPr>
          <w:color w:val="000000" w:themeColor="text1"/>
        </w:rPr>
        <w:t xml:space="preserve"> research skills in the wider economy</w:t>
      </w:r>
      <w:r w:rsidR="00A63511" w:rsidRPr="000D3EDD">
        <w:rPr>
          <w:color w:val="000000" w:themeColor="text1"/>
        </w:rPr>
        <w:t xml:space="preserve"> –</w:t>
      </w:r>
      <w:r w:rsidRPr="000D3EDD">
        <w:rPr>
          <w:color w:val="000000" w:themeColor="text1"/>
        </w:rPr>
        <w:t xml:space="preserve"> but</w:t>
      </w:r>
      <w:r w:rsidR="00A63511" w:rsidRPr="000D3EDD">
        <w:rPr>
          <w:color w:val="000000" w:themeColor="text1"/>
        </w:rPr>
        <w:t xml:space="preserve"> </w:t>
      </w:r>
      <w:r w:rsidR="00014946" w:rsidRPr="000D3EDD">
        <w:rPr>
          <w:color w:val="000000" w:themeColor="text1"/>
        </w:rPr>
        <w:t xml:space="preserve">that </w:t>
      </w:r>
      <w:r w:rsidRPr="000D3EDD">
        <w:rPr>
          <w:color w:val="000000" w:themeColor="text1"/>
        </w:rPr>
        <w:t>employer demand for the research skills of arts and humanities and social science graduates</w:t>
      </w:r>
      <w:r w:rsidR="00AA4F13" w:rsidRPr="000D3EDD">
        <w:rPr>
          <w:color w:val="000000" w:themeColor="text1"/>
        </w:rPr>
        <w:t xml:space="preserve"> in the UK</w:t>
      </w:r>
      <w:r w:rsidRPr="000D3EDD">
        <w:rPr>
          <w:color w:val="000000" w:themeColor="text1"/>
        </w:rPr>
        <w:t xml:space="preserve"> is less </w:t>
      </w:r>
      <w:r w:rsidR="00014946" w:rsidRPr="000D3EDD">
        <w:rPr>
          <w:color w:val="000000" w:themeColor="text1"/>
        </w:rPr>
        <w:t>certain</w:t>
      </w:r>
      <w:r w:rsidRPr="000D3EDD">
        <w:rPr>
          <w:color w:val="000000" w:themeColor="text1"/>
        </w:rPr>
        <w:t xml:space="preserve">. </w:t>
      </w:r>
    </w:p>
    <w:p w14:paraId="5311CFCC" w14:textId="77777777" w:rsidR="00255EE2" w:rsidRPr="000D3EDD" w:rsidRDefault="00255EE2" w:rsidP="000D3EDD">
      <w:pPr>
        <w:spacing w:before="100" w:beforeAutospacing="1" w:after="100" w:afterAutospacing="1" w:line="276" w:lineRule="auto"/>
        <w:rPr>
          <w:b/>
          <w:bCs/>
        </w:rPr>
      </w:pPr>
      <w:r w:rsidRPr="000D3EDD">
        <w:rPr>
          <w:b/>
          <w:bCs/>
        </w:rPr>
        <w:lastRenderedPageBreak/>
        <w:t>Discussion and conclusion</w:t>
      </w:r>
    </w:p>
    <w:p w14:paraId="4AFB3363" w14:textId="0788629D" w:rsidR="00AB6605" w:rsidRPr="000D3EDD" w:rsidRDefault="00AB6605" w:rsidP="000D3EDD">
      <w:pPr>
        <w:spacing w:line="276" w:lineRule="auto"/>
        <w:rPr>
          <w:i/>
          <w:iCs/>
          <w:color w:val="000000"/>
        </w:rPr>
      </w:pPr>
      <w:r w:rsidRPr="000D3EDD">
        <w:rPr>
          <w:i/>
          <w:iCs/>
          <w:color w:val="000000"/>
        </w:rPr>
        <w:t>Doctoral employment in the UK</w:t>
      </w:r>
      <w:r w:rsidR="00351933" w:rsidRPr="000D3EDD">
        <w:rPr>
          <w:i/>
          <w:iCs/>
          <w:color w:val="000000"/>
        </w:rPr>
        <w:t xml:space="preserve"> and beyond</w:t>
      </w:r>
    </w:p>
    <w:p w14:paraId="6D5D94AE" w14:textId="739CB78B" w:rsidR="00255EE2" w:rsidRPr="000D3EDD" w:rsidRDefault="00AB6605" w:rsidP="000D3EDD">
      <w:pPr>
        <w:spacing w:line="276" w:lineRule="auto"/>
        <w:rPr>
          <w:color w:val="000000"/>
        </w:rPr>
      </w:pPr>
      <w:r w:rsidRPr="000D3EDD">
        <w:rPr>
          <w:color w:val="000000"/>
        </w:rPr>
        <w:t xml:space="preserve">Much has been promised about the economic benefits of doctoral expansion, but existing international scholarship – and data available in the UK in particular – prevent clear judgement on the knowledge economy narrative at this moment in time. </w:t>
      </w:r>
      <w:r w:rsidRPr="000D3EDD">
        <w:rPr>
          <w:rFonts w:eastAsia="Gill Sans"/>
          <w:color w:val="000000" w:themeColor="text1"/>
        </w:rPr>
        <w:t>Analysis of the UK data show that while</w:t>
      </w:r>
      <w:r w:rsidRPr="000D3EDD">
        <w:rPr>
          <w:color w:val="000000"/>
        </w:rPr>
        <w:t xml:space="preserve"> the</w:t>
      </w:r>
      <w:r w:rsidR="00255EE2" w:rsidRPr="000D3EDD">
        <w:rPr>
          <w:color w:val="000000"/>
        </w:rPr>
        <w:t xml:space="preserve"> employment rate of PhD holders is high</w:t>
      </w:r>
      <w:r w:rsidRPr="000D3EDD">
        <w:rPr>
          <w:color w:val="000000"/>
        </w:rPr>
        <w:t xml:space="preserve">, there are considerable variations by subject area. As is the case for most nations with advanced research systems, </w:t>
      </w:r>
      <w:r w:rsidR="00255EE2" w:rsidRPr="000D3EDD">
        <w:rPr>
          <w:color w:val="000000" w:themeColor="text1"/>
        </w:rPr>
        <w:t xml:space="preserve">the vast majority of </w:t>
      </w:r>
      <w:r w:rsidRPr="000D3EDD">
        <w:rPr>
          <w:color w:val="000000" w:themeColor="text1"/>
        </w:rPr>
        <w:t xml:space="preserve">UK </w:t>
      </w:r>
      <w:r w:rsidR="00255EE2" w:rsidRPr="000D3EDD">
        <w:rPr>
          <w:color w:val="000000" w:themeColor="text1"/>
        </w:rPr>
        <w:t>PhD holders leave academia after obtaining their doctorate</w:t>
      </w:r>
      <w:r w:rsidRPr="000D3EDD">
        <w:rPr>
          <w:color w:val="000000" w:themeColor="text1"/>
        </w:rPr>
        <w:t xml:space="preserve"> – but, once more, large</w:t>
      </w:r>
      <w:r w:rsidRPr="000D3EDD">
        <w:rPr>
          <w:color w:val="000000"/>
        </w:rPr>
        <w:t xml:space="preserve"> </w:t>
      </w:r>
      <w:r w:rsidR="00255EE2" w:rsidRPr="000D3EDD">
        <w:rPr>
          <w:color w:val="000000" w:themeColor="text1"/>
        </w:rPr>
        <w:t>differences</w:t>
      </w:r>
      <w:r w:rsidRPr="000D3EDD">
        <w:rPr>
          <w:color w:val="000000" w:themeColor="text1"/>
        </w:rPr>
        <w:t xml:space="preserve"> are observed</w:t>
      </w:r>
      <w:r w:rsidR="00255EE2" w:rsidRPr="000D3EDD">
        <w:rPr>
          <w:color w:val="000000" w:themeColor="text1"/>
        </w:rPr>
        <w:t xml:space="preserve"> by subject area</w:t>
      </w:r>
      <w:r w:rsidRPr="000D3EDD">
        <w:rPr>
          <w:color w:val="000000" w:themeColor="text1"/>
        </w:rPr>
        <w:t xml:space="preserve">. </w:t>
      </w:r>
      <w:r w:rsidR="00255EE2" w:rsidRPr="000D3EDD">
        <w:rPr>
          <w:color w:val="000000" w:themeColor="text1"/>
        </w:rPr>
        <w:t xml:space="preserve">PhD holders in the </w:t>
      </w:r>
      <w:r w:rsidRPr="000D3EDD">
        <w:rPr>
          <w:color w:val="000000" w:themeColor="text1"/>
        </w:rPr>
        <w:t>scientific fields</w:t>
      </w:r>
      <w:r w:rsidR="00255EE2" w:rsidRPr="000D3EDD">
        <w:rPr>
          <w:color w:val="000000" w:themeColor="text1"/>
        </w:rPr>
        <w:t xml:space="preserve"> leav</w:t>
      </w:r>
      <w:r w:rsidRPr="000D3EDD">
        <w:rPr>
          <w:color w:val="000000" w:themeColor="text1"/>
        </w:rPr>
        <w:t>e</w:t>
      </w:r>
      <w:r w:rsidR="00255EE2" w:rsidRPr="000D3EDD">
        <w:rPr>
          <w:color w:val="000000" w:themeColor="text1"/>
        </w:rPr>
        <w:t xml:space="preserve"> academia at</w:t>
      </w:r>
      <w:r w:rsidRPr="000D3EDD">
        <w:rPr>
          <w:color w:val="000000" w:themeColor="text1"/>
        </w:rPr>
        <w:t xml:space="preserve"> a far</w:t>
      </w:r>
      <w:r w:rsidR="00255EE2" w:rsidRPr="000D3EDD">
        <w:rPr>
          <w:color w:val="000000" w:themeColor="text1"/>
        </w:rPr>
        <w:t xml:space="preserve"> higher rate than those in arts</w:t>
      </w:r>
      <w:r w:rsidR="00072A72" w:rsidRPr="000D3EDD">
        <w:rPr>
          <w:color w:val="000000" w:themeColor="text1"/>
        </w:rPr>
        <w:t xml:space="preserve">, </w:t>
      </w:r>
      <w:r w:rsidR="00255EE2" w:rsidRPr="000D3EDD">
        <w:rPr>
          <w:color w:val="000000" w:themeColor="text1"/>
        </w:rPr>
        <w:t xml:space="preserve">humanities and social science subjects. To an extent, these </w:t>
      </w:r>
      <w:r w:rsidRPr="000D3EDD">
        <w:rPr>
          <w:color w:val="000000" w:themeColor="text1"/>
        </w:rPr>
        <w:t>outcomes</w:t>
      </w:r>
      <w:r w:rsidR="00255EE2" w:rsidRPr="000D3EDD">
        <w:rPr>
          <w:color w:val="000000" w:themeColor="text1"/>
        </w:rPr>
        <w:t xml:space="preserve"> reflect differences in the number of PhDs awarded, since many more science PhDs are funded and conferred. Nevertheless, these data do not suggest that ‘too many’ science PhDs are </w:t>
      </w:r>
      <w:r w:rsidRPr="000D3EDD">
        <w:rPr>
          <w:color w:val="000000" w:themeColor="text1"/>
        </w:rPr>
        <w:t xml:space="preserve">being </w:t>
      </w:r>
      <w:r w:rsidR="00255EE2" w:rsidRPr="000D3EDD">
        <w:rPr>
          <w:color w:val="000000" w:themeColor="text1"/>
        </w:rPr>
        <w:t>awarded. Contrary to the pessimism of some, science PhD</w:t>
      </w:r>
      <w:r w:rsidRPr="000D3EDD">
        <w:rPr>
          <w:color w:val="000000" w:themeColor="text1"/>
        </w:rPr>
        <w:t xml:space="preserve"> holder</w:t>
      </w:r>
      <w:r w:rsidR="00255EE2" w:rsidRPr="000D3EDD">
        <w:rPr>
          <w:color w:val="000000" w:themeColor="text1"/>
        </w:rPr>
        <w:t xml:space="preserve">s leaving the academic system report a high entry into research employment across the private, public and third sectors. Conversely, if arts, humanities and social sciences PhD holders leave academia, their rates of securing research roles are comparatively low. Indeed, the majority of arts, humanities and social science </w:t>
      </w:r>
      <w:r w:rsidRPr="000D3EDD">
        <w:rPr>
          <w:color w:val="000000" w:themeColor="text1"/>
        </w:rPr>
        <w:t xml:space="preserve">doctoral </w:t>
      </w:r>
      <w:r w:rsidR="00255EE2" w:rsidRPr="000D3EDD">
        <w:rPr>
          <w:color w:val="000000" w:themeColor="text1"/>
        </w:rPr>
        <w:t xml:space="preserve">graduates working outside of academia undertake non-research jobs. </w:t>
      </w:r>
    </w:p>
    <w:p w14:paraId="3A1DD3AB" w14:textId="77777777" w:rsidR="00255EE2" w:rsidRPr="000D3EDD" w:rsidRDefault="00255EE2" w:rsidP="000D3EDD">
      <w:pPr>
        <w:spacing w:line="276" w:lineRule="auto"/>
        <w:rPr>
          <w:color w:val="000000" w:themeColor="text1"/>
        </w:rPr>
      </w:pPr>
    </w:p>
    <w:p w14:paraId="109018B0" w14:textId="2DCF2F65" w:rsidR="00AB6605" w:rsidRPr="000D3EDD" w:rsidRDefault="00255EE2" w:rsidP="000D3EDD">
      <w:pPr>
        <w:spacing w:line="276" w:lineRule="auto"/>
        <w:rPr>
          <w:color w:val="000000" w:themeColor="text1"/>
        </w:rPr>
      </w:pPr>
      <w:r w:rsidRPr="000D3EDD">
        <w:rPr>
          <w:color w:val="000000" w:themeColor="text1"/>
        </w:rPr>
        <w:t xml:space="preserve">The </w:t>
      </w:r>
      <w:r w:rsidR="00AB6605" w:rsidRPr="000D3EDD">
        <w:rPr>
          <w:color w:val="000000" w:themeColor="text1"/>
        </w:rPr>
        <w:t>available UK data</w:t>
      </w:r>
      <w:r w:rsidRPr="000D3EDD">
        <w:rPr>
          <w:color w:val="000000" w:themeColor="text1"/>
        </w:rPr>
        <w:t xml:space="preserve"> cannot tell us whether or not these observations should prompt concern. Employees with doctoral-level knowledge and skills may enhance the work of organisations that have no direct </w:t>
      </w:r>
      <w:r w:rsidR="00351933" w:rsidRPr="000D3EDD">
        <w:rPr>
          <w:color w:val="000000" w:themeColor="text1"/>
        </w:rPr>
        <w:t>role</w:t>
      </w:r>
      <w:r w:rsidRPr="000D3EDD">
        <w:rPr>
          <w:color w:val="000000" w:themeColor="text1"/>
        </w:rPr>
        <w:t xml:space="preserve"> in the creation or application of research</w:t>
      </w:r>
      <w:r w:rsidR="00AB6605" w:rsidRPr="000D3EDD">
        <w:rPr>
          <w:color w:val="000000" w:themeColor="text1"/>
        </w:rPr>
        <w:t>. There are, of course, plentiful non-monetary benefits to undertaking a doctorate –</w:t>
      </w:r>
      <w:r w:rsidR="00072A72" w:rsidRPr="000D3EDD">
        <w:rPr>
          <w:color w:val="000000" w:themeColor="text1"/>
        </w:rPr>
        <w:t xml:space="preserve"> and, for PhD holders, there are various domains of ‘doctoral value’ that extend beyond job title or salary (Bryan </w:t>
      </w:r>
      <w:r w:rsidR="00104277" w:rsidRPr="000D3EDD">
        <w:rPr>
          <w:color w:val="000000" w:themeColor="text1"/>
        </w:rPr>
        <w:t>&amp;</w:t>
      </w:r>
      <w:r w:rsidR="00072A72" w:rsidRPr="000D3EDD">
        <w:rPr>
          <w:color w:val="000000" w:themeColor="text1"/>
        </w:rPr>
        <w:t xml:space="preserve"> Guccione, 2018). </w:t>
      </w:r>
    </w:p>
    <w:p w14:paraId="0E942359" w14:textId="77777777" w:rsidR="00AB6605" w:rsidRPr="000D3EDD" w:rsidRDefault="00AB6605" w:rsidP="000D3EDD">
      <w:pPr>
        <w:spacing w:line="276" w:lineRule="auto"/>
        <w:rPr>
          <w:color w:val="000000" w:themeColor="text1"/>
        </w:rPr>
      </w:pPr>
    </w:p>
    <w:p w14:paraId="254E15B9" w14:textId="6C4B6E0D" w:rsidR="00255EE2" w:rsidRPr="000D3EDD" w:rsidRDefault="00255EE2" w:rsidP="000D3EDD">
      <w:pPr>
        <w:spacing w:line="276" w:lineRule="auto"/>
        <w:rPr>
          <w:color w:val="000000" w:themeColor="text1"/>
        </w:rPr>
      </w:pPr>
      <w:r w:rsidRPr="000D3EDD">
        <w:rPr>
          <w:color w:val="000000" w:themeColor="text1"/>
        </w:rPr>
        <w:t xml:space="preserve">Nevertheless, without further detail on the responsibilities of those occupying non-research roles, it is difficult to assess the value of doctoral training </w:t>
      </w:r>
      <w:r w:rsidR="00072A72" w:rsidRPr="000D3EDD">
        <w:rPr>
          <w:color w:val="000000" w:themeColor="text1"/>
        </w:rPr>
        <w:t>beyond the level of subjective</w:t>
      </w:r>
      <w:r w:rsidR="00351933" w:rsidRPr="000D3EDD">
        <w:rPr>
          <w:color w:val="000000" w:themeColor="text1"/>
        </w:rPr>
        <w:t xml:space="preserve">, individual </w:t>
      </w:r>
      <w:r w:rsidR="00072A72" w:rsidRPr="000D3EDD">
        <w:rPr>
          <w:color w:val="000000" w:themeColor="text1"/>
        </w:rPr>
        <w:t>assessment</w:t>
      </w:r>
      <w:r w:rsidRPr="000D3EDD">
        <w:rPr>
          <w:color w:val="000000" w:themeColor="text1"/>
        </w:rPr>
        <w:t xml:space="preserve">. </w:t>
      </w:r>
      <w:r w:rsidR="00072A72" w:rsidRPr="000D3EDD">
        <w:rPr>
          <w:color w:val="000000" w:themeColor="text1"/>
        </w:rPr>
        <w:t xml:space="preserve">It is also the case that the high proportion of arts, humanities and social science graduates leaving research altogether </w:t>
      </w:r>
      <w:r w:rsidR="00E879C7" w:rsidRPr="000D3EDD">
        <w:rPr>
          <w:color w:val="000000" w:themeColor="text1"/>
        </w:rPr>
        <w:t>is</w:t>
      </w:r>
      <w:r w:rsidR="00072A72" w:rsidRPr="000D3EDD">
        <w:rPr>
          <w:color w:val="000000" w:themeColor="text1"/>
        </w:rPr>
        <w:t xml:space="preserve"> at odds</w:t>
      </w:r>
      <w:r w:rsidRPr="000D3EDD">
        <w:rPr>
          <w:color w:val="000000" w:themeColor="text1"/>
        </w:rPr>
        <w:t xml:space="preserve"> with </w:t>
      </w:r>
      <w:r w:rsidR="00351933" w:rsidRPr="000D3EDD">
        <w:rPr>
          <w:color w:val="000000" w:themeColor="text1"/>
        </w:rPr>
        <w:t>numerous studies</w:t>
      </w:r>
      <w:r w:rsidR="00072A72" w:rsidRPr="000D3EDD">
        <w:rPr>
          <w:color w:val="000000" w:themeColor="text1"/>
        </w:rPr>
        <w:t xml:space="preserve"> which</w:t>
      </w:r>
      <w:r w:rsidRPr="000D3EDD">
        <w:rPr>
          <w:color w:val="000000" w:themeColor="text1"/>
        </w:rPr>
        <w:t xml:space="preserve"> </w:t>
      </w:r>
      <w:r w:rsidR="00351933" w:rsidRPr="000D3EDD">
        <w:rPr>
          <w:color w:val="000000" w:themeColor="text1"/>
        </w:rPr>
        <w:t>show that</w:t>
      </w:r>
      <w:r w:rsidRPr="000D3EDD">
        <w:rPr>
          <w:color w:val="000000" w:themeColor="text1"/>
        </w:rPr>
        <w:t xml:space="preserve"> research roles remain the</w:t>
      </w:r>
      <w:r w:rsidR="00351933" w:rsidRPr="000D3EDD">
        <w:rPr>
          <w:color w:val="000000" w:themeColor="text1"/>
        </w:rPr>
        <w:t xml:space="preserve"> professional</w:t>
      </w:r>
      <w:r w:rsidRPr="000D3EDD">
        <w:rPr>
          <w:color w:val="000000" w:themeColor="text1"/>
        </w:rPr>
        <w:t xml:space="preserve"> </w:t>
      </w:r>
      <w:r w:rsidR="00351933" w:rsidRPr="000D3EDD">
        <w:rPr>
          <w:color w:val="000000" w:themeColor="text1"/>
        </w:rPr>
        <w:t>objective</w:t>
      </w:r>
      <w:r w:rsidRPr="000D3EDD">
        <w:rPr>
          <w:color w:val="000000" w:themeColor="text1"/>
        </w:rPr>
        <w:t xml:space="preserve"> for</w:t>
      </w:r>
      <w:r w:rsidR="00351933" w:rsidRPr="000D3EDD">
        <w:rPr>
          <w:color w:val="000000" w:themeColor="text1"/>
        </w:rPr>
        <w:t xml:space="preserve"> the majority of</w:t>
      </w:r>
      <w:r w:rsidRPr="000D3EDD">
        <w:rPr>
          <w:color w:val="000000" w:themeColor="text1"/>
        </w:rPr>
        <w:t xml:space="preserve"> </w:t>
      </w:r>
      <w:r w:rsidR="00072A72" w:rsidRPr="000D3EDD">
        <w:rPr>
          <w:color w:val="000000" w:themeColor="text1"/>
        </w:rPr>
        <w:t>those embarking on a PhD</w:t>
      </w:r>
      <w:r w:rsidRPr="000D3EDD">
        <w:rPr>
          <w:color w:val="000000" w:themeColor="text1"/>
        </w:rPr>
        <w:t xml:space="preserve"> (</w:t>
      </w:r>
      <w:r w:rsidR="00E879C7" w:rsidRPr="000D3EDD">
        <w:rPr>
          <w:color w:val="000000" w:themeColor="text1"/>
        </w:rPr>
        <w:t xml:space="preserve">Åkerlind, 2005; Roach </w:t>
      </w:r>
      <w:r w:rsidR="00104277" w:rsidRPr="000D3EDD">
        <w:rPr>
          <w:color w:val="000000" w:themeColor="text1"/>
        </w:rPr>
        <w:t>&amp;</w:t>
      </w:r>
      <w:r w:rsidR="00E879C7" w:rsidRPr="000D3EDD">
        <w:rPr>
          <w:color w:val="000000" w:themeColor="text1"/>
        </w:rPr>
        <w:t xml:space="preserve"> Sauermann, 2010; Parada </w:t>
      </w:r>
      <w:r w:rsidR="00104277" w:rsidRPr="000D3EDD">
        <w:rPr>
          <w:color w:val="000000" w:themeColor="text1"/>
        </w:rPr>
        <w:t>&amp;</w:t>
      </w:r>
      <w:r w:rsidR="00E879C7" w:rsidRPr="000D3EDD">
        <w:rPr>
          <w:color w:val="000000" w:themeColor="text1"/>
        </w:rPr>
        <w:t xml:space="preserve"> Peacock, 2015). It is</w:t>
      </w:r>
      <w:r w:rsidRPr="000D3EDD">
        <w:rPr>
          <w:color w:val="000000" w:themeColor="text1"/>
        </w:rPr>
        <w:t xml:space="preserve"> also undermining of the policy discourse of the knowledge economy, which states explicitly that the research expertise and technical skills of all doctoral graduates are</w:t>
      </w:r>
      <w:r w:rsidR="00E879C7" w:rsidRPr="000D3EDD">
        <w:rPr>
          <w:color w:val="000000" w:themeColor="text1"/>
        </w:rPr>
        <w:t xml:space="preserve"> </w:t>
      </w:r>
      <w:r w:rsidRPr="000D3EDD">
        <w:rPr>
          <w:color w:val="000000" w:themeColor="text1"/>
        </w:rPr>
        <w:t>sought across all sectors</w:t>
      </w:r>
      <w:r w:rsidR="003A0408" w:rsidRPr="000D3EDD">
        <w:rPr>
          <w:color w:val="000000" w:themeColor="text1"/>
        </w:rPr>
        <w:t xml:space="preserve"> (Hayter </w:t>
      </w:r>
      <w:r w:rsidR="00104277" w:rsidRPr="000D3EDD">
        <w:rPr>
          <w:color w:val="000000" w:themeColor="text1"/>
        </w:rPr>
        <w:t>&amp;</w:t>
      </w:r>
      <w:r w:rsidR="003A0408" w:rsidRPr="000D3EDD">
        <w:rPr>
          <w:color w:val="000000" w:themeColor="text1"/>
        </w:rPr>
        <w:t xml:space="preserve"> Parker, 2019)</w:t>
      </w:r>
      <w:r w:rsidRPr="000D3EDD">
        <w:rPr>
          <w:color w:val="000000" w:themeColor="text1"/>
        </w:rPr>
        <w:t xml:space="preserve">. </w:t>
      </w:r>
    </w:p>
    <w:p w14:paraId="3FA42270" w14:textId="77777777" w:rsidR="00255EE2" w:rsidRPr="000D3EDD" w:rsidRDefault="00255EE2" w:rsidP="000D3EDD">
      <w:pPr>
        <w:spacing w:line="276" w:lineRule="auto"/>
        <w:rPr>
          <w:color w:val="000000" w:themeColor="text1"/>
        </w:rPr>
      </w:pPr>
    </w:p>
    <w:p w14:paraId="16CA006D" w14:textId="14CC1AE8" w:rsidR="00255EE2" w:rsidRPr="000D3EDD" w:rsidRDefault="00255EE2" w:rsidP="000D3EDD">
      <w:pPr>
        <w:spacing w:line="276" w:lineRule="auto"/>
        <w:rPr>
          <w:i/>
          <w:iCs/>
          <w:color w:val="000000"/>
        </w:rPr>
      </w:pPr>
      <w:r w:rsidRPr="000D3EDD">
        <w:rPr>
          <w:i/>
          <w:iCs/>
          <w:color w:val="000000"/>
        </w:rPr>
        <w:t xml:space="preserve">Limitations of </w:t>
      </w:r>
      <w:r w:rsidR="007E6F59" w:rsidRPr="000D3EDD">
        <w:rPr>
          <w:i/>
          <w:iCs/>
          <w:color w:val="000000"/>
        </w:rPr>
        <w:t>UK data on doctoral employment</w:t>
      </w:r>
    </w:p>
    <w:p w14:paraId="40BFAAAB" w14:textId="38FCDDFE" w:rsidR="007E6F59" w:rsidRPr="000D3EDD" w:rsidRDefault="007E6F59" w:rsidP="000D3EDD">
      <w:pPr>
        <w:spacing w:line="276" w:lineRule="auto"/>
        <w:rPr>
          <w:color w:val="000000"/>
        </w:rPr>
      </w:pPr>
      <w:r w:rsidRPr="000D3EDD">
        <w:rPr>
          <w:color w:val="000000"/>
        </w:rPr>
        <w:t xml:space="preserve">This study applied a secondary analysis of existing data to explore doctoral employment in the UK. Though the data analysed are the most comprehensive record of doctoral employment currently available, the insight they provide on PhD careers is significantly limited. The political and economic attention directed at PhD holders in recent decades has not been matched with an equivalent effort to improve data collection and evidence-based policy in this area. </w:t>
      </w:r>
    </w:p>
    <w:p w14:paraId="5B53DBB6" w14:textId="77777777" w:rsidR="007E6F59" w:rsidRPr="000D3EDD" w:rsidRDefault="007E6F59" w:rsidP="000D3EDD">
      <w:pPr>
        <w:spacing w:line="276" w:lineRule="auto"/>
        <w:rPr>
          <w:color w:val="000000"/>
        </w:rPr>
      </w:pPr>
    </w:p>
    <w:p w14:paraId="382DECC8" w14:textId="2C7AF5CF" w:rsidR="00255EE2" w:rsidRPr="000D3EDD" w:rsidRDefault="007E6F59" w:rsidP="000D3EDD">
      <w:pPr>
        <w:spacing w:line="276" w:lineRule="auto"/>
        <w:rPr>
          <w:color w:val="000000"/>
        </w:rPr>
      </w:pPr>
      <w:r w:rsidRPr="000D3EDD">
        <w:rPr>
          <w:color w:val="000000"/>
        </w:rPr>
        <w:t xml:space="preserve">A number of limitations of the Long DLHE dataset are worthy of </w:t>
      </w:r>
      <w:r w:rsidR="0007145F" w:rsidRPr="000D3EDD">
        <w:rPr>
          <w:color w:val="000000"/>
        </w:rPr>
        <w:t>discussion</w:t>
      </w:r>
      <w:r w:rsidRPr="000D3EDD">
        <w:rPr>
          <w:color w:val="000000"/>
        </w:rPr>
        <w:t xml:space="preserve">, </w:t>
      </w:r>
      <w:r w:rsidR="0007145F" w:rsidRPr="000D3EDD">
        <w:rPr>
          <w:color w:val="000000"/>
        </w:rPr>
        <w:t xml:space="preserve">so that the </w:t>
      </w:r>
      <w:r w:rsidR="00BE49E1" w:rsidRPr="000D3EDD">
        <w:rPr>
          <w:color w:val="000000"/>
        </w:rPr>
        <w:t>methods</w:t>
      </w:r>
      <w:r w:rsidR="0007145F" w:rsidRPr="000D3EDD">
        <w:rPr>
          <w:color w:val="000000"/>
        </w:rPr>
        <w:t xml:space="preserve"> of researchers in the UK and elsewhere might avoid these in the future. </w:t>
      </w:r>
      <w:r w:rsidR="00255EE2" w:rsidRPr="000D3EDD">
        <w:rPr>
          <w:color w:val="000000"/>
        </w:rPr>
        <w:t xml:space="preserve">To begin, </w:t>
      </w:r>
      <w:r w:rsidR="00BE49E1" w:rsidRPr="000D3EDD">
        <w:rPr>
          <w:color w:val="000000"/>
        </w:rPr>
        <w:t>it is clearly reductive to conceive of</w:t>
      </w:r>
      <w:r w:rsidR="00255EE2" w:rsidRPr="000D3EDD">
        <w:rPr>
          <w:color w:val="000000"/>
        </w:rPr>
        <w:t xml:space="preserve"> employment </w:t>
      </w:r>
      <w:r w:rsidR="00BE49E1" w:rsidRPr="000D3EDD">
        <w:rPr>
          <w:color w:val="000000"/>
        </w:rPr>
        <w:t xml:space="preserve">as a </w:t>
      </w:r>
      <w:r w:rsidR="00255EE2" w:rsidRPr="000D3EDD">
        <w:rPr>
          <w:color w:val="000000"/>
        </w:rPr>
        <w:t xml:space="preserve">‘destination’ only. Implicit in this </w:t>
      </w:r>
      <w:r w:rsidR="00BE49E1" w:rsidRPr="000D3EDD">
        <w:rPr>
          <w:color w:val="000000"/>
        </w:rPr>
        <w:t xml:space="preserve">approach </w:t>
      </w:r>
      <w:r w:rsidR="00255EE2" w:rsidRPr="000D3EDD">
        <w:rPr>
          <w:color w:val="000000"/>
        </w:rPr>
        <w:t>is a neglect of career as trajectory: an ongoing negotiation of decisions, con</w:t>
      </w:r>
      <w:r w:rsidR="00255EE2" w:rsidRPr="000D3EDD">
        <w:rPr>
          <w:color w:val="000000" w:themeColor="text1"/>
        </w:rPr>
        <w:t>texts, opportunities and barriers (</w:t>
      </w:r>
      <w:r w:rsidR="00BE49E1" w:rsidRPr="000D3EDD">
        <w:rPr>
          <w:rFonts w:eastAsia="Arial"/>
          <w:color w:val="000000" w:themeColor="text1"/>
        </w:rPr>
        <w:t xml:space="preserve">McAlpine </w:t>
      </w:r>
      <w:r w:rsidR="00104277" w:rsidRPr="000D3EDD">
        <w:rPr>
          <w:rFonts w:eastAsia="Arial"/>
          <w:color w:val="000000" w:themeColor="text1"/>
        </w:rPr>
        <w:t>&amp;</w:t>
      </w:r>
      <w:r w:rsidR="00BE49E1" w:rsidRPr="000D3EDD">
        <w:rPr>
          <w:rFonts w:eastAsia="Arial"/>
          <w:color w:val="000000" w:themeColor="text1"/>
        </w:rPr>
        <w:t xml:space="preserve"> Amundsen, 2018</w:t>
      </w:r>
      <w:r w:rsidR="00255EE2" w:rsidRPr="000D3EDD">
        <w:rPr>
          <w:color w:val="000000" w:themeColor="text1"/>
        </w:rPr>
        <w:t>). The dearth of contextual and subjective information mean</w:t>
      </w:r>
      <w:r w:rsidR="00BE49E1" w:rsidRPr="000D3EDD">
        <w:rPr>
          <w:color w:val="000000" w:themeColor="text1"/>
        </w:rPr>
        <w:t>t</w:t>
      </w:r>
      <w:r w:rsidR="00255EE2" w:rsidRPr="000D3EDD">
        <w:rPr>
          <w:color w:val="000000" w:themeColor="text1"/>
        </w:rPr>
        <w:t xml:space="preserve"> that the UK data impart little of the nuances of perception, decision-making and capital </w:t>
      </w:r>
      <w:r w:rsidR="00BE49E1" w:rsidRPr="000D3EDD">
        <w:rPr>
          <w:color w:val="000000" w:themeColor="text1"/>
        </w:rPr>
        <w:t>known to</w:t>
      </w:r>
      <w:r w:rsidR="00255EE2" w:rsidRPr="000D3EDD">
        <w:rPr>
          <w:color w:val="000000" w:themeColor="text1"/>
        </w:rPr>
        <w:t xml:space="preserve"> shape pathways in and out of the doctorate (</w:t>
      </w:r>
      <w:proofErr w:type="spellStart"/>
      <w:r w:rsidR="00BE49E1" w:rsidRPr="000D3EDD">
        <w:t>Gopaul</w:t>
      </w:r>
      <w:proofErr w:type="spellEnd"/>
      <w:r w:rsidR="00BE49E1" w:rsidRPr="000D3EDD">
        <w:t xml:space="preserve">, 2015; Pásztor </w:t>
      </w:r>
      <w:r w:rsidR="00104277" w:rsidRPr="000D3EDD">
        <w:t>&amp;</w:t>
      </w:r>
      <w:r w:rsidR="00BE49E1" w:rsidRPr="000D3EDD">
        <w:t xml:space="preserve"> Wakeling, 2018</w:t>
      </w:r>
      <w:r w:rsidR="00255EE2" w:rsidRPr="000D3EDD">
        <w:rPr>
          <w:color w:val="000000" w:themeColor="text1"/>
        </w:rPr>
        <w:t xml:space="preserve">). </w:t>
      </w:r>
      <w:r w:rsidR="00255EE2" w:rsidRPr="000D3EDD">
        <w:rPr>
          <w:rFonts w:eastAsia="Arial"/>
          <w:color w:val="000000" w:themeColor="text1"/>
        </w:rPr>
        <w:t xml:space="preserve">Further problematic is the timing at which ‘destination’ is recorded. It is increasingly the case that </w:t>
      </w:r>
      <w:r w:rsidR="00255EE2" w:rsidRPr="000D3EDD">
        <w:t>early employment data are an inadequate measure of longer-term career development. This is particularly true in academia, where ‘early career’ is varyingly defined as between four to ten years post-PhD. B</w:t>
      </w:r>
      <w:r w:rsidR="00255EE2" w:rsidRPr="000D3EDD">
        <w:rPr>
          <w:color w:val="000000" w:themeColor="text1"/>
        </w:rPr>
        <w:t xml:space="preserve">eyond academia, </w:t>
      </w:r>
      <w:r w:rsidR="00B50B7B" w:rsidRPr="000D3EDD">
        <w:rPr>
          <w:color w:val="000000" w:themeColor="text1"/>
        </w:rPr>
        <w:t>s</w:t>
      </w:r>
      <w:r w:rsidR="00BE49E1" w:rsidRPr="000D3EDD">
        <w:rPr>
          <w:color w:val="000000" w:themeColor="text1"/>
        </w:rPr>
        <w:t>uch short-termism</w:t>
      </w:r>
      <w:r w:rsidR="00255EE2" w:rsidRPr="000D3EDD">
        <w:rPr>
          <w:color w:val="000000" w:themeColor="text1"/>
        </w:rPr>
        <w:t xml:space="preserve"> </w:t>
      </w:r>
      <w:r w:rsidR="00BE49E1" w:rsidRPr="000D3EDD">
        <w:rPr>
          <w:color w:val="000000" w:themeColor="text1"/>
        </w:rPr>
        <w:t>thwarts</w:t>
      </w:r>
      <w:r w:rsidR="00255EE2" w:rsidRPr="000D3EDD">
        <w:rPr>
          <w:color w:val="000000" w:themeColor="text1"/>
        </w:rPr>
        <w:t xml:space="preserve"> </w:t>
      </w:r>
      <w:r w:rsidR="00BE49E1" w:rsidRPr="000D3EDD">
        <w:rPr>
          <w:color w:val="000000" w:themeColor="text1"/>
        </w:rPr>
        <w:t>understanding</w:t>
      </w:r>
      <w:r w:rsidR="00255EE2" w:rsidRPr="000D3EDD">
        <w:rPr>
          <w:color w:val="000000" w:themeColor="text1"/>
        </w:rPr>
        <w:t xml:space="preserve"> </w:t>
      </w:r>
      <w:r w:rsidR="00BE49E1" w:rsidRPr="000D3EDD">
        <w:rPr>
          <w:color w:val="000000" w:themeColor="text1"/>
        </w:rPr>
        <w:t>of</w:t>
      </w:r>
      <w:r w:rsidR="00255EE2" w:rsidRPr="000D3EDD">
        <w:rPr>
          <w:color w:val="000000" w:themeColor="text1"/>
        </w:rPr>
        <w:t xml:space="preserve"> PhD holders engaged in </w:t>
      </w:r>
      <w:r w:rsidR="00255EE2" w:rsidRPr="000D3EDD">
        <w:rPr>
          <w:rFonts w:eastAsia="Arial"/>
          <w:color w:val="000000" w:themeColor="text1"/>
        </w:rPr>
        <w:t xml:space="preserve">entrepreneurial activities, which typically have an even lengthier fruition time.  </w:t>
      </w:r>
    </w:p>
    <w:p w14:paraId="54E18919" w14:textId="77777777" w:rsidR="00255EE2" w:rsidRPr="000D3EDD" w:rsidRDefault="00255EE2" w:rsidP="000D3EDD">
      <w:pPr>
        <w:spacing w:line="276" w:lineRule="auto"/>
        <w:rPr>
          <w:color w:val="000000"/>
        </w:rPr>
      </w:pPr>
    </w:p>
    <w:p w14:paraId="6B55791E" w14:textId="38E168CA" w:rsidR="00255EE2" w:rsidRPr="000D3EDD" w:rsidRDefault="00255EE2" w:rsidP="000D3EDD">
      <w:pPr>
        <w:spacing w:line="276" w:lineRule="auto"/>
        <w:rPr>
          <w:color w:val="000000" w:themeColor="text1"/>
        </w:rPr>
      </w:pPr>
      <w:r w:rsidRPr="000D3EDD">
        <w:rPr>
          <w:color w:val="000000"/>
        </w:rPr>
        <w:t>The l</w:t>
      </w:r>
      <w:r w:rsidR="00BE49E1" w:rsidRPr="000D3EDD">
        <w:rPr>
          <w:color w:val="000000"/>
        </w:rPr>
        <w:t>ack of</w:t>
      </w:r>
      <w:r w:rsidRPr="000D3EDD">
        <w:rPr>
          <w:color w:val="000000"/>
        </w:rPr>
        <w:t xml:space="preserve"> insight afforded on the precise circumstances of employment have already been noted. For employees in the academic sector, the specific responsibilities of the post-holder – including time allocated for research, teaching or administrative duties – are not recorded</w:t>
      </w:r>
      <w:r w:rsidR="00BE49E1" w:rsidRPr="000D3EDD">
        <w:rPr>
          <w:color w:val="000000"/>
        </w:rPr>
        <w:t xml:space="preserve"> in the Long DLHE</w:t>
      </w:r>
      <w:r w:rsidRPr="000D3EDD">
        <w:rPr>
          <w:color w:val="000000"/>
        </w:rPr>
        <w:t xml:space="preserve">.  Given the growing heterogeneity of the academic workforce, and the rise of precarious employment, </w:t>
      </w:r>
      <w:r w:rsidR="00BE49E1" w:rsidRPr="000D3EDD">
        <w:rPr>
          <w:color w:val="000000"/>
        </w:rPr>
        <w:t>the absence</w:t>
      </w:r>
      <w:r w:rsidRPr="000D3EDD">
        <w:rPr>
          <w:color w:val="000000"/>
        </w:rPr>
        <w:t xml:space="preserve"> </w:t>
      </w:r>
      <w:r w:rsidR="00BE49E1" w:rsidRPr="000D3EDD">
        <w:rPr>
          <w:color w:val="000000"/>
        </w:rPr>
        <w:t xml:space="preserve">of such detail is </w:t>
      </w:r>
      <w:r w:rsidRPr="000D3EDD">
        <w:rPr>
          <w:color w:val="000000"/>
        </w:rPr>
        <w:t xml:space="preserve">significant </w:t>
      </w:r>
      <w:r w:rsidRPr="000D3EDD">
        <w:rPr>
          <w:color w:val="000000" w:themeColor="text1"/>
        </w:rPr>
        <w:t>(Marini</w:t>
      </w:r>
      <w:r w:rsidR="00104277" w:rsidRPr="000D3EDD">
        <w:rPr>
          <w:color w:val="000000" w:themeColor="text1"/>
        </w:rPr>
        <w:t>, Locke, &amp; Whitchurch</w:t>
      </w:r>
      <w:r w:rsidRPr="000D3EDD">
        <w:rPr>
          <w:color w:val="000000" w:themeColor="text1"/>
        </w:rPr>
        <w:t xml:space="preserve">, 2019). The </w:t>
      </w:r>
      <w:r w:rsidRPr="000D3EDD">
        <w:rPr>
          <w:color w:val="000000"/>
        </w:rPr>
        <w:t>challenges of identifying doctoral-level research roles outside of academia are even greater. While it is possible from job title and self-report data to approximate whether PhD holder</w:t>
      </w:r>
      <w:r w:rsidR="00BE49E1" w:rsidRPr="000D3EDD">
        <w:rPr>
          <w:color w:val="000000"/>
        </w:rPr>
        <w:t>s</w:t>
      </w:r>
      <w:r w:rsidRPr="000D3EDD">
        <w:rPr>
          <w:color w:val="000000"/>
        </w:rPr>
        <w:t xml:space="preserve"> continue to engage in research, there is little of the necessary detail – of research funding, collaborations, outputs and impact – to develop a robust ontology of doctoral level research work outside of academia. </w:t>
      </w:r>
      <w:r w:rsidRPr="000D3EDD">
        <w:rPr>
          <w:color w:val="000000" w:themeColor="text1"/>
        </w:rPr>
        <w:t>These shortcomings prohibit understanding of how doctoral graduates contribute to the creation, application and dissemination of knowledge across all sectors of the economy; and</w:t>
      </w:r>
      <w:r w:rsidR="00BE49E1" w:rsidRPr="000D3EDD">
        <w:rPr>
          <w:color w:val="000000" w:themeColor="text1"/>
        </w:rPr>
        <w:t xml:space="preserve">, </w:t>
      </w:r>
      <w:r w:rsidRPr="000D3EDD">
        <w:rPr>
          <w:color w:val="000000" w:themeColor="text1"/>
        </w:rPr>
        <w:t>therefore</w:t>
      </w:r>
      <w:r w:rsidR="00BE49E1" w:rsidRPr="000D3EDD">
        <w:rPr>
          <w:color w:val="000000" w:themeColor="text1"/>
        </w:rPr>
        <w:t xml:space="preserve">, </w:t>
      </w:r>
      <w:r w:rsidRPr="000D3EDD">
        <w:rPr>
          <w:color w:val="000000" w:themeColor="text1"/>
        </w:rPr>
        <w:t xml:space="preserve">render the </w:t>
      </w:r>
      <w:r w:rsidR="00BE49E1" w:rsidRPr="000D3EDD">
        <w:rPr>
          <w:color w:val="000000" w:themeColor="text1"/>
        </w:rPr>
        <w:t>UK</w:t>
      </w:r>
      <w:r w:rsidRPr="000D3EDD">
        <w:rPr>
          <w:color w:val="000000" w:themeColor="text1"/>
        </w:rPr>
        <w:t xml:space="preserve"> data powerless as a tool to assess policy-makers’ claims about PhD holders and the knowledge economy.</w:t>
      </w:r>
    </w:p>
    <w:p w14:paraId="49146976" w14:textId="77777777" w:rsidR="00255EE2" w:rsidRPr="000D3EDD" w:rsidRDefault="00255EE2" w:rsidP="000D3EDD">
      <w:pPr>
        <w:spacing w:line="276" w:lineRule="auto"/>
        <w:rPr>
          <w:color w:val="000000" w:themeColor="text1"/>
        </w:rPr>
      </w:pPr>
    </w:p>
    <w:p w14:paraId="2F1EAD8F" w14:textId="3B380B82" w:rsidR="00255EE2" w:rsidRPr="000D3EDD" w:rsidRDefault="00255EE2" w:rsidP="000D3EDD">
      <w:pPr>
        <w:spacing w:line="276" w:lineRule="auto"/>
        <w:textAlignment w:val="baseline"/>
        <w:rPr>
          <w:rFonts w:eastAsia="Arial"/>
          <w:color w:val="000000" w:themeColor="text1"/>
        </w:rPr>
      </w:pPr>
      <w:r w:rsidRPr="000D3EDD">
        <w:t xml:space="preserve">Finally, </w:t>
      </w:r>
      <w:r w:rsidR="00BE49E1" w:rsidRPr="000D3EDD">
        <w:t xml:space="preserve">the method of data </w:t>
      </w:r>
      <w:r w:rsidRPr="000D3EDD">
        <w:rPr>
          <w:rFonts w:eastAsia="Arial"/>
          <w:color w:val="000000" w:themeColor="text1"/>
        </w:rPr>
        <w:t>link</w:t>
      </w:r>
      <w:r w:rsidR="00BE49E1" w:rsidRPr="000D3EDD">
        <w:rPr>
          <w:rFonts w:eastAsia="Arial"/>
          <w:color w:val="000000" w:themeColor="text1"/>
        </w:rPr>
        <w:t xml:space="preserve">age employed in the UK study </w:t>
      </w:r>
      <w:r w:rsidRPr="000D3EDD">
        <w:rPr>
          <w:rFonts w:eastAsia="Arial"/>
          <w:color w:val="000000" w:themeColor="text1"/>
        </w:rPr>
        <w:t xml:space="preserve">was </w:t>
      </w:r>
      <w:r w:rsidR="00BE49E1" w:rsidRPr="000D3EDD">
        <w:rPr>
          <w:rFonts w:eastAsia="Arial"/>
          <w:color w:val="000000" w:themeColor="text1"/>
        </w:rPr>
        <w:t xml:space="preserve">only </w:t>
      </w:r>
      <w:r w:rsidRPr="000D3EDD">
        <w:rPr>
          <w:rFonts w:eastAsia="Arial"/>
          <w:color w:val="000000" w:themeColor="text1"/>
        </w:rPr>
        <w:t xml:space="preserve">a modest success. </w:t>
      </w:r>
      <w:r w:rsidR="00BE49E1" w:rsidRPr="000D3EDD">
        <w:rPr>
          <w:rFonts w:eastAsia="Arial"/>
          <w:color w:val="000000" w:themeColor="text1"/>
        </w:rPr>
        <w:t>As is shown in table 4, i</w:t>
      </w:r>
      <w:r w:rsidRPr="000D3EDD">
        <w:rPr>
          <w:rFonts w:eastAsia="Arial"/>
          <w:color w:val="000000" w:themeColor="text1"/>
        </w:rPr>
        <w:t xml:space="preserve">mportant variables were absent, abridged or suffered a high rate of missingness. </w:t>
      </w:r>
    </w:p>
    <w:p w14:paraId="46F50AAF" w14:textId="77777777" w:rsidR="00255EE2" w:rsidRPr="000D3EDD" w:rsidRDefault="00255EE2" w:rsidP="000D3EDD">
      <w:pPr>
        <w:spacing w:line="276" w:lineRule="auto"/>
        <w:textAlignment w:val="baseline"/>
        <w:rPr>
          <w:rFonts w:eastAsia="Arial"/>
          <w:color w:val="000000" w:themeColor="text1"/>
        </w:rPr>
      </w:pPr>
    </w:p>
    <w:p w14:paraId="41A7BD35" w14:textId="77777777" w:rsidR="00255EE2" w:rsidRPr="000D3EDD" w:rsidRDefault="00255EE2" w:rsidP="000D3EDD">
      <w:pPr>
        <w:spacing w:line="276" w:lineRule="auto"/>
        <w:textAlignment w:val="baseline"/>
      </w:pPr>
      <w:r w:rsidRPr="000D3EDD">
        <w:t>TABLE 4 HERE</w:t>
      </w:r>
      <w:r w:rsidRPr="000D3EDD">
        <w:rPr>
          <w:color w:val="000000" w:themeColor="text1"/>
        </w:rPr>
        <w:t xml:space="preserve"> </w:t>
      </w:r>
    </w:p>
    <w:p w14:paraId="5B1267BA" w14:textId="77777777" w:rsidR="00255EE2" w:rsidRPr="000D3EDD" w:rsidRDefault="00255EE2" w:rsidP="000D3EDD">
      <w:pPr>
        <w:spacing w:line="276" w:lineRule="auto"/>
        <w:textAlignment w:val="baseline"/>
        <w:rPr>
          <w:rFonts w:eastAsia="Arial"/>
          <w:color w:val="000000"/>
        </w:rPr>
      </w:pPr>
    </w:p>
    <w:p w14:paraId="6C2243BA" w14:textId="010878DE" w:rsidR="00255EE2" w:rsidRDefault="00BE49E1" w:rsidP="000D3EDD">
      <w:pPr>
        <w:spacing w:line="276" w:lineRule="auto"/>
        <w:textAlignment w:val="baseline"/>
        <w:rPr>
          <w:rFonts w:eastAsia="Arial"/>
          <w:color w:val="000000"/>
        </w:rPr>
      </w:pPr>
      <w:r w:rsidRPr="000D3EDD">
        <w:rPr>
          <w:rFonts w:eastAsia="Arial"/>
          <w:color w:val="000000"/>
        </w:rPr>
        <w:t xml:space="preserve">The analysis of employment data without </w:t>
      </w:r>
      <w:r w:rsidR="0099291C" w:rsidRPr="000D3EDD">
        <w:rPr>
          <w:rFonts w:eastAsia="Arial"/>
          <w:color w:val="000000"/>
        </w:rPr>
        <w:t xml:space="preserve">accurate and detailed information on individuals’ academic and demographic background characteristics means that outcomes cannot be interpreted in relation to economic and social justice. Again, this limits the power of the dataset to scrutinise and inform policy. </w:t>
      </w:r>
      <w:r w:rsidR="00255EE2" w:rsidRPr="000D3EDD">
        <w:rPr>
          <w:rFonts w:eastAsia="Arial"/>
          <w:color w:val="000000"/>
        </w:rPr>
        <w:t xml:space="preserve">A number of </w:t>
      </w:r>
      <w:r w:rsidRPr="000D3EDD">
        <w:rPr>
          <w:rFonts w:eastAsia="Arial"/>
          <w:color w:val="000000"/>
        </w:rPr>
        <w:t>characteristics</w:t>
      </w:r>
      <w:r w:rsidR="00255EE2" w:rsidRPr="000D3EDD">
        <w:rPr>
          <w:rFonts w:eastAsia="Arial"/>
          <w:color w:val="000000"/>
        </w:rPr>
        <w:t xml:space="preserve"> known to be associated with the employment outcomes of first-degree graduates, such as degree classification or first-degree institution</w:t>
      </w:r>
      <w:r w:rsidR="0099291C" w:rsidRPr="000D3EDD">
        <w:rPr>
          <w:rFonts w:eastAsia="Arial"/>
          <w:color w:val="000000"/>
        </w:rPr>
        <w:t>, were</w:t>
      </w:r>
      <w:r w:rsidR="00255EE2" w:rsidRPr="000D3EDD">
        <w:rPr>
          <w:rFonts w:eastAsia="Arial"/>
          <w:color w:val="000000"/>
        </w:rPr>
        <w:t xml:space="preserve"> not available</w:t>
      </w:r>
      <w:r w:rsidR="0099291C" w:rsidRPr="000D3EDD">
        <w:rPr>
          <w:rFonts w:eastAsia="Arial"/>
          <w:color w:val="000000"/>
        </w:rPr>
        <w:t xml:space="preserve"> for UK PhD holders</w:t>
      </w:r>
      <w:r w:rsidR="00255EE2" w:rsidRPr="000D3EDD">
        <w:rPr>
          <w:rFonts w:eastAsia="Arial"/>
          <w:color w:val="000000"/>
        </w:rPr>
        <w:t xml:space="preserve">. Doctoral institution was provided only by university mission group: a considerable shortcoming when research culture and performance varies as much within the research-intensive Russell Group as it does </w:t>
      </w:r>
      <w:r w:rsidR="00255EE2" w:rsidRPr="000D3EDD">
        <w:rPr>
          <w:rFonts w:eastAsia="Arial"/>
          <w:color w:val="000000"/>
        </w:rPr>
        <w:lastRenderedPageBreak/>
        <w:t xml:space="preserve">beyond it (Boliver, 2015). Variables pertaining to socio-economic background, namely parental occupation and type of school attended, suffered a particularly high rate of data missingness. The case of socio-economic background is especially pertinent in the UK, as it is associated with short and long-term employment outcomes across all educational groups. </w:t>
      </w:r>
    </w:p>
    <w:p w14:paraId="3D117DC4" w14:textId="6312ACFB" w:rsidR="00154461" w:rsidRDefault="00154461" w:rsidP="000D3EDD">
      <w:pPr>
        <w:spacing w:line="276" w:lineRule="auto"/>
        <w:textAlignment w:val="baseline"/>
        <w:rPr>
          <w:rFonts w:eastAsia="Arial"/>
          <w:color w:val="000000"/>
        </w:rPr>
      </w:pPr>
    </w:p>
    <w:p w14:paraId="5E830A40" w14:textId="0EA555F3" w:rsidR="00154461" w:rsidRPr="00B8695C" w:rsidRDefault="00154461" w:rsidP="000D3EDD">
      <w:pPr>
        <w:spacing w:line="276" w:lineRule="auto"/>
        <w:textAlignment w:val="baseline"/>
      </w:pPr>
      <w:r>
        <w:t>As noted, t</w:t>
      </w:r>
      <w:r w:rsidRPr="000D3EDD">
        <w:t xml:space="preserve">he </w:t>
      </w:r>
      <w:r>
        <w:t xml:space="preserve">DLHE has </w:t>
      </w:r>
      <w:r w:rsidR="00A64FDE">
        <w:t>since been</w:t>
      </w:r>
      <w:r>
        <w:t xml:space="preserve"> replaced by the </w:t>
      </w:r>
      <w:r w:rsidRPr="000D3EDD">
        <w:t>Graduate Outcomes survey</w:t>
      </w:r>
      <w:r w:rsidR="00A64FDE">
        <w:t xml:space="preserve">, from which the first set of data have recently been released </w:t>
      </w:r>
      <w:r w:rsidRPr="000D3EDD">
        <w:rPr>
          <w:color w:val="000000" w:themeColor="text1"/>
          <w:shd w:val="clear" w:color="auto" w:fill="FFFFFF"/>
        </w:rPr>
        <w:t>(HESA, 20</w:t>
      </w:r>
      <w:r>
        <w:rPr>
          <w:color w:val="000000" w:themeColor="text1"/>
          <w:shd w:val="clear" w:color="auto" w:fill="FFFFFF"/>
        </w:rPr>
        <w:t>20</w:t>
      </w:r>
      <w:r w:rsidR="00295E4F">
        <w:rPr>
          <w:color w:val="000000" w:themeColor="text1"/>
          <w:shd w:val="clear" w:color="auto" w:fill="FFFFFF"/>
        </w:rPr>
        <w:t>b</w:t>
      </w:r>
      <w:r w:rsidRPr="000D3EDD">
        <w:rPr>
          <w:color w:val="000000" w:themeColor="text1"/>
          <w:shd w:val="clear" w:color="auto" w:fill="FFFFFF"/>
        </w:rPr>
        <w:t xml:space="preserve">). </w:t>
      </w:r>
      <w:r w:rsidR="00A64FDE">
        <w:rPr>
          <w:color w:val="000000" w:themeColor="text1"/>
          <w:shd w:val="clear" w:color="auto" w:fill="FFFFFF"/>
        </w:rPr>
        <w:t xml:space="preserve">Graduates are now surveyed only once; at fifteen months following their </w:t>
      </w:r>
      <w:r w:rsidR="00B93944">
        <w:rPr>
          <w:color w:val="000000" w:themeColor="text1"/>
          <w:shd w:val="clear" w:color="auto" w:fill="FFFFFF"/>
        </w:rPr>
        <w:t>degree</w:t>
      </w:r>
      <w:r w:rsidR="00A64FDE">
        <w:rPr>
          <w:color w:val="000000" w:themeColor="text1"/>
          <w:shd w:val="clear" w:color="auto" w:fill="FFFFFF"/>
        </w:rPr>
        <w:t>. Th</w:t>
      </w:r>
      <w:r w:rsidR="00F40AFB">
        <w:rPr>
          <w:color w:val="000000" w:themeColor="text1"/>
          <w:shd w:val="clear" w:color="auto" w:fill="FFFFFF"/>
        </w:rPr>
        <w:t xml:space="preserve">is new </w:t>
      </w:r>
      <w:r w:rsidR="00A64FDE">
        <w:rPr>
          <w:color w:val="000000" w:themeColor="text1"/>
          <w:shd w:val="clear" w:color="auto" w:fill="FFFFFF"/>
        </w:rPr>
        <w:t>survey includes graduates’ reflections on their activities and wellbeing. It is, however,</w:t>
      </w:r>
      <w:r>
        <w:rPr>
          <w:color w:val="000000" w:themeColor="text1"/>
          <w:shd w:val="clear" w:color="auto" w:fill="FFFFFF"/>
        </w:rPr>
        <w:t xml:space="preserve"> </w:t>
      </w:r>
      <w:r w:rsidR="00A64FDE">
        <w:rPr>
          <w:color w:val="000000" w:themeColor="text1"/>
          <w:shd w:val="clear" w:color="auto" w:fill="FFFFFF"/>
        </w:rPr>
        <w:t xml:space="preserve">unlikely </w:t>
      </w:r>
      <w:r w:rsidR="00F40AFB">
        <w:rPr>
          <w:color w:val="000000" w:themeColor="text1"/>
          <w:shd w:val="clear" w:color="auto" w:fill="FFFFFF"/>
        </w:rPr>
        <w:t>to</w:t>
      </w:r>
      <w:r w:rsidR="00A64FDE">
        <w:rPr>
          <w:color w:val="000000" w:themeColor="text1"/>
          <w:shd w:val="clear" w:color="auto" w:fill="FFFFFF"/>
        </w:rPr>
        <w:t xml:space="preserve"> fully address the limitations identified in the DLHE</w:t>
      </w:r>
      <w:r w:rsidR="00B93944">
        <w:rPr>
          <w:color w:val="000000" w:themeColor="text1"/>
          <w:shd w:val="clear" w:color="auto" w:fill="FFFFFF"/>
        </w:rPr>
        <w:t xml:space="preserve"> with regard to doctoral employment</w:t>
      </w:r>
      <w:r w:rsidR="00A64FDE">
        <w:rPr>
          <w:color w:val="000000" w:themeColor="text1"/>
          <w:shd w:val="clear" w:color="auto" w:fill="FFFFFF"/>
        </w:rPr>
        <w:t xml:space="preserve">. </w:t>
      </w:r>
      <w:r w:rsidR="00F40AFB">
        <w:rPr>
          <w:color w:val="000000" w:themeColor="text1"/>
          <w:shd w:val="clear" w:color="auto" w:fill="FFFFFF"/>
        </w:rPr>
        <w:t xml:space="preserve">As with </w:t>
      </w:r>
      <w:r w:rsidR="00B93944">
        <w:rPr>
          <w:color w:val="000000" w:themeColor="text1"/>
          <w:shd w:val="clear" w:color="auto" w:fill="FFFFFF"/>
        </w:rPr>
        <w:t>its predecessor</w:t>
      </w:r>
      <w:r w:rsidR="00F40AFB">
        <w:rPr>
          <w:color w:val="000000" w:themeColor="text1"/>
          <w:shd w:val="clear" w:color="auto" w:fill="FFFFFF"/>
        </w:rPr>
        <w:t>, Graduate Outcomes</w:t>
      </w:r>
      <w:r w:rsidR="00A64FDE">
        <w:rPr>
          <w:color w:val="000000" w:themeColor="text1"/>
          <w:shd w:val="clear" w:color="auto" w:fill="FFFFFF"/>
        </w:rPr>
        <w:t xml:space="preserve"> was designed </w:t>
      </w:r>
      <w:r w:rsidR="00A64FDE" w:rsidRPr="000D3EDD">
        <w:t>to capture the destinations of first-degree holders</w:t>
      </w:r>
      <w:r w:rsidR="00B93944">
        <w:t>. T</w:t>
      </w:r>
      <w:r w:rsidR="00A64FDE" w:rsidRPr="000D3EDD">
        <w:t xml:space="preserve">here are no questions </w:t>
      </w:r>
      <w:r w:rsidR="00F40AFB">
        <w:t xml:space="preserve">on conditions and experiences </w:t>
      </w:r>
      <w:r w:rsidR="00A64FDE" w:rsidRPr="000D3EDD">
        <w:t xml:space="preserve">specific to </w:t>
      </w:r>
      <w:r w:rsidR="00F40AFB">
        <w:t xml:space="preserve">the </w:t>
      </w:r>
      <w:r w:rsidR="00B93944">
        <w:t>doctorate</w:t>
      </w:r>
      <w:r w:rsidR="00F40AFB">
        <w:t>. Important contextual information about the doctoral research project, supervision and funding</w:t>
      </w:r>
      <w:r w:rsidR="00B93944">
        <w:t xml:space="preserve"> </w:t>
      </w:r>
      <w:r w:rsidR="00F40AFB">
        <w:t xml:space="preserve">are not collected and cannot be factored into an analysis of employment outcomes. Information on how decision-making has shaped outcomes is </w:t>
      </w:r>
      <w:r w:rsidR="00295E4F">
        <w:t xml:space="preserve">also </w:t>
      </w:r>
      <w:r w:rsidR="00F40AFB">
        <w:t xml:space="preserve">not enhanced </w:t>
      </w:r>
      <w:r w:rsidR="00B93944">
        <w:t xml:space="preserve">in </w:t>
      </w:r>
      <w:r w:rsidR="00F40AFB">
        <w:t xml:space="preserve">the new survey. As Graduate Outcomes is different to </w:t>
      </w:r>
      <w:r w:rsidR="00295E4F">
        <w:t xml:space="preserve">the </w:t>
      </w:r>
      <w:r w:rsidR="00F40AFB">
        <w:t xml:space="preserve">DLHE, </w:t>
      </w:r>
      <w:r w:rsidRPr="000D3EDD">
        <w:t xml:space="preserve">longitudinal comparison of </w:t>
      </w:r>
      <w:r w:rsidR="00295E4F">
        <w:t>trends over time</w:t>
      </w:r>
      <w:r w:rsidRPr="000D3EDD">
        <w:t xml:space="preserve"> </w:t>
      </w:r>
      <w:r w:rsidR="00F40AFB">
        <w:t>is</w:t>
      </w:r>
      <w:r w:rsidR="00B93944">
        <w:t xml:space="preserve"> </w:t>
      </w:r>
      <w:r w:rsidR="00295E4F">
        <w:t>further</w:t>
      </w:r>
      <w:r w:rsidR="00B93944">
        <w:t xml:space="preserve"> </w:t>
      </w:r>
      <w:r w:rsidR="00F40AFB">
        <w:t>hindered</w:t>
      </w:r>
      <w:r w:rsidR="00B93944">
        <w:t xml:space="preserve"> by this development</w:t>
      </w:r>
      <w:r w:rsidRPr="000D3EDD">
        <w:t xml:space="preserve">. Additionally, </w:t>
      </w:r>
      <w:r w:rsidR="00F40AFB">
        <w:t>the</w:t>
      </w:r>
      <w:r w:rsidR="00295E4F">
        <w:t>re are concerns about data reliability: the</w:t>
      </w:r>
      <w:r w:rsidR="00F40AFB">
        <w:t xml:space="preserve"> response rate achieved for research students </w:t>
      </w:r>
      <w:r w:rsidR="00295E4F">
        <w:t>fell</w:t>
      </w:r>
      <w:r w:rsidR="00B93944">
        <w:t xml:space="preserve"> below target (HESA, 2020</w:t>
      </w:r>
      <w:r w:rsidR="00295E4F">
        <w:t>c</w:t>
      </w:r>
      <w:r w:rsidR="00B93944">
        <w:t>)</w:t>
      </w:r>
      <w:r w:rsidRPr="000D3EDD">
        <w:t xml:space="preserve">. </w:t>
      </w:r>
    </w:p>
    <w:p w14:paraId="44AA37E0" w14:textId="570B2876" w:rsidR="00B95AC3" w:rsidRPr="000D3EDD" w:rsidRDefault="00B95AC3" w:rsidP="000D3EDD">
      <w:pPr>
        <w:spacing w:line="276" w:lineRule="auto"/>
        <w:textAlignment w:val="baseline"/>
        <w:rPr>
          <w:rFonts w:eastAsia="Arial"/>
          <w:color w:val="000000"/>
        </w:rPr>
      </w:pPr>
    </w:p>
    <w:p w14:paraId="621C150D" w14:textId="3F315B10" w:rsidR="00B03373" w:rsidRPr="000D3EDD" w:rsidRDefault="00B03373" w:rsidP="000D3EDD">
      <w:pPr>
        <w:spacing w:line="276" w:lineRule="auto"/>
        <w:textAlignment w:val="baseline"/>
        <w:rPr>
          <w:rFonts w:eastAsia="Arial"/>
          <w:i/>
          <w:iCs/>
          <w:color w:val="000000"/>
        </w:rPr>
      </w:pPr>
      <w:r w:rsidRPr="000D3EDD">
        <w:rPr>
          <w:rFonts w:eastAsia="Arial"/>
          <w:i/>
          <w:iCs/>
          <w:color w:val="000000"/>
        </w:rPr>
        <w:t>Directions for future research</w:t>
      </w:r>
    </w:p>
    <w:p w14:paraId="186C1550" w14:textId="09459656" w:rsidR="00051D42" w:rsidRPr="000D3EDD" w:rsidRDefault="00255EE2" w:rsidP="000D3EDD">
      <w:pPr>
        <w:spacing w:line="276" w:lineRule="auto"/>
        <w:textAlignment w:val="baseline"/>
        <w:rPr>
          <w:rFonts w:eastAsia="Arial"/>
          <w:color w:val="000000"/>
        </w:rPr>
      </w:pPr>
      <w:r w:rsidRPr="000D3EDD">
        <w:rPr>
          <w:rFonts w:eastAsia="Arial"/>
          <w:color w:val="000000"/>
        </w:rPr>
        <w:t xml:space="preserve">The </w:t>
      </w:r>
      <w:r w:rsidR="00051D42" w:rsidRPr="000D3EDD">
        <w:rPr>
          <w:rFonts w:eastAsia="Arial"/>
          <w:color w:val="000000"/>
        </w:rPr>
        <w:t>limitations of</w:t>
      </w:r>
      <w:r w:rsidRPr="000D3EDD">
        <w:rPr>
          <w:rFonts w:eastAsia="Arial"/>
          <w:color w:val="000000"/>
        </w:rPr>
        <w:t xml:space="preserve"> the Long DLHE dataset suggest that a new approach</w:t>
      </w:r>
      <w:r w:rsidR="00051D42" w:rsidRPr="000D3EDD">
        <w:rPr>
          <w:rFonts w:eastAsia="Arial"/>
          <w:color w:val="000000"/>
        </w:rPr>
        <w:t xml:space="preserve"> to researching doctoral outcomes</w:t>
      </w:r>
      <w:r w:rsidR="006808AE" w:rsidRPr="000D3EDD">
        <w:rPr>
          <w:rFonts w:eastAsia="Arial"/>
          <w:color w:val="000000"/>
        </w:rPr>
        <w:t xml:space="preserve"> in the UK</w:t>
      </w:r>
      <w:r w:rsidRPr="000D3EDD">
        <w:rPr>
          <w:rFonts w:eastAsia="Arial"/>
          <w:color w:val="000000"/>
        </w:rPr>
        <w:t xml:space="preserve"> is needed.</w:t>
      </w:r>
      <w:r w:rsidR="0011212E" w:rsidRPr="000D3EDD">
        <w:rPr>
          <w:rFonts w:eastAsia="Arial"/>
          <w:color w:val="000000"/>
        </w:rPr>
        <w:t xml:space="preserve"> </w:t>
      </w:r>
      <w:r w:rsidR="006808AE" w:rsidRPr="000D3EDD">
        <w:rPr>
          <w:rFonts w:eastAsia="Arial"/>
          <w:color w:val="000000"/>
        </w:rPr>
        <w:t>T</w:t>
      </w:r>
      <w:r w:rsidR="00051D42" w:rsidRPr="000D3EDD">
        <w:rPr>
          <w:rFonts w:eastAsia="Arial"/>
          <w:color w:val="000000"/>
        </w:rPr>
        <w:t xml:space="preserve">he doctoral loan programme and </w:t>
      </w:r>
      <w:r w:rsidR="007371A8" w:rsidRPr="000D3EDD">
        <w:rPr>
          <w:rFonts w:eastAsia="Arial"/>
          <w:color w:val="000000"/>
        </w:rPr>
        <w:t xml:space="preserve">plans for </w:t>
      </w:r>
      <w:r w:rsidR="00051D42" w:rsidRPr="000D3EDD">
        <w:rPr>
          <w:rFonts w:eastAsia="Arial"/>
          <w:color w:val="000000"/>
        </w:rPr>
        <w:t xml:space="preserve">continued expansion </w:t>
      </w:r>
      <w:r w:rsidR="007371A8" w:rsidRPr="000D3EDD">
        <w:rPr>
          <w:rFonts w:eastAsia="Arial"/>
          <w:color w:val="000000"/>
        </w:rPr>
        <w:t>emphasise</w:t>
      </w:r>
      <w:r w:rsidR="006808AE" w:rsidRPr="000D3EDD">
        <w:rPr>
          <w:rFonts w:eastAsia="Arial"/>
          <w:color w:val="000000"/>
        </w:rPr>
        <w:t xml:space="preserve"> the</w:t>
      </w:r>
      <w:r w:rsidR="00051D42" w:rsidRPr="000D3EDD">
        <w:rPr>
          <w:rFonts w:eastAsia="Arial"/>
          <w:color w:val="000000"/>
        </w:rPr>
        <w:t xml:space="preserve"> urgency of </w:t>
      </w:r>
      <w:r w:rsidR="007371A8" w:rsidRPr="000D3EDD">
        <w:rPr>
          <w:rFonts w:eastAsia="Arial"/>
          <w:color w:val="000000"/>
        </w:rPr>
        <w:t>this</w:t>
      </w:r>
      <w:r w:rsidR="00051D42" w:rsidRPr="000D3EDD">
        <w:rPr>
          <w:rFonts w:eastAsia="Arial"/>
          <w:color w:val="000000"/>
        </w:rPr>
        <w:t xml:space="preserve">. </w:t>
      </w:r>
      <w:r w:rsidR="007371A8" w:rsidRPr="000D3EDD">
        <w:rPr>
          <w:rFonts w:eastAsia="Arial"/>
          <w:color w:val="000000"/>
        </w:rPr>
        <w:t xml:space="preserve">While the international literature </w:t>
      </w:r>
      <w:r w:rsidR="00104277" w:rsidRPr="000D3EDD">
        <w:rPr>
          <w:rFonts w:eastAsia="Arial"/>
          <w:color w:val="000000"/>
        </w:rPr>
        <w:t>demonstrates</w:t>
      </w:r>
      <w:r w:rsidR="007371A8" w:rsidRPr="000D3EDD">
        <w:rPr>
          <w:rFonts w:eastAsia="Arial"/>
          <w:color w:val="000000"/>
        </w:rPr>
        <w:t xml:space="preserve"> the importance of national studies, </w:t>
      </w:r>
      <w:r w:rsidRPr="000D3EDD">
        <w:rPr>
          <w:rFonts w:eastAsia="Arial"/>
          <w:color w:val="000000"/>
        </w:rPr>
        <w:t>the UK</w:t>
      </w:r>
      <w:r w:rsidR="007371A8" w:rsidRPr="000D3EDD">
        <w:rPr>
          <w:rFonts w:eastAsia="Arial"/>
          <w:color w:val="000000"/>
        </w:rPr>
        <w:t xml:space="preserve"> case</w:t>
      </w:r>
      <w:r w:rsidRPr="000D3EDD">
        <w:rPr>
          <w:rFonts w:eastAsia="Arial"/>
          <w:color w:val="000000"/>
        </w:rPr>
        <w:t xml:space="preserve"> </w:t>
      </w:r>
      <w:r w:rsidR="007371A8" w:rsidRPr="000D3EDD">
        <w:rPr>
          <w:rFonts w:eastAsia="Arial"/>
          <w:color w:val="000000"/>
        </w:rPr>
        <w:t>generates</w:t>
      </w:r>
      <w:r w:rsidRPr="000D3EDD">
        <w:rPr>
          <w:rFonts w:eastAsia="Arial"/>
          <w:color w:val="000000"/>
        </w:rPr>
        <w:t xml:space="preserve"> le</w:t>
      </w:r>
      <w:r w:rsidR="007371A8" w:rsidRPr="000D3EDD">
        <w:rPr>
          <w:rFonts w:eastAsia="Arial"/>
          <w:color w:val="000000"/>
        </w:rPr>
        <w:t>arning</w:t>
      </w:r>
      <w:r w:rsidRPr="000D3EDD">
        <w:rPr>
          <w:rFonts w:eastAsia="Arial"/>
          <w:color w:val="000000"/>
        </w:rPr>
        <w:t xml:space="preserve"> for other </w:t>
      </w:r>
      <w:r w:rsidR="007371A8" w:rsidRPr="000D3EDD">
        <w:rPr>
          <w:rFonts w:eastAsia="Arial"/>
          <w:color w:val="000000"/>
        </w:rPr>
        <w:t>countrie</w:t>
      </w:r>
      <w:r w:rsidRPr="000D3EDD">
        <w:rPr>
          <w:rFonts w:eastAsia="Arial"/>
          <w:color w:val="000000"/>
        </w:rPr>
        <w:t>s undergoing doctoral expansion</w:t>
      </w:r>
      <w:r w:rsidRPr="000D3EDD">
        <w:rPr>
          <w:rFonts w:eastAsia="Arial"/>
          <w:color w:val="000000" w:themeColor="text1"/>
        </w:rPr>
        <w:t xml:space="preserve">. </w:t>
      </w:r>
      <w:r w:rsidR="00051D42" w:rsidRPr="000D3EDD">
        <w:rPr>
          <w:rFonts w:eastAsia="Arial"/>
          <w:color w:val="000000" w:themeColor="text1"/>
        </w:rPr>
        <w:t>Nations including the United States, Germany and the Netherlands</w:t>
      </w:r>
      <w:r w:rsidRPr="000D3EDD">
        <w:rPr>
          <w:rFonts w:eastAsia="Arial"/>
          <w:color w:val="000000" w:themeColor="text1"/>
        </w:rPr>
        <w:t xml:space="preserve"> are </w:t>
      </w:r>
      <w:r w:rsidR="00051D42" w:rsidRPr="000D3EDD">
        <w:rPr>
          <w:rFonts w:eastAsia="Arial"/>
          <w:color w:val="000000" w:themeColor="text1"/>
        </w:rPr>
        <w:t xml:space="preserve">leading </w:t>
      </w:r>
      <w:r w:rsidRPr="000D3EDD">
        <w:rPr>
          <w:rFonts w:eastAsia="Arial"/>
          <w:color w:val="000000" w:themeColor="text1"/>
        </w:rPr>
        <w:t xml:space="preserve">this endeavour and – given the global nature of the research system – collaboration across borders </w:t>
      </w:r>
      <w:r w:rsidR="00051D42" w:rsidRPr="000D3EDD">
        <w:rPr>
          <w:rFonts w:eastAsia="Arial"/>
          <w:color w:val="000000" w:themeColor="text1"/>
        </w:rPr>
        <w:t xml:space="preserve">to ensure the development of comparative methods and data </w:t>
      </w:r>
      <w:r w:rsidRPr="000D3EDD">
        <w:rPr>
          <w:rFonts w:eastAsia="Arial"/>
          <w:color w:val="000000" w:themeColor="text1"/>
        </w:rPr>
        <w:t xml:space="preserve">should be sought. </w:t>
      </w:r>
    </w:p>
    <w:p w14:paraId="4043908E" w14:textId="77777777" w:rsidR="00051D42" w:rsidRPr="000D3EDD" w:rsidRDefault="00051D42" w:rsidP="000D3EDD">
      <w:pPr>
        <w:spacing w:line="276" w:lineRule="auto"/>
        <w:textAlignment w:val="baseline"/>
        <w:rPr>
          <w:rFonts w:eastAsia="Arial"/>
          <w:color w:val="000000" w:themeColor="text1"/>
        </w:rPr>
      </w:pPr>
    </w:p>
    <w:p w14:paraId="37D48E9D" w14:textId="40272050" w:rsidR="00255EE2" w:rsidRPr="000D3EDD" w:rsidRDefault="00051D42" w:rsidP="000D3EDD">
      <w:pPr>
        <w:spacing w:line="276" w:lineRule="auto"/>
        <w:textAlignment w:val="baseline"/>
        <w:rPr>
          <w:rFonts w:eastAsia="Arial"/>
          <w:color w:val="538135" w:themeColor="accent6" w:themeShade="BF"/>
        </w:rPr>
      </w:pPr>
      <w:r w:rsidRPr="000D3EDD">
        <w:rPr>
          <w:rFonts w:eastAsia="Arial"/>
          <w:color w:val="000000" w:themeColor="text1"/>
        </w:rPr>
        <w:t>For scholars and policymakers in and beyond the UK seeking to better understand doctoral employment, a</w:t>
      </w:r>
      <w:r w:rsidR="00255EE2" w:rsidRPr="000D3EDD">
        <w:rPr>
          <w:rFonts w:eastAsia="Arial"/>
          <w:color w:val="000000" w:themeColor="text1"/>
        </w:rPr>
        <w:t xml:space="preserve"> number of essential principles emerge. A </w:t>
      </w:r>
      <w:r w:rsidR="00255EE2" w:rsidRPr="000D3EDD">
        <w:rPr>
          <w:rFonts w:eastAsia="Arial"/>
          <w:i/>
          <w:iCs/>
          <w:color w:val="000000" w:themeColor="text1"/>
        </w:rPr>
        <w:t>longitudinal</w:t>
      </w:r>
      <w:r w:rsidR="00255EE2" w:rsidRPr="000D3EDD">
        <w:rPr>
          <w:rFonts w:eastAsia="Arial"/>
          <w:color w:val="000000" w:themeColor="text1"/>
        </w:rPr>
        <w:t xml:space="preserve"> view of the doctoral journey – linking PhD holders’ motivations, aspirations and experiences to eventual destinations – is essential to </w:t>
      </w:r>
      <w:r w:rsidRPr="000D3EDD">
        <w:rPr>
          <w:rFonts w:eastAsia="Arial"/>
          <w:color w:val="000000" w:themeColor="text1"/>
        </w:rPr>
        <w:t>capture</w:t>
      </w:r>
      <w:r w:rsidR="00255EE2" w:rsidRPr="000D3EDD">
        <w:rPr>
          <w:rFonts w:eastAsia="Arial"/>
          <w:color w:val="000000" w:themeColor="text1"/>
        </w:rPr>
        <w:t xml:space="preserve"> why career path</w:t>
      </w:r>
      <w:r w:rsidRPr="000D3EDD">
        <w:rPr>
          <w:rFonts w:eastAsia="Arial"/>
          <w:color w:val="000000" w:themeColor="text1"/>
        </w:rPr>
        <w:t>way</w:t>
      </w:r>
      <w:r w:rsidR="00255EE2" w:rsidRPr="000D3EDD">
        <w:rPr>
          <w:rFonts w:eastAsia="Arial"/>
          <w:color w:val="000000" w:themeColor="text1"/>
        </w:rPr>
        <w:t xml:space="preserve">s unfold as they do. </w:t>
      </w:r>
      <w:r w:rsidRPr="000D3EDD">
        <w:rPr>
          <w:rFonts w:eastAsia="Arial"/>
          <w:color w:val="000000" w:themeColor="text1"/>
        </w:rPr>
        <w:t>Alongside</w:t>
      </w:r>
      <w:r w:rsidR="00255EE2" w:rsidRPr="000D3EDD">
        <w:rPr>
          <w:rFonts w:eastAsia="Arial"/>
          <w:color w:val="000000" w:themeColor="text1"/>
        </w:rPr>
        <w:t xml:space="preserve"> </w:t>
      </w:r>
      <w:r w:rsidRPr="000D3EDD">
        <w:rPr>
          <w:rFonts w:eastAsia="Arial"/>
          <w:color w:val="000000" w:themeColor="text1"/>
        </w:rPr>
        <w:t xml:space="preserve">macro-level </w:t>
      </w:r>
      <w:r w:rsidR="00255EE2" w:rsidRPr="000D3EDD">
        <w:rPr>
          <w:rFonts w:eastAsia="Arial"/>
          <w:color w:val="000000" w:themeColor="text1"/>
        </w:rPr>
        <w:t xml:space="preserve">quantitative data on labour market destinations, qualitative information on the </w:t>
      </w:r>
      <w:r w:rsidR="00255EE2" w:rsidRPr="000D3EDD">
        <w:rPr>
          <w:rFonts w:eastAsia="Arial"/>
          <w:i/>
          <w:iCs/>
          <w:color w:val="000000" w:themeColor="text1"/>
        </w:rPr>
        <w:t xml:space="preserve">subjective and contextual </w:t>
      </w:r>
      <w:r w:rsidR="00255EE2" w:rsidRPr="000D3EDD">
        <w:rPr>
          <w:rFonts w:eastAsia="Arial"/>
          <w:color w:val="000000" w:themeColor="text1"/>
        </w:rPr>
        <w:t xml:space="preserve">factors </w:t>
      </w:r>
      <w:r w:rsidR="007371A8" w:rsidRPr="000D3EDD">
        <w:rPr>
          <w:rFonts w:eastAsia="Arial"/>
          <w:color w:val="000000" w:themeColor="text1"/>
        </w:rPr>
        <w:t>informing</w:t>
      </w:r>
      <w:r w:rsidR="00255EE2" w:rsidRPr="000D3EDD">
        <w:rPr>
          <w:rFonts w:eastAsia="Arial"/>
          <w:color w:val="000000" w:themeColor="text1"/>
        </w:rPr>
        <w:t xml:space="preserve"> decision making is needed. </w:t>
      </w:r>
      <w:r w:rsidR="007371A8" w:rsidRPr="000D3EDD">
        <w:rPr>
          <w:rFonts w:eastAsia="Arial"/>
          <w:color w:val="000000" w:themeColor="text1"/>
        </w:rPr>
        <w:t>Further, t</w:t>
      </w:r>
      <w:r w:rsidR="00D3654E" w:rsidRPr="000D3EDD">
        <w:rPr>
          <w:rFonts w:eastAsia="Arial"/>
          <w:color w:val="000000" w:themeColor="text1"/>
        </w:rPr>
        <w:t>he analysis of e</w:t>
      </w:r>
      <w:r w:rsidRPr="000D3EDD">
        <w:rPr>
          <w:rFonts w:eastAsia="Arial"/>
          <w:color w:val="000000" w:themeColor="text1"/>
        </w:rPr>
        <w:t xml:space="preserve">mployment outcomes </w:t>
      </w:r>
      <w:r w:rsidR="00D3654E" w:rsidRPr="000D3EDD">
        <w:rPr>
          <w:rFonts w:eastAsia="Arial"/>
          <w:color w:val="000000" w:themeColor="text1"/>
        </w:rPr>
        <w:t>cannot be</w:t>
      </w:r>
      <w:r w:rsidRPr="000D3EDD">
        <w:rPr>
          <w:rFonts w:eastAsia="Arial"/>
          <w:color w:val="000000" w:themeColor="text1"/>
        </w:rPr>
        <w:t xml:space="preserve"> </w:t>
      </w:r>
      <w:r w:rsidR="00D3654E" w:rsidRPr="000D3EDD">
        <w:rPr>
          <w:rFonts w:eastAsia="Arial"/>
          <w:color w:val="000000" w:themeColor="text1"/>
        </w:rPr>
        <w:t>divorced</w:t>
      </w:r>
      <w:r w:rsidRPr="000D3EDD">
        <w:rPr>
          <w:rFonts w:eastAsia="Arial"/>
          <w:color w:val="000000" w:themeColor="text1"/>
        </w:rPr>
        <w:t xml:space="preserve"> from </w:t>
      </w:r>
      <w:r w:rsidR="00D3654E" w:rsidRPr="000D3EDD">
        <w:rPr>
          <w:rFonts w:eastAsia="Arial"/>
          <w:color w:val="000000" w:themeColor="text1"/>
        </w:rPr>
        <w:t>the dynamics of social and institutional stratification; d</w:t>
      </w:r>
      <w:r w:rsidR="00255EE2" w:rsidRPr="000D3EDD">
        <w:rPr>
          <w:rFonts w:eastAsia="Arial"/>
          <w:color w:val="000000" w:themeColor="text1"/>
        </w:rPr>
        <w:t xml:space="preserve">etailed </w:t>
      </w:r>
      <w:r w:rsidR="00255EE2" w:rsidRPr="000D3EDD">
        <w:rPr>
          <w:rFonts w:eastAsia="Arial"/>
          <w:i/>
          <w:iCs/>
          <w:color w:val="000000" w:themeColor="text1"/>
        </w:rPr>
        <w:t>demographic</w:t>
      </w:r>
      <w:r w:rsidR="00255EE2" w:rsidRPr="000D3EDD">
        <w:rPr>
          <w:rFonts w:eastAsia="Arial"/>
          <w:color w:val="000000" w:themeColor="text1"/>
        </w:rPr>
        <w:t xml:space="preserve"> information on doctoral graduates </w:t>
      </w:r>
      <w:r w:rsidRPr="000D3EDD">
        <w:rPr>
          <w:rFonts w:eastAsia="Arial"/>
          <w:color w:val="000000" w:themeColor="text1"/>
        </w:rPr>
        <w:t xml:space="preserve">must </w:t>
      </w:r>
      <w:r w:rsidR="007371A8" w:rsidRPr="000D3EDD">
        <w:rPr>
          <w:rFonts w:eastAsia="Arial"/>
          <w:color w:val="000000" w:themeColor="text1"/>
        </w:rPr>
        <w:t xml:space="preserve">also </w:t>
      </w:r>
      <w:r w:rsidR="00D3654E" w:rsidRPr="000D3EDD">
        <w:rPr>
          <w:rFonts w:eastAsia="Arial"/>
          <w:color w:val="000000" w:themeColor="text1"/>
        </w:rPr>
        <w:t>be</w:t>
      </w:r>
      <w:r w:rsidR="00255EE2" w:rsidRPr="000D3EDD">
        <w:rPr>
          <w:rFonts w:eastAsia="Arial"/>
          <w:color w:val="000000" w:themeColor="text1"/>
        </w:rPr>
        <w:t xml:space="preserve"> collected in a routine and consistent manner. </w:t>
      </w:r>
    </w:p>
    <w:p w14:paraId="706FEE7B" w14:textId="77777777" w:rsidR="00255EE2" w:rsidRPr="000D3EDD" w:rsidRDefault="00255EE2" w:rsidP="000D3EDD">
      <w:pPr>
        <w:spacing w:line="276" w:lineRule="auto"/>
        <w:textAlignment w:val="baseline"/>
        <w:rPr>
          <w:rFonts w:eastAsia="Arial"/>
          <w:color w:val="000000"/>
        </w:rPr>
      </w:pPr>
    </w:p>
    <w:p w14:paraId="111CCF89" w14:textId="71162357" w:rsidR="00255EE2" w:rsidRPr="000D3EDD" w:rsidRDefault="00255EE2" w:rsidP="000D3EDD">
      <w:pPr>
        <w:spacing w:line="276" w:lineRule="auto"/>
        <w:textAlignment w:val="baseline"/>
        <w:rPr>
          <w:rFonts w:eastAsia="Arial"/>
          <w:color w:val="000000"/>
        </w:rPr>
      </w:pPr>
      <w:r w:rsidRPr="000D3EDD">
        <w:rPr>
          <w:rFonts w:eastAsia="Arial"/>
          <w:color w:val="000000"/>
        </w:rPr>
        <w:t>The global emphasis on the</w:t>
      </w:r>
      <w:r w:rsidR="00090E3B" w:rsidRPr="000D3EDD">
        <w:rPr>
          <w:rFonts w:eastAsia="Arial"/>
          <w:color w:val="000000"/>
        </w:rPr>
        <w:t xml:space="preserve"> development of</w:t>
      </w:r>
      <w:r w:rsidRPr="000D3EDD">
        <w:rPr>
          <w:rFonts w:eastAsia="Arial"/>
          <w:color w:val="000000"/>
        </w:rPr>
        <w:t xml:space="preserve"> knowledge</w:t>
      </w:r>
      <w:r w:rsidR="00090E3B" w:rsidRPr="000D3EDD">
        <w:rPr>
          <w:rFonts w:eastAsia="Arial"/>
          <w:color w:val="000000"/>
        </w:rPr>
        <w:t>-based</w:t>
      </w:r>
      <w:r w:rsidRPr="000D3EDD">
        <w:rPr>
          <w:rFonts w:eastAsia="Arial"/>
          <w:color w:val="000000"/>
        </w:rPr>
        <w:t xml:space="preserve"> econom</w:t>
      </w:r>
      <w:r w:rsidR="00090E3B" w:rsidRPr="000D3EDD">
        <w:rPr>
          <w:rFonts w:eastAsia="Arial"/>
          <w:color w:val="000000"/>
        </w:rPr>
        <w:t>ies</w:t>
      </w:r>
      <w:r w:rsidR="007371A8" w:rsidRPr="000D3EDD">
        <w:rPr>
          <w:rFonts w:eastAsia="Arial"/>
          <w:color w:val="000000"/>
        </w:rPr>
        <w:t xml:space="preserve"> </w:t>
      </w:r>
      <w:r w:rsidR="00090E3B" w:rsidRPr="000D3EDD">
        <w:rPr>
          <w:rFonts w:eastAsia="Arial"/>
          <w:color w:val="000000"/>
        </w:rPr>
        <w:t xml:space="preserve">and the need for </w:t>
      </w:r>
      <w:r w:rsidRPr="000D3EDD">
        <w:rPr>
          <w:rFonts w:eastAsia="Arial"/>
          <w:color w:val="000000"/>
        </w:rPr>
        <w:t>equality</w:t>
      </w:r>
      <w:r w:rsidR="00090E3B" w:rsidRPr="000D3EDD">
        <w:rPr>
          <w:rFonts w:eastAsia="Arial"/>
          <w:color w:val="000000"/>
        </w:rPr>
        <w:t xml:space="preserve"> and</w:t>
      </w:r>
      <w:r w:rsidRPr="000D3EDD">
        <w:rPr>
          <w:rFonts w:eastAsia="Arial"/>
          <w:color w:val="000000"/>
        </w:rPr>
        <w:t xml:space="preserve"> diversity in research systems should provide a favourable </w:t>
      </w:r>
      <w:r w:rsidR="00090E3B" w:rsidRPr="000D3EDD">
        <w:rPr>
          <w:rFonts w:eastAsia="Arial"/>
          <w:color w:val="000000"/>
        </w:rPr>
        <w:t xml:space="preserve">context </w:t>
      </w:r>
      <w:r w:rsidRPr="000D3EDD">
        <w:rPr>
          <w:rFonts w:eastAsia="Arial"/>
          <w:color w:val="000000"/>
        </w:rPr>
        <w:t>for fu</w:t>
      </w:r>
      <w:r w:rsidR="00090E3B" w:rsidRPr="000D3EDD">
        <w:rPr>
          <w:rFonts w:eastAsia="Arial"/>
          <w:color w:val="000000"/>
        </w:rPr>
        <w:t>ture</w:t>
      </w:r>
      <w:r w:rsidRPr="000D3EDD">
        <w:rPr>
          <w:rFonts w:eastAsia="Arial"/>
          <w:color w:val="000000"/>
        </w:rPr>
        <w:t xml:space="preserve"> research. If doctoral expansion – and the policy promises underpinning </w:t>
      </w:r>
      <w:r w:rsidR="00090E3B" w:rsidRPr="000D3EDD">
        <w:rPr>
          <w:rFonts w:eastAsia="Arial"/>
          <w:color w:val="000000"/>
        </w:rPr>
        <w:t>it</w:t>
      </w:r>
      <w:r w:rsidRPr="000D3EDD">
        <w:rPr>
          <w:rFonts w:eastAsia="Arial"/>
          <w:color w:val="000000"/>
        </w:rPr>
        <w:t xml:space="preserve"> – continue, it is vital </w:t>
      </w:r>
      <w:r w:rsidR="00090E3B" w:rsidRPr="000D3EDD">
        <w:rPr>
          <w:rFonts w:eastAsia="Arial"/>
          <w:color w:val="000000"/>
        </w:rPr>
        <w:t>that</w:t>
      </w:r>
      <w:r w:rsidRPr="000D3EDD">
        <w:rPr>
          <w:rFonts w:eastAsia="Arial"/>
          <w:color w:val="000000"/>
        </w:rPr>
        <w:t xml:space="preserve"> the UK and other nations develop more sophisticated methods to capture the </w:t>
      </w:r>
      <w:r w:rsidRPr="000D3EDD">
        <w:rPr>
          <w:rFonts w:eastAsia="Arial"/>
          <w:color w:val="000000"/>
        </w:rPr>
        <w:lastRenderedPageBreak/>
        <w:t xml:space="preserve">contributions of PhD holders. </w:t>
      </w:r>
      <w:r w:rsidRPr="000D3EDD">
        <w:t xml:space="preserve">Having considered existing data in the UK, this article marks a starting point towards a more meaningful </w:t>
      </w:r>
      <w:r w:rsidR="00714927" w:rsidRPr="000D3EDD">
        <w:t xml:space="preserve">long-term </w:t>
      </w:r>
      <w:r w:rsidRPr="000D3EDD">
        <w:t xml:space="preserve">evidence base.    </w:t>
      </w:r>
    </w:p>
    <w:p w14:paraId="1E4BE831" w14:textId="15C0D7C4" w:rsidR="0045053E" w:rsidRPr="000D3EDD" w:rsidRDefault="0045053E" w:rsidP="000D3EDD">
      <w:pPr>
        <w:spacing w:line="276" w:lineRule="auto"/>
        <w:rPr>
          <w:b/>
          <w:bCs/>
          <w:color w:val="FF0000"/>
        </w:rPr>
        <w:sectPr w:rsidR="0045053E" w:rsidRPr="000D3EDD" w:rsidSect="001B249D">
          <w:footerReference w:type="even" r:id="rId9"/>
          <w:footerReference w:type="default" r:id="rId10"/>
          <w:endnotePr>
            <w:numFmt w:val="decimal"/>
          </w:endnotePr>
          <w:pgSz w:w="11900" w:h="16840"/>
          <w:pgMar w:top="1440" w:right="1440" w:bottom="1440" w:left="1440" w:header="708" w:footer="708" w:gutter="0"/>
          <w:cols w:space="708"/>
          <w:docGrid w:linePitch="360"/>
        </w:sectPr>
      </w:pPr>
    </w:p>
    <w:p w14:paraId="5AEFAC6D" w14:textId="402F6915" w:rsidR="008C5FD9" w:rsidRDefault="008C5FD9" w:rsidP="000D3EDD">
      <w:pPr>
        <w:pStyle w:val="NormalWeb"/>
        <w:spacing w:before="0" w:beforeAutospacing="0" w:after="0" w:afterAutospacing="0" w:line="276" w:lineRule="auto"/>
        <w:rPr>
          <w:b/>
          <w:bCs/>
        </w:rPr>
      </w:pPr>
      <w:r w:rsidRPr="000D3EDD">
        <w:rPr>
          <w:b/>
          <w:bCs/>
        </w:rPr>
        <w:t xml:space="preserve">References </w:t>
      </w:r>
    </w:p>
    <w:p w14:paraId="75DF3327" w14:textId="77777777" w:rsidR="00B413DE" w:rsidRPr="000D3EDD" w:rsidRDefault="00B413DE" w:rsidP="000D3EDD">
      <w:pPr>
        <w:pStyle w:val="NormalWeb"/>
        <w:spacing w:before="0" w:beforeAutospacing="0" w:after="0" w:afterAutospacing="0" w:line="276" w:lineRule="auto"/>
        <w:rPr>
          <w:b/>
          <w:bCs/>
        </w:rPr>
      </w:pPr>
    </w:p>
    <w:p w14:paraId="7E67A72D" w14:textId="6D212D24" w:rsidR="00C47265" w:rsidRPr="000D3EDD" w:rsidRDefault="00C47265" w:rsidP="000D3EDD">
      <w:pPr>
        <w:spacing w:line="276" w:lineRule="auto"/>
        <w:rPr>
          <w:color w:val="000000" w:themeColor="text1"/>
        </w:rPr>
      </w:pPr>
      <w:proofErr w:type="spellStart"/>
      <w:r w:rsidRPr="000D3EDD">
        <w:rPr>
          <w:color w:val="000000" w:themeColor="text1"/>
        </w:rPr>
        <w:t>Åkerlind</w:t>
      </w:r>
      <w:proofErr w:type="spellEnd"/>
      <w:r w:rsidR="00415958" w:rsidRPr="000D3EDD">
        <w:rPr>
          <w:color w:val="000000" w:themeColor="text1"/>
        </w:rPr>
        <w:t xml:space="preserve">. </w:t>
      </w:r>
      <w:r w:rsidRPr="000D3EDD">
        <w:rPr>
          <w:color w:val="000000" w:themeColor="text1"/>
        </w:rPr>
        <w:t>G (2005)</w:t>
      </w:r>
      <w:r w:rsidR="00415958" w:rsidRPr="000D3EDD">
        <w:rPr>
          <w:color w:val="000000" w:themeColor="text1"/>
        </w:rPr>
        <w:t>.</w:t>
      </w:r>
      <w:r w:rsidRPr="000D3EDD">
        <w:rPr>
          <w:color w:val="000000" w:themeColor="text1"/>
        </w:rPr>
        <w:t xml:space="preserve"> Postdoctoral researchers: roles, functions and career prospects. </w:t>
      </w:r>
      <w:r w:rsidRPr="000D3EDD">
        <w:rPr>
          <w:i/>
          <w:iCs/>
          <w:color w:val="000000" w:themeColor="text1"/>
        </w:rPr>
        <w:t>Higher Education Research &amp; Development</w:t>
      </w:r>
      <w:r w:rsidRPr="000D3EDD">
        <w:rPr>
          <w:color w:val="000000" w:themeColor="text1"/>
        </w:rPr>
        <w:t xml:space="preserve">, </w:t>
      </w:r>
      <w:r w:rsidRPr="000D3EDD">
        <w:rPr>
          <w:i/>
          <w:iCs/>
          <w:color w:val="000000" w:themeColor="text1"/>
        </w:rPr>
        <w:t>24</w:t>
      </w:r>
      <w:r w:rsidRPr="000D3EDD">
        <w:rPr>
          <w:color w:val="000000" w:themeColor="text1"/>
        </w:rPr>
        <w:t xml:space="preserve">(1), 21–40. </w:t>
      </w:r>
    </w:p>
    <w:p w14:paraId="06CDC742" w14:textId="77777777" w:rsidR="00C47265" w:rsidRPr="000D3EDD" w:rsidRDefault="00C47265" w:rsidP="000D3EDD">
      <w:pPr>
        <w:spacing w:line="276" w:lineRule="auto"/>
        <w:rPr>
          <w:color w:val="000000" w:themeColor="text1"/>
        </w:rPr>
      </w:pPr>
    </w:p>
    <w:p w14:paraId="1F61ED65" w14:textId="35853572" w:rsidR="00C47265" w:rsidRPr="000D3EDD" w:rsidRDefault="00C47265" w:rsidP="000D3EDD">
      <w:pPr>
        <w:spacing w:line="276" w:lineRule="auto"/>
        <w:rPr>
          <w:color w:val="000000" w:themeColor="text1"/>
        </w:rPr>
      </w:pPr>
      <w:r w:rsidRPr="000D3EDD">
        <w:rPr>
          <w:color w:val="000000" w:themeColor="text1"/>
        </w:rPr>
        <w:t>Auriol</w:t>
      </w:r>
      <w:r w:rsidR="00415958" w:rsidRPr="000D3EDD">
        <w:rPr>
          <w:color w:val="000000" w:themeColor="text1"/>
        </w:rPr>
        <w:t xml:space="preserve">, L. </w:t>
      </w:r>
      <w:r w:rsidRPr="000D3EDD">
        <w:rPr>
          <w:color w:val="000000" w:themeColor="text1"/>
        </w:rPr>
        <w:t>(2010)</w:t>
      </w:r>
      <w:r w:rsidR="00415958" w:rsidRPr="000D3EDD">
        <w:rPr>
          <w:color w:val="000000" w:themeColor="text1"/>
        </w:rPr>
        <w:t xml:space="preserve">. </w:t>
      </w:r>
      <w:r w:rsidRPr="000D3EDD">
        <w:rPr>
          <w:i/>
          <w:iCs/>
          <w:color w:val="000000" w:themeColor="text1"/>
        </w:rPr>
        <w:t>Careers of doctorate holders: Employment and mobility patterns.</w:t>
      </w:r>
      <w:r w:rsidRPr="000D3EDD">
        <w:rPr>
          <w:color w:val="000000" w:themeColor="text1"/>
        </w:rPr>
        <w:t xml:space="preserve"> OECD Science, Technology and Industry Working Papers 2010/4. OECD Publishing. </w:t>
      </w:r>
    </w:p>
    <w:p w14:paraId="0ADCFAEF" w14:textId="77777777" w:rsidR="00C47265" w:rsidRPr="000D3EDD" w:rsidRDefault="00C47265" w:rsidP="000D3EDD">
      <w:pPr>
        <w:spacing w:line="276" w:lineRule="auto"/>
        <w:rPr>
          <w:color w:val="000000" w:themeColor="text1"/>
        </w:rPr>
      </w:pPr>
    </w:p>
    <w:p w14:paraId="5A9361FD" w14:textId="3284D968" w:rsidR="00C47265" w:rsidRPr="000D3EDD" w:rsidRDefault="00C47265" w:rsidP="000D3EDD">
      <w:pPr>
        <w:spacing w:line="276" w:lineRule="auto"/>
        <w:rPr>
          <w:color w:val="000000" w:themeColor="text1"/>
        </w:rPr>
      </w:pPr>
      <w:r w:rsidRPr="000D3EDD">
        <w:rPr>
          <w:color w:val="000000" w:themeColor="text1"/>
        </w:rPr>
        <w:t>Auriol</w:t>
      </w:r>
      <w:r w:rsidR="00415958" w:rsidRPr="000D3EDD">
        <w:rPr>
          <w:color w:val="000000" w:themeColor="text1"/>
        </w:rPr>
        <w:t>,</w:t>
      </w:r>
      <w:r w:rsidRPr="000D3EDD">
        <w:rPr>
          <w:color w:val="000000" w:themeColor="text1"/>
        </w:rPr>
        <w:t xml:space="preserve"> L</w:t>
      </w:r>
      <w:r w:rsidR="00415958" w:rsidRPr="000D3EDD">
        <w:rPr>
          <w:color w:val="000000" w:themeColor="text1"/>
        </w:rPr>
        <w:t>.</w:t>
      </w:r>
      <w:r w:rsidR="00B8497E" w:rsidRPr="000D3EDD">
        <w:rPr>
          <w:color w:val="000000" w:themeColor="text1"/>
        </w:rPr>
        <w:t>,</w:t>
      </w:r>
      <w:r w:rsidRPr="000D3EDD">
        <w:rPr>
          <w:color w:val="000000" w:themeColor="text1"/>
        </w:rPr>
        <w:t xml:space="preserve"> </w:t>
      </w:r>
      <w:proofErr w:type="spellStart"/>
      <w:r w:rsidRPr="000D3EDD">
        <w:rPr>
          <w:color w:val="000000" w:themeColor="text1"/>
        </w:rPr>
        <w:t>Misu</w:t>
      </w:r>
      <w:proofErr w:type="spellEnd"/>
      <w:r w:rsidR="00415958" w:rsidRPr="000D3EDD">
        <w:rPr>
          <w:color w:val="000000" w:themeColor="text1"/>
        </w:rPr>
        <w:t>,</w:t>
      </w:r>
      <w:r w:rsidRPr="000D3EDD">
        <w:rPr>
          <w:color w:val="000000" w:themeColor="text1"/>
        </w:rPr>
        <w:t xml:space="preserve"> M</w:t>
      </w:r>
      <w:r w:rsidR="00415958" w:rsidRPr="000D3EDD">
        <w:rPr>
          <w:color w:val="000000" w:themeColor="text1"/>
        </w:rPr>
        <w:t>.</w:t>
      </w:r>
      <w:r w:rsidRPr="000D3EDD">
        <w:rPr>
          <w:color w:val="000000" w:themeColor="text1"/>
        </w:rPr>
        <w:t xml:space="preserve">, </w:t>
      </w:r>
      <w:r w:rsidR="00415958" w:rsidRPr="000D3EDD">
        <w:rPr>
          <w:color w:val="000000" w:themeColor="text1"/>
        </w:rPr>
        <w:t>&amp;</w:t>
      </w:r>
      <w:r w:rsidRPr="000D3EDD">
        <w:rPr>
          <w:color w:val="000000" w:themeColor="text1"/>
        </w:rPr>
        <w:t xml:space="preserve"> Freeman</w:t>
      </w:r>
      <w:r w:rsidR="00415958" w:rsidRPr="000D3EDD">
        <w:rPr>
          <w:color w:val="000000" w:themeColor="text1"/>
        </w:rPr>
        <w:t>,</w:t>
      </w:r>
      <w:r w:rsidR="00B8497E" w:rsidRPr="000D3EDD">
        <w:rPr>
          <w:color w:val="000000" w:themeColor="text1"/>
        </w:rPr>
        <w:t xml:space="preserve"> </w:t>
      </w:r>
      <w:r w:rsidRPr="000D3EDD">
        <w:rPr>
          <w:color w:val="000000" w:themeColor="text1"/>
        </w:rPr>
        <w:t>R</w:t>
      </w:r>
      <w:r w:rsidR="00415958" w:rsidRPr="000D3EDD">
        <w:rPr>
          <w:color w:val="000000" w:themeColor="text1"/>
        </w:rPr>
        <w:t xml:space="preserve">. </w:t>
      </w:r>
      <w:r w:rsidRPr="000D3EDD">
        <w:rPr>
          <w:color w:val="000000" w:themeColor="text1"/>
        </w:rPr>
        <w:t>A</w:t>
      </w:r>
      <w:r w:rsidR="00415958" w:rsidRPr="000D3EDD">
        <w:rPr>
          <w:color w:val="000000" w:themeColor="text1"/>
        </w:rPr>
        <w:t>.</w:t>
      </w:r>
      <w:r w:rsidRPr="000D3EDD">
        <w:rPr>
          <w:color w:val="000000" w:themeColor="text1"/>
        </w:rPr>
        <w:t xml:space="preserve"> (2013)</w:t>
      </w:r>
      <w:r w:rsidR="00415958" w:rsidRPr="000D3EDD">
        <w:rPr>
          <w:color w:val="000000" w:themeColor="text1"/>
        </w:rPr>
        <w:t>.</w:t>
      </w:r>
      <w:r w:rsidRPr="000D3EDD">
        <w:rPr>
          <w:color w:val="000000" w:themeColor="text1"/>
        </w:rPr>
        <w:t xml:space="preserve"> </w:t>
      </w:r>
      <w:r w:rsidRPr="000D3EDD">
        <w:rPr>
          <w:i/>
          <w:iCs/>
          <w:color w:val="000000" w:themeColor="text1"/>
        </w:rPr>
        <w:t>Careers of doctoral holders: Analysis of labour market and mobility indicators</w:t>
      </w:r>
      <w:r w:rsidRPr="000D3EDD">
        <w:rPr>
          <w:color w:val="000000" w:themeColor="text1"/>
        </w:rPr>
        <w:t xml:space="preserve">. OECD Science, Technology and Industry Working Papers, 4, 1–61. </w:t>
      </w:r>
    </w:p>
    <w:p w14:paraId="63230578" w14:textId="77777777" w:rsidR="00C47265" w:rsidRPr="000D3EDD" w:rsidRDefault="00C47265" w:rsidP="000D3EDD">
      <w:pPr>
        <w:spacing w:line="276" w:lineRule="auto"/>
        <w:rPr>
          <w:color w:val="000000" w:themeColor="text1"/>
        </w:rPr>
      </w:pPr>
    </w:p>
    <w:p w14:paraId="4BDA1AD5" w14:textId="598E3D6F" w:rsidR="00415958" w:rsidRDefault="00C47265" w:rsidP="000D3EDD">
      <w:pPr>
        <w:spacing w:line="276" w:lineRule="auto"/>
        <w:rPr>
          <w:color w:val="000000" w:themeColor="text1"/>
        </w:rPr>
      </w:pPr>
      <w:r w:rsidRPr="000D3EDD">
        <w:rPr>
          <w:color w:val="000000" w:themeColor="text1"/>
        </w:rPr>
        <w:t>Barnacle</w:t>
      </w:r>
      <w:r w:rsidR="00415958" w:rsidRPr="000D3EDD">
        <w:rPr>
          <w:color w:val="000000" w:themeColor="text1"/>
        </w:rPr>
        <w:t xml:space="preserve">, </w:t>
      </w:r>
      <w:r w:rsidRPr="000D3EDD">
        <w:rPr>
          <w:color w:val="000000" w:themeColor="text1"/>
        </w:rPr>
        <w:t>R</w:t>
      </w:r>
      <w:r w:rsidR="00415958" w:rsidRPr="000D3EDD">
        <w:rPr>
          <w:color w:val="000000" w:themeColor="text1"/>
        </w:rPr>
        <w:t>. &amp;</w:t>
      </w:r>
      <w:r w:rsidRPr="000D3EDD">
        <w:rPr>
          <w:color w:val="000000" w:themeColor="text1"/>
        </w:rPr>
        <w:t xml:space="preserve"> Mewburn</w:t>
      </w:r>
      <w:r w:rsidR="00415958" w:rsidRPr="000D3EDD">
        <w:rPr>
          <w:color w:val="000000" w:themeColor="text1"/>
        </w:rPr>
        <w:t>,</w:t>
      </w:r>
      <w:r w:rsidRPr="000D3EDD">
        <w:rPr>
          <w:color w:val="000000" w:themeColor="text1"/>
        </w:rPr>
        <w:t xml:space="preserve"> I</w:t>
      </w:r>
      <w:r w:rsidR="00415958" w:rsidRPr="000D3EDD">
        <w:rPr>
          <w:color w:val="000000" w:themeColor="text1"/>
        </w:rPr>
        <w:t>.</w:t>
      </w:r>
      <w:r w:rsidRPr="000D3EDD">
        <w:rPr>
          <w:color w:val="000000" w:themeColor="text1"/>
        </w:rPr>
        <w:t xml:space="preserve"> (2010)</w:t>
      </w:r>
      <w:r w:rsidR="00415958" w:rsidRPr="000D3EDD">
        <w:rPr>
          <w:color w:val="000000" w:themeColor="text1"/>
        </w:rPr>
        <w:t>.</w:t>
      </w:r>
      <w:r w:rsidRPr="000D3EDD">
        <w:rPr>
          <w:color w:val="000000" w:themeColor="text1"/>
        </w:rPr>
        <w:t xml:space="preserve"> Learning networks and the journey of ‘becoming doctor’, </w:t>
      </w:r>
      <w:r w:rsidRPr="000D3EDD">
        <w:rPr>
          <w:i/>
          <w:iCs/>
          <w:color w:val="000000" w:themeColor="text1"/>
        </w:rPr>
        <w:t>Studies in Higher Education</w:t>
      </w:r>
      <w:r w:rsidRPr="000D3EDD">
        <w:rPr>
          <w:color w:val="000000" w:themeColor="text1"/>
        </w:rPr>
        <w:t xml:space="preserve">, </w:t>
      </w:r>
      <w:r w:rsidRPr="000D3EDD">
        <w:rPr>
          <w:i/>
          <w:iCs/>
          <w:color w:val="000000" w:themeColor="text1"/>
        </w:rPr>
        <w:t>35</w:t>
      </w:r>
      <w:r w:rsidRPr="000D3EDD">
        <w:rPr>
          <w:color w:val="000000" w:themeColor="text1"/>
        </w:rPr>
        <w:t xml:space="preserve">(4), 433-44. </w:t>
      </w:r>
    </w:p>
    <w:p w14:paraId="40D7B965" w14:textId="2EF02B03" w:rsidR="00C05F10" w:rsidRDefault="00C05F10" w:rsidP="000D3EDD">
      <w:pPr>
        <w:spacing w:line="276" w:lineRule="auto"/>
        <w:rPr>
          <w:color w:val="000000" w:themeColor="text1"/>
        </w:rPr>
      </w:pPr>
    </w:p>
    <w:p w14:paraId="3C8EFE4B" w14:textId="33CF0695" w:rsidR="00C05F10" w:rsidRPr="00C05F10" w:rsidRDefault="00C05F10" w:rsidP="00C05F10">
      <w:pPr>
        <w:spacing w:line="276" w:lineRule="auto"/>
        <w:rPr>
          <w:color w:val="000000" w:themeColor="text1"/>
        </w:rPr>
      </w:pPr>
      <w:r>
        <w:rPr>
          <w:color w:val="000000" w:themeColor="text1"/>
        </w:rPr>
        <w:t>Barn</w:t>
      </w:r>
      <w:r w:rsidR="00FA0D67">
        <w:rPr>
          <w:color w:val="000000" w:themeColor="text1"/>
        </w:rPr>
        <w:t>e</w:t>
      </w:r>
      <w:r>
        <w:rPr>
          <w:color w:val="000000" w:themeColor="text1"/>
        </w:rPr>
        <w:t>tt, R. (2020). Keynote address at the Philosophy and Theory of Higher Education Society seminar ‘</w:t>
      </w:r>
      <w:r w:rsidRPr="00C05F10">
        <w:rPr>
          <w:color w:val="000000" w:themeColor="text1"/>
        </w:rPr>
        <w:t>Revitalising doctoral education – beyond global trauma</w:t>
      </w:r>
      <w:r>
        <w:rPr>
          <w:color w:val="000000" w:themeColor="text1"/>
        </w:rPr>
        <w:t>’, 26</w:t>
      </w:r>
      <w:r w:rsidRPr="00B8695C">
        <w:rPr>
          <w:color w:val="000000" w:themeColor="text1"/>
          <w:vertAlign w:val="superscript"/>
        </w:rPr>
        <w:t>th</w:t>
      </w:r>
      <w:r>
        <w:rPr>
          <w:color w:val="000000" w:themeColor="text1"/>
        </w:rPr>
        <w:t xml:space="preserve"> November. </w:t>
      </w:r>
    </w:p>
    <w:p w14:paraId="1C31CC8C" w14:textId="77777777" w:rsidR="00415958" w:rsidRPr="000D3EDD" w:rsidRDefault="00415958" w:rsidP="000D3EDD">
      <w:pPr>
        <w:spacing w:line="276" w:lineRule="auto"/>
        <w:rPr>
          <w:color w:val="000000" w:themeColor="text1"/>
        </w:rPr>
      </w:pPr>
    </w:p>
    <w:p w14:paraId="023FBA46" w14:textId="09444C5A" w:rsidR="003145D0" w:rsidRPr="000D3EDD" w:rsidRDefault="003145D0" w:rsidP="000D3EDD">
      <w:pPr>
        <w:spacing w:line="276" w:lineRule="auto"/>
        <w:rPr>
          <w:color w:val="000000" w:themeColor="text1"/>
        </w:rPr>
      </w:pPr>
      <w:r w:rsidRPr="000D3EDD">
        <w:rPr>
          <w:color w:val="000000" w:themeColor="text1"/>
        </w:rPr>
        <w:t xml:space="preserve">Bennett, M. (2020). </w:t>
      </w:r>
      <w:r w:rsidRPr="000D3EDD">
        <w:rPr>
          <w:i/>
          <w:iCs/>
          <w:color w:val="000000" w:themeColor="text1"/>
        </w:rPr>
        <w:t>Doctoral loans have not radically changed PhD recruitment.</w:t>
      </w:r>
      <w:r w:rsidRPr="000D3EDD">
        <w:rPr>
          <w:color w:val="000000" w:themeColor="text1"/>
        </w:rPr>
        <w:t xml:space="preserve"> Retrieved from </w:t>
      </w:r>
      <w:hyperlink r:id="rId11" w:history="1">
        <w:r w:rsidRPr="000D3EDD">
          <w:rPr>
            <w:rStyle w:val="Hyperlink"/>
          </w:rPr>
          <w:t>https://wonkhe.com/blogs/doctoral-loans-have-not-radically-changed-phd-recruitment/</w:t>
        </w:r>
      </w:hyperlink>
      <w:r w:rsidRPr="000D3EDD">
        <w:rPr>
          <w:color w:val="000000" w:themeColor="text1"/>
        </w:rPr>
        <w:t xml:space="preserve"> </w:t>
      </w:r>
    </w:p>
    <w:p w14:paraId="3724B375" w14:textId="61D9B02C" w:rsidR="003145D0" w:rsidRPr="000D3EDD" w:rsidRDefault="003145D0" w:rsidP="000D3EDD">
      <w:pPr>
        <w:spacing w:line="276" w:lineRule="auto"/>
        <w:rPr>
          <w:color w:val="000000" w:themeColor="text1"/>
        </w:rPr>
      </w:pPr>
    </w:p>
    <w:p w14:paraId="65325B96" w14:textId="4DFBF10A" w:rsidR="00C47265" w:rsidRPr="000D3EDD" w:rsidRDefault="00C47265" w:rsidP="000D3EDD">
      <w:pPr>
        <w:spacing w:line="276" w:lineRule="auto"/>
        <w:rPr>
          <w:color w:val="000000" w:themeColor="text1"/>
        </w:rPr>
      </w:pPr>
      <w:r w:rsidRPr="000D3EDD">
        <w:rPr>
          <w:color w:val="000000" w:themeColor="text1"/>
        </w:rPr>
        <w:t>Boliver</w:t>
      </w:r>
      <w:r w:rsidR="00415958" w:rsidRPr="000D3EDD">
        <w:rPr>
          <w:color w:val="000000" w:themeColor="text1"/>
        </w:rPr>
        <w:t xml:space="preserve">, </w:t>
      </w:r>
      <w:r w:rsidRPr="000D3EDD">
        <w:rPr>
          <w:color w:val="000000" w:themeColor="text1"/>
        </w:rPr>
        <w:t>V</w:t>
      </w:r>
      <w:r w:rsidR="00415958" w:rsidRPr="000D3EDD">
        <w:rPr>
          <w:color w:val="000000" w:themeColor="text1"/>
        </w:rPr>
        <w:t>.</w:t>
      </w:r>
      <w:r w:rsidR="00B8497E" w:rsidRPr="000D3EDD">
        <w:rPr>
          <w:color w:val="000000" w:themeColor="text1"/>
        </w:rPr>
        <w:t xml:space="preserve"> </w:t>
      </w:r>
      <w:r w:rsidRPr="000D3EDD">
        <w:rPr>
          <w:color w:val="000000" w:themeColor="text1"/>
        </w:rPr>
        <w:t>(2015)</w:t>
      </w:r>
      <w:r w:rsidR="00415958" w:rsidRPr="000D3EDD">
        <w:rPr>
          <w:color w:val="000000" w:themeColor="text1"/>
        </w:rPr>
        <w:t>.</w:t>
      </w:r>
      <w:r w:rsidRPr="000D3EDD">
        <w:rPr>
          <w:color w:val="000000" w:themeColor="text1"/>
        </w:rPr>
        <w:t xml:space="preserve"> Are there distinctive clusters of higher and lower status universities in the </w:t>
      </w:r>
      <w:proofErr w:type="gramStart"/>
      <w:r w:rsidRPr="000D3EDD">
        <w:rPr>
          <w:color w:val="000000" w:themeColor="text1"/>
        </w:rPr>
        <w:t>UK?,</w:t>
      </w:r>
      <w:proofErr w:type="gramEnd"/>
      <w:r w:rsidRPr="000D3EDD">
        <w:rPr>
          <w:color w:val="000000" w:themeColor="text1"/>
        </w:rPr>
        <w:t xml:space="preserve"> </w:t>
      </w:r>
      <w:r w:rsidRPr="000D3EDD">
        <w:rPr>
          <w:i/>
          <w:iCs/>
          <w:color w:val="000000" w:themeColor="text1"/>
        </w:rPr>
        <w:t>Oxford Review of Education</w:t>
      </w:r>
      <w:r w:rsidRPr="000D3EDD">
        <w:rPr>
          <w:color w:val="000000" w:themeColor="text1"/>
        </w:rPr>
        <w:t xml:space="preserve">, </w:t>
      </w:r>
      <w:r w:rsidRPr="000D3EDD">
        <w:rPr>
          <w:i/>
          <w:iCs/>
          <w:color w:val="000000" w:themeColor="text1"/>
        </w:rPr>
        <w:t>41</w:t>
      </w:r>
      <w:r w:rsidR="00415958" w:rsidRPr="000D3EDD">
        <w:rPr>
          <w:color w:val="000000" w:themeColor="text1"/>
        </w:rPr>
        <w:t>(</w:t>
      </w:r>
      <w:r w:rsidRPr="000D3EDD">
        <w:rPr>
          <w:color w:val="000000" w:themeColor="text1"/>
        </w:rPr>
        <w:t>5</w:t>
      </w:r>
      <w:r w:rsidR="00415958" w:rsidRPr="000D3EDD">
        <w:rPr>
          <w:color w:val="000000" w:themeColor="text1"/>
        </w:rPr>
        <w:t>)</w:t>
      </w:r>
      <w:r w:rsidR="004C0A6B" w:rsidRPr="000D3EDD">
        <w:rPr>
          <w:color w:val="000000" w:themeColor="text1"/>
        </w:rPr>
        <w:t>, 608-27</w:t>
      </w:r>
      <w:r w:rsidRPr="000D3EDD">
        <w:rPr>
          <w:color w:val="000000" w:themeColor="text1"/>
        </w:rPr>
        <w:t xml:space="preserve">. </w:t>
      </w:r>
    </w:p>
    <w:p w14:paraId="15B8D155" w14:textId="77777777" w:rsidR="00C47265" w:rsidRPr="000D3EDD" w:rsidRDefault="00C47265" w:rsidP="000D3EDD">
      <w:pPr>
        <w:spacing w:line="276" w:lineRule="auto"/>
        <w:rPr>
          <w:color w:val="000000" w:themeColor="text1"/>
        </w:rPr>
      </w:pPr>
    </w:p>
    <w:p w14:paraId="6E437661" w14:textId="7D782CE9" w:rsidR="00C47265" w:rsidRPr="000D3EDD" w:rsidRDefault="00C47265" w:rsidP="000D3EDD">
      <w:pPr>
        <w:spacing w:line="276" w:lineRule="auto"/>
        <w:rPr>
          <w:color w:val="000000" w:themeColor="text1"/>
        </w:rPr>
      </w:pPr>
      <w:r w:rsidRPr="000D3EDD">
        <w:rPr>
          <w:color w:val="000000" w:themeColor="text1"/>
        </w:rPr>
        <w:t>Britton</w:t>
      </w:r>
      <w:r w:rsidR="004C0A6B" w:rsidRPr="000D3EDD">
        <w:rPr>
          <w:color w:val="000000" w:themeColor="text1"/>
        </w:rPr>
        <w:t>,</w:t>
      </w:r>
      <w:r w:rsidR="00B8497E" w:rsidRPr="000D3EDD">
        <w:rPr>
          <w:color w:val="000000" w:themeColor="text1"/>
        </w:rPr>
        <w:t xml:space="preserve"> </w:t>
      </w:r>
      <w:r w:rsidRPr="000D3EDD">
        <w:rPr>
          <w:color w:val="000000" w:themeColor="text1"/>
        </w:rPr>
        <w:t>J</w:t>
      </w:r>
      <w:r w:rsidR="004C0A6B" w:rsidRPr="000D3EDD">
        <w:rPr>
          <w:color w:val="000000" w:themeColor="text1"/>
        </w:rPr>
        <w:t>.</w:t>
      </w:r>
      <w:r w:rsidR="00B8497E" w:rsidRPr="000D3EDD">
        <w:rPr>
          <w:color w:val="000000" w:themeColor="text1"/>
        </w:rPr>
        <w:t xml:space="preserve">, </w:t>
      </w:r>
      <w:r w:rsidRPr="000D3EDD">
        <w:rPr>
          <w:color w:val="000000" w:themeColor="text1"/>
        </w:rPr>
        <w:t>Dearden</w:t>
      </w:r>
      <w:r w:rsidR="004C0A6B" w:rsidRPr="000D3EDD">
        <w:rPr>
          <w:color w:val="000000" w:themeColor="text1"/>
        </w:rPr>
        <w:t>,</w:t>
      </w:r>
      <w:r w:rsidR="00B8497E" w:rsidRPr="000D3EDD">
        <w:rPr>
          <w:color w:val="000000" w:themeColor="text1"/>
        </w:rPr>
        <w:t xml:space="preserve"> </w:t>
      </w:r>
      <w:r w:rsidRPr="000D3EDD">
        <w:rPr>
          <w:color w:val="000000" w:themeColor="text1"/>
        </w:rPr>
        <w:t>L</w:t>
      </w:r>
      <w:r w:rsidR="004C0A6B" w:rsidRPr="000D3EDD">
        <w:rPr>
          <w:color w:val="000000" w:themeColor="text1"/>
        </w:rPr>
        <w:t>.</w:t>
      </w:r>
      <w:r w:rsidRPr="000D3EDD">
        <w:rPr>
          <w:color w:val="000000" w:themeColor="text1"/>
        </w:rPr>
        <w:t>, Shephard</w:t>
      </w:r>
      <w:r w:rsidR="004C0A6B" w:rsidRPr="000D3EDD">
        <w:rPr>
          <w:color w:val="000000" w:themeColor="text1"/>
        </w:rPr>
        <w:t xml:space="preserve">, </w:t>
      </w:r>
      <w:r w:rsidRPr="000D3EDD">
        <w:rPr>
          <w:color w:val="000000" w:themeColor="text1"/>
        </w:rPr>
        <w:t>N</w:t>
      </w:r>
      <w:r w:rsidR="004C0A6B" w:rsidRPr="000D3EDD">
        <w:rPr>
          <w:color w:val="000000" w:themeColor="text1"/>
        </w:rPr>
        <w:t>., &amp;</w:t>
      </w:r>
      <w:r w:rsidRPr="000D3EDD">
        <w:rPr>
          <w:color w:val="000000" w:themeColor="text1"/>
        </w:rPr>
        <w:t xml:space="preserve"> </w:t>
      </w:r>
      <w:proofErr w:type="spellStart"/>
      <w:r w:rsidRPr="000D3EDD">
        <w:rPr>
          <w:color w:val="000000" w:themeColor="text1"/>
        </w:rPr>
        <w:t>Vignoles</w:t>
      </w:r>
      <w:proofErr w:type="spellEnd"/>
      <w:r w:rsidR="004C0A6B" w:rsidRPr="000D3EDD">
        <w:rPr>
          <w:color w:val="000000" w:themeColor="text1"/>
        </w:rPr>
        <w:t>,</w:t>
      </w:r>
      <w:r w:rsidR="00B8497E" w:rsidRPr="000D3EDD">
        <w:rPr>
          <w:color w:val="000000" w:themeColor="text1"/>
        </w:rPr>
        <w:t xml:space="preserve"> </w:t>
      </w:r>
      <w:r w:rsidRPr="000D3EDD">
        <w:rPr>
          <w:color w:val="000000" w:themeColor="text1"/>
        </w:rPr>
        <w:t>A</w:t>
      </w:r>
      <w:r w:rsidR="004C0A6B" w:rsidRPr="000D3EDD">
        <w:rPr>
          <w:color w:val="000000" w:themeColor="text1"/>
        </w:rPr>
        <w:t>.</w:t>
      </w:r>
      <w:r w:rsidRPr="000D3EDD">
        <w:rPr>
          <w:color w:val="000000" w:themeColor="text1"/>
        </w:rPr>
        <w:t xml:space="preserve"> (2016)</w:t>
      </w:r>
      <w:r w:rsidR="004C0A6B" w:rsidRPr="000D3EDD">
        <w:rPr>
          <w:color w:val="000000" w:themeColor="text1"/>
        </w:rPr>
        <w:t>.</w:t>
      </w:r>
      <w:r w:rsidRPr="000D3EDD">
        <w:rPr>
          <w:color w:val="000000" w:themeColor="text1"/>
        </w:rPr>
        <w:t xml:space="preserve"> </w:t>
      </w:r>
      <w:r w:rsidRPr="000D3EDD">
        <w:rPr>
          <w:i/>
          <w:iCs/>
          <w:color w:val="000000" w:themeColor="text1"/>
        </w:rPr>
        <w:t>How English domiciled graduate earnings vary with gender, institution attended, subject and socio-economic background.</w:t>
      </w:r>
      <w:r w:rsidRPr="000D3EDD">
        <w:rPr>
          <w:color w:val="000000" w:themeColor="text1"/>
        </w:rPr>
        <w:t xml:space="preserve"> IFS working paper W16/06. </w:t>
      </w:r>
    </w:p>
    <w:p w14:paraId="2D215289" w14:textId="77777777" w:rsidR="00C47265" w:rsidRPr="000D3EDD" w:rsidRDefault="00C47265" w:rsidP="000D3EDD">
      <w:pPr>
        <w:spacing w:line="276" w:lineRule="auto"/>
        <w:rPr>
          <w:color w:val="000000" w:themeColor="text1"/>
        </w:rPr>
      </w:pPr>
    </w:p>
    <w:p w14:paraId="72682FCD" w14:textId="4B75568E" w:rsidR="00C47265" w:rsidRPr="000D3EDD" w:rsidRDefault="00C47265" w:rsidP="000D3EDD">
      <w:pPr>
        <w:spacing w:line="276" w:lineRule="auto"/>
        <w:rPr>
          <w:color w:val="000000" w:themeColor="text1"/>
        </w:rPr>
      </w:pPr>
      <w:r w:rsidRPr="000D3EDD">
        <w:rPr>
          <w:color w:val="000000" w:themeColor="text1"/>
        </w:rPr>
        <w:t>Budd</w:t>
      </w:r>
      <w:r w:rsidR="004C0A6B" w:rsidRPr="000D3EDD">
        <w:rPr>
          <w:color w:val="000000" w:themeColor="text1"/>
        </w:rPr>
        <w:t xml:space="preserve">, </w:t>
      </w:r>
      <w:r w:rsidRPr="000D3EDD">
        <w:rPr>
          <w:color w:val="000000" w:themeColor="text1"/>
        </w:rPr>
        <w:t>R</w:t>
      </w:r>
      <w:r w:rsidR="004C0A6B" w:rsidRPr="000D3EDD">
        <w:rPr>
          <w:color w:val="000000" w:themeColor="text1"/>
        </w:rPr>
        <w:t xml:space="preserve">., </w:t>
      </w:r>
      <w:r w:rsidRPr="000D3EDD">
        <w:rPr>
          <w:color w:val="000000" w:themeColor="text1"/>
        </w:rPr>
        <w:t>O'Connell</w:t>
      </w:r>
      <w:r w:rsidR="004C0A6B" w:rsidRPr="000D3EDD">
        <w:rPr>
          <w:color w:val="000000" w:themeColor="text1"/>
        </w:rPr>
        <w:t xml:space="preserve">, </w:t>
      </w:r>
      <w:r w:rsidRPr="000D3EDD">
        <w:rPr>
          <w:color w:val="000000" w:themeColor="text1"/>
        </w:rPr>
        <w:t>C</w:t>
      </w:r>
      <w:r w:rsidR="004C0A6B" w:rsidRPr="000D3EDD">
        <w:rPr>
          <w:color w:val="000000" w:themeColor="text1"/>
        </w:rPr>
        <w:t>.</w:t>
      </w:r>
      <w:r w:rsidR="00B8497E" w:rsidRPr="000D3EDD">
        <w:rPr>
          <w:color w:val="000000" w:themeColor="text1"/>
        </w:rPr>
        <w:t xml:space="preserve">, </w:t>
      </w:r>
      <w:r w:rsidRPr="000D3EDD">
        <w:rPr>
          <w:color w:val="000000" w:themeColor="text1"/>
        </w:rPr>
        <w:t>Yuan</w:t>
      </w:r>
      <w:r w:rsidR="004C0A6B" w:rsidRPr="000D3EDD">
        <w:rPr>
          <w:color w:val="000000" w:themeColor="text1"/>
        </w:rPr>
        <w:t>,</w:t>
      </w:r>
      <w:r w:rsidR="00B8497E" w:rsidRPr="000D3EDD">
        <w:rPr>
          <w:color w:val="000000" w:themeColor="text1"/>
        </w:rPr>
        <w:t xml:space="preserve"> </w:t>
      </w:r>
      <w:r w:rsidRPr="000D3EDD">
        <w:rPr>
          <w:color w:val="000000" w:themeColor="text1"/>
        </w:rPr>
        <w:t>T</w:t>
      </w:r>
      <w:r w:rsidR="004C0A6B" w:rsidRPr="000D3EDD">
        <w:rPr>
          <w:color w:val="000000" w:themeColor="text1"/>
        </w:rPr>
        <w:t>.</w:t>
      </w:r>
      <w:r w:rsidR="00B8497E" w:rsidRPr="000D3EDD">
        <w:rPr>
          <w:color w:val="000000" w:themeColor="text1"/>
        </w:rPr>
        <w:t>,</w:t>
      </w:r>
      <w:r w:rsidRPr="000D3EDD">
        <w:rPr>
          <w:color w:val="000000" w:themeColor="text1"/>
        </w:rPr>
        <w:t xml:space="preserve"> </w:t>
      </w:r>
      <w:r w:rsidR="004C0A6B" w:rsidRPr="000D3EDD">
        <w:rPr>
          <w:color w:val="000000" w:themeColor="text1"/>
        </w:rPr>
        <w:t>&amp;</w:t>
      </w:r>
      <w:r w:rsidRPr="000D3EDD">
        <w:rPr>
          <w:color w:val="000000" w:themeColor="text1"/>
        </w:rPr>
        <w:t xml:space="preserve"> </w:t>
      </w:r>
      <w:proofErr w:type="spellStart"/>
      <w:r w:rsidRPr="000D3EDD">
        <w:rPr>
          <w:color w:val="000000" w:themeColor="text1"/>
        </w:rPr>
        <w:t>Ververi</w:t>
      </w:r>
      <w:proofErr w:type="spellEnd"/>
      <w:r w:rsidR="004C0A6B" w:rsidRPr="000D3EDD">
        <w:rPr>
          <w:color w:val="000000" w:themeColor="text1"/>
        </w:rPr>
        <w:t>,</w:t>
      </w:r>
      <w:r w:rsidRPr="000D3EDD">
        <w:rPr>
          <w:color w:val="000000" w:themeColor="text1"/>
        </w:rPr>
        <w:t xml:space="preserve"> O</w:t>
      </w:r>
      <w:r w:rsidR="004C0A6B" w:rsidRPr="000D3EDD">
        <w:rPr>
          <w:color w:val="000000" w:themeColor="text1"/>
        </w:rPr>
        <w:t xml:space="preserve">. </w:t>
      </w:r>
      <w:r w:rsidRPr="000D3EDD">
        <w:rPr>
          <w:color w:val="000000" w:themeColor="text1"/>
        </w:rPr>
        <w:t>(2018)</w:t>
      </w:r>
      <w:r w:rsidR="004C0A6B" w:rsidRPr="000D3EDD">
        <w:rPr>
          <w:color w:val="000000" w:themeColor="text1"/>
        </w:rPr>
        <w:t>.</w:t>
      </w:r>
      <w:r w:rsidRPr="000D3EDD">
        <w:rPr>
          <w:color w:val="000000" w:themeColor="text1"/>
        </w:rPr>
        <w:t xml:space="preserve"> </w:t>
      </w:r>
      <w:r w:rsidRPr="000D3EDD">
        <w:rPr>
          <w:i/>
          <w:iCs/>
          <w:color w:val="000000" w:themeColor="text1"/>
        </w:rPr>
        <w:t>The DTC Effect: ESRC Doctoral Training Centres and the UK Social Science Doctoral Training Landscape</w:t>
      </w:r>
      <w:r w:rsidR="004C0A6B" w:rsidRPr="000D3EDD">
        <w:rPr>
          <w:i/>
          <w:iCs/>
          <w:color w:val="000000" w:themeColor="text1"/>
        </w:rPr>
        <w:t xml:space="preserve">. </w:t>
      </w:r>
      <w:r w:rsidR="004C0A6B" w:rsidRPr="000D3EDD">
        <w:rPr>
          <w:color w:val="000000" w:themeColor="text1"/>
        </w:rPr>
        <w:t>Retrieved from</w:t>
      </w:r>
      <w:r w:rsidR="004C0A6B" w:rsidRPr="000D3EDD">
        <w:rPr>
          <w:i/>
          <w:iCs/>
          <w:color w:val="000000" w:themeColor="text1"/>
        </w:rPr>
        <w:t xml:space="preserve"> </w:t>
      </w:r>
      <w:hyperlink r:id="rId12" w:history="1">
        <w:r w:rsidR="004C0A6B" w:rsidRPr="000D3EDD">
          <w:rPr>
            <w:rStyle w:val="Hyperlink"/>
          </w:rPr>
          <w:t>http://hira.hope.ac.uk/id/eprint/2675/1/The%20DTC%20Effect%20-%20Electronic%20Version.pdf</w:t>
        </w:r>
      </w:hyperlink>
      <w:r w:rsidRPr="000D3EDD">
        <w:rPr>
          <w:color w:val="000000" w:themeColor="text1"/>
        </w:rPr>
        <w:t xml:space="preserve"> </w:t>
      </w:r>
    </w:p>
    <w:p w14:paraId="21FECA1B" w14:textId="77777777" w:rsidR="00C47265" w:rsidRPr="000D3EDD" w:rsidRDefault="00C47265" w:rsidP="000D3EDD">
      <w:pPr>
        <w:spacing w:line="276" w:lineRule="auto"/>
        <w:rPr>
          <w:color w:val="000000" w:themeColor="text1"/>
        </w:rPr>
      </w:pPr>
    </w:p>
    <w:p w14:paraId="13293122" w14:textId="727096C7" w:rsidR="00A6106C" w:rsidRPr="000D3EDD" w:rsidRDefault="00A6106C" w:rsidP="000D3EDD">
      <w:pPr>
        <w:spacing w:line="276" w:lineRule="auto"/>
        <w:rPr>
          <w:color w:val="000000" w:themeColor="text1"/>
        </w:rPr>
      </w:pPr>
      <w:r w:rsidRPr="000D3EDD">
        <w:rPr>
          <w:color w:val="000000" w:themeColor="text1"/>
        </w:rPr>
        <w:t>Bryan, B., &amp; Guccione, K. (2018)</w:t>
      </w:r>
      <w:r w:rsidR="002C3AD3" w:rsidRPr="000D3EDD">
        <w:rPr>
          <w:color w:val="000000" w:themeColor="text1"/>
        </w:rPr>
        <w:t>.</w:t>
      </w:r>
      <w:r w:rsidRPr="000D3EDD">
        <w:rPr>
          <w:color w:val="000000" w:themeColor="text1"/>
        </w:rPr>
        <w:t> Was it worth it? A qualitative exploration into graduate perceptions of doctoral value, </w:t>
      </w:r>
      <w:r w:rsidRPr="000D3EDD">
        <w:rPr>
          <w:i/>
          <w:iCs/>
          <w:color w:val="000000" w:themeColor="text1"/>
        </w:rPr>
        <w:t>Higher Education Research &amp; Development</w:t>
      </w:r>
      <w:r w:rsidRPr="000D3EDD">
        <w:rPr>
          <w:color w:val="000000" w:themeColor="text1"/>
        </w:rPr>
        <w:t>, </w:t>
      </w:r>
      <w:r w:rsidRPr="000D3EDD">
        <w:rPr>
          <w:i/>
          <w:iCs/>
          <w:color w:val="000000" w:themeColor="text1"/>
        </w:rPr>
        <w:t>37</w:t>
      </w:r>
      <w:r w:rsidR="002C3AD3" w:rsidRPr="000D3EDD">
        <w:rPr>
          <w:color w:val="000000" w:themeColor="text1"/>
        </w:rPr>
        <w:t>(</w:t>
      </w:r>
      <w:r w:rsidRPr="000D3EDD">
        <w:rPr>
          <w:color w:val="000000" w:themeColor="text1"/>
        </w:rPr>
        <w:t>6</w:t>
      </w:r>
      <w:r w:rsidR="002C3AD3" w:rsidRPr="000D3EDD">
        <w:rPr>
          <w:color w:val="000000" w:themeColor="text1"/>
        </w:rPr>
        <w:t>)</w:t>
      </w:r>
      <w:r w:rsidRPr="000D3EDD">
        <w:rPr>
          <w:color w:val="000000" w:themeColor="text1"/>
        </w:rPr>
        <w:t>, 1124-1140</w:t>
      </w:r>
    </w:p>
    <w:p w14:paraId="31813A7E" w14:textId="77777777" w:rsidR="00A6106C" w:rsidRPr="000D3EDD" w:rsidRDefault="00A6106C" w:rsidP="000D3EDD">
      <w:pPr>
        <w:spacing w:line="276" w:lineRule="auto"/>
        <w:rPr>
          <w:color w:val="000000" w:themeColor="text1"/>
        </w:rPr>
      </w:pPr>
    </w:p>
    <w:p w14:paraId="469C2063" w14:textId="4F621D33" w:rsidR="00C47265" w:rsidRPr="000D3EDD" w:rsidRDefault="00C47265" w:rsidP="000D3EDD">
      <w:pPr>
        <w:spacing w:line="276" w:lineRule="auto"/>
        <w:rPr>
          <w:color w:val="000000" w:themeColor="text1"/>
        </w:rPr>
      </w:pPr>
      <w:r w:rsidRPr="000D3EDD">
        <w:rPr>
          <w:color w:val="000000" w:themeColor="text1"/>
        </w:rPr>
        <w:t>Casey</w:t>
      </w:r>
      <w:r w:rsidR="00657900" w:rsidRPr="000D3EDD">
        <w:rPr>
          <w:color w:val="000000" w:themeColor="text1"/>
        </w:rPr>
        <w:t xml:space="preserve">, B. </w:t>
      </w:r>
      <w:r w:rsidR="001A4EA7" w:rsidRPr="000D3EDD">
        <w:rPr>
          <w:color w:val="000000" w:themeColor="text1"/>
        </w:rPr>
        <w:t>H</w:t>
      </w:r>
      <w:r w:rsidR="00657900" w:rsidRPr="000D3EDD">
        <w:rPr>
          <w:color w:val="000000" w:themeColor="text1"/>
        </w:rPr>
        <w:t>.</w:t>
      </w:r>
      <w:r w:rsidRPr="000D3EDD">
        <w:rPr>
          <w:color w:val="000000" w:themeColor="text1"/>
        </w:rPr>
        <w:t xml:space="preserve"> (2009)</w:t>
      </w:r>
      <w:r w:rsidR="00657900" w:rsidRPr="000D3EDD">
        <w:rPr>
          <w:color w:val="000000" w:themeColor="text1"/>
        </w:rPr>
        <w:t>.</w:t>
      </w:r>
      <w:r w:rsidRPr="000D3EDD">
        <w:rPr>
          <w:color w:val="000000" w:themeColor="text1"/>
        </w:rPr>
        <w:t xml:space="preserve"> The economic contribution of PhDs. </w:t>
      </w:r>
      <w:r w:rsidRPr="000D3EDD">
        <w:rPr>
          <w:i/>
          <w:iCs/>
          <w:color w:val="000000" w:themeColor="text1"/>
        </w:rPr>
        <w:t>Journal of Higher Education Policy and Management</w:t>
      </w:r>
      <w:r w:rsidRPr="000D3EDD">
        <w:rPr>
          <w:color w:val="000000" w:themeColor="text1"/>
        </w:rPr>
        <w:t xml:space="preserve">, </w:t>
      </w:r>
      <w:r w:rsidRPr="000D3EDD">
        <w:rPr>
          <w:i/>
          <w:iCs/>
          <w:color w:val="000000" w:themeColor="text1"/>
        </w:rPr>
        <w:t>31</w:t>
      </w:r>
      <w:r w:rsidRPr="000D3EDD">
        <w:rPr>
          <w:color w:val="000000" w:themeColor="text1"/>
        </w:rPr>
        <w:t xml:space="preserve">(3), 219–227. </w:t>
      </w:r>
    </w:p>
    <w:p w14:paraId="6E9340BE" w14:textId="77777777" w:rsidR="00C47265" w:rsidRPr="000D3EDD" w:rsidRDefault="00C47265" w:rsidP="000D3EDD">
      <w:pPr>
        <w:spacing w:line="276" w:lineRule="auto"/>
        <w:rPr>
          <w:color w:val="000000" w:themeColor="text1"/>
        </w:rPr>
      </w:pPr>
    </w:p>
    <w:p w14:paraId="22279D81" w14:textId="14011C03" w:rsidR="00C47265" w:rsidRPr="000D3EDD" w:rsidRDefault="00C47265" w:rsidP="000D3EDD">
      <w:pPr>
        <w:spacing w:line="276" w:lineRule="auto"/>
        <w:rPr>
          <w:color w:val="000000" w:themeColor="text1"/>
        </w:rPr>
      </w:pPr>
      <w:r w:rsidRPr="000D3EDD">
        <w:rPr>
          <w:color w:val="000000" w:themeColor="text1"/>
        </w:rPr>
        <w:t>Collins</w:t>
      </w:r>
      <w:r w:rsidR="00657900" w:rsidRPr="000D3EDD">
        <w:rPr>
          <w:color w:val="000000" w:themeColor="text1"/>
        </w:rPr>
        <w:t xml:space="preserve">, </w:t>
      </w:r>
      <w:r w:rsidRPr="000D3EDD">
        <w:rPr>
          <w:color w:val="000000" w:themeColor="text1"/>
        </w:rPr>
        <w:t>R</w:t>
      </w:r>
      <w:r w:rsidR="00657900" w:rsidRPr="000D3EDD">
        <w:rPr>
          <w:color w:val="000000" w:themeColor="text1"/>
        </w:rPr>
        <w:t xml:space="preserve">. </w:t>
      </w:r>
      <w:r w:rsidRPr="000D3EDD">
        <w:rPr>
          <w:color w:val="000000" w:themeColor="text1"/>
        </w:rPr>
        <w:t>(1979)</w:t>
      </w:r>
      <w:r w:rsidR="00657900" w:rsidRPr="000D3EDD">
        <w:rPr>
          <w:color w:val="000000" w:themeColor="text1"/>
        </w:rPr>
        <w:t>.</w:t>
      </w:r>
      <w:r w:rsidRPr="000D3EDD">
        <w:rPr>
          <w:color w:val="000000" w:themeColor="text1"/>
        </w:rPr>
        <w:t xml:space="preserve"> </w:t>
      </w:r>
      <w:r w:rsidRPr="000D3EDD">
        <w:rPr>
          <w:i/>
          <w:iCs/>
          <w:color w:val="000000" w:themeColor="text1"/>
        </w:rPr>
        <w:t>The Credential Society: an historical sociology of education and stratification</w:t>
      </w:r>
      <w:r w:rsidRPr="000D3EDD">
        <w:rPr>
          <w:color w:val="000000" w:themeColor="text1"/>
        </w:rPr>
        <w:t xml:space="preserve">. New York: Academic Press. </w:t>
      </w:r>
    </w:p>
    <w:p w14:paraId="6D48A1BC" w14:textId="1311805D" w:rsidR="00C47265" w:rsidRPr="000D3EDD" w:rsidRDefault="00F0282A" w:rsidP="000D3EDD">
      <w:pPr>
        <w:pStyle w:val="NormalWeb"/>
        <w:spacing w:line="276" w:lineRule="auto"/>
        <w:rPr>
          <w:color w:val="000000" w:themeColor="text1"/>
        </w:rPr>
      </w:pPr>
      <w:r w:rsidRPr="000D3EDD">
        <w:rPr>
          <w:color w:val="000000" w:themeColor="text1"/>
        </w:rPr>
        <w:lastRenderedPageBreak/>
        <w:t>Crossouard, B. (2013)</w:t>
      </w:r>
      <w:r w:rsidR="003321CC" w:rsidRPr="000D3EDD">
        <w:rPr>
          <w:color w:val="000000" w:themeColor="text1"/>
        </w:rPr>
        <w:t>.</w:t>
      </w:r>
      <w:r w:rsidRPr="000D3EDD">
        <w:rPr>
          <w:color w:val="000000" w:themeColor="text1"/>
        </w:rPr>
        <w:t xml:space="preserve"> Conceptualising doctoral researcher training through Bernstein's theoretical frameworks. </w:t>
      </w:r>
      <w:r w:rsidRPr="000D3EDD">
        <w:rPr>
          <w:i/>
          <w:iCs/>
          <w:color w:val="000000" w:themeColor="text1"/>
        </w:rPr>
        <w:t>International Journal of Researcher Development</w:t>
      </w:r>
      <w:r w:rsidRPr="000D3EDD">
        <w:rPr>
          <w:color w:val="000000" w:themeColor="text1"/>
        </w:rPr>
        <w:t xml:space="preserve">, </w:t>
      </w:r>
      <w:r w:rsidRPr="000D3EDD">
        <w:rPr>
          <w:i/>
          <w:iCs/>
          <w:color w:val="000000" w:themeColor="text1"/>
        </w:rPr>
        <w:t>4</w:t>
      </w:r>
      <w:r w:rsidRPr="000D3EDD">
        <w:rPr>
          <w:color w:val="000000" w:themeColor="text1"/>
        </w:rPr>
        <w:t>(2)</w:t>
      </w:r>
      <w:r w:rsidR="003321CC" w:rsidRPr="000D3EDD">
        <w:rPr>
          <w:color w:val="000000" w:themeColor="text1"/>
        </w:rPr>
        <w:t xml:space="preserve">, </w:t>
      </w:r>
      <w:r w:rsidRPr="000D3EDD">
        <w:rPr>
          <w:color w:val="000000" w:themeColor="text1"/>
        </w:rPr>
        <w:t xml:space="preserve">72 – 85. </w:t>
      </w:r>
    </w:p>
    <w:p w14:paraId="1671A89A" w14:textId="217633E6" w:rsidR="00C47265" w:rsidRPr="000D3EDD" w:rsidRDefault="00F0282A" w:rsidP="000D3EDD">
      <w:pPr>
        <w:pStyle w:val="NormalWeb"/>
        <w:spacing w:line="276" w:lineRule="auto"/>
        <w:rPr>
          <w:color w:val="000000" w:themeColor="text1"/>
        </w:rPr>
      </w:pPr>
      <w:r w:rsidRPr="000D3EDD">
        <w:rPr>
          <w:color w:val="000000" w:themeColor="text1"/>
        </w:rPr>
        <w:t>Cut</w:t>
      </w:r>
      <w:r w:rsidR="003321CC" w:rsidRPr="000D3EDD">
        <w:rPr>
          <w:color w:val="000000" w:themeColor="text1"/>
        </w:rPr>
        <w:t>h</w:t>
      </w:r>
      <w:r w:rsidRPr="000D3EDD">
        <w:rPr>
          <w:color w:val="000000" w:themeColor="text1"/>
        </w:rPr>
        <w:t>bert, D., &amp; Molla, T. (2015). PhD crisis discourse: a critical approach to the framing of the problem and some Australian ‘</w:t>
      </w:r>
      <w:proofErr w:type="gramStart"/>
      <w:r w:rsidRPr="000D3EDD">
        <w:rPr>
          <w:color w:val="000000" w:themeColor="text1"/>
        </w:rPr>
        <w:t>solutions’</w:t>
      </w:r>
      <w:proofErr w:type="gramEnd"/>
      <w:r w:rsidRPr="000D3EDD">
        <w:rPr>
          <w:color w:val="000000" w:themeColor="text1"/>
        </w:rPr>
        <w:t xml:space="preserve">. </w:t>
      </w:r>
      <w:r w:rsidRPr="000D3EDD">
        <w:rPr>
          <w:i/>
          <w:iCs/>
          <w:color w:val="000000" w:themeColor="text1"/>
        </w:rPr>
        <w:t>Higher Education</w:t>
      </w:r>
      <w:r w:rsidRPr="000D3EDD">
        <w:rPr>
          <w:color w:val="000000" w:themeColor="text1"/>
        </w:rPr>
        <w:t xml:space="preserve">, </w:t>
      </w:r>
      <w:r w:rsidRPr="000D3EDD">
        <w:rPr>
          <w:i/>
          <w:iCs/>
          <w:color w:val="000000" w:themeColor="text1"/>
        </w:rPr>
        <w:t>69</w:t>
      </w:r>
      <w:r w:rsidRPr="000D3EDD">
        <w:rPr>
          <w:color w:val="000000" w:themeColor="text1"/>
        </w:rPr>
        <w:t xml:space="preserve">(33), 33-53. </w:t>
      </w:r>
    </w:p>
    <w:p w14:paraId="215DE6CD" w14:textId="1B521D6D" w:rsidR="00C47265" w:rsidRPr="000D3EDD" w:rsidRDefault="00C47265" w:rsidP="000D3EDD">
      <w:pPr>
        <w:spacing w:line="276" w:lineRule="auto"/>
        <w:rPr>
          <w:color w:val="000000" w:themeColor="text1"/>
        </w:rPr>
      </w:pPr>
      <w:r w:rsidRPr="000D3EDD">
        <w:rPr>
          <w:color w:val="000000" w:themeColor="text1"/>
        </w:rPr>
        <w:t>Cyranoski</w:t>
      </w:r>
      <w:r w:rsidR="003321CC" w:rsidRPr="000D3EDD">
        <w:rPr>
          <w:color w:val="000000" w:themeColor="text1"/>
        </w:rPr>
        <w:t xml:space="preserve">, </w:t>
      </w:r>
      <w:r w:rsidRPr="000D3EDD">
        <w:rPr>
          <w:color w:val="000000" w:themeColor="text1"/>
        </w:rPr>
        <w:t>D</w:t>
      </w:r>
      <w:r w:rsidR="003321CC" w:rsidRPr="000D3EDD">
        <w:rPr>
          <w:color w:val="000000" w:themeColor="text1"/>
        </w:rPr>
        <w:t>.</w:t>
      </w:r>
      <w:r w:rsidR="00BF3A66" w:rsidRPr="000D3EDD">
        <w:rPr>
          <w:color w:val="000000" w:themeColor="text1"/>
        </w:rPr>
        <w:t>,</w:t>
      </w:r>
      <w:r w:rsidRPr="000D3EDD">
        <w:rPr>
          <w:color w:val="000000" w:themeColor="text1"/>
        </w:rPr>
        <w:t xml:space="preserve"> Gilbert</w:t>
      </w:r>
      <w:r w:rsidR="003321CC" w:rsidRPr="000D3EDD">
        <w:rPr>
          <w:color w:val="000000" w:themeColor="text1"/>
        </w:rPr>
        <w:t>,</w:t>
      </w:r>
      <w:r w:rsidRPr="000D3EDD">
        <w:rPr>
          <w:color w:val="000000" w:themeColor="text1"/>
        </w:rPr>
        <w:t xml:space="preserve"> N</w:t>
      </w:r>
      <w:r w:rsidR="003321CC" w:rsidRPr="000D3EDD">
        <w:rPr>
          <w:color w:val="000000" w:themeColor="text1"/>
        </w:rPr>
        <w:t>.</w:t>
      </w:r>
      <w:r w:rsidRPr="000D3EDD">
        <w:rPr>
          <w:color w:val="000000" w:themeColor="text1"/>
        </w:rPr>
        <w:t>, Ledford</w:t>
      </w:r>
      <w:r w:rsidR="003321CC" w:rsidRPr="000D3EDD">
        <w:rPr>
          <w:color w:val="000000" w:themeColor="text1"/>
        </w:rPr>
        <w:t>,</w:t>
      </w:r>
      <w:r w:rsidRPr="000D3EDD">
        <w:rPr>
          <w:color w:val="000000" w:themeColor="text1"/>
        </w:rPr>
        <w:t xml:space="preserve"> H</w:t>
      </w:r>
      <w:r w:rsidR="003321CC" w:rsidRPr="000D3EDD">
        <w:rPr>
          <w:color w:val="000000" w:themeColor="text1"/>
        </w:rPr>
        <w:t>.</w:t>
      </w:r>
      <w:r w:rsidRPr="000D3EDD">
        <w:rPr>
          <w:color w:val="000000" w:themeColor="text1"/>
        </w:rPr>
        <w:t xml:space="preserve">, </w:t>
      </w:r>
      <w:proofErr w:type="spellStart"/>
      <w:r w:rsidRPr="000D3EDD">
        <w:rPr>
          <w:color w:val="000000" w:themeColor="text1"/>
        </w:rPr>
        <w:t>Nayar</w:t>
      </w:r>
      <w:proofErr w:type="spellEnd"/>
      <w:r w:rsidR="003321CC" w:rsidRPr="000D3EDD">
        <w:rPr>
          <w:color w:val="000000" w:themeColor="text1"/>
        </w:rPr>
        <w:t>,</w:t>
      </w:r>
      <w:r w:rsidR="00BF3A66" w:rsidRPr="000D3EDD">
        <w:rPr>
          <w:color w:val="000000" w:themeColor="text1"/>
        </w:rPr>
        <w:t xml:space="preserve"> </w:t>
      </w:r>
      <w:r w:rsidRPr="000D3EDD">
        <w:rPr>
          <w:color w:val="000000" w:themeColor="text1"/>
        </w:rPr>
        <w:t>A</w:t>
      </w:r>
      <w:r w:rsidR="003321CC" w:rsidRPr="000D3EDD">
        <w:rPr>
          <w:color w:val="000000" w:themeColor="text1"/>
        </w:rPr>
        <w:t>.</w:t>
      </w:r>
      <w:r w:rsidR="00BF3A66" w:rsidRPr="000D3EDD">
        <w:rPr>
          <w:color w:val="000000" w:themeColor="text1"/>
        </w:rPr>
        <w:t>,</w:t>
      </w:r>
      <w:r w:rsidRPr="000D3EDD">
        <w:rPr>
          <w:color w:val="000000" w:themeColor="text1"/>
        </w:rPr>
        <w:t xml:space="preserve"> </w:t>
      </w:r>
      <w:r w:rsidR="003321CC" w:rsidRPr="000D3EDD">
        <w:rPr>
          <w:color w:val="000000" w:themeColor="text1"/>
        </w:rPr>
        <w:t xml:space="preserve">&amp; </w:t>
      </w:r>
      <w:r w:rsidRPr="000D3EDD">
        <w:rPr>
          <w:color w:val="000000" w:themeColor="text1"/>
        </w:rPr>
        <w:t>Yahia, M</w:t>
      </w:r>
      <w:r w:rsidR="003321CC" w:rsidRPr="000D3EDD">
        <w:rPr>
          <w:color w:val="000000" w:themeColor="text1"/>
        </w:rPr>
        <w:t>.</w:t>
      </w:r>
      <w:r w:rsidRPr="000D3EDD">
        <w:rPr>
          <w:color w:val="000000" w:themeColor="text1"/>
        </w:rPr>
        <w:t xml:space="preserve"> (2011)</w:t>
      </w:r>
      <w:r w:rsidR="003321CC" w:rsidRPr="000D3EDD">
        <w:rPr>
          <w:color w:val="000000" w:themeColor="text1"/>
        </w:rPr>
        <w:t>.</w:t>
      </w:r>
      <w:r w:rsidRPr="000D3EDD">
        <w:rPr>
          <w:color w:val="000000" w:themeColor="text1"/>
        </w:rPr>
        <w:t xml:space="preserve"> Education: The PhD factory, </w:t>
      </w:r>
      <w:r w:rsidRPr="000D3EDD">
        <w:rPr>
          <w:i/>
          <w:iCs/>
          <w:color w:val="000000" w:themeColor="text1"/>
        </w:rPr>
        <w:t>Nature</w:t>
      </w:r>
      <w:r w:rsidRPr="000D3EDD">
        <w:rPr>
          <w:color w:val="000000" w:themeColor="text1"/>
        </w:rPr>
        <w:t xml:space="preserve">, 472, 276–9. </w:t>
      </w:r>
    </w:p>
    <w:p w14:paraId="0BAB1DF5" w14:textId="77777777" w:rsidR="00BC16CB" w:rsidRPr="000D3EDD" w:rsidRDefault="00BC16CB" w:rsidP="000D3EDD">
      <w:pPr>
        <w:spacing w:line="276" w:lineRule="auto"/>
        <w:rPr>
          <w:color w:val="000000" w:themeColor="text1"/>
        </w:rPr>
      </w:pPr>
    </w:p>
    <w:p w14:paraId="6576BD8E" w14:textId="77777777" w:rsidR="003321CC" w:rsidRPr="000D3EDD" w:rsidRDefault="00C47265" w:rsidP="000D3EDD">
      <w:pPr>
        <w:spacing w:line="276" w:lineRule="auto"/>
        <w:rPr>
          <w:color w:val="000000" w:themeColor="text1"/>
        </w:rPr>
      </w:pPr>
      <w:r w:rsidRPr="000D3EDD">
        <w:rPr>
          <w:color w:val="000000" w:themeColor="text1"/>
        </w:rPr>
        <w:t>Department for Education</w:t>
      </w:r>
      <w:r w:rsidR="003321CC" w:rsidRPr="000D3EDD">
        <w:rPr>
          <w:color w:val="000000" w:themeColor="text1"/>
        </w:rPr>
        <w:t>.</w:t>
      </w:r>
      <w:r w:rsidRPr="000D3EDD">
        <w:rPr>
          <w:color w:val="000000" w:themeColor="text1"/>
        </w:rPr>
        <w:t xml:space="preserve"> (2017)</w:t>
      </w:r>
      <w:r w:rsidR="003321CC" w:rsidRPr="000D3EDD">
        <w:rPr>
          <w:color w:val="000000" w:themeColor="text1"/>
        </w:rPr>
        <w:t>.</w:t>
      </w:r>
      <w:r w:rsidRPr="000D3EDD">
        <w:rPr>
          <w:color w:val="000000" w:themeColor="text1"/>
        </w:rPr>
        <w:t xml:space="preserve"> </w:t>
      </w:r>
      <w:r w:rsidRPr="000D3EDD">
        <w:rPr>
          <w:i/>
          <w:iCs/>
          <w:color w:val="000000" w:themeColor="text1"/>
        </w:rPr>
        <w:t>Postgraduate Doctoral Loans: government consultation response</w:t>
      </w:r>
      <w:r w:rsidRPr="000D3EDD">
        <w:rPr>
          <w:color w:val="000000" w:themeColor="text1"/>
        </w:rPr>
        <w:t xml:space="preserve">. London: Department for Education. </w:t>
      </w:r>
    </w:p>
    <w:p w14:paraId="521467F9" w14:textId="24D2C0C7" w:rsidR="00C47265" w:rsidRPr="000D3EDD" w:rsidRDefault="00C47265" w:rsidP="000D3EDD">
      <w:pPr>
        <w:spacing w:line="276" w:lineRule="auto"/>
        <w:rPr>
          <w:color w:val="000000" w:themeColor="text1"/>
        </w:rPr>
      </w:pPr>
      <w:r w:rsidRPr="000D3EDD">
        <w:rPr>
          <w:color w:val="000000" w:themeColor="text1"/>
        </w:rPr>
        <w:t>Elias</w:t>
      </w:r>
      <w:r w:rsidR="003321CC" w:rsidRPr="000D3EDD">
        <w:rPr>
          <w:color w:val="000000" w:themeColor="text1"/>
        </w:rPr>
        <w:t xml:space="preserve">, </w:t>
      </w:r>
      <w:r w:rsidRPr="000D3EDD">
        <w:rPr>
          <w:color w:val="000000" w:themeColor="text1"/>
        </w:rPr>
        <w:t>P</w:t>
      </w:r>
      <w:r w:rsidR="003321CC" w:rsidRPr="000D3EDD">
        <w:rPr>
          <w:color w:val="000000" w:themeColor="text1"/>
        </w:rPr>
        <w:t>.</w:t>
      </w:r>
      <w:r w:rsidR="00BF3A66" w:rsidRPr="000D3EDD">
        <w:rPr>
          <w:color w:val="000000" w:themeColor="text1"/>
        </w:rPr>
        <w:t>,</w:t>
      </w:r>
      <w:r w:rsidR="003321CC" w:rsidRPr="000D3EDD">
        <w:rPr>
          <w:color w:val="000000" w:themeColor="text1"/>
        </w:rPr>
        <w:t xml:space="preserve"> &amp;</w:t>
      </w:r>
      <w:r w:rsidRPr="000D3EDD">
        <w:rPr>
          <w:color w:val="000000" w:themeColor="text1"/>
        </w:rPr>
        <w:t xml:space="preserve"> Purcell, K</w:t>
      </w:r>
      <w:r w:rsidR="003321CC" w:rsidRPr="000D3EDD">
        <w:rPr>
          <w:color w:val="000000" w:themeColor="text1"/>
        </w:rPr>
        <w:t>.</w:t>
      </w:r>
      <w:r w:rsidR="00BF3A66" w:rsidRPr="000D3EDD">
        <w:rPr>
          <w:color w:val="000000" w:themeColor="text1"/>
        </w:rPr>
        <w:t xml:space="preserve"> </w:t>
      </w:r>
      <w:r w:rsidRPr="000D3EDD">
        <w:rPr>
          <w:color w:val="000000" w:themeColor="text1"/>
        </w:rPr>
        <w:t>(2013)</w:t>
      </w:r>
      <w:r w:rsidR="003321CC" w:rsidRPr="000D3EDD">
        <w:rPr>
          <w:color w:val="000000" w:themeColor="text1"/>
        </w:rPr>
        <w:t>.</w:t>
      </w:r>
      <w:r w:rsidRPr="000D3EDD">
        <w:rPr>
          <w:color w:val="000000" w:themeColor="text1"/>
        </w:rPr>
        <w:t xml:space="preserve"> </w:t>
      </w:r>
      <w:r w:rsidRPr="000D3EDD">
        <w:rPr>
          <w:i/>
          <w:iCs/>
          <w:color w:val="000000" w:themeColor="text1"/>
        </w:rPr>
        <w:t>Classifying graduate occupations for the knowledge society</w:t>
      </w:r>
      <w:r w:rsidRPr="000D3EDD">
        <w:rPr>
          <w:color w:val="000000" w:themeColor="text1"/>
        </w:rPr>
        <w:t xml:space="preserve">. </w:t>
      </w:r>
      <w:proofErr w:type="spellStart"/>
      <w:r w:rsidRPr="000D3EDD">
        <w:rPr>
          <w:color w:val="000000" w:themeColor="text1"/>
        </w:rPr>
        <w:t>FutureTrack</w:t>
      </w:r>
      <w:proofErr w:type="spellEnd"/>
      <w:r w:rsidRPr="000D3EDD">
        <w:rPr>
          <w:color w:val="000000" w:themeColor="text1"/>
        </w:rPr>
        <w:t xml:space="preserve">, </w:t>
      </w:r>
      <w:r w:rsidR="003321CC" w:rsidRPr="000D3EDD">
        <w:rPr>
          <w:color w:val="000000" w:themeColor="text1"/>
        </w:rPr>
        <w:t>W</w:t>
      </w:r>
      <w:r w:rsidRPr="000D3EDD">
        <w:rPr>
          <w:color w:val="000000" w:themeColor="text1"/>
        </w:rPr>
        <w:t xml:space="preserve">orking </w:t>
      </w:r>
      <w:r w:rsidR="003321CC" w:rsidRPr="000D3EDD">
        <w:rPr>
          <w:color w:val="000000" w:themeColor="text1"/>
        </w:rPr>
        <w:t>P</w:t>
      </w:r>
      <w:r w:rsidRPr="000D3EDD">
        <w:rPr>
          <w:color w:val="000000" w:themeColor="text1"/>
        </w:rPr>
        <w:t xml:space="preserve">aper 5. </w:t>
      </w:r>
    </w:p>
    <w:p w14:paraId="59FD9637" w14:textId="7078B1D7" w:rsidR="002D75D9" w:rsidRPr="000D3EDD" w:rsidRDefault="002D75D9" w:rsidP="000D3EDD">
      <w:pPr>
        <w:spacing w:line="276" w:lineRule="auto"/>
        <w:rPr>
          <w:color w:val="000000" w:themeColor="text1"/>
        </w:rPr>
      </w:pPr>
    </w:p>
    <w:p w14:paraId="614B7A97" w14:textId="5358B495" w:rsidR="002D75D9" w:rsidRPr="000D3EDD" w:rsidRDefault="002D75D9" w:rsidP="000D3EDD">
      <w:pPr>
        <w:spacing w:line="276" w:lineRule="auto"/>
        <w:rPr>
          <w:color w:val="000000" w:themeColor="text1"/>
        </w:rPr>
      </w:pPr>
      <w:r w:rsidRPr="000D3EDD">
        <w:rPr>
          <w:color w:val="000000" w:themeColor="text1"/>
        </w:rPr>
        <w:t xml:space="preserve">Elliot, D., </w:t>
      </w:r>
      <w:proofErr w:type="spellStart"/>
      <w:r w:rsidRPr="000D3EDD">
        <w:rPr>
          <w:color w:val="000000" w:themeColor="text1"/>
        </w:rPr>
        <w:t>Bengtsen</w:t>
      </w:r>
      <w:proofErr w:type="spellEnd"/>
      <w:r w:rsidRPr="000D3EDD">
        <w:rPr>
          <w:color w:val="000000" w:themeColor="text1"/>
        </w:rPr>
        <w:t xml:space="preserve">, S. S., Guccione, K., &amp; Kobayashi, S. (2020). </w:t>
      </w:r>
      <w:r w:rsidRPr="000D3EDD">
        <w:rPr>
          <w:i/>
          <w:iCs/>
          <w:color w:val="000000" w:themeColor="text1"/>
        </w:rPr>
        <w:t>The hidden curriculum in doctoral education</w:t>
      </w:r>
      <w:r w:rsidRPr="000D3EDD">
        <w:rPr>
          <w:color w:val="000000" w:themeColor="text1"/>
        </w:rPr>
        <w:t xml:space="preserve">. Cham: Palgrave Macmillan. </w:t>
      </w:r>
    </w:p>
    <w:p w14:paraId="24672128" w14:textId="236FAEEF" w:rsidR="00FD58AD" w:rsidRPr="000D3EDD" w:rsidRDefault="00FD58AD" w:rsidP="000D3EDD">
      <w:pPr>
        <w:spacing w:line="276" w:lineRule="auto"/>
        <w:rPr>
          <w:color w:val="000000" w:themeColor="text1"/>
        </w:rPr>
      </w:pPr>
    </w:p>
    <w:p w14:paraId="0E96D188" w14:textId="4C750E12" w:rsidR="00FD58AD" w:rsidRPr="000D3EDD" w:rsidRDefault="00FD58AD" w:rsidP="000D3EDD">
      <w:pPr>
        <w:spacing w:line="276" w:lineRule="auto"/>
        <w:rPr>
          <w:color w:val="000000" w:themeColor="text1"/>
        </w:rPr>
      </w:pPr>
      <w:r w:rsidRPr="000D3EDD">
        <w:rPr>
          <w:color w:val="000000" w:themeColor="text1"/>
        </w:rPr>
        <w:t>EPSRC</w:t>
      </w:r>
      <w:r w:rsidR="003321CC" w:rsidRPr="000D3EDD">
        <w:rPr>
          <w:color w:val="000000" w:themeColor="text1"/>
        </w:rPr>
        <w:t xml:space="preserve">. </w:t>
      </w:r>
      <w:r w:rsidRPr="000D3EDD">
        <w:rPr>
          <w:color w:val="000000" w:themeColor="text1"/>
        </w:rPr>
        <w:t>(2020)</w:t>
      </w:r>
      <w:r w:rsidR="003321CC" w:rsidRPr="000D3EDD">
        <w:rPr>
          <w:color w:val="000000" w:themeColor="text1"/>
        </w:rPr>
        <w:t xml:space="preserve">. </w:t>
      </w:r>
      <w:r w:rsidRPr="000D3EDD">
        <w:rPr>
          <w:i/>
          <w:iCs/>
          <w:color w:val="000000" w:themeColor="text1"/>
        </w:rPr>
        <w:t>EPSRC announces review of support for doctoral education.</w:t>
      </w:r>
      <w:r w:rsidRPr="000D3EDD">
        <w:rPr>
          <w:color w:val="000000" w:themeColor="text1"/>
        </w:rPr>
        <w:t xml:space="preserve"> </w:t>
      </w:r>
      <w:r w:rsidR="003321CC" w:rsidRPr="000D3EDD">
        <w:rPr>
          <w:color w:val="000000" w:themeColor="text1"/>
        </w:rPr>
        <w:t xml:space="preserve">Retrieved from </w:t>
      </w:r>
      <w:hyperlink r:id="rId13" w:history="1">
        <w:r w:rsidR="003321CC" w:rsidRPr="000D3EDD">
          <w:rPr>
            <w:rStyle w:val="Hyperlink"/>
          </w:rPr>
          <w:t>https://epsrc.ukri.org/newsevents/news/epsrc-announces-review-of-support-for-doctoral-education/</w:t>
        </w:r>
      </w:hyperlink>
      <w:r w:rsidRPr="000D3EDD">
        <w:rPr>
          <w:color w:val="000000" w:themeColor="text1"/>
        </w:rPr>
        <w:t xml:space="preserve"> </w:t>
      </w:r>
    </w:p>
    <w:p w14:paraId="68964BC3" w14:textId="68E55892" w:rsidR="00FD58AD" w:rsidRPr="000D3EDD" w:rsidRDefault="00FD58AD" w:rsidP="000D3EDD">
      <w:pPr>
        <w:spacing w:line="276" w:lineRule="auto"/>
        <w:rPr>
          <w:color w:val="000000" w:themeColor="text1"/>
        </w:rPr>
      </w:pPr>
    </w:p>
    <w:p w14:paraId="5B4D57F7" w14:textId="6B11D5B8" w:rsidR="00FD58AD" w:rsidRPr="000D3EDD" w:rsidRDefault="00FD58AD" w:rsidP="000D3EDD">
      <w:pPr>
        <w:spacing w:line="276" w:lineRule="auto"/>
        <w:rPr>
          <w:b/>
          <w:bCs/>
          <w:color w:val="000000" w:themeColor="text1"/>
        </w:rPr>
      </w:pPr>
      <w:r w:rsidRPr="000D3EDD">
        <w:rPr>
          <w:color w:val="000000" w:themeColor="text1"/>
        </w:rPr>
        <w:t>ESRC</w:t>
      </w:r>
      <w:r w:rsidR="003321CC" w:rsidRPr="000D3EDD">
        <w:rPr>
          <w:color w:val="000000" w:themeColor="text1"/>
        </w:rPr>
        <w:t>.</w:t>
      </w:r>
      <w:r w:rsidRPr="000D3EDD">
        <w:rPr>
          <w:color w:val="000000" w:themeColor="text1"/>
        </w:rPr>
        <w:t xml:space="preserve"> (2020)</w:t>
      </w:r>
      <w:r w:rsidR="003321CC" w:rsidRPr="000D3EDD">
        <w:rPr>
          <w:color w:val="000000" w:themeColor="text1"/>
        </w:rPr>
        <w:t>.</w:t>
      </w:r>
      <w:r w:rsidRPr="000D3EDD">
        <w:rPr>
          <w:color w:val="000000" w:themeColor="text1"/>
        </w:rPr>
        <w:t xml:space="preserve"> </w:t>
      </w:r>
      <w:r w:rsidRPr="000D3EDD">
        <w:rPr>
          <w:i/>
          <w:iCs/>
          <w:color w:val="000000" w:themeColor="text1"/>
        </w:rPr>
        <w:t>Review of the UK Social Science PhD - a major examination of the future capabilities needed by social science graduates.</w:t>
      </w:r>
      <w:r w:rsidR="003321CC" w:rsidRPr="000D3EDD">
        <w:rPr>
          <w:color w:val="000000" w:themeColor="text1"/>
        </w:rPr>
        <w:t xml:space="preserve"> Retrieved from</w:t>
      </w:r>
      <w:r w:rsidRPr="000D3EDD">
        <w:rPr>
          <w:color w:val="000000" w:themeColor="text1"/>
        </w:rPr>
        <w:t xml:space="preserve"> </w:t>
      </w:r>
      <w:hyperlink r:id="rId14" w:history="1">
        <w:r w:rsidRPr="000D3EDD">
          <w:rPr>
            <w:rStyle w:val="Hyperlink"/>
          </w:rPr>
          <w:t>https://esrc.ukri.org/skills-and-careers/review-of-the-uk-social-science-phd-a-major-examination-of-the-future-capabilities-needed-by-social-science-graduates/</w:t>
        </w:r>
      </w:hyperlink>
      <w:r w:rsidRPr="000D3EDD">
        <w:rPr>
          <w:color w:val="000000" w:themeColor="text1"/>
        </w:rPr>
        <w:t xml:space="preserve"> </w:t>
      </w:r>
    </w:p>
    <w:p w14:paraId="73E594FE" w14:textId="77777777" w:rsidR="00C47265" w:rsidRPr="000D3EDD" w:rsidRDefault="00C47265" w:rsidP="000D3EDD">
      <w:pPr>
        <w:spacing w:line="276" w:lineRule="auto"/>
        <w:rPr>
          <w:color w:val="000000" w:themeColor="text1"/>
        </w:rPr>
      </w:pPr>
    </w:p>
    <w:p w14:paraId="4991D6CC" w14:textId="7C5A116E" w:rsidR="00C47265" w:rsidRPr="000D3EDD" w:rsidRDefault="00C47265" w:rsidP="000D3EDD">
      <w:pPr>
        <w:spacing w:line="276" w:lineRule="auto"/>
        <w:rPr>
          <w:color w:val="000000" w:themeColor="text1"/>
        </w:rPr>
      </w:pPr>
      <w:r w:rsidRPr="000D3EDD">
        <w:rPr>
          <w:color w:val="000000" w:themeColor="text1"/>
        </w:rPr>
        <w:t>Fox</w:t>
      </w:r>
      <w:r w:rsidR="003321CC" w:rsidRPr="000D3EDD">
        <w:rPr>
          <w:color w:val="000000" w:themeColor="text1"/>
        </w:rPr>
        <w:t xml:space="preserve">, </w:t>
      </w:r>
      <w:r w:rsidR="00BF3A66" w:rsidRPr="000D3EDD">
        <w:rPr>
          <w:color w:val="000000" w:themeColor="text1"/>
        </w:rPr>
        <w:t>M</w:t>
      </w:r>
      <w:r w:rsidR="003321CC" w:rsidRPr="000D3EDD">
        <w:rPr>
          <w:color w:val="000000" w:themeColor="text1"/>
        </w:rPr>
        <w:t xml:space="preserve">., </w:t>
      </w:r>
      <w:r w:rsidR="00BF3A66" w:rsidRPr="000D3EDD">
        <w:rPr>
          <w:color w:val="000000" w:themeColor="text1"/>
        </w:rPr>
        <w:t>F</w:t>
      </w:r>
      <w:r w:rsidR="003321CC" w:rsidRPr="000D3EDD">
        <w:rPr>
          <w:color w:val="000000" w:themeColor="text1"/>
        </w:rPr>
        <w:t>., &amp;</w:t>
      </w:r>
      <w:r w:rsidRPr="000D3EDD">
        <w:rPr>
          <w:color w:val="000000" w:themeColor="text1"/>
        </w:rPr>
        <w:t xml:space="preserve"> Stephan</w:t>
      </w:r>
      <w:r w:rsidR="003321CC" w:rsidRPr="000D3EDD">
        <w:rPr>
          <w:color w:val="000000" w:themeColor="text1"/>
        </w:rPr>
        <w:t>,</w:t>
      </w:r>
      <w:r w:rsidR="00BF3A66" w:rsidRPr="000D3EDD">
        <w:rPr>
          <w:color w:val="000000" w:themeColor="text1"/>
        </w:rPr>
        <w:t xml:space="preserve"> P</w:t>
      </w:r>
      <w:r w:rsidR="003321CC" w:rsidRPr="000D3EDD">
        <w:rPr>
          <w:color w:val="000000" w:themeColor="text1"/>
        </w:rPr>
        <w:t xml:space="preserve">., </w:t>
      </w:r>
      <w:r w:rsidR="00BF3A66" w:rsidRPr="000D3EDD">
        <w:rPr>
          <w:color w:val="000000" w:themeColor="text1"/>
        </w:rPr>
        <w:t>E</w:t>
      </w:r>
      <w:r w:rsidR="003321CC" w:rsidRPr="000D3EDD">
        <w:rPr>
          <w:color w:val="000000" w:themeColor="text1"/>
        </w:rPr>
        <w:t>.</w:t>
      </w:r>
      <w:r w:rsidRPr="000D3EDD">
        <w:rPr>
          <w:color w:val="000000" w:themeColor="text1"/>
        </w:rPr>
        <w:t xml:space="preserve"> (2001)</w:t>
      </w:r>
      <w:r w:rsidR="003321CC" w:rsidRPr="000D3EDD">
        <w:rPr>
          <w:color w:val="000000" w:themeColor="text1"/>
        </w:rPr>
        <w:t>.</w:t>
      </w:r>
      <w:r w:rsidRPr="000D3EDD">
        <w:rPr>
          <w:color w:val="000000" w:themeColor="text1"/>
        </w:rPr>
        <w:t xml:space="preserve"> Careers of young scientists: preferences, prospects and realities by gender and field. </w:t>
      </w:r>
      <w:r w:rsidRPr="000D3EDD">
        <w:rPr>
          <w:i/>
          <w:iCs/>
          <w:color w:val="000000" w:themeColor="text1"/>
        </w:rPr>
        <w:t>Social Studies of Science</w:t>
      </w:r>
      <w:r w:rsidRPr="000D3EDD">
        <w:rPr>
          <w:color w:val="000000" w:themeColor="text1"/>
        </w:rPr>
        <w:t xml:space="preserve">, </w:t>
      </w:r>
      <w:r w:rsidRPr="000D3EDD">
        <w:rPr>
          <w:i/>
          <w:iCs/>
          <w:color w:val="000000" w:themeColor="text1"/>
        </w:rPr>
        <w:t>31</w:t>
      </w:r>
      <w:r w:rsidRPr="000D3EDD">
        <w:rPr>
          <w:color w:val="000000" w:themeColor="text1"/>
        </w:rPr>
        <w:t xml:space="preserve">(1) 109–122. </w:t>
      </w:r>
    </w:p>
    <w:p w14:paraId="7AEA3A21" w14:textId="77777777" w:rsidR="00C47265" w:rsidRPr="000D3EDD" w:rsidRDefault="00C47265" w:rsidP="000D3EDD">
      <w:pPr>
        <w:spacing w:line="276" w:lineRule="auto"/>
        <w:rPr>
          <w:color w:val="000000" w:themeColor="text1"/>
        </w:rPr>
      </w:pPr>
    </w:p>
    <w:p w14:paraId="06C50505" w14:textId="2EA2C9D9" w:rsidR="00C47265" w:rsidRPr="000D3EDD" w:rsidRDefault="00C47265" w:rsidP="000D3EDD">
      <w:pPr>
        <w:spacing w:line="276" w:lineRule="auto"/>
        <w:rPr>
          <w:color w:val="000000" w:themeColor="text1"/>
        </w:rPr>
      </w:pPr>
      <w:r w:rsidRPr="000D3EDD">
        <w:rPr>
          <w:color w:val="000000" w:themeColor="text1"/>
        </w:rPr>
        <w:t>Gardner</w:t>
      </w:r>
      <w:r w:rsidR="003321CC" w:rsidRPr="000D3EDD">
        <w:rPr>
          <w:color w:val="000000" w:themeColor="text1"/>
        </w:rPr>
        <w:t xml:space="preserve">, </w:t>
      </w:r>
      <w:r w:rsidRPr="000D3EDD">
        <w:rPr>
          <w:color w:val="000000" w:themeColor="text1"/>
        </w:rPr>
        <w:t>S</w:t>
      </w:r>
      <w:r w:rsidR="003321CC" w:rsidRPr="000D3EDD">
        <w:rPr>
          <w:color w:val="000000" w:themeColor="text1"/>
        </w:rPr>
        <w:t xml:space="preserve">. </w:t>
      </w:r>
      <w:r w:rsidRPr="000D3EDD">
        <w:rPr>
          <w:color w:val="000000" w:themeColor="text1"/>
        </w:rPr>
        <w:t>K</w:t>
      </w:r>
      <w:r w:rsidR="003321CC" w:rsidRPr="000D3EDD">
        <w:rPr>
          <w:color w:val="000000" w:themeColor="text1"/>
        </w:rPr>
        <w:t>.</w:t>
      </w:r>
      <w:r w:rsidRPr="000D3EDD">
        <w:rPr>
          <w:color w:val="000000" w:themeColor="text1"/>
        </w:rPr>
        <w:t xml:space="preserve">, </w:t>
      </w:r>
      <w:proofErr w:type="spellStart"/>
      <w:r w:rsidRPr="000D3EDD">
        <w:rPr>
          <w:color w:val="000000" w:themeColor="text1"/>
        </w:rPr>
        <w:t>Jansujwicz</w:t>
      </w:r>
      <w:proofErr w:type="spellEnd"/>
      <w:r w:rsidR="003321CC" w:rsidRPr="000D3EDD">
        <w:rPr>
          <w:color w:val="000000" w:themeColor="text1"/>
        </w:rPr>
        <w:t>,</w:t>
      </w:r>
      <w:r w:rsidRPr="000D3EDD">
        <w:rPr>
          <w:color w:val="000000" w:themeColor="text1"/>
        </w:rPr>
        <w:t xml:space="preserve"> J</w:t>
      </w:r>
      <w:r w:rsidR="003321CC" w:rsidRPr="000D3EDD">
        <w:rPr>
          <w:color w:val="000000" w:themeColor="text1"/>
        </w:rPr>
        <w:t xml:space="preserve">. </w:t>
      </w:r>
      <w:r w:rsidRPr="000D3EDD">
        <w:rPr>
          <w:color w:val="000000" w:themeColor="text1"/>
        </w:rPr>
        <w:t>S</w:t>
      </w:r>
      <w:r w:rsidR="003321CC" w:rsidRPr="000D3EDD">
        <w:rPr>
          <w:color w:val="000000" w:themeColor="text1"/>
        </w:rPr>
        <w:t>.</w:t>
      </w:r>
      <w:r w:rsidRPr="000D3EDD">
        <w:rPr>
          <w:color w:val="000000" w:themeColor="text1"/>
        </w:rPr>
        <w:t>, Hutchins</w:t>
      </w:r>
      <w:r w:rsidR="003321CC" w:rsidRPr="000D3EDD">
        <w:rPr>
          <w:color w:val="000000" w:themeColor="text1"/>
        </w:rPr>
        <w:t>,</w:t>
      </w:r>
      <w:r w:rsidRPr="000D3EDD">
        <w:rPr>
          <w:color w:val="000000" w:themeColor="text1"/>
        </w:rPr>
        <w:t xml:space="preserve"> K</w:t>
      </w:r>
      <w:r w:rsidR="003321CC" w:rsidRPr="000D3EDD">
        <w:rPr>
          <w:color w:val="000000" w:themeColor="text1"/>
        </w:rPr>
        <w:t>.</w:t>
      </w:r>
      <w:r w:rsidRPr="000D3EDD">
        <w:rPr>
          <w:color w:val="000000" w:themeColor="text1"/>
        </w:rPr>
        <w:t>, Cline</w:t>
      </w:r>
      <w:r w:rsidR="003321CC" w:rsidRPr="000D3EDD">
        <w:rPr>
          <w:color w:val="000000" w:themeColor="text1"/>
        </w:rPr>
        <w:t>,</w:t>
      </w:r>
      <w:r w:rsidR="00BF3A66" w:rsidRPr="000D3EDD">
        <w:rPr>
          <w:color w:val="000000" w:themeColor="text1"/>
        </w:rPr>
        <w:t xml:space="preserve"> </w:t>
      </w:r>
      <w:r w:rsidRPr="000D3EDD">
        <w:rPr>
          <w:color w:val="000000" w:themeColor="text1"/>
        </w:rPr>
        <w:t>B</w:t>
      </w:r>
      <w:r w:rsidR="003321CC" w:rsidRPr="000D3EDD">
        <w:rPr>
          <w:color w:val="000000" w:themeColor="text1"/>
        </w:rPr>
        <w:t>.</w:t>
      </w:r>
      <w:r w:rsidRPr="000D3EDD">
        <w:rPr>
          <w:color w:val="000000" w:themeColor="text1"/>
        </w:rPr>
        <w:t xml:space="preserve">, </w:t>
      </w:r>
      <w:r w:rsidR="003321CC" w:rsidRPr="000D3EDD">
        <w:rPr>
          <w:color w:val="000000" w:themeColor="text1"/>
        </w:rPr>
        <w:t xml:space="preserve">&amp; </w:t>
      </w:r>
      <w:r w:rsidRPr="000D3EDD">
        <w:rPr>
          <w:color w:val="000000" w:themeColor="text1"/>
        </w:rPr>
        <w:t>Levesque</w:t>
      </w:r>
      <w:r w:rsidR="003321CC" w:rsidRPr="000D3EDD">
        <w:rPr>
          <w:color w:val="000000" w:themeColor="text1"/>
        </w:rPr>
        <w:t>,</w:t>
      </w:r>
      <w:r w:rsidRPr="000D3EDD">
        <w:rPr>
          <w:color w:val="000000" w:themeColor="text1"/>
        </w:rPr>
        <w:t xml:space="preserve"> V</w:t>
      </w:r>
      <w:r w:rsidR="003321CC" w:rsidRPr="000D3EDD">
        <w:rPr>
          <w:color w:val="000000" w:themeColor="text1"/>
        </w:rPr>
        <w:t>.</w:t>
      </w:r>
      <w:r w:rsidRPr="000D3EDD">
        <w:rPr>
          <w:color w:val="000000" w:themeColor="text1"/>
        </w:rPr>
        <w:t xml:space="preserve"> (2014)</w:t>
      </w:r>
      <w:r w:rsidR="009B6746" w:rsidRPr="000D3EDD">
        <w:rPr>
          <w:color w:val="000000" w:themeColor="text1"/>
        </w:rPr>
        <w:t>.</w:t>
      </w:r>
      <w:r w:rsidR="00BF3A66" w:rsidRPr="000D3EDD">
        <w:rPr>
          <w:color w:val="000000" w:themeColor="text1"/>
        </w:rPr>
        <w:t xml:space="preserve"> </w:t>
      </w:r>
      <w:r w:rsidRPr="000D3EDD">
        <w:rPr>
          <w:color w:val="000000" w:themeColor="text1"/>
        </w:rPr>
        <w:t xml:space="preserve">Socialization to interdisciplinarity: Faculty and student perspectives. </w:t>
      </w:r>
      <w:r w:rsidRPr="000D3EDD">
        <w:rPr>
          <w:i/>
          <w:iCs/>
          <w:color w:val="000000" w:themeColor="text1"/>
        </w:rPr>
        <w:t>Higher Education</w:t>
      </w:r>
      <w:r w:rsidRPr="000D3EDD">
        <w:rPr>
          <w:color w:val="000000" w:themeColor="text1"/>
        </w:rPr>
        <w:t xml:space="preserve">, </w:t>
      </w:r>
      <w:r w:rsidRPr="000D3EDD">
        <w:rPr>
          <w:i/>
          <w:iCs/>
          <w:color w:val="000000" w:themeColor="text1"/>
        </w:rPr>
        <w:t>67</w:t>
      </w:r>
      <w:r w:rsidRPr="000D3EDD">
        <w:rPr>
          <w:color w:val="000000" w:themeColor="text1"/>
        </w:rPr>
        <w:t xml:space="preserve">(3), 255–271. </w:t>
      </w:r>
    </w:p>
    <w:p w14:paraId="4F5E3C33" w14:textId="77777777" w:rsidR="00C47265" w:rsidRPr="000D3EDD" w:rsidRDefault="00C47265" w:rsidP="000D3EDD">
      <w:pPr>
        <w:spacing w:line="276" w:lineRule="auto"/>
        <w:rPr>
          <w:color w:val="000000" w:themeColor="text1"/>
        </w:rPr>
      </w:pPr>
    </w:p>
    <w:p w14:paraId="6D3850E2" w14:textId="34013D8B" w:rsidR="00C47265" w:rsidRPr="000D3EDD" w:rsidRDefault="00C47265" w:rsidP="000D3EDD">
      <w:pPr>
        <w:spacing w:line="276" w:lineRule="auto"/>
        <w:rPr>
          <w:color w:val="000000" w:themeColor="text1"/>
        </w:rPr>
      </w:pPr>
      <w:r w:rsidRPr="000D3EDD">
        <w:rPr>
          <w:color w:val="000000" w:themeColor="text1"/>
        </w:rPr>
        <w:t>Gaughan</w:t>
      </w:r>
      <w:r w:rsidR="009B6746" w:rsidRPr="000D3EDD">
        <w:rPr>
          <w:color w:val="000000" w:themeColor="text1"/>
        </w:rPr>
        <w:t xml:space="preserve">, </w:t>
      </w:r>
      <w:r w:rsidRPr="000D3EDD">
        <w:rPr>
          <w:color w:val="000000" w:themeColor="text1"/>
        </w:rPr>
        <w:t>M</w:t>
      </w:r>
      <w:r w:rsidR="009B6746" w:rsidRPr="000D3EDD">
        <w:rPr>
          <w:color w:val="000000" w:themeColor="text1"/>
        </w:rPr>
        <w:t>.</w:t>
      </w:r>
      <w:r w:rsidR="00BF3A66" w:rsidRPr="000D3EDD">
        <w:rPr>
          <w:color w:val="000000" w:themeColor="text1"/>
        </w:rPr>
        <w:t>,</w:t>
      </w:r>
      <w:r w:rsidR="009B6746" w:rsidRPr="000D3EDD">
        <w:rPr>
          <w:color w:val="000000" w:themeColor="text1"/>
        </w:rPr>
        <w:t xml:space="preserve"> &amp;</w:t>
      </w:r>
      <w:r w:rsidRPr="000D3EDD">
        <w:rPr>
          <w:color w:val="000000" w:themeColor="text1"/>
        </w:rPr>
        <w:t xml:space="preserve"> Robin</w:t>
      </w:r>
      <w:r w:rsidR="009B6746" w:rsidRPr="000D3EDD">
        <w:rPr>
          <w:color w:val="000000" w:themeColor="text1"/>
        </w:rPr>
        <w:t>,</w:t>
      </w:r>
      <w:r w:rsidRPr="000D3EDD">
        <w:rPr>
          <w:color w:val="000000" w:themeColor="text1"/>
        </w:rPr>
        <w:t xml:space="preserve"> S</w:t>
      </w:r>
      <w:r w:rsidR="009B6746" w:rsidRPr="000D3EDD">
        <w:rPr>
          <w:color w:val="000000" w:themeColor="text1"/>
        </w:rPr>
        <w:t>.</w:t>
      </w:r>
      <w:r w:rsidRPr="000D3EDD">
        <w:rPr>
          <w:color w:val="000000" w:themeColor="text1"/>
        </w:rPr>
        <w:t xml:space="preserve"> (2004)</w:t>
      </w:r>
      <w:r w:rsidR="009B6746" w:rsidRPr="000D3EDD">
        <w:rPr>
          <w:color w:val="000000" w:themeColor="text1"/>
        </w:rPr>
        <w:t>.</w:t>
      </w:r>
      <w:r w:rsidR="00BF3A66" w:rsidRPr="000D3EDD">
        <w:rPr>
          <w:color w:val="000000" w:themeColor="text1"/>
        </w:rPr>
        <w:t xml:space="preserve"> </w:t>
      </w:r>
      <w:r w:rsidRPr="000D3EDD">
        <w:rPr>
          <w:color w:val="000000" w:themeColor="text1"/>
        </w:rPr>
        <w:t xml:space="preserve">National science training policy and early scientific careers in France and the United States. </w:t>
      </w:r>
      <w:r w:rsidRPr="000D3EDD">
        <w:rPr>
          <w:i/>
          <w:iCs/>
          <w:color w:val="000000" w:themeColor="text1"/>
        </w:rPr>
        <w:t>Research Policy</w:t>
      </w:r>
      <w:r w:rsidRPr="000D3EDD">
        <w:rPr>
          <w:color w:val="000000" w:themeColor="text1"/>
        </w:rPr>
        <w:t xml:space="preserve">, </w:t>
      </w:r>
      <w:r w:rsidRPr="000D3EDD">
        <w:rPr>
          <w:i/>
          <w:iCs/>
          <w:color w:val="000000" w:themeColor="text1"/>
        </w:rPr>
        <w:t>33</w:t>
      </w:r>
      <w:r w:rsidRPr="000D3EDD">
        <w:rPr>
          <w:color w:val="000000" w:themeColor="text1"/>
        </w:rPr>
        <w:t xml:space="preserve">(4), 569-81. </w:t>
      </w:r>
    </w:p>
    <w:p w14:paraId="2483DE92" w14:textId="77777777" w:rsidR="00C47265" w:rsidRPr="000D3EDD" w:rsidRDefault="00C47265" w:rsidP="000D3EDD">
      <w:pPr>
        <w:spacing w:line="276" w:lineRule="auto"/>
        <w:rPr>
          <w:color w:val="000000" w:themeColor="text1"/>
        </w:rPr>
      </w:pPr>
    </w:p>
    <w:p w14:paraId="71FE533D" w14:textId="755E0C0D" w:rsidR="00C47265" w:rsidRPr="000D3EDD" w:rsidRDefault="00C47265" w:rsidP="000D3EDD">
      <w:pPr>
        <w:spacing w:line="276" w:lineRule="auto"/>
        <w:rPr>
          <w:color w:val="000000" w:themeColor="text1"/>
        </w:rPr>
      </w:pPr>
      <w:proofErr w:type="spellStart"/>
      <w:r w:rsidRPr="000D3EDD">
        <w:rPr>
          <w:color w:val="000000" w:themeColor="text1"/>
        </w:rPr>
        <w:t>Gopaul</w:t>
      </w:r>
      <w:proofErr w:type="spellEnd"/>
      <w:r w:rsidR="009B6746" w:rsidRPr="000D3EDD">
        <w:rPr>
          <w:color w:val="000000" w:themeColor="text1"/>
        </w:rPr>
        <w:t xml:space="preserve">, </w:t>
      </w:r>
      <w:r w:rsidRPr="000D3EDD">
        <w:rPr>
          <w:color w:val="000000" w:themeColor="text1"/>
        </w:rPr>
        <w:t>B</w:t>
      </w:r>
      <w:r w:rsidR="009B6746" w:rsidRPr="000D3EDD">
        <w:rPr>
          <w:color w:val="000000" w:themeColor="text1"/>
        </w:rPr>
        <w:t xml:space="preserve">. </w:t>
      </w:r>
      <w:r w:rsidRPr="000D3EDD">
        <w:rPr>
          <w:color w:val="000000" w:themeColor="text1"/>
        </w:rPr>
        <w:t>(2015)</w:t>
      </w:r>
      <w:r w:rsidR="009B6746" w:rsidRPr="000D3EDD">
        <w:rPr>
          <w:color w:val="000000" w:themeColor="text1"/>
        </w:rPr>
        <w:t>.</w:t>
      </w:r>
      <w:r w:rsidRPr="000D3EDD">
        <w:rPr>
          <w:color w:val="000000" w:themeColor="text1"/>
        </w:rPr>
        <w:t xml:space="preserve"> Inequality and Doctoral Education: Exploring the “rules” of doctoral study through Bourdieu’s notion of field. </w:t>
      </w:r>
      <w:r w:rsidRPr="000D3EDD">
        <w:rPr>
          <w:i/>
          <w:iCs/>
          <w:color w:val="000000" w:themeColor="text1"/>
        </w:rPr>
        <w:t>Higher Education</w:t>
      </w:r>
      <w:r w:rsidRPr="000D3EDD">
        <w:rPr>
          <w:color w:val="000000" w:themeColor="text1"/>
        </w:rPr>
        <w:t xml:space="preserve">, </w:t>
      </w:r>
      <w:r w:rsidRPr="000D3EDD">
        <w:rPr>
          <w:i/>
          <w:iCs/>
          <w:color w:val="000000" w:themeColor="text1"/>
        </w:rPr>
        <w:t>70</w:t>
      </w:r>
      <w:r w:rsidRPr="000D3EDD">
        <w:rPr>
          <w:color w:val="000000" w:themeColor="text1"/>
        </w:rPr>
        <w:t>(1),73-88</w:t>
      </w:r>
    </w:p>
    <w:p w14:paraId="44CC40F3" w14:textId="77777777" w:rsidR="00C47265" w:rsidRPr="000D3EDD" w:rsidRDefault="00C47265" w:rsidP="000D3EDD">
      <w:pPr>
        <w:spacing w:line="276" w:lineRule="auto"/>
        <w:rPr>
          <w:color w:val="000000" w:themeColor="text1"/>
        </w:rPr>
      </w:pPr>
    </w:p>
    <w:p w14:paraId="6AE4726E" w14:textId="6ACD6C76" w:rsidR="00C47265" w:rsidRPr="000D3EDD" w:rsidRDefault="00C47265" w:rsidP="000D3EDD">
      <w:pPr>
        <w:spacing w:line="276" w:lineRule="auto"/>
        <w:rPr>
          <w:color w:val="000000" w:themeColor="text1"/>
        </w:rPr>
      </w:pPr>
      <w:r w:rsidRPr="000D3EDD">
        <w:rPr>
          <w:color w:val="000000" w:themeColor="text1"/>
        </w:rPr>
        <w:t>Gould</w:t>
      </w:r>
      <w:r w:rsidR="009B6746" w:rsidRPr="000D3EDD">
        <w:rPr>
          <w:color w:val="000000" w:themeColor="text1"/>
        </w:rPr>
        <w:t xml:space="preserve">, </w:t>
      </w:r>
      <w:r w:rsidRPr="000D3EDD">
        <w:rPr>
          <w:color w:val="000000" w:themeColor="text1"/>
        </w:rPr>
        <w:t>J</w:t>
      </w:r>
      <w:r w:rsidR="009B6746" w:rsidRPr="000D3EDD">
        <w:rPr>
          <w:color w:val="000000" w:themeColor="text1"/>
        </w:rPr>
        <w:t>.</w:t>
      </w:r>
      <w:r w:rsidRPr="000D3EDD">
        <w:rPr>
          <w:color w:val="000000" w:themeColor="text1"/>
        </w:rPr>
        <w:t xml:space="preserve"> (2015)</w:t>
      </w:r>
      <w:r w:rsidR="009B6746" w:rsidRPr="000D3EDD">
        <w:rPr>
          <w:color w:val="000000" w:themeColor="text1"/>
        </w:rPr>
        <w:t>.</w:t>
      </w:r>
      <w:r w:rsidR="00BF3A66" w:rsidRPr="000D3EDD">
        <w:rPr>
          <w:color w:val="000000" w:themeColor="text1"/>
        </w:rPr>
        <w:t xml:space="preserve"> </w:t>
      </w:r>
      <w:r w:rsidRPr="000D3EDD">
        <w:rPr>
          <w:color w:val="000000" w:themeColor="text1"/>
        </w:rPr>
        <w:t xml:space="preserve">How to build a better PhD, </w:t>
      </w:r>
      <w:r w:rsidRPr="000D3EDD">
        <w:rPr>
          <w:i/>
          <w:iCs/>
          <w:color w:val="000000" w:themeColor="text1"/>
        </w:rPr>
        <w:t>Nature</w:t>
      </w:r>
      <w:r w:rsidRPr="000D3EDD">
        <w:rPr>
          <w:color w:val="000000" w:themeColor="text1"/>
        </w:rPr>
        <w:t xml:space="preserve">, 528, 22-25. </w:t>
      </w:r>
    </w:p>
    <w:p w14:paraId="5906E317" w14:textId="77777777" w:rsidR="00C47265" w:rsidRPr="000D3EDD" w:rsidRDefault="00C47265" w:rsidP="000D3EDD">
      <w:pPr>
        <w:spacing w:line="276" w:lineRule="auto"/>
        <w:rPr>
          <w:color w:val="000000" w:themeColor="text1"/>
        </w:rPr>
      </w:pPr>
    </w:p>
    <w:p w14:paraId="7842D061" w14:textId="1B206ACD" w:rsidR="00C47265" w:rsidRPr="000D3EDD" w:rsidRDefault="00C47265" w:rsidP="000D3EDD">
      <w:pPr>
        <w:spacing w:line="276" w:lineRule="auto"/>
        <w:rPr>
          <w:color w:val="000000" w:themeColor="text1"/>
        </w:rPr>
      </w:pPr>
      <w:r w:rsidRPr="000D3EDD">
        <w:rPr>
          <w:color w:val="000000" w:themeColor="text1"/>
        </w:rPr>
        <w:t>Guthrie</w:t>
      </w:r>
      <w:r w:rsidR="009B6746" w:rsidRPr="000D3EDD">
        <w:rPr>
          <w:color w:val="000000" w:themeColor="text1"/>
        </w:rPr>
        <w:t xml:space="preserve">, </w:t>
      </w:r>
      <w:r w:rsidR="00BF3A66" w:rsidRPr="000D3EDD">
        <w:rPr>
          <w:color w:val="000000" w:themeColor="text1"/>
        </w:rPr>
        <w:t>S</w:t>
      </w:r>
      <w:r w:rsidR="009B6746" w:rsidRPr="000D3EDD">
        <w:rPr>
          <w:color w:val="000000" w:themeColor="text1"/>
        </w:rPr>
        <w:t>.</w:t>
      </w:r>
      <w:r w:rsidR="00BF3A66" w:rsidRPr="000D3EDD">
        <w:rPr>
          <w:color w:val="000000" w:themeColor="text1"/>
        </w:rPr>
        <w:t xml:space="preserve">, </w:t>
      </w:r>
      <w:proofErr w:type="spellStart"/>
      <w:r w:rsidRPr="000D3EDD">
        <w:rPr>
          <w:color w:val="000000" w:themeColor="text1"/>
        </w:rPr>
        <w:t>Lichten</w:t>
      </w:r>
      <w:proofErr w:type="spellEnd"/>
      <w:r w:rsidR="00BF3A66" w:rsidRPr="000D3EDD">
        <w:rPr>
          <w:color w:val="000000" w:themeColor="text1"/>
        </w:rPr>
        <w:t xml:space="preserve"> C</w:t>
      </w:r>
      <w:r w:rsidR="009B6746" w:rsidRPr="000D3EDD">
        <w:rPr>
          <w:color w:val="000000" w:themeColor="text1"/>
        </w:rPr>
        <w:t xml:space="preserve">., </w:t>
      </w:r>
      <w:r w:rsidR="00BF3A66" w:rsidRPr="000D3EDD">
        <w:rPr>
          <w:color w:val="000000" w:themeColor="text1"/>
        </w:rPr>
        <w:t>A</w:t>
      </w:r>
      <w:r w:rsidR="009B6746" w:rsidRPr="000D3EDD">
        <w:rPr>
          <w:color w:val="000000" w:themeColor="text1"/>
        </w:rPr>
        <w:t>.</w:t>
      </w:r>
      <w:r w:rsidR="00BF3A66" w:rsidRPr="000D3EDD">
        <w:rPr>
          <w:color w:val="000000" w:themeColor="text1"/>
        </w:rPr>
        <w:t>,</w:t>
      </w:r>
      <w:r w:rsidRPr="000D3EDD">
        <w:rPr>
          <w:color w:val="000000" w:themeColor="text1"/>
        </w:rPr>
        <w:t xml:space="preserve"> van Belle</w:t>
      </w:r>
      <w:r w:rsidR="009B6746" w:rsidRPr="000D3EDD">
        <w:rPr>
          <w:color w:val="000000" w:themeColor="text1"/>
        </w:rPr>
        <w:t>,</w:t>
      </w:r>
      <w:r w:rsidRPr="000D3EDD">
        <w:rPr>
          <w:color w:val="000000" w:themeColor="text1"/>
        </w:rPr>
        <w:t xml:space="preserve"> J</w:t>
      </w:r>
      <w:r w:rsidR="009B6746" w:rsidRPr="000D3EDD">
        <w:rPr>
          <w:color w:val="000000" w:themeColor="text1"/>
        </w:rPr>
        <w:t>.</w:t>
      </w:r>
      <w:r w:rsidR="00BF3A66" w:rsidRPr="000D3EDD">
        <w:rPr>
          <w:color w:val="000000" w:themeColor="text1"/>
        </w:rPr>
        <w:t>,</w:t>
      </w:r>
      <w:r w:rsidRPr="000D3EDD">
        <w:rPr>
          <w:color w:val="000000" w:themeColor="text1"/>
        </w:rPr>
        <w:t xml:space="preserve"> Ball</w:t>
      </w:r>
      <w:r w:rsidR="009B6746" w:rsidRPr="000D3EDD">
        <w:rPr>
          <w:color w:val="000000" w:themeColor="text1"/>
        </w:rPr>
        <w:t>,</w:t>
      </w:r>
      <w:r w:rsidRPr="000D3EDD">
        <w:rPr>
          <w:color w:val="000000" w:themeColor="text1"/>
        </w:rPr>
        <w:t xml:space="preserve"> S</w:t>
      </w:r>
      <w:r w:rsidR="009B6746" w:rsidRPr="000D3EDD">
        <w:rPr>
          <w:color w:val="000000" w:themeColor="text1"/>
        </w:rPr>
        <w:t>.</w:t>
      </w:r>
      <w:r w:rsidRPr="000D3EDD">
        <w:rPr>
          <w:color w:val="000000" w:themeColor="text1"/>
        </w:rPr>
        <w:t>, Knack</w:t>
      </w:r>
      <w:r w:rsidR="009B6746" w:rsidRPr="000D3EDD">
        <w:rPr>
          <w:color w:val="000000" w:themeColor="text1"/>
        </w:rPr>
        <w:t>,</w:t>
      </w:r>
      <w:r w:rsidRPr="000D3EDD">
        <w:rPr>
          <w:color w:val="000000" w:themeColor="text1"/>
        </w:rPr>
        <w:t xml:space="preserve"> A</w:t>
      </w:r>
      <w:r w:rsidR="009B6746" w:rsidRPr="000D3EDD">
        <w:rPr>
          <w:color w:val="000000" w:themeColor="text1"/>
        </w:rPr>
        <w:t>.</w:t>
      </w:r>
      <w:r w:rsidR="00BF3A66" w:rsidRPr="000D3EDD">
        <w:rPr>
          <w:color w:val="000000" w:themeColor="text1"/>
        </w:rPr>
        <w:t>,</w:t>
      </w:r>
      <w:r w:rsidR="009B6746" w:rsidRPr="000D3EDD">
        <w:rPr>
          <w:color w:val="000000" w:themeColor="text1"/>
        </w:rPr>
        <w:t xml:space="preserve"> &amp;</w:t>
      </w:r>
      <w:r w:rsidRPr="000D3EDD">
        <w:rPr>
          <w:color w:val="000000" w:themeColor="text1"/>
        </w:rPr>
        <w:t xml:space="preserve"> </w:t>
      </w:r>
      <w:proofErr w:type="spellStart"/>
      <w:r w:rsidRPr="000D3EDD">
        <w:rPr>
          <w:color w:val="000000" w:themeColor="text1"/>
        </w:rPr>
        <w:t>Hofman</w:t>
      </w:r>
      <w:proofErr w:type="spellEnd"/>
      <w:r w:rsidR="009B6746" w:rsidRPr="000D3EDD">
        <w:rPr>
          <w:color w:val="000000" w:themeColor="text1"/>
        </w:rPr>
        <w:t>,</w:t>
      </w:r>
      <w:r w:rsidR="00BF3A66" w:rsidRPr="000D3EDD">
        <w:rPr>
          <w:color w:val="000000" w:themeColor="text1"/>
        </w:rPr>
        <w:t xml:space="preserve"> </w:t>
      </w:r>
      <w:r w:rsidRPr="000D3EDD">
        <w:rPr>
          <w:color w:val="000000" w:themeColor="text1"/>
        </w:rPr>
        <w:t>J</w:t>
      </w:r>
      <w:r w:rsidR="009B6746" w:rsidRPr="000D3EDD">
        <w:rPr>
          <w:color w:val="000000" w:themeColor="text1"/>
        </w:rPr>
        <w:t>.</w:t>
      </w:r>
      <w:r w:rsidRPr="000D3EDD">
        <w:rPr>
          <w:color w:val="000000" w:themeColor="text1"/>
        </w:rPr>
        <w:t xml:space="preserve"> (2017)</w:t>
      </w:r>
      <w:r w:rsidR="009B6746" w:rsidRPr="000D3EDD">
        <w:rPr>
          <w:color w:val="000000" w:themeColor="text1"/>
        </w:rPr>
        <w:t xml:space="preserve">. </w:t>
      </w:r>
      <w:r w:rsidRPr="000D3EDD">
        <w:rPr>
          <w:i/>
          <w:iCs/>
          <w:color w:val="000000" w:themeColor="text1"/>
        </w:rPr>
        <w:t>Understanding mental health in the research environment: A Rapid Evidence Assessment.</w:t>
      </w:r>
      <w:r w:rsidRPr="000D3EDD">
        <w:rPr>
          <w:color w:val="000000" w:themeColor="text1"/>
        </w:rPr>
        <w:t xml:space="preserve"> </w:t>
      </w:r>
      <w:r w:rsidR="009B6746" w:rsidRPr="000D3EDD">
        <w:rPr>
          <w:color w:val="000000" w:themeColor="text1"/>
        </w:rPr>
        <w:t xml:space="preserve">Retrieved from </w:t>
      </w:r>
      <w:hyperlink r:id="rId15" w:history="1">
        <w:r w:rsidR="009B6746" w:rsidRPr="000D3EDD">
          <w:rPr>
            <w:rStyle w:val="Hyperlink"/>
          </w:rPr>
          <w:t>https://www.rand.org/pubs/research_reports/RR2022.html</w:t>
        </w:r>
      </w:hyperlink>
      <w:r w:rsidRPr="000D3EDD">
        <w:rPr>
          <w:color w:val="000000" w:themeColor="text1"/>
        </w:rPr>
        <w:t xml:space="preserve">  </w:t>
      </w:r>
    </w:p>
    <w:p w14:paraId="608426BA" w14:textId="48CEA980" w:rsidR="00DA222F" w:rsidRPr="000D3EDD" w:rsidRDefault="00DA222F" w:rsidP="000D3EDD">
      <w:pPr>
        <w:spacing w:line="276" w:lineRule="auto"/>
        <w:rPr>
          <w:color w:val="000000" w:themeColor="text1"/>
        </w:rPr>
      </w:pPr>
    </w:p>
    <w:p w14:paraId="687BCA1C" w14:textId="2763BBDD" w:rsidR="00945707" w:rsidRPr="000D3EDD" w:rsidRDefault="00945707" w:rsidP="000D3EDD">
      <w:pPr>
        <w:spacing w:line="276" w:lineRule="auto"/>
        <w:rPr>
          <w:color w:val="000000" w:themeColor="text1"/>
        </w:rPr>
      </w:pPr>
      <w:r w:rsidRPr="000D3EDD">
        <w:rPr>
          <w:color w:val="000000" w:themeColor="text1"/>
        </w:rPr>
        <w:t>Hancock, S., Hughes, G., &amp; Walsh, E. (2017). Purist or pragmatist? UK doctoral scientists’ moral positions on the knowledge economy. </w:t>
      </w:r>
      <w:r w:rsidRPr="000D3EDD">
        <w:rPr>
          <w:i/>
          <w:iCs/>
          <w:color w:val="000000" w:themeColor="text1"/>
        </w:rPr>
        <w:t>Studies in Higher Education</w:t>
      </w:r>
      <w:r w:rsidRPr="000D3EDD">
        <w:rPr>
          <w:color w:val="000000" w:themeColor="text1"/>
        </w:rPr>
        <w:t>, </w:t>
      </w:r>
      <w:r w:rsidRPr="000D3EDD">
        <w:rPr>
          <w:i/>
          <w:iCs/>
          <w:color w:val="000000" w:themeColor="text1"/>
        </w:rPr>
        <w:t>42</w:t>
      </w:r>
      <w:r w:rsidRPr="000D3EDD">
        <w:rPr>
          <w:color w:val="000000" w:themeColor="text1"/>
        </w:rPr>
        <w:t>(7), 1244-1258.</w:t>
      </w:r>
    </w:p>
    <w:p w14:paraId="1E9EB521" w14:textId="77777777" w:rsidR="00945707" w:rsidRPr="000D3EDD" w:rsidRDefault="00945707" w:rsidP="000D3EDD">
      <w:pPr>
        <w:spacing w:line="276" w:lineRule="auto"/>
        <w:rPr>
          <w:color w:val="000000" w:themeColor="text1"/>
        </w:rPr>
      </w:pPr>
    </w:p>
    <w:p w14:paraId="34E1C85F" w14:textId="32293D11" w:rsidR="00DA222F" w:rsidRPr="000D3EDD" w:rsidRDefault="00DA222F" w:rsidP="000D3EDD">
      <w:pPr>
        <w:spacing w:line="276" w:lineRule="auto"/>
        <w:rPr>
          <w:color w:val="000000" w:themeColor="text1"/>
        </w:rPr>
      </w:pPr>
      <w:r w:rsidRPr="000D3EDD">
        <w:rPr>
          <w:color w:val="000000" w:themeColor="text1"/>
        </w:rPr>
        <w:t>Hancock, S., &amp; Walsh, E. (2016). Beyond knowledge and skills: rethinking the development of professional identity during the STEM doctorate. </w:t>
      </w:r>
      <w:r w:rsidRPr="000D3EDD">
        <w:rPr>
          <w:i/>
          <w:iCs/>
          <w:color w:val="000000" w:themeColor="text1"/>
        </w:rPr>
        <w:t>Studies in Higher Education</w:t>
      </w:r>
      <w:r w:rsidRPr="000D3EDD">
        <w:rPr>
          <w:color w:val="000000" w:themeColor="text1"/>
        </w:rPr>
        <w:t>, </w:t>
      </w:r>
      <w:r w:rsidRPr="000D3EDD">
        <w:rPr>
          <w:i/>
          <w:iCs/>
          <w:color w:val="000000" w:themeColor="text1"/>
        </w:rPr>
        <w:t>41</w:t>
      </w:r>
      <w:r w:rsidRPr="000D3EDD">
        <w:rPr>
          <w:color w:val="000000" w:themeColor="text1"/>
        </w:rPr>
        <w:t>(1), 37-50.</w:t>
      </w:r>
    </w:p>
    <w:p w14:paraId="73187683" w14:textId="0C87686B" w:rsidR="008A3216" w:rsidRPr="000D3EDD" w:rsidRDefault="008A3216" w:rsidP="000D3EDD">
      <w:pPr>
        <w:spacing w:line="276" w:lineRule="auto"/>
        <w:rPr>
          <w:color w:val="000000" w:themeColor="text1"/>
        </w:rPr>
      </w:pPr>
    </w:p>
    <w:p w14:paraId="19F74E35" w14:textId="71A60E25" w:rsidR="008A3216" w:rsidRPr="000D3EDD" w:rsidRDefault="008A3216" w:rsidP="000D3EDD">
      <w:pPr>
        <w:spacing w:line="276" w:lineRule="auto"/>
        <w:rPr>
          <w:color w:val="000000" w:themeColor="text1"/>
        </w:rPr>
      </w:pPr>
      <w:r w:rsidRPr="000D3EDD">
        <w:rPr>
          <w:color w:val="000000" w:themeColor="text1"/>
        </w:rPr>
        <w:t>Hancock, S. (2019). A future in the knowledge economy? Analysing the career strategies of doctoral scientists through the principles of game theory. </w:t>
      </w:r>
      <w:r w:rsidRPr="000D3EDD">
        <w:rPr>
          <w:i/>
          <w:iCs/>
          <w:color w:val="000000" w:themeColor="text1"/>
        </w:rPr>
        <w:t>Higher Education</w:t>
      </w:r>
      <w:r w:rsidRPr="000D3EDD">
        <w:rPr>
          <w:color w:val="000000" w:themeColor="text1"/>
        </w:rPr>
        <w:t>, </w:t>
      </w:r>
      <w:r w:rsidRPr="000D3EDD">
        <w:rPr>
          <w:i/>
          <w:iCs/>
          <w:color w:val="000000" w:themeColor="text1"/>
        </w:rPr>
        <w:t>78</w:t>
      </w:r>
      <w:r w:rsidRPr="000D3EDD">
        <w:rPr>
          <w:color w:val="000000" w:themeColor="text1"/>
        </w:rPr>
        <w:t>(1), 33–49.</w:t>
      </w:r>
    </w:p>
    <w:p w14:paraId="7F18C2B7" w14:textId="0D148DC6" w:rsidR="00DA222F" w:rsidRPr="000D3EDD" w:rsidRDefault="00DA222F" w:rsidP="000D3EDD">
      <w:pPr>
        <w:spacing w:line="276" w:lineRule="auto"/>
        <w:rPr>
          <w:color w:val="000000" w:themeColor="text1"/>
        </w:rPr>
      </w:pPr>
    </w:p>
    <w:p w14:paraId="3732A838" w14:textId="77777777" w:rsidR="009B6746" w:rsidRPr="000D3EDD" w:rsidRDefault="002D75D9" w:rsidP="000D3EDD">
      <w:pPr>
        <w:spacing w:line="276" w:lineRule="auto"/>
        <w:rPr>
          <w:color w:val="000000" w:themeColor="text1"/>
        </w:rPr>
      </w:pPr>
      <w:r w:rsidRPr="000D3EDD">
        <w:rPr>
          <w:color w:val="000000" w:themeColor="text1"/>
        </w:rPr>
        <w:t>Hancock, S., Wakeling, P, &amp; Chubb, J. (2019). </w:t>
      </w:r>
      <w:r w:rsidRPr="000D3EDD">
        <w:rPr>
          <w:i/>
          <w:iCs/>
          <w:color w:val="000000" w:themeColor="text1"/>
        </w:rPr>
        <w:t>21st Century PhDs: why we need better methods of tracking doctoral access, experiences and outcomes</w:t>
      </w:r>
      <w:r w:rsidRPr="000D3EDD">
        <w:rPr>
          <w:color w:val="000000" w:themeColor="text1"/>
        </w:rPr>
        <w:t>. Research on Research Institute.</w:t>
      </w:r>
      <w:r w:rsidR="00E30523" w:rsidRPr="000D3EDD">
        <w:rPr>
          <w:color w:val="000000" w:themeColor="text1"/>
        </w:rPr>
        <w:t xml:space="preserve"> Retrieved from</w:t>
      </w:r>
      <w:r w:rsidRPr="000D3EDD">
        <w:rPr>
          <w:color w:val="000000" w:themeColor="text1"/>
        </w:rPr>
        <w:t> </w:t>
      </w:r>
      <w:hyperlink r:id="rId16" w:history="1">
        <w:r w:rsidRPr="000D3EDD">
          <w:rPr>
            <w:rStyle w:val="Hyperlink"/>
          </w:rPr>
          <w:t>https://doi.org/10.6084/m9.figshare.9917813</w:t>
        </w:r>
      </w:hyperlink>
    </w:p>
    <w:p w14:paraId="2D37D179" w14:textId="77777777" w:rsidR="009B6746" w:rsidRPr="000D3EDD" w:rsidRDefault="009B6746" w:rsidP="000D3EDD">
      <w:pPr>
        <w:spacing w:line="276" w:lineRule="auto"/>
        <w:rPr>
          <w:color w:val="000000" w:themeColor="text1"/>
        </w:rPr>
      </w:pPr>
    </w:p>
    <w:p w14:paraId="79C842B3" w14:textId="113C62C4" w:rsidR="00A35FEF" w:rsidRPr="000D3EDD" w:rsidRDefault="00C47265" w:rsidP="000D3EDD">
      <w:pPr>
        <w:spacing w:line="276" w:lineRule="auto"/>
        <w:rPr>
          <w:color w:val="000000" w:themeColor="text1"/>
        </w:rPr>
      </w:pPr>
      <w:r w:rsidRPr="000D3EDD">
        <w:rPr>
          <w:color w:val="000000" w:themeColor="text1"/>
        </w:rPr>
        <w:t>Hanushek</w:t>
      </w:r>
      <w:r w:rsidR="009B6746" w:rsidRPr="000D3EDD">
        <w:rPr>
          <w:color w:val="000000" w:themeColor="text1"/>
        </w:rPr>
        <w:t>,</w:t>
      </w:r>
      <w:r w:rsidRPr="000D3EDD">
        <w:rPr>
          <w:color w:val="000000" w:themeColor="text1"/>
        </w:rPr>
        <w:t xml:space="preserve"> E</w:t>
      </w:r>
      <w:r w:rsidR="009B6746" w:rsidRPr="000D3EDD">
        <w:rPr>
          <w:color w:val="000000" w:themeColor="text1"/>
        </w:rPr>
        <w:t>.</w:t>
      </w:r>
      <w:r w:rsidR="00BF3A66" w:rsidRPr="000D3EDD">
        <w:rPr>
          <w:color w:val="000000" w:themeColor="text1"/>
        </w:rPr>
        <w:t xml:space="preserve">, </w:t>
      </w:r>
      <w:r w:rsidR="009B6746" w:rsidRPr="000D3EDD">
        <w:rPr>
          <w:color w:val="000000" w:themeColor="text1"/>
        </w:rPr>
        <w:t xml:space="preserve">&amp; </w:t>
      </w:r>
      <w:proofErr w:type="spellStart"/>
      <w:r w:rsidRPr="000D3EDD">
        <w:rPr>
          <w:color w:val="000000" w:themeColor="text1"/>
        </w:rPr>
        <w:t>Woessmann</w:t>
      </w:r>
      <w:proofErr w:type="spellEnd"/>
      <w:r w:rsidRPr="000D3EDD">
        <w:rPr>
          <w:color w:val="000000" w:themeColor="text1"/>
        </w:rPr>
        <w:t>, L</w:t>
      </w:r>
      <w:r w:rsidR="009B6746" w:rsidRPr="000D3EDD">
        <w:rPr>
          <w:color w:val="000000" w:themeColor="text1"/>
        </w:rPr>
        <w:t>.</w:t>
      </w:r>
      <w:r w:rsidR="00BF3A66" w:rsidRPr="000D3EDD">
        <w:rPr>
          <w:color w:val="000000" w:themeColor="text1"/>
        </w:rPr>
        <w:t xml:space="preserve"> </w:t>
      </w:r>
      <w:r w:rsidRPr="000D3EDD">
        <w:rPr>
          <w:color w:val="000000" w:themeColor="text1"/>
        </w:rPr>
        <w:t>(2015)</w:t>
      </w:r>
      <w:r w:rsidR="009B6746" w:rsidRPr="000D3EDD">
        <w:rPr>
          <w:color w:val="000000" w:themeColor="text1"/>
        </w:rPr>
        <w:t>.</w:t>
      </w:r>
      <w:r w:rsidRPr="000D3EDD">
        <w:rPr>
          <w:color w:val="000000" w:themeColor="text1"/>
        </w:rPr>
        <w:t xml:space="preserve"> </w:t>
      </w:r>
      <w:r w:rsidRPr="000D3EDD">
        <w:rPr>
          <w:i/>
          <w:iCs/>
          <w:color w:val="000000" w:themeColor="text1"/>
        </w:rPr>
        <w:t>The Knowledge Capital of Nations: Education and the Economics of Growth.</w:t>
      </w:r>
      <w:r w:rsidRPr="000D3EDD">
        <w:rPr>
          <w:color w:val="000000" w:themeColor="text1"/>
        </w:rPr>
        <w:t xml:space="preserve"> Cambridge, MA: MIT Press</w:t>
      </w:r>
      <w:r w:rsidR="00A63F67" w:rsidRPr="000D3EDD">
        <w:rPr>
          <w:color w:val="000000" w:themeColor="text1"/>
        </w:rPr>
        <w:t xml:space="preserve">. </w:t>
      </w:r>
    </w:p>
    <w:p w14:paraId="151A7619" w14:textId="1590029F" w:rsidR="00A35FEF" w:rsidRPr="000D3EDD" w:rsidRDefault="00A35FEF" w:rsidP="000D3EDD">
      <w:pPr>
        <w:pStyle w:val="NormalWeb"/>
        <w:spacing w:line="276" w:lineRule="auto"/>
        <w:rPr>
          <w:color w:val="000000" w:themeColor="text1"/>
        </w:rPr>
      </w:pPr>
      <w:proofErr w:type="spellStart"/>
      <w:r w:rsidRPr="000D3EDD">
        <w:rPr>
          <w:color w:val="000000" w:themeColor="text1"/>
        </w:rPr>
        <w:t>Hauss</w:t>
      </w:r>
      <w:proofErr w:type="spellEnd"/>
      <w:r w:rsidRPr="000D3EDD">
        <w:rPr>
          <w:color w:val="000000" w:themeColor="text1"/>
        </w:rPr>
        <w:t xml:space="preserve">, K., </w:t>
      </w:r>
      <w:proofErr w:type="spellStart"/>
      <w:r w:rsidRPr="000D3EDD">
        <w:rPr>
          <w:color w:val="000000" w:themeColor="text1"/>
        </w:rPr>
        <w:t>Kaulisch</w:t>
      </w:r>
      <w:proofErr w:type="spellEnd"/>
      <w:r w:rsidRPr="000D3EDD">
        <w:rPr>
          <w:color w:val="000000" w:themeColor="text1"/>
        </w:rPr>
        <w:t xml:space="preserve">, M., &amp; </w:t>
      </w:r>
      <w:proofErr w:type="spellStart"/>
      <w:r w:rsidRPr="000D3EDD">
        <w:rPr>
          <w:color w:val="000000" w:themeColor="text1"/>
        </w:rPr>
        <w:t>Tesch</w:t>
      </w:r>
      <w:proofErr w:type="spellEnd"/>
      <w:r w:rsidRPr="000D3EDD">
        <w:rPr>
          <w:color w:val="000000" w:themeColor="text1"/>
        </w:rPr>
        <w:t xml:space="preserve">, J. (2015). Against all odds: determinants of doctoral candidates’ intention to enter academia in Germany. </w:t>
      </w:r>
      <w:r w:rsidRPr="000D3EDD">
        <w:rPr>
          <w:i/>
          <w:iCs/>
          <w:color w:val="000000" w:themeColor="text1"/>
        </w:rPr>
        <w:t>International Journal of Researcher Development</w:t>
      </w:r>
      <w:r w:rsidRPr="000D3EDD">
        <w:rPr>
          <w:color w:val="000000" w:themeColor="text1"/>
        </w:rPr>
        <w:t xml:space="preserve">, </w:t>
      </w:r>
      <w:r w:rsidRPr="000D3EDD">
        <w:rPr>
          <w:i/>
          <w:iCs/>
          <w:color w:val="000000" w:themeColor="text1"/>
        </w:rPr>
        <w:t>6</w:t>
      </w:r>
      <w:r w:rsidRPr="000D3EDD">
        <w:rPr>
          <w:color w:val="000000" w:themeColor="text1"/>
        </w:rPr>
        <w:t xml:space="preserve">(2): 122– 143. </w:t>
      </w:r>
    </w:p>
    <w:p w14:paraId="77B25CA1" w14:textId="0DBC8A08" w:rsidR="00C47265" w:rsidRPr="000D3EDD" w:rsidRDefault="00C47265" w:rsidP="000D3EDD">
      <w:pPr>
        <w:spacing w:line="276" w:lineRule="auto"/>
        <w:rPr>
          <w:color w:val="000000" w:themeColor="text1"/>
        </w:rPr>
      </w:pPr>
      <w:r w:rsidRPr="000D3EDD">
        <w:rPr>
          <w:color w:val="000000" w:themeColor="text1"/>
        </w:rPr>
        <w:t>Hayter</w:t>
      </w:r>
      <w:r w:rsidR="00A63F67" w:rsidRPr="000D3EDD">
        <w:rPr>
          <w:color w:val="000000" w:themeColor="text1"/>
        </w:rPr>
        <w:t>,</w:t>
      </w:r>
      <w:r w:rsidR="00BF3A66" w:rsidRPr="000D3EDD">
        <w:rPr>
          <w:color w:val="000000" w:themeColor="text1"/>
        </w:rPr>
        <w:t xml:space="preserve"> </w:t>
      </w:r>
      <w:r w:rsidRPr="000D3EDD">
        <w:rPr>
          <w:color w:val="000000" w:themeColor="text1"/>
        </w:rPr>
        <w:t>C</w:t>
      </w:r>
      <w:r w:rsidR="00A63F67" w:rsidRPr="000D3EDD">
        <w:rPr>
          <w:color w:val="000000" w:themeColor="text1"/>
        </w:rPr>
        <w:t>.</w:t>
      </w:r>
      <w:r w:rsidR="00BF3A66" w:rsidRPr="000D3EDD">
        <w:rPr>
          <w:color w:val="000000" w:themeColor="text1"/>
        </w:rPr>
        <w:t>,</w:t>
      </w:r>
      <w:r w:rsidR="00A63F67" w:rsidRPr="000D3EDD">
        <w:rPr>
          <w:color w:val="000000" w:themeColor="text1"/>
        </w:rPr>
        <w:t xml:space="preserve"> &amp;</w:t>
      </w:r>
      <w:r w:rsidR="00BF3A66" w:rsidRPr="000D3EDD">
        <w:rPr>
          <w:color w:val="000000" w:themeColor="text1"/>
        </w:rPr>
        <w:t xml:space="preserve"> </w:t>
      </w:r>
      <w:r w:rsidRPr="000D3EDD">
        <w:rPr>
          <w:color w:val="000000" w:themeColor="text1"/>
        </w:rPr>
        <w:t>Parker, M</w:t>
      </w:r>
      <w:r w:rsidR="00A63F67" w:rsidRPr="000D3EDD">
        <w:rPr>
          <w:color w:val="000000" w:themeColor="text1"/>
        </w:rPr>
        <w:t>.</w:t>
      </w:r>
      <w:r w:rsidRPr="000D3EDD">
        <w:rPr>
          <w:color w:val="000000" w:themeColor="text1"/>
        </w:rPr>
        <w:t xml:space="preserve"> (2019)</w:t>
      </w:r>
      <w:r w:rsidR="00A63F67" w:rsidRPr="000D3EDD">
        <w:rPr>
          <w:color w:val="000000" w:themeColor="text1"/>
        </w:rPr>
        <w:t>.</w:t>
      </w:r>
      <w:r w:rsidRPr="000D3EDD">
        <w:rPr>
          <w:color w:val="000000" w:themeColor="text1"/>
        </w:rPr>
        <w:t xml:space="preserve"> Factors that influence the transition of university postdocs to non-academic scientific careers: An exploratory study, </w:t>
      </w:r>
      <w:r w:rsidRPr="000D3EDD">
        <w:rPr>
          <w:i/>
          <w:iCs/>
          <w:color w:val="000000" w:themeColor="text1"/>
        </w:rPr>
        <w:t>Research Policy</w:t>
      </w:r>
      <w:r w:rsidRPr="000D3EDD">
        <w:rPr>
          <w:color w:val="000000" w:themeColor="text1"/>
        </w:rPr>
        <w:t xml:space="preserve">, </w:t>
      </w:r>
      <w:r w:rsidRPr="000D3EDD">
        <w:rPr>
          <w:i/>
          <w:iCs/>
          <w:color w:val="000000" w:themeColor="text1"/>
        </w:rPr>
        <w:t>48</w:t>
      </w:r>
      <w:r w:rsidRPr="000D3EDD">
        <w:rPr>
          <w:color w:val="000000" w:themeColor="text1"/>
        </w:rPr>
        <w:t xml:space="preserve">(3), 556-570. </w:t>
      </w:r>
    </w:p>
    <w:p w14:paraId="7F3CBE95" w14:textId="07CE1144" w:rsidR="00ED1080" w:rsidRPr="000D3EDD" w:rsidRDefault="00C47265" w:rsidP="000D3EDD">
      <w:pPr>
        <w:spacing w:line="276" w:lineRule="auto"/>
        <w:rPr>
          <w:color w:val="000000" w:themeColor="text1"/>
        </w:rPr>
      </w:pPr>
      <w:r w:rsidRPr="000D3EDD">
        <w:rPr>
          <w:color w:val="000000" w:themeColor="text1"/>
        </w:rPr>
        <w:t xml:space="preserve">   </w:t>
      </w:r>
    </w:p>
    <w:p w14:paraId="33B1C5DC" w14:textId="4152D959" w:rsidR="00ED1080" w:rsidRDefault="00ED1080" w:rsidP="000D3EDD">
      <w:pPr>
        <w:spacing w:line="276" w:lineRule="auto"/>
        <w:rPr>
          <w:color w:val="000000" w:themeColor="text1"/>
        </w:rPr>
      </w:pPr>
      <w:r w:rsidRPr="000D3EDD">
        <w:rPr>
          <w:color w:val="000000" w:themeColor="text1"/>
        </w:rPr>
        <w:t>HESA</w:t>
      </w:r>
      <w:r w:rsidR="00A63F67" w:rsidRPr="000D3EDD">
        <w:rPr>
          <w:color w:val="000000" w:themeColor="text1"/>
        </w:rPr>
        <w:t>.</w:t>
      </w:r>
      <w:r w:rsidRPr="000D3EDD">
        <w:rPr>
          <w:color w:val="000000" w:themeColor="text1"/>
        </w:rPr>
        <w:t xml:space="preserve"> (2020</w:t>
      </w:r>
      <w:r w:rsidR="00295E4F">
        <w:rPr>
          <w:color w:val="000000" w:themeColor="text1"/>
        </w:rPr>
        <w:t>a</w:t>
      </w:r>
      <w:r w:rsidRPr="000D3EDD">
        <w:rPr>
          <w:color w:val="000000" w:themeColor="text1"/>
        </w:rPr>
        <w:t xml:space="preserve">). What are HE students' progression rates and qualifications? Retrieved from </w:t>
      </w:r>
      <w:hyperlink r:id="rId17" w:history="1">
        <w:r w:rsidRPr="000D3EDD">
          <w:rPr>
            <w:rStyle w:val="Hyperlink"/>
          </w:rPr>
          <w:t>https://www.hesa.ac.uk/data-and-analysis/students/outcomes</w:t>
        </w:r>
      </w:hyperlink>
      <w:r w:rsidRPr="000D3EDD">
        <w:rPr>
          <w:color w:val="000000" w:themeColor="text1"/>
        </w:rPr>
        <w:t xml:space="preserve"> </w:t>
      </w:r>
    </w:p>
    <w:p w14:paraId="448359E2" w14:textId="7E1C1421" w:rsidR="00295E4F" w:rsidRDefault="00295E4F" w:rsidP="000D3EDD">
      <w:pPr>
        <w:spacing w:line="276" w:lineRule="auto"/>
        <w:rPr>
          <w:color w:val="000000" w:themeColor="text1"/>
        </w:rPr>
      </w:pPr>
    </w:p>
    <w:p w14:paraId="163D3ECF" w14:textId="140EE670" w:rsidR="00295E4F" w:rsidRDefault="00295E4F" w:rsidP="000D3EDD">
      <w:pPr>
        <w:spacing w:line="276" w:lineRule="auto"/>
        <w:rPr>
          <w:color w:val="000000" w:themeColor="text1"/>
        </w:rPr>
      </w:pPr>
      <w:r>
        <w:rPr>
          <w:color w:val="000000" w:themeColor="text1"/>
        </w:rPr>
        <w:t xml:space="preserve">HESA. (2020b). HE Graduate Outcomes data. Retrieved from </w:t>
      </w:r>
      <w:hyperlink r:id="rId18" w:history="1">
        <w:r w:rsidRPr="000F2229">
          <w:rPr>
            <w:rStyle w:val="Hyperlink"/>
          </w:rPr>
          <w:t>https://www.hesa.ac.uk/data-and-analysis/graduates</w:t>
        </w:r>
      </w:hyperlink>
    </w:p>
    <w:p w14:paraId="3F466C58" w14:textId="1AAB0DB0" w:rsidR="00295E4F" w:rsidRDefault="00295E4F" w:rsidP="000D3EDD">
      <w:pPr>
        <w:spacing w:line="276" w:lineRule="auto"/>
        <w:rPr>
          <w:color w:val="000000" w:themeColor="text1"/>
        </w:rPr>
      </w:pPr>
    </w:p>
    <w:p w14:paraId="2F38D8DA" w14:textId="3DDBCB01" w:rsidR="00295E4F" w:rsidRPr="000D3EDD" w:rsidRDefault="00295E4F" w:rsidP="000D3EDD">
      <w:pPr>
        <w:spacing w:line="276" w:lineRule="auto"/>
        <w:rPr>
          <w:color w:val="000000" w:themeColor="text1"/>
        </w:rPr>
      </w:pPr>
      <w:r>
        <w:rPr>
          <w:color w:val="000000" w:themeColor="text1"/>
        </w:rPr>
        <w:t xml:space="preserve">HESA. (2020c). Graduate Outcomes Cohort D Review. Retrieved from </w:t>
      </w:r>
      <w:hyperlink r:id="rId19" w:history="1">
        <w:r w:rsidRPr="000F2229">
          <w:rPr>
            <w:rStyle w:val="Hyperlink"/>
          </w:rPr>
          <w:t>https://www.hesa.ac.uk/files/End%20of%20cohort%20D%20report.pdf</w:t>
        </w:r>
      </w:hyperlink>
      <w:r>
        <w:rPr>
          <w:color w:val="000000" w:themeColor="text1"/>
        </w:rPr>
        <w:t xml:space="preserve"> </w:t>
      </w:r>
    </w:p>
    <w:p w14:paraId="3244C54B" w14:textId="77777777" w:rsidR="00C47265" w:rsidRPr="000D3EDD" w:rsidRDefault="00C47265" w:rsidP="000D3EDD">
      <w:pPr>
        <w:spacing w:line="276" w:lineRule="auto"/>
        <w:rPr>
          <w:color w:val="000000" w:themeColor="text1"/>
        </w:rPr>
      </w:pPr>
    </w:p>
    <w:p w14:paraId="07F90EAA" w14:textId="4366709F" w:rsidR="00A35FEF" w:rsidRPr="000D3EDD" w:rsidRDefault="00C47265" w:rsidP="000D3EDD">
      <w:pPr>
        <w:spacing w:line="276" w:lineRule="auto"/>
        <w:rPr>
          <w:color w:val="000000" w:themeColor="text1"/>
        </w:rPr>
      </w:pPr>
      <w:r w:rsidRPr="000D3EDD">
        <w:rPr>
          <w:color w:val="000000" w:themeColor="text1"/>
        </w:rPr>
        <w:t>Hodge</w:t>
      </w:r>
      <w:r w:rsidR="00A63F67" w:rsidRPr="000D3EDD">
        <w:rPr>
          <w:color w:val="000000" w:themeColor="text1"/>
        </w:rPr>
        <w:t>,</w:t>
      </w:r>
      <w:r w:rsidR="00BF3A66" w:rsidRPr="000D3EDD">
        <w:rPr>
          <w:color w:val="000000" w:themeColor="text1"/>
        </w:rPr>
        <w:t xml:space="preserve"> </w:t>
      </w:r>
      <w:r w:rsidRPr="000D3EDD">
        <w:rPr>
          <w:color w:val="000000" w:themeColor="text1"/>
        </w:rPr>
        <w:t>A</w:t>
      </w:r>
      <w:r w:rsidR="00A63F67" w:rsidRPr="000D3EDD">
        <w:rPr>
          <w:color w:val="000000" w:themeColor="text1"/>
        </w:rPr>
        <w:t>.</w:t>
      </w:r>
      <w:r w:rsidRPr="000D3EDD">
        <w:rPr>
          <w:color w:val="000000" w:themeColor="text1"/>
        </w:rPr>
        <w:t xml:space="preserve"> (2010)</w:t>
      </w:r>
      <w:r w:rsidR="00A63F67" w:rsidRPr="000D3EDD">
        <w:rPr>
          <w:color w:val="000000" w:themeColor="text1"/>
        </w:rPr>
        <w:t>.</w:t>
      </w:r>
      <w:r w:rsidRPr="000D3EDD">
        <w:rPr>
          <w:color w:val="000000" w:themeColor="text1"/>
        </w:rPr>
        <w:t xml:space="preserve"> </w:t>
      </w:r>
      <w:r w:rsidRPr="000D3EDD">
        <w:rPr>
          <w:i/>
          <w:iCs/>
          <w:color w:val="000000" w:themeColor="text1"/>
        </w:rPr>
        <w:t>Review of progress in implementing the recommendations of Sir Gareth Roberts, regarding employability and career development of PhD students and research staff.</w:t>
      </w:r>
      <w:r w:rsidRPr="000D3EDD">
        <w:rPr>
          <w:color w:val="000000" w:themeColor="text1"/>
        </w:rPr>
        <w:t xml:space="preserve"> Swindon: Research Councils UK. </w:t>
      </w:r>
    </w:p>
    <w:p w14:paraId="6814448B" w14:textId="078A345E" w:rsidR="00FD58AD" w:rsidRPr="000D3EDD" w:rsidRDefault="00A35FEF" w:rsidP="000D3EDD">
      <w:pPr>
        <w:pStyle w:val="NormalWeb"/>
        <w:spacing w:line="276" w:lineRule="auto"/>
      </w:pPr>
      <w:r w:rsidRPr="000D3EDD">
        <w:rPr>
          <w:color w:val="000000" w:themeColor="text1"/>
        </w:rPr>
        <w:t>Hottenrott, H., &amp; Lawson, C. (2017)</w:t>
      </w:r>
      <w:r w:rsidR="00A63F67" w:rsidRPr="000D3EDD">
        <w:rPr>
          <w:color w:val="000000" w:themeColor="text1"/>
        </w:rPr>
        <w:t>.</w:t>
      </w:r>
      <w:r w:rsidRPr="000D3EDD">
        <w:rPr>
          <w:color w:val="000000" w:themeColor="text1"/>
        </w:rPr>
        <w:t xml:space="preserve"> Flying the nest: how the home department shapes researchers’ career paths, </w:t>
      </w:r>
      <w:r w:rsidRPr="000D3EDD">
        <w:rPr>
          <w:i/>
          <w:iCs/>
          <w:color w:val="000000" w:themeColor="text1"/>
        </w:rPr>
        <w:t>Studies in Higher Education</w:t>
      </w:r>
      <w:r w:rsidRPr="000D3EDD">
        <w:rPr>
          <w:color w:val="000000" w:themeColor="text1"/>
        </w:rPr>
        <w:t xml:space="preserve">, </w:t>
      </w:r>
      <w:r w:rsidRPr="000D3EDD">
        <w:rPr>
          <w:i/>
          <w:iCs/>
          <w:color w:val="000000" w:themeColor="text1"/>
        </w:rPr>
        <w:t>42</w:t>
      </w:r>
      <w:r w:rsidRPr="000D3EDD">
        <w:rPr>
          <w:color w:val="000000" w:themeColor="text1"/>
        </w:rPr>
        <w:t>(6), 1091-1109</w:t>
      </w:r>
      <w:r w:rsidRPr="000D3EDD">
        <w:rPr>
          <w:color w:val="3A3A3A"/>
        </w:rPr>
        <w:t xml:space="preserve">. </w:t>
      </w:r>
    </w:p>
    <w:p w14:paraId="3B404CFB" w14:textId="5C07B497" w:rsidR="00C47265" w:rsidRPr="000D3EDD" w:rsidRDefault="00FD58AD" w:rsidP="000D3EDD">
      <w:pPr>
        <w:spacing w:line="276" w:lineRule="auto"/>
        <w:rPr>
          <w:color w:val="000000" w:themeColor="text1"/>
        </w:rPr>
      </w:pPr>
      <w:r w:rsidRPr="000D3EDD">
        <w:rPr>
          <w:color w:val="000000" w:themeColor="text1"/>
        </w:rPr>
        <w:t>HM Government</w:t>
      </w:r>
      <w:r w:rsidR="002D75D9" w:rsidRPr="000D3EDD">
        <w:rPr>
          <w:color w:val="000000" w:themeColor="text1"/>
        </w:rPr>
        <w:t>.</w:t>
      </w:r>
      <w:r w:rsidRPr="000D3EDD">
        <w:rPr>
          <w:color w:val="000000" w:themeColor="text1"/>
        </w:rPr>
        <w:t xml:space="preserve"> (2020)</w:t>
      </w:r>
      <w:r w:rsidR="002D75D9" w:rsidRPr="000D3EDD">
        <w:rPr>
          <w:color w:val="000000" w:themeColor="text1"/>
        </w:rPr>
        <w:t>.</w:t>
      </w:r>
      <w:r w:rsidRPr="000D3EDD">
        <w:rPr>
          <w:color w:val="000000" w:themeColor="text1"/>
        </w:rPr>
        <w:t xml:space="preserve"> </w:t>
      </w:r>
      <w:r w:rsidRPr="000D3EDD">
        <w:rPr>
          <w:i/>
          <w:iCs/>
          <w:color w:val="000000" w:themeColor="text1"/>
        </w:rPr>
        <w:t>UK Research and Development Roadmap</w:t>
      </w:r>
      <w:r w:rsidRPr="000D3EDD">
        <w:rPr>
          <w:color w:val="000000" w:themeColor="text1"/>
        </w:rPr>
        <w:t xml:space="preserve">. </w:t>
      </w:r>
      <w:r w:rsidR="002D75D9" w:rsidRPr="000D3EDD">
        <w:rPr>
          <w:color w:val="000000" w:themeColor="text1"/>
        </w:rPr>
        <w:t xml:space="preserve">Retrieved from </w:t>
      </w:r>
      <w:hyperlink r:id="rId20" w:history="1">
        <w:r w:rsidR="002D75D9" w:rsidRPr="000D3EDD">
          <w:rPr>
            <w:rStyle w:val="Hyperlink"/>
          </w:rPr>
          <w:t>https://assets.publishing.service.gov.uk/government/uploads/system/uploads/attachment_data/file/896799/UK_Research_and_Development_Roadmap.pdf</w:t>
        </w:r>
      </w:hyperlink>
      <w:r w:rsidRPr="000D3EDD">
        <w:rPr>
          <w:color w:val="000000" w:themeColor="text1"/>
        </w:rPr>
        <w:t xml:space="preserve"> </w:t>
      </w:r>
    </w:p>
    <w:p w14:paraId="748186ED" w14:textId="2EA7F8C5" w:rsidR="00A35FEF" w:rsidRPr="000D3EDD" w:rsidRDefault="00A35FEF" w:rsidP="000D3EDD">
      <w:pPr>
        <w:pStyle w:val="NormalWeb"/>
        <w:spacing w:line="276" w:lineRule="auto"/>
        <w:rPr>
          <w:color w:val="000000" w:themeColor="text1"/>
        </w:rPr>
      </w:pPr>
      <w:r w:rsidRPr="000D3EDD">
        <w:rPr>
          <w:color w:val="000000" w:themeColor="text1"/>
        </w:rPr>
        <w:lastRenderedPageBreak/>
        <w:t>Jackson, D., &amp; Michelson, G. (2015)</w:t>
      </w:r>
      <w:r w:rsidR="00A63F67" w:rsidRPr="000D3EDD">
        <w:rPr>
          <w:color w:val="000000" w:themeColor="text1"/>
        </w:rPr>
        <w:t>.</w:t>
      </w:r>
      <w:r w:rsidRPr="000D3EDD">
        <w:rPr>
          <w:color w:val="000000" w:themeColor="text1"/>
        </w:rPr>
        <w:t xml:space="preserve"> Factors influencing the employment of Australian PhD graduates, </w:t>
      </w:r>
      <w:r w:rsidRPr="000D3EDD">
        <w:rPr>
          <w:i/>
          <w:iCs/>
          <w:color w:val="000000" w:themeColor="text1"/>
        </w:rPr>
        <w:t>Studies in Higher Education</w:t>
      </w:r>
      <w:r w:rsidRPr="000D3EDD">
        <w:rPr>
          <w:color w:val="000000" w:themeColor="text1"/>
        </w:rPr>
        <w:t xml:space="preserve">, </w:t>
      </w:r>
      <w:r w:rsidRPr="000D3EDD">
        <w:rPr>
          <w:i/>
          <w:iCs/>
          <w:color w:val="000000" w:themeColor="text1"/>
        </w:rPr>
        <w:t>40</w:t>
      </w:r>
      <w:r w:rsidRPr="000D3EDD">
        <w:rPr>
          <w:color w:val="000000" w:themeColor="text1"/>
        </w:rPr>
        <w:t xml:space="preserve">(9), 1660-1678. </w:t>
      </w:r>
    </w:p>
    <w:p w14:paraId="4D71F345" w14:textId="6E996507" w:rsidR="00A35FEF" w:rsidRPr="000D3EDD" w:rsidRDefault="00A35FEF" w:rsidP="000D3EDD">
      <w:pPr>
        <w:pStyle w:val="NormalWeb"/>
        <w:spacing w:line="276" w:lineRule="auto"/>
        <w:rPr>
          <w:color w:val="000000" w:themeColor="text1"/>
        </w:rPr>
      </w:pPr>
      <w:proofErr w:type="spellStart"/>
      <w:r w:rsidRPr="000D3EDD">
        <w:rPr>
          <w:color w:val="000000" w:themeColor="text1"/>
        </w:rPr>
        <w:t>Kyvik</w:t>
      </w:r>
      <w:proofErr w:type="spellEnd"/>
      <w:r w:rsidRPr="000D3EDD">
        <w:rPr>
          <w:color w:val="000000" w:themeColor="text1"/>
        </w:rPr>
        <w:t xml:space="preserve">, S., &amp; </w:t>
      </w:r>
      <w:proofErr w:type="spellStart"/>
      <w:r w:rsidRPr="000D3EDD">
        <w:rPr>
          <w:color w:val="000000" w:themeColor="text1"/>
        </w:rPr>
        <w:t>Bruen</w:t>
      </w:r>
      <w:proofErr w:type="spellEnd"/>
      <w:r w:rsidRPr="000D3EDD">
        <w:rPr>
          <w:color w:val="000000" w:themeColor="text1"/>
        </w:rPr>
        <w:t xml:space="preserve"> Olsen, T. (2012). The relevance of doctoral training in different labour markets, </w:t>
      </w:r>
      <w:r w:rsidRPr="000D3EDD">
        <w:rPr>
          <w:i/>
          <w:iCs/>
          <w:color w:val="000000" w:themeColor="text1"/>
        </w:rPr>
        <w:t>Journal of Education and Work</w:t>
      </w:r>
      <w:r w:rsidRPr="000D3EDD">
        <w:rPr>
          <w:color w:val="000000" w:themeColor="text1"/>
        </w:rPr>
        <w:t xml:space="preserve">, </w:t>
      </w:r>
      <w:r w:rsidRPr="000D3EDD">
        <w:rPr>
          <w:i/>
          <w:iCs/>
          <w:color w:val="000000" w:themeColor="text1"/>
        </w:rPr>
        <w:t>25</w:t>
      </w:r>
      <w:r w:rsidRPr="000D3EDD">
        <w:rPr>
          <w:color w:val="000000" w:themeColor="text1"/>
        </w:rPr>
        <w:t xml:space="preserve">(2), 205-224. </w:t>
      </w:r>
    </w:p>
    <w:p w14:paraId="2CD60563" w14:textId="2984181B" w:rsidR="00C47265" w:rsidRPr="000D3EDD" w:rsidRDefault="00C47265" w:rsidP="000D3EDD">
      <w:pPr>
        <w:spacing w:line="276" w:lineRule="auto"/>
        <w:rPr>
          <w:color w:val="000000" w:themeColor="text1"/>
        </w:rPr>
      </w:pPr>
      <w:r w:rsidRPr="000D3EDD">
        <w:rPr>
          <w:color w:val="000000" w:themeColor="text1"/>
        </w:rPr>
        <w:t>Leitch</w:t>
      </w:r>
      <w:r w:rsidR="006C652B" w:rsidRPr="000D3EDD">
        <w:rPr>
          <w:color w:val="000000" w:themeColor="text1"/>
        </w:rPr>
        <w:t xml:space="preserve">, </w:t>
      </w:r>
      <w:r w:rsidRPr="000D3EDD">
        <w:rPr>
          <w:color w:val="000000" w:themeColor="text1"/>
        </w:rPr>
        <w:t>S</w:t>
      </w:r>
      <w:r w:rsidR="006C652B" w:rsidRPr="000D3EDD">
        <w:rPr>
          <w:color w:val="000000" w:themeColor="text1"/>
        </w:rPr>
        <w:t>.</w:t>
      </w:r>
      <w:r w:rsidR="00BF3A66" w:rsidRPr="000D3EDD">
        <w:rPr>
          <w:color w:val="000000" w:themeColor="text1"/>
        </w:rPr>
        <w:t xml:space="preserve"> </w:t>
      </w:r>
      <w:r w:rsidRPr="000D3EDD">
        <w:rPr>
          <w:color w:val="000000" w:themeColor="text1"/>
        </w:rPr>
        <w:t>(2006)</w:t>
      </w:r>
      <w:r w:rsidR="006C652B" w:rsidRPr="000D3EDD">
        <w:rPr>
          <w:color w:val="000000" w:themeColor="text1"/>
        </w:rPr>
        <w:t>.</w:t>
      </w:r>
      <w:r w:rsidR="00BF3A66" w:rsidRPr="000D3EDD">
        <w:rPr>
          <w:color w:val="000000" w:themeColor="text1"/>
        </w:rPr>
        <w:t xml:space="preserve"> </w:t>
      </w:r>
      <w:r w:rsidRPr="000D3EDD">
        <w:rPr>
          <w:color w:val="000000" w:themeColor="text1"/>
        </w:rPr>
        <w:t xml:space="preserve">Leitch Review of Skills: Prosperity for All in the Global Economy – World-class Skills. London: HM Treasury. </w:t>
      </w:r>
    </w:p>
    <w:p w14:paraId="7665959D" w14:textId="77777777" w:rsidR="006C652B" w:rsidRPr="000D3EDD" w:rsidRDefault="006C652B" w:rsidP="000D3EDD">
      <w:pPr>
        <w:spacing w:line="276" w:lineRule="auto"/>
        <w:rPr>
          <w:color w:val="000000" w:themeColor="text1"/>
        </w:rPr>
      </w:pPr>
    </w:p>
    <w:p w14:paraId="7F5FA27B" w14:textId="090646D0" w:rsidR="00C47265" w:rsidRPr="000D3EDD" w:rsidRDefault="00C47265" w:rsidP="000D3EDD">
      <w:pPr>
        <w:spacing w:line="276" w:lineRule="auto"/>
        <w:rPr>
          <w:color w:val="000000" w:themeColor="text1"/>
        </w:rPr>
      </w:pPr>
      <w:r w:rsidRPr="000D3EDD">
        <w:rPr>
          <w:color w:val="000000" w:themeColor="text1"/>
        </w:rPr>
        <w:t>Lunt</w:t>
      </w:r>
      <w:r w:rsidR="006C652B" w:rsidRPr="000D3EDD">
        <w:rPr>
          <w:color w:val="000000" w:themeColor="text1"/>
        </w:rPr>
        <w:t xml:space="preserve">, </w:t>
      </w:r>
      <w:r w:rsidRPr="000D3EDD">
        <w:rPr>
          <w:color w:val="000000" w:themeColor="text1"/>
        </w:rPr>
        <w:t>I</w:t>
      </w:r>
      <w:r w:rsidR="006C652B" w:rsidRPr="000D3EDD">
        <w:rPr>
          <w:color w:val="000000" w:themeColor="text1"/>
        </w:rPr>
        <w:t>.</w:t>
      </w:r>
      <w:r w:rsidRPr="000D3EDD">
        <w:rPr>
          <w:color w:val="000000" w:themeColor="text1"/>
        </w:rPr>
        <w:t>, McAlpine</w:t>
      </w:r>
      <w:r w:rsidR="006C652B" w:rsidRPr="000D3EDD">
        <w:rPr>
          <w:color w:val="000000" w:themeColor="text1"/>
        </w:rPr>
        <w:t>,</w:t>
      </w:r>
      <w:r w:rsidRPr="000D3EDD">
        <w:rPr>
          <w:color w:val="000000" w:themeColor="text1"/>
        </w:rPr>
        <w:t xml:space="preserve"> L</w:t>
      </w:r>
      <w:r w:rsidR="006C652B" w:rsidRPr="000D3EDD">
        <w:rPr>
          <w:color w:val="000000" w:themeColor="text1"/>
        </w:rPr>
        <w:t>.</w:t>
      </w:r>
      <w:r w:rsidRPr="000D3EDD">
        <w:rPr>
          <w:color w:val="000000" w:themeColor="text1"/>
        </w:rPr>
        <w:t xml:space="preserve">, </w:t>
      </w:r>
      <w:r w:rsidR="006C652B" w:rsidRPr="000D3EDD">
        <w:rPr>
          <w:color w:val="000000" w:themeColor="text1"/>
        </w:rPr>
        <w:t xml:space="preserve">&amp; </w:t>
      </w:r>
      <w:r w:rsidRPr="000D3EDD">
        <w:rPr>
          <w:color w:val="000000" w:themeColor="text1"/>
        </w:rPr>
        <w:t>Mills</w:t>
      </w:r>
      <w:r w:rsidR="006C652B" w:rsidRPr="000D3EDD">
        <w:rPr>
          <w:color w:val="000000" w:themeColor="text1"/>
        </w:rPr>
        <w:t>,</w:t>
      </w:r>
      <w:r w:rsidRPr="000D3EDD">
        <w:rPr>
          <w:color w:val="000000" w:themeColor="text1"/>
        </w:rPr>
        <w:t xml:space="preserve"> D</w:t>
      </w:r>
      <w:r w:rsidR="006C652B" w:rsidRPr="000D3EDD">
        <w:rPr>
          <w:color w:val="000000" w:themeColor="text1"/>
        </w:rPr>
        <w:t>.</w:t>
      </w:r>
      <w:r w:rsidRPr="000D3EDD">
        <w:rPr>
          <w:color w:val="000000" w:themeColor="text1"/>
        </w:rPr>
        <w:t xml:space="preserve"> (2014)</w:t>
      </w:r>
      <w:r w:rsidR="006C652B" w:rsidRPr="000D3EDD">
        <w:rPr>
          <w:color w:val="000000" w:themeColor="text1"/>
        </w:rPr>
        <w:t>.</w:t>
      </w:r>
      <w:r w:rsidRPr="000D3EDD">
        <w:rPr>
          <w:color w:val="000000" w:themeColor="text1"/>
        </w:rPr>
        <w:t xml:space="preserve"> Lively bureaucracy: the ESRC’s Doctoral Training Centres and UK universities. </w:t>
      </w:r>
      <w:r w:rsidRPr="000D3EDD">
        <w:rPr>
          <w:i/>
          <w:iCs/>
          <w:color w:val="000000" w:themeColor="text1"/>
        </w:rPr>
        <w:t>Oxford Review of Education</w:t>
      </w:r>
      <w:r w:rsidR="006C652B" w:rsidRPr="000D3EDD">
        <w:rPr>
          <w:color w:val="000000" w:themeColor="text1"/>
        </w:rPr>
        <w:t xml:space="preserve">, </w:t>
      </w:r>
      <w:r w:rsidRPr="000D3EDD">
        <w:rPr>
          <w:i/>
          <w:iCs/>
          <w:color w:val="000000" w:themeColor="text1"/>
        </w:rPr>
        <w:t>40</w:t>
      </w:r>
      <w:r w:rsidRPr="000D3EDD">
        <w:rPr>
          <w:color w:val="000000" w:themeColor="text1"/>
        </w:rPr>
        <w:t xml:space="preserve">(2), 151-170. </w:t>
      </w:r>
    </w:p>
    <w:p w14:paraId="3FBF1B58" w14:textId="2188CFF8" w:rsidR="00F418F1" w:rsidRPr="000D3EDD" w:rsidRDefault="00F418F1" w:rsidP="000D3EDD">
      <w:pPr>
        <w:spacing w:line="276" w:lineRule="auto"/>
        <w:rPr>
          <w:color w:val="000000" w:themeColor="text1"/>
        </w:rPr>
      </w:pPr>
    </w:p>
    <w:p w14:paraId="11DD1803" w14:textId="467CCF57" w:rsidR="00F418F1" w:rsidRPr="000D3EDD" w:rsidRDefault="00F418F1" w:rsidP="000D3EDD">
      <w:pPr>
        <w:spacing w:line="276" w:lineRule="auto"/>
        <w:rPr>
          <w:color w:val="000000" w:themeColor="text1"/>
        </w:rPr>
      </w:pPr>
      <w:proofErr w:type="spellStart"/>
      <w:r w:rsidRPr="000D3EDD">
        <w:rPr>
          <w:color w:val="000000" w:themeColor="text1"/>
        </w:rPr>
        <w:t>Marginson</w:t>
      </w:r>
      <w:proofErr w:type="spellEnd"/>
      <w:r w:rsidRPr="000D3EDD">
        <w:rPr>
          <w:color w:val="000000" w:themeColor="text1"/>
        </w:rPr>
        <w:t>, S</w:t>
      </w:r>
      <w:r w:rsidR="006C652B" w:rsidRPr="000D3EDD">
        <w:rPr>
          <w:color w:val="000000" w:themeColor="text1"/>
        </w:rPr>
        <w:t>.</w:t>
      </w:r>
      <w:r w:rsidRPr="000D3EDD">
        <w:rPr>
          <w:color w:val="000000" w:themeColor="text1"/>
        </w:rPr>
        <w:t xml:space="preserve"> (2019)</w:t>
      </w:r>
      <w:r w:rsidR="006C652B" w:rsidRPr="000D3EDD">
        <w:rPr>
          <w:color w:val="000000" w:themeColor="text1"/>
        </w:rPr>
        <w:t xml:space="preserve">. </w:t>
      </w:r>
      <w:r w:rsidRPr="000D3EDD">
        <w:rPr>
          <w:color w:val="000000" w:themeColor="text1"/>
        </w:rPr>
        <w:t xml:space="preserve">Limitations of human capital theory, </w:t>
      </w:r>
      <w:r w:rsidRPr="000D3EDD">
        <w:rPr>
          <w:i/>
          <w:iCs/>
          <w:color w:val="000000" w:themeColor="text1"/>
        </w:rPr>
        <w:t>Studies in Higher Education</w:t>
      </w:r>
      <w:r w:rsidRPr="000D3EDD">
        <w:rPr>
          <w:color w:val="000000" w:themeColor="text1"/>
        </w:rPr>
        <w:t xml:space="preserve">, </w:t>
      </w:r>
      <w:r w:rsidRPr="000D3EDD">
        <w:rPr>
          <w:i/>
          <w:iCs/>
          <w:color w:val="000000" w:themeColor="text1"/>
        </w:rPr>
        <w:t>44</w:t>
      </w:r>
      <w:r w:rsidRPr="000D3EDD">
        <w:rPr>
          <w:color w:val="000000" w:themeColor="text1"/>
        </w:rPr>
        <w:t>(2), 287-301.</w:t>
      </w:r>
    </w:p>
    <w:p w14:paraId="12E945D1" w14:textId="77777777" w:rsidR="00C47265" w:rsidRPr="000D3EDD" w:rsidRDefault="00C47265" w:rsidP="000D3EDD">
      <w:pPr>
        <w:spacing w:line="276" w:lineRule="auto"/>
        <w:rPr>
          <w:color w:val="000000" w:themeColor="text1"/>
        </w:rPr>
      </w:pPr>
    </w:p>
    <w:p w14:paraId="1A282397" w14:textId="0B8A1E7E" w:rsidR="00C47265" w:rsidRPr="000D3EDD" w:rsidRDefault="00C47265" w:rsidP="000D3EDD">
      <w:pPr>
        <w:spacing w:line="276" w:lineRule="auto"/>
        <w:rPr>
          <w:color w:val="000000" w:themeColor="text1"/>
        </w:rPr>
      </w:pPr>
      <w:r w:rsidRPr="000D3EDD">
        <w:rPr>
          <w:color w:val="000000" w:themeColor="text1"/>
        </w:rPr>
        <w:t>Marini</w:t>
      </w:r>
      <w:r w:rsidR="006C652B" w:rsidRPr="000D3EDD">
        <w:rPr>
          <w:color w:val="000000" w:themeColor="text1"/>
        </w:rPr>
        <w:t xml:space="preserve">, </w:t>
      </w:r>
      <w:r w:rsidRPr="000D3EDD">
        <w:rPr>
          <w:color w:val="000000" w:themeColor="text1"/>
        </w:rPr>
        <w:t>G</w:t>
      </w:r>
      <w:r w:rsidR="006C652B" w:rsidRPr="000D3EDD">
        <w:rPr>
          <w:color w:val="000000" w:themeColor="text1"/>
        </w:rPr>
        <w:t>.</w:t>
      </w:r>
      <w:r w:rsidRPr="000D3EDD">
        <w:rPr>
          <w:color w:val="000000" w:themeColor="text1"/>
        </w:rPr>
        <w:t>, Locke</w:t>
      </w:r>
      <w:r w:rsidR="006C652B" w:rsidRPr="000D3EDD">
        <w:rPr>
          <w:color w:val="000000" w:themeColor="text1"/>
        </w:rPr>
        <w:t>,</w:t>
      </w:r>
      <w:r w:rsidR="00BF3A66" w:rsidRPr="000D3EDD">
        <w:rPr>
          <w:color w:val="000000" w:themeColor="text1"/>
        </w:rPr>
        <w:t xml:space="preserve"> W</w:t>
      </w:r>
      <w:r w:rsidR="006C652B" w:rsidRPr="000D3EDD">
        <w:rPr>
          <w:color w:val="000000" w:themeColor="text1"/>
        </w:rPr>
        <w:t>.</w:t>
      </w:r>
      <w:r w:rsidR="00BF3A66" w:rsidRPr="000D3EDD">
        <w:rPr>
          <w:color w:val="000000" w:themeColor="text1"/>
        </w:rPr>
        <w:t>,</w:t>
      </w:r>
      <w:r w:rsidRPr="000D3EDD">
        <w:rPr>
          <w:color w:val="000000" w:themeColor="text1"/>
        </w:rPr>
        <w:t xml:space="preserve"> Whitchurch</w:t>
      </w:r>
      <w:r w:rsidR="006C652B" w:rsidRPr="000D3EDD">
        <w:rPr>
          <w:color w:val="000000" w:themeColor="text1"/>
        </w:rPr>
        <w:t>,</w:t>
      </w:r>
      <w:r w:rsidR="00BF3A66" w:rsidRPr="000D3EDD">
        <w:rPr>
          <w:color w:val="000000" w:themeColor="text1"/>
        </w:rPr>
        <w:t xml:space="preserve"> </w:t>
      </w:r>
      <w:r w:rsidRPr="000D3EDD">
        <w:rPr>
          <w:color w:val="000000" w:themeColor="text1"/>
        </w:rPr>
        <w:t>C</w:t>
      </w:r>
      <w:r w:rsidR="006C652B" w:rsidRPr="000D3EDD">
        <w:rPr>
          <w:color w:val="000000" w:themeColor="text1"/>
        </w:rPr>
        <w:t>.</w:t>
      </w:r>
      <w:r w:rsidR="00BF3A66" w:rsidRPr="000D3EDD">
        <w:rPr>
          <w:color w:val="000000" w:themeColor="text1"/>
        </w:rPr>
        <w:t xml:space="preserve"> </w:t>
      </w:r>
      <w:r w:rsidRPr="000D3EDD">
        <w:rPr>
          <w:color w:val="000000" w:themeColor="text1"/>
        </w:rPr>
        <w:t>(2019)</w:t>
      </w:r>
      <w:r w:rsidR="006C652B" w:rsidRPr="000D3EDD">
        <w:rPr>
          <w:color w:val="000000" w:themeColor="text1"/>
        </w:rPr>
        <w:t>.</w:t>
      </w:r>
      <w:r w:rsidRPr="000D3EDD">
        <w:rPr>
          <w:color w:val="000000" w:themeColor="text1"/>
        </w:rPr>
        <w:t xml:space="preserve"> </w:t>
      </w:r>
      <w:r w:rsidRPr="000D3EDD">
        <w:rPr>
          <w:i/>
          <w:iCs/>
          <w:color w:val="000000" w:themeColor="text1"/>
        </w:rPr>
        <w:t>The future higher education workforce in locally and globally engaged higher education institutions.</w:t>
      </w:r>
      <w:r w:rsidRPr="000D3EDD">
        <w:rPr>
          <w:color w:val="000000" w:themeColor="text1"/>
        </w:rPr>
        <w:t xml:space="preserve"> Centre for Global Higher Education Working Paper 43.  </w:t>
      </w:r>
    </w:p>
    <w:p w14:paraId="10EA2855" w14:textId="77777777" w:rsidR="00C47265" w:rsidRPr="000D3EDD" w:rsidRDefault="00C47265" w:rsidP="000D3EDD">
      <w:pPr>
        <w:spacing w:line="276" w:lineRule="auto"/>
        <w:rPr>
          <w:color w:val="000000" w:themeColor="text1"/>
        </w:rPr>
      </w:pPr>
    </w:p>
    <w:p w14:paraId="0219FB81" w14:textId="3AC6BA2C" w:rsidR="00C47265" w:rsidRPr="000D3EDD" w:rsidRDefault="00C47265" w:rsidP="000D3EDD">
      <w:pPr>
        <w:spacing w:line="276" w:lineRule="auto"/>
        <w:rPr>
          <w:color w:val="000000" w:themeColor="text1"/>
        </w:rPr>
      </w:pPr>
      <w:r w:rsidRPr="000D3EDD">
        <w:rPr>
          <w:color w:val="000000" w:themeColor="text1"/>
        </w:rPr>
        <w:t>McAlpine</w:t>
      </w:r>
      <w:r w:rsidR="009F2726" w:rsidRPr="000D3EDD">
        <w:rPr>
          <w:color w:val="000000" w:themeColor="text1"/>
        </w:rPr>
        <w:t>,</w:t>
      </w:r>
      <w:r w:rsidR="00BF3A66" w:rsidRPr="000D3EDD">
        <w:rPr>
          <w:color w:val="000000" w:themeColor="text1"/>
        </w:rPr>
        <w:t xml:space="preserve"> </w:t>
      </w:r>
      <w:r w:rsidRPr="000D3EDD">
        <w:rPr>
          <w:color w:val="000000" w:themeColor="text1"/>
        </w:rPr>
        <w:t>L</w:t>
      </w:r>
      <w:r w:rsidR="009F2726" w:rsidRPr="000D3EDD">
        <w:rPr>
          <w:color w:val="000000" w:themeColor="text1"/>
        </w:rPr>
        <w:t>.</w:t>
      </w:r>
      <w:r w:rsidR="00BF3A66" w:rsidRPr="000D3EDD">
        <w:rPr>
          <w:color w:val="000000" w:themeColor="text1"/>
        </w:rPr>
        <w:t xml:space="preserve">, </w:t>
      </w:r>
      <w:r w:rsidR="009F2726" w:rsidRPr="000D3EDD">
        <w:rPr>
          <w:color w:val="000000" w:themeColor="text1"/>
        </w:rPr>
        <w:t xml:space="preserve">&amp; </w:t>
      </w:r>
      <w:r w:rsidRPr="000D3EDD">
        <w:rPr>
          <w:color w:val="000000" w:themeColor="text1"/>
        </w:rPr>
        <w:t>Amundsen</w:t>
      </w:r>
      <w:r w:rsidR="009F2726" w:rsidRPr="000D3EDD">
        <w:rPr>
          <w:color w:val="000000" w:themeColor="text1"/>
        </w:rPr>
        <w:t>,</w:t>
      </w:r>
      <w:r w:rsidRPr="000D3EDD">
        <w:rPr>
          <w:color w:val="000000" w:themeColor="text1"/>
        </w:rPr>
        <w:t xml:space="preserve"> C</w:t>
      </w:r>
      <w:r w:rsidR="009F2726" w:rsidRPr="000D3EDD">
        <w:rPr>
          <w:color w:val="000000" w:themeColor="text1"/>
        </w:rPr>
        <w:t>.</w:t>
      </w:r>
      <w:r w:rsidR="00BF3A66" w:rsidRPr="000D3EDD">
        <w:rPr>
          <w:color w:val="000000" w:themeColor="text1"/>
        </w:rPr>
        <w:t xml:space="preserve"> </w:t>
      </w:r>
      <w:r w:rsidRPr="000D3EDD">
        <w:rPr>
          <w:color w:val="000000" w:themeColor="text1"/>
        </w:rPr>
        <w:t>(201</w:t>
      </w:r>
      <w:r w:rsidR="0062030B" w:rsidRPr="000D3EDD">
        <w:rPr>
          <w:color w:val="000000" w:themeColor="text1"/>
        </w:rPr>
        <w:t>8</w:t>
      </w:r>
      <w:r w:rsidRPr="000D3EDD">
        <w:rPr>
          <w:color w:val="000000" w:themeColor="text1"/>
        </w:rPr>
        <w:t>)</w:t>
      </w:r>
      <w:r w:rsidR="009F2726" w:rsidRPr="000D3EDD">
        <w:rPr>
          <w:color w:val="000000" w:themeColor="text1"/>
        </w:rPr>
        <w:t>.</w:t>
      </w:r>
      <w:r w:rsidRPr="000D3EDD">
        <w:rPr>
          <w:color w:val="000000" w:themeColor="text1"/>
        </w:rPr>
        <w:t xml:space="preserve"> </w:t>
      </w:r>
      <w:r w:rsidRPr="000D3EDD">
        <w:rPr>
          <w:i/>
          <w:iCs/>
          <w:color w:val="000000" w:themeColor="text1"/>
        </w:rPr>
        <w:t>Post-PhD Career Trajectories: Intentions, Decision-Making and Life Aspirations.</w:t>
      </w:r>
      <w:r w:rsidRPr="000D3EDD">
        <w:rPr>
          <w:color w:val="000000" w:themeColor="text1"/>
        </w:rPr>
        <w:t xml:space="preserve"> London: Palgrave Macmillan. </w:t>
      </w:r>
    </w:p>
    <w:p w14:paraId="39D2474D" w14:textId="77777777" w:rsidR="00C47265" w:rsidRPr="000D3EDD" w:rsidRDefault="00C47265" w:rsidP="000D3EDD">
      <w:pPr>
        <w:spacing w:line="276" w:lineRule="auto"/>
        <w:rPr>
          <w:color w:val="000000" w:themeColor="text1"/>
        </w:rPr>
      </w:pPr>
    </w:p>
    <w:p w14:paraId="53061ABB" w14:textId="7636C63F" w:rsidR="00C47265" w:rsidRPr="000D3EDD" w:rsidRDefault="00C47265" w:rsidP="000D3EDD">
      <w:pPr>
        <w:spacing w:line="276" w:lineRule="auto"/>
        <w:rPr>
          <w:color w:val="000000" w:themeColor="text1"/>
        </w:rPr>
      </w:pPr>
      <w:r w:rsidRPr="000D3EDD">
        <w:rPr>
          <w:color w:val="000000" w:themeColor="text1"/>
        </w:rPr>
        <w:t>McAlpine L</w:t>
      </w:r>
      <w:r w:rsidR="00680E0A" w:rsidRPr="000D3EDD">
        <w:rPr>
          <w:color w:val="000000" w:themeColor="text1"/>
        </w:rPr>
        <w:t>.</w:t>
      </w:r>
      <w:r w:rsidRPr="000D3EDD">
        <w:rPr>
          <w:color w:val="000000" w:themeColor="text1"/>
        </w:rPr>
        <w:t>,</w:t>
      </w:r>
      <w:r w:rsidR="00BF3A66" w:rsidRPr="000D3EDD">
        <w:rPr>
          <w:color w:val="000000" w:themeColor="text1"/>
        </w:rPr>
        <w:t xml:space="preserve"> </w:t>
      </w:r>
      <w:r w:rsidR="00680E0A" w:rsidRPr="000D3EDD">
        <w:rPr>
          <w:color w:val="000000" w:themeColor="text1"/>
        </w:rPr>
        <w:t xml:space="preserve">&amp; </w:t>
      </w:r>
      <w:proofErr w:type="spellStart"/>
      <w:r w:rsidRPr="000D3EDD">
        <w:rPr>
          <w:color w:val="000000" w:themeColor="text1"/>
        </w:rPr>
        <w:t>Emmioğlu</w:t>
      </w:r>
      <w:proofErr w:type="spellEnd"/>
      <w:r w:rsidRPr="000D3EDD">
        <w:rPr>
          <w:color w:val="000000" w:themeColor="text1"/>
        </w:rPr>
        <w:t>, E</w:t>
      </w:r>
      <w:r w:rsidR="00680E0A" w:rsidRPr="000D3EDD">
        <w:rPr>
          <w:color w:val="000000" w:themeColor="text1"/>
        </w:rPr>
        <w:t>.</w:t>
      </w:r>
      <w:r w:rsidRPr="000D3EDD">
        <w:rPr>
          <w:color w:val="000000" w:themeColor="text1"/>
        </w:rPr>
        <w:t xml:space="preserve"> (2015)</w:t>
      </w:r>
      <w:r w:rsidR="00680E0A" w:rsidRPr="000D3EDD">
        <w:rPr>
          <w:color w:val="000000" w:themeColor="text1"/>
        </w:rPr>
        <w:t>.</w:t>
      </w:r>
      <w:r w:rsidRPr="000D3EDD">
        <w:rPr>
          <w:color w:val="000000" w:themeColor="text1"/>
        </w:rPr>
        <w:t xml:space="preserve"> Navigating careers: perceptions of sciences doctoral students, post-PhD researchers and pre-tenure academics, </w:t>
      </w:r>
      <w:r w:rsidRPr="000D3EDD">
        <w:rPr>
          <w:i/>
          <w:iCs/>
          <w:color w:val="000000" w:themeColor="text1"/>
        </w:rPr>
        <w:t>Studies in Higher Education</w:t>
      </w:r>
      <w:r w:rsidRPr="000D3EDD">
        <w:rPr>
          <w:color w:val="000000" w:themeColor="text1"/>
        </w:rPr>
        <w:t xml:space="preserve">, </w:t>
      </w:r>
      <w:r w:rsidRPr="000D3EDD">
        <w:rPr>
          <w:i/>
          <w:iCs/>
          <w:color w:val="000000" w:themeColor="text1"/>
        </w:rPr>
        <w:t>40</w:t>
      </w:r>
      <w:r w:rsidRPr="000D3EDD">
        <w:rPr>
          <w:color w:val="000000" w:themeColor="text1"/>
        </w:rPr>
        <w:t xml:space="preserve">(10), 1770-1785. </w:t>
      </w:r>
    </w:p>
    <w:p w14:paraId="69DBABC1" w14:textId="1003B211" w:rsidR="00C47265" w:rsidRPr="000D3EDD" w:rsidRDefault="00C47265" w:rsidP="000D3EDD">
      <w:pPr>
        <w:spacing w:line="276" w:lineRule="auto"/>
        <w:rPr>
          <w:color w:val="000000" w:themeColor="text1"/>
        </w:rPr>
      </w:pPr>
    </w:p>
    <w:p w14:paraId="14B075CC" w14:textId="560DB3B4" w:rsidR="002D75D9" w:rsidRPr="000D3EDD" w:rsidRDefault="002D75D9" w:rsidP="000D3EDD">
      <w:pPr>
        <w:spacing w:line="276" w:lineRule="auto"/>
        <w:rPr>
          <w:color w:val="000000" w:themeColor="text1"/>
        </w:rPr>
      </w:pPr>
      <w:r w:rsidRPr="000D3EDD">
        <w:rPr>
          <w:color w:val="000000" w:themeColor="text1"/>
        </w:rPr>
        <w:t xml:space="preserve">McCarthy, P., &amp; </w:t>
      </w:r>
      <w:proofErr w:type="spellStart"/>
      <w:r w:rsidRPr="000D3EDD">
        <w:rPr>
          <w:color w:val="000000" w:themeColor="text1"/>
        </w:rPr>
        <w:t>Wienk</w:t>
      </w:r>
      <w:proofErr w:type="spellEnd"/>
      <w:r w:rsidRPr="000D3EDD">
        <w:rPr>
          <w:color w:val="000000" w:themeColor="text1"/>
        </w:rPr>
        <w:t>,</w:t>
      </w:r>
      <w:r w:rsidR="00F678BB" w:rsidRPr="000D3EDD">
        <w:rPr>
          <w:color w:val="000000" w:themeColor="text1"/>
        </w:rPr>
        <w:t xml:space="preserve"> </w:t>
      </w:r>
      <w:r w:rsidRPr="000D3EDD">
        <w:rPr>
          <w:color w:val="000000" w:themeColor="text1"/>
        </w:rPr>
        <w:t xml:space="preserve">M. (2019). </w:t>
      </w:r>
      <w:r w:rsidRPr="000D3EDD">
        <w:rPr>
          <w:i/>
          <w:iCs/>
          <w:color w:val="000000" w:themeColor="text1"/>
        </w:rPr>
        <w:t xml:space="preserve">Advancing Australia’s Knowledge Economy: Who are the top PhD employers? </w:t>
      </w:r>
      <w:r w:rsidRPr="000D3EDD">
        <w:rPr>
          <w:color w:val="000000" w:themeColor="text1"/>
        </w:rPr>
        <w:t xml:space="preserve">Retrieved from </w:t>
      </w:r>
      <w:hyperlink r:id="rId21" w:history="1">
        <w:r w:rsidRPr="000D3EDD">
          <w:rPr>
            <w:rStyle w:val="Hyperlink"/>
          </w:rPr>
          <w:t>https://amsi.org.au/wp-content/uploads/2019/04/advancing_australias_knowledge_economy.pdf</w:t>
        </w:r>
      </w:hyperlink>
      <w:r w:rsidRPr="000D3EDD">
        <w:rPr>
          <w:color w:val="000000" w:themeColor="text1"/>
        </w:rPr>
        <w:t xml:space="preserve">    </w:t>
      </w:r>
    </w:p>
    <w:p w14:paraId="78D2F3EA" w14:textId="4FE44B9F" w:rsidR="002D75D9" w:rsidRPr="000D3EDD" w:rsidRDefault="002D75D9" w:rsidP="000D3EDD">
      <w:pPr>
        <w:spacing w:line="276" w:lineRule="auto"/>
        <w:rPr>
          <w:color w:val="000000" w:themeColor="text1"/>
        </w:rPr>
      </w:pPr>
    </w:p>
    <w:p w14:paraId="586FAD71" w14:textId="1EE442CB" w:rsidR="00C47265" w:rsidRPr="000D3EDD" w:rsidRDefault="00C47265" w:rsidP="000D3EDD">
      <w:pPr>
        <w:spacing w:line="276" w:lineRule="auto"/>
        <w:rPr>
          <w:color w:val="000000" w:themeColor="text1"/>
        </w:rPr>
      </w:pPr>
      <w:r w:rsidRPr="000D3EDD">
        <w:rPr>
          <w:color w:val="000000" w:themeColor="text1"/>
        </w:rPr>
        <w:t>Nature</w:t>
      </w:r>
      <w:r w:rsidR="00F678BB" w:rsidRPr="000D3EDD">
        <w:rPr>
          <w:color w:val="000000" w:themeColor="text1"/>
        </w:rPr>
        <w:t>.</w:t>
      </w:r>
      <w:r w:rsidRPr="000D3EDD">
        <w:rPr>
          <w:color w:val="000000" w:themeColor="text1"/>
        </w:rPr>
        <w:t xml:space="preserve"> (2014)</w:t>
      </w:r>
      <w:r w:rsidR="00F678BB" w:rsidRPr="000D3EDD">
        <w:rPr>
          <w:color w:val="000000" w:themeColor="text1"/>
        </w:rPr>
        <w:t>.</w:t>
      </w:r>
      <w:r w:rsidRPr="000D3EDD">
        <w:rPr>
          <w:color w:val="000000" w:themeColor="text1"/>
        </w:rPr>
        <w:t xml:space="preserve"> Editorial: Harsh reality. </w:t>
      </w:r>
      <w:r w:rsidRPr="000D3EDD">
        <w:rPr>
          <w:i/>
          <w:iCs/>
          <w:color w:val="000000" w:themeColor="text1"/>
        </w:rPr>
        <w:t>Nature</w:t>
      </w:r>
      <w:r w:rsidRPr="000D3EDD">
        <w:rPr>
          <w:color w:val="000000" w:themeColor="text1"/>
        </w:rPr>
        <w:t xml:space="preserve">, 516, 7–8. </w:t>
      </w:r>
    </w:p>
    <w:p w14:paraId="22B48A2C" w14:textId="77777777" w:rsidR="009F2726" w:rsidRPr="000D3EDD" w:rsidRDefault="009F2726" w:rsidP="000D3EDD">
      <w:pPr>
        <w:spacing w:line="276" w:lineRule="auto"/>
        <w:rPr>
          <w:color w:val="000000" w:themeColor="text1"/>
        </w:rPr>
      </w:pPr>
    </w:p>
    <w:p w14:paraId="14F7CE17" w14:textId="0053740A" w:rsidR="00D8174B" w:rsidRPr="00D8174B" w:rsidRDefault="00D8174B" w:rsidP="000D3EDD">
      <w:pPr>
        <w:spacing w:line="276" w:lineRule="auto"/>
        <w:rPr>
          <w:color w:val="000000" w:themeColor="text1"/>
        </w:rPr>
      </w:pPr>
      <w:r w:rsidRPr="00D8174B">
        <w:rPr>
          <w:color w:val="000000" w:themeColor="text1"/>
        </w:rPr>
        <w:t>Nature</w:t>
      </w:r>
      <w:r w:rsidR="00F678BB" w:rsidRPr="000D3EDD">
        <w:rPr>
          <w:color w:val="000000" w:themeColor="text1"/>
        </w:rPr>
        <w:t>.</w:t>
      </w:r>
      <w:r w:rsidRPr="00D8174B">
        <w:rPr>
          <w:color w:val="000000" w:themeColor="text1"/>
        </w:rPr>
        <w:t xml:space="preserve"> (2016)</w:t>
      </w:r>
      <w:r w:rsidR="00F678BB" w:rsidRPr="000D3EDD">
        <w:rPr>
          <w:color w:val="000000" w:themeColor="text1"/>
        </w:rPr>
        <w:t xml:space="preserve">. </w:t>
      </w:r>
      <w:r w:rsidRPr="00D8174B">
        <w:rPr>
          <w:color w:val="000000" w:themeColor="text1"/>
        </w:rPr>
        <w:t xml:space="preserve">Science and Inequality. </w:t>
      </w:r>
      <w:r w:rsidRPr="00D8174B">
        <w:rPr>
          <w:i/>
          <w:iCs/>
          <w:color w:val="000000" w:themeColor="text1"/>
        </w:rPr>
        <w:t>Nature</w:t>
      </w:r>
      <w:r w:rsidRPr="00D8174B">
        <w:rPr>
          <w:color w:val="000000" w:themeColor="text1"/>
        </w:rPr>
        <w:t xml:space="preserve">, 537 (7621), 465. </w:t>
      </w:r>
    </w:p>
    <w:p w14:paraId="51D8EC04" w14:textId="77777777" w:rsidR="009F2726" w:rsidRPr="000D3EDD" w:rsidRDefault="009F2726" w:rsidP="000D3EDD">
      <w:pPr>
        <w:spacing w:line="276" w:lineRule="auto"/>
        <w:rPr>
          <w:color w:val="000000" w:themeColor="text1"/>
        </w:rPr>
      </w:pPr>
    </w:p>
    <w:p w14:paraId="554982CF" w14:textId="770C46CA" w:rsidR="00C47265" w:rsidRPr="000D3EDD" w:rsidRDefault="00C47265" w:rsidP="000D3EDD">
      <w:pPr>
        <w:spacing w:line="276" w:lineRule="auto"/>
        <w:rPr>
          <w:color w:val="000000" w:themeColor="text1"/>
        </w:rPr>
      </w:pPr>
      <w:r w:rsidRPr="000D3EDD">
        <w:rPr>
          <w:color w:val="000000" w:themeColor="text1"/>
        </w:rPr>
        <w:t>Office for National Statistics</w:t>
      </w:r>
      <w:r w:rsidR="00F678BB" w:rsidRPr="000D3EDD">
        <w:rPr>
          <w:color w:val="000000" w:themeColor="text1"/>
        </w:rPr>
        <w:t>.</w:t>
      </w:r>
      <w:r w:rsidRPr="000D3EDD">
        <w:rPr>
          <w:color w:val="000000" w:themeColor="text1"/>
        </w:rPr>
        <w:t xml:space="preserve"> (2013)</w:t>
      </w:r>
      <w:r w:rsidR="00F678BB" w:rsidRPr="000D3EDD">
        <w:rPr>
          <w:color w:val="000000" w:themeColor="text1"/>
        </w:rPr>
        <w:t>.</w:t>
      </w:r>
      <w:r w:rsidRPr="000D3EDD">
        <w:rPr>
          <w:color w:val="000000" w:themeColor="text1"/>
        </w:rPr>
        <w:t xml:space="preserve"> 2011 Census: Key Statistics for England and Wales. </w:t>
      </w:r>
      <w:r w:rsidR="009F2726" w:rsidRPr="000D3EDD">
        <w:rPr>
          <w:color w:val="000000" w:themeColor="text1"/>
        </w:rPr>
        <w:t xml:space="preserve">Retrieved from </w:t>
      </w:r>
      <w:hyperlink r:id="rId22" w:history="1">
        <w:r w:rsidR="009F2726" w:rsidRPr="000D3EDD">
          <w:rPr>
            <w:rStyle w:val="Hyperlink"/>
          </w:rPr>
          <w:t>https://www.ons.gov.uk/peoplepopulationandcommunity/populationandmigration/populationestimates/bulletins/2011censuskeystatisticsforenglandandwales/2012-12-11</w:t>
        </w:r>
      </w:hyperlink>
      <w:r w:rsidR="009F2726" w:rsidRPr="000D3EDD">
        <w:rPr>
          <w:color w:val="000000" w:themeColor="text1"/>
        </w:rPr>
        <w:t xml:space="preserve"> </w:t>
      </w:r>
    </w:p>
    <w:p w14:paraId="002C34C4" w14:textId="77777777" w:rsidR="00C47265" w:rsidRPr="000D3EDD" w:rsidRDefault="00C47265" w:rsidP="000D3EDD">
      <w:pPr>
        <w:spacing w:line="276" w:lineRule="auto"/>
        <w:rPr>
          <w:color w:val="000000" w:themeColor="text1"/>
        </w:rPr>
      </w:pPr>
    </w:p>
    <w:p w14:paraId="4778E97F" w14:textId="26F513B3" w:rsidR="00B66F7F" w:rsidRPr="000D3EDD" w:rsidRDefault="00B66F7F" w:rsidP="000D3EDD">
      <w:pPr>
        <w:spacing w:line="276" w:lineRule="auto"/>
        <w:rPr>
          <w:color w:val="006699"/>
        </w:rPr>
      </w:pPr>
      <w:r w:rsidRPr="000D3EDD">
        <w:rPr>
          <w:color w:val="000000" w:themeColor="text1"/>
        </w:rPr>
        <w:t xml:space="preserve">Parada, F. &amp; Peacock, J. (2015). Quality of doctoral training and employability of doctorate holders: The views of doctoral candidates and junior researchers. In </w:t>
      </w:r>
      <w:proofErr w:type="gramStart"/>
      <w:r w:rsidRPr="000D3EDD">
        <w:rPr>
          <w:i/>
          <w:iCs/>
          <w:color w:val="000000" w:themeColor="text1"/>
        </w:rPr>
        <w:t>The</w:t>
      </w:r>
      <w:proofErr w:type="gramEnd"/>
      <w:r w:rsidRPr="000D3EDD">
        <w:rPr>
          <w:i/>
          <w:iCs/>
          <w:color w:val="000000" w:themeColor="text1"/>
        </w:rPr>
        <w:t xml:space="preserve"> European Higher Education Area: Between Critical Reflections and Future Policies </w:t>
      </w:r>
      <w:r w:rsidRPr="000D3EDD">
        <w:rPr>
          <w:color w:val="000000" w:themeColor="text1"/>
        </w:rPr>
        <w:t xml:space="preserve">(pp. 593-612). Springer Open. Retrieved from </w:t>
      </w:r>
      <w:hyperlink r:id="rId23" w:history="1">
        <w:r w:rsidRPr="000D3EDD">
          <w:rPr>
            <w:rStyle w:val="Hyperlink"/>
          </w:rPr>
          <w:t>https://doi.org/10.1007/978-3-319-20877-0</w:t>
        </w:r>
      </w:hyperlink>
    </w:p>
    <w:p w14:paraId="230193F2" w14:textId="77777777" w:rsidR="00B66F7F" w:rsidRPr="000D3EDD" w:rsidRDefault="00B66F7F" w:rsidP="000D3EDD">
      <w:pPr>
        <w:spacing w:line="276" w:lineRule="auto"/>
        <w:rPr>
          <w:color w:val="000000" w:themeColor="text1"/>
        </w:rPr>
      </w:pPr>
    </w:p>
    <w:p w14:paraId="3AF0F674" w14:textId="0DB121F1" w:rsidR="00C47265" w:rsidRPr="000D3EDD" w:rsidRDefault="00C47265" w:rsidP="000D3EDD">
      <w:pPr>
        <w:spacing w:line="276" w:lineRule="auto"/>
        <w:rPr>
          <w:color w:val="000000" w:themeColor="text1"/>
        </w:rPr>
      </w:pPr>
      <w:r w:rsidRPr="000D3EDD">
        <w:rPr>
          <w:color w:val="000000" w:themeColor="text1"/>
        </w:rPr>
        <w:lastRenderedPageBreak/>
        <w:t>Pásztor</w:t>
      </w:r>
      <w:r w:rsidR="00F678BB" w:rsidRPr="000D3EDD">
        <w:rPr>
          <w:color w:val="000000" w:themeColor="text1"/>
        </w:rPr>
        <w:t xml:space="preserve">, </w:t>
      </w:r>
      <w:r w:rsidRPr="000D3EDD">
        <w:rPr>
          <w:color w:val="000000" w:themeColor="text1"/>
        </w:rPr>
        <w:t>A</w:t>
      </w:r>
      <w:r w:rsidR="00F678BB" w:rsidRPr="000D3EDD">
        <w:rPr>
          <w:color w:val="000000" w:themeColor="text1"/>
        </w:rPr>
        <w:t>.</w:t>
      </w:r>
      <w:r w:rsidR="00BF3A66" w:rsidRPr="000D3EDD">
        <w:rPr>
          <w:color w:val="000000" w:themeColor="text1"/>
        </w:rPr>
        <w:t>,</w:t>
      </w:r>
      <w:r w:rsidR="00F678BB" w:rsidRPr="000D3EDD">
        <w:rPr>
          <w:color w:val="000000" w:themeColor="text1"/>
        </w:rPr>
        <w:t xml:space="preserve"> &amp;</w:t>
      </w:r>
      <w:r w:rsidRPr="000D3EDD">
        <w:rPr>
          <w:color w:val="000000" w:themeColor="text1"/>
        </w:rPr>
        <w:t xml:space="preserve"> Wakeling</w:t>
      </w:r>
      <w:r w:rsidR="00F678BB" w:rsidRPr="000D3EDD">
        <w:rPr>
          <w:color w:val="000000" w:themeColor="text1"/>
        </w:rPr>
        <w:t>,</w:t>
      </w:r>
      <w:r w:rsidRPr="000D3EDD">
        <w:rPr>
          <w:color w:val="000000" w:themeColor="text1"/>
        </w:rPr>
        <w:t xml:space="preserve"> P</w:t>
      </w:r>
      <w:r w:rsidR="00F678BB" w:rsidRPr="000D3EDD">
        <w:rPr>
          <w:color w:val="000000" w:themeColor="text1"/>
        </w:rPr>
        <w:t>.</w:t>
      </w:r>
      <w:r w:rsidRPr="000D3EDD">
        <w:rPr>
          <w:color w:val="000000" w:themeColor="text1"/>
        </w:rPr>
        <w:t xml:space="preserve"> (2018)</w:t>
      </w:r>
      <w:r w:rsidR="00F678BB" w:rsidRPr="000D3EDD">
        <w:rPr>
          <w:color w:val="000000" w:themeColor="text1"/>
        </w:rPr>
        <w:t>.</w:t>
      </w:r>
      <w:r w:rsidR="00BF3A66" w:rsidRPr="000D3EDD">
        <w:rPr>
          <w:color w:val="000000" w:themeColor="text1"/>
        </w:rPr>
        <w:t xml:space="preserve"> </w:t>
      </w:r>
      <w:r w:rsidRPr="000D3EDD">
        <w:rPr>
          <w:color w:val="000000" w:themeColor="text1"/>
        </w:rPr>
        <w:t xml:space="preserve">All PhDs are equal but.... Institutional and social stratification in access to the doctorate. </w:t>
      </w:r>
      <w:r w:rsidRPr="000D3EDD">
        <w:rPr>
          <w:i/>
          <w:iCs/>
          <w:color w:val="000000" w:themeColor="text1"/>
        </w:rPr>
        <w:t>British Journal of Sociology of Education</w:t>
      </w:r>
      <w:r w:rsidRPr="000D3EDD">
        <w:rPr>
          <w:color w:val="000000" w:themeColor="text1"/>
        </w:rPr>
        <w:t xml:space="preserve">, </w:t>
      </w:r>
      <w:r w:rsidRPr="000D3EDD">
        <w:rPr>
          <w:i/>
          <w:iCs/>
          <w:color w:val="000000" w:themeColor="text1"/>
        </w:rPr>
        <w:t>39</w:t>
      </w:r>
      <w:r w:rsidRPr="000D3EDD">
        <w:rPr>
          <w:color w:val="000000" w:themeColor="text1"/>
        </w:rPr>
        <w:t xml:space="preserve">(7), 982-997. </w:t>
      </w:r>
    </w:p>
    <w:p w14:paraId="492BA346" w14:textId="77777777" w:rsidR="00C47265" w:rsidRPr="000D3EDD" w:rsidRDefault="00C47265" w:rsidP="000D3EDD">
      <w:pPr>
        <w:spacing w:line="276" w:lineRule="auto"/>
        <w:rPr>
          <w:color w:val="000000" w:themeColor="text1"/>
        </w:rPr>
      </w:pPr>
    </w:p>
    <w:p w14:paraId="2A238235" w14:textId="218BADF6" w:rsidR="00C47265" w:rsidRPr="000D3EDD" w:rsidRDefault="00C47265" w:rsidP="000D3EDD">
      <w:pPr>
        <w:spacing w:line="276" w:lineRule="auto"/>
        <w:rPr>
          <w:color w:val="000000" w:themeColor="text1"/>
        </w:rPr>
      </w:pPr>
      <w:r w:rsidRPr="000D3EDD">
        <w:rPr>
          <w:color w:val="000000" w:themeColor="text1"/>
        </w:rPr>
        <w:t>Powell</w:t>
      </w:r>
      <w:r w:rsidR="00F678BB" w:rsidRPr="000D3EDD">
        <w:rPr>
          <w:color w:val="000000" w:themeColor="text1"/>
        </w:rPr>
        <w:t>,</w:t>
      </w:r>
      <w:r w:rsidR="00BF3A66" w:rsidRPr="000D3EDD">
        <w:rPr>
          <w:color w:val="000000" w:themeColor="text1"/>
        </w:rPr>
        <w:t xml:space="preserve"> </w:t>
      </w:r>
      <w:r w:rsidRPr="000D3EDD">
        <w:rPr>
          <w:color w:val="000000" w:themeColor="text1"/>
        </w:rPr>
        <w:t>K</w:t>
      </w:r>
      <w:r w:rsidR="00F678BB" w:rsidRPr="000D3EDD">
        <w:rPr>
          <w:color w:val="000000" w:themeColor="text1"/>
        </w:rPr>
        <w:t>.</w:t>
      </w:r>
      <w:r w:rsidRPr="000D3EDD">
        <w:rPr>
          <w:color w:val="000000" w:themeColor="text1"/>
        </w:rPr>
        <w:t xml:space="preserve"> (2016)</w:t>
      </w:r>
      <w:r w:rsidR="00F678BB" w:rsidRPr="000D3EDD">
        <w:rPr>
          <w:color w:val="000000" w:themeColor="text1"/>
        </w:rPr>
        <w:t>.</w:t>
      </w:r>
      <w:r w:rsidRPr="000D3EDD">
        <w:rPr>
          <w:color w:val="000000" w:themeColor="text1"/>
        </w:rPr>
        <w:t xml:space="preserve"> Young, talented and fed-up: scientists tell their stories. </w:t>
      </w:r>
      <w:r w:rsidRPr="000D3EDD">
        <w:rPr>
          <w:i/>
          <w:iCs/>
          <w:color w:val="000000" w:themeColor="text1"/>
        </w:rPr>
        <w:t>Nature</w:t>
      </w:r>
      <w:r w:rsidRPr="000D3EDD">
        <w:rPr>
          <w:color w:val="000000" w:themeColor="text1"/>
        </w:rPr>
        <w:t>, 538, 446-9.</w:t>
      </w:r>
    </w:p>
    <w:p w14:paraId="5BE57A4D" w14:textId="77777777" w:rsidR="00C47265" w:rsidRPr="000D3EDD" w:rsidRDefault="00C47265" w:rsidP="000D3EDD">
      <w:pPr>
        <w:spacing w:line="276" w:lineRule="auto"/>
        <w:rPr>
          <w:color w:val="000000" w:themeColor="text1"/>
        </w:rPr>
      </w:pPr>
    </w:p>
    <w:p w14:paraId="2C5742F3" w14:textId="444A11FB" w:rsidR="00C47265" w:rsidRPr="000D3EDD" w:rsidRDefault="00F9395C" w:rsidP="000D3EDD">
      <w:pPr>
        <w:spacing w:line="276" w:lineRule="auto"/>
        <w:rPr>
          <w:color w:val="000000" w:themeColor="text1"/>
        </w:rPr>
      </w:pPr>
      <w:r w:rsidRPr="000D3EDD">
        <w:rPr>
          <w:color w:val="000000" w:themeColor="text1"/>
        </w:rPr>
        <w:t xml:space="preserve">Roach, M., &amp; Sauermann, H. (2010). A Taste for Science? PhD Scientists’ Academic Orientation and Self-selection into Research Career in Industry, </w:t>
      </w:r>
      <w:r w:rsidRPr="000D3EDD">
        <w:rPr>
          <w:i/>
          <w:iCs/>
          <w:color w:val="000000" w:themeColor="text1"/>
        </w:rPr>
        <w:t>Research Policy, 39</w:t>
      </w:r>
      <w:r w:rsidRPr="000D3EDD">
        <w:rPr>
          <w:color w:val="000000" w:themeColor="text1"/>
        </w:rPr>
        <w:t>(4), 22–34.</w:t>
      </w:r>
    </w:p>
    <w:p w14:paraId="68A0B1CF" w14:textId="77777777" w:rsidR="00F9395C" w:rsidRPr="000D3EDD" w:rsidRDefault="00F9395C" w:rsidP="000D3EDD">
      <w:pPr>
        <w:spacing w:line="276" w:lineRule="auto"/>
        <w:rPr>
          <w:color w:val="000000" w:themeColor="text1"/>
        </w:rPr>
      </w:pPr>
    </w:p>
    <w:p w14:paraId="2AB0241E" w14:textId="6C2617A0" w:rsidR="00C47265" w:rsidRPr="000D3EDD" w:rsidRDefault="00C47265" w:rsidP="000D3EDD">
      <w:pPr>
        <w:spacing w:line="276" w:lineRule="auto"/>
        <w:rPr>
          <w:b/>
          <w:bCs/>
          <w:color w:val="000000" w:themeColor="text1"/>
        </w:rPr>
      </w:pPr>
      <w:proofErr w:type="spellStart"/>
      <w:r w:rsidRPr="000D3EDD">
        <w:rPr>
          <w:color w:val="000000" w:themeColor="text1"/>
        </w:rPr>
        <w:t>Rohn</w:t>
      </w:r>
      <w:proofErr w:type="spellEnd"/>
      <w:r w:rsidR="00F678BB" w:rsidRPr="000D3EDD">
        <w:rPr>
          <w:color w:val="000000" w:themeColor="text1"/>
        </w:rPr>
        <w:t>,</w:t>
      </w:r>
      <w:r w:rsidRPr="000D3EDD">
        <w:rPr>
          <w:color w:val="000000" w:themeColor="text1"/>
        </w:rPr>
        <w:t xml:space="preserve"> J</w:t>
      </w:r>
      <w:r w:rsidR="00F678BB" w:rsidRPr="000D3EDD">
        <w:rPr>
          <w:color w:val="000000" w:themeColor="text1"/>
        </w:rPr>
        <w:t>.</w:t>
      </w:r>
      <w:r w:rsidRPr="000D3EDD">
        <w:rPr>
          <w:color w:val="000000" w:themeColor="text1"/>
        </w:rPr>
        <w:t xml:space="preserve"> (2011)</w:t>
      </w:r>
      <w:r w:rsidR="00F678BB" w:rsidRPr="000D3EDD">
        <w:rPr>
          <w:color w:val="000000" w:themeColor="text1"/>
        </w:rPr>
        <w:t>.</w:t>
      </w:r>
      <w:r w:rsidRPr="000D3EDD">
        <w:rPr>
          <w:color w:val="000000" w:themeColor="text1"/>
        </w:rPr>
        <w:t xml:space="preserve"> Give postdocs a career, not empty promises. </w:t>
      </w:r>
      <w:r w:rsidRPr="000D3EDD">
        <w:rPr>
          <w:i/>
          <w:iCs/>
          <w:color w:val="000000" w:themeColor="text1"/>
        </w:rPr>
        <w:t>Nature</w:t>
      </w:r>
      <w:r w:rsidRPr="000D3EDD">
        <w:rPr>
          <w:color w:val="000000" w:themeColor="text1"/>
        </w:rPr>
        <w:t xml:space="preserve">, 471(7). </w:t>
      </w:r>
    </w:p>
    <w:p w14:paraId="4DE3DDA5" w14:textId="255976EB" w:rsidR="00C47265" w:rsidRPr="000D3EDD" w:rsidRDefault="00F9395C" w:rsidP="000D3EDD">
      <w:pPr>
        <w:pStyle w:val="NormalWeb"/>
        <w:spacing w:line="276" w:lineRule="auto"/>
        <w:rPr>
          <w:color w:val="3A3A3A"/>
        </w:rPr>
      </w:pPr>
      <w:r w:rsidRPr="000D3EDD">
        <w:rPr>
          <w:color w:val="000000" w:themeColor="text1"/>
        </w:rPr>
        <w:t>Sauermann, H., &amp; Roach, M.</w:t>
      </w:r>
      <w:r w:rsidR="00F678BB" w:rsidRPr="000D3EDD">
        <w:rPr>
          <w:color w:val="000000" w:themeColor="text1"/>
        </w:rPr>
        <w:t xml:space="preserve"> </w:t>
      </w:r>
      <w:r w:rsidRPr="000D3EDD">
        <w:rPr>
          <w:color w:val="000000" w:themeColor="text1"/>
        </w:rPr>
        <w:t xml:space="preserve">(2012). Science PhD Career Preferences: Levels, Changes, and Advisor Encouragement. </w:t>
      </w:r>
      <w:proofErr w:type="spellStart"/>
      <w:r w:rsidRPr="000D3EDD">
        <w:rPr>
          <w:i/>
          <w:iCs/>
          <w:color w:val="000000" w:themeColor="text1"/>
        </w:rPr>
        <w:t>PLoS</w:t>
      </w:r>
      <w:proofErr w:type="spellEnd"/>
      <w:r w:rsidRPr="000D3EDD">
        <w:rPr>
          <w:i/>
          <w:iCs/>
          <w:color w:val="000000" w:themeColor="text1"/>
        </w:rPr>
        <w:t xml:space="preserve"> One</w:t>
      </w:r>
      <w:r w:rsidRPr="000D3EDD">
        <w:rPr>
          <w:color w:val="000000" w:themeColor="text1"/>
        </w:rPr>
        <w:t xml:space="preserve">, </w:t>
      </w:r>
      <w:r w:rsidRPr="000D3EDD">
        <w:rPr>
          <w:i/>
          <w:iCs/>
          <w:color w:val="000000" w:themeColor="text1"/>
        </w:rPr>
        <w:t>7</w:t>
      </w:r>
      <w:r w:rsidRPr="000D3EDD">
        <w:rPr>
          <w:color w:val="000000" w:themeColor="text1"/>
        </w:rPr>
        <w:t xml:space="preserve">(5). Retrieved from </w:t>
      </w:r>
      <w:hyperlink r:id="rId24" w:history="1">
        <w:r w:rsidRPr="000D3EDD">
          <w:rPr>
            <w:rStyle w:val="Hyperlink"/>
            <w:lang w:eastAsia="en-GB"/>
          </w:rPr>
          <w:t>https://doi.org/10.1371/journal.pone.0036307</w:t>
        </w:r>
      </w:hyperlink>
      <w:r w:rsidRPr="000D3EDD">
        <w:rPr>
          <w:color w:val="3A3A3A"/>
        </w:rPr>
        <w:t xml:space="preserve"> </w:t>
      </w:r>
    </w:p>
    <w:p w14:paraId="39BAD104" w14:textId="795E8CB8" w:rsidR="00C47265" w:rsidRPr="000D3EDD" w:rsidRDefault="00C47265" w:rsidP="000D3EDD">
      <w:pPr>
        <w:spacing w:line="276" w:lineRule="auto"/>
        <w:rPr>
          <w:color w:val="000000" w:themeColor="text1"/>
        </w:rPr>
      </w:pPr>
      <w:r w:rsidRPr="000D3EDD">
        <w:rPr>
          <w:color w:val="000000" w:themeColor="text1"/>
        </w:rPr>
        <w:t>Skidmore</w:t>
      </w:r>
      <w:r w:rsidR="00F678BB" w:rsidRPr="000D3EDD">
        <w:rPr>
          <w:color w:val="000000" w:themeColor="text1"/>
        </w:rPr>
        <w:t>,</w:t>
      </w:r>
      <w:r w:rsidRPr="000D3EDD">
        <w:rPr>
          <w:color w:val="000000" w:themeColor="text1"/>
        </w:rPr>
        <w:t xml:space="preserve"> C</w:t>
      </w:r>
      <w:r w:rsidR="00F678BB" w:rsidRPr="000D3EDD">
        <w:rPr>
          <w:color w:val="000000" w:themeColor="text1"/>
        </w:rPr>
        <w:t xml:space="preserve">. </w:t>
      </w:r>
      <w:r w:rsidRPr="000D3EDD">
        <w:rPr>
          <w:color w:val="000000" w:themeColor="text1"/>
        </w:rPr>
        <w:t>(2019)</w:t>
      </w:r>
      <w:r w:rsidR="00F678BB" w:rsidRPr="000D3EDD">
        <w:rPr>
          <w:color w:val="000000" w:themeColor="text1"/>
        </w:rPr>
        <w:t>.</w:t>
      </w:r>
      <w:r w:rsidRPr="000D3EDD">
        <w:rPr>
          <w:color w:val="000000" w:themeColor="text1"/>
        </w:rPr>
        <w:t xml:space="preserve"> Reaching 2.4%: Securing the research talent of tomorrow. </w:t>
      </w:r>
      <w:r w:rsidR="00F678BB" w:rsidRPr="000D3EDD">
        <w:rPr>
          <w:color w:val="000000" w:themeColor="text1"/>
        </w:rPr>
        <w:t xml:space="preserve">Retrieved from </w:t>
      </w:r>
      <w:hyperlink r:id="rId25" w:history="1">
        <w:r w:rsidR="00F678BB" w:rsidRPr="000D3EDD">
          <w:rPr>
            <w:rStyle w:val="Hyperlink"/>
          </w:rPr>
          <w:t>https://www.gov.uk/government/speeches/reaching-24-securing-the-research-talent-of-tomorrow</w:t>
        </w:r>
      </w:hyperlink>
      <w:r w:rsidRPr="000D3EDD">
        <w:rPr>
          <w:color w:val="000000" w:themeColor="text1"/>
        </w:rPr>
        <w:t xml:space="preserve">   </w:t>
      </w:r>
    </w:p>
    <w:p w14:paraId="4EF16AA2" w14:textId="77777777" w:rsidR="00C47265" w:rsidRPr="000D3EDD" w:rsidRDefault="00C47265" w:rsidP="000D3EDD">
      <w:pPr>
        <w:spacing w:line="276" w:lineRule="auto"/>
        <w:rPr>
          <w:color w:val="000000" w:themeColor="text1"/>
        </w:rPr>
      </w:pPr>
    </w:p>
    <w:p w14:paraId="1E949D13" w14:textId="699CF78C" w:rsidR="00C47265" w:rsidRPr="000D3EDD" w:rsidRDefault="00C47265" w:rsidP="000D3EDD">
      <w:pPr>
        <w:spacing w:line="276" w:lineRule="auto"/>
        <w:rPr>
          <w:color w:val="000000" w:themeColor="text1"/>
        </w:rPr>
      </w:pPr>
      <w:r w:rsidRPr="000D3EDD">
        <w:rPr>
          <w:color w:val="000000" w:themeColor="text1"/>
        </w:rPr>
        <w:t>Skovgaard-Pedersen</w:t>
      </w:r>
      <w:r w:rsidR="00F678BB" w:rsidRPr="000D3EDD">
        <w:rPr>
          <w:color w:val="000000" w:themeColor="text1"/>
        </w:rPr>
        <w:t>,</w:t>
      </w:r>
      <w:r w:rsidRPr="000D3EDD">
        <w:rPr>
          <w:color w:val="000000" w:themeColor="text1"/>
        </w:rPr>
        <w:t xml:space="preserve"> H</w:t>
      </w:r>
      <w:r w:rsidR="00F678BB" w:rsidRPr="000D3EDD">
        <w:rPr>
          <w:color w:val="000000" w:themeColor="text1"/>
        </w:rPr>
        <w:t>.</w:t>
      </w:r>
      <w:r w:rsidRPr="000D3EDD">
        <w:rPr>
          <w:color w:val="000000" w:themeColor="text1"/>
        </w:rPr>
        <w:t xml:space="preserve"> (2014)</w:t>
      </w:r>
      <w:r w:rsidR="00F678BB" w:rsidRPr="000D3EDD">
        <w:rPr>
          <w:color w:val="000000" w:themeColor="text1"/>
        </w:rPr>
        <w:t>.</w:t>
      </w:r>
      <w:r w:rsidRPr="000D3EDD">
        <w:rPr>
          <w:color w:val="000000" w:themeColor="text1"/>
        </w:rPr>
        <w:t xml:space="preserve"> New doctoral graduates in the knowledge economy: key trends and issues</w:t>
      </w:r>
      <w:r w:rsidR="00F678BB" w:rsidRPr="000D3EDD">
        <w:rPr>
          <w:color w:val="000000" w:themeColor="text1"/>
        </w:rPr>
        <w:t>,</w:t>
      </w:r>
      <w:r w:rsidRPr="000D3EDD">
        <w:rPr>
          <w:color w:val="000000" w:themeColor="text1"/>
        </w:rPr>
        <w:t xml:space="preserve"> </w:t>
      </w:r>
      <w:r w:rsidRPr="000D3EDD">
        <w:rPr>
          <w:i/>
          <w:iCs/>
          <w:color w:val="000000" w:themeColor="text1"/>
        </w:rPr>
        <w:t>Journal of Higher Education Management and Policy</w:t>
      </w:r>
      <w:r w:rsidRPr="000D3EDD">
        <w:rPr>
          <w:color w:val="000000" w:themeColor="text1"/>
        </w:rPr>
        <w:t xml:space="preserve">, </w:t>
      </w:r>
      <w:r w:rsidRPr="000D3EDD">
        <w:rPr>
          <w:i/>
          <w:iCs/>
          <w:color w:val="000000" w:themeColor="text1"/>
        </w:rPr>
        <w:t>36</w:t>
      </w:r>
      <w:r w:rsidRPr="000D3EDD">
        <w:rPr>
          <w:color w:val="000000" w:themeColor="text1"/>
        </w:rPr>
        <w:t>(6), 632-45.</w:t>
      </w:r>
    </w:p>
    <w:p w14:paraId="465A9BAC" w14:textId="77777777" w:rsidR="00C47265" w:rsidRPr="000D3EDD" w:rsidRDefault="00C47265" w:rsidP="000D3EDD">
      <w:pPr>
        <w:spacing w:line="276" w:lineRule="auto"/>
        <w:rPr>
          <w:color w:val="000000" w:themeColor="text1"/>
        </w:rPr>
      </w:pPr>
    </w:p>
    <w:p w14:paraId="1D12F10D" w14:textId="3C792C84" w:rsidR="00C47265" w:rsidRPr="000D3EDD" w:rsidRDefault="00C47265" w:rsidP="000D3EDD">
      <w:pPr>
        <w:spacing w:line="276" w:lineRule="auto"/>
        <w:rPr>
          <w:color w:val="000000" w:themeColor="text1"/>
        </w:rPr>
      </w:pPr>
      <w:r w:rsidRPr="000D3EDD">
        <w:rPr>
          <w:color w:val="000000" w:themeColor="text1"/>
        </w:rPr>
        <w:t>Stephan</w:t>
      </w:r>
      <w:r w:rsidR="00F678BB" w:rsidRPr="000D3EDD">
        <w:rPr>
          <w:color w:val="000000" w:themeColor="text1"/>
        </w:rPr>
        <w:t>,</w:t>
      </w:r>
      <w:r w:rsidRPr="000D3EDD">
        <w:rPr>
          <w:color w:val="000000" w:themeColor="text1"/>
        </w:rPr>
        <w:t xml:space="preserve"> P</w:t>
      </w:r>
      <w:r w:rsidR="00F678BB" w:rsidRPr="000D3EDD">
        <w:rPr>
          <w:color w:val="000000" w:themeColor="text1"/>
        </w:rPr>
        <w:t>.</w:t>
      </w:r>
      <w:r w:rsidR="009C0D63" w:rsidRPr="000D3EDD">
        <w:rPr>
          <w:color w:val="000000" w:themeColor="text1"/>
        </w:rPr>
        <w:t xml:space="preserve"> </w:t>
      </w:r>
      <w:r w:rsidRPr="000D3EDD">
        <w:rPr>
          <w:color w:val="000000" w:themeColor="text1"/>
        </w:rPr>
        <w:t>(2013)</w:t>
      </w:r>
      <w:r w:rsidR="00F678BB" w:rsidRPr="000D3EDD">
        <w:rPr>
          <w:color w:val="000000" w:themeColor="text1"/>
        </w:rPr>
        <w:t>.</w:t>
      </w:r>
      <w:r w:rsidR="009C0D63" w:rsidRPr="000D3EDD">
        <w:rPr>
          <w:color w:val="000000" w:themeColor="text1"/>
        </w:rPr>
        <w:t xml:space="preserve"> </w:t>
      </w:r>
      <w:r w:rsidRPr="000D3EDD">
        <w:rPr>
          <w:color w:val="000000" w:themeColor="text1"/>
        </w:rPr>
        <w:t xml:space="preserve">Too Many Scientists? Chemistry World. </w:t>
      </w:r>
      <w:r w:rsidR="00F678BB" w:rsidRPr="000D3EDD">
        <w:rPr>
          <w:color w:val="000000" w:themeColor="text1"/>
        </w:rPr>
        <w:t xml:space="preserve">Retrieved from </w:t>
      </w:r>
      <w:hyperlink r:id="rId26" w:history="1">
        <w:r w:rsidR="00F678BB" w:rsidRPr="000D3EDD">
          <w:rPr>
            <w:rStyle w:val="Hyperlink"/>
          </w:rPr>
          <w:t>https://www.chemistryworld.com/opinion/too-many-scientists/5820.article</w:t>
        </w:r>
      </w:hyperlink>
      <w:r w:rsidR="00F678BB" w:rsidRPr="000D3EDD">
        <w:rPr>
          <w:color w:val="000000" w:themeColor="text1"/>
        </w:rPr>
        <w:t xml:space="preserve">   </w:t>
      </w:r>
    </w:p>
    <w:p w14:paraId="394FC46E" w14:textId="77777777" w:rsidR="00A35FEF" w:rsidRPr="000D3EDD" w:rsidRDefault="00A35FEF" w:rsidP="000D3EDD">
      <w:pPr>
        <w:spacing w:line="276" w:lineRule="auto"/>
        <w:rPr>
          <w:color w:val="000000" w:themeColor="text1"/>
        </w:rPr>
      </w:pPr>
      <w:r w:rsidRPr="000D3EDD">
        <w:rPr>
          <w:color w:val="000000" w:themeColor="text1"/>
        </w:rPr>
        <w:t xml:space="preserve">Thune, T., </w:t>
      </w:r>
      <w:proofErr w:type="spellStart"/>
      <w:r w:rsidRPr="000D3EDD">
        <w:rPr>
          <w:color w:val="000000" w:themeColor="text1"/>
        </w:rPr>
        <w:t>Kyvik</w:t>
      </w:r>
      <w:proofErr w:type="spellEnd"/>
      <w:r w:rsidRPr="000D3EDD">
        <w:rPr>
          <w:color w:val="000000" w:themeColor="text1"/>
        </w:rPr>
        <w:t xml:space="preserve">, S., </w:t>
      </w:r>
      <w:proofErr w:type="spellStart"/>
      <w:r w:rsidRPr="000D3EDD">
        <w:rPr>
          <w:color w:val="000000" w:themeColor="text1"/>
        </w:rPr>
        <w:t>Sörlin</w:t>
      </w:r>
      <w:proofErr w:type="spellEnd"/>
      <w:r w:rsidRPr="000D3EDD">
        <w:rPr>
          <w:color w:val="000000" w:themeColor="text1"/>
        </w:rPr>
        <w:t xml:space="preserve">, S., Olsen, T. B., </w:t>
      </w:r>
      <w:proofErr w:type="spellStart"/>
      <w:r w:rsidRPr="000D3EDD">
        <w:rPr>
          <w:color w:val="000000" w:themeColor="text1"/>
        </w:rPr>
        <w:t>Vabø</w:t>
      </w:r>
      <w:proofErr w:type="spellEnd"/>
      <w:r w:rsidRPr="000D3EDD">
        <w:rPr>
          <w:color w:val="000000" w:themeColor="text1"/>
        </w:rPr>
        <w:t xml:space="preserve">, A., &amp; </w:t>
      </w:r>
      <w:proofErr w:type="spellStart"/>
      <w:r w:rsidRPr="000D3EDD">
        <w:rPr>
          <w:color w:val="000000" w:themeColor="text1"/>
        </w:rPr>
        <w:t>Tømte</w:t>
      </w:r>
      <w:proofErr w:type="spellEnd"/>
      <w:r w:rsidRPr="000D3EDD">
        <w:rPr>
          <w:color w:val="000000" w:themeColor="text1"/>
        </w:rPr>
        <w:t xml:space="preserve">, C. (2012). </w:t>
      </w:r>
      <w:r w:rsidRPr="000D3EDD">
        <w:rPr>
          <w:i/>
          <w:iCs/>
          <w:color w:val="000000" w:themeColor="text1"/>
        </w:rPr>
        <w:t>PhD education in a knowledge society: An evaluation of PhD education in Norway</w:t>
      </w:r>
      <w:r w:rsidRPr="000D3EDD">
        <w:rPr>
          <w:color w:val="000000" w:themeColor="text1"/>
        </w:rPr>
        <w:t xml:space="preserve">. Oslo: Nordic Institute for Studies in Innovation, Research and Education. Retrieved from </w:t>
      </w:r>
      <w:hyperlink r:id="rId27" w:history="1">
        <w:r w:rsidRPr="000D3EDD">
          <w:rPr>
            <w:rStyle w:val="Hyperlink"/>
          </w:rPr>
          <w:t>https://www.nifu.no/publications/951985/</w:t>
        </w:r>
      </w:hyperlink>
      <w:r w:rsidRPr="000D3EDD">
        <w:rPr>
          <w:color w:val="000000" w:themeColor="text1"/>
        </w:rPr>
        <w:t xml:space="preserve">  </w:t>
      </w:r>
    </w:p>
    <w:p w14:paraId="7FE618BB" w14:textId="77777777" w:rsidR="00A35FEF" w:rsidRPr="000D3EDD" w:rsidRDefault="00A35FEF" w:rsidP="000D3EDD">
      <w:pPr>
        <w:spacing w:line="276" w:lineRule="auto"/>
        <w:rPr>
          <w:color w:val="000000" w:themeColor="text1"/>
        </w:rPr>
      </w:pPr>
    </w:p>
    <w:p w14:paraId="54C3C36F" w14:textId="3B2CF6A7" w:rsidR="00A35FEF" w:rsidRPr="000D3EDD" w:rsidRDefault="00A35FEF" w:rsidP="000D3EDD">
      <w:pPr>
        <w:spacing w:line="276" w:lineRule="auto"/>
        <w:rPr>
          <w:color w:val="000000" w:themeColor="text1"/>
        </w:rPr>
      </w:pPr>
      <w:r w:rsidRPr="000D3EDD">
        <w:rPr>
          <w:color w:val="000000" w:themeColor="text1"/>
        </w:rPr>
        <w:t xml:space="preserve">van de </w:t>
      </w:r>
      <w:proofErr w:type="spellStart"/>
      <w:r w:rsidRPr="000D3EDD">
        <w:rPr>
          <w:color w:val="000000" w:themeColor="text1"/>
        </w:rPr>
        <w:t>Schoot</w:t>
      </w:r>
      <w:proofErr w:type="spellEnd"/>
      <w:r w:rsidRPr="000D3EDD">
        <w:rPr>
          <w:color w:val="000000" w:themeColor="text1"/>
        </w:rPr>
        <w:t xml:space="preserve">, R., Yerkes, M., &amp; </w:t>
      </w:r>
      <w:proofErr w:type="spellStart"/>
      <w:r w:rsidRPr="000D3EDD">
        <w:rPr>
          <w:color w:val="000000" w:themeColor="text1"/>
        </w:rPr>
        <w:t>Sonneveld</w:t>
      </w:r>
      <w:proofErr w:type="spellEnd"/>
      <w:r w:rsidRPr="000D3EDD">
        <w:rPr>
          <w:color w:val="000000" w:themeColor="text1"/>
        </w:rPr>
        <w:t xml:space="preserve">, H. (2012). The Employment Status of Doctoral Recipients: An Exploratory Study in the Netherlands. </w:t>
      </w:r>
      <w:r w:rsidRPr="000D3EDD">
        <w:rPr>
          <w:i/>
          <w:iCs/>
          <w:color w:val="000000" w:themeColor="text1"/>
        </w:rPr>
        <w:t>International Journal of Doctoral Studies</w:t>
      </w:r>
      <w:r w:rsidRPr="000D3EDD">
        <w:rPr>
          <w:color w:val="000000" w:themeColor="text1"/>
        </w:rPr>
        <w:t>, 7</w:t>
      </w:r>
      <w:r w:rsidR="00F678BB" w:rsidRPr="000D3EDD">
        <w:rPr>
          <w:color w:val="000000" w:themeColor="text1"/>
        </w:rPr>
        <w:t xml:space="preserve">, </w:t>
      </w:r>
      <w:r w:rsidRPr="000D3EDD">
        <w:rPr>
          <w:color w:val="000000" w:themeColor="text1"/>
        </w:rPr>
        <w:t xml:space="preserve">331–348. </w:t>
      </w:r>
    </w:p>
    <w:p w14:paraId="7AB631D9" w14:textId="77777777" w:rsidR="00C47265" w:rsidRPr="000D3EDD" w:rsidRDefault="00C47265" w:rsidP="000D3EDD">
      <w:pPr>
        <w:spacing w:line="276" w:lineRule="auto"/>
        <w:rPr>
          <w:color w:val="000000" w:themeColor="text1"/>
        </w:rPr>
      </w:pPr>
    </w:p>
    <w:p w14:paraId="3AA33F87" w14:textId="0120BDDB" w:rsidR="00C47265" w:rsidRPr="000D3EDD" w:rsidRDefault="00C47265" w:rsidP="000D3EDD">
      <w:pPr>
        <w:spacing w:line="276" w:lineRule="auto"/>
        <w:rPr>
          <w:color w:val="000000" w:themeColor="text1"/>
        </w:rPr>
      </w:pPr>
      <w:r w:rsidRPr="000D3EDD">
        <w:rPr>
          <w:color w:val="000000" w:themeColor="text1"/>
        </w:rPr>
        <w:t>Vettese</w:t>
      </w:r>
      <w:r w:rsidR="00F678BB" w:rsidRPr="000D3EDD">
        <w:rPr>
          <w:color w:val="000000" w:themeColor="text1"/>
        </w:rPr>
        <w:t>,</w:t>
      </w:r>
      <w:r w:rsidR="009C0D63" w:rsidRPr="000D3EDD">
        <w:rPr>
          <w:color w:val="000000" w:themeColor="text1"/>
        </w:rPr>
        <w:t xml:space="preserve"> </w:t>
      </w:r>
      <w:r w:rsidRPr="000D3EDD">
        <w:rPr>
          <w:color w:val="000000" w:themeColor="text1"/>
        </w:rPr>
        <w:t>T</w:t>
      </w:r>
      <w:r w:rsidR="00F678BB" w:rsidRPr="000D3EDD">
        <w:rPr>
          <w:color w:val="000000" w:themeColor="text1"/>
        </w:rPr>
        <w:t>.</w:t>
      </w:r>
      <w:r w:rsidR="009C0D63" w:rsidRPr="000D3EDD">
        <w:rPr>
          <w:color w:val="000000" w:themeColor="text1"/>
        </w:rPr>
        <w:t xml:space="preserve"> </w:t>
      </w:r>
      <w:r w:rsidRPr="000D3EDD">
        <w:rPr>
          <w:color w:val="000000" w:themeColor="text1"/>
        </w:rPr>
        <w:t>(2019)</w:t>
      </w:r>
      <w:r w:rsidR="00F678BB" w:rsidRPr="000D3EDD">
        <w:rPr>
          <w:color w:val="000000" w:themeColor="text1"/>
        </w:rPr>
        <w:t>.</w:t>
      </w:r>
      <w:r w:rsidRPr="000D3EDD">
        <w:rPr>
          <w:color w:val="000000" w:themeColor="text1"/>
        </w:rPr>
        <w:t xml:space="preserve"> Sexism in the Academy. </w:t>
      </w:r>
      <w:r w:rsidRPr="000D3EDD">
        <w:rPr>
          <w:i/>
          <w:iCs/>
          <w:color w:val="000000" w:themeColor="text1"/>
        </w:rPr>
        <w:t>n+1</w:t>
      </w:r>
      <w:r w:rsidRPr="000D3EDD">
        <w:rPr>
          <w:color w:val="000000" w:themeColor="text1"/>
        </w:rPr>
        <w:t xml:space="preserve">, 34, Spring 2019. </w:t>
      </w:r>
    </w:p>
    <w:p w14:paraId="23C8F4E3" w14:textId="77777777" w:rsidR="00C47265" w:rsidRPr="000D3EDD" w:rsidRDefault="00C47265" w:rsidP="000D3EDD">
      <w:pPr>
        <w:spacing w:line="276" w:lineRule="auto"/>
        <w:rPr>
          <w:color w:val="000000" w:themeColor="text1"/>
        </w:rPr>
      </w:pPr>
    </w:p>
    <w:p w14:paraId="6F676FF2" w14:textId="52F365E3" w:rsidR="00C47265" w:rsidRPr="000D3EDD" w:rsidRDefault="00C47265" w:rsidP="000D3EDD">
      <w:pPr>
        <w:spacing w:line="276" w:lineRule="auto"/>
        <w:rPr>
          <w:color w:val="000000" w:themeColor="text1"/>
        </w:rPr>
      </w:pPr>
      <w:r w:rsidRPr="000D3EDD">
        <w:rPr>
          <w:color w:val="000000" w:themeColor="text1"/>
        </w:rPr>
        <w:t>Vitae</w:t>
      </w:r>
      <w:r w:rsidR="00F678BB" w:rsidRPr="000D3EDD">
        <w:rPr>
          <w:color w:val="000000" w:themeColor="text1"/>
        </w:rPr>
        <w:t>.</w:t>
      </w:r>
      <w:r w:rsidRPr="000D3EDD">
        <w:rPr>
          <w:color w:val="000000" w:themeColor="text1"/>
        </w:rPr>
        <w:t xml:space="preserve"> (2013)</w:t>
      </w:r>
      <w:r w:rsidR="00F678BB" w:rsidRPr="000D3EDD">
        <w:rPr>
          <w:color w:val="000000" w:themeColor="text1"/>
        </w:rPr>
        <w:t>.</w:t>
      </w:r>
      <w:r w:rsidRPr="000D3EDD">
        <w:rPr>
          <w:color w:val="000000" w:themeColor="text1"/>
        </w:rPr>
        <w:t xml:space="preserve"> What do researchers do? Early career progression of doctoral graduates. </w:t>
      </w:r>
      <w:r w:rsidR="00F678BB" w:rsidRPr="000D3EDD">
        <w:rPr>
          <w:color w:val="000000" w:themeColor="text1"/>
        </w:rPr>
        <w:t xml:space="preserve">Retrieved from </w:t>
      </w:r>
      <w:hyperlink r:id="rId28" w:history="1">
        <w:r w:rsidR="00F678BB" w:rsidRPr="000D3EDD">
          <w:rPr>
            <w:rStyle w:val="Hyperlink"/>
          </w:rPr>
          <w:t>https://www.vitae.ac.uk/vitae-publications/reports/what-do-researchers-do-early-career-progression-2013.pdf/view</w:t>
        </w:r>
      </w:hyperlink>
      <w:r w:rsidR="00CE25A3" w:rsidRPr="000D3EDD">
        <w:rPr>
          <w:color w:val="000000" w:themeColor="text1"/>
        </w:rPr>
        <w:t xml:space="preserve"> </w:t>
      </w:r>
    </w:p>
    <w:p w14:paraId="257C1F3D" w14:textId="25C71B9D" w:rsidR="00CE25A3" w:rsidRPr="000D3EDD" w:rsidRDefault="00CE25A3" w:rsidP="000D3EDD">
      <w:pPr>
        <w:spacing w:line="276" w:lineRule="auto"/>
        <w:rPr>
          <w:color w:val="000000" w:themeColor="text1"/>
        </w:rPr>
      </w:pPr>
    </w:p>
    <w:p w14:paraId="627B0F34" w14:textId="1678E6B9" w:rsidR="00CE25A3" w:rsidRPr="000D3EDD" w:rsidRDefault="00CE25A3" w:rsidP="000D3EDD">
      <w:pPr>
        <w:spacing w:line="276" w:lineRule="auto"/>
        <w:rPr>
          <w:color w:val="000000" w:themeColor="text1"/>
        </w:rPr>
      </w:pPr>
      <w:r w:rsidRPr="000D3EDD">
        <w:rPr>
          <w:color w:val="000000" w:themeColor="text1"/>
        </w:rPr>
        <w:t>Vitae</w:t>
      </w:r>
      <w:r w:rsidR="00F678BB" w:rsidRPr="000D3EDD">
        <w:rPr>
          <w:color w:val="000000" w:themeColor="text1"/>
        </w:rPr>
        <w:t>.</w:t>
      </w:r>
      <w:r w:rsidRPr="000D3EDD">
        <w:rPr>
          <w:color w:val="000000" w:themeColor="text1"/>
        </w:rPr>
        <w:t xml:space="preserve"> (2019</w:t>
      </w:r>
      <w:r w:rsidR="00500AD5" w:rsidRPr="000D3EDD">
        <w:rPr>
          <w:color w:val="000000" w:themeColor="text1"/>
        </w:rPr>
        <w:t>a</w:t>
      </w:r>
      <w:r w:rsidRPr="000D3EDD">
        <w:rPr>
          <w:color w:val="000000" w:themeColor="text1"/>
        </w:rPr>
        <w:t xml:space="preserve">). The Concordat to Support the Career Development of Researchers. </w:t>
      </w:r>
      <w:r w:rsidR="00F678BB" w:rsidRPr="000D3EDD">
        <w:rPr>
          <w:color w:val="000000" w:themeColor="text1"/>
        </w:rPr>
        <w:t xml:space="preserve">Retrieved from </w:t>
      </w:r>
      <w:hyperlink r:id="rId29" w:history="1">
        <w:r w:rsidR="00F678BB" w:rsidRPr="000D3EDD">
          <w:rPr>
            <w:rStyle w:val="Hyperlink"/>
          </w:rPr>
          <w:t>https://www.vitae.ac.uk/policy/concordat/Download_Concordat_PDF</w:t>
        </w:r>
      </w:hyperlink>
      <w:r w:rsidRPr="000D3EDD">
        <w:rPr>
          <w:color w:val="000000" w:themeColor="text1"/>
        </w:rPr>
        <w:t xml:space="preserve"> </w:t>
      </w:r>
    </w:p>
    <w:p w14:paraId="439B383A" w14:textId="34C8EF46" w:rsidR="00500AD5" w:rsidRPr="000D3EDD" w:rsidRDefault="00500AD5" w:rsidP="000D3EDD">
      <w:pPr>
        <w:spacing w:line="276" w:lineRule="auto"/>
        <w:rPr>
          <w:color w:val="000000" w:themeColor="text1"/>
        </w:rPr>
      </w:pPr>
    </w:p>
    <w:p w14:paraId="1B9020FB" w14:textId="3737FD02" w:rsidR="00500AD5" w:rsidRPr="000D3EDD" w:rsidRDefault="00500AD5" w:rsidP="000D3EDD">
      <w:pPr>
        <w:spacing w:line="276" w:lineRule="auto"/>
        <w:rPr>
          <w:color w:val="000000" w:themeColor="text1"/>
        </w:rPr>
      </w:pPr>
      <w:r w:rsidRPr="000D3EDD">
        <w:rPr>
          <w:color w:val="000000" w:themeColor="text1"/>
        </w:rPr>
        <w:lastRenderedPageBreak/>
        <w:t>Vitae</w:t>
      </w:r>
      <w:r w:rsidR="00F678BB" w:rsidRPr="000D3EDD">
        <w:rPr>
          <w:color w:val="000000" w:themeColor="text1"/>
        </w:rPr>
        <w:t>.</w:t>
      </w:r>
      <w:r w:rsidRPr="000D3EDD">
        <w:rPr>
          <w:color w:val="000000" w:themeColor="text1"/>
        </w:rPr>
        <w:t xml:space="preserve"> (2019b)</w:t>
      </w:r>
      <w:r w:rsidR="00F678BB" w:rsidRPr="000D3EDD">
        <w:rPr>
          <w:color w:val="000000" w:themeColor="text1"/>
        </w:rPr>
        <w:t>.</w:t>
      </w:r>
      <w:r w:rsidRPr="000D3EDD">
        <w:rPr>
          <w:color w:val="000000" w:themeColor="text1"/>
        </w:rPr>
        <w:t xml:space="preserve"> Do researchers’ early careers have to be precarious?</w:t>
      </w:r>
      <w:r w:rsidR="00F678BB" w:rsidRPr="000D3EDD">
        <w:rPr>
          <w:color w:val="000000" w:themeColor="text1"/>
        </w:rPr>
        <w:t xml:space="preserve"> Retrieved from</w:t>
      </w:r>
      <w:r w:rsidRPr="000D3EDD">
        <w:rPr>
          <w:color w:val="000000" w:themeColor="text1"/>
        </w:rPr>
        <w:t xml:space="preserve"> </w:t>
      </w:r>
      <w:hyperlink r:id="rId30" w:history="1">
        <w:r w:rsidR="00EE531A" w:rsidRPr="000D3EDD">
          <w:rPr>
            <w:rStyle w:val="Hyperlink"/>
          </w:rPr>
          <w:t>https://www.vitae.ac.uk/impact-and-evaluation/what-do-researchers-do/vitae-wdrd-infographic-final-sept-19.pdf/view</w:t>
        </w:r>
      </w:hyperlink>
      <w:r w:rsidR="00EE531A" w:rsidRPr="000D3EDD">
        <w:rPr>
          <w:color w:val="000000" w:themeColor="text1"/>
        </w:rPr>
        <w:t xml:space="preserve"> </w:t>
      </w:r>
    </w:p>
    <w:p w14:paraId="6E3E7BB1" w14:textId="77777777" w:rsidR="00C47265" w:rsidRPr="000D3EDD" w:rsidRDefault="00C47265" w:rsidP="000D3EDD">
      <w:pPr>
        <w:spacing w:line="276" w:lineRule="auto"/>
        <w:rPr>
          <w:color w:val="000000" w:themeColor="text1"/>
        </w:rPr>
      </w:pPr>
    </w:p>
    <w:p w14:paraId="6E1C1AFA" w14:textId="518D1BD4" w:rsidR="00C47265" w:rsidRPr="000D3EDD" w:rsidRDefault="00C47265" w:rsidP="000D3EDD">
      <w:pPr>
        <w:spacing w:line="276" w:lineRule="auto"/>
        <w:rPr>
          <w:color w:val="000000" w:themeColor="text1"/>
        </w:rPr>
      </w:pPr>
      <w:r w:rsidRPr="000D3EDD">
        <w:rPr>
          <w:color w:val="000000" w:themeColor="text1"/>
        </w:rPr>
        <w:t>Wakeling</w:t>
      </w:r>
      <w:r w:rsidR="00F678BB" w:rsidRPr="000D3EDD">
        <w:rPr>
          <w:color w:val="000000" w:themeColor="text1"/>
        </w:rPr>
        <w:t xml:space="preserve">, </w:t>
      </w:r>
      <w:r w:rsidRPr="000D3EDD">
        <w:rPr>
          <w:color w:val="000000" w:themeColor="text1"/>
        </w:rPr>
        <w:t>P</w:t>
      </w:r>
      <w:r w:rsidR="00F678BB" w:rsidRPr="000D3EDD">
        <w:rPr>
          <w:color w:val="000000" w:themeColor="text1"/>
        </w:rPr>
        <w:t>.</w:t>
      </w:r>
      <w:r w:rsidR="00B8497E" w:rsidRPr="000D3EDD">
        <w:rPr>
          <w:color w:val="000000" w:themeColor="text1"/>
        </w:rPr>
        <w:t>,</w:t>
      </w:r>
      <w:r w:rsidR="00F678BB" w:rsidRPr="000D3EDD">
        <w:rPr>
          <w:color w:val="000000" w:themeColor="text1"/>
        </w:rPr>
        <w:t xml:space="preserve"> &amp;</w:t>
      </w:r>
      <w:r w:rsidR="00B8497E" w:rsidRPr="000D3EDD">
        <w:rPr>
          <w:color w:val="000000" w:themeColor="text1"/>
        </w:rPr>
        <w:t xml:space="preserve"> </w:t>
      </w:r>
      <w:r w:rsidRPr="000D3EDD">
        <w:rPr>
          <w:color w:val="000000" w:themeColor="text1"/>
        </w:rPr>
        <w:t>Kyriacou</w:t>
      </w:r>
      <w:r w:rsidR="00F678BB" w:rsidRPr="000D3EDD">
        <w:rPr>
          <w:color w:val="000000" w:themeColor="text1"/>
        </w:rPr>
        <w:t>,</w:t>
      </w:r>
      <w:r w:rsidR="00B8497E" w:rsidRPr="000D3EDD">
        <w:rPr>
          <w:color w:val="000000" w:themeColor="text1"/>
        </w:rPr>
        <w:t xml:space="preserve"> </w:t>
      </w:r>
      <w:r w:rsidRPr="000D3EDD">
        <w:rPr>
          <w:color w:val="000000" w:themeColor="text1"/>
        </w:rPr>
        <w:t>C</w:t>
      </w:r>
      <w:r w:rsidR="00F678BB" w:rsidRPr="000D3EDD">
        <w:rPr>
          <w:color w:val="000000" w:themeColor="text1"/>
        </w:rPr>
        <w:t>.</w:t>
      </w:r>
      <w:r w:rsidR="00B8497E" w:rsidRPr="000D3EDD">
        <w:rPr>
          <w:color w:val="000000" w:themeColor="text1"/>
        </w:rPr>
        <w:t xml:space="preserve"> </w:t>
      </w:r>
      <w:r w:rsidRPr="000D3EDD">
        <w:rPr>
          <w:color w:val="000000" w:themeColor="text1"/>
        </w:rPr>
        <w:t>(2010)</w:t>
      </w:r>
      <w:r w:rsidR="00F678BB" w:rsidRPr="000D3EDD">
        <w:rPr>
          <w:color w:val="000000" w:themeColor="text1"/>
        </w:rPr>
        <w:t>.</w:t>
      </w:r>
      <w:r w:rsidRPr="000D3EDD">
        <w:rPr>
          <w:color w:val="000000" w:themeColor="text1"/>
        </w:rPr>
        <w:t xml:space="preserve"> </w:t>
      </w:r>
      <w:r w:rsidRPr="000D3EDD">
        <w:rPr>
          <w:i/>
          <w:iCs/>
          <w:color w:val="000000" w:themeColor="text1"/>
        </w:rPr>
        <w:t>Widening participation from undergraduate to postgraduate research degrees.</w:t>
      </w:r>
      <w:r w:rsidRPr="000D3EDD">
        <w:rPr>
          <w:color w:val="000000" w:themeColor="text1"/>
        </w:rPr>
        <w:t xml:space="preserve"> Swindon: NCCPE and ESRC. </w:t>
      </w:r>
    </w:p>
    <w:p w14:paraId="4743D564" w14:textId="77777777" w:rsidR="00C47265" w:rsidRPr="000D3EDD" w:rsidRDefault="00C47265" w:rsidP="000D3EDD">
      <w:pPr>
        <w:spacing w:line="276" w:lineRule="auto"/>
        <w:rPr>
          <w:color w:val="000000" w:themeColor="text1"/>
        </w:rPr>
      </w:pPr>
    </w:p>
    <w:p w14:paraId="105E3ED0" w14:textId="5540A3C6" w:rsidR="00C47265" w:rsidRPr="000D3EDD" w:rsidRDefault="00C47265" w:rsidP="000D3EDD">
      <w:pPr>
        <w:spacing w:line="276" w:lineRule="auto"/>
        <w:rPr>
          <w:color w:val="000000" w:themeColor="text1"/>
        </w:rPr>
      </w:pPr>
      <w:proofErr w:type="spellStart"/>
      <w:r w:rsidRPr="000D3EDD">
        <w:rPr>
          <w:color w:val="000000" w:themeColor="text1"/>
        </w:rPr>
        <w:t>Zolas</w:t>
      </w:r>
      <w:proofErr w:type="spellEnd"/>
      <w:r w:rsidR="00F678BB" w:rsidRPr="000D3EDD">
        <w:rPr>
          <w:color w:val="000000" w:themeColor="text1"/>
        </w:rPr>
        <w:t xml:space="preserve">, </w:t>
      </w:r>
      <w:r w:rsidRPr="000D3EDD">
        <w:rPr>
          <w:color w:val="000000" w:themeColor="text1"/>
        </w:rPr>
        <w:t>N</w:t>
      </w:r>
      <w:r w:rsidR="00F678BB" w:rsidRPr="000D3EDD">
        <w:rPr>
          <w:color w:val="000000" w:themeColor="text1"/>
        </w:rPr>
        <w:t>.</w:t>
      </w:r>
      <w:r w:rsidR="00B8497E" w:rsidRPr="000D3EDD">
        <w:rPr>
          <w:color w:val="000000" w:themeColor="text1"/>
        </w:rPr>
        <w:t xml:space="preserve">, </w:t>
      </w:r>
      <w:proofErr w:type="spellStart"/>
      <w:r w:rsidRPr="000D3EDD">
        <w:rPr>
          <w:color w:val="000000" w:themeColor="text1"/>
        </w:rPr>
        <w:t>Goldschlag</w:t>
      </w:r>
      <w:proofErr w:type="spellEnd"/>
      <w:r w:rsidR="00F678BB" w:rsidRPr="000D3EDD">
        <w:rPr>
          <w:color w:val="000000" w:themeColor="text1"/>
        </w:rPr>
        <w:t>,</w:t>
      </w:r>
      <w:r w:rsidR="00B8497E" w:rsidRPr="000D3EDD">
        <w:rPr>
          <w:color w:val="000000" w:themeColor="text1"/>
        </w:rPr>
        <w:t xml:space="preserve"> </w:t>
      </w:r>
      <w:r w:rsidRPr="000D3EDD">
        <w:rPr>
          <w:color w:val="000000" w:themeColor="text1"/>
        </w:rPr>
        <w:t>N</w:t>
      </w:r>
      <w:r w:rsidR="00F678BB" w:rsidRPr="000D3EDD">
        <w:rPr>
          <w:color w:val="000000" w:themeColor="text1"/>
        </w:rPr>
        <w:t>.</w:t>
      </w:r>
      <w:r w:rsidR="00B8497E" w:rsidRPr="000D3EDD">
        <w:rPr>
          <w:color w:val="000000" w:themeColor="text1"/>
        </w:rPr>
        <w:t>,</w:t>
      </w:r>
      <w:r w:rsidRPr="000D3EDD">
        <w:rPr>
          <w:color w:val="000000" w:themeColor="text1"/>
        </w:rPr>
        <w:t xml:space="preserve"> </w:t>
      </w:r>
      <w:proofErr w:type="spellStart"/>
      <w:r w:rsidRPr="000D3EDD">
        <w:rPr>
          <w:color w:val="000000" w:themeColor="text1"/>
        </w:rPr>
        <w:t>Jarmin</w:t>
      </w:r>
      <w:proofErr w:type="spellEnd"/>
      <w:r w:rsidR="00F678BB" w:rsidRPr="000D3EDD">
        <w:rPr>
          <w:color w:val="000000" w:themeColor="text1"/>
        </w:rPr>
        <w:t>,</w:t>
      </w:r>
      <w:r w:rsidR="00B8497E" w:rsidRPr="000D3EDD">
        <w:rPr>
          <w:color w:val="000000" w:themeColor="text1"/>
        </w:rPr>
        <w:t xml:space="preserve"> </w:t>
      </w:r>
      <w:r w:rsidRPr="000D3EDD">
        <w:rPr>
          <w:color w:val="000000" w:themeColor="text1"/>
        </w:rPr>
        <w:t>R</w:t>
      </w:r>
      <w:r w:rsidR="00F678BB" w:rsidRPr="000D3EDD">
        <w:rPr>
          <w:color w:val="000000" w:themeColor="text1"/>
        </w:rPr>
        <w:t>.</w:t>
      </w:r>
      <w:r w:rsidRPr="000D3EDD">
        <w:rPr>
          <w:color w:val="000000" w:themeColor="text1"/>
        </w:rPr>
        <w:t>, Stephan</w:t>
      </w:r>
      <w:r w:rsidR="00F678BB" w:rsidRPr="000D3EDD">
        <w:rPr>
          <w:color w:val="000000" w:themeColor="text1"/>
        </w:rPr>
        <w:t>,</w:t>
      </w:r>
      <w:r w:rsidR="00B8497E" w:rsidRPr="000D3EDD">
        <w:rPr>
          <w:color w:val="000000" w:themeColor="text1"/>
        </w:rPr>
        <w:t xml:space="preserve"> </w:t>
      </w:r>
      <w:r w:rsidRPr="000D3EDD">
        <w:rPr>
          <w:color w:val="000000" w:themeColor="text1"/>
        </w:rPr>
        <w:t>P</w:t>
      </w:r>
      <w:r w:rsidR="00F678BB" w:rsidRPr="000D3EDD">
        <w:rPr>
          <w:color w:val="000000" w:themeColor="text1"/>
        </w:rPr>
        <w:t>.</w:t>
      </w:r>
      <w:r w:rsidRPr="000D3EDD">
        <w:rPr>
          <w:color w:val="000000" w:themeColor="text1"/>
        </w:rPr>
        <w:t>, Owen-Smith</w:t>
      </w:r>
      <w:r w:rsidR="00F678BB" w:rsidRPr="000D3EDD">
        <w:rPr>
          <w:color w:val="000000" w:themeColor="text1"/>
        </w:rPr>
        <w:t>,</w:t>
      </w:r>
      <w:r w:rsidR="00B8497E" w:rsidRPr="000D3EDD">
        <w:rPr>
          <w:color w:val="000000" w:themeColor="text1"/>
        </w:rPr>
        <w:t xml:space="preserve"> </w:t>
      </w:r>
      <w:r w:rsidRPr="000D3EDD">
        <w:rPr>
          <w:color w:val="000000" w:themeColor="text1"/>
        </w:rPr>
        <w:t>J</w:t>
      </w:r>
      <w:r w:rsidR="00F678BB" w:rsidRPr="000D3EDD">
        <w:rPr>
          <w:color w:val="000000" w:themeColor="text1"/>
        </w:rPr>
        <w:t>.</w:t>
      </w:r>
      <w:r w:rsidRPr="000D3EDD">
        <w:rPr>
          <w:color w:val="000000" w:themeColor="text1"/>
        </w:rPr>
        <w:t>, Rosen</w:t>
      </w:r>
      <w:r w:rsidR="00B8497E" w:rsidRPr="000D3EDD">
        <w:rPr>
          <w:color w:val="000000" w:themeColor="text1"/>
        </w:rPr>
        <w:t xml:space="preserve"> </w:t>
      </w:r>
      <w:r w:rsidRPr="000D3EDD">
        <w:rPr>
          <w:color w:val="000000" w:themeColor="text1"/>
        </w:rPr>
        <w:t>R</w:t>
      </w:r>
      <w:r w:rsidR="00F678BB" w:rsidRPr="000D3EDD">
        <w:rPr>
          <w:color w:val="000000" w:themeColor="text1"/>
        </w:rPr>
        <w:t>.</w:t>
      </w:r>
      <w:r w:rsidRPr="000D3EDD">
        <w:rPr>
          <w:color w:val="000000" w:themeColor="text1"/>
        </w:rPr>
        <w:t xml:space="preserve">, </w:t>
      </w:r>
      <w:r w:rsidR="00B8497E" w:rsidRPr="000D3EDD">
        <w:rPr>
          <w:color w:val="000000" w:themeColor="text1"/>
        </w:rPr>
        <w:t>et al.</w:t>
      </w:r>
      <w:r w:rsidRPr="000D3EDD">
        <w:rPr>
          <w:color w:val="000000" w:themeColor="text1"/>
        </w:rPr>
        <w:t xml:space="preserve"> (2015)</w:t>
      </w:r>
      <w:r w:rsidR="000D3EDD" w:rsidRPr="000D3EDD">
        <w:rPr>
          <w:color w:val="000000" w:themeColor="text1"/>
        </w:rPr>
        <w:t>.</w:t>
      </w:r>
      <w:r w:rsidRPr="000D3EDD">
        <w:rPr>
          <w:color w:val="000000" w:themeColor="text1"/>
        </w:rPr>
        <w:t xml:space="preserve"> Wrapping it up in a person: Examining employment and earnings outcomes for PhD recipients. </w:t>
      </w:r>
      <w:r w:rsidRPr="000D3EDD">
        <w:rPr>
          <w:i/>
          <w:iCs/>
          <w:color w:val="000000" w:themeColor="text1"/>
        </w:rPr>
        <w:t>Science</w:t>
      </w:r>
      <w:r w:rsidRPr="000D3EDD">
        <w:rPr>
          <w:color w:val="000000" w:themeColor="text1"/>
        </w:rPr>
        <w:t xml:space="preserve">, 350(6266), 1367–1371. </w:t>
      </w:r>
    </w:p>
    <w:p w14:paraId="247C66A1" w14:textId="5379FDC3" w:rsidR="001B1AAB" w:rsidRPr="000D3EDD" w:rsidRDefault="001B1AAB" w:rsidP="000D3EDD">
      <w:pPr>
        <w:spacing w:line="276" w:lineRule="auto"/>
        <w:rPr>
          <w:color w:val="000000" w:themeColor="text1"/>
        </w:rPr>
      </w:pPr>
    </w:p>
    <w:p w14:paraId="0A09026D" w14:textId="16AEC83F" w:rsidR="001B1AAB" w:rsidRPr="000D3EDD" w:rsidRDefault="001B1AAB" w:rsidP="000D3EDD">
      <w:pPr>
        <w:spacing w:line="276" w:lineRule="auto"/>
        <w:rPr>
          <w:color w:val="000000" w:themeColor="text1"/>
        </w:rPr>
      </w:pPr>
    </w:p>
    <w:p w14:paraId="0DA5FF67" w14:textId="04565260" w:rsidR="00B2215F" w:rsidRDefault="00B2215F" w:rsidP="000D3EDD">
      <w:pPr>
        <w:pStyle w:val="NormalWeb"/>
        <w:spacing w:before="0" w:beforeAutospacing="0" w:after="0" w:afterAutospacing="0" w:line="276" w:lineRule="auto"/>
        <w:rPr>
          <w:b/>
          <w:bCs/>
        </w:rPr>
      </w:pPr>
    </w:p>
    <w:p w14:paraId="7EA2EF2F" w14:textId="4BBED4C3" w:rsidR="00AD6B6D" w:rsidRDefault="00AD6B6D" w:rsidP="000D3EDD">
      <w:pPr>
        <w:pStyle w:val="NormalWeb"/>
        <w:spacing w:before="0" w:beforeAutospacing="0" w:after="0" w:afterAutospacing="0" w:line="276" w:lineRule="auto"/>
        <w:rPr>
          <w:b/>
          <w:bCs/>
        </w:rPr>
      </w:pPr>
    </w:p>
    <w:p w14:paraId="72F50BE3" w14:textId="3DD5F582" w:rsidR="00AD6B6D" w:rsidRDefault="00AD6B6D" w:rsidP="000D3EDD">
      <w:pPr>
        <w:pStyle w:val="NormalWeb"/>
        <w:spacing w:before="0" w:beforeAutospacing="0" w:after="0" w:afterAutospacing="0" w:line="276" w:lineRule="auto"/>
        <w:rPr>
          <w:b/>
          <w:bCs/>
        </w:rPr>
      </w:pPr>
    </w:p>
    <w:p w14:paraId="54384162" w14:textId="15E2EB01" w:rsidR="00AD6B6D" w:rsidRDefault="00AD6B6D" w:rsidP="000D3EDD">
      <w:pPr>
        <w:pStyle w:val="NormalWeb"/>
        <w:spacing w:before="0" w:beforeAutospacing="0" w:after="0" w:afterAutospacing="0" w:line="276" w:lineRule="auto"/>
        <w:rPr>
          <w:b/>
          <w:bCs/>
        </w:rPr>
      </w:pPr>
    </w:p>
    <w:p w14:paraId="3D5E4487" w14:textId="6477CD9A" w:rsidR="0045053E" w:rsidRDefault="0045053E" w:rsidP="000D3EDD">
      <w:pPr>
        <w:pStyle w:val="NormalWeb"/>
        <w:spacing w:before="0" w:beforeAutospacing="0" w:after="0" w:afterAutospacing="0" w:line="276" w:lineRule="auto"/>
        <w:rPr>
          <w:b/>
          <w:bCs/>
        </w:rPr>
      </w:pPr>
    </w:p>
    <w:p w14:paraId="63176FA0" w14:textId="15222F6F" w:rsidR="0045053E" w:rsidRDefault="0045053E" w:rsidP="000D3EDD">
      <w:pPr>
        <w:pStyle w:val="NormalWeb"/>
        <w:spacing w:before="0" w:beforeAutospacing="0" w:after="0" w:afterAutospacing="0" w:line="276" w:lineRule="auto"/>
        <w:rPr>
          <w:b/>
          <w:bCs/>
        </w:rPr>
      </w:pPr>
    </w:p>
    <w:p w14:paraId="5B8274CA" w14:textId="36C73D74" w:rsidR="0045053E" w:rsidRDefault="0045053E" w:rsidP="000D3EDD">
      <w:pPr>
        <w:pStyle w:val="NormalWeb"/>
        <w:spacing w:before="0" w:beforeAutospacing="0" w:after="0" w:afterAutospacing="0" w:line="276" w:lineRule="auto"/>
        <w:rPr>
          <w:b/>
          <w:bCs/>
        </w:rPr>
      </w:pPr>
    </w:p>
    <w:p w14:paraId="148D5D57" w14:textId="0E42900D" w:rsidR="0045053E" w:rsidRDefault="0045053E" w:rsidP="000D3EDD">
      <w:pPr>
        <w:pStyle w:val="NormalWeb"/>
        <w:spacing w:before="0" w:beforeAutospacing="0" w:after="0" w:afterAutospacing="0" w:line="276" w:lineRule="auto"/>
        <w:rPr>
          <w:b/>
          <w:bCs/>
        </w:rPr>
      </w:pPr>
    </w:p>
    <w:p w14:paraId="2A9CF41A" w14:textId="624D57D2" w:rsidR="0045053E" w:rsidRDefault="0045053E" w:rsidP="000D3EDD">
      <w:pPr>
        <w:pStyle w:val="NormalWeb"/>
        <w:spacing w:before="0" w:beforeAutospacing="0" w:after="0" w:afterAutospacing="0" w:line="276" w:lineRule="auto"/>
        <w:rPr>
          <w:b/>
          <w:bCs/>
        </w:rPr>
      </w:pPr>
    </w:p>
    <w:p w14:paraId="4C2EECFA" w14:textId="3F461CEB" w:rsidR="0045053E" w:rsidRDefault="0045053E" w:rsidP="000D3EDD">
      <w:pPr>
        <w:pStyle w:val="NormalWeb"/>
        <w:spacing w:before="0" w:beforeAutospacing="0" w:after="0" w:afterAutospacing="0" w:line="276" w:lineRule="auto"/>
        <w:rPr>
          <w:b/>
          <w:bCs/>
        </w:rPr>
      </w:pPr>
    </w:p>
    <w:p w14:paraId="7FD04500" w14:textId="73F404D6" w:rsidR="0045053E" w:rsidRDefault="0045053E" w:rsidP="000D3EDD">
      <w:pPr>
        <w:pStyle w:val="NormalWeb"/>
        <w:spacing w:before="0" w:beforeAutospacing="0" w:after="0" w:afterAutospacing="0" w:line="276" w:lineRule="auto"/>
        <w:rPr>
          <w:b/>
          <w:bCs/>
        </w:rPr>
      </w:pPr>
    </w:p>
    <w:p w14:paraId="736A7F0C" w14:textId="5798F28F" w:rsidR="0045053E" w:rsidRDefault="0045053E" w:rsidP="000D3EDD">
      <w:pPr>
        <w:pStyle w:val="NormalWeb"/>
        <w:spacing w:before="0" w:beforeAutospacing="0" w:after="0" w:afterAutospacing="0" w:line="276" w:lineRule="auto"/>
        <w:rPr>
          <w:b/>
          <w:bCs/>
        </w:rPr>
      </w:pPr>
    </w:p>
    <w:p w14:paraId="219E33E3" w14:textId="4D39606F" w:rsidR="0045053E" w:rsidRDefault="0045053E" w:rsidP="000D3EDD">
      <w:pPr>
        <w:pStyle w:val="NormalWeb"/>
        <w:spacing w:before="0" w:beforeAutospacing="0" w:after="0" w:afterAutospacing="0" w:line="276" w:lineRule="auto"/>
        <w:rPr>
          <w:b/>
          <w:bCs/>
        </w:rPr>
      </w:pPr>
    </w:p>
    <w:p w14:paraId="2D355B6A" w14:textId="7300CA38" w:rsidR="0045053E" w:rsidRDefault="0045053E" w:rsidP="000D3EDD">
      <w:pPr>
        <w:pStyle w:val="NormalWeb"/>
        <w:spacing w:before="0" w:beforeAutospacing="0" w:after="0" w:afterAutospacing="0" w:line="276" w:lineRule="auto"/>
        <w:rPr>
          <w:b/>
          <w:bCs/>
        </w:rPr>
      </w:pPr>
    </w:p>
    <w:p w14:paraId="005AC8F3" w14:textId="35DBB678" w:rsidR="0045053E" w:rsidRDefault="0045053E" w:rsidP="000D3EDD">
      <w:pPr>
        <w:pStyle w:val="NormalWeb"/>
        <w:spacing w:before="0" w:beforeAutospacing="0" w:after="0" w:afterAutospacing="0" w:line="276" w:lineRule="auto"/>
        <w:rPr>
          <w:b/>
          <w:bCs/>
        </w:rPr>
      </w:pPr>
    </w:p>
    <w:p w14:paraId="48F3E92B" w14:textId="5044FB19" w:rsidR="0045053E" w:rsidRDefault="0045053E" w:rsidP="000D3EDD">
      <w:pPr>
        <w:pStyle w:val="NormalWeb"/>
        <w:spacing w:before="0" w:beforeAutospacing="0" w:after="0" w:afterAutospacing="0" w:line="276" w:lineRule="auto"/>
        <w:rPr>
          <w:b/>
          <w:bCs/>
        </w:rPr>
      </w:pPr>
    </w:p>
    <w:p w14:paraId="0161DE2E" w14:textId="22953400" w:rsidR="0045053E" w:rsidRDefault="0045053E" w:rsidP="000D3EDD">
      <w:pPr>
        <w:pStyle w:val="NormalWeb"/>
        <w:spacing w:before="0" w:beforeAutospacing="0" w:after="0" w:afterAutospacing="0" w:line="276" w:lineRule="auto"/>
        <w:rPr>
          <w:b/>
          <w:bCs/>
        </w:rPr>
      </w:pPr>
    </w:p>
    <w:p w14:paraId="50F89AB3" w14:textId="6C539AEE" w:rsidR="0045053E" w:rsidRDefault="0045053E" w:rsidP="000D3EDD">
      <w:pPr>
        <w:pStyle w:val="NormalWeb"/>
        <w:spacing w:before="0" w:beforeAutospacing="0" w:after="0" w:afterAutospacing="0" w:line="276" w:lineRule="auto"/>
        <w:rPr>
          <w:b/>
          <w:bCs/>
        </w:rPr>
      </w:pPr>
    </w:p>
    <w:p w14:paraId="5E6B9325" w14:textId="5FF8E7DA" w:rsidR="0045053E" w:rsidRDefault="0045053E" w:rsidP="000D3EDD">
      <w:pPr>
        <w:pStyle w:val="NormalWeb"/>
        <w:spacing w:before="0" w:beforeAutospacing="0" w:after="0" w:afterAutospacing="0" w:line="276" w:lineRule="auto"/>
        <w:rPr>
          <w:b/>
          <w:bCs/>
        </w:rPr>
      </w:pPr>
    </w:p>
    <w:p w14:paraId="6AE3883C" w14:textId="35EE512C" w:rsidR="0045053E" w:rsidRDefault="0045053E" w:rsidP="000D3EDD">
      <w:pPr>
        <w:pStyle w:val="NormalWeb"/>
        <w:spacing w:before="0" w:beforeAutospacing="0" w:after="0" w:afterAutospacing="0" w:line="276" w:lineRule="auto"/>
        <w:rPr>
          <w:b/>
          <w:bCs/>
        </w:rPr>
      </w:pPr>
    </w:p>
    <w:p w14:paraId="12ACC3B4" w14:textId="08DC8525" w:rsidR="0045053E" w:rsidRDefault="0045053E" w:rsidP="000D3EDD">
      <w:pPr>
        <w:pStyle w:val="NormalWeb"/>
        <w:spacing w:before="0" w:beforeAutospacing="0" w:after="0" w:afterAutospacing="0" w:line="276" w:lineRule="auto"/>
        <w:rPr>
          <w:b/>
          <w:bCs/>
        </w:rPr>
      </w:pPr>
    </w:p>
    <w:p w14:paraId="0EEC8B20" w14:textId="23A20452" w:rsidR="0045053E" w:rsidRDefault="0045053E" w:rsidP="000D3EDD">
      <w:pPr>
        <w:pStyle w:val="NormalWeb"/>
        <w:spacing w:before="0" w:beforeAutospacing="0" w:after="0" w:afterAutospacing="0" w:line="276" w:lineRule="auto"/>
        <w:rPr>
          <w:b/>
          <w:bCs/>
        </w:rPr>
      </w:pPr>
    </w:p>
    <w:p w14:paraId="198C9263" w14:textId="40D89637" w:rsidR="0045053E" w:rsidRDefault="0045053E" w:rsidP="000D3EDD">
      <w:pPr>
        <w:pStyle w:val="NormalWeb"/>
        <w:spacing w:before="0" w:beforeAutospacing="0" w:after="0" w:afterAutospacing="0" w:line="276" w:lineRule="auto"/>
        <w:rPr>
          <w:b/>
          <w:bCs/>
        </w:rPr>
      </w:pPr>
    </w:p>
    <w:p w14:paraId="500782F0" w14:textId="4B370B8D" w:rsidR="0045053E" w:rsidRDefault="0045053E" w:rsidP="000D3EDD">
      <w:pPr>
        <w:pStyle w:val="NormalWeb"/>
        <w:spacing w:before="0" w:beforeAutospacing="0" w:after="0" w:afterAutospacing="0" w:line="276" w:lineRule="auto"/>
        <w:rPr>
          <w:b/>
          <w:bCs/>
        </w:rPr>
      </w:pPr>
    </w:p>
    <w:p w14:paraId="19C2FC50" w14:textId="6856459A" w:rsidR="0045053E" w:rsidRDefault="0045053E" w:rsidP="000D3EDD">
      <w:pPr>
        <w:pStyle w:val="NormalWeb"/>
        <w:spacing w:before="0" w:beforeAutospacing="0" w:after="0" w:afterAutospacing="0" w:line="276" w:lineRule="auto"/>
        <w:rPr>
          <w:b/>
          <w:bCs/>
        </w:rPr>
      </w:pPr>
    </w:p>
    <w:p w14:paraId="50B91C28" w14:textId="687A03FE" w:rsidR="0045053E" w:rsidRDefault="0045053E" w:rsidP="000D3EDD">
      <w:pPr>
        <w:pStyle w:val="NormalWeb"/>
        <w:spacing w:before="0" w:beforeAutospacing="0" w:after="0" w:afterAutospacing="0" w:line="276" w:lineRule="auto"/>
        <w:rPr>
          <w:b/>
          <w:bCs/>
        </w:rPr>
      </w:pPr>
    </w:p>
    <w:p w14:paraId="2BF822D5" w14:textId="695D0D02" w:rsidR="0045053E" w:rsidRDefault="0045053E" w:rsidP="000D3EDD">
      <w:pPr>
        <w:pStyle w:val="NormalWeb"/>
        <w:spacing w:before="0" w:beforeAutospacing="0" w:after="0" w:afterAutospacing="0" w:line="276" w:lineRule="auto"/>
        <w:rPr>
          <w:b/>
          <w:bCs/>
        </w:rPr>
      </w:pPr>
    </w:p>
    <w:p w14:paraId="31C8F871" w14:textId="05EFE46A" w:rsidR="0045053E" w:rsidRDefault="0045053E" w:rsidP="000D3EDD">
      <w:pPr>
        <w:pStyle w:val="NormalWeb"/>
        <w:spacing w:before="0" w:beforeAutospacing="0" w:after="0" w:afterAutospacing="0" w:line="276" w:lineRule="auto"/>
        <w:rPr>
          <w:b/>
          <w:bCs/>
        </w:rPr>
      </w:pPr>
    </w:p>
    <w:p w14:paraId="5F1A766C" w14:textId="153DE4C1" w:rsidR="0045053E" w:rsidRDefault="0045053E" w:rsidP="000D3EDD">
      <w:pPr>
        <w:pStyle w:val="NormalWeb"/>
        <w:spacing w:before="0" w:beforeAutospacing="0" w:after="0" w:afterAutospacing="0" w:line="276" w:lineRule="auto"/>
        <w:rPr>
          <w:b/>
          <w:bCs/>
        </w:rPr>
      </w:pPr>
    </w:p>
    <w:p w14:paraId="027D7996" w14:textId="22AE2F2F" w:rsidR="0045053E" w:rsidRDefault="0045053E" w:rsidP="000D3EDD">
      <w:pPr>
        <w:pStyle w:val="NormalWeb"/>
        <w:spacing w:before="0" w:beforeAutospacing="0" w:after="0" w:afterAutospacing="0" w:line="276" w:lineRule="auto"/>
        <w:rPr>
          <w:b/>
          <w:bCs/>
        </w:rPr>
      </w:pPr>
    </w:p>
    <w:p w14:paraId="0F54E0B1" w14:textId="463C9CC6" w:rsidR="0045053E" w:rsidRDefault="0045053E" w:rsidP="000D3EDD">
      <w:pPr>
        <w:pStyle w:val="NormalWeb"/>
        <w:spacing w:before="0" w:beforeAutospacing="0" w:after="0" w:afterAutospacing="0" w:line="276" w:lineRule="auto"/>
        <w:rPr>
          <w:b/>
          <w:bCs/>
        </w:rPr>
      </w:pPr>
    </w:p>
    <w:p w14:paraId="1E5733CB" w14:textId="126AC0C0" w:rsidR="0045053E" w:rsidRDefault="0045053E" w:rsidP="000D3EDD">
      <w:pPr>
        <w:pStyle w:val="NormalWeb"/>
        <w:spacing w:before="0" w:beforeAutospacing="0" w:after="0" w:afterAutospacing="0" w:line="276" w:lineRule="auto"/>
        <w:rPr>
          <w:b/>
          <w:bCs/>
        </w:rPr>
      </w:pPr>
    </w:p>
    <w:p w14:paraId="74F7F672" w14:textId="4F97CD26" w:rsidR="00A6640B" w:rsidRPr="000D3EDD" w:rsidRDefault="000E3591" w:rsidP="000D3EDD">
      <w:pPr>
        <w:pStyle w:val="NormalWeb"/>
        <w:spacing w:before="0" w:beforeAutospacing="0" w:after="0" w:afterAutospacing="0" w:line="276" w:lineRule="auto"/>
        <w:rPr>
          <w:b/>
          <w:bCs/>
        </w:rPr>
      </w:pPr>
      <w:r w:rsidRPr="000D3EDD">
        <w:rPr>
          <w:b/>
          <w:bCs/>
        </w:rPr>
        <w:lastRenderedPageBreak/>
        <w:t>Tables</w:t>
      </w:r>
    </w:p>
    <w:p w14:paraId="1663B45D" w14:textId="77777777" w:rsidR="001B1AAB" w:rsidRPr="000D3EDD" w:rsidRDefault="001B1AAB" w:rsidP="000D3EDD">
      <w:pPr>
        <w:pStyle w:val="NormalWeb"/>
        <w:spacing w:before="0" w:beforeAutospacing="0" w:after="0" w:afterAutospacing="0" w:line="276" w:lineRule="auto"/>
        <w:rPr>
          <w:b/>
          <w:bCs/>
        </w:rPr>
      </w:pPr>
    </w:p>
    <w:tbl>
      <w:tblPr>
        <w:tblW w:w="0" w:type="auto"/>
        <w:tblLook w:val="04A0" w:firstRow="1" w:lastRow="0" w:firstColumn="1" w:lastColumn="0" w:noHBand="0" w:noVBand="1"/>
      </w:tblPr>
      <w:tblGrid>
        <w:gridCol w:w="3995"/>
        <w:gridCol w:w="1610"/>
      </w:tblGrid>
      <w:tr w:rsidR="000E3591" w:rsidRPr="000D3EDD" w14:paraId="08F244D2" w14:textId="77777777" w:rsidTr="00FA50A2">
        <w:trPr>
          <w:trHeight w:val="433"/>
        </w:trPr>
        <w:tc>
          <w:tcPr>
            <w:tcW w:w="0" w:type="auto"/>
            <w:tcBorders>
              <w:top w:val="single" w:sz="4" w:space="0" w:color="000000"/>
              <w:left w:val="single" w:sz="4" w:space="0" w:color="FFFFFF"/>
              <w:bottom w:val="single" w:sz="4" w:space="0" w:color="000000"/>
              <w:right w:val="single" w:sz="4" w:space="0" w:color="FFFFFF"/>
            </w:tcBorders>
            <w:shd w:val="clear" w:color="auto" w:fill="auto"/>
            <w:noWrap/>
            <w:vAlign w:val="center"/>
            <w:hideMark/>
          </w:tcPr>
          <w:p w14:paraId="470912EC" w14:textId="77777777" w:rsidR="000E3591" w:rsidRPr="000D3EDD" w:rsidRDefault="000E3591" w:rsidP="000D3EDD">
            <w:pPr>
              <w:spacing w:line="276" w:lineRule="auto"/>
              <w:jc w:val="right"/>
              <w:rPr>
                <w:color w:val="000000"/>
              </w:rPr>
            </w:pPr>
            <w:r w:rsidRPr="000D3EDD">
              <w:rPr>
                <w:color w:val="000000"/>
              </w:rPr>
              <w:t> </w:t>
            </w:r>
          </w:p>
        </w:tc>
        <w:tc>
          <w:tcPr>
            <w:tcW w:w="0" w:type="auto"/>
            <w:tcBorders>
              <w:top w:val="single" w:sz="4" w:space="0" w:color="000000"/>
              <w:left w:val="nil"/>
              <w:bottom w:val="single" w:sz="4" w:space="0" w:color="000000"/>
              <w:right w:val="single" w:sz="4" w:space="0" w:color="FFFFFF"/>
            </w:tcBorders>
            <w:shd w:val="clear" w:color="auto" w:fill="auto"/>
            <w:noWrap/>
            <w:vAlign w:val="center"/>
            <w:hideMark/>
          </w:tcPr>
          <w:p w14:paraId="4227B908" w14:textId="77777777" w:rsidR="000E3591" w:rsidRPr="000D3EDD" w:rsidRDefault="000E3591" w:rsidP="000D3EDD">
            <w:pPr>
              <w:spacing w:line="276" w:lineRule="auto"/>
              <w:jc w:val="right"/>
              <w:rPr>
                <w:b/>
                <w:bCs/>
                <w:color w:val="000000"/>
              </w:rPr>
            </w:pPr>
            <w:r w:rsidRPr="000D3EDD">
              <w:rPr>
                <w:b/>
                <w:bCs/>
                <w:color w:val="000000"/>
              </w:rPr>
              <w:t>Valid percent</w:t>
            </w:r>
          </w:p>
        </w:tc>
      </w:tr>
      <w:tr w:rsidR="000E3591" w:rsidRPr="000D3EDD" w14:paraId="71EB94A4"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5146E8C1" w14:textId="77777777" w:rsidR="000E3591" w:rsidRPr="000D3EDD" w:rsidRDefault="000E3591" w:rsidP="000D3EDD">
            <w:pPr>
              <w:spacing w:line="276" w:lineRule="auto"/>
              <w:jc w:val="right"/>
              <w:rPr>
                <w:b/>
                <w:bCs/>
                <w:color w:val="000000"/>
              </w:rPr>
            </w:pPr>
            <w:r w:rsidRPr="000D3EDD">
              <w:rPr>
                <w:b/>
                <w:bCs/>
                <w:color w:val="000000"/>
              </w:rPr>
              <w:t>Year of doctoral award</w:t>
            </w:r>
          </w:p>
        </w:tc>
        <w:tc>
          <w:tcPr>
            <w:tcW w:w="0" w:type="auto"/>
            <w:tcBorders>
              <w:top w:val="nil"/>
              <w:left w:val="nil"/>
              <w:bottom w:val="single" w:sz="4" w:space="0" w:color="FFFFFF"/>
              <w:right w:val="single" w:sz="4" w:space="0" w:color="FFFFFF"/>
            </w:tcBorders>
            <w:shd w:val="clear" w:color="auto" w:fill="auto"/>
            <w:noWrap/>
            <w:vAlign w:val="center"/>
            <w:hideMark/>
          </w:tcPr>
          <w:p w14:paraId="285C245C" w14:textId="77777777" w:rsidR="000E3591" w:rsidRPr="000D3EDD" w:rsidRDefault="000E3591" w:rsidP="000D3EDD">
            <w:pPr>
              <w:spacing w:line="276" w:lineRule="auto"/>
              <w:jc w:val="right"/>
              <w:rPr>
                <w:color w:val="000000"/>
              </w:rPr>
            </w:pPr>
            <w:r w:rsidRPr="000D3EDD">
              <w:rPr>
                <w:color w:val="000000"/>
              </w:rPr>
              <w:t> </w:t>
            </w:r>
          </w:p>
        </w:tc>
      </w:tr>
      <w:tr w:rsidR="000E3591" w:rsidRPr="000D3EDD" w14:paraId="73746A4E"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75B252C2" w14:textId="77777777" w:rsidR="000E3591" w:rsidRPr="000D3EDD" w:rsidRDefault="000E3591" w:rsidP="000D3EDD">
            <w:pPr>
              <w:spacing w:line="276" w:lineRule="auto"/>
              <w:jc w:val="right"/>
              <w:rPr>
                <w:color w:val="000000"/>
              </w:rPr>
            </w:pPr>
            <w:r w:rsidRPr="000D3EDD">
              <w:rPr>
                <w:color w:val="000000"/>
              </w:rPr>
              <w:t>2008/9</w:t>
            </w:r>
          </w:p>
        </w:tc>
        <w:tc>
          <w:tcPr>
            <w:tcW w:w="0" w:type="auto"/>
            <w:tcBorders>
              <w:top w:val="nil"/>
              <w:left w:val="nil"/>
              <w:bottom w:val="single" w:sz="4" w:space="0" w:color="FFFFFF"/>
              <w:right w:val="single" w:sz="4" w:space="0" w:color="FFFFFF"/>
            </w:tcBorders>
            <w:shd w:val="clear" w:color="auto" w:fill="auto"/>
            <w:noWrap/>
            <w:vAlign w:val="center"/>
            <w:hideMark/>
          </w:tcPr>
          <w:p w14:paraId="551DCDFE" w14:textId="77777777" w:rsidR="000E3591" w:rsidRPr="000D3EDD" w:rsidRDefault="000E3591" w:rsidP="000D3EDD">
            <w:pPr>
              <w:spacing w:line="276" w:lineRule="auto"/>
              <w:jc w:val="right"/>
              <w:rPr>
                <w:color w:val="000000"/>
              </w:rPr>
            </w:pPr>
            <w:r w:rsidRPr="000D3EDD">
              <w:rPr>
                <w:color w:val="000000"/>
              </w:rPr>
              <w:t>46.7</w:t>
            </w:r>
          </w:p>
        </w:tc>
      </w:tr>
      <w:tr w:rsidR="000E3591" w:rsidRPr="000D3EDD" w14:paraId="4E6CA65F"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541F14CA" w14:textId="77777777" w:rsidR="000E3591" w:rsidRPr="000D3EDD" w:rsidRDefault="000E3591" w:rsidP="000D3EDD">
            <w:pPr>
              <w:spacing w:line="276" w:lineRule="auto"/>
              <w:jc w:val="right"/>
              <w:rPr>
                <w:color w:val="000000"/>
              </w:rPr>
            </w:pPr>
            <w:r w:rsidRPr="000D3EDD">
              <w:rPr>
                <w:color w:val="000000"/>
              </w:rPr>
              <w:t>2010/11</w:t>
            </w:r>
          </w:p>
        </w:tc>
        <w:tc>
          <w:tcPr>
            <w:tcW w:w="0" w:type="auto"/>
            <w:tcBorders>
              <w:top w:val="nil"/>
              <w:left w:val="nil"/>
              <w:bottom w:val="single" w:sz="4" w:space="0" w:color="FFFFFF"/>
              <w:right w:val="single" w:sz="4" w:space="0" w:color="FFFFFF"/>
            </w:tcBorders>
            <w:shd w:val="clear" w:color="auto" w:fill="auto"/>
            <w:noWrap/>
            <w:vAlign w:val="center"/>
            <w:hideMark/>
          </w:tcPr>
          <w:p w14:paraId="476D7D4C" w14:textId="77777777" w:rsidR="000E3591" w:rsidRPr="000D3EDD" w:rsidRDefault="000E3591" w:rsidP="000D3EDD">
            <w:pPr>
              <w:spacing w:line="276" w:lineRule="auto"/>
              <w:jc w:val="right"/>
              <w:rPr>
                <w:color w:val="000000"/>
              </w:rPr>
            </w:pPr>
            <w:r w:rsidRPr="000D3EDD">
              <w:rPr>
                <w:color w:val="000000"/>
              </w:rPr>
              <w:t>53.3</w:t>
            </w:r>
          </w:p>
        </w:tc>
      </w:tr>
      <w:tr w:rsidR="000E3591" w:rsidRPr="000D3EDD" w14:paraId="51D303A5"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39377B94" w14:textId="77777777" w:rsidR="000E3591" w:rsidRPr="000D3EDD" w:rsidRDefault="000E3591" w:rsidP="000D3EDD">
            <w:pPr>
              <w:spacing w:line="276" w:lineRule="auto"/>
              <w:jc w:val="right"/>
              <w:rPr>
                <w:b/>
                <w:bCs/>
                <w:color w:val="000000"/>
              </w:rPr>
            </w:pPr>
            <w:r w:rsidRPr="000D3EDD">
              <w:rPr>
                <w:b/>
                <w:bCs/>
                <w:color w:val="000000"/>
              </w:rPr>
              <w:t>Doctoral subject area</w:t>
            </w:r>
          </w:p>
        </w:tc>
        <w:tc>
          <w:tcPr>
            <w:tcW w:w="0" w:type="auto"/>
            <w:tcBorders>
              <w:top w:val="nil"/>
              <w:left w:val="nil"/>
              <w:bottom w:val="single" w:sz="4" w:space="0" w:color="FFFFFF"/>
              <w:right w:val="single" w:sz="4" w:space="0" w:color="FFFFFF"/>
            </w:tcBorders>
            <w:shd w:val="clear" w:color="auto" w:fill="auto"/>
            <w:noWrap/>
            <w:vAlign w:val="center"/>
            <w:hideMark/>
          </w:tcPr>
          <w:p w14:paraId="208CBA47" w14:textId="77777777" w:rsidR="000E3591" w:rsidRPr="000D3EDD" w:rsidRDefault="000E3591" w:rsidP="000D3EDD">
            <w:pPr>
              <w:spacing w:line="276" w:lineRule="auto"/>
              <w:jc w:val="right"/>
              <w:rPr>
                <w:color w:val="000000"/>
              </w:rPr>
            </w:pPr>
            <w:r w:rsidRPr="000D3EDD">
              <w:rPr>
                <w:color w:val="000000"/>
              </w:rPr>
              <w:t> </w:t>
            </w:r>
          </w:p>
        </w:tc>
      </w:tr>
      <w:tr w:rsidR="000E3591" w:rsidRPr="000D3EDD" w14:paraId="3E56F952"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273FA038" w14:textId="77777777" w:rsidR="000E3591" w:rsidRPr="000D3EDD" w:rsidRDefault="000E3591" w:rsidP="000D3EDD">
            <w:pPr>
              <w:spacing w:line="276" w:lineRule="auto"/>
              <w:jc w:val="right"/>
              <w:rPr>
                <w:color w:val="000000"/>
              </w:rPr>
            </w:pPr>
            <w:r w:rsidRPr="000D3EDD">
              <w:rPr>
                <w:color w:val="000000"/>
              </w:rPr>
              <w:t>Arts and Humanities</w:t>
            </w:r>
          </w:p>
        </w:tc>
        <w:tc>
          <w:tcPr>
            <w:tcW w:w="0" w:type="auto"/>
            <w:tcBorders>
              <w:top w:val="nil"/>
              <w:left w:val="nil"/>
              <w:bottom w:val="single" w:sz="4" w:space="0" w:color="FFFFFF"/>
              <w:right w:val="single" w:sz="4" w:space="0" w:color="FFFFFF"/>
            </w:tcBorders>
            <w:shd w:val="clear" w:color="auto" w:fill="auto"/>
            <w:noWrap/>
            <w:vAlign w:val="center"/>
            <w:hideMark/>
          </w:tcPr>
          <w:p w14:paraId="4EF23E90" w14:textId="77777777" w:rsidR="000E3591" w:rsidRPr="000D3EDD" w:rsidRDefault="000E3591" w:rsidP="000D3EDD">
            <w:pPr>
              <w:spacing w:line="276" w:lineRule="auto"/>
              <w:jc w:val="right"/>
              <w:rPr>
                <w:color w:val="000000"/>
              </w:rPr>
            </w:pPr>
            <w:r w:rsidRPr="000D3EDD">
              <w:rPr>
                <w:color w:val="000000"/>
              </w:rPr>
              <w:t>14.8</w:t>
            </w:r>
          </w:p>
        </w:tc>
      </w:tr>
      <w:tr w:rsidR="000E3591" w:rsidRPr="000D3EDD" w14:paraId="7055165A"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29A7A4EB" w14:textId="77777777" w:rsidR="000E3591" w:rsidRPr="000D3EDD" w:rsidRDefault="000E3591" w:rsidP="000D3EDD">
            <w:pPr>
              <w:spacing w:line="276" w:lineRule="auto"/>
              <w:jc w:val="right"/>
              <w:rPr>
                <w:color w:val="000000"/>
              </w:rPr>
            </w:pPr>
            <w:r w:rsidRPr="000D3EDD">
              <w:rPr>
                <w:color w:val="000000"/>
              </w:rPr>
              <w:t>Biological sciences</w:t>
            </w:r>
          </w:p>
        </w:tc>
        <w:tc>
          <w:tcPr>
            <w:tcW w:w="0" w:type="auto"/>
            <w:tcBorders>
              <w:top w:val="nil"/>
              <w:left w:val="nil"/>
              <w:bottom w:val="single" w:sz="4" w:space="0" w:color="FFFFFF"/>
              <w:right w:val="single" w:sz="4" w:space="0" w:color="FFFFFF"/>
            </w:tcBorders>
            <w:shd w:val="clear" w:color="auto" w:fill="auto"/>
            <w:noWrap/>
            <w:vAlign w:val="center"/>
            <w:hideMark/>
          </w:tcPr>
          <w:p w14:paraId="1F6E94F4" w14:textId="77777777" w:rsidR="000E3591" w:rsidRPr="000D3EDD" w:rsidRDefault="000E3591" w:rsidP="000D3EDD">
            <w:pPr>
              <w:spacing w:line="276" w:lineRule="auto"/>
              <w:jc w:val="right"/>
              <w:rPr>
                <w:color w:val="000000"/>
              </w:rPr>
            </w:pPr>
            <w:r w:rsidRPr="000D3EDD">
              <w:rPr>
                <w:color w:val="000000"/>
              </w:rPr>
              <w:t>21.2</w:t>
            </w:r>
          </w:p>
        </w:tc>
      </w:tr>
      <w:tr w:rsidR="000E3591" w:rsidRPr="000D3EDD" w14:paraId="018B5AB7"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0B476000" w14:textId="77777777" w:rsidR="000E3591" w:rsidRPr="000D3EDD" w:rsidRDefault="000E3591" w:rsidP="000D3EDD">
            <w:pPr>
              <w:spacing w:line="276" w:lineRule="auto"/>
              <w:jc w:val="right"/>
              <w:rPr>
                <w:color w:val="000000"/>
              </w:rPr>
            </w:pPr>
            <w:r w:rsidRPr="000D3EDD">
              <w:rPr>
                <w:color w:val="000000"/>
              </w:rPr>
              <w:t>Biomedical sciences (including clinical</w:t>
            </w:r>
          </w:p>
        </w:tc>
        <w:tc>
          <w:tcPr>
            <w:tcW w:w="0" w:type="auto"/>
            <w:tcBorders>
              <w:top w:val="nil"/>
              <w:left w:val="nil"/>
              <w:bottom w:val="single" w:sz="4" w:space="0" w:color="FFFFFF"/>
              <w:right w:val="single" w:sz="4" w:space="0" w:color="FFFFFF"/>
            </w:tcBorders>
            <w:shd w:val="clear" w:color="auto" w:fill="auto"/>
            <w:noWrap/>
            <w:vAlign w:val="center"/>
            <w:hideMark/>
          </w:tcPr>
          <w:p w14:paraId="4C3AA9A7" w14:textId="77777777" w:rsidR="000E3591" w:rsidRPr="000D3EDD" w:rsidRDefault="000E3591" w:rsidP="000D3EDD">
            <w:pPr>
              <w:spacing w:line="276" w:lineRule="auto"/>
              <w:jc w:val="right"/>
              <w:rPr>
                <w:color w:val="000000"/>
              </w:rPr>
            </w:pPr>
            <w:r w:rsidRPr="000D3EDD">
              <w:rPr>
                <w:color w:val="000000"/>
              </w:rPr>
              <w:t>16.9</w:t>
            </w:r>
          </w:p>
        </w:tc>
      </w:tr>
      <w:tr w:rsidR="000E3591" w:rsidRPr="000D3EDD" w14:paraId="33B5DBFD"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5A23D94C" w14:textId="77777777" w:rsidR="000E3591" w:rsidRPr="000D3EDD" w:rsidRDefault="000E3591" w:rsidP="000D3EDD">
            <w:pPr>
              <w:spacing w:line="276" w:lineRule="auto"/>
              <w:jc w:val="right"/>
              <w:rPr>
                <w:color w:val="000000"/>
              </w:rPr>
            </w:pPr>
            <w:r w:rsidRPr="000D3EDD">
              <w:rPr>
                <w:color w:val="000000"/>
              </w:rPr>
              <w:t>Physical sciences and engineering</w:t>
            </w:r>
          </w:p>
        </w:tc>
        <w:tc>
          <w:tcPr>
            <w:tcW w:w="0" w:type="auto"/>
            <w:tcBorders>
              <w:top w:val="nil"/>
              <w:left w:val="nil"/>
              <w:bottom w:val="single" w:sz="4" w:space="0" w:color="FFFFFF"/>
              <w:right w:val="single" w:sz="4" w:space="0" w:color="FFFFFF"/>
            </w:tcBorders>
            <w:shd w:val="clear" w:color="auto" w:fill="auto"/>
            <w:noWrap/>
            <w:vAlign w:val="center"/>
            <w:hideMark/>
          </w:tcPr>
          <w:p w14:paraId="2C542901" w14:textId="77777777" w:rsidR="000E3591" w:rsidRPr="000D3EDD" w:rsidRDefault="000E3591" w:rsidP="000D3EDD">
            <w:pPr>
              <w:spacing w:line="276" w:lineRule="auto"/>
              <w:jc w:val="right"/>
              <w:rPr>
                <w:color w:val="000000"/>
              </w:rPr>
            </w:pPr>
            <w:r w:rsidRPr="000D3EDD">
              <w:rPr>
                <w:color w:val="000000"/>
              </w:rPr>
              <w:t>32.0</w:t>
            </w:r>
          </w:p>
        </w:tc>
      </w:tr>
      <w:tr w:rsidR="000E3591" w:rsidRPr="000D3EDD" w14:paraId="37FCCCAD"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62C53D78" w14:textId="77777777" w:rsidR="000E3591" w:rsidRPr="000D3EDD" w:rsidRDefault="000E3591" w:rsidP="000D3EDD">
            <w:pPr>
              <w:spacing w:line="276" w:lineRule="auto"/>
              <w:jc w:val="right"/>
              <w:rPr>
                <w:color w:val="000000"/>
              </w:rPr>
            </w:pPr>
            <w:r w:rsidRPr="000D3EDD">
              <w:rPr>
                <w:color w:val="000000"/>
              </w:rPr>
              <w:t>Social sciences (including education)</w:t>
            </w:r>
          </w:p>
        </w:tc>
        <w:tc>
          <w:tcPr>
            <w:tcW w:w="0" w:type="auto"/>
            <w:tcBorders>
              <w:top w:val="nil"/>
              <w:left w:val="nil"/>
              <w:bottom w:val="single" w:sz="4" w:space="0" w:color="FFFFFF"/>
              <w:right w:val="single" w:sz="4" w:space="0" w:color="FFFFFF"/>
            </w:tcBorders>
            <w:shd w:val="clear" w:color="auto" w:fill="auto"/>
            <w:noWrap/>
            <w:vAlign w:val="center"/>
            <w:hideMark/>
          </w:tcPr>
          <w:p w14:paraId="43D40627" w14:textId="77777777" w:rsidR="000E3591" w:rsidRPr="000D3EDD" w:rsidRDefault="000E3591" w:rsidP="000D3EDD">
            <w:pPr>
              <w:spacing w:line="276" w:lineRule="auto"/>
              <w:jc w:val="right"/>
              <w:rPr>
                <w:color w:val="000000"/>
              </w:rPr>
            </w:pPr>
            <w:r w:rsidRPr="000D3EDD">
              <w:rPr>
                <w:color w:val="000000"/>
              </w:rPr>
              <w:t>15.1</w:t>
            </w:r>
          </w:p>
        </w:tc>
      </w:tr>
      <w:tr w:rsidR="000E3591" w:rsidRPr="000D3EDD" w14:paraId="63DC5766"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7844DFC3" w14:textId="77777777" w:rsidR="000E3591" w:rsidRPr="000D3EDD" w:rsidRDefault="000E3591" w:rsidP="000D3EDD">
            <w:pPr>
              <w:spacing w:line="276" w:lineRule="auto"/>
              <w:jc w:val="right"/>
              <w:rPr>
                <w:b/>
                <w:bCs/>
                <w:color w:val="000000"/>
              </w:rPr>
            </w:pPr>
            <w:r w:rsidRPr="000D3EDD">
              <w:rPr>
                <w:b/>
                <w:bCs/>
                <w:color w:val="000000"/>
              </w:rPr>
              <w:t>Doctoral institution</w:t>
            </w:r>
          </w:p>
        </w:tc>
        <w:tc>
          <w:tcPr>
            <w:tcW w:w="0" w:type="auto"/>
            <w:tcBorders>
              <w:top w:val="nil"/>
              <w:left w:val="nil"/>
              <w:bottom w:val="single" w:sz="4" w:space="0" w:color="FFFFFF"/>
              <w:right w:val="single" w:sz="4" w:space="0" w:color="FFFFFF"/>
            </w:tcBorders>
            <w:shd w:val="clear" w:color="auto" w:fill="auto"/>
            <w:noWrap/>
            <w:vAlign w:val="center"/>
            <w:hideMark/>
          </w:tcPr>
          <w:p w14:paraId="054930A8" w14:textId="77777777" w:rsidR="000E3591" w:rsidRPr="000D3EDD" w:rsidRDefault="000E3591" w:rsidP="000D3EDD">
            <w:pPr>
              <w:spacing w:line="276" w:lineRule="auto"/>
              <w:jc w:val="right"/>
              <w:rPr>
                <w:color w:val="000000"/>
              </w:rPr>
            </w:pPr>
            <w:r w:rsidRPr="000D3EDD">
              <w:rPr>
                <w:color w:val="000000"/>
              </w:rPr>
              <w:t> </w:t>
            </w:r>
          </w:p>
        </w:tc>
      </w:tr>
      <w:tr w:rsidR="000E3591" w:rsidRPr="000D3EDD" w14:paraId="0AF330CC"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1711D101" w14:textId="77777777" w:rsidR="000E3591" w:rsidRPr="000D3EDD" w:rsidRDefault="000E3591" w:rsidP="000D3EDD">
            <w:pPr>
              <w:spacing w:line="276" w:lineRule="auto"/>
              <w:jc w:val="right"/>
              <w:rPr>
                <w:color w:val="000000"/>
              </w:rPr>
            </w:pPr>
            <w:r w:rsidRPr="000D3EDD">
              <w:rPr>
                <w:color w:val="000000"/>
              </w:rPr>
              <w:t>Russell Group</w:t>
            </w:r>
          </w:p>
        </w:tc>
        <w:tc>
          <w:tcPr>
            <w:tcW w:w="0" w:type="auto"/>
            <w:tcBorders>
              <w:top w:val="nil"/>
              <w:left w:val="nil"/>
              <w:bottom w:val="single" w:sz="4" w:space="0" w:color="FFFFFF"/>
              <w:right w:val="single" w:sz="4" w:space="0" w:color="FFFFFF"/>
            </w:tcBorders>
            <w:shd w:val="clear" w:color="auto" w:fill="auto"/>
            <w:noWrap/>
            <w:vAlign w:val="center"/>
            <w:hideMark/>
          </w:tcPr>
          <w:p w14:paraId="218BCAE3" w14:textId="77777777" w:rsidR="000E3591" w:rsidRPr="000D3EDD" w:rsidRDefault="000E3591" w:rsidP="000D3EDD">
            <w:pPr>
              <w:spacing w:line="276" w:lineRule="auto"/>
              <w:jc w:val="right"/>
              <w:rPr>
                <w:color w:val="000000"/>
              </w:rPr>
            </w:pPr>
            <w:r w:rsidRPr="000D3EDD">
              <w:rPr>
                <w:color w:val="000000"/>
              </w:rPr>
              <w:t>61.7</w:t>
            </w:r>
          </w:p>
        </w:tc>
      </w:tr>
      <w:tr w:rsidR="000E3591" w:rsidRPr="000D3EDD" w14:paraId="14BF9327"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2EA3BCC8" w14:textId="77777777" w:rsidR="000E3591" w:rsidRPr="000D3EDD" w:rsidRDefault="000E3591" w:rsidP="000D3EDD">
            <w:pPr>
              <w:spacing w:line="276" w:lineRule="auto"/>
              <w:jc w:val="right"/>
              <w:rPr>
                <w:color w:val="000000"/>
              </w:rPr>
            </w:pPr>
            <w:r w:rsidRPr="000D3EDD">
              <w:rPr>
                <w:color w:val="000000"/>
              </w:rPr>
              <w:t>1994 Group</w:t>
            </w:r>
          </w:p>
        </w:tc>
        <w:tc>
          <w:tcPr>
            <w:tcW w:w="0" w:type="auto"/>
            <w:tcBorders>
              <w:top w:val="nil"/>
              <w:left w:val="nil"/>
              <w:bottom w:val="single" w:sz="4" w:space="0" w:color="FFFFFF"/>
              <w:right w:val="single" w:sz="4" w:space="0" w:color="FFFFFF"/>
            </w:tcBorders>
            <w:shd w:val="clear" w:color="auto" w:fill="auto"/>
            <w:noWrap/>
            <w:vAlign w:val="center"/>
            <w:hideMark/>
          </w:tcPr>
          <w:p w14:paraId="5A8E00BF" w14:textId="77777777" w:rsidR="000E3591" w:rsidRPr="000D3EDD" w:rsidRDefault="000E3591" w:rsidP="000D3EDD">
            <w:pPr>
              <w:spacing w:line="276" w:lineRule="auto"/>
              <w:jc w:val="right"/>
              <w:rPr>
                <w:color w:val="000000"/>
              </w:rPr>
            </w:pPr>
            <w:r w:rsidRPr="000D3EDD">
              <w:rPr>
                <w:color w:val="000000"/>
              </w:rPr>
              <w:t>8.2</w:t>
            </w:r>
          </w:p>
        </w:tc>
      </w:tr>
      <w:tr w:rsidR="000E3591" w:rsidRPr="000D3EDD" w14:paraId="6C924FE3"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147D0B00" w14:textId="77777777" w:rsidR="000E3591" w:rsidRPr="000D3EDD" w:rsidRDefault="000E3591" w:rsidP="000D3EDD">
            <w:pPr>
              <w:spacing w:line="276" w:lineRule="auto"/>
              <w:jc w:val="right"/>
              <w:rPr>
                <w:color w:val="000000"/>
              </w:rPr>
            </w:pPr>
            <w:r w:rsidRPr="000D3EDD">
              <w:rPr>
                <w:color w:val="000000"/>
              </w:rPr>
              <w:t>Guild HE</w:t>
            </w:r>
          </w:p>
        </w:tc>
        <w:tc>
          <w:tcPr>
            <w:tcW w:w="0" w:type="auto"/>
            <w:tcBorders>
              <w:top w:val="nil"/>
              <w:left w:val="nil"/>
              <w:bottom w:val="single" w:sz="4" w:space="0" w:color="FFFFFF"/>
              <w:right w:val="single" w:sz="4" w:space="0" w:color="FFFFFF"/>
            </w:tcBorders>
            <w:shd w:val="clear" w:color="auto" w:fill="auto"/>
            <w:noWrap/>
            <w:vAlign w:val="center"/>
            <w:hideMark/>
          </w:tcPr>
          <w:p w14:paraId="1C1BAB96" w14:textId="77777777" w:rsidR="000E3591" w:rsidRPr="000D3EDD" w:rsidRDefault="000E3591" w:rsidP="000D3EDD">
            <w:pPr>
              <w:spacing w:line="276" w:lineRule="auto"/>
              <w:jc w:val="right"/>
              <w:rPr>
                <w:color w:val="000000"/>
              </w:rPr>
            </w:pPr>
            <w:r w:rsidRPr="000D3EDD">
              <w:rPr>
                <w:color w:val="000000"/>
              </w:rPr>
              <w:t>0.7</w:t>
            </w:r>
          </w:p>
        </w:tc>
      </w:tr>
      <w:tr w:rsidR="000E3591" w:rsidRPr="000D3EDD" w14:paraId="52359439"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440FB2B9" w14:textId="77777777" w:rsidR="000E3591" w:rsidRPr="000D3EDD" w:rsidRDefault="000E3591" w:rsidP="000D3EDD">
            <w:pPr>
              <w:spacing w:line="276" w:lineRule="auto"/>
              <w:jc w:val="right"/>
              <w:rPr>
                <w:color w:val="000000"/>
              </w:rPr>
            </w:pPr>
            <w:r w:rsidRPr="000D3EDD">
              <w:rPr>
                <w:color w:val="000000"/>
              </w:rPr>
              <w:t>University Alliance</w:t>
            </w:r>
          </w:p>
        </w:tc>
        <w:tc>
          <w:tcPr>
            <w:tcW w:w="0" w:type="auto"/>
            <w:tcBorders>
              <w:top w:val="nil"/>
              <w:left w:val="nil"/>
              <w:bottom w:val="single" w:sz="4" w:space="0" w:color="FFFFFF"/>
              <w:right w:val="single" w:sz="4" w:space="0" w:color="FFFFFF"/>
            </w:tcBorders>
            <w:shd w:val="clear" w:color="auto" w:fill="auto"/>
            <w:noWrap/>
            <w:vAlign w:val="center"/>
            <w:hideMark/>
          </w:tcPr>
          <w:p w14:paraId="29483568" w14:textId="77777777" w:rsidR="000E3591" w:rsidRPr="000D3EDD" w:rsidRDefault="000E3591" w:rsidP="000D3EDD">
            <w:pPr>
              <w:spacing w:line="276" w:lineRule="auto"/>
              <w:jc w:val="right"/>
              <w:rPr>
                <w:color w:val="000000"/>
              </w:rPr>
            </w:pPr>
            <w:r w:rsidRPr="000D3EDD">
              <w:rPr>
                <w:color w:val="000000"/>
              </w:rPr>
              <w:t>7.8</w:t>
            </w:r>
          </w:p>
        </w:tc>
      </w:tr>
      <w:tr w:rsidR="000E3591" w:rsidRPr="000D3EDD" w14:paraId="08482A03"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6C842672" w14:textId="77777777" w:rsidR="000E3591" w:rsidRPr="000D3EDD" w:rsidRDefault="000E3591" w:rsidP="000D3EDD">
            <w:pPr>
              <w:spacing w:line="276" w:lineRule="auto"/>
              <w:jc w:val="right"/>
              <w:rPr>
                <w:color w:val="000000"/>
              </w:rPr>
            </w:pPr>
            <w:r w:rsidRPr="000D3EDD">
              <w:rPr>
                <w:color w:val="000000"/>
              </w:rPr>
              <w:t>Million Plus</w:t>
            </w:r>
          </w:p>
        </w:tc>
        <w:tc>
          <w:tcPr>
            <w:tcW w:w="0" w:type="auto"/>
            <w:tcBorders>
              <w:top w:val="nil"/>
              <w:left w:val="nil"/>
              <w:bottom w:val="single" w:sz="4" w:space="0" w:color="FFFFFF"/>
              <w:right w:val="single" w:sz="4" w:space="0" w:color="FFFFFF"/>
            </w:tcBorders>
            <w:shd w:val="clear" w:color="auto" w:fill="auto"/>
            <w:noWrap/>
            <w:vAlign w:val="center"/>
            <w:hideMark/>
          </w:tcPr>
          <w:p w14:paraId="24C3D828" w14:textId="77777777" w:rsidR="000E3591" w:rsidRPr="000D3EDD" w:rsidRDefault="000E3591" w:rsidP="000D3EDD">
            <w:pPr>
              <w:spacing w:line="276" w:lineRule="auto"/>
              <w:jc w:val="right"/>
              <w:rPr>
                <w:color w:val="000000"/>
              </w:rPr>
            </w:pPr>
            <w:r w:rsidRPr="000D3EDD">
              <w:rPr>
                <w:color w:val="000000"/>
              </w:rPr>
              <w:t>2.5</w:t>
            </w:r>
          </w:p>
        </w:tc>
      </w:tr>
      <w:tr w:rsidR="000E3591" w:rsidRPr="000D3EDD" w14:paraId="180D9DA4"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53806066" w14:textId="77777777" w:rsidR="000E3591" w:rsidRPr="000D3EDD" w:rsidRDefault="000E3591" w:rsidP="000D3EDD">
            <w:pPr>
              <w:spacing w:line="276" w:lineRule="auto"/>
              <w:jc w:val="right"/>
              <w:rPr>
                <w:color w:val="000000"/>
              </w:rPr>
            </w:pPr>
            <w:r w:rsidRPr="000D3EDD">
              <w:rPr>
                <w:color w:val="000000"/>
              </w:rPr>
              <w:t>Other</w:t>
            </w:r>
          </w:p>
        </w:tc>
        <w:tc>
          <w:tcPr>
            <w:tcW w:w="0" w:type="auto"/>
            <w:tcBorders>
              <w:top w:val="nil"/>
              <w:left w:val="nil"/>
              <w:bottom w:val="single" w:sz="4" w:space="0" w:color="FFFFFF"/>
              <w:right w:val="single" w:sz="4" w:space="0" w:color="FFFFFF"/>
            </w:tcBorders>
            <w:shd w:val="clear" w:color="auto" w:fill="auto"/>
            <w:noWrap/>
            <w:vAlign w:val="center"/>
            <w:hideMark/>
          </w:tcPr>
          <w:p w14:paraId="7EFF0271" w14:textId="77777777" w:rsidR="000E3591" w:rsidRPr="000D3EDD" w:rsidRDefault="000E3591" w:rsidP="000D3EDD">
            <w:pPr>
              <w:spacing w:line="276" w:lineRule="auto"/>
              <w:jc w:val="right"/>
              <w:rPr>
                <w:color w:val="000000"/>
              </w:rPr>
            </w:pPr>
            <w:r w:rsidRPr="000D3EDD">
              <w:rPr>
                <w:color w:val="000000"/>
              </w:rPr>
              <w:t>19.3</w:t>
            </w:r>
          </w:p>
        </w:tc>
      </w:tr>
      <w:tr w:rsidR="000E3591" w:rsidRPr="000D3EDD" w14:paraId="080AC272"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5D656854" w14:textId="77777777" w:rsidR="000E3591" w:rsidRPr="000D3EDD" w:rsidRDefault="000E3591" w:rsidP="000D3EDD">
            <w:pPr>
              <w:spacing w:line="276" w:lineRule="auto"/>
              <w:jc w:val="right"/>
              <w:rPr>
                <w:b/>
                <w:bCs/>
                <w:color w:val="000000"/>
              </w:rPr>
            </w:pPr>
            <w:r w:rsidRPr="000D3EDD">
              <w:rPr>
                <w:b/>
                <w:bCs/>
                <w:color w:val="000000"/>
              </w:rPr>
              <w:t>Entry qualification</w:t>
            </w:r>
          </w:p>
        </w:tc>
        <w:tc>
          <w:tcPr>
            <w:tcW w:w="0" w:type="auto"/>
            <w:tcBorders>
              <w:top w:val="nil"/>
              <w:left w:val="nil"/>
              <w:bottom w:val="single" w:sz="4" w:space="0" w:color="FFFFFF"/>
              <w:right w:val="single" w:sz="4" w:space="0" w:color="FFFFFF"/>
            </w:tcBorders>
            <w:shd w:val="clear" w:color="auto" w:fill="auto"/>
            <w:noWrap/>
            <w:vAlign w:val="center"/>
            <w:hideMark/>
          </w:tcPr>
          <w:p w14:paraId="166050DC" w14:textId="77777777" w:rsidR="000E3591" w:rsidRPr="000D3EDD" w:rsidRDefault="000E3591" w:rsidP="000D3EDD">
            <w:pPr>
              <w:spacing w:line="276" w:lineRule="auto"/>
              <w:jc w:val="right"/>
              <w:rPr>
                <w:color w:val="000000"/>
              </w:rPr>
            </w:pPr>
            <w:r w:rsidRPr="000D3EDD">
              <w:rPr>
                <w:color w:val="000000"/>
              </w:rPr>
              <w:t> </w:t>
            </w:r>
          </w:p>
        </w:tc>
      </w:tr>
      <w:tr w:rsidR="000E3591" w:rsidRPr="000D3EDD" w14:paraId="53E207A7"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1FD23D92" w14:textId="77777777" w:rsidR="000E3591" w:rsidRPr="000D3EDD" w:rsidRDefault="000E3591" w:rsidP="000D3EDD">
            <w:pPr>
              <w:spacing w:line="276" w:lineRule="auto"/>
              <w:jc w:val="right"/>
              <w:rPr>
                <w:color w:val="000000"/>
              </w:rPr>
            </w:pPr>
            <w:r w:rsidRPr="000D3EDD">
              <w:rPr>
                <w:color w:val="000000"/>
              </w:rPr>
              <w:t>Undergraduate qualification only</w:t>
            </w:r>
          </w:p>
        </w:tc>
        <w:tc>
          <w:tcPr>
            <w:tcW w:w="0" w:type="auto"/>
            <w:tcBorders>
              <w:top w:val="nil"/>
              <w:left w:val="nil"/>
              <w:bottom w:val="single" w:sz="4" w:space="0" w:color="FFFFFF"/>
              <w:right w:val="single" w:sz="4" w:space="0" w:color="FFFFFF"/>
            </w:tcBorders>
            <w:shd w:val="clear" w:color="auto" w:fill="auto"/>
            <w:noWrap/>
            <w:vAlign w:val="bottom"/>
            <w:hideMark/>
          </w:tcPr>
          <w:p w14:paraId="5F90DFAE" w14:textId="77777777" w:rsidR="000E3591" w:rsidRPr="000D3EDD" w:rsidRDefault="000E3591" w:rsidP="000D3EDD">
            <w:pPr>
              <w:spacing w:line="276" w:lineRule="auto"/>
              <w:jc w:val="right"/>
              <w:rPr>
                <w:color w:val="000000"/>
              </w:rPr>
            </w:pPr>
            <w:r w:rsidRPr="000D3EDD">
              <w:rPr>
                <w:color w:val="000000"/>
              </w:rPr>
              <w:t>54.2</w:t>
            </w:r>
          </w:p>
        </w:tc>
      </w:tr>
      <w:tr w:rsidR="000E3591" w:rsidRPr="000D3EDD" w14:paraId="02BEC3BB"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214C6BA9" w14:textId="77777777" w:rsidR="000E3591" w:rsidRPr="000D3EDD" w:rsidRDefault="000E3591" w:rsidP="000D3EDD">
            <w:pPr>
              <w:spacing w:line="276" w:lineRule="auto"/>
              <w:jc w:val="right"/>
              <w:rPr>
                <w:color w:val="000000"/>
              </w:rPr>
            </w:pPr>
            <w:r w:rsidRPr="000D3EDD">
              <w:rPr>
                <w:color w:val="000000"/>
              </w:rPr>
              <w:t>Postgraduate qualification</w:t>
            </w:r>
          </w:p>
        </w:tc>
        <w:tc>
          <w:tcPr>
            <w:tcW w:w="0" w:type="auto"/>
            <w:tcBorders>
              <w:top w:val="nil"/>
              <w:left w:val="nil"/>
              <w:bottom w:val="single" w:sz="4" w:space="0" w:color="FFFFFF"/>
              <w:right w:val="single" w:sz="4" w:space="0" w:color="FFFFFF"/>
            </w:tcBorders>
            <w:shd w:val="clear" w:color="auto" w:fill="auto"/>
            <w:noWrap/>
            <w:vAlign w:val="bottom"/>
            <w:hideMark/>
          </w:tcPr>
          <w:p w14:paraId="0BCAEBA5" w14:textId="77777777" w:rsidR="000E3591" w:rsidRPr="000D3EDD" w:rsidRDefault="000E3591" w:rsidP="000D3EDD">
            <w:pPr>
              <w:spacing w:line="276" w:lineRule="auto"/>
              <w:jc w:val="right"/>
              <w:rPr>
                <w:color w:val="000000"/>
              </w:rPr>
            </w:pPr>
            <w:r w:rsidRPr="000D3EDD">
              <w:rPr>
                <w:color w:val="000000"/>
              </w:rPr>
              <w:t>41.2</w:t>
            </w:r>
          </w:p>
        </w:tc>
      </w:tr>
      <w:tr w:rsidR="000E3591" w:rsidRPr="000D3EDD" w14:paraId="7537912B"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6B67858B" w14:textId="77777777" w:rsidR="000E3591" w:rsidRPr="000D3EDD" w:rsidRDefault="000E3591" w:rsidP="000D3EDD">
            <w:pPr>
              <w:spacing w:line="276" w:lineRule="auto"/>
              <w:jc w:val="right"/>
              <w:rPr>
                <w:color w:val="000000"/>
              </w:rPr>
            </w:pPr>
            <w:r w:rsidRPr="000D3EDD">
              <w:rPr>
                <w:color w:val="000000"/>
              </w:rPr>
              <w:t>No higher education qualification</w:t>
            </w:r>
          </w:p>
        </w:tc>
        <w:tc>
          <w:tcPr>
            <w:tcW w:w="0" w:type="auto"/>
            <w:tcBorders>
              <w:top w:val="nil"/>
              <w:left w:val="nil"/>
              <w:bottom w:val="single" w:sz="4" w:space="0" w:color="FFFFFF"/>
              <w:right w:val="single" w:sz="4" w:space="0" w:color="FFFFFF"/>
            </w:tcBorders>
            <w:shd w:val="clear" w:color="auto" w:fill="auto"/>
            <w:noWrap/>
            <w:vAlign w:val="bottom"/>
            <w:hideMark/>
          </w:tcPr>
          <w:p w14:paraId="7D7B1091" w14:textId="77777777" w:rsidR="000E3591" w:rsidRPr="000D3EDD" w:rsidRDefault="000E3591" w:rsidP="000D3EDD">
            <w:pPr>
              <w:spacing w:line="276" w:lineRule="auto"/>
              <w:jc w:val="right"/>
              <w:rPr>
                <w:color w:val="000000"/>
              </w:rPr>
            </w:pPr>
            <w:r w:rsidRPr="000D3EDD">
              <w:rPr>
                <w:color w:val="000000"/>
              </w:rPr>
              <w:t>3.9</w:t>
            </w:r>
          </w:p>
        </w:tc>
      </w:tr>
      <w:tr w:rsidR="000E3591" w:rsidRPr="000D3EDD" w14:paraId="0B8954DE" w14:textId="77777777" w:rsidTr="00FA50A2">
        <w:trPr>
          <w:trHeight w:val="320"/>
        </w:trPr>
        <w:tc>
          <w:tcPr>
            <w:tcW w:w="0" w:type="auto"/>
            <w:tcBorders>
              <w:top w:val="nil"/>
              <w:left w:val="single" w:sz="4" w:space="0" w:color="FFFFFF"/>
              <w:bottom w:val="single" w:sz="4" w:space="0" w:color="000000"/>
              <w:right w:val="single" w:sz="4" w:space="0" w:color="FFFFFF"/>
            </w:tcBorders>
            <w:shd w:val="clear" w:color="auto" w:fill="auto"/>
            <w:noWrap/>
            <w:vAlign w:val="center"/>
            <w:hideMark/>
          </w:tcPr>
          <w:p w14:paraId="6FC9209E" w14:textId="77777777" w:rsidR="000E3591" w:rsidRPr="000D3EDD" w:rsidRDefault="000E3591" w:rsidP="000D3EDD">
            <w:pPr>
              <w:spacing w:line="276" w:lineRule="auto"/>
              <w:jc w:val="right"/>
              <w:rPr>
                <w:color w:val="000000"/>
              </w:rPr>
            </w:pPr>
            <w:r w:rsidRPr="000D3EDD">
              <w:rPr>
                <w:color w:val="000000"/>
              </w:rPr>
              <w:t>Postgraduate Certificate in Education</w:t>
            </w:r>
          </w:p>
        </w:tc>
        <w:tc>
          <w:tcPr>
            <w:tcW w:w="0" w:type="auto"/>
            <w:tcBorders>
              <w:top w:val="nil"/>
              <w:left w:val="nil"/>
              <w:bottom w:val="single" w:sz="4" w:space="0" w:color="000000"/>
              <w:right w:val="single" w:sz="4" w:space="0" w:color="FFFFFF"/>
            </w:tcBorders>
            <w:shd w:val="clear" w:color="auto" w:fill="auto"/>
            <w:noWrap/>
            <w:vAlign w:val="bottom"/>
            <w:hideMark/>
          </w:tcPr>
          <w:p w14:paraId="11F5534C" w14:textId="77777777" w:rsidR="000E3591" w:rsidRPr="000D3EDD" w:rsidRDefault="000E3591" w:rsidP="000D3EDD">
            <w:pPr>
              <w:spacing w:line="276" w:lineRule="auto"/>
              <w:jc w:val="right"/>
              <w:rPr>
                <w:color w:val="000000"/>
              </w:rPr>
            </w:pPr>
            <w:r w:rsidRPr="000D3EDD">
              <w:rPr>
                <w:color w:val="000000"/>
              </w:rPr>
              <w:t>0.7</w:t>
            </w:r>
          </w:p>
        </w:tc>
      </w:tr>
    </w:tbl>
    <w:p w14:paraId="7D231C7E" w14:textId="19DCA34D" w:rsidR="000E3591" w:rsidRPr="000D3EDD" w:rsidRDefault="000E3591" w:rsidP="000D3EDD">
      <w:pPr>
        <w:pStyle w:val="NormalWeb"/>
        <w:spacing w:before="0" w:beforeAutospacing="0" w:after="0" w:afterAutospacing="0" w:line="276" w:lineRule="auto"/>
        <w:rPr>
          <w:b/>
          <w:bCs/>
        </w:rPr>
      </w:pPr>
    </w:p>
    <w:p w14:paraId="5F8C8368" w14:textId="513E8EEB" w:rsidR="000E3591" w:rsidRPr="000D3EDD" w:rsidRDefault="000E3591" w:rsidP="000D3EDD">
      <w:pPr>
        <w:spacing w:line="276" w:lineRule="auto"/>
        <w:textAlignment w:val="baseline"/>
        <w:rPr>
          <w:color w:val="FF0000"/>
        </w:rPr>
      </w:pPr>
      <w:r w:rsidRPr="000D3EDD">
        <w:rPr>
          <w:b/>
          <w:bCs/>
          <w:color w:val="000000" w:themeColor="text1"/>
        </w:rPr>
        <w:t>T</w:t>
      </w:r>
      <w:r w:rsidR="00E552ED" w:rsidRPr="000D3EDD">
        <w:rPr>
          <w:b/>
          <w:bCs/>
          <w:color w:val="000000" w:themeColor="text1"/>
        </w:rPr>
        <w:t>able</w:t>
      </w:r>
      <w:r w:rsidRPr="000D3EDD">
        <w:rPr>
          <w:b/>
          <w:bCs/>
          <w:color w:val="000000" w:themeColor="text1"/>
        </w:rPr>
        <w:t xml:space="preserve"> 1</w:t>
      </w:r>
      <w:r w:rsidRPr="000D3EDD">
        <w:rPr>
          <w:color w:val="000000" w:themeColor="text1"/>
        </w:rPr>
        <w:t>. Academic characteristics of PhD holders (</w:t>
      </w:r>
      <w:r w:rsidRPr="000D3EDD">
        <w:rPr>
          <w:i/>
          <w:iCs/>
          <w:color w:val="000000" w:themeColor="text1"/>
        </w:rPr>
        <w:t>n</w:t>
      </w:r>
      <w:r w:rsidRPr="000D3EDD">
        <w:rPr>
          <w:color w:val="000000" w:themeColor="text1"/>
        </w:rPr>
        <w:t>=4,731)</w:t>
      </w:r>
    </w:p>
    <w:p w14:paraId="4E3C99B7" w14:textId="0A0B0F0F" w:rsidR="00A6640B" w:rsidRPr="000D3EDD" w:rsidRDefault="00A6640B" w:rsidP="000D3EDD">
      <w:pPr>
        <w:pStyle w:val="NormalWeb"/>
        <w:spacing w:before="0" w:beforeAutospacing="0" w:after="0" w:afterAutospacing="0" w:line="276" w:lineRule="auto"/>
        <w:rPr>
          <w:b/>
          <w:bCs/>
        </w:rPr>
      </w:pPr>
    </w:p>
    <w:p w14:paraId="654D598F" w14:textId="6371BC1B" w:rsidR="001B1AAB" w:rsidRPr="000D3EDD" w:rsidRDefault="001B1AAB" w:rsidP="000D3EDD">
      <w:pPr>
        <w:pStyle w:val="NormalWeb"/>
        <w:spacing w:before="0" w:beforeAutospacing="0" w:after="0" w:afterAutospacing="0" w:line="276" w:lineRule="auto"/>
        <w:rPr>
          <w:b/>
          <w:bCs/>
        </w:rPr>
      </w:pPr>
    </w:p>
    <w:p w14:paraId="1D4A4D00" w14:textId="4678AFC6" w:rsidR="001B1AAB" w:rsidRPr="000D3EDD" w:rsidRDefault="001B1AAB" w:rsidP="000D3EDD">
      <w:pPr>
        <w:pStyle w:val="NormalWeb"/>
        <w:spacing w:before="0" w:beforeAutospacing="0" w:after="0" w:afterAutospacing="0" w:line="276" w:lineRule="auto"/>
        <w:rPr>
          <w:b/>
          <w:bCs/>
        </w:rPr>
      </w:pPr>
    </w:p>
    <w:p w14:paraId="1EFC104E" w14:textId="470A3DDA" w:rsidR="001B1AAB" w:rsidRPr="000D3EDD" w:rsidRDefault="001B1AAB" w:rsidP="000D3EDD">
      <w:pPr>
        <w:pStyle w:val="NormalWeb"/>
        <w:spacing w:before="0" w:beforeAutospacing="0" w:after="0" w:afterAutospacing="0" w:line="276" w:lineRule="auto"/>
        <w:rPr>
          <w:b/>
          <w:bCs/>
        </w:rPr>
      </w:pPr>
    </w:p>
    <w:p w14:paraId="6EF3B2E7" w14:textId="1623388A" w:rsidR="001B1AAB" w:rsidRPr="000D3EDD" w:rsidRDefault="001B1AAB" w:rsidP="000D3EDD">
      <w:pPr>
        <w:pStyle w:val="NormalWeb"/>
        <w:spacing w:before="0" w:beforeAutospacing="0" w:after="0" w:afterAutospacing="0" w:line="276" w:lineRule="auto"/>
        <w:rPr>
          <w:b/>
          <w:bCs/>
        </w:rPr>
      </w:pPr>
    </w:p>
    <w:p w14:paraId="603CB9E8" w14:textId="14B4E6D4" w:rsidR="001B1AAB" w:rsidRPr="000D3EDD" w:rsidRDefault="001B1AAB" w:rsidP="000D3EDD">
      <w:pPr>
        <w:pStyle w:val="NormalWeb"/>
        <w:spacing w:before="0" w:beforeAutospacing="0" w:after="0" w:afterAutospacing="0" w:line="276" w:lineRule="auto"/>
        <w:rPr>
          <w:b/>
          <w:bCs/>
        </w:rPr>
      </w:pPr>
    </w:p>
    <w:p w14:paraId="7B081BEB" w14:textId="0123FC76" w:rsidR="001B1AAB" w:rsidRPr="000D3EDD" w:rsidRDefault="001B1AAB" w:rsidP="000D3EDD">
      <w:pPr>
        <w:pStyle w:val="NormalWeb"/>
        <w:spacing w:before="0" w:beforeAutospacing="0" w:after="0" w:afterAutospacing="0" w:line="276" w:lineRule="auto"/>
        <w:rPr>
          <w:b/>
          <w:bCs/>
        </w:rPr>
      </w:pPr>
    </w:p>
    <w:p w14:paraId="5C98F888" w14:textId="7383660D" w:rsidR="001B1AAB" w:rsidRPr="000D3EDD" w:rsidRDefault="001B1AAB" w:rsidP="000D3EDD">
      <w:pPr>
        <w:pStyle w:val="NormalWeb"/>
        <w:spacing w:before="0" w:beforeAutospacing="0" w:after="0" w:afterAutospacing="0" w:line="276" w:lineRule="auto"/>
        <w:rPr>
          <w:b/>
          <w:bCs/>
        </w:rPr>
      </w:pPr>
    </w:p>
    <w:p w14:paraId="12EEF491" w14:textId="74290B41" w:rsidR="001B1AAB" w:rsidRPr="000D3EDD" w:rsidRDefault="001B1AAB" w:rsidP="000D3EDD">
      <w:pPr>
        <w:pStyle w:val="NormalWeb"/>
        <w:spacing w:before="0" w:beforeAutospacing="0" w:after="0" w:afterAutospacing="0" w:line="276" w:lineRule="auto"/>
        <w:rPr>
          <w:b/>
          <w:bCs/>
        </w:rPr>
      </w:pPr>
    </w:p>
    <w:p w14:paraId="65A1BFBC" w14:textId="09458AB5" w:rsidR="001B1AAB" w:rsidRPr="000D3EDD" w:rsidRDefault="001B1AAB" w:rsidP="000D3EDD">
      <w:pPr>
        <w:pStyle w:val="NormalWeb"/>
        <w:spacing w:before="0" w:beforeAutospacing="0" w:after="0" w:afterAutospacing="0" w:line="276" w:lineRule="auto"/>
        <w:rPr>
          <w:b/>
          <w:bCs/>
        </w:rPr>
      </w:pPr>
    </w:p>
    <w:p w14:paraId="4BE6FB73" w14:textId="77493F5E" w:rsidR="001B1AAB" w:rsidRPr="000D3EDD" w:rsidRDefault="001B1AAB" w:rsidP="000D3EDD">
      <w:pPr>
        <w:pStyle w:val="NormalWeb"/>
        <w:spacing w:before="0" w:beforeAutospacing="0" w:after="0" w:afterAutospacing="0" w:line="276" w:lineRule="auto"/>
        <w:rPr>
          <w:b/>
          <w:bCs/>
        </w:rPr>
      </w:pPr>
    </w:p>
    <w:p w14:paraId="5010FC1F" w14:textId="3443C8AB" w:rsidR="001B1AAB" w:rsidRDefault="001B1AAB" w:rsidP="000D3EDD">
      <w:pPr>
        <w:pStyle w:val="NormalWeb"/>
        <w:spacing w:before="0" w:beforeAutospacing="0" w:after="0" w:afterAutospacing="0" w:line="276" w:lineRule="auto"/>
        <w:rPr>
          <w:b/>
          <w:bCs/>
        </w:rPr>
      </w:pPr>
    </w:p>
    <w:p w14:paraId="27760F14" w14:textId="772D4CA0" w:rsidR="00B2215F" w:rsidRDefault="00B2215F" w:rsidP="000D3EDD">
      <w:pPr>
        <w:pStyle w:val="NormalWeb"/>
        <w:spacing w:before="0" w:beforeAutospacing="0" w:after="0" w:afterAutospacing="0" w:line="276" w:lineRule="auto"/>
        <w:rPr>
          <w:b/>
          <w:bCs/>
        </w:rPr>
      </w:pPr>
    </w:p>
    <w:p w14:paraId="1FE19894" w14:textId="77777777" w:rsidR="00B2215F" w:rsidRPr="000D3EDD" w:rsidRDefault="00B2215F" w:rsidP="000D3EDD">
      <w:pPr>
        <w:pStyle w:val="NormalWeb"/>
        <w:spacing w:before="0" w:beforeAutospacing="0" w:after="0" w:afterAutospacing="0" w:line="276" w:lineRule="auto"/>
        <w:rPr>
          <w:b/>
          <w:bCs/>
        </w:rPr>
      </w:pPr>
    </w:p>
    <w:p w14:paraId="3D7393EA" w14:textId="15FE561F" w:rsidR="001B1AAB" w:rsidRPr="000D3EDD" w:rsidRDefault="001B1AAB" w:rsidP="000D3EDD">
      <w:pPr>
        <w:pStyle w:val="NormalWeb"/>
        <w:spacing w:before="0" w:beforeAutospacing="0" w:after="0" w:afterAutospacing="0" w:line="276" w:lineRule="auto"/>
        <w:rPr>
          <w:b/>
          <w:bCs/>
        </w:rPr>
      </w:pPr>
    </w:p>
    <w:p w14:paraId="593A9C22" w14:textId="77777777" w:rsidR="001B1AAB" w:rsidRPr="000D3EDD" w:rsidRDefault="001B1AAB" w:rsidP="000D3EDD">
      <w:pPr>
        <w:pStyle w:val="NormalWeb"/>
        <w:spacing w:before="0" w:beforeAutospacing="0" w:after="0" w:afterAutospacing="0" w:line="276" w:lineRule="auto"/>
        <w:rPr>
          <w:b/>
          <w:bCs/>
        </w:rPr>
      </w:pPr>
    </w:p>
    <w:tbl>
      <w:tblPr>
        <w:tblW w:w="0" w:type="auto"/>
        <w:tblLook w:val="04A0" w:firstRow="1" w:lastRow="0" w:firstColumn="1" w:lastColumn="0" w:noHBand="0" w:noVBand="1"/>
      </w:tblPr>
      <w:tblGrid>
        <w:gridCol w:w="4976"/>
        <w:gridCol w:w="1610"/>
      </w:tblGrid>
      <w:tr w:rsidR="000E3591" w:rsidRPr="000D3EDD" w14:paraId="345DDBA8" w14:textId="77777777" w:rsidTr="00FA50A2">
        <w:trPr>
          <w:trHeight w:val="416"/>
        </w:trPr>
        <w:tc>
          <w:tcPr>
            <w:tcW w:w="0" w:type="auto"/>
            <w:tcBorders>
              <w:top w:val="single" w:sz="4" w:space="0" w:color="000000"/>
              <w:left w:val="single" w:sz="4" w:space="0" w:color="FFFFFF"/>
              <w:bottom w:val="single" w:sz="4" w:space="0" w:color="000000"/>
              <w:right w:val="single" w:sz="4" w:space="0" w:color="FFFFFF"/>
            </w:tcBorders>
            <w:shd w:val="clear" w:color="auto" w:fill="auto"/>
            <w:noWrap/>
            <w:vAlign w:val="center"/>
            <w:hideMark/>
          </w:tcPr>
          <w:p w14:paraId="1CBA6796" w14:textId="77777777" w:rsidR="000E3591" w:rsidRPr="000D3EDD" w:rsidRDefault="000E3591" w:rsidP="000D3EDD">
            <w:pPr>
              <w:spacing w:line="276" w:lineRule="auto"/>
              <w:jc w:val="right"/>
              <w:rPr>
                <w:color w:val="000000"/>
              </w:rPr>
            </w:pPr>
            <w:r w:rsidRPr="000D3EDD">
              <w:rPr>
                <w:color w:val="000000"/>
              </w:rPr>
              <w:lastRenderedPageBreak/>
              <w:t> </w:t>
            </w:r>
          </w:p>
        </w:tc>
        <w:tc>
          <w:tcPr>
            <w:tcW w:w="0" w:type="auto"/>
            <w:tcBorders>
              <w:top w:val="single" w:sz="4" w:space="0" w:color="000000"/>
              <w:left w:val="nil"/>
              <w:bottom w:val="single" w:sz="4" w:space="0" w:color="000000"/>
              <w:right w:val="single" w:sz="4" w:space="0" w:color="FFFFFF"/>
            </w:tcBorders>
            <w:shd w:val="clear" w:color="auto" w:fill="auto"/>
            <w:noWrap/>
            <w:vAlign w:val="center"/>
            <w:hideMark/>
          </w:tcPr>
          <w:p w14:paraId="36249466" w14:textId="77777777" w:rsidR="000E3591" w:rsidRPr="000D3EDD" w:rsidRDefault="000E3591" w:rsidP="000D3EDD">
            <w:pPr>
              <w:spacing w:line="276" w:lineRule="auto"/>
              <w:jc w:val="right"/>
              <w:rPr>
                <w:b/>
                <w:bCs/>
                <w:color w:val="000000"/>
              </w:rPr>
            </w:pPr>
            <w:r w:rsidRPr="000D3EDD">
              <w:rPr>
                <w:b/>
                <w:bCs/>
                <w:color w:val="000000"/>
              </w:rPr>
              <w:t>Valid percent</w:t>
            </w:r>
          </w:p>
        </w:tc>
      </w:tr>
      <w:tr w:rsidR="000E3591" w:rsidRPr="000D3EDD" w14:paraId="546DA7A8" w14:textId="77777777" w:rsidTr="00FA50A2">
        <w:trPr>
          <w:trHeight w:val="320"/>
        </w:trPr>
        <w:tc>
          <w:tcPr>
            <w:tcW w:w="0" w:type="auto"/>
            <w:tcBorders>
              <w:top w:val="single" w:sz="4" w:space="0" w:color="FFFFFF"/>
              <w:left w:val="single" w:sz="4" w:space="0" w:color="FFFFFF"/>
              <w:bottom w:val="single" w:sz="4" w:space="0" w:color="FFFFFF"/>
              <w:right w:val="single" w:sz="4" w:space="0" w:color="FFFFFF"/>
            </w:tcBorders>
            <w:shd w:val="clear" w:color="auto" w:fill="auto"/>
            <w:noWrap/>
            <w:vAlign w:val="center"/>
            <w:hideMark/>
          </w:tcPr>
          <w:p w14:paraId="0FC08444" w14:textId="77777777" w:rsidR="000E3591" w:rsidRPr="000D3EDD" w:rsidRDefault="000E3591" w:rsidP="000D3EDD">
            <w:pPr>
              <w:spacing w:line="276" w:lineRule="auto"/>
              <w:jc w:val="right"/>
              <w:rPr>
                <w:b/>
                <w:bCs/>
                <w:color w:val="000000"/>
              </w:rPr>
            </w:pPr>
            <w:r w:rsidRPr="000D3EDD">
              <w:rPr>
                <w:b/>
                <w:bCs/>
                <w:color w:val="000000"/>
              </w:rPr>
              <w:t>Survey age</w:t>
            </w:r>
          </w:p>
        </w:tc>
        <w:tc>
          <w:tcPr>
            <w:tcW w:w="0" w:type="auto"/>
            <w:tcBorders>
              <w:top w:val="single" w:sz="4" w:space="0" w:color="FFFFFF"/>
              <w:left w:val="nil"/>
              <w:bottom w:val="single" w:sz="4" w:space="0" w:color="FFFFFF"/>
              <w:right w:val="single" w:sz="4" w:space="0" w:color="FFFFFF"/>
            </w:tcBorders>
            <w:shd w:val="clear" w:color="auto" w:fill="auto"/>
            <w:noWrap/>
            <w:vAlign w:val="center"/>
            <w:hideMark/>
          </w:tcPr>
          <w:p w14:paraId="679EDC13" w14:textId="77777777" w:rsidR="000E3591" w:rsidRPr="000D3EDD" w:rsidRDefault="000E3591" w:rsidP="000D3EDD">
            <w:pPr>
              <w:spacing w:line="276" w:lineRule="auto"/>
              <w:jc w:val="right"/>
              <w:rPr>
                <w:color w:val="000000"/>
              </w:rPr>
            </w:pPr>
            <w:r w:rsidRPr="000D3EDD">
              <w:rPr>
                <w:color w:val="000000"/>
              </w:rPr>
              <w:t> </w:t>
            </w:r>
          </w:p>
        </w:tc>
      </w:tr>
      <w:tr w:rsidR="000E3591" w:rsidRPr="000D3EDD" w14:paraId="67690D70"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0DC5C14F" w14:textId="77777777" w:rsidR="000E3591" w:rsidRPr="000D3EDD" w:rsidRDefault="000E3591" w:rsidP="000D3EDD">
            <w:pPr>
              <w:spacing w:line="276" w:lineRule="auto"/>
              <w:jc w:val="right"/>
              <w:rPr>
                <w:color w:val="000000"/>
              </w:rPr>
            </w:pPr>
            <w:r w:rsidRPr="000D3EDD">
              <w:rPr>
                <w:color w:val="000000"/>
              </w:rPr>
              <w:t>22-25</w:t>
            </w:r>
          </w:p>
        </w:tc>
        <w:tc>
          <w:tcPr>
            <w:tcW w:w="0" w:type="auto"/>
            <w:tcBorders>
              <w:top w:val="nil"/>
              <w:left w:val="nil"/>
              <w:bottom w:val="single" w:sz="4" w:space="0" w:color="FFFFFF"/>
              <w:right w:val="single" w:sz="4" w:space="0" w:color="FFFFFF"/>
            </w:tcBorders>
            <w:shd w:val="clear" w:color="auto" w:fill="auto"/>
            <w:noWrap/>
            <w:vAlign w:val="center"/>
            <w:hideMark/>
          </w:tcPr>
          <w:p w14:paraId="7695AF0A" w14:textId="77777777" w:rsidR="000E3591" w:rsidRPr="000D3EDD" w:rsidRDefault="000E3591" w:rsidP="000D3EDD">
            <w:pPr>
              <w:spacing w:line="276" w:lineRule="auto"/>
              <w:jc w:val="right"/>
              <w:rPr>
                <w:color w:val="000000"/>
              </w:rPr>
            </w:pPr>
            <w:r w:rsidRPr="000D3EDD">
              <w:rPr>
                <w:color w:val="000000"/>
              </w:rPr>
              <w:t>3.0</w:t>
            </w:r>
          </w:p>
        </w:tc>
      </w:tr>
      <w:tr w:rsidR="000E3591" w:rsidRPr="000D3EDD" w14:paraId="0123A513"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443576CD" w14:textId="77777777" w:rsidR="000E3591" w:rsidRPr="000D3EDD" w:rsidRDefault="000E3591" w:rsidP="000D3EDD">
            <w:pPr>
              <w:spacing w:line="276" w:lineRule="auto"/>
              <w:jc w:val="right"/>
              <w:rPr>
                <w:color w:val="000000"/>
              </w:rPr>
            </w:pPr>
            <w:r w:rsidRPr="000D3EDD">
              <w:rPr>
                <w:color w:val="000000"/>
              </w:rPr>
              <w:t>26-29</w:t>
            </w:r>
          </w:p>
        </w:tc>
        <w:tc>
          <w:tcPr>
            <w:tcW w:w="0" w:type="auto"/>
            <w:tcBorders>
              <w:top w:val="nil"/>
              <w:left w:val="nil"/>
              <w:bottom w:val="single" w:sz="4" w:space="0" w:color="FFFFFF"/>
              <w:right w:val="single" w:sz="4" w:space="0" w:color="FFFFFF"/>
            </w:tcBorders>
            <w:shd w:val="clear" w:color="auto" w:fill="auto"/>
            <w:noWrap/>
            <w:vAlign w:val="center"/>
            <w:hideMark/>
          </w:tcPr>
          <w:p w14:paraId="521B6CA4" w14:textId="77777777" w:rsidR="000E3591" w:rsidRPr="000D3EDD" w:rsidRDefault="000E3591" w:rsidP="000D3EDD">
            <w:pPr>
              <w:spacing w:line="276" w:lineRule="auto"/>
              <w:jc w:val="right"/>
              <w:rPr>
                <w:color w:val="000000"/>
              </w:rPr>
            </w:pPr>
            <w:r w:rsidRPr="000D3EDD">
              <w:rPr>
                <w:color w:val="000000"/>
              </w:rPr>
              <w:t>46.2</w:t>
            </w:r>
          </w:p>
        </w:tc>
      </w:tr>
      <w:tr w:rsidR="000E3591" w:rsidRPr="000D3EDD" w14:paraId="20220265"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4F80870B" w14:textId="77777777" w:rsidR="000E3591" w:rsidRPr="000D3EDD" w:rsidRDefault="000E3591" w:rsidP="000D3EDD">
            <w:pPr>
              <w:spacing w:line="276" w:lineRule="auto"/>
              <w:jc w:val="right"/>
              <w:rPr>
                <w:color w:val="000000"/>
              </w:rPr>
            </w:pPr>
            <w:r w:rsidRPr="000D3EDD">
              <w:rPr>
                <w:color w:val="000000"/>
              </w:rPr>
              <w:t>30-34</w:t>
            </w:r>
          </w:p>
        </w:tc>
        <w:tc>
          <w:tcPr>
            <w:tcW w:w="0" w:type="auto"/>
            <w:tcBorders>
              <w:top w:val="nil"/>
              <w:left w:val="nil"/>
              <w:bottom w:val="single" w:sz="4" w:space="0" w:color="FFFFFF"/>
              <w:right w:val="single" w:sz="4" w:space="0" w:color="FFFFFF"/>
            </w:tcBorders>
            <w:shd w:val="clear" w:color="auto" w:fill="auto"/>
            <w:noWrap/>
            <w:vAlign w:val="center"/>
            <w:hideMark/>
          </w:tcPr>
          <w:p w14:paraId="10C9933B" w14:textId="77777777" w:rsidR="000E3591" w:rsidRPr="000D3EDD" w:rsidRDefault="000E3591" w:rsidP="000D3EDD">
            <w:pPr>
              <w:spacing w:line="276" w:lineRule="auto"/>
              <w:jc w:val="right"/>
              <w:rPr>
                <w:color w:val="000000"/>
              </w:rPr>
            </w:pPr>
            <w:r w:rsidRPr="000D3EDD">
              <w:rPr>
                <w:color w:val="000000"/>
              </w:rPr>
              <w:t>18.1</w:t>
            </w:r>
          </w:p>
        </w:tc>
      </w:tr>
      <w:tr w:rsidR="000E3591" w:rsidRPr="000D3EDD" w14:paraId="2074E9C3"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53C2ACDD" w14:textId="77777777" w:rsidR="000E3591" w:rsidRPr="000D3EDD" w:rsidRDefault="000E3591" w:rsidP="000D3EDD">
            <w:pPr>
              <w:spacing w:line="276" w:lineRule="auto"/>
              <w:jc w:val="right"/>
              <w:rPr>
                <w:color w:val="000000"/>
              </w:rPr>
            </w:pPr>
            <w:r w:rsidRPr="000D3EDD">
              <w:rPr>
                <w:color w:val="000000"/>
              </w:rPr>
              <w:t>35-39</w:t>
            </w:r>
          </w:p>
        </w:tc>
        <w:tc>
          <w:tcPr>
            <w:tcW w:w="0" w:type="auto"/>
            <w:tcBorders>
              <w:top w:val="nil"/>
              <w:left w:val="nil"/>
              <w:bottom w:val="single" w:sz="4" w:space="0" w:color="FFFFFF"/>
              <w:right w:val="single" w:sz="4" w:space="0" w:color="FFFFFF"/>
            </w:tcBorders>
            <w:shd w:val="clear" w:color="auto" w:fill="auto"/>
            <w:noWrap/>
            <w:vAlign w:val="center"/>
            <w:hideMark/>
          </w:tcPr>
          <w:p w14:paraId="6E6E81C2" w14:textId="77777777" w:rsidR="000E3591" w:rsidRPr="000D3EDD" w:rsidRDefault="000E3591" w:rsidP="000D3EDD">
            <w:pPr>
              <w:spacing w:line="276" w:lineRule="auto"/>
              <w:jc w:val="right"/>
              <w:rPr>
                <w:color w:val="000000"/>
              </w:rPr>
            </w:pPr>
            <w:r w:rsidRPr="000D3EDD">
              <w:rPr>
                <w:color w:val="000000"/>
              </w:rPr>
              <w:t>8.7</w:t>
            </w:r>
          </w:p>
        </w:tc>
      </w:tr>
      <w:tr w:rsidR="000E3591" w:rsidRPr="000D3EDD" w14:paraId="039319FC"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4038A21A" w14:textId="77777777" w:rsidR="000E3591" w:rsidRPr="000D3EDD" w:rsidRDefault="000E3591" w:rsidP="000D3EDD">
            <w:pPr>
              <w:spacing w:line="276" w:lineRule="auto"/>
              <w:jc w:val="right"/>
              <w:rPr>
                <w:color w:val="000000"/>
              </w:rPr>
            </w:pPr>
            <w:r w:rsidRPr="000D3EDD">
              <w:rPr>
                <w:color w:val="000000"/>
              </w:rPr>
              <w:t>40-44</w:t>
            </w:r>
          </w:p>
        </w:tc>
        <w:tc>
          <w:tcPr>
            <w:tcW w:w="0" w:type="auto"/>
            <w:tcBorders>
              <w:top w:val="nil"/>
              <w:left w:val="nil"/>
              <w:bottom w:val="single" w:sz="4" w:space="0" w:color="FFFFFF"/>
              <w:right w:val="single" w:sz="4" w:space="0" w:color="FFFFFF"/>
            </w:tcBorders>
            <w:shd w:val="clear" w:color="auto" w:fill="auto"/>
            <w:noWrap/>
            <w:vAlign w:val="center"/>
            <w:hideMark/>
          </w:tcPr>
          <w:p w14:paraId="57AF8521" w14:textId="77777777" w:rsidR="000E3591" w:rsidRPr="000D3EDD" w:rsidRDefault="000E3591" w:rsidP="000D3EDD">
            <w:pPr>
              <w:spacing w:line="276" w:lineRule="auto"/>
              <w:jc w:val="right"/>
              <w:rPr>
                <w:color w:val="000000"/>
              </w:rPr>
            </w:pPr>
            <w:r w:rsidRPr="000D3EDD">
              <w:rPr>
                <w:color w:val="000000"/>
              </w:rPr>
              <w:t>6.1</w:t>
            </w:r>
          </w:p>
        </w:tc>
      </w:tr>
      <w:tr w:rsidR="000E3591" w:rsidRPr="000D3EDD" w14:paraId="0BFA840A"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3D58879A" w14:textId="77777777" w:rsidR="000E3591" w:rsidRPr="000D3EDD" w:rsidRDefault="000E3591" w:rsidP="000D3EDD">
            <w:pPr>
              <w:spacing w:line="276" w:lineRule="auto"/>
              <w:jc w:val="right"/>
              <w:rPr>
                <w:color w:val="000000"/>
              </w:rPr>
            </w:pPr>
            <w:r w:rsidRPr="000D3EDD">
              <w:rPr>
                <w:color w:val="000000"/>
              </w:rPr>
              <w:t>45-59</w:t>
            </w:r>
          </w:p>
        </w:tc>
        <w:tc>
          <w:tcPr>
            <w:tcW w:w="0" w:type="auto"/>
            <w:tcBorders>
              <w:top w:val="nil"/>
              <w:left w:val="nil"/>
              <w:bottom w:val="single" w:sz="4" w:space="0" w:color="FFFFFF"/>
              <w:right w:val="single" w:sz="4" w:space="0" w:color="FFFFFF"/>
            </w:tcBorders>
            <w:shd w:val="clear" w:color="auto" w:fill="auto"/>
            <w:noWrap/>
            <w:vAlign w:val="center"/>
            <w:hideMark/>
          </w:tcPr>
          <w:p w14:paraId="0856FB7C" w14:textId="77777777" w:rsidR="000E3591" w:rsidRPr="000D3EDD" w:rsidRDefault="000E3591" w:rsidP="000D3EDD">
            <w:pPr>
              <w:spacing w:line="276" w:lineRule="auto"/>
              <w:jc w:val="right"/>
              <w:rPr>
                <w:color w:val="000000"/>
              </w:rPr>
            </w:pPr>
            <w:r w:rsidRPr="000D3EDD">
              <w:rPr>
                <w:color w:val="000000"/>
              </w:rPr>
              <w:t>5.6</w:t>
            </w:r>
          </w:p>
        </w:tc>
      </w:tr>
      <w:tr w:rsidR="000E3591" w:rsidRPr="000D3EDD" w14:paraId="31AC9315"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24A82BC2" w14:textId="77777777" w:rsidR="000E3591" w:rsidRPr="000D3EDD" w:rsidRDefault="000E3591" w:rsidP="000D3EDD">
            <w:pPr>
              <w:spacing w:line="276" w:lineRule="auto"/>
              <w:jc w:val="right"/>
              <w:rPr>
                <w:color w:val="000000"/>
              </w:rPr>
            </w:pPr>
            <w:r w:rsidRPr="000D3EDD">
              <w:rPr>
                <w:color w:val="000000"/>
              </w:rPr>
              <w:t>50-54</w:t>
            </w:r>
          </w:p>
        </w:tc>
        <w:tc>
          <w:tcPr>
            <w:tcW w:w="0" w:type="auto"/>
            <w:tcBorders>
              <w:top w:val="nil"/>
              <w:left w:val="nil"/>
              <w:bottom w:val="single" w:sz="4" w:space="0" w:color="FFFFFF"/>
              <w:right w:val="single" w:sz="4" w:space="0" w:color="FFFFFF"/>
            </w:tcBorders>
            <w:shd w:val="clear" w:color="auto" w:fill="auto"/>
            <w:noWrap/>
            <w:vAlign w:val="center"/>
            <w:hideMark/>
          </w:tcPr>
          <w:p w14:paraId="62A366D3" w14:textId="77777777" w:rsidR="000E3591" w:rsidRPr="000D3EDD" w:rsidRDefault="000E3591" w:rsidP="000D3EDD">
            <w:pPr>
              <w:spacing w:line="276" w:lineRule="auto"/>
              <w:jc w:val="right"/>
              <w:rPr>
                <w:color w:val="000000"/>
              </w:rPr>
            </w:pPr>
            <w:r w:rsidRPr="000D3EDD">
              <w:rPr>
                <w:color w:val="000000"/>
              </w:rPr>
              <w:t>5.0</w:t>
            </w:r>
          </w:p>
        </w:tc>
      </w:tr>
      <w:tr w:rsidR="000E3591" w:rsidRPr="000D3EDD" w14:paraId="038CEE21"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44934BB8" w14:textId="77777777" w:rsidR="000E3591" w:rsidRPr="000D3EDD" w:rsidRDefault="000E3591" w:rsidP="000D3EDD">
            <w:pPr>
              <w:spacing w:line="276" w:lineRule="auto"/>
              <w:jc w:val="right"/>
              <w:rPr>
                <w:color w:val="000000"/>
              </w:rPr>
            </w:pPr>
            <w:r w:rsidRPr="000D3EDD">
              <w:rPr>
                <w:color w:val="000000"/>
              </w:rPr>
              <w:t>55-59</w:t>
            </w:r>
          </w:p>
        </w:tc>
        <w:tc>
          <w:tcPr>
            <w:tcW w:w="0" w:type="auto"/>
            <w:tcBorders>
              <w:top w:val="nil"/>
              <w:left w:val="nil"/>
              <w:bottom w:val="single" w:sz="4" w:space="0" w:color="FFFFFF"/>
              <w:right w:val="single" w:sz="4" w:space="0" w:color="FFFFFF"/>
            </w:tcBorders>
            <w:shd w:val="clear" w:color="auto" w:fill="auto"/>
            <w:noWrap/>
            <w:vAlign w:val="center"/>
            <w:hideMark/>
          </w:tcPr>
          <w:p w14:paraId="61CCA96F" w14:textId="77777777" w:rsidR="000E3591" w:rsidRPr="000D3EDD" w:rsidRDefault="000E3591" w:rsidP="000D3EDD">
            <w:pPr>
              <w:spacing w:line="276" w:lineRule="auto"/>
              <w:jc w:val="right"/>
              <w:rPr>
                <w:color w:val="000000"/>
              </w:rPr>
            </w:pPr>
            <w:r w:rsidRPr="000D3EDD">
              <w:rPr>
                <w:color w:val="000000"/>
              </w:rPr>
              <w:t>3.5</w:t>
            </w:r>
          </w:p>
        </w:tc>
      </w:tr>
      <w:tr w:rsidR="000E3591" w:rsidRPr="000D3EDD" w14:paraId="4006A480"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5098238E" w14:textId="77777777" w:rsidR="000E3591" w:rsidRPr="000D3EDD" w:rsidRDefault="000E3591" w:rsidP="000D3EDD">
            <w:pPr>
              <w:spacing w:line="276" w:lineRule="auto"/>
              <w:jc w:val="right"/>
              <w:rPr>
                <w:color w:val="000000"/>
              </w:rPr>
            </w:pPr>
            <w:r w:rsidRPr="000D3EDD">
              <w:rPr>
                <w:color w:val="000000"/>
              </w:rPr>
              <w:t>60-64</w:t>
            </w:r>
          </w:p>
        </w:tc>
        <w:tc>
          <w:tcPr>
            <w:tcW w:w="0" w:type="auto"/>
            <w:tcBorders>
              <w:top w:val="nil"/>
              <w:left w:val="nil"/>
              <w:bottom w:val="single" w:sz="4" w:space="0" w:color="FFFFFF"/>
              <w:right w:val="single" w:sz="4" w:space="0" w:color="FFFFFF"/>
            </w:tcBorders>
            <w:shd w:val="clear" w:color="auto" w:fill="auto"/>
            <w:noWrap/>
            <w:vAlign w:val="center"/>
            <w:hideMark/>
          </w:tcPr>
          <w:p w14:paraId="7798E7EF" w14:textId="77777777" w:rsidR="000E3591" w:rsidRPr="000D3EDD" w:rsidRDefault="000E3591" w:rsidP="000D3EDD">
            <w:pPr>
              <w:spacing w:line="276" w:lineRule="auto"/>
              <w:jc w:val="right"/>
              <w:rPr>
                <w:color w:val="000000"/>
              </w:rPr>
            </w:pPr>
            <w:r w:rsidRPr="000D3EDD">
              <w:rPr>
                <w:color w:val="000000"/>
              </w:rPr>
              <w:t>2.2</w:t>
            </w:r>
          </w:p>
        </w:tc>
      </w:tr>
      <w:tr w:rsidR="000E3591" w:rsidRPr="000D3EDD" w14:paraId="09A569F6"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59E192E6" w14:textId="77777777" w:rsidR="000E3591" w:rsidRPr="000D3EDD" w:rsidRDefault="000E3591" w:rsidP="000D3EDD">
            <w:pPr>
              <w:spacing w:line="276" w:lineRule="auto"/>
              <w:jc w:val="right"/>
              <w:rPr>
                <w:color w:val="000000"/>
              </w:rPr>
            </w:pPr>
            <w:r w:rsidRPr="000D3EDD">
              <w:rPr>
                <w:color w:val="000000"/>
              </w:rPr>
              <w:t>65 +</w:t>
            </w:r>
          </w:p>
        </w:tc>
        <w:tc>
          <w:tcPr>
            <w:tcW w:w="0" w:type="auto"/>
            <w:tcBorders>
              <w:top w:val="nil"/>
              <w:left w:val="nil"/>
              <w:bottom w:val="single" w:sz="4" w:space="0" w:color="FFFFFF"/>
              <w:right w:val="single" w:sz="4" w:space="0" w:color="FFFFFF"/>
            </w:tcBorders>
            <w:shd w:val="clear" w:color="auto" w:fill="auto"/>
            <w:noWrap/>
            <w:vAlign w:val="center"/>
            <w:hideMark/>
          </w:tcPr>
          <w:p w14:paraId="3DCD5793" w14:textId="77777777" w:rsidR="000E3591" w:rsidRPr="000D3EDD" w:rsidRDefault="000E3591" w:rsidP="000D3EDD">
            <w:pPr>
              <w:spacing w:line="276" w:lineRule="auto"/>
              <w:jc w:val="right"/>
              <w:rPr>
                <w:color w:val="000000"/>
              </w:rPr>
            </w:pPr>
            <w:r w:rsidRPr="000D3EDD">
              <w:rPr>
                <w:color w:val="000000"/>
              </w:rPr>
              <w:t>1.5</w:t>
            </w:r>
          </w:p>
        </w:tc>
      </w:tr>
      <w:tr w:rsidR="000E3591" w:rsidRPr="000D3EDD" w14:paraId="79D6A755"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29DEC7C1" w14:textId="77777777" w:rsidR="000E3591" w:rsidRPr="000D3EDD" w:rsidRDefault="000E3591" w:rsidP="000D3EDD">
            <w:pPr>
              <w:spacing w:line="276" w:lineRule="auto"/>
              <w:jc w:val="right"/>
              <w:rPr>
                <w:b/>
                <w:bCs/>
                <w:color w:val="000000"/>
              </w:rPr>
            </w:pPr>
            <w:r w:rsidRPr="000D3EDD">
              <w:rPr>
                <w:b/>
                <w:bCs/>
                <w:color w:val="000000"/>
              </w:rPr>
              <w:t>Gender</w:t>
            </w:r>
          </w:p>
        </w:tc>
        <w:tc>
          <w:tcPr>
            <w:tcW w:w="0" w:type="auto"/>
            <w:tcBorders>
              <w:top w:val="nil"/>
              <w:left w:val="nil"/>
              <w:bottom w:val="single" w:sz="4" w:space="0" w:color="FFFFFF"/>
              <w:right w:val="single" w:sz="4" w:space="0" w:color="FFFFFF"/>
            </w:tcBorders>
            <w:shd w:val="clear" w:color="auto" w:fill="auto"/>
            <w:noWrap/>
            <w:vAlign w:val="center"/>
            <w:hideMark/>
          </w:tcPr>
          <w:p w14:paraId="62A1F23B" w14:textId="77777777" w:rsidR="000E3591" w:rsidRPr="000D3EDD" w:rsidRDefault="000E3591" w:rsidP="000D3EDD">
            <w:pPr>
              <w:spacing w:line="276" w:lineRule="auto"/>
              <w:jc w:val="right"/>
              <w:rPr>
                <w:color w:val="000000"/>
              </w:rPr>
            </w:pPr>
            <w:r w:rsidRPr="000D3EDD">
              <w:rPr>
                <w:color w:val="000000"/>
              </w:rPr>
              <w:t> </w:t>
            </w:r>
          </w:p>
        </w:tc>
      </w:tr>
      <w:tr w:rsidR="000E3591" w:rsidRPr="000D3EDD" w14:paraId="3660447C"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3ADE6948" w14:textId="77777777" w:rsidR="000E3591" w:rsidRPr="000D3EDD" w:rsidRDefault="000E3591" w:rsidP="000D3EDD">
            <w:pPr>
              <w:spacing w:line="276" w:lineRule="auto"/>
              <w:jc w:val="right"/>
              <w:rPr>
                <w:color w:val="000000"/>
              </w:rPr>
            </w:pPr>
            <w:r w:rsidRPr="000D3EDD">
              <w:rPr>
                <w:color w:val="000000"/>
              </w:rPr>
              <w:t>Male</w:t>
            </w:r>
          </w:p>
        </w:tc>
        <w:tc>
          <w:tcPr>
            <w:tcW w:w="0" w:type="auto"/>
            <w:tcBorders>
              <w:top w:val="nil"/>
              <w:left w:val="nil"/>
              <w:bottom w:val="single" w:sz="4" w:space="0" w:color="FFFFFF"/>
              <w:right w:val="single" w:sz="4" w:space="0" w:color="FFFFFF"/>
            </w:tcBorders>
            <w:shd w:val="clear" w:color="auto" w:fill="auto"/>
            <w:noWrap/>
            <w:vAlign w:val="bottom"/>
            <w:hideMark/>
          </w:tcPr>
          <w:p w14:paraId="0179BD50" w14:textId="77777777" w:rsidR="000E3591" w:rsidRPr="000D3EDD" w:rsidRDefault="000E3591" w:rsidP="000D3EDD">
            <w:pPr>
              <w:spacing w:line="276" w:lineRule="auto"/>
              <w:jc w:val="right"/>
              <w:rPr>
                <w:color w:val="000000"/>
              </w:rPr>
            </w:pPr>
            <w:r w:rsidRPr="000D3EDD">
              <w:rPr>
                <w:color w:val="000000"/>
              </w:rPr>
              <w:t>49.7</w:t>
            </w:r>
          </w:p>
        </w:tc>
      </w:tr>
      <w:tr w:rsidR="000E3591" w:rsidRPr="000D3EDD" w14:paraId="53B48E88"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26301926" w14:textId="77777777" w:rsidR="000E3591" w:rsidRPr="000D3EDD" w:rsidRDefault="000E3591" w:rsidP="000D3EDD">
            <w:pPr>
              <w:spacing w:line="276" w:lineRule="auto"/>
              <w:jc w:val="right"/>
              <w:rPr>
                <w:color w:val="000000"/>
              </w:rPr>
            </w:pPr>
            <w:r w:rsidRPr="000D3EDD">
              <w:rPr>
                <w:color w:val="000000"/>
              </w:rPr>
              <w:t>Female</w:t>
            </w:r>
          </w:p>
        </w:tc>
        <w:tc>
          <w:tcPr>
            <w:tcW w:w="0" w:type="auto"/>
            <w:tcBorders>
              <w:top w:val="nil"/>
              <w:left w:val="nil"/>
              <w:bottom w:val="single" w:sz="4" w:space="0" w:color="FFFFFF"/>
              <w:right w:val="single" w:sz="4" w:space="0" w:color="FFFFFF"/>
            </w:tcBorders>
            <w:shd w:val="clear" w:color="auto" w:fill="auto"/>
            <w:noWrap/>
            <w:vAlign w:val="bottom"/>
            <w:hideMark/>
          </w:tcPr>
          <w:p w14:paraId="1E418C6A" w14:textId="77777777" w:rsidR="000E3591" w:rsidRPr="000D3EDD" w:rsidRDefault="000E3591" w:rsidP="000D3EDD">
            <w:pPr>
              <w:spacing w:line="276" w:lineRule="auto"/>
              <w:jc w:val="right"/>
              <w:rPr>
                <w:color w:val="000000"/>
              </w:rPr>
            </w:pPr>
            <w:r w:rsidRPr="000D3EDD">
              <w:rPr>
                <w:color w:val="000000"/>
              </w:rPr>
              <w:t>50.4</w:t>
            </w:r>
          </w:p>
        </w:tc>
      </w:tr>
      <w:tr w:rsidR="000E3591" w:rsidRPr="000D3EDD" w14:paraId="1D07B2C7"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50CCD0F2" w14:textId="77777777" w:rsidR="000E3591" w:rsidRPr="000D3EDD" w:rsidRDefault="000E3591" w:rsidP="000D3EDD">
            <w:pPr>
              <w:spacing w:line="276" w:lineRule="auto"/>
              <w:jc w:val="right"/>
              <w:rPr>
                <w:b/>
                <w:bCs/>
                <w:color w:val="000000"/>
              </w:rPr>
            </w:pPr>
            <w:r w:rsidRPr="000D3EDD">
              <w:rPr>
                <w:b/>
                <w:bCs/>
                <w:color w:val="000000"/>
              </w:rPr>
              <w:t>Ethnicity</w:t>
            </w:r>
          </w:p>
        </w:tc>
        <w:tc>
          <w:tcPr>
            <w:tcW w:w="0" w:type="auto"/>
            <w:tcBorders>
              <w:top w:val="nil"/>
              <w:left w:val="nil"/>
              <w:bottom w:val="single" w:sz="4" w:space="0" w:color="FFFFFF"/>
              <w:right w:val="single" w:sz="4" w:space="0" w:color="FFFFFF"/>
            </w:tcBorders>
            <w:shd w:val="clear" w:color="auto" w:fill="auto"/>
            <w:noWrap/>
            <w:vAlign w:val="center"/>
            <w:hideMark/>
          </w:tcPr>
          <w:p w14:paraId="5C78B013" w14:textId="77777777" w:rsidR="000E3591" w:rsidRPr="000D3EDD" w:rsidRDefault="000E3591" w:rsidP="000D3EDD">
            <w:pPr>
              <w:spacing w:line="276" w:lineRule="auto"/>
              <w:jc w:val="right"/>
              <w:rPr>
                <w:color w:val="000000"/>
              </w:rPr>
            </w:pPr>
            <w:r w:rsidRPr="000D3EDD">
              <w:rPr>
                <w:color w:val="000000"/>
              </w:rPr>
              <w:t> </w:t>
            </w:r>
          </w:p>
        </w:tc>
      </w:tr>
      <w:tr w:rsidR="000E3591" w:rsidRPr="000D3EDD" w14:paraId="2ADCE4B4"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4B624905" w14:textId="77777777" w:rsidR="000E3591" w:rsidRPr="000D3EDD" w:rsidRDefault="000E3591" w:rsidP="000D3EDD">
            <w:pPr>
              <w:spacing w:line="276" w:lineRule="auto"/>
              <w:jc w:val="right"/>
              <w:rPr>
                <w:color w:val="000000"/>
              </w:rPr>
            </w:pPr>
            <w:r w:rsidRPr="000D3EDD">
              <w:rPr>
                <w:color w:val="000000"/>
              </w:rPr>
              <w:t>White</w:t>
            </w:r>
          </w:p>
        </w:tc>
        <w:tc>
          <w:tcPr>
            <w:tcW w:w="0" w:type="auto"/>
            <w:tcBorders>
              <w:top w:val="nil"/>
              <w:left w:val="nil"/>
              <w:bottom w:val="single" w:sz="4" w:space="0" w:color="FFFFFF"/>
              <w:right w:val="single" w:sz="4" w:space="0" w:color="FFFFFF"/>
            </w:tcBorders>
            <w:shd w:val="clear" w:color="auto" w:fill="auto"/>
            <w:noWrap/>
            <w:vAlign w:val="bottom"/>
            <w:hideMark/>
          </w:tcPr>
          <w:p w14:paraId="14981EA9" w14:textId="77777777" w:rsidR="000E3591" w:rsidRPr="000D3EDD" w:rsidRDefault="000E3591" w:rsidP="000D3EDD">
            <w:pPr>
              <w:spacing w:line="276" w:lineRule="auto"/>
              <w:jc w:val="right"/>
              <w:rPr>
                <w:color w:val="000000"/>
              </w:rPr>
            </w:pPr>
            <w:r w:rsidRPr="000D3EDD">
              <w:rPr>
                <w:color w:val="000000"/>
              </w:rPr>
              <w:t>90.4</w:t>
            </w:r>
          </w:p>
        </w:tc>
      </w:tr>
      <w:tr w:rsidR="000E3591" w:rsidRPr="000D3EDD" w14:paraId="0DDAEDDC"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773EA6C7" w14:textId="77777777" w:rsidR="000E3591" w:rsidRPr="000D3EDD" w:rsidRDefault="000E3591" w:rsidP="000D3EDD">
            <w:pPr>
              <w:spacing w:line="276" w:lineRule="auto"/>
              <w:jc w:val="right"/>
              <w:rPr>
                <w:color w:val="000000"/>
              </w:rPr>
            </w:pPr>
            <w:r w:rsidRPr="000D3EDD">
              <w:rPr>
                <w:color w:val="000000"/>
              </w:rPr>
              <w:t>Asian</w:t>
            </w:r>
          </w:p>
        </w:tc>
        <w:tc>
          <w:tcPr>
            <w:tcW w:w="0" w:type="auto"/>
            <w:tcBorders>
              <w:top w:val="nil"/>
              <w:left w:val="nil"/>
              <w:bottom w:val="single" w:sz="4" w:space="0" w:color="FFFFFF"/>
              <w:right w:val="single" w:sz="4" w:space="0" w:color="FFFFFF"/>
            </w:tcBorders>
            <w:shd w:val="clear" w:color="auto" w:fill="auto"/>
            <w:noWrap/>
            <w:vAlign w:val="bottom"/>
            <w:hideMark/>
          </w:tcPr>
          <w:p w14:paraId="399114E2" w14:textId="77777777" w:rsidR="000E3591" w:rsidRPr="000D3EDD" w:rsidRDefault="000E3591" w:rsidP="000D3EDD">
            <w:pPr>
              <w:spacing w:line="276" w:lineRule="auto"/>
              <w:jc w:val="right"/>
              <w:rPr>
                <w:color w:val="000000"/>
              </w:rPr>
            </w:pPr>
            <w:r w:rsidRPr="000D3EDD">
              <w:rPr>
                <w:color w:val="000000"/>
              </w:rPr>
              <w:t>5.3</w:t>
            </w:r>
          </w:p>
        </w:tc>
      </w:tr>
      <w:tr w:rsidR="000E3591" w:rsidRPr="000D3EDD" w14:paraId="37E08930"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22E3B68A" w14:textId="77777777" w:rsidR="000E3591" w:rsidRPr="000D3EDD" w:rsidRDefault="000E3591" w:rsidP="000D3EDD">
            <w:pPr>
              <w:spacing w:line="276" w:lineRule="auto"/>
              <w:jc w:val="right"/>
              <w:rPr>
                <w:color w:val="000000"/>
              </w:rPr>
            </w:pPr>
            <w:r w:rsidRPr="000D3EDD">
              <w:rPr>
                <w:color w:val="000000"/>
              </w:rPr>
              <w:t>Black</w:t>
            </w:r>
          </w:p>
        </w:tc>
        <w:tc>
          <w:tcPr>
            <w:tcW w:w="0" w:type="auto"/>
            <w:tcBorders>
              <w:top w:val="nil"/>
              <w:left w:val="nil"/>
              <w:bottom w:val="single" w:sz="4" w:space="0" w:color="FFFFFF"/>
              <w:right w:val="single" w:sz="4" w:space="0" w:color="FFFFFF"/>
            </w:tcBorders>
            <w:shd w:val="clear" w:color="auto" w:fill="auto"/>
            <w:noWrap/>
            <w:vAlign w:val="bottom"/>
            <w:hideMark/>
          </w:tcPr>
          <w:p w14:paraId="14DE86A8" w14:textId="77777777" w:rsidR="000E3591" w:rsidRPr="000D3EDD" w:rsidRDefault="000E3591" w:rsidP="000D3EDD">
            <w:pPr>
              <w:spacing w:line="276" w:lineRule="auto"/>
              <w:jc w:val="right"/>
              <w:rPr>
                <w:color w:val="000000"/>
              </w:rPr>
            </w:pPr>
            <w:r w:rsidRPr="000D3EDD">
              <w:rPr>
                <w:color w:val="000000"/>
              </w:rPr>
              <w:t>1.2</w:t>
            </w:r>
          </w:p>
        </w:tc>
      </w:tr>
      <w:tr w:rsidR="000E3591" w:rsidRPr="000D3EDD" w14:paraId="7FE155BD"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3BFBCC15" w14:textId="77777777" w:rsidR="000E3591" w:rsidRPr="000D3EDD" w:rsidRDefault="000E3591" w:rsidP="000D3EDD">
            <w:pPr>
              <w:spacing w:line="276" w:lineRule="auto"/>
              <w:jc w:val="right"/>
              <w:rPr>
                <w:color w:val="000000"/>
              </w:rPr>
            </w:pPr>
            <w:r w:rsidRPr="000D3EDD">
              <w:rPr>
                <w:color w:val="000000"/>
              </w:rPr>
              <w:t>Other (including Mixed)</w:t>
            </w:r>
          </w:p>
        </w:tc>
        <w:tc>
          <w:tcPr>
            <w:tcW w:w="0" w:type="auto"/>
            <w:tcBorders>
              <w:top w:val="nil"/>
              <w:left w:val="nil"/>
              <w:bottom w:val="single" w:sz="4" w:space="0" w:color="FFFFFF"/>
              <w:right w:val="single" w:sz="4" w:space="0" w:color="FFFFFF"/>
            </w:tcBorders>
            <w:shd w:val="clear" w:color="auto" w:fill="auto"/>
            <w:noWrap/>
            <w:vAlign w:val="bottom"/>
            <w:hideMark/>
          </w:tcPr>
          <w:p w14:paraId="45D10CB5" w14:textId="77777777" w:rsidR="000E3591" w:rsidRPr="000D3EDD" w:rsidRDefault="000E3591" w:rsidP="000D3EDD">
            <w:pPr>
              <w:spacing w:line="276" w:lineRule="auto"/>
              <w:jc w:val="right"/>
              <w:rPr>
                <w:color w:val="000000"/>
              </w:rPr>
            </w:pPr>
            <w:r w:rsidRPr="000D3EDD">
              <w:rPr>
                <w:color w:val="000000"/>
              </w:rPr>
              <w:t>3.1</w:t>
            </w:r>
          </w:p>
        </w:tc>
      </w:tr>
      <w:tr w:rsidR="000E3591" w:rsidRPr="000D3EDD" w14:paraId="135347FB"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bottom"/>
            <w:hideMark/>
          </w:tcPr>
          <w:p w14:paraId="02A339A3" w14:textId="77777777" w:rsidR="000E3591" w:rsidRPr="000D3EDD" w:rsidRDefault="000E3591" w:rsidP="000D3EDD">
            <w:pPr>
              <w:spacing w:line="276" w:lineRule="auto"/>
              <w:jc w:val="right"/>
              <w:rPr>
                <w:b/>
                <w:bCs/>
                <w:color w:val="000000"/>
              </w:rPr>
            </w:pPr>
            <w:r w:rsidRPr="000D3EDD">
              <w:rPr>
                <w:b/>
                <w:bCs/>
                <w:color w:val="000000"/>
              </w:rPr>
              <w:t>School attended</w:t>
            </w:r>
          </w:p>
        </w:tc>
        <w:tc>
          <w:tcPr>
            <w:tcW w:w="0" w:type="auto"/>
            <w:tcBorders>
              <w:top w:val="nil"/>
              <w:left w:val="nil"/>
              <w:bottom w:val="single" w:sz="4" w:space="0" w:color="FFFFFF"/>
              <w:right w:val="single" w:sz="4" w:space="0" w:color="FFFFFF"/>
            </w:tcBorders>
            <w:shd w:val="clear" w:color="auto" w:fill="auto"/>
            <w:noWrap/>
            <w:vAlign w:val="center"/>
            <w:hideMark/>
          </w:tcPr>
          <w:p w14:paraId="4AE6CD00" w14:textId="77777777" w:rsidR="000E3591" w:rsidRPr="000D3EDD" w:rsidRDefault="000E3591" w:rsidP="000D3EDD">
            <w:pPr>
              <w:spacing w:line="276" w:lineRule="auto"/>
              <w:jc w:val="right"/>
              <w:rPr>
                <w:color w:val="000000"/>
              </w:rPr>
            </w:pPr>
            <w:r w:rsidRPr="000D3EDD">
              <w:rPr>
                <w:color w:val="000000"/>
              </w:rPr>
              <w:t> </w:t>
            </w:r>
          </w:p>
        </w:tc>
      </w:tr>
      <w:tr w:rsidR="000E3591" w:rsidRPr="000D3EDD" w14:paraId="0AF260E9"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bottom"/>
            <w:hideMark/>
          </w:tcPr>
          <w:p w14:paraId="7CFD1D87" w14:textId="77777777" w:rsidR="000E3591" w:rsidRPr="000D3EDD" w:rsidRDefault="000E3591" w:rsidP="000D3EDD">
            <w:pPr>
              <w:spacing w:line="276" w:lineRule="auto"/>
              <w:jc w:val="right"/>
              <w:rPr>
                <w:color w:val="000000"/>
              </w:rPr>
            </w:pPr>
            <w:r w:rsidRPr="000D3EDD">
              <w:rPr>
                <w:color w:val="000000"/>
              </w:rPr>
              <w:t>Privately funded school</w:t>
            </w:r>
          </w:p>
        </w:tc>
        <w:tc>
          <w:tcPr>
            <w:tcW w:w="0" w:type="auto"/>
            <w:tcBorders>
              <w:top w:val="nil"/>
              <w:left w:val="nil"/>
              <w:bottom w:val="single" w:sz="4" w:space="0" w:color="FFFFFF"/>
              <w:right w:val="single" w:sz="4" w:space="0" w:color="FFFFFF"/>
            </w:tcBorders>
            <w:shd w:val="clear" w:color="auto" w:fill="auto"/>
            <w:noWrap/>
            <w:vAlign w:val="bottom"/>
            <w:hideMark/>
          </w:tcPr>
          <w:p w14:paraId="1562D0D6" w14:textId="77777777" w:rsidR="000E3591" w:rsidRPr="000D3EDD" w:rsidRDefault="000E3591" w:rsidP="000D3EDD">
            <w:pPr>
              <w:spacing w:line="276" w:lineRule="auto"/>
              <w:jc w:val="right"/>
              <w:rPr>
                <w:color w:val="000000"/>
              </w:rPr>
            </w:pPr>
            <w:r w:rsidRPr="000D3EDD">
              <w:rPr>
                <w:color w:val="000000"/>
              </w:rPr>
              <w:t>1.5</w:t>
            </w:r>
          </w:p>
        </w:tc>
      </w:tr>
      <w:tr w:rsidR="000E3591" w:rsidRPr="000D3EDD" w14:paraId="3F258553"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bottom"/>
            <w:hideMark/>
          </w:tcPr>
          <w:p w14:paraId="0F7C82D8" w14:textId="77777777" w:rsidR="000E3591" w:rsidRPr="000D3EDD" w:rsidRDefault="000E3591" w:rsidP="000D3EDD">
            <w:pPr>
              <w:spacing w:line="276" w:lineRule="auto"/>
              <w:jc w:val="right"/>
              <w:rPr>
                <w:color w:val="000000"/>
              </w:rPr>
            </w:pPr>
            <w:r w:rsidRPr="000D3EDD">
              <w:rPr>
                <w:color w:val="000000"/>
              </w:rPr>
              <w:t>State-funded school or college</w:t>
            </w:r>
          </w:p>
        </w:tc>
        <w:tc>
          <w:tcPr>
            <w:tcW w:w="0" w:type="auto"/>
            <w:tcBorders>
              <w:top w:val="nil"/>
              <w:left w:val="nil"/>
              <w:bottom w:val="single" w:sz="4" w:space="0" w:color="FFFFFF"/>
              <w:right w:val="single" w:sz="4" w:space="0" w:color="FFFFFF"/>
            </w:tcBorders>
            <w:shd w:val="clear" w:color="auto" w:fill="auto"/>
            <w:noWrap/>
            <w:vAlign w:val="bottom"/>
            <w:hideMark/>
          </w:tcPr>
          <w:p w14:paraId="36B454C9" w14:textId="77777777" w:rsidR="000E3591" w:rsidRPr="000D3EDD" w:rsidRDefault="000E3591" w:rsidP="000D3EDD">
            <w:pPr>
              <w:spacing w:line="276" w:lineRule="auto"/>
              <w:jc w:val="right"/>
              <w:rPr>
                <w:color w:val="000000"/>
              </w:rPr>
            </w:pPr>
            <w:r w:rsidRPr="000D3EDD">
              <w:rPr>
                <w:color w:val="000000"/>
              </w:rPr>
              <w:t>98.5</w:t>
            </w:r>
          </w:p>
        </w:tc>
      </w:tr>
      <w:tr w:rsidR="000E3591" w:rsidRPr="000D3EDD" w14:paraId="0977F2D0"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1D78A6FB" w14:textId="77777777" w:rsidR="000E3591" w:rsidRPr="000D3EDD" w:rsidRDefault="000E3591" w:rsidP="000D3EDD">
            <w:pPr>
              <w:spacing w:line="276" w:lineRule="auto"/>
              <w:jc w:val="right"/>
              <w:rPr>
                <w:b/>
                <w:bCs/>
                <w:color w:val="000000"/>
              </w:rPr>
            </w:pPr>
            <w:r w:rsidRPr="000D3EDD">
              <w:rPr>
                <w:b/>
                <w:bCs/>
                <w:color w:val="000000"/>
              </w:rPr>
              <w:t>Parental occupation</w:t>
            </w:r>
          </w:p>
        </w:tc>
        <w:tc>
          <w:tcPr>
            <w:tcW w:w="0" w:type="auto"/>
            <w:tcBorders>
              <w:top w:val="nil"/>
              <w:left w:val="nil"/>
              <w:bottom w:val="single" w:sz="4" w:space="0" w:color="FFFFFF"/>
              <w:right w:val="single" w:sz="4" w:space="0" w:color="FFFFFF"/>
            </w:tcBorders>
            <w:shd w:val="clear" w:color="auto" w:fill="auto"/>
            <w:noWrap/>
            <w:vAlign w:val="center"/>
            <w:hideMark/>
          </w:tcPr>
          <w:p w14:paraId="38AABF41" w14:textId="77777777" w:rsidR="000E3591" w:rsidRPr="000D3EDD" w:rsidRDefault="000E3591" w:rsidP="000D3EDD">
            <w:pPr>
              <w:spacing w:line="276" w:lineRule="auto"/>
              <w:jc w:val="right"/>
              <w:rPr>
                <w:color w:val="000000"/>
              </w:rPr>
            </w:pPr>
            <w:r w:rsidRPr="000D3EDD">
              <w:rPr>
                <w:color w:val="000000"/>
              </w:rPr>
              <w:t> </w:t>
            </w:r>
          </w:p>
        </w:tc>
      </w:tr>
      <w:tr w:rsidR="000E3591" w:rsidRPr="000D3EDD" w14:paraId="4E63CB2F"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59AAD301" w14:textId="77777777" w:rsidR="000E3591" w:rsidRPr="000D3EDD" w:rsidRDefault="000E3591" w:rsidP="000D3EDD">
            <w:pPr>
              <w:spacing w:line="276" w:lineRule="auto"/>
              <w:jc w:val="right"/>
              <w:rPr>
                <w:color w:val="000000"/>
              </w:rPr>
            </w:pPr>
            <w:r w:rsidRPr="000D3EDD">
              <w:rPr>
                <w:color w:val="000000"/>
              </w:rPr>
              <w:t>Higher managerial and professional occupations</w:t>
            </w:r>
          </w:p>
        </w:tc>
        <w:tc>
          <w:tcPr>
            <w:tcW w:w="0" w:type="auto"/>
            <w:tcBorders>
              <w:top w:val="nil"/>
              <w:left w:val="nil"/>
              <w:bottom w:val="single" w:sz="4" w:space="0" w:color="FFFFFF"/>
              <w:right w:val="single" w:sz="4" w:space="0" w:color="FFFFFF"/>
            </w:tcBorders>
            <w:shd w:val="clear" w:color="auto" w:fill="auto"/>
            <w:noWrap/>
            <w:vAlign w:val="bottom"/>
            <w:hideMark/>
          </w:tcPr>
          <w:p w14:paraId="096DA51C" w14:textId="77777777" w:rsidR="000E3591" w:rsidRPr="000D3EDD" w:rsidRDefault="000E3591" w:rsidP="000D3EDD">
            <w:pPr>
              <w:spacing w:line="276" w:lineRule="auto"/>
              <w:jc w:val="right"/>
              <w:rPr>
                <w:color w:val="000000"/>
              </w:rPr>
            </w:pPr>
            <w:r w:rsidRPr="000D3EDD">
              <w:rPr>
                <w:color w:val="000000"/>
              </w:rPr>
              <w:t>31.3</w:t>
            </w:r>
          </w:p>
        </w:tc>
      </w:tr>
      <w:tr w:rsidR="000E3591" w:rsidRPr="000D3EDD" w14:paraId="18082DD2"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6576A3C3" w14:textId="77777777" w:rsidR="000E3591" w:rsidRPr="000D3EDD" w:rsidRDefault="000E3591" w:rsidP="000D3EDD">
            <w:pPr>
              <w:spacing w:line="276" w:lineRule="auto"/>
              <w:jc w:val="right"/>
              <w:rPr>
                <w:color w:val="000000"/>
              </w:rPr>
            </w:pPr>
            <w:r w:rsidRPr="000D3EDD">
              <w:rPr>
                <w:color w:val="000000"/>
              </w:rPr>
              <w:t>Lower managerial and professional occupations</w:t>
            </w:r>
          </w:p>
        </w:tc>
        <w:tc>
          <w:tcPr>
            <w:tcW w:w="0" w:type="auto"/>
            <w:tcBorders>
              <w:top w:val="nil"/>
              <w:left w:val="nil"/>
              <w:bottom w:val="single" w:sz="4" w:space="0" w:color="FFFFFF"/>
              <w:right w:val="single" w:sz="4" w:space="0" w:color="FFFFFF"/>
            </w:tcBorders>
            <w:shd w:val="clear" w:color="auto" w:fill="auto"/>
            <w:noWrap/>
            <w:vAlign w:val="bottom"/>
            <w:hideMark/>
          </w:tcPr>
          <w:p w14:paraId="137559F1" w14:textId="77777777" w:rsidR="000E3591" w:rsidRPr="000D3EDD" w:rsidRDefault="000E3591" w:rsidP="000D3EDD">
            <w:pPr>
              <w:spacing w:line="276" w:lineRule="auto"/>
              <w:jc w:val="right"/>
              <w:rPr>
                <w:color w:val="000000"/>
              </w:rPr>
            </w:pPr>
            <w:r w:rsidRPr="000D3EDD">
              <w:rPr>
                <w:color w:val="000000"/>
              </w:rPr>
              <w:t>31.0</w:t>
            </w:r>
          </w:p>
        </w:tc>
      </w:tr>
      <w:tr w:rsidR="000E3591" w:rsidRPr="000D3EDD" w14:paraId="2ED106D3"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0CD29EC5" w14:textId="77777777" w:rsidR="000E3591" w:rsidRPr="000D3EDD" w:rsidRDefault="000E3591" w:rsidP="000D3EDD">
            <w:pPr>
              <w:spacing w:line="276" w:lineRule="auto"/>
              <w:jc w:val="right"/>
              <w:rPr>
                <w:color w:val="000000"/>
              </w:rPr>
            </w:pPr>
            <w:r w:rsidRPr="000D3EDD">
              <w:rPr>
                <w:color w:val="000000"/>
              </w:rPr>
              <w:t>Intermediate occupations (clerical, sales, service)</w:t>
            </w:r>
          </w:p>
        </w:tc>
        <w:tc>
          <w:tcPr>
            <w:tcW w:w="0" w:type="auto"/>
            <w:tcBorders>
              <w:top w:val="nil"/>
              <w:left w:val="nil"/>
              <w:bottom w:val="single" w:sz="4" w:space="0" w:color="FFFFFF"/>
              <w:right w:val="single" w:sz="4" w:space="0" w:color="FFFFFF"/>
            </w:tcBorders>
            <w:shd w:val="clear" w:color="auto" w:fill="auto"/>
            <w:noWrap/>
            <w:vAlign w:val="bottom"/>
            <w:hideMark/>
          </w:tcPr>
          <w:p w14:paraId="07219801" w14:textId="77777777" w:rsidR="000E3591" w:rsidRPr="000D3EDD" w:rsidRDefault="000E3591" w:rsidP="000D3EDD">
            <w:pPr>
              <w:spacing w:line="276" w:lineRule="auto"/>
              <w:jc w:val="right"/>
              <w:rPr>
                <w:color w:val="000000"/>
              </w:rPr>
            </w:pPr>
            <w:r w:rsidRPr="000D3EDD">
              <w:rPr>
                <w:color w:val="000000"/>
              </w:rPr>
              <w:t>11.6</w:t>
            </w:r>
          </w:p>
        </w:tc>
      </w:tr>
      <w:tr w:rsidR="000E3591" w:rsidRPr="000D3EDD" w14:paraId="79957EFD"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23FFA9CA" w14:textId="77777777" w:rsidR="000E3591" w:rsidRPr="000D3EDD" w:rsidRDefault="000E3591" w:rsidP="000D3EDD">
            <w:pPr>
              <w:spacing w:line="276" w:lineRule="auto"/>
              <w:jc w:val="right"/>
              <w:rPr>
                <w:color w:val="000000"/>
              </w:rPr>
            </w:pPr>
            <w:r w:rsidRPr="000D3EDD">
              <w:rPr>
                <w:color w:val="000000"/>
              </w:rPr>
              <w:t>Small employers and own account workers</w:t>
            </w:r>
          </w:p>
        </w:tc>
        <w:tc>
          <w:tcPr>
            <w:tcW w:w="0" w:type="auto"/>
            <w:tcBorders>
              <w:top w:val="nil"/>
              <w:left w:val="nil"/>
              <w:bottom w:val="single" w:sz="4" w:space="0" w:color="FFFFFF"/>
              <w:right w:val="single" w:sz="4" w:space="0" w:color="FFFFFF"/>
            </w:tcBorders>
            <w:shd w:val="clear" w:color="auto" w:fill="auto"/>
            <w:noWrap/>
            <w:vAlign w:val="bottom"/>
            <w:hideMark/>
          </w:tcPr>
          <w:p w14:paraId="22217BC2" w14:textId="77777777" w:rsidR="000E3591" w:rsidRPr="000D3EDD" w:rsidRDefault="000E3591" w:rsidP="000D3EDD">
            <w:pPr>
              <w:spacing w:line="276" w:lineRule="auto"/>
              <w:jc w:val="right"/>
              <w:rPr>
                <w:color w:val="000000"/>
              </w:rPr>
            </w:pPr>
            <w:r w:rsidRPr="000D3EDD">
              <w:rPr>
                <w:color w:val="000000"/>
              </w:rPr>
              <w:t>5.3</w:t>
            </w:r>
          </w:p>
        </w:tc>
      </w:tr>
      <w:tr w:rsidR="000E3591" w:rsidRPr="000D3EDD" w14:paraId="08851F9D"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7735B4FB" w14:textId="77777777" w:rsidR="000E3591" w:rsidRPr="000D3EDD" w:rsidRDefault="000E3591" w:rsidP="000D3EDD">
            <w:pPr>
              <w:spacing w:line="276" w:lineRule="auto"/>
              <w:jc w:val="right"/>
              <w:rPr>
                <w:color w:val="000000"/>
              </w:rPr>
            </w:pPr>
            <w:r w:rsidRPr="000D3EDD">
              <w:rPr>
                <w:color w:val="000000"/>
              </w:rPr>
              <w:t>Lower supervisory and technical occupations</w:t>
            </w:r>
          </w:p>
        </w:tc>
        <w:tc>
          <w:tcPr>
            <w:tcW w:w="0" w:type="auto"/>
            <w:tcBorders>
              <w:top w:val="nil"/>
              <w:left w:val="nil"/>
              <w:bottom w:val="single" w:sz="4" w:space="0" w:color="FFFFFF"/>
              <w:right w:val="single" w:sz="4" w:space="0" w:color="FFFFFF"/>
            </w:tcBorders>
            <w:shd w:val="clear" w:color="auto" w:fill="auto"/>
            <w:noWrap/>
            <w:vAlign w:val="bottom"/>
            <w:hideMark/>
          </w:tcPr>
          <w:p w14:paraId="626CF1CD" w14:textId="77777777" w:rsidR="000E3591" w:rsidRPr="000D3EDD" w:rsidRDefault="000E3591" w:rsidP="000D3EDD">
            <w:pPr>
              <w:spacing w:line="276" w:lineRule="auto"/>
              <w:jc w:val="right"/>
              <w:rPr>
                <w:color w:val="000000"/>
              </w:rPr>
            </w:pPr>
            <w:r w:rsidRPr="000D3EDD">
              <w:rPr>
                <w:color w:val="000000"/>
              </w:rPr>
              <w:t>8.5</w:t>
            </w:r>
          </w:p>
        </w:tc>
      </w:tr>
      <w:tr w:rsidR="000E3591" w:rsidRPr="000D3EDD" w14:paraId="1D5E990D"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761A9137" w14:textId="77777777" w:rsidR="000E3591" w:rsidRPr="000D3EDD" w:rsidRDefault="000E3591" w:rsidP="000D3EDD">
            <w:pPr>
              <w:spacing w:line="276" w:lineRule="auto"/>
              <w:jc w:val="right"/>
              <w:rPr>
                <w:color w:val="000000"/>
              </w:rPr>
            </w:pPr>
            <w:r w:rsidRPr="000D3EDD">
              <w:rPr>
                <w:color w:val="000000"/>
              </w:rPr>
              <w:t>Semi-routine occupations</w:t>
            </w:r>
          </w:p>
        </w:tc>
        <w:tc>
          <w:tcPr>
            <w:tcW w:w="0" w:type="auto"/>
            <w:tcBorders>
              <w:top w:val="nil"/>
              <w:left w:val="nil"/>
              <w:bottom w:val="single" w:sz="4" w:space="0" w:color="FFFFFF"/>
              <w:right w:val="single" w:sz="4" w:space="0" w:color="FFFFFF"/>
            </w:tcBorders>
            <w:shd w:val="clear" w:color="auto" w:fill="auto"/>
            <w:noWrap/>
            <w:vAlign w:val="bottom"/>
            <w:hideMark/>
          </w:tcPr>
          <w:p w14:paraId="7441DA3F" w14:textId="77777777" w:rsidR="000E3591" w:rsidRPr="000D3EDD" w:rsidRDefault="000E3591" w:rsidP="000D3EDD">
            <w:pPr>
              <w:spacing w:line="276" w:lineRule="auto"/>
              <w:jc w:val="right"/>
              <w:rPr>
                <w:color w:val="000000"/>
              </w:rPr>
            </w:pPr>
            <w:r w:rsidRPr="000D3EDD">
              <w:rPr>
                <w:color w:val="000000"/>
              </w:rPr>
              <w:t>9.2</w:t>
            </w:r>
          </w:p>
        </w:tc>
      </w:tr>
      <w:tr w:rsidR="000E3591" w:rsidRPr="000D3EDD" w14:paraId="0CB9D1C6"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51224C6E" w14:textId="77777777" w:rsidR="000E3591" w:rsidRPr="000D3EDD" w:rsidRDefault="000E3591" w:rsidP="000D3EDD">
            <w:pPr>
              <w:spacing w:line="276" w:lineRule="auto"/>
              <w:jc w:val="right"/>
              <w:rPr>
                <w:color w:val="000000"/>
              </w:rPr>
            </w:pPr>
            <w:r w:rsidRPr="000D3EDD">
              <w:rPr>
                <w:color w:val="000000"/>
              </w:rPr>
              <w:t>Routine occupations</w:t>
            </w:r>
          </w:p>
        </w:tc>
        <w:tc>
          <w:tcPr>
            <w:tcW w:w="0" w:type="auto"/>
            <w:tcBorders>
              <w:top w:val="nil"/>
              <w:left w:val="nil"/>
              <w:bottom w:val="single" w:sz="4" w:space="0" w:color="FFFFFF"/>
              <w:right w:val="single" w:sz="4" w:space="0" w:color="FFFFFF"/>
            </w:tcBorders>
            <w:shd w:val="clear" w:color="auto" w:fill="auto"/>
            <w:noWrap/>
            <w:vAlign w:val="bottom"/>
            <w:hideMark/>
          </w:tcPr>
          <w:p w14:paraId="2BDB0775" w14:textId="77777777" w:rsidR="000E3591" w:rsidRPr="000D3EDD" w:rsidRDefault="000E3591" w:rsidP="000D3EDD">
            <w:pPr>
              <w:spacing w:line="276" w:lineRule="auto"/>
              <w:jc w:val="right"/>
              <w:rPr>
                <w:color w:val="000000"/>
              </w:rPr>
            </w:pPr>
            <w:r w:rsidRPr="000D3EDD">
              <w:rPr>
                <w:color w:val="000000"/>
              </w:rPr>
              <w:t>2.5</w:t>
            </w:r>
          </w:p>
        </w:tc>
      </w:tr>
      <w:tr w:rsidR="000E3591" w:rsidRPr="000D3EDD" w14:paraId="591053B3"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4FB14A3B" w14:textId="77777777" w:rsidR="000E3591" w:rsidRPr="000D3EDD" w:rsidRDefault="000E3591" w:rsidP="000D3EDD">
            <w:pPr>
              <w:spacing w:line="276" w:lineRule="auto"/>
              <w:jc w:val="right"/>
              <w:rPr>
                <w:color w:val="000000"/>
              </w:rPr>
            </w:pPr>
            <w:r w:rsidRPr="000D3EDD">
              <w:rPr>
                <w:color w:val="000000"/>
              </w:rPr>
              <w:t>Never worked or long-term unemployed</w:t>
            </w:r>
          </w:p>
        </w:tc>
        <w:tc>
          <w:tcPr>
            <w:tcW w:w="0" w:type="auto"/>
            <w:tcBorders>
              <w:top w:val="nil"/>
              <w:left w:val="nil"/>
              <w:bottom w:val="single" w:sz="4" w:space="0" w:color="FFFFFF"/>
              <w:right w:val="single" w:sz="4" w:space="0" w:color="FFFFFF"/>
            </w:tcBorders>
            <w:shd w:val="clear" w:color="auto" w:fill="auto"/>
            <w:noWrap/>
            <w:vAlign w:val="bottom"/>
            <w:hideMark/>
          </w:tcPr>
          <w:p w14:paraId="5F79A734" w14:textId="77777777" w:rsidR="000E3591" w:rsidRPr="000D3EDD" w:rsidRDefault="000E3591" w:rsidP="000D3EDD">
            <w:pPr>
              <w:spacing w:line="276" w:lineRule="auto"/>
              <w:jc w:val="right"/>
              <w:rPr>
                <w:color w:val="000000"/>
              </w:rPr>
            </w:pPr>
            <w:r w:rsidRPr="000D3EDD">
              <w:rPr>
                <w:color w:val="000000"/>
              </w:rPr>
              <w:t>0.7</w:t>
            </w:r>
          </w:p>
        </w:tc>
      </w:tr>
      <w:tr w:rsidR="000E3591" w:rsidRPr="000D3EDD" w14:paraId="7BB67CFF"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6267E3C0" w14:textId="77777777" w:rsidR="000E3591" w:rsidRPr="000D3EDD" w:rsidRDefault="000E3591" w:rsidP="000D3EDD">
            <w:pPr>
              <w:spacing w:line="276" w:lineRule="auto"/>
              <w:jc w:val="right"/>
              <w:rPr>
                <w:b/>
                <w:bCs/>
                <w:color w:val="000000"/>
              </w:rPr>
            </w:pPr>
            <w:r w:rsidRPr="000D3EDD">
              <w:rPr>
                <w:b/>
                <w:bCs/>
                <w:color w:val="000000"/>
              </w:rPr>
              <w:t>Parental education</w:t>
            </w:r>
          </w:p>
        </w:tc>
        <w:tc>
          <w:tcPr>
            <w:tcW w:w="0" w:type="auto"/>
            <w:tcBorders>
              <w:top w:val="nil"/>
              <w:left w:val="nil"/>
              <w:bottom w:val="single" w:sz="4" w:space="0" w:color="FFFFFF"/>
              <w:right w:val="single" w:sz="4" w:space="0" w:color="FFFFFF"/>
            </w:tcBorders>
            <w:shd w:val="clear" w:color="auto" w:fill="auto"/>
            <w:noWrap/>
            <w:vAlign w:val="center"/>
            <w:hideMark/>
          </w:tcPr>
          <w:p w14:paraId="469921E7" w14:textId="77777777" w:rsidR="000E3591" w:rsidRPr="000D3EDD" w:rsidRDefault="000E3591" w:rsidP="000D3EDD">
            <w:pPr>
              <w:spacing w:line="276" w:lineRule="auto"/>
              <w:jc w:val="right"/>
              <w:rPr>
                <w:color w:val="000000"/>
              </w:rPr>
            </w:pPr>
            <w:r w:rsidRPr="000D3EDD">
              <w:rPr>
                <w:color w:val="000000"/>
              </w:rPr>
              <w:t> </w:t>
            </w:r>
          </w:p>
        </w:tc>
      </w:tr>
      <w:tr w:rsidR="000E3591" w:rsidRPr="000D3EDD" w14:paraId="0AA589B2"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bottom"/>
            <w:hideMark/>
          </w:tcPr>
          <w:p w14:paraId="22E639ED" w14:textId="77777777" w:rsidR="000E3591" w:rsidRPr="000D3EDD" w:rsidRDefault="000E3591" w:rsidP="000D3EDD">
            <w:pPr>
              <w:spacing w:line="276" w:lineRule="auto"/>
              <w:jc w:val="right"/>
              <w:rPr>
                <w:color w:val="000000"/>
              </w:rPr>
            </w:pPr>
            <w:r w:rsidRPr="000D3EDD">
              <w:rPr>
                <w:color w:val="000000"/>
              </w:rPr>
              <w:t>Higher education</w:t>
            </w:r>
          </w:p>
        </w:tc>
        <w:tc>
          <w:tcPr>
            <w:tcW w:w="0" w:type="auto"/>
            <w:tcBorders>
              <w:top w:val="nil"/>
              <w:left w:val="nil"/>
              <w:bottom w:val="single" w:sz="4" w:space="0" w:color="FFFFFF"/>
              <w:right w:val="single" w:sz="4" w:space="0" w:color="FFFFFF"/>
            </w:tcBorders>
            <w:shd w:val="clear" w:color="auto" w:fill="auto"/>
            <w:noWrap/>
            <w:vAlign w:val="bottom"/>
            <w:hideMark/>
          </w:tcPr>
          <w:p w14:paraId="7548F32A" w14:textId="77777777" w:rsidR="000E3591" w:rsidRPr="000D3EDD" w:rsidRDefault="000E3591" w:rsidP="000D3EDD">
            <w:pPr>
              <w:spacing w:line="276" w:lineRule="auto"/>
              <w:jc w:val="right"/>
              <w:rPr>
                <w:color w:val="000000"/>
              </w:rPr>
            </w:pPr>
            <w:r w:rsidRPr="000D3EDD">
              <w:rPr>
                <w:color w:val="000000"/>
              </w:rPr>
              <w:t>66.9</w:t>
            </w:r>
          </w:p>
        </w:tc>
      </w:tr>
      <w:tr w:rsidR="000E3591" w:rsidRPr="000D3EDD" w14:paraId="7FC373F5"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bottom"/>
            <w:hideMark/>
          </w:tcPr>
          <w:p w14:paraId="0BA039D3" w14:textId="77777777" w:rsidR="000E3591" w:rsidRPr="000D3EDD" w:rsidRDefault="000E3591" w:rsidP="000D3EDD">
            <w:pPr>
              <w:spacing w:line="276" w:lineRule="auto"/>
              <w:jc w:val="right"/>
              <w:rPr>
                <w:color w:val="000000"/>
              </w:rPr>
            </w:pPr>
            <w:r w:rsidRPr="000D3EDD">
              <w:rPr>
                <w:color w:val="000000"/>
              </w:rPr>
              <w:t>Not higher education</w:t>
            </w:r>
          </w:p>
        </w:tc>
        <w:tc>
          <w:tcPr>
            <w:tcW w:w="0" w:type="auto"/>
            <w:tcBorders>
              <w:top w:val="nil"/>
              <w:left w:val="nil"/>
              <w:bottom w:val="single" w:sz="4" w:space="0" w:color="FFFFFF"/>
              <w:right w:val="single" w:sz="4" w:space="0" w:color="FFFFFF"/>
            </w:tcBorders>
            <w:shd w:val="clear" w:color="auto" w:fill="auto"/>
            <w:noWrap/>
            <w:vAlign w:val="bottom"/>
            <w:hideMark/>
          </w:tcPr>
          <w:p w14:paraId="1CD7040F" w14:textId="77777777" w:rsidR="000E3591" w:rsidRPr="000D3EDD" w:rsidRDefault="000E3591" w:rsidP="000D3EDD">
            <w:pPr>
              <w:spacing w:line="276" w:lineRule="auto"/>
              <w:jc w:val="right"/>
              <w:rPr>
                <w:color w:val="000000"/>
              </w:rPr>
            </w:pPr>
            <w:r w:rsidRPr="000D3EDD">
              <w:rPr>
                <w:color w:val="000000"/>
              </w:rPr>
              <w:t>33.1</w:t>
            </w:r>
          </w:p>
        </w:tc>
      </w:tr>
      <w:tr w:rsidR="000E3591" w:rsidRPr="000D3EDD" w14:paraId="2C9CE983"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08448D45" w14:textId="77777777" w:rsidR="000E3591" w:rsidRPr="000D3EDD" w:rsidRDefault="000E3591" w:rsidP="000D3EDD">
            <w:pPr>
              <w:spacing w:line="276" w:lineRule="auto"/>
              <w:jc w:val="right"/>
              <w:rPr>
                <w:b/>
                <w:bCs/>
                <w:color w:val="000000"/>
              </w:rPr>
            </w:pPr>
            <w:r w:rsidRPr="000D3EDD">
              <w:rPr>
                <w:b/>
                <w:bCs/>
                <w:color w:val="000000"/>
              </w:rPr>
              <w:t>Parental home: higher education participation</w:t>
            </w:r>
          </w:p>
        </w:tc>
        <w:tc>
          <w:tcPr>
            <w:tcW w:w="0" w:type="auto"/>
            <w:tcBorders>
              <w:top w:val="nil"/>
              <w:left w:val="nil"/>
              <w:bottom w:val="single" w:sz="4" w:space="0" w:color="FFFFFF"/>
              <w:right w:val="single" w:sz="4" w:space="0" w:color="FFFFFF"/>
            </w:tcBorders>
            <w:shd w:val="clear" w:color="auto" w:fill="auto"/>
            <w:noWrap/>
            <w:vAlign w:val="bottom"/>
            <w:hideMark/>
          </w:tcPr>
          <w:p w14:paraId="48EC4EEE" w14:textId="77777777" w:rsidR="000E3591" w:rsidRPr="000D3EDD" w:rsidRDefault="000E3591" w:rsidP="000D3EDD">
            <w:pPr>
              <w:spacing w:line="276" w:lineRule="auto"/>
              <w:rPr>
                <w:color w:val="000000"/>
              </w:rPr>
            </w:pPr>
            <w:r w:rsidRPr="000D3EDD">
              <w:rPr>
                <w:color w:val="000000"/>
              </w:rPr>
              <w:t> </w:t>
            </w:r>
          </w:p>
        </w:tc>
      </w:tr>
      <w:tr w:rsidR="000E3591" w:rsidRPr="000D3EDD" w14:paraId="66C44043"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1AB71365" w14:textId="77777777" w:rsidR="000E3591" w:rsidRPr="000D3EDD" w:rsidRDefault="000E3591" w:rsidP="000D3EDD">
            <w:pPr>
              <w:spacing w:line="276" w:lineRule="auto"/>
              <w:jc w:val="right"/>
              <w:rPr>
                <w:color w:val="000000"/>
              </w:rPr>
            </w:pPr>
            <w:r w:rsidRPr="000D3EDD">
              <w:rPr>
                <w:color w:val="000000"/>
              </w:rPr>
              <w:t>Low participation neighbourhood</w:t>
            </w:r>
          </w:p>
        </w:tc>
        <w:tc>
          <w:tcPr>
            <w:tcW w:w="0" w:type="auto"/>
            <w:tcBorders>
              <w:top w:val="nil"/>
              <w:left w:val="nil"/>
              <w:bottom w:val="single" w:sz="4" w:space="0" w:color="FFFFFF"/>
              <w:right w:val="single" w:sz="4" w:space="0" w:color="FFFFFF"/>
            </w:tcBorders>
            <w:shd w:val="clear" w:color="auto" w:fill="auto"/>
            <w:noWrap/>
            <w:vAlign w:val="bottom"/>
            <w:hideMark/>
          </w:tcPr>
          <w:p w14:paraId="7C6FC422" w14:textId="77777777" w:rsidR="000E3591" w:rsidRPr="000D3EDD" w:rsidRDefault="000E3591" w:rsidP="000D3EDD">
            <w:pPr>
              <w:spacing w:line="276" w:lineRule="auto"/>
              <w:jc w:val="right"/>
              <w:rPr>
                <w:color w:val="000000"/>
              </w:rPr>
            </w:pPr>
            <w:r w:rsidRPr="000D3EDD">
              <w:rPr>
                <w:color w:val="000000"/>
              </w:rPr>
              <w:t>7.6</w:t>
            </w:r>
          </w:p>
        </w:tc>
      </w:tr>
      <w:tr w:rsidR="000E3591" w:rsidRPr="000D3EDD" w14:paraId="463EB303" w14:textId="77777777" w:rsidTr="00FA50A2">
        <w:trPr>
          <w:trHeight w:val="320"/>
        </w:trPr>
        <w:tc>
          <w:tcPr>
            <w:tcW w:w="0" w:type="auto"/>
            <w:tcBorders>
              <w:top w:val="nil"/>
              <w:left w:val="single" w:sz="4" w:space="0" w:color="FFFFFF"/>
              <w:bottom w:val="single" w:sz="4" w:space="0" w:color="000000"/>
              <w:right w:val="single" w:sz="4" w:space="0" w:color="FFFFFF"/>
            </w:tcBorders>
            <w:shd w:val="clear" w:color="auto" w:fill="auto"/>
            <w:noWrap/>
            <w:vAlign w:val="center"/>
            <w:hideMark/>
          </w:tcPr>
          <w:p w14:paraId="11E24A8C" w14:textId="77777777" w:rsidR="000E3591" w:rsidRPr="000D3EDD" w:rsidRDefault="000E3591" w:rsidP="000D3EDD">
            <w:pPr>
              <w:spacing w:line="276" w:lineRule="auto"/>
              <w:jc w:val="right"/>
              <w:rPr>
                <w:color w:val="000000"/>
              </w:rPr>
            </w:pPr>
            <w:proofErr w:type="gramStart"/>
            <w:r w:rsidRPr="000D3EDD">
              <w:rPr>
                <w:color w:val="000000"/>
              </w:rPr>
              <w:t>Other</w:t>
            </w:r>
            <w:proofErr w:type="gramEnd"/>
            <w:r w:rsidRPr="000D3EDD">
              <w:rPr>
                <w:color w:val="000000"/>
              </w:rPr>
              <w:t xml:space="preserve"> neighbourhood</w:t>
            </w:r>
          </w:p>
        </w:tc>
        <w:tc>
          <w:tcPr>
            <w:tcW w:w="0" w:type="auto"/>
            <w:tcBorders>
              <w:top w:val="nil"/>
              <w:left w:val="nil"/>
              <w:bottom w:val="single" w:sz="4" w:space="0" w:color="000000"/>
              <w:right w:val="single" w:sz="4" w:space="0" w:color="FFFFFF"/>
            </w:tcBorders>
            <w:shd w:val="clear" w:color="auto" w:fill="auto"/>
            <w:noWrap/>
            <w:vAlign w:val="center"/>
            <w:hideMark/>
          </w:tcPr>
          <w:p w14:paraId="3152882B" w14:textId="77777777" w:rsidR="000E3591" w:rsidRPr="000D3EDD" w:rsidRDefault="000E3591" w:rsidP="000D3EDD">
            <w:pPr>
              <w:spacing w:line="276" w:lineRule="auto"/>
              <w:jc w:val="right"/>
              <w:rPr>
                <w:color w:val="000000"/>
              </w:rPr>
            </w:pPr>
            <w:r w:rsidRPr="000D3EDD">
              <w:rPr>
                <w:color w:val="000000"/>
              </w:rPr>
              <w:t>92.4</w:t>
            </w:r>
          </w:p>
        </w:tc>
      </w:tr>
    </w:tbl>
    <w:p w14:paraId="6DC9FA98" w14:textId="77777777" w:rsidR="000E3591" w:rsidRPr="000D3EDD" w:rsidRDefault="000E3591" w:rsidP="000D3EDD">
      <w:pPr>
        <w:spacing w:line="276" w:lineRule="auto"/>
        <w:textAlignment w:val="baseline"/>
        <w:rPr>
          <w:b/>
          <w:bCs/>
          <w:color w:val="000000" w:themeColor="text1"/>
        </w:rPr>
      </w:pPr>
    </w:p>
    <w:p w14:paraId="58963C01" w14:textId="1085A2EC" w:rsidR="00A6640B" w:rsidRPr="000D3EDD" w:rsidRDefault="000E3591" w:rsidP="000D3EDD">
      <w:pPr>
        <w:spacing w:line="276" w:lineRule="auto"/>
        <w:textAlignment w:val="baseline"/>
        <w:rPr>
          <w:color w:val="000000" w:themeColor="text1"/>
        </w:rPr>
      </w:pPr>
      <w:r w:rsidRPr="000D3EDD">
        <w:rPr>
          <w:b/>
          <w:bCs/>
          <w:color w:val="000000" w:themeColor="text1"/>
        </w:rPr>
        <w:t>T</w:t>
      </w:r>
      <w:r w:rsidR="00E552ED" w:rsidRPr="000D3EDD">
        <w:rPr>
          <w:b/>
          <w:bCs/>
          <w:color w:val="000000" w:themeColor="text1"/>
        </w:rPr>
        <w:t xml:space="preserve">able </w:t>
      </w:r>
      <w:r w:rsidRPr="000D3EDD">
        <w:rPr>
          <w:b/>
          <w:bCs/>
          <w:color w:val="000000" w:themeColor="text1"/>
        </w:rPr>
        <w:t>2</w:t>
      </w:r>
      <w:r w:rsidRPr="000D3EDD">
        <w:rPr>
          <w:color w:val="000000" w:themeColor="text1"/>
        </w:rPr>
        <w:t>. Demographic characteristics of PhD holders (</w:t>
      </w:r>
      <w:r w:rsidRPr="000D3EDD">
        <w:rPr>
          <w:i/>
          <w:iCs/>
          <w:color w:val="000000" w:themeColor="text1"/>
        </w:rPr>
        <w:t>n</w:t>
      </w:r>
      <w:r w:rsidRPr="000D3EDD">
        <w:rPr>
          <w:color w:val="000000" w:themeColor="text1"/>
        </w:rPr>
        <w:t>=4,731)</w:t>
      </w:r>
    </w:p>
    <w:tbl>
      <w:tblPr>
        <w:tblW w:w="0" w:type="auto"/>
        <w:tblLook w:val="04A0" w:firstRow="1" w:lastRow="0" w:firstColumn="1" w:lastColumn="0" w:noHBand="0" w:noVBand="1"/>
      </w:tblPr>
      <w:tblGrid>
        <w:gridCol w:w="2916"/>
        <w:gridCol w:w="1326"/>
        <w:gridCol w:w="1164"/>
        <w:gridCol w:w="1289"/>
        <w:gridCol w:w="1338"/>
        <w:gridCol w:w="977"/>
      </w:tblGrid>
      <w:tr w:rsidR="00A6640B" w:rsidRPr="000D3EDD" w14:paraId="6A6F1697" w14:textId="77777777" w:rsidTr="00FA50A2">
        <w:trPr>
          <w:trHeight w:val="1040"/>
        </w:trPr>
        <w:tc>
          <w:tcPr>
            <w:tcW w:w="0" w:type="auto"/>
            <w:tcBorders>
              <w:top w:val="single" w:sz="4" w:space="0" w:color="000000"/>
              <w:left w:val="single" w:sz="4" w:space="0" w:color="FFFFFF"/>
              <w:bottom w:val="single" w:sz="4" w:space="0" w:color="000000"/>
              <w:right w:val="single" w:sz="4" w:space="0" w:color="FFFFFF"/>
            </w:tcBorders>
            <w:shd w:val="clear" w:color="auto" w:fill="auto"/>
            <w:noWrap/>
            <w:vAlign w:val="center"/>
            <w:hideMark/>
          </w:tcPr>
          <w:p w14:paraId="1688DA5E" w14:textId="77777777" w:rsidR="00A6640B" w:rsidRPr="000D3EDD" w:rsidRDefault="00A6640B" w:rsidP="000D3EDD">
            <w:pPr>
              <w:spacing w:line="276" w:lineRule="auto"/>
              <w:jc w:val="right"/>
              <w:rPr>
                <w:color w:val="000000"/>
              </w:rPr>
            </w:pPr>
            <w:r w:rsidRPr="000D3EDD">
              <w:rPr>
                <w:color w:val="000000"/>
              </w:rPr>
              <w:lastRenderedPageBreak/>
              <w:t> </w:t>
            </w:r>
          </w:p>
        </w:tc>
        <w:tc>
          <w:tcPr>
            <w:tcW w:w="0" w:type="auto"/>
            <w:tcBorders>
              <w:top w:val="single" w:sz="4" w:space="0" w:color="000000"/>
              <w:left w:val="nil"/>
              <w:bottom w:val="single" w:sz="4" w:space="0" w:color="000000"/>
              <w:right w:val="single" w:sz="4" w:space="0" w:color="FFFFFF"/>
            </w:tcBorders>
            <w:shd w:val="clear" w:color="auto" w:fill="auto"/>
            <w:vAlign w:val="center"/>
            <w:hideMark/>
          </w:tcPr>
          <w:p w14:paraId="1B2E001F" w14:textId="77777777" w:rsidR="00A6640B" w:rsidRPr="000D3EDD" w:rsidRDefault="00A6640B" w:rsidP="000D3EDD">
            <w:pPr>
              <w:spacing w:line="276" w:lineRule="auto"/>
              <w:jc w:val="center"/>
              <w:rPr>
                <w:b/>
                <w:bCs/>
                <w:color w:val="000000"/>
              </w:rPr>
            </w:pPr>
            <w:r w:rsidRPr="000D3EDD">
              <w:rPr>
                <w:b/>
                <w:bCs/>
                <w:color w:val="000000"/>
              </w:rPr>
              <w:t>Arts &amp; Humanities</w:t>
            </w:r>
          </w:p>
        </w:tc>
        <w:tc>
          <w:tcPr>
            <w:tcW w:w="0" w:type="auto"/>
            <w:tcBorders>
              <w:top w:val="single" w:sz="4" w:space="0" w:color="000000"/>
              <w:left w:val="nil"/>
              <w:bottom w:val="single" w:sz="4" w:space="0" w:color="000000"/>
              <w:right w:val="single" w:sz="4" w:space="0" w:color="FFFFFF"/>
            </w:tcBorders>
            <w:shd w:val="clear" w:color="auto" w:fill="auto"/>
            <w:vAlign w:val="center"/>
            <w:hideMark/>
          </w:tcPr>
          <w:p w14:paraId="4EC77309" w14:textId="77777777" w:rsidR="00A6640B" w:rsidRPr="000D3EDD" w:rsidRDefault="00A6640B" w:rsidP="000D3EDD">
            <w:pPr>
              <w:spacing w:line="276" w:lineRule="auto"/>
              <w:jc w:val="center"/>
              <w:rPr>
                <w:b/>
                <w:bCs/>
                <w:color w:val="000000"/>
              </w:rPr>
            </w:pPr>
            <w:r w:rsidRPr="000D3EDD">
              <w:rPr>
                <w:b/>
                <w:bCs/>
                <w:color w:val="000000"/>
              </w:rPr>
              <w:t>Biological sciences</w:t>
            </w:r>
          </w:p>
        </w:tc>
        <w:tc>
          <w:tcPr>
            <w:tcW w:w="0" w:type="auto"/>
            <w:tcBorders>
              <w:top w:val="single" w:sz="4" w:space="0" w:color="000000"/>
              <w:left w:val="nil"/>
              <w:bottom w:val="single" w:sz="4" w:space="0" w:color="000000"/>
              <w:right w:val="single" w:sz="4" w:space="0" w:color="FFFFFF"/>
            </w:tcBorders>
            <w:shd w:val="clear" w:color="auto" w:fill="auto"/>
            <w:vAlign w:val="center"/>
            <w:hideMark/>
          </w:tcPr>
          <w:p w14:paraId="54950EF0" w14:textId="77777777" w:rsidR="00A6640B" w:rsidRPr="000D3EDD" w:rsidRDefault="00A6640B" w:rsidP="000D3EDD">
            <w:pPr>
              <w:spacing w:line="276" w:lineRule="auto"/>
              <w:jc w:val="center"/>
              <w:rPr>
                <w:b/>
                <w:bCs/>
                <w:color w:val="000000"/>
              </w:rPr>
            </w:pPr>
            <w:r w:rsidRPr="000D3EDD">
              <w:rPr>
                <w:b/>
                <w:bCs/>
                <w:color w:val="000000"/>
              </w:rPr>
              <w:t xml:space="preserve">Biomedical sciences </w:t>
            </w:r>
          </w:p>
        </w:tc>
        <w:tc>
          <w:tcPr>
            <w:tcW w:w="0" w:type="auto"/>
            <w:tcBorders>
              <w:top w:val="single" w:sz="4" w:space="0" w:color="000000"/>
              <w:left w:val="nil"/>
              <w:bottom w:val="single" w:sz="4" w:space="0" w:color="000000"/>
              <w:right w:val="single" w:sz="4" w:space="0" w:color="FFFFFF"/>
            </w:tcBorders>
            <w:shd w:val="clear" w:color="auto" w:fill="auto"/>
            <w:vAlign w:val="center"/>
            <w:hideMark/>
          </w:tcPr>
          <w:p w14:paraId="756AF1E3" w14:textId="77777777" w:rsidR="00A6640B" w:rsidRPr="000D3EDD" w:rsidRDefault="00A6640B" w:rsidP="000D3EDD">
            <w:pPr>
              <w:spacing w:line="276" w:lineRule="auto"/>
              <w:jc w:val="center"/>
              <w:rPr>
                <w:b/>
                <w:bCs/>
                <w:color w:val="000000"/>
              </w:rPr>
            </w:pPr>
            <w:r w:rsidRPr="000D3EDD">
              <w:rPr>
                <w:b/>
                <w:bCs/>
                <w:color w:val="000000"/>
              </w:rPr>
              <w:t>Physical sciences &amp; engineering</w:t>
            </w:r>
          </w:p>
        </w:tc>
        <w:tc>
          <w:tcPr>
            <w:tcW w:w="0" w:type="auto"/>
            <w:tcBorders>
              <w:top w:val="single" w:sz="4" w:space="0" w:color="000000"/>
              <w:left w:val="nil"/>
              <w:bottom w:val="single" w:sz="4" w:space="0" w:color="000000"/>
              <w:right w:val="single" w:sz="4" w:space="0" w:color="FFFFFF"/>
            </w:tcBorders>
            <w:shd w:val="clear" w:color="auto" w:fill="auto"/>
            <w:vAlign w:val="center"/>
            <w:hideMark/>
          </w:tcPr>
          <w:p w14:paraId="22CE9677" w14:textId="035C6E29" w:rsidR="00A6640B" w:rsidRPr="000D3EDD" w:rsidRDefault="00A6640B" w:rsidP="000D3EDD">
            <w:pPr>
              <w:spacing w:line="276" w:lineRule="auto"/>
              <w:jc w:val="center"/>
              <w:rPr>
                <w:b/>
                <w:bCs/>
                <w:color w:val="000000"/>
              </w:rPr>
            </w:pPr>
            <w:r w:rsidRPr="000D3EDD">
              <w:rPr>
                <w:b/>
                <w:bCs/>
                <w:color w:val="000000"/>
              </w:rPr>
              <w:t>Social sciences</w:t>
            </w:r>
          </w:p>
        </w:tc>
      </w:tr>
      <w:tr w:rsidR="00A6640B" w:rsidRPr="000D3EDD" w14:paraId="5898C8F3"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42C28402" w14:textId="77777777" w:rsidR="00A6640B" w:rsidRPr="000D3EDD" w:rsidRDefault="00A6640B" w:rsidP="000D3EDD">
            <w:pPr>
              <w:spacing w:line="276" w:lineRule="auto"/>
              <w:jc w:val="right"/>
              <w:rPr>
                <w:b/>
                <w:bCs/>
                <w:color w:val="000000"/>
              </w:rPr>
            </w:pPr>
            <w:r w:rsidRPr="000D3EDD">
              <w:rPr>
                <w:b/>
                <w:bCs/>
                <w:color w:val="000000"/>
              </w:rPr>
              <w:t>Activity</w:t>
            </w:r>
          </w:p>
        </w:tc>
        <w:tc>
          <w:tcPr>
            <w:tcW w:w="0" w:type="auto"/>
            <w:tcBorders>
              <w:top w:val="nil"/>
              <w:left w:val="nil"/>
              <w:bottom w:val="single" w:sz="4" w:space="0" w:color="FFFFFF"/>
              <w:right w:val="single" w:sz="4" w:space="0" w:color="FFFFFF"/>
            </w:tcBorders>
            <w:shd w:val="clear" w:color="auto" w:fill="auto"/>
            <w:vAlign w:val="center"/>
            <w:hideMark/>
          </w:tcPr>
          <w:p w14:paraId="3B4F22CF" w14:textId="77777777" w:rsidR="00A6640B" w:rsidRPr="000D3EDD" w:rsidRDefault="00A6640B" w:rsidP="000D3EDD">
            <w:pPr>
              <w:spacing w:line="276" w:lineRule="auto"/>
              <w:jc w:val="center"/>
              <w:rPr>
                <w:b/>
                <w:bCs/>
                <w:color w:val="000000"/>
              </w:rPr>
            </w:pPr>
            <w:r w:rsidRPr="000D3EDD">
              <w:rPr>
                <w:b/>
                <w:bCs/>
                <w:color w:val="000000"/>
              </w:rPr>
              <w:t> </w:t>
            </w:r>
          </w:p>
        </w:tc>
        <w:tc>
          <w:tcPr>
            <w:tcW w:w="0" w:type="auto"/>
            <w:tcBorders>
              <w:top w:val="nil"/>
              <w:left w:val="nil"/>
              <w:bottom w:val="single" w:sz="4" w:space="0" w:color="FFFFFF"/>
              <w:right w:val="single" w:sz="4" w:space="0" w:color="FFFFFF"/>
            </w:tcBorders>
            <w:shd w:val="clear" w:color="auto" w:fill="auto"/>
            <w:vAlign w:val="center"/>
            <w:hideMark/>
          </w:tcPr>
          <w:p w14:paraId="65F7301F" w14:textId="77777777" w:rsidR="00A6640B" w:rsidRPr="000D3EDD" w:rsidRDefault="00A6640B" w:rsidP="000D3EDD">
            <w:pPr>
              <w:spacing w:line="276" w:lineRule="auto"/>
              <w:jc w:val="center"/>
              <w:rPr>
                <w:b/>
                <w:bCs/>
                <w:color w:val="000000"/>
              </w:rPr>
            </w:pPr>
            <w:r w:rsidRPr="000D3EDD">
              <w:rPr>
                <w:b/>
                <w:bCs/>
                <w:color w:val="000000"/>
              </w:rPr>
              <w:t> </w:t>
            </w:r>
          </w:p>
        </w:tc>
        <w:tc>
          <w:tcPr>
            <w:tcW w:w="0" w:type="auto"/>
            <w:tcBorders>
              <w:top w:val="nil"/>
              <w:left w:val="nil"/>
              <w:bottom w:val="single" w:sz="4" w:space="0" w:color="FFFFFF"/>
              <w:right w:val="single" w:sz="4" w:space="0" w:color="FFFFFF"/>
            </w:tcBorders>
            <w:shd w:val="clear" w:color="auto" w:fill="auto"/>
            <w:vAlign w:val="center"/>
            <w:hideMark/>
          </w:tcPr>
          <w:p w14:paraId="56FDF5B1" w14:textId="77777777" w:rsidR="00A6640B" w:rsidRPr="000D3EDD" w:rsidRDefault="00A6640B" w:rsidP="000D3EDD">
            <w:pPr>
              <w:spacing w:line="276" w:lineRule="auto"/>
              <w:jc w:val="center"/>
              <w:rPr>
                <w:b/>
                <w:bCs/>
                <w:color w:val="000000"/>
              </w:rPr>
            </w:pPr>
            <w:r w:rsidRPr="000D3EDD">
              <w:rPr>
                <w:b/>
                <w:bCs/>
                <w:color w:val="000000"/>
              </w:rPr>
              <w:t> </w:t>
            </w:r>
          </w:p>
        </w:tc>
        <w:tc>
          <w:tcPr>
            <w:tcW w:w="0" w:type="auto"/>
            <w:tcBorders>
              <w:top w:val="nil"/>
              <w:left w:val="nil"/>
              <w:bottom w:val="single" w:sz="4" w:space="0" w:color="FFFFFF"/>
              <w:right w:val="single" w:sz="4" w:space="0" w:color="FFFFFF"/>
            </w:tcBorders>
            <w:shd w:val="clear" w:color="auto" w:fill="auto"/>
            <w:vAlign w:val="center"/>
            <w:hideMark/>
          </w:tcPr>
          <w:p w14:paraId="67C77EBC" w14:textId="77777777" w:rsidR="00A6640B" w:rsidRPr="000D3EDD" w:rsidRDefault="00A6640B" w:rsidP="000D3EDD">
            <w:pPr>
              <w:spacing w:line="276" w:lineRule="auto"/>
              <w:jc w:val="center"/>
              <w:rPr>
                <w:b/>
                <w:bCs/>
                <w:color w:val="000000"/>
              </w:rPr>
            </w:pPr>
            <w:r w:rsidRPr="000D3EDD">
              <w:rPr>
                <w:b/>
                <w:bCs/>
                <w:color w:val="000000"/>
              </w:rPr>
              <w:t> </w:t>
            </w:r>
          </w:p>
        </w:tc>
        <w:tc>
          <w:tcPr>
            <w:tcW w:w="0" w:type="auto"/>
            <w:tcBorders>
              <w:top w:val="nil"/>
              <w:left w:val="nil"/>
              <w:bottom w:val="single" w:sz="4" w:space="0" w:color="FFFFFF"/>
              <w:right w:val="single" w:sz="4" w:space="0" w:color="FFFFFF"/>
            </w:tcBorders>
            <w:shd w:val="clear" w:color="auto" w:fill="auto"/>
            <w:vAlign w:val="center"/>
            <w:hideMark/>
          </w:tcPr>
          <w:p w14:paraId="6B55E0AA" w14:textId="77777777" w:rsidR="00A6640B" w:rsidRPr="000D3EDD" w:rsidRDefault="00A6640B" w:rsidP="000D3EDD">
            <w:pPr>
              <w:spacing w:line="276" w:lineRule="auto"/>
              <w:jc w:val="center"/>
              <w:rPr>
                <w:b/>
                <w:bCs/>
                <w:color w:val="000000"/>
              </w:rPr>
            </w:pPr>
            <w:r w:rsidRPr="000D3EDD">
              <w:rPr>
                <w:b/>
                <w:bCs/>
                <w:color w:val="000000"/>
              </w:rPr>
              <w:t> </w:t>
            </w:r>
          </w:p>
        </w:tc>
      </w:tr>
      <w:tr w:rsidR="00A6640B" w:rsidRPr="000D3EDD" w14:paraId="291851C8"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78620165" w14:textId="77777777" w:rsidR="00A6640B" w:rsidRPr="000D3EDD" w:rsidRDefault="00A6640B" w:rsidP="000D3EDD">
            <w:pPr>
              <w:spacing w:line="276" w:lineRule="auto"/>
              <w:jc w:val="right"/>
              <w:rPr>
                <w:color w:val="000000"/>
              </w:rPr>
            </w:pPr>
            <w:r w:rsidRPr="000D3EDD">
              <w:rPr>
                <w:color w:val="000000"/>
              </w:rPr>
              <w:t>Full-time paid work</w:t>
            </w:r>
          </w:p>
        </w:tc>
        <w:tc>
          <w:tcPr>
            <w:tcW w:w="0" w:type="auto"/>
            <w:tcBorders>
              <w:top w:val="nil"/>
              <w:left w:val="nil"/>
              <w:bottom w:val="single" w:sz="4" w:space="0" w:color="FFFFFF"/>
              <w:right w:val="single" w:sz="4" w:space="0" w:color="FFFFFF"/>
            </w:tcBorders>
            <w:shd w:val="clear" w:color="auto" w:fill="auto"/>
            <w:vAlign w:val="center"/>
            <w:hideMark/>
          </w:tcPr>
          <w:p w14:paraId="62DC67D7" w14:textId="77777777" w:rsidR="00A6640B" w:rsidRPr="000D3EDD" w:rsidRDefault="00A6640B" w:rsidP="000D3EDD">
            <w:pPr>
              <w:spacing w:line="276" w:lineRule="auto"/>
              <w:jc w:val="center"/>
              <w:rPr>
                <w:color w:val="000000"/>
              </w:rPr>
            </w:pPr>
            <w:r w:rsidRPr="000D3EDD">
              <w:rPr>
                <w:color w:val="000000"/>
              </w:rPr>
              <w:t>66.0</w:t>
            </w:r>
          </w:p>
        </w:tc>
        <w:tc>
          <w:tcPr>
            <w:tcW w:w="0" w:type="auto"/>
            <w:tcBorders>
              <w:top w:val="nil"/>
              <w:left w:val="nil"/>
              <w:bottom w:val="single" w:sz="4" w:space="0" w:color="FFFFFF"/>
              <w:right w:val="single" w:sz="4" w:space="0" w:color="FFFFFF"/>
            </w:tcBorders>
            <w:shd w:val="clear" w:color="auto" w:fill="auto"/>
            <w:noWrap/>
            <w:vAlign w:val="center"/>
            <w:hideMark/>
          </w:tcPr>
          <w:p w14:paraId="3C888F87" w14:textId="77777777" w:rsidR="00A6640B" w:rsidRPr="000D3EDD" w:rsidRDefault="00A6640B" w:rsidP="000D3EDD">
            <w:pPr>
              <w:spacing w:line="276" w:lineRule="auto"/>
              <w:jc w:val="center"/>
              <w:rPr>
                <w:color w:val="000000"/>
              </w:rPr>
            </w:pPr>
            <w:r w:rsidRPr="000D3EDD">
              <w:rPr>
                <w:color w:val="000000"/>
              </w:rPr>
              <w:t>80.6</w:t>
            </w:r>
          </w:p>
        </w:tc>
        <w:tc>
          <w:tcPr>
            <w:tcW w:w="0" w:type="auto"/>
            <w:tcBorders>
              <w:top w:val="nil"/>
              <w:left w:val="nil"/>
              <w:bottom w:val="single" w:sz="4" w:space="0" w:color="FFFFFF"/>
              <w:right w:val="single" w:sz="4" w:space="0" w:color="FFFFFF"/>
            </w:tcBorders>
            <w:shd w:val="clear" w:color="auto" w:fill="auto"/>
            <w:noWrap/>
            <w:vAlign w:val="center"/>
            <w:hideMark/>
          </w:tcPr>
          <w:p w14:paraId="5DF70183" w14:textId="77777777" w:rsidR="00A6640B" w:rsidRPr="000D3EDD" w:rsidRDefault="00A6640B" w:rsidP="000D3EDD">
            <w:pPr>
              <w:spacing w:line="276" w:lineRule="auto"/>
              <w:jc w:val="center"/>
              <w:rPr>
                <w:color w:val="000000"/>
              </w:rPr>
            </w:pPr>
            <w:r w:rsidRPr="000D3EDD">
              <w:rPr>
                <w:color w:val="000000"/>
              </w:rPr>
              <w:t>79.6</w:t>
            </w:r>
          </w:p>
        </w:tc>
        <w:tc>
          <w:tcPr>
            <w:tcW w:w="0" w:type="auto"/>
            <w:tcBorders>
              <w:top w:val="nil"/>
              <w:left w:val="nil"/>
              <w:bottom w:val="single" w:sz="4" w:space="0" w:color="FFFFFF"/>
              <w:right w:val="single" w:sz="4" w:space="0" w:color="FFFFFF"/>
            </w:tcBorders>
            <w:shd w:val="clear" w:color="auto" w:fill="auto"/>
            <w:noWrap/>
            <w:vAlign w:val="center"/>
            <w:hideMark/>
          </w:tcPr>
          <w:p w14:paraId="6801E5C4" w14:textId="77777777" w:rsidR="00A6640B" w:rsidRPr="000D3EDD" w:rsidRDefault="00A6640B" w:rsidP="000D3EDD">
            <w:pPr>
              <w:spacing w:line="276" w:lineRule="auto"/>
              <w:jc w:val="center"/>
              <w:rPr>
                <w:color w:val="000000"/>
              </w:rPr>
            </w:pPr>
            <w:r w:rsidRPr="000D3EDD">
              <w:rPr>
                <w:color w:val="000000"/>
              </w:rPr>
              <w:t>87.1</w:t>
            </w:r>
          </w:p>
        </w:tc>
        <w:tc>
          <w:tcPr>
            <w:tcW w:w="0" w:type="auto"/>
            <w:tcBorders>
              <w:top w:val="nil"/>
              <w:left w:val="nil"/>
              <w:bottom w:val="single" w:sz="4" w:space="0" w:color="FFFFFF"/>
              <w:right w:val="single" w:sz="4" w:space="0" w:color="FFFFFF"/>
            </w:tcBorders>
            <w:shd w:val="clear" w:color="auto" w:fill="auto"/>
            <w:vAlign w:val="center"/>
            <w:hideMark/>
          </w:tcPr>
          <w:p w14:paraId="2BD86E9D" w14:textId="77777777" w:rsidR="00A6640B" w:rsidRPr="000D3EDD" w:rsidRDefault="00A6640B" w:rsidP="000D3EDD">
            <w:pPr>
              <w:spacing w:line="276" w:lineRule="auto"/>
              <w:jc w:val="center"/>
              <w:rPr>
                <w:color w:val="000000"/>
              </w:rPr>
            </w:pPr>
            <w:r w:rsidRPr="000D3EDD">
              <w:rPr>
                <w:color w:val="000000"/>
              </w:rPr>
              <w:t>72.8</w:t>
            </w:r>
          </w:p>
        </w:tc>
      </w:tr>
      <w:tr w:rsidR="00A6640B" w:rsidRPr="000D3EDD" w14:paraId="1B948AA0"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250629D8" w14:textId="77777777" w:rsidR="00A6640B" w:rsidRPr="000D3EDD" w:rsidRDefault="00A6640B" w:rsidP="000D3EDD">
            <w:pPr>
              <w:spacing w:line="276" w:lineRule="auto"/>
              <w:jc w:val="right"/>
              <w:rPr>
                <w:color w:val="000000"/>
              </w:rPr>
            </w:pPr>
            <w:r w:rsidRPr="000D3EDD">
              <w:rPr>
                <w:color w:val="000000"/>
              </w:rPr>
              <w:t>Part-time paid work</w:t>
            </w:r>
          </w:p>
        </w:tc>
        <w:tc>
          <w:tcPr>
            <w:tcW w:w="0" w:type="auto"/>
            <w:tcBorders>
              <w:top w:val="nil"/>
              <w:left w:val="nil"/>
              <w:bottom w:val="single" w:sz="4" w:space="0" w:color="FFFFFF"/>
              <w:right w:val="single" w:sz="4" w:space="0" w:color="FFFFFF"/>
            </w:tcBorders>
            <w:shd w:val="clear" w:color="auto" w:fill="auto"/>
            <w:vAlign w:val="center"/>
            <w:hideMark/>
          </w:tcPr>
          <w:p w14:paraId="7880022E" w14:textId="77777777" w:rsidR="00A6640B" w:rsidRPr="000D3EDD" w:rsidRDefault="00A6640B" w:rsidP="000D3EDD">
            <w:pPr>
              <w:spacing w:line="276" w:lineRule="auto"/>
              <w:jc w:val="center"/>
              <w:rPr>
                <w:color w:val="000000"/>
              </w:rPr>
            </w:pPr>
            <w:r w:rsidRPr="000D3EDD">
              <w:rPr>
                <w:color w:val="000000"/>
              </w:rPr>
              <w:t>12.9</w:t>
            </w:r>
          </w:p>
        </w:tc>
        <w:tc>
          <w:tcPr>
            <w:tcW w:w="0" w:type="auto"/>
            <w:tcBorders>
              <w:top w:val="nil"/>
              <w:left w:val="nil"/>
              <w:bottom w:val="single" w:sz="4" w:space="0" w:color="FFFFFF"/>
              <w:right w:val="single" w:sz="4" w:space="0" w:color="FFFFFF"/>
            </w:tcBorders>
            <w:shd w:val="clear" w:color="auto" w:fill="auto"/>
            <w:vAlign w:val="center"/>
            <w:hideMark/>
          </w:tcPr>
          <w:p w14:paraId="61E0A02F" w14:textId="77777777" w:rsidR="00A6640B" w:rsidRPr="000D3EDD" w:rsidRDefault="00A6640B" w:rsidP="000D3EDD">
            <w:pPr>
              <w:spacing w:line="276" w:lineRule="auto"/>
              <w:jc w:val="center"/>
              <w:rPr>
                <w:color w:val="000000"/>
              </w:rPr>
            </w:pPr>
            <w:r w:rsidRPr="000D3EDD">
              <w:rPr>
                <w:color w:val="000000"/>
              </w:rPr>
              <w:t>9.0</w:t>
            </w:r>
          </w:p>
        </w:tc>
        <w:tc>
          <w:tcPr>
            <w:tcW w:w="0" w:type="auto"/>
            <w:tcBorders>
              <w:top w:val="nil"/>
              <w:left w:val="nil"/>
              <w:bottom w:val="single" w:sz="4" w:space="0" w:color="FFFFFF"/>
              <w:right w:val="single" w:sz="4" w:space="0" w:color="FFFFFF"/>
            </w:tcBorders>
            <w:shd w:val="clear" w:color="auto" w:fill="auto"/>
            <w:vAlign w:val="center"/>
            <w:hideMark/>
          </w:tcPr>
          <w:p w14:paraId="016E267C" w14:textId="77777777" w:rsidR="00A6640B" w:rsidRPr="000D3EDD" w:rsidRDefault="00A6640B" w:rsidP="000D3EDD">
            <w:pPr>
              <w:spacing w:line="276" w:lineRule="auto"/>
              <w:jc w:val="center"/>
              <w:rPr>
                <w:color w:val="000000"/>
              </w:rPr>
            </w:pPr>
            <w:r w:rsidRPr="000D3EDD">
              <w:rPr>
                <w:color w:val="000000"/>
              </w:rPr>
              <w:t>10.5</w:t>
            </w:r>
          </w:p>
        </w:tc>
        <w:tc>
          <w:tcPr>
            <w:tcW w:w="0" w:type="auto"/>
            <w:tcBorders>
              <w:top w:val="nil"/>
              <w:left w:val="nil"/>
              <w:bottom w:val="single" w:sz="4" w:space="0" w:color="FFFFFF"/>
              <w:right w:val="single" w:sz="4" w:space="0" w:color="FFFFFF"/>
            </w:tcBorders>
            <w:shd w:val="clear" w:color="auto" w:fill="auto"/>
            <w:vAlign w:val="center"/>
            <w:hideMark/>
          </w:tcPr>
          <w:p w14:paraId="79C71CBD" w14:textId="77777777" w:rsidR="00A6640B" w:rsidRPr="000D3EDD" w:rsidRDefault="00A6640B" w:rsidP="000D3EDD">
            <w:pPr>
              <w:spacing w:line="276" w:lineRule="auto"/>
              <w:jc w:val="center"/>
              <w:rPr>
                <w:color w:val="000000"/>
              </w:rPr>
            </w:pPr>
            <w:r w:rsidRPr="000D3EDD">
              <w:rPr>
                <w:color w:val="000000"/>
              </w:rPr>
              <w:t>5.3</w:t>
            </w:r>
          </w:p>
        </w:tc>
        <w:tc>
          <w:tcPr>
            <w:tcW w:w="0" w:type="auto"/>
            <w:tcBorders>
              <w:top w:val="nil"/>
              <w:left w:val="nil"/>
              <w:bottom w:val="single" w:sz="4" w:space="0" w:color="FFFFFF"/>
              <w:right w:val="single" w:sz="4" w:space="0" w:color="FFFFFF"/>
            </w:tcBorders>
            <w:shd w:val="clear" w:color="auto" w:fill="auto"/>
            <w:noWrap/>
            <w:vAlign w:val="center"/>
            <w:hideMark/>
          </w:tcPr>
          <w:p w14:paraId="66A6799E" w14:textId="77777777" w:rsidR="00A6640B" w:rsidRPr="000D3EDD" w:rsidRDefault="00A6640B" w:rsidP="000D3EDD">
            <w:pPr>
              <w:spacing w:line="276" w:lineRule="auto"/>
              <w:jc w:val="center"/>
              <w:rPr>
                <w:color w:val="000000"/>
              </w:rPr>
            </w:pPr>
            <w:r w:rsidRPr="000D3EDD">
              <w:rPr>
                <w:color w:val="000000"/>
              </w:rPr>
              <w:t>12.7</w:t>
            </w:r>
          </w:p>
        </w:tc>
      </w:tr>
      <w:tr w:rsidR="00A6640B" w:rsidRPr="000D3EDD" w14:paraId="1EB6E2A6"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2C96E901" w14:textId="0BFAD844" w:rsidR="00A6640B" w:rsidRPr="000D3EDD" w:rsidRDefault="00A6640B" w:rsidP="000D3EDD">
            <w:pPr>
              <w:spacing w:line="276" w:lineRule="auto"/>
              <w:jc w:val="right"/>
              <w:rPr>
                <w:color w:val="000000"/>
              </w:rPr>
            </w:pPr>
            <w:r w:rsidRPr="000D3EDD">
              <w:rPr>
                <w:color w:val="000000"/>
              </w:rPr>
              <w:t>Voluntary/unpaid work</w:t>
            </w:r>
          </w:p>
        </w:tc>
        <w:tc>
          <w:tcPr>
            <w:tcW w:w="0" w:type="auto"/>
            <w:tcBorders>
              <w:top w:val="nil"/>
              <w:left w:val="nil"/>
              <w:bottom w:val="single" w:sz="4" w:space="0" w:color="FFFFFF"/>
              <w:right w:val="single" w:sz="4" w:space="0" w:color="FFFFFF"/>
            </w:tcBorders>
            <w:shd w:val="clear" w:color="auto" w:fill="auto"/>
            <w:vAlign w:val="center"/>
            <w:hideMark/>
          </w:tcPr>
          <w:p w14:paraId="34758CC7" w14:textId="77777777" w:rsidR="00A6640B" w:rsidRPr="000D3EDD" w:rsidRDefault="00A6640B" w:rsidP="000D3EDD">
            <w:pPr>
              <w:spacing w:line="276" w:lineRule="auto"/>
              <w:jc w:val="center"/>
              <w:rPr>
                <w:color w:val="000000"/>
              </w:rPr>
            </w:pPr>
            <w:r w:rsidRPr="000D3EDD">
              <w:rPr>
                <w:color w:val="000000"/>
              </w:rPr>
              <w:t>1.3</w:t>
            </w:r>
          </w:p>
        </w:tc>
        <w:tc>
          <w:tcPr>
            <w:tcW w:w="0" w:type="auto"/>
            <w:tcBorders>
              <w:top w:val="nil"/>
              <w:left w:val="nil"/>
              <w:bottom w:val="single" w:sz="4" w:space="0" w:color="FFFFFF"/>
              <w:right w:val="single" w:sz="4" w:space="0" w:color="FFFFFF"/>
            </w:tcBorders>
            <w:shd w:val="clear" w:color="auto" w:fill="auto"/>
            <w:vAlign w:val="center"/>
            <w:hideMark/>
          </w:tcPr>
          <w:p w14:paraId="1CA677BA" w14:textId="77777777" w:rsidR="00A6640B" w:rsidRPr="000D3EDD" w:rsidRDefault="00A6640B" w:rsidP="000D3EDD">
            <w:pPr>
              <w:spacing w:line="276" w:lineRule="auto"/>
              <w:jc w:val="center"/>
              <w:rPr>
                <w:color w:val="000000"/>
              </w:rPr>
            </w:pPr>
            <w:r w:rsidRPr="000D3EDD">
              <w:rPr>
                <w:color w:val="000000"/>
              </w:rPr>
              <w:t>0.2</w:t>
            </w:r>
          </w:p>
        </w:tc>
        <w:tc>
          <w:tcPr>
            <w:tcW w:w="0" w:type="auto"/>
            <w:tcBorders>
              <w:top w:val="nil"/>
              <w:left w:val="nil"/>
              <w:bottom w:val="single" w:sz="4" w:space="0" w:color="FFFFFF"/>
              <w:right w:val="single" w:sz="4" w:space="0" w:color="FFFFFF"/>
            </w:tcBorders>
            <w:shd w:val="clear" w:color="auto" w:fill="auto"/>
            <w:vAlign w:val="center"/>
            <w:hideMark/>
          </w:tcPr>
          <w:p w14:paraId="394BCE59" w14:textId="77777777" w:rsidR="00A6640B" w:rsidRPr="000D3EDD" w:rsidRDefault="00A6640B" w:rsidP="000D3EDD">
            <w:pPr>
              <w:spacing w:line="276" w:lineRule="auto"/>
              <w:jc w:val="center"/>
              <w:rPr>
                <w:color w:val="000000"/>
              </w:rPr>
            </w:pPr>
            <w:r w:rsidRPr="000D3EDD">
              <w:rPr>
                <w:color w:val="000000"/>
              </w:rPr>
              <w:t>0.4</w:t>
            </w:r>
          </w:p>
        </w:tc>
        <w:tc>
          <w:tcPr>
            <w:tcW w:w="0" w:type="auto"/>
            <w:tcBorders>
              <w:top w:val="nil"/>
              <w:left w:val="nil"/>
              <w:bottom w:val="single" w:sz="4" w:space="0" w:color="FFFFFF"/>
              <w:right w:val="single" w:sz="4" w:space="0" w:color="FFFFFF"/>
            </w:tcBorders>
            <w:shd w:val="clear" w:color="auto" w:fill="auto"/>
            <w:vAlign w:val="center"/>
            <w:hideMark/>
          </w:tcPr>
          <w:p w14:paraId="2C37F384" w14:textId="77777777" w:rsidR="00A6640B" w:rsidRPr="000D3EDD" w:rsidRDefault="00A6640B" w:rsidP="000D3EDD">
            <w:pPr>
              <w:spacing w:line="276" w:lineRule="auto"/>
              <w:jc w:val="center"/>
              <w:rPr>
                <w:color w:val="000000"/>
              </w:rPr>
            </w:pPr>
            <w:r w:rsidRPr="000D3EDD">
              <w:rPr>
                <w:color w:val="000000"/>
              </w:rPr>
              <w:t>0.1</w:t>
            </w:r>
          </w:p>
        </w:tc>
        <w:tc>
          <w:tcPr>
            <w:tcW w:w="0" w:type="auto"/>
            <w:tcBorders>
              <w:top w:val="nil"/>
              <w:left w:val="nil"/>
              <w:bottom w:val="single" w:sz="4" w:space="0" w:color="FFFFFF"/>
              <w:right w:val="single" w:sz="4" w:space="0" w:color="FFFFFF"/>
            </w:tcBorders>
            <w:shd w:val="clear" w:color="auto" w:fill="auto"/>
            <w:noWrap/>
            <w:vAlign w:val="center"/>
            <w:hideMark/>
          </w:tcPr>
          <w:p w14:paraId="7985D7DB" w14:textId="77777777" w:rsidR="00A6640B" w:rsidRPr="000D3EDD" w:rsidRDefault="00A6640B" w:rsidP="000D3EDD">
            <w:pPr>
              <w:spacing w:line="276" w:lineRule="auto"/>
              <w:jc w:val="center"/>
              <w:rPr>
                <w:color w:val="000000"/>
              </w:rPr>
            </w:pPr>
            <w:r w:rsidRPr="000D3EDD">
              <w:rPr>
                <w:color w:val="000000"/>
              </w:rPr>
              <w:t>0.4</w:t>
            </w:r>
          </w:p>
        </w:tc>
      </w:tr>
      <w:tr w:rsidR="00A6640B" w:rsidRPr="000D3EDD" w14:paraId="593D95C8"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6921B7F8" w14:textId="77777777" w:rsidR="00A6640B" w:rsidRPr="000D3EDD" w:rsidRDefault="00A6640B" w:rsidP="000D3EDD">
            <w:pPr>
              <w:spacing w:line="276" w:lineRule="auto"/>
              <w:jc w:val="right"/>
              <w:rPr>
                <w:color w:val="000000"/>
              </w:rPr>
            </w:pPr>
            <w:r w:rsidRPr="000D3EDD">
              <w:rPr>
                <w:color w:val="000000"/>
              </w:rPr>
              <w:t>Work and further study</w:t>
            </w:r>
          </w:p>
        </w:tc>
        <w:tc>
          <w:tcPr>
            <w:tcW w:w="0" w:type="auto"/>
            <w:tcBorders>
              <w:top w:val="nil"/>
              <w:left w:val="nil"/>
              <w:bottom w:val="single" w:sz="4" w:space="0" w:color="FFFFFF"/>
              <w:right w:val="single" w:sz="4" w:space="0" w:color="FFFFFF"/>
            </w:tcBorders>
            <w:shd w:val="clear" w:color="auto" w:fill="auto"/>
            <w:vAlign w:val="center"/>
            <w:hideMark/>
          </w:tcPr>
          <w:p w14:paraId="4D9B91BD" w14:textId="77777777" w:rsidR="00A6640B" w:rsidRPr="000D3EDD" w:rsidRDefault="00A6640B" w:rsidP="000D3EDD">
            <w:pPr>
              <w:spacing w:line="276" w:lineRule="auto"/>
              <w:jc w:val="center"/>
              <w:rPr>
                <w:color w:val="000000"/>
              </w:rPr>
            </w:pPr>
            <w:r w:rsidRPr="000D3EDD">
              <w:rPr>
                <w:color w:val="000000"/>
              </w:rPr>
              <w:t>2.9</w:t>
            </w:r>
          </w:p>
        </w:tc>
        <w:tc>
          <w:tcPr>
            <w:tcW w:w="0" w:type="auto"/>
            <w:tcBorders>
              <w:top w:val="nil"/>
              <w:left w:val="nil"/>
              <w:bottom w:val="single" w:sz="4" w:space="0" w:color="FFFFFF"/>
              <w:right w:val="single" w:sz="4" w:space="0" w:color="FFFFFF"/>
            </w:tcBorders>
            <w:shd w:val="clear" w:color="auto" w:fill="auto"/>
            <w:vAlign w:val="center"/>
            <w:hideMark/>
          </w:tcPr>
          <w:p w14:paraId="6432E809" w14:textId="77777777" w:rsidR="00A6640B" w:rsidRPr="000D3EDD" w:rsidRDefault="00A6640B" w:rsidP="000D3EDD">
            <w:pPr>
              <w:spacing w:line="276" w:lineRule="auto"/>
              <w:jc w:val="center"/>
              <w:rPr>
                <w:color w:val="000000"/>
              </w:rPr>
            </w:pPr>
            <w:r w:rsidRPr="000D3EDD">
              <w:rPr>
                <w:color w:val="000000"/>
              </w:rPr>
              <w:t>2.5</w:t>
            </w:r>
          </w:p>
        </w:tc>
        <w:tc>
          <w:tcPr>
            <w:tcW w:w="0" w:type="auto"/>
            <w:tcBorders>
              <w:top w:val="nil"/>
              <w:left w:val="nil"/>
              <w:bottom w:val="single" w:sz="4" w:space="0" w:color="FFFFFF"/>
              <w:right w:val="single" w:sz="4" w:space="0" w:color="FFFFFF"/>
            </w:tcBorders>
            <w:shd w:val="clear" w:color="auto" w:fill="auto"/>
            <w:vAlign w:val="center"/>
            <w:hideMark/>
          </w:tcPr>
          <w:p w14:paraId="0FFC7C16" w14:textId="77777777" w:rsidR="00A6640B" w:rsidRPr="000D3EDD" w:rsidRDefault="00A6640B" w:rsidP="000D3EDD">
            <w:pPr>
              <w:spacing w:line="276" w:lineRule="auto"/>
              <w:jc w:val="center"/>
              <w:rPr>
                <w:color w:val="000000"/>
              </w:rPr>
            </w:pPr>
            <w:r w:rsidRPr="000D3EDD">
              <w:rPr>
                <w:color w:val="000000"/>
              </w:rPr>
              <w:t>1.9</w:t>
            </w:r>
          </w:p>
        </w:tc>
        <w:tc>
          <w:tcPr>
            <w:tcW w:w="0" w:type="auto"/>
            <w:tcBorders>
              <w:top w:val="nil"/>
              <w:left w:val="nil"/>
              <w:bottom w:val="single" w:sz="4" w:space="0" w:color="FFFFFF"/>
              <w:right w:val="single" w:sz="4" w:space="0" w:color="FFFFFF"/>
            </w:tcBorders>
            <w:shd w:val="clear" w:color="auto" w:fill="auto"/>
            <w:vAlign w:val="center"/>
            <w:hideMark/>
          </w:tcPr>
          <w:p w14:paraId="64311129" w14:textId="77777777" w:rsidR="00A6640B" w:rsidRPr="000D3EDD" w:rsidRDefault="00A6640B" w:rsidP="000D3EDD">
            <w:pPr>
              <w:spacing w:line="276" w:lineRule="auto"/>
              <w:jc w:val="center"/>
              <w:rPr>
                <w:color w:val="000000"/>
              </w:rPr>
            </w:pPr>
            <w:r w:rsidRPr="000D3EDD">
              <w:rPr>
                <w:color w:val="000000"/>
              </w:rPr>
              <w:t>0.4</w:t>
            </w:r>
          </w:p>
        </w:tc>
        <w:tc>
          <w:tcPr>
            <w:tcW w:w="0" w:type="auto"/>
            <w:tcBorders>
              <w:top w:val="nil"/>
              <w:left w:val="nil"/>
              <w:bottom w:val="single" w:sz="4" w:space="0" w:color="FFFFFF"/>
              <w:right w:val="single" w:sz="4" w:space="0" w:color="FFFFFF"/>
            </w:tcBorders>
            <w:shd w:val="clear" w:color="auto" w:fill="auto"/>
            <w:noWrap/>
            <w:vAlign w:val="center"/>
            <w:hideMark/>
          </w:tcPr>
          <w:p w14:paraId="496C4270" w14:textId="77777777" w:rsidR="00A6640B" w:rsidRPr="000D3EDD" w:rsidRDefault="00A6640B" w:rsidP="000D3EDD">
            <w:pPr>
              <w:spacing w:line="276" w:lineRule="auto"/>
              <w:jc w:val="center"/>
              <w:rPr>
                <w:color w:val="000000"/>
              </w:rPr>
            </w:pPr>
            <w:r w:rsidRPr="000D3EDD">
              <w:rPr>
                <w:color w:val="000000"/>
              </w:rPr>
              <w:t>2.5</w:t>
            </w:r>
          </w:p>
        </w:tc>
      </w:tr>
      <w:tr w:rsidR="00A6640B" w:rsidRPr="000D3EDD" w14:paraId="2E48E27A"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2AA8045B" w14:textId="77777777" w:rsidR="00A6640B" w:rsidRPr="000D3EDD" w:rsidRDefault="00A6640B" w:rsidP="000D3EDD">
            <w:pPr>
              <w:spacing w:line="276" w:lineRule="auto"/>
              <w:jc w:val="right"/>
              <w:rPr>
                <w:color w:val="000000"/>
              </w:rPr>
            </w:pPr>
            <w:r w:rsidRPr="000D3EDD">
              <w:rPr>
                <w:color w:val="000000"/>
              </w:rPr>
              <w:t>Further study only</w:t>
            </w:r>
          </w:p>
        </w:tc>
        <w:tc>
          <w:tcPr>
            <w:tcW w:w="0" w:type="auto"/>
            <w:tcBorders>
              <w:top w:val="nil"/>
              <w:left w:val="nil"/>
              <w:bottom w:val="single" w:sz="4" w:space="0" w:color="FFFFFF"/>
              <w:right w:val="single" w:sz="4" w:space="0" w:color="FFFFFF"/>
            </w:tcBorders>
            <w:shd w:val="clear" w:color="auto" w:fill="auto"/>
            <w:vAlign w:val="center"/>
            <w:hideMark/>
          </w:tcPr>
          <w:p w14:paraId="0ABBE3B7" w14:textId="77777777" w:rsidR="00A6640B" w:rsidRPr="000D3EDD" w:rsidRDefault="00A6640B" w:rsidP="000D3EDD">
            <w:pPr>
              <w:spacing w:line="276" w:lineRule="auto"/>
              <w:jc w:val="center"/>
              <w:rPr>
                <w:color w:val="000000"/>
              </w:rPr>
            </w:pPr>
            <w:r w:rsidRPr="000D3EDD">
              <w:rPr>
                <w:color w:val="000000"/>
              </w:rPr>
              <w:t>2.9</w:t>
            </w:r>
          </w:p>
        </w:tc>
        <w:tc>
          <w:tcPr>
            <w:tcW w:w="0" w:type="auto"/>
            <w:tcBorders>
              <w:top w:val="nil"/>
              <w:left w:val="nil"/>
              <w:bottom w:val="single" w:sz="4" w:space="0" w:color="FFFFFF"/>
              <w:right w:val="single" w:sz="4" w:space="0" w:color="FFFFFF"/>
            </w:tcBorders>
            <w:shd w:val="clear" w:color="auto" w:fill="auto"/>
            <w:vAlign w:val="center"/>
            <w:hideMark/>
          </w:tcPr>
          <w:p w14:paraId="651B8FFC" w14:textId="77777777" w:rsidR="00A6640B" w:rsidRPr="000D3EDD" w:rsidRDefault="00A6640B" w:rsidP="000D3EDD">
            <w:pPr>
              <w:spacing w:line="276" w:lineRule="auto"/>
              <w:jc w:val="center"/>
              <w:rPr>
                <w:color w:val="000000"/>
              </w:rPr>
            </w:pPr>
            <w:r w:rsidRPr="000D3EDD">
              <w:rPr>
                <w:color w:val="000000"/>
              </w:rPr>
              <w:t>1.3</w:t>
            </w:r>
          </w:p>
        </w:tc>
        <w:tc>
          <w:tcPr>
            <w:tcW w:w="0" w:type="auto"/>
            <w:tcBorders>
              <w:top w:val="nil"/>
              <w:left w:val="nil"/>
              <w:bottom w:val="single" w:sz="4" w:space="0" w:color="FFFFFF"/>
              <w:right w:val="single" w:sz="4" w:space="0" w:color="FFFFFF"/>
            </w:tcBorders>
            <w:shd w:val="clear" w:color="auto" w:fill="auto"/>
            <w:vAlign w:val="center"/>
            <w:hideMark/>
          </w:tcPr>
          <w:p w14:paraId="6D6FB2B3" w14:textId="77777777" w:rsidR="00A6640B" w:rsidRPr="000D3EDD" w:rsidRDefault="00A6640B" w:rsidP="000D3EDD">
            <w:pPr>
              <w:spacing w:line="276" w:lineRule="auto"/>
              <w:jc w:val="center"/>
              <w:rPr>
                <w:color w:val="000000"/>
              </w:rPr>
            </w:pPr>
            <w:r w:rsidRPr="000D3EDD">
              <w:rPr>
                <w:color w:val="000000"/>
              </w:rPr>
              <w:t>2.0</w:t>
            </w:r>
          </w:p>
        </w:tc>
        <w:tc>
          <w:tcPr>
            <w:tcW w:w="0" w:type="auto"/>
            <w:tcBorders>
              <w:top w:val="nil"/>
              <w:left w:val="nil"/>
              <w:bottom w:val="single" w:sz="4" w:space="0" w:color="FFFFFF"/>
              <w:right w:val="single" w:sz="4" w:space="0" w:color="FFFFFF"/>
            </w:tcBorders>
            <w:shd w:val="clear" w:color="auto" w:fill="auto"/>
            <w:vAlign w:val="center"/>
            <w:hideMark/>
          </w:tcPr>
          <w:p w14:paraId="71277C67" w14:textId="77777777" w:rsidR="00A6640B" w:rsidRPr="000D3EDD" w:rsidRDefault="00A6640B" w:rsidP="000D3EDD">
            <w:pPr>
              <w:spacing w:line="276" w:lineRule="auto"/>
              <w:jc w:val="center"/>
              <w:rPr>
                <w:color w:val="000000"/>
              </w:rPr>
            </w:pPr>
            <w:r w:rsidRPr="000D3EDD">
              <w:rPr>
                <w:color w:val="000000"/>
              </w:rPr>
              <w:t>1.3</w:t>
            </w:r>
          </w:p>
        </w:tc>
        <w:tc>
          <w:tcPr>
            <w:tcW w:w="0" w:type="auto"/>
            <w:tcBorders>
              <w:top w:val="nil"/>
              <w:left w:val="nil"/>
              <w:bottom w:val="single" w:sz="4" w:space="0" w:color="FFFFFF"/>
              <w:right w:val="single" w:sz="4" w:space="0" w:color="FFFFFF"/>
            </w:tcBorders>
            <w:shd w:val="clear" w:color="auto" w:fill="auto"/>
            <w:noWrap/>
            <w:vAlign w:val="center"/>
            <w:hideMark/>
          </w:tcPr>
          <w:p w14:paraId="12DC7388" w14:textId="77777777" w:rsidR="00A6640B" w:rsidRPr="000D3EDD" w:rsidRDefault="00A6640B" w:rsidP="000D3EDD">
            <w:pPr>
              <w:spacing w:line="276" w:lineRule="auto"/>
              <w:jc w:val="center"/>
              <w:rPr>
                <w:color w:val="000000"/>
              </w:rPr>
            </w:pPr>
            <w:r w:rsidRPr="000D3EDD">
              <w:rPr>
                <w:color w:val="000000"/>
              </w:rPr>
              <w:t>0.6</w:t>
            </w:r>
          </w:p>
        </w:tc>
      </w:tr>
      <w:tr w:rsidR="00A6640B" w:rsidRPr="000D3EDD" w14:paraId="12286642"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3D253365" w14:textId="77777777" w:rsidR="00A6640B" w:rsidRPr="000D3EDD" w:rsidRDefault="00A6640B" w:rsidP="000D3EDD">
            <w:pPr>
              <w:spacing w:line="276" w:lineRule="auto"/>
              <w:jc w:val="right"/>
              <w:rPr>
                <w:color w:val="000000"/>
              </w:rPr>
            </w:pPr>
            <w:r w:rsidRPr="000D3EDD">
              <w:rPr>
                <w:color w:val="000000"/>
              </w:rPr>
              <w:t>Assumed to be unemployed</w:t>
            </w:r>
          </w:p>
        </w:tc>
        <w:tc>
          <w:tcPr>
            <w:tcW w:w="0" w:type="auto"/>
            <w:tcBorders>
              <w:top w:val="nil"/>
              <w:left w:val="nil"/>
              <w:bottom w:val="single" w:sz="4" w:space="0" w:color="FFFFFF"/>
              <w:right w:val="single" w:sz="4" w:space="0" w:color="FFFFFF"/>
            </w:tcBorders>
            <w:shd w:val="clear" w:color="auto" w:fill="auto"/>
            <w:noWrap/>
            <w:vAlign w:val="center"/>
            <w:hideMark/>
          </w:tcPr>
          <w:p w14:paraId="573171B2" w14:textId="77777777" w:rsidR="00A6640B" w:rsidRPr="000D3EDD" w:rsidRDefault="00A6640B" w:rsidP="000D3EDD">
            <w:pPr>
              <w:spacing w:line="276" w:lineRule="auto"/>
              <w:jc w:val="center"/>
              <w:rPr>
                <w:color w:val="000000"/>
              </w:rPr>
            </w:pPr>
            <w:r w:rsidRPr="000D3EDD">
              <w:rPr>
                <w:color w:val="000000"/>
              </w:rPr>
              <w:t>2.2</w:t>
            </w:r>
          </w:p>
        </w:tc>
        <w:tc>
          <w:tcPr>
            <w:tcW w:w="0" w:type="auto"/>
            <w:tcBorders>
              <w:top w:val="nil"/>
              <w:left w:val="nil"/>
              <w:bottom w:val="single" w:sz="4" w:space="0" w:color="FFFFFF"/>
              <w:right w:val="single" w:sz="4" w:space="0" w:color="FFFFFF"/>
            </w:tcBorders>
            <w:shd w:val="clear" w:color="auto" w:fill="auto"/>
            <w:vAlign w:val="center"/>
            <w:hideMark/>
          </w:tcPr>
          <w:p w14:paraId="1EE3A8DC" w14:textId="77777777" w:rsidR="00A6640B" w:rsidRPr="000D3EDD" w:rsidRDefault="00A6640B" w:rsidP="000D3EDD">
            <w:pPr>
              <w:spacing w:line="276" w:lineRule="auto"/>
              <w:jc w:val="center"/>
              <w:rPr>
                <w:color w:val="000000"/>
              </w:rPr>
            </w:pPr>
            <w:r w:rsidRPr="000D3EDD">
              <w:rPr>
                <w:color w:val="000000"/>
              </w:rPr>
              <w:t>2.0</w:t>
            </w:r>
          </w:p>
        </w:tc>
        <w:tc>
          <w:tcPr>
            <w:tcW w:w="0" w:type="auto"/>
            <w:tcBorders>
              <w:top w:val="nil"/>
              <w:left w:val="nil"/>
              <w:bottom w:val="single" w:sz="4" w:space="0" w:color="FFFFFF"/>
              <w:right w:val="single" w:sz="4" w:space="0" w:color="FFFFFF"/>
            </w:tcBorders>
            <w:shd w:val="clear" w:color="auto" w:fill="auto"/>
            <w:vAlign w:val="center"/>
            <w:hideMark/>
          </w:tcPr>
          <w:p w14:paraId="1ED1C8AE" w14:textId="77777777" w:rsidR="00A6640B" w:rsidRPr="000D3EDD" w:rsidRDefault="00A6640B" w:rsidP="000D3EDD">
            <w:pPr>
              <w:spacing w:line="276" w:lineRule="auto"/>
              <w:jc w:val="center"/>
              <w:rPr>
                <w:color w:val="000000"/>
              </w:rPr>
            </w:pPr>
            <w:r w:rsidRPr="000D3EDD">
              <w:rPr>
                <w:color w:val="000000"/>
              </w:rPr>
              <w:t>1.3</w:t>
            </w:r>
          </w:p>
        </w:tc>
        <w:tc>
          <w:tcPr>
            <w:tcW w:w="0" w:type="auto"/>
            <w:tcBorders>
              <w:top w:val="nil"/>
              <w:left w:val="nil"/>
              <w:bottom w:val="single" w:sz="4" w:space="0" w:color="FFFFFF"/>
              <w:right w:val="single" w:sz="4" w:space="0" w:color="FFFFFF"/>
            </w:tcBorders>
            <w:shd w:val="clear" w:color="auto" w:fill="auto"/>
            <w:vAlign w:val="center"/>
            <w:hideMark/>
          </w:tcPr>
          <w:p w14:paraId="710C7CFF" w14:textId="77777777" w:rsidR="00A6640B" w:rsidRPr="000D3EDD" w:rsidRDefault="00A6640B" w:rsidP="000D3EDD">
            <w:pPr>
              <w:spacing w:line="276" w:lineRule="auto"/>
              <w:jc w:val="center"/>
              <w:rPr>
                <w:color w:val="000000"/>
              </w:rPr>
            </w:pPr>
            <w:r w:rsidRPr="000D3EDD">
              <w:rPr>
                <w:color w:val="000000"/>
              </w:rPr>
              <w:t>2.8</w:t>
            </w:r>
          </w:p>
        </w:tc>
        <w:tc>
          <w:tcPr>
            <w:tcW w:w="0" w:type="auto"/>
            <w:tcBorders>
              <w:top w:val="nil"/>
              <w:left w:val="nil"/>
              <w:bottom w:val="single" w:sz="4" w:space="0" w:color="FFFFFF"/>
              <w:right w:val="single" w:sz="4" w:space="0" w:color="FFFFFF"/>
            </w:tcBorders>
            <w:shd w:val="clear" w:color="auto" w:fill="auto"/>
            <w:noWrap/>
            <w:vAlign w:val="center"/>
            <w:hideMark/>
          </w:tcPr>
          <w:p w14:paraId="07242EE9" w14:textId="77777777" w:rsidR="00A6640B" w:rsidRPr="000D3EDD" w:rsidRDefault="00A6640B" w:rsidP="000D3EDD">
            <w:pPr>
              <w:spacing w:line="276" w:lineRule="auto"/>
              <w:jc w:val="center"/>
              <w:rPr>
                <w:color w:val="000000"/>
              </w:rPr>
            </w:pPr>
            <w:r w:rsidRPr="000D3EDD">
              <w:rPr>
                <w:color w:val="000000"/>
              </w:rPr>
              <w:t>2.5</w:t>
            </w:r>
          </w:p>
        </w:tc>
      </w:tr>
      <w:tr w:rsidR="00A6640B" w:rsidRPr="000D3EDD" w14:paraId="4B247C7D" w14:textId="77777777" w:rsidTr="00FA50A2">
        <w:trPr>
          <w:trHeight w:val="32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32E79BA3" w14:textId="77777777" w:rsidR="00A6640B" w:rsidRPr="000D3EDD" w:rsidRDefault="00A6640B" w:rsidP="000D3EDD">
            <w:pPr>
              <w:spacing w:line="276" w:lineRule="auto"/>
              <w:jc w:val="right"/>
              <w:rPr>
                <w:color w:val="000000"/>
              </w:rPr>
            </w:pPr>
            <w:r w:rsidRPr="000D3EDD">
              <w:rPr>
                <w:color w:val="000000"/>
              </w:rPr>
              <w:t>Not available for employment</w:t>
            </w:r>
          </w:p>
        </w:tc>
        <w:tc>
          <w:tcPr>
            <w:tcW w:w="0" w:type="auto"/>
            <w:tcBorders>
              <w:top w:val="nil"/>
              <w:left w:val="nil"/>
              <w:bottom w:val="single" w:sz="4" w:space="0" w:color="FFFFFF"/>
              <w:right w:val="single" w:sz="4" w:space="0" w:color="FFFFFF"/>
            </w:tcBorders>
            <w:shd w:val="clear" w:color="auto" w:fill="auto"/>
            <w:noWrap/>
            <w:vAlign w:val="center"/>
            <w:hideMark/>
          </w:tcPr>
          <w:p w14:paraId="7A4A95C0" w14:textId="77777777" w:rsidR="00A6640B" w:rsidRPr="000D3EDD" w:rsidRDefault="00A6640B" w:rsidP="000D3EDD">
            <w:pPr>
              <w:spacing w:line="276" w:lineRule="auto"/>
              <w:jc w:val="center"/>
              <w:rPr>
                <w:color w:val="000000"/>
              </w:rPr>
            </w:pPr>
            <w:r w:rsidRPr="000D3EDD">
              <w:rPr>
                <w:color w:val="000000"/>
              </w:rPr>
              <w:t>8.7</w:t>
            </w:r>
          </w:p>
        </w:tc>
        <w:tc>
          <w:tcPr>
            <w:tcW w:w="0" w:type="auto"/>
            <w:tcBorders>
              <w:top w:val="nil"/>
              <w:left w:val="nil"/>
              <w:bottom w:val="single" w:sz="4" w:space="0" w:color="FFFFFF"/>
              <w:right w:val="single" w:sz="4" w:space="0" w:color="FFFFFF"/>
            </w:tcBorders>
            <w:shd w:val="clear" w:color="auto" w:fill="auto"/>
            <w:noWrap/>
            <w:vAlign w:val="center"/>
            <w:hideMark/>
          </w:tcPr>
          <w:p w14:paraId="1A5FE947" w14:textId="77777777" w:rsidR="00A6640B" w:rsidRPr="000D3EDD" w:rsidRDefault="00A6640B" w:rsidP="000D3EDD">
            <w:pPr>
              <w:spacing w:line="276" w:lineRule="auto"/>
              <w:jc w:val="center"/>
              <w:rPr>
                <w:color w:val="000000"/>
              </w:rPr>
            </w:pPr>
            <w:r w:rsidRPr="000D3EDD">
              <w:rPr>
                <w:color w:val="000000"/>
              </w:rPr>
              <w:t>2.0</w:t>
            </w:r>
          </w:p>
        </w:tc>
        <w:tc>
          <w:tcPr>
            <w:tcW w:w="0" w:type="auto"/>
            <w:tcBorders>
              <w:top w:val="nil"/>
              <w:left w:val="nil"/>
              <w:bottom w:val="single" w:sz="4" w:space="0" w:color="FFFFFF"/>
              <w:right w:val="single" w:sz="4" w:space="0" w:color="FFFFFF"/>
            </w:tcBorders>
            <w:shd w:val="clear" w:color="auto" w:fill="auto"/>
            <w:noWrap/>
            <w:vAlign w:val="center"/>
            <w:hideMark/>
          </w:tcPr>
          <w:p w14:paraId="6C850C73" w14:textId="77777777" w:rsidR="00A6640B" w:rsidRPr="000D3EDD" w:rsidRDefault="00A6640B" w:rsidP="000D3EDD">
            <w:pPr>
              <w:spacing w:line="276" w:lineRule="auto"/>
              <w:jc w:val="center"/>
              <w:rPr>
                <w:color w:val="000000"/>
              </w:rPr>
            </w:pPr>
            <w:r w:rsidRPr="000D3EDD">
              <w:rPr>
                <w:color w:val="000000"/>
              </w:rPr>
              <w:t>2.6</w:t>
            </w:r>
          </w:p>
        </w:tc>
        <w:tc>
          <w:tcPr>
            <w:tcW w:w="0" w:type="auto"/>
            <w:tcBorders>
              <w:top w:val="nil"/>
              <w:left w:val="nil"/>
              <w:bottom w:val="single" w:sz="4" w:space="0" w:color="FFFFFF"/>
              <w:right w:val="single" w:sz="4" w:space="0" w:color="FFFFFF"/>
            </w:tcBorders>
            <w:shd w:val="clear" w:color="auto" w:fill="auto"/>
            <w:noWrap/>
            <w:vAlign w:val="center"/>
            <w:hideMark/>
          </w:tcPr>
          <w:p w14:paraId="473B98CE" w14:textId="77777777" w:rsidR="00A6640B" w:rsidRPr="000D3EDD" w:rsidRDefault="00A6640B" w:rsidP="000D3EDD">
            <w:pPr>
              <w:spacing w:line="276" w:lineRule="auto"/>
              <w:jc w:val="center"/>
              <w:rPr>
                <w:color w:val="000000"/>
              </w:rPr>
            </w:pPr>
            <w:r w:rsidRPr="000D3EDD">
              <w:rPr>
                <w:color w:val="000000"/>
              </w:rPr>
              <w:t>1.4</w:t>
            </w:r>
          </w:p>
        </w:tc>
        <w:tc>
          <w:tcPr>
            <w:tcW w:w="0" w:type="auto"/>
            <w:tcBorders>
              <w:top w:val="nil"/>
              <w:left w:val="nil"/>
              <w:bottom w:val="single" w:sz="4" w:space="0" w:color="FFFFFF"/>
              <w:right w:val="single" w:sz="4" w:space="0" w:color="FFFFFF"/>
            </w:tcBorders>
            <w:shd w:val="clear" w:color="auto" w:fill="auto"/>
            <w:noWrap/>
            <w:vAlign w:val="center"/>
            <w:hideMark/>
          </w:tcPr>
          <w:p w14:paraId="5461E895" w14:textId="77777777" w:rsidR="00A6640B" w:rsidRPr="000D3EDD" w:rsidRDefault="00A6640B" w:rsidP="000D3EDD">
            <w:pPr>
              <w:spacing w:line="276" w:lineRule="auto"/>
              <w:jc w:val="center"/>
              <w:rPr>
                <w:color w:val="000000"/>
              </w:rPr>
            </w:pPr>
            <w:r w:rsidRPr="000D3EDD">
              <w:rPr>
                <w:color w:val="000000"/>
              </w:rPr>
              <w:t>6.3</w:t>
            </w:r>
          </w:p>
        </w:tc>
      </w:tr>
      <w:tr w:rsidR="00A6640B" w:rsidRPr="000D3EDD" w14:paraId="7AA9270E" w14:textId="77777777" w:rsidTr="00FA50A2">
        <w:trPr>
          <w:trHeight w:val="320"/>
        </w:trPr>
        <w:tc>
          <w:tcPr>
            <w:tcW w:w="0" w:type="auto"/>
            <w:tcBorders>
              <w:top w:val="nil"/>
              <w:left w:val="single" w:sz="4" w:space="0" w:color="FFFFFF"/>
              <w:bottom w:val="single" w:sz="4" w:space="0" w:color="000000"/>
              <w:right w:val="single" w:sz="4" w:space="0" w:color="FFFFFF"/>
            </w:tcBorders>
            <w:shd w:val="clear" w:color="auto" w:fill="auto"/>
            <w:noWrap/>
            <w:vAlign w:val="center"/>
            <w:hideMark/>
          </w:tcPr>
          <w:p w14:paraId="51C89183" w14:textId="77777777" w:rsidR="00A6640B" w:rsidRPr="000D3EDD" w:rsidRDefault="00A6640B" w:rsidP="000D3EDD">
            <w:pPr>
              <w:spacing w:line="276" w:lineRule="auto"/>
              <w:jc w:val="right"/>
              <w:rPr>
                <w:color w:val="000000"/>
              </w:rPr>
            </w:pPr>
            <w:r w:rsidRPr="000D3EDD">
              <w:rPr>
                <w:color w:val="000000"/>
              </w:rPr>
              <w:t>Employed mode unknown</w:t>
            </w:r>
          </w:p>
        </w:tc>
        <w:tc>
          <w:tcPr>
            <w:tcW w:w="0" w:type="auto"/>
            <w:tcBorders>
              <w:top w:val="nil"/>
              <w:left w:val="nil"/>
              <w:bottom w:val="single" w:sz="4" w:space="0" w:color="000000"/>
              <w:right w:val="single" w:sz="4" w:space="0" w:color="FFFFFF"/>
            </w:tcBorders>
            <w:shd w:val="clear" w:color="auto" w:fill="auto"/>
            <w:vAlign w:val="center"/>
            <w:hideMark/>
          </w:tcPr>
          <w:p w14:paraId="16834115" w14:textId="77777777" w:rsidR="00A6640B" w:rsidRPr="000D3EDD" w:rsidRDefault="00A6640B" w:rsidP="000D3EDD">
            <w:pPr>
              <w:spacing w:line="276" w:lineRule="auto"/>
              <w:jc w:val="center"/>
              <w:rPr>
                <w:color w:val="000000"/>
              </w:rPr>
            </w:pPr>
            <w:r w:rsidRPr="000D3EDD">
              <w:rPr>
                <w:color w:val="000000"/>
              </w:rPr>
              <w:t>1.0</w:t>
            </w:r>
          </w:p>
        </w:tc>
        <w:tc>
          <w:tcPr>
            <w:tcW w:w="0" w:type="auto"/>
            <w:tcBorders>
              <w:top w:val="nil"/>
              <w:left w:val="nil"/>
              <w:bottom w:val="single" w:sz="4" w:space="0" w:color="000000"/>
              <w:right w:val="single" w:sz="4" w:space="0" w:color="FFFFFF"/>
            </w:tcBorders>
            <w:shd w:val="clear" w:color="auto" w:fill="auto"/>
            <w:vAlign w:val="center"/>
            <w:hideMark/>
          </w:tcPr>
          <w:p w14:paraId="44648B16" w14:textId="77777777" w:rsidR="00A6640B" w:rsidRPr="000D3EDD" w:rsidRDefault="00A6640B" w:rsidP="000D3EDD">
            <w:pPr>
              <w:spacing w:line="276" w:lineRule="auto"/>
              <w:jc w:val="center"/>
              <w:rPr>
                <w:color w:val="000000"/>
              </w:rPr>
            </w:pPr>
            <w:r w:rsidRPr="000D3EDD">
              <w:rPr>
                <w:color w:val="000000"/>
              </w:rPr>
              <w:t>1.7</w:t>
            </w:r>
          </w:p>
        </w:tc>
        <w:tc>
          <w:tcPr>
            <w:tcW w:w="0" w:type="auto"/>
            <w:tcBorders>
              <w:top w:val="nil"/>
              <w:left w:val="nil"/>
              <w:bottom w:val="single" w:sz="4" w:space="0" w:color="000000"/>
              <w:right w:val="single" w:sz="4" w:space="0" w:color="FFFFFF"/>
            </w:tcBorders>
            <w:shd w:val="clear" w:color="auto" w:fill="auto"/>
            <w:noWrap/>
            <w:vAlign w:val="center"/>
            <w:hideMark/>
          </w:tcPr>
          <w:p w14:paraId="60389744" w14:textId="77777777" w:rsidR="00A6640B" w:rsidRPr="000D3EDD" w:rsidRDefault="00A6640B" w:rsidP="000D3EDD">
            <w:pPr>
              <w:spacing w:line="276" w:lineRule="auto"/>
              <w:jc w:val="center"/>
              <w:rPr>
                <w:color w:val="000000"/>
              </w:rPr>
            </w:pPr>
            <w:r w:rsidRPr="000D3EDD">
              <w:rPr>
                <w:color w:val="000000"/>
              </w:rPr>
              <w:t>1.1</w:t>
            </w:r>
          </w:p>
        </w:tc>
        <w:tc>
          <w:tcPr>
            <w:tcW w:w="0" w:type="auto"/>
            <w:tcBorders>
              <w:top w:val="nil"/>
              <w:left w:val="nil"/>
              <w:bottom w:val="single" w:sz="4" w:space="0" w:color="000000"/>
              <w:right w:val="single" w:sz="4" w:space="0" w:color="FFFFFF"/>
            </w:tcBorders>
            <w:shd w:val="clear" w:color="auto" w:fill="auto"/>
            <w:vAlign w:val="center"/>
            <w:hideMark/>
          </w:tcPr>
          <w:p w14:paraId="76100875" w14:textId="77777777" w:rsidR="00A6640B" w:rsidRPr="000D3EDD" w:rsidRDefault="00A6640B" w:rsidP="000D3EDD">
            <w:pPr>
              <w:spacing w:line="276" w:lineRule="auto"/>
              <w:jc w:val="center"/>
              <w:rPr>
                <w:color w:val="000000"/>
              </w:rPr>
            </w:pPr>
            <w:r w:rsidRPr="000D3EDD">
              <w:rPr>
                <w:color w:val="000000"/>
              </w:rPr>
              <w:t>0.6</w:t>
            </w:r>
          </w:p>
        </w:tc>
        <w:tc>
          <w:tcPr>
            <w:tcW w:w="0" w:type="auto"/>
            <w:tcBorders>
              <w:top w:val="nil"/>
              <w:left w:val="nil"/>
              <w:bottom w:val="single" w:sz="4" w:space="0" w:color="000000"/>
              <w:right w:val="single" w:sz="4" w:space="0" w:color="FFFFFF"/>
            </w:tcBorders>
            <w:shd w:val="clear" w:color="auto" w:fill="auto"/>
            <w:noWrap/>
            <w:vAlign w:val="center"/>
            <w:hideMark/>
          </w:tcPr>
          <w:p w14:paraId="60215AE7" w14:textId="77777777" w:rsidR="00A6640B" w:rsidRPr="000D3EDD" w:rsidRDefault="00A6640B" w:rsidP="000D3EDD">
            <w:pPr>
              <w:spacing w:line="276" w:lineRule="auto"/>
              <w:jc w:val="center"/>
              <w:rPr>
                <w:color w:val="000000"/>
              </w:rPr>
            </w:pPr>
            <w:r w:rsidRPr="000D3EDD">
              <w:rPr>
                <w:color w:val="000000"/>
              </w:rPr>
              <w:t>1.3</w:t>
            </w:r>
          </w:p>
        </w:tc>
      </w:tr>
    </w:tbl>
    <w:p w14:paraId="464C4DCE" w14:textId="77777777" w:rsidR="00A6640B" w:rsidRPr="000D3EDD" w:rsidRDefault="00A6640B" w:rsidP="000D3EDD">
      <w:pPr>
        <w:spacing w:line="276" w:lineRule="auto"/>
        <w:rPr>
          <w:b/>
          <w:bCs/>
          <w:color w:val="000000" w:themeColor="text1"/>
        </w:rPr>
      </w:pPr>
    </w:p>
    <w:p w14:paraId="7851AC47" w14:textId="06A5C41E" w:rsidR="00A6640B" w:rsidRPr="000D3EDD" w:rsidRDefault="00A6640B" w:rsidP="000D3EDD">
      <w:pPr>
        <w:spacing w:line="276" w:lineRule="auto"/>
        <w:rPr>
          <w:color w:val="000000" w:themeColor="text1"/>
        </w:rPr>
      </w:pPr>
      <w:r w:rsidRPr="000D3EDD">
        <w:rPr>
          <w:b/>
          <w:bCs/>
          <w:color w:val="000000" w:themeColor="text1"/>
        </w:rPr>
        <w:t>T</w:t>
      </w:r>
      <w:r w:rsidR="00E552ED" w:rsidRPr="000D3EDD">
        <w:rPr>
          <w:b/>
          <w:bCs/>
          <w:color w:val="000000" w:themeColor="text1"/>
        </w:rPr>
        <w:t>able</w:t>
      </w:r>
      <w:r w:rsidRPr="000D3EDD">
        <w:rPr>
          <w:b/>
          <w:bCs/>
          <w:color w:val="000000" w:themeColor="text1"/>
        </w:rPr>
        <w:t xml:space="preserve"> 3. </w:t>
      </w:r>
      <w:r w:rsidRPr="000D3EDD">
        <w:rPr>
          <w:color w:val="000000" w:themeColor="text1"/>
        </w:rPr>
        <w:t>Main activity of PhD holders 3.5 years after graduation</w:t>
      </w:r>
      <w:r w:rsidRPr="000D3EDD">
        <w:rPr>
          <w:b/>
          <w:bCs/>
          <w:color w:val="000000" w:themeColor="text1"/>
        </w:rPr>
        <w:t xml:space="preserve"> </w:t>
      </w:r>
      <w:r w:rsidRPr="000D3EDD">
        <w:rPr>
          <w:color w:val="000000" w:themeColor="text1"/>
        </w:rPr>
        <w:t>(</w:t>
      </w:r>
      <w:r w:rsidRPr="000D3EDD">
        <w:rPr>
          <w:i/>
          <w:iCs/>
          <w:color w:val="000000" w:themeColor="text1"/>
        </w:rPr>
        <w:t>n</w:t>
      </w:r>
      <w:r w:rsidRPr="000D3EDD">
        <w:rPr>
          <w:color w:val="000000" w:themeColor="text1"/>
        </w:rPr>
        <w:t>=4,731)</w:t>
      </w:r>
    </w:p>
    <w:p w14:paraId="18CE88A7" w14:textId="38849905" w:rsidR="00037276" w:rsidRPr="000D3EDD" w:rsidRDefault="00037276" w:rsidP="000D3EDD">
      <w:pPr>
        <w:spacing w:line="276" w:lineRule="auto"/>
        <w:rPr>
          <w:color w:val="000000"/>
        </w:rPr>
      </w:pPr>
      <w:r w:rsidRPr="000D3EDD">
        <w:rPr>
          <w:color w:val="000000" w:themeColor="text1"/>
        </w:rPr>
        <w:t xml:space="preserve">Note: </w:t>
      </w:r>
      <w:r w:rsidRPr="000D3EDD">
        <w:t>‘Social Sciences’ includes Education. ‘V</w:t>
      </w:r>
      <w:r w:rsidRPr="000D3EDD">
        <w:rPr>
          <w:color w:val="000000"/>
        </w:rPr>
        <w:t>oluntary/ unpaid work’ includes unpaid internships.</w:t>
      </w:r>
    </w:p>
    <w:p w14:paraId="51EF3865" w14:textId="615363E4" w:rsidR="001B1AAB" w:rsidRPr="000D3EDD" w:rsidRDefault="001B1AAB" w:rsidP="000D3EDD">
      <w:pPr>
        <w:spacing w:line="276" w:lineRule="auto"/>
        <w:rPr>
          <w:color w:val="000000"/>
        </w:rPr>
      </w:pPr>
    </w:p>
    <w:p w14:paraId="572BFC91" w14:textId="4D851F3E" w:rsidR="001B1AAB" w:rsidRPr="000D3EDD" w:rsidRDefault="001B1AAB" w:rsidP="000D3EDD">
      <w:pPr>
        <w:spacing w:line="276" w:lineRule="auto"/>
        <w:rPr>
          <w:color w:val="000000"/>
        </w:rPr>
      </w:pPr>
    </w:p>
    <w:p w14:paraId="070C5BD4" w14:textId="002B8061" w:rsidR="001B1AAB" w:rsidRPr="000D3EDD" w:rsidRDefault="001B1AAB" w:rsidP="000D3EDD">
      <w:pPr>
        <w:spacing w:line="276" w:lineRule="auto"/>
        <w:rPr>
          <w:color w:val="000000"/>
        </w:rPr>
      </w:pPr>
    </w:p>
    <w:p w14:paraId="1FE8AABC" w14:textId="3BEAA931" w:rsidR="001B1AAB" w:rsidRPr="000D3EDD" w:rsidRDefault="001B1AAB" w:rsidP="000D3EDD">
      <w:pPr>
        <w:spacing w:line="276" w:lineRule="auto"/>
        <w:rPr>
          <w:color w:val="000000"/>
        </w:rPr>
      </w:pPr>
    </w:p>
    <w:p w14:paraId="34699C2F" w14:textId="529999AE" w:rsidR="001B1AAB" w:rsidRPr="000D3EDD" w:rsidRDefault="001B1AAB" w:rsidP="000D3EDD">
      <w:pPr>
        <w:spacing w:line="276" w:lineRule="auto"/>
        <w:rPr>
          <w:color w:val="000000"/>
        </w:rPr>
      </w:pPr>
    </w:p>
    <w:p w14:paraId="5DDA039A" w14:textId="0FC924EF" w:rsidR="001B1AAB" w:rsidRPr="000D3EDD" w:rsidRDefault="001B1AAB" w:rsidP="000D3EDD">
      <w:pPr>
        <w:spacing w:line="276" w:lineRule="auto"/>
        <w:rPr>
          <w:color w:val="000000" w:themeColor="text1"/>
        </w:rPr>
      </w:pPr>
    </w:p>
    <w:p w14:paraId="329A8D36" w14:textId="6E2826C8" w:rsidR="001B1AAB" w:rsidRPr="000D3EDD" w:rsidRDefault="001B1AAB" w:rsidP="000D3EDD">
      <w:pPr>
        <w:spacing w:line="276" w:lineRule="auto"/>
        <w:rPr>
          <w:color w:val="000000" w:themeColor="text1"/>
        </w:rPr>
      </w:pPr>
    </w:p>
    <w:p w14:paraId="1564C284" w14:textId="5586FF2B" w:rsidR="001B1AAB" w:rsidRPr="000D3EDD" w:rsidRDefault="001B1AAB" w:rsidP="000D3EDD">
      <w:pPr>
        <w:spacing w:line="276" w:lineRule="auto"/>
        <w:rPr>
          <w:color w:val="000000" w:themeColor="text1"/>
        </w:rPr>
      </w:pPr>
    </w:p>
    <w:p w14:paraId="36F7FDD2" w14:textId="62D13C07" w:rsidR="001B1AAB" w:rsidRPr="000D3EDD" w:rsidRDefault="001B1AAB" w:rsidP="000D3EDD">
      <w:pPr>
        <w:spacing w:line="276" w:lineRule="auto"/>
        <w:rPr>
          <w:color w:val="000000" w:themeColor="text1"/>
        </w:rPr>
      </w:pPr>
    </w:p>
    <w:p w14:paraId="0FF8B11D" w14:textId="52AF4D79" w:rsidR="001B1AAB" w:rsidRPr="000D3EDD" w:rsidRDefault="001B1AAB" w:rsidP="000D3EDD">
      <w:pPr>
        <w:spacing w:line="276" w:lineRule="auto"/>
        <w:rPr>
          <w:color w:val="000000" w:themeColor="text1"/>
        </w:rPr>
      </w:pPr>
    </w:p>
    <w:p w14:paraId="2A3BEDAE" w14:textId="5819F411" w:rsidR="001B1AAB" w:rsidRPr="000D3EDD" w:rsidRDefault="001B1AAB" w:rsidP="000D3EDD">
      <w:pPr>
        <w:spacing w:line="276" w:lineRule="auto"/>
        <w:rPr>
          <w:color w:val="000000" w:themeColor="text1"/>
        </w:rPr>
      </w:pPr>
    </w:p>
    <w:p w14:paraId="76B5116E" w14:textId="1B6AA053" w:rsidR="001B1AAB" w:rsidRPr="000D3EDD" w:rsidRDefault="001B1AAB" w:rsidP="000D3EDD">
      <w:pPr>
        <w:spacing w:line="276" w:lineRule="auto"/>
        <w:rPr>
          <w:color w:val="000000" w:themeColor="text1"/>
        </w:rPr>
      </w:pPr>
    </w:p>
    <w:p w14:paraId="64955143" w14:textId="4F5B719F" w:rsidR="001B1AAB" w:rsidRPr="000D3EDD" w:rsidRDefault="001B1AAB" w:rsidP="000D3EDD">
      <w:pPr>
        <w:spacing w:line="276" w:lineRule="auto"/>
        <w:rPr>
          <w:color w:val="000000" w:themeColor="text1"/>
        </w:rPr>
      </w:pPr>
    </w:p>
    <w:p w14:paraId="0222CB64" w14:textId="0BE15AA7" w:rsidR="001B1AAB" w:rsidRPr="000D3EDD" w:rsidRDefault="001B1AAB" w:rsidP="000D3EDD">
      <w:pPr>
        <w:spacing w:line="276" w:lineRule="auto"/>
        <w:rPr>
          <w:color w:val="000000" w:themeColor="text1"/>
        </w:rPr>
      </w:pPr>
    </w:p>
    <w:p w14:paraId="5F5F694C" w14:textId="77777777" w:rsidR="001B1AAB" w:rsidRPr="000D3EDD" w:rsidRDefault="001B1AAB" w:rsidP="000D3EDD">
      <w:pPr>
        <w:spacing w:line="276" w:lineRule="auto"/>
        <w:rPr>
          <w:color w:val="000000" w:themeColor="text1"/>
        </w:rPr>
      </w:pPr>
    </w:p>
    <w:p w14:paraId="66FB0F81" w14:textId="77777777" w:rsidR="00A6640B" w:rsidRPr="000D3EDD" w:rsidRDefault="00A6640B" w:rsidP="000D3EDD">
      <w:pPr>
        <w:spacing w:line="276" w:lineRule="auto"/>
        <w:rPr>
          <w:color w:val="000000"/>
        </w:rPr>
      </w:pPr>
    </w:p>
    <w:p w14:paraId="58B65083" w14:textId="77777777" w:rsidR="00A6640B" w:rsidRPr="000D3EDD" w:rsidRDefault="00A6640B" w:rsidP="000D3EDD">
      <w:pPr>
        <w:spacing w:line="276" w:lineRule="auto"/>
        <w:rPr>
          <w:color w:val="000000"/>
        </w:rPr>
      </w:pPr>
    </w:p>
    <w:p w14:paraId="527C4D31" w14:textId="6A577505" w:rsidR="00E66130" w:rsidRPr="000D3EDD" w:rsidRDefault="00E66130" w:rsidP="000D3EDD">
      <w:pPr>
        <w:spacing w:line="276" w:lineRule="auto"/>
        <w:rPr>
          <w:color w:val="000000" w:themeColor="text1"/>
        </w:rPr>
      </w:pPr>
    </w:p>
    <w:p w14:paraId="38312B5E" w14:textId="450BA329" w:rsidR="001B1AAB" w:rsidRPr="000D3EDD" w:rsidRDefault="001B1AAB" w:rsidP="000D3EDD">
      <w:pPr>
        <w:spacing w:line="276" w:lineRule="auto"/>
        <w:rPr>
          <w:color w:val="000000" w:themeColor="text1"/>
        </w:rPr>
      </w:pPr>
    </w:p>
    <w:p w14:paraId="6A7F3E6C" w14:textId="2E8AAFF8" w:rsidR="0068073B" w:rsidRPr="000D3EDD" w:rsidRDefault="0068073B" w:rsidP="000D3EDD">
      <w:pPr>
        <w:spacing w:line="276" w:lineRule="auto"/>
        <w:rPr>
          <w:color w:val="000000" w:themeColor="text1"/>
        </w:rPr>
      </w:pPr>
    </w:p>
    <w:p w14:paraId="198D84CE" w14:textId="77777777" w:rsidR="0068073B" w:rsidRPr="000D3EDD" w:rsidRDefault="0068073B" w:rsidP="000D3EDD">
      <w:pPr>
        <w:spacing w:line="276" w:lineRule="auto"/>
        <w:rPr>
          <w:color w:val="000000" w:themeColor="text1"/>
        </w:rPr>
      </w:pPr>
    </w:p>
    <w:p w14:paraId="6FBEC065" w14:textId="03E7DE1A" w:rsidR="001B1AAB" w:rsidRPr="000D3EDD" w:rsidRDefault="001B1AAB" w:rsidP="000D3EDD">
      <w:pPr>
        <w:spacing w:line="276" w:lineRule="auto"/>
        <w:rPr>
          <w:color w:val="000000" w:themeColor="text1"/>
        </w:rPr>
      </w:pPr>
    </w:p>
    <w:p w14:paraId="71404536" w14:textId="49AC2A8B" w:rsidR="001B1AAB" w:rsidRPr="000D3EDD" w:rsidRDefault="001B1AAB" w:rsidP="000D3EDD">
      <w:pPr>
        <w:spacing w:line="276" w:lineRule="auto"/>
        <w:rPr>
          <w:color w:val="000000" w:themeColor="text1"/>
        </w:rPr>
      </w:pPr>
    </w:p>
    <w:p w14:paraId="1FE99A45" w14:textId="5FD00B87" w:rsidR="001B1AAB" w:rsidRPr="000D3EDD" w:rsidRDefault="001B1AAB" w:rsidP="000D3EDD">
      <w:pPr>
        <w:spacing w:line="276" w:lineRule="auto"/>
        <w:rPr>
          <w:color w:val="000000" w:themeColor="text1"/>
        </w:rPr>
      </w:pPr>
    </w:p>
    <w:p w14:paraId="4B57184D" w14:textId="77777777" w:rsidR="001B1AAB" w:rsidRPr="000D3EDD" w:rsidRDefault="001B1AAB" w:rsidP="000D3EDD">
      <w:pPr>
        <w:spacing w:line="276" w:lineRule="auto"/>
        <w:rPr>
          <w:color w:val="000000" w:themeColor="text1"/>
        </w:rPr>
      </w:pPr>
    </w:p>
    <w:tbl>
      <w:tblPr>
        <w:tblW w:w="0" w:type="auto"/>
        <w:tblLook w:val="04A0" w:firstRow="1" w:lastRow="0" w:firstColumn="1" w:lastColumn="0" w:noHBand="0" w:noVBand="1"/>
      </w:tblPr>
      <w:tblGrid>
        <w:gridCol w:w="4909"/>
        <w:gridCol w:w="1610"/>
      </w:tblGrid>
      <w:tr w:rsidR="00A6640B" w:rsidRPr="000D3EDD" w14:paraId="63E9AE22" w14:textId="77777777" w:rsidTr="00FA50A2">
        <w:trPr>
          <w:trHeight w:val="424"/>
        </w:trPr>
        <w:tc>
          <w:tcPr>
            <w:tcW w:w="0" w:type="auto"/>
            <w:tcBorders>
              <w:top w:val="single" w:sz="4" w:space="0" w:color="000000"/>
              <w:left w:val="single" w:sz="4" w:space="0" w:color="FFFFFF"/>
              <w:bottom w:val="single" w:sz="4" w:space="0" w:color="000000"/>
              <w:right w:val="single" w:sz="4" w:space="0" w:color="FFFFFF"/>
            </w:tcBorders>
            <w:shd w:val="clear" w:color="auto" w:fill="auto"/>
            <w:noWrap/>
            <w:vAlign w:val="center"/>
            <w:hideMark/>
          </w:tcPr>
          <w:p w14:paraId="5B3BB2F6" w14:textId="77777777" w:rsidR="00A6640B" w:rsidRPr="000D3EDD" w:rsidRDefault="00A6640B" w:rsidP="000D3EDD">
            <w:pPr>
              <w:spacing w:line="276" w:lineRule="auto"/>
              <w:jc w:val="right"/>
              <w:rPr>
                <w:color w:val="000000"/>
              </w:rPr>
            </w:pPr>
            <w:r w:rsidRPr="000D3EDD">
              <w:rPr>
                <w:color w:val="000000"/>
              </w:rPr>
              <w:lastRenderedPageBreak/>
              <w:t> </w:t>
            </w:r>
          </w:p>
        </w:tc>
        <w:tc>
          <w:tcPr>
            <w:tcW w:w="0" w:type="auto"/>
            <w:tcBorders>
              <w:top w:val="single" w:sz="4" w:space="0" w:color="000000"/>
              <w:left w:val="nil"/>
              <w:bottom w:val="single" w:sz="4" w:space="0" w:color="000000"/>
              <w:right w:val="single" w:sz="4" w:space="0" w:color="FFFFFF"/>
            </w:tcBorders>
            <w:shd w:val="clear" w:color="auto" w:fill="auto"/>
            <w:noWrap/>
            <w:vAlign w:val="center"/>
            <w:hideMark/>
          </w:tcPr>
          <w:p w14:paraId="1C4D7E0E" w14:textId="77777777" w:rsidR="00A6640B" w:rsidRPr="000D3EDD" w:rsidRDefault="00A6640B" w:rsidP="000D3EDD">
            <w:pPr>
              <w:spacing w:line="276" w:lineRule="auto"/>
              <w:jc w:val="right"/>
              <w:rPr>
                <w:b/>
                <w:bCs/>
                <w:color w:val="000000"/>
              </w:rPr>
            </w:pPr>
            <w:r w:rsidRPr="000D3EDD">
              <w:rPr>
                <w:b/>
                <w:bCs/>
                <w:color w:val="000000"/>
              </w:rPr>
              <w:t>Valid percent</w:t>
            </w:r>
          </w:p>
        </w:tc>
      </w:tr>
      <w:tr w:rsidR="00A6640B" w:rsidRPr="000D3EDD" w14:paraId="0EA0E309" w14:textId="77777777" w:rsidTr="00FA50A2">
        <w:trPr>
          <w:trHeight w:val="30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16CA4065" w14:textId="77777777" w:rsidR="00A6640B" w:rsidRPr="000D3EDD" w:rsidRDefault="00A6640B" w:rsidP="000D3EDD">
            <w:pPr>
              <w:spacing w:line="276" w:lineRule="auto"/>
              <w:jc w:val="right"/>
              <w:rPr>
                <w:color w:val="000000"/>
              </w:rPr>
            </w:pPr>
            <w:r w:rsidRPr="000D3EDD">
              <w:rPr>
                <w:color w:val="000000"/>
              </w:rPr>
              <w:t>Academic year</w:t>
            </w:r>
          </w:p>
        </w:tc>
        <w:tc>
          <w:tcPr>
            <w:tcW w:w="0" w:type="auto"/>
            <w:tcBorders>
              <w:top w:val="nil"/>
              <w:left w:val="nil"/>
              <w:bottom w:val="single" w:sz="4" w:space="0" w:color="FFFFFF"/>
              <w:right w:val="single" w:sz="4" w:space="0" w:color="FFFFFF"/>
            </w:tcBorders>
            <w:shd w:val="clear" w:color="auto" w:fill="auto"/>
            <w:noWrap/>
            <w:vAlign w:val="center"/>
            <w:hideMark/>
          </w:tcPr>
          <w:p w14:paraId="681527B3" w14:textId="77777777" w:rsidR="00A6640B" w:rsidRPr="000D3EDD" w:rsidRDefault="00A6640B" w:rsidP="000D3EDD">
            <w:pPr>
              <w:spacing w:line="276" w:lineRule="auto"/>
              <w:jc w:val="right"/>
              <w:rPr>
                <w:color w:val="000000"/>
              </w:rPr>
            </w:pPr>
            <w:r w:rsidRPr="000D3EDD">
              <w:rPr>
                <w:color w:val="000000"/>
              </w:rPr>
              <w:t>0.0</w:t>
            </w:r>
          </w:p>
        </w:tc>
      </w:tr>
      <w:tr w:rsidR="00A6640B" w:rsidRPr="000D3EDD" w14:paraId="075B9127" w14:textId="77777777" w:rsidTr="00FA50A2">
        <w:trPr>
          <w:trHeight w:val="30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4D327E0D" w14:textId="77777777" w:rsidR="00A6640B" w:rsidRPr="000D3EDD" w:rsidRDefault="00A6640B" w:rsidP="000D3EDD">
            <w:pPr>
              <w:spacing w:line="276" w:lineRule="auto"/>
              <w:jc w:val="right"/>
              <w:rPr>
                <w:color w:val="000000"/>
              </w:rPr>
            </w:pPr>
            <w:r w:rsidRPr="000D3EDD">
              <w:rPr>
                <w:color w:val="000000"/>
              </w:rPr>
              <w:t>Doctoral subject</w:t>
            </w:r>
          </w:p>
        </w:tc>
        <w:tc>
          <w:tcPr>
            <w:tcW w:w="0" w:type="auto"/>
            <w:tcBorders>
              <w:top w:val="nil"/>
              <w:left w:val="nil"/>
              <w:bottom w:val="single" w:sz="4" w:space="0" w:color="FFFFFF"/>
              <w:right w:val="single" w:sz="4" w:space="0" w:color="FFFFFF"/>
            </w:tcBorders>
            <w:shd w:val="clear" w:color="auto" w:fill="auto"/>
            <w:noWrap/>
            <w:vAlign w:val="center"/>
            <w:hideMark/>
          </w:tcPr>
          <w:p w14:paraId="251A91E4" w14:textId="77777777" w:rsidR="00A6640B" w:rsidRPr="000D3EDD" w:rsidRDefault="00A6640B" w:rsidP="000D3EDD">
            <w:pPr>
              <w:spacing w:line="276" w:lineRule="auto"/>
              <w:jc w:val="right"/>
              <w:rPr>
                <w:color w:val="000000"/>
              </w:rPr>
            </w:pPr>
            <w:r w:rsidRPr="000D3EDD">
              <w:rPr>
                <w:color w:val="000000"/>
              </w:rPr>
              <w:t>0.0</w:t>
            </w:r>
          </w:p>
        </w:tc>
      </w:tr>
      <w:tr w:rsidR="00A6640B" w:rsidRPr="000D3EDD" w14:paraId="7A5653F0" w14:textId="77777777" w:rsidTr="00FA50A2">
        <w:trPr>
          <w:trHeight w:val="30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5EDC36EB" w14:textId="77777777" w:rsidR="00A6640B" w:rsidRPr="000D3EDD" w:rsidRDefault="00A6640B" w:rsidP="000D3EDD">
            <w:pPr>
              <w:spacing w:line="276" w:lineRule="auto"/>
              <w:jc w:val="right"/>
              <w:rPr>
                <w:color w:val="000000"/>
              </w:rPr>
            </w:pPr>
            <w:r w:rsidRPr="000D3EDD">
              <w:rPr>
                <w:color w:val="000000"/>
              </w:rPr>
              <w:t>Doctoral institution</w:t>
            </w:r>
          </w:p>
        </w:tc>
        <w:tc>
          <w:tcPr>
            <w:tcW w:w="0" w:type="auto"/>
            <w:tcBorders>
              <w:top w:val="nil"/>
              <w:left w:val="nil"/>
              <w:bottom w:val="single" w:sz="4" w:space="0" w:color="FFFFFF"/>
              <w:right w:val="single" w:sz="4" w:space="0" w:color="FFFFFF"/>
            </w:tcBorders>
            <w:shd w:val="clear" w:color="auto" w:fill="auto"/>
            <w:noWrap/>
            <w:vAlign w:val="center"/>
            <w:hideMark/>
          </w:tcPr>
          <w:p w14:paraId="4133C697" w14:textId="77777777" w:rsidR="00A6640B" w:rsidRPr="000D3EDD" w:rsidRDefault="00A6640B" w:rsidP="000D3EDD">
            <w:pPr>
              <w:spacing w:line="276" w:lineRule="auto"/>
              <w:jc w:val="right"/>
              <w:rPr>
                <w:color w:val="000000"/>
              </w:rPr>
            </w:pPr>
            <w:r w:rsidRPr="000D3EDD">
              <w:rPr>
                <w:color w:val="000000"/>
              </w:rPr>
              <w:t>0.0</w:t>
            </w:r>
          </w:p>
        </w:tc>
      </w:tr>
      <w:tr w:rsidR="00A6640B" w:rsidRPr="000D3EDD" w14:paraId="4CCE6EC8" w14:textId="77777777" w:rsidTr="00FA50A2">
        <w:trPr>
          <w:trHeight w:val="30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5CDF0A28" w14:textId="77777777" w:rsidR="00A6640B" w:rsidRPr="000D3EDD" w:rsidRDefault="00A6640B" w:rsidP="000D3EDD">
            <w:pPr>
              <w:spacing w:line="276" w:lineRule="auto"/>
              <w:jc w:val="right"/>
              <w:rPr>
                <w:color w:val="000000"/>
              </w:rPr>
            </w:pPr>
            <w:r w:rsidRPr="000D3EDD">
              <w:rPr>
                <w:color w:val="000000"/>
              </w:rPr>
              <w:t>Entry qualification</w:t>
            </w:r>
          </w:p>
        </w:tc>
        <w:tc>
          <w:tcPr>
            <w:tcW w:w="0" w:type="auto"/>
            <w:tcBorders>
              <w:top w:val="nil"/>
              <w:left w:val="nil"/>
              <w:bottom w:val="single" w:sz="4" w:space="0" w:color="FFFFFF"/>
              <w:right w:val="single" w:sz="4" w:space="0" w:color="FFFFFF"/>
            </w:tcBorders>
            <w:shd w:val="clear" w:color="auto" w:fill="auto"/>
            <w:noWrap/>
            <w:vAlign w:val="center"/>
            <w:hideMark/>
          </w:tcPr>
          <w:p w14:paraId="739596FD" w14:textId="77777777" w:rsidR="00A6640B" w:rsidRPr="000D3EDD" w:rsidRDefault="00A6640B" w:rsidP="000D3EDD">
            <w:pPr>
              <w:spacing w:line="276" w:lineRule="auto"/>
              <w:jc w:val="right"/>
              <w:rPr>
                <w:color w:val="000000"/>
              </w:rPr>
            </w:pPr>
            <w:r w:rsidRPr="000D3EDD">
              <w:rPr>
                <w:color w:val="000000"/>
              </w:rPr>
              <w:t>12.7</w:t>
            </w:r>
          </w:p>
        </w:tc>
      </w:tr>
      <w:tr w:rsidR="00A6640B" w:rsidRPr="000D3EDD" w14:paraId="68FACE36" w14:textId="77777777" w:rsidTr="00FA50A2">
        <w:trPr>
          <w:trHeight w:val="30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267CC6B3" w14:textId="77777777" w:rsidR="00A6640B" w:rsidRPr="000D3EDD" w:rsidRDefault="00A6640B" w:rsidP="000D3EDD">
            <w:pPr>
              <w:spacing w:line="276" w:lineRule="auto"/>
              <w:jc w:val="right"/>
              <w:rPr>
                <w:color w:val="000000"/>
              </w:rPr>
            </w:pPr>
            <w:r w:rsidRPr="000D3EDD">
              <w:rPr>
                <w:color w:val="000000"/>
              </w:rPr>
              <w:t>Age</w:t>
            </w:r>
          </w:p>
        </w:tc>
        <w:tc>
          <w:tcPr>
            <w:tcW w:w="0" w:type="auto"/>
            <w:tcBorders>
              <w:top w:val="nil"/>
              <w:left w:val="nil"/>
              <w:bottom w:val="single" w:sz="4" w:space="0" w:color="FFFFFF"/>
              <w:right w:val="single" w:sz="4" w:space="0" w:color="FFFFFF"/>
            </w:tcBorders>
            <w:shd w:val="clear" w:color="auto" w:fill="auto"/>
            <w:noWrap/>
            <w:vAlign w:val="center"/>
            <w:hideMark/>
          </w:tcPr>
          <w:p w14:paraId="1BDF84EA" w14:textId="77777777" w:rsidR="00A6640B" w:rsidRPr="000D3EDD" w:rsidRDefault="00A6640B" w:rsidP="000D3EDD">
            <w:pPr>
              <w:spacing w:line="276" w:lineRule="auto"/>
              <w:jc w:val="right"/>
              <w:rPr>
                <w:color w:val="000000"/>
              </w:rPr>
            </w:pPr>
            <w:r w:rsidRPr="000D3EDD">
              <w:rPr>
                <w:color w:val="000000"/>
              </w:rPr>
              <w:t>0.0</w:t>
            </w:r>
          </w:p>
        </w:tc>
      </w:tr>
      <w:tr w:rsidR="00A6640B" w:rsidRPr="000D3EDD" w14:paraId="5DDA90E6" w14:textId="77777777" w:rsidTr="00FA50A2">
        <w:trPr>
          <w:trHeight w:val="30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78C5D936" w14:textId="77777777" w:rsidR="00A6640B" w:rsidRPr="000D3EDD" w:rsidRDefault="00A6640B" w:rsidP="000D3EDD">
            <w:pPr>
              <w:spacing w:line="276" w:lineRule="auto"/>
              <w:jc w:val="right"/>
              <w:rPr>
                <w:color w:val="000000"/>
              </w:rPr>
            </w:pPr>
            <w:r w:rsidRPr="000D3EDD">
              <w:rPr>
                <w:color w:val="000000"/>
              </w:rPr>
              <w:t>Gender</w:t>
            </w:r>
          </w:p>
        </w:tc>
        <w:tc>
          <w:tcPr>
            <w:tcW w:w="0" w:type="auto"/>
            <w:tcBorders>
              <w:top w:val="nil"/>
              <w:left w:val="nil"/>
              <w:bottom w:val="single" w:sz="4" w:space="0" w:color="FFFFFF"/>
              <w:right w:val="single" w:sz="4" w:space="0" w:color="FFFFFF"/>
            </w:tcBorders>
            <w:shd w:val="clear" w:color="auto" w:fill="auto"/>
            <w:noWrap/>
            <w:vAlign w:val="center"/>
            <w:hideMark/>
          </w:tcPr>
          <w:p w14:paraId="592AE686" w14:textId="77777777" w:rsidR="00A6640B" w:rsidRPr="000D3EDD" w:rsidRDefault="00A6640B" w:rsidP="000D3EDD">
            <w:pPr>
              <w:spacing w:line="276" w:lineRule="auto"/>
              <w:jc w:val="right"/>
              <w:rPr>
                <w:color w:val="000000"/>
              </w:rPr>
            </w:pPr>
            <w:r w:rsidRPr="000D3EDD">
              <w:rPr>
                <w:color w:val="000000"/>
              </w:rPr>
              <w:t>0.0</w:t>
            </w:r>
          </w:p>
        </w:tc>
      </w:tr>
      <w:tr w:rsidR="00A6640B" w:rsidRPr="000D3EDD" w14:paraId="3B6DC95A" w14:textId="77777777" w:rsidTr="00FA50A2">
        <w:trPr>
          <w:trHeight w:val="30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24F5A8D0" w14:textId="77777777" w:rsidR="00A6640B" w:rsidRPr="000D3EDD" w:rsidRDefault="00A6640B" w:rsidP="000D3EDD">
            <w:pPr>
              <w:spacing w:line="276" w:lineRule="auto"/>
              <w:jc w:val="right"/>
              <w:rPr>
                <w:color w:val="000000"/>
              </w:rPr>
            </w:pPr>
            <w:r w:rsidRPr="000D3EDD">
              <w:rPr>
                <w:color w:val="000000"/>
              </w:rPr>
              <w:t>Ethnicity</w:t>
            </w:r>
          </w:p>
        </w:tc>
        <w:tc>
          <w:tcPr>
            <w:tcW w:w="0" w:type="auto"/>
            <w:tcBorders>
              <w:top w:val="nil"/>
              <w:left w:val="nil"/>
              <w:bottom w:val="single" w:sz="4" w:space="0" w:color="FFFFFF"/>
              <w:right w:val="single" w:sz="4" w:space="0" w:color="FFFFFF"/>
            </w:tcBorders>
            <w:shd w:val="clear" w:color="auto" w:fill="auto"/>
            <w:noWrap/>
            <w:vAlign w:val="center"/>
            <w:hideMark/>
          </w:tcPr>
          <w:p w14:paraId="7F5A048E" w14:textId="77777777" w:rsidR="00A6640B" w:rsidRPr="000D3EDD" w:rsidRDefault="00A6640B" w:rsidP="000D3EDD">
            <w:pPr>
              <w:spacing w:line="276" w:lineRule="auto"/>
              <w:jc w:val="right"/>
              <w:rPr>
                <w:color w:val="000000"/>
              </w:rPr>
            </w:pPr>
            <w:r w:rsidRPr="000D3EDD">
              <w:rPr>
                <w:color w:val="000000"/>
              </w:rPr>
              <w:t>6.2</w:t>
            </w:r>
          </w:p>
        </w:tc>
      </w:tr>
      <w:tr w:rsidR="00A6640B" w:rsidRPr="000D3EDD" w14:paraId="4E7A6B65" w14:textId="77777777" w:rsidTr="00FA50A2">
        <w:trPr>
          <w:trHeight w:val="300"/>
        </w:trPr>
        <w:tc>
          <w:tcPr>
            <w:tcW w:w="0" w:type="auto"/>
            <w:tcBorders>
              <w:top w:val="nil"/>
              <w:left w:val="single" w:sz="4" w:space="0" w:color="FFFFFF"/>
              <w:bottom w:val="single" w:sz="4" w:space="0" w:color="FFFFFF"/>
              <w:right w:val="single" w:sz="4" w:space="0" w:color="FFFFFF"/>
            </w:tcBorders>
            <w:shd w:val="clear" w:color="auto" w:fill="auto"/>
            <w:noWrap/>
            <w:vAlign w:val="bottom"/>
            <w:hideMark/>
          </w:tcPr>
          <w:p w14:paraId="7DD24EA5" w14:textId="77777777" w:rsidR="00A6640B" w:rsidRPr="000D3EDD" w:rsidRDefault="00A6640B" w:rsidP="000D3EDD">
            <w:pPr>
              <w:spacing w:line="276" w:lineRule="auto"/>
              <w:jc w:val="right"/>
              <w:rPr>
                <w:color w:val="000000"/>
              </w:rPr>
            </w:pPr>
            <w:r w:rsidRPr="000D3EDD">
              <w:rPr>
                <w:color w:val="000000"/>
              </w:rPr>
              <w:t>School attended</w:t>
            </w:r>
          </w:p>
        </w:tc>
        <w:tc>
          <w:tcPr>
            <w:tcW w:w="0" w:type="auto"/>
            <w:tcBorders>
              <w:top w:val="nil"/>
              <w:left w:val="nil"/>
              <w:bottom w:val="single" w:sz="4" w:space="0" w:color="FFFFFF"/>
              <w:right w:val="single" w:sz="4" w:space="0" w:color="FFFFFF"/>
            </w:tcBorders>
            <w:shd w:val="clear" w:color="auto" w:fill="auto"/>
            <w:noWrap/>
            <w:vAlign w:val="center"/>
            <w:hideMark/>
          </w:tcPr>
          <w:p w14:paraId="081FFEB0" w14:textId="77777777" w:rsidR="00A6640B" w:rsidRPr="000D3EDD" w:rsidRDefault="00A6640B" w:rsidP="000D3EDD">
            <w:pPr>
              <w:spacing w:line="276" w:lineRule="auto"/>
              <w:jc w:val="right"/>
              <w:rPr>
                <w:color w:val="000000"/>
              </w:rPr>
            </w:pPr>
            <w:r w:rsidRPr="000D3EDD">
              <w:rPr>
                <w:color w:val="000000"/>
              </w:rPr>
              <w:t>56.0</w:t>
            </w:r>
          </w:p>
        </w:tc>
      </w:tr>
      <w:tr w:rsidR="00A6640B" w:rsidRPr="000D3EDD" w14:paraId="3654FB56" w14:textId="77777777" w:rsidTr="00FA50A2">
        <w:trPr>
          <w:trHeight w:val="30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4976EA24" w14:textId="77777777" w:rsidR="00A6640B" w:rsidRPr="000D3EDD" w:rsidRDefault="00A6640B" w:rsidP="000D3EDD">
            <w:pPr>
              <w:spacing w:line="276" w:lineRule="auto"/>
              <w:jc w:val="right"/>
              <w:rPr>
                <w:color w:val="000000"/>
              </w:rPr>
            </w:pPr>
            <w:r w:rsidRPr="000D3EDD">
              <w:rPr>
                <w:color w:val="000000"/>
              </w:rPr>
              <w:t>Parental occupation</w:t>
            </w:r>
          </w:p>
        </w:tc>
        <w:tc>
          <w:tcPr>
            <w:tcW w:w="0" w:type="auto"/>
            <w:tcBorders>
              <w:top w:val="nil"/>
              <w:left w:val="nil"/>
              <w:bottom w:val="single" w:sz="4" w:space="0" w:color="FFFFFF"/>
              <w:right w:val="single" w:sz="4" w:space="0" w:color="FFFFFF"/>
            </w:tcBorders>
            <w:shd w:val="clear" w:color="auto" w:fill="auto"/>
            <w:noWrap/>
            <w:vAlign w:val="center"/>
            <w:hideMark/>
          </w:tcPr>
          <w:p w14:paraId="720148DB" w14:textId="77777777" w:rsidR="00A6640B" w:rsidRPr="000D3EDD" w:rsidRDefault="00A6640B" w:rsidP="000D3EDD">
            <w:pPr>
              <w:spacing w:line="276" w:lineRule="auto"/>
              <w:jc w:val="right"/>
              <w:rPr>
                <w:color w:val="000000"/>
              </w:rPr>
            </w:pPr>
            <w:r w:rsidRPr="000D3EDD">
              <w:rPr>
                <w:color w:val="000000"/>
              </w:rPr>
              <w:t>94.0</w:t>
            </w:r>
          </w:p>
        </w:tc>
      </w:tr>
      <w:tr w:rsidR="00A6640B" w:rsidRPr="000D3EDD" w14:paraId="0DF208D2" w14:textId="77777777" w:rsidTr="00FA50A2">
        <w:trPr>
          <w:trHeight w:val="300"/>
        </w:trPr>
        <w:tc>
          <w:tcPr>
            <w:tcW w:w="0" w:type="auto"/>
            <w:tcBorders>
              <w:top w:val="nil"/>
              <w:left w:val="single" w:sz="4" w:space="0" w:color="FFFFFF"/>
              <w:bottom w:val="single" w:sz="4" w:space="0" w:color="FFFFFF"/>
              <w:right w:val="single" w:sz="4" w:space="0" w:color="FFFFFF"/>
            </w:tcBorders>
            <w:shd w:val="clear" w:color="auto" w:fill="auto"/>
            <w:noWrap/>
            <w:vAlign w:val="center"/>
            <w:hideMark/>
          </w:tcPr>
          <w:p w14:paraId="753ADCCB" w14:textId="77777777" w:rsidR="00A6640B" w:rsidRPr="000D3EDD" w:rsidRDefault="00A6640B" w:rsidP="000D3EDD">
            <w:pPr>
              <w:spacing w:line="276" w:lineRule="auto"/>
              <w:jc w:val="right"/>
              <w:rPr>
                <w:color w:val="000000"/>
              </w:rPr>
            </w:pPr>
            <w:r w:rsidRPr="000D3EDD">
              <w:rPr>
                <w:color w:val="000000"/>
              </w:rPr>
              <w:t>Parental education</w:t>
            </w:r>
          </w:p>
        </w:tc>
        <w:tc>
          <w:tcPr>
            <w:tcW w:w="0" w:type="auto"/>
            <w:tcBorders>
              <w:top w:val="nil"/>
              <w:left w:val="nil"/>
              <w:bottom w:val="single" w:sz="4" w:space="0" w:color="FFFFFF"/>
              <w:right w:val="single" w:sz="4" w:space="0" w:color="FFFFFF"/>
            </w:tcBorders>
            <w:shd w:val="clear" w:color="auto" w:fill="auto"/>
            <w:noWrap/>
            <w:vAlign w:val="center"/>
            <w:hideMark/>
          </w:tcPr>
          <w:p w14:paraId="6E354DAE" w14:textId="77777777" w:rsidR="00A6640B" w:rsidRPr="000D3EDD" w:rsidRDefault="00A6640B" w:rsidP="000D3EDD">
            <w:pPr>
              <w:spacing w:line="276" w:lineRule="auto"/>
              <w:jc w:val="right"/>
              <w:rPr>
                <w:color w:val="000000"/>
              </w:rPr>
            </w:pPr>
            <w:r w:rsidRPr="000D3EDD">
              <w:rPr>
                <w:color w:val="000000"/>
              </w:rPr>
              <w:t>7.0</w:t>
            </w:r>
          </w:p>
        </w:tc>
      </w:tr>
      <w:tr w:rsidR="00A6640B" w:rsidRPr="000D3EDD" w14:paraId="38EFA9D4" w14:textId="77777777" w:rsidTr="00FA50A2">
        <w:trPr>
          <w:trHeight w:val="300"/>
        </w:trPr>
        <w:tc>
          <w:tcPr>
            <w:tcW w:w="0" w:type="auto"/>
            <w:tcBorders>
              <w:top w:val="nil"/>
              <w:left w:val="single" w:sz="4" w:space="0" w:color="FFFFFF"/>
              <w:bottom w:val="single" w:sz="4" w:space="0" w:color="000000"/>
              <w:right w:val="single" w:sz="4" w:space="0" w:color="FFFFFF"/>
            </w:tcBorders>
            <w:shd w:val="clear" w:color="auto" w:fill="auto"/>
            <w:noWrap/>
            <w:vAlign w:val="center"/>
            <w:hideMark/>
          </w:tcPr>
          <w:p w14:paraId="19491677" w14:textId="77777777" w:rsidR="00A6640B" w:rsidRPr="000D3EDD" w:rsidRDefault="00A6640B" w:rsidP="000D3EDD">
            <w:pPr>
              <w:spacing w:line="276" w:lineRule="auto"/>
              <w:jc w:val="right"/>
              <w:rPr>
                <w:color w:val="000000"/>
              </w:rPr>
            </w:pPr>
            <w:r w:rsidRPr="000D3EDD">
              <w:rPr>
                <w:color w:val="000000"/>
              </w:rPr>
              <w:t>Neighbourhood participation in higher education</w:t>
            </w:r>
          </w:p>
        </w:tc>
        <w:tc>
          <w:tcPr>
            <w:tcW w:w="0" w:type="auto"/>
            <w:tcBorders>
              <w:top w:val="nil"/>
              <w:left w:val="nil"/>
              <w:bottom w:val="single" w:sz="4" w:space="0" w:color="000000"/>
              <w:right w:val="single" w:sz="4" w:space="0" w:color="FFFFFF"/>
            </w:tcBorders>
            <w:shd w:val="clear" w:color="auto" w:fill="auto"/>
            <w:noWrap/>
            <w:vAlign w:val="bottom"/>
            <w:hideMark/>
          </w:tcPr>
          <w:p w14:paraId="23EF9339" w14:textId="77777777" w:rsidR="00A6640B" w:rsidRPr="000D3EDD" w:rsidRDefault="00A6640B" w:rsidP="000D3EDD">
            <w:pPr>
              <w:spacing w:line="276" w:lineRule="auto"/>
              <w:jc w:val="right"/>
              <w:rPr>
                <w:color w:val="000000"/>
              </w:rPr>
            </w:pPr>
            <w:r w:rsidRPr="000D3EDD">
              <w:rPr>
                <w:color w:val="000000"/>
              </w:rPr>
              <w:t>3.9</w:t>
            </w:r>
          </w:p>
        </w:tc>
      </w:tr>
    </w:tbl>
    <w:p w14:paraId="5D5305BA" w14:textId="77777777" w:rsidR="00A6640B" w:rsidRPr="000D3EDD" w:rsidRDefault="00A6640B" w:rsidP="000D3EDD">
      <w:pPr>
        <w:spacing w:line="276" w:lineRule="auto"/>
        <w:textAlignment w:val="baseline"/>
        <w:rPr>
          <w:rFonts w:eastAsia="Arial"/>
          <w:color w:val="FF0000"/>
        </w:rPr>
      </w:pPr>
    </w:p>
    <w:p w14:paraId="550F96FF" w14:textId="6A1082DF" w:rsidR="00A6640B" w:rsidRPr="000D3EDD" w:rsidRDefault="00382208" w:rsidP="000D3EDD">
      <w:pPr>
        <w:spacing w:line="276" w:lineRule="auto"/>
        <w:textAlignment w:val="baseline"/>
        <w:rPr>
          <w:color w:val="000000" w:themeColor="text1"/>
        </w:rPr>
      </w:pPr>
      <w:r w:rsidRPr="000D3EDD">
        <w:rPr>
          <w:b/>
          <w:bCs/>
          <w:color w:val="000000" w:themeColor="text1"/>
        </w:rPr>
        <w:t>T</w:t>
      </w:r>
      <w:r w:rsidR="00E552ED" w:rsidRPr="000D3EDD">
        <w:rPr>
          <w:b/>
          <w:bCs/>
          <w:color w:val="000000" w:themeColor="text1"/>
        </w:rPr>
        <w:t>able</w:t>
      </w:r>
      <w:r w:rsidRPr="000D3EDD">
        <w:rPr>
          <w:b/>
          <w:bCs/>
          <w:color w:val="000000" w:themeColor="text1"/>
        </w:rPr>
        <w:t xml:space="preserve"> 4</w:t>
      </w:r>
      <w:r w:rsidR="00A6640B" w:rsidRPr="000D3EDD">
        <w:rPr>
          <w:b/>
          <w:bCs/>
          <w:color w:val="000000" w:themeColor="text1"/>
        </w:rPr>
        <w:t xml:space="preserve">. </w:t>
      </w:r>
      <w:r w:rsidR="00A6640B" w:rsidRPr="000D3EDD">
        <w:rPr>
          <w:color w:val="000000" w:themeColor="text1"/>
        </w:rPr>
        <w:t>Data missingness of academic and demographic variables (</w:t>
      </w:r>
      <w:r w:rsidR="00A6640B" w:rsidRPr="000D3EDD">
        <w:rPr>
          <w:i/>
          <w:iCs/>
          <w:color w:val="000000" w:themeColor="text1"/>
        </w:rPr>
        <w:t>n</w:t>
      </w:r>
      <w:r w:rsidR="00A6640B" w:rsidRPr="000D3EDD">
        <w:rPr>
          <w:color w:val="000000" w:themeColor="text1"/>
        </w:rPr>
        <w:t>=4,731)</w:t>
      </w:r>
    </w:p>
    <w:p w14:paraId="6BEDBCDE" w14:textId="52209A17" w:rsidR="00A6640B" w:rsidRPr="000D3EDD" w:rsidRDefault="00A6640B" w:rsidP="000D3EDD">
      <w:pPr>
        <w:spacing w:line="276" w:lineRule="auto"/>
        <w:rPr>
          <w:color w:val="000000" w:themeColor="text1"/>
        </w:rPr>
      </w:pPr>
      <w:r w:rsidRPr="000D3EDD">
        <w:rPr>
          <w:color w:val="000000" w:themeColor="text1"/>
        </w:rPr>
        <w:t>Note: percentages denote missing values.</w:t>
      </w:r>
    </w:p>
    <w:p w14:paraId="554A9450" w14:textId="77777777" w:rsidR="00A6640B" w:rsidRPr="000D3EDD" w:rsidRDefault="00A6640B" w:rsidP="000D3EDD">
      <w:pPr>
        <w:spacing w:line="276" w:lineRule="auto"/>
        <w:rPr>
          <w:i/>
          <w:iCs/>
          <w:color w:val="000000" w:themeColor="text1"/>
        </w:rPr>
      </w:pPr>
    </w:p>
    <w:p w14:paraId="4BD60E6D" w14:textId="3EEF429E" w:rsidR="00A6640B" w:rsidRPr="000D3EDD" w:rsidRDefault="00A6640B" w:rsidP="000D3EDD">
      <w:pPr>
        <w:pStyle w:val="NormalWeb"/>
        <w:spacing w:before="0" w:beforeAutospacing="0" w:after="0" w:afterAutospacing="0" w:line="276" w:lineRule="auto"/>
        <w:rPr>
          <w:b/>
          <w:bCs/>
        </w:rPr>
      </w:pPr>
    </w:p>
    <w:p w14:paraId="7BDB6E5A" w14:textId="2C25736C" w:rsidR="002C6B09" w:rsidRPr="000D3EDD" w:rsidRDefault="002C6B09" w:rsidP="000D3EDD">
      <w:pPr>
        <w:pStyle w:val="NormalWeb"/>
        <w:spacing w:before="0" w:beforeAutospacing="0" w:after="0" w:afterAutospacing="0" w:line="276" w:lineRule="auto"/>
        <w:rPr>
          <w:b/>
          <w:bCs/>
        </w:rPr>
      </w:pPr>
    </w:p>
    <w:p w14:paraId="33C9D279" w14:textId="76BE61E7" w:rsidR="002C6B09" w:rsidRPr="000D3EDD" w:rsidRDefault="002C6B09" w:rsidP="000D3EDD">
      <w:pPr>
        <w:pStyle w:val="NormalWeb"/>
        <w:spacing w:before="0" w:beforeAutospacing="0" w:after="0" w:afterAutospacing="0" w:line="276" w:lineRule="auto"/>
        <w:rPr>
          <w:b/>
          <w:bCs/>
        </w:rPr>
      </w:pPr>
    </w:p>
    <w:p w14:paraId="00BEC52C" w14:textId="319ECBFA" w:rsidR="002C6B09" w:rsidRPr="000D3EDD" w:rsidRDefault="002C6B09" w:rsidP="000D3EDD">
      <w:pPr>
        <w:pStyle w:val="NormalWeb"/>
        <w:spacing w:before="0" w:beforeAutospacing="0" w:after="0" w:afterAutospacing="0" w:line="276" w:lineRule="auto"/>
        <w:rPr>
          <w:b/>
          <w:bCs/>
        </w:rPr>
      </w:pPr>
    </w:p>
    <w:p w14:paraId="340408FE" w14:textId="19D9CF15" w:rsidR="002C6B09" w:rsidRPr="000D3EDD" w:rsidRDefault="002C6B09" w:rsidP="000D3EDD">
      <w:pPr>
        <w:pStyle w:val="NormalWeb"/>
        <w:spacing w:before="0" w:beforeAutospacing="0" w:after="0" w:afterAutospacing="0" w:line="276" w:lineRule="auto"/>
        <w:rPr>
          <w:b/>
          <w:bCs/>
        </w:rPr>
      </w:pPr>
    </w:p>
    <w:p w14:paraId="53EA0972" w14:textId="54792E12" w:rsidR="002C6B09" w:rsidRPr="000D3EDD" w:rsidRDefault="002C6B09" w:rsidP="000D3EDD">
      <w:pPr>
        <w:pStyle w:val="NormalWeb"/>
        <w:spacing w:before="0" w:beforeAutospacing="0" w:after="0" w:afterAutospacing="0" w:line="276" w:lineRule="auto"/>
        <w:rPr>
          <w:b/>
          <w:bCs/>
        </w:rPr>
      </w:pPr>
    </w:p>
    <w:p w14:paraId="47E94DFE" w14:textId="5C61E0DD" w:rsidR="002C6B09" w:rsidRPr="000D3EDD" w:rsidRDefault="002C6B09" w:rsidP="000D3EDD">
      <w:pPr>
        <w:pStyle w:val="NormalWeb"/>
        <w:spacing w:before="0" w:beforeAutospacing="0" w:after="0" w:afterAutospacing="0" w:line="276" w:lineRule="auto"/>
        <w:rPr>
          <w:b/>
          <w:bCs/>
        </w:rPr>
      </w:pPr>
    </w:p>
    <w:p w14:paraId="31FC6517" w14:textId="3ABEDEED" w:rsidR="002C6B09" w:rsidRPr="000D3EDD" w:rsidRDefault="002C6B09" w:rsidP="000D3EDD">
      <w:pPr>
        <w:pStyle w:val="NormalWeb"/>
        <w:spacing w:before="0" w:beforeAutospacing="0" w:after="0" w:afterAutospacing="0" w:line="276" w:lineRule="auto"/>
        <w:rPr>
          <w:b/>
          <w:bCs/>
        </w:rPr>
      </w:pPr>
    </w:p>
    <w:p w14:paraId="557BBF9B" w14:textId="0E6563E8" w:rsidR="00EA466E" w:rsidRDefault="00EA466E" w:rsidP="000D3EDD">
      <w:pPr>
        <w:pStyle w:val="NormalWeb"/>
        <w:spacing w:before="0" w:beforeAutospacing="0" w:after="0" w:afterAutospacing="0" w:line="276" w:lineRule="auto"/>
        <w:rPr>
          <w:b/>
          <w:bCs/>
          <w:color w:val="000000" w:themeColor="text1"/>
          <w:lang w:eastAsia="en-GB"/>
        </w:rPr>
      </w:pPr>
    </w:p>
    <w:p w14:paraId="62B67D84" w14:textId="0DFA20AD" w:rsidR="001B0041" w:rsidRDefault="001B0041" w:rsidP="000D3EDD">
      <w:pPr>
        <w:pStyle w:val="NormalWeb"/>
        <w:spacing w:before="0" w:beforeAutospacing="0" w:after="0" w:afterAutospacing="0" w:line="276" w:lineRule="auto"/>
        <w:rPr>
          <w:b/>
          <w:bCs/>
          <w:color w:val="000000" w:themeColor="text1"/>
          <w:lang w:eastAsia="en-GB"/>
        </w:rPr>
      </w:pPr>
    </w:p>
    <w:p w14:paraId="4FC439A7" w14:textId="35E4AD56" w:rsidR="001B0041" w:rsidRDefault="001B0041" w:rsidP="000D3EDD">
      <w:pPr>
        <w:pStyle w:val="NormalWeb"/>
        <w:spacing w:before="0" w:beforeAutospacing="0" w:after="0" w:afterAutospacing="0" w:line="276" w:lineRule="auto"/>
        <w:rPr>
          <w:b/>
          <w:bCs/>
          <w:color w:val="000000" w:themeColor="text1"/>
          <w:lang w:eastAsia="en-GB"/>
        </w:rPr>
      </w:pPr>
    </w:p>
    <w:p w14:paraId="20DA84C6" w14:textId="7A24732C" w:rsidR="001B0041" w:rsidRDefault="001B0041" w:rsidP="000D3EDD">
      <w:pPr>
        <w:pStyle w:val="NormalWeb"/>
        <w:spacing w:before="0" w:beforeAutospacing="0" w:after="0" w:afterAutospacing="0" w:line="276" w:lineRule="auto"/>
        <w:rPr>
          <w:b/>
          <w:bCs/>
          <w:color w:val="000000" w:themeColor="text1"/>
          <w:lang w:eastAsia="en-GB"/>
        </w:rPr>
      </w:pPr>
    </w:p>
    <w:p w14:paraId="6363579E" w14:textId="75253351" w:rsidR="001B0041" w:rsidRDefault="001B0041" w:rsidP="000D3EDD">
      <w:pPr>
        <w:pStyle w:val="NormalWeb"/>
        <w:spacing w:before="0" w:beforeAutospacing="0" w:after="0" w:afterAutospacing="0" w:line="276" w:lineRule="auto"/>
        <w:rPr>
          <w:b/>
          <w:bCs/>
          <w:color w:val="000000" w:themeColor="text1"/>
          <w:lang w:eastAsia="en-GB"/>
        </w:rPr>
      </w:pPr>
    </w:p>
    <w:p w14:paraId="2F2EB259" w14:textId="2D7CC6FE" w:rsidR="001B0041" w:rsidRDefault="001B0041" w:rsidP="000D3EDD">
      <w:pPr>
        <w:pStyle w:val="NormalWeb"/>
        <w:spacing w:before="0" w:beforeAutospacing="0" w:after="0" w:afterAutospacing="0" w:line="276" w:lineRule="auto"/>
        <w:rPr>
          <w:b/>
          <w:bCs/>
          <w:color w:val="000000" w:themeColor="text1"/>
          <w:lang w:eastAsia="en-GB"/>
        </w:rPr>
      </w:pPr>
    </w:p>
    <w:p w14:paraId="26EABCC4" w14:textId="1658716A" w:rsidR="001B0041" w:rsidRDefault="001B0041" w:rsidP="000D3EDD">
      <w:pPr>
        <w:pStyle w:val="NormalWeb"/>
        <w:spacing w:before="0" w:beforeAutospacing="0" w:after="0" w:afterAutospacing="0" w:line="276" w:lineRule="auto"/>
        <w:rPr>
          <w:b/>
          <w:bCs/>
          <w:color w:val="000000" w:themeColor="text1"/>
          <w:lang w:eastAsia="en-GB"/>
        </w:rPr>
      </w:pPr>
    </w:p>
    <w:p w14:paraId="5A03AA8D" w14:textId="59B2C228" w:rsidR="001B0041" w:rsidRDefault="001B0041" w:rsidP="000D3EDD">
      <w:pPr>
        <w:pStyle w:val="NormalWeb"/>
        <w:spacing w:before="0" w:beforeAutospacing="0" w:after="0" w:afterAutospacing="0" w:line="276" w:lineRule="auto"/>
        <w:rPr>
          <w:b/>
          <w:bCs/>
          <w:color w:val="000000" w:themeColor="text1"/>
          <w:lang w:eastAsia="en-GB"/>
        </w:rPr>
      </w:pPr>
    </w:p>
    <w:p w14:paraId="39CF57B1" w14:textId="6263EF00" w:rsidR="001B0041" w:rsidRDefault="001B0041" w:rsidP="000D3EDD">
      <w:pPr>
        <w:pStyle w:val="NormalWeb"/>
        <w:spacing w:before="0" w:beforeAutospacing="0" w:after="0" w:afterAutospacing="0" w:line="276" w:lineRule="auto"/>
        <w:rPr>
          <w:b/>
          <w:bCs/>
          <w:color w:val="000000" w:themeColor="text1"/>
          <w:lang w:eastAsia="en-GB"/>
        </w:rPr>
      </w:pPr>
    </w:p>
    <w:p w14:paraId="2ED4BAB4" w14:textId="320B4DDA" w:rsidR="001B0041" w:rsidRDefault="001B0041" w:rsidP="000D3EDD">
      <w:pPr>
        <w:pStyle w:val="NormalWeb"/>
        <w:spacing w:before="0" w:beforeAutospacing="0" w:after="0" w:afterAutospacing="0" w:line="276" w:lineRule="auto"/>
        <w:rPr>
          <w:b/>
          <w:bCs/>
          <w:color w:val="000000" w:themeColor="text1"/>
          <w:lang w:eastAsia="en-GB"/>
        </w:rPr>
      </w:pPr>
    </w:p>
    <w:p w14:paraId="76B68274" w14:textId="52B7894F" w:rsidR="001B0041" w:rsidRDefault="001B0041" w:rsidP="000D3EDD">
      <w:pPr>
        <w:pStyle w:val="NormalWeb"/>
        <w:spacing w:before="0" w:beforeAutospacing="0" w:after="0" w:afterAutospacing="0" w:line="276" w:lineRule="auto"/>
        <w:rPr>
          <w:b/>
          <w:bCs/>
          <w:color w:val="000000" w:themeColor="text1"/>
          <w:lang w:eastAsia="en-GB"/>
        </w:rPr>
      </w:pPr>
    </w:p>
    <w:p w14:paraId="661B8E90" w14:textId="4A39159C" w:rsidR="001B0041" w:rsidRDefault="001B0041" w:rsidP="000D3EDD">
      <w:pPr>
        <w:pStyle w:val="NormalWeb"/>
        <w:spacing w:before="0" w:beforeAutospacing="0" w:after="0" w:afterAutospacing="0" w:line="276" w:lineRule="auto"/>
        <w:rPr>
          <w:b/>
          <w:bCs/>
          <w:color w:val="000000" w:themeColor="text1"/>
          <w:lang w:eastAsia="en-GB"/>
        </w:rPr>
      </w:pPr>
    </w:p>
    <w:p w14:paraId="0AFEDFB6" w14:textId="6ED8FB04" w:rsidR="001B0041" w:rsidRDefault="001B0041" w:rsidP="000D3EDD">
      <w:pPr>
        <w:pStyle w:val="NormalWeb"/>
        <w:spacing w:before="0" w:beforeAutospacing="0" w:after="0" w:afterAutospacing="0" w:line="276" w:lineRule="auto"/>
        <w:rPr>
          <w:b/>
          <w:bCs/>
          <w:color w:val="000000" w:themeColor="text1"/>
          <w:lang w:eastAsia="en-GB"/>
        </w:rPr>
      </w:pPr>
    </w:p>
    <w:p w14:paraId="1522C79C" w14:textId="72506896" w:rsidR="001B0041" w:rsidRDefault="001B0041" w:rsidP="000D3EDD">
      <w:pPr>
        <w:pStyle w:val="NormalWeb"/>
        <w:spacing w:before="0" w:beforeAutospacing="0" w:after="0" w:afterAutospacing="0" w:line="276" w:lineRule="auto"/>
        <w:rPr>
          <w:b/>
          <w:bCs/>
          <w:color w:val="000000" w:themeColor="text1"/>
          <w:lang w:eastAsia="en-GB"/>
        </w:rPr>
      </w:pPr>
    </w:p>
    <w:p w14:paraId="11C9362F" w14:textId="6F306DEE" w:rsidR="001B0041" w:rsidRDefault="001B0041" w:rsidP="000D3EDD">
      <w:pPr>
        <w:pStyle w:val="NormalWeb"/>
        <w:spacing w:before="0" w:beforeAutospacing="0" w:after="0" w:afterAutospacing="0" w:line="276" w:lineRule="auto"/>
        <w:rPr>
          <w:b/>
          <w:bCs/>
          <w:color w:val="000000" w:themeColor="text1"/>
          <w:lang w:eastAsia="en-GB"/>
        </w:rPr>
      </w:pPr>
    </w:p>
    <w:p w14:paraId="2FF640E4" w14:textId="1524475E" w:rsidR="001B0041" w:rsidRDefault="001B0041" w:rsidP="000D3EDD">
      <w:pPr>
        <w:pStyle w:val="NormalWeb"/>
        <w:spacing w:before="0" w:beforeAutospacing="0" w:after="0" w:afterAutospacing="0" w:line="276" w:lineRule="auto"/>
        <w:rPr>
          <w:b/>
          <w:bCs/>
          <w:color w:val="000000" w:themeColor="text1"/>
          <w:lang w:eastAsia="en-GB"/>
        </w:rPr>
      </w:pPr>
    </w:p>
    <w:p w14:paraId="2BD2A124" w14:textId="4A7C9A33" w:rsidR="001B0041" w:rsidRDefault="001B0041" w:rsidP="000D3EDD">
      <w:pPr>
        <w:pStyle w:val="NormalWeb"/>
        <w:spacing w:before="0" w:beforeAutospacing="0" w:after="0" w:afterAutospacing="0" w:line="276" w:lineRule="auto"/>
        <w:rPr>
          <w:b/>
          <w:bCs/>
          <w:color w:val="000000" w:themeColor="text1"/>
          <w:lang w:eastAsia="en-GB"/>
        </w:rPr>
      </w:pPr>
    </w:p>
    <w:p w14:paraId="2934723E" w14:textId="5C0F7496" w:rsidR="001B0041" w:rsidRDefault="001B0041" w:rsidP="000D3EDD">
      <w:pPr>
        <w:pStyle w:val="NormalWeb"/>
        <w:spacing w:before="0" w:beforeAutospacing="0" w:after="0" w:afterAutospacing="0" w:line="276" w:lineRule="auto"/>
        <w:rPr>
          <w:b/>
          <w:bCs/>
          <w:color w:val="000000" w:themeColor="text1"/>
          <w:lang w:eastAsia="en-GB"/>
        </w:rPr>
      </w:pPr>
    </w:p>
    <w:p w14:paraId="57F883F2" w14:textId="77777777" w:rsidR="001B0041" w:rsidRPr="000D3EDD" w:rsidRDefault="001B0041" w:rsidP="000D3EDD">
      <w:pPr>
        <w:pStyle w:val="NormalWeb"/>
        <w:spacing w:before="0" w:beforeAutospacing="0" w:after="0" w:afterAutospacing="0" w:line="276" w:lineRule="auto"/>
        <w:rPr>
          <w:b/>
          <w:bCs/>
        </w:rPr>
      </w:pPr>
    </w:p>
    <w:p w14:paraId="540ECF0B" w14:textId="0DCEE5AB" w:rsidR="002C6B09" w:rsidRPr="000D3EDD" w:rsidRDefault="001B0041" w:rsidP="000D3EDD">
      <w:pPr>
        <w:spacing w:line="276" w:lineRule="auto"/>
        <w:rPr>
          <w:color w:val="000000" w:themeColor="text1"/>
        </w:rPr>
      </w:pPr>
      <w:r>
        <w:rPr>
          <w:b/>
          <w:bCs/>
          <w:color w:val="000000" w:themeColor="text1"/>
        </w:rPr>
        <w:lastRenderedPageBreak/>
        <w:t>List of figures</w:t>
      </w:r>
    </w:p>
    <w:p w14:paraId="39A3962E" w14:textId="53C53428" w:rsidR="00E552ED" w:rsidRPr="000D3EDD" w:rsidRDefault="00E552ED" w:rsidP="000D3EDD">
      <w:pPr>
        <w:spacing w:line="276" w:lineRule="auto"/>
        <w:rPr>
          <w:color w:val="000000" w:themeColor="text1"/>
        </w:rPr>
      </w:pPr>
    </w:p>
    <w:p w14:paraId="4F6ECD61" w14:textId="1A7C22FA" w:rsidR="00E552ED" w:rsidRPr="000D3EDD" w:rsidRDefault="001B0041" w:rsidP="000D3EDD">
      <w:pPr>
        <w:pStyle w:val="ListParagraph"/>
        <w:numPr>
          <w:ilvl w:val="0"/>
          <w:numId w:val="4"/>
        </w:numPr>
        <w:spacing w:line="276" w:lineRule="auto"/>
        <w:rPr>
          <w:rFonts w:ascii="Times New Roman" w:hAnsi="Times New Roman" w:cs="Times New Roman"/>
          <w:color w:val="000000" w:themeColor="text1"/>
        </w:rPr>
      </w:pPr>
      <w:r w:rsidRPr="001B0041">
        <w:rPr>
          <w:rFonts w:ascii="Times New Roman" w:hAnsi="Times New Roman" w:cs="Times New Roman"/>
          <w:b/>
          <w:bCs/>
          <w:color w:val="000000" w:themeColor="text1"/>
        </w:rPr>
        <w:t>Figure 1.</w:t>
      </w:r>
      <w:r>
        <w:rPr>
          <w:rFonts w:ascii="Times New Roman" w:hAnsi="Times New Roman" w:cs="Times New Roman"/>
          <w:color w:val="000000" w:themeColor="text1"/>
        </w:rPr>
        <w:t xml:space="preserve"> </w:t>
      </w:r>
      <w:r w:rsidR="00E552ED" w:rsidRPr="000D3EDD">
        <w:rPr>
          <w:rFonts w:ascii="Times New Roman" w:hAnsi="Times New Roman" w:cs="Times New Roman"/>
          <w:color w:val="000000" w:themeColor="text1"/>
        </w:rPr>
        <w:t>Percentage of PhD holders in academic or non-academic employment 3.5 years after graduation (</w:t>
      </w:r>
      <w:r w:rsidR="00E552ED" w:rsidRPr="000D3EDD">
        <w:rPr>
          <w:rFonts w:ascii="Times New Roman" w:hAnsi="Times New Roman" w:cs="Times New Roman"/>
          <w:i/>
          <w:iCs/>
          <w:color w:val="000000" w:themeColor="text1"/>
        </w:rPr>
        <w:t>n</w:t>
      </w:r>
      <w:r w:rsidR="00E552ED" w:rsidRPr="000D3EDD">
        <w:rPr>
          <w:rFonts w:ascii="Times New Roman" w:hAnsi="Times New Roman" w:cs="Times New Roman"/>
          <w:color w:val="000000" w:themeColor="text1"/>
        </w:rPr>
        <w:t>=4,288)</w:t>
      </w:r>
    </w:p>
    <w:p w14:paraId="7270536E" w14:textId="5A3D8E1B" w:rsidR="00B8695C" w:rsidRDefault="00B8695C" w:rsidP="00B8695C">
      <w:pPr>
        <w:spacing w:line="276" w:lineRule="auto"/>
      </w:pPr>
    </w:p>
    <w:p w14:paraId="0681986D" w14:textId="51B31648" w:rsidR="00B8695C" w:rsidRDefault="00B8695C" w:rsidP="00B8695C">
      <w:pPr>
        <w:spacing w:line="276" w:lineRule="auto"/>
        <w:rPr>
          <w:color w:val="000000" w:themeColor="text1"/>
        </w:rPr>
      </w:pPr>
      <w:r>
        <w:rPr>
          <w:noProof/>
          <w:color w:val="000000" w:themeColor="text1"/>
        </w:rPr>
        <w:drawing>
          <wp:inline distT="0" distB="0" distL="0" distR="0" wp14:anchorId="4441B1C2" wp14:editId="67DC4A30">
            <wp:extent cx="5727700" cy="3469005"/>
            <wp:effectExtent l="0" t="0" r="0" b="0"/>
            <wp:docPr id="2" name="Picture 2" descr="Tab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with low confidence"/>
                    <pic:cNvPicPr/>
                  </pic:nvPicPr>
                  <pic:blipFill>
                    <a:blip r:embed="rId31">
                      <a:extLst>
                        <a:ext uri="{28A0092B-C50C-407E-A947-70E740481C1C}">
                          <a14:useLocalDpi xmlns:a14="http://schemas.microsoft.com/office/drawing/2010/main" val="0"/>
                        </a:ext>
                      </a:extLst>
                    </a:blip>
                    <a:stretch>
                      <a:fillRect/>
                    </a:stretch>
                  </pic:blipFill>
                  <pic:spPr>
                    <a:xfrm>
                      <a:off x="0" y="0"/>
                      <a:ext cx="5727700" cy="3469005"/>
                    </a:xfrm>
                    <a:prstGeom prst="rect">
                      <a:avLst/>
                    </a:prstGeom>
                  </pic:spPr>
                </pic:pic>
              </a:graphicData>
            </a:graphic>
          </wp:inline>
        </w:drawing>
      </w:r>
    </w:p>
    <w:p w14:paraId="5E6A9E2C" w14:textId="71E5410F" w:rsidR="00B8695C" w:rsidRDefault="00B8695C" w:rsidP="00B8695C">
      <w:pPr>
        <w:spacing w:line="276" w:lineRule="auto"/>
        <w:rPr>
          <w:color w:val="000000" w:themeColor="text1"/>
        </w:rPr>
      </w:pPr>
    </w:p>
    <w:p w14:paraId="6034C258" w14:textId="475D3DFB" w:rsidR="00B8695C" w:rsidRDefault="00B8695C" w:rsidP="00B8695C">
      <w:pPr>
        <w:pStyle w:val="ListParagraph"/>
        <w:numPr>
          <w:ilvl w:val="0"/>
          <w:numId w:val="6"/>
        </w:numPr>
        <w:spacing w:line="276" w:lineRule="auto"/>
        <w:rPr>
          <w:rFonts w:ascii="Times New Roman" w:hAnsi="Times New Roman" w:cs="Times New Roman"/>
          <w:color w:val="000000" w:themeColor="text1"/>
        </w:rPr>
      </w:pPr>
      <w:r w:rsidRPr="001B0041">
        <w:rPr>
          <w:rFonts w:ascii="Times New Roman" w:hAnsi="Times New Roman" w:cs="Times New Roman"/>
          <w:b/>
          <w:bCs/>
          <w:color w:val="000000" w:themeColor="text1"/>
        </w:rPr>
        <w:t>Figure 2.</w:t>
      </w:r>
      <w:r>
        <w:rPr>
          <w:rFonts w:ascii="Times New Roman" w:hAnsi="Times New Roman" w:cs="Times New Roman"/>
          <w:color w:val="000000" w:themeColor="text1"/>
        </w:rPr>
        <w:t xml:space="preserve"> </w:t>
      </w:r>
      <w:r w:rsidRPr="000D3EDD">
        <w:rPr>
          <w:rFonts w:ascii="Times New Roman" w:hAnsi="Times New Roman" w:cs="Times New Roman"/>
          <w:color w:val="000000" w:themeColor="text1"/>
        </w:rPr>
        <w:t>Percentage of</w:t>
      </w:r>
      <w:r w:rsidRPr="000D3EDD">
        <w:rPr>
          <w:rFonts w:ascii="Times New Roman" w:hAnsi="Times New Roman" w:cs="Times New Roman"/>
          <w:b/>
          <w:bCs/>
          <w:color w:val="000000" w:themeColor="text1"/>
        </w:rPr>
        <w:t xml:space="preserve"> </w:t>
      </w:r>
      <w:r w:rsidRPr="000D3EDD">
        <w:rPr>
          <w:rFonts w:ascii="Times New Roman" w:hAnsi="Times New Roman" w:cs="Times New Roman"/>
          <w:color w:val="000000" w:themeColor="text1"/>
        </w:rPr>
        <w:t>PhD holders employed in research roles (non-academic employment only) (</w:t>
      </w:r>
      <w:r w:rsidRPr="000D3EDD">
        <w:rPr>
          <w:rFonts w:ascii="Times New Roman" w:hAnsi="Times New Roman" w:cs="Times New Roman"/>
          <w:i/>
          <w:iCs/>
          <w:color w:val="000000" w:themeColor="text1"/>
        </w:rPr>
        <w:t>n</w:t>
      </w:r>
      <w:r w:rsidRPr="000D3EDD">
        <w:rPr>
          <w:rFonts w:ascii="Times New Roman" w:hAnsi="Times New Roman" w:cs="Times New Roman"/>
          <w:color w:val="000000" w:themeColor="text1"/>
        </w:rPr>
        <w:t>=3006)</w:t>
      </w:r>
    </w:p>
    <w:p w14:paraId="5F1F9455" w14:textId="77777777" w:rsidR="00B8695C" w:rsidRPr="00B8695C" w:rsidRDefault="00B8695C" w:rsidP="00B8695C">
      <w:pPr>
        <w:spacing w:line="276" w:lineRule="auto"/>
        <w:rPr>
          <w:color w:val="000000" w:themeColor="text1"/>
        </w:rPr>
      </w:pPr>
    </w:p>
    <w:p w14:paraId="02FDDDDB" w14:textId="48646D71" w:rsidR="00B8695C" w:rsidRPr="00B8695C" w:rsidRDefault="00B8695C" w:rsidP="00B8695C">
      <w:pPr>
        <w:spacing w:line="276" w:lineRule="auto"/>
        <w:rPr>
          <w:color w:val="000000" w:themeColor="text1"/>
        </w:rPr>
      </w:pPr>
      <w:r>
        <w:rPr>
          <w:noProof/>
          <w:color w:val="000000" w:themeColor="text1"/>
        </w:rPr>
        <w:drawing>
          <wp:inline distT="0" distB="0" distL="0" distR="0" wp14:anchorId="4FC7627D" wp14:editId="22DAC6AD">
            <wp:extent cx="5727700" cy="3112770"/>
            <wp:effectExtent l="0" t="0" r="0" b="0"/>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5727700" cy="3112770"/>
                    </a:xfrm>
                    <a:prstGeom prst="rect">
                      <a:avLst/>
                    </a:prstGeom>
                  </pic:spPr>
                </pic:pic>
              </a:graphicData>
            </a:graphic>
          </wp:inline>
        </w:drawing>
      </w:r>
    </w:p>
    <w:sectPr w:rsidR="00B8695C" w:rsidRPr="00B8695C" w:rsidSect="00BA4080">
      <w:endnotePr>
        <w:numFmt w:val="decimal"/>
      </w:endnotePr>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662B4" w14:textId="77777777" w:rsidR="00320742" w:rsidRDefault="00320742" w:rsidP="00012398">
      <w:r>
        <w:separator/>
      </w:r>
    </w:p>
  </w:endnote>
  <w:endnote w:type="continuationSeparator" w:id="0">
    <w:p w14:paraId="0CA0E7FC" w14:textId="77777777" w:rsidR="00320742" w:rsidRDefault="00320742" w:rsidP="00012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ill Sans">
    <w:altName w:val="Gill Sans"/>
    <w:panose1 w:val="020B05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96432562"/>
      <w:docPartObj>
        <w:docPartGallery w:val="Page Numbers (Bottom of Page)"/>
        <w:docPartUnique/>
      </w:docPartObj>
    </w:sdtPr>
    <w:sdtEndPr>
      <w:rPr>
        <w:rStyle w:val="PageNumber"/>
      </w:rPr>
    </w:sdtEndPr>
    <w:sdtContent>
      <w:p w14:paraId="45753482" w14:textId="1EBC3404" w:rsidR="003A2858" w:rsidRDefault="003A2858" w:rsidP="00FA50A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D18202" w14:textId="77777777" w:rsidR="003A2858" w:rsidRDefault="003A2858" w:rsidP="00A664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sz w:val="20"/>
        <w:szCs w:val="20"/>
      </w:rPr>
      <w:id w:val="-911083487"/>
      <w:docPartObj>
        <w:docPartGallery w:val="Page Numbers (Bottom of Page)"/>
        <w:docPartUnique/>
      </w:docPartObj>
    </w:sdtPr>
    <w:sdtEndPr>
      <w:rPr>
        <w:rStyle w:val="PageNumber"/>
      </w:rPr>
    </w:sdtEndPr>
    <w:sdtContent>
      <w:p w14:paraId="7630CE14" w14:textId="0EBDE7BD" w:rsidR="003A2858" w:rsidRPr="00A6640B" w:rsidRDefault="003A2858" w:rsidP="00FA50A2">
        <w:pPr>
          <w:pStyle w:val="Footer"/>
          <w:framePr w:wrap="none" w:vAnchor="text" w:hAnchor="margin" w:xAlign="right" w:y="1"/>
          <w:rPr>
            <w:rStyle w:val="PageNumber"/>
            <w:sz w:val="20"/>
            <w:szCs w:val="20"/>
          </w:rPr>
        </w:pPr>
        <w:r w:rsidRPr="00A6640B">
          <w:rPr>
            <w:rStyle w:val="PageNumber"/>
            <w:sz w:val="20"/>
            <w:szCs w:val="20"/>
          </w:rPr>
          <w:fldChar w:fldCharType="begin"/>
        </w:r>
        <w:r w:rsidRPr="00A6640B">
          <w:rPr>
            <w:rStyle w:val="PageNumber"/>
            <w:sz w:val="20"/>
            <w:szCs w:val="20"/>
          </w:rPr>
          <w:instrText xml:space="preserve"> PAGE </w:instrText>
        </w:r>
        <w:r w:rsidRPr="00A6640B">
          <w:rPr>
            <w:rStyle w:val="PageNumber"/>
            <w:sz w:val="20"/>
            <w:szCs w:val="20"/>
          </w:rPr>
          <w:fldChar w:fldCharType="separate"/>
        </w:r>
        <w:r w:rsidRPr="00A6640B">
          <w:rPr>
            <w:rStyle w:val="PageNumber"/>
            <w:noProof/>
            <w:sz w:val="20"/>
            <w:szCs w:val="20"/>
          </w:rPr>
          <w:t>1</w:t>
        </w:r>
        <w:r w:rsidRPr="00A6640B">
          <w:rPr>
            <w:rStyle w:val="PageNumber"/>
            <w:sz w:val="20"/>
            <w:szCs w:val="20"/>
          </w:rPr>
          <w:fldChar w:fldCharType="end"/>
        </w:r>
      </w:p>
    </w:sdtContent>
  </w:sdt>
  <w:p w14:paraId="447FCEE4" w14:textId="77777777" w:rsidR="003A2858" w:rsidRDefault="003A2858" w:rsidP="00A6640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0A567" w14:textId="77777777" w:rsidR="00320742" w:rsidRDefault="00320742" w:rsidP="00012398">
      <w:r>
        <w:separator/>
      </w:r>
    </w:p>
  </w:footnote>
  <w:footnote w:type="continuationSeparator" w:id="0">
    <w:p w14:paraId="15C639A1" w14:textId="77777777" w:rsidR="00320742" w:rsidRDefault="00320742" w:rsidP="00012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80C7C"/>
    <w:multiLevelType w:val="multilevel"/>
    <w:tmpl w:val="46CC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9E2369"/>
    <w:multiLevelType w:val="multilevel"/>
    <w:tmpl w:val="3AC28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883C63"/>
    <w:multiLevelType w:val="hybridMultilevel"/>
    <w:tmpl w:val="1C7414A6"/>
    <w:lvl w:ilvl="0" w:tplc="28DCECF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AE53AA"/>
    <w:multiLevelType w:val="multilevel"/>
    <w:tmpl w:val="ECB22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050943"/>
    <w:multiLevelType w:val="hybridMultilevel"/>
    <w:tmpl w:val="23A49F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7576EC"/>
    <w:multiLevelType w:val="multilevel"/>
    <w:tmpl w:val="08E6A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73"/>
  <w:proofState w:spelling="clean"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FD9"/>
    <w:rsid w:val="00012398"/>
    <w:rsid w:val="00014946"/>
    <w:rsid w:val="00014A22"/>
    <w:rsid w:val="000151FE"/>
    <w:rsid w:val="000161CF"/>
    <w:rsid w:val="000173E4"/>
    <w:rsid w:val="00025A24"/>
    <w:rsid w:val="00027324"/>
    <w:rsid w:val="00031CBF"/>
    <w:rsid w:val="00037276"/>
    <w:rsid w:val="00037BD8"/>
    <w:rsid w:val="00044D77"/>
    <w:rsid w:val="00051D42"/>
    <w:rsid w:val="00060E44"/>
    <w:rsid w:val="0006525A"/>
    <w:rsid w:val="00070B89"/>
    <w:rsid w:val="0007145F"/>
    <w:rsid w:val="00072A72"/>
    <w:rsid w:val="00073F40"/>
    <w:rsid w:val="00084F23"/>
    <w:rsid w:val="0008608F"/>
    <w:rsid w:val="00090E3B"/>
    <w:rsid w:val="00093D23"/>
    <w:rsid w:val="000A5B24"/>
    <w:rsid w:val="000A733F"/>
    <w:rsid w:val="000A7410"/>
    <w:rsid w:val="000C2AA6"/>
    <w:rsid w:val="000D0D03"/>
    <w:rsid w:val="000D3EDD"/>
    <w:rsid w:val="000E3591"/>
    <w:rsid w:val="000E37D7"/>
    <w:rsid w:val="000E6CBB"/>
    <w:rsid w:val="000F0FE3"/>
    <w:rsid w:val="00104277"/>
    <w:rsid w:val="00111FAD"/>
    <w:rsid w:val="0011212E"/>
    <w:rsid w:val="00113371"/>
    <w:rsid w:val="00115A49"/>
    <w:rsid w:val="00115C40"/>
    <w:rsid w:val="001169BF"/>
    <w:rsid w:val="00132225"/>
    <w:rsid w:val="00132CE9"/>
    <w:rsid w:val="00136F86"/>
    <w:rsid w:val="00137F9A"/>
    <w:rsid w:val="00141FC5"/>
    <w:rsid w:val="00143345"/>
    <w:rsid w:val="001445A1"/>
    <w:rsid w:val="00144CB8"/>
    <w:rsid w:val="00151EE8"/>
    <w:rsid w:val="001525F4"/>
    <w:rsid w:val="00154461"/>
    <w:rsid w:val="001668A9"/>
    <w:rsid w:val="001750F0"/>
    <w:rsid w:val="001779C0"/>
    <w:rsid w:val="00177BA4"/>
    <w:rsid w:val="00177C62"/>
    <w:rsid w:val="0018550D"/>
    <w:rsid w:val="00187B7C"/>
    <w:rsid w:val="00190773"/>
    <w:rsid w:val="001A3F2B"/>
    <w:rsid w:val="001A4EA7"/>
    <w:rsid w:val="001A72A5"/>
    <w:rsid w:val="001A7D69"/>
    <w:rsid w:val="001B0041"/>
    <w:rsid w:val="001B1AAB"/>
    <w:rsid w:val="001B249D"/>
    <w:rsid w:val="001C142D"/>
    <w:rsid w:val="001C78B2"/>
    <w:rsid w:val="001D30CB"/>
    <w:rsid w:val="001D5E1E"/>
    <w:rsid w:val="001F2063"/>
    <w:rsid w:val="001F6863"/>
    <w:rsid w:val="002041C1"/>
    <w:rsid w:val="00205F56"/>
    <w:rsid w:val="00222C81"/>
    <w:rsid w:val="00223D45"/>
    <w:rsid w:val="0022762F"/>
    <w:rsid w:val="00232F44"/>
    <w:rsid w:val="00234940"/>
    <w:rsid w:val="0024027E"/>
    <w:rsid w:val="002431DC"/>
    <w:rsid w:val="00247565"/>
    <w:rsid w:val="00250768"/>
    <w:rsid w:val="00255EE2"/>
    <w:rsid w:val="002635D8"/>
    <w:rsid w:val="00271E02"/>
    <w:rsid w:val="00283BBC"/>
    <w:rsid w:val="00285F32"/>
    <w:rsid w:val="00286CAF"/>
    <w:rsid w:val="0028767D"/>
    <w:rsid w:val="00295E4F"/>
    <w:rsid w:val="002A0B07"/>
    <w:rsid w:val="002A4831"/>
    <w:rsid w:val="002A6B48"/>
    <w:rsid w:val="002B0C46"/>
    <w:rsid w:val="002B1689"/>
    <w:rsid w:val="002C3AD3"/>
    <w:rsid w:val="002C57BB"/>
    <w:rsid w:val="002C6B09"/>
    <w:rsid w:val="002C7D03"/>
    <w:rsid w:val="002D5131"/>
    <w:rsid w:val="002D75D9"/>
    <w:rsid w:val="002E1B0D"/>
    <w:rsid w:val="002E4D48"/>
    <w:rsid w:val="003003F7"/>
    <w:rsid w:val="003065B6"/>
    <w:rsid w:val="003145D0"/>
    <w:rsid w:val="00320742"/>
    <w:rsid w:val="00323126"/>
    <w:rsid w:val="003321CC"/>
    <w:rsid w:val="00351933"/>
    <w:rsid w:val="00352F9A"/>
    <w:rsid w:val="00354234"/>
    <w:rsid w:val="00365C54"/>
    <w:rsid w:val="0036715C"/>
    <w:rsid w:val="003674F0"/>
    <w:rsid w:val="00373840"/>
    <w:rsid w:val="0037691D"/>
    <w:rsid w:val="00377313"/>
    <w:rsid w:val="00382208"/>
    <w:rsid w:val="003857ED"/>
    <w:rsid w:val="003A0408"/>
    <w:rsid w:val="003A2858"/>
    <w:rsid w:val="003B4609"/>
    <w:rsid w:val="003B53D9"/>
    <w:rsid w:val="003B5BE0"/>
    <w:rsid w:val="003C2090"/>
    <w:rsid w:val="003C493D"/>
    <w:rsid w:val="003D0137"/>
    <w:rsid w:val="003D1383"/>
    <w:rsid w:val="003D4B39"/>
    <w:rsid w:val="003D5965"/>
    <w:rsid w:val="003D7E74"/>
    <w:rsid w:val="003E1F91"/>
    <w:rsid w:val="003E43B5"/>
    <w:rsid w:val="003E7035"/>
    <w:rsid w:val="003E7CE2"/>
    <w:rsid w:val="003F2702"/>
    <w:rsid w:val="003F29A7"/>
    <w:rsid w:val="003F49E8"/>
    <w:rsid w:val="004077CE"/>
    <w:rsid w:val="00415958"/>
    <w:rsid w:val="00416AEC"/>
    <w:rsid w:val="004249FA"/>
    <w:rsid w:val="00431875"/>
    <w:rsid w:val="00433B5D"/>
    <w:rsid w:val="00436A66"/>
    <w:rsid w:val="00446DA1"/>
    <w:rsid w:val="004501C2"/>
    <w:rsid w:val="0045053E"/>
    <w:rsid w:val="00454CB6"/>
    <w:rsid w:val="00460964"/>
    <w:rsid w:val="00460AC2"/>
    <w:rsid w:val="00467E48"/>
    <w:rsid w:val="00473C17"/>
    <w:rsid w:val="00484B8A"/>
    <w:rsid w:val="00487296"/>
    <w:rsid w:val="00491BB7"/>
    <w:rsid w:val="004C0A6B"/>
    <w:rsid w:val="004C4407"/>
    <w:rsid w:val="004D0F6E"/>
    <w:rsid w:val="004D163E"/>
    <w:rsid w:val="004D19E7"/>
    <w:rsid w:val="004E241E"/>
    <w:rsid w:val="004F1248"/>
    <w:rsid w:val="004F7718"/>
    <w:rsid w:val="00500AD5"/>
    <w:rsid w:val="00506004"/>
    <w:rsid w:val="005112B6"/>
    <w:rsid w:val="00513BA6"/>
    <w:rsid w:val="005141E4"/>
    <w:rsid w:val="00515243"/>
    <w:rsid w:val="0051581B"/>
    <w:rsid w:val="00520D9F"/>
    <w:rsid w:val="005216F8"/>
    <w:rsid w:val="00524950"/>
    <w:rsid w:val="005316DA"/>
    <w:rsid w:val="005408AE"/>
    <w:rsid w:val="00540CEF"/>
    <w:rsid w:val="00543FD9"/>
    <w:rsid w:val="00545D18"/>
    <w:rsid w:val="00555D44"/>
    <w:rsid w:val="00557E54"/>
    <w:rsid w:val="00567DD8"/>
    <w:rsid w:val="00567E75"/>
    <w:rsid w:val="0057472E"/>
    <w:rsid w:val="0058283F"/>
    <w:rsid w:val="005833FB"/>
    <w:rsid w:val="005856C2"/>
    <w:rsid w:val="0059460A"/>
    <w:rsid w:val="005A116F"/>
    <w:rsid w:val="005A29A4"/>
    <w:rsid w:val="005A7E63"/>
    <w:rsid w:val="005C2727"/>
    <w:rsid w:val="005D3031"/>
    <w:rsid w:val="005E53C0"/>
    <w:rsid w:val="005E57F8"/>
    <w:rsid w:val="005F1073"/>
    <w:rsid w:val="005F74F5"/>
    <w:rsid w:val="005F7C82"/>
    <w:rsid w:val="00600296"/>
    <w:rsid w:val="006007D1"/>
    <w:rsid w:val="00602AD4"/>
    <w:rsid w:val="006078C0"/>
    <w:rsid w:val="006153E6"/>
    <w:rsid w:val="0062030B"/>
    <w:rsid w:val="00634D2B"/>
    <w:rsid w:val="006419D9"/>
    <w:rsid w:val="00646830"/>
    <w:rsid w:val="0065348D"/>
    <w:rsid w:val="00657900"/>
    <w:rsid w:val="006649ED"/>
    <w:rsid w:val="006709B0"/>
    <w:rsid w:val="0068073B"/>
    <w:rsid w:val="006808AE"/>
    <w:rsid w:val="00680E0A"/>
    <w:rsid w:val="00697377"/>
    <w:rsid w:val="006B324B"/>
    <w:rsid w:val="006C1AD4"/>
    <w:rsid w:val="006C2639"/>
    <w:rsid w:val="006C5784"/>
    <w:rsid w:val="006C6077"/>
    <w:rsid w:val="006C652B"/>
    <w:rsid w:val="006E271A"/>
    <w:rsid w:val="006F2477"/>
    <w:rsid w:val="007065BE"/>
    <w:rsid w:val="0070691C"/>
    <w:rsid w:val="00710620"/>
    <w:rsid w:val="007147A1"/>
    <w:rsid w:val="00714927"/>
    <w:rsid w:val="007278E9"/>
    <w:rsid w:val="00734407"/>
    <w:rsid w:val="007371A8"/>
    <w:rsid w:val="00737E2A"/>
    <w:rsid w:val="0074115A"/>
    <w:rsid w:val="0074607A"/>
    <w:rsid w:val="00764CA7"/>
    <w:rsid w:val="00786B26"/>
    <w:rsid w:val="007A1553"/>
    <w:rsid w:val="007B1FB7"/>
    <w:rsid w:val="007C7BC8"/>
    <w:rsid w:val="007E5142"/>
    <w:rsid w:val="007E61FA"/>
    <w:rsid w:val="007E65C1"/>
    <w:rsid w:val="007E6F59"/>
    <w:rsid w:val="007E7950"/>
    <w:rsid w:val="00801C7C"/>
    <w:rsid w:val="00801CAB"/>
    <w:rsid w:val="00802B04"/>
    <w:rsid w:val="008039AA"/>
    <w:rsid w:val="00811B17"/>
    <w:rsid w:val="008132D4"/>
    <w:rsid w:val="008240BD"/>
    <w:rsid w:val="008312AD"/>
    <w:rsid w:val="00841710"/>
    <w:rsid w:val="00850494"/>
    <w:rsid w:val="00850849"/>
    <w:rsid w:val="00864225"/>
    <w:rsid w:val="0087513E"/>
    <w:rsid w:val="00883BC6"/>
    <w:rsid w:val="0088579E"/>
    <w:rsid w:val="00897FE6"/>
    <w:rsid w:val="008A0985"/>
    <w:rsid w:val="008A0AD0"/>
    <w:rsid w:val="008A3216"/>
    <w:rsid w:val="008A3407"/>
    <w:rsid w:val="008C5FD9"/>
    <w:rsid w:val="008E3731"/>
    <w:rsid w:val="008E598A"/>
    <w:rsid w:val="008F1E9F"/>
    <w:rsid w:val="008F4A55"/>
    <w:rsid w:val="00906ED8"/>
    <w:rsid w:val="00923C07"/>
    <w:rsid w:val="00932D64"/>
    <w:rsid w:val="009368E4"/>
    <w:rsid w:val="00942BD9"/>
    <w:rsid w:val="00945707"/>
    <w:rsid w:val="009549C9"/>
    <w:rsid w:val="00960344"/>
    <w:rsid w:val="00963484"/>
    <w:rsid w:val="00971F06"/>
    <w:rsid w:val="00977F2B"/>
    <w:rsid w:val="00980100"/>
    <w:rsid w:val="009916D5"/>
    <w:rsid w:val="0099291C"/>
    <w:rsid w:val="00995721"/>
    <w:rsid w:val="009A4817"/>
    <w:rsid w:val="009A54D1"/>
    <w:rsid w:val="009B2BFA"/>
    <w:rsid w:val="009B6746"/>
    <w:rsid w:val="009C0D63"/>
    <w:rsid w:val="009C4956"/>
    <w:rsid w:val="009D24B1"/>
    <w:rsid w:val="009D6ED5"/>
    <w:rsid w:val="009E3DBC"/>
    <w:rsid w:val="009F14C3"/>
    <w:rsid w:val="009F2726"/>
    <w:rsid w:val="009F6651"/>
    <w:rsid w:val="00A009BA"/>
    <w:rsid w:val="00A12E91"/>
    <w:rsid w:val="00A15F03"/>
    <w:rsid w:val="00A21D65"/>
    <w:rsid w:val="00A23D70"/>
    <w:rsid w:val="00A24625"/>
    <w:rsid w:val="00A31798"/>
    <w:rsid w:val="00A34DA0"/>
    <w:rsid w:val="00A35FEF"/>
    <w:rsid w:val="00A43D8D"/>
    <w:rsid w:val="00A44441"/>
    <w:rsid w:val="00A52551"/>
    <w:rsid w:val="00A60F0F"/>
    <w:rsid w:val="00A6106C"/>
    <w:rsid w:val="00A63511"/>
    <w:rsid w:val="00A63F67"/>
    <w:rsid w:val="00A64FDE"/>
    <w:rsid w:val="00A6640B"/>
    <w:rsid w:val="00A72667"/>
    <w:rsid w:val="00A74468"/>
    <w:rsid w:val="00A80C9C"/>
    <w:rsid w:val="00A9740C"/>
    <w:rsid w:val="00AA1781"/>
    <w:rsid w:val="00AA4F13"/>
    <w:rsid w:val="00AA6D67"/>
    <w:rsid w:val="00AB3589"/>
    <w:rsid w:val="00AB458C"/>
    <w:rsid w:val="00AB6605"/>
    <w:rsid w:val="00AC2610"/>
    <w:rsid w:val="00AD032B"/>
    <w:rsid w:val="00AD4474"/>
    <w:rsid w:val="00AD56E6"/>
    <w:rsid w:val="00AD5B56"/>
    <w:rsid w:val="00AD6B6D"/>
    <w:rsid w:val="00AF063D"/>
    <w:rsid w:val="00AF5120"/>
    <w:rsid w:val="00B00767"/>
    <w:rsid w:val="00B03373"/>
    <w:rsid w:val="00B06CA3"/>
    <w:rsid w:val="00B1696E"/>
    <w:rsid w:val="00B20169"/>
    <w:rsid w:val="00B2215F"/>
    <w:rsid w:val="00B40F11"/>
    <w:rsid w:val="00B413DE"/>
    <w:rsid w:val="00B46D6C"/>
    <w:rsid w:val="00B50B7B"/>
    <w:rsid w:val="00B51D58"/>
    <w:rsid w:val="00B5268F"/>
    <w:rsid w:val="00B6206A"/>
    <w:rsid w:val="00B66F7F"/>
    <w:rsid w:val="00B724DB"/>
    <w:rsid w:val="00B7255F"/>
    <w:rsid w:val="00B775EF"/>
    <w:rsid w:val="00B8362B"/>
    <w:rsid w:val="00B83CE6"/>
    <w:rsid w:val="00B8497E"/>
    <w:rsid w:val="00B8695C"/>
    <w:rsid w:val="00B92AA4"/>
    <w:rsid w:val="00B93944"/>
    <w:rsid w:val="00B951C1"/>
    <w:rsid w:val="00B95AC3"/>
    <w:rsid w:val="00BA4080"/>
    <w:rsid w:val="00BB006A"/>
    <w:rsid w:val="00BC0E33"/>
    <w:rsid w:val="00BC148C"/>
    <w:rsid w:val="00BC16CB"/>
    <w:rsid w:val="00BC247D"/>
    <w:rsid w:val="00BD5D4F"/>
    <w:rsid w:val="00BD6A0C"/>
    <w:rsid w:val="00BE2E0A"/>
    <w:rsid w:val="00BE49E1"/>
    <w:rsid w:val="00BF04CD"/>
    <w:rsid w:val="00BF2AC0"/>
    <w:rsid w:val="00BF3A66"/>
    <w:rsid w:val="00C0335C"/>
    <w:rsid w:val="00C05F10"/>
    <w:rsid w:val="00C07080"/>
    <w:rsid w:val="00C11492"/>
    <w:rsid w:val="00C138B2"/>
    <w:rsid w:val="00C15665"/>
    <w:rsid w:val="00C2389D"/>
    <w:rsid w:val="00C3443A"/>
    <w:rsid w:val="00C46124"/>
    <w:rsid w:val="00C47265"/>
    <w:rsid w:val="00C60EF4"/>
    <w:rsid w:val="00C7565B"/>
    <w:rsid w:val="00C76EA9"/>
    <w:rsid w:val="00C77942"/>
    <w:rsid w:val="00C80839"/>
    <w:rsid w:val="00C8159C"/>
    <w:rsid w:val="00C85465"/>
    <w:rsid w:val="00C876B7"/>
    <w:rsid w:val="00C9510B"/>
    <w:rsid w:val="00CA09FD"/>
    <w:rsid w:val="00CA4B56"/>
    <w:rsid w:val="00CB1BFA"/>
    <w:rsid w:val="00CB43E7"/>
    <w:rsid w:val="00CC23E0"/>
    <w:rsid w:val="00CC4F8F"/>
    <w:rsid w:val="00CC50DA"/>
    <w:rsid w:val="00CD70DF"/>
    <w:rsid w:val="00CE2435"/>
    <w:rsid w:val="00CE25A3"/>
    <w:rsid w:val="00CF5EEE"/>
    <w:rsid w:val="00CF5EF6"/>
    <w:rsid w:val="00CF72E8"/>
    <w:rsid w:val="00D003B4"/>
    <w:rsid w:val="00D054C0"/>
    <w:rsid w:val="00D26A0E"/>
    <w:rsid w:val="00D3654E"/>
    <w:rsid w:val="00D367D7"/>
    <w:rsid w:val="00D40ED9"/>
    <w:rsid w:val="00D6070F"/>
    <w:rsid w:val="00D647FF"/>
    <w:rsid w:val="00D8174B"/>
    <w:rsid w:val="00DA222F"/>
    <w:rsid w:val="00DA5EA9"/>
    <w:rsid w:val="00DB31ED"/>
    <w:rsid w:val="00DB66A8"/>
    <w:rsid w:val="00DC0889"/>
    <w:rsid w:val="00DC1439"/>
    <w:rsid w:val="00DC4626"/>
    <w:rsid w:val="00DF208B"/>
    <w:rsid w:val="00DF5805"/>
    <w:rsid w:val="00E079F9"/>
    <w:rsid w:val="00E25ED8"/>
    <w:rsid w:val="00E30523"/>
    <w:rsid w:val="00E30E16"/>
    <w:rsid w:val="00E31F6F"/>
    <w:rsid w:val="00E52D09"/>
    <w:rsid w:val="00E552ED"/>
    <w:rsid w:val="00E57ABF"/>
    <w:rsid w:val="00E66130"/>
    <w:rsid w:val="00E838A2"/>
    <w:rsid w:val="00E85440"/>
    <w:rsid w:val="00E878BB"/>
    <w:rsid w:val="00E879C7"/>
    <w:rsid w:val="00EA2952"/>
    <w:rsid w:val="00EA466E"/>
    <w:rsid w:val="00EA7CC3"/>
    <w:rsid w:val="00EB01F0"/>
    <w:rsid w:val="00EC5DBC"/>
    <w:rsid w:val="00ED1080"/>
    <w:rsid w:val="00ED2FF9"/>
    <w:rsid w:val="00EE365B"/>
    <w:rsid w:val="00EE531A"/>
    <w:rsid w:val="00EF1706"/>
    <w:rsid w:val="00F023E8"/>
    <w:rsid w:val="00F0282A"/>
    <w:rsid w:val="00F100A9"/>
    <w:rsid w:val="00F10F8E"/>
    <w:rsid w:val="00F266EC"/>
    <w:rsid w:val="00F27101"/>
    <w:rsid w:val="00F32F90"/>
    <w:rsid w:val="00F34364"/>
    <w:rsid w:val="00F40AFB"/>
    <w:rsid w:val="00F418F1"/>
    <w:rsid w:val="00F5152E"/>
    <w:rsid w:val="00F5156A"/>
    <w:rsid w:val="00F54494"/>
    <w:rsid w:val="00F54A7B"/>
    <w:rsid w:val="00F56A27"/>
    <w:rsid w:val="00F6480B"/>
    <w:rsid w:val="00F678BB"/>
    <w:rsid w:val="00F74ADC"/>
    <w:rsid w:val="00F7712A"/>
    <w:rsid w:val="00F77DF9"/>
    <w:rsid w:val="00F834CE"/>
    <w:rsid w:val="00F836C1"/>
    <w:rsid w:val="00F919D1"/>
    <w:rsid w:val="00F9395C"/>
    <w:rsid w:val="00F946A8"/>
    <w:rsid w:val="00FA0D67"/>
    <w:rsid w:val="00FA1951"/>
    <w:rsid w:val="00FA2D6D"/>
    <w:rsid w:val="00FA472C"/>
    <w:rsid w:val="00FA50A2"/>
    <w:rsid w:val="00FA6FA7"/>
    <w:rsid w:val="00FA7611"/>
    <w:rsid w:val="00FC48C0"/>
    <w:rsid w:val="00FD58AD"/>
    <w:rsid w:val="00FE0035"/>
    <w:rsid w:val="00FE0B67"/>
    <w:rsid w:val="00FE1F1E"/>
    <w:rsid w:val="00FE4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50084"/>
  <w15:chartTrackingRefBased/>
  <w15:docId w15:val="{30D4214F-7537-D445-8033-C05674DC8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5D9"/>
    <w:rPr>
      <w:rFonts w:ascii="Times New Roman" w:eastAsia="Times New Roman" w:hAnsi="Times New Roman" w:cs="Times New Roman"/>
      <w:lang w:eastAsia="en-GB"/>
    </w:rPr>
  </w:style>
  <w:style w:type="paragraph" w:styleId="Heading1">
    <w:name w:val="heading 1"/>
    <w:basedOn w:val="Normal"/>
    <w:link w:val="Heading1Char"/>
    <w:uiPriority w:val="9"/>
    <w:qFormat/>
    <w:rsid w:val="00FD58A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C5FD9"/>
    <w:pPr>
      <w:spacing w:before="100" w:beforeAutospacing="1" w:after="100" w:afterAutospacing="1"/>
    </w:pPr>
    <w:rPr>
      <w:lang w:eastAsia="en-US"/>
    </w:rPr>
  </w:style>
  <w:style w:type="paragraph" w:styleId="ListParagraph">
    <w:name w:val="List Paragraph"/>
    <w:basedOn w:val="Normal"/>
    <w:uiPriority w:val="34"/>
    <w:qFormat/>
    <w:rsid w:val="008C5FD9"/>
    <w:pPr>
      <w:ind w:left="720"/>
      <w:contextualSpacing/>
    </w:pPr>
    <w:rPr>
      <w:rFonts w:asciiTheme="minorHAnsi" w:eastAsiaTheme="minorHAnsi" w:hAnsiTheme="minorHAnsi" w:cstheme="minorBidi"/>
      <w:lang w:eastAsia="en-US"/>
    </w:rPr>
  </w:style>
  <w:style w:type="character" w:customStyle="1" w:styleId="apple-converted-space">
    <w:name w:val="apple-converted-space"/>
    <w:basedOn w:val="DefaultParagraphFont"/>
    <w:rsid w:val="00F54A7B"/>
  </w:style>
  <w:style w:type="character" w:styleId="Emphasis">
    <w:name w:val="Emphasis"/>
    <w:basedOn w:val="DefaultParagraphFont"/>
    <w:uiPriority w:val="20"/>
    <w:qFormat/>
    <w:rsid w:val="00F54A7B"/>
    <w:rPr>
      <w:i/>
      <w:iCs/>
    </w:rPr>
  </w:style>
  <w:style w:type="character" w:styleId="Hyperlink">
    <w:name w:val="Hyperlink"/>
    <w:basedOn w:val="DefaultParagraphFont"/>
    <w:uiPriority w:val="99"/>
    <w:unhideWhenUsed/>
    <w:rsid w:val="00F266EC"/>
    <w:rPr>
      <w:color w:val="0000FF"/>
      <w:u w:val="single"/>
    </w:rPr>
  </w:style>
  <w:style w:type="paragraph" w:styleId="FootnoteText">
    <w:name w:val="footnote text"/>
    <w:basedOn w:val="Normal"/>
    <w:link w:val="FootnoteTextChar"/>
    <w:uiPriority w:val="99"/>
    <w:semiHidden/>
    <w:unhideWhenUsed/>
    <w:rsid w:val="00012398"/>
    <w:rPr>
      <w:sz w:val="20"/>
      <w:szCs w:val="20"/>
    </w:rPr>
  </w:style>
  <w:style w:type="character" w:customStyle="1" w:styleId="FootnoteTextChar">
    <w:name w:val="Footnote Text Char"/>
    <w:basedOn w:val="DefaultParagraphFont"/>
    <w:link w:val="FootnoteText"/>
    <w:uiPriority w:val="99"/>
    <w:semiHidden/>
    <w:rsid w:val="00012398"/>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012398"/>
    <w:rPr>
      <w:vertAlign w:val="superscript"/>
    </w:rPr>
  </w:style>
  <w:style w:type="character" w:styleId="UnresolvedMention">
    <w:name w:val="Unresolved Mention"/>
    <w:basedOn w:val="DefaultParagraphFont"/>
    <w:uiPriority w:val="99"/>
    <w:semiHidden/>
    <w:unhideWhenUsed/>
    <w:rsid w:val="00CB1BFA"/>
    <w:rPr>
      <w:color w:val="605E5C"/>
      <w:shd w:val="clear" w:color="auto" w:fill="E1DFDD"/>
    </w:rPr>
  </w:style>
  <w:style w:type="paragraph" w:styleId="EndnoteText">
    <w:name w:val="endnote text"/>
    <w:basedOn w:val="Normal"/>
    <w:link w:val="EndnoteTextChar"/>
    <w:uiPriority w:val="99"/>
    <w:semiHidden/>
    <w:unhideWhenUsed/>
    <w:rsid w:val="00883BC6"/>
    <w:rPr>
      <w:sz w:val="20"/>
      <w:szCs w:val="20"/>
    </w:rPr>
  </w:style>
  <w:style w:type="character" w:customStyle="1" w:styleId="EndnoteTextChar">
    <w:name w:val="Endnote Text Char"/>
    <w:basedOn w:val="DefaultParagraphFont"/>
    <w:link w:val="EndnoteText"/>
    <w:uiPriority w:val="99"/>
    <w:semiHidden/>
    <w:rsid w:val="00883BC6"/>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883BC6"/>
    <w:rPr>
      <w:vertAlign w:val="superscript"/>
    </w:rPr>
  </w:style>
  <w:style w:type="paragraph" w:styleId="Footer">
    <w:name w:val="footer"/>
    <w:basedOn w:val="Normal"/>
    <w:link w:val="FooterChar"/>
    <w:uiPriority w:val="99"/>
    <w:unhideWhenUsed/>
    <w:rsid w:val="00A6640B"/>
    <w:pPr>
      <w:tabs>
        <w:tab w:val="center" w:pos="4680"/>
        <w:tab w:val="right" w:pos="9360"/>
      </w:tabs>
    </w:pPr>
  </w:style>
  <w:style w:type="character" w:customStyle="1" w:styleId="FooterChar">
    <w:name w:val="Footer Char"/>
    <w:basedOn w:val="DefaultParagraphFont"/>
    <w:link w:val="Footer"/>
    <w:uiPriority w:val="99"/>
    <w:rsid w:val="00A6640B"/>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A6640B"/>
  </w:style>
  <w:style w:type="paragraph" w:styleId="Header">
    <w:name w:val="header"/>
    <w:basedOn w:val="Normal"/>
    <w:link w:val="HeaderChar"/>
    <w:uiPriority w:val="99"/>
    <w:unhideWhenUsed/>
    <w:rsid w:val="00A6640B"/>
    <w:pPr>
      <w:tabs>
        <w:tab w:val="center" w:pos="4680"/>
        <w:tab w:val="right" w:pos="9360"/>
      </w:tabs>
    </w:pPr>
  </w:style>
  <w:style w:type="character" w:customStyle="1" w:styleId="HeaderChar">
    <w:name w:val="Header Char"/>
    <w:basedOn w:val="DefaultParagraphFont"/>
    <w:link w:val="Header"/>
    <w:uiPriority w:val="99"/>
    <w:rsid w:val="00A6640B"/>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FA50A2"/>
    <w:rPr>
      <w:sz w:val="16"/>
      <w:szCs w:val="16"/>
    </w:rPr>
  </w:style>
  <w:style w:type="paragraph" w:styleId="CommentText">
    <w:name w:val="annotation text"/>
    <w:basedOn w:val="Normal"/>
    <w:link w:val="CommentTextChar"/>
    <w:uiPriority w:val="99"/>
    <w:semiHidden/>
    <w:unhideWhenUsed/>
    <w:rsid w:val="00FA50A2"/>
    <w:rPr>
      <w:sz w:val="20"/>
      <w:szCs w:val="20"/>
    </w:rPr>
  </w:style>
  <w:style w:type="character" w:customStyle="1" w:styleId="CommentTextChar">
    <w:name w:val="Comment Text Char"/>
    <w:basedOn w:val="DefaultParagraphFont"/>
    <w:link w:val="CommentText"/>
    <w:uiPriority w:val="99"/>
    <w:semiHidden/>
    <w:rsid w:val="00FA50A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A50A2"/>
    <w:rPr>
      <w:b/>
      <w:bCs/>
    </w:rPr>
  </w:style>
  <w:style w:type="character" w:customStyle="1" w:styleId="CommentSubjectChar">
    <w:name w:val="Comment Subject Char"/>
    <w:basedOn w:val="CommentTextChar"/>
    <w:link w:val="CommentSubject"/>
    <w:uiPriority w:val="99"/>
    <w:semiHidden/>
    <w:rsid w:val="00FA50A2"/>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FA50A2"/>
    <w:rPr>
      <w:sz w:val="18"/>
      <w:szCs w:val="18"/>
    </w:rPr>
  </w:style>
  <w:style w:type="character" w:customStyle="1" w:styleId="BalloonTextChar">
    <w:name w:val="Balloon Text Char"/>
    <w:basedOn w:val="DefaultParagraphFont"/>
    <w:link w:val="BalloonText"/>
    <w:uiPriority w:val="99"/>
    <w:semiHidden/>
    <w:rsid w:val="00FA50A2"/>
    <w:rPr>
      <w:rFonts w:ascii="Times New Roman" w:eastAsia="Times New Roman" w:hAnsi="Times New Roman" w:cs="Times New Roman"/>
      <w:sz w:val="18"/>
      <w:szCs w:val="18"/>
      <w:lang w:eastAsia="en-GB"/>
    </w:rPr>
  </w:style>
  <w:style w:type="paragraph" w:styleId="BodyText">
    <w:name w:val="Body Text"/>
    <w:basedOn w:val="Normal"/>
    <w:link w:val="BodyTextChar"/>
    <w:unhideWhenUsed/>
    <w:qFormat/>
    <w:rsid w:val="00AD5B56"/>
    <w:pPr>
      <w:spacing w:before="60" w:after="120" w:line="300" w:lineRule="atLeast"/>
    </w:pPr>
    <w:rPr>
      <w:rFonts w:ascii="Georgia" w:eastAsiaTheme="minorHAnsi" w:hAnsi="Georgia" w:cstheme="minorBidi"/>
      <w:color w:val="000000" w:themeColor="text1"/>
      <w:szCs w:val="22"/>
      <w:lang w:eastAsia="en-US"/>
    </w:rPr>
  </w:style>
  <w:style w:type="character" w:customStyle="1" w:styleId="BodyTextChar">
    <w:name w:val="Body Text Char"/>
    <w:basedOn w:val="DefaultParagraphFont"/>
    <w:link w:val="BodyText"/>
    <w:rsid w:val="00AD5B56"/>
    <w:rPr>
      <w:rFonts w:ascii="Georgia" w:hAnsi="Georgia"/>
      <w:color w:val="000000" w:themeColor="text1"/>
      <w:szCs w:val="22"/>
    </w:rPr>
  </w:style>
  <w:style w:type="character" w:customStyle="1" w:styleId="Heading1Char">
    <w:name w:val="Heading 1 Char"/>
    <w:basedOn w:val="DefaultParagraphFont"/>
    <w:link w:val="Heading1"/>
    <w:uiPriority w:val="9"/>
    <w:rsid w:val="00FD58AD"/>
    <w:rPr>
      <w:rFonts w:ascii="Times New Roman" w:eastAsia="Times New Roman" w:hAnsi="Times New Roman" w:cs="Times New Roman"/>
      <w:b/>
      <w:bCs/>
      <w:kern w:val="36"/>
      <w:sz w:val="48"/>
      <w:szCs w:val="48"/>
      <w:lang w:eastAsia="en-GB"/>
    </w:rPr>
  </w:style>
  <w:style w:type="paragraph" w:customStyle="1" w:styleId="u-mb-2">
    <w:name w:val="u-mb-2"/>
    <w:basedOn w:val="Normal"/>
    <w:rsid w:val="0062030B"/>
    <w:pPr>
      <w:spacing w:before="100" w:beforeAutospacing="1" w:after="100" w:afterAutospacing="1"/>
    </w:pPr>
  </w:style>
  <w:style w:type="character" w:styleId="FollowedHyperlink">
    <w:name w:val="FollowedHyperlink"/>
    <w:basedOn w:val="DefaultParagraphFont"/>
    <w:uiPriority w:val="99"/>
    <w:semiHidden/>
    <w:unhideWhenUsed/>
    <w:rsid w:val="002D75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040933">
      <w:bodyDiv w:val="1"/>
      <w:marLeft w:val="0"/>
      <w:marRight w:val="0"/>
      <w:marTop w:val="0"/>
      <w:marBottom w:val="0"/>
      <w:divBdr>
        <w:top w:val="none" w:sz="0" w:space="0" w:color="auto"/>
        <w:left w:val="none" w:sz="0" w:space="0" w:color="auto"/>
        <w:bottom w:val="none" w:sz="0" w:space="0" w:color="auto"/>
        <w:right w:val="none" w:sz="0" w:space="0" w:color="auto"/>
      </w:divBdr>
      <w:divsChild>
        <w:div w:id="734737345">
          <w:marLeft w:val="0"/>
          <w:marRight w:val="0"/>
          <w:marTop w:val="0"/>
          <w:marBottom w:val="0"/>
          <w:divBdr>
            <w:top w:val="none" w:sz="0" w:space="0" w:color="auto"/>
            <w:left w:val="none" w:sz="0" w:space="0" w:color="auto"/>
            <w:bottom w:val="none" w:sz="0" w:space="0" w:color="auto"/>
            <w:right w:val="none" w:sz="0" w:space="0" w:color="auto"/>
          </w:divBdr>
          <w:divsChild>
            <w:div w:id="1922106609">
              <w:marLeft w:val="0"/>
              <w:marRight w:val="0"/>
              <w:marTop w:val="0"/>
              <w:marBottom w:val="0"/>
              <w:divBdr>
                <w:top w:val="none" w:sz="0" w:space="0" w:color="auto"/>
                <w:left w:val="none" w:sz="0" w:space="0" w:color="auto"/>
                <w:bottom w:val="none" w:sz="0" w:space="0" w:color="auto"/>
                <w:right w:val="none" w:sz="0" w:space="0" w:color="auto"/>
              </w:divBdr>
              <w:divsChild>
                <w:div w:id="141586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06086">
      <w:bodyDiv w:val="1"/>
      <w:marLeft w:val="0"/>
      <w:marRight w:val="0"/>
      <w:marTop w:val="0"/>
      <w:marBottom w:val="0"/>
      <w:divBdr>
        <w:top w:val="none" w:sz="0" w:space="0" w:color="auto"/>
        <w:left w:val="none" w:sz="0" w:space="0" w:color="auto"/>
        <w:bottom w:val="none" w:sz="0" w:space="0" w:color="auto"/>
        <w:right w:val="none" w:sz="0" w:space="0" w:color="auto"/>
      </w:divBdr>
      <w:divsChild>
        <w:div w:id="407464033">
          <w:marLeft w:val="0"/>
          <w:marRight w:val="0"/>
          <w:marTop w:val="0"/>
          <w:marBottom w:val="0"/>
          <w:divBdr>
            <w:top w:val="none" w:sz="0" w:space="0" w:color="auto"/>
            <w:left w:val="none" w:sz="0" w:space="0" w:color="auto"/>
            <w:bottom w:val="none" w:sz="0" w:space="0" w:color="auto"/>
            <w:right w:val="none" w:sz="0" w:space="0" w:color="auto"/>
          </w:divBdr>
          <w:divsChild>
            <w:div w:id="1682707828">
              <w:marLeft w:val="0"/>
              <w:marRight w:val="0"/>
              <w:marTop w:val="0"/>
              <w:marBottom w:val="0"/>
              <w:divBdr>
                <w:top w:val="none" w:sz="0" w:space="0" w:color="auto"/>
                <w:left w:val="none" w:sz="0" w:space="0" w:color="auto"/>
                <w:bottom w:val="none" w:sz="0" w:space="0" w:color="auto"/>
                <w:right w:val="none" w:sz="0" w:space="0" w:color="auto"/>
              </w:divBdr>
              <w:divsChild>
                <w:div w:id="2279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3697">
      <w:bodyDiv w:val="1"/>
      <w:marLeft w:val="0"/>
      <w:marRight w:val="0"/>
      <w:marTop w:val="0"/>
      <w:marBottom w:val="0"/>
      <w:divBdr>
        <w:top w:val="none" w:sz="0" w:space="0" w:color="auto"/>
        <w:left w:val="none" w:sz="0" w:space="0" w:color="auto"/>
        <w:bottom w:val="none" w:sz="0" w:space="0" w:color="auto"/>
        <w:right w:val="none" w:sz="0" w:space="0" w:color="auto"/>
      </w:divBdr>
    </w:div>
    <w:div w:id="116264652">
      <w:bodyDiv w:val="1"/>
      <w:marLeft w:val="0"/>
      <w:marRight w:val="0"/>
      <w:marTop w:val="0"/>
      <w:marBottom w:val="0"/>
      <w:divBdr>
        <w:top w:val="none" w:sz="0" w:space="0" w:color="auto"/>
        <w:left w:val="none" w:sz="0" w:space="0" w:color="auto"/>
        <w:bottom w:val="none" w:sz="0" w:space="0" w:color="auto"/>
        <w:right w:val="none" w:sz="0" w:space="0" w:color="auto"/>
      </w:divBdr>
      <w:divsChild>
        <w:div w:id="205803272">
          <w:marLeft w:val="0"/>
          <w:marRight w:val="0"/>
          <w:marTop w:val="0"/>
          <w:marBottom w:val="0"/>
          <w:divBdr>
            <w:top w:val="none" w:sz="0" w:space="0" w:color="auto"/>
            <w:left w:val="none" w:sz="0" w:space="0" w:color="auto"/>
            <w:bottom w:val="none" w:sz="0" w:space="0" w:color="auto"/>
            <w:right w:val="none" w:sz="0" w:space="0" w:color="auto"/>
          </w:divBdr>
          <w:divsChild>
            <w:div w:id="355425237">
              <w:marLeft w:val="0"/>
              <w:marRight w:val="0"/>
              <w:marTop w:val="0"/>
              <w:marBottom w:val="0"/>
              <w:divBdr>
                <w:top w:val="none" w:sz="0" w:space="0" w:color="auto"/>
                <w:left w:val="none" w:sz="0" w:space="0" w:color="auto"/>
                <w:bottom w:val="none" w:sz="0" w:space="0" w:color="auto"/>
                <w:right w:val="none" w:sz="0" w:space="0" w:color="auto"/>
              </w:divBdr>
              <w:divsChild>
                <w:div w:id="55924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678720">
      <w:bodyDiv w:val="1"/>
      <w:marLeft w:val="0"/>
      <w:marRight w:val="0"/>
      <w:marTop w:val="0"/>
      <w:marBottom w:val="0"/>
      <w:divBdr>
        <w:top w:val="none" w:sz="0" w:space="0" w:color="auto"/>
        <w:left w:val="none" w:sz="0" w:space="0" w:color="auto"/>
        <w:bottom w:val="none" w:sz="0" w:space="0" w:color="auto"/>
        <w:right w:val="none" w:sz="0" w:space="0" w:color="auto"/>
      </w:divBdr>
    </w:div>
    <w:div w:id="256140784">
      <w:bodyDiv w:val="1"/>
      <w:marLeft w:val="0"/>
      <w:marRight w:val="0"/>
      <w:marTop w:val="0"/>
      <w:marBottom w:val="0"/>
      <w:divBdr>
        <w:top w:val="none" w:sz="0" w:space="0" w:color="auto"/>
        <w:left w:val="none" w:sz="0" w:space="0" w:color="auto"/>
        <w:bottom w:val="none" w:sz="0" w:space="0" w:color="auto"/>
        <w:right w:val="none" w:sz="0" w:space="0" w:color="auto"/>
      </w:divBdr>
    </w:div>
    <w:div w:id="358315518">
      <w:bodyDiv w:val="1"/>
      <w:marLeft w:val="0"/>
      <w:marRight w:val="0"/>
      <w:marTop w:val="0"/>
      <w:marBottom w:val="0"/>
      <w:divBdr>
        <w:top w:val="none" w:sz="0" w:space="0" w:color="auto"/>
        <w:left w:val="none" w:sz="0" w:space="0" w:color="auto"/>
        <w:bottom w:val="none" w:sz="0" w:space="0" w:color="auto"/>
        <w:right w:val="none" w:sz="0" w:space="0" w:color="auto"/>
      </w:divBdr>
      <w:divsChild>
        <w:div w:id="804355006">
          <w:marLeft w:val="0"/>
          <w:marRight w:val="0"/>
          <w:marTop w:val="0"/>
          <w:marBottom w:val="0"/>
          <w:divBdr>
            <w:top w:val="none" w:sz="0" w:space="0" w:color="auto"/>
            <w:left w:val="none" w:sz="0" w:space="0" w:color="auto"/>
            <w:bottom w:val="none" w:sz="0" w:space="0" w:color="auto"/>
            <w:right w:val="none" w:sz="0" w:space="0" w:color="auto"/>
          </w:divBdr>
          <w:divsChild>
            <w:div w:id="2003119238">
              <w:marLeft w:val="0"/>
              <w:marRight w:val="0"/>
              <w:marTop w:val="0"/>
              <w:marBottom w:val="0"/>
              <w:divBdr>
                <w:top w:val="none" w:sz="0" w:space="0" w:color="auto"/>
                <w:left w:val="none" w:sz="0" w:space="0" w:color="auto"/>
                <w:bottom w:val="none" w:sz="0" w:space="0" w:color="auto"/>
                <w:right w:val="none" w:sz="0" w:space="0" w:color="auto"/>
              </w:divBdr>
              <w:divsChild>
                <w:div w:id="20718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791569">
          <w:marLeft w:val="0"/>
          <w:marRight w:val="0"/>
          <w:marTop w:val="0"/>
          <w:marBottom w:val="0"/>
          <w:divBdr>
            <w:top w:val="none" w:sz="0" w:space="0" w:color="auto"/>
            <w:left w:val="none" w:sz="0" w:space="0" w:color="auto"/>
            <w:bottom w:val="none" w:sz="0" w:space="0" w:color="auto"/>
            <w:right w:val="none" w:sz="0" w:space="0" w:color="auto"/>
          </w:divBdr>
          <w:divsChild>
            <w:div w:id="1137724981">
              <w:marLeft w:val="0"/>
              <w:marRight w:val="0"/>
              <w:marTop w:val="0"/>
              <w:marBottom w:val="0"/>
              <w:divBdr>
                <w:top w:val="none" w:sz="0" w:space="0" w:color="auto"/>
                <w:left w:val="none" w:sz="0" w:space="0" w:color="auto"/>
                <w:bottom w:val="none" w:sz="0" w:space="0" w:color="auto"/>
                <w:right w:val="none" w:sz="0" w:space="0" w:color="auto"/>
              </w:divBdr>
              <w:divsChild>
                <w:div w:id="1333797732">
                  <w:marLeft w:val="0"/>
                  <w:marRight w:val="0"/>
                  <w:marTop w:val="0"/>
                  <w:marBottom w:val="0"/>
                  <w:divBdr>
                    <w:top w:val="none" w:sz="0" w:space="0" w:color="auto"/>
                    <w:left w:val="none" w:sz="0" w:space="0" w:color="auto"/>
                    <w:bottom w:val="none" w:sz="0" w:space="0" w:color="auto"/>
                    <w:right w:val="none" w:sz="0" w:space="0" w:color="auto"/>
                  </w:divBdr>
                </w:div>
              </w:divsChild>
            </w:div>
            <w:div w:id="520895494">
              <w:marLeft w:val="0"/>
              <w:marRight w:val="0"/>
              <w:marTop w:val="0"/>
              <w:marBottom w:val="0"/>
              <w:divBdr>
                <w:top w:val="none" w:sz="0" w:space="0" w:color="auto"/>
                <w:left w:val="none" w:sz="0" w:space="0" w:color="auto"/>
                <w:bottom w:val="none" w:sz="0" w:space="0" w:color="auto"/>
                <w:right w:val="none" w:sz="0" w:space="0" w:color="auto"/>
              </w:divBdr>
              <w:divsChild>
                <w:div w:id="140399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194182">
      <w:bodyDiv w:val="1"/>
      <w:marLeft w:val="0"/>
      <w:marRight w:val="0"/>
      <w:marTop w:val="0"/>
      <w:marBottom w:val="0"/>
      <w:divBdr>
        <w:top w:val="none" w:sz="0" w:space="0" w:color="auto"/>
        <w:left w:val="none" w:sz="0" w:space="0" w:color="auto"/>
        <w:bottom w:val="none" w:sz="0" w:space="0" w:color="auto"/>
        <w:right w:val="none" w:sz="0" w:space="0" w:color="auto"/>
      </w:divBdr>
      <w:divsChild>
        <w:div w:id="842086601">
          <w:marLeft w:val="0"/>
          <w:marRight w:val="0"/>
          <w:marTop w:val="0"/>
          <w:marBottom w:val="0"/>
          <w:divBdr>
            <w:top w:val="none" w:sz="0" w:space="0" w:color="auto"/>
            <w:left w:val="none" w:sz="0" w:space="0" w:color="auto"/>
            <w:bottom w:val="none" w:sz="0" w:space="0" w:color="auto"/>
            <w:right w:val="none" w:sz="0" w:space="0" w:color="auto"/>
          </w:divBdr>
          <w:divsChild>
            <w:div w:id="2119256664">
              <w:marLeft w:val="0"/>
              <w:marRight w:val="0"/>
              <w:marTop w:val="0"/>
              <w:marBottom w:val="0"/>
              <w:divBdr>
                <w:top w:val="none" w:sz="0" w:space="0" w:color="auto"/>
                <w:left w:val="none" w:sz="0" w:space="0" w:color="auto"/>
                <w:bottom w:val="none" w:sz="0" w:space="0" w:color="auto"/>
                <w:right w:val="none" w:sz="0" w:space="0" w:color="auto"/>
              </w:divBdr>
              <w:divsChild>
                <w:div w:id="18038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803338">
      <w:bodyDiv w:val="1"/>
      <w:marLeft w:val="0"/>
      <w:marRight w:val="0"/>
      <w:marTop w:val="0"/>
      <w:marBottom w:val="0"/>
      <w:divBdr>
        <w:top w:val="none" w:sz="0" w:space="0" w:color="auto"/>
        <w:left w:val="none" w:sz="0" w:space="0" w:color="auto"/>
        <w:bottom w:val="none" w:sz="0" w:space="0" w:color="auto"/>
        <w:right w:val="none" w:sz="0" w:space="0" w:color="auto"/>
      </w:divBdr>
      <w:divsChild>
        <w:div w:id="1649046393">
          <w:marLeft w:val="0"/>
          <w:marRight w:val="0"/>
          <w:marTop w:val="0"/>
          <w:marBottom w:val="0"/>
          <w:divBdr>
            <w:top w:val="none" w:sz="0" w:space="0" w:color="auto"/>
            <w:left w:val="none" w:sz="0" w:space="0" w:color="auto"/>
            <w:bottom w:val="none" w:sz="0" w:space="0" w:color="auto"/>
            <w:right w:val="none" w:sz="0" w:space="0" w:color="auto"/>
          </w:divBdr>
          <w:divsChild>
            <w:div w:id="1138259949">
              <w:marLeft w:val="0"/>
              <w:marRight w:val="0"/>
              <w:marTop w:val="0"/>
              <w:marBottom w:val="0"/>
              <w:divBdr>
                <w:top w:val="none" w:sz="0" w:space="0" w:color="auto"/>
                <w:left w:val="none" w:sz="0" w:space="0" w:color="auto"/>
                <w:bottom w:val="none" w:sz="0" w:space="0" w:color="auto"/>
                <w:right w:val="none" w:sz="0" w:space="0" w:color="auto"/>
              </w:divBdr>
              <w:divsChild>
                <w:div w:id="186497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31018">
      <w:bodyDiv w:val="1"/>
      <w:marLeft w:val="0"/>
      <w:marRight w:val="0"/>
      <w:marTop w:val="0"/>
      <w:marBottom w:val="0"/>
      <w:divBdr>
        <w:top w:val="none" w:sz="0" w:space="0" w:color="auto"/>
        <w:left w:val="none" w:sz="0" w:space="0" w:color="auto"/>
        <w:bottom w:val="none" w:sz="0" w:space="0" w:color="auto"/>
        <w:right w:val="none" w:sz="0" w:space="0" w:color="auto"/>
      </w:divBdr>
    </w:div>
    <w:div w:id="508711984">
      <w:bodyDiv w:val="1"/>
      <w:marLeft w:val="0"/>
      <w:marRight w:val="0"/>
      <w:marTop w:val="0"/>
      <w:marBottom w:val="0"/>
      <w:divBdr>
        <w:top w:val="none" w:sz="0" w:space="0" w:color="auto"/>
        <w:left w:val="none" w:sz="0" w:space="0" w:color="auto"/>
        <w:bottom w:val="none" w:sz="0" w:space="0" w:color="auto"/>
        <w:right w:val="none" w:sz="0" w:space="0" w:color="auto"/>
      </w:divBdr>
      <w:divsChild>
        <w:div w:id="1320428811">
          <w:marLeft w:val="0"/>
          <w:marRight w:val="0"/>
          <w:marTop w:val="0"/>
          <w:marBottom w:val="0"/>
          <w:divBdr>
            <w:top w:val="none" w:sz="0" w:space="0" w:color="auto"/>
            <w:left w:val="none" w:sz="0" w:space="0" w:color="auto"/>
            <w:bottom w:val="none" w:sz="0" w:space="0" w:color="auto"/>
            <w:right w:val="none" w:sz="0" w:space="0" w:color="auto"/>
          </w:divBdr>
          <w:divsChild>
            <w:div w:id="1066146533">
              <w:marLeft w:val="0"/>
              <w:marRight w:val="0"/>
              <w:marTop w:val="0"/>
              <w:marBottom w:val="0"/>
              <w:divBdr>
                <w:top w:val="none" w:sz="0" w:space="0" w:color="auto"/>
                <w:left w:val="none" w:sz="0" w:space="0" w:color="auto"/>
                <w:bottom w:val="none" w:sz="0" w:space="0" w:color="auto"/>
                <w:right w:val="none" w:sz="0" w:space="0" w:color="auto"/>
              </w:divBdr>
              <w:divsChild>
                <w:div w:id="1081289969">
                  <w:marLeft w:val="0"/>
                  <w:marRight w:val="0"/>
                  <w:marTop w:val="0"/>
                  <w:marBottom w:val="0"/>
                  <w:divBdr>
                    <w:top w:val="none" w:sz="0" w:space="0" w:color="auto"/>
                    <w:left w:val="none" w:sz="0" w:space="0" w:color="auto"/>
                    <w:bottom w:val="none" w:sz="0" w:space="0" w:color="auto"/>
                    <w:right w:val="none" w:sz="0" w:space="0" w:color="auto"/>
                  </w:divBdr>
                  <w:divsChild>
                    <w:div w:id="5883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555887">
      <w:bodyDiv w:val="1"/>
      <w:marLeft w:val="0"/>
      <w:marRight w:val="0"/>
      <w:marTop w:val="0"/>
      <w:marBottom w:val="0"/>
      <w:divBdr>
        <w:top w:val="none" w:sz="0" w:space="0" w:color="auto"/>
        <w:left w:val="none" w:sz="0" w:space="0" w:color="auto"/>
        <w:bottom w:val="none" w:sz="0" w:space="0" w:color="auto"/>
        <w:right w:val="none" w:sz="0" w:space="0" w:color="auto"/>
      </w:divBdr>
      <w:divsChild>
        <w:div w:id="1368291581">
          <w:marLeft w:val="0"/>
          <w:marRight w:val="0"/>
          <w:marTop w:val="0"/>
          <w:marBottom w:val="0"/>
          <w:divBdr>
            <w:top w:val="none" w:sz="0" w:space="0" w:color="auto"/>
            <w:left w:val="none" w:sz="0" w:space="0" w:color="auto"/>
            <w:bottom w:val="none" w:sz="0" w:space="0" w:color="auto"/>
            <w:right w:val="none" w:sz="0" w:space="0" w:color="auto"/>
          </w:divBdr>
          <w:divsChild>
            <w:div w:id="168759443">
              <w:marLeft w:val="0"/>
              <w:marRight w:val="0"/>
              <w:marTop w:val="0"/>
              <w:marBottom w:val="0"/>
              <w:divBdr>
                <w:top w:val="none" w:sz="0" w:space="0" w:color="auto"/>
                <w:left w:val="none" w:sz="0" w:space="0" w:color="auto"/>
                <w:bottom w:val="none" w:sz="0" w:space="0" w:color="auto"/>
                <w:right w:val="none" w:sz="0" w:space="0" w:color="auto"/>
              </w:divBdr>
              <w:divsChild>
                <w:div w:id="84236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595480">
      <w:bodyDiv w:val="1"/>
      <w:marLeft w:val="0"/>
      <w:marRight w:val="0"/>
      <w:marTop w:val="0"/>
      <w:marBottom w:val="0"/>
      <w:divBdr>
        <w:top w:val="none" w:sz="0" w:space="0" w:color="auto"/>
        <w:left w:val="none" w:sz="0" w:space="0" w:color="auto"/>
        <w:bottom w:val="none" w:sz="0" w:space="0" w:color="auto"/>
        <w:right w:val="none" w:sz="0" w:space="0" w:color="auto"/>
      </w:divBdr>
    </w:div>
    <w:div w:id="714089232">
      <w:bodyDiv w:val="1"/>
      <w:marLeft w:val="0"/>
      <w:marRight w:val="0"/>
      <w:marTop w:val="0"/>
      <w:marBottom w:val="0"/>
      <w:divBdr>
        <w:top w:val="none" w:sz="0" w:space="0" w:color="auto"/>
        <w:left w:val="none" w:sz="0" w:space="0" w:color="auto"/>
        <w:bottom w:val="none" w:sz="0" w:space="0" w:color="auto"/>
        <w:right w:val="none" w:sz="0" w:space="0" w:color="auto"/>
      </w:divBdr>
      <w:divsChild>
        <w:div w:id="429156297">
          <w:marLeft w:val="0"/>
          <w:marRight w:val="0"/>
          <w:marTop w:val="0"/>
          <w:marBottom w:val="0"/>
          <w:divBdr>
            <w:top w:val="none" w:sz="0" w:space="0" w:color="auto"/>
            <w:left w:val="none" w:sz="0" w:space="0" w:color="auto"/>
            <w:bottom w:val="none" w:sz="0" w:space="0" w:color="auto"/>
            <w:right w:val="none" w:sz="0" w:space="0" w:color="auto"/>
          </w:divBdr>
          <w:divsChild>
            <w:div w:id="1893925168">
              <w:marLeft w:val="0"/>
              <w:marRight w:val="0"/>
              <w:marTop w:val="0"/>
              <w:marBottom w:val="0"/>
              <w:divBdr>
                <w:top w:val="none" w:sz="0" w:space="0" w:color="auto"/>
                <w:left w:val="none" w:sz="0" w:space="0" w:color="auto"/>
                <w:bottom w:val="none" w:sz="0" w:space="0" w:color="auto"/>
                <w:right w:val="none" w:sz="0" w:space="0" w:color="auto"/>
              </w:divBdr>
              <w:divsChild>
                <w:div w:id="19400627">
                  <w:marLeft w:val="0"/>
                  <w:marRight w:val="0"/>
                  <w:marTop w:val="0"/>
                  <w:marBottom w:val="0"/>
                  <w:divBdr>
                    <w:top w:val="none" w:sz="0" w:space="0" w:color="auto"/>
                    <w:left w:val="none" w:sz="0" w:space="0" w:color="auto"/>
                    <w:bottom w:val="none" w:sz="0" w:space="0" w:color="auto"/>
                    <w:right w:val="none" w:sz="0" w:space="0" w:color="auto"/>
                  </w:divBdr>
                  <w:divsChild>
                    <w:div w:id="2106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788320">
      <w:bodyDiv w:val="1"/>
      <w:marLeft w:val="0"/>
      <w:marRight w:val="0"/>
      <w:marTop w:val="0"/>
      <w:marBottom w:val="0"/>
      <w:divBdr>
        <w:top w:val="none" w:sz="0" w:space="0" w:color="auto"/>
        <w:left w:val="none" w:sz="0" w:space="0" w:color="auto"/>
        <w:bottom w:val="none" w:sz="0" w:space="0" w:color="auto"/>
        <w:right w:val="none" w:sz="0" w:space="0" w:color="auto"/>
      </w:divBdr>
    </w:div>
    <w:div w:id="904411176">
      <w:bodyDiv w:val="1"/>
      <w:marLeft w:val="0"/>
      <w:marRight w:val="0"/>
      <w:marTop w:val="0"/>
      <w:marBottom w:val="0"/>
      <w:divBdr>
        <w:top w:val="none" w:sz="0" w:space="0" w:color="auto"/>
        <w:left w:val="none" w:sz="0" w:space="0" w:color="auto"/>
        <w:bottom w:val="none" w:sz="0" w:space="0" w:color="auto"/>
        <w:right w:val="none" w:sz="0" w:space="0" w:color="auto"/>
      </w:divBdr>
    </w:div>
    <w:div w:id="912855383">
      <w:bodyDiv w:val="1"/>
      <w:marLeft w:val="0"/>
      <w:marRight w:val="0"/>
      <w:marTop w:val="0"/>
      <w:marBottom w:val="0"/>
      <w:divBdr>
        <w:top w:val="none" w:sz="0" w:space="0" w:color="auto"/>
        <w:left w:val="none" w:sz="0" w:space="0" w:color="auto"/>
        <w:bottom w:val="none" w:sz="0" w:space="0" w:color="auto"/>
        <w:right w:val="none" w:sz="0" w:space="0" w:color="auto"/>
      </w:divBdr>
      <w:divsChild>
        <w:div w:id="1145319155">
          <w:marLeft w:val="0"/>
          <w:marRight w:val="0"/>
          <w:marTop w:val="0"/>
          <w:marBottom w:val="0"/>
          <w:divBdr>
            <w:top w:val="none" w:sz="0" w:space="0" w:color="auto"/>
            <w:left w:val="none" w:sz="0" w:space="0" w:color="auto"/>
            <w:bottom w:val="none" w:sz="0" w:space="0" w:color="auto"/>
            <w:right w:val="none" w:sz="0" w:space="0" w:color="auto"/>
          </w:divBdr>
          <w:divsChild>
            <w:div w:id="1990133826">
              <w:marLeft w:val="0"/>
              <w:marRight w:val="0"/>
              <w:marTop w:val="0"/>
              <w:marBottom w:val="0"/>
              <w:divBdr>
                <w:top w:val="none" w:sz="0" w:space="0" w:color="auto"/>
                <w:left w:val="none" w:sz="0" w:space="0" w:color="auto"/>
                <w:bottom w:val="none" w:sz="0" w:space="0" w:color="auto"/>
                <w:right w:val="none" w:sz="0" w:space="0" w:color="auto"/>
              </w:divBdr>
              <w:divsChild>
                <w:div w:id="1384476269">
                  <w:marLeft w:val="0"/>
                  <w:marRight w:val="0"/>
                  <w:marTop w:val="0"/>
                  <w:marBottom w:val="0"/>
                  <w:divBdr>
                    <w:top w:val="none" w:sz="0" w:space="0" w:color="auto"/>
                    <w:left w:val="none" w:sz="0" w:space="0" w:color="auto"/>
                    <w:bottom w:val="none" w:sz="0" w:space="0" w:color="auto"/>
                    <w:right w:val="none" w:sz="0" w:space="0" w:color="auto"/>
                  </w:divBdr>
                  <w:divsChild>
                    <w:div w:id="19713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399026">
      <w:bodyDiv w:val="1"/>
      <w:marLeft w:val="0"/>
      <w:marRight w:val="0"/>
      <w:marTop w:val="0"/>
      <w:marBottom w:val="0"/>
      <w:divBdr>
        <w:top w:val="none" w:sz="0" w:space="0" w:color="auto"/>
        <w:left w:val="none" w:sz="0" w:space="0" w:color="auto"/>
        <w:bottom w:val="none" w:sz="0" w:space="0" w:color="auto"/>
        <w:right w:val="none" w:sz="0" w:space="0" w:color="auto"/>
      </w:divBdr>
    </w:div>
    <w:div w:id="981736341">
      <w:bodyDiv w:val="1"/>
      <w:marLeft w:val="0"/>
      <w:marRight w:val="0"/>
      <w:marTop w:val="0"/>
      <w:marBottom w:val="0"/>
      <w:divBdr>
        <w:top w:val="none" w:sz="0" w:space="0" w:color="auto"/>
        <w:left w:val="none" w:sz="0" w:space="0" w:color="auto"/>
        <w:bottom w:val="none" w:sz="0" w:space="0" w:color="auto"/>
        <w:right w:val="none" w:sz="0" w:space="0" w:color="auto"/>
      </w:divBdr>
    </w:div>
    <w:div w:id="1026061807">
      <w:bodyDiv w:val="1"/>
      <w:marLeft w:val="0"/>
      <w:marRight w:val="0"/>
      <w:marTop w:val="0"/>
      <w:marBottom w:val="0"/>
      <w:divBdr>
        <w:top w:val="none" w:sz="0" w:space="0" w:color="auto"/>
        <w:left w:val="none" w:sz="0" w:space="0" w:color="auto"/>
        <w:bottom w:val="none" w:sz="0" w:space="0" w:color="auto"/>
        <w:right w:val="none" w:sz="0" w:space="0" w:color="auto"/>
      </w:divBdr>
    </w:div>
    <w:div w:id="1030763133">
      <w:bodyDiv w:val="1"/>
      <w:marLeft w:val="0"/>
      <w:marRight w:val="0"/>
      <w:marTop w:val="0"/>
      <w:marBottom w:val="0"/>
      <w:divBdr>
        <w:top w:val="none" w:sz="0" w:space="0" w:color="auto"/>
        <w:left w:val="none" w:sz="0" w:space="0" w:color="auto"/>
        <w:bottom w:val="none" w:sz="0" w:space="0" w:color="auto"/>
        <w:right w:val="none" w:sz="0" w:space="0" w:color="auto"/>
      </w:divBdr>
      <w:divsChild>
        <w:div w:id="1798641811">
          <w:marLeft w:val="0"/>
          <w:marRight w:val="0"/>
          <w:marTop w:val="0"/>
          <w:marBottom w:val="0"/>
          <w:divBdr>
            <w:top w:val="none" w:sz="0" w:space="0" w:color="auto"/>
            <w:left w:val="none" w:sz="0" w:space="0" w:color="auto"/>
            <w:bottom w:val="none" w:sz="0" w:space="0" w:color="auto"/>
            <w:right w:val="none" w:sz="0" w:space="0" w:color="auto"/>
          </w:divBdr>
          <w:divsChild>
            <w:div w:id="276643660">
              <w:marLeft w:val="0"/>
              <w:marRight w:val="0"/>
              <w:marTop w:val="0"/>
              <w:marBottom w:val="0"/>
              <w:divBdr>
                <w:top w:val="none" w:sz="0" w:space="0" w:color="auto"/>
                <w:left w:val="none" w:sz="0" w:space="0" w:color="auto"/>
                <w:bottom w:val="none" w:sz="0" w:space="0" w:color="auto"/>
                <w:right w:val="none" w:sz="0" w:space="0" w:color="auto"/>
              </w:divBdr>
              <w:divsChild>
                <w:div w:id="101137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47250">
      <w:bodyDiv w:val="1"/>
      <w:marLeft w:val="0"/>
      <w:marRight w:val="0"/>
      <w:marTop w:val="0"/>
      <w:marBottom w:val="0"/>
      <w:divBdr>
        <w:top w:val="none" w:sz="0" w:space="0" w:color="auto"/>
        <w:left w:val="none" w:sz="0" w:space="0" w:color="auto"/>
        <w:bottom w:val="none" w:sz="0" w:space="0" w:color="auto"/>
        <w:right w:val="none" w:sz="0" w:space="0" w:color="auto"/>
      </w:divBdr>
      <w:divsChild>
        <w:div w:id="151802520">
          <w:marLeft w:val="0"/>
          <w:marRight w:val="0"/>
          <w:marTop w:val="0"/>
          <w:marBottom w:val="0"/>
          <w:divBdr>
            <w:top w:val="none" w:sz="0" w:space="0" w:color="auto"/>
            <w:left w:val="none" w:sz="0" w:space="0" w:color="auto"/>
            <w:bottom w:val="none" w:sz="0" w:space="0" w:color="auto"/>
            <w:right w:val="none" w:sz="0" w:space="0" w:color="auto"/>
          </w:divBdr>
          <w:divsChild>
            <w:div w:id="851334227">
              <w:marLeft w:val="0"/>
              <w:marRight w:val="0"/>
              <w:marTop w:val="0"/>
              <w:marBottom w:val="0"/>
              <w:divBdr>
                <w:top w:val="none" w:sz="0" w:space="0" w:color="auto"/>
                <w:left w:val="none" w:sz="0" w:space="0" w:color="auto"/>
                <w:bottom w:val="none" w:sz="0" w:space="0" w:color="auto"/>
                <w:right w:val="none" w:sz="0" w:space="0" w:color="auto"/>
              </w:divBdr>
              <w:divsChild>
                <w:div w:id="31195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335121">
      <w:bodyDiv w:val="1"/>
      <w:marLeft w:val="0"/>
      <w:marRight w:val="0"/>
      <w:marTop w:val="0"/>
      <w:marBottom w:val="0"/>
      <w:divBdr>
        <w:top w:val="none" w:sz="0" w:space="0" w:color="auto"/>
        <w:left w:val="none" w:sz="0" w:space="0" w:color="auto"/>
        <w:bottom w:val="none" w:sz="0" w:space="0" w:color="auto"/>
        <w:right w:val="none" w:sz="0" w:space="0" w:color="auto"/>
      </w:divBdr>
    </w:div>
    <w:div w:id="1157720001">
      <w:bodyDiv w:val="1"/>
      <w:marLeft w:val="0"/>
      <w:marRight w:val="0"/>
      <w:marTop w:val="0"/>
      <w:marBottom w:val="0"/>
      <w:divBdr>
        <w:top w:val="none" w:sz="0" w:space="0" w:color="auto"/>
        <w:left w:val="none" w:sz="0" w:space="0" w:color="auto"/>
        <w:bottom w:val="none" w:sz="0" w:space="0" w:color="auto"/>
        <w:right w:val="none" w:sz="0" w:space="0" w:color="auto"/>
      </w:divBdr>
    </w:div>
    <w:div w:id="1161775068">
      <w:bodyDiv w:val="1"/>
      <w:marLeft w:val="0"/>
      <w:marRight w:val="0"/>
      <w:marTop w:val="0"/>
      <w:marBottom w:val="0"/>
      <w:divBdr>
        <w:top w:val="none" w:sz="0" w:space="0" w:color="auto"/>
        <w:left w:val="none" w:sz="0" w:space="0" w:color="auto"/>
        <w:bottom w:val="none" w:sz="0" w:space="0" w:color="auto"/>
        <w:right w:val="none" w:sz="0" w:space="0" w:color="auto"/>
      </w:divBdr>
      <w:divsChild>
        <w:div w:id="1508986350">
          <w:marLeft w:val="0"/>
          <w:marRight w:val="0"/>
          <w:marTop w:val="0"/>
          <w:marBottom w:val="0"/>
          <w:divBdr>
            <w:top w:val="none" w:sz="0" w:space="0" w:color="auto"/>
            <w:left w:val="none" w:sz="0" w:space="0" w:color="auto"/>
            <w:bottom w:val="none" w:sz="0" w:space="0" w:color="auto"/>
            <w:right w:val="none" w:sz="0" w:space="0" w:color="auto"/>
          </w:divBdr>
          <w:divsChild>
            <w:div w:id="1604343983">
              <w:marLeft w:val="0"/>
              <w:marRight w:val="0"/>
              <w:marTop w:val="0"/>
              <w:marBottom w:val="0"/>
              <w:divBdr>
                <w:top w:val="none" w:sz="0" w:space="0" w:color="auto"/>
                <w:left w:val="none" w:sz="0" w:space="0" w:color="auto"/>
                <w:bottom w:val="none" w:sz="0" w:space="0" w:color="auto"/>
                <w:right w:val="none" w:sz="0" w:space="0" w:color="auto"/>
              </w:divBdr>
              <w:divsChild>
                <w:div w:id="3478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28399">
      <w:bodyDiv w:val="1"/>
      <w:marLeft w:val="0"/>
      <w:marRight w:val="0"/>
      <w:marTop w:val="0"/>
      <w:marBottom w:val="0"/>
      <w:divBdr>
        <w:top w:val="none" w:sz="0" w:space="0" w:color="auto"/>
        <w:left w:val="none" w:sz="0" w:space="0" w:color="auto"/>
        <w:bottom w:val="none" w:sz="0" w:space="0" w:color="auto"/>
        <w:right w:val="none" w:sz="0" w:space="0" w:color="auto"/>
      </w:divBdr>
    </w:div>
    <w:div w:id="1465462142">
      <w:bodyDiv w:val="1"/>
      <w:marLeft w:val="0"/>
      <w:marRight w:val="0"/>
      <w:marTop w:val="0"/>
      <w:marBottom w:val="0"/>
      <w:divBdr>
        <w:top w:val="none" w:sz="0" w:space="0" w:color="auto"/>
        <w:left w:val="none" w:sz="0" w:space="0" w:color="auto"/>
        <w:bottom w:val="none" w:sz="0" w:space="0" w:color="auto"/>
        <w:right w:val="none" w:sz="0" w:space="0" w:color="auto"/>
      </w:divBdr>
    </w:div>
    <w:div w:id="1579242151">
      <w:bodyDiv w:val="1"/>
      <w:marLeft w:val="0"/>
      <w:marRight w:val="0"/>
      <w:marTop w:val="0"/>
      <w:marBottom w:val="0"/>
      <w:divBdr>
        <w:top w:val="none" w:sz="0" w:space="0" w:color="auto"/>
        <w:left w:val="none" w:sz="0" w:space="0" w:color="auto"/>
        <w:bottom w:val="none" w:sz="0" w:space="0" w:color="auto"/>
        <w:right w:val="none" w:sz="0" w:space="0" w:color="auto"/>
      </w:divBdr>
    </w:div>
    <w:div w:id="1683512670">
      <w:bodyDiv w:val="1"/>
      <w:marLeft w:val="0"/>
      <w:marRight w:val="0"/>
      <w:marTop w:val="0"/>
      <w:marBottom w:val="0"/>
      <w:divBdr>
        <w:top w:val="none" w:sz="0" w:space="0" w:color="auto"/>
        <w:left w:val="none" w:sz="0" w:space="0" w:color="auto"/>
        <w:bottom w:val="none" w:sz="0" w:space="0" w:color="auto"/>
        <w:right w:val="none" w:sz="0" w:space="0" w:color="auto"/>
      </w:divBdr>
      <w:divsChild>
        <w:div w:id="500123679">
          <w:marLeft w:val="0"/>
          <w:marRight w:val="0"/>
          <w:marTop w:val="0"/>
          <w:marBottom w:val="0"/>
          <w:divBdr>
            <w:top w:val="none" w:sz="0" w:space="0" w:color="auto"/>
            <w:left w:val="none" w:sz="0" w:space="0" w:color="auto"/>
            <w:bottom w:val="none" w:sz="0" w:space="0" w:color="auto"/>
            <w:right w:val="none" w:sz="0" w:space="0" w:color="auto"/>
          </w:divBdr>
          <w:divsChild>
            <w:div w:id="908347831">
              <w:marLeft w:val="0"/>
              <w:marRight w:val="0"/>
              <w:marTop w:val="0"/>
              <w:marBottom w:val="0"/>
              <w:divBdr>
                <w:top w:val="none" w:sz="0" w:space="0" w:color="auto"/>
                <w:left w:val="none" w:sz="0" w:space="0" w:color="auto"/>
                <w:bottom w:val="none" w:sz="0" w:space="0" w:color="auto"/>
                <w:right w:val="none" w:sz="0" w:space="0" w:color="auto"/>
              </w:divBdr>
              <w:divsChild>
                <w:div w:id="798644221">
                  <w:marLeft w:val="0"/>
                  <w:marRight w:val="0"/>
                  <w:marTop w:val="0"/>
                  <w:marBottom w:val="0"/>
                  <w:divBdr>
                    <w:top w:val="none" w:sz="0" w:space="0" w:color="auto"/>
                    <w:left w:val="none" w:sz="0" w:space="0" w:color="auto"/>
                    <w:bottom w:val="none" w:sz="0" w:space="0" w:color="auto"/>
                    <w:right w:val="none" w:sz="0" w:space="0" w:color="auto"/>
                  </w:divBdr>
                  <w:divsChild>
                    <w:div w:id="18567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740831">
      <w:bodyDiv w:val="1"/>
      <w:marLeft w:val="0"/>
      <w:marRight w:val="0"/>
      <w:marTop w:val="0"/>
      <w:marBottom w:val="0"/>
      <w:divBdr>
        <w:top w:val="none" w:sz="0" w:space="0" w:color="auto"/>
        <w:left w:val="none" w:sz="0" w:space="0" w:color="auto"/>
        <w:bottom w:val="none" w:sz="0" w:space="0" w:color="auto"/>
        <w:right w:val="none" w:sz="0" w:space="0" w:color="auto"/>
      </w:divBdr>
    </w:div>
    <w:div w:id="1851678418">
      <w:bodyDiv w:val="1"/>
      <w:marLeft w:val="0"/>
      <w:marRight w:val="0"/>
      <w:marTop w:val="0"/>
      <w:marBottom w:val="0"/>
      <w:divBdr>
        <w:top w:val="none" w:sz="0" w:space="0" w:color="auto"/>
        <w:left w:val="none" w:sz="0" w:space="0" w:color="auto"/>
        <w:bottom w:val="none" w:sz="0" w:space="0" w:color="auto"/>
        <w:right w:val="none" w:sz="0" w:space="0" w:color="auto"/>
      </w:divBdr>
    </w:div>
    <w:div w:id="1887795383">
      <w:bodyDiv w:val="1"/>
      <w:marLeft w:val="0"/>
      <w:marRight w:val="0"/>
      <w:marTop w:val="0"/>
      <w:marBottom w:val="0"/>
      <w:divBdr>
        <w:top w:val="none" w:sz="0" w:space="0" w:color="auto"/>
        <w:left w:val="none" w:sz="0" w:space="0" w:color="auto"/>
        <w:bottom w:val="none" w:sz="0" w:space="0" w:color="auto"/>
        <w:right w:val="none" w:sz="0" w:space="0" w:color="auto"/>
      </w:divBdr>
    </w:div>
    <w:div w:id="1925068529">
      <w:bodyDiv w:val="1"/>
      <w:marLeft w:val="0"/>
      <w:marRight w:val="0"/>
      <w:marTop w:val="0"/>
      <w:marBottom w:val="0"/>
      <w:divBdr>
        <w:top w:val="none" w:sz="0" w:space="0" w:color="auto"/>
        <w:left w:val="none" w:sz="0" w:space="0" w:color="auto"/>
        <w:bottom w:val="none" w:sz="0" w:space="0" w:color="auto"/>
        <w:right w:val="none" w:sz="0" w:space="0" w:color="auto"/>
      </w:divBdr>
      <w:divsChild>
        <w:div w:id="1586459015">
          <w:marLeft w:val="0"/>
          <w:marRight w:val="0"/>
          <w:marTop w:val="0"/>
          <w:marBottom w:val="0"/>
          <w:divBdr>
            <w:top w:val="none" w:sz="0" w:space="0" w:color="auto"/>
            <w:left w:val="none" w:sz="0" w:space="0" w:color="auto"/>
            <w:bottom w:val="none" w:sz="0" w:space="0" w:color="auto"/>
            <w:right w:val="none" w:sz="0" w:space="0" w:color="auto"/>
          </w:divBdr>
          <w:divsChild>
            <w:div w:id="51077179">
              <w:marLeft w:val="0"/>
              <w:marRight w:val="0"/>
              <w:marTop w:val="0"/>
              <w:marBottom w:val="0"/>
              <w:divBdr>
                <w:top w:val="none" w:sz="0" w:space="0" w:color="auto"/>
                <w:left w:val="none" w:sz="0" w:space="0" w:color="auto"/>
                <w:bottom w:val="none" w:sz="0" w:space="0" w:color="auto"/>
                <w:right w:val="none" w:sz="0" w:space="0" w:color="auto"/>
              </w:divBdr>
              <w:divsChild>
                <w:div w:id="53766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658984">
      <w:bodyDiv w:val="1"/>
      <w:marLeft w:val="0"/>
      <w:marRight w:val="0"/>
      <w:marTop w:val="0"/>
      <w:marBottom w:val="0"/>
      <w:divBdr>
        <w:top w:val="none" w:sz="0" w:space="0" w:color="auto"/>
        <w:left w:val="none" w:sz="0" w:space="0" w:color="auto"/>
        <w:bottom w:val="none" w:sz="0" w:space="0" w:color="auto"/>
        <w:right w:val="none" w:sz="0" w:space="0" w:color="auto"/>
      </w:divBdr>
      <w:divsChild>
        <w:div w:id="992562871">
          <w:marLeft w:val="0"/>
          <w:marRight w:val="0"/>
          <w:marTop w:val="0"/>
          <w:marBottom w:val="0"/>
          <w:divBdr>
            <w:top w:val="none" w:sz="0" w:space="0" w:color="auto"/>
            <w:left w:val="none" w:sz="0" w:space="0" w:color="auto"/>
            <w:bottom w:val="none" w:sz="0" w:space="0" w:color="auto"/>
            <w:right w:val="none" w:sz="0" w:space="0" w:color="auto"/>
          </w:divBdr>
          <w:divsChild>
            <w:div w:id="1131240876">
              <w:marLeft w:val="0"/>
              <w:marRight w:val="0"/>
              <w:marTop w:val="0"/>
              <w:marBottom w:val="0"/>
              <w:divBdr>
                <w:top w:val="none" w:sz="0" w:space="0" w:color="auto"/>
                <w:left w:val="none" w:sz="0" w:space="0" w:color="auto"/>
                <w:bottom w:val="none" w:sz="0" w:space="0" w:color="auto"/>
                <w:right w:val="none" w:sz="0" w:space="0" w:color="auto"/>
              </w:divBdr>
              <w:divsChild>
                <w:div w:id="12289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933624">
      <w:bodyDiv w:val="1"/>
      <w:marLeft w:val="0"/>
      <w:marRight w:val="0"/>
      <w:marTop w:val="0"/>
      <w:marBottom w:val="0"/>
      <w:divBdr>
        <w:top w:val="none" w:sz="0" w:space="0" w:color="auto"/>
        <w:left w:val="none" w:sz="0" w:space="0" w:color="auto"/>
        <w:bottom w:val="none" w:sz="0" w:space="0" w:color="auto"/>
        <w:right w:val="none" w:sz="0" w:space="0" w:color="auto"/>
      </w:divBdr>
      <w:divsChild>
        <w:div w:id="823159752">
          <w:marLeft w:val="0"/>
          <w:marRight w:val="0"/>
          <w:marTop w:val="0"/>
          <w:marBottom w:val="0"/>
          <w:divBdr>
            <w:top w:val="none" w:sz="0" w:space="0" w:color="auto"/>
            <w:left w:val="none" w:sz="0" w:space="0" w:color="auto"/>
            <w:bottom w:val="none" w:sz="0" w:space="0" w:color="auto"/>
            <w:right w:val="none" w:sz="0" w:space="0" w:color="auto"/>
          </w:divBdr>
          <w:divsChild>
            <w:div w:id="1782458222">
              <w:marLeft w:val="0"/>
              <w:marRight w:val="0"/>
              <w:marTop w:val="0"/>
              <w:marBottom w:val="0"/>
              <w:divBdr>
                <w:top w:val="none" w:sz="0" w:space="0" w:color="auto"/>
                <w:left w:val="none" w:sz="0" w:space="0" w:color="auto"/>
                <w:bottom w:val="none" w:sz="0" w:space="0" w:color="auto"/>
                <w:right w:val="none" w:sz="0" w:space="0" w:color="auto"/>
              </w:divBdr>
              <w:divsChild>
                <w:div w:id="2434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psrc.ukri.org/newsevents/news/epsrc-announces-review-of-support-for-doctoral-education/" TargetMode="External"/><Relationship Id="rId18" Type="http://schemas.openxmlformats.org/officeDocument/2006/relationships/hyperlink" Target="https://www.hesa.ac.uk/data-and-analysis/graduates" TargetMode="External"/><Relationship Id="rId26" Type="http://schemas.openxmlformats.org/officeDocument/2006/relationships/hyperlink" Target="https://www.chemistryworld.com/opinion/too-many-scientists/5820.article" TargetMode="External"/><Relationship Id="rId3" Type="http://schemas.openxmlformats.org/officeDocument/2006/relationships/styles" Target="styles.xml"/><Relationship Id="rId21" Type="http://schemas.openxmlformats.org/officeDocument/2006/relationships/hyperlink" Target="https://amsi.org.au/wp-content/uploads/2019/04/advancing_australias_knowledge_economy.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hira.hope.ac.uk/id/eprint/2675/1/The%20DTC%20Effect%20-%20Electronic%20Version.pdf" TargetMode="External"/><Relationship Id="rId17" Type="http://schemas.openxmlformats.org/officeDocument/2006/relationships/hyperlink" Target="https://www.hesa.ac.uk/data-and-analysis/students/outcomes" TargetMode="External"/><Relationship Id="rId25" Type="http://schemas.openxmlformats.org/officeDocument/2006/relationships/hyperlink" Target="https://www.gov.uk/government/speeches/reaching-24-securing-the-research-talent-of-tomorrow"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6084/m9.figshare.9917813" TargetMode="External"/><Relationship Id="rId20" Type="http://schemas.openxmlformats.org/officeDocument/2006/relationships/hyperlink" Target="https://assets.publishing.service.gov.uk/government/uploads/system/uploads/attachment_data/file/896799/UK_Research_and_Development_Roadmap.pdf" TargetMode="External"/><Relationship Id="rId29" Type="http://schemas.openxmlformats.org/officeDocument/2006/relationships/hyperlink" Target="https://www.vitae.ac.uk/policy/concordat/Download_Concordat_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nkhe.com/blogs/doctoral-loans-have-not-radically-changed-phd-recruitment/" TargetMode="External"/><Relationship Id="rId24" Type="http://schemas.openxmlformats.org/officeDocument/2006/relationships/hyperlink" Target="https://doi.org/10.1371/journal.pone.0036307" TargetMode="External"/><Relationship Id="rId32"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https://www.rand.org/pubs/research_reports/RR2022.html" TargetMode="External"/><Relationship Id="rId23" Type="http://schemas.openxmlformats.org/officeDocument/2006/relationships/hyperlink" Target="https://doi.org/10.1007/978-3-319-20877-0" TargetMode="External"/><Relationship Id="rId28" Type="http://schemas.openxmlformats.org/officeDocument/2006/relationships/hyperlink" Target="https://www.vitae.ac.uk/vitae-publications/reports/what-do-researchers-do-early-career-progression-2013.pdf/view" TargetMode="External"/><Relationship Id="rId10" Type="http://schemas.openxmlformats.org/officeDocument/2006/relationships/footer" Target="footer2.xml"/><Relationship Id="rId19" Type="http://schemas.openxmlformats.org/officeDocument/2006/relationships/hyperlink" Target="https://www.hesa.ac.uk/files/End%20of%20cohort%20D%20report.pdf" TargetMode="External"/><Relationship Id="rId31"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src.ukri.org/skills-and-careers/review-of-the-uk-social-science-phd-a-major-examination-of-the-future-capabilities-needed-by-social-science-graduates/" TargetMode="External"/><Relationship Id="rId22" Type="http://schemas.openxmlformats.org/officeDocument/2006/relationships/hyperlink" Target="https://www.ons.gov.uk/peoplepopulationandcommunity/populationandmigration/populationestimates/bulletins/2011censuskeystatisticsforenglandandwales/2012-12-11" TargetMode="External"/><Relationship Id="rId27" Type="http://schemas.openxmlformats.org/officeDocument/2006/relationships/hyperlink" Target="https://www.nifu.no/publications/951985/" TargetMode="External"/><Relationship Id="rId30" Type="http://schemas.openxmlformats.org/officeDocument/2006/relationships/hyperlink" Target="https://www.vitae.ac.uk/impact-and-evaluation/what-do-researchers-do/vitae-wdrd-infographic-final-sept-19.pdf/view" TargetMode="External"/><Relationship Id="rId8" Type="http://schemas.openxmlformats.org/officeDocument/2006/relationships/hyperlink" Target="mailto:sally.hancock@york.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DAF3A-5794-D742-A444-181224D30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7988</Words>
  <Characters>45538</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Hancock</dc:creator>
  <cp:keywords/>
  <dc:description/>
  <cp:lastModifiedBy>Sally Hancock</cp:lastModifiedBy>
  <cp:revision>3</cp:revision>
  <dcterms:created xsi:type="dcterms:W3CDTF">2021-01-15T15:11:00Z</dcterms:created>
  <dcterms:modified xsi:type="dcterms:W3CDTF">2021-01-15T15:13:00Z</dcterms:modified>
</cp:coreProperties>
</file>