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A4C1" w14:textId="61B8C224" w:rsidR="009C7C08" w:rsidRDefault="009C7C08" w:rsidP="009C7C08">
      <w:pPr>
        <w:spacing w:line="480" w:lineRule="auto"/>
        <w:rPr>
          <w:bCs/>
          <w:color w:val="000000" w:themeColor="text1"/>
          <w:lang w:val="en-GB"/>
        </w:rPr>
      </w:pPr>
      <w:r>
        <w:rPr>
          <w:b/>
          <w:color w:val="000000" w:themeColor="text1"/>
        </w:rPr>
        <w:t>SupplementaryMethods1</w:t>
      </w:r>
      <w:r w:rsidRPr="00327518">
        <w:rPr>
          <w:b/>
          <w:color w:val="000000" w:themeColor="text1"/>
        </w:rPr>
        <w:t xml:space="preserve">. </w:t>
      </w:r>
      <w:r w:rsidRPr="009C7C08">
        <w:rPr>
          <w:bCs/>
          <w:color w:val="000000" w:themeColor="text1"/>
          <w:lang w:val="en-GB"/>
        </w:rPr>
        <w:t>Search</w:t>
      </w:r>
      <w:r w:rsidRPr="00327518">
        <w:rPr>
          <w:b/>
          <w:color w:val="000000" w:themeColor="text1"/>
          <w:lang w:val="en-GB"/>
        </w:rPr>
        <w:t xml:space="preserve"> </w:t>
      </w:r>
      <w:r w:rsidRPr="009C7C08">
        <w:rPr>
          <w:bCs/>
          <w:color w:val="000000" w:themeColor="text1"/>
          <w:lang w:val="en-GB"/>
        </w:rPr>
        <w:t>strategies</w:t>
      </w:r>
    </w:p>
    <w:p w14:paraId="4AB209C0" w14:textId="4DFBCB11" w:rsidR="00655991" w:rsidRDefault="00224211" w:rsidP="006A36D5">
      <w:pPr>
        <w:spacing w:line="480" w:lineRule="auto"/>
        <w:rPr>
          <w:b/>
          <w:color w:val="000000" w:themeColor="text1"/>
          <w:lang w:val="en-GB"/>
        </w:rPr>
      </w:pPr>
      <w:r w:rsidRPr="00224211">
        <w:rPr>
          <w:b/>
          <w:color w:val="000000" w:themeColor="text1"/>
          <w:lang w:val="en-GB"/>
        </w:rPr>
        <w:t>SupplementaryFigure1.</w:t>
      </w:r>
      <w:r>
        <w:rPr>
          <w:bCs/>
          <w:color w:val="000000" w:themeColor="text1"/>
          <w:lang w:val="en-GB"/>
        </w:rPr>
        <w:t xml:space="preserve"> Flow chart</w:t>
      </w:r>
      <w:r w:rsidR="00655991" w:rsidRPr="001A56C6">
        <w:rPr>
          <w:b/>
          <w:color w:val="000000" w:themeColor="text1"/>
          <w:lang w:val="en-GB"/>
        </w:rPr>
        <w:t xml:space="preserve"> </w:t>
      </w:r>
    </w:p>
    <w:p w14:paraId="052F8F67" w14:textId="7FC1912E" w:rsidR="009C7C08" w:rsidRDefault="001A56C6" w:rsidP="001A56C6">
      <w:pPr>
        <w:spacing w:line="480" w:lineRule="auto"/>
        <w:rPr>
          <w:bCs/>
          <w:color w:val="000000" w:themeColor="text1"/>
          <w:lang w:val="en-GB"/>
        </w:rPr>
      </w:pPr>
      <w:r w:rsidRPr="001A56C6">
        <w:rPr>
          <w:b/>
          <w:color w:val="000000" w:themeColor="text1"/>
          <w:lang w:val="en-GB"/>
        </w:rPr>
        <w:t>SupplementaryTable</w:t>
      </w:r>
      <w:r w:rsidR="006A36D5">
        <w:rPr>
          <w:b/>
          <w:color w:val="000000" w:themeColor="text1"/>
          <w:lang w:val="en-GB"/>
        </w:rPr>
        <w:t>1</w:t>
      </w:r>
      <w:r w:rsidRPr="001A56C6">
        <w:rPr>
          <w:b/>
          <w:color w:val="000000" w:themeColor="text1"/>
          <w:lang w:val="en-GB"/>
        </w:rPr>
        <w:t xml:space="preserve">. </w:t>
      </w:r>
      <w:r w:rsidRPr="001A56C6">
        <w:rPr>
          <w:bCs/>
          <w:color w:val="000000" w:themeColor="text1"/>
          <w:lang w:val="en-GB"/>
        </w:rPr>
        <w:t>Characteristics of included studies</w:t>
      </w:r>
    </w:p>
    <w:p w14:paraId="3FEB9E5A" w14:textId="3003F115" w:rsidR="00BF1F06" w:rsidRDefault="00BF1F06" w:rsidP="001A56C6">
      <w:pPr>
        <w:spacing w:line="480" w:lineRule="auto"/>
        <w:rPr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SupplementaryFigure2.</w:t>
      </w:r>
      <w:r>
        <w:rPr>
          <w:bCs/>
          <w:color w:val="000000" w:themeColor="text1"/>
          <w:lang w:val="en-GB"/>
        </w:rPr>
        <w:t xml:space="preserve"> ROC curve</w:t>
      </w:r>
    </w:p>
    <w:p w14:paraId="22448ECB" w14:textId="77A0742A" w:rsidR="007D21F7" w:rsidRPr="007D21F7" w:rsidRDefault="007D21F7" w:rsidP="001A56C6">
      <w:pPr>
        <w:spacing w:line="480" w:lineRule="auto"/>
        <w:rPr>
          <w:bCs/>
          <w:color w:val="000000" w:themeColor="text1"/>
          <w:lang w:val="en-GB"/>
        </w:rPr>
      </w:pPr>
      <w:r>
        <w:rPr>
          <w:b/>
          <w:bCs/>
          <w:color w:val="000000" w:themeColor="text1"/>
          <w:lang w:val="en-GB"/>
        </w:rPr>
        <w:t>SupplementaryTable2.</w:t>
      </w:r>
      <w:r>
        <w:rPr>
          <w:bCs/>
          <w:color w:val="000000" w:themeColor="text1"/>
          <w:lang w:val="en-GB"/>
        </w:rPr>
        <w:t xml:space="preserve"> References</w:t>
      </w:r>
    </w:p>
    <w:p w14:paraId="49A380D8" w14:textId="5BE848D9" w:rsidR="00B15466" w:rsidRPr="00B15466" w:rsidRDefault="00B15466" w:rsidP="00B15466">
      <w:pPr>
        <w:rPr>
          <w:lang w:val="en-GB"/>
        </w:rPr>
      </w:pPr>
    </w:p>
    <w:p w14:paraId="7630CFDE" w14:textId="77777777" w:rsidR="00B15466" w:rsidRPr="001A56C6" w:rsidRDefault="00B15466" w:rsidP="001A56C6">
      <w:pPr>
        <w:spacing w:line="480" w:lineRule="auto"/>
        <w:rPr>
          <w:bCs/>
          <w:i/>
          <w:iCs/>
          <w:color w:val="000000" w:themeColor="text1"/>
          <w:shd w:val="clear" w:color="auto" w:fill="FFFFFF"/>
          <w:lang w:val="en-GB"/>
        </w:rPr>
      </w:pPr>
    </w:p>
    <w:p w14:paraId="10F322C9" w14:textId="77777777" w:rsidR="009C7C08" w:rsidRPr="00327518" w:rsidRDefault="009C7C08" w:rsidP="009C7C08">
      <w:pPr>
        <w:rPr>
          <w:b/>
          <w:color w:val="000000" w:themeColor="text1"/>
          <w:lang w:val="en-GB"/>
        </w:rPr>
      </w:pPr>
    </w:p>
    <w:p w14:paraId="2AB45C74" w14:textId="77777777" w:rsidR="009C7C08" w:rsidRDefault="009C7C08">
      <w:pPr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14:paraId="1F0E8463" w14:textId="5ADEA6DD" w:rsidR="009C7C08" w:rsidRPr="00327518" w:rsidRDefault="009C7C08" w:rsidP="009C7C08">
      <w:pPr>
        <w:rPr>
          <w:b/>
          <w:color w:val="000000" w:themeColor="text1"/>
          <w:lang w:val="en-GB"/>
        </w:rPr>
      </w:pPr>
      <w:r>
        <w:rPr>
          <w:b/>
          <w:color w:val="000000" w:themeColor="text1"/>
        </w:rPr>
        <w:lastRenderedPageBreak/>
        <w:t>SupplementaryMethods1</w:t>
      </w:r>
      <w:r w:rsidRPr="00327518">
        <w:rPr>
          <w:b/>
          <w:color w:val="000000" w:themeColor="text1"/>
        </w:rPr>
        <w:t xml:space="preserve">. </w:t>
      </w:r>
      <w:r w:rsidRPr="00327518">
        <w:rPr>
          <w:b/>
          <w:color w:val="000000" w:themeColor="text1"/>
          <w:lang w:val="en-GB"/>
        </w:rPr>
        <w:t>Search strategies</w:t>
      </w:r>
    </w:p>
    <w:p w14:paraId="0AF9823D" w14:textId="77777777" w:rsidR="009C7C08" w:rsidRPr="00327518" w:rsidRDefault="009C7C08" w:rsidP="009C7C08">
      <w:pPr>
        <w:rPr>
          <w:b/>
          <w:color w:val="000000" w:themeColor="text1"/>
        </w:rPr>
      </w:pPr>
    </w:p>
    <w:p w14:paraId="21062173" w14:textId="77777777" w:rsidR="009C7C08" w:rsidRPr="00327518" w:rsidRDefault="009C7C08" w:rsidP="009C7C08">
      <w:pPr>
        <w:contextualSpacing/>
        <w:rPr>
          <w:b/>
          <w:color w:val="000000" w:themeColor="text1"/>
          <w:lang w:val="en-GB"/>
        </w:rPr>
      </w:pPr>
      <w:r w:rsidRPr="00327518">
        <w:rPr>
          <w:b/>
          <w:color w:val="000000" w:themeColor="text1"/>
          <w:lang w:val="en-GB"/>
        </w:rPr>
        <w:t>MEDLINE (</w:t>
      </w:r>
      <w:proofErr w:type="spellStart"/>
      <w:r w:rsidRPr="00327518">
        <w:rPr>
          <w:b/>
          <w:color w:val="000000" w:themeColor="text1"/>
          <w:lang w:val="en-GB"/>
        </w:rPr>
        <w:t>OvidSP</w:t>
      </w:r>
      <w:proofErr w:type="spellEnd"/>
      <w:r w:rsidRPr="00327518">
        <w:rPr>
          <w:b/>
          <w:color w:val="000000" w:themeColor="text1"/>
          <w:lang w:val="en-GB"/>
        </w:rPr>
        <w:t>)</w:t>
      </w:r>
    </w:p>
    <w:p w14:paraId="033DF09A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1. EPDS.af.</w:t>
      </w:r>
    </w:p>
    <w:p w14:paraId="7A4403C8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2. Edinburgh Postnatal Depression.af.</w:t>
      </w:r>
    </w:p>
    <w:p w14:paraId="1E520692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3. Edinburgh Depression Scale.af.</w:t>
      </w:r>
    </w:p>
    <w:p w14:paraId="4BD2E3A2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4. or/1-3</w:t>
      </w:r>
    </w:p>
    <w:p w14:paraId="74739A76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5. Mass Screening/</w:t>
      </w:r>
    </w:p>
    <w:p w14:paraId="11F98E31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6. Psychiatric Status Rating Scales/</w:t>
      </w:r>
    </w:p>
    <w:p w14:paraId="2DD0A1E1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7. "Predictive Value of Tests"/</w:t>
      </w:r>
    </w:p>
    <w:p w14:paraId="37DEF16E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8. "Reproducibility of Results"/</w:t>
      </w:r>
    </w:p>
    <w:p w14:paraId="7EE0E7BE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9. </w:t>
      </w:r>
      <w:proofErr w:type="spellStart"/>
      <w:r w:rsidRPr="00327518">
        <w:rPr>
          <w:color w:val="000000" w:themeColor="text1"/>
          <w:lang w:val="en-GB"/>
        </w:rPr>
        <w:t>exp</w:t>
      </w:r>
      <w:proofErr w:type="spellEnd"/>
      <w:r w:rsidRPr="00327518">
        <w:rPr>
          <w:color w:val="000000" w:themeColor="text1"/>
          <w:lang w:val="en-GB"/>
        </w:rPr>
        <w:t xml:space="preserve"> "Sensitivity and Specificity"/</w:t>
      </w:r>
    </w:p>
    <w:p w14:paraId="15275B9D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10. Psychometrics/</w:t>
      </w:r>
    </w:p>
    <w:p w14:paraId="21F2459E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11. Prevalence/</w:t>
      </w:r>
    </w:p>
    <w:p w14:paraId="66657EFC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12. Reference Values/</w:t>
      </w:r>
    </w:p>
    <w:p w14:paraId="5EC5796A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13. Reference Standards/</w:t>
      </w:r>
    </w:p>
    <w:p w14:paraId="58CFB89D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14. </w:t>
      </w:r>
      <w:proofErr w:type="spellStart"/>
      <w:r w:rsidRPr="00327518">
        <w:rPr>
          <w:color w:val="000000" w:themeColor="text1"/>
          <w:lang w:val="en-GB"/>
        </w:rPr>
        <w:t>exp</w:t>
      </w:r>
      <w:proofErr w:type="spellEnd"/>
      <w:r w:rsidRPr="00327518">
        <w:rPr>
          <w:color w:val="000000" w:themeColor="text1"/>
          <w:lang w:val="en-GB"/>
        </w:rPr>
        <w:t xml:space="preserve"> Diagnostic Errors/</w:t>
      </w:r>
    </w:p>
    <w:p w14:paraId="33EA4876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15. Mental Disorders/di, pc [Diagnosis, Prevention &amp; Control]</w:t>
      </w:r>
    </w:p>
    <w:p w14:paraId="3DEAA026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16. Mood Disorders/di, pc [Diagnosis, Prevention &amp; Control]</w:t>
      </w:r>
    </w:p>
    <w:p w14:paraId="6D0E9E01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17. Depressive Disorder/di, pc [Diagnosis, Prevention &amp; Control]</w:t>
      </w:r>
    </w:p>
    <w:p w14:paraId="64D08226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18. Depressive Disorder, Major/di, pc [Diagnosis, Prevention &amp; Control]</w:t>
      </w:r>
    </w:p>
    <w:p w14:paraId="2E1DDA53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19. Depression, Postpartum/di, pc [Diagnosis, Prevention &amp; Control]</w:t>
      </w:r>
    </w:p>
    <w:p w14:paraId="4A4D78EB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20. Depression/di, pc [Diagnosis, Prevention &amp; Control]</w:t>
      </w:r>
    </w:p>
    <w:p w14:paraId="1924B640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21. validation studies.pt.</w:t>
      </w:r>
    </w:p>
    <w:p w14:paraId="307077CA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22. comparative study.pt.</w:t>
      </w:r>
    </w:p>
    <w:p w14:paraId="65B03F3F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23. screen*.</w:t>
      </w:r>
      <w:proofErr w:type="spellStart"/>
      <w:r w:rsidRPr="00327518">
        <w:rPr>
          <w:color w:val="000000" w:themeColor="text1"/>
          <w:lang w:val="en-GB"/>
        </w:rPr>
        <w:t>af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35773CF0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24. prevalence.af.</w:t>
      </w:r>
    </w:p>
    <w:p w14:paraId="3A698FFD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25. predictive value*.</w:t>
      </w:r>
      <w:proofErr w:type="spellStart"/>
      <w:r w:rsidRPr="00327518">
        <w:rPr>
          <w:color w:val="000000" w:themeColor="text1"/>
          <w:lang w:val="en-GB"/>
        </w:rPr>
        <w:t>af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7EC5BDB7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26. detect*.</w:t>
      </w:r>
      <w:proofErr w:type="spellStart"/>
      <w:r w:rsidRPr="00327518">
        <w:rPr>
          <w:color w:val="000000" w:themeColor="text1"/>
          <w:lang w:val="en-GB"/>
        </w:rPr>
        <w:t>ti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030C0966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27. </w:t>
      </w:r>
      <w:proofErr w:type="spellStart"/>
      <w:r w:rsidRPr="00327518">
        <w:rPr>
          <w:color w:val="000000" w:themeColor="text1"/>
          <w:lang w:val="en-GB"/>
        </w:rPr>
        <w:t>sensitiv</w:t>
      </w:r>
      <w:proofErr w:type="spellEnd"/>
      <w:r w:rsidRPr="00327518">
        <w:rPr>
          <w:color w:val="000000" w:themeColor="text1"/>
          <w:lang w:val="en-GB"/>
        </w:rPr>
        <w:t>*.</w:t>
      </w:r>
      <w:proofErr w:type="spellStart"/>
      <w:r w:rsidRPr="00327518">
        <w:rPr>
          <w:color w:val="000000" w:themeColor="text1"/>
          <w:lang w:val="en-GB"/>
        </w:rPr>
        <w:t>ti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7FD14187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28. valid*.</w:t>
      </w:r>
      <w:proofErr w:type="spellStart"/>
      <w:r w:rsidRPr="00327518">
        <w:rPr>
          <w:color w:val="000000" w:themeColor="text1"/>
          <w:lang w:val="en-GB"/>
        </w:rPr>
        <w:t>ti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19CBD015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29. </w:t>
      </w:r>
      <w:proofErr w:type="spellStart"/>
      <w:r w:rsidRPr="00327518">
        <w:rPr>
          <w:color w:val="000000" w:themeColor="text1"/>
          <w:lang w:val="en-GB"/>
        </w:rPr>
        <w:t>revalid</w:t>
      </w:r>
      <w:proofErr w:type="spellEnd"/>
      <w:r w:rsidRPr="00327518">
        <w:rPr>
          <w:color w:val="000000" w:themeColor="text1"/>
          <w:lang w:val="en-GB"/>
        </w:rPr>
        <w:t>*.</w:t>
      </w:r>
      <w:proofErr w:type="spellStart"/>
      <w:r w:rsidRPr="00327518">
        <w:rPr>
          <w:color w:val="000000" w:themeColor="text1"/>
          <w:lang w:val="en-GB"/>
        </w:rPr>
        <w:t>ti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3AFA7FBC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30. predict*.</w:t>
      </w:r>
      <w:proofErr w:type="spellStart"/>
      <w:r w:rsidRPr="00327518">
        <w:rPr>
          <w:color w:val="000000" w:themeColor="text1"/>
          <w:lang w:val="en-GB"/>
        </w:rPr>
        <w:t>ti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37031B6D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31. </w:t>
      </w:r>
      <w:proofErr w:type="spellStart"/>
      <w:r w:rsidRPr="00327518">
        <w:rPr>
          <w:color w:val="000000" w:themeColor="text1"/>
          <w:lang w:val="fr-CA"/>
        </w:rPr>
        <w:t>accura</w:t>
      </w:r>
      <w:proofErr w:type="spellEnd"/>
      <w:r w:rsidRPr="00327518">
        <w:rPr>
          <w:color w:val="000000" w:themeColor="text1"/>
          <w:lang w:val="fr-CA"/>
        </w:rPr>
        <w:t>*.ti.</w:t>
      </w:r>
    </w:p>
    <w:p w14:paraId="0D3FED0F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32. </w:t>
      </w:r>
      <w:proofErr w:type="spellStart"/>
      <w:r w:rsidRPr="00327518">
        <w:rPr>
          <w:color w:val="000000" w:themeColor="text1"/>
          <w:lang w:val="fr-CA"/>
        </w:rPr>
        <w:t>psychometric</w:t>
      </w:r>
      <w:proofErr w:type="spellEnd"/>
      <w:r w:rsidRPr="00327518">
        <w:rPr>
          <w:color w:val="000000" w:themeColor="text1"/>
          <w:lang w:val="fr-CA"/>
        </w:rPr>
        <w:t>*.ti.</w:t>
      </w:r>
    </w:p>
    <w:p w14:paraId="6875FE5C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33. </w:t>
      </w:r>
      <w:proofErr w:type="spellStart"/>
      <w:r w:rsidRPr="00327518">
        <w:rPr>
          <w:color w:val="000000" w:themeColor="text1"/>
          <w:lang w:val="fr-CA"/>
        </w:rPr>
        <w:t>identif</w:t>
      </w:r>
      <w:proofErr w:type="spellEnd"/>
      <w:r w:rsidRPr="00327518">
        <w:rPr>
          <w:color w:val="000000" w:themeColor="text1"/>
          <w:lang w:val="fr-CA"/>
        </w:rPr>
        <w:t>*.ti.</w:t>
      </w:r>
    </w:p>
    <w:p w14:paraId="11AC0C2E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34. </w:t>
      </w:r>
      <w:proofErr w:type="spellStart"/>
      <w:r w:rsidRPr="00327518">
        <w:rPr>
          <w:color w:val="000000" w:themeColor="text1"/>
          <w:lang w:val="en-GB"/>
        </w:rPr>
        <w:t>specificit</w:t>
      </w:r>
      <w:proofErr w:type="spellEnd"/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105C04C0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35. </w:t>
      </w:r>
      <w:proofErr w:type="spellStart"/>
      <w:proofErr w:type="gramStart"/>
      <w:r w:rsidRPr="00327518">
        <w:rPr>
          <w:color w:val="000000" w:themeColor="text1"/>
          <w:lang w:val="en-GB"/>
        </w:rPr>
        <w:t>cut?off</w:t>
      </w:r>
      <w:proofErr w:type="spellEnd"/>
      <w:proofErr w:type="gramEnd"/>
      <w:r w:rsidRPr="00327518">
        <w:rPr>
          <w:color w:val="000000" w:themeColor="text1"/>
          <w:lang w:val="en-GB"/>
        </w:rPr>
        <w:t>*.ab.</w:t>
      </w:r>
    </w:p>
    <w:p w14:paraId="352EEA88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36. cut* score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63E82065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37. </w:t>
      </w:r>
      <w:proofErr w:type="spellStart"/>
      <w:proofErr w:type="gramStart"/>
      <w:r w:rsidRPr="00327518">
        <w:rPr>
          <w:color w:val="000000" w:themeColor="text1"/>
          <w:lang w:val="en-GB"/>
        </w:rPr>
        <w:t>cut?point</w:t>
      </w:r>
      <w:proofErr w:type="spellEnd"/>
      <w:proofErr w:type="gramEnd"/>
      <w:r w:rsidRPr="00327518">
        <w:rPr>
          <w:color w:val="000000" w:themeColor="text1"/>
          <w:lang w:val="en-GB"/>
        </w:rPr>
        <w:t>*.ab.</w:t>
      </w:r>
    </w:p>
    <w:p w14:paraId="5B2FBD59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38. threshold score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517FE66F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39. reference standard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32B807C4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40. reference test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590EC311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41. index test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265E4D5A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42. gold </w:t>
      </w:r>
      <w:proofErr w:type="spellStart"/>
      <w:r w:rsidRPr="00327518">
        <w:rPr>
          <w:color w:val="000000" w:themeColor="text1"/>
          <w:lang w:val="en-GB"/>
        </w:rPr>
        <w:t>standard.ab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0ACA37EF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43. or/5-42</w:t>
      </w:r>
    </w:p>
    <w:p w14:paraId="0AD0952F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lastRenderedPageBreak/>
        <w:t>44. 4 and 43</w:t>
      </w:r>
    </w:p>
    <w:p w14:paraId="7EF7D8E1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</w:p>
    <w:p w14:paraId="05482169" w14:textId="77777777" w:rsidR="009C7C08" w:rsidRPr="00327518" w:rsidRDefault="009C7C08" w:rsidP="009C7C08">
      <w:pPr>
        <w:contextualSpacing/>
        <w:rPr>
          <w:b/>
          <w:color w:val="000000" w:themeColor="text1"/>
          <w:lang w:val="en-GB"/>
        </w:rPr>
      </w:pPr>
      <w:r w:rsidRPr="00327518">
        <w:rPr>
          <w:b/>
          <w:color w:val="000000" w:themeColor="text1"/>
          <w:lang w:val="en-GB"/>
        </w:rPr>
        <w:t>PsycINFO (</w:t>
      </w:r>
      <w:proofErr w:type="spellStart"/>
      <w:r w:rsidRPr="00327518">
        <w:rPr>
          <w:b/>
          <w:color w:val="000000" w:themeColor="text1"/>
          <w:lang w:val="en-GB"/>
        </w:rPr>
        <w:t>OvidSP</w:t>
      </w:r>
      <w:proofErr w:type="spellEnd"/>
      <w:r w:rsidRPr="00327518">
        <w:rPr>
          <w:b/>
          <w:color w:val="000000" w:themeColor="text1"/>
          <w:lang w:val="en-GB"/>
        </w:rPr>
        <w:t>)</w:t>
      </w:r>
    </w:p>
    <w:p w14:paraId="3B365B63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1. EPDS.af.</w:t>
      </w:r>
    </w:p>
    <w:p w14:paraId="2F5CBF2E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2. Edinburgh Postnatal Depression.af.</w:t>
      </w:r>
    </w:p>
    <w:p w14:paraId="141F15DD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3. Edinburgh Depression Scale.af.</w:t>
      </w:r>
    </w:p>
    <w:p w14:paraId="07968413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4. or/1-3</w:t>
      </w:r>
    </w:p>
    <w:p w14:paraId="345576A3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5. </w:t>
      </w:r>
      <w:proofErr w:type="spellStart"/>
      <w:r w:rsidRPr="00327518">
        <w:rPr>
          <w:color w:val="000000" w:themeColor="text1"/>
          <w:lang w:val="fr-CA"/>
        </w:rPr>
        <w:t>Diagnosis</w:t>
      </w:r>
      <w:proofErr w:type="spellEnd"/>
      <w:r w:rsidRPr="00327518">
        <w:rPr>
          <w:color w:val="000000" w:themeColor="text1"/>
          <w:lang w:val="fr-CA"/>
        </w:rPr>
        <w:t>/</w:t>
      </w:r>
    </w:p>
    <w:p w14:paraId="4DB52BB9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6. </w:t>
      </w:r>
      <w:proofErr w:type="spellStart"/>
      <w:r w:rsidRPr="00327518">
        <w:rPr>
          <w:color w:val="000000" w:themeColor="text1"/>
          <w:lang w:val="fr-CA"/>
        </w:rPr>
        <w:t>Medical</w:t>
      </w:r>
      <w:proofErr w:type="spellEnd"/>
      <w:r w:rsidRPr="00327518">
        <w:rPr>
          <w:color w:val="000000" w:themeColor="text1"/>
          <w:lang w:val="fr-CA"/>
        </w:rPr>
        <w:t xml:space="preserve"> </w:t>
      </w:r>
      <w:proofErr w:type="spellStart"/>
      <w:r w:rsidRPr="00327518">
        <w:rPr>
          <w:color w:val="000000" w:themeColor="text1"/>
          <w:lang w:val="fr-CA"/>
        </w:rPr>
        <w:t>Diagnosis</w:t>
      </w:r>
      <w:proofErr w:type="spellEnd"/>
      <w:r w:rsidRPr="00327518">
        <w:rPr>
          <w:color w:val="000000" w:themeColor="text1"/>
          <w:lang w:val="fr-CA"/>
        </w:rPr>
        <w:t>/</w:t>
      </w:r>
    </w:p>
    <w:p w14:paraId="3A5B3040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7. </w:t>
      </w:r>
      <w:proofErr w:type="spellStart"/>
      <w:r w:rsidRPr="00327518">
        <w:rPr>
          <w:color w:val="000000" w:themeColor="text1"/>
          <w:lang w:val="fr-CA"/>
        </w:rPr>
        <w:t>Psychodiagnosis</w:t>
      </w:r>
      <w:proofErr w:type="spellEnd"/>
      <w:r w:rsidRPr="00327518">
        <w:rPr>
          <w:color w:val="000000" w:themeColor="text1"/>
          <w:lang w:val="fr-CA"/>
        </w:rPr>
        <w:t>/</w:t>
      </w:r>
    </w:p>
    <w:p w14:paraId="5756CB22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8. </w:t>
      </w:r>
      <w:proofErr w:type="spellStart"/>
      <w:r w:rsidRPr="00327518">
        <w:rPr>
          <w:color w:val="000000" w:themeColor="text1"/>
          <w:lang w:val="fr-CA"/>
        </w:rPr>
        <w:t>Misdiagnosis</w:t>
      </w:r>
      <w:proofErr w:type="spellEnd"/>
      <w:r w:rsidRPr="00327518">
        <w:rPr>
          <w:color w:val="000000" w:themeColor="text1"/>
          <w:lang w:val="fr-CA"/>
        </w:rPr>
        <w:t>/</w:t>
      </w:r>
    </w:p>
    <w:p w14:paraId="37BBC6EC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9. Screening/</w:t>
      </w:r>
    </w:p>
    <w:p w14:paraId="39CB10F8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10. Health Screening/</w:t>
      </w:r>
    </w:p>
    <w:p w14:paraId="3E56CDA4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11. Screening Tests/</w:t>
      </w:r>
    </w:p>
    <w:p w14:paraId="231BD45D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12. Prediction/</w:t>
      </w:r>
    </w:p>
    <w:p w14:paraId="7DAEA7B5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13. Cutting Scores/</w:t>
      </w:r>
    </w:p>
    <w:p w14:paraId="3064C63D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14. Psychometrics/</w:t>
      </w:r>
    </w:p>
    <w:p w14:paraId="2515D2D3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15. Test Validity/</w:t>
      </w:r>
    </w:p>
    <w:p w14:paraId="5145B920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16. screen*.</w:t>
      </w:r>
      <w:proofErr w:type="spellStart"/>
      <w:r w:rsidRPr="00327518">
        <w:rPr>
          <w:color w:val="000000" w:themeColor="text1"/>
          <w:lang w:val="en-GB"/>
        </w:rPr>
        <w:t>af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7ADBDD9C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17. predictive value*.</w:t>
      </w:r>
      <w:proofErr w:type="spellStart"/>
      <w:r w:rsidRPr="00327518">
        <w:rPr>
          <w:color w:val="000000" w:themeColor="text1"/>
          <w:lang w:val="en-GB"/>
        </w:rPr>
        <w:t>af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5FD19378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18. detect*.</w:t>
      </w:r>
      <w:proofErr w:type="spellStart"/>
      <w:r w:rsidRPr="00327518">
        <w:rPr>
          <w:color w:val="000000" w:themeColor="text1"/>
          <w:lang w:val="en-GB"/>
        </w:rPr>
        <w:t>ti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06134EB8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19. </w:t>
      </w:r>
      <w:proofErr w:type="spellStart"/>
      <w:r w:rsidRPr="00327518">
        <w:rPr>
          <w:color w:val="000000" w:themeColor="text1"/>
          <w:lang w:val="en-GB"/>
        </w:rPr>
        <w:t>sensitiv</w:t>
      </w:r>
      <w:proofErr w:type="spellEnd"/>
      <w:r w:rsidRPr="00327518">
        <w:rPr>
          <w:color w:val="000000" w:themeColor="text1"/>
          <w:lang w:val="en-GB"/>
        </w:rPr>
        <w:t>*.</w:t>
      </w:r>
      <w:proofErr w:type="spellStart"/>
      <w:r w:rsidRPr="00327518">
        <w:rPr>
          <w:color w:val="000000" w:themeColor="text1"/>
          <w:lang w:val="en-GB"/>
        </w:rPr>
        <w:t>ti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2DBFA071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20. valid*.</w:t>
      </w:r>
      <w:proofErr w:type="spellStart"/>
      <w:r w:rsidRPr="00327518">
        <w:rPr>
          <w:color w:val="000000" w:themeColor="text1"/>
          <w:lang w:val="en-GB"/>
        </w:rPr>
        <w:t>ti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2B7AE059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21. </w:t>
      </w:r>
      <w:proofErr w:type="spellStart"/>
      <w:r w:rsidRPr="00327518">
        <w:rPr>
          <w:color w:val="000000" w:themeColor="text1"/>
          <w:lang w:val="fr-CA"/>
        </w:rPr>
        <w:t>revalid</w:t>
      </w:r>
      <w:proofErr w:type="spellEnd"/>
      <w:r w:rsidRPr="00327518">
        <w:rPr>
          <w:color w:val="000000" w:themeColor="text1"/>
          <w:lang w:val="fr-CA"/>
        </w:rPr>
        <w:t>*.ti.</w:t>
      </w:r>
    </w:p>
    <w:p w14:paraId="23FD933F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22. </w:t>
      </w:r>
      <w:proofErr w:type="spellStart"/>
      <w:r w:rsidRPr="00327518">
        <w:rPr>
          <w:color w:val="000000" w:themeColor="text1"/>
          <w:lang w:val="fr-CA"/>
        </w:rPr>
        <w:t>accura</w:t>
      </w:r>
      <w:proofErr w:type="spellEnd"/>
      <w:r w:rsidRPr="00327518">
        <w:rPr>
          <w:color w:val="000000" w:themeColor="text1"/>
          <w:lang w:val="fr-CA"/>
        </w:rPr>
        <w:t>*.ti.</w:t>
      </w:r>
    </w:p>
    <w:p w14:paraId="5206945A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fr-CA"/>
        </w:rPr>
      </w:pPr>
      <w:r w:rsidRPr="00327518">
        <w:rPr>
          <w:color w:val="000000" w:themeColor="text1"/>
          <w:lang w:val="fr-CA"/>
        </w:rPr>
        <w:t xml:space="preserve">23. </w:t>
      </w:r>
      <w:proofErr w:type="spellStart"/>
      <w:r w:rsidRPr="00327518">
        <w:rPr>
          <w:color w:val="000000" w:themeColor="text1"/>
          <w:lang w:val="fr-CA"/>
        </w:rPr>
        <w:t>psychometric</w:t>
      </w:r>
      <w:proofErr w:type="spellEnd"/>
      <w:r w:rsidRPr="00327518">
        <w:rPr>
          <w:color w:val="000000" w:themeColor="text1"/>
          <w:lang w:val="fr-CA"/>
        </w:rPr>
        <w:t>*.ti.</w:t>
      </w:r>
    </w:p>
    <w:p w14:paraId="617630F0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24. </w:t>
      </w:r>
      <w:proofErr w:type="spellStart"/>
      <w:r w:rsidRPr="00327518">
        <w:rPr>
          <w:color w:val="000000" w:themeColor="text1"/>
          <w:lang w:val="en-GB"/>
        </w:rPr>
        <w:t>specificit</w:t>
      </w:r>
      <w:proofErr w:type="spellEnd"/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0E4044C7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25. </w:t>
      </w:r>
      <w:proofErr w:type="spellStart"/>
      <w:proofErr w:type="gramStart"/>
      <w:r w:rsidRPr="00327518">
        <w:rPr>
          <w:color w:val="000000" w:themeColor="text1"/>
          <w:lang w:val="en-GB"/>
        </w:rPr>
        <w:t>cut?off</w:t>
      </w:r>
      <w:proofErr w:type="spellEnd"/>
      <w:proofErr w:type="gramEnd"/>
      <w:r w:rsidRPr="00327518">
        <w:rPr>
          <w:color w:val="000000" w:themeColor="text1"/>
          <w:lang w:val="en-GB"/>
        </w:rPr>
        <w:t>*.ab.</w:t>
      </w:r>
    </w:p>
    <w:p w14:paraId="529B34BF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26. cut* score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274374E8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27. </w:t>
      </w:r>
      <w:proofErr w:type="spellStart"/>
      <w:proofErr w:type="gramStart"/>
      <w:r w:rsidRPr="00327518">
        <w:rPr>
          <w:color w:val="000000" w:themeColor="text1"/>
          <w:lang w:val="en-GB"/>
        </w:rPr>
        <w:t>cut?point</w:t>
      </w:r>
      <w:proofErr w:type="spellEnd"/>
      <w:proofErr w:type="gramEnd"/>
      <w:r w:rsidRPr="00327518">
        <w:rPr>
          <w:color w:val="000000" w:themeColor="text1"/>
          <w:lang w:val="en-GB"/>
        </w:rPr>
        <w:t>*.ab.</w:t>
      </w:r>
    </w:p>
    <w:p w14:paraId="61E8A2E0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28. threshold score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34BD46DD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29. reference standard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5C545DCE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30. reference test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2B9F99A7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31. index test</w:t>
      </w:r>
      <w:proofErr w:type="gramStart"/>
      <w:r w:rsidRPr="00327518">
        <w:rPr>
          <w:color w:val="000000" w:themeColor="text1"/>
          <w:lang w:val="en-GB"/>
        </w:rPr>
        <w:t>*.ab.</w:t>
      </w:r>
      <w:proofErr w:type="gramEnd"/>
    </w:p>
    <w:p w14:paraId="24D67223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32. gold </w:t>
      </w:r>
      <w:proofErr w:type="spellStart"/>
      <w:r w:rsidRPr="00327518">
        <w:rPr>
          <w:color w:val="000000" w:themeColor="text1"/>
          <w:lang w:val="en-GB"/>
        </w:rPr>
        <w:t>standard.ab</w:t>
      </w:r>
      <w:proofErr w:type="spellEnd"/>
      <w:r w:rsidRPr="00327518">
        <w:rPr>
          <w:color w:val="000000" w:themeColor="text1"/>
          <w:lang w:val="en-GB"/>
        </w:rPr>
        <w:t>.</w:t>
      </w:r>
    </w:p>
    <w:p w14:paraId="51E573B8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33. or/5-32</w:t>
      </w:r>
    </w:p>
    <w:p w14:paraId="6A952CDD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34. 4 and 33</w:t>
      </w:r>
    </w:p>
    <w:p w14:paraId="77E6FE03" w14:textId="77777777" w:rsidR="009C7C08" w:rsidRPr="00327518" w:rsidRDefault="009C7C08" w:rsidP="009C7C08">
      <w:pPr>
        <w:shd w:val="clear" w:color="auto" w:fill="FFFFFF"/>
        <w:contextualSpacing/>
        <w:textAlignment w:val="center"/>
        <w:rPr>
          <w:color w:val="000000" w:themeColor="text1"/>
          <w:lang w:val="en-GB"/>
        </w:rPr>
      </w:pPr>
    </w:p>
    <w:p w14:paraId="73ABB039" w14:textId="77777777" w:rsidR="009C7C08" w:rsidRPr="00327518" w:rsidRDefault="009C7C08" w:rsidP="009C7C08">
      <w:pPr>
        <w:contextualSpacing/>
        <w:rPr>
          <w:b/>
          <w:color w:val="000000" w:themeColor="text1"/>
          <w:lang w:val="en-GB"/>
        </w:rPr>
      </w:pPr>
      <w:r w:rsidRPr="00327518">
        <w:rPr>
          <w:b/>
          <w:color w:val="000000" w:themeColor="text1"/>
          <w:lang w:val="en-GB"/>
        </w:rPr>
        <w:t>Web of Science (Web of Knowledge)</w:t>
      </w:r>
    </w:p>
    <w:p w14:paraId="1C9473B8" w14:textId="77777777" w:rsidR="009C7C08" w:rsidRPr="00327518" w:rsidRDefault="009C7C08" w:rsidP="009C7C08">
      <w:pPr>
        <w:contextualSpacing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#1. </w:t>
      </w:r>
      <w:r w:rsidRPr="00327518">
        <w:rPr>
          <w:color w:val="000000" w:themeColor="text1"/>
          <w:shd w:val="clear" w:color="auto" w:fill="FFFFFF"/>
          <w:lang w:val="en-GB"/>
        </w:rPr>
        <w:t>TS</w:t>
      </w:r>
      <w:proofErr w:type="gramStart"/>
      <w:r w:rsidRPr="00327518">
        <w:rPr>
          <w:color w:val="000000" w:themeColor="text1"/>
          <w:shd w:val="clear" w:color="auto" w:fill="FFFFFF"/>
          <w:lang w:val="en-GB"/>
        </w:rPr>
        <w:t>=(</w:t>
      </w:r>
      <w:proofErr w:type="gramEnd"/>
      <w:r w:rsidRPr="00327518">
        <w:rPr>
          <w:color w:val="000000" w:themeColor="text1"/>
          <w:shd w:val="clear" w:color="auto" w:fill="FFFFFF"/>
          <w:lang w:val="en-GB"/>
        </w:rPr>
        <w:t>EPDS OR “Edinburgh Postnatal Depression” OR “Edinburgh Depression Scale”)</w:t>
      </w:r>
    </w:p>
    <w:p w14:paraId="06281ACF" w14:textId="77777777" w:rsidR="009C7C08" w:rsidRPr="00327518" w:rsidRDefault="009C7C08" w:rsidP="009C7C08">
      <w:pPr>
        <w:contextualSpacing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 xml:space="preserve">#2. TS=(screen* OR prevalence OR “predictive value*” OR detect* OR </w:t>
      </w:r>
      <w:proofErr w:type="spellStart"/>
      <w:r w:rsidRPr="00327518">
        <w:rPr>
          <w:color w:val="000000" w:themeColor="text1"/>
          <w:lang w:val="en-GB"/>
        </w:rPr>
        <w:t>sensitiv</w:t>
      </w:r>
      <w:proofErr w:type="spellEnd"/>
      <w:r w:rsidRPr="00327518">
        <w:rPr>
          <w:color w:val="000000" w:themeColor="text1"/>
          <w:lang w:val="en-GB"/>
        </w:rPr>
        <w:t xml:space="preserve">* OR valid* OR </w:t>
      </w:r>
      <w:proofErr w:type="spellStart"/>
      <w:r w:rsidRPr="00327518">
        <w:rPr>
          <w:color w:val="000000" w:themeColor="text1"/>
          <w:lang w:val="en-GB"/>
        </w:rPr>
        <w:t>revalid</w:t>
      </w:r>
      <w:proofErr w:type="spellEnd"/>
      <w:r w:rsidRPr="00327518">
        <w:rPr>
          <w:color w:val="000000" w:themeColor="text1"/>
          <w:lang w:val="en-GB"/>
        </w:rPr>
        <w:t xml:space="preserve">* OR predict* OR </w:t>
      </w:r>
      <w:proofErr w:type="spellStart"/>
      <w:r w:rsidRPr="00327518">
        <w:rPr>
          <w:color w:val="000000" w:themeColor="text1"/>
          <w:lang w:val="en-GB"/>
        </w:rPr>
        <w:t>accura</w:t>
      </w:r>
      <w:proofErr w:type="spellEnd"/>
      <w:r w:rsidRPr="00327518">
        <w:rPr>
          <w:color w:val="000000" w:themeColor="text1"/>
          <w:lang w:val="en-GB"/>
        </w:rPr>
        <w:t xml:space="preserve">* OR psychometric* OR </w:t>
      </w:r>
      <w:proofErr w:type="spellStart"/>
      <w:r w:rsidRPr="00327518">
        <w:rPr>
          <w:color w:val="000000" w:themeColor="text1"/>
          <w:lang w:val="en-GB"/>
        </w:rPr>
        <w:t>identif</w:t>
      </w:r>
      <w:proofErr w:type="spellEnd"/>
      <w:r w:rsidRPr="00327518">
        <w:rPr>
          <w:color w:val="000000" w:themeColor="text1"/>
          <w:lang w:val="en-GB"/>
        </w:rPr>
        <w:t xml:space="preserve">* OR </w:t>
      </w:r>
      <w:proofErr w:type="spellStart"/>
      <w:r w:rsidRPr="00327518">
        <w:rPr>
          <w:color w:val="000000" w:themeColor="text1"/>
          <w:lang w:val="en-GB"/>
        </w:rPr>
        <w:t>specificit</w:t>
      </w:r>
      <w:proofErr w:type="spellEnd"/>
      <w:r w:rsidRPr="00327518">
        <w:rPr>
          <w:color w:val="000000" w:themeColor="text1"/>
          <w:lang w:val="en-GB"/>
        </w:rPr>
        <w:t xml:space="preserve">* OR </w:t>
      </w:r>
      <w:proofErr w:type="spellStart"/>
      <w:r w:rsidRPr="00327518">
        <w:rPr>
          <w:color w:val="000000" w:themeColor="text1"/>
          <w:lang w:val="en-GB"/>
        </w:rPr>
        <w:t>cutoff</w:t>
      </w:r>
      <w:proofErr w:type="spellEnd"/>
      <w:r w:rsidRPr="00327518">
        <w:rPr>
          <w:color w:val="000000" w:themeColor="text1"/>
          <w:lang w:val="en-GB"/>
        </w:rPr>
        <w:t xml:space="preserve">* OR “cut off*” OR “cut* score*” OR </w:t>
      </w:r>
      <w:proofErr w:type="spellStart"/>
      <w:r w:rsidRPr="00327518">
        <w:rPr>
          <w:color w:val="000000" w:themeColor="text1"/>
          <w:lang w:val="en-GB"/>
        </w:rPr>
        <w:t>cutpoint</w:t>
      </w:r>
      <w:proofErr w:type="spellEnd"/>
      <w:r w:rsidRPr="00327518">
        <w:rPr>
          <w:color w:val="000000" w:themeColor="text1"/>
          <w:lang w:val="en-GB"/>
        </w:rPr>
        <w:t>* OR “cut point*” OR “threshold score*” OR “reference standard*” OR “reference test*” OR “index test*” OR “gold standard” OR “</w:t>
      </w:r>
      <w:proofErr w:type="spellStart"/>
      <w:r w:rsidRPr="00327518">
        <w:rPr>
          <w:color w:val="000000" w:themeColor="text1"/>
          <w:lang w:val="en-GB"/>
        </w:rPr>
        <w:t>reliab</w:t>
      </w:r>
      <w:proofErr w:type="spellEnd"/>
      <w:r w:rsidRPr="00327518">
        <w:rPr>
          <w:color w:val="000000" w:themeColor="text1"/>
          <w:lang w:val="en-GB"/>
        </w:rPr>
        <w:t xml:space="preserve">*”) </w:t>
      </w:r>
    </w:p>
    <w:p w14:paraId="4B993D2F" w14:textId="77777777" w:rsidR="009C7C08" w:rsidRPr="00327518" w:rsidRDefault="009C7C08" w:rsidP="009C7C08">
      <w:pPr>
        <w:contextualSpacing/>
        <w:rPr>
          <w:color w:val="000000" w:themeColor="text1"/>
          <w:lang w:val="en-GB"/>
        </w:rPr>
      </w:pPr>
      <w:r w:rsidRPr="00327518">
        <w:rPr>
          <w:color w:val="000000" w:themeColor="text1"/>
          <w:lang w:val="en-GB"/>
        </w:rPr>
        <w:t>#2 AND #1</w:t>
      </w:r>
    </w:p>
    <w:p w14:paraId="7C681AA1" w14:textId="755354B6" w:rsidR="00224211" w:rsidRDefault="009C7C08">
      <w:pPr>
        <w:contextualSpacing/>
        <w:rPr>
          <w:i/>
          <w:iCs/>
          <w:color w:val="000000" w:themeColor="text1"/>
          <w:shd w:val="clear" w:color="auto" w:fill="FFFFFF"/>
          <w:lang w:val="en-GB"/>
        </w:rPr>
      </w:pPr>
      <w:r w:rsidRPr="00327518">
        <w:rPr>
          <w:i/>
          <w:iCs/>
          <w:color w:val="000000" w:themeColor="text1"/>
          <w:shd w:val="clear" w:color="auto" w:fill="FFFFFF"/>
          <w:lang w:val="en-GB"/>
        </w:rPr>
        <w:t>Databases=SCI-EXPANDED, SSCI, A&amp;HC</w:t>
      </w:r>
      <w:r w:rsidR="00224211">
        <w:rPr>
          <w:i/>
          <w:iCs/>
          <w:color w:val="000000" w:themeColor="text1"/>
          <w:shd w:val="clear" w:color="auto" w:fill="FFFFFF"/>
          <w:lang w:val="en-GB"/>
        </w:rPr>
        <w:br w:type="page"/>
      </w:r>
    </w:p>
    <w:p w14:paraId="40D2891A" w14:textId="18E5B0FF" w:rsidR="00224211" w:rsidRDefault="00224211" w:rsidP="00224211">
      <w:pPr>
        <w:spacing w:line="480" w:lineRule="auto"/>
        <w:rPr>
          <w:bCs/>
          <w:color w:val="000000" w:themeColor="text1"/>
          <w:lang w:val="en-GB"/>
        </w:rPr>
      </w:pPr>
      <w:r w:rsidRPr="00224211">
        <w:rPr>
          <w:b/>
          <w:color w:val="000000" w:themeColor="text1"/>
          <w:lang w:val="en-GB"/>
        </w:rPr>
        <w:lastRenderedPageBreak/>
        <w:t>SupplementaryFigure1.</w:t>
      </w:r>
      <w:r>
        <w:rPr>
          <w:bCs/>
          <w:color w:val="000000" w:themeColor="text1"/>
          <w:lang w:val="en-GB"/>
        </w:rPr>
        <w:t xml:space="preserve"> Flow chart</w:t>
      </w:r>
    </w:p>
    <w:p w14:paraId="3EC3E940" w14:textId="14F0F77E" w:rsidR="00224211" w:rsidRDefault="00224211" w:rsidP="00224211">
      <w:pPr>
        <w:spacing w:line="480" w:lineRule="auto"/>
        <w:rPr>
          <w:bCs/>
          <w:color w:val="000000" w:themeColor="text1"/>
          <w:lang w:val="en-GB"/>
        </w:rPr>
      </w:pPr>
      <w:r>
        <w:rPr>
          <w:bCs/>
          <w:noProof/>
          <w:color w:val="000000" w:themeColor="text1"/>
          <w:lang w:val="en-GB"/>
        </w:rPr>
        <w:drawing>
          <wp:inline distT="0" distB="0" distL="0" distR="0" wp14:anchorId="7B535724" wp14:editId="640524AC">
            <wp:extent cx="5603358" cy="7471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owchart_EPDS_SCID_2020020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026" cy="748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F7C05" w14:textId="77777777" w:rsidR="001A56C6" w:rsidRDefault="001A56C6">
      <w:pPr>
        <w:rPr>
          <w:bCs/>
          <w:color w:val="000000" w:themeColor="text1"/>
          <w:lang w:val="en-GB"/>
        </w:rPr>
        <w:sectPr w:rsidR="001A56C6" w:rsidSect="00DE0DC3">
          <w:footerReference w:type="even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A0C42B" w14:textId="2A8CF973" w:rsidR="009C7C08" w:rsidRPr="001A56C6" w:rsidRDefault="001A56C6" w:rsidP="001A56C6">
      <w:pPr>
        <w:spacing w:line="480" w:lineRule="auto"/>
        <w:rPr>
          <w:b/>
          <w:i/>
          <w:iCs/>
          <w:color w:val="000000" w:themeColor="text1"/>
          <w:shd w:val="clear" w:color="auto" w:fill="FFFFFF"/>
          <w:lang w:val="en-GB"/>
        </w:rPr>
      </w:pPr>
      <w:r w:rsidRPr="001A56C6">
        <w:rPr>
          <w:b/>
          <w:color w:val="000000" w:themeColor="text1"/>
          <w:lang w:val="en-GB"/>
        </w:rPr>
        <w:lastRenderedPageBreak/>
        <w:t>SupplementaryTable</w:t>
      </w:r>
      <w:r w:rsidR="00A068B9">
        <w:rPr>
          <w:b/>
          <w:color w:val="000000" w:themeColor="text1"/>
          <w:lang w:val="en-GB"/>
        </w:rPr>
        <w:t>1</w:t>
      </w:r>
      <w:r w:rsidRPr="001A56C6">
        <w:rPr>
          <w:b/>
          <w:color w:val="000000" w:themeColor="text1"/>
          <w:lang w:val="en-GB"/>
        </w:rPr>
        <w:t>. Characteristics of included studies</w:t>
      </w:r>
    </w:p>
    <w:tbl>
      <w:tblPr>
        <w:tblW w:w="13149" w:type="dxa"/>
        <w:tblInd w:w="-108" w:type="dxa"/>
        <w:tblLook w:val="04A0" w:firstRow="1" w:lastRow="0" w:firstColumn="1" w:lastColumn="0" w:noHBand="0" w:noVBand="1"/>
      </w:tblPr>
      <w:tblGrid>
        <w:gridCol w:w="2220"/>
        <w:gridCol w:w="946"/>
        <w:gridCol w:w="6629"/>
        <w:gridCol w:w="1276"/>
        <w:gridCol w:w="891"/>
        <w:gridCol w:w="1187"/>
      </w:tblGrid>
      <w:tr w:rsidR="003B0A56" w:rsidRPr="003B0A56" w14:paraId="4E2C04E0" w14:textId="77777777" w:rsidTr="003B0A56">
        <w:trPr>
          <w:trHeight w:val="20"/>
        </w:trPr>
        <w:tc>
          <w:tcPr>
            <w:tcW w:w="2220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38A593C0" w14:textId="77777777" w:rsidR="003B0A56" w:rsidRPr="003B0A56" w:rsidRDefault="003B0A56" w:rsidP="00C864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First Author, Year</w:t>
            </w:r>
          </w:p>
        </w:tc>
        <w:tc>
          <w:tcPr>
            <w:tcW w:w="94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4322059D" w14:textId="77777777" w:rsidR="003B0A56" w:rsidRPr="003B0A56" w:rsidRDefault="003B0A56" w:rsidP="00C864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6629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B3E4236" w14:textId="77777777" w:rsidR="003B0A56" w:rsidRPr="003B0A56" w:rsidRDefault="003B0A56" w:rsidP="00C864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Recruited Population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129241EB" w14:textId="77777777" w:rsidR="003B0A56" w:rsidRPr="003B0A56" w:rsidRDefault="003B0A56" w:rsidP="00C864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Classification System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14:paraId="0FF78142" w14:textId="77777777" w:rsidR="003B0A56" w:rsidRPr="003B0A56" w:rsidRDefault="003B0A56" w:rsidP="00C864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Total N</w:t>
            </w:r>
          </w:p>
        </w:tc>
        <w:tc>
          <w:tcPr>
            <w:tcW w:w="118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66CE3" w14:textId="77777777" w:rsidR="003B0A56" w:rsidRPr="003B0A56" w:rsidRDefault="003B0A56" w:rsidP="00C864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Major Depression</w:t>
            </w:r>
          </w:p>
        </w:tc>
      </w:tr>
      <w:tr w:rsidR="003B0A56" w:rsidRPr="003B0A56" w14:paraId="309AB594" w14:textId="77777777" w:rsidTr="003B0A56">
        <w:trPr>
          <w:trHeight w:val="20"/>
        </w:trPr>
        <w:tc>
          <w:tcPr>
            <w:tcW w:w="222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C3D900" w14:textId="77777777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687D63" w14:textId="77777777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9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9F1521" w14:textId="77777777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46D80C" w14:textId="77777777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DB2D8E" w14:textId="77777777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FA1B1" w14:textId="77777777" w:rsidR="003B0A56" w:rsidRPr="003B0A56" w:rsidRDefault="003B0A56" w:rsidP="00C8648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N (%)</w:t>
            </w:r>
          </w:p>
        </w:tc>
      </w:tr>
      <w:tr w:rsidR="003B0A56" w:rsidRPr="003B0A56" w14:paraId="35E93F20" w14:textId="77777777" w:rsidTr="003B0A56">
        <w:trPr>
          <w:trHeight w:val="20"/>
        </w:trPr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8E64" w14:textId="60A46E15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Barnes, 2009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86B0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UK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C1183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Socially disadvantaged mothers at 2 months postpartum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8D838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DSM-III-R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BBB6D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231B2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25 (7)</w:t>
            </w:r>
          </w:p>
        </w:tc>
      </w:tr>
      <w:tr w:rsidR="003B0A56" w:rsidRPr="003B0A56" w14:paraId="4C38EF2E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716D" w14:textId="2D00F5C0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Beck, 2001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4C0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USA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4B7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Postpartum mothers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13F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B2E3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854F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18 (12)</w:t>
            </w:r>
          </w:p>
        </w:tc>
      </w:tr>
      <w:tr w:rsidR="003B0A56" w:rsidRPr="003B0A56" w14:paraId="26EFB08F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14462" w14:textId="0F58772C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 xml:space="preserve">de </w:t>
            </w: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Figueiredo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2015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5531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 xml:space="preserve">Brazil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20B9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 xml:space="preserve">Postpartum women enrolled in prenatal care outpatient services in a Brazilian city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0E707" w14:textId="651BC1A4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</w:t>
            </w:r>
            <w:r w:rsidR="007877A6">
              <w:rPr>
                <w:color w:val="000000"/>
                <w:sz w:val="18"/>
                <w:szCs w:val="18"/>
              </w:rPr>
              <w:t>-</w:t>
            </w:r>
            <w:r w:rsidRPr="003B0A56">
              <w:rPr>
                <w:color w:val="000000"/>
                <w:sz w:val="18"/>
                <w:szCs w:val="18"/>
              </w:rPr>
              <w:t>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E8AF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6634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94 (39)</w:t>
            </w:r>
          </w:p>
        </w:tc>
      </w:tr>
      <w:tr w:rsidR="003B0A56" w:rsidRPr="003B0A56" w14:paraId="310CC56C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CAF92" w14:textId="70068301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Green, 2018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8616F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Kenya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EC0A9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Pregnant and postpartum women receiving maternity services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F4DEC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FDC5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060C2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7 (4)</w:t>
            </w:r>
          </w:p>
        </w:tc>
      </w:tr>
      <w:tr w:rsidR="003B0A56" w:rsidRPr="003B0A56" w14:paraId="294205F8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E9CFF" w14:textId="2F331D91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Helle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2015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9B788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Germany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2AE87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Mothers with very low birthweight and normal weight infants between 4 and 6 weeks postpartum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E8C9A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BDF2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7CA1F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12 (5)</w:t>
            </w:r>
          </w:p>
        </w:tc>
      </w:tr>
      <w:tr w:rsidR="003B0A56" w:rsidRPr="003B0A56" w14:paraId="130A3F76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88E12" w14:textId="75D8EC6F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Howard, 2018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F2814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UK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2B15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Pregnant women recruited from an inner-city London maternity service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7EE8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56EF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527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E1B3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130 (25)</w:t>
            </w:r>
          </w:p>
        </w:tc>
      </w:tr>
      <w:tr w:rsidR="003B0A56" w:rsidRPr="003B0A56" w14:paraId="10F64636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4486" w14:textId="61A79ADF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Ing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2017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E740F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 xml:space="preserve">Thailand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6A2C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Postpartum migrant and refugee women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D239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DBB49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625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6AC8C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5 (1)</w:t>
            </w:r>
          </w:p>
        </w:tc>
      </w:tr>
      <w:tr w:rsidR="003B0A56" w:rsidRPr="003B0A56" w14:paraId="5577E14D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046CE" w14:textId="5FD030FD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Kettunen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2017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8</w:t>
            </w:r>
            <w:r w:rsidRPr="003B0A56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927B9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Finland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CAB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Postpartum women recruited from antenatal clinics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587D2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441A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77DB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65 (49)</w:t>
            </w:r>
          </w:p>
        </w:tc>
      </w:tr>
      <w:tr w:rsidR="003B0A56" w:rsidRPr="003B0A56" w14:paraId="0A4E5D1F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3185" w14:textId="1E22D7E9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Leonardou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2009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A06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Greece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11DE0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Postpartum women recruited from private and public maternity wards on their second day postpartum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FCDB0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DSM-III-R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2ADFB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9563D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4 (5)</w:t>
            </w:r>
          </w:p>
        </w:tc>
      </w:tr>
      <w:tr w:rsidR="003B0A56" w:rsidRPr="003B0A56" w14:paraId="66FEB49C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6EDE" w14:textId="59BF16B9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Nakić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Radoš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2013</w:t>
            </w:r>
            <w:r w:rsidRPr="003B0A56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16CF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Croatia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2ED14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Women between 6 and 8 weeks postpartum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E032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DSM-IV-TR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D215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2307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10 (4)</w:t>
            </w:r>
          </w:p>
        </w:tc>
      </w:tr>
      <w:tr w:rsidR="003B0A56" w:rsidRPr="003B0A56" w14:paraId="6DA7A3EB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30468" w14:textId="75067275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Phillips, 2009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Pr="003B0A56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CE21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Australia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2F15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Postpartum mothers with unsettled infants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1099D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AA87F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EEF85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42 (27)</w:t>
            </w:r>
          </w:p>
        </w:tc>
      </w:tr>
      <w:tr w:rsidR="003B0A56" w:rsidRPr="003B0A56" w14:paraId="35CEDF15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87012" w14:textId="44F00DCF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Prenoveau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2013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04C91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UK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0AFA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Postpartum women at 10 months recruited from mixed health centres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DD4B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 xml:space="preserve">DSM-IV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5897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8A99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20 (9)</w:t>
            </w:r>
          </w:p>
        </w:tc>
      </w:tr>
      <w:tr w:rsidR="003B0A56" w:rsidRPr="003B0A56" w14:paraId="131CC6FC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634CE" w14:textId="19A7D606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Rochat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2013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13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4914A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 xml:space="preserve">South Africa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67E2D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 xml:space="preserve">Women recruited from their antenatal appointment at a primary health care clinic between 26 and 34 weeks of pregnancy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DFC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F7EE1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3504F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50 (48)</w:t>
            </w:r>
          </w:p>
        </w:tc>
      </w:tr>
      <w:tr w:rsidR="003B0A56" w:rsidRPr="003B0A56" w14:paraId="5E4F07C0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6B69" w14:textId="2EE2F112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Smith-Nielsen, 2018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14</w:t>
            </w:r>
            <w:r w:rsidRPr="003B0A56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46EB1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Denmark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441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Postpartum women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137D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2896F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F5E3D" w14:textId="49F2ECC1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118 (3</w:t>
            </w:r>
            <w:r w:rsidR="000B2267">
              <w:rPr>
                <w:color w:val="000000"/>
                <w:sz w:val="18"/>
                <w:szCs w:val="18"/>
              </w:rPr>
              <w:t>7</w:t>
            </w:r>
            <w:r w:rsidRPr="003B0A56">
              <w:rPr>
                <w:color w:val="000000"/>
                <w:sz w:val="18"/>
                <w:szCs w:val="18"/>
              </w:rPr>
              <w:t>)</w:t>
            </w:r>
          </w:p>
        </w:tc>
      </w:tr>
      <w:tr w:rsidR="003B0A56" w:rsidRPr="003B0A56" w14:paraId="2761FEA5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366E" w14:textId="10D0F5AA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Stewart, 2013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9E018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Malawi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6D328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Pregnant women attending an antenatal clinic in rural Malawi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C147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9204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47965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34 (18)</w:t>
            </w:r>
          </w:p>
        </w:tc>
      </w:tr>
      <w:tr w:rsidR="003B0A56" w:rsidRPr="003B0A56" w14:paraId="0369CB21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C998" w14:textId="256DC887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Tandon, 2012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16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BB43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USA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DAAC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Pregnant and postpartum women enrolled in home visitation programs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EAF0E" w14:textId="3A91F080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</w:t>
            </w:r>
            <w:r w:rsidR="007877A6">
              <w:rPr>
                <w:color w:val="000000"/>
                <w:sz w:val="18"/>
                <w:szCs w:val="18"/>
              </w:rPr>
              <w:t>-</w:t>
            </w:r>
            <w:r w:rsidRPr="003B0A56">
              <w:rPr>
                <w:color w:val="000000"/>
                <w:sz w:val="18"/>
                <w:szCs w:val="18"/>
              </w:rPr>
              <w:t>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9FDA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73A06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25 (28)</w:t>
            </w:r>
          </w:p>
        </w:tc>
      </w:tr>
      <w:tr w:rsidR="003B0A56" w:rsidRPr="003B0A56" w14:paraId="3A267C2B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26764" w14:textId="006D4D9C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Tendais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2014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515DC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 xml:space="preserve">Portugal 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46B0B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 xml:space="preserve">Pregnant women recruited in an obstetrics outpatient unit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043E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8C86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BCDE5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18 (13)</w:t>
            </w:r>
          </w:p>
        </w:tc>
      </w:tr>
      <w:tr w:rsidR="003B0A56" w:rsidRPr="003B0A56" w14:paraId="07609C31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8FFD1" w14:textId="4BB68927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Töreki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2013</w:t>
            </w:r>
            <w:r w:rsidRPr="003B0A56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ADFC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8985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Women at 12 weeks antenatal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8374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6F179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A45F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7 (3)</w:t>
            </w:r>
          </w:p>
        </w:tc>
      </w:tr>
      <w:tr w:rsidR="003B0A56" w:rsidRPr="003B0A56" w14:paraId="4AE7069B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4C8D0" w14:textId="7361AB94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Töreki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2014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89233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Hungary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DA909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Women between 6 and 8 weeks postpartum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33CE0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57BC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99286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8 (3)</w:t>
            </w:r>
          </w:p>
        </w:tc>
      </w:tr>
      <w:tr w:rsidR="003B0A56" w:rsidRPr="003B0A56" w14:paraId="1B82B710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53FC1" w14:textId="7BD666C4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Tran, 2011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B819E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84E3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 xml:space="preserve">Pregnant and postpartum Vietnamese women recruited from the commune health centre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1ADEA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BD2D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359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B5903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52 (14)</w:t>
            </w:r>
          </w:p>
        </w:tc>
      </w:tr>
      <w:tr w:rsidR="003B0A56" w:rsidRPr="003B0A56" w14:paraId="060C76D4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F976D7" w14:textId="153BD1B0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Turner, 2009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21</w:t>
            </w:r>
          </w:p>
        </w:tc>
        <w:tc>
          <w:tcPr>
            <w:tcW w:w="9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50FE08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Italy</w:t>
            </w:r>
          </w:p>
        </w:tc>
        <w:tc>
          <w:tcPr>
            <w:tcW w:w="662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2E5059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Women from a regional epilepsy center in Italy between 5 and 8 weeks postpartum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FE4B56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DSM-IV-TR</w:t>
            </w:r>
          </w:p>
        </w:tc>
        <w:tc>
          <w:tcPr>
            <w:tcW w:w="89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69D0AD8" w14:textId="0CDC4728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B5C9D4" w14:textId="127A3781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Pr="003B0A56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7</w:t>
            </w:r>
            <w:r w:rsidRPr="003B0A56">
              <w:rPr>
                <w:color w:val="000000"/>
                <w:sz w:val="18"/>
                <w:szCs w:val="18"/>
              </w:rPr>
              <w:t>)</w:t>
            </w:r>
          </w:p>
        </w:tc>
      </w:tr>
      <w:tr w:rsidR="003B0A56" w:rsidRPr="003B0A56" w14:paraId="304A1CA9" w14:textId="77777777" w:rsidTr="003B0A56">
        <w:trPr>
          <w:trHeight w:val="20"/>
        </w:trPr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747F5" w14:textId="2E609A9D" w:rsidR="003B0A56" w:rsidRPr="003B0A56" w:rsidRDefault="003B0A56" w:rsidP="00C86482">
            <w:pPr>
              <w:rPr>
                <w:b/>
                <w:bCs/>
                <w:color w:val="000000"/>
                <w:sz w:val="18"/>
                <w:szCs w:val="18"/>
                <w:vertAlign w:val="superscript"/>
              </w:rPr>
            </w:pPr>
            <w:r w:rsidRPr="003B0A56">
              <w:rPr>
                <w:b/>
                <w:bCs/>
                <w:color w:val="000000"/>
                <w:sz w:val="18"/>
                <w:szCs w:val="18"/>
              </w:rPr>
              <w:t>Vega-</w:t>
            </w:r>
            <w:proofErr w:type="spellStart"/>
            <w:r w:rsidRPr="003B0A56">
              <w:rPr>
                <w:b/>
                <w:bCs/>
                <w:color w:val="000000"/>
                <w:sz w:val="18"/>
                <w:szCs w:val="18"/>
              </w:rPr>
              <w:t>Dienstmaier</w:t>
            </w:r>
            <w:proofErr w:type="spellEnd"/>
            <w:r w:rsidRPr="003B0A56">
              <w:rPr>
                <w:b/>
                <w:bCs/>
                <w:color w:val="000000"/>
                <w:sz w:val="18"/>
                <w:szCs w:val="18"/>
              </w:rPr>
              <w:t>, 2002</w:t>
            </w:r>
            <w:r w:rsidR="001F3FA0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22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04A8A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Peru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83D03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Women up to 12 months postpartum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B67FB" w14:textId="77777777" w:rsidR="003B0A56" w:rsidRPr="003B0A56" w:rsidRDefault="003B0A56" w:rsidP="00C86482">
            <w:pPr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DSM-IV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0DBCE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306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3D3C97" w14:textId="77777777" w:rsidR="003B0A56" w:rsidRPr="003B0A56" w:rsidRDefault="003B0A56" w:rsidP="00C86482">
            <w:pPr>
              <w:jc w:val="center"/>
              <w:rPr>
                <w:color w:val="000000"/>
                <w:sz w:val="18"/>
                <w:szCs w:val="18"/>
              </w:rPr>
            </w:pPr>
            <w:r w:rsidRPr="003B0A56">
              <w:rPr>
                <w:color w:val="000000"/>
                <w:sz w:val="18"/>
                <w:szCs w:val="18"/>
              </w:rPr>
              <w:t>19 (6)</w:t>
            </w:r>
          </w:p>
        </w:tc>
      </w:tr>
    </w:tbl>
    <w:p w14:paraId="0379009F" w14:textId="76005197" w:rsidR="00A06C59" w:rsidRDefault="001F3FA0">
      <w:pPr>
        <w:rPr>
          <w:sz w:val="18"/>
          <w:szCs w:val="18"/>
        </w:rPr>
      </w:pPr>
      <w:proofErr w:type="spellStart"/>
      <w:r w:rsidRPr="001F3FA0">
        <w:rPr>
          <w:sz w:val="18"/>
          <w:szCs w:val="18"/>
          <w:vertAlign w:val="superscript"/>
        </w:rPr>
        <w:t>a</w:t>
      </w:r>
      <w:proofErr w:type="spellEnd"/>
      <w:r w:rsidR="00BF678B">
        <w:rPr>
          <w:sz w:val="18"/>
          <w:szCs w:val="18"/>
          <w:vertAlign w:val="superscript"/>
        </w:rPr>
        <w:t xml:space="preserve"> </w:t>
      </w:r>
      <w:proofErr w:type="gramStart"/>
      <w:r w:rsidRPr="001F3FA0">
        <w:rPr>
          <w:sz w:val="18"/>
          <w:szCs w:val="18"/>
        </w:rPr>
        <w:t>The</w:t>
      </w:r>
      <w:proofErr w:type="gramEnd"/>
      <w:r w:rsidRPr="001F3FA0">
        <w:rPr>
          <w:sz w:val="18"/>
          <w:szCs w:val="18"/>
        </w:rPr>
        <w:t xml:space="preserve"> primary study used a case-control design but was unable to provide statistical weights to reflect sampling procedures.</w:t>
      </w:r>
    </w:p>
    <w:p w14:paraId="2D360DE4" w14:textId="05471554" w:rsidR="001F3FA0" w:rsidRPr="001F3FA0" w:rsidRDefault="001F3FA0" w:rsidP="001F3FA0">
      <w:pPr>
        <w:rPr>
          <w:sz w:val="18"/>
          <w:szCs w:val="18"/>
        </w:rPr>
      </w:pPr>
      <w:r w:rsidRPr="001F3FA0">
        <w:rPr>
          <w:sz w:val="18"/>
          <w:szCs w:val="18"/>
          <w:vertAlign w:val="superscript"/>
        </w:rPr>
        <w:t>b</w:t>
      </w:r>
      <w:r w:rsidR="00BF678B">
        <w:rPr>
          <w:sz w:val="18"/>
          <w:szCs w:val="18"/>
          <w:vertAlign w:val="superscript"/>
        </w:rPr>
        <w:t xml:space="preserve"> </w:t>
      </w:r>
      <w:r w:rsidRPr="001F3FA0">
        <w:rPr>
          <w:sz w:val="18"/>
          <w:szCs w:val="18"/>
        </w:rPr>
        <w:t>This study was not retrieved at the time of electronic database search.</w:t>
      </w:r>
    </w:p>
    <w:p w14:paraId="0E2B8068" w14:textId="77777777" w:rsidR="001F3FA0" w:rsidRDefault="001F3FA0">
      <w:pPr>
        <w:rPr>
          <w:sz w:val="18"/>
          <w:szCs w:val="18"/>
        </w:rPr>
        <w:sectPr w:rsidR="001F3FA0" w:rsidSect="001A56C6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E65CF23" w14:textId="1228F3C5" w:rsidR="003C1BA4" w:rsidRDefault="00573B65" w:rsidP="001F3FA0">
      <w:pPr>
        <w:spacing w:line="480" w:lineRule="auto"/>
        <w:rPr>
          <w:b/>
          <w:lang w:val="en-GB"/>
        </w:rPr>
      </w:pPr>
      <w:r>
        <w:rPr>
          <w:b/>
          <w:noProof/>
          <w:lang w:val="en-GB"/>
        </w:rPr>
        <w:lastRenderedPageBreak/>
        <w:drawing>
          <wp:inline distT="0" distB="0" distL="0" distR="0" wp14:anchorId="481C92D9" wp14:editId="4BA7F6B5">
            <wp:extent cx="5943600" cy="594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OC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62D6" w14:textId="3B462E97" w:rsidR="003C1BA4" w:rsidRDefault="003C1BA4" w:rsidP="001F3FA0">
      <w:pPr>
        <w:spacing w:line="480" w:lineRule="auto"/>
        <w:rPr>
          <w:lang w:val="en-GB"/>
        </w:rPr>
      </w:pPr>
      <w:r>
        <w:rPr>
          <w:b/>
          <w:lang w:val="en-GB"/>
        </w:rPr>
        <w:t>SupplementaryFigure2</w:t>
      </w:r>
      <w:r>
        <w:rPr>
          <w:lang w:val="en-GB"/>
        </w:rPr>
        <w:t xml:space="preserve"> ROC Curve</w:t>
      </w:r>
    </w:p>
    <w:p w14:paraId="0E7634AB" w14:textId="77777777" w:rsidR="003C1BA4" w:rsidRPr="003C1BA4" w:rsidRDefault="003C1BA4" w:rsidP="001F3FA0">
      <w:pPr>
        <w:spacing w:line="480" w:lineRule="auto"/>
        <w:rPr>
          <w:lang w:val="en-GB"/>
        </w:rPr>
      </w:pPr>
    </w:p>
    <w:p w14:paraId="15F61ED7" w14:textId="77777777" w:rsidR="003C1BA4" w:rsidRDefault="003C1BA4">
      <w:pPr>
        <w:rPr>
          <w:b/>
          <w:lang w:val="en-GB"/>
        </w:rPr>
      </w:pPr>
      <w:r>
        <w:rPr>
          <w:b/>
          <w:lang w:val="en-GB"/>
        </w:rPr>
        <w:br w:type="page"/>
      </w:r>
      <w:bookmarkStart w:id="0" w:name="_GoBack"/>
      <w:bookmarkEnd w:id="0"/>
    </w:p>
    <w:p w14:paraId="6CCB249B" w14:textId="67CF477B" w:rsidR="001F3FA0" w:rsidRPr="001F3FA0" w:rsidRDefault="001F3FA0" w:rsidP="001F3FA0">
      <w:pPr>
        <w:spacing w:line="480" w:lineRule="auto"/>
        <w:rPr>
          <w:rFonts w:eastAsia="MS Mincho"/>
          <w:b/>
          <w:color w:val="000000" w:themeColor="text1"/>
          <w:lang w:val="en-GB"/>
        </w:rPr>
      </w:pPr>
      <w:r w:rsidRPr="001F3FA0">
        <w:rPr>
          <w:b/>
          <w:lang w:val="en-GB"/>
        </w:rPr>
        <w:lastRenderedPageBreak/>
        <w:t>Supplementary</w:t>
      </w:r>
      <w:r w:rsidR="00655991">
        <w:rPr>
          <w:b/>
          <w:lang w:val="en-GB"/>
        </w:rPr>
        <w:t>Table2</w:t>
      </w:r>
      <w:r w:rsidRPr="001F3FA0">
        <w:rPr>
          <w:b/>
          <w:lang w:val="en-GB"/>
        </w:rPr>
        <w:t xml:space="preserve"> references</w:t>
      </w:r>
    </w:p>
    <w:p w14:paraId="141C216A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Barnes JS, Senior R, MacPherson K. The utility of volunteer home‐visiting support to prevent maternal depression in the first year of life. </w:t>
      </w:r>
      <w:r w:rsidRPr="001F3FA0">
        <w:rPr>
          <w:rFonts w:ascii="Times New Roman" w:eastAsia="Times New Roman" w:hAnsi="Times New Roman"/>
          <w:i/>
          <w:iCs/>
          <w:color w:val="000000"/>
        </w:rPr>
        <w:t>Child Care Health Dev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2009</w:t>
      </w:r>
      <w:r w:rsidRPr="001F3FA0">
        <w:rPr>
          <w:rFonts w:ascii="Times New Roman" w:eastAsia="Times New Roman" w:hAnsi="Times New Roman"/>
          <w:bCs/>
          <w:color w:val="000000"/>
        </w:rPr>
        <w:t>;35</w:t>
      </w:r>
      <w:r w:rsidRPr="001F3FA0">
        <w:rPr>
          <w:rFonts w:ascii="Times New Roman" w:eastAsia="Times New Roman" w:hAnsi="Times New Roman"/>
          <w:color w:val="000000"/>
        </w:rPr>
        <w:t>:807</w:t>
      </w:r>
      <w:proofErr w:type="gramEnd"/>
      <w:r w:rsidRPr="001F3FA0">
        <w:rPr>
          <w:rFonts w:ascii="Times New Roman" w:eastAsia="Times New Roman" w:hAnsi="Times New Roman"/>
          <w:color w:val="000000"/>
        </w:rPr>
        <w:t>-16.</w:t>
      </w:r>
    </w:p>
    <w:p w14:paraId="5F5F4824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Beck CT, Gable RK. Comparative analysis of the performance of the Postpartum Depression Screening Scale with two other depression instruments.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Nurs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 xml:space="preserve"> Res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2001;</w:t>
      </w:r>
      <w:r w:rsidRPr="001F3FA0">
        <w:rPr>
          <w:rFonts w:ascii="Times New Roman" w:eastAsia="Times New Roman" w:hAnsi="Times New Roman"/>
          <w:bCs/>
          <w:color w:val="000000"/>
        </w:rPr>
        <w:t>50</w:t>
      </w:r>
      <w:r w:rsidRPr="001F3FA0">
        <w:rPr>
          <w:rFonts w:ascii="Times New Roman" w:eastAsia="Times New Roman" w:hAnsi="Times New Roman"/>
          <w:color w:val="000000"/>
        </w:rPr>
        <w:t>:242</w:t>
      </w:r>
      <w:proofErr w:type="gramEnd"/>
      <w:r w:rsidRPr="001F3FA0">
        <w:rPr>
          <w:rFonts w:ascii="Times New Roman" w:eastAsia="Times New Roman" w:hAnsi="Times New Roman"/>
          <w:color w:val="000000"/>
        </w:rPr>
        <w:t>-50.</w:t>
      </w:r>
    </w:p>
    <w:p w14:paraId="0B6FA5FA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de </w:t>
      </w:r>
      <w:proofErr w:type="spellStart"/>
      <w:r w:rsidRPr="001F3FA0">
        <w:rPr>
          <w:rFonts w:ascii="Times New Roman" w:eastAsia="Times New Roman" w:hAnsi="Times New Roman"/>
          <w:color w:val="000000"/>
        </w:rPr>
        <w:t>Figueiredo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FP,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Parada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AP, Cardoso VC, Batista RF, da Silva AA, Barbieri MA, de Carvalho Cavalli R,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Bettiol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H, Del-Ben CM. Postpartum depression screening by telephone: a good alternative for public health and research. 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Arch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Womens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Ment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 xml:space="preserve"> Health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2015;</w:t>
      </w:r>
      <w:r w:rsidRPr="001F3FA0">
        <w:rPr>
          <w:rFonts w:ascii="Times New Roman" w:eastAsia="Times New Roman" w:hAnsi="Times New Roman"/>
          <w:bCs/>
          <w:color w:val="000000"/>
        </w:rPr>
        <w:t>18</w:t>
      </w:r>
      <w:r w:rsidRPr="001F3FA0">
        <w:rPr>
          <w:rFonts w:ascii="Times New Roman" w:eastAsia="Times New Roman" w:hAnsi="Times New Roman"/>
          <w:color w:val="000000"/>
        </w:rPr>
        <w:t>:547</w:t>
      </w:r>
      <w:proofErr w:type="gramEnd"/>
      <w:r w:rsidRPr="001F3FA0">
        <w:rPr>
          <w:rFonts w:ascii="Times New Roman" w:eastAsia="Times New Roman" w:hAnsi="Times New Roman"/>
          <w:color w:val="000000"/>
        </w:rPr>
        <w:t>-53.</w:t>
      </w:r>
    </w:p>
    <w:p w14:paraId="5EE06462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Green EP, Tuli H,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Kwobah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E,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Menya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D,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Chesire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I, Schmidt C. Developing and validating a perinatal depression screening tool in Kenya blending Western criteria with local idioms: A mixed methods study. 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J Affect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Disord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2018;</w:t>
      </w:r>
      <w:r w:rsidRPr="001F3FA0">
        <w:rPr>
          <w:rFonts w:ascii="Times New Roman" w:eastAsia="Times New Roman" w:hAnsi="Times New Roman"/>
          <w:bCs/>
          <w:color w:val="000000"/>
        </w:rPr>
        <w:t>228</w:t>
      </w:r>
      <w:r w:rsidRPr="001F3FA0">
        <w:rPr>
          <w:rFonts w:ascii="Times New Roman" w:eastAsia="Times New Roman" w:hAnsi="Times New Roman"/>
          <w:color w:val="000000"/>
        </w:rPr>
        <w:t>:49</w:t>
      </w:r>
      <w:proofErr w:type="gramEnd"/>
      <w:r w:rsidRPr="001F3FA0">
        <w:rPr>
          <w:rFonts w:ascii="Times New Roman" w:eastAsia="Times New Roman" w:hAnsi="Times New Roman"/>
          <w:color w:val="000000"/>
        </w:rPr>
        <w:t>.</w:t>
      </w:r>
    </w:p>
    <w:p w14:paraId="6177E4EF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t>Helle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N,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Barkmann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C,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Bartz-Seel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J, Diehl T, Ehrhardt S, Hendel A,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Nestoriuc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Y, Schulte-</w:t>
      </w:r>
      <w:proofErr w:type="spellStart"/>
      <w:r w:rsidRPr="001F3FA0">
        <w:rPr>
          <w:rFonts w:ascii="Times New Roman" w:eastAsia="Times New Roman" w:hAnsi="Times New Roman"/>
          <w:color w:val="000000"/>
        </w:rPr>
        <w:t>Markwort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M, Von Der </w:t>
      </w:r>
      <w:proofErr w:type="spellStart"/>
      <w:r w:rsidRPr="001F3FA0">
        <w:rPr>
          <w:rFonts w:ascii="Times New Roman" w:eastAsia="Times New Roman" w:hAnsi="Times New Roman"/>
          <w:color w:val="000000"/>
        </w:rPr>
        <w:t>Wense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Bindt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C. Very low birth-weight as a risk factor for postpartum depression four to six weeks </w:t>
      </w:r>
      <w:proofErr w:type="spellStart"/>
      <w:r w:rsidRPr="001F3FA0">
        <w:rPr>
          <w:rFonts w:ascii="Times New Roman" w:eastAsia="Times New Roman" w:hAnsi="Times New Roman"/>
          <w:color w:val="000000"/>
        </w:rPr>
        <w:t>postbirth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in mothers and fathers: Cross-sectional results from a controlled multicentre cohort study. 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J Affect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Disord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2015;</w:t>
      </w:r>
      <w:r w:rsidRPr="001F3FA0">
        <w:rPr>
          <w:rFonts w:ascii="Times New Roman" w:eastAsia="Times New Roman" w:hAnsi="Times New Roman"/>
          <w:bCs/>
          <w:color w:val="000000"/>
        </w:rPr>
        <w:t>180:</w:t>
      </w:r>
      <w:r w:rsidRPr="001F3FA0">
        <w:rPr>
          <w:rFonts w:ascii="Times New Roman" w:eastAsia="Times New Roman" w:hAnsi="Times New Roman"/>
          <w:color w:val="000000"/>
        </w:rPr>
        <w:t>154</w:t>
      </w:r>
      <w:proofErr w:type="gramEnd"/>
      <w:r w:rsidRPr="001F3FA0">
        <w:rPr>
          <w:rFonts w:ascii="Times New Roman" w:eastAsia="Times New Roman" w:hAnsi="Times New Roman"/>
          <w:color w:val="000000"/>
        </w:rPr>
        <w:t>-61.</w:t>
      </w:r>
    </w:p>
    <w:p w14:paraId="5B3E34A9" w14:textId="418A151D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Howard LM, Ryan EG,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Trevillion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K, Anderson F, Bick D, Bye A, et al. Accuracy of the </w:t>
      </w:r>
      <w:proofErr w:type="spellStart"/>
      <w:r w:rsidRPr="001F3FA0">
        <w:rPr>
          <w:rFonts w:ascii="Times New Roman" w:eastAsia="Times New Roman" w:hAnsi="Times New Roman"/>
          <w:color w:val="000000"/>
        </w:rPr>
        <w:t>Whooley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questions and the Edinburgh Postnatal Depression Scale in identifying depression and other mental disorders in early pregnancy. </w:t>
      </w:r>
      <w:r w:rsidRPr="001F3FA0">
        <w:rPr>
          <w:rFonts w:ascii="Times New Roman" w:eastAsia="Times New Roman" w:hAnsi="Times New Roman"/>
          <w:i/>
          <w:color w:val="000000"/>
        </w:rPr>
        <w:t>Br J Psychiatry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2018;212:50</w:t>
      </w:r>
      <w:proofErr w:type="gramEnd"/>
      <w:r w:rsidRPr="001F3FA0">
        <w:rPr>
          <w:rFonts w:ascii="Times New Roman" w:eastAsia="Times New Roman" w:hAnsi="Times New Roman"/>
          <w:color w:val="000000"/>
        </w:rPr>
        <w:t>-6. </w:t>
      </w:r>
    </w:p>
    <w:p w14:paraId="7C772B15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t>Ing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H,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Fellmeth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G, White J, Stein A, Simpson JA,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McGready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R. Validation of the Edinburgh Postnatal Depression Scale (EPDS) on the Thai-Myanmar border. 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Trop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Doct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>.</w:t>
      </w:r>
      <w:r w:rsidRPr="001F3FA0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2017;</w:t>
      </w:r>
      <w:r w:rsidRPr="001F3FA0">
        <w:rPr>
          <w:rFonts w:ascii="Times New Roman" w:eastAsia="Times New Roman" w:hAnsi="Times New Roman"/>
          <w:bCs/>
          <w:color w:val="000000"/>
        </w:rPr>
        <w:t>47</w:t>
      </w:r>
      <w:r w:rsidRPr="001F3FA0">
        <w:rPr>
          <w:rFonts w:ascii="Times New Roman" w:eastAsia="Times New Roman" w:hAnsi="Times New Roman"/>
          <w:color w:val="000000"/>
        </w:rPr>
        <w:t>:339</w:t>
      </w:r>
      <w:proofErr w:type="gramEnd"/>
      <w:r w:rsidRPr="001F3FA0">
        <w:rPr>
          <w:rFonts w:ascii="Times New Roman" w:eastAsia="Times New Roman" w:hAnsi="Times New Roman"/>
          <w:color w:val="000000"/>
        </w:rPr>
        <w:t>.</w:t>
      </w:r>
    </w:p>
    <w:p w14:paraId="02BCAFDB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t>Kettunen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P,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Hintikka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J. Psychosocial risk factors and treatment of new onset and recurrent depression during the post-partum period. </w:t>
      </w:r>
      <w:r w:rsidRPr="001F3FA0">
        <w:rPr>
          <w:rFonts w:ascii="Times New Roman" w:eastAsia="Times New Roman" w:hAnsi="Times New Roman"/>
          <w:i/>
          <w:iCs/>
          <w:color w:val="000000"/>
        </w:rPr>
        <w:t>Nord J Psychiatry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2017;</w:t>
      </w:r>
      <w:r w:rsidRPr="001F3FA0">
        <w:rPr>
          <w:rFonts w:ascii="Times New Roman" w:eastAsia="Times New Roman" w:hAnsi="Times New Roman"/>
          <w:bCs/>
          <w:color w:val="000000"/>
        </w:rPr>
        <w:t>71</w:t>
      </w:r>
      <w:r w:rsidRPr="001F3FA0">
        <w:rPr>
          <w:rFonts w:ascii="Times New Roman" w:eastAsia="Times New Roman" w:hAnsi="Times New Roman"/>
          <w:color w:val="000000"/>
        </w:rPr>
        <w:t>:355</w:t>
      </w:r>
      <w:proofErr w:type="gramEnd"/>
      <w:r w:rsidRPr="001F3FA0">
        <w:rPr>
          <w:rFonts w:ascii="Times New Roman" w:eastAsia="Times New Roman" w:hAnsi="Times New Roman"/>
          <w:color w:val="000000"/>
        </w:rPr>
        <w:t>.</w:t>
      </w:r>
    </w:p>
    <w:p w14:paraId="1BB31557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lastRenderedPageBreak/>
        <w:t>Leonardou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AA,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Zervas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YM,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Papageorgiou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CC, Marks MN,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Tsartsara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EC,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Antsaklis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A, Christodoulou GN,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Soldatos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CR. Validation of the Edinburgh Postnatal Depression Scale and prevalence of postnatal depression at two months postpartum in a sample of Greek mothers. 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J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Reprod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 xml:space="preserve"> Infant Psychol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2009;</w:t>
      </w:r>
      <w:r w:rsidRPr="001F3FA0">
        <w:rPr>
          <w:rFonts w:ascii="Times New Roman" w:eastAsia="Times New Roman" w:hAnsi="Times New Roman"/>
          <w:bCs/>
          <w:color w:val="000000"/>
        </w:rPr>
        <w:t>27</w:t>
      </w:r>
      <w:r w:rsidRPr="001F3FA0">
        <w:rPr>
          <w:rFonts w:ascii="Times New Roman" w:eastAsia="Times New Roman" w:hAnsi="Times New Roman"/>
          <w:color w:val="000000"/>
        </w:rPr>
        <w:t>:28</w:t>
      </w:r>
      <w:proofErr w:type="gramEnd"/>
      <w:r w:rsidRPr="001F3FA0">
        <w:rPr>
          <w:rFonts w:ascii="Times New Roman" w:eastAsia="Times New Roman" w:hAnsi="Times New Roman"/>
          <w:color w:val="000000"/>
        </w:rPr>
        <w:t>-39.</w:t>
      </w:r>
    </w:p>
    <w:p w14:paraId="1395ECC7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t>Nakić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1F3FA0">
        <w:rPr>
          <w:rFonts w:ascii="Times New Roman" w:eastAsia="Times New Roman" w:hAnsi="Times New Roman"/>
          <w:color w:val="000000"/>
        </w:rPr>
        <w:t>Radoš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S,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Tadinac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M, Herman R. Validation study of the Croatian version of the Edinburgh Postnatal Depression Scale (EPDS). </w:t>
      </w:r>
      <w:proofErr w:type="spellStart"/>
      <w:r w:rsidRPr="001F3FA0">
        <w:rPr>
          <w:rFonts w:ascii="Times New Roman" w:eastAsia="Times New Roman" w:hAnsi="Times New Roman"/>
          <w:i/>
          <w:color w:val="000000"/>
        </w:rPr>
        <w:t>Suvrem</w:t>
      </w:r>
      <w:proofErr w:type="spellEnd"/>
      <w:r w:rsidRPr="001F3FA0">
        <w:rPr>
          <w:rFonts w:ascii="Times New Roman" w:eastAsia="Times New Roman" w:hAnsi="Times New Roman"/>
          <w:i/>
          <w:color w:val="000000"/>
        </w:rPr>
        <w:t xml:space="preserve"> </w:t>
      </w:r>
      <w:proofErr w:type="spellStart"/>
      <w:r w:rsidRPr="001F3FA0">
        <w:rPr>
          <w:rFonts w:ascii="Times New Roman" w:eastAsia="Times New Roman" w:hAnsi="Times New Roman"/>
          <w:i/>
          <w:color w:val="000000"/>
        </w:rPr>
        <w:t>Psihol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2013;16:203</w:t>
      </w:r>
      <w:proofErr w:type="gramEnd"/>
      <w:r w:rsidRPr="001F3FA0">
        <w:rPr>
          <w:rFonts w:ascii="Times New Roman" w:eastAsia="Times New Roman" w:hAnsi="Times New Roman"/>
          <w:color w:val="000000"/>
        </w:rPr>
        <w:t>-18.</w:t>
      </w:r>
    </w:p>
    <w:p w14:paraId="6D1096F4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Phillips J, Charles M, Sharpe L, Matthey S. Validation of the subscales of the Edinburgh Postnatal Depression Scale in a sample of women with unsettled infants. </w:t>
      </w:r>
      <w:r w:rsidRPr="001F3FA0">
        <w:rPr>
          <w:rFonts w:ascii="Times New Roman" w:eastAsia="Times New Roman" w:hAnsi="Times New Roman"/>
          <w:i/>
          <w:color w:val="000000"/>
        </w:rPr>
        <w:t xml:space="preserve">J Affect </w:t>
      </w:r>
      <w:proofErr w:type="spellStart"/>
      <w:r w:rsidRPr="001F3FA0">
        <w:rPr>
          <w:rFonts w:ascii="Times New Roman" w:eastAsia="Times New Roman" w:hAnsi="Times New Roman"/>
          <w:i/>
          <w:color w:val="000000"/>
        </w:rPr>
        <w:t>Disord</w:t>
      </w:r>
      <w:proofErr w:type="spellEnd"/>
      <w:r w:rsidRPr="001F3FA0">
        <w:rPr>
          <w:rFonts w:ascii="Times New Roman" w:eastAsia="Times New Roman" w:hAnsi="Times New Roman"/>
          <w:i/>
          <w:color w:val="000000"/>
        </w:rPr>
        <w:t>.</w:t>
      </w:r>
      <w:r w:rsidRPr="001F3FA0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2009;</w:t>
      </w:r>
      <w:r w:rsidRPr="001F3FA0">
        <w:rPr>
          <w:rFonts w:ascii="Times New Roman" w:eastAsia="Times New Roman" w:hAnsi="Times New Roman"/>
          <w:bCs/>
          <w:color w:val="000000"/>
        </w:rPr>
        <w:t>118</w:t>
      </w:r>
      <w:r w:rsidRPr="001F3FA0">
        <w:rPr>
          <w:rFonts w:ascii="Times New Roman" w:eastAsia="Times New Roman" w:hAnsi="Times New Roman"/>
          <w:color w:val="000000"/>
        </w:rPr>
        <w:t>:101</w:t>
      </w:r>
      <w:proofErr w:type="gramEnd"/>
      <w:r w:rsidRPr="001F3FA0">
        <w:rPr>
          <w:rFonts w:ascii="Times New Roman" w:eastAsia="Times New Roman" w:hAnsi="Times New Roman"/>
          <w:color w:val="000000"/>
        </w:rPr>
        <w:t>-12.</w:t>
      </w:r>
    </w:p>
    <w:p w14:paraId="307BF1EC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t>Prenoveau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J,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Craske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M,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Counsell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N, West V, Davies B, Cooper P, Rapa E, Stein A. Postpartum GAD is a risk factor for postpartum MDD: the course and longitudinal relationships of postpartum GAD and MDD. </w:t>
      </w:r>
      <w:r w:rsidRPr="001F3FA0">
        <w:rPr>
          <w:rFonts w:ascii="Times New Roman" w:eastAsia="Times New Roman" w:hAnsi="Times New Roman"/>
          <w:i/>
          <w:iCs/>
          <w:color w:val="000000"/>
        </w:rPr>
        <w:t>Depress Anxiety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2013;</w:t>
      </w:r>
      <w:r w:rsidRPr="001F3FA0">
        <w:rPr>
          <w:rFonts w:ascii="Times New Roman" w:eastAsia="Times New Roman" w:hAnsi="Times New Roman"/>
          <w:bCs/>
          <w:color w:val="000000"/>
        </w:rPr>
        <w:t>30</w:t>
      </w:r>
      <w:r w:rsidRPr="001F3FA0">
        <w:rPr>
          <w:rFonts w:ascii="Times New Roman" w:eastAsia="Times New Roman" w:hAnsi="Times New Roman"/>
          <w:color w:val="000000"/>
        </w:rPr>
        <w:t>:506</w:t>
      </w:r>
      <w:proofErr w:type="gramEnd"/>
      <w:r w:rsidRPr="001F3FA0">
        <w:rPr>
          <w:rFonts w:ascii="Times New Roman" w:eastAsia="Times New Roman" w:hAnsi="Times New Roman"/>
          <w:color w:val="000000"/>
        </w:rPr>
        <w:t>-14.</w:t>
      </w:r>
    </w:p>
    <w:p w14:paraId="0330E28C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t>Rochat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TJ, Tomlinson M, Newell ML, Stein A. Detection of antenatal depression in rural HIV-affected populations with short and ultrashort versions of the Edinburgh Postnatal Depression Scale (EPDS). 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Arch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Womens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Ment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 xml:space="preserve"> Health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2013;</w:t>
      </w:r>
      <w:r w:rsidRPr="001F3FA0">
        <w:rPr>
          <w:rFonts w:ascii="Times New Roman" w:eastAsia="Times New Roman" w:hAnsi="Times New Roman"/>
          <w:bCs/>
          <w:color w:val="000000"/>
        </w:rPr>
        <w:t>16</w:t>
      </w:r>
      <w:r w:rsidRPr="001F3FA0">
        <w:rPr>
          <w:rFonts w:ascii="Times New Roman" w:eastAsia="Times New Roman" w:hAnsi="Times New Roman"/>
          <w:color w:val="000000"/>
        </w:rPr>
        <w:t>:401</w:t>
      </w:r>
      <w:proofErr w:type="gramEnd"/>
      <w:r w:rsidRPr="001F3FA0">
        <w:rPr>
          <w:rFonts w:ascii="Times New Roman" w:eastAsia="Times New Roman" w:hAnsi="Times New Roman"/>
          <w:color w:val="000000"/>
        </w:rPr>
        <w:t>-10.</w:t>
      </w:r>
    </w:p>
    <w:p w14:paraId="2B5CE8D1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Smith-Nielsen J, Matthey S, Lange T,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Væver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MS. Validation of the Edinburgh Postnatal Depression Scale against both DSM-5 and ICD-10 diagnostic criteria for depression. </w:t>
      </w:r>
      <w:r w:rsidRPr="001F3FA0">
        <w:rPr>
          <w:rFonts w:ascii="Times New Roman" w:eastAsia="Times New Roman" w:hAnsi="Times New Roman"/>
          <w:i/>
          <w:iCs/>
          <w:color w:val="000000"/>
        </w:rPr>
        <w:t>BMC Psychiatry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2018;</w:t>
      </w:r>
      <w:r w:rsidRPr="001F3FA0">
        <w:rPr>
          <w:rFonts w:ascii="Times New Roman" w:eastAsia="Times New Roman" w:hAnsi="Times New Roman"/>
          <w:bCs/>
          <w:color w:val="000000"/>
        </w:rPr>
        <w:t>18</w:t>
      </w:r>
      <w:r w:rsidRPr="001F3FA0">
        <w:rPr>
          <w:rFonts w:ascii="Times New Roman" w:eastAsia="Times New Roman" w:hAnsi="Times New Roman"/>
          <w:color w:val="000000"/>
        </w:rPr>
        <w:t>:393</w:t>
      </w:r>
      <w:proofErr w:type="gramEnd"/>
      <w:r w:rsidRPr="001F3FA0">
        <w:rPr>
          <w:rFonts w:ascii="Times New Roman" w:eastAsia="Times New Roman" w:hAnsi="Times New Roman"/>
          <w:color w:val="000000"/>
        </w:rPr>
        <w:t>.</w:t>
      </w:r>
    </w:p>
    <w:p w14:paraId="265C5F74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Stewart RC, Umar E,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Tomenson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B, Creed F. Validation of screening tools for antenatal depression in Malawi—A comparison of the Edinburgh Postnatal Depression Scale and Self Reporting Questionnaire. 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J Affect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Disord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2013;</w:t>
      </w:r>
      <w:r w:rsidRPr="001F3FA0">
        <w:rPr>
          <w:rFonts w:ascii="Times New Roman" w:eastAsia="Times New Roman" w:hAnsi="Times New Roman"/>
          <w:bCs/>
          <w:color w:val="000000"/>
        </w:rPr>
        <w:t>150</w:t>
      </w:r>
      <w:r w:rsidRPr="001F3FA0">
        <w:rPr>
          <w:rFonts w:ascii="Times New Roman" w:eastAsia="Times New Roman" w:hAnsi="Times New Roman"/>
          <w:color w:val="000000"/>
        </w:rPr>
        <w:t>:1041</w:t>
      </w:r>
      <w:proofErr w:type="gramEnd"/>
      <w:r w:rsidRPr="001F3FA0">
        <w:rPr>
          <w:rFonts w:ascii="Times New Roman" w:eastAsia="Times New Roman" w:hAnsi="Times New Roman"/>
          <w:color w:val="000000"/>
        </w:rPr>
        <w:t>-7.</w:t>
      </w:r>
    </w:p>
    <w:p w14:paraId="40C69EF3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lastRenderedPageBreak/>
        <w:t xml:space="preserve">Tandon SD,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Cluxton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-Keller F, Leis J, Le HN, Perry DF. A comparison of three screening tools to identify perinatal depression among low-income African American women. 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J Affect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Disord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2012;</w:t>
      </w:r>
      <w:r w:rsidRPr="001F3FA0">
        <w:rPr>
          <w:rFonts w:ascii="Times New Roman" w:eastAsia="Times New Roman" w:hAnsi="Times New Roman"/>
          <w:bCs/>
          <w:color w:val="000000"/>
        </w:rPr>
        <w:t>136</w:t>
      </w:r>
      <w:r w:rsidRPr="001F3FA0">
        <w:rPr>
          <w:rFonts w:ascii="Times New Roman" w:eastAsia="Times New Roman" w:hAnsi="Times New Roman"/>
          <w:color w:val="000000"/>
        </w:rPr>
        <w:t>:155</w:t>
      </w:r>
      <w:proofErr w:type="gramEnd"/>
      <w:r w:rsidRPr="001F3FA0">
        <w:rPr>
          <w:rFonts w:ascii="Times New Roman" w:eastAsia="Times New Roman" w:hAnsi="Times New Roman"/>
          <w:color w:val="000000"/>
        </w:rPr>
        <w:t>-62.</w:t>
      </w:r>
    </w:p>
    <w:p w14:paraId="1ECC9C25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t>Tendais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I, Costa R, Conde A,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Figueiredo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B. Screening for depression and anxiety disorders from pregnancy to postpartum with the EPDS and STAI. </w:t>
      </w:r>
      <w:r w:rsidRPr="001F3FA0">
        <w:rPr>
          <w:rFonts w:ascii="Times New Roman" w:eastAsia="Times New Roman" w:hAnsi="Times New Roman"/>
          <w:i/>
          <w:iCs/>
          <w:color w:val="000000"/>
        </w:rPr>
        <w:t>Span J Psychol</w:t>
      </w:r>
      <w:r w:rsidRPr="001F3FA0">
        <w:rPr>
          <w:rFonts w:ascii="Times New Roman" w:eastAsia="Times New Roman" w:hAnsi="Times New Roman"/>
          <w:color w:val="000000"/>
        </w:rPr>
        <w:t>. 2014;</w:t>
      </w:r>
      <w:r w:rsidRPr="001F3FA0">
        <w:rPr>
          <w:rFonts w:ascii="Times New Roman" w:eastAsia="Times New Roman" w:hAnsi="Times New Roman"/>
          <w:bCs/>
          <w:color w:val="000000"/>
        </w:rPr>
        <w:t>17</w:t>
      </w:r>
      <w:r w:rsidRPr="001F3FA0">
        <w:rPr>
          <w:rFonts w:ascii="Times New Roman" w:eastAsia="Times New Roman" w:hAnsi="Times New Roman"/>
          <w:color w:val="000000"/>
        </w:rPr>
        <w:t>.</w:t>
      </w:r>
    </w:p>
    <w:p w14:paraId="4A358FC1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t>Töreki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Andó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B,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Keresztúri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Sikovanyecz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J,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Dudas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RB,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Janka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Z,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Kozinszky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Z,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Pál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A. The Edinburgh Postnatal Depression Scale: translation and antepartum validation for a Hungarian sample. </w:t>
      </w:r>
      <w:r w:rsidRPr="001F3FA0">
        <w:rPr>
          <w:rFonts w:ascii="Times New Roman" w:eastAsia="Times New Roman" w:hAnsi="Times New Roman"/>
          <w:i/>
          <w:iCs/>
          <w:color w:val="000000"/>
        </w:rPr>
        <w:t>Midwifery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2013;</w:t>
      </w:r>
      <w:r w:rsidRPr="001F3FA0">
        <w:rPr>
          <w:rFonts w:ascii="Times New Roman" w:eastAsia="Times New Roman" w:hAnsi="Times New Roman"/>
          <w:bCs/>
          <w:color w:val="000000"/>
        </w:rPr>
        <w:t>29</w:t>
      </w:r>
      <w:r w:rsidRPr="001F3FA0">
        <w:rPr>
          <w:rFonts w:ascii="Times New Roman" w:eastAsia="Times New Roman" w:hAnsi="Times New Roman"/>
          <w:color w:val="000000"/>
        </w:rPr>
        <w:t>:308</w:t>
      </w:r>
      <w:proofErr w:type="gramEnd"/>
      <w:r w:rsidRPr="001F3FA0">
        <w:rPr>
          <w:rFonts w:ascii="Times New Roman" w:eastAsia="Times New Roman" w:hAnsi="Times New Roman"/>
          <w:color w:val="000000"/>
        </w:rPr>
        <w:t>-15.</w:t>
      </w:r>
    </w:p>
    <w:p w14:paraId="03D8C552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proofErr w:type="spellStart"/>
      <w:r w:rsidRPr="001F3FA0">
        <w:rPr>
          <w:rFonts w:ascii="Times New Roman" w:eastAsia="Times New Roman" w:hAnsi="Times New Roman"/>
          <w:color w:val="000000"/>
        </w:rPr>
        <w:t>Töreki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Andó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B,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Dudas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RB,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Dweik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D,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Janka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Z,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Kozinszky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Z,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Keresztúri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A. Validation of the Edinburgh Postnatal Depression Scale as a screening tool for postpartum depression in a clinical sample in Hungary.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 Midwifery</w:t>
      </w:r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2014;</w:t>
      </w:r>
      <w:r w:rsidRPr="001F3FA0">
        <w:rPr>
          <w:rFonts w:ascii="Times New Roman" w:eastAsia="Times New Roman" w:hAnsi="Times New Roman"/>
          <w:bCs/>
          <w:color w:val="000000"/>
        </w:rPr>
        <w:t>30</w:t>
      </w:r>
      <w:r w:rsidRPr="001F3FA0">
        <w:rPr>
          <w:rFonts w:ascii="Times New Roman" w:eastAsia="Times New Roman" w:hAnsi="Times New Roman"/>
          <w:color w:val="000000"/>
        </w:rPr>
        <w:t>:911</w:t>
      </w:r>
      <w:proofErr w:type="gramEnd"/>
      <w:r w:rsidRPr="001F3FA0">
        <w:rPr>
          <w:rFonts w:ascii="Times New Roman" w:eastAsia="Times New Roman" w:hAnsi="Times New Roman"/>
          <w:color w:val="000000"/>
        </w:rPr>
        <w:t>-8.</w:t>
      </w:r>
    </w:p>
    <w:p w14:paraId="2E1684FA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Tran TD, Tran T, La B, Lee D, Rosenthal D, Fisher J. Screening for perinatal common mental disorders in women in the north of Vietnam: a comparison of three psychometric instruments. </w:t>
      </w:r>
      <w:r w:rsidRPr="001F3FA0">
        <w:rPr>
          <w:rFonts w:ascii="Times New Roman" w:eastAsia="Times New Roman" w:hAnsi="Times New Roman"/>
          <w:i/>
          <w:iCs/>
          <w:color w:val="000000"/>
        </w:rPr>
        <w:t xml:space="preserve">J Affect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Disord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2011;</w:t>
      </w:r>
      <w:r w:rsidRPr="001F3FA0">
        <w:rPr>
          <w:rFonts w:ascii="Times New Roman" w:eastAsia="Times New Roman" w:hAnsi="Times New Roman"/>
          <w:bCs/>
          <w:color w:val="000000"/>
        </w:rPr>
        <w:t>133</w:t>
      </w:r>
      <w:r w:rsidRPr="001F3FA0">
        <w:rPr>
          <w:rFonts w:ascii="Times New Roman" w:eastAsia="Times New Roman" w:hAnsi="Times New Roman"/>
          <w:color w:val="000000"/>
        </w:rPr>
        <w:t>:281</w:t>
      </w:r>
      <w:proofErr w:type="gramEnd"/>
      <w:r w:rsidRPr="001F3FA0">
        <w:rPr>
          <w:rFonts w:ascii="Times New Roman" w:eastAsia="Times New Roman" w:hAnsi="Times New Roman"/>
          <w:color w:val="000000"/>
        </w:rPr>
        <w:t>-93.</w:t>
      </w:r>
    </w:p>
    <w:p w14:paraId="3B3329D3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 xml:space="preserve">Turner K,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Piazzini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Franza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A, Marconi AM,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Canger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R,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Canevini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MP. Epilepsy and postpartum depression.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Epilepsia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>.</w:t>
      </w:r>
      <w:r w:rsidRPr="001F3FA0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2009;</w:t>
      </w:r>
      <w:r w:rsidRPr="001F3FA0">
        <w:rPr>
          <w:rFonts w:ascii="Times New Roman" w:eastAsia="Times New Roman" w:hAnsi="Times New Roman"/>
          <w:bCs/>
          <w:color w:val="000000"/>
        </w:rPr>
        <w:t>50</w:t>
      </w:r>
      <w:r w:rsidRPr="001F3FA0">
        <w:rPr>
          <w:rFonts w:ascii="Times New Roman" w:eastAsia="Times New Roman" w:hAnsi="Times New Roman"/>
          <w:color w:val="000000"/>
        </w:rPr>
        <w:t>:24</w:t>
      </w:r>
      <w:proofErr w:type="gramEnd"/>
      <w:r w:rsidRPr="001F3FA0">
        <w:rPr>
          <w:rFonts w:ascii="Times New Roman" w:eastAsia="Times New Roman" w:hAnsi="Times New Roman"/>
          <w:color w:val="000000"/>
        </w:rPr>
        <w:t>-7.</w:t>
      </w:r>
    </w:p>
    <w:p w14:paraId="34D849C9" w14:textId="77777777" w:rsidR="001F3FA0" w:rsidRPr="001F3FA0" w:rsidRDefault="001F3FA0" w:rsidP="008E3602">
      <w:pPr>
        <w:pStyle w:val="ListParagraph"/>
        <w:numPr>
          <w:ilvl w:val="0"/>
          <w:numId w:val="3"/>
        </w:numPr>
        <w:spacing w:line="480" w:lineRule="auto"/>
        <w:rPr>
          <w:rFonts w:ascii="Times New Roman" w:eastAsia="Times New Roman" w:hAnsi="Times New Roman"/>
          <w:color w:val="000000"/>
        </w:rPr>
      </w:pPr>
      <w:r w:rsidRPr="001F3FA0">
        <w:rPr>
          <w:rFonts w:ascii="Times New Roman" w:eastAsia="Times New Roman" w:hAnsi="Times New Roman"/>
          <w:color w:val="000000"/>
        </w:rPr>
        <w:t>Vega-</w:t>
      </w:r>
      <w:proofErr w:type="spellStart"/>
      <w:r w:rsidRPr="001F3FA0">
        <w:rPr>
          <w:rFonts w:ascii="Times New Roman" w:eastAsia="Times New Roman" w:hAnsi="Times New Roman"/>
          <w:color w:val="000000"/>
        </w:rPr>
        <w:t>Dienstmaier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JM, </w:t>
      </w:r>
      <w:proofErr w:type="spellStart"/>
      <w:r w:rsidRPr="001F3FA0">
        <w:rPr>
          <w:rFonts w:ascii="Times New Roman" w:eastAsia="Times New Roman" w:hAnsi="Times New Roman"/>
          <w:color w:val="000000"/>
        </w:rPr>
        <w:t>Mazzotti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 GS, Campos MS. Validation of a Spanish version of the Edinburgh postnatal depression scale.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Actas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Esp</w:t>
      </w:r>
      <w:proofErr w:type="spellEnd"/>
      <w:r w:rsidRPr="001F3FA0">
        <w:rPr>
          <w:rFonts w:ascii="Times New Roman" w:eastAsia="Times New Roman" w:hAnsi="Times New Roman"/>
          <w:i/>
          <w:iCs/>
          <w:color w:val="000000"/>
        </w:rPr>
        <w:t xml:space="preserve"> </w:t>
      </w:r>
      <w:proofErr w:type="spellStart"/>
      <w:r w:rsidRPr="001F3FA0">
        <w:rPr>
          <w:rFonts w:ascii="Times New Roman" w:eastAsia="Times New Roman" w:hAnsi="Times New Roman"/>
          <w:i/>
          <w:iCs/>
          <w:color w:val="000000"/>
        </w:rPr>
        <w:t>Psiquiatr</w:t>
      </w:r>
      <w:proofErr w:type="spellEnd"/>
      <w:r w:rsidRPr="001F3FA0">
        <w:rPr>
          <w:rFonts w:ascii="Times New Roman" w:eastAsia="Times New Roman" w:hAnsi="Times New Roman"/>
          <w:color w:val="000000"/>
        </w:rPr>
        <w:t xml:space="preserve">. </w:t>
      </w:r>
      <w:proofErr w:type="gramStart"/>
      <w:r w:rsidRPr="001F3FA0">
        <w:rPr>
          <w:rFonts w:ascii="Times New Roman" w:eastAsia="Times New Roman" w:hAnsi="Times New Roman"/>
          <w:color w:val="000000"/>
        </w:rPr>
        <w:t>2002;</w:t>
      </w:r>
      <w:r w:rsidRPr="001F3FA0">
        <w:rPr>
          <w:rFonts w:ascii="Times New Roman" w:eastAsia="Times New Roman" w:hAnsi="Times New Roman"/>
          <w:bCs/>
          <w:color w:val="000000"/>
        </w:rPr>
        <w:t>30</w:t>
      </w:r>
      <w:r w:rsidRPr="001F3FA0">
        <w:rPr>
          <w:rFonts w:ascii="Times New Roman" w:eastAsia="Times New Roman" w:hAnsi="Times New Roman"/>
          <w:color w:val="000000"/>
        </w:rPr>
        <w:t>:106</w:t>
      </w:r>
      <w:proofErr w:type="gramEnd"/>
      <w:r w:rsidRPr="001F3FA0">
        <w:rPr>
          <w:rFonts w:ascii="Times New Roman" w:eastAsia="Times New Roman" w:hAnsi="Times New Roman"/>
          <w:color w:val="000000"/>
        </w:rPr>
        <w:t>-11.</w:t>
      </w:r>
    </w:p>
    <w:p w14:paraId="7957827E" w14:textId="1BEDD5B0" w:rsidR="001F3FA0" w:rsidRPr="001F3FA0" w:rsidRDefault="001F3FA0">
      <w:pPr>
        <w:rPr>
          <w:sz w:val="18"/>
          <w:szCs w:val="18"/>
        </w:rPr>
      </w:pPr>
    </w:p>
    <w:sectPr w:rsidR="001F3FA0" w:rsidRPr="001F3FA0" w:rsidSect="001F3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FF43" w14:textId="77777777" w:rsidR="00E87448" w:rsidRDefault="00E87448">
      <w:r>
        <w:separator/>
      </w:r>
    </w:p>
  </w:endnote>
  <w:endnote w:type="continuationSeparator" w:id="0">
    <w:p w14:paraId="042D6515" w14:textId="77777777" w:rsidR="00E87448" w:rsidRDefault="00E8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9B0F" w14:textId="77777777" w:rsidR="009C122B" w:rsidRDefault="00BF517E" w:rsidP="004906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B8D14" w14:textId="77777777" w:rsidR="009C122B" w:rsidRDefault="00E874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0E908" w14:textId="77777777" w:rsidR="009C122B" w:rsidRDefault="00BF517E" w:rsidP="004906B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14:paraId="25D8BC63" w14:textId="77777777" w:rsidR="009C122B" w:rsidRDefault="00E87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44A1" w14:textId="77777777" w:rsidR="00E87448" w:rsidRDefault="00E87448">
      <w:r>
        <w:separator/>
      </w:r>
    </w:p>
  </w:footnote>
  <w:footnote w:type="continuationSeparator" w:id="0">
    <w:p w14:paraId="044477E9" w14:textId="77777777" w:rsidR="00E87448" w:rsidRDefault="00E87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C2B"/>
    <w:multiLevelType w:val="hybridMultilevel"/>
    <w:tmpl w:val="93E061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658F1"/>
    <w:multiLevelType w:val="hybridMultilevel"/>
    <w:tmpl w:val="6218B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8B493B"/>
    <w:multiLevelType w:val="hybridMultilevel"/>
    <w:tmpl w:val="6218B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08"/>
    <w:rsid w:val="0001272C"/>
    <w:rsid w:val="00025A4A"/>
    <w:rsid w:val="0004090E"/>
    <w:rsid w:val="00041FE2"/>
    <w:rsid w:val="0004504E"/>
    <w:rsid w:val="00053576"/>
    <w:rsid w:val="00072C8F"/>
    <w:rsid w:val="00097B9F"/>
    <w:rsid w:val="000B2267"/>
    <w:rsid w:val="000C019E"/>
    <w:rsid w:val="000D2A6E"/>
    <w:rsid w:val="000D6B7C"/>
    <w:rsid w:val="001173D7"/>
    <w:rsid w:val="00141018"/>
    <w:rsid w:val="001A56C6"/>
    <w:rsid w:val="001F3FA0"/>
    <w:rsid w:val="00224211"/>
    <w:rsid w:val="0023484B"/>
    <w:rsid w:val="00240B7D"/>
    <w:rsid w:val="00273215"/>
    <w:rsid w:val="00275FF8"/>
    <w:rsid w:val="002F3CAE"/>
    <w:rsid w:val="00370557"/>
    <w:rsid w:val="00392429"/>
    <w:rsid w:val="003A1553"/>
    <w:rsid w:val="003A7076"/>
    <w:rsid w:val="003B0A56"/>
    <w:rsid w:val="003C1BA4"/>
    <w:rsid w:val="003E775A"/>
    <w:rsid w:val="004121AC"/>
    <w:rsid w:val="00426867"/>
    <w:rsid w:val="00477EEA"/>
    <w:rsid w:val="004C58CD"/>
    <w:rsid w:val="004D08D2"/>
    <w:rsid w:val="004D7715"/>
    <w:rsid w:val="004F0F4A"/>
    <w:rsid w:val="00517E23"/>
    <w:rsid w:val="00573B65"/>
    <w:rsid w:val="005A2058"/>
    <w:rsid w:val="005A65B1"/>
    <w:rsid w:val="005C22CF"/>
    <w:rsid w:val="005D2516"/>
    <w:rsid w:val="005D6B7F"/>
    <w:rsid w:val="00626E37"/>
    <w:rsid w:val="00640696"/>
    <w:rsid w:val="00655991"/>
    <w:rsid w:val="00677825"/>
    <w:rsid w:val="006A1A18"/>
    <w:rsid w:val="006A36D5"/>
    <w:rsid w:val="006C1AB4"/>
    <w:rsid w:val="006C7196"/>
    <w:rsid w:val="006E4198"/>
    <w:rsid w:val="006E4201"/>
    <w:rsid w:val="0070493C"/>
    <w:rsid w:val="00704ED5"/>
    <w:rsid w:val="0071248C"/>
    <w:rsid w:val="00737B48"/>
    <w:rsid w:val="007421C4"/>
    <w:rsid w:val="00752F40"/>
    <w:rsid w:val="00766FFF"/>
    <w:rsid w:val="007877A6"/>
    <w:rsid w:val="00796CB0"/>
    <w:rsid w:val="007C3CB4"/>
    <w:rsid w:val="007D21F7"/>
    <w:rsid w:val="007D53E3"/>
    <w:rsid w:val="007F366D"/>
    <w:rsid w:val="00803450"/>
    <w:rsid w:val="008037FE"/>
    <w:rsid w:val="008275EE"/>
    <w:rsid w:val="008418F5"/>
    <w:rsid w:val="008E3602"/>
    <w:rsid w:val="009C7C08"/>
    <w:rsid w:val="00A068B9"/>
    <w:rsid w:val="00A06C59"/>
    <w:rsid w:val="00A37D16"/>
    <w:rsid w:val="00A40914"/>
    <w:rsid w:val="00A412B9"/>
    <w:rsid w:val="00A5369E"/>
    <w:rsid w:val="00A63426"/>
    <w:rsid w:val="00A869EB"/>
    <w:rsid w:val="00AA0CA2"/>
    <w:rsid w:val="00AE3F49"/>
    <w:rsid w:val="00AF6D63"/>
    <w:rsid w:val="00B15466"/>
    <w:rsid w:val="00B60447"/>
    <w:rsid w:val="00B73D1C"/>
    <w:rsid w:val="00B92186"/>
    <w:rsid w:val="00BA30D6"/>
    <w:rsid w:val="00BA5C07"/>
    <w:rsid w:val="00BF1F06"/>
    <w:rsid w:val="00BF517E"/>
    <w:rsid w:val="00BF575D"/>
    <w:rsid w:val="00BF678B"/>
    <w:rsid w:val="00D235CB"/>
    <w:rsid w:val="00D43100"/>
    <w:rsid w:val="00DA1448"/>
    <w:rsid w:val="00DC53E3"/>
    <w:rsid w:val="00DD5FF4"/>
    <w:rsid w:val="00DF05D9"/>
    <w:rsid w:val="00E16397"/>
    <w:rsid w:val="00E67871"/>
    <w:rsid w:val="00E72B56"/>
    <w:rsid w:val="00E86F26"/>
    <w:rsid w:val="00E87448"/>
    <w:rsid w:val="00E934D9"/>
    <w:rsid w:val="00E94649"/>
    <w:rsid w:val="00EA780C"/>
    <w:rsid w:val="00EB58CC"/>
    <w:rsid w:val="00EC1139"/>
    <w:rsid w:val="00F643FC"/>
    <w:rsid w:val="00F75B9B"/>
    <w:rsid w:val="00F956F7"/>
    <w:rsid w:val="00FC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55C8"/>
  <w15:chartTrackingRefBased/>
  <w15:docId w15:val="{33270E21-6A57-CD45-9388-E74A5D6A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60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7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C08"/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C08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C7C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C08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9C7C08"/>
  </w:style>
  <w:style w:type="paragraph" w:styleId="BalloonText">
    <w:name w:val="Balloon Text"/>
    <w:basedOn w:val="Normal"/>
    <w:link w:val="BalloonTextChar"/>
    <w:uiPriority w:val="99"/>
    <w:semiHidden/>
    <w:unhideWhenUsed/>
    <w:rsid w:val="009C7C08"/>
    <w:rPr>
      <w:rFonts w:eastAsiaTheme="minorHAns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C08"/>
    <w:rPr>
      <w:rFonts w:ascii="Times New Roman" w:hAnsi="Times New Roman" w:cs="Times New Roman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1F3FA0"/>
    <w:pPr>
      <w:ind w:left="720"/>
      <w:contextualSpacing/>
    </w:pPr>
    <w:rPr>
      <w:rFonts w:ascii="Cambria" w:eastAsia="MS Mincho" w:hAnsi="Cambria"/>
    </w:rPr>
  </w:style>
  <w:style w:type="table" w:styleId="TableGrid">
    <w:name w:val="Table Grid"/>
    <w:basedOn w:val="TableNormal"/>
    <w:uiPriority w:val="39"/>
    <w:rsid w:val="008E360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">
    <w:name w:val="EndNote Bibliography"/>
    <w:basedOn w:val="Normal"/>
    <w:link w:val="EndNoteBibliographyChar"/>
    <w:rsid w:val="00B92186"/>
    <w:rPr>
      <w:rFonts w:ascii="Calibri" w:eastAsiaTheme="minorHAns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92186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E775A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426"/>
    <w:rPr>
      <w:rFonts w:ascii="Times New Roman" w:eastAsia="Times New Roman" w:hAnsi="Times New Roman" w:cs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3426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1873E3-8468-FB44-A94C-9A968172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Levis</dc:creator>
  <cp:keywords/>
  <dc:description/>
  <cp:lastModifiedBy>Daphna Harel</cp:lastModifiedBy>
  <cp:revision>17</cp:revision>
  <dcterms:created xsi:type="dcterms:W3CDTF">2020-03-27T18:52:00Z</dcterms:created>
  <dcterms:modified xsi:type="dcterms:W3CDTF">2020-12-01T16:32:00Z</dcterms:modified>
</cp:coreProperties>
</file>