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473099" w14:textId="77777777" w:rsidR="00FE3A3D" w:rsidRDefault="00FE3A3D" w:rsidP="00FE3A3D">
      <w:pPr>
        <w:rPr>
          <w:b/>
        </w:rPr>
      </w:pPr>
      <w:bookmarkStart w:id="0" w:name="_GoBack"/>
      <w:bookmarkEnd w:id="0"/>
    </w:p>
    <w:p w14:paraId="3BB3708C" w14:textId="005F5BED" w:rsidR="00F43C2D" w:rsidRPr="00FE3A3D" w:rsidRDefault="00D41F2E" w:rsidP="00FE3A3D">
      <w:pPr>
        <w:rPr>
          <w:bCs/>
          <w:iCs/>
        </w:rPr>
      </w:pPr>
      <w:r w:rsidRPr="00FE3BD9">
        <w:rPr>
          <w:b/>
          <w:i/>
        </w:rPr>
        <w:t>Sympathy in Perception</w:t>
      </w:r>
      <w:r w:rsidR="00FE3A3D">
        <w:rPr>
          <w:b/>
          <w:iCs/>
        </w:rPr>
        <w:t xml:space="preserve">, </w:t>
      </w:r>
      <w:r w:rsidR="00FE3A3D" w:rsidRPr="00FE3A3D">
        <w:rPr>
          <w:bCs/>
          <w:iCs/>
        </w:rPr>
        <w:t>by Mark Eli</w:t>
      </w:r>
      <w:r w:rsidR="00FE3A3D">
        <w:rPr>
          <w:b/>
          <w:iCs/>
        </w:rPr>
        <w:t xml:space="preserve"> </w:t>
      </w:r>
      <w:r w:rsidR="00FE3A3D" w:rsidRPr="00FE3A3D">
        <w:rPr>
          <w:bCs/>
          <w:iCs/>
        </w:rPr>
        <w:t>Kalderon</w:t>
      </w:r>
      <w:r w:rsidR="00FE3A3D">
        <w:rPr>
          <w:bCs/>
          <w:iCs/>
        </w:rPr>
        <w:t>. Cambridge: Cambridge University Press, 2018. Pp. xix + 213.</w:t>
      </w:r>
    </w:p>
    <w:p w14:paraId="66DCC1A1" w14:textId="77777777" w:rsidR="00210F27" w:rsidRPr="00FE3A3D" w:rsidRDefault="00210F27">
      <w:pPr>
        <w:rPr>
          <w:bCs/>
          <w:i/>
        </w:rPr>
      </w:pPr>
    </w:p>
    <w:p w14:paraId="0F079463" w14:textId="08CDD497" w:rsidR="00BB4DC4" w:rsidRDefault="005C5FCB" w:rsidP="00577889">
      <w:r>
        <w:t xml:space="preserve">Deftly weaving together ancient, phenomenological, </w:t>
      </w:r>
      <w:r w:rsidR="006D5361">
        <w:t xml:space="preserve">analytic, and </w:t>
      </w:r>
      <w:r>
        <w:t xml:space="preserve">empirical sources and ideas, </w:t>
      </w:r>
      <w:r w:rsidR="006D5361">
        <w:rPr>
          <w:i/>
        </w:rPr>
        <w:t xml:space="preserve">Sympathy in Perception </w:t>
      </w:r>
      <w:r w:rsidR="006D5361">
        <w:t xml:space="preserve">is a rich and rewarding elaboration and defence of </w:t>
      </w:r>
      <w:r w:rsidR="0049277D">
        <w:t xml:space="preserve">a </w:t>
      </w:r>
      <w:r>
        <w:t xml:space="preserve">naïve realist </w:t>
      </w:r>
      <w:r w:rsidR="00C652C7">
        <w:t>(</w:t>
      </w:r>
      <w:r w:rsidR="00C9216D">
        <w:t xml:space="preserve">or </w:t>
      </w:r>
      <w:r w:rsidR="00C652C7">
        <w:t xml:space="preserve">relationalist) </w:t>
      </w:r>
      <w:r>
        <w:t>theory of perception</w:t>
      </w:r>
      <w:r w:rsidR="00577889">
        <w:t xml:space="preserve">. </w:t>
      </w:r>
      <w:r w:rsidR="00452C17">
        <w:t>But although t</w:t>
      </w:r>
      <w:r w:rsidR="00577889">
        <w:t xml:space="preserve">he </w:t>
      </w:r>
      <w:r w:rsidR="0049277D">
        <w:t xml:space="preserve">general shape of the theory </w:t>
      </w:r>
      <w:r w:rsidR="00452C17">
        <w:t xml:space="preserve">is </w:t>
      </w:r>
      <w:r>
        <w:t xml:space="preserve">familiar from contemporary </w:t>
      </w:r>
      <w:r w:rsidR="00C9216D">
        <w:t>debates in philosophy of perception</w:t>
      </w:r>
      <w:r w:rsidR="00452C17">
        <w:t xml:space="preserve">, insofar as </w:t>
      </w:r>
      <w:r w:rsidR="0049277D">
        <w:rPr>
          <w:i/>
        </w:rPr>
        <w:t xml:space="preserve">Sympathy in Perception </w:t>
      </w:r>
      <w:r>
        <w:t xml:space="preserve">represents ‘an unabashed </w:t>
      </w:r>
      <w:r w:rsidR="00850962">
        <w:t>exercise</w:t>
      </w:r>
      <w:r>
        <w:t xml:space="preserve"> in historically informed, speculative metaphysics’ (ix)</w:t>
      </w:r>
      <w:r w:rsidR="00452C17">
        <w:t xml:space="preserve">, </w:t>
      </w:r>
      <w:r w:rsidR="00C9216D">
        <w:t xml:space="preserve">Kalderon </w:t>
      </w:r>
      <w:r w:rsidR="00452C17">
        <w:t xml:space="preserve">develops the view by </w:t>
      </w:r>
      <w:r>
        <w:t>requisitioning exp</w:t>
      </w:r>
      <w:r w:rsidR="00C652C7">
        <w:t>lanatory concepts from the pre-m</w:t>
      </w:r>
      <w:r>
        <w:t xml:space="preserve">odern era. </w:t>
      </w:r>
      <w:r w:rsidR="006D5361">
        <w:t xml:space="preserve">Kalderon’s central thesis is that perception is a ‘mode of formal assimilation’ that ‘places us in the very heart of things’ due to the operation of a ‘principle of sympathy’. </w:t>
      </w:r>
      <w:r w:rsidR="004D7E4A">
        <w:t>By excavating philosophical insights from pre-modern philosophical thought, and deploying these insights</w:t>
      </w:r>
      <w:r w:rsidR="00452C17">
        <w:t>,</w:t>
      </w:r>
      <w:r w:rsidR="004D7E4A">
        <w:t xml:space="preserve"> transformed</w:t>
      </w:r>
      <w:r w:rsidR="00452C17">
        <w:t>,</w:t>
      </w:r>
      <w:r w:rsidR="004D7E4A">
        <w:t xml:space="preserve"> to the contemporary debate, Kalderon</w:t>
      </w:r>
      <w:r>
        <w:t xml:space="preserve"> aim</w:t>
      </w:r>
      <w:r w:rsidR="004D7E4A">
        <w:t>s</w:t>
      </w:r>
      <w:r>
        <w:t xml:space="preserve"> to ‘contribute to, if not indeed effect, a Kuhnian revolution’ in</w:t>
      </w:r>
      <w:r w:rsidR="004D7E4A">
        <w:t xml:space="preserve"> philosophy of perception (xii). This </w:t>
      </w:r>
      <w:r w:rsidR="0049277D">
        <w:t>is a bold and ambitious project that will be of interest to</w:t>
      </w:r>
      <w:r w:rsidR="00C652C7">
        <w:t xml:space="preserve"> anyone working on the philosophy of</w:t>
      </w:r>
      <w:r w:rsidR="0049277D">
        <w:t xml:space="preserve"> perception</w:t>
      </w:r>
      <w:r w:rsidR="00915259">
        <w:t xml:space="preserve"> </w:t>
      </w:r>
      <w:r w:rsidR="00C652C7">
        <w:t xml:space="preserve">or </w:t>
      </w:r>
      <w:r w:rsidR="00915259">
        <w:t xml:space="preserve">its history. </w:t>
      </w:r>
      <w:r w:rsidR="00452C17">
        <w:rPr>
          <w:i/>
        </w:rPr>
        <w:t xml:space="preserve">Sympathy in Perception </w:t>
      </w:r>
      <w:r w:rsidR="0049277D">
        <w:t>greatly expand</w:t>
      </w:r>
      <w:r w:rsidR="00452C17">
        <w:t>s</w:t>
      </w:r>
      <w:r w:rsidR="00BB4DC4">
        <w:t xml:space="preserve"> the </w:t>
      </w:r>
      <w:r w:rsidR="00850962">
        <w:t>repertoire</w:t>
      </w:r>
      <w:r w:rsidR="00915259">
        <w:t xml:space="preserve"> </w:t>
      </w:r>
      <w:r w:rsidR="00BB4DC4">
        <w:t>of historical figures</w:t>
      </w:r>
      <w:r w:rsidR="0049277D">
        <w:t xml:space="preserve">, traditions, and concepts that </w:t>
      </w:r>
      <w:r w:rsidR="006D5361">
        <w:t xml:space="preserve">are relevant to </w:t>
      </w:r>
      <w:r w:rsidR="00BB4DC4">
        <w:t xml:space="preserve">the </w:t>
      </w:r>
      <w:r w:rsidR="00915259">
        <w:t xml:space="preserve">contemporary </w:t>
      </w:r>
      <w:r w:rsidR="00BB4DC4">
        <w:t xml:space="preserve">debate, </w:t>
      </w:r>
      <w:r w:rsidR="006D5361">
        <w:t>simultaneously helping</w:t>
      </w:r>
      <w:r w:rsidR="00BB4DC4">
        <w:t xml:space="preserve"> to move the focus of the debate away from vision, to senses that have been less widely discussed.</w:t>
      </w:r>
    </w:p>
    <w:p w14:paraId="6641D2BB" w14:textId="33ED62A9" w:rsidR="00F82676" w:rsidRPr="00F82676" w:rsidRDefault="00B6146A" w:rsidP="001B2CD0">
      <w:pPr>
        <w:ind w:firstLine="720"/>
      </w:pPr>
      <w:r>
        <w:t xml:space="preserve">Kalderon’s </w:t>
      </w:r>
      <w:r w:rsidR="004D7E4A">
        <w:t xml:space="preserve">starting point </w:t>
      </w:r>
      <w:r>
        <w:t xml:space="preserve">is that perceptual experience is </w:t>
      </w:r>
      <w:r w:rsidRPr="001B2CD0">
        <w:rPr>
          <w:i/>
        </w:rPr>
        <w:t>a mode of formal assimilation of its object</w:t>
      </w:r>
      <w:r>
        <w:t>, relative to a perceiver’s partial pers</w:t>
      </w:r>
      <w:r w:rsidR="00D16D3B">
        <w:t>pective on it in the particular</w:t>
      </w:r>
      <w:r>
        <w:t xml:space="preserve"> circumstances of perception. Haptic experience provides the paradigm case</w:t>
      </w:r>
      <w:r w:rsidR="006D5361">
        <w:t xml:space="preserve"> (Chs. 1-2)</w:t>
      </w:r>
      <w:r>
        <w:t xml:space="preserve">, but the general framework is </w:t>
      </w:r>
      <w:r w:rsidR="00686FB5">
        <w:t xml:space="preserve">extended </w:t>
      </w:r>
      <w:r>
        <w:t>to all forms of sensory experience</w:t>
      </w:r>
      <w:r w:rsidR="00F82676">
        <w:t xml:space="preserve">, with a specific focus on </w:t>
      </w:r>
      <w:r w:rsidR="00686FB5">
        <w:t xml:space="preserve">auditory </w:t>
      </w:r>
      <w:r w:rsidR="00F82676">
        <w:t xml:space="preserve">(Chs. 3-4) </w:t>
      </w:r>
      <w:r w:rsidR="00686FB5">
        <w:t>and visual experience</w:t>
      </w:r>
      <w:r w:rsidR="00F82676">
        <w:t xml:space="preserve"> (Ch. 5). </w:t>
      </w:r>
    </w:p>
    <w:p w14:paraId="72C04FA0" w14:textId="720508D9" w:rsidR="009F0548" w:rsidRDefault="00686FB5" w:rsidP="009F0548">
      <w:pPr>
        <w:ind w:firstLine="720"/>
      </w:pPr>
      <w:r>
        <w:t xml:space="preserve">In the haptic case, when we reach out to grasp an object our hand shapes itself to the object. This is </w:t>
      </w:r>
      <w:r w:rsidR="008E3026">
        <w:t xml:space="preserve">a </w:t>
      </w:r>
      <w:r>
        <w:t xml:space="preserve">kind of </w:t>
      </w:r>
      <w:r w:rsidR="008E3026">
        <w:t>‘</w:t>
      </w:r>
      <w:r>
        <w:t>enclosure</w:t>
      </w:r>
      <w:r w:rsidR="008E3026">
        <w:t>’</w:t>
      </w:r>
      <w:r>
        <w:t xml:space="preserve">, </w:t>
      </w:r>
      <w:r w:rsidR="008E3026">
        <w:t>‘</w:t>
      </w:r>
      <w:r w:rsidR="00850962">
        <w:t>incorporation</w:t>
      </w:r>
      <w:r w:rsidR="008E3026">
        <w:t>’</w:t>
      </w:r>
      <w:r>
        <w:t xml:space="preserve">, or </w:t>
      </w:r>
      <w:r w:rsidR="00374DAB">
        <w:t>‘</w:t>
      </w:r>
      <w:r>
        <w:t>assimilation</w:t>
      </w:r>
      <w:r w:rsidR="00374DAB">
        <w:t>’</w:t>
      </w:r>
      <w:r>
        <w:t xml:space="preserve"> of the object. </w:t>
      </w:r>
      <w:r w:rsidR="00795725">
        <w:t xml:space="preserve">This mode of assimilation is </w:t>
      </w:r>
      <w:r w:rsidR="00795725" w:rsidRPr="00795725">
        <w:rPr>
          <w:i/>
        </w:rPr>
        <w:t xml:space="preserve">partial </w:t>
      </w:r>
      <w:r w:rsidR="00795725">
        <w:t>because there is (normally) more to the object than we can take in at any one time; to enjoy a fuller, more rounded experience of the object, we therefore need to move it around in our hands, or move our hands across its surface. Hence, assimilation is relative to a perceiver’s perspective. This mode of</w:t>
      </w:r>
      <w:r>
        <w:t xml:space="preserve"> assimilation is </w:t>
      </w:r>
      <w:r w:rsidR="00795725">
        <w:t xml:space="preserve">also </w:t>
      </w:r>
      <w:r w:rsidRPr="008E3026">
        <w:rPr>
          <w:i/>
        </w:rPr>
        <w:t>formal</w:t>
      </w:r>
      <w:r>
        <w:t xml:space="preserve">, rather than </w:t>
      </w:r>
      <w:r w:rsidRPr="008E3026">
        <w:rPr>
          <w:i/>
        </w:rPr>
        <w:t>material</w:t>
      </w:r>
      <w:r>
        <w:t xml:space="preserve">, because </w:t>
      </w:r>
      <w:r w:rsidR="008E3026">
        <w:t xml:space="preserve">we do not </w:t>
      </w:r>
      <w:r w:rsidR="00374DAB">
        <w:t xml:space="preserve">literally </w:t>
      </w:r>
      <w:r w:rsidR="008E3026">
        <w:t>take in the matter of the object</w:t>
      </w:r>
      <w:r w:rsidR="00E11BC6">
        <w:t>,</w:t>
      </w:r>
      <w:r w:rsidR="008E3026">
        <w:t xml:space="preserve"> </w:t>
      </w:r>
      <w:r w:rsidR="00374DAB">
        <w:t>as we do when we taste something. Rather</w:t>
      </w:r>
      <w:r w:rsidR="008E3026">
        <w:t xml:space="preserve"> </w:t>
      </w:r>
      <w:r>
        <w:t xml:space="preserve">the </w:t>
      </w:r>
      <w:r w:rsidR="008E3026">
        <w:t xml:space="preserve">hand takes on the </w:t>
      </w:r>
      <w:r w:rsidR="008E3026" w:rsidRPr="00374DAB">
        <w:rPr>
          <w:i/>
        </w:rPr>
        <w:t xml:space="preserve">form </w:t>
      </w:r>
      <w:r w:rsidR="008E3026">
        <w:t>of the object</w:t>
      </w:r>
      <w:r w:rsidR="003131B0">
        <w:t>, ‘by becoming like it</w:t>
      </w:r>
      <w:r w:rsidR="00462593">
        <w:t>, at least in some respect</w:t>
      </w:r>
      <w:r w:rsidR="009F0548">
        <w:t xml:space="preserve">’ (p. 16). One way in which the hand becomes like the object it assimilates </w:t>
      </w:r>
      <w:r w:rsidR="00E11BC6">
        <w:t xml:space="preserve">to </w:t>
      </w:r>
      <w:r w:rsidR="009F0548">
        <w:t>is that it ‘</w:t>
      </w:r>
      <w:r w:rsidR="008E3026">
        <w:t xml:space="preserve">approximates to the overall shape of the object’ (p. 16). </w:t>
      </w:r>
      <w:r w:rsidR="009F0548">
        <w:t>More generally, however, your haptic experience ‘becomes like’ the object that it assimilates to in the sense that there is a similarity between ‘the haptic experience that the hand’s activity gives rise to and the tangible qualities presented to it’ (p. 17). This</w:t>
      </w:r>
      <w:r w:rsidR="001407AE">
        <w:t>, in turn,</w:t>
      </w:r>
      <w:r w:rsidR="009F0548">
        <w:t xml:space="preserve"> provides a generalised understanding of </w:t>
      </w:r>
      <w:r w:rsidR="00EE452D">
        <w:t>‘</w:t>
      </w:r>
      <w:r w:rsidR="009F0548">
        <w:t>formal assimilation</w:t>
      </w:r>
      <w:r w:rsidR="00EE452D">
        <w:t>’</w:t>
      </w:r>
      <w:r w:rsidR="009F0548">
        <w:t xml:space="preserve"> th</w:t>
      </w:r>
      <w:r w:rsidR="001407AE">
        <w:t>at can be applied to other sensory modalities</w:t>
      </w:r>
      <w:r w:rsidR="009006B0">
        <w:t>:</w:t>
      </w:r>
      <w:r w:rsidR="001407AE">
        <w:t xml:space="preserve"> the </w:t>
      </w:r>
      <w:r w:rsidR="001407AE">
        <w:lastRenderedPageBreak/>
        <w:t>phenomenological character of experience formally assimilates to the sensible qualities presented to it.</w:t>
      </w:r>
    </w:p>
    <w:p w14:paraId="63398D61" w14:textId="293C20A1" w:rsidR="00D16D3B" w:rsidRDefault="003131B0" w:rsidP="008E3026">
      <w:pPr>
        <w:ind w:firstLine="720"/>
      </w:pPr>
      <w:r>
        <w:t xml:space="preserve">Kalderon </w:t>
      </w:r>
      <w:r w:rsidR="00EE452D">
        <w:t xml:space="preserve">argues that </w:t>
      </w:r>
      <w:r>
        <w:t>t</w:t>
      </w:r>
      <w:r w:rsidR="00D16D3B">
        <w:t>he claim that perceptual experience</w:t>
      </w:r>
      <w:r w:rsidR="00475EB1">
        <w:t xml:space="preserve"> is a mode of formal assimilation </w:t>
      </w:r>
      <w:r w:rsidR="00EE452D">
        <w:t xml:space="preserve">has </w:t>
      </w:r>
      <w:r w:rsidR="00475EB1">
        <w:t>important consequences. When the hand shapes itself to an object and encloses it, haptic experience is the ‘joint upshot of forces in conflict’ (</w:t>
      </w:r>
      <w:r>
        <w:t xml:space="preserve">p. </w:t>
      </w:r>
      <w:r w:rsidR="00475EB1">
        <w:t xml:space="preserve">13): </w:t>
      </w:r>
    </w:p>
    <w:p w14:paraId="7E791476" w14:textId="77777777" w:rsidR="00475EB1" w:rsidRDefault="00475EB1" w:rsidP="008E3026">
      <w:pPr>
        <w:ind w:firstLine="720"/>
      </w:pPr>
    </w:p>
    <w:p w14:paraId="0612DE3E" w14:textId="21182AE3" w:rsidR="00475EB1" w:rsidRPr="00475EB1" w:rsidRDefault="00475EB1" w:rsidP="00475EB1">
      <w:pPr>
        <w:rPr>
          <w:sz w:val="20"/>
          <w:szCs w:val="20"/>
        </w:rPr>
      </w:pPr>
      <w:r>
        <w:rPr>
          <w:sz w:val="20"/>
          <w:szCs w:val="20"/>
        </w:rPr>
        <w:t>On the one hand, there is the force exerted in molding the hand more precisely to the contours of the rigid, solid body. On the other hand, there are the self-maintaining forces of the rigid, solid body itself (</w:t>
      </w:r>
      <w:r w:rsidR="003131B0">
        <w:rPr>
          <w:sz w:val="20"/>
          <w:szCs w:val="20"/>
        </w:rPr>
        <w:t xml:space="preserve">p. </w:t>
      </w:r>
      <w:r>
        <w:rPr>
          <w:sz w:val="20"/>
          <w:szCs w:val="20"/>
        </w:rPr>
        <w:t>12).</w:t>
      </w:r>
    </w:p>
    <w:p w14:paraId="055B45CA" w14:textId="77777777" w:rsidR="00D16D3B" w:rsidRDefault="00D16D3B" w:rsidP="00475EB1"/>
    <w:p w14:paraId="0D0B816C" w14:textId="674BEE51" w:rsidR="00BB4DC4" w:rsidRDefault="00475EB1" w:rsidP="003131B0">
      <w:r>
        <w:t>That perceptual experience is the joint up</w:t>
      </w:r>
      <w:r w:rsidR="003131B0">
        <w:t>shot of forces in conflict is a m</w:t>
      </w:r>
      <w:r>
        <w:t>anifestation</w:t>
      </w:r>
      <w:r w:rsidR="009006B0">
        <w:t xml:space="preserve"> (</w:t>
      </w:r>
      <w:r w:rsidR="003131B0">
        <w:t xml:space="preserve">or perhaps even the source p. 11) </w:t>
      </w:r>
      <w:r>
        <w:t xml:space="preserve">of the </w:t>
      </w:r>
      <w:r w:rsidR="003131B0">
        <w:t>‘</w:t>
      </w:r>
      <w:r>
        <w:t>objectivity</w:t>
      </w:r>
      <w:r w:rsidR="003131B0">
        <w:t>’</w:t>
      </w:r>
      <w:r>
        <w:t xml:space="preserve"> of perception: the </w:t>
      </w:r>
      <w:r w:rsidR="0008668C">
        <w:t xml:space="preserve">fact that perceptual experience is experience of an independently existing world. </w:t>
      </w:r>
    </w:p>
    <w:p w14:paraId="78B893F5" w14:textId="6CDE15E1" w:rsidR="00BB4DC4" w:rsidRDefault="0008668C" w:rsidP="00BB4DC4">
      <w:pPr>
        <w:ind w:firstLine="720"/>
      </w:pPr>
      <w:r>
        <w:t xml:space="preserve">This in turn has epistemic consequences. Given that perceptual experience depends on the way that the world is independent of the perceiver, </w:t>
      </w:r>
      <w:r w:rsidR="000470B5">
        <w:t xml:space="preserve">the world </w:t>
      </w:r>
      <w:r>
        <w:t xml:space="preserve">plays an ineliminable explanatory role in the experience being </w:t>
      </w:r>
      <w:r w:rsidR="00B862AC">
        <w:t>the experience</w:t>
      </w:r>
      <w:r>
        <w:t xml:space="preserve"> it is. The precise force and shape of the hand </w:t>
      </w:r>
      <w:r w:rsidR="00311595">
        <w:t xml:space="preserve">in grasping </w:t>
      </w:r>
      <w:r>
        <w:t xml:space="preserve">depends on </w:t>
      </w:r>
      <w:r w:rsidR="00A9441B">
        <w:t xml:space="preserve">the </w:t>
      </w:r>
      <w:r>
        <w:t>shape of the object that it assimilate</w:t>
      </w:r>
      <w:r w:rsidR="00B862AC">
        <w:t>s</w:t>
      </w:r>
      <w:r w:rsidR="00311595">
        <w:t xml:space="preserve"> to</w:t>
      </w:r>
      <w:r>
        <w:t xml:space="preserve">. </w:t>
      </w:r>
      <w:r w:rsidR="00BB4DC4">
        <w:t xml:space="preserve">This results in </w:t>
      </w:r>
      <w:r w:rsidR="000470B5">
        <w:t xml:space="preserve">an anti-Cartesian, disjunctivist, account of perception (§1.5 and §6.2). Perceptual experiences are shaped by their objects, not causally but constitutively. If the object to which we are related differs, then so does the experience; if there is no object of the relevant kind, then there is nothing to which the experience can assimilate to. Even if this is not alone sufficient to undermine Cartesian scepticism, </w:t>
      </w:r>
      <w:r w:rsidR="00534562">
        <w:t xml:space="preserve">according to Kalderon </w:t>
      </w:r>
      <w:r w:rsidR="000470B5">
        <w:t>it nevertheless provides the basis of an explanation of how we are epistemically warranted in judging how things are in the world on the basis of our experience of them.</w:t>
      </w:r>
    </w:p>
    <w:p w14:paraId="1738640D" w14:textId="291DE0B9" w:rsidR="00475EB1" w:rsidRDefault="00A9441B" w:rsidP="00475EB1">
      <w:r>
        <w:tab/>
      </w:r>
      <w:r w:rsidR="00B862AC">
        <w:t xml:space="preserve">But how is </w:t>
      </w:r>
      <w:r w:rsidR="00016995">
        <w:t xml:space="preserve">the </w:t>
      </w:r>
      <w:r w:rsidR="00B862AC">
        <w:t xml:space="preserve">formal assimilation of objects in perception possible? Kalderon supplements this account of perceptual experience as formal assimilation, relative to a perceiver’s partial perspective on it in the particular circumstances of perception, with appeal to the </w:t>
      </w:r>
      <w:r w:rsidR="00C652C7">
        <w:t xml:space="preserve">principle </w:t>
      </w:r>
      <w:r w:rsidR="00B862AC">
        <w:t xml:space="preserve">of </w:t>
      </w:r>
      <w:r w:rsidR="00B862AC">
        <w:rPr>
          <w:i/>
        </w:rPr>
        <w:t>sympathy</w:t>
      </w:r>
      <w:r w:rsidR="00B862AC">
        <w:t xml:space="preserve">. The problem to which sympathy is a solution is how </w:t>
      </w:r>
      <w:r w:rsidR="001C3004">
        <w:t>self-</w:t>
      </w:r>
      <w:r w:rsidR="00B862AC">
        <w:t>awareness, and in particular</w:t>
      </w:r>
      <w:r w:rsidR="00311595">
        <w:t xml:space="preserve"> </w:t>
      </w:r>
      <w:r w:rsidR="001C3004">
        <w:t>awareness of a limit to our bodily activity, provides us with an awareness of something distinct from ourselves (§1.7). Kalderon’s suggestion is that the operation of sympathy discloses to us</w:t>
      </w:r>
      <w:r w:rsidR="00016995">
        <w:t xml:space="preserve"> the presence of a distinct body—</w:t>
      </w:r>
      <w:r w:rsidR="00CC4928">
        <w:t>in</w:t>
      </w:r>
      <w:r w:rsidR="00016995">
        <w:t xml:space="preserve"> </w:t>
      </w:r>
      <w:r w:rsidR="00CC4928">
        <w:t>the case of haptic perception</w:t>
      </w:r>
      <w:r w:rsidR="00016995">
        <w:t>,</w:t>
      </w:r>
      <w:r w:rsidR="00CC4928">
        <w:t xml:space="preserve"> an object</w:t>
      </w:r>
      <w:r w:rsidR="001C3004">
        <w:t xml:space="preserve"> with particular tangible qualities.</w:t>
      </w:r>
      <w:r w:rsidR="00CC4928">
        <w:t xml:space="preserve"> </w:t>
      </w:r>
      <w:r w:rsidR="002506CC">
        <w:t>This is not supposed to be a form of indirect realism. Kalderon argues on phenomenological grounds that we are not explicitly aware of the bodily experience of the hand’s shape and force when we touch an external object. Rather our awareness of the limit to our bodily activity is implicit, something to which we can attend, but which is not routinely the object of our attention. What we are explicitly aware of is the object and its tangible properties (§§2.2-2.4).</w:t>
      </w:r>
    </w:p>
    <w:p w14:paraId="632E4F38" w14:textId="381633D0" w:rsidR="002506CC" w:rsidRDefault="001C3004" w:rsidP="00475EB1">
      <w:r>
        <w:tab/>
      </w:r>
      <w:r w:rsidR="0003275C">
        <w:t xml:space="preserve">What exactly is sympathy? </w:t>
      </w:r>
      <w:r w:rsidR="009B5DEC">
        <w:t>The principle of s</w:t>
      </w:r>
      <w:r>
        <w:t xml:space="preserve">ympathy </w:t>
      </w:r>
      <w:r w:rsidR="00EE452D">
        <w:t>can</w:t>
      </w:r>
      <w:r w:rsidR="009B5DEC">
        <w:t>not be understood ‘synthetically’ (</w:t>
      </w:r>
      <w:r w:rsidR="00EE452D">
        <w:t xml:space="preserve">p. </w:t>
      </w:r>
      <w:r w:rsidR="009B5DEC">
        <w:t xml:space="preserve">52), as a principle that can be understood independently of haptic perception, and out of which an understanding of </w:t>
      </w:r>
      <w:r w:rsidR="009B5DEC">
        <w:lastRenderedPageBreak/>
        <w:t xml:space="preserve">haptic perception can be constructed. Rather, the claim that the presentation of objects in haptic perception is governed by the principle of sympathy is to be understood ‘analytically’. This approach: </w:t>
      </w:r>
    </w:p>
    <w:p w14:paraId="65905AEA" w14:textId="77777777" w:rsidR="009B5DEC" w:rsidRDefault="009B5DEC" w:rsidP="00475EB1"/>
    <w:p w14:paraId="13F6AA82" w14:textId="2764EF02" w:rsidR="009B5DEC" w:rsidRPr="009B5DEC" w:rsidRDefault="009B5DEC" w:rsidP="00475EB1">
      <w:pPr>
        <w:rPr>
          <w:sz w:val="20"/>
          <w:szCs w:val="20"/>
        </w:rPr>
      </w:pPr>
      <w:r>
        <w:rPr>
          <w:sz w:val="20"/>
          <w:szCs w:val="20"/>
        </w:rPr>
        <w:t>explains and renders intelligible elements and principles that must be operative if haptic perception is so much as possible. On the analytic approach, the task, then, is to articulate the intelligible struc</w:t>
      </w:r>
      <w:r w:rsidR="00DE24AF">
        <w:rPr>
          <w:sz w:val="20"/>
          <w:szCs w:val="20"/>
        </w:rPr>
        <w:t>t</w:t>
      </w:r>
      <w:r>
        <w:rPr>
          <w:sz w:val="20"/>
          <w:szCs w:val="20"/>
        </w:rPr>
        <w:t>ure determined by the presupposed activity (</w:t>
      </w:r>
      <w:r w:rsidR="00C8356E">
        <w:rPr>
          <w:sz w:val="20"/>
          <w:szCs w:val="20"/>
        </w:rPr>
        <w:t xml:space="preserve">p. </w:t>
      </w:r>
      <w:r>
        <w:rPr>
          <w:sz w:val="20"/>
          <w:szCs w:val="20"/>
        </w:rPr>
        <w:t>53).</w:t>
      </w:r>
    </w:p>
    <w:p w14:paraId="1F150B8B" w14:textId="77777777" w:rsidR="002506CC" w:rsidRDefault="002506CC" w:rsidP="00475EB1"/>
    <w:p w14:paraId="1FBB8934" w14:textId="0D7F01BE" w:rsidR="005059A8" w:rsidRDefault="0003275C" w:rsidP="00016995">
      <w:r>
        <w:t>In particular, s</w:t>
      </w:r>
      <w:r w:rsidR="009B5DEC">
        <w:t>ympathy is not to</w:t>
      </w:r>
      <w:r w:rsidR="00CF0376">
        <w:t xml:space="preserve"> be</w:t>
      </w:r>
      <w:r w:rsidR="009B5DEC">
        <w:t xml:space="preserve"> confused with our modern notion of sympathy, understood as a form of fellow-feeling. Rather</w:t>
      </w:r>
      <w:r w:rsidR="00940D1D">
        <w:t>, sympathy should be understood in a way that pre-dates this modern conception of sympathy</w:t>
      </w:r>
      <w:r w:rsidR="00E11BC6">
        <w:t>.</w:t>
      </w:r>
      <w:r w:rsidR="00940D1D">
        <w:t xml:space="preserve"> </w:t>
      </w:r>
      <w:r w:rsidR="00E11BC6">
        <w:t xml:space="preserve">It </w:t>
      </w:r>
      <w:r w:rsidR="00940D1D">
        <w:t xml:space="preserve">is inspired by the way that the Stoics appealed to sympathy to explain action at a distance, and </w:t>
      </w:r>
      <w:r w:rsidR="00E11BC6">
        <w:t xml:space="preserve">by the way that </w:t>
      </w:r>
      <w:r w:rsidR="00940D1D">
        <w:t xml:space="preserve">Plotinus </w:t>
      </w:r>
      <w:r w:rsidR="00850962">
        <w:t>remodeled</w:t>
      </w:r>
      <w:r w:rsidR="00940D1D">
        <w:t xml:space="preserve"> this to explain distal perception (§2.7). </w:t>
      </w:r>
      <w:r w:rsidR="005059A8">
        <w:t xml:space="preserve">Abstractly characterised, </w:t>
      </w:r>
      <w:r w:rsidR="00EE452D">
        <w:t xml:space="preserve">Kalderon defines </w:t>
      </w:r>
      <w:r w:rsidR="005059A8">
        <w:t>sympathy as follows:</w:t>
      </w:r>
    </w:p>
    <w:p w14:paraId="12453795" w14:textId="77777777" w:rsidR="005059A8" w:rsidRDefault="005059A8" w:rsidP="00940D1D">
      <w:pPr>
        <w:ind w:firstLine="720"/>
      </w:pPr>
    </w:p>
    <w:p w14:paraId="24B84789" w14:textId="31D85738" w:rsidR="005059A8" w:rsidRPr="005059A8" w:rsidRDefault="005059A8" w:rsidP="005059A8">
      <w:pPr>
        <w:rPr>
          <w:sz w:val="20"/>
          <w:szCs w:val="20"/>
        </w:rPr>
      </w:pPr>
      <w:r>
        <w:rPr>
          <w:i/>
          <w:sz w:val="20"/>
          <w:szCs w:val="20"/>
        </w:rPr>
        <w:t>Sympathy</w:t>
      </w:r>
      <w:r>
        <w:rPr>
          <w:sz w:val="20"/>
          <w:szCs w:val="20"/>
        </w:rPr>
        <w:t xml:space="preserve">: A case of formal assimilation is governed by the principle of sympathy when and only when one part of a unified manifold formally assimilates to a potentially </w:t>
      </w:r>
      <w:r w:rsidR="00850962">
        <w:rPr>
          <w:sz w:val="20"/>
          <w:szCs w:val="20"/>
        </w:rPr>
        <w:t>noncontiguous</w:t>
      </w:r>
      <w:r>
        <w:rPr>
          <w:sz w:val="20"/>
          <w:szCs w:val="20"/>
        </w:rPr>
        <w:t xml:space="preserve"> part of that manifold because the parts, disposed as they are, are united in the manifold, in the way that they are (</w:t>
      </w:r>
      <w:r w:rsidR="00311595">
        <w:rPr>
          <w:sz w:val="20"/>
          <w:szCs w:val="20"/>
        </w:rPr>
        <w:t xml:space="preserve">p. </w:t>
      </w:r>
      <w:r>
        <w:rPr>
          <w:sz w:val="20"/>
          <w:szCs w:val="20"/>
        </w:rPr>
        <w:t>74).</w:t>
      </w:r>
    </w:p>
    <w:p w14:paraId="7B0D6747" w14:textId="77777777" w:rsidR="005059A8" w:rsidRDefault="005059A8" w:rsidP="005059A8"/>
    <w:p w14:paraId="15B2F9F9" w14:textId="5DE2C890" w:rsidR="002E5915" w:rsidRPr="000352AC" w:rsidRDefault="001407AE" w:rsidP="000352AC">
      <w:pPr>
        <w:ind w:firstLine="720"/>
      </w:pPr>
      <w:r>
        <w:t>This account of haptic perception</w:t>
      </w:r>
      <w:r w:rsidR="008E7A75">
        <w:t xml:space="preserve"> is then </w:t>
      </w:r>
      <w:r w:rsidR="009377B6">
        <w:t xml:space="preserve">extended </w:t>
      </w:r>
      <w:r w:rsidR="008E7A75">
        <w:t>to auditory (Chapters 3-4)</w:t>
      </w:r>
      <w:r>
        <w:t xml:space="preserve"> and visual perception</w:t>
      </w:r>
      <w:r w:rsidR="008E7A75">
        <w:t xml:space="preserve"> (Chapter 5)</w:t>
      </w:r>
      <w:r>
        <w:t>.</w:t>
      </w:r>
      <w:r w:rsidR="008E7A75">
        <w:t xml:space="preserve"> In the auditory case, </w:t>
      </w:r>
      <w:r w:rsidR="000352AC">
        <w:t xml:space="preserve">Kalderon defends a version of the ‘wave theory’ of sounds, according to which sounds are </w:t>
      </w:r>
      <w:r w:rsidR="00850962">
        <w:t>propagations</w:t>
      </w:r>
      <w:r w:rsidR="000352AC">
        <w:t xml:space="preserve"> of patterned disturbances through a dense and elastic medium (p. 105). He combines this wave theory of sounds with a </w:t>
      </w:r>
      <w:r w:rsidR="008E7A75">
        <w:t>refined form of Heideggarian theory</w:t>
      </w:r>
      <w:r w:rsidR="000352AC">
        <w:t xml:space="preserve"> of auditory perception,</w:t>
      </w:r>
      <w:r w:rsidR="008E7A75">
        <w:t xml:space="preserve"> according to which we hear the sources of sounds (sound-generating events) </w:t>
      </w:r>
      <w:r w:rsidR="008E7A75" w:rsidRPr="008E7A75">
        <w:rPr>
          <w:i/>
        </w:rPr>
        <w:t>directly</w:t>
      </w:r>
      <w:r w:rsidR="008E7A75">
        <w:t xml:space="preserve">, but through </w:t>
      </w:r>
      <w:r w:rsidR="008E7A75" w:rsidRPr="008E7A75">
        <w:rPr>
          <w:i/>
        </w:rPr>
        <w:t xml:space="preserve">implicitly </w:t>
      </w:r>
      <w:r w:rsidR="008E7A75">
        <w:t>hearing the sounds they create</w:t>
      </w:r>
      <w:r w:rsidR="000352AC">
        <w:t>.</w:t>
      </w:r>
      <w:r w:rsidR="00BE1A97">
        <w:t xml:space="preserve"> T</w:t>
      </w:r>
      <w:r w:rsidR="008E7A75">
        <w:t xml:space="preserve">his </w:t>
      </w:r>
      <w:r w:rsidR="00C80B47">
        <w:t xml:space="preserve">Heideggarian </w:t>
      </w:r>
      <w:r w:rsidR="008E7A75">
        <w:t xml:space="preserve">view </w:t>
      </w:r>
      <w:r w:rsidR="00BE1A97">
        <w:t xml:space="preserve">of auditory perception </w:t>
      </w:r>
      <w:r w:rsidR="008E7A75">
        <w:t xml:space="preserve">contrasts with Berkelian and neo-Berkelian theories according to which </w:t>
      </w:r>
      <w:r w:rsidR="00441557">
        <w:t xml:space="preserve">what </w:t>
      </w:r>
      <w:r w:rsidR="008E7A75">
        <w:t xml:space="preserve">we hear </w:t>
      </w:r>
      <w:r w:rsidR="00441557">
        <w:t xml:space="preserve">directly are </w:t>
      </w:r>
      <w:r w:rsidR="008E7A75">
        <w:t xml:space="preserve">sounds, and the sources of sounds </w:t>
      </w:r>
      <w:r w:rsidR="00441557">
        <w:t xml:space="preserve">are </w:t>
      </w:r>
      <w:r w:rsidR="008E7A75">
        <w:t xml:space="preserve">at best </w:t>
      </w:r>
      <w:r w:rsidR="00BE1A97">
        <w:t xml:space="preserve">heard </w:t>
      </w:r>
      <w:r w:rsidR="008E7A75">
        <w:t>indirectly</w:t>
      </w:r>
      <w:r w:rsidR="00E3565E">
        <w:t xml:space="preserve">. </w:t>
      </w:r>
      <w:r w:rsidR="00C652C7">
        <w:t xml:space="preserve">Like </w:t>
      </w:r>
      <w:r w:rsidR="00C3493C">
        <w:t xml:space="preserve">haptic </w:t>
      </w:r>
      <w:r w:rsidR="00C80B47">
        <w:t>perception</w:t>
      </w:r>
      <w:r w:rsidR="00C3493C">
        <w:t xml:space="preserve">, </w:t>
      </w:r>
      <w:r w:rsidR="00F54672">
        <w:t xml:space="preserve">auditory perception </w:t>
      </w:r>
      <w:r w:rsidR="002E5915">
        <w:t xml:space="preserve">also </w:t>
      </w:r>
      <w:r w:rsidR="00F54672">
        <w:t xml:space="preserve">involves forces in conflict: </w:t>
      </w:r>
      <w:r w:rsidR="002E5915">
        <w:t xml:space="preserve">on the one hand, </w:t>
      </w:r>
      <w:r w:rsidR="00F54672">
        <w:t xml:space="preserve">the psychological force of </w:t>
      </w:r>
      <w:r w:rsidR="00F07291">
        <w:t xml:space="preserve">active </w:t>
      </w:r>
      <w:r w:rsidR="00F54672">
        <w:rPr>
          <w:i/>
        </w:rPr>
        <w:t>listening</w:t>
      </w:r>
      <w:r w:rsidR="00F54672">
        <w:t xml:space="preserve"> (as distinct from mere </w:t>
      </w:r>
      <w:r w:rsidR="00F54672">
        <w:rPr>
          <w:i/>
        </w:rPr>
        <w:t>hearing</w:t>
      </w:r>
      <w:r w:rsidR="00F54672">
        <w:t xml:space="preserve">), and </w:t>
      </w:r>
      <w:r w:rsidR="002E5915">
        <w:t xml:space="preserve">on the other </w:t>
      </w:r>
      <w:r w:rsidR="00F54672">
        <w:t>the sound-generating events that are the sources of sounds, and which constitutively shape the auditory experience</w:t>
      </w:r>
      <w:r w:rsidR="0075451B">
        <w:t xml:space="preserve"> (pp. 141-147)</w:t>
      </w:r>
      <w:r w:rsidR="00F54672">
        <w:t xml:space="preserve">. </w:t>
      </w:r>
      <w:r w:rsidR="0075451B">
        <w:t>S</w:t>
      </w:r>
      <w:r w:rsidR="00C3493C">
        <w:t xml:space="preserve">ympathy </w:t>
      </w:r>
      <w:r w:rsidR="0003275C">
        <w:t>explains</w:t>
      </w:r>
      <w:r w:rsidR="002E5915">
        <w:t xml:space="preserve"> </w:t>
      </w:r>
      <w:r w:rsidR="006B4480">
        <w:t xml:space="preserve">how </w:t>
      </w:r>
      <w:r w:rsidR="008E7A75">
        <w:t xml:space="preserve">we hear </w:t>
      </w:r>
      <w:r w:rsidR="00E3565E">
        <w:t xml:space="preserve">the </w:t>
      </w:r>
      <w:r w:rsidR="008E7A75">
        <w:t xml:space="preserve">sources of sound in, or through, </w:t>
      </w:r>
      <w:r w:rsidR="00E3565E">
        <w:t xml:space="preserve">the </w:t>
      </w:r>
      <w:r w:rsidR="008E7A75">
        <w:t>sounds</w:t>
      </w:r>
      <w:r w:rsidR="00E3565E">
        <w:t xml:space="preserve"> they produce</w:t>
      </w:r>
      <w:r w:rsidR="008E7A75">
        <w:t>.</w:t>
      </w:r>
      <w:r w:rsidR="00E3565E">
        <w:t xml:space="preserve"> </w:t>
      </w:r>
    </w:p>
    <w:p w14:paraId="2361219D" w14:textId="352AD45A" w:rsidR="00796B80" w:rsidRDefault="001979B5" w:rsidP="00BE1A97">
      <w:pPr>
        <w:ind w:firstLine="720"/>
      </w:pPr>
      <w:r>
        <w:t xml:space="preserve">Generalising Maine de Biran’s dictum that ‘In order to hear well, it is necessary to </w:t>
      </w:r>
      <w:r w:rsidRPr="001979B5">
        <w:rPr>
          <w:i/>
        </w:rPr>
        <w:t>listen</w:t>
      </w:r>
      <w:r>
        <w:t xml:space="preserve">’, Kalderon </w:t>
      </w:r>
      <w:r w:rsidR="000352AC">
        <w:t>then extends the account to vision, arguing</w:t>
      </w:r>
      <w:r>
        <w:t xml:space="preserve"> that </w:t>
      </w:r>
      <w:r w:rsidR="00F07291">
        <w:t>visual perception</w:t>
      </w:r>
      <w:r w:rsidR="00CC4928">
        <w:t xml:space="preserve"> </w:t>
      </w:r>
      <w:r w:rsidR="00F07291">
        <w:t xml:space="preserve">involves </w:t>
      </w:r>
      <w:r w:rsidR="00F07291" w:rsidRPr="00F07291">
        <w:rPr>
          <w:i/>
        </w:rPr>
        <w:t>looking</w:t>
      </w:r>
      <w:r w:rsidR="00F07291">
        <w:t xml:space="preserve">. Visual perceptual experience has an active, outer-directed phenomenological character; it is this that </w:t>
      </w:r>
      <w:r w:rsidR="00C10600">
        <w:t xml:space="preserve">classical ‘extramissionist’ theories of perception sought to capture, and which </w:t>
      </w:r>
      <w:r w:rsidR="00F07291">
        <w:t xml:space="preserve">underlies the </w:t>
      </w:r>
      <w:r w:rsidR="00796B80">
        <w:t>existence and persistence of ‘extramissionist’ intuitions</w:t>
      </w:r>
      <w:r w:rsidR="00C10600">
        <w:t xml:space="preserve"> in children and even adults. This active, outer-directed phenomenology is the result of looking. </w:t>
      </w:r>
      <w:r w:rsidR="00796B80">
        <w:t xml:space="preserve">Looking is an active power – although like listening, it is not necessarily something that is fully active, but rather can be sustained by the capacity to act in visually relevant ways (in Aristotelian terms, it can be sustained by a first </w:t>
      </w:r>
      <w:r w:rsidR="00796B80">
        <w:lastRenderedPageBreak/>
        <w:t xml:space="preserve">actuality of a second potentiality) (p. 166). When we look at an object, the psychological force comes into conflict with the object. Sympathy </w:t>
      </w:r>
      <w:r w:rsidR="00C10600">
        <w:t xml:space="preserve">in turn </w:t>
      </w:r>
      <w:r w:rsidR="00796B80">
        <w:t xml:space="preserve">explains how </w:t>
      </w:r>
      <w:r w:rsidR="00684E1D">
        <w:t xml:space="preserve">the limits to visual activity provided by objects in the environment disclose those objects, in doing so placing </w:t>
      </w:r>
      <w:r w:rsidR="000352AC">
        <w:t>us</w:t>
      </w:r>
      <w:r w:rsidR="00684E1D">
        <w:t xml:space="preserve"> ‘in the very heart of things’, it being there, with the objects, </w:t>
      </w:r>
      <w:r w:rsidR="000352AC">
        <w:t>that ‘</w:t>
      </w:r>
      <w:r w:rsidR="00684E1D">
        <w:t xml:space="preserve">visual apprehension takes place’ (p. 160). </w:t>
      </w:r>
    </w:p>
    <w:p w14:paraId="14D9D174" w14:textId="2C3B2FC1" w:rsidR="0018275F" w:rsidRDefault="00FC4458" w:rsidP="0018275F">
      <w:pPr>
        <w:ind w:firstLine="720"/>
      </w:pPr>
      <w:r>
        <w:rPr>
          <w:i/>
        </w:rPr>
        <w:t>Sympathy in Perception</w:t>
      </w:r>
      <w:r>
        <w:t xml:space="preserve"> provides a wealth of historical, methodological and </w:t>
      </w:r>
      <w:r w:rsidR="0018275F">
        <w:t>philosophical</w:t>
      </w:r>
      <w:r>
        <w:t xml:space="preserve"> insights. Of course, it also raises a number of questions. </w:t>
      </w:r>
      <w:r w:rsidR="009B4E16">
        <w:t>Many of these questions revolve, more or less directly, around the book’s central explanatory concepts, and in particular the principle of sympathy.</w:t>
      </w:r>
      <w:r w:rsidR="00C652C7">
        <w:t xml:space="preserve"> </w:t>
      </w:r>
    </w:p>
    <w:p w14:paraId="4C3D7B3E" w14:textId="7B6053C2" w:rsidR="00237AF1" w:rsidRDefault="00EE452D" w:rsidP="00347F88">
      <w:pPr>
        <w:ind w:firstLine="720"/>
      </w:pPr>
      <w:r>
        <w:t>Consider, b</w:t>
      </w:r>
      <w:r w:rsidR="007E6583">
        <w:t xml:space="preserve">y way of illustration, </w:t>
      </w:r>
      <w:r w:rsidR="00671543">
        <w:t xml:space="preserve">Kalderon’s discussion of auditory experience. </w:t>
      </w:r>
      <w:r w:rsidR="00F21D78">
        <w:t xml:space="preserve">This is </w:t>
      </w:r>
      <w:r w:rsidR="00441557">
        <w:t>interesting</w:t>
      </w:r>
      <w:r w:rsidR="00347F88">
        <w:t>,</w:t>
      </w:r>
      <w:r w:rsidR="00441557">
        <w:t xml:space="preserve"> and controversial</w:t>
      </w:r>
      <w:r w:rsidR="00347F88">
        <w:t>,</w:t>
      </w:r>
      <w:r w:rsidR="00441557">
        <w:t xml:space="preserve"> </w:t>
      </w:r>
      <w:r w:rsidR="00A66E0F">
        <w:t>both for t</w:t>
      </w:r>
      <w:r w:rsidR="00441557">
        <w:t>he theory of sounds it defends</w:t>
      </w:r>
      <w:r w:rsidR="00347F88">
        <w:t xml:space="preserve">, </w:t>
      </w:r>
      <w:r w:rsidR="00441557">
        <w:t>but</w:t>
      </w:r>
      <w:r w:rsidR="00A66E0F">
        <w:t xml:space="preserve"> </w:t>
      </w:r>
      <w:r w:rsidR="00441557">
        <w:t>also because of its account of the relationship of sounds to sound sources</w:t>
      </w:r>
      <w:r w:rsidR="00347F88">
        <w:t xml:space="preserve">. </w:t>
      </w:r>
      <w:r w:rsidR="00F62EC0">
        <w:t xml:space="preserve">Both aspects of this </w:t>
      </w:r>
      <w:r w:rsidR="007E6583">
        <w:t xml:space="preserve">view </w:t>
      </w:r>
      <w:r w:rsidR="00F62EC0">
        <w:t xml:space="preserve">raise questions. </w:t>
      </w:r>
    </w:p>
    <w:p w14:paraId="7AC46EC8" w14:textId="0285B8F1" w:rsidR="00030A90" w:rsidRDefault="00237AF1" w:rsidP="00347F88">
      <w:pPr>
        <w:ind w:firstLine="720"/>
      </w:pPr>
      <w:r>
        <w:t>A</w:t>
      </w:r>
      <w:r w:rsidR="00B20865">
        <w:t xml:space="preserve">t least part of </w:t>
      </w:r>
      <w:r w:rsidR="00D604A2">
        <w:t xml:space="preserve">Kalderon’s </w:t>
      </w:r>
      <w:r w:rsidR="00B20865">
        <w:t xml:space="preserve">motivation for </w:t>
      </w:r>
      <w:r w:rsidR="00D604A2">
        <w:t xml:space="preserve">accepting a </w:t>
      </w:r>
      <w:r w:rsidR="00347F88">
        <w:t>version of the Wave Theory—relatively unpopular in recent discussions—</w:t>
      </w:r>
      <w:r w:rsidR="00B20865">
        <w:t>is</w:t>
      </w:r>
      <w:r w:rsidR="00347F88">
        <w:t xml:space="preserve"> </w:t>
      </w:r>
      <w:r w:rsidR="00B20865">
        <w:t xml:space="preserve">to vindicate the claim that auditory experience has </w:t>
      </w:r>
      <w:r w:rsidR="00D604A2">
        <w:t xml:space="preserve">an </w:t>
      </w:r>
      <w:r w:rsidR="00B20865">
        <w:t>‘ema</w:t>
      </w:r>
      <w:r w:rsidR="00942EA8">
        <w:t>native’ phenomenology (p. 108):</w:t>
      </w:r>
      <w:r w:rsidR="00D604A2">
        <w:t xml:space="preserve"> </w:t>
      </w:r>
      <w:r w:rsidR="00B45D54">
        <w:t xml:space="preserve">that sounds are heard as coming to us from certain directions. </w:t>
      </w:r>
      <w:r w:rsidR="00942EA8">
        <w:t>Engaging in</w:t>
      </w:r>
      <w:r w:rsidR="007E6583">
        <w:t xml:space="preserve"> characteristically</w:t>
      </w:r>
      <w:r w:rsidR="00942EA8">
        <w:t xml:space="preserve"> careful phenomenological investigation, </w:t>
      </w:r>
      <w:r w:rsidR="00B45D54">
        <w:t xml:space="preserve">Kalderon argues that the emanative phenomenology of auditory experience is not to be understood on the model of the movement of a solid object towards the hearer, as if sounds were ‘sonic missiles’. Rather, we should understand the sense in which sounds appear to come towards us on the model of ‘growth’, as if they are </w:t>
      </w:r>
      <w:r w:rsidR="00942EA8">
        <w:t xml:space="preserve">expanding into the space surrounding their source (pp. 120-125). </w:t>
      </w:r>
    </w:p>
    <w:p w14:paraId="747C7E51" w14:textId="397A229A" w:rsidR="00635AB9" w:rsidRDefault="00F21D78" w:rsidP="00A85ECD">
      <w:pPr>
        <w:ind w:firstLine="720"/>
      </w:pPr>
      <w:r>
        <w:t>T</w:t>
      </w:r>
      <w:r w:rsidR="00773584">
        <w:t xml:space="preserve">his is an </w:t>
      </w:r>
      <w:r w:rsidR="00347F88">
        <w:t>interesting</w:t>
      </w:r>
      <w:r w:rsidR="00773584">
        <w:t xml:space="preserve"> </w:t>
      </w:r>
      <w:r w:rsidR="00942EA8">
        <w:t xml:space="preserve">suggestion, </w:t>
      </w:r>
      <w:r>
        <w:t xml:space="preserve">but </w:t>
      </w:r>
      <w:r w:rsidR="00942EA8">
        <w:t>we may still won</w:t>
      </w:r>
      <w:r>
        <w:t>der about its claim to capture</w:t>
      </w:r>
      <w:r w:rsidR="00942EA8">
        <w:t xml:space="preserve"> the phenomenology of auditory experience. It is not the case that sounds typically appear to grow in the way that, say, we can hear </w:t>
      </w:r>
      <w:r w:rsidR="002E5915">
        <w:t>the sound of cha</w:t>
      </w:r>
      <w:r w:rsidR="00773584">
        <w:t>ttering growing</w:t>
      </w:r>
      <w:r w:rsidR="002E5915">
        <w:t xml:space="preserve"> as a room fills with people</w:t>
      </w:r>
      <w:r w:rsidR="00635AB9">
        <w:t>; nor is it this kind of growth (</w:t>
      </w:r>
      <w:r>
        <w:t xml:space="preserve">in volume, </w:t>
      </w:r>
      <w:r w:rsidR="00635AB9">
        <w:t>i.e. loudness, rather than spatial extent) that Kalderon has in mind</w:t>
      </w:r>
      <w:r w:rsidR="002E5915">
        <w:t>.</w:t>
      </w:r>
      <w:r w:rsidR="00635AB9">
        <w:t xml:space="preserve"> It is plausible to suppose, as Kalderon argues, that sounds are essentially dynamic entities, that unfold over time; but this kind of temporal growth is not what is at issue either. </w:t>
      </w:r>
      <w:r w:rsidR="00030A90">
        <w:t>T</w:t>
      </w:r>
      <w:r w:rsidR="00A85ECD">
        <w:t xml:space="preserve">he growth metaphor </w:t>
      </w:r>
      <w:r w:rsidR="00030A90">
        <w:t>might seem to more aptly describe</w:t>
      </w:r>
      <w:r w:rsidR="00635AB9">
        <w:t xml:space="preserve"> at least some </w:t>
      </w:r>
      <w:r w:rsidR="00A85ECD">
        <w:t xml:space="preserve">cases of olfactory experience, </w:t>
      </w:r>
      <w:r w:rsidR="00635AB9">
        <w:t xml:space="preserve">for instance </w:t>
      </w:r>
      <w:r w:rsidR="00030A90">
        <w:t xml:space="preserve">in cases </w:t>
      </w:r>
      <w:r w:rsidR="00A85ECD">
        <w:t xml:space="preserve">where a smell gradually pervades a room. </w:t>
      </w:r>
      <w:r w:rsidR="00635AB9">
        <w:t xml:space="preserve">But </w:t>
      </w:r>
      <w:r w:rsidR="00030A90">
        <w:t xml:space="preserve">then we might wonder </w:t>
      </w:r>
      <w:r w:rsidR="00EE452D">
        <w:t xml:space="preserve">whether </w:t>
      </w:r>
      <w:r w:rsidR="00030A90">
        <w:t>there isn’t a</w:t>
      </w:r>
      <w:r w:rsidR="007E6583">
        <w:t>n important</w:t>
      </w:r>
      <w:r w:rsidR="00030A90">
        <w:t xml:space="preserve"> difference between auditory experience and the more clearly emanative phenomenology of olfaction. Although there may be cases in which sounds seem to ‘fill’ a space—for instance, if they are very loud or the space is very small—it is less clear that this captures the phenomenology of </w:t>
      </w:r>
      <w:r w:rsidR="00773584">
        <w:t xml:space="preserve">other, more common, kinds of auditory experience, such as </w:t>
      </w:r>
      <w:r w:rsidR="00030A90">
        <w:t xml:space="preserve">hearing the call of the birds from outside your window. </w:t>
      </w:r>
    </w:p>
    <w:p w14:paraId="7AB58764" w14:textId="7820ED43" w:rsidR="0003275C" w:rsidRPr="0003275C" w:rsidRDefault="00237AF1" w:rsidP="00F21D78">
      <w:pPr>
        <w:ind w:firstLine="720"/>
        <w:rPr>
          <w:b/>
        </w:rPr>
      </w:pPr>
      <w:r>
        <w:t>T</w:t>
      </w:r>
      <w:r w:rsidR="00030A90">
        <w:t xml:space="preserve">he Heideggarian </w:t>
      </w:r>
      <w:r w:rsidR="00773584">
        <w:t xml:space="preserve">aspect </w:t>
      </w:r>
      <w:r w:rsidR="00030A90">
        <w:t xml:space="preserve">of Kalderon’s </w:t>
      </w:r>
      <w:r w:rsidR="00773584">
        <w:t>account also raises questions. Kalderon</w:t>
      </w:r>
      <w:r w:rsidR="00347F88">
        <w:t xml:space="preserve"> argues that we do not </w:t>
      </w:r>
      <w:r w:rsidR="00773584">
        <w:t xml:space="preserve">hear objects, strictly speaking. According to Kalderon we hear sound-generating events in, or through, the sounds that they create, but we don’t strictly speaking hear the objects that are constituents of, or participants in, these events: so, for instance, </w:t>
      </w:r>
      <w:r w:rsidR="00773584">
        <w:lastRenderedPageBreak/>
        <w:t>we hear Big Ben’s striking through the sound that this striking creates, but we don’t hear Big Ben itself</w:t>
      </w:r>
      <w:r w:rsidR="00444060">
        <w:t xml:space="preserve">. At best, Big Ben is ‘present as absent’, in the form of a dynamic </w:t>
      </w:r>
      <w:r w:rsidR="00266542">
        <w:t>‘</w:t>
      </w:r>
      <w:r w:rsidR="00444060">
        <w:t>aural image</w:t>
      </w:r>
      <w:r w:rsidR="00266542">
        <w:t>’</w:t>
      </w:r>
      <w:r w:rsidR="00773584">
        <w:t xml:space="preserve"> (p. 102). </w:t>
      </w:r>
      <w:r w:rsidR="001E1F55">
        <w:t>The motivation for this claim is that sounds are essentially dynami</w:t>
      </w:r>
      <w:r w:rsidR="00532D91">
        <w:t>c temporal entities, and objects are of the wrong metaphysical category to sustain audible qualities.</w:t>
      </w:r>
      <w:r w:rsidR="005463A0">
        <w:t xml:space="preserve"> But given the role that sympathy</w:t>
      </w:r>
      <w:r w:rsidR="00C428FD">
        <w:t xml:space="preserve"> is supposed to play in explaining how our experience of one thing can disclose something else, is this hard line necessary? Why couldn’t the sound that we are implicitly aware of disclose both the sound-generating event and the object that is a constituent of that event? </w:t>
      </w:r>
    </w:p>
    <w:p w14:paraId="06D8C765" w14:textId="33FA43AD" w:rsidR="002D4273" w:rsidRDefault="00347F88" w:rsidP="00347F88">
      <w:pPr>
        <w:ind w:firstLine="720"/>
      </w:pPr>
      <w:r>
        <w:t xml:space="preserve">Indeed, </w:t>
      </w:r>
      <w:r w:rsidR="00697D1B">
        <w:t xml:space="preserve">we might wonder </w:t>
      </w:r>
      <w:r>
        <w:t xml:space="preserve">exactly </w:t>
      </w:r>
      <w:r w:rsidR="00697D1B">
        <w:t xml:space="preserve">how the </w:t>
      </w:r>
      <w:r w:rsidR="00396112">
        <w:t xml:space="preserve">principle of sympathy </w:t>
      </w:r>
      <w:r w:rsidR="00697D1B">
        <w:t xml:space="preserve">is supposed to operate </w:t>
      </w:r>
      <w:r>
        <w:t>in this case</w:t>
      </w:r>
      <w:r w:rsidR="00697D1B">
        <w:t>.</w:t>
      </w:r>
      <w:r>
        <w:t xml:space="preserve"> </w:t>
      </w:r>
      <w:r w:rsidR="00396112">
        <w:t xml:space="preserve">In the haptic case, sympathy is an answer to the question of how implicit awareness of a limit to the body can explicitly disclose the presence of something distinct from it. In the auditory case, sympathy plays a subtly, but importantly different explanatory role. </w:t>
      </w:r>
      <w:r w:rsidR="00396112" w:rsidRPr="00887401">
        <w:rPr>
          <w:highlight w:val="yellow"/>
        </w:rPr>
        <w:t xml:space="preserve">In the auditory case, </w:t>
      </w:r>
      <w:r w:rsidR="00887401" w:rsidRPr="00887401">
        <w:rPr>
          <w:highlight w:val="yellow"/>
        </w:rPr>
        <w:t xml:space="preserve">what </w:t>
      </w:r>
      <w:r w:rsidR="00396112" w:rsidRPr="00887401">
        <w:rPr>
          <w:highlight w:val="yellow"/>
        </w:rPr>
        <w:t xml:space="preserve">we are implicitly aware </w:t>
      </w:r>
      <w:r w:rsidR="00887401" w:rsidRPr="00887401">
        <w:rPr>
          <w:highlight w:val="yellow"/>
        </w:rPr>
        <w:t xml:space="preserve">of is </w:t>
      </w:r>
      <w:r w:rsidR="00396112" w:rsidRPr="00887401">
        <w:rPr>
          <w:highlight w:val="yellow"/>
        </w:rPr>
        <w:t>not j</w:t>
      </w:r>
      <w:r w:rsidR="008A2DAA" w:rsidRPr="00887401">
        <w:rPr>
          <w:highlight w:val="yellow"/>
        </w:rPr>
        <w:t xml:space="preserve">ust </w:t>
      </w:r>
      <w:r w:rsidR="00887401" w:rsidRPr="00887401">
        <w:rPr>
          <w:highlight w:val="yellow"/>
        </w:rPr>
        <w:t xml:space="preserve">a </w:t>
      </w:r>
      <w:r w:rsidR="008A2DAA" w:rsidRPr="00887401">
        <w:rPr>
          <w:highlight w:val="yellow"/>
        </w:rPr>
        <w:t>limit to the body.</w:t>
      </w:r>
      <w:r w:rsidR="008A2DAA">
        <w:t xml:space="preserve"> We are also</w:t>
      </w:r>
      <w:r w:rsidR="00396112">
        <w:t xml:space="preserve"> </w:t>
      </w:r>
      <w:r w:rsidR="008A2DAA">
        <w:t xml:space="preserve">implicitly aware of </w:t>
      </w:r>
      <w:r w:rsidR="00396112">
        <w:t xml:space="preserve">a sound: a </w:t>
      </w:r>
      <w:r w:rsidR="00850962">
        <w:t>perturbation</w:t>
      </w:r>
      <w:r w:rsidR="00396112">
        <w:t xml:space="preserve"> of a surrounding medium, and so something that is constitutively independent of perceiving subjects. Sympathy plays a role in explaining how our implicit awareness of limitations to the psychological force of hearing disclose to us a sound; but it also </w:t>
      </w:r>
      <w:r w:rsidR="008A2DAA">
        <w:t>seems to play</w:t>
      </w:r>
      <w:r w:rsidR="00396112">
        <w:t xml:space="preserve"> a role in explaining how our implicit awareness of the mind-independent sound discloses to us the source of the sound.</w:t>
      </w:r>
      <w:r w:rsidR="008A2DAA">
        <w:t xml:space="preserve"> Can sympathy play this dual role? Given Kalderon’s abstract characterisation, sympathy can play a role if the sound ‘formally assimilates’ to the sound-generating event. But does the sound formally assimilate to its cause, in the sense of ‘becoming like it’? </w:t>
      </w:r>
      <w:r w:rsidR="007322A1">
        <w:t xml:space="preserve">There are echoes here of the neo-Aristotelian view of the transmission of ‘sensible species’ from objects to the eye, although </w:t>
      </w:r>
      <w:r w:rsidR="002D4273">
        <w:t>it is unclear that this part of the Scholastic heritage is something to which Kalderon himself subscribe</w:t>
      </w:r>
      <w:r w:rsidR="007E6583">
        <w:t>s</w:t>
      </w:r>
      <w:r w:rsidR="002D4273">
        <w:t>.</w:t>
      </w:r>
    </w:p>
    <w:p w14:paraId="31F2F5B4" w14:textId="3F7A1C7F" w:rsidR="00DD1957" w:rsidRDefault="00891C4C" w:rsidP="009B5DEC">
      <w:pPr>
        <w:ind w:firstLine="720"/>
      </w:pPr>
      <w:r>
        <w:t xml:space="preserve">There are also </w:t>
      </w:r>
      <w:r w:rsidR="00DD0390">
        <w:t>more general</w:t>
      </w:r>
      <w:r>
        <w:t xml:space="preserve"> </w:t>
      </w:r>
      <w:r w:rsidR="008A2DAA">
        <w:t>questions about the key concepts in Kalderon’s project.</w:t>
      </w:r>
      <w:r w:rsidR="00DD0390">
        <w:t xml:space="preserve"> </w:t>
      </w:r>
      <w:r w:rsidR="00D35B79">
        <w:t xml:space="preserve">Consistent with his description of the project as a project in ‘historically informed speculative metaphysics’, Kalderon sees the central concepts of </w:t>
      </w:r>
      <w:r w:rsidR="00E11BC6">
        <w:t>‘</w:t>
      </w:r>
      <w:r w:rsidR="00D35B79" w:rsidRPr="00E11BC6">
        <w:t>formal assimilation</w:t>
      </w:r>
      <w:r w:rsidR="00E11BC6">
        <w:t>’</w:t>
      </w:r>
      <w:r w:rsidR="00D35B79">
        <w:t xml:space="preserve"> and </w:t>
      </w:r>
      <w:r w:rsidR="00E11BC6">
        <w:t>‘</w:t>
      </w:r>
      <w:r w:rsidR="00D35B79" w:rsidRPr="00E11BC6">
        <w:t>sympathy</w:t>
      </w:r>
      <w:r w:rsidR="00E11BC6">
        <w:t>’</w:t>
      </w:r>
      <w:r w:rsidR="00D35B79">
        <w:t xml:space="preserve"> as </w:t>
      </w:r>
      <w:r w:rsidR="00FE700B">
        <w:t xml:space="preserve">part of a theoretical, explanatory project. They are </w:t>
      </w:r>
      <w:r w:rsidR="003A5042">
        <w:t xml:space="preserve">intended </w:t>
      </w:r>
      <w:r w:rsidR="00FE700B">
        <w:t xml:space="preserve">to be part of a substantive </w:t>
      </w:r>
      <w:r w:rsidR="00AB5E3F">
        <w:t xml:space="preserve">metaphysical </w:t>
      </w:r>
      <w:r w:rsidR="00FE700B">
        <w:t xml:space="preserve">explanation of (respectively) the nature of perceptual experience, and how perceptual experience, given its distinctive nature, is possible. </w:t>
      </w:r>
      <w:r w:rsidR="00AB5E3F">
        <w:t xml:space="preserve">Part of the motivation for </w:t>
      </w:r>
      <w:r w:rsidR="003B151D">
        <w:t xml:space="preserve">an </w:t>
      </w:r>
      <w:r w:rsidR="00AB5E3F">
        <w:t>historically informed approach</w:t>
      </w:r>
      <w:r w:rsidR="00DD1957">
        <w:t xml:space="preserve"> is that Kalderon thinks it is necessary if we are to give an illuminating account of the irreducible presentational element of perceptual experience</w:t>
      </w:r>
      <w:r w:rsidR="003B151D">
        <w:t>. This, he claims, is</w:t>
      </w:r>
      <w:r w:rsidR="00EE452D">
        <w:t xml:space="preserve"> because the ‘tools of contempo</w:t>
      </w:r>
      <w:r w:rsidR="00DD1957">
        <w:t>r</w:t>
      </w:r>
      <w:r w:rsidR="00EE452D">
        <w:t>a</w:t>
      </w:r>
      <w:r w:rsidR="00DD1957">
        <w:t>ry analytic metaphysics</w:t>
      </w:r>
      <w:r w:rsidR="00FE700B">
        <w:t xml:space="preserve"> </w:t>
      </w:r>
      <w:r w:rsidR="00DD1957">
        <w:t>would se</w:t>
      </w:r>
      <w:r w:rsidR="003B151D">
        <w:t>em not to leave one much to work</w:t>
      </w:r>
      <w:r w:rsidR="00DD1957">
        <w:t xml:space="preserve"> with’; instead we need ‘tools more adequate to the task at hand’ (x). </w:t>
      </w:r>
    </w:p>
    <w:p w14:paraId="5C856026" w14:textId="08E7BA9E" w:rsidR="00891C4C" w:rsidRDefault="00697D1B" w:rsidP="00697D1B">
      <w:pPr>
        <w:ind w:firstLine="720"/>
      </w:pPr>
      <w:r>
        <w:t>C</w:t>
      </w:r>
      <w:r w:rsidR="003A5042">
        <w:t xml:space="preserve">onsistent with something like the </w:t>
      </w:r>
      <w:r w:rsidR="00EE452D">
        <w:t xml:space="preserve">naïve realist </w:t>
      </w:r>
      <w:r w:rsidR="003A5042">
        <w:t xml:space="preserve">approach that Kalderon develops, </w:t>
      </w:r>
      <w:r w:rsidR="00DD0390">
        <w:t xml:space="preserve">we might wonder whether </w:t>
      </w:r>
      <w:r w:rsidR="003B151D">
        <w:t xml:space="preserve">further explanation of the presentational element of experience is indeed necessary. </w:t>
      </w:r>
      <w:r>
        <w:t xml:space="preserve">On the one hand, </w:t>
      </w:r>
      <w:r w:rsidR="00EE452D">
        <w:t xml:space="preserve">it might be denied </w:t>
      </w:r>
      <w:r w:rsidR="00891C4C">
        <w:t xml:space="preserve">that a </w:t>
      </w:r>
      <w:r w:rsidR="00891C4C">
        <w:rPr>
          <w:i/>
        </w:rPr>
        <w:t xml:space="preserve">substantial </w:t>
      </w:r>
      <w:r w:rsidR="00891C4C">
        <w:t xml:space="preserve">metaphysical explanation is needed: perhaps </w:t>
      </w:r>
      <w:r w:rsidR="00DD0390">
        <w:t xml:space="preserve">the irreducible presentational element of perceptual </w:t>
      </w:r>
      <w:r w:rsidR="00DD0390">
        <w:lastRenderedPageBreak/>
        <w:t xml:space="preserve">experience </w:t>
      </w:r>
      <w:r w:rsidR="00891C4C">
        <w:t xml:space="preserve">can be taken </w:t>
      </w:r>
      <w:r w:rsidR="00DD0390">
        <w:t>as metaphysically primitive</w:t>
      </w:r>
      <w:r w:rsidR="00891C4C">
        <w:t xml:space="preserve">. </w:t>
      </w:r>
      <w:r w:rsidR="00813FA3">
        <w:t>On the other hand</w:t>
      </w:r>
      <w:r w:rsidR="00891C4C">
        <w:t xml:space="preserve">, </w:t>
      </w:r>
      <w:r w:rsidR="00045553">
        <w:t xml:space="preserve">it might be suggested </w:t>
      </w:r>
      <w:r w:rsidR="00813FA3">
        <w:t>from a quie</w:t>
      </w:r>
      <w:r w:rsidR="00891C4C">
        <w:t xml:space="preserve">tist perspective </w:t>
      </w:r>
      <w:r w:rsidR="00045553">
        <w:t xml:space="preserve">that we can resist the need to provide a </w:t>
      </w:r>
      <w:r w:rsidR="00045553" w:rsidRPr="00891C4C">
        <w:rPr>
          <w:i/>
        </w:rPr>
        <w:t xml:space="preserve">metaphysical </w:t>
      </w:r>
      <w:r w:rsidR="00045553">
        <w:t xml:space="preserve">explanation of perception at all. </w:t>
      </w:r>
    </w:p>
    <w:p w14:paraId="70C178FB" w14:textId="5236788B" w:rsidR="00FE700B" w:rsidRDefault="00891C4C" w:rsidP="009B5DEC">
      <w:pPr>
        <w:ind w:firstLine="720"/>
      </w:pPr>
      <w:r>
        <w:t xml:space="preserve">But assuming that a substantive metaphysical </w:t>
      </w:r>
      <w:r w:rsidR="00702B01">
        <w:t xml:space="preserve">explanation </w:t>
      </w:r>
      <w:r>
        <w:t xml:space="preserve">is required, </w:t>
      </w:r>
      <w:r w:rsidR="00D65846">
        <w:t xml:space="preserve">is </w:t>
      </w:r>
      <w:r w:rsidR="00702B01">
        <w:t xml:space="preserve">the explanation that Kalderon provides </w:t>
      </w:r>
      <w:r w:rsidR="00567F4E">
        <w:t xml:space="preserve">more successful than </w:t>
      </w:r>
      <w:r w:rsidR="00702B01">
        <w:t xml:space="preserve">that provided by </w:t>
      </w:r>
      <w:r w:rsidR="00567F4E">
        <w:t>contemporary naïve re</w:t>
      </w:r>
      <w:r w:rsidR="00702B01">
        <w:t>alists, who</w:t>
      </w:r>
      <w:r w:rsidR="00567F4E">
        <w:t xml:space="preserve"> </w:t>
      </w:r>
      <w:r w:rsidR="00702B01">
        <w:t xml:space="preserve">standardly </w:t>
      </w:r>
      <w:r w:rsidR="00567F4E">
        <w:t xml:space="preserve">appeal to </w:t>
      </w:r>
      <w:r w:rsidR="00FE700B">
        <w:t xml:space="preserve">conscious relations of direct acquaintance that are </w:t>
      </w:r>
      <w:r w:rsidR="00850962">
        <w:t>constitutively</w:t>
      </w:r>
      <w:r w:rsidR="00FE700B">
        <w:t xml:space="preserve"> dependent on their objects?</w:t>
      </w:r>
    </w:p>
    <w:p w14:paraId="11C835F4" w14:textId="024F36BA" w:rsidR="00687247" w:rsidRDefault="00567F4E" w:rsidP="009B5DEC">
      <w:pPr>
        <w:ind w:firstLine="720"/>
      </w:pPr>
      <w:r w:rsidRPr="00687247">
        <w:rPr>
          <w:highlight w:val="yellow"/>
        </w:rPr>
        <w:t>On the one hand, t</w:t>
      </w:r>
      <w:r w:rsidR="00D65846" w:rsidRPr="00687247">
        <w:rPr>
          <w:highlight w:val="yellow"/>
        </w:rPr>
        <w:t xml:space="preserve">he </w:t>
      </w:r>
      <w:r w:rsidR="00687247" w:rsidRPr="00687247">
        <w:rPr>
          <w:highlight w:val="yellow"/>
        </w:rPr>
        <w:t xml:space="preserve">concept of </w:t>
      </w:r>
      <w:r w:rsidR="00235ABD">
        <w:rPr>
          <w:highlight w:val="yellow"/>
        </w:rPr>
        <w:t>‘</w:t>
      </w:r>
      <w:r w:rsidR="00D65846" w:rsidRPr="00235ABD">
        <w:rPr>
          <w:highlight w:val="yellow"/>
        </w:rPr>
        <w:t>formal assimilation</w:t>
      </w:r>
      <w:r w:rsidR="00235ABD">
        <w:rPr>
          <w:highlight w:val="yellow"/>
        </w:rPr>
        <w:t>’</w:t>
      </w:r>
      <w:r w:rsidR="00D65846" w:rsidRPr="00687247">
        <w:rPr>
          <w:highlight w:val="yellow"/>
        </w:rPr>
        <w:t xml:space="preserve"> </w:t>
      </w:r>
      <w:r w:rsidR="00687247" w:rsidRPr="00687247">
        <w:rPr>
          <w:highlight w:val="yellow"/>
        </w:rPr>
        <w:t xml:space="preserve">is not basic within Kalderon’s pitcure, but </w:t>
      </w:r>
      <w:r w:rsidR="00D65846" w:rsidRPr="00687247">
        <w:rPr>
          <w:highlight w:val="yellow"/>
        </w:rPr>
        <w:t xml:space="preserve">can </w:t>
      </w:r>
      <w:r w:rsidR="00687247" w:rsidRPr="00687247">
        <w:rPr>
          <w:highlight w:val="yellow"/>
        </w:rPr>
        <w:t xml:space="preserve">itself </w:t>
      </w:r>
      <w:r w:rsidR="00D65846" w:rsidRPr="00687247">
        <w:rPr>
          <w:highlight w:val="yellow"/>
        </w:rPr>
        <w:t>be understood in terms of the metaphysical notion</w:t>
      </w:r>
      <w:r w:rsidR="001C3EF8" w:rsidRPr="00687247">
        <w:rPr>
          <w:highlight w:val="yellow"/>
        </w:rPr>
        <w:t>s</w:t>
      </w:r>
      <w:r w:rsidR="00D65846" w:rsidRPr="00687247">
        <w:rPr>
          <w:highlight w:val="yellow"/>
        </w:rPr>
        <w:t xml:space="preserve"> of </w:t>
      </w:r>
      <w:r w:rsidR="00D65846" w:rsidRPr="00687247">
        <w:rPr>
          <w:i/>
          <w:highlight w:val="yellow"/>
        </w:rPr>
        <w:t>constitution</w:t>
      </w:r>
      <w:r w:rsidR="001C3EF8" w:rsidRPr="00687247">
        <w:rPr>
          <w:i/>
          <w:highlight w:val="yellow"/>
        </w:rPr>
        <w:t xml:space="preserve"> </w:t>
      </w:r>
      <w:r w:rsidR="001C3EF8" w:rsidRPr="00687247">
        <w:rPr>
          <w:highlight w:val="yellow"/>
        </w:rPr>
        <w:t xml:space="preserve">and </w:t>
      </w:r>
      <w:r w:rsidR="001C3EF8" w:rsidRPr="00687247">
        <w:rPr>
          <w:i/>
          <w:highlight w:val="yellow"/>
        </w:rPr>
        <w:t>individuation</w:t>
      </w:r>
      <w:r w:rsidR="001C3EF8" w:rsidRPr="00687247">
        <w:rPr>
          <w:highlight w:val="yellow"/>
        </w:rPr>
        <w:t>.</w:t>
      </w:r>
      <w:r w:rsidR="001C3EF8">
        <w:t xml:space="preserve"> </w:t>
      </w:r>
      <w:r w:rsidR="00D65846">
        <w:t xml:space="preserve">Formal assimilation involves a kind of ‘constitutive shaping’ of experience by its objects. Experiences are not shaped by their objects in </w:t>
      </w:r>
      <w:r w:rsidR="00702B01">
        <w:t xml:space="preserve">a </w:t>
      </w:r>
      <w:r w:rsidR="00D65846">
        <w:t>merely causal sense</w:t>
      </w:r>
      <w:r w:rsidR="00702B01">
        <w:t xml:space="preserve">: </w:t>
      </w:r>
      <w:r w:rsidR="00D65846">
        <w:t xml:space="preserve">they are </w:t>
      </w:r>
      <w:r w:rsidR="00702B01">
        <w:t xml:space="preserve">not </w:t>
      </w:r>
      <w:r w:rsidR="00D65846">
        <w:t xml:space="preserve">logically distinct existences that stand only in an extrinsic relationship to their causes. Rather, </w:t>
      </w:r>
      <w:r w:rsidR="001C3EF8">
        <w:t xml:space="preserve">the relationship between experiences and their objects is much tighter: experiences are individuated by their objects, and constitutively dependent on them in the way that the London skyline is constitutively dependent on St Paul’s in the image on the book’s cover (pp. 23-29). </w:t>
      </w:r>
      <w:r w:rsidR="00A84FE9" w:rsidRPr="00687247">
        <w:rPr>
          <w:highlight w:val="yellow"/>
        </w:rPr>
        <w:t>I</w:t>
      </w:r>
      <w:r w:rsidR="001C3EF8" w:rsidRPr="00687247">
        <w:rPr>
          <w:highlight w:val="yellow"/>
        </w:rPr>
        <w:t xml:space="preserve">n this case, </w:t>
      </w:r>
      <w:r w:rsidRPr="00687247">
        <w:rPr>
          <w:highlight w:val="yellow"/>
        </w:rPr>
        <w:t xml:space="preserve">therefore, </w:t>
      </w:r>
      <w:r w:rsidR="00687247" w:rsidRPr="00687247">
        <w:rPr>
          <w:highlight w:val="yellow"/>
        </w:rPr>
        <w:t xml:space="preserve">it seems as though the central pre-Modern conception of </w:t>
      </w:r>
      <w:r w:rsidR="00687247" w:rsidRPr="00687247">
        <w:rPr>
          <w:i/>
          <w:iCs/>
          <w:highlight w:val="yellow"/>
        </w:rPr>
        <w:t>formal assimilation</w:t>
      </w:r>
      <w:r w:rsidR="00687247" w:rsidRPr="00687247">
        <w:rPr>
          <w:highlight w:val="yellow"/>
        </w:rPr>
        <w:t xml:space="preserve"> can </w:t>
      </w:r>
      <w:r w:rsidR="00E11BC6">
        <w:rPr>
          <w:highlight w:val="yellow"/>
        </w:rPr>
        <w:t xml:space="preserve">itself </w:t>
      </w:r>
      <w:r w:rsidR="00687247" w:rsidRPr="00687247">
        <w:rPr>
          <w:highlight w:val="yellow"/>
        </w:rPr>
        <w:t xml:space="preserve">be elucidated using the </w:t>
      </w:r>
      <w:r w:rsidR="001C3EF8" w:rsidRPr="00687247">
        <w:rPr>
          <w:highlight w:val="yellow"/>
        </w:rPr>
        <w:t>tools of contemporary metaphysics</w:t>
      </w:r>
      <w:r w:rsidR="00687247" w:rsidRPr="00687247">
        <w:rPr>
          <w:highlight w:val="yellow"/>
        </w:rPr>
        <w:t xml:space="preserve">, and </w:t>
      </w:r>
      <w:r w:rsidR="00972830">
        <w:rPr>
          <w:highlight w:val="yellow"/>
        </w:rPr>
        <w:t xml:space="preserve">in this respect </w:t>
      </w:r>
      <w:r w:rsidR="00687247" w:rsidRPr="00687247">
        <w:rPr>
          <w:highlight w:val="yellow"/>
        </w:rPr>
        <w:t xml:space="preserve">the </w:t>
      </w:r>
      <w:r w:rsidR="00972830">
        <w:rPr>
          <w:highlight w:val="yellow"/>
        </w:rPr>
        <w:t>distance</w:t>
      </w:r>
      <w:r w:rsidR="00687247" w:rsidRPr="00687247">
        <w:rPr>
          <w:highlight w:val="yellow"/>
        </w:rPr>
        <w:t xml:space="preserve"> between Kalderon’s approach and that of the contemporary naïve realist is limited.</w:t>
      </w:r>
    </w:p>
    <w:p w14:paraId="0AC23C2D" w14:textId="78462765" w:rsidR="009A09CD" w:rsidRDefault="00FE700B" w:rsidP="008D6D91">
      <w:pPr>
        <w:ind w:firstLine="720"/>
      </w:pPr>
      <w:r>
        <w:t xml:space="preserve">The concept of </w:t>
      </w:r>
      <w:r w:rsidR="00972830">
        <w:t>‘</w:t>
      </w:r>
      <w:r w:rsidRPr="00972830">
        <w:t>sympathy</w:t>
      </w:r>
      <w:r w:rsidR="00972830">
        <w:t>’</w:t>
      </w:r>
      <w:r w:rsidR="00687247">
        <w:t>,</w:t>
      </w:r>
      <w:r w:rsidR="00567F4E">
        <w:t xml:space="preserve"> on the other hand,</w:t>
      </w:r>
      <w:r>
        <w:t xml:space="preserve"> </w:t>
      </w:r>
      <w:r w:rsidR="00A84FE9">
        <w:t xml:space="preserve">is more clearly a novel explanatory tool, but </w:t>
      </w:r>
      <w:r w:rsidR="001C3EF8">
        <w:t xml:space="preserve">presents a slightly different challenge. </w:t>
      </w:r>
      <w:r>
        <w:t xml:space="preserve">The notion is appropriated from the Stoic and Neo-Platonic traditions. </w:t>
      </w:r>
      <w:r w:rsidR="00A84FE9">
        <w:t xml:space="preserve">Kalderon’s </w:t>
      </w:r>
      <w:r w:rsidR="00014188">
        <w:t xml:space="preserve">discussion of the </w:t>
      </w:r>
      <w:r>
        <w:t>historical introduction of the term</w:t>
      </w:r>
      <w:r w:rsidR="00014188">
        <w:t xml:space="preserve"> provides</w:t>
      </w:r>
      <w:r>
        <w:t xml:space="preserve"> a fascinating </w:t>
      </w:r>
      <w:r w:rsidR="00014188">
        <w:t xml:space="preserve">account of its development, </w:t>
      </w:r>
      <w:r w:rsidR="000D60B1">
        <w:t xml:space="preserve">and </w:t>
      </w:r>
      <w:r w:rsidR="00014188">
        <w:t>highlights the embeddedness of the historical notion within particular metaphysical systems</w:t>
      </w:r>
      <w:r w:rsidR="00567F4E">
        <w:t xml:space="preserve">. Within these systems, </w:t>
      </w:r>
      <w:r w:rsidR="000D60B1">
        <w:t xml:space="preserve">sympathy </w:t>
      </w:r>
      <w:r w:rsidR="00D93BBE">
        <w:t xml:space="preserve">was </w:t>
      </w:r>
      <w:r w:rsidR="00B5406E">
        <w:t xml:space="preserve">intended to be </w:t>
      </w:r>
      <w:r w:rsidR="00AE58B9">
        <w:t xml:space="preserve">an entirely general principle that explains all forms of physical and psychological action at a distance, and </w:t>
      </w:r>
      <w:r w:rsidR="000D60B1">
        <w:t xml:space="preserve">operates </w:t>
      </w:r>
      <w:r w:rsidR="00045553">
        <w:t xml:space="preserve">between different parts of the natural world </w:t>
      </w:r>
      <w:r w:rsidR="000D60B1">
        <w:t>because the sensible cosmos is a unity that is animated by a World-Soul</w:t>
      </w:r>
      <w:r w:rsidR="00B91AC9">
        <w:t xml:space="preserve"> (pp. 63-66)</w:t>
      </w:r>
      <w:r w:rsidR="00045553">
        <w:t xml:space="preserve">. </w:t>
      </w:r>
      <w:r w:rsidR="00A84FE9">
        <w:t xml:space="preserve">Kalderon transforms the concept, in part, by divorcing it from the broader </w:t>
      </w:r>
      <w:r w:rsidR="00567F4E">
        <w:t xml:space="preserve">metaphysical </w:t>
      </w:r>
      <w:r w:rsidR="00A84FE9">
        <w:t xml:space="preserve">theories in which it was </w:t>
      </w:r>
      <w:r w:rsidR="00850962">
        <w:t>originally</w:t>
      </w:r>
      <w:r w:rsidR="00A84FE9">
        <w:t xml:space="preserve"> embedded. </w:t>
      </w:r>
      <w:r w:rsidR="00702B01">
        <w:t>But w</w:t>
      </w:r>
      <w:r w:rsidR="00813FA3">
        <w:t>hile t</w:t>
      </w:r>
      <w:r w:rsidR="00317352">
        <w:t xml:space="preserve">his is not necessarily problematic in and of itself, the wider context helps to give the concept </w:t>
      </w:r>
      <w:r w:rsidR="009A09CD">
        <w:t xml:space="preserve">a certain </w:t>
      </w:r>
      <w:r w:rsidR="00702B01">
        <w:t>depth</w:t>
      </w:r>
      <w:r w:rsidR="009A09CD">
        <w:t>.</w:t>
      </w:r>
    </w:p>
    <w:p w14:paraId="43A61415" w14:textId="28D311D1" w:rsidR="00813FA3" w:rsidRDefault="008D6D91" w:rsidP="00813FA3">
      <w:pPr>
        <w:ind w:firstLine="720"/>
      </w:pPr>
      <w:r>
        <w:t>First</w:t>
      </w:r>
      <w:r w:rsidR="00317352">
        <w:t>, Kalderon does not endorse t</w:t>
      </w:r>
      <w:r w:rsidR="00014188">
        <w:t xml:space="preserve">he </w:t>
      </w:r>
      <w:r w:rsidR="00AE58B9">
        <w:t>monistic</w:t>
      </w:r>
      <w:r w:rsidR="00317352">
        <w:t xml:space="preserve"> and</w:t>
      </w:r>
      <w:r w:rsidR="00AE58B9">
        <w:t xml:space="preserve"> </w:t>
      </w:r>
      <w:r w:rsidR="001F56F3">
        <w:t xml:space="preserve">vitalistic metaphysics </w:t>
      </w:r>
      <w:r w:rsidR="00317352">
        <w:t xml:space="preserve">of the Stoics or neo-Platonists </w:t>
      </w:r>
      <w:r w:rsidR="001F56F3">
        <w:t xml:space="preserve">(p. 78), but we might wonder </w:t>
      </w:r>
      <w:r w:rsidR="009A09CD">
        <w:t xml:space="preserve">whether </w:t>
      </w:r>
      <w:r w:rsidR="001F56F3">
        <w:t xml:space="preserve">something like this background metaphysical </w:t>
      </w:r>
      <w:r w:rsidR="00317352">
        <w:t xml:space="preserve">picture </w:t>
      </w:r>
      <w:r w:rsidR="001F56F3">
        <w:t xml:space="preserve">is required in order to get a purchase on the explanation that sympathy is introduced to provide. </w:t>
      </w:r>
      <w:r w:rsidR="009D1294">
        <w:t xml:space="preserve">At the very least, the objects to which we formally assimilate in perception have to be such that our conscious experience can become ‘like’ them. There has to be some form resemblance between their sensible qualities and the qualities of our conscious experiences; perceivers cannot be radically different from that which they perceive. </w:t>
      </w:r>
      <w:r w:rsidR="00813FA3">
        <w:t xml:space="preserve">At a minimum this requires what Kalderon describes as the ‘anti-modern’ conception of sensible </w:t>
      </w:r>
      <w:r w:rsidR="00850962">
        <w:t>qualities</w:t>
      </w:r>
      <w:r w:rsidR="00813FA3">
        <w:t xml:space="preserve"> like colour that he defends elsewhere (x).</w:t>
      </w:r>
    </w:p>
    <w:p w14:paraId="3AC43847" w14:textId="79C7645E" w:rsidR="008D6D91" w:rsidRDefault="008D6D91" w:rsidP="000D60B1">
      <w:pPr>
        <w:ind w:firstLine="720"/>
      </w:pPr>
      <w:r w:rsidRPr="00FE3A3D">
        <w:rPr>
          <w:highlight w:val="yellow"/>
        </w:rPr>
        <w:lastRenderedPageBreak/>
        <w:t>Second</w:t>
      </w:r>
      <w:r w:rsidR="00317352" w:rsidRPr="00FE3A3D">
        <w:rPr>
          <w:highlight w:val="yellow"/>
        </w:rPr>
        <w:t xml:space="preserve">, Kalderon </w:t>
      </w:r>
      <w:r w:rsidR="00154121" w:rsidRPr="00FE3A3D">
        <w:rPr>
          <w:highlight w:val="yellow"/>
        </w:rPr>
        <w:t xml:space="preserve">is agnostic on whether the </w:t>
      </w:r>
      <w:r w:rsidRPr="00FE3A3D">
        <w:rPr>
          <w:highlight w:val="yellow"/>
        </w:rPr>
        <w:t>principle of sympathy</w:t>
      </w:r>
      <w:r w:rsidR="00154121" w:rsidRPr="00FE3A3D">
        <w:rPr>
          <w:highlight w:val="yellow"/>
        </w:rPr>
        <w:t xml:space="preserve"> applies only </w:t>
      </w:r>
      <w:r w:rsidRPr="00FE3A3D">
        <w:rPr>
          <w:highlight w:val="yellow"/>
        </w:rPr>
        <w:t>in the case of perceptual experience</w:t>
      </w:r>
      <w:r w:rsidR="00154121" w:rsidRPr="00FE3A3D">
        <w:rPr>
          <w:highlight w:val="yellow"/>
        </w:rPr>
        <w:t xml:space="preserve">, or is rather </w:t>
      </w:r>
      <w:r w:rsidRPr="00FE3A3D">
        <w:rPr>
          <w:highlight w:val="yellow"/>
        </w:rPr>
        <w:t xml:space="preserve">a </w:t>
      </w:r>
      <w:r w:rsidR="00154121" w:rsidRPr="00FE3A3D">
        <w:rPr>
          <w:highlight w:val="yellow"/>
        </w:rPr>
        <w:t xml:space="preserve">more </w:t>
      </w:r>
      <w:r w:rsidRPr="00FE3A3D">
        <w:rPr>
          <w:highlight w:val="yellow"/>
        </w:rPr>
        <w:t xml:space="preserve">general principle that explains all forms of action at a distance or other psychological phenomena. </w:t>
      </w:r>
      <w:r w:rsidR="00154121" w:rsidRPr="00FE3A3D">
        <w:rPr>
          <w:highlight w:val="yellow"/>
        </w:rPr>
        <w:t xml:space="preserve">There is a dilemma here. Kalderon considers a hypothetical example of how sympathy might work outside a perceptual context, </w:t>
      </w:r>
      <w:r w:rsidR="0075495B" w:rsidRPr="00FE3A3D">
        <w:rPr>
          <w:highlight w:val="yellow"/>
        </w:rPr>
        <w:t xml:space="preserve">appealing to </w:t>
      </w:r>
      <w:r w:rsidR="00154121" w:rsidRPr="00FE3A3D">
        <w:rPr>
          <w:highlight w:val="yellow"/>
        </w:rPr>
        <w:t>a suggestion by van Fraassen to show that action at a distance</w:t>
      </w:r>
      <w:r w:rsidR="0075495B" w:rsidRPr="00FE3A3D">
        <w:rPr>
          <w:highlight w:val="yellow"/>
        </w:rPr>
        <w:t xml:space="preserve"> is at least an intelligible effect of a global contraint on a physical system (p. 67). But the situation envisaged, in which matter spontenously appears in random locations to balance out the disappearance of matter elsewhere, does not describe the actual world, and </w:t>
      </w:r>
      <w:r w:rsidR="00972830">
        <w:rPr>
          <w:highlight w:val="yellow"/>
        </w:rPr>
        <w:t xml:space="preserve">it is unclear </w:t>
      </w:r>
      <w:r w:rsidR="0075495B" w:rsidRPr="00FE3A3D">
        <w:rPr>
          <w:highlight w:val="yellow"/>
        </w:rPr>
        <w:t xml:space="preserve">how plausible the wider application of the principle </w:t>
      </w:r>
      <w:r w:rsidR="00FE3A3D" w:rsidRPr="00FE3A3D">
        <w:rPr>
          <w:highlight w:val="yellow"/>
        </w:rPr>
        <w:t>would be. N</w:t>
      </w:r>
      <w:r w:rsidRPr="00FE3A3D">
        <w:rPr>
          <w:highlight w:val="yellow"/>
        </w:rPr>
        <w:t xml:space="preserve">arrowing the scope of the concept </w:t>
      </w:r>
      <w:r w:rsidR="00FE3A3D" w:rsidRPr="00FE3A3D">
        <w:rPr>
          <w:highlight w:val="yellow"/>
        </w:rPr>
        <w:t xml:space="preserve">so that it applies just to perceptual experience, however, would mean that it would </w:t>
      </w:r>
      <w:r w:rsidRPr="00FE3A3D">
        <w:rPr>
          <w:highlight w:val="yellow"/>
        </w:rPr>
        <w:t>lose its generality</w:t>
      </w:r>
      <w:r w:rsidR="00972830">
        <w:rPr>
          <w:highlight w:val="yellow"/>
        </w:rPr>
        <w:t>:</w:t>
      </w:r>
      <w:r w:rsidRPr="00FE3A3D">
        <w:rPr>
          <w:highlight w:val="yellow"/>
        </w:rPr>
        <w:t xml:space="preserve"> </w:t>
      </w:r>
      <w:r w:rsidR="00972830">
        <w:rPr>
          <w:highlight w:val="yellow"/>
        </w:rPr>
        <w:t xml:space="preserve">it </w:t>
      </w:r>
      <w:r w:rsidR="00FE3A3D" w:rsidRPr="00FE3A3D">
        <w:rPr>
          <w:highlight w:val="yellow"/>
        </w:rPr>
        <w:t xml:space="preserve">would </w:t>
      </w:r>
      <w:r w:rsidRPr="00FE3A3D">
        <w:rPr>
          <w:highlight w:val="yellow"/>
        </w:rPr>
        <w:t xml:space="preserve">no longer </w:t>
      </w:r>
      <w:r w:rsidR="00FE3A3D" w:rsidRPr="00FE3A3D">
        <w:rPr>
          <w:highlight w:val="yellow"/>
        </w:rPr>
        <w:t xml:space="preserve">be </w:t>
      </w:r>
      <w:r w:rsidRPr="00FE3A3D">
        <w:rPr>
          <w:highlight w:val="yellow"/>
        </w:rPr>
        <w:t xml:space="preserve">able to provide the unifying explanation of a range of distinct phenomena that it was in pre-Modern theories. This </w:t>
      </w:r>
      <w:r w:rsidR="00FE3A3D" w:rsidRPr="00FE3A3D">
        <w:rPr>
          <w:highlight w:val="yellow"/>
        </w:rPr>
        <w:t xml:space="preserve">would </w:t>
      </w:r>
      <w:r w:rsidR="009A09CD" w:rsidRPr="00FE3A3D">
        <w:rPr>
          <w:highlight w:val="yellow"/>
        </w:rPr>
        <w:t xml:space="preserve">also </w:t>
      </w:r>
      <w:r w:rsidRPr="00FE3A3D">
        <w:rPr>
          <w:highlight w:val="yellow"/>
        </w:rPr>
        <w:t>make it susceptible to encroachment</w:t>
      </w:r>
      <w:r w:rsidR="00291231" w:rsidRPr="00FE3A3D">
        <w:rPr>
          <w:highlight w:val="yellow"/>
        </w:rPr>
        <w:t>. If we no longer need to appeal to sympathy to explain other forms of physical and psychological interaction, then why should we retain it in the case of perception</w:t>
      </w:r>
      <w:r w:rsidR="00813FA3" w:rsidRPr="00FE3A3D">
        <w:rPr>
          <w:highlight w:val="yellow"/>
        </w:rPr>
        <w:t>:</w:t>
      </w:r>
      <w:r w:rsidR="00291231" w:rsidRPr="00FE3A3D">
        <w:rPr>
          <w:highlight w:val="yellow"/>
        </w:rPr>
        <w:t xml:space="preserve"> </w:t>
      </w:r>
      <w:r w:rsidR="00813FA3" w:rsidRPr="00FE3A3D">
        <w:rPr>
          <w:highlight w:val="yellow"/>
        </w:rPr>
        <w:t>w</w:t>
      </w:r>
      <w:r w:rsidR="00291231" w:rsidRPr="00FE3A3D">
        <w:rPr>
          <w:highlight w:val="yellow"/>
        </w:rPr>
        <w:t>hy suppose that perceptual experience is distinctive?</w:t>
      </w:r>
    </w:p>
    <w:p w14:paraId="479AA6B3" w14:textId="16D7C028" w:rsidR="00EC1EA5" w:rsidRDefault="00291231" w:rsidP="00702B01">
      <w:pPr>
        <w:ind w:firstLine="720"/>
      </w:pPr>
      <w:r>
        <w:t xml:space="preserve">Third, and more generally, </w:t>
      </w:r>
      <w:r w:rsidR="00813FA3">
        <w:t xml:space="preserve">we </w:t>
      </w:r>
      <w:r w:rsidR="00702B01">
        <w:t xml:space="preserve">might wonder </w:t>
      </w:r>
      <w:r w:rsidR="00813FA3">
        <w:t xml:space="preserve">whether </w:t>
      </w:r>
      <w:r w:rsidR="00702B01">
        <w:t xml:space="preserve">the </w:t>
      </w:r>
      <w:r>
        <w:t xml:space="preserve">‘analytic’ account of sympathy </w:t>
      </w:r>
      <w:r w:rsidR="00702B01">
        <w:t xml:space="preserve">that Kalderon provides </w:t>
      </w:r>
      <w:r w:rsidR="00813FA3">
        <w:t xml:space="preserve">is </w:t>
      </w:r>
      <w:r>
        <w:t>sufficient</w:t>
      </w:r>
      <w:r w:rsidR="009A09CD">
        <w:t xml:space="preserve"> to </w:t>
      </w:r>
      <w:r w:rsidR="00702B01">
        <w:t xml:space="preserve">help us get traction on the concept. </w:t>
      </w:r>
      <w:r w:rsidR="009A0A05">
        <w:t>Kalderon follows Plotinus in rejecting the Stoic assumption that we can provide a ‘synthet</w:t>
      </w:r>
      <w:r w:rsidR="00DE24AF">
        <w:t>ic’ explanation of sympathy, for instance by appealing to a mechanism that explains how the parts of a unity work together. Rather, sympathy is explained ‘analytically’</w:t>
      </w:r>
      <w:r w:rsidR="00EA71B8">
        <w:t>:</w:t>
      </w:r>
      <w:r w:rsidR="00DE24AF">
        <w:t xml:space="preserve"> we cannot understand what sympathy is independent of the experience that it makes possible. The obvious concern with this is that </w:t>
      </w:r>
      <w:r w:rsidR="00EA71B8">
        <w:t xml:space="preserve">the </w:t>
      </w:r>
      <w:r w:rsidR="00DE24AF">
        <w:t xml:space="preserve">explanation sympathy provides is rather shallow. </w:t>
      </w:r>
      <w:r w:rsidR="00EA71B8">
        <w:t xml:space="preserve">Our grasp on how perception, understood as a formal assimilation of its object, is possible, bottoms out in a principle that cannot </w:t>
      </w:r>
      <w:r w:rsidR="00E1116D">
        <w:t>be understoo</w:t>
      </w:r>
      <w:r w:rsidR="00EA71B8">
        <w:t xml:space="preserve">d independently of the fact that perception is a formal assimilation of its object. </w:t>
      </w:r>
      <w:r w:rsidR="00E1116D">
        <w:t>So</w:t>
      </w:r>
      <w:r>
        <w:t>,</w:t>
      </w:r>
      <w:r w:rsidR="00E1116D">
        <w:t xml:space="preserve"> whilst the pre-Modern concept of ‘sympath</w:t>
      </w:r>
      <w:r>
        <w:t>y’ extends the explanatory toolkit</w:t>
      </w:r>
      <w:r w:rsidR="00E1116D">
        <w:t xml:space="preserve"> provide</w:t>
      </w:r>
      <w:r>
        <w:t>d</w:t>
      </w:r>
      <w:r w:rsidR="00E1116D">
        <w:t xml:space="preserve"> by contemporary metaphysics, </w:t>
      </w:r>
      <w:r w:rsidR="00702B01">
        <w:t xml:space="preserve">we might wonder </w:t>
      </w:r>
      <w:r w:rsidR="00EC1EA5">
        <w:t xml:space="preserve">whether this tool is sufficiently sharp to do the explanatory work it was </w:t>
      </w:r>
      <w:r w:rsidR="00850962">
        <w:t>introduced</w:t>
      </w:r>
      <w:r w:rsidR="00EC1EA5">
        <w:t xml:space="preserve"> to do.</w:t>
      </w:r>
    </w:p>
    <w:p w14:paraId="4E79E1CC" w14:textId="36472386" w:rsidR="003E5536" w:rsidRDefault="0091220F" w:rsidP="000D60B1">
      <w:pPr>
        <w:ind w:firstLine="720"/>
      </w:pPr>
      <w:r>
        <w:t xml:space="preserve">But these questions do nothing to blunt the force of </w:t>
      </w:r>
      <w:r w:rsidR="00291231">
        <w:rPr>
          <w:i/>
        </w:rPr>
        <w:t>Sympathy in Perception</w:t>
      </w:r>
      <w:r>
        <w:t xml:space="preserve"> as a ‘disruptive’ intervention into contemporary debates i</w:t>
      </w:r>
      <w:r w:rsidR="00850962">
        <w:t xml:space="preserve">n the philosophy of perception. </w:t>
      </w:r>
      <w:r>
        <w:t xml:space="preserve">The tour that Kalderon takes </w:t>
      </w:r>
      <w:r w:rsidR="00DE0EDD">
        <w:t xml:space="preserve">the reader </w:t>
      </w:r>
      <w:r>
        <w:t xml:space="preserve">on through </w:t>
      </w:r>
      <w:r w:rsidR="00BE7428">
        <w:t xml:space="preserve">the </w:t>
      </w:r>
      <w:r>
        <w:t xml:space="preserve">ancient, medieval and phenomenological </w:t>
      </w:r>
      <w:r w:rsidR="00DE0EDD">
        <w:t xml:space="preserve">ancestors </w:t>
      </w:r>
      <w:r>
        <w:t xml:space="preserve">and </w:t>
      </w:r>
      <w:r w:rsidR="00BF6458">
        <w:t xml:space="preserve">relatives of contemporary </w:t>
      </w:r>
      <w:r w:rsidR="00850962">
        <w:t>naïve realist theories</w:t>
      </w:r>
      <w:r w:rsidR="00BE7428">
        <w:t xml:space="preserve"> is like travelling to a foreign country, where things are both noticeably different, </w:t>
      </w:r>
      <w:r w:rsidR="00DE0EDD">
        <w:t xml:space="preserve">and </w:t>
      </w:r>
      <w:r w:rsidR="00BE7428">
        <w:t xml:space="preserve">also recognisably similar. </w:t>
      </w:r>
      <w:r w:rsidR="00850962">
        <w:t>Like foreign travel, t</w:t>
      </w:r>
      <w:r w:rsidR="003E5536">
        <w:t xml:space="preserve">his journey </w:t>
      </w:r>
      <w:r w:rsidR="00850962">
        <w:t xml:space="preserve">will give </w:t>
      </w:r>
      <w:r w:rsidR="003E5536">
        <w:t xml:space="preserve">philosophers of perception a refreshed perspective </w:t>
      </w:r>
      <w:r w:rsidR="000B0CD4">
        <w:t xml:space="preserve">on their home </w:t>
      </w:r>
      <w:r w:rsidR="003E5536">
        <w:t>when they return.</w:t>
      </w:r>
      <w:r w:rsidR="00015A69">
        <w:t>*</w:t>
      </w:r>
      <w:r w:rsidR="003E5536">
        <w:t xml:space="preserve"> </w:t>
      </w:r>
    </w:p>
    <w:p w14:paraId="0C10A7A2" w14:textId="655633EA" w:rsidR="00B21E56" w:rsidRDefault="00B21E56" w:rsidP="00CF0376">
      <w:pPr>
        <w:rPr>
          <w:b/>
        </w:rPr>
      </w:pPr>
    </w:p>
    <w:p w14:paraId="37128747" w14:textId="7167ECB4" w:rsidR="00FE3A3D" w:rsidRPr="00FE3A3D" w:rsidRDefault="00FE3A3D" w:rsidP="00CF0376">
      <w:pPr>
        <w:rPr>
          <w:bCs/>
        </w:rPr>
      </w:pPr>
      <w:r w:rsidRPr="00FE3A3D">
        <w:rPr>
          <w:bCs/>
        </w:rPr>
        <w:t>KEITH ALLEN</w:t>
      </w:r>
    </w:p>
    <w:p w14:paraId="16040D19" w14:textId="33141152" w:rsidR="008A2DAA" w:rsidRDefault="00FE3A3D" w:rsidP="00FE3A3D">
      <w:r>
        <w:t>University of York</w:t>
      </w:r>
    </w:p>
    <w:p w14:paraId="23E94A90" w14:textId="3F9B83A0" w:rsidR="00FE3A3D" w:rsidRDefault="00FE3A3D" w:rsidP="00FE3A3D">
      <w:r>
        <w:t>keith.allen@york.ac.uk</w:t>
      </w:r>
    </w:p>
    <w:p w14:paraId="19AF4A65" w14:textId="74C5CBB8" w:rsidR="00015A69" w:rsidRDefault="00015A69" w:rsidP="00015A69"/>
    <w:p w14:paraId="63255989" w14:textId="3FE76A89" w:rsidR="00015A69" w:rsidRDefault="00015A69" w:rsidP="00015A69">
      <w:r w:rsidRPr="005A6FDF">
        <w:rPr>
          <w:highlight w:val="yellow"/>
        </w:rPr>
        <w:lastRenderedPageBreak/>
        <w:t>* Thanks to Louise Richardson and Mark Kalderon for comments on an earlier version of this review.</w:t>
      </w:r>
    </w:p>
    <w:p w14:paraId="33EE00DB" w14:textId="77777777" w:rsidR="00C10600" w:rsidRDefault="00C10600" w:rsidP="008A2DAA">
      <w:pPr>
        <w:ind w:firstLine="720"/>
      </w:pPr>
    </w:p>
    <w:p w14:paraId="5A8421FB" w14:textId="77777777" w:rsidR="008A2DAA" w:rsidRDefault="008A2DAA" w:rsidP="008A2DAA">
      <w:pPr>
        <w:ind w:firstLine="720"/>
      </w:pPr>
    </w:p>
    <w:p w14:paraId="1A1891FF" w14:textId="77777777" w:rsidR="008A2DAA" w:rsidRDefault="008A2DAA" w:rsidP="008A2DAA">
      <w:pPr>
        <w:ind w:firstLine="720"/>
      </w:pPr>
    </w:p>
    <w:p w14:paraId="3BA5A81F" w14:textId="77777777" w:rsidR="008A2DAA" w:rsidRDefault="008A2DAA" w:rsidP="008A2DAA">
      <w:pPr>
        <w:ind w:firstLine="720"/>
      </w:pPr>
    </w:p>
    <w:p w14:paraId="4D359476" w14:textId="77777777" w:rsidR="008A2DAA" w:rsidRDefault="008A2DAA" w:rsidP="00CF0376"/>
    <w:p w14:paraId="1FB8DF2F" w14:textId="77777777" w:rsidR="00CF0376" w:rsidRDefault="00CF0376" w:rsidP="00CF0376">
      <w:pPr>
        <w:rPr>
          <w:i/>
        </w:rPr>
      </w:pPr>
    </w:p>
    <w:p w14:paraId="7C0DA292" w14:textId="77777777" w:rsidR="00CF0376" w:rsidRDefault="00CF0376" w:rsidP="009B5DEC">
      <w:pPr>
        <w:ind w:firstLine="720"/>
      </w:pPr>
    </w:p>
    <w:p w14:paraId="60254A8B" w14:textId="77777777" w:rsidR="008E3026" w:rsidRDefault="008E3026">
      <w:pPr>
        <w:rPr>
          <w:i/>
        </w:rPr>
      </w:pPr>
    </w:p>
    <w:p w14:paraId="08E73144" w14:textId="77777777" w:rsidR="00FD1F29" w:rsidRDefault="00FD1F29" w:rsidP="00517364"/>
    <w:p w14:paraId="4ABAFA5D" w14:textId="77777777" w:rsidR="002154D6" w:rsidRDefault="002154D6" w:rsidP="00AC5965">
      <w:pPr>
        <w:rPr>
          <w:b/>
        </w:rPr>
      </w:pPr>
    </w:p>
    <w:p w14:paraId="022391AA" w14:textId="77777777" w:rsidR="002154D6" w:rsidRDefault="002154D6" w:rsidP="00AC5965">
      <w:pPr>
        <w:rPr>
          <w:b/>
        </w:rPr>
      </w:pPr>
    </w:p>
    <w:sectPr w:rsidR="002154D6" w:rsidSect="00F43C2D">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A4B559" w14:textId="77777777" w:rsidR="001C1268" w:rsidRDefault="001C1268" w:rsidP="00C10600">
      <w:r>
        <w:separator/>
      </w:r>
    </w:p>
  </w:endnote>
  <w:endnote w:type="continuationSeparator" w:id="0">
    <w:p w14:paraId="4C08A6E1" w14:textId="77777777" w:rsidR="001C1268" w:rsidRDefault="001C1268" w:rsidP="00C106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entury Schoolbook">
    <w:panose1 w:val="020406040505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EBA8F4" w14:textId="77777777" w:rsidR="001C1268" w:rsidRDefault="001C1268" w:rsidP="00C10600">
      <w:r>
        <w:separator/>
      </w:r>
    </w:p>
  </w:footnote>
  <w:footnote w:type="continuationSeparator" w:id="0">
    <w:p w14:paraId="1EB4BE21" w14:textId="77777777" w:rsidR="001C1268" w:rsidRDefault="001C1268" w:rsidP="00C1060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4769E"/>
    <w:multiLevelType w:val="hybridMultilevel"/>
    <w:tmpl w:val="E88A7C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0C07B2"/>
    <w:multiLevelType w:val="hybridMultilevel"/>
    <w:tmpl w:val="5378A7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6F2DE4"/>
    <w:multiLevelType w:val="hybridMultilevel"/>
    <w:tmpl w:val="65BA0BDA"/>
    <w:lvl w:ilvl="0" w:tplc="1E842B96">
      <w:start w:val="2"/>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7F94861"/>
    <w:multiLevelType w:val="hybridMultilevel"/>
    <w:tmpl w:val="5088D9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7843B1"/>
    <w:multiLevelType w:val="hybridMultilevel"/>
    <w:tmpl w:val="994445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E465F1"/>
    <w:multiLevelType w:val="hybridMultilevel"/>
    <w:tmpl w:val="DC28A1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114B33"/>
    <w:multiLevelType w:val="hybridMultilevel"/>
    <w:tmpl w:val="375642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E465AE4"/>
    <w:multiLevelType w:val="hybridMultilevel"/>
    <w:tmpl w:val="4F9A43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A61C59"/>
    <w:multiLevelType w:val="hybridMultilevel"/>
    <w:tmpl w:val="718C60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620924"/>
    <w:multiLevelType w:val="hybridMultilevel"/>
    <w:tmpl w:val="55981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8"/>
  </w:num>
  <w:num w:numId="4">
    <w:abstractNumId w:val="5"/>
  </w:num>
  <w:num w:numId="5">
    <w:abstractNumId w:val="0"/>
  </w:num>
  <w:num w:numId="6">
    <w:abstractNumId w:val="3"/>
  </w:num>
  <w:num w:numId="7">
    <w:abstractNumId w:val="7"/>
  </w:num>
  <w:num w:numId="8">
    <w:abstractNumId w:val="1"/>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F2E"/>
    <w:rsid w:val="00014188"/>
    <w:rsid w:val="00015A69"/>
    <w:rsid w:val="00016995"/>
    <w:rsid w:val="0001777C"/>
    <w:rsid w:val="00030A90"/>
    <w:rsid w:val="0003275C"/>
    <w:rsid w:val="000352AC"/>
    <w:rsid w:val="00045553"/>
    <w:rsid w:val="000470B5"/>
    <w:rsid w:val="000478F5"/>
    <w:rsid w:val="0008668C"/>
    <w:rsid w:val="000A3520"/>
    <w:rsid w:val="000B0CD4"/>
    <w:rsid w:val="000D60B1"/>
    <w:rsid w:val="000E5CA4"/>
    <w:rsid w:val="00124F6C"/>
    <w:rsid w:val="0013486A"/>
    <w:rsid w:val="001407AE"/>
    <w:rsid w:val="00154121"/>
    <w:rsid w:val="00176FE8"/>
    <w:rsid w:val="0018275F"/>
    <w:rsid w:val="001878F6"/>
    <w:rsid w:val="001979B5"/>
    <w:rsid w:val="001A37C0"/>
    <w:rsid w:val="001B2CD0"/>
    <w:rsid w:val="001C1268"/>
    <w:rsid w:val="001C3004"/>
    <w:rsid w:val="001C3EF8"/>
    <w:rsid w:val="001D659D"/>
    <w:rsid w:val="001E1F55"/>
    <w:rsid w:val="001F56F3"/>
    <w:rsid w:val="00210774"/>
    <w:rsid w:val="00210F27"/>
    <w:rsid w:val="002154D6"/>
    <w:rsid w:val="00235ABD"/>
    <w:rsid w:val="00237AF1"/>
    <w:rsid w:val="002506CC"/>
    <w:rsid w:val="00264973"/>
    <w:rsid w:val="00266542"/>
    <w:rsid w:val="00291231"/>
    <w:rsid w:val="002D4273"/>
    <w:rsid w:val="002E5915"/>
    <w:rsid w:val="00306844"/>
    <w:rsid w:val="00311595"/>
    <w:rsid w:val="003131B0"/>
    <w:rsid w:val="00317352"/>
    <w:rsid w:val="00322C61"/>
    <w:rsid w:val="00326795"/>
    <w:rsid w:val="003361C0"/>
    <w:rsid w:val="00347F88"/>
    <w:rsid w:val="00374DAB"/>
    <w:rsid w:val="0039535E"/>
    <w:rsid w:val="00396112"/>
    <w:rsid w:val="003A5042"/>
    <w:rsid w:val="003B151D"/>
    <w:rsid w:val="003C4C8A"/>
    <w:rsid w:val="003E5536"/>
    <w:rsid w:val="00441557"/>
    <w:rsid w:val="00444060"/>
    <w:rsid w:val="00452C17"/>
    <w:rsid w:val="00456EE1"/>
    <w:rsid w:val="00462593"/>
    <w:rsid w:val="004727FC"/>
    <w:rsid w:val="00474DB5"/>
    <w:rsid w:val="00475EB1"/>
    <w:rsid w:val="0049277D"/>
    <w:rsid w:val="004D7E4A"/>
    <w:rsid w:val="005059A8"/>
    <w:rsid w:val="00517364"/>
    <w:rsid w:val="00532D91"/>
    <w:rsid w:val="00534562"/>
    <w:rsid w:val="005463A0"/>
    <w:rsid w:val="00567F4E"/>
    <w:rsid w:val="00577889"/>
    <w:rsid w:val="005A6CFB"/>
    <w:rsid w:val="005A6FDF"/>
    <w:rsid w:val="005C5FCB"/>
    <w:rsid w:val="005F6A4E"/>
    <w:rsid w:val="00634D02"/>
    <w:rsid w:val="00635AB9"/>
    <w:rsid w:val="00671543"/>
    <w:rsid w:val="00684E1D"/>
    <w:rsid w:val="00686FB5"/>
    <w:rsid w:val="00687247"/>
    <w:rsid w:val="006901F1"/>
    <w:rsid w:val="00692462"/>
    <w:rsid w:val="00697D1B"/>
    <w:rsid w:val="006A00B6"/>
    <w:rsid w:val="006B4480"/>
    <w:rsid w:val="006B7869"/>
    <w:rsid w:val="006D5361"/>
    <w:rsid w:val="00702B01"/>
    <w:rsid w:val="007322A1"/>
    <w:rsid w:val="0075451B"/>
    <w:rsid w:val="0075495B"/>
    <w:rsid w:val="00773584"/>
    <w:rsid w:val="00780644"/>
    <w:rsid w:val="00786C69"/>
    <w:rsid w:val="00795725"/>
    <w:rsid w:val="00796B80"/>
    <w:rsid w:val="007E6583"/>
    <w:rsid w:val="00800D27"/>
    <w:rsid w:val="00813FA3"/>
    <w:rsid w:val="008359E1"/>
    <w:rsid w:val="00850962"/>
    <w:rsid w:val="008705C6"/>
    <w:rsid w:val="00887401"/>
    <w:rsid w:val="00891C4C"/>
    <w:rsid w:val="008A1A0F"/>
    <w:rsid w:val="008A2DAA"/>
    <w:rsid w:val="008A39B4"/>
    <w:rsid w:val="008D6D91"/>
    <w:rsid w:val="008E3026"/>
    <w:rsid w:val="008E7A75"/>
    <w:rsid w:val="009006B0"/>
    <w:rsid w:val="00903C31"/>
    <w:rsid w:val="0091220F"/>
    <w:rsid w:val="00915259"/>
    <w:rsid w:val="009377B6"/>
    <w:rsid w:val="00940D1D"/>
    <w:rsid w:val="00942EA8"/>
    <w:rsid w:val="00972830"/>
    <w:rsid w:val="00973D87"/>
    <w:rsid w:val="009A09CD"/>
    <w:rsid w:val="009A0A05"/>
    <w:rsid w:val="009B4E16"/>
    <w:rsid w:val="009B5DEC"/>
    <w:rsid w:val="009D03EF"/>
    <w:rsid w:val="009D1294"/>
    <w:rsid w:val="009E42DB"/>
    <w:rsid w:val="009F0548"/>
    <w:rsid w:val="009F1AC4"/>
    <w:rsid w:val="00A66E0F"/>
    <w:rsid w:val="00A84FE9"/>
    <w:rsid w:val="00A85ECD"/>
    <w:rsid w:val="00A9441B"/>
    <w:rsid w:val="00A97FE0"/>
    <w:rsid w:val="00AB5E3F"/>
    <w:rsid w:val="00AC1CD8"/>
    <w:rsid w:val="00AC5965"/>
    <w:rsid w:val="00AD5374"/>
    <w:rsid w:val="00AE58B9"/>
    <w:rsid w:val="00B113FE"/>
    <w:rsid w:val="00B20865"/>
    <w:rsid w:val="00B21E56"/>
    <w:rsid w:val="00B45D54"/>
    <w:rsid w:val="00B47BE2"/>
    <w:rsid w:val="00B5406E"/>
    <w:rsid w:val="00B6146A"/>
    <w:rsid w:val="00B862AC"/>
    <w:rsid w:val="00B87303"/>
    <w:rsid w:val="00B91AC9"/>
    <w:rsid w:val="00BB4DC4"/>
    <w:rsid w:val="00BC35B4"/>
    <w:rsid w:val="00BE1A97"/>
    <w:rsid w:val="00BE7428"/>
    <w:rsid w:val="00BF6458"/>
    <w:rsid w:val="00C05AA1"/>
    <w:rsid w:val="00C10600"/>
    <w:rsid w:val="00C3493C"/>
    <w:rsid w:val="00C428FD"/>
    <w:rsid w:val="00C652C7"/>
    <w:rsid w:val="00C80B47"/>
    <w:rsid w:val="00C8356E"/>
    <w:rsid w:val="00C9216D"/>
    <w:rsid w:val="00CC4928"/>
    <w:rsid w:val="00CC60E3"/>
    <w:rsid w:val="00CF0376"/>
    <w:rsid w:val="00CF7C46"/>
    <w:rsid w:val="00D0175D"/>
    <w:rsid w:val="00D066B1"/>
    <w:rsid w:val="00D16D3B"/>
    <w:rsid w:val="00D300E6"/>
    <w:rsid w:val="00D35B79"/>
    <w:rsid w:val="00D41F2E"/>
    <w:rsid w:val="00D441B5"/>
    <w:rsid w:val="00D51C40"/>
    <w:rsid w:val="00D604A2"/>
    <w:rsid w:val="00D65846"/>
    <w:rsid w:val="00D709DE"/>
    <w:rsid w:val="00D93BBE"/>
    <w:rsid w:val="00DD0390"/>
    <w:rsid w:val="00DD1957"/>
    <w:rsid w:val="00DE0EDD"/>
    <w:rsid w:val="00DE0EE9"/>
    <w:rsid w:val="00DE24AF"/>
    <w:rsid w:val="00DE49A0"/>
    <w:rsid w:val="00DE50BE"/>
    <w:rsid w:val="00DF4C1D"/>
    <w:rsid w:val="00E04E84"/>
    <w:rsid w:val="00E1116D"/>
    <w:rsid w:val="00E11BC6"/>
    <w:rsid w:val="00E144F8"/>
    <w:rsid w:val="00E20624"/>
    <w:rsid w:val="00E3565E"/>
    <w:rsid w:val="00E6254C"/>
    <w:rsid w:val="00EA71B8"/>
    <w:rsid w:val="00EB38CC"/>
    <w:rsid w:val="00EC1EA5"/>
    <w:rsid w:val="00ED45C5"/>
    <w:rsid w:val="00EE452D"/>
    <w:rsid w:val="00F07291"/>
    <w:rsid w:val="00F21D78"/>
    <w:rsid w:val="00F43C2D"/>
    <w:rsid w:val="00F54672"/>
    <w:rsid w:val="00F62EC0"/>
    <w:rsid w:val="00F8173F"/>
    <w:rsid w:val="00F82676"/>
    <w:rsid w:val="00F83519"/>
    <w:rsid w:val="00FC2010"/>
    <w:rsid w:val="00FC4458"/>
    <w:rsid w:val="00FD1F29"/>
    <w:rsid w:val="00FE3A3D"/>
    <w:rsid w:val="00FE3BD9"/>
    <w:rsid w:val="00FE4AF6"/>
    <w:rsid w:val="00FE70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8A3B0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1B0"/>
    <w:pPr>
      <w:jc w:val="both"/>
    </w:pPr>
    <w:rPr>
      <w:rFonts w:ascii="Century Schoolbook" w:hAnsi="Century School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364"/>
    <w:pPr>
      <w:ind w:left="720"/>
      <w:contextualSpacing/>
    </w:pPr>
  </w:style>
  <w:style w:type="paragraph" w:styleId="FootnoteText">
    <w:name w:val="footnote text"/>
    <w:basedOn w:val="Normal"/>
    <w:link w:val="FootnoteTextChar"/>
    <w:uiPriority w:val="99"/>
    <w:unhideWhenUsed/>
    <w:rsid w:val="00C10600"/>
  </w:style>
  <w:style w:type="character" w:customStyle="1" w:styleId="FootnoteTextChar">
    <w:name w:val="Footnote Text Char"/>
    <w:basedOn w:val="DefaultParagraphFont"/>
    <w:link w:val="FootnoteText"/>
    <w:uiPriority w:val="99"/>
    <w:rsid w:val="00C10600"/>
    <w:rPr>
      <w:rFonts w:ascii="Century Schoolbook" w:hAnsi="Century Schoolbook"/>
    </w:rPr>
  </w:style>
  <w:style w:type="character" w:styleId="FootnoteReference">
    <w:name w:val="footnote reference"/>
    <w:basedOn w:val="DefaultParagraphFont"/>
    <w:uiPriority w:val="99"/>
    <w:unhideWhenUsed/>
    <w:rsid w:val="00C10600"/>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1B0"/>
    <w:pPr>
      <w:jc w:val="both"/>
    </w:pPr>
    <w:rPr>
      <w:rFonts w:ascii="Century Schoolbook" w:hAnsi="Century Schoolboo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364"/>
    <w:pPr>
      <w:ind w:left="720"/>
      <w:contextualSpacing/>
    </w:pPr>
  </w:style>
  <w:style w:type="paragraph" w:styleId="FootnoteText">
    <w:name w:val="footnote text"/>
    <w:basedOn w:val="Normal"/>
    <w:link w:val="FootnoteTextChar"/>
    <w:uiPriority w:val="99"/>
    <w:unhideWhenUsed/>
    <w:rsid w:val="00C10600"/>
  </w:style>
  <w:style w:type="character" w:customStyle="1" w:styleId="FootnoteTextChar">
    <w:name w:val="Footnote Text Char"/>
    <w:basedOn w:val="DefaultParagraphFont"/>
    <w:link w:val="FootnoteText"/>
    <w:uiPriority w:val="99"/>
    <w:rsid w:val="00C10600"/>
    <w:rPr>
      <w:rFonts w:ascii="Century Schoolbook" w:hAnsi="Century Schoolbook"/>
    </w:rPr>
  </w:style>
  <w:style w:type="character" w:styleId="FootnoteReference">
    <w:name w:val="footnote reference"/>
    <w:basedOn w:val="DefaultParagraphFont"/>
    <w:uiPriority w:val="99"/>
    <w:unhideWhenUsed/>
    <w:rsid w:val="00C106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3365</Words>
  <Characters>19187</Characters>
  <Application>Microsoft Macintosh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22507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Allen</dc:creator>
  <cp:keywords/>
  <dc:description/>
  <cp:lastModifiedBy>Keith Allen</cp:lastModifiedBy>
  <cp:revision>2</cp:revision>
  <dcterms:created xsi:type="dcterms:W3CDTF">2021-01-07T19:36:00Z</dcterms:created>
  <dcterms:modified xsi:type="dcterms:W3CDTF">2021-01-07T19:36:00Z</dcterms:modified>
</cp:coreProperties>
</file>