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90502" w14:textId="6906CB1D" w:rsidR="00D3439E" w:rsidRDefault="00D3439E" w:rsidP="00DB76A8">
      <w:pPr>
        <w:pStyle w:val="Articletitle"/>
      </w:pPr>
      <w:bookmarkStart w:id="0" w:name="_Hlk34673086"/>
      <w:bookmarkStart w:id="1" w:name="_Hlk44348715"/>
      <w:bookmarkEnd w:id="0"/>
      <w:r w:rsidRPr="00B42097">
        <w:t xml:space="preserve">Testing the precision of spatial memory representations using a change-detection task: Effects of viewpoint change </w:t>
      </w:r>
    </w:p>
    <w:p w14:paraId="43D1ECC7" w14:textId="09E485DD" w:rsidR="00D3439E" w:rsidRPr="00B42097" w:rsidRDefault="00D3439E" w:rsidP="00E26CFF">
      <w:pPr>
        <w:pStyle w:val="Correspondencedetails"/>
      </w:pPr>
      <w:r w:rsidRPr="00B42097">
        <w:t>Edward Heywood-Everett, Daniel H. Baker, Tom Hartley</w:t>
      </w:r>
      <w:r w:rsidR="00672E13" w:rsidRPr="00B42097">
        <w:t>*</w:t>
      </w:r>
      <w:r w:rsidRPr="00B42097">
        <w:t xml:space="preserve"> </w:t>
      </w:r>
    </w:p>
    <w:p w14:paraId="6B36B261" w14:textId="0782DECF" w:rsidR="00700BA6" w:rsidRPr="001942F8" w:rsidRDefault="00B64FA3" w:rsidP="001942F8">
      <w:pPr>
        <w:pStyle w:val="Affiliation"/>
        <w:rPr>
          <w:i w:val="0"/>
        </w:rPr>
      </w:pPr>
      <w:r w:rsidRPr="00B42097">
        <w:rPr>
          <w:i w:val="0"/>
        </w:rPr>
        <w:t>Department</w:t>
      </w:r>
      <w:r w:rsidR="00D3439E" w:rsidRPr="00B42097">
        <w:rPr>
          <w:i w:val="0"/>
        </w:rPr>
        <w:t xml:space="preserve"> of Psychology</w:t>
      </w:r>
      <w:r w:rsidR="00700BA6" w:rsidRPr="00B42097">
        <w:rPr>
          <w:i w:val="0"/>
        </w:rPr>
        <w:t xml:space="preserve"> and York Biomedical Research Institute</w:t>
      </w:r>
      <w:r w:rsidRPr="00B42097">
        <w:rPr>
          <w:i w:val="0"/>
        </w:rPr>
        <w:t>, University</w:t>
      </w:r>
      <w:r w:rsidR="00D3439E" w:rsidRPr="00B42097">
        <w:rPr>
          <w:i w:val="0"/>
        </w:rPr>
        <w:t xml:space="preserve"> of York</w:t>
      </w:r>
      <w:r w:rsidRPr="00B42097">
        <w:rPr>
          <w:i w:val="0"/>
        </w:rPr>
        <w:t>,</w:t>
      </w:r>
      <w:r w:rsidR="00700BA6" w:rsidRPr="00B42097">
        <w:rPr>
          <w:i w:val="0"/>
        </w:rPr>
        <w:t xml:space="preserve"> UK</w:t>
      </w:r>
    </w:p>
    <w:p w14:paraId="773BD902" w14:textId="14C292B5" w:rsidR="00700BA6" w:rsidRPr="00B42097" w:rsidRDefault="00700BA6" w:rsidP="001942F8">
      <w:pPr>
        <w:pStyle w:val="BodyText"/>
      </w:pPr>
      <w:r w:rsidRPr="00B42097">
        <w:t xml:space="preserve">Short title/running head: </w:t>
      </w:r>
      <w:r w:rsidR="000D5333" w:rsidRPr="00B42097">
        <w:t>Viewpoint change and precision of spatial memory</w:t>
      </w:r>
    </w:p>
    <w:p w14:paraId="6EC95783" w14:textId="42AA4F64" w:rsidR="00700BA6" w:rsidRPr="00B42097" w:rsidRDefault="00C37104" w:rsidP="00DA2656">
      <w:pPr>
        <w:pStyle w:val="BodyText"/>
        <w:spacing w:after="120" w:line="365" w:lineRule="auto"/>
        <w:ind w:left="-6" w:right="57"/>
      </w:pPr>
      <w:r w:rsidRPr="00B42097">
        <w:t>*</w:t>
      </w:r>
      <w:r w:rsidR="00700BA6" w:rsidRPr="00B42097">
        <w:t>Correspondence should be addressed to:</w:t>
      </w:r>
    </w:p>
    <w:p w14:paraId="51519519" w14:textId="77777777" w:rsidR="00700BA6" w:rsidRPr="00B42097" w:rsidRDefault="00700BA6" w:rsidP="00DA2656">
      <w:pPr>
        <w:pStyle w:val="BodyText"/>
        <w:spacing w:after="0" w:line="365" w:lineRule="auto"/>
        <w:ind w:left="-6" w:right="57"/>
      </w:pPr>
      <w:r w:rsidRPr="00B42097">
        <w:t>Tom Hartley</w:t>
      </w:r>
    </w:p>
    <w:p w14:paraId="41D1C9CE" w14:textId="77777777" w:rsidR="00700BA6" w:rsidRPr="00B42097" w:rsidRDefault="00700BA6" w:rsidP="00DA2656">
      <w:pPr>
        <w:pStyle w:val="BodyText"/>
        <w:spacing w:after="0" w:line="365" w:lineRule="auto"/>
        <w:ind w:left="-6" w:right="57"/>
      </w:pPr>
      <w:r w:rsidRPr="00B42097">
        <w:t>Department of Psychology</w:t>
      </w:r>
    </w:p>
    <w:p w14:paraId="2837C8FE" w14:textId="77777777" w:rsidR="00700BA6" w:rsidRPr="00B42097" w:rsidRDefault="00700BA6" w:rsidP="00DA2656">
      <w:pPr>
        <w:pStyle w:val="BodyText"/>
        <w:spacing w:after="0" w:line="365" w:lineRule="auto"/>
        <w:ind w:left="-6" w:right="57"/>
      </w:pPr>
      <w:r w:rsidRPr="00B42097">
        <w:t>University of York</w:t>
      </w:r>
    </w:p>
    <w:p w14:paraId="7F2673FD" w14:textId="77777777" w:rsidR="00700BA6" w:rsidRPr="00B42097" w:rsidRDefault="00700BA6" w:rsidP="00DA2656">
      <w:pPr>
        <w:pStyle w:val="BodyText"/>
        <w:spacing w:after="0" w:line="365" w:lineRule="auto"/>
        <w:ind w:left="-6" w:right="57"/>
      </w:pPr>
      <w:r w:rsidRPr="00B42097">
        <w:t>Heslington UK</w:t>
      </w:r>
    </w:p>
    <w:p w14:paraId="013CA833" w14:textId="77777777" w:rsidR="00700BA6" w:rsidRPr="00B42097" w:rsidRDefault="00700BA6" w:rsidP="00DA2656">
      <w:pPr>
        <w:pStyle w:val="BodyText"/>
        <w:spacing w:after="0"/>
      </w:pPr>
      <w:r w:rsidRPr="00B42097">
        <w:t>Tel: +44 (0) 1904 322903</w:t>
      </w:r>
    </w:p>
    <w:p w14:paraId="58084BD2" w14:textId="7B03B25C" w:rsidR="00700BA6" w:rsidRPr="00B42097" w:rsidRDefault="00700BA6" w:rsidP="00DA2656">
      <w:pPr>
        <w:pStyle w:val="BodyText"/>
        <w:spacing w:after="0"/>
        <w:rPr>
          <w:i/>
        </w:rPr>
      </w:pPr>
      <w:r w:rsidRPr="00B42097">
        <w:t>Email: tom.hartley@york.ac.uk</w:t>
      </w:r>
    </w:p>
    <w:p w14:paraId="1C347F59" w14:textId="2034C276" w:rsidR="000D5333" w:rsidRDefault="000D5333" w:rsidP="00E26CFF">
      <w:pPr>
        <w:pStyle w:val="Affiliation"/>
        <w:rPr>
          <w:i w:val="0"/>
        </w:rPr>
      </w:pPr>
      <w:r w:rsidRPr="00B42097">
        <w:rPr>
          <w:i w:val="0"/>
        </w:rPr>
        <w:t xml:space="preserve">Acknowledgements: </w:t>
      </w:r>
      <w:r w:rsidR="00BC51A0" w:rsidRPr="00B42097">
        <w:rPr>
          <w:i w:val="0"/>
        </w:rPr>
        <w:t>EH</w:t>
      </w:r>
      <w:r w:rsidR="00395A2B" w:rsidRPr="00B42097">
        <w:rPr>
          <w:i w:val="0"/>
        </w:rPr>
        <w:t>-</w:t>
      </w:r>
      <w:r w:rsidR="00BC51A0" w:rsidRPr="00B42097">
        <w:rPr>
          <w:i w:val="0"/>
        </w:rPr>
        <w:t>E was supported by a University of York, Departmen</w:t>
      </w:r>
      <w:r w:rsidR="00DA2656">
        <w:rPr>
          <w:i w:val="0"/>
        </w:rPr>
        <w:t xml:space="preserve">t of Psychology </w:t>
      </w:r>
      <w:r w:rsidR="00BC51A0" w:rsidRPr="00B42097">
        <w:rPr>
          <w:i w:val="0"/>
        </w:rPr>
        <w:t>Studentship.</w:t>
      </w:r>
    </w:p>
    <w:p w14:paraId="52BE0ED6" w14:textId="5314AB11" w:rsidR="00057F4F" w:rsidRDefault="00057F4F" w:rsidP="00E26CFF">
      <w:pPr>
        <w:pStyle w:val="Affiliation"/>
        <w:rPr>
          <w:rStyle w:val="Hyperlink"/>
          <w:i w:val="0"/>
          <w:iCs/>
        </w:rPr>
      </w:pPr>
      <w:r w:rsidRPr="00057F4F">
        <w:rPr>
          <w:i w:val="0"/>
          <w:iCs/>
          <w:shd w:val="clear" w:color="auto" w:fill="FFFFFF"/>
        </w:rPr>
        <w:t xml:space="preserve">The data that support the findings of this study are openly available </w:t>
      </w:r>
      <w:hyperlink r:id="rId8" w:history="1">
        <w:r w:rsidRPr="00057F4F">
          <w:rPr>
            <w:rStyle w:val="Hyperlink"/>
            <w:i w:val="0"/>
            <w:iCs/>
          </w:rPr>
          <w:t>https://osf.io/p6gzt/</w:t>
        </w:r>
      </w:hyperlink>
      <w:r w:rsidRPr="00057F4F">
        <w:rPr>
          <w:i w:val="0"/>
          <w:iCs/>
        </w:rPr>
        <w:t xml:space="preserve"> and </w:t>
      </w:r>
      <w:hyperlink r:id="rId9" w:history="1">
        <w:r w:rsidRPr="00057F4F">
          <w:rPr>
            <w:rStyle w:val="Hyperlink"/>
            <w:i w:val="0"/>
            <w:iCs/>
          </w:rPr>
          <w:t>https://osf.io/j7a8p/</w:t>
        </w:r>
      </w:hyperlink>
    </w:p>
    <w:p w14:paraId="5AF380AB" w14:textId="3EDE8EDD" w:rsidR="00DA2656" w:rsidRPr="00DA2656" w:rsidRDefault="00DA2656" w:rsidP="00DA2656">
      <w:r>
        <w:t xml:space="preserve">The version of record has been published and is available in the Journal of Cognitive Psychology (28/12/20) </w:t>
      </w:r>
      <w:proofErr w:type="spellStart"/>
      <w:r w:rsidRPr="00DA2656">
        <w:t>doi</w:t>
      </w:r>
      <w:proofErr w:type="spellEnd"/>
      <w:r>
        <w:t>:</w:t>
      </w:r>
      <w:r w:rsidRPr="00DA2656">
        <w:t xml:space="preserve"> 10.1080/20445911.2020.1863414</w:t>
      </w:r>
      <w:r>
        <w:t xml:space="preserve">. </w:t>
      </w:r>
    </w:p>
    <w:p w14:paraId="2000C959" w14:textId="5175951A" w:rsidR="000D5333" w:rsidRPr="00B42097" w:rsidRDefault="000D5333" w:rsidP="00E26CFF">
      <w:pPr>
        <w:pStyle w:val="Affiliation"/>
        <w:rPr>
          <w:i w:val="0"/>
        </w:rPr>
      </w:pPr>
      <w:r w:rsidRPr="00B42097">
        <w:rPr>
          <w:i w:val="0"/>
        </w:rPr>
        <w:t xml:space="preserve">Keywords: Allocentric, Egocentric, Psychophysics, </w:t>
      </w:r>
      <w:r w:rsidR="004672D9" w:rsidRPr="00B42097">
        <w:rPr>
          <w:i w:val="0"/>
        </w:rPr>
        <w:t>Virtual</w:t>
      </w:r>
      <w:r w:rsidR="00BC51A0" w:rsidRPr="00B42097">
        <w:rPr>
          <w:i w:val="0"/>
        </w:rPr>
        <w:t xml:space="preserve"> Environment</w:t>
      </w:r>
      <w:r w:rsidR="004672D9" w:rsidRPr="00B42097">
        <w:rPr>
          <w:i w:val="0"/>
        </w:rPr>
        <w:t>, Change Detection, Spatial Memory, Viewpoint Rotation</w:t>
      </w:r>
      <w:r w:rsidR="00BC51A0" w:rsidRPr="00B42097">
        <w:rPr>
          <w:i w:val="0"/>
        </w:rPr>
        <w:t>.</w:t>
      </w:r>
      <w:r w:rsidR="004672D9" w:rsidRPr="00B42097">
        <w:rPr>
          <w:i w:val="0"/>
        </w:rPr>
        <w:t xml:space="preserve"> </w:t>
      </w:r>
    </w:p>
    <w:p w14:paraId="276670BB" w14:textId="797EDDD0" w:rsidR="0059184E" w:rsidRPr="00B42097" w:rsidRDefault="00C14585" w:rsidP="000B759C">
      <w:pPr>
        <w:pStyle w:val="Articletitle"/>
      </w:pPr>
      <w:r w:rsidRPr="00B42097">
        <w:br w:type="page"/>
      </w:r>
      <w:r w:rsidR="0059184E" w:rsidRPr="00B42097">
        <w:lastRenderedPageBreak/>
        <w:t>Abstract</w:t>
      </w:r>
    </w:p>
    <w:p w14:paraId="5F263B24" w14:textId="77777777" w:rsidR="00DA2656" w:rsidRDefault="00DA2656">
      <w:pPr>
        <w:pStyle w:val="Heading1"/>
        <w:rPr>
          <w:b w:val="0"/>
          <w:bCs w:val="0"/>
          <w:color w:val="000000"/>
          <w:kern w:val="0"/>
          <w:szCs w:val="24"/>
        </w:rPr>
      </w:pPr>
      <w:r w:rsidRPr="00DA2656">
        <w:rPr>
          <w:b w:val="0"/>
          <w:bCs w:val="0"/>
          <w:color w:val="000000"/>
          <w:kern w:val="0"/>
          <w:szCs w:val="24"/>
        </w:rPr>
        <w:t xml:space="preserve">The brain encodes spatial information in at least two distinct ways: egocentric representations encode locations relative to the observer, whereas allocentric representations encode locations relative to the environment. Both inform spatial memory, but the extent to which they influence behaviour varies depending on the task. In two preregistered experiments we used a psychophysical approach to measure the precision of spatial memory while varying ego- and allocentric task demands. Participants attempted to detect the changed location of one of four objects when seen from a new viewpoint. In both experiments (one using a Same/Different task, the other a 2AFC task), </w:t>
      </w:r>
      <w:proofErr w:type="gramStart"/>
      <w:r w:rsidRPr="00DA2656">
        <w:rPr>
          <w:b w:val="0"/>
          <w:bCs w:val="0"/>
          <w:color w:val="000000"/>
          <w:kern w:val="0"/>
          <w:szCs w:val="24"/>
        </w:rPr>
        <w:t>psychophysically-determined</w:t>
      </w:r>
      <w:proofErr w:type="gramEnd"/>
      <w:r w:rsidRPr="00DA2656">
        <w:rPr>
          <w:b w:val="0"/>
          <w:bCs w:val="0"/>
          <w:color w:val="000000"/>
          <w:kern w:val="0"/>
          <w:szCs w:val="24"/>
        </w:rPr>
        <w:t xml:space="preserve"> change detection thresholds showed a monotonic but non-linear increase as the degree of viewpoint change increased. Our findings were consistent with a preregistered model which shows how, governed by distinct ego- and allocentric contributions, the precision of spatial memory changes lawfully as a function of viewpoint shift.</w:t>
      </w:r>
    </w:p>
    <w:p w14:paraId="1983C2F3" w14:textId="77777777" w:rsidR="00DA2656" w:rsidRDefault="00DA2656">
      <w:pPr>
        <w:pStyle w:val="Heading1"/>
        <w:rPr>
          <w:b w:val="0"/>
          <w:bCs w:val="0"/>
          <w:color w:val="000000"/>
          <w:kern w:val="0"/>
          <w:szCs w:val="24"/>
        </w:rPr>
      </w:pPr>
    </w:p>
    <w:p w14:paraId="41D8BD62" w14:textId="58B7AD64" w:rsidR="00585327" w:rsidRPr="00B42097" w:rsidRDefault="00585327">
      <w:pPr>
        <w:pStyle w:val="Heading1"/>
      </w:pPr>
      <w:r w:rsidRPr="00B42097">
        <w:t>Introduction</w:t>
      </w:r>
    </w:p>
    <w:p w14:paraId="0FB7BCF9" w14:textId="77777777" w:rsidR="00CC71DB" w:rsidRDefault="00B80A97" w:rsidP="00CC71DB">
      <w:pPr>
        <w:pStyle w:val="BodyText"/>
      </w:pPr>
      <w:r w:rsidRPr="00B42097">
        <w:t xml:space="preserve">Spatial memory allows mobile organisms to act adaptively in complex environments that extend, temporally and spatially, beyond the range of their senses. The way in which the environment and salient objects and locations within it are represented in memory can take different forms, each of which may be suited to specific situations. Extensive neuroscientific and neuropsychological evidence indicates a distinction, in humans and other mammals, between egocentric and allocentric representations </w:t>
      </w:r>
      <w:r w:rsidRPr="00B42097">
        <w:fldChar w:fldCharType="begin"/>
      </w:r>
      <w:r w:rsidR="00BE64D3">
        <w:instrText xml:space="preserve"> ADDIN ZOTERO_ITEM CSL_CITATION {"citationID":"Fvg1u9Bd","properties":{"formattedCitation":"(Burgess, 2008; Ekstrom et al., 2014; Galati et al., 2000; Tom Hartley et al., 2014)","plainCitation":"(Burgess, 2008; Ekstrom et al., 2014; Galati et al., 2000; Tom Hartley et al., 2014)","dontUpdate":true,"noteIndex":0},"citationItems":[{"id":482,"uris":["http://zotero.org/users/5736906/items/3SUAAC2U"],"uri":["http://zotero.org/users/5736906/items/3SUAAC2U"],"itemData":{"id":482,"type":"article-journal","container-title":"Annals of the New York Academy of Sciences","DOI":"10.1196/annals.1440.002","ISSN":"00778923","issue":"1","language":"en","page":"77-97","source":"DOI.org (Crossref)","title":"&lt;i&gt;Spatial Cognition and the Brain&lt;/i&gt;","volume":"1124","author":[{"family":"Burgess","given":"Neil"}],"issued":{"date-parts":[["2008",3]]}}},{"id":221,"uris":["http://zotero.org/users/5736906/items/AEPFF23T"],"uri":["http://zotero.org/users/5736906/items/AEPFF23T"],"itemData":{"id":221,"type":"article-journal","abstract":"While the widely studied allocentric spatial representation holds a special status in neuroscience research, its exact nature and neural underpinnings continue to be the topic of debate, particularly in humans. Here, based on a review of human behavioral research, we argue that allocentric representations do not provide the kind of map-like, metric representation one might expect based on past theoretical work. Instead, we suggest that almost all tasks used in past studies involve a combination of egocentric and allocentric representation, complicating both the investigation of the cognitive basis of an allocentric representation and the task of identifying a brain region specifically dedicated to it. Indeed, as we discuss in detail, past studies suggest numerous brain regions important to allocentric spatial memory in addition to the hippocampus, including parahippocampal, retrosplenial, and prefrontal cortices. We thus argue that although allocentric computations will often require the hippocampus, particularly those involving extracting details across temporally specific routes, the hippocampus is not necessary for all allocentric computations. We instead suggest that a non-aggregate network process involving multiple interacting brain areas, including hippocampus and extra-hippocampal areas such as parahippocampal, retrosplenial, prefrontal, and parietal cortices, better characterizes the neural basis of spatial representation during navigation. According to this model, an allocentric representation does not emerge from the computations of a single brain region (i.e., hippocampus) nor is it readily decomposable into additive computations performed by separate brain regions. Instead, an allocentric representation emerges from computations partially shared across numerous interacting brain regions. We discuss our non-aggregate network model in light of existing data and provide several key predictions for future experiments.","container-title":"Frontiers in Human Neuroscience","DOI":"10.3389/fnhum.2014.00803","ISSN":"1662-5161","journalAbbreviation":"Front. Hum. Neurosci.","language":"English","source":"Frontiers","title":"A critical review of the allocentric spatial representation and its neural underpinnings: toward a network-based perspective","title-short":"A critical review of the allocentric spatial representation and its neural underpinnings","URL":"https://www.frontiersin.org/articles/10.3389/fnhum.2014.00803/full","volume":"8","author":[{"family":"Ekstrom","given":"Arne D."},{"family":"Arnold","given":"Aiden E. G. F."},{"family":"Iaria","given":"Giuseppe"}],"accessed":{"date-parts":[["2019",5,17]]},"issued":{"date-parts":[["2014"]]}}},{"id":119,"uris":["http://zotero.org/users/5736906/items/FWNSKM73"],"uri":["http://zotero.org/users/5736906/items/FWNSKM73"],"itemData":{"id":119,"type":"article-journal","abstract":"The spatial location of an object can be represented in the brain with\nrespect to different classes of reference frames, either relative to or\nindependent of the subject's position. We used functional magnetic\nresonance imaging to identify regions of the healthy human brain\nsubserving mainly egocentric or allocentric (object-based) coordinates by\nasking subjects to judge the location of a visual stimulus with respect to\neither their body or an object. A color-judgement task, matched for\nstimuli, difficulty, motor and oculomotor responses, was used as a\ncontrol. We identified a bilateral, though mainly right-hemisphere based,\nfronto-parietal network involved in egocentric processing. A subset of\nthese regions, including a much less extensive unilateral, right\nfronto-parietal network, was found to be active during object-based\nprocessing. The right-hemisphere lateralization and the partial\nsuperposition of the egocentric and the object-based networks is discussed\nin the light of neuropsychological findings in brain-damaged patients with\nunilateral spatial neglect and of neurophysiological studies in the\nmonkey.","container-title":"Exp. Brain Res.","ISSN":"0014-4819","issue":"2","page":"156-164","title":"The neural basis of egocentric and allocentric coding of space in humans: a functional magnetic resonance study","volume":"133","author":[{"family":"Galati","given":"G"},{"family":"Lobel","given":"E"},{"family":"Vallar","given":"G"},{"family":"Berthoz","given":"A"},{"family":"Pizzamiglio","given":"L"},{"family":"Le Bihan","given":"D"}],"issued":{"date-parts":[["2000",7]]}}},{"id":172,"uris":["http://zotero.org/users/5736906/items/YAL8CSTW"],"uri":["http://zotero.org/users/5736906/items/YAL8CSTW"],"itemData":{"id":172,"type":"article-journal","abstract":"Over the past four decades, research has revealed that cells in the\nhippocampal formation provide an exquisitely detailed representation of an\nanimal's current location and heading. These findings have provided the\nfoundations for a growing understanding of the mechanisms of spatial\ncognition in mammals, including humans. We describe the key properties of\nthe major categories of spatial cells: place cells, head direction cells,\ngrid cells and boundary cells, each of which has a characteristic firing\npattern that encodes spatial parameters relating to the animal's current\nposition and orientation. These properties also include the theta\noscillation, which appears to play a functional role in the representation\nand processing of spatial information. Reviewing recent work, we identify\nsome themes of current research and introduce approaches to computational\nmodelling that have helped to bridge the different levels of description\nat which these mechanisms have been investigated. These range from the\nlevel of molecular biology and genetics to the behaviour and brain\nactivity of entire organisms. We argue that the neuroscience of spatial\ncognition is emerging as an exceptionally integrative field which provides\nan ideal test-bed for theories linking neural coding, learning, memory and\ncognition.","container-title":"Philos. Trans. R. Soc. Lond. B Biol. Sci.","DOI":"10.1098/rstb.2012.0510","ISSN":"0962-8436","issue":"1635","page":"20120510","title":"Space in the brain: how the hippocampal formation supports spatial cognition","volume":"369","author":[{"family":"Hartley","given":"Tom"},{"family":"Lever","given":"Colin"},{"family":"Burgess","given":"Neil"},{"family":"O'Keefe","given":"John"}],"issued":{"date-parts":[["2014",2,5]]}}}],"schema":"https://github.com/citation-style-language/schema/raw/master/csl-citation.json"} </w:instrText>
      </w:r>
      <w:r w:rsidRPr="00B42097">
        <w:fldChar w:fldCharType="separate"/>
      </w:r>
      <w:r w:rsidR="00C01075" w:rsidRPr="00B42097">
        <w:t>(</w:t>
      </w:r>
      <w:r w:rsidR="0091578E" w:rsidRPr="00B42097">
        <w:t xml:space="preserve">see e.g., </w:t>
      </w:r>
      <w:r w:rsidR="00C01075" w:rsidRPr="00B42097">
        <w:t>Burgess, 2008; Ekstrom et al., 2014; Galati et al., 2000; Hartley et al., 2014)</w:t>
      </w:r>
      <w:r w:rsidRPr="00B42097">
        <w:fldChar w:fldCharType="end"/>
      </w:r>
      <w:r w:rsidRPr="00B42097">
        <w:t xml:space="preserve">. Egocentric representations are supported by neurons in parietal, sensory and motor cortices, which have spatial receptive fields that are anchored with respect to the body or parts of the body. Allocentric representations are supported by neurons in the medial temporal lobe with spatial receptive fields that are anchored to the environment, and thus insensitive to changes in viewpoint. It is argued that these different forms of spatial representation have distinct functional advantages, with egocentric representation being well-suited to guiding action in the immediate environment over short timescales, and allocentric representation being well-suited to long-term memory and navigation </w:t>
      </w:r>
      <w:r w:rsidRPr="00B42097">
        <w:fldChar w:fldCharType="begin"/>
      </w:r>
      <w:r w:rsidR="00BE64D3">
        <w:instrText xml:space="preserve"> ADDIN ZOTERO_ITEM CSL_CITATION {"citationID":"3uBwLgBT","properties":{"formattedCitation":"(Burgess, 2006; Goodale &amp; Milner, 1992; Waller &amp; Hodgson, 2006; Wang &amp; Spelke, 2000)","plainCitation":"(Burgess, 2006; Goodale &amp; Milner, 1992; Waller &amp; Hodgson, 2006; Wang &amp; Spelke, 2000)","dontUpdate":true,"noteIndex":0},"citationItems":[{"id":19,"uris":["http://zotero.org/users/5736906/items/ZQYMAAZB"],"uri":["http://zotero.org/users/5736906/items/ZQYMAAZB"],"itemData":{"id":19,"type":"article-journal","abstract":"Recent experiments indicate the need for revision of a model of spatial\nmemory consisting of viewpoint-specific representations, egocentric\nspatial updating and a geometric module for reorientation. Instead, it\nappears that both egocentric and allocentric representations exist in\nparallel, and combine to support behavior according to the task. Current\nresearch indicates complementary roles for these representations, with\nincreasing dependence on allocentric representations with the amount of\nmovement between presentation and retrieval, the number of objects\nremembered, and the size, familiarity and intrinsic structure of the\nenvironment. Identifying the neuronal mechanisms and functional roles of\neach type of representation, and of their interactions, promises to\nprovide a framework for investigation of the organization of human memory\nmore generally.","container-title":"Trends Cogn. Sci.","DOI":"10.1016/j.tics.2006.10.005","ISSN":"1364-6613","issue":"12","page":"551-557","title":"Spatial memory: how egocentric and allocentric combine","volume":"10","author":[{"family":"Burgess","given":"Neil"}],"issued":{"date-parts":[["2006",12]]}}},{"id":20,"uris":["http://zotero.org/users/5736906/items/2Z76TK9G"],"uri":["http://zotero.org/users/5736906/items/2Z76TK9G"],"itemData":{"id":20,"type":"article-journal","abstract":"Accumulating neuropsychological, electrophysiological and behavioural\nevidence suggests that the neural substrates of visual perception may be\nquite distinct from those underlying the visual control of actions. In\nother words, the set of object descriptions that permit identification and\nrecognition may be computed independently of the set of descriptions that\nallow an observer to shape the hand appropriately to pick up an object. We\npropose that the ventral stream of projections from the striate cortex to\nthe inferotemporal cortex plays the major role in the perceptual\nidentification of objects, while the dorsal stream projecting from the\nstriate cortex to the posterior parietal region mediates the required\nsensorimotor transformations for visually guided actions directed at such\nobjects.","container-title":"Trends Neurosci.","ISSN":"0166-2236","issue":"1","page":"20-25","title":"Separate visual pathways for perception and action","volume":"15","author":[{"family":"Goodale","given":"M A"},{"family":"Milner","given":"A D"}],"issued":{"date-parts":[["1992",1]]}}},{"id":76,"uris":["http://zotero.org/users/5736906/items/LPJ9EL8H"],"uri":["http://zotero.org/users/5736906/items/LPJ9EL8H"],"itemData":{"id":76,"type":"article-journal","container-title":"J. Exp. Psychol. Learn. Mem. Cogn.","ISSN":"0278-7393","issue":"4","page":"867","title":"Transient and enduring spatial representations under disorientation and self-rotation","volume":"32","author":[{"family":"Waller","given":"David"},{"family":"Hodgson","given":"Eric"}],"issued":{"date-parts":[["2006"]]}}},{"id":75,"uris":["http://zotero.org/users/5736906/items/G93NG2FJ"],"uri":["http://zotero.org/users/5736906/items/G93NG2FJ"],"itemData":{"id":75,"type":"article-journal","abstract":"Seven experiments tested whether human navigation depends on enduring\nrepresentations, or on momentary egocentric representations that are\nupdated as one moves. Human subjects pointed to unseen targets, either\nwhile remaining oriented or after they had been disoriented by\nself-rotation. Disorientation reduced not only the absolute accuracy of\npointing to all objects ('heading error') but also the relative accuracy\nof pointing to different objects ('configuration error'). A single light\nproviding a directional cue reduced both heading and configuration errors\nif it was present throughout the experiment. If the light was present\nduring learning and test but absent during the disorientation procedure,\nhowever, subjects showed low heading errors (indicating that they\nreoriented by the light) but high configuration errors (indicating that\nthey failed to retrieve an accurate cognitive map of their surroundings).\nThese findings provide evidence that object locations are represented\negocentrically. Nevertheless, disorientation had little effect on the\ncoherence of pointing to different room corners, suggesting both (a) that\nthe disorientation effect on representations of object locations is not\ndue to the experimental paradigm and (b) that room geometry is captured by\nan enduring representation. These findings cast doubt on the view that\naccurate navigation depends primarily on an enduring, observer-free\ncognitive map, for humans construct such a representation of extended\nsurfaces but not of objects. Like insects, humans represent the egocentric\ndistances and directions of objects and continuously update these\nrepresentations as they move. The principal evolutionary advance in animal\nnavigation may concern the number of unseen targets whose egocentric\ndirections and distances can be represented and updated simultaneously,\nrather than a qualitative shift in navigation toward reliance on an\nallocentric map.","container-title":"Cognition","ISSN":"0010-0277","issue":"3","page":"215-250","title":"Updating egocentric representations in human navigation","volume":"77","author":[{"family":"Wang","given":"R F"},{"family":"Spelke","given":"E S"}],"issued":{"date-parts":[["2000",12,15]]}}}],"schema":"https://github.com/citation-style-language/schema/raw/master/csl-citation.json"} </w:instrText>
      </w:r>
      <w:r w:rsidRPr="00B42097">
        <w:fldChar w:fldCharType="separate"/>
      </w:r>
      <w:r w:rsidRPr="00B42097">
        <w:t>(Burgess, 2006; Goodale &amp; Milner, 1992;)</w:t>
      </w:r>
      <w:r w:rsidRPr="00B42097">
        <w:fldChar w:fldCharType="end"/>
      </w:r>
      <w:r w:rsidR="000D3A3C" w:rsidRPr="00B42097">
        <w:t>.</w:t>
      </w:r>
      <w:r w:rsidR="00BA144B" w:rsidRPr="00BA144B">
        <w:t xml:space="preserve"> </w:t>
      </w:r>
    </w:p>
    <w:p w14:paraId="7DF11165" w14:textId="7DA3CB35" w:rsidR="00B80A97" w:rsidRPr="00B42097" w:rsidRDefault="00D352BD" w:rsidP="00CC71DB">
      <w:pPr>
        <w:pStyle w:val="BodyText"/>
      </w:pPr>
      <w:r>
        <w:lastRenderedPageBreak/>
        <w:t>A</w:t>
      </w:r>
      <w:r w:rsidR="00BF53DD">
        <w:t>lthough they may make distinct functional contributions to spatial behaviour, ego- and allocentric representations are unlikely to be</w:t>
      </w:r>
      <w:r>
        <w:t xml:space="preserve"> wholly</w:t>
      </w:r>
      <w:r w:rsidR="00BF53DD">
        <w:t xml:space="preserve"> independent</w:t>
      </w:r>
      <w:r>
        <w:t>;</w:t>
      </w:r>
      <w:r w:rsidR="00BF53DD">
        <w:t xml:space="preserve"> </w:t>
      </w:r>
      <w:r>
        <w:t xml:space="preserve">as </w:t>
      </w:r>
      <w:r w:rsidR="00BF53DD">
        <w:t>spatial information is initially encoded by perceptual systems in egocentric form</w:t>
      </w:r>
      <w:r>
        <w:t>,</w:t>
      </w:r>
      <w:r w:rsidR="00BF53DD">
        <w:t xml:space="preserve"> </w:t>
      </w:r>
      <w:r>
        <w:t>it</w:t>
      </w:r>
      <w:r w:rsidR="00BF53DD">
        <w:t xml:space="preserve"> must be translated into allocentric form</w:t>
      </w:r>
      <w:r>
        <w:t xml:space="preserve"> in order to represent environmental locations</w:t>
      </w:r>
      <w:r w:rsidR="000F1A7B">
        <w:t xml:space="preserve"> in memory</w:t>
      </w:r>
      <w:r>
        <w:t>.</w:t>
      </w:r>
      <w:r w:rsidR="00BF53DD">
        <w:t xml:space="preserve"> </w:t>
      </w:r>
      <w:r w:rsidR="000F1A7B">
        <w:t>Conversely w</w:t>
      </w:r>
      <w:r w:rsidR="00BF53DD">
        <w:t xml:space="preserve">hen </w:t>
      </w:r>
      <w:r>
        <w:t>motor</w:t>
      </w:r>
      <w:r w:rsidR="00BF53DD">
        <w:t xml:space="preserve"> </w:t>
      </w:r>
      <w:r>
        <w:t xml:space="preserve">systems </w:t>
      </w:r>
      <w:r w:rsidR="00BF53DD">
        <w:t xml:space="preserve">need to draw </w:t>
      </w:r>
      <w:r>
        <w:t xml:space="preserve">on </w:t>
      </w:r>
      <w:r w:rsidR="00BF53DD">
        <w:t>allocentric information</w:t>
      </w:r>
      <w:r>
        <w:t xml:space="preserve"> in the control of behaviour</w:t>
      </w:r>
      <w:r w:rsidR="000F1A7B">
        <w:t>,</w:t>
      </w:r>
      <w:r w:rsidR="00BF53DD">
        <w:t xml:space="preserve"> it first must be converted </w:t>
      </w:r>
      <w:r w:rsidR="00BF53DD" w:rsidRPr="00DB6D2C">
        <w:rPr>
          <w:i/>
          <w:iCs/>
        </w:rPr>
        <w:t>back</w:t>
      </w:r>
      <w:r w:rsidR="00BF53DD">
        <w:t xml:space="preserve"> to an egocentric representation before being used</w:t>
      </w:r>
      <w:r>
        <w:t xml:space="preserve">. Mechanistic </w:t>
      </w:r>
      <w:r w:rsidR="00001731">
        <w:t xml:space="preserve">neural-level </w:t>
      </w:r>
      <w:r>
        <w:t xml:space="preserve">models </w:t>
      </w:r>
      <w:r w:rsidR="00001731">
        <w:t xml:space="preserve">are able to explain this hierarchical interaction by postulating an intermediate transformation circuit (in </w:t>
      </w:r>
      <w:proofErr w:type="spellStart"/>
      <w:r w:rsidR="00001731">
        <w:t>retrosplenial</w:t>
      </w:r>
      <w:proofErr w:type="spellEnd"/>
      <w:r w:rsidR="00001731">
        <w:t xml:space="preserve"> cortex) which mediates the translation.</w:t>
      </w:r>
      <w:r w:rsidR="00BA144B">
        <w:t xml:space="preserve"> </w:t>
      </w:r>
      <w:r w:rsidR="00BA144B">
        <w:fldChar w:fldCharType="begin"/>
      </w:r>
      <w:r w:rsidR="00BE64D3">
        <w:instrText xml:space="preserve"> ADDIN ZOTERO_ITEM CSL_CITATION {"citationID":"IhwQHc2G","properties":{"formattedCitation":"(Bicanski &amp; Burgess, 2018; Byrne et al., 2007)","plainCitation":"(Bicanski &amp; Burgess, 2018; Byrne et al., 2007)","noteIndex":0},"citationItems":[{"id":191,"uris":["http://zotero.org/users/5736906/items/5APVNT2T"],"uri":["http://zotero.org/users/5736906/items/5APVNT2T"],"itemData":{"id":191,"type":"article-journal","abstract":"We present a model of how neural representations of egocentric spatial experiences in parietal cortex interface with viewpoint-independent representations in medial temporal areas, via retrosplenial cortex, to enable many key aspects of spatial cognition. This account shows how previously reported neural responses (place, head-direction and grid cells, allocentric boundary- and object-vector cells, gain-field neurons) can map onto higher cognitive function in a modular way, and predicts new cell types (egocentric and head-direction-modulated boundary- and object-vector cells). The model predicts how these neural populations should interact across multiple brain regions to support spatial memory, scene construction, novelty-detection, 'trace cells', and mental navigation. Simulated behavior and firing rate maps are compared to experimental data, for example showing how object-vector cells allow items to be remembered within a contextual representation based on environmental boundaries, and how grid cells could update the viewpoint in imagery during planning and short-cutting by driving sequential place cell activity.","container-title":"Elife","DOI":"10.7554/eLife.33752","ISSN":"2050-084X","title":"A neural-level model of spatial memory and imagery","URL":"http://dx.doi.org/10.7554/eLife.33752","volume":"7","author":[{"family":"Bicanski","given":"Andrej"},{"family":"Burgess","given":"Neil"}],"issued":{"date-parts":[["2018",9,4]]}}},{"id":13,"uris":["http://zotero.org/users/5736906/items/66BSPRSC"],"uri":["http://zotero.org/users/5736906/items/66BSPRSC"],"itemData":{"id":13,"type":"article-journal","abstract":"The authors model the neural mechanisms underlying spatial cognition,\nintegrating neuronal systems and behavioral data, and address the\nrelationships between long-term memory, short-term memory, and imagery,\nand between egocentric and allocentric and visual and ideothetic\nrepresentations. Long-term spatial memory is modeled as attractor dynamics\nwithin medial-temporal allocentric representations, and short-term memory\nis modeled as egocentric parietal representations driven by perception,\nretrieval, and imagery and modulated by directed attention. Both encoding\nand retrieval/imagery require translation between egocentric and\nallocentric representations, which are mediated by posterior parietal and\nretrosplenial areas and the use of head direction representations in\nPapez's circuit. Thus, the hippocampus effectively indexes information by\nreal or imagined location, whereas Papez's circuit translates to imagery\nor from perception according to the direction of view. Modulation of this\ntranslation by motor efference allows spatial updating of representations,\nwhereas prefrontal simulated motor efference allows mental exploration.\nThe alternating temporal-parietal flows of information are organized by\nthe theta rhythm. Simulations demonstrate the retrieval and updating of\nfamiliar spatial scenes, hemispatial neglect in memory, and the effects on\nhippocampal place cell firing of lesioned head direction representations\nand of conflicting visual and ideothetic inputs.","container-title":"Psychol. Rev.","DOI":"10.1037/0033-295X.114.2.340","ISSN":"0033-295X","issue":"2","page":"340-375","title":"Remembering the past and imagining the future: a neural model of spatial memory and imagery","volume":"114","author":[{"family":"Byrne","given":"Patrick"},{"family":"Becker","given":"Suzanna"},{"family":"Burgess","given":"Neil"}],"issued":{"date-parts":[["2007",4]]}}}],"schema":"https://github.com/citation-style-language/schema/raw/master/csl-citation.json"} </w:instrText>
      </w:r>
      <w:r w:rsidR="00BA144B">
        <w:fldChar w:fldCharType="separate"/>
      </w:r>
      <w:r w:rsidR="00675588" w:rsidRPr="00675588">
        <w:t>(Bicanski &amp; Burgess, 2018; Byrne et al., 2007)</w:t>
      </w:r>
      <w:r w:rsidR="00BA144B">
        <w:fldChar w:fldCharType="end"/>
      </w:r>
      <w:r w:rsidR="00BA144B">
        <w:t>.</w:t>
      </w:r>
    </w:p>
    <w:p w14:paraId="24354867" w14:textId="726CEC9A" w:rsidR="00B80A97" w:rsidRDefault="00B80A97" w:rsidP="004655A8">
      <w:pPr>
        <w:pStyle w:val="BodyText"/>
      </w:pPr>
      <w:r w:rsidRPr="00B42097">
        <w:t>From a psychological perspective, the coexistence</w:t>
      </w:r>
      <w:r w:rsidR="00001731">
        <w:t xml:space="preserve"> and likely interdependence</w:t>
      </w:r>
      <w:r w:rsidRPr="00B42097">
        <w:t xml:space="preserve"> of </w:t>
      </w:r>
      <w:r w:rsidR="00001731">
        <w:t>ego- and allocentric</w:t>
      </w:r>
      <w:r w:rsidR="00001731" w:rsidRPr="00B42097">
        <w:t xml:space="preserve"> </w:t>
      </w:r>
      <w:r w:rsidRPr="00B42097">
        <w:t>systems makes it challenging to interpret the source of information present in spatial behaviour since it can be difficult to isolate the</w:t>
      </w:r>
      <w:r w:rsidR="00001731">
        <w:t>ir</w:t>
      </w:r>
      <w:r w:rsidRPr="00B42097">
        <w:t xml:space="preserve"> contributions to a given task. Yet understanding, distinguishing and quantifying these contributions is potentially important, not just for theories of spatial memory, but also in a clinical context where failures of spatial memory can be symptomatic of underlying disease processes. Notably, because </w:t>
      </w:r>
      <w:r w:rsidR="0084702B" w:rsidRPr="00B42097">
        <w:t xml:space="preserve">Alzheimer’s Disease </w:t>
      </w:r>
      <w:r w:rsidRPr="00B42097">
        <w:t xml:space="preserve">typically affects the medial temporal lobe in its earliest stages, a decline in allocentric spatial memory may give an early indication </w:t>
      </w:r>
      <w:r w:rsidR="0084702B" w:rsidRPr="00B42097">
        <w:t>of disease</w:t>
      </w:r>
      <w:r w:rsidRPr="00B42097">
        <w:t xml:space="preserve"> pathology </w:t>
      </w:r>
      <w:r w:rsidRPr="00B42097">
        <w:fldChar w:fldCharType="begin"/>
      </w:r>
      <w:r w:rsidR="00BE64D3">
        <w:instrText xml:space="preserve"> ADDIN ZOTERO_ITEM CSL_CITATION {"citationID":"JabiTJ3b","properties":{"formattedCitation":"(T Hartley et al., 2005; Moodley et al., 2015; Pengas et al., 2010)","plainCitation":"(T Hartley et al., 2005; Moodley et al., 2015; Pengas et al., 2010)","dontUpdate":true,"noteIndex":0},"citationItems":[{"id":91,"uris":["http://zotero.org/users/5736906/items/88IAWQJE"],"uri":["http://zotero.org/users/5736906/items/88IAWQJE"],"itemData":{"id":91,"type":"article-journal","abstract":"UCL Discovery is UCL's open access repository, showcasing and providing\naccess to UCL research outputs from all UCL disciplines.","container-title":"Society for Neuroscience","title":"The 4 mountains test: hippocampal damage selectively impairs topographical processing of spatial scenes over very short delays","URL":"http://discovery.ucl.ac.uk/190507/","volume":"191.14","author":[{"family":"Hartley","given":"T"},{"family":"Bird","given":"C M"},{"family":"Chan","given":"D"},{"family":"Cipolotti","given":"L"},{"family":"Husain","given":"M"},{"family":"Vargha-Khadem","given":"F"},{"family":"Burgess","given":"N"}],"accessed":{"date-parts":[["2018",6,7]]},"issued":{"date-parts":[["2005"]]}}},{"id":185,"uris":["http://zotero.org/users/5736906/items/YN5RRHMI"],"uri":["http://zotero.org/users/5736906/items/YN5RRHMI"],"itemData":{"id":185,"type":"article-journal","abstract":"ABSTRACT The hippocampus is one of the earliest brain regions affected in\nAlzheimer's disease (AD) and tests of hippocampal function have the\npotential to detect AD in its earliest stages. Given that the hippocampus\nis critically involved in allocentric spatial memory, this study applied a\nshort test of spatial memory, the 4 Mountains Test (4MT), to determine\nwhether test performance can differentiate mild cognitive impairment (MCI)\npatients with and without CSF biomarker evidence of underlying AD and\nwhether the test can distinguish patients with MCI and mild AD dementia\nwhen applied in different cultural settings. Healthy controls (HC),\npatients with MCI, and mild AD dementia were recruited from study sites in\nUK and Italy. Study numbers were: HC (UK 20, Italy 10), MCI (UK 21, Italy\n14), and AD (UK 11, Italy 9). Nineteen UK MCI patients were grouped into\nCSF biomarker?positive (MCI+, n = 10) and biomarker?negative (MCI?, n = 9)\nsubgroups. Behavioral data were correlated with hippocampal volume and\ncortical thickness of the precuneus and posterior cingulate gyrus. Spatial\nmemory was impaired in both UK and Italy MCI and AD patients. Test\nperformance additionally differentiated between MCI+ and MCI? subgroups (P\n= 0.001). A 4MT score of ≤8/15 was associated with 100% sensitivity and\n90% specificity for detection of early AD (MCI+ and mild AD dementia) in\nthe UK population, and with 100% sensitivity and 50% specificity for\ndetection of MCI and AD in the Italy sample. 4MT performance correlated\nwith hippocampal volume in the UK population and cortical thickness of the\nprecuneus in both study populations. In conclusion, performance on a\nhippocampus?sensitive test of spatial memory differentiates MCI due to AD\nwith high diagnostic sensitivity and specificity. The observation that\nsimilar diagnostic sensitivity was obtained in two separate study\npopulations, allied to the scalability and usability of the test in\ncommunity memory clinics, supports future application of the 4MT in the\ndiagnosis of pre?dementia due to AD. ? 2015 Wiley Periodicals, Inc.","container-title":"Hippocampus","DOI":"10.1002/hipo.22417","ISSN":"1050-9631","issue":"8","page":"939-951","title":"Diagnostic differentiation of mild cognitive impairment due to Alzheimer's disease using a hippocampus-dependent test of spatial memory","volume":"25","author":[{"family":"Moodley","given":"Kuven"},{"family":"Minati","given":"Ludovico"},{"family":"Contarino","given":"Valeria"},{"family":"Prioni","given":"Sara"},{"family":"Wood","given":"Ruth"},{"family":"Cooper","given":"Rebecca"},{"family":"D'Incerti","given":"Ludovico"},{"family":"Tagliavini","given":"Fabrizio"},{"family":"Chan","given":"Dennis"}],"issued":{"date-parts":[["2015",8,26]]}}},{"id":186,"uris":["http://zotero.org/users/5736906/items/X9LZ8SYT"],"uri":["http://zotero.org/users/5736906/items/X9LZ8SYT"],"itemData":{"id":186,"type":"article-journal","abstract":"The neural network activated during Topographical Memory (TM) tasks in\ncontrols overlaps with the earliest affected regions in Alzheimer's\ndisease (AD) but not with those of Semantic Dementia (SD). This suggests\nthat clinical TM tests could be more bespoke to neural dysfunction in\nearly AD and therefore more sensitive and specific. We hypothesized that\nTM impairment would be characteristic of AD but not of SD making it useful\nboth for early diagnosis and differential diagnosis. TM was assessed in 69\npatients (22 mild AD, 15 SD, 32 with mild cognitive impairment (MCI)) and\n35 controls, using three tasks: the four mountains test and two novel\ntests in a virtual town (the Virtual Route Learning Test (VRLT) and the\nHeading Orientation Test). AD patients were impaired on all TM tasks. The\nVRLT was the most discriminatory; had the highest correlation with\ncaregiver reports of navigation problems; and correlated strongly with\nmemory, attention/executive function, and to a lesser degree, visuospatial\nability. In contrast, SD patients performed well on the TM battery only\nbecoming abnormal with very advanced dementia and performance correlated\nexclusively with attention/executive function. The VRLT achieved 95%\nsensitivity and 94% specificity in discriminating AD patients from\ncontrols; at the same cutoff, 70% of MCI patients were impaired. When\ncombined with either naming performance or global dementia severity, there\nwas complete separation of AD from SD. The VRLT is ecologically valid,\nhighly sensitive to early AD, and useful in discriminating AD from the\nnon-Alzheimer dementia, SD.","container-title":"J. Alzheimers. Dis.","ISSN":"1387-2877","issue":"4","page":"1347-1365","title":"Lost and found: bespoke memory testing for Alzheimer's disease and semantic dementia","volume":"21","author":[{"family":"Pengas","given":"George"},{"family":"Patterson","given":"Karalyn"},{"family":"Arnold","given":"Robert J"},{"family":"Bird","given":"Chris M"},{"family":"Burgess","given":"Neil"},{"family":"Nestor","given":"Peter J"}],"issued":{"date-parts":[["2010"]]}}}],"schema":"https://github.com/citation-style-language/schema/raw/master/csl-citation.json"} </w:instrText>
      </w:r>
      <w:r w:rsidRPr="00B42097">
        <w:fldChar w:fldCharType="separate"/>
      </w:r>
      <w:r w:rsidR="00A62F04" w:rsidRPr="00B42097">
        <w:t>(Moodley et al., 2015; Serino et al., 2014)</w:t>
      </w:r>
      <w:r w:rsidRPr="00B42097">
        <w:fldChar w:fldCharType="end"/>
      </w:r>
      <w:r w:rsidRPr="00B42097">
        <w:t>.</w:t>
      </w:r>
    </w:p>
    <w:p w14:paraId="49BAA344" w14:textId="341F6AD0" w:rsidR="009637AA" w:rsidRDefault="00B80A97" w:rsidP="00CC71DB">
      <w:pPr>
        <w:pStyle w:val="BodyText"/>
        <w:ind w:left="0"/>
      </w:pPr>
      <w:r w:rsidRPr="00B42097">
        <w:t>Previous work has established that both forms of representation can contribute to performance on laboratory tasks involving memory for objects’ locations. A common approach has been to ask participants to remember the locations of an array of objects before being asked to complete a spatial task, such as indicating which object has moved</w:t>
      </w:r>
      <w:r w:rsidR="00A4408A" w:rsidRPr="00B42097">
        <w:t>,</w:t>
      </w:r>
      <w:r w:rsidRPr="00B42097">
        <w:t xml:space="preserve"> or pointing to an object’s previous location, from a novel viewpoint </w:t>
      </w:r>
      <w:r w:rsidRPr="00B42097">
        <w:fldChar w:fldCharType="begin"/>
      </w:r>
      <w:r w:rsidR="00BE64D3">
        <w:instrText xml:space="preserve"> ADDIN ZOTERO_ITEM CSL_CITATION {"citationID":"7bfCq5dC","properties":{"formattedCitation":"(Burgess et al., 2004; Easton &amp; Sholl, 1995; Greenauer &amp; Waller, 2008; C. A. Holmes et al., 2018; M. C. Holmes &amp; Sholl, 2005; King et al., 2002; Mou et al., 2006; Negen et al., 2018; Newcombe &amp; Huttenlocher, 1992; Simons &amp; Wang, 1998; Waller &amp; Hodgson, 2006; Wang &amp; Simons, 1999; Wraga et al., 2000, 2005; Zhang et al., 2011)","plainCitation":"(Burgess et al., 2004; Easton &amp; Sholl, 1995; Greenauer &amp; Waller, 2008; C. A. Holmes et al., 2018; M. C. Holmes &amp; Sholl, 2005; King et al., 2002; Mou et al., 2006; Negen et al., 2018; Newcombe &amp; Huttenlocher, 1992; Simons &amp; Wang, 1998; Waller &amp; Hodgson, 2006; Wang &amp; Simons, 1999; Wraga et al., 2000, 2005; Zhang et al., 2011)","noteIndex":0},"citationItems":[{"id":259,"uris":["http://zotero.org/users/5736906/items/BM3XYYET"],"uri":["http://zotero.org/users/5736906/items/BM3XYYET"],"itemData":{"id":259,"type":"article-journal","abstract":"Subjects in a darkroom saw an array of five phosphorescent objects on a\ncircular table and, after a short delay, indicated which object had been\nmoved. During the delay the subject, the table or a phosphorescent\nlandmark external to the array was moved (a rotation about the centre of\nthe table) either alone or together. The subject then had to indicate\nwhich one of the five objects had been moved. A fully factorial design was\nused to detect the use of three types of representations of object\nlocation: (i) visual snapshots; (ii) egocentric representations updated by\nself-motion; and (iii) representations relative to the external cue.\nImproved performance was seen whenever the test array was oriented\nconsistently with any of these stored representations. The influence of\nrepresentations (i) and (ii) replicates previous work. The influence of\nrepresentation (iii) is a novel finding which implies that allocentric\nrepresentations play a role in spatial memory, even over short distances\nand times. The effect of the external cue was greater when initially\nexperienced as stable. Females out-performed males except when the array\nwas consistent with self-motion but not visual snapshots. These results\nenable a simple egocentric model of spatial memory to be extended to\naddress large-scale navigation, including the effects of allocentric\nknowledge, landmark stability and gender.","container-title":"Cognition","DOI":"10.1016/j.cognition.2004.01.001","ISSN":"0010-0277","issue":"2","page":"149-166","title":"Orientational manoeuvres in the dark: dissociating allocentric and egocentric influences on spatial memory","volume":"94","author":[{"family":"Burgess","given":"Neil"},{"family":"Spiers","given":"Hugo J"},{"family":"Paleologou","given":"Eleni"}],"issued":{"date-parts":[["2004",12]]}}},{"id":81,"uris":["http://zotero.org/users/5736906/items/PNKFNBAG"],"uri":["http://zotero.org/users/5736906/items/PNKFNBAG"],"itemData":{"id":81,"type":"article-journal","abstract":"Experiments are reported that assessed the ability of people, without\nvision, to locate the positions of objects from imagined points of\nobservation that are related to their actual position by rotational or\ntranslational components. Theoretical issues addressed were whether\nspatial relations stored in an object-to-object system are directly\nretrieved or whether retrieval is mediated by a body-centered coordinate\nsystem, and whether body-centered access involves a process of imaging\nupdating of self-position. The results, with those of Rieser (1989),\nindicate that in the case of regularly structured object arrays,\ninterobject relations are directly retrieved for the translation task, but\nfor the rotation task, retrieval occurs by means of a body-centered\ncoordinate system, requiring imagined body rotation. For irregularly\nstructured arrays, access of interobject spatial structure occurs by means\nof a body-centered coordinate system for both translation and rotation\ntasks, requiring imagined body translation or rotation. Array regularity\naffected retrieval of spatial structure in terms of global shape of\ninterobject relations and local object position within global shape.","container-title":"J. Exp. Psychol. Learn. Mem. Cogn.","DOI":"10.1037//0278-7393.21.2.483","ISSN":"0278-7393","issue":"2","page":"483-500","title":"Object-array structure, frames of reference, and retrieval of spatial knowledge","volume":"21","author":[{"family":"Easton","given":"R D"},{"family":"Sholl","given":"M J"}],"issued":{"date-parts":[["1995",3]]}}},{"id":477,"uris":["http://zotero.org/users/5736906/items/HAB8DXUH"],"uri":["http://zotero.org/users/5736906/items/HAB8DXUH"],"itemData":{"id":477,"type":"article-journal","container-title":"Psychonomic Bulletin &amp; Review","DOI":"10.3758/PBR.15.5.1015","ISSN":"1069-9384, 1531-5320","issue":"5","journalAbbreviation":"Psychonomic Bulletin &amp; Review","language":"en","page":"1015-1021","source":"DOI.org (Crossref)","title":"Intrinsic array structure is neither necessary nor sufficient for nonegocentric coding of spatial layouts","volume":"15","author":[{"family":"Greenauer","given":"Nathan"},{"family":"Waller","given":"David"}],"issued":{"date-parts":[["2008",10]]}}},{"id":504,"uris":["http://zotero.org/users/5736906/items/NZKZVKDV"],"uri":["http://zotero.org/users/5736906/items/NZKZVKDV"],"itemData":{"id":504,"type":"article-journal","abstract":"Recalling a spatial layout from multiple orientations – spatial flexibility – is challenging, even when the global configuration can be viewed from a single vantage point, but more so when it must be viewed piecemeal. In the current study, we examined whether experiencing the transition between multiple viewpoints enhances spatial memory and flexible recall for a spatial configuration viewed simultaneously (Exp. 1) and sequentially (Exp. 2), whether the type of transition matters, and whether action provides an additional advantage over passive experience. In Experiment 1, participants viewed an array of dollhouse furniture from four viewpoints, but with all furniture simultaneously visible. In Experiment 2, participants viewed the same array piecemeal, from four partitioned viewpoints that allowed for viewing only a segment at a time. The transition between viewpoints involved rotation of the array or participant movement around it. Rotation and participant movement were passively experienced or actively generated. The control condition presented the dollhouse as a series of static views. Across both experiments, participant movement significantly enhanced spatial memory relative to array rotation or static views. However, in Exp. 2, there was a further advantage for actively walking around the array compared to being passively pushed. These findings suggest that movement around a stable environment is key to spatial memory and flexible recall, with action providing an additional boost to the integration of temporally segmented spatial events. Thus, spatial memory may be more flexible than prior data indicate, when studied under more natural acquisition conditions.","container-title":"Cognition","DOI":"10.1016/j.cognition.2018.05.003","ISSN":"0010-0277","journalAbbreviation":"Cognition","language":"en","page":"7-25","source":"ScienceDirect","title":"Move to learn: Integrating spatial information from multiple viewpoints","title-short":"Move to learn","volume":"178","author":[{"family":"Holmes","given":"Corinne A."},{"family":"Newcombe","given":"Nora S."},{"family":"Shipley","given":"Thomas F."}],"issued":{"date-parts":[["2018",9,1]]}}},{"id":425,"uris":["http://zotero.org/users/5736906/items/TTZLZTA2"],"uri":["http://zotero.org/users/5736906/items/TTZLZTA2"],"itemData":{"id":425,"type":"article-journal","abstract":"R. F. Wang and E. S. Spelke’s (2000) finding that disorientation disrupts knowledge is consistent with egocentric but not allocentric coding of object location. The present experiments tested the hypothesis that egocentric coding may dominate early on but that once an allocentric representation is established, then target location is retrieved from it. This hypothesis predicts that disorientation will disrupt configuration knowledge in a novel environment, such as that used by Wang and Spelke, but not in an overlearned environment. Experiments 1 and 2 tested whether disorientation disrupted configuration knowledge of an overlearned environment, and Experiments 3–7 tested whether disorientation disrupted configuration knowledge of a novel, room-sized environment. In none of the experiments did disorientation disrupt configuration knowledge. Hence, in addition to showing allocentric coding of overlearned interlandmark relations, the present findings are consistent with the immediate availability of allocentric location codes in a novel, room-sized environment.","container-title":"Journal of Experimental Psychology: Learning, Memory, and Cognition","DOI":"10.1037/0278-7393.31.5.1069","ISSN":"1939-1285, 0278-7393","issue":"5","journalAbbreviation":"Journal of Experimental Psychology: Learning, Memory, and Cognition","language":"en","page":"1069-1087","source":"DOI.org (Crossref)","title":"Allocentric Coding of Object-to-Object Relations in Overlearned and Novel Environments.","volume":"31","author":[{"family":"Holmes","given":"Melinda C."},{"family":"Sholl","given":"M. Jeanne"}],"issued":{"date-parts":[["2005"]]}}},{"id":261,"uris":["http://zotero.org/users/5736906/items/M5DB3TYL"],"uri":["http://zotero.org/users/5736906/items/M5DB3TYL"],"itemData":{"id":261,"type":"article-journal","abstract":"Virtual reality was used to sequentially present objects within a town\nsquare and to test recognition of object locations from the same viewpoint\nas presentation, or from a shifted viewpoint. A developmental amnesic case\nwith focal bilateral hippocampal pathology showed a massive additional\nimpairment when tested from the shifted viewpoint compared with a mild,\nlist length-dependent, impairment when tested from the same viewpoint.\nWhile the same-view condition could be solved by visual pattern matching,\nthe shifted-view condition requires a viewpoint independent representation\nor an equivalent mechanism for translating or rotating viewpoints in\nmemory. The latter mechanism was indicated by control subjects' response\nlatencies in the shifted-view condition, although the amnesic case is not\nimpaired in tests of mental rotation of single objects. These results show\nthat the human hippocampus supports viewpoint independence in spatial\nmemory, and suggest that it does so by providing a mechanism for viewpoint\nmanipulation in memory. In addition, they suggest an extremely sensitive\ntest for human hippocampal damage, and hint at the nature of the\nhippocampal role in episodic recollection.","container-title":"Hippocampus","DOI":"10.1002/hipo.10070","ISSN":"1050-9631","issue":"6","page":"811-820","title":"Human hippocampus and viewpoint dependence in spatial memory","volume":"12","author":[{"family":"King","given":"John A"},{"family":"Burgess","given":"Neil"},{"family":"Hartley","given":"Tom"},{"family":"Vargha-Khadem","given":"Faraneh"},{"family":"O'Keefe","given":"John"}],"issued":{"date-parts":[["2002"]]}}},{"id":291,"uris":["http://zotero.org/users/5736906/items/XN88TXCJ"],"uri":["http://zotero.org/users/5736906/items/XN88TXCJ"],"itemData":{"id":291,"type":"article-journal","abstract":"Four experiments investigated the nature of spatial representations used\nin locomotion. Participants learned the layout of several objects and then\npointed to the objects while blindfolded in 3 conditions: before turning\n(baseline), after turning to a new heading (updating), and after\ndisorientation (disorientation). The internal consistency of pointing in\nthe disorientation condition was relatively high and equivalent to that in\nthe baseline and updating conditions, when the layout had salient\nintrinsic axes and the participants learned the locations of the objects\non the periphery of the layout. The internal consistency of pointing was\ndisrupted by disorientation when participants learned the locations of\nobjects while standing amid them and the layout did not have salient\nintrinsic axes. It was also observed that many participants retrieved\nspatial relations after disorientation from the original learning heading.\nThese results indicate that people form an allocentric representation of\nobject-to-object spatial relations when they learn the layout of a novel\nenvironment and use that representation to locate objects around them.\nEgocentric representations may be used to locate objects when allocentric\nrepresentations are not of high fidelity.","container-title":"J. Exp. Psychol. Learn. Mem. Cogn.","DOI":"10.1037/0278-7393.32.6.1274","ISSN":"0278-7393","issue":"6","page":"1274-1290","title":"Roles of egocentric and allocentric spatial representations in locomotion and reorientation","volume":"32","author":[{"family":"Mou","given":"Weimin"},{"family":"McNamara","given":"Timothy P"},{"family":"Rump","given":"Björn"},{"family":"Xiao","given":"Chengli"}],"issued":{"date-parts":[["2006",11]]}}},{"id":260,"uris":["http://zotero.org/users/5736906/items/A9DDHDEC"],"uri":["http://zotero.org/users/5736906/items/A9DDHDEC"],"itemData":{"id":260,"type":"article-journal","abstract":"Using landmarks and other scene features to recall locations from new\nviewpoints is a critical skill in spatial cognition. In an immersive\nvirtual reality task, we asked children 3.5-4.5 years old to remember the\nlocation of a target using various cues. On some trials they could use\ninformation from their own self-motion. On some trials they could use a\nview match. In the very hardest kind of trial, they were 'teleported' to a\nnew viewpoint and could only use an allocentric spatial representation.\nThis approach provides a strict test for allocentric coding (without\neither a matching viewpoint or self-motion information) while avoiding\nadditional task demands in previous studies (it does not require them to\ndeal with a small table-top environment or to manage stronger cue\nconflicts). Both the younger and older groups were able to point back at\nthe target location better than chance when they could use view matching\nand/or self-motion, but allocentric recall was only seen in the older\ngroup (4.0-4.5). In addition, we only obtained evidence for a specific\nkind of allocentric recall in the older group: they tracked one major axis\nof the space significantly above chance, r(158) = .28, but not the other,\nr(158) = -.01. We conclude that there is a major qualitative change in\ncoding for spatial recall around the fourth birthday, potentially followed\nby further development towards fully flexible recall from new viewpoints.","container-title":"Dev. Sci.","DOI":"10.1111/desc.12496","ISSN":"1363-755X","issue":"1","title":"Development of allocentric spatial recall from new viewpoints in virtual reality","URL":"http://dx.doi.org/10.1111/desc.12496","volume":"21","author":[{"family":"Negen","given":"James"},{"family":"Heywood-Everett","given":"Edward"},{"family":"Roome","given":"Hannah E"},{"family":"Nardini","given":"Marko"}],"issued":{"date-parts":[["2018",1]]}}},{"id":503,"uris":["http://zotero.org/users/5736906/items/R2IRCEG4"],"uri":["http://zotero.org/users/5736906/items/R2IRCEG4"],"itemData":{"id":503,"type":"article-journal","container-title":"Developmental Psychology","DOI":"10.1037/0012-1649.28.4.635","ISSN":"1939-0599, 0012-1649","issue":"4","journalAbbreviation":"Developmental Psychology","language":"en","page":"635-643","source":"DOI.org (Crossref)","title":"Children's early ability to solve perspective-taking problems.","volume":"28","author":[{"family":"Newcombe","given":"Nora"},{"family":"Huttenlocher","given":"Janellen"}],"issued":{"date-parts":[["1992"]]}}},{"id":11,"uris":["http://zotero.org/users/5736906/items/BETAFC8I"],"uri":["http://zotero.org/users/5736906/items/BETAFC8I"],"itemData":{"id":11,"type":"article-journal","abstract":"Retinal images vary as observers move through the environment, but\nobservers seem to have little difficulty recognizing objects and scenes\nacross changes in view. Although real-world view changes can be produced\nboth by object rotations (orientation changes) and by observer movements\n(viewpoint changes), research on recognition across views has relied\nexclusively on display rotations. However, research on spatial reasoning\nsuggests a possible dissociation between orientation and viewpoint. Here\nwe demonstrate that scene recognition in the real world depends on more\nthan the retinal projection of the visible array; viewpoint changes have\nlittle effect on detection of layout changes, but equivalent orientation\nchanges disrupt performance significantly. Findings from our three\nexperiments suggest that scene recognition across view changes relies on a\nmechanism that updates a viewer-centered representation during observer\nmovements, a mechanism not available for orientation changes. These\nresults link findings from spatial tasks to work on object and scene\nrecognition and highlight the importance of considering the mechanisms\nunderlying recognition in real environments.","container-title":"Psychol. Sci.","DOI":"10.1111/1467-9280.00062","ISSN":"0956-7976","issue":"4","page":"315-320","title":"Perceiving Real-World Viewpoint Changes","volume":"9","author":[{"family":"Simons","given":"Daniel J"},{"family":"Wang","given":"Ranxiao Frances"}],"issued":{"date-parts":[["1998",7,1]]}}},{"id":76,"uris":["http://zotero.org/users/5736906/items/LPJ9EL8H"],"uri":["http://zotero.org/users/5736906/items/LPJ9EL8H"],"itemData":{"id":76,"type":"article-journal","container-title":"J. Exp. Psychol. Learn. Mem. Cogn.","ISSN":"0278-7393","issue":"4","page":"867","title":"Transient and enduring spatial representations under disorientation and self-rotation","volume":"32","author":[{"family":"Waller","given":"David"},{"family":"Hodgson","given":"Eric"}],"issued":{"date-parts":[["2006"]]}}},{"id":289,"uris":["http://zotero.org/users/5736906/items/E6TPC8AT"],"uri":["http://zotero.org/users/5736906/items/E6TPC8AT"],"itemData":{"id":289,"type":"article-journal","abstract":"Recent evidence suggests that scene recognition across views is impaired\nwhen an array of objects rotates relative to a stationary observer, but\nnot when the observer moves relative to a stationary display [Simons,\nD.J., Wang, R.F., 1998. Perceiving real-world viewpoint changes.\nPsychological Science 9, 315-320]. The experiments in this report examine\nwhether the relatively poorer performance by stationary observers across\nview changes results from a lack of perceptual information for the\nrotation or from the lack of active control of the perspective change,\nboth of which are present for viewpoint changes. Three experiments\ncompared performance when observers passively experienced the view change\nand when they actively caused the change. Even with visual information and\nactive control over the display rotation, change detection performance was\nstill worse for orientation changes than for viewpoint changes. These\nfindings suggest that observers can update a viewer-centered\nrepresentation of a scene when they move to a different viewing position,\nbut such updating does not occur during display rotations even with visual\nand motor information for the magnitude of the change. This experimental\napproach, using arrays of real objects rather than computer displays of\nisolated individual objects, can shed light on mechanisms that allow\naccurate recognition despite changes in the observer's position and\norientation.","container-title":"Cognition","ISSN":"0010-0277","issue":"2","page":"191-210","title":"Active and passive scene recognition across views","volume":"70","author":[{"family":"Wang","given":"R F"},{"family":"Simons","given":"D J"}],"issued":{"date-parts":[["1999",3,1]]}}},{"id":243,"uris":["http://zotero.org/users/5736906/items/3FD4WU5U"],"uri":["http://zotero.org/users/5736906/items/3FD4WU5U"],"itemData":{"id":243,"type":"article-journal","container-title":"Journal of Experimental Psychology: Learning, Memory, and Cognition","DOI":"10.1037/0278-7393.26.1.151","ISSN":"1939-1285, 0278-7393","issue":"1","journalAbbreviation":"Journal of Experimental Psychology: Learning, Memory, and Cognition","language":"en","page":"151-168","source":"DOI.org (Crossref)","title":"Updating displays after imagined object and viewer rotations.","volume":"26","author":[{"family":"Wraga","given":"Maryjane"},{"family":"Creem","given":"Sarah H."},{"family":"Proffitt","given":"Dennis R."}],"issued":{"date-parts":[["2000"]]}}},{"id":242,"uris":["http://zotero.org/users/5736906/items/BNZSDR83"],"uri":["http://zotero.org/users/5736906/items/BNZSDR83"],"itemData":{"id":242,"type":"article-journal","abstract":"This study used functional magnetic resonance imaging (fMRI) to investigate the neural mechanisms underlying two types of spatial transformations: imagined object rotations and imagined rotations of the self about an object. Participants viewed depictions of single threedimensional Shepard–Metzler objects situated within a sphere. A T-shaped prompt appeared outside of the sphere at different locations across trials. In the object rotation task, participants imagined rotating the object so that one of its ends was aligned with the prompt. They then judged whether a textured portion of the object would be visible in its new orientation. In the self rotation task, they imagined rotating themselves to the location of the T-prompt, and then judged whether a textured portion of the object would be visible from the new viewpoint. Activation in both tasks was compared to respective control conditions in which identical judgments were made without rotation. A direct comparison of self and object rotation tasks revealed activation spreading from left premotor to left primary motor (M1) cortex (areas 6/4) for imagined object rotations, but not imagined self rotations. In contrast, the self rotation task activated left supplementary motor area (SMA; area 6). In both transformations, activation also occurred in other regions. These ﬁndings provide evidence for multiple spatial-transformation mechanisms within the human cognitive system.","container-title":"Neuropsychologia","DOI":"10.1016/j.neuropsychologia.2004.11.028","ISSN":"00283932","issue":"9","journalAbbreviation":"Neuropsychologia","language":"en","page":"1351-1361","source":"DOI.org (Crossref)","title":"Imagined rotations of self versus objects: an fMRI study","title-short":"Imagined rotations of self versus objects","volume":"43","author":[{"family":"Wraga","given":"Maryjane"},{"family":"Shephard","given":"Jennifer M."},{"family":"Church","given":"Jessica A."},{"family":"Inati","given":"Souheil"},{"family":"Kosslyn","given":"Stephen M."}],"issued":{"date-parts":[["2005",1]]}}},{"id":473,"uris":["http://zotero.org/users/5736906/items/2HBWYI4M"],"uri":["http://zotero.org/users/5736906/items/2HBWYI4M"],"itemData":{"id":473,"type":"article-journal","abstract":"Three experiments examined the role of reference directions in spatial updating. Participants briefly viewed an array of five objects. A non-egocentric reference direction was primed by placing a stick under two objects in the array at the time of learning. After a short interval, participants detected which object had been moved at a novel view that was caused by table rotation or by their own locomotion. The stick was removed at test. The results showed that detection of position change was better when an object not on the stick was moved than when an object on the stick was moved. Furthermore change detection was better in the observer locomotion condition than in the table rotation condition only when an object on the stick was moved but not when an object not on the stick was moved. These results indicated that when the reference direction was not accurately indicated in the test scene, detection of position change was impaired but this impairment was less in the observer locomotion condition. These results suggest that people not only represent objects’ locations with respect to a fixed reference direction but also represent and update their orientation according to the same reference direction, which can be used to recover the accurate reference direction and facilitate detection of position change when no accurate reference direction is presented in the test scene.","container-title":"Cognition","DOI":"10.1016/j.cognition.2011.02.006","ISSN":"0010-0277","issue":"3","journalAbbreviation":"Cognition","language":"en","page":"419-429","source":"ScienceDirect","title":"Spatial updating according to a fixed reference direction of a briefly viewed layout","volume":"119","author":[{"family":"Zhang","given":"Hui"},{"family":"Mou","given":"Weimin"},{"family":"McNamara","given":"Timothy P."}],"issued":{"date-parts":[["2011",6,1]]}}}],"schema":"https://github.com/citation-style-language/schema/raw/master/csl-citation.json"} </w:instrText>
      </w:r>
      <w:r w:rsidRPr="00B42097">
        <w:fldChar w:fldCharType="separate"/>
      </w:r>
      <w:r w:rsidR="00675588" w:rsidRPr="00675588">
        <w:t>(Burgess et al., 2004; Easton &amp; Sholl, 1995; Greenauer &amp; Waller, 2008; C. A. Holmes et al., 2018; M. C. Holmes &amp; Sholl, 2005; King et al., 2002; Mou et al., 2006; Negen et al., 2018; Newcombe &amp; Huttenlocher, 1992; Simons &amp; Wang, 1998; Waller &amp; Hodgson, 2006; Wang &amp; Simons, 1999; Wraga et al., 2000, 2005; Zhang et al., 2011)</w:t>
      </w:r>
      <w:r w:rsidRPr="00B42097">
        <w:fldChar w:fldCharType="end"/>
      </w:r>
      <w:r w:rsidRPr="00B42097">
        <w:t xml:space="preserve">. These tasks </w:t>
      </w:r>
      <w:r w:rsidR="00770829" w:rsidRPr="00B42097">
        <w:t>are</w:t>
      </w:r>
      <w:r w:rsidRPr="00B42097">
        <w:t xml:space="preserve"> revealing due to the way viewpoint changes differentially affect different forms of memory representation. Specifically, in order to remain valid while the objects are obscured, egocentric representations of unseen targets must be updated to reflect participants’ bodily movements. </w:t>
      </w:r>
      <w:r w:rsidRPr="00B42097">
        <w:lastRenderedPageBreak/>
        <w:t xml:space="preserve">This spatial updating process relies on idiothetic self-motion cues from visual, vestibular and proprioceptive information. By making these cues unavailable or invalid it is possible to selectively disrupt viewpoint-dependent contributions to spatial memory from the egocentric system. By contrast, because </w:t>
      </w:r>
      <w:r w:rsidR="005B0B01" w:rsidRPr="00B42097">
        <w:t>viewpoint-independent</w:t>
      </w:r>
      <w:r w:rsidR="00770829" w:rsidRPr="00B42097">
        <w:t xml:space="preserve"> representations</w:t>
      </w:r>
      <w:r w:rsidRPr="00B42097">
        <w:t xml:space="preserve"> encode locations with respect to the environment, the information in the allocentric system should remain valid even in the absence of spatial updating. Studies show enhanced performance when the appearance of the array </w:t>
      </w:r>
      <w:r w:rsidR="00816A86" w:rsidRPr="00B42097">
        <w:t xml:space="preserve">of objects </w:t>
      </w:r>
      <w:r w:rsidRPr="00B42097">
        <w:t>is consistent with spatial updating cues</w:t>
      </w:r>
      <w:r w:rsidR="004933BF">
        <w:t xml:space="preserve"> </w:t>
      </w:r>
      <w:r w:rsidRPr="00B42097">
        <w:t xml:space="preserve">(i.e., a </w:t>
      </w:r>
      <w:r w:rsidR="005B0B01" w:rsidRPr="00B42097">
        <w:t>viewpoint-dependent</w:t>
      </w:r>
      <w:r w:rsidRPr="00B42097">
        <w:t xml:space="preserve"> contribution to spatial memory; Wang &amp; Simons, 1999), but they also indicate a </w:t>
      </w:r>
      <w:r w:rsidR="005B0B01" w:rsidRPr="00B42097">
        <w:t>viewpoint-independent</w:t>
      </w:r>
      <w:r w:rsidRPr="00B42097">
        <w:t xml:space="preserve"> contribution where spatial updating is unavailable </w:t>
      </w:r>
      <w:r w:rsidRPr="00B42097">
        <w:fldChar w:fldCharType="begin"/>
      </w:r>
      <w:r w:rsidR="00BE64D3">
        <w:instrText xml:space="preserve"> ADDIN ZOTERO_ITEM CSL_CITATION {"citationID":"28l9Hduq","properties":{"formattedCitation":"(Burgess et al., 2004)","plainCitation":"(Burgess et al., 2004)","dontUpdate":true,"noteIndex":0},"citationItems":[{"id":259,"uris":["http://zotero.org/users/5736906/items/BM3XYYET"],"uri":["http://zotero.org/users/5736906/items/BM3XYYET"],"itemData":{"id":259,"type":"article-journal","abstract":"Subjects in a darkroom saw an array of five phosphorescent objects on a\ncircular table and, after a short delay, indicated which object had been\nmoved. During the delay the subject, the table or a phosphorescent\nlandmark external to the array was moved (a rotation about the centre of\nthe table) either alone or together. The subject then had to indicate\nwhich one of the five objects had been moved. A fully factorial design was\nused to detect the use of three types of representations of object\nlocation: (i) visual snapshots; (ii) egocentric representations updated by\nself-motion; and (iii) representations relative to the external cue.\nImproved performance was seen whenever the test array was oriented\nconsistently with any of these stored representations. The influence of\nrepresentations (i) and (ii) replicates previous work. The influence of\nrepresentation (iii) is a novel finding which implies that allocentric\nrepresentations play a role in spatial memory, even over short distances\nand times. The effect of the external cue was greater when initially\nexperienced as stable. Females out-performed males except when the array\nwas consistent with self-motion but not visual snapshots. These results\nenable a simple egocentric model of spatial memory to be extended to\naddress large-scale navigation, including the effects of allocentric\nknowledge, landmark stability and gender.","container-title":"Cognition","DOI":"10.1016/j.cognition.2004.01.001","ISSN":"0010-0277","issue":"2","page":"149-166","title":"Orientational manoeuvres in the dark: dissociating allocentric and egocentric influences on spatial memory","volume":"94","author":[{"family":"Burgess","given":"Neil"},{"family":"Spiers","given":"Hugo J"},{"family":"Paleologou","given":"Eleni"}],"issued":{"date-parts":[["2004",12]]}}}],"schema":"https://github.com/citation-style-language/schema/raw/master/csl-citation.json"} </w:instrText>
      </w:r>
      <w:r w:rsidRPr="00B42097">
        <w:fldChar w:fldCharType="separate"/>
      </w:r>
      <w:r w:rsidRPr="00B42097">
        <w:t>(Burgess et al., 2004</w:t>
      </w:r>
      <w:r w:rsidRPr="00B42097">
        <w:fldChar w:fldCharType="end"/>
      </w:r>
      <w:r w:rsidR="00792270" w:rsidRPr="00B42097">
        <w:t>)</w:t>
      </w:r>
      <w:r w:rsidRPr="00B42097">
        <w:t xml:space="preserve">. </w:t>
      </w:r>
      <w:r w:rsidR="00A1231C">
        <w:t xml:space="preserve">Note that </w:t>
      </w:r>
      <w:r w:rsidR="000365B4">
        <w:t>while</w:t>
      </w:r>
      <w:r w:rsidR="00A1231C">
        <w:t xml:space="preserve"> i</w:t>
      </w:r>
      <w:r w:rsidR="009637AA">
        <w:t xml:space="preserve">n real-world tasks, </w:t>
      </w:r>
      <w:r w:rsidR="000365B4">
        <w:t xml:space="preserve">the physical sensations of motion </w:t>
      </w:r>
      <w:r w:rsidR="009637AA">
        <w:t xml:space="preserve"> undoubtedly play an important role in spatial updating, the distinct contributions of viewpoint-independent and vie</w:t>
      </w:r>
      <w:r w:rsidR="00145BDA">
        <w:t>wpoint dependent memory can be inferred in purely visual tasks</w:t>
      </w:r>
      <w:r w:rsidR="000365B4">
        <w:t xml:space="preserve"> using virtual environments presented on computer displays</w:t>
      </w:r>
      <w:r w:rsidR="00BE64D3">
        <w:t xml:space="preserve"> </w:t>
      </w:r>
      <w:r w:rsidR="00BE64D3">
        <w:fldChar w:fldCharType="begin"/>
      </w:r>
      <w:r w:rsidR="00BE64D3">
        <w:instrText xml:space="preserve"> ADDIN ZOTERO_ITEM CSL_CITATION {"citationID":"V5IGv0cj","properties":{"formattedCitation":"(King et al., 2002; Lambrey et al., 2012; Spiers et al., 2001; Tu et al., 2017)","plainCitation":"(King et al., 2002; Lambrey et al., 2012; Spiers et al., 2001; Tu et al., 2017)","noteIndex":0},"citationItems":[{"id":261,"uris":["http://zotero.org/users/5736906/items/M5DB3TYL"],"uri":["http://zotero.org/users/5736906/items/M5DB3TYL"],"itemData":{"id":261,"type":"article-journal","abstract":"Virtual reality was used to sequentially present objects within a town\nsquare and to test recognition of object locations from the same viewpoint\nas presentation, or from a shifted viewpoint. A developmental amnesic case\nwith focal bilateral hippocampal pathology showed a massive additional\nimpairment when tested from the shifted viewpoint compared with a mild,\nlist length-dependent, impairment when tested from the same viewpoint.\nWhile the same-view condition could be solved by visual pattern matching,\nthe shifted-view condition requires a viewpoint independent representation\nor an equivalent mechanism for translating or rotating viewpoints in\nmemory. The latter mechanism was indicated by control subjects' response\nlatencies in the shifted-view condition, although the amnesic case is not\nimpaired in tests of mental rotation of single objects. These results show\nthat the human hippocampus supports viewpoint independence in spatial\nmemory, and suggest that it does so by providing a mechanism for viewpoint\nmanipulation in memory. In addition, they suggest an extremely sensitive\ntest for human hippocampal damage, and hint at the nature of the\nhippocampal role in episodic recollection.","container-title":"Hippocampus","DOI":"10.1002/hipo.10070","ISSN":"1050-9631","issue":"6","page":"811-820","title":"Human hippocampus and viewpoint dependence in spatial memory","volume":"12","author":[{"family":"King","given":"John A"},{"family":"Burgess","given":"Neil"},{"family":"Hartley","given":"Tom"},{"family":"Vargha-Khadem","given":"Faraneh"},{"family":"O'Keefe","given":"John"}],"issued":{"date-parts":[["2002"]]}}},{"id":234,"uris":["http://zotero.org/users/5736906/items/VBDUN6EA"],"uri":["http://zotero.org/users/5736906/items/VBDUN6EA"],"itemData":{"id":234,"type":"article-journal","abstract":"Abstract.  The capacity to imagine being somewhere else and seeing the environment from a different point of view is crucial for spatial planning in daily life","container-title":"Cerebral Cortex","DOI":"10.1093/cercor/bhr101","ISSN":"1047-3211","issue":"1","journalAbbreviation":"Cereb Cortex","language":"en","page":"166-174","source":"academic.oup.com","title":"Imagining Being Somewhere Else: Neural Basis of Changing Perspective in Space","title-short":"Imagining Being Somewhere Else","volume":"22","author":[{"family":"Lambrey","given":"Simon"},{"family":"Doeller","given":"Christian"},{"family":"Berthoz","given":"Alain"},{"family":"Burgess","given":"Neil"}],"issued":{"date-parts":[["2012",1,1]]}}},{"id":56,"uris":["http://zotero.org/users/5736906/items/GXFVZ99P"],"uri":["http://zotero.org/users/5736906/items/GXFVZ99P"],"itemData":{"id":56,"type":"article-journal","abstract":"A large-scale virtual reality town was used to test the topographical and\nepisodic memory of patients with unilateral temporal lobe damage.\nSeventeen right and 13 left temporal lobectomy patients were compared with\n16 healthy matched control subjects. After they had explored the town,\nsubjects' topographical memory was tested by requiring them to navigate to\nspecific locations in the town. The ability to recognize scenes from and\ndraw maps of the virtual town was also assessed. Following the\ntopographical memory tests, subjects followed a route around the same town\nbut now collected objects from two different characters in two different\nlocations. Episodic memory for various aspects of these events was then\nassessed by paired forced-choice recognition tests. The results showed an\ninteraction between laterality and test type such that the right temporal\nlobectomy (RTL) patients were worse on tests of topographical memory, and\nthe left temporal lobectomy (LTL) patients worse on tests of\ncontext-dependent episodic memory. Specifically, the RTL group was\nimpaired on navigation, scene recognition and map drawing relative to\ncontrol subjects. They were also impaired on recognition of objects in the\nepisodic memory task. The LTL group was impaired relative to control\nsubjects on their memory for contextual aspects of the events, such as who\ngave them the objects, the order in which objects were received and the\nlocations in which they received them. They were also mildly impaired on\ntopographical memory, but less so than the RTL group. These results\nsuggest that topographical memory is predominately mediated by structures\nin the right medial temporal lobe, whereas the context-dependent aspects\nof episodic memory in this non-verbal test are more dependent on the left\nmedial temporal lobe.","container-title":"Brain","ISSN":"0006-8950","issue":"Pt 12","page":"2476-2489","title":"Unilateral temporal lobectomy patients show lateralized topographical and episodic memory deficits in a virtual town","volume":"124","author":[{"family":"Spiers","given":"H J"},{"family":"Burgess","given":"N"},{"family":"Maguire","given":"E A"},{"family":"Baxendale","given":"S A"},{"family":"Hartley","given":"T"},{"family":"Thompson","given":"P J"},{"family":"O'Keefe","given":"J"}],"issued":{"date-parts":[["2001",12]]}}},{"id":529,"uris":["http://zotero.org/users/5736906/items/3768569W"],"uri":["http://zotero.org/users/5736906/items/3768569W"],"itemData":{"id":529,"type":"article-journal","abstract":"Background: Diagnosis of behavioral variant frontotemporal dementia (bvFTD) can be challenging, in particular when patients present with significant memory problems, which can increase the chance of a misdiagnosis of Alzheimer’s disease (AD). Growing","container-title":"Journal of Alzheimer's Disease","DOI":"10.3233/JAD-160592","ISSN":"1387-2877","issue":"3","language":"en","note":"publisher: IOS Press","page":"883-892","source":"content.iospress.com","title":"Egocentric versus Allocentric Spatial Memory in Behavioral Variant Frontotemporal Dementia and Alzheimer’s Disease","volume":"59","author":[{"family":"Tu","given":"Sicong"},{"family":"Spiers","given":"Hugo J."},{"family":"Hodges","given":"John R."},{"family":"Piguet","given":"Olivier"},{"family":"Hornberger","given":"Michael"}],"issued":{"date-parts":[["2017",1,1]]}}}],"schema":"https://github.com/citation-style-language/schema/raw/master/csl-citation.json"} </w:instrText>
      </w:r>
      <w:r w:rsidR="00BE64D3">
        <w:fldChar w:fldCharType="separate"/>
      </w:r>
      <w:r w:rsidR="00675588" w:rsidRPr="00675588">
        <w:t>(King et al., 2002; Lambrey et al., 2012; Spiers et al., 2001; Tu et al., 2017)</w:t>
      </w:r>
      <w:r w:rsidR="00BE64D3">
        <w:fldChar w:fldCharType="end"/>
      </w:r>
      <w:r w:rsidR="00145BDA">
        <w:t>. For example, in King et al. (2002) a patient with damage to the hippocampus showed profound impairment of memory for object locations in a virtual environment that was apparent only when tested from a different viewpoint from that used at encoding.</w:t>
      </w:r>
    </w:p>
    <w:p w14:paraId="3D74728A" w14:textId="34518142" w:rsidR="009D498C" w:rsidRDefault="00145BDA" w:rsidP="00CC71DB">
      <w:pPr>
        <w:pStyle w:val="BodyText"/>
      </w:pPr>
      <w:r>
        <w:t xml:space="preserve">Beyond the simple dissociation of viewpoint-dependent and independent forms of memory, </w:t>
      </w:r>
      <w:r w:rsidR="00B80A97" w:rsidRPr="00B42097">
        <w:t xml:space="preserve"> </w:t>
      </w:r>
      <w:r w:rsidR="006518FF">
        <w:t xml:space="preserve">there are </w:t>
      </w:r>
      <w:r w:rsidR="00A1231C">
        <w:t>clear indications</w:t>
      </w:r>
      <w:r w:rsidR="006518FF">
        <w:t xml:space="preserve"> that </w:t>
      </w:r>
      <w:r w:rsidR="00B80A97" w:rsidRPr="00B42097">
        <w:t>performance</w:t>
      </w:r>
      <w:r w:rsidR="006518FF">
        <w:t xml:space="preserve"> in spatial memory tasks can be</w:t>
      </w:r>
      <w:r>
        <w:t xml:space="preserve"> parametrically affected by the </w:t>
      </w:r>
      <w:r w:rsidRPr="00D216F9">
        <w:rPr>
          <w:i/>
          <w:iCs/>
        </w:rPr>
        <w:t>degree</w:t>
      </w:r>
      <w:r w:rsidR="00B80A97" w:rsidRPr="00B42097">
        <w:t xml:space="preserve"> of viewpoint change: notably, the spatial accuracy of responses is reduced as viewpoint at test is rotated away from viewpoint at encoding</w:t>
      </w:r>
      <w:r w:rsidR="00C01075" w:rsidRPr="00B42097">
        <w:t xml:space="preserve"> </w:t>
      </w:r>
      <w:r w:rsidR="00C01075" w:rsidRPr="00B42097">
        <w:fldChar w:fldCharType="begin"/>
      </w:r>
      <w:r w:rsidR="00BE64D3">
        <w:instrText xml:space="preserve"> ADDIN ZOTERO_ITEM CSL_CITATION {"citationID":"cOVMSj8j","properties":{"formattedCitation":"(Diwadkar &amp; McNamara, 1997; Shelton &amp; McNamara, 2001)","plainCitation":"(Diwadkar &amp; McNamara, 1997; Shelton &amp; McNamara, 2001)","noteIndex":0},"citationItems":[{"id":80,"uris":["http://zotero.org/users/5736906/items/4F34TU8E"],"uri":["http://zotero.org/users/5736906/items/4F34TU8E"],"itemData":{"id":80,"type":"article-journal","abstract":"Two experiments investigated the viewpoint dependence of spatial memories\nIn Experiment 1, participants learned the locations of objects on a\ndesktop from a single perspective and then took part in a recognition\ntest, test scenes included familiar and novel views of the layout\nRecognition latency was a linear function of the angular distance between\na test view and the study view In Experiment 2, participants studied a\nlayout from a single view and then learned to recognize the layout from\nthree additional training views A final recognition test showed that the\nstudy view and the training views were represented in memory, and that\nlatency was a linear function of the angular distance to the nearest study\nor training view These results indicate that interobject spatial relations\nare encoded in a viewpoint-dependent manner, and that recognition of novel\nviews requires normalization to the most similar representation in memory\nThese findings parallel recent results in visual object recognition.","container-title":"Psychol. Sci.","DOI":"10.1111/j.1467-9280.1997.tb00442.x","ISSN":"0956-7976","issue":"4","page":"302-307","title":"Viewpoint Dependence in Scene Recognition","volume":"8","author":[{"family":"Diwadkar","given":"Vaibhav A"},{"family":"McNamara","given":"Timothy P"}],"issued":{"date-parts":[["1997",7,1]]}}},{"id":158,"uris":["http://zotero.org/users/5736906/items/FLZ4FXG7"],"uri":["http://zotero.org/users/5736906/items/FLZ4FXG7"],"itemData":{"id":158,"type":"article-journal","abstract":"Seven experiments examined the spatial reference systems used in memory to\nrepresent the locations of objects in the environment. Participants\nlearned the locations of common objects in a room and then made judgments\nof relative direction using their memories of the layout (e.g., \"Imagine\nyou are standing at the shoe, facing the lamp; point to the clock\"). The\nexperiments manipulated the number of views that observers were allowed to\nexperience, the presence or absence of local and global reference systems\n(e.g., a rectangular mat on which objects were placed and the walls of the\nroom, respectively), and the congruence of local and global reference\nsystems. Judgments of relative direction were more accurate for imagined\nheadings parallel to study views than for imagined headings parallel to\nnovel views, even with up to three study views. However, study views\nmisaligned with salient reference systems in the environment were not\nstrongly represented if they were experienced in the context of aligned\nviews. Novel views aligned with a local reference system were, under\ncertain conditions, easier to imagine than were novel views misaligned\nwith the local reference system. We propose that learning and remembering\nthe spatial structure of the surrounding environment involves interpreting\nthe layout in terms of a spatial reference system. This reference system\nis imposed on the environment but defined by egocentric experience.","container-title":"Cogn. Psychol.","DOI":"10.1006/cogp.2001.0758","ISSN":"0010-0285","issue":"4","page":"274-310","title":"Systems of spatial reference in human memory","volume":"43","author":[{"family":"Shelton","given":"A L"},{"family":"McNamara","given":"T P"}],"issued":{"date-parts":[["2001",12]]}}}],"schema":"https://github.com/citation-style-language/schema/raw/master/csl-citation.json"} </w:instrText>
      </w:r>
      <w:r w:rsidR="00C01075" w:rsidRPr="00B42097">
        <w:fldChar w:fldCharType="separate"/>
      </w:r>
      <w:r w:rsidR="00675588" w:rsidRPr="00675588">
        <w:t>(Diwadkar &amp; McNamara, 1997; Shelton &amp; McNamara, 2001)</w:t>
      </w:r>
      <w:r w:rsidR="00C01075" w:rsidRPr="00B42097">
        <w:fldChar w:fldCharType="end"/>
      </w:r>
      <w:r w:rsidR="005B0B01" w:rsidRPr="00B42097">
        <w:t xml:space="preserve"> </w:t>
      </w:r>
      <w:r w:rsidR="00C01075" w:rsidRPr="00B42097">
        <w:t>w</w:t>
      </w:r>
      <w:r w:rsidR="00200E6B" w:rsidRPr="00B42097">
        <w:t xml:space="preserve">ith </w:t>
      </w:r>
      <w:r w:rsidR="00792270" w:rsidRPr="00B42097">
        <w:t>increased viewpoint rotation</w:t>
      </w:r>
      <w:r w:rsidR="00200E6B" w:rsidRPr="00B42097">
        <w:t>s</w:t>
      </w:r>
      <w:r w:rsidR="00792270" w:rsidRPr="00B42097">
        <w:t xml:space="preserve"> </w:t>
      </w:r>
      <w:r w:rsidR="00200E6B" w:rsidRPr="00B42097">
        <w:t xml:space="preserve">having been found to encourage </w:t>
      </w:r>
      <w:r w:rsidR="00792270" w:rsidRPr="00B42097">
        <w:t xml:space="preserve">the use of allocentric cues and activation of allocentric-associated brain </w:t>
      </w:r>
      <w:r w:rsidR="00200E6B" w:rsidRPr="00B42097">
        <w:t xml:space="preserve">regions </w:t>
      </w:r>
      <w:r w:rsidR="00792270" w:rsidRPr="00B42097">
        <w:fldChar w:fldCharType="begin"/>
      </w:r>
      <w:r w:rsidR="00BE64D3">
        <w:instrText xml:space="preserve"> ADDIN ZOTERO_ITEM CSL_CITATION {"citationID":"YGWM4KNG","properties":{"formattedCitation":"(Schmidt et al., 2007; Zhao &amp; Warren, 2015)","plainCitation":"(Schmidt et al., 2007; Zhao &amp; Warren, 2015)","noteIndex":0},"citationItems":[{"id":446,"uris":["http://zotero.org/users/5736906/items/MR74E9F7"],"uri":["http://zotero.org/users/5736906/items/MR74E9F7"],"itemData":{"id":446,"type":"article-journal","abstract":"We used functional magnetic resonance imaging to explore the brain mechanisms of changing point of view (PoV) in a visuospatial memory task in 3D space. Eye movements were monitored and BOLD signal changes were measured while subjects were presented with 3D images of a virtual environment. Subjects were required to encode the position of a lamp in the environment and, after changing the PoV (angular difference varied from 0° to 180° in 45° steps), to decide whether the lamp position had been changed too or not. Performance data and a scan-path analysis based on eye movement support the use of landmarks in the environment for coding lamp position and increasing spatial updating costs with increasing changes of PoV indicating allocentric coding strategies during all conditions (0°- to 180°-condition). Subtraction analysis using SPM revealed that a parieto–temporo–frontal network including left medial temporal areas was activated during this 3D visuospatial task, independent of angular difference. The activity of the left parahippocampal area and the left lingual gyrus (but not the hippocampus) correlated with increasing changes of the PoV between encoding and retrieval, emphasizing their specific role in spatial scene memory and allocentric coding. The results suggest that these areas are involved in a continuous matching process between internal representations of the environment and the external status quo. In addition, hippocampal activation correlated with performance was found indicating successful recall of spatial information. Finally, in a prefrontal area comprising, the so-called “deep” frontal eye field, activation was correlated with the amount of saccadic eye movements confirming its role in oculomotor processes.","container-title":"NeuroImage","DOI":"10.1016/j.neuroimage.2007.03.050","ISSN":"1053-8119","issue":"3","journalAbbreviation":"NeuroImage","language":"en","page":"955-968","source":"ScienceDirect","title":"Visuospatial working memory and changes of the point of view in 3D space","volume":"36","author":[{"family":"Schmidt","given":"D."},{"family":"Krause","given":"B. J."},{"family":"Weiss","given":"P. H."},{"family":"Fink","given":"G. R."},{"family":"Shah","given":"N. J."},{"family":"Amorim","given":"M. -A."},{"family":"Müller","given":"H. -W."},{"family":"Berthoz","given":"A."}],"issued":{"date-parts":[["2007",7,1]]}}},{"id":488,"uris":["http://zotero.org/users/5736906/items/49UJDU7P"],"uri":["http://zotero.org/users/5736906/items/49UJDU7P"],"itemData":{"id":488,"type":"article-journal","abstract":"How do people combine their sense of direction with their use of visual landmarks during navigation? Cue-integration theory predicts that such cues will be optimally integrated to reduce variability, whereas cue-competition theory predicts that one cue will dominate the response direction. We tested these theories by measuring both accuracy and variability in a homing task while manipulating information about path integration and visual landmarks. We found that the two cues were near-optimally integrated to reduce variability, even when landmarks were shifted up to 90°. Yet the homing direction was dominated by a single cue, which switched from landmarks to path integration when landmark shifts were greater than 90°. These findings suggest that cue integration and cue competition govern different aspects of the homing response: Cues are integrated to reduce response variability but compete to determine the response direction. The results are remarkably similar to data on animal navigation, which implies that visual landmarks reset the orientation, but not the precision, of the path-integration system.","container-title":"Psychological Science","DOI":"10.1177/0956797615574952","ISSN":"0956-7976","issue":"6","journalAbbreviation":"Psychol Sci","note":"publisher: SAGE Publications Inc","page":"915-924","source":"SAGE Journals","title":"How You Get There From Here: Interaction of Visual Landmarks and Path Integration in Human Navigation","title-short":"How You Get There From Here","volume":"26","author":[{"family":"Zhao","given":"Mintao"},{"family":"Warren","given":"William H."}],"issued":{"date-parts":[["2015",6,1]]}}}],"schema":"https://github.com/citation-style-language/schema/raw/master/csl-citation.json"} </w:instrText>
      </w:r>
      <w:r w:rsidR="00792270" w:rsidRPr="00B42097">
        <w:fldChar w:fldCharType="separate"/>
      </w:r>
      <w:r w:rsidR="00675588" w:rsidRPr="00675588">
        <w:t>(Schmidt et al., 2007; Zhao &amp; Warren, 2015)</w:t>
      </w:r>
      <w:r w:rsidR="00792270" w:rsidRPr="00B42097">
        <w:fldChar w:fldCharType="end"/>
      </w:r>
      <w:r w:rsidR="00792270" w:rsidRPr="00B42097">
        <w:t>.</w:t>
      </w:r>
      <w:r w:rsidR="00890034">
        <w:t xml:space="preserve"> </w:t>
      </w:r>
      <w:r w:rsidR="00B80A97" w:rsidRPr="00B42097">
        <w:t xml:space="preserve">These results suggest that a more detailed understanding of the contributions of ego- and allocentric systems to behaviour can be gained by investigating the relationship between the degree of viewpoint change and the accuracy of spatial responses in memory tasks. </w:t>
      </w:r>
    </w:p>
    <w:p w14:paraId="2108DB7B" w14:textId="4DC3A787" w:rsidR="00B80A97" w:rsidRDefault="00B80A97">
      <w:pPr>
        <w:pStyle w:val="BodyText"/>
      </w:pPr>
      <w:r w:rsidRPr="00B42097">
        <w:t xml:space="preserve">This </w:t>
      </w:r>
      <w:r w:rsidR="009D498C">
        <w:t xml:space="preserve">parametric </w:t>
      </w:r>
      <w:r w:rsidRPr="00B42097">
        <w:t xml:space="preserve">approach connects with recent developments in investigations of working memory where the precision of responses is increasingly used to investigate capacity constraints. Some authors argue that visual working memory capacity is limited by a </w:t>
      </w:r>
      <w:r w:rsidRPr="00B42097">
        <w:lastRenderedPageBreak/>
        <w:t xml:space="preserve">common resource that, rather than being limited to a fixed number of items, can be allocated to the fidelity with which each item’s properties (such as colour and location) are stored </w:t>
      </w:r>
      <w:r w:rsidRPr="00B42097">
        <w:fldChar w:fldCharType="begin"/>
      </w:r>
      <w:r w:rsidR="00BE64D3">
        <w:instrText xml:space="preserve"> ADDIN ZOTERO_ITEM CSL_CITATION {"citationID":"UMkBhAtU","properties":{"formattedCitation":"(Alvarez &amp; Cavanagh, 2004; Awh et al., 2007; P. M. Bays &amp; Husain, 2008; Paul M Bays et al., 2009; Ma &amp; Wilken, 2004)","plainCitation":"(Alvarez &amp; Cavanagh, 2004; Awh et al., 2007; P. M. Bays &amp; Husain, 2008; Paul M Bays et al., 2009; Ma &amp; Wilken, 2004)","dontUpdate":true,"noteIndex":0},"citationItems":[{"id":31,"uris":["http://zotero.org/users/5736906/items/BMWUXVS2"],"uri":["http://zotero.org/users/5736906/items/BMWUXVS2"],"itemData":{"id":31,"type":"article-journal","abstract":"Previous research has suggested that visual short-term memory has a fixed\ncapacity of about four objects. However, we found that capacity varied\nsubstantially across the five stimulus classes we examined, ranging from\n1.6 for shaded cubes to 4.4 for colors (estimated using a change detection\ntask). We also estimated the information load per item in each class,\nusing visual search rate. The changes we measured in memory capacity\nacross classes were almost exactly mirrored by changes in the opposite\ndirection in visual search rate (r2=.992 between search rate and the\nreciprocal of memory capacity). The greater the information load of each\nitem in a stimulus class (as indicated by a slower search rate), the fewer\nitems from that class one can hold in memory. Extrapolating this linear\nrelationship reveals that there is also an upper bound on capacity of\napproximately four or five objects. Thus, both the visual information load\nand number of objects impose capacity limits on visual short-term memory.","container-title":"Psychol. Sci.","DOI":"10.1111/j.0963-7214.2004.01502006.x","ISSN":"0956-7976","issue":"2","page":"106-111","title":"The capacity of visual short-term memory is set both by visual information load and by number of objects","volume":"15","author":[{"family":"Alvarez","given":"G A"},{"family":"Cavanagh","given":"P"}],"issued":{"date-parts":[["2004",2]]}}},{"id":102,"uris":["http://zotero.org/users/5736906/items/4BJ9V772"],"uri":["http://zotero.org/users/5736906/items/4BJ9V772"],"itemData":{"id":102,"type":"article-journal","abstract":"Does visual working memory represent a fixed number of objects, or is\ncapacity reduced as object complexity increases? We measured accuracy in\ndetecting changes between sample and test displays and found that capacity\nestimates dropped as complexity increased. However, these apparent\ncapacity reductions were strongly correlated with increases in sample-test\nsimilarity (r= .97), raising the possibility that change detection was\nlimited by errors in comparing the sample and test, rather than by the\nnumber of items that were maintained in working memory. Accordingly, when\nsample-test similarity was low, capacity estimates for even the most\ncomplex objects were equivalent to the estimate for the simplest objects\n(r= .88), suggesting that visual working memory represents a fixed number\nof items regardless of complexity. Finally, a correlational analysis\nsuggested a two-factor model of working memory ability, in which the\nnumber and resolution of representations in working memory correspond to\ndistinct dimensions of memory ability.","container-title":"Psychol. Sci.","DOI":"10.1111/j.1467-9280.2007.01949.x","ISSN":"0956-7976","issue":"7","page":"622-628","title":"Visual working memory represents a fixed number of items regardless of complexity","volume":"18","author":[{"family":"Awh","given":"Edward"},{"family":"Barton","given":"Brian"},{"family":"Vogel","given":"Edward K"}],"issued":{"date-parts":[["2007",7]]}}},{"id":452,"uris":["http://zotero.org/users/5736906/items/PJ2HL384"],"uri":["http://zotero.org/users/5736906/items/PJ2HL384"],"itemData":{"id":452,"type":"article-journal","container-title":"Science","DOI":"10.1126/science.1158023","ISSN":"0036-8075, 1095-9203","issue":"5890","journalAbbreviation":"Science","language":"en","page":"851-854","source":"DOI.org (Crossref)","title":"Dynamic Shifts of Limited Working Memory Resources in Human Vision","volume":"321","author":[{"family":"Bays","given":"P. M."},{"family":"Husain","given":"M."}],"issued":{"date-parts":[["2008",8,8]]}}},{"id":453,"uris":["http://zotero.org/users/5736906/items/V7MLU58I"],"uri":["http://zotero.org/users/5736906/items/V7MLU58I"],"itemData":{"id":453,"type":"article-journal","container-title":"Journal of Vision","issue":"10","title":"The precision of visual working memory is set by allocation of a shared resource","URL":"https://jov.arvojournals.org/article.aspx?articleid=2122354","volume":"9","author":[{"family":"Bays","given":"Paul M"},{"family":"G.","given":"Catalao","suffix":"Raquel F."},{"family":"Husain","given":"Masud"}],"accessed":{"date-parts":[["2020",5,13]]},"issued":{"date-parts":[["2009"]]}}},{"id":26,"uris":["http://zotero.org/users/5736906/items/LV3HRPJI"],"uri":["http://zotero.org/users/5736906/items/LV3HRPJI"],"itemData":{"id":26,"type":"article-journal","container-title":"J. Vis.","DOI":"10.1167/4.8.389","ISSN":"1534-7362","issue":"8","page":"389-389","title":"A signal detection account of visual short-term memory for orientation and spatial frequency","volume":"4","author":[{"family":"Ma","given":"Wei Ji"},{"family":"Wilken","given":"Patrick"}],"issued":{"date-parts":[["2004",6,1]]}}}],"schema":"https://github.com/citation-style-language/schema/raw/master/csl-citation.json"} </w:instrText>
      </w:r>
      <w:r w:rsidRPr="00B42097">
        <w:fldChar w:fldCharType="separate"/>
      </w:r>
      <w:r w:rsidRPr="00B42097">
        <w:t>(Alvarez &amp; Cavanagh, 2004; Awh et al., 2007; Bays &amp; Husain, 2008; Bays et al., 2009; Ma &amp; Wilken, 2004)</w:t>
      </w:r>
      <w:r w:rsidRPr="00B42097">
        <w:fldChar w:fldCharType="end"/>
      </w:r>
      <w:r w:rsidRPr="00B42097">
        <w:t>. In this context, psychophysical techniques provide a sensitive means to measure the precision of memory representations in visuo-spatial change detection tasks (e.g.,</w:t>
      </w:r>
      <w:r w:rsidRPr="00B42097">
        <w:fldChar w:fldCharType="begin"/>
      </w:r>
      <w:r w:rsidR="00BE64D3">
        <w:instrText xml:space="preserve"> ADDIN ZOTERO_ITEM CSL_CITATION {"citationID":"eGVnBqVo","properties":{"formattedCitation":"(Brady et al., 2011; Brady &amp; Alvarez, 2015; Jiang et al., 2000; S J Luck &amp; Vogel, 1997; Steven J Luck et al., n.d.; Steven J Luck &amp; Vogel, 2013)","plainCitation":"(Brady et al., 2011; Brady &amp; Alvarez, 2015; Jiang et al., 2000; S J Luck &amp; Vogel, 1997; Steven J Luck et al., n.d.; Steven J Luck &amp; Vogel, 2013)","dontUpdate":true,"noteIndex":0},"citationItems":[{"id":23,"uris":["http://zotero.org/users/5736906/items/TIWJRDBL"],"uri":["http://zotero.org/users/5736906/items/TIWJRDBL"],"itemData":{"id":23,"type":"article-journal","abstract":"Traditional memory research has focused on identifying separate memory\nsystems and exploring different stages of memory processing. This approach\nhas been valuable for establishing a taxonomy of memory systems and\ncharacterizing their function but has been less informative about the\nnature of stored memory representations. Recent research on visual memory\nhas shifted toward a representation-based emphasis, focusing on the\ncontents of memory and attempting to determine the format and structure of\nremembered information. The main thesis of this review will be that one\ncannot fully understand memory systems or memory processes without also\ndetermining the nature of memory representations. Nowhere is this\nconnection more obvious than in research that attempts to measure the\ncapacity of visual memory. We will review research on the capacity of\nvisual working memory and visual long-term memory, highlighting recent\nwork that emphasizes the contents of memory. This focus impacts not only\nhow we estimate the capacity of the system--going beyond quantifying how\nmany items can be remembered and moving toward structured\nrepresentations--but how we model memory systems and memory processes.","container-title":"J. Vis.","DOI":"10.1167/11.5.4","ISSN":"1534-7362","issue":"5","page":"4","title":"A review of visual memory capacity: Beyond individual items and toward structured representations","volume":"11","author":[{"family":"Brady","given":"Timothy F"},{"family":"Konkle","given":"Talia"},{"family":"Alvarez","given":"George A"}],"issued":{"date-parts":[["2011",5,26]]}}},{"id":467,"uris":["http://zotero.org/users/5736906/items/XC7USTZ9"],"uri":["http://zotero.org/users/5736906/items/XC7USTZ9"],"itemData":{"id":467,"type":"article-journal","container-title":"Journal of Experimental Psychology: Learning, Memory, and Cognition","DOI":"10.1037/xlm0000075","ISSN":"1939-1285, 0278-7393","issue":"3","journalAbbreviation":"Journal of Experimental Psychology: Learning, Memory, and Cognition","language":"en","page":"921-929","source":"DOI.org (Crossref)","title":"No evidence for a fixed object limit in working memory: Spatial ensemble representations inflate estimates of working memory capacity for complex objects.","title-short":"No evidence for a fixed object limit in working memory","volume":"41","author":[{"family":"Brady","given":"Timothy F."},{"family":"Alvarez","given":"George A."}],"issued":{"date-parts":[["2015"]]}}},{"id":17,"uris":["http://zotero.org/users/5736906/items/LBQGW4Y5"],"uri":["http://zotero.org/users/5736906/items/LBQGW4Y5"],"itemData":{"id":17,"type":"article-journal","abstract":"The authors examined the organization of visual short-term memory (VSTM).\nUsing a change-detection task, they reported that VSTM stores relational\ninformation between individual items. This relational processing is\nmediated by the organization of items into spatial configurations. The\nspatial configuration of visual objects is important for VSTM of spatial\nlocations, colors, and shapes. When color VSTM is compared with location\nVSTM, spatial configuration plays an integral role because configuration\nis important for color VSTM, whereas color is not important for location\nVSTM. The authors also examined the role of attention and found that the\nformation of configuration is modulated by both top-down and bottom-up\nattentional factors. In summary, the authors proposed that VSTM stores the\nrelational information of individual visual items on the basis of global\nspatial configuration.","container-title":"J. Exp. Psychol. Learn. Mem. Cogn.","ISSN":"0278-7393","issue":"3","page":"683-702","title":"Organization of visual short-term memory","volume":"26","author":[{"family":"Jiang","given":"Y"},{"family":"Olson","given":"I R"},{"family":"Chun","given":"M M"}],"issued":{"date-parts":[["2000",5]]}}},{"id":24,"uris":["http://zotero.org/users/5736906/items/PIDJU45I"],"uri":["http://zotero.org/users/5736906/items/PIDJU45I"],"itemData":{"id":24,"type":"article-journal","abstract":"Short-term memory storage can be divided into separate subsystems for\nverbal information and visual information, and recent studies have begun\nto delineate the neural substrates of these working-memory systems.\nAlthough the verbal storage system has been well characterized, the\nstorage capacity of visual working memory has not yet been established for\nsimple, suprathreshold features or for conjunctions of features. Here we\ndemonstrate that it is possible to retain information about only four\ncolours or orientations in visual working memory at one time. However, it\nis also possible to retain both the colour and the orientation of four\nobjects, indicating that visual working memory stores integrated objects\nrather than individual features. Indeed, objects defined by a conjunction\nof four features can be retained in working memory just as well as\nsingle-feature objects, allowing sixteen individual features to be\nretained when distributed across four objects. Thus, the capacity of\nvisual working memory must be understood in terms of integrated objects\nrather than individual features, which places significant constraints on\ncognitive and neurobiological models of the temporary storage of visual\ninformation.","container-title":"Nature","DOI":"10.1038/36846","ISSN":"0028-0836","issue":"6657","page":"279-281","title":"The capacity of visual working memory for features and conjunctions","volume":"390","author":[{"family":"Luck","given":"S J"},{"family":"Vogel","given":"E K"}],"issued":{"date-parts":[["1997",11,20]]}}},{"id":470,"uris":["http://zotero.org/users/5736906/items/Q8X8UAZC"],"uri":["http://zotero.org/users/5736906/items/Q8X8UAZC"],"itemData":{"id":470,"type":"article-journal","language":"en","page":"18","source":"Zotero","title":"Effects of Spatial Cuing on Luminance Detectability: Psychophysical and Electrophysiological Evidence for Early Selection","author":[{"family":"Luck","given":"Steven J"},{"family":"Hillyard","given":"Steven A"},{"family":"Mouloua","given":"Mustapha"},{"family":"Woldorff","given":"Marty G"},{"family":"Clark","given":"Vincent P"},{"family":"Hawkins","given":"Harold L"}]}},{"id":103,"uris":["http://zotero.org/users/5736906/items/CFYJN7YW"],"uri":["http://zotero.org/users/5736906/items/CFYJN7YW"],"itemData":{"id":103,"type":"article-journal","abstract":"Visual working memory capacity is of great interest because it is strongly\ncorrelated with overall cognitive ability, can be understood at the level\nof neural circuits, and is easily measured. Recent studies have shown that\ncapacity influences tasks ranging from saccade targeting to analogical\nreasoning. A debate has arisen over whether capacity is constrained by a\nlimited number of discrete representations or by an infinitely divisible\nresource, but the empirical evidence and neural network models currently\nfavor a discrete item limit. Capacity differs markedly across individuals\nand groups, and recent research indicates that some of these differences\nreflect true differences in storage capacity whereas others reflect\nvariations in the ability to use memory capacity efficiently.","container-title":"Trends Cogn. Sci.","DOI":"10.1016/j.tics.2013.06.006","ISSN":"1364-6613","issue":"8","page":"391-400","title":"Visual working memory capacity: from psychophysics and neurobiology to individual differences","volume":"17","author":[{"family":"Luck","given":"Steven J"},{"family":"Vogel","given":"Edward K"}],"issued":{"date-parts":[["2013",8]]}}}],"schema":"https://github.com/citation-style-language/schema/raw/master/csl-citation.json"} </w:instrText>
      </w:r>
      <w:r w:rsidRPr="00B42097">
        <w:fldChar w:fldCharType="separate"/>
      </w:r>
      <w:r w:rsidRPr="00B42097">
        <w:t xml:space="preserve"> Brady &amp; Alvarez, 2015; Jiang et al., 2000; Luck &amp; Vogel, 1997; Luck et al</w:t>
      </w:r>
      <w:r w:rsidR="00DA2656">
        <w:t>, 1994</w:t>
      </w:r>
      <w:r w:rsidRPr="00B42097">
        <w:t xml:space="preserve"> ; Luck &amp; Vogel, 2013, see Brady et al., 2011 for review)</w:t>
      </w:r>
      <w:r w:rsidRPr="00B42097">
        <w:fldChar w:fldCharType="end"/>
      </w:r>
      <w:r w:rsidRPr="00B42097">
        <w:t>. However, spatial working memory tasks have typically been concerned with 2D stimulus arrays in which the participant</w:t>
      </w:r>
      <w:r w:rsidR="009D498C">
        <w:t>’</w:t>
      </w:r>
      <w:r w:rsidRPr="00B42097">
        <w:t xml:space="preserve">s viewpoint remains fixed; in most cases such tasks can shed little light on the way in which different forms of spatial representation contribute to working memory. </w:t>
      </w:r>
    </w:p>
    <w:p w14:paraId="73A462E8" w14:textId="006286AC" w:rsidR="000D1BC0" w:rsidRDefault="00B80A97" w:rsidP="004E273B">
      <w:pPr>
        <w:pStyle w:val="BodyText"/>
      </w:pPr>
      <w:r w:rsidRPr="00B42097">
        <w:t xml:space="preserve">A notable exception is a recent study by </w:t>
      </w:r>
      <w:proofErr w:type="spellStart"/>
      <w:r w:rsidRPr="00B42097">
        <w:t>Aagten</w:t>
      </w:r>
      <w:proofErr w:type="spellEnd"/>
      <w:r w:rsidRPr="00B42097">
        <w:t>-Murphy and Bays (</w:t>
      </w:r>
      <w:r w:rsidRPr="00B42097">
        <w:fldChar w:fldCharType="begin"/>
      </w:r>
      <w:r w:rsidR="00BE64D3">
        <w:instrText xml:space="preserve"> ADDIN ZOTERO_ITEM CSL_CITATION {"citationID":"lPMgGYGw","properties":{"formattedCitation":"(Aagten-Murphy &amp; Bays, 2019)","plainCitation":"(Aagten-Murphy &amp; Bays, 2019)","dontUpdate":true,"noteIndex":0},"citationItems":[{"id":399,"uris":["http://zotero.org/users/5736906/items/2U738BCY"],"uri":["http://zotero.org/users/5736906/items/2U738BCY"],"itemData":{"id":399,"type":"article-journal","abstract":"Visuospatial working memory enables us to maintain access to visual information for processing even when a stimulus is no longer present, due to occlusion, our own movements, or transience of the stimulus. Here we show that, when localizing remembered stimuli, the precision of spatial recall does not rely solely on memory for individual stimuli, but additionally depends on the relative distances between stimuli and visual landmarks in the surroundings. Across three separate experiments, we consistently observed a spatially selective improvement in the precision of recall for items located near a persistent landmark. While the results did not require that the landmark be visible throughout the memory delay period, it was essential that it was visible both during encoding and response. We present a simple model that can accurately capture human performance by considering relative (allocentric) spatial information as an independent localization estimate which degrades with distance and is optimally integrated with egocentric spatial information. Critically, allocentric information was encoded without cost to egocentric estimation, demonstrating independent storage of the two sources of information. Finally, when egocentric and allocentric estimates were put in conflict, the model successfully predicted the resulting localization errors. We suggest that the relative distance between stimuli represents an additional, independent spatial cue for memory recall. This cue information is likely to be critical for spatial localization in natural settings which contain an abundance of visual landmarks.","container-title":"PLOS Computational Biology","DOI":"10.1371/journal.pcbi.1006563","ISSN":"1553-7358","issue":"2","journalAbbreviation":"PLOS Computational Biology","language":"en","page":"e1006563","source":"PLoS Journals","title":"Independent working memory resources for egocentric and allocentric spatial information","volume":"15","author":[{"family":"Aagten-Murphy","given":"David"},{"family":"Bays","given":"Paul M."}],"issued":{"date-parts":[["2019",2,21]]}}}],"schema":"https://github.com/citation-style-language/schema/raw/master/csl-citation.json"} </w:instrText>
      </w:r>
      <w:r w:rsidRPr="00B42097">
        <w:fldChar w:fldCharType="separate"/>
      </w:r>
      <w:r w:rsidRPr="00B42097">
        <w:t>2019)</w:t>
      </w:r>
      <w:r w:rsidRPr="00B42097">
        <w:fldChar w:fldCharType="end"/>
      </w:r>
      <w:r w:rsidRPr="00B42097">
        <w:t xml:space="preserve">, which investigated the precision of spatial memory responses to 2D arrays when a persistent landmark was present in the display. In this paradigm, although the participant’s viewpoint is fixed, the landmark can be thought of as providing an allocentric cue (i.e., allowing for the encoding of each object’s spatial relationship to its surroundings), which - when it is present and stable - can improve spatial precision, or – if it is shifted – can be placed in conflict with egocentric memory. Consistent with this, stimulus locations near to a landmark were remembered with greater precision than locations further away from a landmark when it remained persistent and stable, and responses were shifted when the landmark was moved between presentation and testing. The results were interpreted as indicating independent contributions of ego- and allocentric representation to the precision of spatial responses, and the authors developed a mathematical model describing the way that ego- and allocentric contributions are combined in the precision of responses in their task. </w:t>
      </w:r>
    </w:p>
    <w:p w14:paraId="7697DAF4" w14:textId="5B100DDC" w:rsidR="00B80A97" w:rsidRDefault="00B80A97" w:rsidP="006E2C18">
      <w:pPr>
        <w:pStyle w:val="BodyText"/>
      </w:pPr>
      <w:r w:rsidRPr="00B42097">
        <w:t xml:space="preserve">These intriguing results align with the neuroscientific and psychological research described above in suggesting that ego- and allocentric representations </w:t>
      </w:r>
      <w:r w:rsidR="00955BFD">
        <w:t>make distinct contributions</w:t>
      </w:r>
      <w:r w:rsidR="00955BFD" w:rsidRPr="00B42097">
        <w:t xml:space="preserve"> </w:t>
      </w:r>
      <w:r w:rsidRPr="00B42097">
        <w:t>to spatial memor</w:t>
      </w:r>
      <w:r w:rsidR="000D1BC0">
        <w:t>y</w:t>
      </w:r>
      <w:r w:rsidRPr="00B42097">
        <w:t>.</w:t>
      </w:r>
      <w:r w:rsidR="000D1BC0">
        <w:t xml:space="preserve"> </w:t>
      </w:r>
      <w:r w:rsidRPr="00B42097">
        <w:t>However, the precision of spatial memory has yet to be investigated with 3D arrays in more realistic situations in which viewpoint varie</w:t>
      </w:r>
      <w:r w:rsidR="005B0B01" w:rsidRPr="00B42097">
        <w:t>s</w:t>
      </w:r>
      <w:r w:rsidRPr="00B42097">
        <w:t xml:space="preserve"> systematically between presentation and testing. In these circumstances, we might expect responses to be guided principally by viewpoint-dependent egocentric representations when the viewpoint remains </w:t>
      </w:r>
      <w:r w:rsidRPr="00B42097">
        <w:lastRenderedPageBreak/>
        <w:t>fixed, with an increasing contribution of viewpoint-independent allocentric representation with larger</w:t>
      </w:r>
      <w:r w:rsidR="005B0B01" w:rsidRPr="00B42097">
        <w:t xml:space="preserve"> unpredictable</w:t>
      </w:r>
      <w:r w:rsidRPr="00B42097">
        <w:t xml:space="preserve"> viewpoint shifts between encoding and retrieval. </w:t>
      </w:r>
    </w:p>
    <w:p w14:paraId="5D1EF393" w14:textId="09A77028" w:rsidR="00D558BF" w:rsidRDefault="00B80A97" w:rsidP="005B4C58">
      <w:pPr>
        <w:pStyle w:val="BodyText"/>
      </w:pPr>
      <w:r w:rsidRPr="00B42097">
        <w:t>To characterise the relationship between viewpoint change and the precision of spatial memory, in the current study we develop a change detection task in which participants remember the locations of an array of objects in a virtual environment over a brief delay. We adopt a psychophysical approach to measure spatial change detection thresholds while parametrically varying the degree of viewpoint change between presentation and testing.</w:t>
      </w:r>
      <w:r w:rsidR="00D16B48" w:rsidRPr="00B42097">
        <w:t xml:space="preserve"> </w:t>
      </w:r>
      <w:r w:rsidR="00200E6B" w:rsidRPr="00B42097">
        <w:t xml:space="preserve">We </w:t>
      </w:r>
      <w:r w:rsidR="00D16B48" w:rsidRPr="00B42097">
        <w:t xml:space="preserve">then </w:t>
      </w:r>
      <w:r w:rsidR="00200E6B" w:rsidRPr="00B42097">
        <w:t xml:space="preserve">fit </w:t>
      </w:r>
      <w:r w:rsidR="00D16B48" w:rsidRPr="00B42097">
        <w:t>a preregistered</w:t>
      </w:r>
      <w:r w:rsidR="00200E6B" w:rsidRPr="00B42097">
        <w:t xml:space="preserve"> model</w:t>
      </w:r>
      <w:r w:rsidR="00D16B48" w:rsidRPr="00B42097">
        <w:t xml:space="preserve"> </w:t>
      </w:r>
      <w:r w:rsidR="00200E6B" w:rsidRPr="00B42097">
        <w:t>to participant data in order to distinguish and quantify ego- and allocentric contributions to spatial precision as it varies with viewpoint.</w:t>
      </w:r>
      <w:r w:rsidR="00C01075" w:rsidRPr="00B42097">
        <w:t xml:space="preserve"> </w:t>
      </w:r>
    </w:p>
    <w:p w14:paraId="22352681" w14:textId="169129BA" w:rsidR="001D2E4E" w:rsidRPr="00B42097" w:rsidRDefault="001D2E4E" w:rsidP="00D216F9">
      <w:pPr>
        <w:pStyle w:val="Heading1"/>
      </w:pPr>
      <w:r w:rsidRPr="00B42097">
        <w:t>Methods</w:t>
      </w:r>
    </w:p>
    <w:p w14:paraId="48845856" w14:textId="6113CA41" w:rsidR="001A70F1" w:rsidRPr="00B42097" w:rsidRDefault="001A70F1" w:rsidP="000B759C">
      <w:pPr>
        <w:pStyle w:val="Heading2"/>
      </w:pPr>
      <w:r w:rsidRPr="00B42097">
        <w:t>Overview</w:t>
      </w:r>
    </w:p>
    <w:p w14:paraId="5C958CB6" w14:textId="09E41C7E" w:rsidR="00B4320E" w:rsidRDefault="00B4320E" w:rsidP="00661B9E">
      <w:pPr>
        <w:pStyle w:val="BodyText"/>
      </w:pPr>
      <w:r w:rsidRPr="00B42097">
        <w:t>In two experiments</w:t>
      </w:r>
      <w:r w:rsidR="00AF1316" w:rsidRPr="00B42097">
        <w:t>,</w:t>
      </w:r>
      <w:r w:rsidRPr="00B42097">
        <w:t xml:space="preserve"> </w:t>
      </w:r>
      <w:r w:rsidR="00AF1316" w:rsidRPr="00B42097">
        <w:t xml:space="preserve">described in more detail below, </w:t>
      </w:r>
      <w:r w:rsidRPr="00B42097">
        <w:t xml:space="preserve">participants were asked </w:t>
      </w:r>
      <w:r w:rsidR="0037274B" w:rsidRPr="00B42097">
        <w:t xml:space="preserve">to </w:t>
      </w:r>
      <w:r w:rsidRPr="00B42097">
        <w:t xml:space="preserve">make judgements about the locations of objects in an array </w:t>
      </w:r>
      <w:r w:rsidR="00DA2656">
        <w:t>with</w:t>
      </w:r>
      <w:r w:rsidRPr="00B42097">
        <w:t>in a virtual environment displayed on a standard PC monitor</w:t>
      </w:r>
      <w:r w:rsidR="001A70F1" w:rsidRPr="00B42097">
        <w:t xml:space="preserve"> (see Figure 1</w:t>
      </w:r>
      <w:r w:rsidR="0037274B" w:rsidRPr="00B42097">
        <w:t>A</w:t>
      </w:r>
      <w:r w:rsidR="001A70F1" w:rsidRPr="00B42097">
        <w:t>)</w:t>
      </w:r>
      <w:r w:rsidRPr="00B42097">
        <w:t xml:space="preserve">. In each task, participants first viewed the object array for six seconds (presentation) </w:t>
      </w:r>
      <w:r w:rsidR="001A70F1" w:rsidRPr="00B42097">
        <w:t xml:space="preserve">from a standard viewpoint </w:t>
      </w:r>
      <w:r w:rsidRPr="00B42097">
        <w:t>and then, after a brief delay, saw the objects from a new viewpoint before making a spatial judgement (test</w:t>
      </w:r>
      <w:r w:rsidR="001A70F1" w:rsidRPr="00B42097">
        <w:t>ing</w:t>
      </w:r>
      <w:r w:rsidRPr="00B42097">
        <w:t>).</w:t>
      </w:r>
      <w:r w:rsidR="001A70F1" w:rsidRPr="00B42097">
        <w:t xml:space="preserve"> To probe the effect of viewpoint changes between presentation and testing</w:t>
      </w:r>
      <w:r w:rsidR="00AF1316" w:rsidRPr="00B42097">
        <w:t>, the viewpoint used to render the scene at testing</w:t>
      </w:r>
      <w:r w:rsidR="001A70F1" w:rsidRPr="00B42097">
        <w:t xml:space="preserve"> was manipulated across trials </w:t>
      </w:r>
      <w:r w:rsidR="0037274B" w:rsidRPr="00B42097">
        <w:t xml:space="preserve">(see Figure 1B), </w:t>
      </w:r>
      <w:r w:rsidR="001A70F1" w:rsidRPr="00B42097">
        <w:t xml:space="preserve">with the degree of viewpoint change </w:t>
      </w:r>
      <w:r w:rsidR="005B0B01" w:rsidRPr="00B42097">
        <w:t xml:space="preserve">being </w:t>
      </w:r>
      <w:r w:rsidR="001A70F1" w:rsidRPr="00B42097">
        <w:t>selected at random</w:t>
      </w:r>
      <w:r w:rsidR="000614DC" w:rsidRPr="00B42097">
        <w:t xml:space="preserve"> on each trial</w:t>
      </w:r>
      <w:r w:rsidR="00AF1316" w:rsidRPr="00B42097">
        <w:t>. Thus</w:t>
      </w:r>
      <w:r w:rsidR="00240B14" w:rsidRPr="00B42097">
        <w:t>,</w:t>
      </w:r>
      <w:r w:rsidR="00AF1316" w:rsidRPr="00B42097">
        <w:t xml:space="preserve"> participants could not anticipate at presentation the viewpoint they would encounter at testing</w:t>
      </w:r>
      <w:r w:rsidR="001A70F1" w:rsidRPr="00B42097">
        <w:t>.</w:t>
      </w:r>
    </w:p>
    <w:p w14:paraId="44C4FDEA" w14:textId="2B6C673F" w:rsidR="001A70F1" w:rsidRPr="00B42097" w:rsidRDefault="00607936" w:rsidP="004655A8">
      <w:pPr>
        <w:pStyle w:val="BodyText"/>
      </w:pPr>
      <w:r w:rsidRPr="00B42097">
        <w:t>Experiment 1</w:t>
      </w:r>
      <w:r w:rsidR="00B4320E" w:rsidRPr="00B42097">
        <w:t xml:space="preserve"> </w:t>
      </w:r>
      <w:r w:rsidR="0037274B" w:rsidRPr="00B42097">
        <w:t>(Figure 1</w:t>
      </w:r>
      <w:r w:rsidR="00A530E6" w:rsidRPr="00B42097">
        <w:t>B</w:t>
      </w:r>
      <w:r w:rsidR="0037274B" w:rsidRPr="00B42097">
        <w:t xml:space="preserve">) </w:t>
      </w:r>
      <w:r w:rsidR="00A530E6" w:rsidRPr="00B42097">
        <w:t>used a Same/Different (S/D) spatial change detection task. Between presentation and testing, the array was left unchanged on half of trials, selected at random (‘Same’ trials), or (for the remaining ‘Different’ trials) a single object was moved by a distance controlled by an adaptive staircase</w:t>
      </w:r>
      <w:r w:rsidR="0084702B" w:rsidRPr="00B42097">
        <w:t xml:space="preserve"> (described below)</w:t>
      </w:r>
      <w:r w:rsidR="00A530E6" w:rsidRPr="00B42097">
        <w:t xml:space="preserve">, with participants being asked to respond ‘Same’ or ‘Different’. </w:t>
      </w:r>
    </w:p>
    <w:p w14:paraId="3FF23899" w14:textId="07D16E44" w:rsidR="0037274B" w:rsidRPr="00B42097" w:rsidRDefault="00607936" w:rsidP="004E273B">
      <w:pPr>
        <w:pStyle w:val="BodyText"/>
      </w:pPr>
      <w:r w:rsidRPr="00B42097">
        <w:t>Experiment 2</w:t>
      </w:r>
      <w:r w:rsidR="00B4320E" w:rsidRPr="00B42097">
        <w:t xml:space="preserve"> </w:t>
      </w:r>
      <w:r w:rsidR="0037274B" w:rsidRPr="00B42097">
        <w:t xml:space="preserve">(Figure </w:t>
      </w:r>
      <w:r w:rsidR="00A530E6" w:rsidRPr="00B42097">
        <w:t>1</w:t>
      </w:r>
      <w:r w:rsidR="0037274B" w:rsidRPr="00B42097">
        <w:t xml:space="preserve">C) </w:t>
      </w:r>
      <w:r w:rsidR="00A530E6" w:rsidRPr="00B42097">
        <w:t>used a two-alternative forced choice (2AFC) spatial change detection task. Between presentation and testing</w:t>
      </w:r>
      <w:r w:rsidR="00A071E8" w:rsidRPr="00B42097">
        <w:t>,</w:t>
      </w:r>
      <w:r w:rsidR="00A530E6" w:rsidRPr="00B42097">
        <w:t xml:space="preserve"> an adaptive staircase controlled the degree </w:t>
      </w:r>
      <w:r w:rsidR="00A530E6" w:rsidRPr="00B42097">
        <w:lastRenderedPageBreak/>
        <w:t>of spatial distortion (the distance a single selected object was moved) applied to an array of 4 objects.</w:t>
      </w:r>
    </w:p>
    <w:p w14:paraId="7CD29EF1" w14:textId="2C3DE43F" w:rsidR="001D2E4E" w:rsidRPr="00B42097" w:rsidRDefault="0037274B" w:rsidP="006E2C18">
      <w:pPr>
        <w:pStyle w:val="BodyText"/>
      </w:pPr>
      <w:r w:rsidRPr="00B42097">
        <w:t>O</w:t>
      </w:r>
      <w:r w:rsidR="00B4320E" w:rsidRPr="00B42097">
        <w:t>ur objective in employing two experiments was to provide a degree of internal replication, to determine whether results would generalize to different spatial judgements and to compare tasks, thus both experiments were piloted and preregistered prior to any data collection and the order of reporting below is arbitrary (</w:t>
      </w:r>
      <w:r w:rsidR="00364EA0" w:rsidRPr="00B42097">
        <w:t>see</w:t>
      </w:r>
      <w:r w:rsidR="00765C8B" w:rsidRPr="00B42097">
        <w:t xml:space="preserve"> </w:t>
      </w:r>
      <w:hyperlink r:id="rId10" w:history="1">
        <w:r w:rsidR="00765C8B" w:rsidRPr="00B42097">
          <w:rPr>
            <w:rStyle w:val="Hyperlink"/>
          </w:rPr>
          <w:t>https://osf.io/p6gzt/</w:t>
        </w:r>
      </w:hyperlink>
      <w:r w:rsidR="00765C8B" w:rsidRPr="00B42097">
        <w:t xml:space="preserve"> and </w:t>
      </w:r>
      <w:hyperlink r:id="rId11" w:history="1">
        <w:r w:rsidR="00765C8B" w:rsidRPr="00B42097">
          <w:rPr>
            <w:rStyle w:val="Hyperlink"/>
          </w:rPr>
          <w:t>https://osf.io/j7a8p/</w:t>
        </w:r>
      </w:hyperlink>
      <w:r w:rsidR="00B4320E" w:rsidRPr="00B42097">
        <w:t>).</w:t>
      </w:r>
    </w:p>
    <w:p w14:paraId="37288E9E" w14:textId="77777777" w:rsidR="001D2E4E" w:rsidRPr="00B42097" w:rsidRDefault="001D2E4E" w:rsidP="00E26CFF">
      <w:pPr>
        <w:pStyle w:val="Heading2"/>
      </w:pPr>
      <w:r w:rsidRPr="00B42097">
        <w:t>Participants</w:t>
      </w:r>
    </w:p>
    <w:p w14:paraId="15CA768F" w14:textId="0B55C008" w:rsidR="001D2E4E" w:rsidRPr="00B42097" w:rsidRDefault="001D2E4E" w:rsidP="00661B9E">
      <w:pPr>
        <w:pStyle w:val="BodyText"/>
      </w:pPr>
      <w:r w:rsidRPr="00B42097">
        <w:t xml:space="preserve">All participants were recruited via the University of York’s Department of Psychology participant recruitment system. For </w:t>
      </w:r>
      <w:r w:rsidR="00607936" w:rsidRPr="00B42097">
        <w:t>Experiment 1</w:t>
      </w:r>
      <w:r w:rsidRPr="00B42097">
        <w:t>,</w:t>
      </w:r>
      <w:r w:rsidR="00607936" w:rsidRPr="00B42097">
        <w:t xml:space="preserve"> </w:t>
      </w:r>
      <w:r w:rsidR="002178D4" w:rsidRPr="00B42097">
        <w:t xml:space="preserve">twelve </w:t>
      </w:r>
      <w:r w:rsidR="00DA2656">
        <w:t>participants</w:t>
      </w:r>
      <w:r w:rsidR="002178D4" w:rsidRPr="00B42097">
        <w:t xml:space="preserve"> were </w:t>
      </w:r>
      <w:r w:rsidR="00607936" w:rsidRPr="00B42097">
        <w:t>recruited</w:t>
      </w:r>
      <w:r w:rsidR="002178D4" w:rsidRPr="00B42097">
        <w:t xml:space="preserve"> and two were subsequently excluded</w:t>
      </w:r>
      <w:r w:rsidR="005463DB" w:rsidRPr="00B42097">
        <w:t xml:space="preserve"> (see exclusion criteria, below)</w:t>
      </w:r>
      <w:r w:rsidR="002178D4" w:rsidRPr="00B42097">
        <w:t xml:space="preserve">, leaving ten participants in the analysed data (10 </w:t>
      </w:r>
      <w:proofErr w:type="gramStart"/>
      <w:r w:rsidR="002178D4" w:rsidRPr="00B42097">
        <w:t>female</w:t>
      </w:r>
      <w:proofErr w:type="gramEnd"/>
      <w:r w:rsidR="002178D4" w:rsidRPr="00B42097">
        <w:t>, mean age 19.7, SD 1.16)</w:t>
      </w:r>
      <w:r w:rsidRPr="00B42097">
        <w:t xml:space="preserve">. For </w:t>
      </w:r>
      <w:r w:rsidR="00607936" w:rsidRPr="00B42097">
        <w:t>Experiment 2</w:t>
      </w:r>
      <w:r w:rsidRPr="00B42097">
        <w:t xml:space="preserve">, </w:t>
      </w:r>
      <w:r w:rsidR="002178D4" w:rsidRPr="00B42097">
        <w:t xml:space="preserve">thirteen participants were </w:t>
      </w:r>
      <w:r w:rsidR="00607936" w:rsidRPr="00B42097">
        <w:t>recruited</w:t>
      </w:r>
      <w:r w:rsidR="002178D4" w:rsidRPr="00B42097">
        <w:t xml:space="preserve"> and three were subsequently excluded leaving ten participants in the analysed data (10 </w:t>
      </w:r>
      <w:proofErr w:type="gramStart"/>
      <w:r w:rsidR="002178D4" w:rsidRPr="00B42097">
        <w:t>female</w:t>
      </w:r>
      <w:proofErr w:type="gramEnd"/>
      <w:r w:rsidR="002178D4" w:rsidRPr="00B42097">
        <w:t>, mean age 19.5, SD 0.71)</w:t>
      </w:r>
      <w:r w:rsidRPr="00B42097">
        <w:t>. Participants received course credit for participation and gave their written informed consent in line with guidance from the University of York Department of Psychology Ethics committee.</w:t>
      </w:r>
    </w:p>
    <w:p w14:paraId="133303C6" w14:textId="6AF8C216" w:rsidR="001D2E4E" w:rsidRPr="00B42097" w:rsidRDefault="0020371C" w:rsidP="00E26CFF">
      <w:pPr>
        <w:pStyle w:val="Heading2"/>
      </w:pPr>
      <w:r w:rsidRPr="00B42097">
        <w:t>Task and Materials</w:t>
      </w:r>
    </w:p>
    <w:p w14:paraId="4713E380" w14:textId="2C888FD2" w:rsidR="0020371C" w:rsidRDefault="0020371C" w:rsidP="00661B9E">
      <w:pPr>
        <w:pStyle w:val="BodyText"/>
      </w:pPr>
      <w:r w:rsidRPr="00B42097">
        <w:t xml:space="preserve">All testing took place in a quiet testing room in </w:t>
      </w:r>
      <w:r w:rsidR="00DA2656">
        <w:t xml:space="preserve">the </w:t>
      </w:r>
      <w:r w:rsidRPr="00B42097">
        <w:t>Department of Psychology</w:t>
      </w:r>
      <w:r w:rsidR="003D6211" w:rsidRPr="00B42097">
        <w:t>, University of York</w:t>
      </w:r>
      <w:r w:rsidRPr="00B42097">
        <w:t>.</w:t>
      </w:r>
      <w:r w:rsidR="00FE6EC0" w:rsidRPr="00B42097">
        <w:t xml:space="preserve"> </w:t>
      </w:r>
      <w:r w:rsidR="00DA2656">
        <w:t>The t</w:t>
      </w:r>
      <w:r w:rsidRPr="00B42097">
        <w:t xml:space="preserve">ask and stimuli were rendered and controlled by custom software programmed in the Unity3d game engine in C# running on an HP Z400 computer and displayed on a 20” ‘Elite Display 232’ monitor. </w:t>
      </w:r>
      <w:r w:rsidR="003D6211" w:rsidRPr="00B42097">
        <w:t xml:space="preserve">The </w:t>
      </w:r>
      <w:r w:rsidRPr="00B42097">
        <w:t>Unity</w:t>
      </w:r>
      <w:r w:rsidR="003D6211" w:rsidRPr="00B42097">
        <w:t xml:space="preserve"> engine</w:t>
      </w:r>
      <w:r w:rsidRPr="00B42097">
        <w:t xml:space="preserve"> allows us to specify environment and object locations in realistic 3D coordinates that are then accurately rendered to the screen as if seen from a particular viewpoint (see Figure 1</w:t>
      </w:r>
      <w:r w:rsidR="00587786" w:rsidRPr="00B42097">
        <w:t>A</w:t>
      </w:r>
      <w:r w:rsidRPr="00B42097">
        <w:t>).</w:t>
      </w:r>
    </w:p>
    <w:p w14:paraId="545DA71E" w14:textId="0E0223CA" w:rsidR="00222DAD" w:rsidRDefault="001A70F1" w:rsidP="004655A8">
      <w:pPr>
        <w:pStyle w:val="BodyText"/>
      </w:pPr>
      <w:r w:rsidRPr="00B42097">
        <w:t xml:space="preserve">The virtual environment (see Figure 1A) consisted of a 10m diameter, circular room lit with contrasting colour lighting and containing generic objects next to the walls to provide directional cues. </w:t>
      </w:r>
      <w:r w:rsidR="003E4158" w:rsidRPr="00B42097">
        <w:t>P</w:t>
      </w:r>
      <w:r w:rsidRPr="00B42097">
        <w:t>articipant</w:t>
      </w:r>
      <w:r w:rsidR="003E4158" w:rsidRPr="00B42097">
        <w:t>s</w:t>
      </w:r>
      <w:r w:rsidRPr="00B42097">
        <w:t xml:space="preserve"> viewed a </w:t>
      </w:r>
      <w:r w:rsidR="0084702B" w:rsidRPr="00B42097">
        <w:t>4</w:t>
      </w:r>
      <w:r w:rsidRPr="00B42097">
        <w:t xml:space="preserve">m diameter </w:t>
      </w:r>
      <w:proofErr w:type="gramStart"/>
      <w:r w:rsidRPr="00B42097">
        <w:t>table top</w:t>
      </w:r>
      <w:proofErr w:type="gramEnd"/>
      <w:r w:rsidRPr="00B42097">
        <w:t xml:space="preserve"> from a distance of 1m (</w:t>
      </w:r>
      <w:r w:rsidR="00A071E8" w:rsidRPr="00B42097">
        <w:t xml:space="preserve">i.e., </w:t>
      </w:r>
      <w:r w:rsidRPr="00B42097">
        <w:t>3m from centre). When the participant viewed the array from a rotated angle, the degree of rotation was either 0, 5, 15, 45 or 135 degrees</w:t>
      </w:r>
      <w:r w:rsidR="00A071E8" w:rsidRPr="00B42097">
        <w:t xml:space="preserve"> relative to the initial viewpoint which remained fixed across all trials</w:t>
      </w:r>
      <w:r w:rsidRPr="00B42097">
        <w:t xml:space="preserve">. </w:t>
      </w:r>
      <w:r w:rsidR="00A071E8" w:rsidRPr="00B42097">
        <w:t xml:space="preserve">The viewpoint rotations </w:t>
      </w:r>
      <w:r w:rsidRPr="00B42097">
        <w:t xml:space="preserve">were chosen to avoid </w:t>
      </w:r>
      <w:r w:rsidR="00A071E8" w:rsidRPr="00B42097">
        <w:t>rotations</w:t>
      </w:r>
      <w:r w:rsidRPr="00B42097">
        <w:t xml:space="preserve"> that </w:t>
      </w:r>
      <w:r w:rsidRPr="00B42097">
        <w:lastRenderedPageBreak/>
        <w:t xml:space="preserve">might be susceptible to non-spatial or idiosyncratic strategies (for example advantages at 90 and 180 degrees; </w:t>
      </w:r>
      <w:r w:rsidR="00FE6EC0" w:rsidRPr="00B42097">
        <w:fldChar w:fldCharType="begin"/>
      </w:r>
      <w:r w:rsidR="00BE64D3">
        <w:instrText xml:space="preserve"> ADDIN ZOTERO_ITEM CSL_CITATION {"citationID":"ZXt0mnJk","properties":{"formattedCitation":"(Mou &amp; McNamara, 2002)","plainCitation":"(Mou &amp; McNamara, 2002)","dontUpdate":true,"noteIndex":0},"citationItems":[{"id":150,"uris":["http://zotero.org/users/5736906/items/3RY2ZK22"],"uri":["http://zotero.org/users/5736906/items/3RY2ZK22"],"itemData":{"id":150,"type":"article-journal","abstract":"Three experiments investigated the frames of reference used in memory to\nrepresent the spatial structure of the environment. Participants learned\nthe locations of objects in a room according to an intrinsic axis of the\nconfiguration; the axis was different from or the same as their viewing\nperspective. Judgments of relative direction using memory were most\naccurate for imagined headings parallel to the intrinsic axis, even when\nit differed from the viewing perspective, and there was no cost to\nlearning the layout according to a nonegocentric axis. When the shape of\nthe layout was bilaterally symmetric relative to the intrinsic axis of\nlearning, novel headings orthogonal to that axis were retrieved more\naccurately than were other novel headings. These results indicate that\nspatial memories are defined with respect to intrinsic frames of\nreference, which are selected on the basis of egocentric experience and\nenvironmental cues.","container-title":"J. Exp. Psychol. Learn. Mem. Cogn.","ISSN":"0278-7393","issue":"1","page":"162-170","title":"Intrinsic frames of reference in spatial memory","volume":"28","author":[{"family":"Mou","given":"Weimin"},{"family":"McNamara","given":"Timothy P"}],"issued":{"date-parts":[["2002",1]]}}}],"schema":"https://github.com/citation-style-language/schema/raw/master/csl-citation.json"} </w:instrText>
      </w:r>
      <w:r w:rsidR="00FE6EC0" w:rsidRPr="00B42097">
        <w:fldChar w:fldCharType="separate"/>
      </w:r>
      <w:r w:rsidR="00FE6EC0" w:rsidRPr="00B42097">
        <w:rPr>
          <w:noProof/>
        </w:rPr>
        <w:t>Mou &amp; McNamara, 2002)</w:t>
      </w:r>
      <w:r w:rsidR="00FE6EC0" w:rsidRPr="00B42097">
        <w:fldChar w:fldCharType="end"/>
      </w:r>
      <w:r w:rsidR="00FE6EC0" w:rsidRPr="00B42097">
        <w:t>.</w:t>
      </w:r>
    </w:p>
    <w:p w14:paraId="3A88A0E6" w14:textId="77777777" w:rsidR="00DF3541" w:rsidRPr="00B42097" w:rsidRDefault="00DF3541" w:rsidP="00DF3541">
      <w:pPr>
        <w:pStyle w:val="Heading3"/>
      </w:pPr>
      <w:r w:rsidRPr="00B42097">
        <w:t>Experiment 1: Same/Different</w:t>
      </w:r>
    </w:p>
    <w:p w14:paraId="269175D1" w14:textId="77777777" w:rsidR="00DF3541" w:rsidRPr="00B42097" w:rsidRDefault="00DF3541" w:rsidP="00DF3541">
      <w:pPr>
        <w:pStyle w:val="BodyText"/>
      </w:pPr>
      <w:r w:rsidRPr="00B42097">
        <w:t xml:space="preserve">Experiment 1 (see Figure 1B) used a same/different spatial change detection task with an adaptive staircase controlling spatial change. At Presentation participants viewed an array of 4 objects (simple 3D geometric shapes with distinct geometry and contrasting colours selected from a pool of 10) arranged in a random spatial configuration for 6 seconds (‘Sample Scene’). The screen dimmed over 0.5 seconds, remained black for 1 second before fading back over 0.5 seconds. At Testing, the participant viewed a new scene (‘Test Scene’) with their viewpoint shifted by 0, 5, 15, 45, or 135 degrees around the centre of the table for 6 seconds. Both the degree of view rotation and its direction (clockwise or anticlockwise) was selected randomly for each trial. In ‘Same’ trials – the object locations did not change between presentation and testing; in ‘Different’ trials, one randomly selected object was moved. The magnitude of this change was controlled using an adaptive staircase procedure described in more detail below. The participant then viewed the Test Scene for 6 seconds before being prompted to respond ‘Same’ or ‘Different’ by pressing the ‘s’ or ‘d’ key on the keyboard. </w:t>
      </w:r>
    </w:p>
    <w:p w14:paraId="356199BC" w14:textId="77777777" w:rsidR="00DF3541" w:rsidRPr="00B42097" w:rsidRDefault="00DF3541" w:rsidP="00DF3541">
      <w:pPr>
        <w:pStyle w:val="Heading3"/>
      </w:pPr>
      <w:r w:rsidRPr="00B42097">
        <w:rPr>
          <w:bdr w:val="none" w:sz="0" w:space="0" w:color="auto" w:frame="1"/>
        </w:rPr>
        <w:fldChar w:fldCharType="begin"/>
      </w:r>
      <w:r w:rsidRPr="00B42097">
        <w:rPr>
          <w:bdr w:val="none" w:sz="0" w:space="0" w:color="auto" w:frame="1"/>
        </w:rPr>
        <w:instrText xml:space="preserve"> INCLUDEPICTURE "https://lh6.googleusercontent.com/3zs08xxa8tscFbwgMylBemwQ_Mmwqa4PcLdzTJ2A5p4pYKOLU_iOGVejETFNCd5vs24pKb7ltLAMa6i2RC_WGULRXwTxsZpDqnhR_kf1yyCkJASCbTgyjVpivIaj4_r0hgOecFim" \* MERGEFORMATINET </w:instrText>
      </w:r>
      <w:r w:rsidRPr="00B42097">
        <w:rPr>
          <w:bdr w:val="none" w:sz="0" w:space="0" w:color="auto" w:frame="1"/>
        </w:rPr>
        <w:fldChar w:fldCharType="end"/>
      </w:r>
      <w:bookmarkStart w:id="2" w:name="_Hlk33608431"/>
      <w:r w:rsidRPr="00B42097">
        <w:t>Experiment 2: 2AFC</w:t>
      </w:r>
    </w:p>
    <w:p w14:paraId="1A0FD0CA" w14:textId="2C70D68A" w:rsidR="00DF3541" w:rsidRPr="00B42097" w:rsidRDefault="00DF3541" w:rsidP="004655A8">
      <w:pPr>
        <w:pStyle w:val="BodyText"/>
      </w:pPr>
      <w:r w:rsidRPr="00B42097">
        <w:t>As in Experiment 1, at Presentation on each trial participants in Experiment 2 (Figure 1C) viewed a Sample Scene, tabletop with 4 objects arranged in a random spatial configuration for 6 seconds. The screen dimmed over 0.5 seconds, remained black for 1 second before fading back over 0.5 seconds. At Testing one object was selected at random and moved, by a distance specified by an adaptive staircase forming a new spatially distorted configuration. Participants viewed this Test Scene with their viewpoint shifted by 0, 5, 15, 45, or 135 degrees around the centre of the table for 6 seconds. Two objects (including the target object and a foil, selected at random) were then highlighted and the participant was then allowed up to 8 seconds to choose which object had moved by clicking with the mouse. </w:t>
      </w:r>
      <w:bookmarkEnd w:id="2"/>
    </w:p>
    <w:p w14:paraId="55A3FDA9" w14:textId="1BC47F29" w:rsidR="002178D4" w:rsidRPr="00B42097" w:rsidRDefault="00C3633F" w:rsidP="008D013D">
      <w:pPr>
        <w:pStyle w:val="Figurecaption"/>
      </w:pPr>
      <w:r w:rsidRPr="00B42097">
        <w:rPr>
          <w:noProof/>
        </w:rPr>
        <w:lastRenderedPageBreak/>
        <w:drawing>
          <wp:inline distT="0" distB="0" distL="0" distR="0" wp14:anchorId="04947105" wp14:editId="2C5D8BAF">
            <wp:extent cx="5734050" cy="685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6858000"/>
                    </a:xfrm>
                    <a:prstGeom prst="rect">
                      <a:avLst/>
                    </a:prstGeom>
                    <a:noFill/>
                    <a:ln>
                      <a:noFill/>
                    </a:ln>
                  </pic:spPr>
                </pic:pic>
              </a:graphicData>
            </a:graphic>
          </wp:inline>
        </w:drawing>
      </w:r>
    </w:p>
    <w:p w14:paraId="4CE1C088" w14:textId="105BF1A1" w:rsidR="007A511D" w:rsidRPr="00B42097" w:rsidRDefault="000D5333" w:rsidP="008D013D">
      <w:pPr>
        <w:pStyle w:val="Figurecaption"/>
      </w:pPr>
      <w:r w:rsidRPr="00B42097">
        <w:t>Figure 1</w:t>
      </w:r>
      <w:r w:rsidR="00A836C9" w:rsidRPr="00B42097">
        <w:t xml:space="preserve"> Task and Materials. </w:t>
      </w:r>
      <w:r w:rsidRPr="00B42097">
        <w:t>A</w:t>
      </w:r>
      <w:r w:rsidR="00A836C9" w:rsidRPr="00B42097">
        <w:t xml:space="preserve"> (left)</w:t>
      </w:r>
      <w:r w:rsidR="00A836C9" w:rsidRPr="00B42097" w:rsidDel="00A836C9">
        <w:t xml:space="preserve"> </w:t>
      </w:r>
      <w:r w:rsidR="00A836C9" w:rsidRPr="00B42097">
        <w:t>T</w:t>
      </w:r>
      <w:r w:rsidRPr="00B42097">
        <w:t xml:space="preserve">he testing environment from participant perspective at 0° view rotation </w:t>
      </w:r>
      <w:r w:rsidR="00A836C9" w:rsidRPr="00B42097">
        <w:t xml:space="preserve">used at Presentation </w:t>
      </w:r>
      <w:r w:rsidRPr="00B42097">
        <w:t xml:space="preserve">(right) </w:t>
      </w:r>
      <w:r w:rsidR="00B44A42" w:rsidRPr="00B42097">
        <w:t xml:space="preserve">environment </w:t>
      </w:r>
      <w:r w:rsidR="00A836C9" w:rsidRPr="00B42097">
        <w:t>layout and viewpoints;</w:t>
      </w:r>
      <w:r w:rsidR="00B44A42" w:rsidRPr="00B42097">
        <w:t xml:space="preserve"> coloured</w:t>
      </w:r>
      <w:r w:rsidRPr="00B42097">
        <w:t xml:space="preserve"> </w:t>
      </w:r>
      <w:r w:rsidR="00657AAE" w:rsidRPr="00B42097">
        <w:t>circles</w:t>
      </w:r>
      <w:r w:rsidR="00A836C9" w:rsidRPr="00B42097">
        <w:t xml:space="preserve"> mark the</w:t>
      </w:r>
      <w:r w:rsidR="00587786" w:rsidRPr="00B42097">
        <w:t xml:space="preserve"> viewpoints</w:t>
      </w:r>
      <w:r w:rsidR="00A836C9" w:rsidRPr="00B42097">
        <w:t xml:space="preserve"> used at Testing. Red:</w:t>
      </w:r>
      <w:r w:rsidR="00587786" w:rsidRPr="00B42097">
        <w:t xml:space="preserve"> 0° rotation, </w:t>
      </w:r>
      <w:r w:rsidR="00A836C9" w:rsidRPr="00B42097">
        <w:t>yellow ±</w:t>
      </w:r>
      <w:r w:rsidR="00587786" w:rsidRPr="00B42097">
        <w:t xml:space="preserve"> 5° rotation, green</w:t>
      </w:r>
      <w:r w:rsidR="00A836C9" w:rsidRPr="00B42097">
        <w:t>:</w:t>
      </w:r>
      <w:r w:rsidR="00587786" w:rsidRPr="00B42097">
        <w:t xml:space="preserve"> </w:t>
      </w:r>
      <w:r w:rsidR="00A836C9" w:rsidRPr="00B42097">
        <w:t>±</w:t>
      </w:r>
      <w:r w:rsidR="00587786" w:rsidRPr="00B42097">
        <w:t xml:space="preserve">15° rotation, light blue </w:t>
      </w:r>
      <w:r w:rsidR="00A836C9" w:rsidRPr="00B42097">
        <w:t>±</w:t>
      </w:r>
      <w:r w:rsidR="00587786" w:rsidRPr="00B42097">
        <w:t>45° rotation</w:t>
      </w:r>
      <w:r w:rsidR="00A836C9" w:rsidRPr="00B42097">
        <w:t xml:space="preserve">, </w:t>
      </w:r>
      <w:r w:rsidR="00587786" w:rsidRPr="00B42097">
        <w:t xml:space="preserve">dark blue </w:t>
      </w:r>
      <w:r w:rsidR="00A836C9" w:rsidRPr="00B42097">
        <w:t>±</w:t>
      </w:r>
      <w:r w:rsidR="00587786" w:rsidRPr="00B42097">
        <w:t>135° rotation.</w:t>
      </w:r>
      <w:r w:rsidRPr="00B42097">
        <w:t xml:space="preserve"> </w:t>
      </w:r>
      <w:r w:rsidRPr="00B42097">
        <w:rPr>
          <w:noProof/>
        </w:rPr>
        <w:t>B</w:t>
      </w:r>
      <w:r w:rsidR="002178D4" w:rsidRPr="00B42097">
        <w:t xml:space="preserve"> </w:t>
      </w:r>
      <w:r w:rsidR="00A836C9" w:rsidRPr="00B42097">
        <w:t xml:space="preserve">Experiment 1, </w:t>
      </w:r>
      <w:r w:rsidR="002178D4" w:rsidRPr="00B42097">
        <w:t>trial</w:t>
      </w:r>
      <w:r w:rsidR="00A836C9" w:rsidRPr="00B42097">
        <w:t xml:space="preserve"> structure for Same/Different task, see text for </w:t>
      </w:r>
      <w:r w:rsidR="009F297A" w:rsidRPr="00B42097">
        <w:t xml:space="preserve">detailed </w:t>
      </w:r>
      <w:r w:rsidR="00A836C9" w:rsidRPr="00B42097">
        <w:t>description</w:t>
      </w:r>
      <w:r w:rsidR="002178D4" w:rsidRPr="00B42097">
        <w:t>.</w:t>
      </w:r>
      <w:r w:rsidR="00A836C9" w:rsidRPr="00B42097">
        <w:t xml:space="preserve"> At </w:t>
      </w:r>
      <w:r w:rsidR="00182055" w:rsidRPr="00B42097">
        <w:t xml:space="preserve">Testing. </w:t>
      </w:r>
      <w:r w:rsidR="009F297A" w:rsidRPr="00B42097">
        <w:t>participants</w:t>
      </w:r>
      <w:r w:rsidR="00A836C9" w:rsidRPr="00B42097">
        <w:t xml:space="preserve"> view the object array from </w:t>
      </w:r>
      <w:r w:rsidR="009F297A" w:rsidRPr="00B42097">
        <w:t xml:space="preserve">one of the viewpoints shown in A (right). </w:t>
      </w:r>
      <w:r w:rsidR="00A836C9" w:rsidRPr="00B42097">
        <w:t>In</w:t>
      </w:r>
      <w:r w:rsidR="009F297A" w:rsidRPr="00B42097">
        <w:t xml:space="preserve"> D</w:t>
      </w:r>
      <w:r w:rsidR="00A836C9" w:rsidRPr="00B42097">
        <w:t>ifferent trials</w:t>
      </w:r>
      <w:r w:rsidR="009F297A" w:rsidRPr="00B42097">
        <w:t xml:space="preserve"> (50%) one of the objects in the array is moved between presentation and testing. Participants judge whether the array is the same or different to the one they encountered at </w:t>
      </w:r>
      <w:proofErr w:type="gramStart"/>
      <w:r w:rsidR="009F297A" w:rsidRPr="00B42097">
        <w:t>Presentation..</w:t>
      </w:r>
      <w:proofErr w:type="gramEnd"/>
      <w:r w:rsidRPr="00B42097">
        <w:t xml:space="preserve"> C</w:t>
      </w:r>
      <w:r w:rsidR="00A836C9" w:rsidRPr="00B42097">
        <w:t xml:space="preserve"> </w:t>
      </w:r>
      <w:r w:rsidR="00607936" w:rsidRPr="00B42097">
        <w:t>Experiment 2</w:t>
      </w:r>
      <w:r w:rsidR="009F297A" w:rsidRPr="00B42097">
        <w:t>,</w:t>
      </w:r>
      <w:r w:rsidR="00A836C9" w:rsidRPr="00B42097">
        <w:t xml:space="preserve"> trial structure for Two Alternative Forced Choice task.</w:t>
      </w:r>
      <w:r w:rsidR="009F297A" w:rsidRPr="00B42097">
        <w:t xml:space="preserve"> At Testing participants view the object array from one of the viewpoints shown in A (right). </w:t>
      </w:r>
      <w:bookmarkStart w:id="3" w:name="_Hlk33608425"/>
      <w:r w:rsidR="009F297A" w:rsidRPr="00B42097">
        <w:t>On every trial one of the objects is moved between presentation and testing. The moved object is highlighted along with one other object selected at random. Participants indicate which of the highlighted object</w:t>
      </w:r>
      <w:r w:rsidR="00816A86" w:rsidRPr="00B42097">
        <w:t>s</w:t>
      </w:r>
      <w:r w:rsidR="009F297A" w:rsidRPr="00B42097">
        <w:t xml:space="preserve"> has been moved.</w:t>
      </w:r>
    </w:p>
    <w:bookmarkEnd w:id="3"/>
    <w:p w14:paraId="51095CB2" w14:textId="6DBEB33E" w:rsidR="001D2E4E" w:rsidRPr="00B42097" w:rsidRDefault="001D2E4E" w:rsidP="00E26CFF">
      <w:pPr>
        <w:pStyle w:val="Heading2"/>
      </w:pPr>
      <w:r w:rsidRPr="00B42097">
        <w:lastRenderedPageBreak/>
        <w:t>Adaptive staircase</w:t>
      </w:r>
      <w:r w:rsidR="003E4158" w:rsidRPr="00B42097">
        <w:t xml:space="preserve"> procedure</w:t>
      </w:r>
    </w:p>
    <w:p w14:paraId="0258DC11" w14:textId="76C98AA9" w:rsidR="00A1231C" w:rsidRDefault="004E646E" w:rsidP="00661B9E">
      <w:pPr>
        <w:pStyle w:val="BodyText"/>
      </w:pPr>
      <w:r w:rsidRPr="00B42097">
        <w:t>In order to focus the majority of trials around participants</w:t>
      </w:r>
      <w:r w:rsidR="003C3232" w:rsidRPr="00B42097">
        <w:t>’</w:t>
      </w:r>
      <w:r w:rsidRPr="00B42097">
        <w:t xml:space="preserve"> precision thresholds (corresponding to 75% correct responses), i</w:t>
      </w:r>
      <w:r w:rsidR="000714F5" w:rsidRPr="00B42097">
        <w:t xml:space="preserve">n each experiment, an </w:t>
      </w:r>
      <w:r w:rsidR="001D2E4E" w:rsidRPr="00B42097">
        <w:t>adaptive staircase</w:t>
      </w:r>
      <w:r w:rsidR="000714F5" w:rsidRPr="00B42097">
        <w:t xml:space="preserve"> procedure</w:t>
      </w:r>
      <w:r w:rsidR="001D2E4E" w:rsidRPr="00B42097">
        <w:t xml:space="preserve"> was used to </w:t>
      </w:r>
      <w:r w:rsidR="000714F5" w:rsidRPr="00B42097">
        <w:t>determine</w:t>
      </w:r>
      <w:r w:rsidR="001D2E4E" w:rsidRPr="00B42097">
        <w:t xml:space="preserve"> the amount of spatial distortion </w:t>
      </w:r>
      <w:r w:rsidRPr="00B42097">
        <w:t xml:space="preserve">(i.e., distance moved by selected object in spatially distorted arrays) </w:t>
      </w:r>
      <w:r w:rsidR="001D2E4E" w:rsidRPr="00B42097">
        <w:t>based on participant performance</w:t>
      </w:r>
      <w:r w:rsidR="007809CD" w:rsidRPr="00B42097">
        <w:t xml:space="preserve"> in each view rotation condition</w:t>
      </w:r>
      <w:r w:rsidR="006E5C80" w:rsidRPr="00B42097">
        <w:t>.</w:t>
      </w:r>
      <w:r w:rsidR="001D2E4E" w:rsidRPr="00B42097">
        <w:t> </w:t>
      </w:r>
      <w:r w:rsidR="007809CD" w:rsidRPr="00B42097">
        <w:t xml:space="preserve">Each level of the staircase referenced a specific </w:t>
      </w:r>
      <w:r w:rsidR="000614DC" w:rsidRPr="00B42097">
        <w:t>distance</w:t>
      </w:r>
      <w:r w:rsidR="007809CD" w:rsidRPr="00B42097">
        <w:t xml:space="preserve"> in 15 </w:t>
      </w:r>
      <w:proofErr w:type="gramStart"/>
      <w:r w:rsidR="007809CD" w:rsidRPr="00B42097">
        <w:t>logarithmically-spaced</w:t>
      </w:r>
      <w:proofErr w:type="gramEnd"/>
      <w:r w:rsidR="007809CD" w:rsidRPr="00B42097">
        <w:t xml:space="preserve"> steps between 0.05m to </w:t>
      </w:r>
      <w:r w:rsidR="00C168A5" w:rsidRPr="00B42097">
        <w:t>0.9</w:t>
      </w:r>
      <w:r w:rsidR="007809CD" w:rsidRPr="00B42097">
        <w:t>m</w:t>
      </w:r>
      <w:r w:rsidR="00955BFD">
        <w:t>, with t</w:t>
      </w:r>
      <w:r w:rsidR="00DB543F">
        <w:t xml:space="preserve">he largest distortion </w:t>
      </w:r>
      <w:r w:rsidR="00955BFD">
        <w:t>being limited by the edges of the display</w:t>
      </w:r>
      <w:r w:rsidR="00DB543F">
        <w:t>.</w:t>
      </w:r>
      <w:r w:rsidR="007809CD" w:rsidRPr="00B42097">
        <w:t xml:space="preserve"> The staircase level, specifying the current spatial distortion, changed following a 3 down 1 up procedure (the level of spatial distortion was reduced after 3 consecutive correct responses and increased after a single incorrect response). A reversal was recorded whenever </w:t>
      </w:r>
      <w:r w:rsidR="000614DC" w:rsidRPr="00B42097">
        <w:t>responses led to a change in</w:t>
      </w:r>
      <w:r w:rsidR="007809CD" w:rsidRPr="00B42097">
        <w:t xml:space="preserve"> </w:t>
      </w:r>
      <w:r w:rsidR="000614DC" w:rsidRPr="00B42097">
        <w:t xml:space="preserve">the </w:t>
      </w:r>
      <w:r w:rsidR="007809CD" w:rsidRPr="00B42097">
        <w:t>direction</w:t>
      </w:r>
      <w:r w:rsidR="000614DC" w:rsidRPr="00B42097">
        <w:t xml:space="preserve"> of progression</w:t>
      </w:r>
      <w:r w:rsidR="007809CD" w:rsidRPr="00B42097">
        <w:t xml:space="preserve"> from a sequence of successively smaller distortions to a larger distortion or vice versa. Staircases completed when they reached </w:t>
      </w:r>
      <w:r w:rsidR="00915003" w:rsidRPr="00B42097">
        <w:t>14</w:t>
      </w:r>
      <w:r w:rsidR="007809CD" w:rsidRPr="00B42097">
        <w:t xml:space="preserve"> reversals</w:t>
      </w:r>
      <w:r w:rsidR="00792C76" w:rsidRPr="00B42097">
        <w:t xml:space="preserve"> (</w:t>
      </w:r>
      <w:r w:rsidR="00607936" w:rsidRPr="00B42097">
        <w:t>Experiment 1</w:t>
      </w:r>
      <w:r w:rsidR="00792C76" w:rsidRPr="00B42097">
        <w:t xml:space="preserve">) or </w:t>
      </w:r>
      <w:r w:rsidR="00915003" w:rsidRPr="00B42097">
        <w:t>7</w:t>
      </w:r>
      <w:r w:rsidR="00792C76" w:rsidRPr="00B42097">
        <w:t xml:space="preserve"> reversals (</w:t>
      </w:r>
      <w:r w:rsidR="00607936" w:rsidRPr="00B42097">
        <w:t>Experiment 2</w:t>
      </w:r>
      <w:r w:rsidR="00792C76" w:rsidRPr="00B42097">
        <w:t>)</w:t>
      </w:r>
      <w:r w:rsidR="007809CD" w:rsidRPr="00B42097">
        <w:t xml:space="preserve">. </w:t>
      </w:r>
      <w:r w:rsidRPr="00B42097">
        <w:t>Independent</w:t>
      </w:r>
      <w:r w:rsidR="00AF4172" w:rsidRPr="00B42097">
        <w:t xml:space="preserve"> staircase</w:t>
      </w:r>
      <w:r w:rsidRPr="00B42097">
        <w:t>s</w:t>
      </w:r>
      <w:r w:rsidR="00AF4172" w:rsidRPr="00B42097">
        <w:t xml:space="preserve"> controlled</w:t>
      </w:r>
      <w:r w:rsidRPr="00B42097">
        <w:t xml:space="preserve"> each view</w:t>
      </w:r>
      <w:r w:rsidR="00AF4172" w:rsidRPr="00B42097">
        <w:t xml:space="preserve"> rotation condition</w:t>
      </w:r>
      <w:r w:rsidRPr="00B42097">
        <w:t>, such that the degree of spatial distortion on each trial was determined by the staircase level based on previous trials at the same view rotation condition</w:t>
      </w:r>
      <w:r w:rsidR="00AF4172" w:rsidRPr="00B42097">
        <w:t>.</w:t>
      </w:r>
      <w:r w:rsidR="001D2E4E" w:rsidRPr="00B42097">
        <w:t> </w:t>
      </w:r>
    </w:p>
    <w:p w14:paraId="3CDAFCD2" w14:textId="35D896B2" w:rsidR="001D2E4E" w:rsidRPr="00B42097" w:rsidRDefault="001D2E4E" w:rsidP="00661B9E">
      <w:pPr>
        <w:pStyle w:val="BodyText"/>
      </w:pPr>
      <w:r w:rsidRPr="00B42097">
        <w:t> In order to expedite the threshold estimation process</w:t>
      </w:r>
      <w:r w:rsidR="006E5C80" w:rsidRPr="00B42097">
        <w:t>,</w:t>
      </w:r>
      <w:r w:rsidRPr="00B42097">
        <w:t xml:space="preserve"> the </w:t>
      </w:r>
      <w:r w:rsidR="007809CD" w:rsidRPr="00B42097">
        <w:t>number of steps moved after each response</w:t>
      </w:r>
      <w:r w:rsidRPr="00B42097">
        <w:t xml:space="preserve"> </w:t>
      </w:r>
      <w:r w:rsidR="007809CD" w:rsidRPr="00B42097">
        <w:t xml:space="preserve">was initially </w:t>
      </w:r>
      <w:r w:rsidR="00792C76" w:rsidRPr="00B42097">
        <w:t>large</w:t>
      </w:r>
      <w:r w:rsidR="007809CD" w:rsidRPr="00B42097">
        <w:t xml:space="preserve"> and gradually reduced over successive reversals: </w:t>
      </w:r>
      <w:r w:rsidRPr="00B42097">
        <w:t xml:space="preserve">6 </w:t>
      </w:r>
      <w:r w:rsidR="007809CD" w:rsidRPr="00B42097">
        <w:t>steps until the first reversal</w:t>
      </w:r>
      <w:r w:rsidRPr="00B42097">
        <w:t>, 4</w:t>
      </w:r>
      <w:r w:rsidR="007809CD" w:rsidRPr="00B42097">
        <w:t xml:space="preserve"> steps until the second reversal, 2 steps until the third reversal</w:t>
      </w:r>
      <w:r w:rsidRPr="00B42097">
        <w:t xml:space="preserve">, </w:t>
      </w:r>
      <w:r w:rsidR="007809CD" w:rsidRPr="00B42097">
        <w:t>and single steps thereafter</w:t>
      </w:r>
      <w:r w:rsidRPr="00B42097">
        <w:t>.</w:t>
      </w:r>
    </w:p>
    <w:p w14:paraId="151BD8A5" w14:textId="353BB088" w:rsidR="00915003" w:rsidRDefault="00915003" w:rsidP="004655A8">
      <w:pPr>
        <w:pStyle w:val="BodyText"/>
      </w:pPr>
      <w:r w:rsidRPr="00B42097">
        <w:t xml:space="preserve">To avoid biasing participants’ Same/Different criterion, in </w:t>
      </w:r>
      <w:r w:rsidR="00607936" w:rsidRPr="00B42097">
        <w:t>Experiment 1</w:t>
      </w:r>
      <w:r w:rsidRPr="00B42097">
        <w:t xml:space="preserve"> a single staircase was used for each viewpoint condition starting at the largest level of spatial distortion; pilot work suggested that when beginning the task, trials involving very small spatial changes would be easily misinterpreted as a ‘Same’ trials. The experiment finished when all five staircases were completed or if the session duration exceeded 2 hours</w:t>
      </w:r>
      <w:r w:rsidR="004A675C">
        <w:t xml:space="preserve"> (</w:t>
      </w:r>
      <w:r w:rsidR="0032289B">
        <w:t>two</w:t>
      </w:r>
      <w:r w:rsidR="00D8108B">
        <w:t xml:space="preserve"> participant</w:t>
      </w:r>
      <w:r w:rsidR="004A675C">
        <w:t>s</w:t>
      </w:r>
      <w:r w:rsidR="00D8108B">
        <w:t xml:space="preserve"> exceeded the time limit in Experiment 1</w:t>
      </w:r>
      <w:r w:rsidR="004A675C">
        <w:t>)</w:t>
      </w:r>
      <w:r w:rsidR="00D8108B">
        <w:t>.</w:t>
      </w:r>
    </w:p>
    <w:p w14:paraId="3821D98F" w14:textId="5C8624F5" w:rsidR="001D2E4E" w:rsidRPr="00B42097" w:rsidRDefault="00A40565" w:rsidP="004E273B">
      <w:pPr>
        <w:pStyle w:val="BodyText"/>
      </w:pPr>
      <w:r w:rsidRPr="00B42097">
        <w:t xml:space="preserve">In </w:t>
      </w:r>
      <w:r w:rsidR="00607936" w:rsidRPr="00B42097">
        <w:t>Experiment 2</w:t>
      </w:r>
      <w:r w:rsidRPr="00B42097">
        <w:t>, a pair of staircases were used</w:t>
      </w:r>
      <w:r w:rsidR="007809CD" w:rsidRPr="00B42097">
        <w:t xml:space="preserve"> for each viewpoint condition</w:t>
      </w:r>
      <w:r w:rsidRPr="00B42097">
        <w:t xml:space="preserve">. One staircase began </w:t>
      </w:r>
      <w:r w:rsidR="007809CD" w:rsidRPr="00B42097">
        <w:t xml:space="preserve">with </w:t>
      </w:r>
      <w:r w:rsidR="00E86CA7" w:rsidRPr="00B42097">
        <w:t>the</w:t>
      </w:r>
      <w:r w:rsidRPr="00B42097">
        <w:t xml:space="preserve"> </w:t>
      </w:r>
      <w:r w:rsidR="006E5C80" w:rsidRPr="00B42097">
        <w:t>smallest spatial distortion level</w:t>
      </w:r>
      <w:r w:rsidRPr="00B42097">
        <w:t xml:space="preserve"> and one began at the </w:t>
      </w:r>
      <w:r w:rsidR="006E5C80" w:rsidRPr="00B42097">
        <w:t xml:space="preserve">largest spatial distortion </w:t>
      </w:r>
      <w:r w:rsidRPr="00B42097">
        <w:lastRenderedPageBreak/>
        <w:t xml:space="preserve">level. </w:t>
      </w:r>
      <w:r w:rsidR="002F52CA" w:rsidRPr="00B42097">
        <w:t xml:space="preserve">The experiment finished when all </w:t>
      </w:r>
      <w:r w:rsidR="001578EE" w:rsidRPr="00B42097">
        <w:t xml:space="preserve">ten </w:t>
      </w:r>
      <w:r w:rsidR="002F52CA" w:rsidRPr="00B42097">
        <w:t>staircases were completed or if the session duration exceeded 2 hours</w:t>
      </w:r>
      <w:r w:rsidR="004A675C">
        <w:t xml:space="preserve"> (</w:t>
      </w:r>
      <w:r w:rsidR="0032289B">
        <w:t>one</w:t>
      </w:r>
      <w:r w:rsidR="00D8108B">
        <w:t xml:space="preserve"> participant exceeded the time limit in Experiment 2</w:t>
      </w:r>
      <w:r w:rsidR="004A675C">
        <w:t>)</w:t>
      </w:r>
      <w:r w:rsidR="00D8108B">
        <w:t>.</w:t>
      </w:r>
    </w:p>
    <w:p w14:paraId="4EE6FB44" w14:textId="2144AD03" w:rsidR="001D2E4E" w:rsidRPr="00B42097" w:rsidRDefault="001D2E4E" w:rsidP="006E2C18">
      <w:pPr>
        <w:pStyle w:val="BodyText"/>
      </w:pPr>
      <w:r w:rsidRPr="00B42097">
        <w:t xml:space="preserve">On each trial, matched spatial arrays were generated </w:t>
      </w:r>
      <w:r w:rsidR="00AF4172" w:rsidRPr="00B42097">
        <w:t>randomly</w:t>
      </w:r>
      <w:r w:rsidRPr="00B42097">
        <w:t xml:space="preserve">. Initially, four of ten possible objects with </w:t>
      </w:r>
      <w:r w:rsidR="00BE073D" w:rsidRPr="00B42097">
        <w:t xml:space="preserve">distinct geometry and </w:t>
      </w:r>
      <w:r w:rsidRPr="00B42097">
        <w:t>contrasting colours were selected randomly without replacement</w:t>
      </w:r>
      <w:r w:rsidR="00BE073D" w:rsidRPr="00B42097">
        <w:t>. Objects were placed a</w:t>
      </w:r>
      <w:r w:rsidR="002A02AD">
        <w:t>t</w:t>
      </w:r>
      <w:r w:rsidR="00BE073D" w:rsidRPr="00B42097">
        <w:t xml:space="preserve"> pseudo-random locations by first specifying evenly spaced locations on a circle of radius 1m around the centre of the table, and then applying a random global rotation of the array and individual radial (between 0.01</w:t>
      </w:r>
      <w:r w:rsidR="00980405" w:rsidRPr="00B42097">
        <w:t>m</w:t>
      </w:r>
      <w:r w:rsidR="00BE073D" w:rsidRPr="00B42097">
        <w:t xml:space="preserve"> and 0.5m) and angular displacements (between 0</w:t>
      </w:r>
      <w:r w:rsidR="00980405" w:rsidRPr="00B42097">
        <w:t>°</w:t>
      </w:r>
      <w:r w:rsidR="00BE073D" w:rsidRPr="00B42097">
        <w:t xml:space="preserve"> and 45</w:t>
      </w:r>
      <w:r w:rsidR="00980405" w:rsidRPr="00B42097">
        <w:t>°</w:t>
      </w:r>
      <w:r w:rsidR="00BE073D" w:rsidRPr="00B42097">
        <w:t xml:space="preserve">) to each object.  </w:t>
      </w:r>
      <w:r w:rsidRPr="00B42097">
        <w:t xml:space="preserve">A matched distorted array was </w:t>
      </w:r>
      <w:r w:rsidR="00BE073D" w:rsidRPr="00B42097">
        <w:t xml:space="preserve">then </w:t>
      </w:r>
      <w:r w:rsidRPr="00B42097">
        <w:t>created by moving a single object</w:t>
      </w:r>
      <w:r w:rsidR="00BE073D" w:rsidRPr="00B42097">
        <w:t>, selected at random,</w:t>
      </w:r>
      <w:r w:rsidRPr="00B42097">
        <w:t xml:space="preserve"> by </w:t>
      </w:r>
      <w:r w:rsidR="00BE073D" w:rsidRPr="00B42097">
        <w:t>the distance</w:t>
      </w:r>
      <w:r w:rsidRPr="00B42097">
        <w:t xml:space="preserve"> determined by the staircase while avoiding distortions that resulted in the overlap of two objects or objects appearing beyond the table top. Finally, the matched pair of arrays was shuffled so that either array could appear at </w:t>
      </w:r>
      <w:r w:rsidR="00980405" w:rsidRPr="00B42097">
        <w:t>Presentation</w:t>
      </w:r>
      <w:r w:rsidRPr="00B42097">
        <w:t xml:space="preserve">, with its partner being used at </w:t>
      </w:r>
      <w:r w:rsidR="00980405" w:rsidRPr="00B42097">
        <w:t>Testing</w:t>
      </w:r>
      <w:r w:rsidRPr="00B42097">
        <w:t>.</w:t>
      </w:r>
    </w:p>
    <w:p w14:paraId="2D9DBBC3" w14:textId="77777777" w:rsidR="001D2E4E" w:rsidRPr="00B42097" w:rsidRDefault="001D2E4E" w:rsidP="00E26CFF">
      <w:pPr>
        <w:pStyle w:val="Heading2"/>
      </w:pPr>
      <w:r w:rsidRPr="00B42097">
        <w:t>Data Analysis</w:t>
      </w:r>
    </w:p>
    <w:p w14:paraId="552BE178" w14:textId="012D7E44" w:rsidR="005C6530" w:rsidRDefault="001D2E4E" w:rsidP="005C6530">
      <w:pPr>
        <w:pStyle w:val="BodyText"/>
      </w:pPr>
      <w:r w:rsidRPr="00B42097">
        <w:t>To estimate each participant’s spatial precision threshold</w:t>
      </w:r>
      <w:r w:rsidR="00CC4EB7" w:rsidRPr="00B42097">
        <w:t xml:space="preserve"> (see Figure 2A)</w:t>
      </w:r>
      <w:r w:rsidRPr="00B42097">
        <w:t xml:space="preserve"> we counted the number of correct responses made at each staircase level. We then fit </w:t>
      </w:r>
      <w:r w:rsidR="00A320A5">
        <w:t xml:space="preserve">a </w:t>
      </w:r>
      <w:r w:rsidR="00816A86" w:rsidRPr="00B42097">
        <w:t>logistic function</w:t>
      </w:r>
      <w:r w:rsidR="007A14F0">
        <w:t xml:space="preserve"> (equation 1) </w:t>
      </w:r>
      <w:r w:rsidRPr="00B42097">
        <w:t xml:space="preserve">to the data from each viewpoint condition using a maximum likelihood approach with </w:t>
      </w:r>
      <w:r w:rsidR="00A320A5">
        <w:t xml:space="preserve">the </w:t>
      </w:r>
      <w:proofErr w:type="spellStart"/>
      <w:r w:rsidRPr="00B42097">
        <w:t>Nelder</w:t>
      </w:r>
      <w:proofErr w:type="spellEnd"/>
      <w:r w:rsidRPr="00B42097">
        <w:t>-Mead simplex algorithm (as implemented in ‘</w:t>
      </w:r>
      <w:proofErr w:type="spellStart"/>
      <w:r w:rsidRPr="00B42097">
        <w:t>fminsearch</w:t>
      </w:r>
      <w:proofErr w:type="spellEnd"/>
      <w:r w:rsidRPr="00B42097">
        <w:t>’; MATLAB</w:t>
      </w:r>
      <w:r w:rsidR="00432A1C" w:rsidRPr="00B42097">
        <w:t xml:space="preserve"> ver. R2019a</w:t>
      </w:r>
      <w:r w:rsidRPr="00B42097">
        <w:t xml:space="preserve">). </w:t>
      </w:r>
      <w:r w:rsidR="00A320A5">
        <w:t>The logistic function is defined as:</w:t>
      </w:r>
    </w:p>
    <w:p w14:paraId="11B7A759" w14:textId="0323AE37" w:rsidR="005C6530" w:rsidRDefault="005C6530" w:rsidP="00D216F9">
      <w:pPr>
        <w:spacing w:line="362" w:lineRule="auto"/>
        <w:ind w:left="2155" w:right="58" w:firstLine="725"/>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0.5+0.5(</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-k</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o</m:t>
                        </m:r>
                      </m:sub>
                    </m:sSub>
                  </m:e>
                </m:d>
              </m:sup>
            </m:sSup>
          </m:den>
        </m:f>
        <m:r>
          <w:rPr>
            <w:rFonts w:ascii="Cambria Math" w:hAnsi="Cambria Math"/>
          </w:rPr>
          <m:t>)</m:t>
        </m:r>
      </m:oMath>
      <w:r w:rsidR="007A14F0">
        <w:tab/>
      </w:r>
      <w:r w:rsidR="007A14F0">
        <w:tab/>
      </w:r>
      <w:r w:rsidR="007A14F0">
        <w:tab/>
      </w:r>
      <w:r w:rsidR="007A14F0">
        <w:tab/>
        <w:t>(1)</w:t>
      </w:r>
    </w:p>
    <w:p w14:paraId="07D65F5F" w14:textId="352A8FDF" w:rsidR="007A14F0" w:rsidRDefault="005C6530" w:rsidP="005C6530">
      <w:pPr>
        <w:pStyle w:val="BodyText"/>
      </w:pPr>
      <w:r>
        <w:t>Briefly, the logistic function</w:t>
      </w:r>
      <w:r w:rsidR="007A14F0">
        <w:t xml:space="preserve"> (</w:t>
      </w:r>
      <w:r w:rsidR="007A14F0" w:rsidRPr="00D216F9">
        <w:rPr>
          <w:i/>
          <w:iCs/>
        </w:rPr>
        <w:t>f</w:t>
      </w:r>
      <w:r w:rsidR="007A14F0">
        <w:t>)</w:t>
      </w:r>
      <w:r>
        <w:t xml:space="preserve"> allows us to calculate the probability that a particular proportion of responses will be correct</w:t>
      </w:r>
      <w:r w:rsidR="007A14F0">
        <w:t xml:space="preserve"> at each staircase level (</w:t>
      </w:r>
      <w:r w:rsidR="007A14F0" w:rsidRPr="00D216F9">
        <w:rPr>
          <w:i/>
          <w:iCs/>
        </w:rPr>
        <w:t>x</w:t>
      </w:r>
      <w:r w:rsidR="007A14F0">
        <w:t>)</w:t>
      </w:r>
      <w:r>
        <w:t xml:space="preserve"> given parameters </w:t>
      </w:r>
      <w:r w:rsidR="002158FE">
        <w:t>govern</w:t>
      </w:r>
      <w:r>
        <w:t xml:space="preserve">ing its threshold </w:t>
      </w:r>
      <w:r w:rsidR="007A14F0">
        <w:t>(</w:t>
      </w:r>
      <w:r w:rsidR="007A14F0" w:rsidRPr="00D216F9">
        <w:rPr>
          <w:i/>
          <w:iCs/>
        </w:rPr>
        <w:t>x</w:t>
      </w:r>
      <w:r w:rsidR="007A14F0" w:rsidRPr="00D216F9">
        <w:rPr>
          <w:i/>
          <w:iCs/>
          <w:sz w:val="20"/>
          <w:szCs w:val="20"/>
          <w:vertAlign w:val="subscript"/>
        </w:rPr>
        <w:t>0</w:t>
      </w:r>
      <w:r w:rsidR="007A14F0">
        <w:t xml:space="preserve">) </w:t>
      </w:r>
      <w:r>
        <w:t>and slope</w:t>
      </w:r>
      <w:r w:rsidR="007A14F0">
        <w:t xml:space="preserve"> (</w:t>
      </w:r>
      <w:r w:rsidR="007A14F0" w:rsidRPr="00D216F9">
        <w:rPr>
          <w:i/>
          <w:iCs/>
        </w:rPr>
        <w:t>k</w:t>
      </w:r>
      <w:r w:rsidR="007A14F0">
        <w:t>)</w:t>
      </w:r>
      <w:r>
        <w:t>. The fitting procedure systematically varies the</w:t>
      </w:r>
      <w:r w:rsidR="0032289B">
        <w:t>se</w:t>
      </w:r>
      <w:r>
        <w:t xml:space="preserve"> parameters, calculating </w:t>
      </w:r>
      <w:r w:rsidR="007A14F0">
        <w:t xml:space="preserve">at each iteration </w:t>
      </w:r>
      <w:r>
        <w:t xml:space="preserve">the overall likelihood of the data </w:t>
      </w:r>
      <w:r w:rsidR="007A14F0">
        <w:t xml:space="preserve">from a given participant and condition </w:t>
      </w:r>
      <w:r>
        <w:t>(expressed as log-likelihood) and stopping when the likelihood is maximized. These fitted parameters</w:t>
      </w:r>
      <w:r w:rsidR="0032289B">
        <w:t>,</w:t>
      </w:r>
      <w:r>
        <w:t xml:space="preserve"> </w:t>
      </w:r>
      <w:r w:rsidR="0032289B">
        <w:t xml:space="preserve">which </w:t>
      </w:r>
      <w:r>
        <w:t>describ</w:t>
      </w:r>
      <w:r w:rsidR="0032289B">
        <w:t>e</w:t>
      </w:r>
      <w:r>
        <w:t xml:space="preserve"> the threshold and slope of the psychometric curve under which the observed data is most likely, </w:t>
      </w:r>
      <w:r w:rsidR="00A320A5">
        <w:t>were</w:t>
      </w:r>
      <w:r>
        <w:t xml:space="preserve"> then recorded for further analysis.</w:t>
      </w:r>
      <w:r w:rsidR="00A90D2B" w:rsidRPr="00B42097">
        <w:t xml:space="preserve"> </w:t>
      </w:r>
    </w:p>
    <w:p w14:paraId="72627A2D" w14:textId="48825298" w:rsidR="009811E9" w:rsidRDefault="00A90D2B" w:rsidP="005C6530">
      <w:pPr>
        <w:pStyle w:val="BodyText"/>
      </w:pPr>
      <w:r w:rsidRPr="00B42097">
        <w:lastRenderedPageBreak/>
        <w:t xml:space="preserve">For clarity below </w:t>
      </w:r>
      <w:r w:rsidR="005C6530">
        <w:t xml:space="preserve">we have converted the </w:t>
      </w:r>
      <w:r w:rsidR="007A14F0" w:rsidRPr="00D216F9">
        <w:rPr>
          <w:i/>
          <w:iCs/>
        </w:rPr>
        <w:t>k</w:t>
      </w:r>
      <w:r w:rsidR="007A14F0">
        <w:t xml:space="preserve"> parameter to </w:t>
      </w:r>
      <w:r w:rsidR="00D90C5F" w:rsidRPr="00B42097">
        <w:t>equivalent Weibull beta</w:t>
      </w:r>
      <w:r w:rsidRPr="00B42097">
        <w:t xml:space="preserve"> values, s</w:t>
      </w:r>
      <w:r w:rsidR="002158FE">
        <w:t>o</w:t>
      </w:r>
      <w:r w:rsidRPr="00B42097">
        <w:t xml:space="preserve"> that increasing values indicate steeper </w:t>
      </w:r>
      <w:r w:rsidR="007A14F0">
        <w:t>psychometric</w:t>
      </w:r>
      <w:r w:rsidRPr="00B42097">
        <w:t xml:space="preserve"> functions</w:t>
      </w:r>
      <w:r w:rsidR="007A14F0">
        <w:t xml:space="preserve"> </w:t>
      </w:r>
      <w:r w:rsidR="001201EC">
        <w:t>(</w:t>
      </w:r>
      <w:r w:rsidR="007A14F0">
        <w:t>which we refer to as “slope”</w:t>
      </w:r>
      <w:r w:rsidRPr="00B42097">
        <w:t>)</w:t>
      </w:r>
      <w:r w:rsidR="001D2E4E" w:rsidRPr="00B42097">
        <w:t xml:space="preserve">. We also recorded the log-likelihood of the data given the fitted </w:t>
      </w:r>
      <w:r w:rsidR="007A14F0">
        <w:t>curve</w:t>
      </w:r>
      <w:r w:rsidR="007A14F0" w:rsidRPr="00B42097">
        <w:t xml:space="preserve"> </w:t>
      </w:r>
      <w:r w:rsidR="000A5074" w:rsidRPr="00B42097">
        <w:t>and</w:t>
      </w:r>
      <w:r w:rsidR="001D2E4E" w:rsidRPr="00B42097">
        <w:t xml:space="preserve"> calculated the log-likelihood of the data under a baseline model in which the observed proportion of responses was constant across all levels of spatial distortion. These likelihoods were used to calculate a Bayes Factor indicating the relative likelihood of the data under the two different models, which could be used as a measure of fit across participants/conditions where different numbers of observations were available</w:t>
      </w:r>
      <w:r w:rsidR="0084702B" w:rsidRPr="00B42097">
        <w:t xml:space="preserve"> </w:t>
      </w:r>
      <w:r w:rsidR="0084702B" w:rsidRPr="00B42097">
        <w:fldChar w:fldCharType="begin"/>
      </w:r>
      <w:r w:rsidR="00BE64D3">
        <w:instrText xml:space="preserve"> ADDIN ZOTERO_ITEM CSL_CITATION {"citationID":"GThqNiMe","properties":{"formattedCitation":"(Wagenmakers, 2007)","plainCitation":"(Wagenmakers, 2007)","noteIndex":0},"citationItems":[{"id":500,"uris":["http://zotero.org/users/5736906/items/H99PQI28"],"uri":["http://zotero.org/users/5736906/items/H99PQI28"],"itemData":{"id":500,"type":"article-journal","abstract":"In the field of psychology, the practice ofp value null-hypothesis testing is as widespread as ever. Despite this popularity, or perhaps because of it, most psychologists are not aware of the statistical peculiarities of thep value procedure. In particular,p values are based on data that were never observed, and these hypothetical data are themselves influenced by subjective intentions. Moreover,p values do not quantify statistical evidence. This article reviews thesep value problems and illustrates each problem with concrete examples. The three problems are familiar to statisticians but may be new to psychologists. A practical solution to thesep value problems is to adopt a model selection perspective and use the Bayesian information criterion (BIC) for statistical inference (Raftery, 1995). The BIC provides an approximation to a Bayesian hypothesis test, does not require the specification of priors, and can be easily calculated from SPSS output.","container-title":"Psychonomic Bulletin &amp; Review","DOI":"10.3758/BF03194105","ISSN":"1531-5320","issue":"5","journalAbbreviation":"Psychonomic Bulletin &amp; Review","language":"en","page":"779-804","source":"Springer Link","title":"A practical solution to the pervasive problems ofp values","volume":"14","author":[{"family":"Wagenmakers","given":"Eric-Jan"}],"issued":{"date-parts":[["2007",10,1]]}}}],"schema":"https://github.com/citation-style-language/schema/raw/master/csl-citation.json"} </w:instrText>
      </w:r>
      <w:r w:rsidR="0084702B" w:rsidRPr="00B42097">
        <w:fldChar w:fldCharType="separate"/>
      </w:r>
      <w:r w:rsidR="00675588" w:rsidRPr="00675588">
        <w:t>(Wagenmakers, 2007)</w:t>
      </w:r>
      <w:r w:rsidR="0084702B" w:rsidRPr="00B42097">
        <w:fldChar w:fldCharType="end"/>
      </w:r>
      <w:r w:rsidR="001D2E4E" w:rsidRPr="00B42097">
        <w:t>.</w:t>
      </w:r>
      <w:r w:rsidR="00092046" w:rsidRPr="00B42097">
        <w:t xml:space="preserve"> We report </w:t>
      </w:r>
      <w:r w:rsidR="001B434A" w:rsidRPr="00B42097">
        <w:t xml:space="preserve">Bayes Factors </w:t>
      </w:r>
      <w:r w:rsidR="003D79CD" w:rsidRPr="00B42097">
        <w:t>(</w:t>
      </w:r>
      <m:oMath>
        <m:sSub>
          <m:sSubPr>
            <m:ctrlPr>
              <w:rPr>
                <w:rFonts w:ascii="Cambria Math" w:hAnsi="Cambria Math"/>
                <w:i/>
              </w:rPr>
            </m:ctrlPr>
          </m:sSubPr>
          <m:e>
            <m:r>
              <m:rPr>
                <m:sty m:val="p"/>
              </m:rPr>
              <w:rPr>
                <w:rFonts w:ascii="Cambria Math" w:hAnsi="Cambria Math"/>
              </w:rPr>
              <m:t>BF</m:t>
            </m:r>
          </m:e>
          <m:sub>
            <m:r>
              <w:rPr>
                <w:rFonts w:ascii="Cambria Math" w:hAnsi="Cambria Math"/>
              </w:rPr>
              <m:t>10</m:t>
            </m:r>
          </m:sub>
        </m:sSub>
      </m:oMath>
      <w:r w:rsidR="003D79CD" w:rsidRPr="00B42097">
        <w:t xml:space="preserve">) </w:t>
      </w:r>
      <w:r w:rsidR="00092046" w:rsidRPr="00B42097">
        <w:t xml:space="preserve">where applicable below and in </w:t>
      </w:r>
      <w:r w:rsidR="001B434A" w:rsidRPr="00B42097">
        <w:t xml:space="preserve">full in </w:t>
      </w:r>
      <w:r w:rsidR="00092046" w:rsidRPr="00B42097">
        <w:t xml:space="preserve">the </w:t>
      </w:r>
      <w:r w:rsidR="00E749C7" w:rsidRPr="00B42097">
        <w:t>supplementary material</w:t>
      </w:r>
      <w:r w:rsidR="00092046" w:rsidRPr="00B42097">
        <w:t xml:space="preserve">. </w:t>
      </w:r>
      <w:r w:rsidR="0084702B" w:rsidRPr="00B42097">
        <w:t xml:space="preserve">Change detection thresholds were </w:t>
      </w:r>
      <w:r w:rsidR="00A345DD">
        <w:t xml:space="preserve">converted from meters to </w:t>
      </w:r>
      <w:r w:rsidR="0084702B" w:rsidRPr="00B42097">
        <w:t xml:space="preserve">decibels </w:t>
      </w:r>
      <w:r w:rsidR="003C2F77">
        <w:t>(see supplementary material for more information)</w:t>
      </w:r>
      <w:r w:rsidR="006C2A89">
        <w:t xml:space="preserve">. </w:t>
      </w:r>
    </w:p>
    <w:p w14:paraId="5497639A" w14:textId="0D31856D" w:rsidR="009811E9" w:rsidRDefault="003C2F77" w:rsidP="00D216F9">
      <w:pPr>
        <w:pStyle w:val="BodyText"/>
      </w:pPr>
      <w:r>
        <w:t xml:space="preserve">To allow for </w:t>
      </w:r>
      <w:r w:rsidR="006C2A89">
        <w:t xml:space="preserve">a clear </w:t>
      </w:r>
      <w:r>
        <w:t>comparison between experiments 1 and 2 our main analys</w:t>
      </w:r>
      <w:r w:rsidR="006C2A89">
        <w:t>e</w:t>
      </w:r>
      <w:r>
        <w:t xml:space="preserve">s </w:t>
      </w:r>
      <w:r w:rsidR="006C2A89">
        <w:t xml:space="preserve">(reported </w:t>
      </w:r>
      <w:r>
        <w:t>below</w:t>
      </w:r>
      <w:r w:rsidR="006C2A89">
        <w:t>)</w:t>
      </w:r>
      <w:r>
        <w:t xml:space="preserve"> focus on the </w:t>
      </w:r>
      <w:r w:rsidR="006C2A89">
        <w:t>parameters derived from the psychometric curves and the underlying proportion of correct responses. For experiment 1 we additionally carried out a d’ analysis (see supplementary material) to ensure our main results were not affected by response biases.</w:t>
      </w:r>
    </w:p>
    <w:p w14:paraId="7E5EC045" w14:textId="77777777" w:rsidR="001D2E4E" w:rsidRPr="00B42097" w:rsidRDefault="001D2E4E" w:rsidP="00E26CFF">
      <w:pPr>
        <w:pStyle w:val="Heading2"/>
      </w:pPr>
      <w:r w:rsidRPr="00B42097">
        <w:t>Procedure</w:t>
      </w:r>
    </w:p>
    <w:p w14:paraId="14032030" w14:textId="063A637B" w:rsidR="001D2E4E" w:rsidRPr="00B42097" w:rsidRDefault="001D2E4E" w:rsidP="00661B9E">
      <w:pPr>
        <w:pStyle w:val="BodyText"/>
      </w:pPr>
      <w:r w:rsidRPr="00B42097">
        <w:t xml:space="preserve">Before beginning the experiment, participants undertook a 10-minute </w:t>
      </w:r>
      <w:r w:rsidR="0032289B" w:rsidRPr="00B42097">
        <w:t>practi</w:t>
      </w:r>
      <w:r w:rsidR="0032289B">
        <w:t>c</w:t>
      </w:r>
      <w:r w:rsidR="0032289B" w:rsidRPr="00B42097">
        <w:t xml:space="preserve">e </w:t>
      </w:r>
      <w:r w:rsidRPr="00B42097">
        <w:t>session. Performance on the 0° condition at the easiest staircase level, was recorded and analysed, and exclusion criteria applied</w:t>
      </w:r>
      <w:r w:rsidR="00DB543F">
        <w:t>.</w:t>
      </w:r>
      <w:r w:rsidR="00BC0FB0">
        <w:t xml:space="preserve"> </w:t>
      </w:r>
      <w:r w:rsidRPr="00B42097">
        <w:t xml:space="preserve">They then completed the experimental protocol (i.e., completed all staircase reversals) </w:t>
      </w:r>
      <w:r w:rsidR="00D8464E" w:rsidRPr="00B42097">
        <w:t>in two sessions</w:t>
      </w:r>
      <w:r w:rsidRPr="00B42097">
        <w:t xml:space="preserve">, each approximately 1.5 hours including breaks (around 3 hours total for each data collection). Data from each of these sessions was combined for analysis (an average of </w:t>
      </w:r>
      <w:r w:rsidR="00D3341D" w:rsidRPr="00B42097">
        <w:t>514.8</w:t>
      </w:r>
      <w:r w:rsidRPr="00B42097">
        <w:t xml:space="preserve"> trials per participant). </w:t>
      </w:r>
    </w:p>
    <w:p w14:paraId="56F6947F" w14:textId="77777777" w:rsidR="001D2E4E" w:rsidRPr="00B42097" w:rsidRDefault="001D2E4E" w:rsidP="00E26CFF">
      <w:pPr>
        <w:pStyle w:val="Heading2"/>
      </w:pPr>
      <w:r w:rsidRPr="00B42097">
        <w:t>Participant exclusion criteria</w:t>
      </w:r>
    </w:p>
    <w:p w14:paraId="4CABBBC8" w14:textId="3DE9E990" w:rsidR="001D2E4E" w:rsidRPr="00B42097" w:rsidRDefault="001D2E4E" w:rsidP="00661B9E">
      <w:pPr>
        <w:pStyle w:val="BodyText"/>
      </w:pPr>
      <w:r w:rsidRPr="00B42097">
        <w:t xml:space="preserve">We preregistered our intention to exclude participants who performed below 66% percent correct in 0° trials during the practice session from further participation. </w:t>
      </w:r>
      <w:r w:rsidR="00C428F7" w:rsidRPr="00B42097">
        <w:t>W</w:t>
      </w:r>
      <w:r w:rsidR="00F65AEE" w:rsidRPr="00B42097">
        <w:t>e determined</w:t>
      </w:r>
      <w:r w:rsidR="00C428F7" w:rsidRPr="00B42097">
        <w:t>, based on pilot work,</w:t>
      </w:r>
      <w:r w:rsidR="00F65AEE" w:rsidRPr="00B42097">
        <w:t xml:space="preserve"> that t</w:t>
      </w:r>
      <w:r w:rsidRPr="00B42097">
        <w:t xml:space="preserve">his level of performance would be indicative of </w:t>
      </w:r>
      <w:r w:rsidR="00C428F7" w:rsidRPr="00B42097">
        <w:t>exceptionally</w:t>
      </w:r>
      <w:r w:rsidR="00F65AEE" w:rsidRPr="00B42097">
        <w:t xml:space="preserve"> </w:t>
      </w:r>
      <w:r w:rsidRPr="00B42097">
        <w:t xml:space="preserve">poor </w:t>
      </w:r>
      <w:r w:rsidR="00F65AEE" w:rsidRPr="00B42097">
        <w:t>spatial memory</w:t>
      </w:r>
      <w:r w:rsidRPr="00B42097">
        <w:t>, failure to understand task instructions, or a lack of motivation or cooperation. However, all recruited participants passed this exclusion criteria.</w:t>
      </w:r>
    </w:p>
    <w:p w14:paraId="734FB3DB" w14:textId="77777777" w:rsidR="001D2E4E" w:rsidRPr="00B42097" w:rsidRDefault="001D2E4E" w:rsidP="00E26CFF">
      <w:pPr>
        <w:pStyle w:val="Heading2"/>
      </w:pPr>
      <w:r w:rsidRPr="00B42097">
        <w:lastRenderedPageBreak/>
        <w:t>Data Exclusion Criteria</w:t>
      </w:r>
    </w:p>
    <w:p w14:paraId="7D53362C" w14:textId="090720E1" w:rsidR="00E26CFF" w:rsidRPr="00B42097" w:rsidRDefault="001D2E4E" w:rsidP="00661B9E">
      <w:pPr>
        <w:pStyle w:val="BodyText"/>
      </w:pPr>
      <w:r w:rsidRPr="00B42097">
        <w:t xml:space="preserve">If </w:t>
      </w:r>
      <w:r w:rsidR="00310CDC" w:rsidRPr="00B42097">
        <w:t xml:space="preserve">a </w:t>
      </w:r>
      <w:r w:rsidRPr="00B42097">
        <w:t xml:space="preserve">precision threshold was estimated far outside the testing range (above 10dB), this indicated that we </w:t>
      </w:r>
      <w:r w:rsidR="00310CDC" w:rsidRPr="00B42097">
        <w:t>we</w:t>
      </w:r>
      <w:r w:rsidRPr="00B42097">
        <w:t xml:space="preserve">re unable to effectively model </w:t>
      </w:r>
      <w:r w:rsidR="00310CDC" w:rsidRPr="00B42097">
        <w:t xml:space="preserve">a </w:t>
      </w:r>
      <w:r w:rsidRPr="00B42097">
        <w:t>participant</w:t>
      </w:r>
      <w:r w:rsidR="00D8464E" w:rsidRPr="00B42097">
        <w:t>’</w:t>
      </w:r>
      <w:r w:rsidRPr="00B42097">
        <w:t xml:space="preserve">s performance in </w:t>
      </w:r>
      <w:r w:rsidR="00310CDC" w:rsidRPr="00B42097">
        <w:t xml:space="preserve">that </w:t>
      </w:r>
      <w:r w:rsidRPr="00B42097">
        <w:t>condition</w:t>
      </w:r>
      <w:r w:rsidR="00092046" w:rsidRPr="00B42097">
        <w:t xml:space="preserve"> and all data associated with this</w:t>
      </w:r>
      <w:r w:rsidRPr="00B42097">
        <w:t xml:space="preserve"> participant </w:t>
      </w:r>
      <w:r w:rsidR="00310CDC" w:rsidRPr="00B42097">
        <w:t>was</w:t>
      </w:r>
      <w:r w:rsidRPr="00B42097">
        <w:t xml:space="preserve"> excluded. Three participants failed to meet these criteria and we were unable to effectively estimate their threshold in the 135° viewpoint condition. </w:t>
      </w:r>
      <w:r w:rsidR="0084702B" w:rsidRPr="00B42097">
        <w:t xml:space="preserve">Their data </w:t>
      </w:r>
      <w:r w:rsidRPr="00B42097">
        <w:t xml:space="preserve">were excluded from the </w:t>
      </w:r>
      <w:r w:rsidR="0084702B" w:rsidRPr="00B42097">
        <w:t>analysis</w:t>
      </w:r>
      <w:r w:rsidRPr="00B42097">
        <w:t xml:space="preserve">. Note that </w:t>
      </w:r>
      <w:r w:rsidR="008B0EFA" w:rsidRPr="00B42097">
        <w:t xml:space="preserve">this </w:t>
      </w:r>
      <w:r w:rsidRPr="00B42097">
        <w:t xml:space="preserve">limit is a slight deviation from our preregistered plan in which we had specified a more conservative cut off, </w:t>
      </w:r>
      <w:r w:rsidR="00994B05" w:rsidRPr="00B42097">
        <w:t xml:space="preserve">corresponding to </w:t>
      </w:r>
      <w:r w:rsidRPr="00B42097">
        <w:t xml:space="preserve">the maximum distortion distance in our testing range (0.9m, 5.12 dB). This change was based on unexpectedly poor performance in the 135° condition (which would have resulted in excessive data exclusion), and because we found acceptable fits </w:t>
      </w:r>
      <w:r w:rsidR="00816A86" w:rsidRPr="00B42097">
        <w:t>of the</w:t>
      </w:r>
      <w:r w:rsidRPr="00B42097">
        <w:t xml:space="preserve"> </w:t>
      </w:r>
      <w:r w:rsidR="00A320A5">
        <w:t>psychometric function</w:t>
      </w:r>
      <w:r w:rsidRPr="00B42097">
        <w:t xml:space="preserve"> were nonetheless obtained in </w:t>
      </w:r>
      <w:r w:rsidR="00585327" w:rsidRPr="00B42097">
        <w:t>all</w:t>
      </w:r>
      <w:r w:rsidRPr="00B42097">
        <w:t xml:space="preserve"> participants.</w:t>
      </w:r>
    </w:p>
    <w:p w14:paraId="0652375E" w14:textId="57FC1130" w:rsidR="007E7C30" w:rsidRPr="00B42097" w:rsidRDefault="001D2E4E" w:rsidP="007E7C30">
      <w:pPr>
        <w:pStyle w:val="Heading1"/>
      </w:pPr>
      <w:r w:rsidRPr="00B42097">
        <w:t>Results </w:t>
      </w:r>
    </w:p>
    <w:p w14:paraId="5F25C0C9" w14:textId="0B78064A" w:rsidR="001D34D1" w:rsidRDefault="00CC5E10" w:rsidP="00661B9E">
      <w:pPr>
        <w:pStyle w:val="BodyText"/>
      </w:pPr>
      <w:r w:rsidRPr="00B42097">
        <w:t>Participants</w:t>
      </w:r>
      <w:r w:rsidR="00E6611D" w:rsidRPr="00B42097">
        <w:t>’</w:t>
      </w:r>
      <w:r w:rsidRPr="00B42097">
        <w:t xml:space="preserve"> responses in both experiments were well-described by the </w:t>
      </w:r>
      <w:r w:rsidR="00A320A5">
        <w:t>logistic function</w:t>
      </w:r>
      <w:r w:rsidRPr="00B42097">
        <w:t xml:space="preserve"> (</w:t>
      </w:r>
      <w:r w:rsidR="0000570C" w:rsidRPr="00B42097">
        <w:t>see supplementary material</w:t>
      </w:r>
      <w:r w:rsidR="00B7042D" w:rsidRPr="00B42097">
        <w:t xml:space="preserve"> for </w:t>
      </w:r>
      <w:r w:rsidR="00D8464E" w:rsidRPr="00B42097">
        <w:t xml:space="preserve">individual participant </w:t>
      </w:r>
      <w:r w:rsidR="00B7042D" w:rsidRPr="00B42097">
        <w:t>Bayes factors</w:t>
      </w:r>
      <w:r w:rsidRPr="00B42097">
        <w:t xml:space="preserve">). </w:t>
      </w:r>
      <w:r w:rsidR="0084702B" w:rsidRPr="00B42097">
        <w:t xml:space="preserve">In each case, the accuracy of responses increased </w:t>
      </w:r>
      <w:r w:rsidR="00E6611D" w:rsidRPr="00B42097">
        <w:t>with the degree of spatial distortion applied to the studied array forming a sigmoid curve as illustrated</w:t>
      </w:r>
      <w:r w:rsidR="00984A04" w:rsidRPr="00B42097">
        <w:t>,</w:t>
      </w:r>
      <w:r w:rsidR="00E6611D" w:rsidRPr="00B42097">
        <w:t xml:space="preserve"> </w:t>
      </w:r>
      <w:r w:rsidR="00984A04" w:rsidRPr="00B42097">
        <w:t xml:space="preserve">for a representative participant, </w:t>
      </w:r>
      <w:r w:rsidR="00E6611D" w:rsidRPr="00B42097">
        <w:t xml:space="preserve">in Figure </w:t>
      </w:r>
      <w:r w:rsidR="008B0EFA" w:rsidRPr="00B42097">
        <w:t>2A</w:t>
      </w:r>
      <w:r w:rsidR="000319FB" w:rsidRPr="00B42097">
        <w:t>.</w:t>
      </w:r>
      <w:r w:rsidR="00984A04" w:rsidRPr="00B42097">
        <w:t xml:space="preserve"> </w:t>
      </w:r>
      <w:r w:rsidR="001B56F0" w:rsidRPr="00B42097">
        <w:t>In all cases</w:t>
      </w:r>
      <w:r w:rsidR="008B0EFA" w:rsidRPr="00B42097">
        <w:t xml:space="preserve"> (i.e., in each participant and viewpoint condition) </w:t>
      </w:r>
      <w:r w:rsidR="001B56F0" w:rsidRPr="00B42097">
        <w:t xml:space="preserve">the </w:t>
      </w:r>
      <w:r w:rsidR="0032289B">
        <w:t>fitted</w:t>
      </w:r>
      <w:r w:rsidR="0032289B" w:rsidRPr="00B42097">
        <w:t xml:space="preserve"> </w:t>
      </w:r>
      <w:r w:rsidR="001B56F0" w:rsidRPr="00B42097">
        <w:t>curve described the data better than the model described by the null hypothesis</w:t>
      </w:r>
      <w:r w:rsidR="0032289B">
        <w:t xml:space="preserve">, </w:t>
      </w:r>
      <w:r w:rsidR="001B56F0" w:rsidRPr="00B42097">
        <w:t xml:space="preserve">with the </w:t>
      </w:r>
      <w:r w:rsidR="00CB3626" w:rsidRPr="00B42097">
        <w:t xml:space="preserve">large </w:t>
      </w:r>
      <w:r w:rsidR="001B56F0" w:rsidRPr="00B42097">
        <w:t xml:space="preserve">majority of Bayes Factors classified as ‘Strong’ or ‘Very strong’ </w:t>
      </w:r>
      <w:r w:rsidR="000A5074" w:rsidRPr="00B42097">
        <w:fldChar w:fldCharType="begin"/>
      </w:r>
      <w:r w:rsidR="00BE64D3">
        <w:instrText xml:space="preserve"> ADDIN ZOTERO_ITEM CSL_CITATION {"citationID":"Rg8zHaEF","properties":{"formattedCitation":"(Kass &amp; Raftery, 1995)","plainCitation":"(Kass &amp; Raftery, 1995)","dontUpdate":true,"noteIndex":0},"citationItems":[{"id":398,"uris":["http://zotero.org/users/5736906/items/RFHYAHFQ"],"uri":["http://zotero.org/users/5736906/items/RFHYAHFQ"],"itemData":{"id":398,"type":"article-journal","abstract":"In a 1935 paper and in his book Theory of probability, Jeffresy developed a methodology for quantifying the evidence in favor of a scientific theory. The centerpies was a number, now called the Bayes factor, which is the posterior odds of the null hypothesis when the prior probability on the null is one-half. Although there has been much discussion of Bayesian hypothesis testing in the context of criticism of P-values, less attention has been given to the Bayes as a practical tool of applied statistics. In this article we review and discuss the uses of Bayes factors in the context of five scientific applications in genetics, sports, ecology, sociology, and psychology. We emphasize the following points: From Jeffrey's Bayesian viewpoint, the purpose of hypothesis testing is to evaluate the evidence in favor of a scientific theory. Bayes factors offer a way of evaluating evidence in favor of a null hypothesis. Bayes factors provide a way of incorporating external information into the evaluation of evidence about a hypothesis. Bayes factors are very general and do not require alternative models to be nested. Several techniques are available for computing Bayes factors, including asymptotic approximations that are easy to compute using the output from standard packages that maximize likelihoods. In \"non-Bayesian significance tests. The Schwarz criterion (or BIC) gives a rough approximation to the logarithm of the Bayes factor, which is easy to use and does not require evaluation of prior distributions. When one is interested in estimation or prediction, Bayes factors may be converted to weights to be attached to various models so that a composite estimate or prediction may be obtained that takes account of structural or model uncertainty. Algorithms have been proposed that allow model uncertainty to be taken into account when the class of models initially considered is very large. Bayes factors are useful for guiding an evolutionary model-building process. It is important, and feasible, to assess the sensitivity of conclusions to the prior distributions used.","archive":"JSTOR","container-title":"Journal of the American Statistical Association","DOI":"10.2307/2291091","ISSN":"0162-1459","issue":"430","page":"773-795","source":"JSTOR","title":"Bayes Factors","volume":"90","author":[{"family":"Kass","given":"Robert E."},{"family":"Raftery","given":"Adrian E."}],"issued":{"date-parts":[["1995"]]}}}],"schema":"https://github.com/citation-style-language/schema/raw/master/csl-citation.json"} </w:instrText>
      </w:r>
      <w:r w:rsidR="000A5074" w:rsidRPr="00B42097">
        <w:fldChar w:fldCharType="separate"/>
      </w:r>
      <w:r w:rsidR="000A5074" w:rsidRPr="00B42097">
        <w:rPr>
          <w:noProof/>
        </w:rPr>
        <w:t xml:space="preserve">(Kass &amp; Raftery, 1995; </w:t>
      </w:r>
      <w:r w:rsidR="000A5074" w:rsidRPr="00B42097">
        <w:t>BF</w:t>
      </w:r>
      <w:r w:rsidR="000A5074" w:rsidRPr="00B42097">
        <w:rPr>
          <w:vertAlign w:val="subscript"/>
        </w:rPr>
        <w:t xml:space="preserve">10 </w:t>
      </w:r>
      <w:r w:rsidR="000A5074" w:rsidRPr="00B42097">
        <w:t>&gt; 20 for 69/100 comparisons</w:t>
      </w:r>
      <w:r w:rsidR="000A5074" w:rsidRPr="00B42097">
        <w:rPr>
          <w:noProof/>
        </w:rPr>
        <w:t>)</w:t>
      </w:r>
      <w:r w:rsidR="000A5074" w:rsidRPr="00B42097">
        <w:fldChar w:fldCharType="end"/>
      </w:r>
      <w:r w:rsidR="000A5074" w:rsidRPr="00B42097">
        <w:t>.</w:t>
      </w:r>
    </w:p>
    <w:p w14:paraId="42594100" w14:textId="108486C4" w:rsidR="001942F8" w:rsidRDefault="00984A04" w:rsidP="00661B9E">
      <w:pPr>
        <w:pStyle w:val="BodyText"/>
      </w:pPr>
      <w:r w:rsidRPr="00B42097">
        <w:t>Using the fitted sigmoid we obtained each participant’s spatial change detection thresholds, corresponding to the degree of spatial distortion required to obtain 75% accuracy at each level of viewpoint change.</w:t>
      </w:r>
      <w:r w:rsidR="00CC5E10" w:rsidRPr="00B42097">
        <w:t xml:space="preserve"> The </w:t>
      </w:r>
      <w:r w:rsidR="007857C9" w:rsidRPr="00B42097">
        <w:t xml:space="preserve">average </w:t>
      </w:r>
      <w:r w:rsidR="00CC5E10" w:rsidRPr="00B42097">
        <w:t xml:space="preserve">parameters for the best fitting sigmoid curves are summarized in Table </w:t>
      </w:r>
      <w:r w:rsidR="00F35EE0" w:rsidRPr="00B42097">
        <w:t>1</w:t>
      </w:r>
      <w:r w:rsidR="00CC5E10" w:rsidRPr="00B42097">
        <w:t>.</w:t>
      </w:r>
      <w:r w:rsidR="001942F8">
        <w:br w:type="page"/>
      </w:r>
    </w:p>
    <w:p w14:paraId="4732D552" w14:textId="77777777" w:rsidR="004F1C52" w:rsidRPr="00B42097" w:rsidRDefault="004F1C52" w:rsidP="00661B9E">
      <w:pPr>
        <w:pStyle w:val="BodyText"/>
      </w:pPr>
    </w:p>
    <w:p w14:paraId="40F39CCD" w14:textId="723112FB" w:rsidR="0084702B" w:rsidRPr="00B42097" w:rsidRDefault="004F1C52" w:rsidP="00CC71DB">
      <w:pPr>
        <w:spacing w:line="240" w:lineRule="auto"/>
      </w:pPr>
      <w:r w:rsidRPr="00B42097">
        <w:t xml:space="preserve">Table </w:t>
      </w:r>
      <w:r w:rsidR="00F35EE0" w:rsidRPr="00B42097">
        <w:t>1</w:t>
      </w:r>
      <w:r w:rsidRPr="00B42097">
        <w:t>, showing average psychophysical sigmoid parameters in each condition in Experiment 1 and 2</w:t>
      </w:r>
      <w:r w:rsidR="0084702B" w:rsidRPr="00B42097">
        <w:t xml:space="preserve">. </w:t>
      </w:r>
      <w:r w:rsidR="00DA2656">
        <w:t>S</w:t>
      </w:r>
      <w:r w:rsidR="00DA2780" w:rsidRPr="00B42097">
        <w:t xml:space="preserve">lopes are expressed </w:t>
      </w:r>
      <w:r w:rsidR="00DA2656">
        <w:t>as</w:t>
      </w:r>
      <w:r w:rsidR="00DA2780" w:rsidRPr="00B42097">
        <w:t xml:space="preserve"> </w:t>
      </w:r>
      <w:r w:rsidR="00816A86" w:rsidRPr="00B42097">
        <w:t xml:space="preserve">equivalent </w:t>
      </w:r>
      <w:r w:rsidR="00DA2780" w:rsidRPr="00B42097">
        <w:t>Weibull beta</w:t>
      </w:r>
      <w:r w:rsidR="00DA2656">
        <w:t xml:space="preserve"> values</w:t>
      </w:r>
      <w:r w:rsidR="00DA2780" w:rsidRPr="00B42097">
        <w:t>.</w:t>
      </w:r>
    </w:p>
    <w:tbl>
      <w:tblPr>
        <w:tblW w:w="9356" w:type="dxa"/>
        <w:tblLayout w:type="fixed"/>
        <w:tblLook w:val="04A0" w:firstRow="1" w:lastRow="0" w:firstColumn="1" w:lastColumn="0" w:noHBand="0" w:noVBand="1"/>
      </w:tblPr>
      <w:tblGrid>
        <w:gridCol w:w="1134"/>
        <w:gridCol w:w="2268"/>
        <w:gridCol w:w="142"/>
        <w:gridCol w:w="1559"/>
        <w:gridCol w:w="142"/>
        <w:gridCol w:w="2268"/>
        <w:gridCol w:w="142"/>
        <w:gridCol w:w="1701"/>
      </w:tblGrid>
      <w:tr w:rsidR="004F1C52" w:rsidRPr="00B42097" w14:paraId="30DA0E01" w14:textId="77777777" w:rsidTr="00E94275">
        <w:trPr>
          <w:trHeight w:val="441"/>
        </w:trPr>
        <w:tc>
          <w:tcPr>
            <w:tcW w:w="1134" w:type="dxa"/>
            <w:tcBorders>
              <w:top w:val="single" w:sz="12" w:space="0" w:color="auto"/>
              <w:left w:val="nil"/>
              <w:bottom w:val="single" w:sz="8" w:space="0" w:color="auto"/>
              <w:right w:val="nil"/>
            </w:tcBorders>
            <w:shd w:val="clear" w:color="auto" w:fill="auto"/>
            <w:noWrap/>
            <w:vAlign w:val="bottom"/>
            <w:hideMark/>
          </w:tcPr>
          <w:p w14:paraId="641827A9" w14:textId="77777777" w:rsidR="004F1C52" w:rsidRPr="00B42097" w:rsidRDefault="004F1C52" w:rsidP="0062074E">
            <w:pPr>
              <w:spacing w:line="240" w:lineRule="auto"/>
              <w:rPr>
                <w:color w:val="000000"/>
                <w:sz w:val="21"/>
                <w:szCs w:val="21"/>
              </w:rPr>
            </w:pPr>
            <w:r w:rsidRPr="00B42097">
              <w:rPr>
                <w:color w:val="000000"/>
                <w:sz w:val="21"/>
                <w:szCs w:val="21"/>
              </w:rPr>
              <w:t> </w:t>
            </w:r>
          </w:p>
        </w:tc>
        <w:tc>
          <w:tcPr>
            <w:tcW w:w="3969" w:type="dxa"/>
            <w:gridSpan w:val="3"/>
            <w:tcBorders>
              <w:top w:val="single" w:sz="12" w:space="0" w:color="000000"/>
              <w:left w:val="nil"/>
              <w:bottom w:val="single" w:sz="8" w:space="0" w:color="000000"/>
              <w:right w:val="nil"/>
            </w:tcBorders>
            <w:shd w:val="clear" w:color="auto" w:fill="auto"/>
            <w:vAlign w:val="center"/>
            <w:hideMark/>
          </w:tcPr>
          <w:p w14:paraId="277DA64E" w14:textId="2CE9DEDC" w:rsidR="004F1C52" w:rsidRPr="00B42097" w:rsidRDefault="004F1C52" w:rsidP="00E94275">
            <w:pPr>
              <w:spacing w:line="240" w:lineRule="auto"/>
              <w:jc w:val="center"/>
              <w:rPr>
                <w:color w:val="000000"/>
                <w:sz w:val="21"/>
                <w:szCs w:val="21"/>
              </w:rPr>
            </w:pPr>
            <w:proofErr w:type="gramStart"/>
            <w:r w:rsidRPr="00B42097">
              <w:rPr>
                <w:color w:val="000000"/>
                <w:sz w:val="21"/>
                <w:szCs w:val="21"/>
              </w:rPr>
              <w:t xml:space="preserve">Experiment </w:t>
            </w:r>
            <w:r w:rsidR="00E94275" w:rsidRPr="00B42097">
              <w:rPr>
                <w:color w:val="000000"/>
                <w:sz w:val="21"/>
                <w:szCs w:val="21"/>
              </w:rPr>
              <w:t>:</w:t>
            </w:r>
            <w:proofErr w:type="gramEnd"/>
            <w:r w:rsidR="00E94275" w:rsidRPr="00B42097">
              <w:rPr>
                <w:color w:val="000000"/>
                <w:sz w:val="21"/>
                <w:szCs w:val="21"/>
              </w:rPr>
              <w:t xml:space="preserve"> </w:t>
            </w:r>
            <w:r w:rsidRPr="00B42097">
              <w:rPr>
                <w:color w:val="000000"/>
                <w:sz w:val="21"/>
                <w:szCs w:val="21"/>
              </w:rPr>
              <w:t>Same/Different</w:t>
            </w:r>
          </w:p>
        </w:tc>
        <w:tc>
          <w:tcPr>
            <w:tcW w:w="4253" w:type="dxa"/>
            <w:gridSpan w:val="4"/>
            <w:tcBorders>
              <w:top w:val="single" w:sz="12" w:space="0" w:color="auto"/>
              <w:left w:val="nil"/>
              <w:bottom w:val="single" w:sz="8" w:space="0" w:color="auto"/>
              <w:right w:val="nil"/>
            </w:tcBorders>
            <w:shd w:val="clear" w:color="auto" w:fill="auto"/>
            <w:vAlign w:val="center"/>
            <w:hideMark/>
          </w:tcPr>
          <w:p w14:paraId="36CEA699" w14:textId="746597AF" w:rsidR="004F1C52" w:rsidRPr="00B42097" w:rsidRDefault="004F1C52" w:rsidP="00E94275">
            <w:pPr>
              <w:spacing w:line="240" w:lineRule="auto"/>
              <w:jc w:val="center"/>
              <w:rPr>
                <w:color w:val="000000"/>
                <w:sz w:val="21"/>
                <w:szCs w:val="21"/>
              </w:rPr>
            </w:pPr>
            <w:r w:rsidRPr="00B42097">
              <w:rPr>
                <w:color w:val="000000"/>
                <w:sz w:val="21"/>
                <w:szCs w:val="21"/>
              </w:rPr>
              <w:t>Experiment 2</w:t>
            </w:r>
            <w:r w:rsidR="00E94275" w:rsidRPr="00B42097">
              <w:rPr>
                <w:color w:val="000000"/>
                <w:sz w:val="21"/>
                <w:szCs w:val="21"/>
              </w:rPr>
              <w:t xml:space="preserve">: </w:t>
            </w:r>
            <w:r w:rsidRPr="00B42097">
              <w:rPr>
                <w:color w:val="000000"/>
                <w:sz w:val="21"/>
                <w:szCs w:val="21"/>
              </w:rPr>
              <w:t>2AFC</w:t>
            </w:r>
          </w:p>
        </w:tc>
      </w:tr>
      <w:tr w:rsidR="00482B80" w:rsidRPr="00B42097" w14:paraId="3E084BB3" w14:textId="77777777" w:rsidTr="00E94275">
        <w:trPr>
          <w:trHeight w:val="611"/>
        </w:trPr>
        <w:tc>
          <w:tcPr>
            <w:tcW w:w="1134" w:type="dxa"/>
            <w:tcBorders>
              <w:top w:val="nil"/>
              <w:left w:val="nil"/>
              <w:bottom w:val="single" w:sz="8" w:space="0" w:color="000000"/>
              <w:right w:val="nil"/>
            </w:tcBorders>
            <w:shd w:val="clear" w:color="auto" w:fill="auto"/>
            <w:hideMark/>
          </w:tcPr>
          <w:p w14:paraId="38580EB6" w14:textId="77777777" w:rsidR="00482B80" w:rsidRPr="00B42097" w:rsidRDefault="00482B80" w:rsidP="00482B80">
            <w:pPr>
              <w:spacing w:line="240" w:lineRule="auto"/>
              <w:jc w:val="center"/>
              <w:rPr>
                <w:color w:val="000000"/>
                <w:sz w:val="21"/>
                <w:szCs w:val="21"/>
              </w:rPr>
            </w:pPr>
          </w:p>
          <w:p w14:paraId="0BB0DEA4" w14:textId="77777777" w:rsidR="00B82F97" w:rsidRPr="00B42097" w:rsidRDefault="00482B80" w:rsidP="00482B80">
            <w:pPr>
              <w:spacing w:line="240" w:lineRule="auto"/>
              <w:jc w:val="center"/>
              <w:rPr>
                <w:color w:val="000000"/>
                <w:sz w:val="21"/>
                <w:szCs w:val="21"/>
              </w:rPr>
            </w:pPr>
            <w:r w:rsidRPr="00B42097">
              <w:rPr>
                <w:color w:val="000000"/>
                <w:sz w:val="21"/>
                <w:szCs w:val="21"/>
              </w:rPr>
              <w:t>Viewpoint</w:t>
            </w:r>
          </w:p>
          <w:p w14:paraId="2539277F" w14:textId="0997D507" w:rsidR="00482B80" w:rsidRPr="00B42097" w:rsidRDefault="00482B80" w:rsidP="00482B80">
            <w:pPr>
              <w:spacing w:line="240" w:lineRule="auto"/>
              <w:jc w:val="center"/>
              <w:rPr>
                <w:color w:val="000000"/>
                <w:sz w:val="21"/>
                <w:szCs w:val="21"/>
              </w:rPr>
            </w:pPr>
          </w:p>
        </w:tc>
        <w:tc>
          <w:tcPr>
            <w:tcW w:w="2410" w:type="dxa"/>
            <w:gridSpan w:val="2"/>
            <w:tcBorders>
              <w:top w:val="nil"/>
              <w:left w:val="nil"/>
              <w:bottom w:val="single" w:sz="8" w:space="0" w:color="000000"/>
              <w:right w:val="nil"/>
            </w:tcBorders>
            <w:shd w:val="clear" w:color="auto" w:fill="auto"/>
            <w:hideMark/>
          </w:tcPr>
          <w:p w14:paraId="75EA2331" w14:textId="77777777" w:rsidR="00482B80" w:rsidRPr="00B42097" w:rsidRDefault="00482B80" w:rsidP="00482B80">
            <w:pPr>
              <w:spacing w:line="240" w:lineRule="auto"/>
              <w:jc w:val="center"/>
              <w:rPr>
                <w:color w:val="000000"/>
                <w:sz w:val="21"/>
                <w:szCs w:val="21"/>
              </w:rPr>
            </w:pPr>
          </w:p>
          <w:p w14:paraId="344AF657" w14:textId="069D3D47" w:rsidR="00482B80" w:rsidRPr="00B42097" w:rsidRDefault="00482B80" w:rsidP="00482B80">
            <w:pPr>
              <w:spacing w:line="240" w:lineRule="auto"/>
              <w:jc w:val="center"/>
              <w:rPr>
                <w:color w:val="000000"/>
                <w:sz w:val="21"/>
                <w:szCs w:val="21"/>
              </w:rPr>
            </w:pPr>
            <w:r w:rsidRPr="00B42097">
              <w:rPr>
                <w:color w:val="000000"/>
                <w:sz w:val="21"/>
                <w:szCs w:val="21"/>
              </w:rPr>
              <w:t>Mean Threshold</w:t>
            </w:r>
            <w:r w:rsidR="00E94275" w:rsidRPr="00B42097">
              <w:rPr>
                <w:color w:val="000000"/>
                <w:sz w:val="21"/>
                <w:szCs w:val="21"/>
              </w:rPr>
              <w:t xml:space="preserve"> </w:t>
            </w:r>
            <w:r w:rsidR="00B82F97" w:rsidRPr="00B42097">
              <w:rPr>
                <w:color w:val="000000"/>
                <w:sz w:val="21"/>
                <w:szCs w:val="21"/>
              </w:rPr>
              <w:t>dB</w:t>
            </w:r>
            <w:r w:rsidR="00E94275" w:rsidRPr="00B42097">
              <w:rPr>
                <w:color w:val="000000"/>
                <w:sz w:val="21"/>
                <w:szCs w:val="21"/>
              </w:rPr>
              <w:t xml:space="preserve"> (SD)</w:t>
            </w:r>
            <w:r w:rsidRPr="00B42097">
              <w:rPr>
                <w:color w:val="000000"/>
                <w:sz w:val="21"/>
                <w:szCs w:val="21"/>
              </w:rPr>
              <w:t xml:space="preserve"> </w:t>
            </w:r>
          </w:p>
        </w:tc>
        <w:tc>
          <w:tcPr>
            <w:tcW w:w="1701" w:type="dxa"/>
            <w:gridSpan w:val="2"/>
            <w:tcBorders>
              <w:top w:val="nil"/>
              <w:left w:val="nil"/>
              <w:bottom w:val="single" w:sz="8" w:space="0" w:color="000000"/>
              <w:right w:val="nil"/>
            </w:tcBorders>
            <w:shd w:val="clear" w:color="auto" w:fill="auto"/>
            <w:hideMark/>
          </w:tcPr>
          <w:p w14:paraId="3AD93A41" w14:textId="77777777" w:rsidR="00482B80" w:rsidRPr="00B42097" w:rsidRDefault="00482B80" w:rsidP="00482B80">
            <w:pPr>
              <w:spacing w:line="240" w:lineRule="auto"/>
              <w:jc w:val="center"/>
              <w:rPr>
                <w:color w:val="000000"/>
                <w:sz w:val="21"/>
                <w:szCs w:val="21"/>
              </w:rPr>
            </w:pPr>
          </w:p>
          <w:p w14:paraId="3A9C9080" w14:textId="4C702397" w:rsidR="00482B80" w:rsidRPr="00B42097" w:rsidRDefault="00482B80" w:rsidP="00482B80">
            <w:pPr>
              <w:spacing w:line="240" w:lineRule="auto"/>
              <w:jc w:val="center"/>
              <w:rPr>
                <w:color w:val="000000"/>
                <w:sz w:val="21"/>
                <w:szCs w:val="21"/>
              </w:rPr>
            </w:pPr>
            <w:r w:rsidRPr="00B42097">
              <w:rPr>
                <w:color w:val="000000"/>
                <w:sz w:val="21"/>
                <w:szCs w:val="21"/>
              </w:rPr>
              <w:t>Mean Slope</w:t>
            </w:r>
            <w:r w:rsidR="00E94275" w:rsidRPr="00B42097">
              <w:rPr>
                <w:color w:val="000000"/>
                <w:sz w:val="21"/>
                <w:szCs w:val="21"/>
              </w:rPr>
              <w:t xml:space="preserve"> (SD)</w:t>
            </w:r>
          </w:p>
          <w:p w14:paraId="236063E1" w14:textId="33D17621" w:rsidR="00482B80" w:rsidRPr="00B42097" w:rsidRDefault="00482B80" w:rsidP="00482B80">
            <w:pPr>
              <w:spacing w:line="240" w:lineRule="auto"/>
              <w:jc w:val="center"/>
              <w:rPr>
                <w:color w:val="000000"/>
                <w:sz w:val="21"/>
                <w:szCs w:val="21"/>
              </w:rPr>
            </w:pPr>
          </w:p>
        </w:tc>
        <w:tc>
          <w:tcPr>
            <w:tcW w:w="2410" w:type="dxa"/>
            <w:gridSpan w:val="2"/>
            <w:tcBorders>
              <w:top w:val="nil"/>
              <w:left w:val="nil"/>
              <w:bottom w:val="single" w:sz="8" w:space="0" w:color="000000"/>
              <w:right w:val="nil"/>
            </w:tcBorders>
            <w:shd w:val="clear" w:color="auto" w:fill="auto"/>
            <w:hideMark/>
          </w:tcPr>
          <w:p w14:paraId="43E47F5C" w14:textId="77777777" w:rsidR="00482B80" w:rsidRPr="00B42097" w:rsidRDefault="00482B80" w:rsidP="00482B80">
            <w:pPr>
              <w:spacing w:line="240" w:lineRule="auto"/>
              <w:jc w:val="center"/>
              <w:rPr>
                <w:color w:val="000000"/>
                <w:sz w:val="21"/>
                <w:szCs w:val="21"/>
              </w:rPr>
            </w:pPr>
          </w:p>
          <w:p w14:paraId="2BB02C87" w14:textId="28B84C6E" w:rsidR="00482B80" w:rsidRPr="00B42097" w:rsidRDefault="00482B80" w:rsidP="00B82F97">
            <w:pPr>
              <w:spacing w:line="240" w:lineRule="auto"/>
              <w:jc w:val="center"/>
              <w:rPr>
                <w:color w:val="000000"/>
                <w:sz w:val="21"/>
                <w:szCs w:val="21"/>
              </w:rPr>
            </w:pPr>
            <w:r w:rsidRPr="00B42097">
              <w:rPr>
                <w:color w:val="000000"/>
                <w:sz w:val="21"/>
                <w:szCs w:val="21"/>
              </w:rPr>
              <w:t>Mean Threshold</w:t>
            </w:r>
            <w:r w:rsidR="00E94275" w:rsidRPr="00B42097">
              <w:rPr>
                <w:color w:val="000000"/>
                <w:sz w:val="21"/>
                <w:szCs w:val="21"/>
              </w:rPr>
              <w:t xml:space="preserve"> </w:t>
            </w:r>
            <w:r w:rsidR="00B82F97" w:rsidRPr="00B42097">
              <w:rPr>
                <w:color w:val="000000"/>
                <w:sz w:val="21"/>
                <w:szCs w:val="21"/>
              </w:rPr>
              <w:t>dB</w:t>
            </w:r>
            <w:r w:rsidR="00E94275" w:rsidRPr="00B42097">
              <w:rPr>
                <w:color w:val="000000"/>
                <w:sz w:val="21"/>
                <w:szCs w:val="21"/>
              </w:rPr>
              <w:t xml:space="preserve"> (SD)</w:t>
            </w:r>
          </w:p>
        </w:tc>
        <w:tc>
          <w:tcPr>
            <w:tcW w:w="1701" w:type="dxa"/>
            <w:tcBorders>
              <w:top w:val="nil"/>
              <w:left w:val="nil"/>
              <w:bottom w:val="single" w:sz="8" w:space="0" w:color="000000"/>
              <w:right w:val="nil"/>
            </w:tcBorders>
            <w:shd w:val="clear" w:color="auto" w:fill="auto"/>
            <w:hideMark/>
          </w:tcPr>
          <w:p w14:paraId="20A8FD8D" w14:textId="77777777" w:rsidR="00482B80" w:rsidRPr="00B42097" w:rsidRDefault="00482B80" w:rsidP="00482B80">
            <w:pPr>
              <w:spacing w:line="240" w:lineRule="auto"/>
              <w:jc w:val="center"/>
              <w:rPr>
                <w:color w:val="000000"/>
                <w:sz w:val="21"/>
                <w:szCs w:val="21"/>
              </w:rPr>
            </w:pPr>
          </w:p>
          <w:p w14:paraId="2BB0F088" w14:textId="0850248B" w:rsidR="00482B80" w:rsidRPr="00B42097" w:rsidRDefault="00482B80" w:rsidP="00E94275">
            <w:pPr>
              <w:spacing w:line="240" w:lineRule="auto"/>
              <w:jc w:val="center"/>
              <w:rPr>
                <w:color w:val="000000"/>
                <w:sz w:val="21"/>
                <w:szCs w:val="21"/>
              </w:rPr>
            </w:pPr>
            <w:r w:rsidRPr="00B42097">
              <w:rPr>
                <w:color w:val="000000"/>
                <w:sz w:val="21"/>
                <w:szCs w:val="21"/>
              </w:rPr>
              <w:t>Mean Slope</w:t>
            </w:r>
            <w:r w:rsidR="00E94275" w:rsidRPr="00B42097">
              <w:rPr>
                <w:color w:val="000000"/>
                <w:sz w:val="21"/>
                <w:szCs w:val="21"/>
              </w:rPr>
              <w:t xml:space="preserve"> (SD)</w:t>
            </w:r>
          </w:p>
        </w:tc>
      </w:tr>
      <w:tr w:rsidR="00DA2780" w:rsidRPr="00B42097" w14:paraId="1463B060" w14:textId="77777777" w:rsidTr="00E94275">
        <w:trPr>
          <w:trHeight w:val="630"/>
        </w:trPr>
        <w:tc>
          <w:tcPr>
            <w:tcW w:w="1134" w:type="dxa"/>
            <w:tcBorders>
              <w:top w:val="nil"/>
              <w:left w:val="nil"/>
              <w:bottom w:val="nil"/>
              <w:right w:val="nil"/>
            </w:tcBorders>
            <w:shd w:val="clear" w:color="auto" w:fill="auto"/>
            <w:vAlign w:val="center"/>
            <w:hideMark/>
          </w:tcPr>
          <w:p w14:paraId="5F4CF801" w14:textId="77777777" w:rsidR="00DA2780" w:rsidRPr="00B42097" w:rsidRDefault="00DA2780" w:rsidP="00DA2780">
            <w:pPr>
              <w:spacing w:line="240" w:lineRule="auto"/>
              <w:jc w:val="right"/>
              <w:rPr>
                <w:color w:val="000000"/>
                <w:sz w:val="20"/>
                <w:szCs w:val="20"/>
              </w:rPr>
            </w:pPr>
            <w:r w:rsidRPr="00B42097">
              <w:rPr>
                <w:color w:val="000000"/>
                <w:sz w:val="20"/>
                <w:szCs w:val="20"/>
              </w:rPr>
              <w:t>0</w:t>
            </w:r>
            <w:r w:rsidRPr="00B42097">
              <w:rPr>
                <w:sz w:val="20"/>
                <w:szCs w:val="20"/>
              </w:rPr>
              <w:t>°</w:t>
            </w:r>
          </w:p>
        </w:tc>
        <w:tc>
          <w:tcPr>
            <w:tcW w:w="2268" w:type="dxa"/>
            <w:tcBorders>
              <w:top w:val="nil"/>
              <w:left w:val="nil"/>
              <w:bottom w:val="nil"/>
              <w:right w:val="nil"/>
            </w:tcBorders>
            <w:shd w:val="clear" w:color="auto" w:fill="auto"/>
            <w:vAlign w:val="center"/>
            <w:hideMark/>
          </w:tcPr>
          <w:p w14:paraId="26D3205F" w14:textId="74567B93" w:rsidR="00DA2780" w:rsidRPr="00B42097" w:rsidRDefault="00DA2780" w:rsidP="00DA2780">
            <w:pPr>
              <w:spacing w:line="240" w:lineRule="auto"/>
              <w:jc w:val="center"/>
              <w:rPr>
                <w:color w:val="000000"/>
                <w:sz w:val="20"/>
                <w:szCs w:val="20"/>
              </w:rPr>
            </w:pPr>
            <w:r w:rsidRPr="00B42097">
              <w:rPr>
                <w:color w:val="000000"/>
                <w:sz w:val="20"/>
                <w:szCs w:val="20"/>
              </w:rPr>
              <w:t>-8.81 (2.</w:t>
            </w:r>
            <w:r w:rsidR="00050E83">
              <w:rPr>
                <w:color w:val="000000"/>
                <w:sz w:val="20"/>
                <w:szCs w:val="20"/>
              </w:rPr>
              <w:t>37</w:t>
            </w:r>
            <w:r w:rsidRPr="00B42097">
              <w:rPr>
                <w:color w:val="000000"/>
                <w:sz w:val="20"/>
                <w:szCs w:val="20"/>
              </w:rPr>
              <w:t>)</w:t>
            </w:r>
          </w:p>
        </w:tc>
        <w:tc>
          <w:tcPr>
            <w:tcW w:w="1701" w:type="dxa"/>
            <w:gridSpan w:val="2"/>
            <w:tcBorders>
              <w:top w:val="nil"/>
              <w:left w:val="nil"/>
              <w:bottom w:val="nil"/>
              <w:right w:val="nil"/>
            </w:tcBorders>
            <w:shd w:val="clear" w:color="auto" w:fill="auto"/>
            <w:vAlign w:val="center"/>
            <w:hideMark/>
          </w:tcPr>
          <w:p w14:paraId="0C8DA678" w14:textId="6FC44D64" w:rsidR="00DA2780" w:rsidRPr="00B42097" w:rsidRDefault="00DA2780" w:rsidP="00DA2780">
            <w:pPr>
              <w:spacing w:line="240" w:lineRule="auto"/>
              <w:jc w:val="center"/>
              <w:rPr>
                <w:color w:val="000000"/>
                <w:sz w:val="20"/>
                <w:szCs w:val="20"/>
              </w:rPr>
            </w:pPr>
            <w:r w:rsidRPr="00B42097">
              <w:rPr>
                <w:color w:val="000000"/>
                <w:sz w:val="20"/>
                <w:szCs w:val="20"/>
              </w:rPr>
              <w:t>2.10 (1.59)</w:t>
            </w:r>
          </w:p>
        </w:tc>
        <w:tc>
          <w:tcPr>
            <w:tcW w:w="2410" w:type="dxa"/>
            <w:gridSpan w:val="2"/>
            <w:tcBorders>
              <w:top w:val="nil"/>
              <w:left w:val="nil"/>
              <w:bottom w:val="nil"/>
              <w:right w:val="nil"/>
            </w:tcBorders>
            <w:shd w:val="clear" w:color="auto" w:fill="auto"/>
            <w:vAlign w:val="center"/>
            <w:hideMark/>
          </w:tcPr>
          <w:p w14:paraId="313807C9" w14:textId="77777777" w:rsidR="00DA2780" w:rsidRPr="00B42097" w:rsidRDefault="00DA2780" w:rsidP="00DA2780">
            <w:pPr>
              <w:spacing w:line="240" w:lineRule="auto"/>
              <w:jc w:val="center"/>
              <w:rPr>
                <w:color w:val="000000"/>
                <w:sz w:val="20"/>
                <w:szCs w:val="20"/>
              </w:rPr>
            </w:pPr>
            <w:r w:rsidRPr="00B42097">
              <w:rPr>
                <w:color w:val="000000"/>
                <w:sz w:val="20"/>
                <w:szCs w:val="20"/>
              </w:rPr>
              <w:t>-12.11 (2.99)</w:t>
            </w:r>
          </w:p>
        </w:tc>
        <w:tc>
          <w:tcPr>
            <w:tcW w:w="1843" w:type="dxa"/>
            <w:gridSpan w:val="2"/>
            <w:tcBorders>
              <w:top w:val="nil"/>
              <w:left w:val="nil"/>
              <w:bottom w:val="nil"/>
              <w:right w:val="nil"/>
            </w:tcBorders>
            <w:shd w:val="clear" w:color="auto" w:fill="auto"/>
            <w:vAlign w:val="center"/>
            <w:hideMark/>
          </w:tcPr>
          <w:p w14:paraId="4D8F7AB8" w14:textId="58D9D875" w:rsidR="00DA2780" w:rsidRPr="00B42097" w:rsidRDefault="00DA2780" w:rsidP="00DA2780">
            <w:pPr>
              <w:spacing w:line="240" w:lineRule="auto"/>
              <w:jc w:val="center"/>
              <w:rPr>
                <w:color w:val="000000"/>
                <w:sz w:val="20"/>
                <w:szCs w:val="20"/>
              </w:rPr>
            </w:pPr>
            <w:r w:rsidRPr="00B42097">
              <w:rPr>
                <w:color w:val="000000"/>
                <w:sz w:val="20"/>
                <w:szCs w:val="20"/>
              </w:rPr>
              <w:t>1.81 (1.19)</w:t>
            </w:r>
          </w:p>
        </w:tc>
      </w:tr>
      <w:tr w:rsidR="00DA2780" w:rsidRPr="00B42097" w14:paraId="64EE79D5" w14:textId="77777777" w:rsidTr="00E94275">
        <w:trPr>
          <w:trHeight w:val="630"/>
        </w:trPr>
        <w:tc>
          <w:tcPr>
            <w:tcW w:w="1134" w:type="dxa"/>
            <w:tcBorders>
              <w:top w:val="nil"/>
              <w:left w:val="nil"/>
              <w:bottom w:val="nil"/>
              <w:right w:val="nil"/>
            </w:tcBorders>
            <w:shd w:val="clear" w:color="auto" w:fill="auto"/>
            <w:vAlign w:val="center"/>
            <w:hideMark/>
          </w:tcPr>
          <w:p w14:paraId="4F7209F2" w14:textId="77777777" w:rsidR="00DA2780" w:rsidRPr="00B42097" w:rsidRDefault="00DA2780" w:rsidP="00DA2780">
            <w:pPr>
              <w:spacing w:line="240" w:lineRule="auto"/>
              <w:jc w:val="right"/>
              <w:rPr>
                <w:color w:val="000000"/>
                <w:sz w:val="20"/>
                <w:szCs w:val="20"/>
              </w:rPr>
            </w:pPr>
            <w:r w:rsidRPr="00B42097">
              <w:rPr>
                <w:color w:val="000000"/>
                <w:sz w:val="20"/>
                <w:szCs w:val="20"/>
              </w:rPr>
              <w:t>5</w:t>
            </w:r>
            <w:r w:rsidRPr="00B42097">
              <w:rPr>
                <w:sz w:val="20"/>
                <w:szCs w:val="20"/>
              </w:rPr>
              <w:t>°</w:t>
            </w:r>
          </w:p>
        </w:tc>
        <w:tc>
          <w:tcPr>
            <w:tcW w:w="2268" w:type="dxa"/>
            <w:tcBorders>
              <w:top w:val="nil"/>
              <w:left w:val="nil"/>
              <w:bottom w:val="nil"/>
              <w:right w:val="nil"/>
            </w:tcBorders>
            <w:shd w:val="clear" w:color="auto" w:fill="auto"/>
            <w:vAlign w:val="center"/>
            <w:hideMark/>
          </w:tcPr>
          <w:p w14:paraId="64F47628" w14:textId="77777777" w:rsidR="00DA2780" w:rsidRPr="00B42097" w:rsidRDefault="00DA2780" w:rsidP="00DA2780">
            <w:pPr>
              <w:spacing w:line="240" w:lineRule="auto"/>
              <w:jc w:val="center"/>
              <w:rPr>
                <w:color w:val="000000"/>
                <w:sz w:val="20"/>
                <w:szCs w:val="20"/>
              </w:rPr>
            </w:pPr>
            <w:r w:rsidRPr="00B42097">
              <w:rPr>
                <w:color w:val="000000"/>
                <w:sz w:val="20"/>
                <w:szCs w:val="20"/>
              </w:rPr>
              <w:t>-5.49 (2.53)</w:t>
            </w:r>
          </w:p>
        </w:tc>
        <w:tc>
          <w:tcPr>
            <w:tcW w:w="1701" w:type="dxa"/>
            <w:gridSpan w:val="2"/>
            <w:tcBorders>
              <w:top w:val="nil"/>
              <w:left w:val="nil"/>
              <w:bottom w:val="nil"/>
              <w:right w:val="nil"/>
            </w:tcBorders>
            <w:shd w:val="clear" w:color="auto" w:fill="auto"/>
            <w:vAlign w:val="center"/>
            <w:hideMark/>
          </w:tcPr>
          <w:p w14:paraId="1165D64B" w14:textId="3851E655" w:rsidR="00DA2780" w:rsidRPr="00B42097" w:rsidRDefault="00DA2780" w:rsidP="00DA2780">
            <w:pPr>
              <w:spacing w:line="240" w:lineRule="auto"/>
              <w:jc w:val="center"/>
              <w:rPr>
                <w:color w:val="000000"/>
                <w:sz w:val="20"/>
                <w:szCs w:val="20"/>
              </w:rPr>
            </w:pPr>
            <w:r w:rsidRPr="00B42097">
              <w:rPr>
                <w:color w:val="000000"/>
                <w:sz w:val="20"/>
                <w:szCs w:val="20"/>
              </w:rPr>
              <w:t>2.50 (1.54)</w:t>
            </w:r>
          </w:p>
        </w:tc>
        <w:tc>
          <w:tcPr>
            <w:tcW w:w="2410" w:type="dxa"/>
            <w:gridSpan w:val="2"/>
            <w:tcBorders>
              <w:top w:val="nil"/>
              <w:left w:val="nil"/>
              <w:bottom w:val="nil"/>
              <w:right w:val="nil"/>
            </w:tcBorders>
            <w:shd w:val="clear" w:color="auto" w:fill="auto"/>
            <w:vAlign w:val="center"/>
            <w:hideMark/>
          </w:tcPr>
          <w:p w14:paraId="0ADAB518" w14:textId="77777777" w:rsidR="00DA2780" w:rsidRPr="00B42097" w:rsidRDefault="00DA2780" w:rsidP="00DA2780">
            <w:pPr>
              <w:spacing w:line="240" w:lineRule="auto"/>
              <w:jc w:val="center"/>
              <w:rPr>
                <w:color w:val="000000"/>
                <w:sz w:val="20"/>
                <w:szCs w:val="20"/>
              </w:rPr>
            </w:pPr>
            <w:r w:rsidRPr="00B42097">
              <w:rPr>
                <w:color w:val="000000"/>
                <w:sz w:val="20"/>
                <w:szCs w:val="20"/>
              </w:rPr>
              <w:t>-9.94 (1.63)</w:t>
            </w:r>
          </w:p>
        </w:tc>
        <w:tc>
          <w:tcPr>
            <w:tcW w:w="1843" w:type="dxa"/>
            <w:gridSpan w:val="2"/>
            <w:tcBorders>
              <w:top w:val="nil"/>
              <w:left w:val="nil"/>
              <w:bottom w:val="nil"/>
              <w:right w:val="nil"/>
            </w:tcBorders>
            <w:shd w:val="clear" w:color="auto" w:fill="auto"/>
            <w:vAlign w:val="center"/>
            <w:hideMark/>
          </w:tcPr>
          <w:p w14:paraId="036215E4" w14:textId="38FE1EF3" w:rsidR="00DA2780" w:rsidRPr="00B42097" w:rsidRDefault="00DA2780" w:rsidP="00DA2780">
            <w:pPr>
              <w:spacing w:line="240" w:lineRule="auto"/>
              <w:jc w:val="center"/>
              <w:rPr>
                <w:color w:val="000000"/>
                <w:sz w:val="20"/>
                <w:szCs w:val="20"/>
              </w:rPr>
            </w:pPr>
            <w:r w:rsidRPr="00B42097">
              <w:rPr>
                <w:color w:val="000000"/>
                <w:sz w:val="20"/>
                <w:szCs w:val="20"/>
              </w:rPr>
              <w:t>1.99 (0.70)</w:t>
            </w:r>
          </w:p>
        </w:tc>
      </w:tr>
      <w:tr w:rsidR="00DA2780" w:rsidRPr="00B42097" w14:paraId="01280BAB" w14:textId="77777777" w:rsidTr="00E94275">
        <w:trPr>
          <w:trHeight w:val="630"/>
        </w:trPr>
        <w:tc>
          <w:tcPr>
            <w:tcW w:w="1134" w:type="dxa"/>
            <w:tcBorders>
              <w:top w:val="nil"/>
              <w:left w:val="nil"/>
              <w:bottom w:val="nil"/>
              <w:right w:val="nil"/>
            </w:tcBorders>
            <w:shd w:val="clear" w:color="auto" w:fill="auto"/>
            <w:vAlign w:val="center"/>
            <w:hideMark/>
          </w:tcPr>
          <w:p w14:paraId="2BC4CE73" w14:textId="77777777" w:rsidR="00DA2780" w:rsidRPr="00B42097" w:rsidRDefault="00DA2780" w:rsidP="00DA2780">
            <w:pPr>
              <w:spacing w:line="240" w:lineRule="auto"/>
              <w:jc w:val="right"/>
              <w:rPr>
                <w:color w:val="000000"/>
                <w:sz w:val="20"/>
                <w:szCs w:val="20"/>
              </w:rPr>
            </w:pPr>
            <w:r w:rsidRPr="00B42097">
              <w:rPr>
                <w:color w:val="000000"/>
                <w:sz w:val="20"/>
                <w:szCs w:val="20"/>
              </w:rPr>
              <w:t>15</w:t>
            </w:r>
            <w:r w:rsidRPr="00B42097">
              <w:rPr>
                <w:sz w:val="20"/>
                <w:szCs w:val="20"/>
              </w:rPr>
              <w:t>°</w:t>
            </w:r>
          </w:p>
        </w:tc>
        <w:tc>
          <w:tcPr>
            <w:tcW w:w="2268" w:type="dxa"/>
            <w:tcBorders>
              <w:top w:val="nil"/>
              <w:left w:val="nil"/>
              <w:bottom w:val="nil"/>
              <w:right w:val="nil"/>
            </w:tcBorders>
            <w:shd w:val="clear" w:color="auto" w:fill="auto"/>
            <w:vAlign w:val="center"/>
            <w:hideMark/>
          </w:tcPr>
          <w:p w14:paraId="3830E519" w14:textId="77777777" w:rsidR="00DA2780" w:rsidRPr="00B42097" w:rsidRDefault="00DA2780" w:rsidP="00DA2780">
            <w:pPr>
              <w:spacing w:line="240" w:lineRule="auto"/>
              <w:jc w:val="center"/>
              <w:rPr>
                <w:color w:val="000000"/>
                <w:sz w:val="20"/>
                <w:szCs w:val="20"/>
              </w:rPr>
            </w:pPr>
            <w:r w:rsidRPr="00B42097">
              <w:rPr>
                <w:color w:val="000000"/>
                <w:sz w:val="20"/>
                <w:szCs w:val="20"/>
              </w:rPr>
              <w:t>-3.73 (2.05)</w:t>
            </w:r>
          </w:p>
        </w:tc>
        <w:tc>
          <w:tcPr>
            <w:tcW w:w="1701" w:type="dxa"/>
            <w:gridSpan w:val="2"/>
            <w:tcBorders>
              <w:top w:val="nil"/>
              <w:left w:val="nil"/>
              <w:bottom w:val="nil"/>
              <w:right w:val="nil"/>
            </w:tcBorders>
            <w:shd w:val="clear" w:color="auto" w:fill="auto"/>
            <w:vAlign w:val="center"/>
            <w:hideMark/>
          </w:tcPr>
          <w:p w14:paraId="46D1C952" w14:textId="07F6227A" w:rsidR="00DA2780" w:rsidRPr="00B42097" w:rsidRDefault="00DA2780" w:rsidP="00DA2780">
            <w:pPr>
              <w:spacing w:line="240" w:lineRule="auto"/>
              <w:jc w:val="center"/>
              <w:rPr>
                <w:color w:val="000000"/>
                <w:sz w:val="20"/>
                <w:szCs w:val="20"/>
              </w:rPr>
            </w:pPr>
            <w:r w:rsidRPr="00B42097">
              <w:rPr>
                <w:color w:val="000000"/>
                <w:sz w:val="20"/>
                <w:szCs w:val="20"/>
              </w:rPr>
              <w:t>1.76 (1.31)</w:t>
            </w:r>
          </w:p>
        </w:tc>
        <w:tc>
          <w:tcPr>
            <w:tcW w:w="2410" w:type="dxa"/>
            <w:gridSpan w:val="2"/>
            <w:tcBorders>
              <w:top w:val="nil"/>
              <w:left w:val="nil"/>
              <w:bottom w:val="nil"/>
              <w:right w:val="nil"/>
            </w:tcBorders>
            <w:shd w:val="clear" w:color="auto" w:fill="auto"/>
            <w:vAlign w:val="center"/>
            <w:hideMark/>
          </w:tcPr>
          <w:p w14:paraId="79253570" w14:textId="77777777" w:rsidR="00DA2780" w:rsidRPr="00B42097" w:rsidRDefault="00DA2780" w:rsidP="00DA2780">
            <w:pPr>
              <w:spacing w:line="240" w:lineRule="auto"/>
              <w:jc w:val="center"/>
              <w:rPr>
                <w:color w:val="000000"/>
                <w:sz w:val="20"/>
                <w:szCs w:val="20"/>
              </w:rPr>
            </w:pPr>
            <w:r w:rsidRPr="00B42097">
              <w:rPr>
                <w:color w:val="000000"/>
                <w:sz w:val="20"/>
                <w:szCs w:val="20"/>
              </w:rPr>
              <w:t>-5.99 (2.96)</w:t>
            </w:r>
          </w:p>
        </w:tc>
        <w:tc>
          <w:tcPr>
            <w:tcW w:w="1843" w:type="dxa"/>
            <w:gridSpan w:val="2"/>
            <w:tcBorders>
              <w:top w:val="nil"/>
              <w:left w:val="nil"/>
              <w:bottom w:val="nil"/>
              <w:right w:val="nil"/>
            </w:tcBorders>
            <w:shd w:val="clear" w:color="auto" w:fill="auto"/>
            <w:vAlign w:val="center"/>
            <w:hideMark/>
          </w:tcPr>
          <w:p w14:paraId="2380040C" w14:textId="08955FC4" w:rsidR="00DA2780" w:rsidRPr="00B42097" w:rsidRDefault="00DA2780" w:rsidP="00DA2780">
            <w:pPr>
              <w:spacing w:line="240" w:lineRule="auto"/>
              <w:jc w:val="center"/>
              <w:rPr>
                <w:color w:val="000000"/>
                <w:sz w:val="20"/>
                <w:szCs w:val="20"/>
              </w:rPr>
            </w:pPr>
            <w:r w:rsidRPr="00B42097">
              <w:rPr>
                <w:color w:val="000000"/>
                <w:sz w:val="20"/>
                <w:szCs w:val="20"/>
              </w:rPr>
              <w:t>1.57 (0.72)</w:t>
            </w:r>
          </w:p>
        </w:tc>
      </w:tr>
      <w:tr w:rsidR="00DA2780" w:rsidRPr="00B42097" w14:paraId="5800F8B0" w14:textId="77777777" w:rsidTr="00E94275">
        <w:trPr>
          <w:trHeight w:val="630"/>
        </w:trPr>
        <w:tc>
          <w:tcPr>
            <w:tcW w:w="1134" w:type="dxa"/>
            <w:tcBorders>
              <w:top w:val="nil"/>
              <w:left w:val="nil"/>
              <w:bottom w:val="nil"/>
              <w:right w:val="nil"/>
            </w:tcBorders>
            <w:shd w:val="clear" w:color="auto" w:fill="auto"/>
            <w:vAlign w:val="center"/>
            <w:hideMark/>
          </w:tcPr>
          <w:p w14:paraId="78544149" w14:textId="77777777" w:rsidR="00DA2780" w:rsidRPr="00B42097" w:rsidRDefault="00DA2780" w:rsidP="00DA2780">
            <w:pPr>
              <w:spacing w:line="240" w:lineRule="auto"/>
              <w:jc w:val="right"/>
              <w:rPr>
                <w:color w:val="000000"/>
                <w:sz w:val="20"/>
                <w:szCs w:val="20"/>
              </w:rPr>
            </w:pPr>
            <w:r w:rsidRPr="00B42097">
              <w:rPr>
                <w:color w:val="000000"/>
                <w:sz w:val="20"/>
                <w:szCs w:val="20"/>
              </w:rPr>
              <w:t>45</w:t>
            </w:r>
            <w:r w:rsidRPr="00B42097">
              <w:rPr>
                <w:sz w:val="20"/>
                <w:szCs w:val="20"/>
              </w:rPr>
              <w:t>°</w:t>
            </w:r>
          </w:p>
        </w:tc>
        <w:tc>
          <w:tcPr>
            <w:tcW w:w="2268" w:type="dxa"/>
            <w:tcBorders>
              <w:top w:val="nil"/>
              <w:left w:val="nil"/>
              <w:bottom w:val="nil"/>
              <w:right w:val="nil"/>
            </w:tcBorders>
            <w:shd w:val="clear" w:color="auto" w:fill="auto"/>
            <w:vAlign w:val="center"/>
            <w:hideMark/>
          </w:tcPr>
          <w:p w14:paraId="53598721" w14:textId="77777777" w:rsidR="00DA2780" w:rsidRPr="00B42097" w:rsidRDefault="00DA2780" w:rsidP="00DA2780">
            <w:pPr>
              <w:spacing w:line="240" w:lineRule="auto"/>
              <w:jc w:val="center"/>
              <w:rPr>
                <w:color w:val="000000"/>
                <w:sz w:val="20"/>
                <w:szCs w:val="20"/>
              </w:rPr>
            </w:pPr>
            <w:r w:rsidRPr="00B42097">
              <w:rPr>
                <w:color w:val="000000"/>
                <w:sz w:val="20"/>
                <w:szCs w:val="20"/>
              </w:rPr>
              <w:t>-1.02 (2.84)</w:t>
            </w:r>
          </w:p>
        </w:tc>
        <w:tc>
          <w:tcPr>
            <w:tcW w:w="1701" w:type="dxa"/>
            <w:gridSpan w:val="2"/>
            <w:tcBorders>
              <w:top w:val="nil"/>
              <w:left w:val="nil"/>
              <w:bottom w:val="nil"/>
              <w:right w:val="nil"/>
            </w:tcBorders>
            <w:shd w:val="clear" w:color="auto" w:fill="auto"/>
            <w:vAlign w:val="center"/>
            <w:hideMark/>
          </w:tcPr>
          <w:p w14:paraId="2CA1DAE0" w14:textId="65879394" w:rsidR="00DA2780" w:rsidRPr="00B42097" w:rsidRDefault="00DA2780" w:rsidP="00DA2780">
            <w:pPr>
              <w:spacing w:line="240" w:lineRule="auto"/>
              <w:jc w:val="center"/>
              <w:rPr>
                <w:color w:val="000000"/>
                <w:sz w:val="20"/>
                <w:szCs w:val="20"/>
              </w:rPr>
            </w:pPr>
            <w:r w:rsidRPr="00B42097">
              <w:rPr>
                <w:color w:val="000000"/>
                <w:sz w:val="20"/>
                <w:szCs w:val="20"/>
              </w:rPr>
              <w:t>1.55 (2.09)</w:t>
            </w:r>
          </w:p>
        </w:tc>
        <w:tc>
          <w:tcPr>
            <w:tcW w:w="2410" w:type="dxa"/>
            <w:gridSpan w:val="2"/>
            <w:tcBorders>
              <w:top w:val="nil"/>
              <w:left w:val="nil"/>
              <w:bottom w:val="nil"/>
              <w:right w:val="nil"/>
            </w:tcBorders>
            <w:shd w:val="clear" w:color="auto" w:fill="auto"/>
            <w:vAlign w:val="center"/>
            <w:hideMark/>
          </w:tcPr>
          <w:p w14:paraId="58568DB4" w14:textId="77777777" w:rsidR="00DA2780" w:rsidRPr="00B42097" w:rsidRDefault="00DA2780" w:rsidP="00DA2780">
            <w:pPr>
              <w:spacing w:line="240" w:lineRule="auto"/>
              <w:jc w:val="center"/>
              <w:rPr>
                <w:color w:val="000000"/>
                <w:sz w:val="20"/>
                <w:szCs w:val="20"/>
              </w:rPr>
            </w:pPr>
            <w:r w:rsidRPr="00B42097">
              <w:rPr>
                <w:color w:val="000000"/>
                <w:sz w:val="20"/>
                <w:szCs w:val="20"/>
              </w:rPr>
              <w:t>1.14 (3.1)</w:t>
            </w:r>
          </w:p>
        </w:tc>
        <w:tc>
          <w:tcPr>
            <w:tcW w:w="1843" w:type="dxa"/>
            <w:gridSpan w:val="2"/>
            <w:tcBorders>
              <w:top w:val="nil"/>
              <w:left w:val="nil"/>
              <w:bottom w:val="nil"/>
              <w:right w:val="nil"/>
            </w:tcBorders>
            <w:shd w:val="clear" w:color="auto" w:fill="auto"/>
            <w:vAlign w:val="center"/>
            <w:hideMark/>
          </w:tcPr>
          <w:p w14:paraId="0B87136D" w14:textId="1D358982" w:rsidR="00DA2780" w:rsidRPr="00B42097" w:rsidRDefault="00DA2780" w:rsidP="00DA2780">
            <w:pPr>
              <w:spacing w:line="240" w:lineRule="auto"/>
              <w:jc w:val="center"/>
              <w:rPr>
                <w:color w:val="000000"/>
                <w:sz w:val="20"/>
                <w:szCs w:val="20"/>
              </w:rPr>
            </w:pPr>
            <w:r w:rsidRPr="00B42097">
              <w:rPr>
                <w:color w:val="000000"/>
                <w:sz w:val="20"/>
                <w:szCs w:val="20"/>
              </w:rPr>
              <w:t>0.98 (0.64)</w:t>
            </w:r>
          </w:p>
        </w:tc>
      </w:tr>
      <w:tr w:rsidR="00DA2780" w:rsidRPr="00B42097" w14:paraId="2F2B3BDD" w14:textId="77777777" w:rsidTr="00E94275">
        <w:trPr>
          <w:trHeight w:val="645"/>
        </w:trPr>
        <w:tc>
          <w:tcPr>
            <w:tcW w:w="1134" w:type="dxa"/>
            <w:tcBorders>
              <w:top w:val="nil"/>
              <w:left w:val="nil"/>
              <w:bottom w:val="single" w:sz="12" w:space="0" w:color="000000"/>
              <w:right w:val="nil"/>
            </w:tcBorders>
            <w:shd w:val="clear" w:color="auto" w:fill="auto"/>
            <w:vAlign w:val="center"/>
            <w:hideMark/>
          </w:tcPr>
          <w:p w14:paraId="38516BB4" w14:textId="77777777" w:rsidR="00DA2780" w:rsidRPr="00B42097" w:rsidRDefault="00DA2780" w:rsidP="00DA2780">
            <w:pPr>
              <w:spacing w:line="240" w:lineRule="auto"/>
              <w:jc w:val="right"/>
              <w:rPr>
                <w:color w:val="000000"/>
                <w:sz w:val="20"/>
                <w:szCs w:val="20"/>
              </w:rPr>
            </w:pPr>
            <w:r w:rsidRPr="00B42097">
              <w:rPr>
                <w:color w:val="000000"/>
                <w:sz w:val="20"/>
                <w:szCs w:val="20"/>
              </w:rPr>
              <w:t>135</w:t>
            </w:r>
            <w:r w:rsidRPr="00B42097">
              <w:rPr>
                <w:sz w:val="20"/>
                <w:szCs w:val="20"/>
              </w:rPr>
              <w:t>°</w:t>
            </w:r>
          </w:p>
        </w:tc>
        <w:tc>
          <w:tcPr>
            <w:tcW w:w="2268" w:type="dxa"/>
            <w:tcBorders>
              <w:top w:val="nil"/>
              <w:left w:val="nil"/>
              <w:bottom w:val="single" w:sz="12" w:space="0" w:color="auto"/>
              <w:right w:val="nil"/>
            </w:tcBorders>
            <w:shd w:val="clear" w:color="auto" w:fill="auto"/>
            <w:vAlign w:val="center"/>
            <w:hideMark/>
          </w:tcPr>
          <w:p w14:paraId="269DA438" w14:textId="77777777" w:rsidR="00DA2780" w:rsidRPr="00B42097" w:rsidRDefault="00DA2780" w:rsidP="00DA2780">
            <w:pPr>
              <w:spacing w:line="240" w:lineRule="auto"/>
              <w:jc w:val="center"/>
              <w:rPr>
                <w:color w:val="000000"/>
                <w:sz w:val="20"/>
                <w:szCs w:val="20"/>
              </w:rPr>
            </w:pPr>
            <w:r w:rsidRPr="00B42097">
              <w:rPr>
                <w:color w:val="000000"/>
                <w:sz w:val="20"/>
                <w:szCs w:val="20"/>
              </w:rPr>
              <w:t>3.01 (2.03)</w:t>
            </w:r>
          </w:p>
        </w:tc>
        <w:tc>
          <w:tcPr>
            <w:tcW w:w="1701" w:type="dxa"/>
            <w:gridSpan w:val="2"/>
            <w:tcBorders>
              <w:top w:val="nil"/>
              <w:left w:val="nil"/>
              <w:bottom w:val="single" w:sz="12" w:space="0" w:color="auto"/>
              <w:right w:val="nil"/>
            </w:tcBorders>
            <w:shd w:val="clear" w:color="auto" w:fill="auto"/>
            <w:vAlign w:val="center"/>
            <w:hideMark/>
          </w:tcPr>
          <w:p w14:paraId="08B1CB4B" w14:textId="29E8F38E" w:rsidR="00DA2780" w:rsidRPr="00B42097" w:rsidRDefault="00DA2780" w:rsidP="00DA2780">
            <w:pPr>
              <w:spacing w:line="240" w:lineRule="auto"/>
              <w:jc w:val="center"/>
              <w:rPr>
                <w:color w:val="000000"/>
                <w:sz w:val="20"/>
                <w:szCs w:val="20"/>
              </w:rPr>
            </w:pPr>
            <w:r w:rsidRPr="00B42097">
              <w:rPr>
                <w:color w:val="000000"/>
                <w:sz w:val="20"/>
                <w:szCs w:val="20"/>
              </w:rPr>
              <w:t>1.66 (0.97)</w:t>
            </w:r>
          </w:p>
        </w:tc>
        <w:tc>
          <w:tcPr>
            <w:tcW w:w="2410" w:type="dxa"/>
            <w:gridSpan w:val="2"/>
            <w:tcBorders>
              <w:top w:val="nil"/>
              <w:left w:val="nil"/>
              <w:bottom w:val="single" w:sz="12" w:space="0" w:color="000000"/>
              <w:right w:val="nil"/>
            </w:tcBorders>
            <w:shd w:val="clear" w:color="auto" w:fill="auto"/>
            <w:vAlign w:val="center"/>
            <w:hideMark/>
          </w:tcPr>
          <w:p w14:paraId="27D0B2A5" w14:textId="77777777" w:rsidR="00DA2780" w:rsidRPr="00B42097" w:rsidRDefault="00DA2780" w:rsidP="00DA2780">
            <w:pPr>
              <w:spacing w:line="240" w:lineRule="auto"/>
              <w:jc w:val="center"/>
              <w:rPr>
                <w:color w:val="000000"/>
                <w:sz w:val="20"/>
                <w:szCs w:val="20"/>
              </w:rPr>
            </w:pPr>
            <w:r w:rsidRPr="00B42097">
              <w:rPr>
                <w:color w:val="000000"/>
                <w:sz w:val="20"/>
                <w:szCs w:val="20"/>
              </w:rPr>
              <w:t>4.91 (1.68)</w:t>
            </w:r>
          </w:p>
        </w:tc>
        <w:tc>
          <w:tcPr>
            <w:tcW w:w="1843" w:type="dxa"/>
            <w:gridSpan w:val="2"/>
            <w:tcBorders>
              <w:top w:val="nil"/>
              <w:left w:val="nil"/>
              <w:bottom w:val="single" w:sz="12" w:space="0" w:color="auto"/>
              <w:right w:val="nil"/>
            </w:tcBorders>
            <w:shd w:val="clear" w:color="auto" w:fill="auto"/>
            <w:vAlign w:val="center"/>
            <w:hideMark/>
          </w:tcPr>
          <w:p w14:paraId="0C6238D7" w14:textId="3466F56C" w:rsidR="00DA2780" w:rsidRPr="00B42097" w:rsidRDefault="00DA2780" w:rsidP="00DA2780">
            <w:pPr>
              <w:spacing w:line="240" w:lineRule="auto"/>
              <w:jc w:val="center"/>
              <w:rPr>
                <w:color w:val="000000"/>
                <w:sz w:val="20"/>
                <w:szCs w:val="20"/>
              </w:rPr>
            </w:pPr>
            <w:r w:rsidRPr="00B42097">
              <w:rPr>
                <w:color w:val="000000"/>
                <w:sz w:val="20"/>
                <w:szCs w:val="20"/>
              </w:rPr>
              <w:t>1.81 (1.29)</w:t>
            </w:r>
          </w:p>
        </w:tc>
      </w:tr>
    </w:tbl>
    <w:p w14:paraId="27D614C0" w14:textId="77777777" w:rsidR="004F1C52" w:rsidRPr="00B42097" w:rsidRDefault="004F1C52" w:rsidP="00661B9E">
      <w:pPr>
        <w:pStyle w:val="BodyText"/>
      </w:pPr>
    </w:p>
    <w:p w14:paraId="768BF524" w14:textId="09F9DCB9" w:rsidR="001405C6" w:rsidRPr="00B42097" w:rsidRDefault="001405C6" w:rsidP="001405C6">
      <w:pPr>
        <w:pStyle w:val="Heading2"/>
      </w:pPr>
      <w:r w:rsidRPr="00B42097">
        <w:t>Spatial Precision Thresholds and View Rotation</w:t>
      </w:r>
    </w:p>
    <w:p w14:paraId="72484EAD" w14:textId="77777777" w:rsidR="001405C6" w:rsidRPr="00B42097" w:rsidRDefault="001405C6" w:rsidP="001405C6">
      <w:pPr>
        <w:pStyle w:val="Heading3"/>
      </w:pPr>
      <w:r w:rsidRPr="00B42097">
        <w:t>Differences between conditions</w:t>
      </w:r>
    </w:p>
    <w:p w14:paraId="7DD4BA18" w14:textId="0B805FD2" w:rsidR="001D34D1" w:rsidRPr="00B42097" w:rsidRDefault="001405C6">
      <w:pPr>
        <w:pStyle w:val="BodyText"/>
      </w:pPr>
      <w:r w:rsidRPr="00B42097">
        <w:t>We predicted that</w:t>
      </w:r>
      <w:r w:rsidR="00984A04" w:rsidRPr="00B42097">
        <w:t>, across participants,</w:t>
      </w:r>
      <w:r w:rsidRPr="00B42097">
        <w:t xml:space="preserve"> thresholds w</w:t>
      </w:r>
      <w:r w:rsidR="003E4158" w:rsidRPr="00B42097">
        <w:t>ould</w:t>
      </w:r>
      <w:r w:rsidRPr="00B42097">
        <w:t xml:space="preserve"> a) depend on the degree of view rotation and b) w</w:t>
      </w:r>
      <w:r w:rsidR="003E4158" w:rsidRPr="00B42097">
        <w:t>ould</w:t>
      </w:r>
      <w:r w:rsidRPr="00B42097">
        <w:t xml:space="preserve"> be higher for larger view rotations (greater distortion required to correctly detect moved object). </w:t>
      </w:r>
      <w:r w:rsidR="00984A04" w:rsidRPr="00B42097">
        <w:t>In line with these predictions, i</w:t>
      </w:r>
      <w:r w:rsidRPr="00B42097">
        <w:t xml:space="preserve">n both experiments, </w:t>
      </w:r>
      <w:r w:rsidR="00984A04" w:rsidRPr="00B42097">
        <w:t xml:space="preserve">the average threshold </w:t>
      </w:r>
      <w:r w:rsidRPr="00B42097">
        <w:t>showed a monotonic increase in precision thresholds (poorer performance) as viewpoint increased</w:t>
      </w:r>
      <w:r w:rsidR="00984A04" w:rsidRPr="00B42097">
        <w:t xml:space="preserve"> as seen in Figure </w:t>
      </w:r>
      <w:r w:rsidR="00630842" w:rsidRPr="00B42097">
        <w:t>2.</w:t>
      </w:r>
      <w:r w:rsidR="006903E1" w:rsidRPr="00B42097">
        <w:rPr>
          <w:bdr w:val="none" w:sz="0" w:space="0" w:color="auto" w:frame="1"/>
        </w:rPr>
        <w:t xml:space="preserve"> </w:t>
      </w:r>
      <w:r w:rsidR="00065416">
        <w:rPr>
          <w:bdr w:val="none" w:sz="0" w:space="0" w:color="auto" w:frame="1"/>
        </w:rPr>
        <w:t xml:space="preserve">This pattern was </w:t>
      </w:r>
      <w:r w:rsidR="009C4747">
        <w:rPr>
          <w:bdr w:val="none" w:sz="0" w:space="0" w:color="auto" w:frame="1"/>
        </w:rPr>
        <w:t>also seen</w:t>
      </w:r>
      <w:r w:rsidR="00065416">
        <w:rPr>
          <w:bdr w:val="none" w:sz="0" w:space="0" w:color="auto" w:frame="1"/>
        </w:rPr>
        <w:t xml:space="preserve"> when analysing the results from Experiment 1 as d’ statistics (see supplementary material) indicating no </w:t>
      </w:r>
      <w:r w:rsidR="009C4747">
        <w:rPr>
          <w:bdr w:val="none" w:sz="0" w:space="0" w:color="auto" w:frame="1"/>
        </w:rPr>
        <w:t>evidence of r</w:t>
      </w:r>
      <w:r w:rsidR="00065416">
        <w:rPr>
          <w:bdr w:val="none" w:sz="0" w:space="0" w:color="auto" w:frame="1"/>
        </w:rPr>
        <w:t xml:space="preserve">esponse </w:t>
      </w:r>
      <w:proofErr w:type="gramStart"/>
      <w:r w:rsidR="00065416">
        <w:rPr>
          <w:bdr w:val="none" w:sz="0" w:space="0" w:color="auto" w:frame="1"/>
        </w:rPr>
        <w:t>bias .</w:t>
      </w:r>
      <w:proofErr w:type="gramEnd"/>
      <w:r w:rsidR="0032289B">
        <w:t xml:space="preserve"> </w:t>
      </w:r>
      <w:r w:rsidR="003F16DA" w:rsidRPr="00B42097">
        <w:t xml:space="preserve">Separate repeated measures ANOVA for each experiment showed a significant effect of viewpoint </w:t>
      </w:r>
      <w:r w:rsidR="0032289B">
        <w:t xml:space="preserve">on thresholds </w:t>
      </w:r>
      <w:r w:rsidR="003F16DA" w:rsidRPr="00B42097">
        <w:t>in both experiments (</w:t>
      </w:r>
      <w:r w:rsidR="00A1069C" w:rsidRPr="00B42097">
        <w:t>E</w:t>
      </w:r>
      <w:r w:rsidR="003F16DA" w:rsidRPr="00B42097">
        <w:t>xperiment</w:t>
      </w:r>
      <w:r w:rsidR="00A1069C" w:rsidRPr="00B42097">
        <w:t xml:space="preserve"> </w:t>
      </w:r>
      <w:r w:rsidR="003F16DA" w:rsidRPr="00B42097">
        <w:t>1 [</w:t>
      </w:r>
      <w:proofErr w:type="gramStart"/>
      <w:r w:rsidR="003F16DA" w:rsidRPr="00B42097">
        <w:t xml:space="preserve">F( </w:t>
      </w:r>
      <w:r w:rsidR="00A1069C" w:rsidRPr="00B42097">
        <w:t>4</w:t>
      </w:r>
      <w:proofErr w:type="gramEnd"/>
      <w:r w:rsidR="003F16DA" w:rsidRPr="00B42097">
        <w:t xml:space="preserve">,36 ) = 102.30 , p&lt;0.001], </w:t>
      </w:r>
      <w:r w:rsidR="00607936" w:rsidRPr="00B42097">
        <w:t>Experiment 2</w:t>
      </w:r>
      <w:r w:rsidR="003F16DA" w:rsidRPr="00B42097">
        <w:t xml:space="preserve"> [F( </w:t>
      </w:r>
      <w:r w:rsidR="00A1069C" w:rsidRPr="00B42097">
        <w:t>4</w:t>
      </w:r>
      <w:r w:rsidR="003F16DA" w:rsidRPr="00B42097">
        <w:t>,36 ) = 43.</w:t>
      </w:r>
      <w:r w:rsidR="00C04694" w:rsidRPr="00B42097">
        <w:t xml:space="preserve"> </w:t>
      </w:r>
      <w:proofErr w:type="gramStart"/>
      <w:r w:rsidR="003F16DA" w:rsidRPr="00B42097">
        <w:t>55 ,</w:t>
      </w:r>
      <w:proofErr w:type="gramEnd"/>
      <w:r w:rsidR="003F16DA" w:rsidRPr="00B42097">
        <w:t xml:space="preserve"> p&lt;0.001]). </w:t>
      </w:r>
    </w:p>
    <w:p w14:paraId="7B9BBDAC" w14:textId="7550D9A1" w:rsidR="006903E1" w:rsidRPr="00B42097" w:rsidRDefault="00757DBB" w:rsidP="006903E1">
      <w:r w:rsidRPr="00B42097">
        <w:rPr>
          <w:noProof/>
        </w:rPr>
        <w:lastRenderedPageBreak/>
        <w:drawing>
          <wp:inline distT="0" distB="0" distL="0" distR="0" wp14:anchorId="76047152" wp14:editId="14B4C0B0">
            <wp:extent cx="5724525" cy="1809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724525" cy="1809750"/>
                    </a:xfrm>
                    <a:prstGeom prst="rect">
                      <a:avLst/>
                    </a:prstGeom>
                    <a:noFill/>
                    <a:ln>
                      <a:noFill/>
                    </a:ln>
                  </pic:spPr>
                </pic:pic>
              </a:graphicData>
            </a:graphic>
          </wp:inline>
        </w:drawing>
      </w:r>
      <w:r w:rsidR="006903E1" w:rsidRPr="00B42097">
        <w:rPr>
          <w:bdr w:val="none" w:sz="0" w:space="0" w:color="auto" w:frame="1"/>
        </w:rPr>
        <w:fldChar w:fldCharType="begin"/>
      </w:r>
      <w:r w:rsidR="006903E1" w:rsidRPr="00B42097">
        <w:rPr>
          <w:bdr w:val="none" w:sz="0" w:space="0" w:color="auto" w:frame="1"/>
        </w:rPr>
        <w:instrText xml:space="preserve"> INCLUDEPICTURE "https://lh4.googleusercontent.com/A5h4JQAOWYuNW45LimCG8_jDXo0NOm-3Co3m_TWfiq9pEyDaXKuMz69mXhdtc0CAx1bnghwUEa3xMsTDKU7Y3387zfjUA_-LCpipmpisK9Wp5UiEwlsi16hcsCKe9qXxOk9keky0" \* MERGEFORMATINET </w:instrText>
      </w:r>
      <w:r w:rsidR="006903E1" w:rsidRPr="00B42097">
        <w:rPr>
          <w:bdr w:val="none" w:sz="0" w:space="0" w:color="auto" w:frame="1"/>
        </w:rPr>
        <w:fldChar w:fldCharType="end"/>
      </w:r>
      <w:r w:rsidR="006903E1" w:rsidRPr="00B42097">
        <w:rPr>
          <w:bdr w:val="none" w:sz="0" w:space="0" w:color="auto" w:frame="1"/>
        </w:rPr>
        <w:fldChar w:fldCharType="begin"/>
      </w:r>
      <w:r w:rsidR="006903E1" w:rsidRPr="00B42097">
        <w:rPr>
          <w:bdr w:val="none" w:sz="0" w:space="0" w:color="auto" w:frame="1"/>
        </w:rPr>
        <w:instrText xml:space="preserve"> INCLUDEPICTURE "https://lh5.googleusercontent.com/XM5_Y5Bbe_5w8kLbJzuw3Ii4ZmfCCVxvvj-myNpcqLDeUVxZEqr8YACRrFIhX4aK0IiLn0ckX3qVAMAYWwuqpQph6KvMfxpCzvZvQb-AGtJn-ef0MaWVVDSMww_QczfsI42AANP4" \* MERGEFORMATINET </w:instrText>
      </w:r>
      <w:r w:rsidR="006903E1" w:rsidRPr="00B42097">
        <w:rPr>
          <w:bdr w:val="none" w:sz="0" w:space="0" w:color="auto" w:frame="1"/>
        </w:rPr>
        <w:fldChar w:fldCharType="end"/>
      </w:r>
    </w:p>
    <w:p w14:paraId="3816A3BF" w14:textId="6C1D69AF" w:rsidR="00B2178A" w:rsidRPr="00B42097" w:rsidRDefault="00182055" w:rsidP="00442706">
      <w:pPr>
        <w:spacing w:line="240" w:lineRule="auto"/>
        <w:rPr>
          <w:rFonts w:eastAsiaTheme="majorEastAsia"/>
          <w:i/>
          <w:iCs/>
        </w:rPr>
      </w:pPr>
      <w:r w:rsidRPr="00B42097">
        <w:rPr>
          <w:rFonts w:eastAsiaTheme="majorEastAsia" w:cstheme="majorBidi"/>
          <w:i/>
          <w:iCs/>
          <w:sz w:val="18"/>
          <w:szCs w:val="18"/>
          <w:lang w:eastAsia="en-US" w:bidi="en-US"/>
        </w:rPr>
        <w:t>Figure 2 psychophysical sigmoid</w:t>
      </w:r>
      <w:r w:rsidRPr="00B42097">
        <w:rPr>
          <w:i/>
          <w:iCs/>
          <w:sz w:val="18"/>
          <w:szCs w:val="18"/>
        </w:rPr>
        <w:t xml:space="preserve"> curves</w:t>
      </w:r>
      <w:r w:rsidRPr="00B42097">
        <w:rPr>
          <w:rFonts w:eastAsiaTheme="majorEastAsia" w:cstheme="majorBidi"/>
          <w:i/>
          <w:iCs/>
          <w:sz w:val="18"/>
          <w:szCs w:val="18"/>
          <w:lang w:eastAsia="en-US" w:bidi="en-US"/>
        </w:rPr>
        <w:t xml:space="preserve"> for each view condition. Different viewpoint conditions are shown as with different coloured curves as shown in the legend. A. Representative data from a single participant (Experiment 1). Circle symbols indicate proportion correct at a specific staircase level corresponding to spatial distortion applied (in dB relative to 0.5m, black x-axis, bottom), with the size of each circle indicates the number of trials recorded at that level. Dotted lines show the estimated threshold level at 75% performance (with the corresponding spatial distortion in metres, red x-axis, top). B, Experiment 1, Same/Different task, group average sigmoid curves (created by averaging fitted threshold and slope values for each condition (see also Table 1). C. 2AFC task, group average sigmoid </w:t>
      </w:r>
      <w:r w:rsidR="00175F75" w:rsidRPr="00B42097">
        <w:rPr>
          <w:rFonts w:eastAsiaTheme="majorEastAsia" w:cstheme="majorBidi"/>
          <w:i/>
          <w:iCs/>
          <w:sz w:val="18"/>
          <w:szCs w:val="18"/>
          <w:lang w:eastAsia="en-US" w:bidi="en-US"/>
        </w:rPr>
        <w:t>curves.</w:t>
      </w:r>
    </w:p>
    <w:p w14:paraId="3FF3AB02" w14:textId="698C92E1" w:rsidR="001405C6" w:rsidRPr="00B42097" w:rsidRDefault="001405C6" w:rsidP="001405C6">
      <w:pPr>
        <w:pStyle w:val="Heading3"/>
      </w:pPr>
      <w:r w:rsidRPr="00B42097">
        <w:t>Comparing monotonic ordering to chance</w:t>
      </w:r>
    </w:p>
    <w:p w14:paraId="0FE78257" w14:textId="50EB45E3" w:rsidR="001405C6" w:rsidRPr="00B42097" w:rsidRDefault="00142211">
      <w:pPr>
        <w:pStyle w:val="BodyText"/>
      </w:pPr>
      <w:r w:rsidRPr="00B42097">
        <w:rPr>
          <w:shd w:val="clear" w:color="auto" w:fill="FFFFFF"/>
        </w:rPr>
        <w:t>Since we had anticipated that these effects would be monotonic but likely non-linear in nature</w:t>
      </w:r>
      <w:r w:rsidR="0032289B">
        <w:rPr>
          <w:shd w:val="clear" w:color="auto" w:fill="FFFFFF"/>
        </w:rPr>
        <w:t>,</w:t>
      </w:r>
      <w:r w:rsidRPr="00B42097">
        <w:rPr>
          <w:shd w:val="clear" w:color="auto" w:fill="FFFFFF"/>
        </w:rPr>
        <w:t xml:space="preserve"> we carried out a</w:t>
      </w:r>
      <w:r w:rsidR="001405C6" w:rsidRPr="00B42097">
        <w:rPr>
          <w:shd w:val="clear" w:color="auto" w:fill="FFFFFF"/>
        </w:rPr>
        <w:t>n additional</w:t>
      </w:r>
      <w:r w:rsidRPr="00B42097">
        <w:rPr>
          <w:shd w:val="clear" w:color="auto" w:fill="FFFFFF"/>
        </w:rPr>
        <w:t xml:space="preserve"> pre-planned</w:t>
      </w:r>
      <w:r w:rsidR="001405C6" w:rsidRPr="00B42097">
        <w:rPr>
          <w:shd w:val="clear" w:color="auto" w:fill="FFFFFF"/>
        </w:rPr>
        <w:t xml:space="preserve"> </w:t>
      </w:r>
      <w:r w:rsidR="00AE31CC" w:rsidRPr="00B42097">
        <w:rPr>
          <w:shd w:val="clear" w:color="auto" w:fill="FFFFFF"/>
        </w:rPr>
        <w:t>permutation-based</w:t>
      </w:r>
      <w:r w:rsidR="001405C6" w:rsidRPr="00B42097">
        <w:rPr>
          <w:shd w:val="clear" w:color="auto" w:fill="FFFFFF"/>
        </w:rPr>
        <w:t xml:space="preserve"> analysis</w:t>
      </w:r>
      <w:r w:rsidRPr="00B42097">
        <w:rPr>
          <w:shd w:val="clear" w:color="auto" w:fill="FFFFFF"/>
        </w:rPr>
        <w:t xml:space="preserve"> to determine,</w:t>
      </w:r>
      <w:r w:rsidR="001405C6" w:rsidRPr="00B42097">
        <w:rPr>
          <w:shd w:val="clear" w:color="auto" w:fill="FFFFFF"/>
        </w:rPr>
        <w:t xml:space="preserve"> for each experiment</w:t>
      </w:r>
      <w:r w:rsidRPr="00B42097">
        <w:rPr>
          <w:shd w:val="clear" w:color="auto" w:fill="FFFFFF"/>
        </w:rPr>
        <w:t>,</w:t>
      </w:r>
      <w:r w:rsidR="001405C6" w:rsidRPr="00B42097">
        <w:rPr>
          <w:shd w:val="clear" w:color="auto" w:fill="FFFFFF"/>
        </w:rPr>
        <w:t xml:space="preserve"> whether there was a monotonic increase in threshold across increasing viewpoint </w:t>
      </w:r>
      <w:r w:rsidR="000A36ED" w:rsidRPr="00B42097">
        <w:rPr>
          <w:shd w:val="clear" w:color="auto" w:fill="FFFFFF"/>
        </w:rPr>
        <w:t>shifts</w:t>
      </w:r>
      <w:r w:rsidR="001405C6" w:rsidRPr="00B42097">
        <w:rPr>
          <w:shd w:val="clear" w:color="auto" w:fill="FFFFFF"/>
        </w:rPr>
        <w:t>.</w:t>
      </w:r>
      <w:r w:rsidR="00BC0FB0">
        <w:rPr>
          <w:shd w:val="clear" w:color="auto" w:fill="FFFFFF"/>
        </w:rPr>
        <w:t xml:space="preserve"> </w:t>
      </w:r>
      <w:r w:rsidR="001405C6" w:rsidRPr="00B42097">
        <w:rPr>
          <w:shd w:val="clear" w:color="auto" w:fill="FFFFFF"/>
        </w:rPr>
        <w:t xml:space="preserve"> </w:t>
      </w:r>
      <w:r w:rsidRPr="00B42097">
        <w:rPr>
          <w:shd w:val="clear" w:color="auto" w:fill="FFFFFF"/>
        </w:rPr>
        <w:t>Specifically, t</w:t>
      </w:r>
      <w:r w:rsidR="001405C6" w:rsidRPr="00B42097">
        <w:rPr>
          <w:shd w:val="clear" w:color="auto" w:fill="FFFFFF"/>
        </w:rPr>
        <w:t xml:space="preserve">o determine whether the average </w:t>
      </w:r>
      <w:r w:rsidR="00AE31CC" w:rsidRPr="00B42097">
        <w:rPr>
          <w:shd w:val="clear" w:color="auto" w:fill="FFFFFF"/>
        </w:rPr>
        <w:t xml:space="preserve">Spearman’s </w:t>
      </w:r>
      <w:r w:rsidR="001405C6" w:rsidRPr="00B42097">
        <w:rPr>
          <w:shd w:val="clear" w:color="auto" w:fill="FFFFFF"/>
        </w:rPr>
        <w:t>correlation (over participants) was statistically significantly greater than would be expected under the null hypothesis</w:t>
      </w:r>
      <w:r w:rsidR="00AE31CC" w:rsidRPr="00B42097">
        <w:rPr>
          <w:shd w:val="clear" w:color="auto" w:fill="FFFFFF"/>
        </w:rPr>
        <w:t xml:space="preserve"> (no monotonic relationship)</w:t>
      </w:r>
      <w:r w:rsidR="000365B4">
        <w:rPr>
          <w:shd w:val="clear" w:color="auto" w:fill="FFFFFF"/>
        </w:rPr>
        <w:t>,</w:t>
      </w:r>
      <w:r w:rsidR="00630842" w:rsidRPr="00B42097">
        <w:rPr>
          <w:shd w:val="clear" w:color="auto" w:fill="FFFFFF"/>
        </w:rPr>
        <w:t xml:space="preserve"> </w:t>
      </w:r>
      <w:r w:rsidR="000365B4">
        <w:rPr>
          <w:shd w:val="clear" w:color="auto" w:fill="FFFFFF"/>
        </w:rPr>
        <w:t>w</w:t>
      </w:r>
      <w:r w:rsidR="001405C6" w:rsidRPr="00B42097">
        <w:rPr>
          <w:shd w:val="clear" w:color="auto" w:fill="FFFFFF"/>
        </w:rPr>
        <w:t xml:space="preserve">e shuffled the threshold data from each participant (i.e., randomizing viewpoint labels) 10,000 times, calculating the cross-participant mean Spearman's correlation for each permutation, </w:t>
      </w:r>
      <w:r w:rsidR="000365B4">
        <w:rPr>
          <w:shd w:val="clear" w:color="auto" w:fill="FFFFFF"/>
        </w:rPr>
        <w:t>using</w:t>
      </w:r>
      <w:r w:rsidR="001405C6" w:rsidRPr="00B42097">
        <w:rPr>
          <w:shd w:val="clear" w:color="auto" w:fill="FFFFFF"/>
        </w:rPr>
        <w:t xml:space="preserve"> the 95</w:t>
      </w:r>
      <w:r w:rsidR="001405C6" w:rsidRPr="00B42097">
        <w:rPr>
          <w:shd w:val="clear" w:color="auto" w:fill="FFFFFF"/>
          <w:vertAlign w:val="superscript"/>
        </w:rPr>
        <w:t>th</w:t>
      </w:r>
      <w:r w:rsidR="001405C6" w:rsidRPr="00B42097">
        <w:rPr>
          <w:shd w:val="clear" w:color="auto" w:fill="FFFFFF"/>
        </w:rPr>
        <w:t xml:space="preserve"> percentile (single-tailed) of this distribution as the critical value in a comparison with the experimental result</w:t>
      </w:r>
      <w:r w:rsidRPr="00B42097">
        <w:rPr>
          <w:shd w:val="clear" w:color="auto" w:fill="FFFFFF"/>
        </w:rPr>
        <w:t>s</w:t>
      </w:r>
      <w:r w:rsidR="001405C6" w:rsidRPr="00B42097">
        <w:rPr>
          <w:shd w:val="clear" w:color="auto" w:fill="FFFFFF"/>
        </w:rPr>
        <w:t>.</w:t>
      </w:r>
      <w:r w:rsidR="001405C6" w:rsidRPr="00B42097">
        <w:t xml:space="preserve"> We found that the </w:t>
      </w:r>
      <w:r w:rsidR="00AE31CC" w:rsidRPr="00B42097">
        <w:t xml:space="preserve">observed </w:t>
      </w:r>
      <w:r w:rsidR="003B242C" w:rsidRPr="00B42097">
        <w:t xml:space="preserve">non-parametric </w:t>
      </w:r>
      <w:r w:rsidR="00AE31CC" w:rsidRPr="00B42097">
        <w:t>correlations</w:t>
      </w:r>
      <w:r w:rsidR="001405C6" w:rsidRPr="00B42097">
        <w:t xml:space="preserve"> </w:t>
      </w:r>
      <w:r w:rsidR="00AE31CC" w:rsidRPr="00B42097">
        <w:t xml:space="preserve">were statistically </w:t>
      </w:r>
      <w:r w:rsidR="001405C6" w:rsidRPr="00B42097">
        <w:t>significantly above chance</w:t>
      </w:r>
      <w:r w:rsidR="00AE31CC" w:rsidRPr="00B42097">
        <w:t xml:space="preserve"> in both experiments (</w:t>
      </w:r>
      <w:r w:rsidR="00607936" w:rsidRPr="00B42097">
        <w:t>Experiment 1</w:t>
      </w:r>
      <w:r w:rsidR="00AE31CC" w:rsidRPr="00B42097">
        <w:t xml:space="preserve">: </w:t>
      </w:r>
      <w:r w:rsidR="001405C6" w:rsidRPr="00B42097">
        <w:t>mean ρ observer = .94, mean ρ critical = .26, p&lt;0.0001</w:t>
      </w:r>
      <w:r w:rsidR="00B2178A" w:rsidRPr="00B42097">
        <w:t xml:space="preserve">; </w:t>
      </w:r>
      <w:r w:rsidR="00607936" w:rsidRPr="00B42097">
        <w:t>Experiment 2</w:t>
      </w:r>
      <w:r w:rsidR="00B2178A" w:rsidRPr="00B42097">
        <w:t>: mean ρ observed = .95, mean ρ critical = .26, p&lt;0.0001</w:t>
      </w:r>
      <w:r w:rsidR="001405C6" w:rsidRPr="00B42097">
        <w:t>)</w:t>
      </w:r>
      <w:r w:rsidR="0032289B">
        <w:t xml:space="preserve"> indicating a consistent monotonic increase in thresholds with increases in viewpoint change</w:t>
      </w:r>
      <w:r w:rsidR="001405C6" w:rsidRPr="00B42097">
        <w:t>. </w:t>
      </w:r>
    </w:p>
    <w:p w14:paraId="01218C93" w14:textId="77777777" w:rsidR="000A36ED" w:rsidRPr="00B42097" w:rsidRDefault="000A36ED" w:rsidP="000A36ED">
      <w:pPr>
        <w:pStyle w:val="Heading3"/>
      </w:pPr>
      <w:r w:rsidRPr="00B42097">
        <w:t>Threshold differences between experiments</w:t>
      </w:r>
    </w:p>
    <w:p w14:paraId="298D5C72" w14:textId="509780E8" w:rsidR="001405C6" w:rsidRDefault="001405C6" w:rsidP="00661B9E">
      <w:pPr>
        <w:pStyle w:val="BodyText"/>
      </w:pPr>
      <w:r w:rsidRPr="00B42097">
        <w:t>Using independent 2-tailed t-tests, we compare</w:t>
      </w:r>
      <w:r w:rsidR="003B242C" w:rsidRPr="00B42097">
        <w:t>d</w:t>
      </w:r>
      <w:r w:rsidRPr="00B42097">
        <w:t xml:space="preserve"> average threshold levels at each viewpoint between experiments (Table </w:t>
      </w:r>
      <w:r w:rsidR="000A14BF" w:rsidRPr="00B42097">
        <w:t>2</w:t>
      </w:r>
      <w:r w:rsidRPr="00B42097">
        <w:t xml:space="preserve">). We can see that there are significant differences between the thresholds measured in each method at the 0°, 5° and 135° conditions and no significant </w:t>
      </w:r>
      <w:r w:rsidRPr="00B42097">
        <w:lastRenderedPageBreak/>
        <w:t xml:space="preserve">differences at 15° and 45°. </w:t>
      </w:r>
      <w:r w:rsidR="003B242C" w:rsidRPr="00B42097">
        <w:t>P</w:t>
      </w:r>
      <w:r w:rsidRPr="00B42097">
        <w:t xml:space="preserve">articipants in the 2AFC task significantly </w:t>
      </w:r>
      <w:r w:rsidR="003B242C" w:rsidRPr="00B42097">
        <w:t xml:space="preserve">outperformed </w:t>
      </w:r>
      <w:r w:rsidRPr="00B42097">
        <w:t xml:space="preserve">those in the </w:t>
      </w:r>
      <w:r w:rsidR="003B242C" w:rsidRPr="00B42097">
        <w:t>S/D</w:t>
      </w:r>
      <w:r w:rsidRPr="00B42097">
        <w:t xml:space="preserve"> task in the low viewpoint </w:t>
      </w:r>
      <w:r w:rsidR="003B242C" w:rsidRPr="00B42097">
        <w:t xml:space="preserve">change </w:t>
      </w:r>
      <w:r w:rsidRPr="00B42097">
        <w:t>condition</w:t>
      </w:r>
      <w:r w:rsidR="003B242C" w:rsidRPr="00B42097">
        <w:t>s</w:t>
      </w:r>
      <w:r w:rsidRPr="00B42097">
        <w:t xml:space="preserve"> but perform</w:t>
      </w:r>
      <w:r w:rsidR="003B242C" w:rsidRPr="00B42097">
        <w:t>ed</w:t>
      </w:r>
      <w:r w:rsidRPr="00B42097">
        <w:t xml:space="preserve"> significantly worse in the high viewpoint</w:t>
      </w:r>
      <w:r w:rsidR="00050E83">
        <w:t xml:space="preserve"> change</w:t>
      </w:r>
      <w:r w:rsidRPr="00B42097">
        <w:t xml:space="preserve"> condition. </w:t>
      </w:r>
    </w:p>
    <w:p w14:paraId="05571570" w14:textId="6DE5444E" w:rsidR="001405C6" w:rsidRPr="00B42097" w:rsidRDefault="001405C6" w:rsidP="008D013D">
      <w:pPr>
        <w:pStyle w:val="Figurecaption"/>
      </w:pPr>
      <w:r w:rsidRPr="00B42097">
        <w:t xml:space="preserve">Table </w:t>
      </w:r>
      <w:r w:rsidR="000A14BF" w:rsidRPr="00B42097">
        <w:t>2</w:t>
      </w:r>
      <w:r w:rsidRPr="00B42097">
        <w:t>, 2-tailed t-test</w:t>
      </w:r>
      <w:r w:rsidR="009263D0" w:rsidRPr="00B42097">
        <w:t xml:space="preserve">s </w:t>
      </w:r>
      <w:r w:rsidRPr="00B42097">
        <w:t xml:space="preserve">comparing </w:t>
      </w:r>
      <w:r w:rsidR="009263D0" w:rsidRPr="00B42097">
        <w:t xml:space="preserve">thresholds obtained in </w:t>
      </w:r>
      <w:r w:rsidRPr="00B42097">
        <w:t>Same/Different</w:t>
      </w:r>
      <w:r w:rsidR="001007AF" w:rsidRPr="00B42097">
        <w:t xml:space="preserve"> and</w:t>
      </w:r>
      <w:r w:rsidRPr="00B42097">
        <w:t xml:space="preserve"> </w:t>
      </w:r>
      <w:r w:rsidR="001007AF" w:rsidRPr="00B42097">
        <w:t xml:space="preserve">2AFC </w:t>
      </w:r>
      <w:r w:rsidR="009263D0" w:rsidRPr="00B42097">
        <w:t>tasks for</w:t>
      </w:r>
      <w:r w:rsidRPr="00B42097">
        <w:t xml:space="preserve"> each viewpoint</w:t>
      </w:r>
      <w:r w:rsidR="009263D0" w:rsidRPr="00B42097">
        <w:t xml:space="preserve"> condition</w:t>
      </w:r>
      <w:r w:rsidRPr="00B42097">
        <w:t>.</w:t>
      </w:r>
    </w:p>
    <w:tbl>
      <w:tblPr>
        <w:tblW w:w="7944" w:type="dxa"/>
        <w:tblCellMar>
          <w:top w:w="15" w:type="dxa"/>
          <w:left w:w="15" w:type="dxa"/>
          <w:bottom w:w="15" w:type="dxa"/>
          <w:right w:w="15" w:type="dxa"/>
        </w:tblCellMar>
        <w:tblLook w:val="04A0" w:firstRow="1" w:lastRow="0" w:firstColumn="1" w:lastColumn="0" w:noHBand="0" w:noVBand="1"/>
      </w:tblPr>
      <w:tblGrid>
        <w:gridCol w:w="1268"/>
        <w:gridCol w:w="1911"/>
        <w:gridCol w:w="1686"/>
        <w:gridCol w:w="1057"/>
        <w:gridCol w:w="867"/>
        <w:gridCol w:w="1155"/>
      </w:tblGrid>
      <w:tr w:rsidR="001F53DC" w:rsidRPr="00B42097" w14:paraId="67FD0CE8" w14:textId="77777777" w:rsidTr="00DF3541">
        <w:trPr>
          <w:trHeight w:hRule="exact" w:val="397"/>
        </w:trPr>
        <w:tc>
          <w:tcPr>
            <w:tcW w:w="0" w:type="auto"/>
            <w:tcBorders>
              <w:top w:val="single" w:sz="8" w:space="0" w:color="auto"/>
            </w:tcBorders>
            <w:shd w:val="clear" w:color="auto" w:fill="auto"/>
            <w:tcMar>
              <w:top w:w="0" w:type="dxa"/>
              <w:left w:w="115" w:type="dxa"/>
              <w:bottom w:w="0" w:type="dxa"/>
              <w:right w:w="115" w:type="dxa"/>
            </w:tcMar>
            <w:vAlign w:val="center"/>
          </w:tcPr>
          <w:p w14:paraId="69C9FB1F" w14:textId="77777777" w:rsidR="001F53DC" w:rsidRPr="00B42097" w:rsidRDefault="001F53DC" w:rsidP="001007AF"/>
        </w:tc>
        <w:tc>
          <w:tcPr>
            <w:tcW w:w="0" w:type="auto"/>
            <w:gridSpan w:val="2"/>
            <w:tcBorders>
              <w:top w:val="single" w:sz="8" w:space="0" w:color="auto"/>
            </w:tcBorders>
            <w:shd w:val="clear" w:color="auto" w:fill="auto"/>
            <w:tcMar>
              <w:top w:w="0" w:type="dxa"/>
              <w:left w:w="115" w:type="dxa"/>
              <w:bottom w:w="0" w:type="dxa"/>
              <w:right w:w="115" w:type="dxa"/>
            </w:tcMar>
            <w:vAlign w:val="bottom"/>
          </w:tcPr>
          <w:p w14:paraId="0049DDA9" w14:textId="69914D68" w:rsidR="001F53DC" w:rsidRPr="00B42097" w:rsidRDefault="001F53DC" w:rsidP="00585327">
            <w:pPr>
              <w:jc w:val="center"/>
            </w:pPr>
            <w:r w:rsidRPr="00B42097">
              <w:t>Fitted Threshold</w:t>
            </w:r>
            <w:r w:rsidR="00B82F97" w:rsidRPr="00B42097">
              <w:t xml:space="preserve"> (dB)</w:t>
            </w:r>
          </w:p>
        </w:tc>
        <w:tc>
          <w:tcPr>
            <w:tcW w:w="1057" w:type="dxa"/>
            <w:tcBorders>
              <w:top w:val="single" w:sz="8" w:space="0" w:color="auto"/>
            </w:tcBorders>
            <w:shd w:val="clear" w:color="auto" w:fill="auto"/>
            <w:tcMar>
              <w:top w:w="0" w:type="dxa"/>
              <w:left w:w="115" w:type="dxa"/>
              <w:bottom w:w="0" w:type="dxa"/>
              <w:right w:w="115" w:type="dxa"/>
            </w:tcMar>
            <w:vAlign w:val="center"/>
          </w:tcPr>
          <w:p w14:paraId="2CC93F2A" w14:textId="77777777" w:rsidR="001F53DC" w:rsidRPr="00B42097" w:rsidRDefault="001F53DC" w:rsidP="001007AF"/>
        </w:tc>
        <w:tc>
          <w:tcPr>
            <w:tcW w:w="867" w:type="dxa"/>
            <w:tcBorders>
              <w:top w:val="single" w:sz="8" w:space="0" w:color="auto"/>
            </w:tcBorders>
            <w:shd w:val="clear" w:color="auto" w:fill="auto"/>
            <w:tcMar>
              <w:top w:w="0" w:type="dxa"/>
              <w:left w:w="115" w:type="dxa"/>
              <w:bottom w:w="0" w:type="dxa"/>
              <w:right w:w="115" w:type="dxa"/>
            </w:tcMar>
            <w:vAlign w:val="center"/>
          </w:tcPr>
          <w:p w14:paraId="3F88EC86" w14:textId="77777777" w:rsidR="001F53DC" w:rsidRPr="00B42097" w:rsidRDefault="001F53DC" w:rsidP="001007AF"/>
        </w:tc>
        <w:tc>
          <w:tcPr>
            <w:tcW w:w="1155" w:type="dxa"/>
            <w:tcBorders>
              <w:top w:val="single" w:sz="8" w:space="0" w:color="auto"/>
            </w:tcBorders>
            <w:shd w:val="clear" w:color="auto" w:fill="auto"/>
            <w:tcMar>
              <w:top w:w="0" w:type="dxa"/>
              <w:left w:w="115" w:type="dxa"/>
              <w:bottom w:w="0" w:type="dxa"/>
              <w:right w:w="115" w:type="dxa"/>
            </w:tcMar>
            <w:vAlign w:val="center"/>
          </w:tcPr>
          <w:p w14:paraId="02E6B6BC" w14:textId="77777777" w:rsidR="001F53DC" w:rsidRPr="00B42097" w:rsidRDefault="001F53DC" w:rsidP="001007AF"/>
        </w:tc>
      </w:tr>
      <w:tr w:rsidR="004F1C52" w:rsidRPr="00B42097" w14:paraId="33FD6FB1" w14:textId="77777777" w:rsidTr="00DF3541">
        <w:trPr>
          <w:trHeight w:hRule="exact" w:val="397"/>
        </w:trPr>
        <w:tc>
          <w:tcPr>
            <w:tcW w:w="0" w:type="auto"/>
            <w:shd w:val="clear" w:color="auto" w:fill="auto"/>
            <w:tcMar>
              <w:top w:w="0" w:type="dxa"/>
              <w:left w:w="115" w:type="dxa"/>
              <w:bottom w:w="0" w:type="dxa"/>
              <w:right w:w="115" w:type="dxa"/>
            </w:tcMar>
            <w:vAlign w:val="center"/>
          </w:tcPr>
          <w:p w14:paraId="7A2A5969" w14:textId="77777777" w:rsidR="001007AF" w:rsidRPr="00B42097" w:rsidRDefault="001007AF" w:rsidP="001007AF">
            <w:r w:rsidRPr="00B42097">
              <w:t> </w:t>
            </w:r>
          </w:p>
        </w:tc>
        <w:tc>
          <w:tcPr>
            <w:tcW w:w="1911" w:type="dxa"/>
            <w:shd w:val="clear" w:color="auto" w:fill="auto"/>
            <w:tcMar>
              <w:top w:w="0" w:type="dxa"/>
              <w:left w:w="115" w:type="dxa"/>
              <w:bottom w:w="0" w:type="dxa"/>
              <w:right w:w="115" w:type="dxa"/>
            </w:tcMar>
            <w:vAlign w:val="center"/>
          </w:tcPr>
          <w:p w14:paraId="45B501B0" w14:textId="0F7A679D" w:rsidR="001007AF" w:rsidRPr="00B42097" w:rsidRDefault="001F53DC" w:rsidP="00585327">
            <w:pPr>
              <w:jc w:val="center"/>
            </w:pPr>
            <w:r w:rsidRPr="00B42097">
              <w:t>Experiment 1</w:t>
            </w:r>
          </w:p>
        </w:tc>
        <w:tc>
          <w:tcPr>
            <w:tcW w:w="1686" w:type="dxa"/>
            <w:shd w:val="clear" w:color="auto" w:fill="auto"/>
            <w:tcMar>
              <w:top w:w="0" w:type="dxa"/>
              <w:left w:w="115" w:type="dxa"/>
              <w:bottom w:w="0" w:type="dxa"/>
              <w:right w:w="115" w:type="dxa"/>
            </w:tcMar>
            <w:vAlign w:val="center"/>
          </w:tcPr>
          <w:p w14:paraId="4C0E902F" w14:textId="65E5AE80" w:rsidR="001007AF" w:rsidRPr="00B42097" w:rsidRDefault="001F53DC" w:rsidP="00585327">
            <w:pPr>
              <w:jc w:val="center"/>
            </w:pPr>
            <w:r w:rsidRPr="00B42097">
              <w:t>Experiment 2</w:t>
            </w:r>
          </w:p>
        </w:tc>
        <w:tc>
          <w:tcPr>
            <w:tcW w:w="1057" w:type="dxa"/>
            <w:shd w:val="clear" w:color="auto" w:fill="auto"/>
            <w:tcMar>
              <w:top w:w="0" w:type="dxa"/>
              <w:left w:w="115" w:type="dxa"/>
              <w:bottom w:w="0" w:type="dxa"/>
              <w:right w:w="115" w:type="dxa"/>
            </w:tcMar>
            <w:vAlign w:val="center"/>
          </w:tcPr>
          <w:p w14:paraId="65BE2D58" w14:textId="77777777" w:rsidR="001007AF" w:rsidRPr="00B42097" w:rsidRDefault="001007AF" w:rsidP="001007AF">
            <w:r w:rsidRPr="00B42097">
              <w:t> </w:t>
            </w:r>
          </w:p>
        </w:tc>
        <w:tc>
          <w:tcPr>
            <w:tcW w:w="867" w:type="dxa"/>
            <w:shd w:val="clear" w:color="auto" w:fill="auto"/>
            <w:tcMar>
              <w:top w:w="0" w:type="dxa"/>
              <w:left w:w="115" w:type="dxa"/>
              <w:bottom w:w="0" w:type="dxa"/>
              <w:right w:w="115" w:type="dxa"/>
            </w:tcMar>
            <w:vAlign w:val="center"/>
          </w:tcPr>
          <w:p w14:paraId="4BDE73BE" w14:textId="77777777" w:rsidR="001007AF" w:rsidRPr="00B42097" w:rsidRDefault="001007AF" w:rsidP="001007AF">
            <w:r w:rsidRPr="00B42097">
              <w:t> </w:t>
            </w:r>
          </w:p>
        </w:tc>
        <w:tc>
          <w:tcPr>
            <w:tcW w:w="1155" w:type="dxa"/>
            <w:shd w:val="clear" w:color="auto" w:fill="auto"/>
            <w:tcMar>
              <w:top w:w="0" w:type="dxa"/>
              <w:left w:w="115" w:type="dxa"/>
              <w:bottom w:w="0" w:type="dxa"/>
              <w:right w:w="115" w:type="dxa"/>
            </w:tcMar>
            <w:vAlign w:val="center"/>
          </w:tcPr>
          <w:p w14:paraId="300B13A5" w14:textId="77777777" w:rsidR="001007AF" w:rsidRPr="00B42097" w:rsidRDefault="001007AF" w:rsidP="001007AF">
            <w:r w:rsidRPr="00B42097">
              <w:t> </w:t>
            </w:r>
          </w:p>
        </w:tc>
      </w:tr>
      <w:tr w:rsidR="004F1C52" w:rsidRPr="00B42097" w14:paraId="58929FEC" w14:textId="77777777" w:rsidTr="00DF3541">
        <w:trPr>
          <w:trHeight w:hRule="exact" w:val="397"/>
        </w:trPr>
        <w:tc>
          <w:tcPr>
            <w:tcW w:w="0" w:type="auto"/>
            <w:tcBorders>
              <w:bottom w:val="single" w:sz="8" w:space="0" w:color="auto"/>
            </w:tcBorders>
            <w:shd w:val="clear" w:color="auto" w:fill="auto"/>
            <w:tcMar>
              <w:top w:w="0" w:type="dxa"/>
              <w:left w:w="115" w:type="dxa"/>
              <w:bottom w:w="0" w:type="dxa"/>
              <w:right w:w="115" w:type="dxa"/>
            </w:tcMar>
            <w:vAlign w:val="center"/>
          </w:tcPr>
          <w:p w14:paraId="572B1E8E" w14:textId="77777777" w:rsidR="004F1C52" w:rsidRPr="00B42097" w:rsidRDefault="004F1C52" w:rsidP="001007AF"/>
        </w:tc>
        <w:tc>
          <w:tcPr>
            <w:tcW w:w="1911" w:type="dxa"/>
            <w:tcBorders>
              <w:bottom w:val="single" w:sz="8" w:space="0" w:color="auto"/>
            </w:tcBorders>
            <w:shd w:val="clear" w:color="auto" w:fill="auto"/>
            <w:tcMar>
              <w:top w:w="0" w:type="dxa"/>
              <w:left w:w="115" w:type="dxa"/>
              <w:bottom w:w="0" w:type="dxa"/>
              <w:right w:w="115" w:type="dxa"/>
            </w:tcMar>
            <w:vAlign w:val="center"/>
          </w:tcPr>
          <w:p w14:paraId="2C402373" w14:textId="2C1D8EA1" w:rsidR="004F1C52" w:rsidRPr="00B42097" w:rsidRDefault="004F1C52">
            <w:pPr>
              <w:jc w:val="center"/>
            </w:pPr>
            <w:r w:rsidRPr="00B42097">
              <w:t>Same/Different</w:t>
            </w:r>
          </w:p>
        </w:tc>
        <w:tc>
          <w:tcPr>
            <w:tcW w:w="1686" w:type="dxa"/>
            <w:tcBorders>
              <w:bottom w:val="single" w:sz="8" w:space="0" w:color="auto"/>
            </w:tcBorders>
            <w:shd w:val="clear" w:color="auto" w:fill="auto"/>
            <w:tcMar>
              <w:top w:w="0" w:type="dxa"/>
              <w:left w:w="115" w:type="dxa"/>
              <w:bottom w:w="0" w:type="dxa"/>
              <w:right w:w="115" w:type="dxa"/>
            </w:tcMar>
            <w:vAlign w:val="center"/>
          </w:tcPr>
          <w:p w14:paraId="339CC1E7" w14:textId="3B0C12D9" w:rsidR="004F1C52" w:rsidRPr="00B42097" w:rsidRDefault="004F1C52">
            <w:pPr>
              <w:jc w:val="center"/>
            </w:pPr>
            <w:r w:rsidRPr="00B42097">
              <w:t>2AFC</w:t>
            </w:r>
          </w:p>
        </w:tc>
        <w:tc>
          <w:tcPr>
            <w:tcW w:w="1057" w:type="dxa"/>
            <w:tcBorders>
              <w:bottom w:val="single" w:sz="8" w:space="0" w:color="auto"/>
            </w:tcBorders>
            <w:shd w:val="clear" w:color="auto" w:fill="auto"/>
            <w:tcMar>
              <w:top w:w="0" w:type="dxa"/>
              <w:left w:w="115" w:type="dxa"/>
              <w:bottom w:w="0" w:type="dxa"/>
              <w:right w:w="115" w:type="dxa"/>
            </w:tcMar>
            <w:vAlign w:val="center"/>
          </w:tcPr>
          <w:p w14:paraId="1FC78D91" w14:textId="77777777" w:rsidR="004F1C52" w:rsidRPr="00B42097" w:rsidRDefault="004F1C52" w:rsidP="001007AF"/>
        </w:tc>
        <w:tc>
          <w:tcPr>
            <w:tcW w:w="867" w:type="dxa"/>
            <w:tcBorders>
              <w:bottom w:val="single" w:sz="8" w:space="0" w:color="auto"/>
            </w:tcBorders>
            <w:shd w:val="clear" w:color="auto" w:fill="auto"/>
            <w:tcMar>
              <w:top w:w="0" w:type="dxa"/>
              <w:left w:w="115" w:type="dxa"/>
              <w:bottom w:w="0" w:type="dxa"/>
              <w:right w:w="115" w:type="dxa"/>
            </w:tcMar>
            <w:vAlign w:val="center"/>
          </w:tcPr>
          <w:p w14:paraId="458EB490" w14:textId="77777777" w:rsidR="004F1C52" w:rsidRPr="00B42097" w:rsidRDefault="004F1C52" w:rsidP="001007AF"/>
        </w:tc>
        <w:tc>
          <w:tcPr>
            <w:tcW w:w="1155" w:type="dxa"/>
            <w:tcBorders>
              <w:bottom w:val="single" w:sz="8" w:space="0" w:color="auto"/>
            </w:tcBorders>
            <w:shd w:val="clear" w:color="auto" w:fill="auto"/>
            <w:tcMar>
              <w:top w:w="0" w:type="dxa"/>
              <w:left w:w="115" w:type="dxa"/>
              <w:bottom w:w="0" w:type="dxa"/>
              <w:right w:w="115" w:type="dxa"/>
            </w:tcMar>
            <w:vAlign w:val="center"/>
          </w:tcPr>
          <w:p w14:paraId="0EB1DDB2" w14:textId="77777777" w:rsidR="004F1C52" w:rsidRPr="00B42097" w:rsidRDefault="004F1C52" w:rsidP="001007AF"/>
        </w:tc>
      </w:tr>
      <w:tr w:rsidR="004F1C52" w:rsidRPr="00B42097" w14:paraId="5D8EFF31" w14:textId="77777777" w:rsidTr="00DF3541">
        <w:trPr>
          <w:trHeight w:hRule="exact" w:val="397"/>
        </w:trPr>
        <w:tc>
          <w:tcPr>
            <w:tcW w:w="0" w:type="auto"/>
            <w:tcBorders>
              <w:top w:val="single" w:sz="8" w:space="0" w:color="auto"/>
            </w:tcBorders>
            <w:shd w:val="clear" w:color="auto" w:fill="auto"/>
            <w:tcMar>
              <w:top w:w="0" w:type="dxa"/>
              <w:left w:w="115" w:type="dxa"/>
              <w:bottom w:w="0" w:type="dxa"/>
              <w:right w:w="115" w:type="dxa"/>
            </w:tcMar>
            <w:vAlign w:val="center"/>
          </w:tcPr>
          <w:p w14:paraId="1CB2AF79" w14:textId="77777777" w:rsidR="001007AF" w:rsidRPr="00B42097" w:rsidRDefault="001007AF" w:rsidP="00585327">
            <w:pPr>
              <w:jc w:val="center"/>
            </w:pPr>
            <w:r w:rsidRPr="00B42097">
              <w:t>Viewpoint</w:t>
            </w:r>
          </w:p>
        </w:tc>
        <w:tc>
          <w:tcPr>
            <w:tcW w:w="1911" w:type="dxa"/>
            <w:tcBorders>
              <w:top w:val="single" w:sz="8" w:space="0" w:color="auto"/>
            </w:tcBorders>
            <w:shd w:val="clear" w:color="auto" w:fill="auto"/>
            <w:tcMar>
              <w:top w:w="0" w:type="dxa"/>
              <w:left w:w="115" w:type="dxa"/>
              <w:bottom w:w="0" w:type="dxa"/>
              <w:right w:w="115" w:type="dxa"/>
            </w:tcMar>
            <w:vAlign w:val="center"/>
          </w:tcPr>
          <w:p w14:paraId="0E026417" w14:textId="77777777" w:rsidR="001007AF" w:rsidRPr="00B42097" w:rsidRDefault="001007AF" w:rsidP="00585327">
            <w:pPr>
              <w:jc w:val="center"/>
            </w:pPr>
            <w:r w:rsidRPr="00B42097">
              <w:t>Mean (SD)</w:t>
            </w:r>
          </w:p>
        </w:tc>
        <w:tc>
          <w:tcPr>
            <w:tcW w:w="1686" w:type="dxa"/>
            <w:tcBorders>
              <w:top w:val="single" w:sz="8" w:space="0" w:color="auto"/>
            </w:tcBorders>
            <w:shd w:val="clear" w:color="auto" w:fill="auto"/>
            <w:tcMar>
              <w:top w:w="0" w:type="dxa"/>
              <w:left w:w="115" w:type="dxa"/>
              <w:bottom w:w="0" w:type="dxa"/>
              <w:right w:w="115" w:type="dxa"/>
            </w:tcMar>
            <w:vAlign w:val="center"/>
          </w:tcPr>
          <w:p w14:paraId="0CC68380" w14:textId="77777777" w:rsidR="001007AF" w:rsidRPr="00B42097" w:rsidRDefault="001007AF" w:rsidP="00585327">
            <w:pPr>
              <w:jc w:val="center"/>
            </w:pPr>
            <w:r w:rsidRPr="00B42097">
              <w:t>Mean (SD)</w:t>
            </w:r>
          </w:p>
        </w:tc>
        <w:tc>
          <w:tcPr>
            <w:tcW w:w="1057" w:type="dxa"/>
            <w:tcBorders>
              <w:top w:val="single" w:sz="8" w:space="0" w:color="auto"/>
            </w:tcBorders>
            <w:shd w:val="clear" w:color="auto" w:fill="auto"/>
            <w:tcMar>
              <w:top w:w="0" w:type="dxa"/>
              <w:left w:w="115" w:type="dxa"/>
              <w:bottom w:w="0" w:type="dxa"/>
              <w:right w:w="115" w:type="dxa"/>
            </w:tcMar>
            <w:vAlign w:val="center"/>
          </w:tcPr>
          <w:p w14:paraId="36AF815E" w14:textId="77777777" w:rsidR="001007AF" w:rsidRPr="00B42097" w:rsidRDefault="001007AF" w:rsidP="00585327">
            <w:pPr>
              <w:jc w:val="center"/>
            </w:pPr>
            <w:r w:rsidRPr="00B42097">
              <w:t>df</w:t>
            </w:r>
          </w:p>
        </w:tc>
        <w:tc>
          <w:tcPr>
            <w:tcW w:w="867" w:type="dxa"/>
            <w:tcBorders>
              <w:top w:val="single" w:sz="8" w:space="0" w:color="auto"/>
            </w:tcBorders>
            <w:shd w:val="clear" w:color="auto" w:fill="auto"/>
            <w:tcMar>
              <w:top w:w="0" w:type="dxa"/>
              <w:left w:w="115" w:type="dxa"/>
              <w:bottom w:w="0" w:type="dxa"/>
              <w:right w:w="115" w:type="dxa"/>
            </w:tcMar>
            <w:vAlign w:val="center"/>
          </w:tcPr>
          <w:p w14:paraId="0602D203" w14:textId="1F13DA9C" w:rsidR="001007AF" w:rsidRPr="00B42097" w:rsidRDefault="004F1C52" w:rsidP="00585327">
            <w:pPr>
              <w:jc w:val="center"/>
            </w:pPr>
            <w:r w:rsidRPr="00B42097">
              <w:t>t</w:t>
            </w:r>
          </w:p>
        </w:tc>
        <w:tc>
          <w:tcPr>
            <w:tcW w:w="1155" w:type="dxa"/>
            <w:tcBorders>
              <w:top w:val="single" w:sz="8" w:space="0" w:color="auto"/>
            </w:tcBorders>
            <w:shd w:val="clear" w:color="auto" w:fill="auto"/>
            <w:tcMar>
              <w:top w:w="0" w:type="dxa"/>
              <w:left w:w="115" w:type="dxa"/>
              <w:bottom w:w="0" w:type="dxa"/>
              <w:right w:w="115" w:type="dxa"/>
            </w:tcMar>
            <w:vAlign w:val="center"/>
          </w:tcPr>
          <w:p w14:paraId="353F6EEB" w14:textId="77777777" w:rsidR="001007AF" w:rsidRPr="00B42097" w:rsidRDefault="001007AF" w:rsidP="00585327">
            <w:pPr>
              <w:jc w:val="center"/>
            </w:pPr>
            <w:r w:rsidRPr="00B42097">
              <w:t>p</w:t>
            </w:r>
          </w:p>
        </w:tc>
      </w:tr>
      <w:tr w:rsidR="004F1C52" w:rsidRPr="00B42097" w14:paraId="0D800F3C" w14:textId="77777777" w:rsidTr="00DF3541">
        <w:trPr>
          <w:trHeight w:hRule="exact" w:val="397"/>
        </w:trPr>
        <w:tc>
          <w:tcPr>
            <w:tcW w:w="0" w:type="auto"/>
            <w:shd w:val="clear" w:color="auto" w:fill="auto"/>
            <w:tcMar>
              <w:top w:w="0" w:type="dxa"/>
              <w:left w:w="115" w:type="dxa"/>
              <w:bottom w:w="0" w:type="dxa"/>
              <w:right w:w="115" w:type="dxa"/>
            </w:tcMar>
            <w:vAlign w:val="center"/>
          </w:tcPr>
          <w:p w14:paraId="51E0E220" w14:textId="28652AA8" w:rsidR="001007AF" w:rsidRPr="00B42097" w:rsidRDefault="001007AF" w:rsidP="00585327">
            <w:pPr>
              <w:jc w:val="center"/>
            </w:pPr>
            <w:r w:rsidRPr="00B42097">
              <w:t>0</w:t>
            </w:r>
            <w:r w:rsidR="001F53DC" w:rsidRPr="00B42097">
              <w:t>°</w:t>
            </w:r>
          </w:p>
        </w:tc>
        <w:tc>
          <w:tcPr>
            <w:tcW w:w="1911" w:type="dxa"/>
            <w:shd w:val="clear" w:color="auto" w:fill="auto"/>
            <w:tcMar>
              <w:top w:w="0" w:type="dxa"/>
              <w:left w:w="115" w:type="dxa"/>
              <w:bottom w:w="0" w:type="dxa"/>
              <w:right w:w="115" w:type="dxa"/>
            </w:tcMar>
            <w:vAlign w:val="center"/>
          </w:tcPr>
          <w:p w14:paraId="3B4FD1F9" w14:textId="77777777" w:rsidR="001007AF" w:rsidRPr="00B42097" w:rsidRDefault="001007AF" w:rsidP="00585327">
            <w:pPr>
              <w:jc w:val="right"/>
            </w:pPr>
            <w:r w:rsidRPr="00B42097">
              <w:t>-8.81 (2.37)</w:t>
            </w:r>
          </w:p>
        </w:tc>
        <w:tc>
          <w:tcPr>
            <w:tcW w:w="1686" w:type="dxa"/>
            <w:shd w:val="clear" w:color="auto" w:fill="auto"/>
            <w:tcMar>
              <w:top w:w="0" w:type="dxa"/>
              <w:left w:w="115" w:type="dxa"/>
              <w:bottom w:w="0" w:type="dxa"/>
              <w:right w:w="115" w:type="dxa"/>
            </w:tcMar>
            <w:vAlign w:val="center"/>
          </w:tcPr>
          <w:p w14:paraId="003709F7" w14:textId="77777777" w:rsidR="001007AF" w:rsidRPr="00B42097" w:rsidRDefault="001007AF" w:rsidP="00585327">
            <w:pPr>
              <w:jc w:val="right"/>
            </w:pPr>
            <w:r w:rsidRPr="00B42097">
              <w:t>-12.11 (2.99)</w:t>
            </w:r>
          </w:p>
        </w:tc>
        <w:tc>
          <w:tcPr>
            <w:tcW w:w="1057" w:type="dxa"/>
            <w:shd w:val="clear" w:color="auto" w:fill="auto"/>
            <w:tcMar>
              <w:top w:w="0" w:type="dxa"/>
              <w:left w:w="115" w:type="dxa"/>
              <w:bottom w:w="0" w:type="dxa"/>
              <w:right w:w="115" w:type="dxa"/>
            </w:tcMar>
            <w:vAlign w:val="center"/>
          </w:tcPr>
          <w:p w14:paraId="5A85E74D" w14:textId="77777777" w:rsidR="001007AF" w:rsidRPr="00B42097" w:rsidRDefault="001007AF" w:rsidP="00585327">
            <w:pPr>
              <w:jc w:val="center"/>
            </w:pPr>
            <w:r w:rsidRPr="00B42097">
              <w:t>18</w:t>
            </w:r>
          </w:p>
        </w:tc>
        <w:tc>
          <w:tcPr>
            <w:tcW w:w="867" w:type="dxa"/>
            <w:shd w:val="clear" w:color="auto" w:fill="auto"/>
            <w:tcMar>
              <w:top w:w="0" w:type="dxa"/>
              <w:left w:w="115" w:type="dxa"/>
              <w:bottom w:w="0" w:type="dxa"/>
              <w:right w:w="115" w:type="dxa"/>
            </w:tcMar>
            <w:vAlign w:val="center"/>
          </w:tcPr>
          <w:p w14:paraId="5E075302" w14:textId="77777777" w:rsidR="001007AF" w:rsidRPr="00B42097" w:rsidRDefault="001007AF" w:rsidP="00585327">
            <w:pPr>
              <w:jc w:val="right"/>
            </w:pPr>
            <w:r w:rsidRPr="00B42097">
              <w:t>-2.73</w:t>
            </w:r>
          </w:p>
        </w:tc>
        <w:tc>
          <w:tcPr>
            <w:tcW w:w="1155" w:type="dxa"/>
            <w:shd w:val="clear" w:color="auto" w:fill="auto"/>
            <w:tcMar>
              <w:top w:w="0" w:type="dxa"/>
              <w:left w:w="115" w:type="dxa"/>
              <w:bottom w:w="0" w:type="dxa"/>
              <w:right w:w="115" w:type="dxa"/>
            </w:tcMar>
            <w:vAlign w:val="center"/>
          </w:tcPr>
          <w:p w14:paraId="5A085A61" w14:textId="77777777" w:rsidR="001007AF" w:rsidRPr="00B42097" w:rsidRDefault="001007AF" w:rsidP="001007AF">
            <w:r w:rsidRPr="00B42097">
              <w:t>0.014*</w:t>
            </w:r>
          </w:p>
        </w:tc>
      </w:tr>
      <w:tr w:rsidR="004F1C52" w:rsidRPr="00B42097" w14:paraId="4972CDEF" w14:textId="77777777" w:rsidTr="00DF3541">
        <w:trPr>
          <w:trHeight w:hRule="exact" w:val="397"/>
        </w:trPr>
        <w:tc>
          <w:tcPr>
            <w:tcW w:w="0" w:type="auto"/>
            <w:shd w:val="clear" w:color="auto" w:fill="auto"/>
            <w:tcMar>
              <w:top w:w="0" w:type="dxa"/>
              <w:left w:w="115" w:type="dxa"/>
              <w:bottom w:w="0" w:type="dxa"/>
              <w:right w:w="115" w:type="dxa"/>
            </w:tcMar>
            <w:vAlign w:val="center"/>
          </w:tcPr>
          <w:p w14:paraId="04D53C07" w14:textId="1198A7AC" w:rsidR="001007AF" w:rsidRPr="00B42097" w:rsidRDefault="001007AF" w:rsidP="00585327">
            <w:pPr>
              <w:jc w:val="center"/>
            </w:pPr>
            <w:r w:rsidRPr="00B42097">
              <w:t>5</w:t>
            </w:r>
            <w:r w:rsidR="001F53DC" w:rsidRPr="00B42097">
              <w:t>°</w:t>
            </w:r>
          </w:p>
        </w:tc>
        <w:tc>
          <w:tcPr>
            <w:tcW w:w="1911" w:type="dxa"/>
            <w:shd w:val="clear" w:color="auto" w:fill="auto"/>
            <w:tcMar>
              <w:top w:w="0" w:type="dxa"/>
              <w:left w:w="115" w:type="dxa"/>
              <w:bottom w:w="0" w:type="dxa"/>
              <w:right w:w="115" w:type="dxa"/>
            </w:tcMar>
            <w:vAlign w:val="center"/>
          </w:tcPr>
          <w:p w14:paraId="036C9A1C" w14:textId="77777777" w:rsidR="001007AF" w:rsidRPr="00B42097" w:rsidRDefault="001007AF" w:rsidP="00585327">
            <w:pPr>
              <w:jc w:val="right"/>
            </w:pPr>
            <w:r w:rsidRPr="00B42097">
              <w:t>-5.49 (2.53)</w:t>
            </w:r>
          </w:p>
        </w:tc>
        <w:tc>
          <w:tcPr>
            <w:tcW w:w="1686" w:type="dxa"/>
            <w:shd w:val="clear" w:color="auto" w:fill="auto"/>
            <w:tcMar>
              <w:top w:w="0" w:type="dxa"/>
              <w:left w:w="115" w:type="dxa"/>
              <w:bottom w:w="0" w:type="dxa"/>
              <w:right w:w="115" w:type="dxa"/>
            </w:tcMar>
            <w:vAlign w:val="center"/>
          </w:tcPr>
          <w:p w14:paraId="7860D52C" w14:textId="77777777" w:rsidR="001007AF" w:rsidRPr="00B42097" w:rsidRDefault="001007AF" w:rsidP="00585327">
            <w:pPr>
              <w:jc w:val="right"/>
            </w:pPr>
            <w:r w:rsidRPr="00B42097">
              <w:t>-9.94 (1.63)</w:t>
            </w:r>
          </w:p>
        </w:tc>
        <w:tc>
          <w:tcPr>
            <w:tcW w:w="1057" w:type="dxa"/>
            <w:shd w:val="clear" w:color="auto" w:fill="auto"/>
            <w:tcMar>
              <w:top w:w="0" w:type="dxa"/>
              <w:left w:w="115" w:type="dxa"/>
              <w:bottom w:w="0" w:type="dxa"/>
              <w:right w:w="115" w:type="dxa"/>
            </w:tcMar>
            <w:vAlign w:val="center"/>
          </w:tcPr>
          <w:p w14:paraId="35DEF13F" w14:textId="77777777" w:rsidR="001007AF" w:rsidRPr="00B42097" w:rsidRDefault="001007AF" w:rsidP="00585327">
            <w:pPr>
              <w:jc w:val="center"/>
            </w:pPr>
            <w:r w:rsidRPr="00B42097">
              <w:t>18</w:t>
            </w:r>
          </w:p>
        </w:tc>
        <w:tc>
          <w:tcPr>
            <w:tcW w:w="867" w:type="dxa"/>
            <w:shd w:val="clear" w:color="auto" w:fill="auto"/>
            <w:tcMar>
              <w:top w:w="0" w:type="dxa"/>
              <w:left w:w="115" w:type="dxa"/>
              <w:bottom w:w="0" w:type="dxa"/>
              <w:right w:w="115" w:type="dxa"/>
            </w:tcMar>
            <w:vAlign w:val="center"/>
          </w:tcPr>
          <w:p w14:paraId="44D9C5E5" w14:textId="77777777" w:rsidR="001007AF" w:rsidRPr="00B42097" w:rsidRDefault="001007AF" w:rsidP="00585327">
            <w:pPr>
              <w:jc w:val="right"/>
            </w:pPr>
            <w:r w:rsidRPr="00B42097">
              <w:t>-4.68</w:t>
            </w:r>
          </w:p>
        </w:tc>
        <w:tc>
          <w:tcPr>
            <w:tcW w:w="1155" w:type="dxa"/>
            <w:shd w:val="clear" w:color="auto" w:fill="auto"/>
            <w:tcMar>
              <w:top w:w="0" w:type="dxa"/>
              <w:left w:w="115" w:type="dxa"/>
              <w:bottom w:w="0" w:type="dxa"/>
              <w:right w:w="115" w:type="dxa"/>
            </w:tcMar>
            <w:vAlign w:val="center"/>
          </w:tcPr>
          <w:p w14:paraId="7189AB05" w14:textId="77777777" w:rsidR="001007AF" w:rsidRPr="00B42097" w:rsidRDefault="001007AF" w:rsidP="001007AF">
            <w:r w:rsidRPr="00B42097">
              <w:t>0.000**</w:t>
            </w:r>
          </w:p>
        </w:tc>
      </w:tr>
      <w:tr w:rsidR="004F1C52" w:rsidRPr="00B42097" w14:paraId="43CDC181" w14:textId="77777777" w:rsidTr="00DF3541">
        <w:trPr>
          <w:trHeight w:hRule="exact" w:val="397"/>
        </w:trPr>
        <w:tc>
          <w:tcPr>
            <w:tcW w:w="0" w:type="auto"/>
            <w:shd w:val="clear" w:color="auto" w:fill="auto"/>
            <w:tcMar>
              <w:top w:w="0" w:type="dxa"/>
              <w:left w:w="115" w:type="dxa"/>
              <w:bottom w:w="0" w:type="dxa"/>
              <w:right w:w="115" w:type="dxa"/>
            </w:tcMar>
            <w:vAlign w:val="center"/>
          </w:tcPr>
          <w:p w14:paraId="5453320C" w14:textId="6ACB3AB8" w:rsidR="001007AF" w:rsidRPr="00B42097" w:rsidRDefault="001007AF" w:rsidP="00585327">
            <w:pPr>
              <w:jc w:val="center"/>
            </w:pPr>
            <w:r w:rsidRPr="00B42097">
              <w:t>15</w:t>
            </w:r>
            <w:r w:rsidR="001F53DC" w:rsidRPr="00B42097">
              <w:t>°</w:t>
            </w:r>
          </w:p>
        </w:tc>
        <w:tc>
          <w:tcPr>
            <w:tcW w:w="1911" w:type="dxa"/>
            <w:shd w:val="clear" w:color="auto" w:fill="auto"/>
            <w:tcMar>
              <w:top w:w="0" w:type="dxa"/>
              <w:left w:w="115" w:type="dxa"/>
              <w:bottom w:w="0" w:type="dxa"/>
              <w:right w:w="115" w:type="dxa"/>
            </w:tcMar>
            <w:vAlign w:val="center"/>
          </w:tcPr>
          <w:p w14:paraId="16B3E99A" w14:textId="77777777" w:rsidR="001007AF" w:rsidRPr="00B42097" w:rsidRDefault="001007AF" w:rsidP="00585327">
            <w:pPr>
              <w:jc w:val="right"/>
            </w:pPr>
            <w:r w:rsidRPr="00B42097">
              <w:t>-3.73 (2.05)</w:t>
            </w:r>
          </w:p>
        </w:tc>
        <w:tc>
          <w:tcPr>
            <w:tcW w:w="1686" w:type="dxa"/>
            <w:shd w:val="clear" w:color="auto" w:fill="auto"/>
            <w:tcMar>
              <w:top w:w="0" w:type="dxa"/>
              <w:left w:w="115" w:type="dxa"/>
              <w:bottom w:w="0" w:type="dxa"/>
              <w:right w:w="115" w:type="dxa"/>
            </w:tcMar>
            <w:vAlign w:val="center"/>
          </w:tcPr>
          <w:p w14:paraId="0F157A5C" w14:textId="77777777" w:rsidR="001007AF" w:rsidRPr="00B42097" w:rsidRDefault="001007AF" w:rsidP="00585327">
            <w:pPr>
              <w:jc w:val="right"/>
            </w:pPr>
            <w:r w:rsidRPr="00B42097">
              <w:t>-5.99 (2.96)</w:t>
            </w:r>
          </w:p>
        </w:tc>
        <w:tc>
          <w:tcPr>
            <w:tcW w:w="1057" w:type="dxa"/>
            <w:shd w:val="clear" w:color="auto" w:fill="auto"/>
            <w:tcMar>
              <w:top w:w="0" w:type="dxa"/>
              <w:left w:w="115" w:type="dxa"/>
              <w:bottom w:w="0" w:type="dxa"/>
              <w:right w:w="115" w:type="dxa"/>
            </w:tcMar>
            <w:vAlign w:val="center"/>
          </w:tcPr>
          <w:p w14:paraId="4603E4DA" w14:textId="77777777" w:rsidR="001007AF" w:rsidRPr="00B42097" w:rsidRDefault="001007AF" w:rsidP="00585327">
            <w:pPr>
              <w:jc w:val="center"/>
            </w:pPr>
            <w:r w:rsidRPr="00B42097">
              <w:t>18</w:t>
            </w:r>
          </w:p>
        </w:tc>
        <w:tc>
          <w:tcPr>
            <w:tcW w:w="867" w:type="dxa"/>
            <w:shd w:val="clear" w:color="auto" w:fill="auto"/>
            <w:tcMar>
              <w:top w:w="0" w:type="dxa"/>
              <w:left w:w="115" w:type="dxa"/>
              <w:bottom w:w="0" w:type="dxa"/>
              <w:right w:w="115" w:type="dxa"/>
            </w:tcMar>
            <w:vAlign w:val="center"/>
          </w:tcPr>
          <w:p w14:paraId="1E6F5956" w14:textId="77777777" w:rsidR="001007AF" w:rsidRPr="00B42097" w:rsidRDefault="001007AF" w:rsidP="00585327">
            <w:pPr>
              <w:jc w:val="right"/>
            </w:pPr>
            <w:r w:rsidRPr="00B42097">
              <w:t>-1.98</w:t>
            </w:r>
          </w:p>
        </w:tc>
        <w:tc>
          <w:tcPr>
            <w:tcW w:w="1155" w:type="dxa"/>
            <w:shd w:val="clear" w:color="auto" w:fill="auto"/>
            <w:tcMar>
              <w:top w:w="0" w:type="dxa"/>
              <w:left w:w="115" w:type="dxa"/>
              <w:bottom w:w="0" w:type="dxa"/>
              <w:right w:w="115" w:type="dxa"/>
            </w:tcMar>
            <w:vAlign w:val="center"/>
          </w:tcPr>
          <w:p w14:paraId="30C2FF6D" w14:textId="77777777" w:rsidR="001007AF" w:rsidRPr="00B42097" w:rsidRDefault="001007AF" w:rsidP="001007AF">
            <w:r w:rsidRPr="00B42097">
              <w:t>0.063</w:t>
            </w:r>
          </w:p>
        </w:tc>
      </w:tr>
      <w:tr w:rsidR="004F1C52" w:rsidRPr="00B42097" w14:paraId="51EC57F9" w14:textId="77777777" w:rsidTr="00DF3541">
        <w:trPr>
          <w:trHeight w:hRule="exact" w:val="397"/>
        </w:trPr>
        <w:tc>
          <w:tcPr>
            <w:tcW w:w="0" w:type="auto"/>
            <w:shd w:val="clear" w:color="auto" w:fill="auto"/>
            <w:tcMar>
              <w:top w:w="0" w:type="dxa"/>
              <w:left w:w="115" w:type="dxa"/>
              <w:bottom w:w="0" w:type="dxa"/>
              <w:right w:w="115" w:type="dxa"/>
            </w:tcMar>
            <w:vAlign w:val="center"/>
          </w:tcPr>
          <w:p w14:paraId="47854196" w14:textId="5F0F58B7" w:rsidR="001007AF" w:rsidRPr="00B42097" w:rsidRDefault="001007AF" w:rsidP="00585327">
            <w:pPr>
              <w:jc w:val="center"/>
            </w:pPr>
            <w:r w:rsidRPr="00B42097">
              <w:t>45</w:t>
            </w:r>
            <w:r w:rsidR="001F53DC" w:rsidRPr="00B42097">
              <w:t>°</w:t>
            </w:r>
          </w:p>
        </w:tc>
        <w:tc>
          <w:tcPr>
            <w:tcW w:w="1911" w:type="dxa"/>
            <w:shd w:val="clear" w:color="auto" w:fill="auto"/>
            <w:tcMar>
              <w:top w:w="0" w:type="dxa"/>
              <w:left w:w="115" w:type="dxa"/>
              <w:bottom w:w="0" w:type="dxa"/>
              <w:right w:w="115" w:type="dxa"/>
            </w:tcMar>
            <w:vAlign w:val="center"/>
          </w:tcPr>
          <w:p w14:paraId="5E31FB85" w14:textId="77777777" w:rsidR="001007AF" w:rsidRPr="00B42097" w:rsidRDefault="001007AF" w:rsidP="00585327">
            <w:pPr>
              <w:jc w:val="right"/>
            </w:pPr>
            <w:r w:rsidRPr="00B42097">
              <w:t>-1.02 (2.84)</w:t>
            </w:r>
          </w:p>
        </w:tc>
        <w:tc>
          <w:tcPr>
            <w:tcW w:w="1686" w:type="dxa"/>
            <w:shd w:val="clear" w:color="auto" w:fill="auto"/>
            <w:tcMar>
              <w:top w:w="0" w:type="dxa"/>
              <w:left w:w="115" w:type="dxa"/>
              <w:bottom w:w="0" w:type="dxa"/>
              <w:right w:w="115" w:type="dxa"/>
            </w:tcMar>
            <w:vAlign w:val="center"/>
          </w:tcPr>
          <w:p w14:paraId="3E8B09F6" w14:textId="77777777" w:rsidR="001007AF" w:rsidRPr="00B42097" w:rsidRDefault="001007AF" w:rsidP="00585327">
            <w:pPr>
              <w:jc w:val="right"/>
            </w:pPr>
            <w:r w:rsidRPr="00B42097">
              <w:t>1.14 (3.1)</w:t>
            </w:r>
          </w:p>
        </w:tc>
        <w:tc>
          <w:tcPr>
            <w:tcW w:w="1057" w:type="dxa"/>
            <w:shd w:val="clear" w:color="auto" w:fill="auto"/>
            <w:tcMar>
              <w:top w:w="0" w:type="dxa"/>
              <w:left w:w="115" w:type="dxa"/>
              <w:bottom w:w="0" w:type="dxa"/>
              <w:right w:w="115" w:type="dxa"/>
            </w:tcMar>
            <w:vAlign w:val="center"/>
          </w:tcPr>
          <w:p w14:paraId="770A0ABD" w14:textId="77777777" w:rsidR="001007AF" w:rsidRPr="00B42097" w:rsidRDefault="001007AF" w:rsidP="00585327">
            <w:pPr>
              <w:jc w:val="center"/>
            </w:pPr>
            <w:r w:rsidRPr="00B42097">
              <w:t>18</w:t>
            </w:r>
          </w:p>
        </w:tc>
        <w:tc>
          <w:tcPr>
            <w:tcW w:w="867" w:type="dxa"/>
            <w:shd w:val="clear" w:color="auto" w:fill="auto"/>
            <w:tcMar>
              <w:top w:w="0" w:type="dxa"/>
              <w:left w:w="115" w:type="dxa"/>
              <w:bottom w:w="0" w:type="dxa"/>
              <w:right w:w="115" w:type="dxa"/>
            </w:tcMar>
            <w:vAlign w:val="center"/>
          </w:tcPr>
          <w:p w14:paraId="574AF5D6" w14:textId="77777777" w:rsidR="001007AF" w:rsidRPr="00B42097" w:rsidRDefault="001007AF" w:rsidP="00585327">
            <w:pPr>
              <w:jc w:val="right"/>
            </w:pPr>
            <w:r w:rsidRPr="00B42097">
              <w:t>1.62</w:t>
            </w:r>
          </w:p>
        </w:tc>
        <w:tc>
          <w:tcPr>
            <w:tcW w:w="1155" w:type="dxa"/>
            <w:shd w:val="clear" w:color="auto" w:fill="auto"/>
            <w:tcMar>
              <w:top w:w="0" w:type="dxa"/>
              <w:left w:w="115" w:type="dxa"/>
              <w:bottom w:w="0" w:type="dxa"/>
              <w:right w:w="115" w:type="dxa"/>
            </w:tcMar>
            <w:vAlign w:val="center"/>
          </w:tcPr>
          <w:p w14:paraId="71C5F246" w14:textId="77777777" w:rsidR="001007AF" w:rsidRPr="00B42097" w:rsidRDefault="001007AF" w:rsidP="001007AF">
            <w:r w:rsidRPr="00B42097">
              <w:t>0.122</w:t>
            </w:r>
          </w:p>
        </w:tc>
      </w:tr>
      <w:tr w:rsidR="004F1C52" w:rsidRPr="00B42097" w14:paraId="04EEADD1" w14:textId="77777777" w:rsidTr="00DF3541">
        <w:trPr>
          <w:trHeight w:hRule="exact" w:val="397"/>
        </w:trPr>
        <w:tc>
          <w:tcPr>
            <w:tcW w:w="0" w:type="auto"/>
            <w:shd w:val="clear" w:color="auto" w:fill="auto"/>
            <w:tcMar>
              <w:top w:w="0" w:type="dxa"/>
              <w:left w:w="115" w:type="dxa"/>
              <w:bottom w:w="0" w:type="dxa"/>
              <w:right w:w="115" w:type="dxa"/>
            </w:tcMar>
            <w:vAlign w:val="center"/>
          </w:tcPr>
          <w:p w14:paraId="72F7BEB3" w14:textId="69F28008" w:rsidR="001007AF" w:rsidRPr="00B42097" w:rsidRDefault="001007AF" w:rsidP="00585327">
            <w:pPr>
              <w:jc w:val="center"/>
            </w:pPr>
            <w:r w:rsidRPr="00B42097">
              <w:t>135</w:t>
            </w:r>
            <w:r w:rsidR="001F53DC" w:rsidRPr="00B42097">
              <w:t>°</w:t>
            </w:r>
          </w:p>
        </w:tc>
        <w:tc>
          <w:tcPr>
            <w:tcW w:w="1911" w:type="dxa"/>
            <w:shd w:val="clear" w:color="auto" w:fill="auto"/>
            <w:tcMar>
              <w:top w:w="0" w:type="dxa"/>
              <w:left w:w="115" w:type="dxa"/>
              <w:bottom w:w="0" w:type="dxa"/>
              <w:right w:w="115" w:type="dxa"/>
            </w:tcMar>
            <w:vAlign w:val="center"/>
          </w:tcPr>
          <w:p w14:paraId="255BD1AA" w14:textId="77777777" w:rsidR="001007AF" w:rsidRPr="00B42097" w:rsidRDefault="001007AF" w:rsidP="00585327">
            <w:pPr>
              <w:jc w:val="right"/>
            </w:pPr>
            <w:r w:rsidRPr="00B42097">
              <w:t>3.01 (2.03)</w:t>
            </w:r>
          </w:p>
        </w:tc>
        <w:tc>
          <w:tcPr>
            <w:tcW w:w="1686" w:type="dxa"/>
            <w:shd w:val="clear" w:color="auto" w:fill="auto"/>
            <w:tcMar>
              <w:top w:w="0" w:type="dxa"/>
              <w:left w:w="115" w:type="dxa"/>
              <w:bottom w:w="0" w:type="dxa"/>
              <w:right w:w="115" w:type="dxa"/>
            </w:tcMar>
            <w:vAlign w:val="center"/>
          </w:tcPr>
          <w:p w14:paraId="4E872B51" w14:textId="77777777" w:rsidR="001007AF" w:rsidRPr="00B42097" w:rsidRDefault="001007AF" w:rsidP="00585327">
            <w:pPr>
              <w:jc w:val="right"/>
            </w:pPr>
            <w:r w:rsidRPr="00B42097">
              <w:t>4.91 (1.68)</w:t>
            </w:r>
          </w:p>
        </w:tc>
        <w:tc>
          <w:tcPr>
            <w:tcW w:w="1057" w:type="dxa"/>
            <w:shd w:val="clear" w:color="auto" w:fill="auto"/>
            <w:tcMar>
              <w:top w:w="0" w:type="dxa"/>
              <w:left w:w="115" w:type="dxa"/>
              <w:bottom w:w="0" w:type="dxa"/>
              <w:right w:w="115" w:type="dxa"/>
            </w:tcMar>
            <w:vAlign w:val="center"/>
          </w:tcPr>
          <w:p w14:paraId="3295A3FC" w14:textId="77777777" w:rsidR="001007AF" w:rsidRPr="00B42097" w:rsidRDefault="001007AF" w:rsidP="00585327">
            <w:pPr>
              <w:jc w:val="center"/>
            </w:pPr>
            <w:r w:rsidRPr="00B42097">
              <w:t>18</w:t>
            </w:r>
          </w:p>
        </w:tc>
        <w:tc>
          <w:tcPr>
            <w:tcW w:w="867" w:type="dxa"/>
            <w:shd w:val="clear" w:color="auto" w:fill="auto"/>
            <w:tcMar>
              <w:top w:w="0" w:type="dxa"/>
              <w:left w:w="115" w:type="dxa"/>
              <w:bottom w:w="0" w:type="dxa"/>
              <w:right w:w="115" w:type="dxa"/>
            </w:tcMar>
            <w:vAlign w:val="center"/>
          </w:tcPr>
          <w:p w14:paraId="31C0C10E" w14:textId="77777777" w:rsidR="001007AF" w:rsidRPr="00B42097" w:rsidRDefault="001007AF" w:rsidP="00585327">
            <w:pPr>
              <w:jc w:val="right"/>
            </w:pPr>
            <w:r w:rsidRPr="00B42097">
              <w:t>2.27</w:t>
            </w:r>
          </w:p>
        </w:tc>
        <w:tc>
          <w:tcPr>
            <w:tcW w:w="1155" w:type="dxa"/>
            <w:shd w:val="clear" w:color="auto" w:fill="auto"/>
            <w:tcMar>
              <w:top w:w="0" w:type="dxa"/>
              <w:left w:w="115" w:type="dxa"/>
              <w:bottom w:w="0" w:type="dxa"/>
              <w:right w:w="115" w:type="dxa"/>
            </w:tcMar>
            <w:vAlign w:val="center"/>
          </w:tcPr>
          <w:p w14:paraId="4ABB0D01" w14:textId="77777777" w:rsidR="001007AF" w:rsidRPr="00B42097" w:rsidRDefault="001007AF" w:rsidP="001007AF">
            <w:r w:rsidRPr="00B42097">
              <w:t>0.036*</w:t>
            </w:r>
          </w:p>
        </w:tc>
      </w:tr>
    </w:tbl>
    <w:p w14:paraId="6A1B419C" w14:textId="6CE4E8DC" w:rsidR="002158FE" w:rsidRDefault="002158FE" w:rsidP="00D216F9">
      <w:pPr>
        <w:pStyle w:val="Heading3"/>
      </w:pPr>
      <w:r>
        <w:t>Effect of viewpoint on slope of psychometric function</w:t>
      </w:r>
    </w:p>
    <w:p w14:paraId="23222178" w14:textId="32362DA9" w:rsidR="00DF3541" w:rsidRDefault="002158FE" w:rsidP="00D216F9">
      <w:r>
        <w:t xml:space="preserve">Although we had no strong </w:t>
      </w:r>
      <w:r w:rsidR="00C81E3B">
        <w:t>prior</w:t>
      </w:r>
      <w:r>
        <w:t xml:space="preserve"> hypothesis concerning the effect of viewpoint on the slope of the psychometric function, we recorded and analysed these data (Figure 3) which give an indication of the way that the consistency of responses changes around the threshold, and might be interpreted in terms of participants’ certainty or uncertainty about judgements under different degrees of spatial distortion.</w:t>
      </w:r>
      <w:r w:rsidR="00C81E3B">
        <w:t xml:space="preserve"> </w:t>
      </w:r>
      <w:r w:rsidR="00556894" w:rsidRPr="00B42097">
        <w:t xml:space="preserve">Comparing these values using an exploratory repeated measures one-way ANOVA we </w:t>
      </w:r>
      <w:r w:rsidR="00C81E3B" w:rsidRPr="00B42097">
        <w:t>f</w:t>
      </w:r>
      <w:r w:rsidR="00C81E3B">
        <w:t>ound</w:t>
      </w:r>
      <w:r w:rsidR="00C81E3B" w:rsidRPr="00B42097">
        <w:t xml:space="preserve"> </w:t>
      </w:r>
      <w:r w:rsidR="00556894" w:rsidRPr="00B42097">
        <w:t>no statistically significant differences in either Experiment 1 or Experiment 2 (Experiment1: F(4,36) =2.08 (p = 0.10 ), Experiment 2: F(4,36) = 2.84 (p = 0.20))</w:t>
      </w:r>
      <w:r w:rsidR="000F78B4">
        <w:t>. However</w:t>
      </w:r>
      <w:r w:rsidR="00DA5B7C">
        <w:t>,</w:t>
      </w:r>
      <w:r w:rsidR="00556894" w:rsidRPr="00B42097">
        <w:t xml:space="preserve"> the </w:t>
      </w:r>
      <w:r w:rsidR="00A337E0">
        <w:t>non-monotonic</w:t>
      </w:r>
      <w:r w:rsidR="00511DBF">
        <w:t xml:space="preserve"> </w:t>
      </w:r>
      <w:r w:rsidR="00556894" w:rsidRPr="00B42097">
        <w:t xml:space="preserve">numerical pattern is strikingly similar in showing the shallowest slopes for the 45° condition in both experiments (a pattern which is </w:t>
      </w:r>
      <w:r w:rsidR="00050E83">
        <w:t xml:space="preserve">also </w:t>
      </w:r>
      <w:r w:rsidR="00556894" w:rsidRPr="00B42097">
        <w:t>evident in Figure 2).</w:t>
      </w:r>
      <w:r w:rsidR="00511DBF">
        <w:t xml:space="preserve">  </w:t>
      </w:r>
      <w:r w:rsidR="00DF3541">
        <w:br w:type="page"/>
      </w:r>
    </w:p>
    <w:p w14:paraId="27AFDB93" w14:textId="19BF65C1" w:rsidR="007E7C30" w:rsidRPr="00B42097" w:rsidRDefault="00065810" w:rsidP="007E7C30">
      <w:r>
        <w:rPr>
          <w:noProof/>
        </w:rPr>
        <w:lastRenderedPageBreak/>
        <w:drawing>
          <wp:inline distT="0" distB="0" distL="0" distR="0" wp14:anchorId="3FDC6F77" wp14:editId="7CAD2708">
            <wp:extent cx="5720715" cy="6503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720715" cy="6503035"/>
                    </a:xfrm>
                    <a:prstGeom prst="rect">
                      <a:avLst/>
                    </a:prstGeom>
                    <a:noFill/>
                    <a:ln>
                      <a:noFill/>
                    </a:ln>
                  </pic:spPr>
                </pic:pic>
              </a:graphicData>
            </a:graphic>
          </wp:inline>
        </w:drawing>
      </w:r>
    </w:p>
    <w:p w14:paraId="2CFFCD46" w14:textId="4A33413C" w:rsidR="008D4AB0" w:rsidRPr="00B42097" w:rsidRDefault="007E7C30" w:rsidP="008D013D">
      <w:pPr>
        <w:pStyle w:val="Figurecaption"/>
      </w:pPr>
      <w:r w:rsidRPr="00B42097">
        <w:t xml:space="preserve">Figure </w:t>
      </w:r>
      <w:r w:rsidR="00AE5DC5" w:rsidRPr="00B42097">
        <w:t>3</w:t>
      </w:r>
      <w:r w:rsidRPr="00B42097">
        <w:t xml:space="preserve">, </w:t>
      </w:r>
      <w:r w:rsidR="00616F76" w:rsidRPr="00B42097">
        <w:t>D</w:t>
      </w:r>
      <w:r w:rsidRPr="00B42097">
        <w:t xml:space="preserve">istribution of estimated </w:t>
      </w:r>
      <w:r w:rsidR="00816A86" w:rsidRPr="00B42097">
        <w:t xml:space="preserve">psychometric </w:t>
      </w:r>
      <w:r w:rsidRPr="00B42097">
        <w:t>slope</w:t>
      </w:r>
      <w:r w:rsidR="00616F76" w:rsidRPr="00B42097">
        <w:t xml:space="preserve"> parameter</w:t>
      </w:r>
      <w:r w:rsidR="00E2269C" w:rsidRPr="00B42097">
        <w:t xml:space="preserve"> as Weibull beta (left</w:t>
      </w:r>
      <w:r w:rsidR="009C7DAA" w:rsidRPr="00B42097">
        <w:t xml:space="preserve"> axis</w:t>
      </w:r>
      <w:r w:rsidR="00E2269C" w:rsidRPr="00B42097">
        <w:t>) and l</w:t>
      </w:r>
      <w:r w:rsidR="00CC50B9" w:rsidRPr="00B42097">
        <w:t xml:space="preserve">ogistic scale </w:t>
      </w:r>
      <w:r w:rsidR="00E2269C" w:rsidRPr="00B42097">
        <w:t>(right</w:t>
      </w:r>
      <w:r w:rsidR="009C7DAA" w:rsidRPr="00B42097">
        <w:t xml:space="preserve"> axis</w:t>
      </w:r>
      <w:r w:rsidR="00E2269C" w:rsidRPr="00B42097">
        <w:t>). High beta</w:t>
      </w:r>
      <w:r w:rsidR="00616F76" w:rsidRPr="00B42097">
        <w:t xml:space="preserve"> values indicate steeper sloping sigmoid curves</w:t>
      </w:r>
      <w:r w:rsidR="00C16B80" w:rsidRPr="00B42097">
        <w:t>.</w:t>
      </w:r>
      <w:r w:rsidR="00616F76" w:rsidRPr="00B42097">
        <w:t xml:space="preserve"> Small points indicate individual participant estimates, larger grey circle indicates group</w:t>
      </w:r>
      <w:r w:rsidR="00065810">
        <w:t xml:space="preserve"> geometric</w:t>
      </w:r>
      <w:r w:rsidR="00616F76" w:rsidRPr="00B42097">
        <w:t xml:space="preserve"> mean estimate for each condition. </w:t>
      </w:r>
      <w:proofErr w:type="gramStart"/>
      <w:r w:rsidR="00616F76" w:rsidRPr="00B42097">
        <w:t>A</w:t>
      </w:r>
      <w:proofErr w:type="gramEnd"/>
      <w:r w:rsidR="00616F76" w:rsidRPr="00B42097">
        <w:t xml:space="preserve"> Experiment 1. B Experiment 2. </w:t>
      </w:r>
    </w:p>
    <w:p w14:paraId="7E73DD67" w14:textId="77777777" w:rsidR="001D2E4E" w:rsidRPr="00B42097" w:rsidRDefault="001D2E4E" w:rsidP="00450F55">
      <w:pPr>
        <w:pStyle w:val="Heading2"/>
      </w:pPr>
      <w:r w:rsidRPr="00B42097">
        <w:t>Modelling spatial precision as a function of viewpoint shift</w:t>
      </w:r>
    </w:p>
    <w:p w14:paraId="637BF8DA" w14:textId="6D6CA73D" w:rsidR="001D2E4E" w:rsidRPr="00B42097" w:rsidRDefault="001D2E4E" w:rsidP="00661B9E">
      <w:pPr>
        <w:pStyle w:val="BodyText"/>
      </w:pPr>
      <w:r w:rsidRPr="00B42097">
        <w:t>Across view conditions</w:t>
      </w:r>
      <w:r w:rsidR="00450F55" w:rsidRPr="00B42097">
        <w:t xml:space="preserve"> in both experiments</w:t>
      </w:r>
      <w:r w:rsidRPr="00B42097">
        <w:t>, each participant reliably produced a similar pattern of results (</w:t>
      </w:r>
      <w:r w:rsidR="002B5F8B" w:rsidRPr="00B42097">
        <w:t xml:space="preserve">see </w:t>
      </w:r>
      <w:r w:rsidRPr="00B42097">
        <w:t xml:space="preserve">Figure </w:t>
      </w:r>
      <w:r w:rsidR="00463D70" w:rsidRPr="00B42097">
        <w:t>4</w:t>
      </w:r>
      <w:r w:rsidRPr="00B42097">
        <w:t>). Spatial precision thresholds were lowest (i.e., performance was best) in the 0</w:t>
      </w:r>
      <w:r w:rsidR="00C7257F" w:rsidRPr="00B42097">
        <w:t>°</w:t>
      </w:r>
      <w:r w:rsidRPr="00B42097">
        <w:rPr>
          <w:shd w:val="clear" w:color="auto" w:fill="FFFFFF"/>
        </w:rPr>
        <w:t xml:space="preserve"> viewpoint shift condition and increased monotonically as the angle </w:t>
      </w:r>
      <w:r w:rsidRPr="00B42097">
        <w:rPr>
          <w:shd w:val="clear" w:color="auto" w:fill="FFFFFF"/>
        </w:rPr>
        <w:lastRenderedPageBreak/>
        <w:t>between viewpoint</w:t>
      </w:r>
      <w:r w:rsidR="003E4158" w:rsidRPr="00B42097">
        <w:rPr>
          <w:shd w:val="clear" w:color="auto" w:fill="FFFFFF"/>
        </w:rPr>
        <w:t>s at presentation and testing</w:t>
      </w:r>
      <w:r w:rsidRPr="00B42097">
        <w:rPr>
          <w:shd w:val="clear" w:color="auto" w:fill="FFFFFF"/>
        </w:rPr>
        <w:t xml:space="preserve"> increased. Thresholds seemed to plateau beyond the 45</w:t>
      </w:r>
      <w:r w:rsidR="00C7257F" w:rsidRPr="00B42097">
        <w:rPr>
          <w:shd w:val="clear" w:color="auto" w:fill="FFFFFF"/>
        </w:rPr>
        <w:t>°</w:t>
      </w:r>
      <w:r w:rsidRPr="00B42097">
        <w:rPr>
          <w:shd w:val="clear" w:color="auto" w:fill="FFFFFF"/>
        </w:rPr>
        <w:t xml:space="preserve"> viewpoint shift. </w:t>
      </w:r>
      <w:r w:rsidRPr="00B42097">
        <w:t xml:space="preserve">To </w:t>
      </w:r>
      <w:r w:rsidR="00A21E45" w:rsidRPr="00B42097">
        <w:t>quantify</w:t>
      </w:r>
      <w:r w:rsidRPr="00B42097">
        <w:t xml:space="preserve"> the relationship between </w:t>
      </w:r>
      <w:r w:rsidR="00A21E45" w:rsidRPr="00B42097">
        <w:t xml:space="preserve">view-dependent </w:t>
      </w:r>
      <w:r w:rsidRPr="00B42097">
        <w:t xml:space="preserve">and </w:t>
      </w:r>
      <w:r w:rsidR="00A21E45" w:rsidRPr="00B42097">
        <w:t xml:space="preserve">view-independent contributions to the task, </w:t>
      </w:r>
      <w:r w:rsidRPr="00B42097">
        <w:t>we modelled the relationship between spatial precision thresholds and viewpoint change conditions with a single function which we had</w:t>
      </w:r>
      <w:r w:rsidR="000A36ED" w:rsidRPr="00B42097">
        <w:t xml:space="preserve"> preregistered</w:t>
      </w:r>
      <w:r w:rsidR="00816A86" w:rsidRPr="00B42097">
        <w:t xml:space="preserve"> (see </w:t>
      </w:r>
      <w:hyperlink r:id="rId15" w:history="1">
        <w:r w:rsidR="00816A86" w:rsidRPr="00B42097">
          <w:rPr>
            <w:rStyle w:val="Hyperlink"/>
          </w:rPr>
          <w:t>https://osf.io/p6gzt/</w:t>
        </w:r>
      </w:hyperlink>
      <w:r w:rsidR="00816A86" w:rsidRPr="00B42097">
        <w:t xml:space="preserve"> and </w:t>
      </w:r>
      <w:hyperlink r:id="rId16" w:history="1">
        <w:r w:rsidR="00816A86" w:rsidRPr="00B42097">
          <w:rPr>
            <w:rStyle w:val="Hyperlink"/>
          </w:rPr>
          <w:t>https://osf.io/j7a8p/</w:t>
        </w:r>
      </w:hyperlink>
      <w:r w:rsidR="00816A86" w:rsidRPr="00B42097">
        <w:t>).</w:t>
      </w:r>
      <w:r w:rsidR="00A320A5">
        <w:t xml:space="preserve"> The model is defined as:</w:t>
      </w:r>
    </w:p>
    <w:p w14:paraId="6D7E6FD9" w14:textId="74534F64" w:rsidR="00AE5DC5" w:rsidRPr="00B42097" w:rsidRDefault="00AE5DC5" w:rsidP="00AE5DC5">
      <w:pPr>
        <w:pStyle w:val="Newparagraph"/>
        <w:ind w:left="2880" w:firstLine="0"/>
      </w:pPr>
      <m:oMath>
        <m:r>
          <w:rPr>
            <w:rFonts w:ascii="Cambria Math" w:hAnsi="Cambria Math"/>
          </w:rPr>
          <m:t>f</m:t>
        </m:r>
        <m:d>
          <m:dPr>
            <m:ctrlPr>
              <w:rPr>
                <w:rFonts w:ascii="Cambria Math" w:hAnsi="Cambria Math"/>
              </w:rPr>
            </m:ctrlPr>
          </m:dPr>
          <m:e>
            <m:r>
              <w:rPr>
                <w:rFonts w:ascii="Cambria Math" w:hAnsi="Cambria Math"/>
              </w:rPr>
              <m:t>θ</m:t>
            </m:r>
            <m:ctrlPr>
              <w:rPr>
                <w:rFonts w:ascii="Cambria Math" w:hAnsi="Cambria Math"/>
                <w:i/>
              </w:rPr>
            </m:ctrlPr>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Cs/>
                      </w:rPr>
                    </m:ctrlPr>
                  </m:fPr>
                  <m:num>
                    <m:r>
                      <w:rPr>
                        <w:rFonts w:ascii="Cambria Math" w:hAnsi="Cambria Math"/>
                      </w:rPr>
                      <m:t>θ</m:t>
                    </m:r>
                    <m:ctrlPr>
                      <w:rPr>
                        <w:rFonts w:ascii="Cambria Math" w:hAnsi="Cambria Math"/>
                      </w:rPr>
                    </m:ctrlPr>
                  </m:num>
                  <m:den>
                    <m:r>
                      <w:rPr>
                        <w:rFonts w:ascii="Cambria Math" w:hAnsi="Cambria Math"/>
                      </w:rPr>
                      <m:t>π</m:t>
                    </m:r>
                    <m:ctrlPr>
                      <w:rPr>
                        <w:rFonts w:ascii="Cambria Math" w:hAnsi="Cambria Math"/>
                      </w:rPr>
                    </m:ctrlPr>
                  </m:den>
                </m:f>
              </m:e>
            </m:d>
          </m:e>
          <m:sup>
            <m:r>
              <w:rPr>
                <w:rFonts w:ascii="Cambria Math" w:hAnsi="Cambria Math"/>
              </w:rPr>
              <m:t>b</m:t>
            </m:r>
          </m:sup>
        </m:sSup>
        <m:r>
          <w:rPr>
            <w:rFonts w:ascii="Cambria Math" w:hAnsi="Cambria Math"/>
          </w:rPr>
          <m:t>+c</m:t>
        </m:r>
      </m:oMath>
      <w:r w:rsidRPr="00B42097">
        <w:t xml:space="preserve"> </w:t>
      </w:r>
      <w:r w:rsidRPr="00B42097">
        <w:tab/>
      </w:r>
      <w:r w:rsidRPr="00B42097">
        <w:tab/>
      </w:r>
      <w:r w:rsidRPr="00B42097">
        <w:tab/>
      </w:r>
      <w:r w:rsidRPr="00B42097">
        <w:tab/>
        <w:t>(</w:t>
      </w:r>
      <w:r w:rsidR="007A14F0">
        <w:t>2</w:t>
      </w:r>
      <w:r w:rsidRPr="00B42097">
        <w:t>)</w:t>
      </w:r>
    </w:p>
    <w:p w14:paraId="1DA070AF" w14:textId="1FF9A31D" w:rsidR="00C81E3B" w:rsidRDefault="00050E83" w:rsidP="00661B9E">
      <w:pPr>
        <w:pStyle w:val="BodyText"/>
      </w:pPr>
      <w:r>
        <w:t xml:space="preserve">This function </w:t>
      </w:r>
      <w:r w:rsidR="00A21E45" w:rsidRPr="00B42097">
        <w:t>describes a family of curves relating spatial change detection thresholds to viewpoint change</w:t>
      </w:r>
      <w:r w:rsidR="00A320A5">
        <w:t xml:space="preserve"> (see Figure 4)</w:t>
      </w:r>
      <w:r w:rsidR="00A21E45" w:rsidRPr="00B42097">
        <w:t xml:space="preserve">. Its </w:t>
      </w:r>
      <w:r w:rsidR="001D2E4E" w:rsidRPr="00B42097">
        <w:t>three parameters</w:t>
      </w:r>
      <w:r w:rsidR="00A21E45" w:rsidRPr="00B42097">
        <w:t xml:space="preserve"> distinguish viewpoint specific, </w:t>
      </w:r>
      <w:r w:rsidR="005B0B01" w:rsidRPr="00B42097">
        <w:t>viewpoint-dependent</w:t>
      </w:r>
      <w:r w:rsidR="00A21E45" w:rsidRPr="00B42097">
        <w:t xml:space="preserve"> and </w:t>
      </w:r>
      <w:r w:rsidR="005B0B01" w:rsidRPr="00B42097">
        <w:t>viewpoint-independent</w:t>
      </w:r>
      <w:r w:rsidR="00A21E45" w:rsidRPr="00B42097">
        <w:t xml:space="preserve"> features; </w:t>
      </w:r>
      <w:r w:rsidR="001D2E4E" w:rsidRPr="00B42097">
        <w:rPr>
          <w:i/>
          <w:iCs/>
        </w:rPr>
        <w:t xml:space="preserve">a </w:t>
      </w:r>
      <w:r w:rsidR="000641B6" w:rsidRPr="00B42097">
        <w:rPr>
          <w:iCs/>
        </w:rPr>
        <w:t xml:space="preserve">governs </w:t>
      </w:r>
      <w:r w:rsidR="001D2E4E" w:rsidRPr="00B42097">
        <w:t>the intercept with the y axis which represents the spatial precision in the</w:t>
      </w:r>
      <w:r w:rsidR="00AE5DC5" w:rsidRPr="00B42097">
        <w:t xml:space="preserve"> </w:t>
      </w:r>
      <w:r w:rsidR="001D2E4E" w:rsidRPr="00B42097">
        <w:t>0</w:t>
      </w:r>
      <w:bookmarkStart w:id="4" w:name="_Hlk44346237"/>
      <w:r w:rsidR="001D2E4E" w:rsidRPr="00B42097">
        <w:t>°</w:t>
      </w:r>
      <w:bookmarkEnd w:id="4"/>
      <w:r w:rsidR="001D2E4E" w:rsidRPr="00B42097">
        <w:t xml:space="preserve"> rotation </w:t>
      </w:r>
      <w:r w:rsidR="00A21E45" w:rsidRPr="00B42097">
        <w:t>condition</w:t>
      </w:r>
      <w:r w:rsidR="00060B2B" w:rsidRPr="00B42097">
        <w:t xml:space="preserve"> (i.e., </w:t>
      </w:r>
      <w:r w:rsidR="000641B6" w:rsidRPr="00B42097">
        <w:t>viewpoint-</w:t>
      </w:r>
      <w:r w:rsidR="00060B2B" w:rsidRPr="00B42097">
        <w:t>specific performance)</w:t>
      </w:r>
      <w:r w:rsidR="00DB543F">
        <w:t>.</w:t>
      </w:r>
      <w:r w:rsidR="00060B2B" w:rsidRPr="00B42097">
        <w:t xml:space="preserve">; </w:t>
      </w:r>
      <w:r w:rsidR="00060B2B" w:rsidRPr="00B42097">
        <w:rPr>
          <w:i/>
          <w:iCs/>
        </w:rPr>
        <w:t>b</w:t>
      </w:r>
      <w:r w:rsidR="00060B2B" w:rsidRPr="00B42097">
        <w:t xml:space="preserve"> </w:t>
      </w:r>
      <w:r w:rsidR="000641B6" w:rsidRPr="00B42097">
        <w:t xml:space="preserve">determines </w:t>
      </w:r>
      <w:r w:rsidR="00060B2B" w:rsidRPr="00B42097">
        <w:t xml:space="preserve">the rate of change as viewpoint at test is rotated away from viewpoint at encoding for smaller viewpoint changes (i.e., </w:t>
      </w:r>
      <w:r w:rsidR="005B0B01" w:rsidRPr="00B42097">
        <w:t>viewpoint-dependent</w:t>
      </w:r>
      <w:r w:rsidR="00060B2B" w:rsidRPr="00B42097">
        <w:t xml:space="preserve"> performance); </w:t>
      </w:r>
      <w:r w:rsidR="001D2E4E" w:rsidRPr="00B42097">
        <w:rPr>
          <w:i/>
          <w:iCs/>
        </w:rPr>
        <w:t>c</w:t>
      </w:r>
      <w:r w:rsidR="001D2E4E" w:rsidRPr="00B42097">
        <w:t xml:space="preserve"> </w:t>
      </w:r>
      <w:r w:rsidR="000641B6" w:rsidRPr="00B42097">
        <w:t>is the</w:t>
      </w:r>
      <w:r w:rsidR="00A21E45" w:rsidRPr="00B42097">
        <w:t xml:space="preserve"> </w:t>
      </w:r>
      <w:r w:rsidR="001D2E4E" w:rsidRPr="00B42097">
        <w:t>asymptot</w:t>
      </w:r>
      <w:r w:rsidR="00A21E45" w:rsidRPr="00B42097">
        <w:t xml:space="preserve">e </w:t>
      </w:r>
      <w:r w:rsidR="000641B6" w:rsidRPr="00B42097">
        <w:t xml:space="preserve">of the curve </w:t>
      </w:r>
      <w:r w:rsidR="00A21E45" w:rsidRPr="00B42097">
        <w:t>as the viewpoint change tends to 180°</w:t>
      </w:r>
      <w:r w:rsidR="001D2E4E" w:rsidRPr="00B42097">
        <w:t xml:space="preserve">, </w:t>
      </w:r>
      <w:r w:rsidR="00060B2B" w:rsidRPr="00B42097">
        <w:t>(</w:t>
      </w:r>
      <w:r w:rsidR="00A21E45" w:rsidRPr="00B42097">
        <w:t xml:space="preserve">i.e., </w:t>
      </w:r>
      <w:r w:rsidR="001D2E4E" w:rsidRPr="00B42097">
        <w:t>the</w:t>
      </w:r>
      <w:r w:rsidR="00060B2B" w:rsidRPr="00B42097">
        <w:t xml:space="preserve"> </w:t>
      </w:r>
      <w:r w:rsidR="005B0B01" w:rsidRPr="00B42097">
        <w:t>viewpoint-independent</w:t>
      </w:r>
      <w:r w:rsidR="001D2E4E" w:rsidRPr="00B42097">
        <w:t xml:space="preserve"> limit of precision </w:t>
      </w:r>
      <w:r w:rsidR="00A21E45" w:rsidRPr="00B42097">
        <w:t>under large and unpredictable changes</w:t>
      </w:r>
      <w:r w:rsidR="00060B2B" w:rsidRPr="00B42097">
        <w:t xml:space="preserve"> in perspective)</w:t>
      </w:r>
      <w:r w:rsidR="00AE5DC5" w:rsidRPr="00B42097">
        <w:t>.</w:t>
      </w:r>
      <w:r w:rsidR="0059184E" w:rsidRPr="00B42097">
        <w:rPr>
          <w:noProof/>
          <w:bdr w:val="none" w:sz="0" w:space="0" w:color="auto" w:frame="1"/>
        </w:rPr>
        <w:t xml:space="preserve"> </w:t>
      </w:r>
      <w:r w:rsidR="001D2E4E" w:rsidRPr="00B42097">
        <w:rPr>
          <w:bdr w:val="none" w:sz="0" w:space="0" w:color="auto" w:frame="1"/>
        </w:rPr>
        <w:fldChar w:fldCharType="begin"/>
      </w:r>
      <w:r w:rsidR="001D2E4E" w:rsidRPr="00B42097">
        <w:rPr>
          <w:bdr w:val="none" w:sz="0" w:space="0" w:color="auto" w:frame="1"/>
        </w:rPr>
        <w:instrText xml:space="preserve"> INCLUDEPICTURE "https://lh6.googleusercontent.com/ZjQJcyFJf3k2dRqCgE1z_ql7nImg0raSEkDWDA-_IFNVjHHJ7BIJ2donQr1MR0gkE5rmPctD7owCNNAwR_ROjgrs0PIcgkixcwhfgkJ6pTMhSv6GTn-mnyTHZ3DMJYMLYX15oWQR" \* MERGEFORMATINET </w:instrText>
      </w:r>
      <w:r w:rsidR="001D2E4E" w:rsidRPr="00B42097">
        <w:rPr>
          <w:bdr w:val="none" w:sz="0" w:space="0" w:color="auto" w:frame="1"/>
        </w:rPr>
        <w:fldChar w:fldCharType="end"/>
      </w:r>
      <w:r w:rsidR="0059184E" w:rsidRPr="00B42097">
        <w:rPr>
          <w:noProof/>
          <w:bdr w:val="none" w:sz="0" w:space="0" w:color="auto" w:frame="1"/>
        </w:rPr>
        <w:t xml:space="preserve"> </w:t>
      </w:r>
      <w:r w:rsidR="000365B4">
        <w:t xml:space="preserve">Note </w:t>
      </w:r>
      <w:r w:rsidR="000365B4" w:rsidRPr="00050E83">
        <w:t xml:space="preserve">that </w:t>
      </w:r>
      <w:r w:rsidR="000365B4">
        <w:t>parameter</w:t>
      </w:r>
      <w:r w:rsidR="000365B4" w:rsidRPr="00D216F9">
        <w:rPr>
          <w:i/>
          <w:iCs/>
        </w:rPr>
        <w:t xml:space="preserve"> </w:t>
      </w:r>
      <w:r w:rsidR="000365B4">
        <w:rPr>
          <w:i/>
          <w:iCs/>
        </w:rPr>
        <w:t>a</w:t>
      </w:r>
      <w:r w:rsidR="000365B4">
        <w:t xml:space="preserve"> is always negative, reflecting the </w:t>
      </w:r>
      <w:r w:rsidR="000365B4" w:rsidRPr="00450F94">
        <w:rPr>
          <w:i/>
          <w:iCs/>
        </w:rPr>
        <w:t>decrease</w:t>
      </w:r>
      <w:r w:rsidR="000365B4">
        <w:t xml:space="preserve"> in threshold seen at smaller viewpoint changes.</w:t>
      </w:r>
      <w:r w:rsidR="0022757B">
        <w:t xml:space="preserve"> </w:t>
      </w:r>
    </w:p>
    <w:p w14:paraId="7A527BEA" w14:textId="6DB66C43" w:rsidR="00DF3541" w:rsidRDefault="0022757B" w:rsidP="00131977">
      <w:pPr>
        <w:pStyle w:val="BodyText"/>
      </w:pPr>
      <w:r>
        <w:t xml:space="preserve">Although the model is intended primarily as a descriptive one, the arrangement of equation 2 is intend to highlight the way the model characterizes </w:t>
      </w:r>
      <w:r w:rsidR="00050E83">
        <w:t xml:space="preserve">the </w:t>
      </w:r>
      <w:r>
        <w:t>view-threshold function in terms of the sum of two theoretically</w:t>
      </w:r>
      <w:r w:rsidR="00C81E3B">
        <w:t>-</w:t>
      </w:r>
      <w:r>
        <w:t>motivated components</w:t>
      </w:r>
      <w:r w:rsidR="00C81E3B">
        <w:t>,</w:t>
      </w:r>
      <w:r>
        <w:t xml:space="preserve"> one, </w:t>
      </w:r>
      <m:oMath>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Cs/>
                      </w:rPr>
                    </m:ctrlPr>
                  </m:fPr>
                  <m:num>
                    <m:r>
                      <w:rPr>
                        <w:rFonts w:ascii="Cambria Math" w:hAnsi="Cambria Math"/>
                      </w:rPr>
                      <m:t>θ</m:t>
                    </m:r>
                    <m:ctrlPr>
                      <w:rPr>
                        <w:rFonts w:ascii="Cambria Math" w:hAnsi="Cambria Math"/>
                      </w:rPr>
                    </m:ctrlPr>
                  </m:num>
                  <m:den>
                    <m:r>
                      <w:rPr>
                        <w:rFonts w:ascii="Cambria Math" w:hAnsi="Cambria Math"/>
                      </w:rPr>
                      <m:t>π</m:t>
                    </m:r>
                    <m:ctrlPr>
                      <w:rPr>
                        <w:rFonts w:ascii="Cambria Math" w:hAnsi="Cambria Math"/>
                      </w:rPr>
                    </m:ctrlPr>
                  </m:den>
                </m:f>
              </m:e>
            </m:d>
          </m:e>
          <m:sup>
            <m:r>
              <w:rPr>
                <w:rFonts w:ascii="Cambria Math" w:hAnsi="Cambria Math"/>
              </w:rPr>
              <m:t>b</m:t>
            </m:r>
          </m:sup>
        </m:sSup>
      </m:oMath>
      <w:r>
        <w:t>, arising from</w:t>
      </w:r>
      <w:r w:rsidR="00050E83">
        <w:t xml:space="preserve"> a</w:t>
      </w:r>
      <w:r>
        <w:t xml:space="preserve"> view-sensitive representation and the other, </w:t>
      </w:r>
      <w:r w:rsidRPr="00D216F9">
        <w:rPr>
          <w:i/>
          <w:iCs/>
        </w:rPr>
        <w:t>c</w:t>
      </w:r>
      <w:r>
        <w:rPr>
          <w:i/>
          <w:iCs/>
        </w:rPr>
        <w:t xml:space="preserve">, </w:t>
      </w:r>
      <w:r>
        <w:t>arising from a view-invariant representation.</w:t>
      </w:r>
      <w:r w:rsidR="00DF3541">
        <w:br w:type="page"/>
      </w:r>
    </w:p>
    <w:p w14:paraId="6EF90EBA" w14:textId="25EFC148" w:rsidR="004F25E1" w:rsidRPr="00B42097" w:rsidRDefault="007436EC" w:rsidP="008D013D">
      <w:pPr>
        <w:pStyle w:val="Figurecaption"/>
        <w:rPr>
          <w:sz w:val="24"/>
          <w:szCs w:val="24"/>
        </w:rPr>
      </w:pPr>
      <w:r w:rsidRPr="00B42097">
        <w:rPr>
          <w:noProof/>
        </w:rPr>
        <w:lastRenderedPageBreak/>
        <w:drawing>
          <wp:inline distT="0" distB="0" distL="0" distR="0" wp14:anchorId="60475258" wp14:editId="7BF777CC">
            <wp:extent cx="5731510" cy="4123143"/>
            <wp:effectExtent l="0" t="0" r="0" b="444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redo.pn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731510" cy="4123143"/>
                    </a:xfrm>
                    <a:prstGeom prst="rect">
                      <a:avLst/>
                    </a:prstGeom>
                  </pic:spPr>
                </pic:pic>
              </a:graphicData>
            </a:graphic>
          </wp:inline>
        </w:drawing>
      </w:r>
      <w:r w:rsidR="004F25E1" w:rsidRPr="00B42097">
        <w:t xml:space="preserve">Figure </w:t>
      </w:r>
      <w:r w:rsidR="00AE5DC5" w:rsidRPr="00B42097">
        <w:t>4</w:t>
      </w:r>
      <w:r w:rsidR="00E712FC" w:rsidRPr="00B42097">
        <w:t>;</w:t>
      </w:r>
      <w:r w:rsidR="004F25E1" w:rsidRPr="00B42097">
        <w:t xml:space="preserve"> </w:t>
      </w:r>
      <w:r w:rsidR="002B5F8B" w:rsidRPr="00B42097">
        <w:t>Relationship between viewpoint shift and threshold in individual participants, data and fitted model</w:t>
      </w:r>
      <w:r w:rsidR="00CB7A88" w:rsidRPr="00B42097">
        <w:t xml:space="preserve"> (equation</w:t>
      </w:r>
      <w:r w:rsidR="007A14F0">
        <w:t xml:space="preserve"> 2</w:t>
      </w:r>
      <w:r w:rsidR="00CB7A88" w:rsidRPr="00B42097">
        <w:t>)</w:t>
      </w:r>
      <w:r w:rsidR="002B5F8B" w:rsidRPr="00B42097">
        <w:t xml:space="preserve">. </w:t>
      </w:r>
      <w:proofErr w:type="gramStart"/>
      <w:r w:rsidR="002B5F8B" w:rsidRPr="00B42097">
        <w:t>A</w:t>
      </w:r>
      <w:proofErr w:type="gramEnd"/>
      <w:r w:rsidR="002B5F8B" w:rsidRPr="00B42097">
        <w:t xml:space="preserve"> Experiment 1 (Same/Different task) B Experiment 2 (2AFC task).</w:t>
      </w:r>
      <w:r w:rsidR="00CB7A88" w:rsidRPr="00B42097">
        <w:t xml:space="preserve"> Upper graphs show the fitted mode</w:t>
      </w:r>
      <w:r w:rsidR="002B60C9" w:rsidRPr="00B42097">
        <w:t>l</w:t>
      </w:r>
      <w:r w:rsidR="00CB7A88" w:rsidRPr="00B42097">
        <w:t xml:space="preserve"> for </w:t>
      </w:r>
      <w:r w:rsidR="002B60C9" w:rsidRPr="00B42097">
        <w:t xml:space="preserve">each </w:t>
      </w:r>
      <w:r w:rsidR="00CB7A88" w:rsidRPr="00B42097">
        <w:t xml:space="preserve">individual participant. Lower graphs show </w:t>
      </w:r>
      <w:r w:rsidR="002B60C9" w:rsidRPr="00B42097">
        <w:t>group average model fit (i.e., taking the mean parameter values over participants)</w:t>
      </w:r>
      <w:r w:rsidR="00CB7A88" w:rsidRPr="00B42097">
        <w:t>.</w:t>
      </w:r>
      <w:r w:rsidR="002B5F8B" w:rsidRPr="00B42097">
        <w:t xml:space="preserve"> Coloured p</w:t>
      </w:r>
      <w:r w:rsidR="004F25E1" w:rsidRPr="00B42097">
        <w:t>oints on the graph represent</w:t>
      </w:r>
      <w:r w:rsidR="00CB7A88" w:rsidRPr="00B42097">
        <w:t xml:space="preserve"> individual</w:t>
      </w:r>
      <w:r w:rsidR="004F25E1" w:rsidRPr="00B42097">
        <w:t xml:space="preserve"> participant threshold</w:t>
      </w:r>
      <w:r w:rsidR="00CB7A88" w:rsidRPr="00B42097">
        <w:t>s</w:t>
      </w:r>
      <w:r w:rsidR="002B5F8B" w:rsidRPr="00B42097">
        <w:t xml:space="preserve"> </w:t>
      </w:r>
      <w:r w:rsidR="004F25E1" w:rsidRPr="00B42097">
        <w:t>at each viewpoint</w:t>
      </w:r>
      <w:r w:rsidR="002B60C9" w:rsidRPr="00B42097">
        <w:t xml:space="preserve">, with the colour scheme corresponding to the </w:t>
      </w:r>
      <w:r w:rsidR="002B60C9" w:rsidRPr="008D013D">
        <w:t>curves in the upper panel</w:t>
      </w:r>
      <w:r w:rsidR="000641B6" w:rsidRPr="008D013D">
        <w:t>.</w:t>
      </w:r>
      <w:r w:rsidR="002B5F8B" w:rsidRPr="008D013D">
        <w:t xml:space="preserve"> </w:t>
      </w:r>
      <w:r w:rsidR="00CB7A88" w:rsidRPr="008D013D">
        <w:t>The</w:t>
      </w:r>
      <w:r w:rsidR="00CB7A88" w:rsidRPr="00B42097">
        <w:t xml:space="preserve"> dotted line represents the asymptotic plateau, the level of ability in the largest view rotation condition. This is described by parameter c in the fitted model.</w:t>
      </w:r>
    </w:p>
    <w:p w14:paraId="21B94518" w14:textId="6DFF5013" w:rsidR="00C81E3B" w:rsidRDefault="00F6670D" w:rsidP="00661B9E">
      <w:pPr>
        <w:pStyle w:val="BodyText"/>
      </w:pPr>
      <w:r w:rsidRPr="00B42097">
        <w:t xml:space="preserve">Figure </w:t>
      </w:r>
      <w:r w:rsidR="00AE5DC5" w:rsidRPr="00B42097">
        <w:t>4</w:t>
      </w:r>
      <w:r w:rsidRPr="00B42097">
        <w:t xml:space="preserve"> shows the fit of the model to each individual participant’s thresholds</w:t>
      </w:r>
      <w:r w:rsidR="00745492" w:rsidRPr="00B42097">
        <w:t xml:space="preserve"> (</w:t>
      </w:r>
      <w:r w:rsidR="00556894" w:rsidRPr="00B42097">
        <w:t>us</w:t>
      </w:r>
      <w:r w:rsidR="005E53ED" w:rsidRPr="00B42097">
        <w:t>ing</w:t>
      </w:r>
      <w:r w:rsidR="00F95CA9">
        <w:t xml:space="preserve"> </w:t>
      </w:r>
      <w:r w:rsidR="005E53ED" w:rsidRPr="00B42097">
        <w:t>‘</w:t>
      </w:r>
      <w:proofErr w:type="spellStart"/>
      <w:r w:rsidR="005E53ED" w:rsidRPr="00B42097">
        <w:t>lsqcurvefit</w:t>
      </w:r>
      <w:proofErr w:type="spellEnd"/>
      <w:r w:rsidR="005E53ED" w:rsidRPr="00B42097">
        <w:t xml:space="preserve">’ </w:t>
      </w:r>
      <w:r w:rsidR="00F67286">
        <w:t xml:space="preserve">as implemented in </w:t>
      </w:r>
      <w:proofErr w:type="spellStart"/>
      <w:r w:rsidR="005E53ED" w:rsidRPr="00B42097">
        <w:t>Matlab</w:t>
      </w:r>
      <w:proofErr w:type="spellEnd"/>
      <w:r w:rsidR="005E53ED" w:rsidRPr="00B42097">
        <w:t xml:space="preserve"> ver. R2019a</w:t>
      </w:r>
      <w:r w:rsidR="00556894" w:rsidRPr="00B42097">
        <w:t>)</w:t>
      </w:r>
      <w:r w:rsidR="005E53ED" w:rsidRPr="00B42097">
        <w:t>.</w:t>
      </w:r>
      <w:r w:rsidR="00556894" w:rsidRPr="00B42097">
        <w:t xml:space="preserve"> </w:t>
      </w:r>
      <w:r w:rsidR="00711706">
        <w:t xml:space="preserve">Briefly, this involves varying parameters </w:t>
      </w:r>
      <w:r w:rsidR="00711706">
        <w:rPr>
          <w:i/>
          <w:iCs/>
        </w:rPr>
        <w:t>a</w:t>
      </w:r>
      <w:r w:rsidR="00711706" w:rsidRPr="00D216F9">
        <w:t>,</w:t>
      </w:r>
      <w:r w:rsidR="00711706">
        <w:t xml:space="preserve"> </w:t>
      </w:r>
      <w:r w:rsidR="00711706">
        <w:rPr>
          <w:i/>
          <w:iCs/>
        </w:rPr>
        <w:t xml:space="preserve">b </w:t>
      </w:r>
      <w:r w:rsidR="00711706" w:rsidRPr="00D216F9">
        <w:t>and</w:t>
      </w:r>
      <w:r w:rsidR="00711706">
        <w:rPr>
          <w:i/>
          <w:iCs/>
        </w:rPr>
        <w:t xml:space="preserve"> c </w:t>
      </w:r>
      <w:r w:rsidR="00711706" w:rsidRPr="00D216F9">
        <w:t>systematically</w:t>
      </w:r>
      <w:r w:rsidR="00711706">
        <w:rPr>
          <w:i/>
          <w:iCs/>
        </w:rPr>
        <w:t xml:space="preserve"> </w:t>
      </w:r>
      <w:r w:rsidR="00711706">
        <w:t xml:space="preserve">to find the curve that minimizes the sum </w:t>
      </w:r>
      <w:r w:rsidR="002D3282">
        <w:t xml:space="preserve">(over viewpoints) </w:t>
      </w:r>
      <w:r w:rsidR="00711706">
        <w:t>of the squared distances between the observed data and the model</w:t>
      </w:r>
      <w:r w:rsidR="002D3282">
        <w:t>.</w:t>
      </w:r>
    </w:p>
    <w:p w14:paraId="54C7C0B4" w14:textId="0A64334A" w:rsidR="002D3282" w:rsidRDefault="00F6670D" w:rsidP="00D216F9">
      <w:pPr>
        <w:pStyle w:val="BodyText"/>
      </w:pPr>
      <w:r w:rsidRPr="00675588">
        <w:t>In</w:t>
      </w:r>
      <w:r w:rsidRPr="00B42097">
        <w:t xml:space="preserve"> both </w:t>
      </w:r>
      <w:r w:rsidR="000641B6" w:rsidRPr="00B42097">
        <w:t xml:space="preserve">experiments </w:t>
      </w:r>
      <w:r w:rsidRPr="00B42097">
        <w:t xml:space="preserve">the model provides a reasonably good fit to the </w:t>
      </w:r>
      <w:r w:rsidR="00B42097">
        <w:t xml:space="preserve">threshold </w:t>
      </w:r>
      <w:r w:rsidRPr="00B42097">
        <w:t xml:space="preserve">data, although the fits in </w:t>
      </w:r>
      <w:r w:rsidR="00607936" w:rsidRPr="00B42097">
        <w:t>Experiment 1</w:t>
      </w:r>
      <w:r w:rsidRPr="00B42097">
        <w:t xml:space="preserve"> are numerically poorer (</w:t>
      </w:r>
      <w:r w:rsidR="003C3F56" w:rsidRPr="00B42097">
        <w:t>Experiment 1</w:t>
      </w:r>
      <w:r w:rsidR="00B42097">
        <w:t>:</w:t>
      </w:r>
      <w:r w:rsidR="005E53ED" w:rsidRPr="00B42097">
        <w:t xml:space="preserve"> </w:t>
      </w:r>
      <w:r w:rsidR="000B1E20">
        <w:t>mean</w:t>
      </w:r>
      <w:r w:rsidR="005E53ED" w:rsidRPr="00B42097">
        <w:t xml:space="preserve"> RMS error = 1.14 dB </w:t>
      </w:r>
      <w:r w:rsidR="003C3F56" w:rsidRPr="00B42097">
        <w:t>, Experiment 2</w:t>
      </w:r>
      <w:r w:rsidR="00B42097">
        <w:t>:</w:t>
      </w:r>
      <w:r w:rsidR="005E53ED" w:rsidRPr="00B42097">
        <w:t xml:space="preserve"> </w:t>
      </w:r>
      <w:r w:rsidR="000B1E20">
        <w:t>mean</w:t>
      </w:r>
      <w:r w:rsidR="005E53ED" w:rsidRPr="00B42097">
        <w:t xml:space="preserve"> RMS error = 0.97 dB</w:t>
      </w:r>
      <w:r w:rsidR="00076481" w:rsidRPr="00B42097">
        <w:t>)</w:t>
      </w:r>
      <w:r w:rsidR="00917A9A" w:rsidRPr="00B42097">
        <w:t xml:space="preserve"> </w:t>
      </w:r>
      <w:r w:rsidRPr="00B42097">
        <w:t>and qualitativel</w:t>
      </w:r>
      <w:r w:rsidR="00CF3E40" w:rsidRPr="00B42097">
        <w:t xml:space="preserve">y, </w:t>
      </w:r>
      <w:r w:rsidR="000641B6" w:rsidRPr="00B42097">
        <w:t xml:space="preserve">for </w:t>
      </w:r>
      <w:r w:rsidR="0059184E" w:rsidRPr="00B42097">
        <w:t xml:space="preserve">three </w:t>
      </w:r>
      <w:r w:rsidR="000641B6" w:rsidRPr="00B42097">
        <w:t xml:space="preserve">participants </w:t>
      </w:r>
      <w:r w:rsidR="0059184E" w:rsidRPr="00B42097">
        <w:t xml:space="preserve">the </w:t>
      </w:r>
      <w:r w:rsidRPr="00B42097">
        <w:t xml:space="preserve">fitted </w:t>
      </w:r>
      <w:r w:rsidR="0059184E" w:rsidRPr="00B42097">
        <w:t>model</w:t>
      </w:r>
      <w:r w:rsidRPr="00B42097">
        <w:t xml:space="preserve"> suggests a nearly linear change</w:t>
      </w:r>
      <w:r w:rsidR="00CF3E40" w:rsidRPr="00B42097">
        <w:t>,</w:t>
      </w:r>
      <w:r w:rsidRPr="00B42097">
        <w:t xml:space="preserve"> </w:t>
      </w:r>
      <w:r w:rsidR="00CF3E40" w:rsidRPr="00B42097">
        <w:t>with the value of</w:t>
      </w:r>
      <w:r w:rsidR="0059184E" w:rsidRPr="00B42097">
        <w:t xml:space="preserve"> the </w:t>
      </w:r>
      <w:r w:rsidR="0059184E" w:rsidRPr="00B42097">
        <w:rPr>
          <w:i/>
          <w:iCs/>
        </w:rPr>
        <w:t>b</w:t>
      </w:r>
      <w:r w:rsidR="0059184E" w:rsidRPr="00B42097">
        <w:t xml:space="preserve"> parameter approaching </w:t>
      </w:r>
      <w:r w:rsidR="0059184E" w:rsidRPr="00511DBF">
        <w:t>1</w:t>
      </w:r>
      <w:r w:rsidR="000641B6" w:rsidRPr="00511DBF">
        <w:t>,</w:t>
      </w:r>
      <w:r w:rsidR="00CF3E40" w:rsidRPr="00511DBF">
        <w:t xml:space="preserve"> deviating from the anticipated curve with asymptote</w:t>
      </w:r>
      <w:r w:rsidR="0059184E" w:rsidRPr="004872FD">
        <w:t>.</w:t>
      </w:r>
      <w:r w:rsidR="00CF3E40" w:rsidRPr="004872FD" w:rsidDel="00CF3E40">
        <w:t xml:space="preserve"> </w:t>
      </w:r>
      <w:r w:rsidR="006B6454" w:rsidRPr="004933BF">
        <w:t xml:space="preserve">In direct comparison </w:t>
      </w:r>
      <w:r w:rsidR="00CD3345" w:rsidRPr="004933BF">
        <w:t>(</w:t>
      </w:r>
      <w:proofErr w:type="gramStart"/>
      <w:r w:rsidR="00CD3345" w:rsidRPr="004933BF">
        <w:t>Figure  5</w:t>
      </w:r>
      <w:proofErr w:type="gramEnd"/>
      <w:r w:rsidR="00CD3345" w:rsidRPr="004933BF">
        <w:t xml:space="preserve">) </w:t>
      </w:r>
      <w:r w:rsidR="006B6454" w:rsidRPr="004933BF">
        <w:t>we see statistically significant differences in the</w:t>
      </w:r>
      <w:r w:rsidR="006B6454" w:rsidRPr="00D216F9">
        <w:t xml:space="preserve"> </w:t>
      </w:r>
      <w:r w:rsidR="00917A9A" w:rsidRPr="00D216F9">
        <w:rPr>
          <w:i/>
          <w:iCs/>
        </w:rPr>
        <w:t>a</w:t>
      </w:r>
      <w:r w:rsidR="006B6454" w:rsidRPr="004933BF">
        <w:t xml:space="preserve"> parameter value between experiments (</w:t>
      </w:r>
      <w:r w:rsidR="006B6454" w:rsidRPr="00D216F9">
        <w:rPr>
          <w:i/>
          <w:iCs/>
        </w:rPr>
        <w:t>a</w:t>
      </w:r>
      <w:r w:rsidR="006B6454" w:rsidRPr="004933BF">
        <w:t xml:space="preserve">; t(18) = -4.76 p &lt; </w:t>
      </w:r>
      <w:r w:rsidR="00050E83">
        <w:t>.</w:t>
      </w:r>
      <w:r w:rsidR="006B6454" w:rsidRPr="004933BF">
        <w:t>001)</w:t>
      </w:r>
      <w:r w:rsidR="009950AE" w:rsidRPr="004933BF">
        <w:t>. H</w:t>
      </w:r>
      <w:r w:rsidR="006B6454" w:rsidRPr="004933BF">
        <w:t xml:space="preserve">owever, </w:t>
      </w:r>
      <w:r w:rsidR="002A02AD" w:rsidRPr="004933BF">
        <w:t xml:space="preserve">there were </w:t>
      </w:r>
      <w:r w:rsidR="006B6454" w:rsidRPr="004933BF">
        <w:t>no significant difference</w:t>
      </w:r>
      <w:r w:rsidR="00221EB7" w:rsidRPr="004933BF">
        <w:t>s</w:t>
      </w:r>
      <w:r w:rsidR="006B6454" w:rsidRPr="004933BF">
        <w:t xml:space="preserve"> between experiments </w:t>
      </w:r>
      <w:r w:rsidR="00221EB7" w:rsidRPr="004933BF">
        <w:t xml:space="preserve">for </w:t>
      </w:r>
      <w:r w:rsidR="006B6454" w:rsidRPr="004933BF">
        <w:t xml:space="preserve">parameters </w:t>
      </w:r>
      <w:r w:rsidR="006B6454" w:rsidRPr="00D216F9">
        <w:rPr>
          <w:i/>
          <w:iCs/>
        </w:rPr>
        <w:t>b</w:t>
      </w:r>
      <w:r w:rsidR="006B6454" w:rsidRPr="004933BF">
        <w:t xml:space="preserve"> or </w:t>
      </w:r>
      <w:r w:rsidR="006B6454" w:rsidRPr="00D216F9">
        <w:rPr>
          <w:i/>
          <w:iCs/>
        </w:rPr>
        <w:t>c</w:t>
      </w:r>
      <w:r w:rsidR="006B6454" w:rsidRPr="004933BF">
        <w:t xml:space="preserve"> (</w:t>
      </w:r>
      <w:r w:rsidR="006B6454" w:rsidRPr="00D216F9">
        <w:rPr>
          <w:i/>
          <w:iCs/>
        </w:rPr>
        <w:t>b</w:t>
      </w:r>
      <w:r w:rsidR="006B6454" w:rsidRPr="004933BF">
        <w:t xml:space="preserve">; </w:t>
      </w:r>
      <w:proofErr w:type="gramStart"/>
      <w:r w:rsidR="006B6454" w:rsidRPr="004933BF">
        <w:t>t(</w:t>
      </w:r>
      <w:proofErr w:type="gramEnd"/>
      <w:r w:rsidR="006B6454" w:rsidRPr="004933BF">
        <w:t xml:space="preserve">10.71) = -0.715 p &gt; 0.05, </w:t>
      </w:r>
      <w:r w:rsidR="006B6454" w:rsidRPr="00D216F9">
        <w:rPr>
          <w:i/>
          <w:iCs/>
        </w:rPr>
        <w:t>c</w:t>
      </w:r>
      <w:r w:rsidR="006B6454" w:rsidRPr="004933BF">
        <w:t xml:space="preserve">; t(18) </w:t>
      </w:r>
      <w:r w:rsidR="0085357C" w:rsidRPr="004933BF">
        <w:t xml:space="preserve"> = 0.23 p &gt;0.05).</w:t>
      </w:r>
      <w:r w:rsidR="0085357C" w:rsidRPr="00B42097">
        <w:t xml:space="preserve"> </w:t>
      </w:r>
    </w:p>
    <w:p w14:paraId="7C91347E" w14:textId="2F6EE7BE" w:rsidR="002A647A" w:rsidRPr="00B42097" w:rsidRDefault="0085357C" w:rsidP="00D216F9">
      <w:pPr>
        <w:pStyle w:val="Figurecaption"/>
      </w:pPr>
      <w:r w:rsidRPr="00B42097">
        <w:rPr>
          <w:i w:val="0"/>
          <w:iCs w:val="0"/>
          <w:noProof/>
        </w:rPr>
        <w:lastRenderedPageBreak/>
        <w:drawing>
          <wp:inline distT="0" distB="0" distL="0" distR="0" wp14:anchorId="654C4673" wp14:editId="2CA1EB50">
            <wp:extent cx="5731510" cy="3594735"/>
            <wp:effectExtent l="0" t="0" r="2540" b="571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redo.pn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5731510" cy="3594735"/>
                    </a:xfrm>
                    <a:prstGeom prst="rect">
                      <a:avLst/>
                    </a:prstGeom>
                  </pic:spPr>
                </pic:pic>
              </a:graphicData>
            </a:graphic>
          </wp:inline>
        </w:drawing>
      </w:r>
      <w:r w:rsidRPr="00B42097">
        <w:t xml:space="preserve">Figure 5 Distribution of model parameters. Small black dots represent individual participant coefficients. From left to right graphs show parameters a, b and c. Parameter a determines the intercept – the threshold spatial ability when the position at encoding is the same as the position at testing. </w:t>
      </w:r>
      <w:proofErr w:type="gramStart"/>
      <w:r w:rsidRPr="00B42097">
        <w:t>Parameter b,</w:t>
      </w:r>
      <w:proofErr w:type="gramEnd"/>
      <w:r w:rsidRPr="00B42097">
        <w:t xml:space="preserve"> describes the rate of change between precision in low viewpoint rotation conditions to precision in high viewpoint rotation conditions. Parameter c defines the asymptotic threshold representing the viewpoint-independent limit of spatial precision. *** indicates a significant difference in </w:t>
      </w:r>
      <w:proofErr w:type="gramStart"/>
      <w:r w:rsidRPr="00B42097">
        <w:t>the a</w:t>
      </w:r>
      <w:proofErr w:type="gramEnd"/>
      <w:r w:rsidRPr="00B42097">
        <w:t xml:space="preserve"> parameter for experiments 1 and 2, p&lt;0.001.</w:t>
      </w:r>
    </w:p>
    <w:p w14:paraId="17664E82" w14:textId="2FA68E3E" w:rsidR="00F37B05" w:rsidRPr="00B42097" w:rsidRDefault="00F37B05">
      <w:pPr>
        <w:pStyle w:val="Heading1"/>
      </w:pPr>
      <w:r w:rsidRPr="00B42097">
        <w:t>Discussion</w:t>
      </w:r>
    </w:p>
    <w:p w14:paraId="4ADE9F0A" w14:textId="0E778CF3" w:rsidR="00F37B05" w:rsidRDefault="00F37B05" w:rsidP="00661B9E">
      <w:pPr>
        <w:pStyle w:val="BodyText"/>
      </w:pPr>
      <w:r w:rsidRPr="00B42097">
        <w:t xml:space="preserve">Our aim in </w:t>
      </w:r>
      <w:r w:rsidRPr="008D013D">
        <w:t xml:space="preserve">the current study was to elucidate the relationship between changes in viewpoint and the </w:t>
      </w:r>
      <w:r w:rsidRPr="00661B9E">
        <w:t>precision of spatial memory. In order to do this, we first needed to develop a new experimental paradigm with which</w:t>
      </w:r>
      <w:r w:rsidRPr="00B42097">
        <w:t xml:space="preserve"> we could measure spatial change detection thresholds for an array of objects in a virtual 3D space while manipulating the degree of viewpoint change between presentation and testing. We found that a </w:t>
      </w:r>
      <w:r w:rsidR="00F21E8D" w:rsidRPr="00B42097">
        <w:t>psychometric function</w:t>
      </w:r>
      <w:r w:rsidRPr="00B42097">
        <w:t xml:space="preserve"> was an appropriate model for estimating performance in both a Same/Different (Experiment 1) and 2AFC tasks (Experiment 2). </w:t>
      </w:r>
      <w:r w:rsidR="00A320A5">
        <w:t xml:space="preserve">Using psychometric functions fit to participant data, </w:t>
      </w:r>
      <w:proofErr w:type="spellStart"/>
      <w:r w:rsidR="00A320A5">
        <w:t>we</w:t>
      </w:r>
      <w:r w:rsidRPr="00B42097">
        <w:t>e</w:t>
      </w:r>
      <w:proofErr w:type="spellEnd"/>
      <w:r w:rsidRPr="00B42097">
        <w:t xml:space="preserve"> were able to estimate </w:t>
      </w:r>
      <w:r w:rsidR="00C72C45" w:rsidRPr="00B42097">
        <w:t>spatial change detection thresholds</w:t>
      </w:r>
      <w:r w:rsidRPr="00B42097">
        <w:t xml:space="preserve"> in all conditions, showing that as viewpoint shift increased from 0° to 135°, thresholds increased monotonically but not linearly. In </w:t>
      </w:r>
      <w:r w:rsidR="00C72C45" w:rsidRPr="00B42097">
        <w:t xml:space="preserve">each </w:t>
      </w:r>
      <w:r w:rsidRPr="00B42097">
        <w:t xml:space="preserve">task, participants required increasingly large changes to the location of </w:t>
      </w:r>
      <w:r w:rsidR="00F21E8D" w:rsidRPr="00B42097">
        <w:t xml:space="preserve">a </w:t>
      </w:r>
      <w:r w:rsidRPr="00B42097">
        <w:t xml:space="preserve">single object within an array before they could reliably detect the distortion. </w:t>
      </w:r>
      <w:proofErr w:type="gramStart"/>
      <w:r w:rsidRPr="00B42097">
        <w:t>This pattern of results,</w:t>
      </w:r>
      <w:proofErr w:type="gramEnd"/>
      <w:r w:rsidRPr="00B42097">
        <w:t xml:space="preserve"> present in all participants, and the curvilinear relationship between viewpoint shift and spatial change detection threshold was well described by a preregistered model that separated and </w:t>
      </w:r>
      <w:r w:rsidRPr="00B42097">
        <w:lastRenderedPageBreak/>
        <w:t xml:space="preserve">parameterised </w:t>
      </w:r>
      <w:r w:rsidR="00B45FE0" w:rsidRPr="00B42097">
        <w:t xml:space="preserve">viewpoint-specific, </w:t>
      </w:r>
      <w:r w:rsidRPr="00B42097">
        <w:t xml:space="preserve">viewpoint-dependent and </w:t>
      </w:r>
      <w:r w:rsidR="00C72C45" w:rsidRPr="00B42097">
        <w:t>viewpoint-</w:t>
      </w:r>
      <w:r w:rsidRPr="00B42097">
        <w:t>independent</w:t>
      </w:r>
      <w:r w:rsidR="00C72C45" w:rsidRPr="00B42097">
        <w:t xml:space="preserve"> </w:t>
      </w:r>
      <w:r w:rsidRPr="00B42097">
        <w:t xml:space="preserve">components. </w:t>
      </w:r>
    </w:p>
    <w:p w14:paraId="6029B669" w14:textId="5A9D7636" w:rsidR="00711706" w:rsidRDefault="00F37B05">
      <w:pPr>
        <w:pStyle w:val="BodyText"/>
      </w:pPr>
      <w:r w:rsidRPr="00B42097">
        <w:t xml:space="preserve">In this account, the high precision of responses in conditions where the viewpoint is fixed between presentation and testing (0° rotation, described by parameter </w:t>
      </w:r>
      <w:r w:rsidRPr="00B42097">
        <w:rPr>
          <w:i/>
          <w:iCs/>
        </w:rPr>
        <w:t>a</w:t>
      </w:r>
      <w:r w:rsidRPr="00B42097">
        <w:t xml:space="preserve"> in our model) results from the unimpeded operation of view</w:t>
      </w:r>
      <w:r w:rsidR="00065B71" w:rsidRPr="00B42097">
        <w:t>point</w:t>
      </w:r>
      <w:r w:rsidRPr="00B42097">
        <w:t>-</w:t>
      </w:r>
      <w:r w:rsidR="00065B71" w:rsidRPr="00B42097">
        <w:t xml:space="preserve">specific </w:t>
      </w:r>
      <w:r w:rsidRPr="00B42097">
        <w:t>egocentric representations (such as view matching, see e.g.,</w:t>
      </w:r>
      <w:r w:rsidR="001F37C5" w:rsidRPr="00B42097">
        <w:t xml:space="preserve"> </w:t>
      </w:r>
      <w:r w:rsidR="001F37C5" w:rsidRPr="00B42097">
        <w:fldChar w:fldCharType="begin"/>
      </w:r>
      <w:r w:rsidR="00BE64D3">
        <w:instrText xml:space="preserve"> ADDIN ZOTERO_ITEM CSL_CITATION {"citationID":"eUlltE4S","properties":{"formattedCitation":"(Waller &amp; Hodgson, 2006)","plainCitation":"(Waller &amp; Hodgson, 2006)","dontUpdate":true,"noteIndex":0},"citationItems":[{"id":76,"uris":["http://zotero.org/users/5736906/items/LPJ9EL8H"],"uri":["http://zotero.org/users/5736906/items/LPJ9EL8H"],"itemData":{"id":76,"type":"article-journal","container-title":"J. Exp. Psychol. Learn. Mem. Cogn.","ISSN":"0278-7393","issue":"4","page":"867","title":"Transient and enduring spatial representations under disorientation and self-rotation","volume":"32","author":[{"family":"Waller","given":"David"},{"family":"Hodgson","given":"Eric"}],"issued":{"date-parts":[["2006"]]}}}],"schema":"https://github.com/citation-style-language/schema/raw/master/csl-citation.json"} </w:instrText>
      </w:r>
      <w:r w:rsidR="001F37C5" w:rsidRPr="00B42097">
        <w:fldChar w:fldCharType="separate"/>
      </w:r>
      <w:r w:rsidR="001F37C5" w:rsidRPr="00B42097">
        <w:rPr>
          <w:noProof/>
        </w:rPr>
        <w:t>Waller &amp; Hodgson, 2006</w:t>
      </w:r>
      <w:r w:rsidR="001F37C5" w:rsidRPr="00B42097">
        <w:fldChar w:fldCharType="end"/>
      </w:r>
      <w:r w:rsidR="001F37C5" w:rsidRPr="00B42097">
        <w:t>)</w:t>
      </w:r>
      <w:r w:rsidR="00C81E3B">
        <w:t>.</w:t>
      </w:r>
      <w:r w:rsidRPr="00B42097">
        <w:t xml:space="preserve"> </w:t>
      </w:r>
      <w:r w:rsidR="00C81E3B">
        <w:t xml:space="preserve">When the viewpoint </w:t>
      </w:r>
      <w:proofErr w:type="gramStart"/>
      <w:r w:rsidR="00C81E3B">
        <w:t>remained</w:t>
      </w:r>
      <w:proofErr w:type="gramEnd"/>
      <w:r w:rsidR="00C81E3B">
        <w:t xml:space="preserve"> unchanged </w:t>
      </w:r>
      <w:r w:rsidRPr="00B42097">
        <w:t>participants could detect the movement of a single object within a four-item array as small as 1</w:t>
      </w:r>
      <w:r w:rsidR="00723035" w:rsidRPr="00B42097">
        <w:t>7.4</w:t>
      </w:r>
      <w:r w:rsidRPr="00B42097">
        <w:t xml:space="preserve">cm on average. As the viewpoint at testing rotated away from viewpoint at presentation, thresholds increase towards a plateau for viewpoint changes beyond 45° (rising to </w:t>
      </w:r>
      <w:r w:rsidR="00AB48F6" w:rsidRPr="00B42097">
        <w:t>78.7</w:t>
      </w:r>
      <w:r w:rsidRPr="00B42097">
        <w:t xml:space="preserve">cm on average). The </w:t>
      </w:r>
      <w:r w:rsidR="00065B71" w:rsidRPr="00B42097">
        <w:t>viewpoint-dependent</w:t>
      </w:r>
      <w:r w:rsidRPr="00B42097">
        <w:t xml:space="preserve"> decay in precision across increasing shifts</w:t>
      </w:r>
      <w:r w:rsidR="00065B71" w:rsidRPr="00B42097">
        <w:t xml:space="preserve"> in perspective</w:t>
      </w:r>
      <w:r w:rsidRPr="00B42097">
        <w:t xml:space="preserve"> (governed by parameter </w:t>
      </w:r>
      <w:r w:rsidRPr="00B42097">
        <w:rPr>
          <w:i/>
          <w:iCs/>
        </w:rPr>
        <w:t>b</w:t>
      </w:r>
      <w:r w:rsidRPr="00B42097">
        <w:t xml:space="preserve"> in our model), is perhaps consistent with the operation of a mental rotation process for small viewpoint shifts which introduces an accumulating error.</w:t>
      </w:r>
      <w:r w:rsidR="00C81E3B">
        <w:t xml:space="preserve"> </w:t>
      </w:r>
      <w:r w:rsidRPr="00B42097">
        <w:t xml:space="preserve">However, the plateau itself (described by parameter </w:t>
      </w:r>
      <w:r w:rsidRPr="00B42097">
        <w:rPr>
          <w:i/>
          <w:iCs/>
        </w:rPr>
        <w:t xml:space="preserve">c </w:t>
      </w:r>
      <w:r w:rsidRPr="00B42097">
        <w:t xml:space="preserve">in the model) does not appear to result from a process that transforms and manipulates purely egocentric representations, since in that case we might expect to see error continue to accumulate linearly for larger viewpoint shifts. Instead, we interpret it as the limit of viewpoint-independent performance supported by allocentric representations, when little to no valid contribution from egocentric spatial representations is available. </w:t>
      </w:r>
    </w:p>
    <w:p w14:paraId="567E06BB" w14:textId="603549AF" w:rsidR="00F37B05" w:rsidRDefault="00F37B05" w:rsidP="00661B9E">
      <w:pPr>
        <w:pStyle w:val="BodyText"/>
      </w:pPr>
      <w:r w:rsidRPr="00B42097">
        <w:t xml:space="preserve">This task and analysis </w:t>
      </w:r>
      <w:proofErr w:type="gramStart"/>
      <w:r w:rsidRPr="00B42097">
        <w:t>adds</w:t>
      </w:r>
      <w:proofErr w:type="gramEnd"/>
      <w:r w:rsidRPr="00B42097">
        <w:t xml:space="preserve"> to the evidence that ego- and allocentric systems make distinct contributions to spatial working memory (e.g., </w:t>
      </w:r>
      <w:proofErr w:type="spellStart"/>
      <w:r w:rsidRPr="00B42097">
        <w:t>Aagten</w:t>
      </w:r>
      <w:proofErr w:type="spellEnd"/>
      <w:r w:rsidRPr="00B42097">
        <w:t>-Murphy &amp; Bays, 2019)</w:t>
      </w:r>
      <w:r w:rsidR="00C81E3B">
        <w:t xml:space="preserve">. Together they </w:t>
      </w:r>
      <w:r w:rsidRPr="00B42097">
        <w:t xml:space="preserve">offer a means to distinguish and quantify these contributions, which may have applications </w:t>
      </w:r>
      <w:r w:rsidR="00C81E3B">
        <w:t xml:space="preserve">in identifying and monitoring </w:t>
      </w:r>
      <w:r w:rsidRPr="00B42097">
        <w:t>disorders that differentially affect the distinct brain systems that underpin memory for object locations</w:t>
      </w:r>
      <w:r w:rsidR="00C81E3B">
        <w:t>, a</w:t>
      </w:r>
      <w:r w:rsidR="007166C0">
        <w:t>s well as</w:t>
      </w:r>
      <w:r w:rsidR="00C81E3B">
        <w:t xml:space="preserve"> in understanding individual differences in healthy people</w:t>
      </w:r>
      <w:r w:rsidRPr="00B42097">
        <w:t xml:space="preserve">. </w:t>
      </w:r>
    </w:p>
    <w:p w14:paraId="3881B1FA" w14:textId="48F54FC9" w:rsidR="007166C0" w:rsidRDefault="007166C0" w:rsidP="00D216F9">
      <w:pPr>
        <w:pStyle w:val="Heading2"/>
      </w:pPr>
      <w:r>
        <w:t>Comparison between tasks</w:t>
      </w:r>
    </w:p>
    <w:p w14:paraId="0BD9EDDA" w14:textId="6EDC2750" w:rsidR="00982D9E" w:rsidRDefault="00982D9E" w:rsidP="004655A8">
      <w:pPr>
        <w:pStyle w:val="BodyText"/>
      </w:pPr>
      <w:r w:rsidRPr="00B42097">
        <w:t xml:space="preserve">Had there been no difference in the precision of memory representations in the two tasks then under assumptions in standard signal detection theory, we might </w:t>
      </w:r>
      <w:r w:rsidR="00E42E19" w:rsidRPr="00B42097">
        <w:t xml:space="preserve">still </w:t>
      </w:r>
      <w:r w:rsidRPr="00B42097">
        <w:t xml:space="preserve">have expected to see a constant difference in the thresholds observed at each viewpoint. This is because the 2AFC task involves the comparison of two locations (each subject to noise/imprecision </w:t>
      </w:r>
      <w:r w:rsidRPr="00B42097">
        <w:lastRenderedPageBreak/>
        <w:t>which is combined when generating responses) whereas the S/D task involves only a single location</w:t>
      </w:r>
      <w:r w:rsidR="00AC5748" w:rsidRPr="00B42097">
        <w:t xml:space="preserve"> (for example see </w:t>
      </w:r>
      <w:r w:rsidR="00AC5748" w:rsidRPr="00B42097">
        <w:fldChar w:fldCharType="begin"/>
      </w:r>
      <w:r w:rsidR="00BE64D3">
        <w:instrText xml:space="preserve"> ADDIN ZOTERO_ITEM CSL_CITATION {"citationID":"Z13RedU6","properties":{"formattedCitation":"(Makovski et al., 2010)","plainCitation":"(Makovski et al., 2010)","dontUpdate":true,"noteIndex":0},"citationItems":[{"id":512,"uris":["http://zotero.org/users/5736906/items/4SIUKYZ9"],"uri":["http://zotero.org/users/5736906/items/4SIUKYZ9"],"itemData":{"id":512,"type":"article-journal","abstract":"Visual working memory (WM) is traditionally considered a robust form of visual representation that survives changes in object motion, observer's position, and other visual transients. This study presents data that are inconsistent with the traditional view. We show that memory sensitivity is dramatically influenced by small variations in the testing procedure, supporting the idea that representations in visual WM are susceptible to interference from testing. In this study, participants were shown an array of colors to remember. After a short retention interval, memory for one of the items was tested with either a same-different task or a 2-alternative-forced-choice (2AFC) task. Memory sensitivity was much lower in the 2AFC task than in the same-different task. This difference was found regardless of encoding similarity or whether visual WM required a fine memory resolution or a coarse resolution. The 2AFC disadvantage was reduced when participants were informed shortly before testing which item would be probed. The 2AFC disadvantage diminished in perceptual tasks and was not found in tasks probing visual long-term memory. These results support memory models that acknowledge the labile nature of visual WM, and have implications for the format of visual WM and its assessment.","container-title":"Journal of experimental psychology. Learning, memory, and cognition","DOI":"10.1037/a0020851","ISSN":"0278-7393","issue":"6","journalAbbreviation":"J Exp Psychol Learn Mem Cogn","note":"PMID: 20854011\nPMCID: PMC2970716","page":"1466-1479","source":"PubMed Central","title":"Method matters: Systematic effects of testing procedure on visual working memory sensitivity","title-short":"Method matters","volume":"36","author":[{"family":"Makovski","given":"Tal"},{"family":"Watson","given":"Leah M."},{"family":"Koutstaal","given":"Wilma"},{"family":"Jiang","given":"Yuhong V."}],"issued":{"date-parts":[["2010",11]]}}}],"schema":"https://github.com/citation-style-language/schema/raw/master/csl-citation.json"} </w:instrText>
      </w:r>
      <w:r w:rsidR="00AC5748" w:rsidRPr="00B42097">
        <w:fldChar w:fldCharType="separate"/>
      </w:r>
      <w:r w:rsidR="00AC5748" w:rsidRPr="00B42097">
        <w:rPr>
          <w:noProof/>
        </w:rPr>
        <w:t>Makovski et al., 2010)</w:t>
      </w:r>
      <w:r w:rsidR="00AC5748" w:rsidRPr="00B42097">
        <w:fldChar w:fldCharType="end"/>
      </w:r>
      <w:r w:rsidRPr="00B42097">
        <w:t>. However, our results show a different pattern: thresholds show a greater dynamic range as viewpoint is varied in the 2AFC task than in the S/D task. This we believe could be due to a combination of measurement issues (the S/D provides a noisier estimate of thresholds) and ecological factors (the S/D task is more effective in eliciting allocentric encoding strategies).</w:t>
      </w:r>
    </w:p>
    <w:p w14:paraId="42867127" w14:textId="0E8B8280" w:rsidR="00982D9E" w:rsidRDefault="00982D9E" w:rsidP="004655A8">
      <w:pPr>
        <w:pStyle w:val="BodyText"/>
      </w:pPr>
      <w:r w:rsidRPr="00B42097">
        <w:t>On the first point, we note that the 2AFC task is better suited to the use of a psychophysical staircase design, since it is possible to make a spatial change on every trial (each yielding valid information about the psychophysical function), whereas the interpretation of responses is ambiguous for Same trials in the S/D task.</w:t>
      </w:r>
    </w:p>
    <w:p w14:paraId="3AAFBE69" w14:textId="1C6D77F0" w:rsidR="00982D9E" w:rsidRDefault="00982D9E" w:rsidP="004E273B">
      <w:pPr>
        <w:pStyle w:val="BodyText"/>
      </w:pPr>
      <w:r w:rsidRPr="00B42097">
        <w:t>On the second point, the S/D task has potentially greater ecological validity when estimating allocentric memory, in that participants are instructed to judge whether the entire array has changed (i.e., an explicitly allocentric judgement), whereas the 2AFC task encourages participants to pay attention to the individual objects (potentially at the expense of their allocentric relationships).</w:t>
      </w:r>
      <w:r w:rsidR="00395A2B" w:rsidRPr="00B42097">
        <w:t xml:space="preserve"> </w:t>
      </w:r>
    </w:p>
    <w:p w14:paraId="3D35C7FD" w14:textId="1F90B87A" w:rsidR="006634C9" w:rsidRDefault="00982D9E">
      <w:pPr>
        <w:pStyle w:val="BodyText"/>
      </w:pPr>
      <w:r w:rsidRPr="00B42097">
        <w:t xml:space="preserve">The comparison of Experiments 1 and 2 is consistent with a role for both factors in determining the threshold-viewpoint function. First, we were better able to fit performance in the 2AFC task (Experiment 2) with our model. This might reflect the benefit of using a less noisy method to elicit unambiguous psychophysical judgements. </w:t>
      </w:r>
      <w:r w:rsidR="0085357C" w:rsidRPr="00B42097">
        <w:rPr>
          <w:color w:val="000000"/>
        </w:rPr>
        <w:t xml:space="preserve">Second, the S/D task showed significantly higher spatial precision (i.e., lower change detection thresholds) in the most viewpoint-independent condition (135°), and significantly lower spatial precision in the two most viewpoint-dependent conditions (0° and 5°). Together with a significantly higher </w:t>
      </w:r>
      <w:r w:rsidR="0085357C" w:rsidRPr="00B42097">
        <w:rPr>
          <w:i/>
          <w:iCs/>
          <w:color w:val="000000"/>
        </w:rPr>
        <w:t>a</w:t>
      </w:r>
      <w:r w:rsidR="0085357C" w:rsidRPr="00B42097">
        <w:rPr>
          <w:color w:val="000000"/>
        </w:rPr>
        <w:t xml:space="preserve"> parameter in our model (indicating somewhat reduced sensitivity to spatial changes in the 0° condition), these findings that are consistent with the idea that the S/D task encouraged greater use of allocentric encoding strategies</w:t>
      </w:r>
      <w:r w:rsidRPr="00B42097">
        <w:t>. Overall, while the S/D task may afford strategies that allow for somewhat better performance under view</w:t>
      </w:r>
      <w:r w:rsidR="00395A2B" w:rsidRPr="00B42097">
        <w:t>-</w:t>
      </w:r>
      <w:r w:rsidRPr="00B42097">
        <w:t xml:space="preserve">shift conditions, the 2AFC task appears to be better suited to rapid and reliable estimation of spatial precision and </w:t>
      </w:r>
      <w:r w:rsidR="007D29AF" w:rsidRPr="00B42097">
        <w:t xml:space="preserve">the </w:t>
      </w:r>
      <w:r w:rsidRPr="00B42097">
        <w:t>greater dynamic range of the resulting threshold-viewpoint function may make it more suitable for distinguishing ego- and allocentric contributions in the presence of noise, although thresholds may not indicate maximum possible sensitivity to allocentric change.</w:t>
      </w:r>
      <w:r w:rsidR="006634C9">
        <w:t xml:space="preserve"> In </w:t>
      </w:r>
      <w:r w:rsidR="006634C9">
        <w:lastRenderedPageBreak/>
        <w:t>similar vein, we should note that both tasks may favour allocentric strategies relative to everyday settings, in that the large majority of trials involve an unexpected change of viewpoint, which the participant can anticipate even if the size and direction of the change is unpredictable.</w:t>
      </w:r>
    </w:p>
    <w:p w14:paraId="5D7401D5" w14:textId="1418776B" w:rsidR="000F1A7B" w:rsidRPr="00B42097" w:rsidRDefault="007166C0" w:rsidP="00D216F9">
      <w:pPr>
        <w:pStyle w:val="Heading2"/>
      </w:pPr>
      <w:r>
        <w:t>Additional findings</w:t>
      </w:r>
    </w:p>
    <w:p w14:paraId="09715BFE" w14:textId="6E3E9B71" w:rsidR="00D151FC" w:rsidRDefault="00D151FC" w:rsidP="005B4C58">
      <w:pPr>
        <w:pStyle w:val="BodyText"/>
      </w:pPr>
      <w:r w:rsidRPr="00B42097">
        <w:t xml:space="preserve">One interesting and unanticipated quirk of our results emerged from the analysis of the slope of psychometric functions across different viewpoint shifts. Although the differences in slopes observed in different viewpoint conditions did not reach statistical significance, </w:t>
      </w:r>
      <w:r w:rsidR="0009778F">
        <w:t xml:space="preserve">the non-monotonic pattern of slopes </w:t>
      </w:r>
      <w:r w:rsidRPr="00B42097">
        <w:t>is striking</w:t>
      </w:r>
      <w:r w:rsidR="0009778F">
        <w:t xml:space="preserve"> and </w:t>
      </w:r>
      <w:r w:rsidRPr="00B42097">
        <w:t>in both experiments the shallowest slopes are seen in the 45 degree viewpoint condition (rather than the more extreme 0 degree or 135 degree conditions</w:t>
      </w:r>
      <w:r w:rsidR="00F43CD3">
        <w:t>, see Figure</w:t>
      </w:r>
      <w:r w:rsidR="00077F10">
        <w:t>s</w:t>
      </w:r>
      <w:r w:rsidR="00F43CD3">
        <w:t xml:space="preserve"> 2 and 3</w:t>
      </w:r>
      <w:r w:rsidRPr="00B42097">
        <w:t xml:space="preserve">). We speculate that this might reflect increased uncertainty resulting from conflict between ego- and allocentric systems, perhaps resolved through some form of Bayesian cue combination (see e.g., </w:t>
      </w:r>
      <w:r w:rsidR="00675588">
        <w:fldChar w:fldCharType="begin"/>
      </w:r>
      <w:r w:rsidR="00675588">
        <w:instrText xml:space="preserve"> ADDIN ZOTERO_ITEM CSL_CITATION {"citationID":"SHEXVoNC","properties":{"formattedCitation":"(Deneve &amp; Pouget, 2004; Xu et al., 2017; Zhao &amp; Warren, 2015)","plainCitation":"(Deneve &amp; Pouget, 2004; Xu et al., 2017; Zhao &amp; Warren, 2015)","noteIndex":0},"citationItems":[{"id":483,"uris":["http://zotero.org/users/5736906/items/UEUGKDHC"],"uri":["http://zotero.org/users/5736906/items/UEUGKDHC"],"itemData":{"id":483,"type":"article-journal","abstract":"Our perception of the word is the result of combining information between several senses, such as vision, audition and proprioception. These sensory modalities use widely different frames of reference to represent the properties and locations of object. Moreover, multisensory cues come with different degrees of reliability, and the reliability of a given cue can change in different contexts. The Bayesian framework––which we describe in this review––provides an optimal solution to deal with this issue of combining cues that are not equally reliable. However, this approach does not address the issue of frames of references. We show that this problem can be solved by creating cross-modal spatial links in basis function networks. Finally, we show how the basis function approach can be combined with the Bayesian framework to yield networks that can perform optimal multisensory combination. On the basis of this theory, we argue that multisensory integration is a dialogue between sensory modalities rather that the convergence of all sensory information onto a supra-modal area.","collection-title":"Representation of 3-D Space Using Different Senses In Different Species","container-title":"Journal of Physiology-Paris","DOI":"10.1016/j.jphysparis.2004.03.011","ISSN":"0928-4257","issue":"1","journalAbbreviation":"Journal of Physiology-Paris","language":"en","page":"249-258","source":"ScienceDirect","title":"Bayesian multisensory integration and cross-modal spatial links","volume":"98","author":[{"family":"Deneve","given":"Sophie"},{"family":"Pouget","given":"Alexandre"}],"issued":{"date-parts":[["2004",1,1]]}}},{"id":487,"uris":["http://zotero.org/users/5736906/items/J6QH82AQ"],"uri":["http://zotero.org/users/5736906/items/J6QH82AQ"],"itemData":{"id":487,"type":"article-journal","abstract":"Previous research has proposed an adaptive cue combination view of the development of human spatial reorientation (Newcombe &amp; Huttenlocher, 2006), whereby information from multiple sources is combined in a weighted fashion in localizing a target, as opposed to being modular and encapsulated (Hermer &amp; Spelke, 1996). However, no prior work has formalized this proposal and tested it against existing empirical data. We propose a computational model of human spatial reorientation that is motivated by probabilistic approaches to optimal perceptual cue integration (e.g. Ernst &amp; Banks, 2002) and to spatial location coding (Huttenlocher, Hedges, &amp; Duncan, 1991). We show that this model accounts for data from a variety of human reorientation experiments, providing support for the adaptive combination view of reorientation.","container-title":"Cognition","DOI":"10.1016/j.cognition.2017.02.016","ISSN":"0010-0277","journalAbbreviation":"Cognition","language":"en","page":"56-66","source":"ScienceDirect","title":"An adaptive cue combination model of human spatial reorientation","volume":"163","author":[{"family":"Xu","given":"Yang"},{"family":"Regier","given":"Terry"},{"family":"Newcombe","given":"Nora S."}],"issued":{"date-parts":[["2017",6,1]]}}},{"id":488,"uris":["http://zotero.org/users/5736906/items/49UJDU7P"],"uri":["http://zotero.org/users/5736906/items/49UJDU7P"],"itemData":{"id":488,"type":"article-journal","abstract":"How do people combine their sense of direction with their use of visual landmarks during navigation? Cue-integration theory predicts that such cues will be optimally integrated to reduce variability, whereas cue-competition theory predicts that one cue will dominate the response direction. We tested these theories by measuring both accuracy and variability in a homing task while manipulating information about path integration and visual landmarks. We found that the two cues were near-optimally integrated to reduce variability, even when landmarks were shifted up to 90°. Yet the homing direction was dominated by a single cue, which switched from landmarks to path integration when landmark shifts were greater than 90°. These findings suggest that cue integration and cue competition govern different aspects of the homing response: Cues are integrated to reduce response variability but compete to determine the response direction. The results are remarkably similar to data on animal navigation, which implies that visual landmarks reset the orientation, but not the precision, of the path-integration system.","container-title":"Psychological Science","DOI":"10.1177/0956797615574952","ISSN":"0956-7976","issue":"6","journalAbbreviation":"Psychol Sci","note":"publisher: SAGE Publications Inc","page":"915-924","source":"SAGE Journals","title":"How You Get There From Here: Interaction of Visual Landmarks and Path Integration in Human Navigation","title-short":"How You Get There From Here","volume":"26","author":[{"family":"Zhao","given":"Mintao"},{"family":"Warren","given":"William H."}],"issued":{"date-parts":[["2015",6,1]]}}}],"schema":"https://github.com/citation-style-language/schema/raw/master/csl-citation.json"} </w:instrText>
      </w:r>
      <w:r w:rsidR="00675588">
        <w:fldChar w:fldCharType="separate"/>
      </w:r>
      <w:r w:rsidR="00675588" w:rsidRPr="00675588">
        <w:t>(Deneve &amp; Pouget, 2004; Xu et al., 2017; Zhao &amp; Warren, 2015)</w:t>
      </w:r>
      <w:r w:rsidR="00675588">
        <w:fldChar w:fldCharType="end"/>
      </w:r>
      <w:r w:rsidRPr="00B42097">
        <w:t>; in this account, at much smaller viewpoint shifts responses would be dominated by high-precision egocentric information, and at much larger viewpoint shifts allocentric responses would be dominated by low-precision allocentric information, but at intermediate shifts, around 45° in the current tasks, the two systems would be in tension, providing conflicting influences on the response, and increasing uncertainty.</w:t>
      </w:r>
    </w:p>
    <w:p w14:paraId="29F2F16B" w14:textId="72DE28AC" w:rsidR="00421060" w:rsidRDefault="00F37B05">
      <w:pPr>
        <w:pStyle w:val="BodyText"/>
      </w:pPr>
      <w:r w:rsidRPr="00B42097">
        <w:t xml:space="preserve">Another difference between view conditions was increasingly poorer fits to the psychophysical curve as viewpoint rotation increased. This noise indicates that our manipulation of spatial distortion did not account for as much variance in task performance. This may be due to the fact that with increasing viewpoint change, reorientation becomes increasingly reliant on cues related to the spatial configuration of the array </w:t>
      </w:r>
      <w:r w:rsidRPr="00B42097">
        <w:fldChar w:fldCharType="begin"/>
      </w:r>
      <w:r w:rsidR="00BE64D3">
        <w:instrText xml:space="preserve"> ADDIN ZOTERO_ITEM CSL_CITATION {"citationID":"WhnBBOff","properties":{"formattedCitation":"(Sargent et al., 2008, 2010)","plainCitation":"(Sargent et al., 2008, 2010)","noteIndex":0},"citationItems":[{"id":160,"uris":["http://zotero.org/users/5736906/items/B2FJXYAN"],"uri":["http://zotero.org/users/5736906/items/B2FJXYAN"],"itemData":{"id":160,"type":"article-journal","abstract":"Human spatial representations of object locations in a room-sized\nenvironment were probed for evidence that the object locations were\nencoded relative not just to the observer (egocentrically) but also to\neach other (allocentrically). Participants learned the locations of 4\nobjects and then were blindfolded and either (a) underwent a succession of\n70 degrees and 200 degrees whole-body rotations or (b) were fully\ndisoriented and then underwent a similar sequence of 70 degrees and 200\ndegrees rotations. After each rotation, participants pointed to the\nobjects without vision. Analyses of the pointing errors suggest that as\nparticipants lost orientation, represented object directions generally\n\"drifted\" off of their true directions as an ensemble, not in random,\nunrelated directions. This is interpreted as evidence that\nobject-to-object (allocentric) relationships play a large part in the\nhuman spatial updating system. However, there was also some evidence that\nrepresented object directions occasionally drifted off of their true\ndirections independently of one another, suggesting a lack of allocentric\ninfluence. Implications regarding the interplay of egocentric and\nallocentric information are considered.","container-title":"J. Exp. Psychol. Learn. Mem. Cogn.","DOI":"10.1037/0278-7393.34.3.602","ISSN":"0278-7393","issue":"3","page":"602-615","title":"Spatial memory during progressive disorientation","volume":"34","author":[{"family":"Sargent","given":"Jesse"},{"family":"Dopkins","given":"Stephen"},{"family":"Philbeck","given":"John"},{"family":"Modarres","given":"Reza"}],"issued":{"date-parts":[["2008",5]]}}},{"id":287,"uris":["http://zotero.org/users/5736906/items/IA2CG9F9"],"uri":["http://zotero.org/users/5736906/items/IA2CG9F9"],"itemData":{"id":287,"type":"article-journal","abstract":"In order to gain insight into the nature of human spatial representations,\nthe current study examined how those representations are affected by blind\nrotation. Evidence was sought on the possibility that whereas certain\nenvironmental aspects may be updated independently of one another, other\naspects may be grouped (or chunked) together and updated as a unit.\nParticipants learned the locations of an array of objects around them in a\nroom, then were blindfolded and underwent a succession of passive,\nwhole-body rotations. After each rotation, participants pointed to\nremembered target locations. Targets were located more precisely relative\nto each other if they were (a) separated by smaller angular distances, (b)\ncontained within the same regularly configured arrangement, or (c)\ncorresponded to parts of a common object. A hypothesis is presented\ndescribing the roles played by egocentric and allocentric information\nwithin the spatial updating system. Results are interpreted in terms of an\nexisting neural systems model, elaborating the model's conceptualization\nof how parietal (egocentric) and medial temporal (allocentric)\nrepresentations interact.","container-title":"J. Exp. Psychol. Learn. Mem. Cogn.","DOI":"10.1037/a0017528","ISSN":"0278-7393","issue":"3","page":"576-589","title":"Chunking in spatial memory","volume":"36","author":[{"family":"Sargent","given":"Jesse"},{"family":"Dopkins","given":"Stephen"},{"family":"Philbeck","given":"John"},{"family":"Chichka","given":"David"}],"issued":{"date-parts":[["2010",5]]}}}],"schema":"https://github.com/citation-style-language/schema/raw/master/csl-citation.json"} </w:instrText>
      </w:r>
      <w:r w:rsidRPr="00B42097">
        <w:fldChar w:fldCharType="separate"/>
      </w:r>
      <w:r w:rsidR="00675588" w:rsidRPr="00675588">
        <w:t>(Sargent et al., 2008, 2010)</w:t>
      </w:r>
      <w:r w:rsidRPr="00B42097">
        <w:fldChar w:fldCharType="end"/>
      </w:r>
      <w:r w:rsidRPr="00B42097">
        <w:t>. Depending on the random configuration from one trial to the next, the configuration itself could impact on the success of accurate reorientation and recognition</w:t>
      </w:r>
      <w:r w:rsidR="007D29AF" w:rsidRPr="00B42097">
        <w:t>, independently of memory for the individual object locations</w:t>
      </w:r>
      <w:r w:rsidRPr="00B42097">
        <w:t>.</w:t>
      </w:r>
    </w:p>
    <w:p w14:paraId="130052B2" w14:textId="496362C3" w:rsidR="007166C0" w:rsidRDefault="007166C0" w:rsidP="00D216F9">
      <w:pPr>
        <w:pStyle w:val="Heading2"/>
      </w:pPr>
      <w:r>
        <w:t>Theoretical implications and conclusions</w:t>
      </w:r>
    </w:p>
    <w:p w14:paraId="0AF93B6E" w14:textId="4110558E" w:rsidR="00670EF8" w:rsidRDefault="00277C54" w:rsidP="00670EF8">
      <w:pPr>
        <w:pStyle w:val="BodyText"/>
      </w:pPr>
      <w:r>
        <w:t xml:space="preserve">Overall, our data indicate that spatial change detection thresholds arise through a process combining a fixed, viewpoint-independent contribution and a view-dependent contribution </w:t>
      </w:r>
      <w:r>
        <w:lastRenderedPageBreak/>
        <w:t xml:space="preserve">that increases sensitivity to spatial changes for smaller shifts in viewpoint. In our descriptive model this combination is achieved by </w:t>
      </w:r>
      <w:r w:rsidR="00E65045">
        <w:t xml:space="preserve">simply </w:t>
      </w:r>
      <w:r w:rsidRPr="00D216F9">
        <w:rPr>
          <w:i/>
          <w:iCs/>
        </w:rPr>
        <w:t>adding</w:t>
      </w:r>
      <w:r>
        <w:t xml:space="preserve"> components </w:t>
      </w:r>
      <w:r w:rsidR="00E65045">
        <w:t>corresponding</w:t>
      </w:r>
      <w:r>
        <w:t xml:space="preserve"> to</w:t>
      </w:r>
      <w:r w:rsidR="00E65045">
        <w:t xml:space="preserve"> egocentric</w:t>
      </w:r>
      <w:r>
        <w:t xml:space="preserve"> and </w:t>
      </w:r>
      <w:r w:rsidR="00E65045">
        <w:t>allocentric</w:t>
      </w:r>
      <w:r>
        <w:t xml:space="preserve"> contributions</w:t>
      </w:r>
      <w:r w:rsidR="00E65045">
        <w:t>,</w:t>
      </w:r>
      <w:r>
        <w:t xml:space="preserve"> but it is important to recognize that this additive </w:t>
      </w:r>
      <w:r w:rsidR="00E65045">
        <w:t>description, while capturing the behavioural outcome,</w:t>
      </w:r>
      <w:r>
        <w:t xml:space="preserve"> may not reflect the complexity of </w:t>
      </w:r>
      <w:r w:rsidR="00E65045">
        <w:t xml:space="preserve">the underlying neural mechanisms. In particular, our model might suggest that ego- and allocentric representations contribute </w:t>
      </w:r>
      <w:r w:rsidR="00E65045" w:rsidRPr="00D216F9">
        <w:rPr>
          <w:i/>
          <w:iCs/>
        </w:rPr>
        <w:t>independently</w:t>
      </w:r>
      <w:r w:rsidR="00E65045">
        <w:t xml:space="preserve"> to behaviour, but at a mechanistic level this is unlikely because allocentric representations must ultimately be derived from egocentrically-encoded sensory information</w:t>
      </w:r>
      <w:r w:rsidR="00256FB3">
        <w:t xml:space="preserve"> </w:t>
      </w:r>
      <w:r w:rsidR="00256FB3">
        <w:fldChar w:fldCharType="begin"/>
      </w:r>
      <w:r w:rsidR="00256FB3">
        <w:instrText xml:space="preserve"> ADDIN ZOTERO_ITEM CSL_CITATION {"citationID":"32qqdfwA","properties":{"formattedCitation":"(Bicanski &amp; Burgess, 2018; Byrne et al., 2007)","plainCitation":"(Bicanski &amp; Burgess, 2018; Byrne et al., 2007)","noteIndex":0},"citationItems":[{"id":191,"uris":["http://zotero.org/users/5736906/items/5APVNT2T"],"uri":["http://zotero.org/users/5736906/items/5APVNT2T"],"itemData":{"id":191,"type":"article-journal","abstract":"We present a model of how neural representations of egocentric spatial experiences in parietal cortex interface with viewpoint-independent representations in medial temporal areas, via retrosplenial cortex, to enable many key aspects of spatial cognition. This account shows how previously reported neural responses (place, head-direction and grid cells, allocentric boundary- and object-vector cells, gain-field neurons) can map onto higher cognitive function in a modular way, and predicts new cell types (egocentric and head-direction-modulated boundary- and object-vector cells). The model predicts how these neural populations should interact across multiple brain regions to support spatial memory, scene construction, novelty-detection, 'trace cells', and mental navigation. Simulated behavior and firing rate maps are compared to experimental data, for example showing how object-vector cells allow items to be remembered within a contextual representation based on environmental boundaries, and how grid cells could update the viewpoint in imagery during planning and short-cutting by driving sequential place cell activity.","container-title":"Elife","DOI":"10.7554/eLife.33752","ISSN":"2050-084X","title":"A neural-level model of spatial memory and imagery","URL":"http://dx.doi.org/10.7554/eLife.33752","volume":"7","author":[{"family":"Bicanski","given":"Andrej"},{"family":"Burgess","given":"Neil"}],"issued":{"date-parts":[["2018",9,4]]}}},{"id":13,"uris":["http://zotero.org/users/5736906/items/66BSPRSC"],"uri":["http://zotero.org/users/5736906/items/66BSPRSC"],"itemData":{"id":13,"type":"article-journal","abstract":"The authors model the neural mechanisms underlying spatial cognition,\nintegrating neuronal systems and behavioral data, and address the\nrelationships between long-term memory, short-term memory, and imagery,\nand between egocentric and allocentric and visual and ideothetic\nrepresentations. Long-term spatial memory is modeled as attractor dynamics\nwithin medial-temporal allocentric representations, and short-term memory\nis modeled as egocentric parietal representations driven by perception,\nretrieval, and imagery and modulated by directed attention. Both encoding\nand retrieval/imagery require translation between egocentric and\nallocentric representations, which are mediated by posterior parietal and\nretrosplenial areas and the use of head direction representations in\nPapez's circuit. Thus, the hippocampus effectively indexes information by\nreal or imagined location, whereas Papez's circuit translates to imagery\nor from perception according to the direction of view. Modulation of this\ntranslation by motor efference allows spatial updating of representations,\nwhereas prefrontal simulated motor efference allows mental exploration.\nThe alternating temporal-parietal flows of information are organized by\nthe theta rhythm. Simulations demonstrate the retrieval and updating of\nfamiliar spatial scenes, hemispatial neglect in memory, and the effects on\nhippocampal place cell firing of lesioned head direction representations\nand of conflicting visual and ideothetic inputs.","container-title":"Psychol. Rev.","DOI":"10.1037/0033-295X.114.2.340","ISSN":"0033-295X","issue":"2","page":"340-375","title":"Remembering the past and imagining the future: a neural model of spatial memory and imagery","volume":"114","author":[{"family":"Byrne","given":"Patrick"},{"family":"Becker","given":"Suzanna"},{"family":"Burgess","given":"Neil"}],"issued":{"date-parts":[["2007",4]]}}}],"schema":"https://github.com/citation-style-language/schema/raw/master/csl-citation.json"} </w:instrText>
      </w:r>
      <w:r w:rsidR="00256FB3">
        <w:fldChar w:fldCharType="separate"/>
      </w:r>
      <w:r w:rsidR="00256FB3" w:rsidRPr="00256FB3">
        <w:t>(Bicanski &amp; Burgess, 2018; Byrne et al., 2007)</w:t>
      </w:r>
      <w:r w:rsidR="00256FB3">
        <w:fldChar w:fldCharType="end"/>
      </w:r>
      <w:r w:rsidR="00E65045">
        <w:t xml:space="preserve">. This implies </w:t>
      </w:r>
      <w:r w:rsidR="002D40B7">
        <w:t xml:space="preserve">any task requiring viewpoint-independent representation can never be entirely process pure, and that </w:t>
      </w:r>
      <w:r w:rsidR="00E65045">
        <w:t>limitations (e.g., noise, biases, spatial resolution) of the egocentric code must be inherited by the allocentric code whereas the converse does not apply for viewpoint-specific tasks. Any such limits will th</w:t>
      </w:r>
      <w:r w:rsidR="000A363D">
        <w:t>us</w:t>
      </w:r>
      <w:r w:rsidR="00E65045">
        <w:t xml:space="preserve"> impose an “</w:t>
      </w:r>
      <w:r w:rsidR="00E65045" w:rsidRPr="00D216F9">
        <w:rPr>
          <w:i/>
          <w:iCs/>
        </w:rPr>
        <w:t>egocentric bottleneck</w:t>
      </w:r>
      <w:r w:rsidR="00E65045">
        <w:t>”, at least affecting the initial encoding of allocentric information.</w:t>
      </w:r>
      <w:r w:rsidR="002D40B7">
        <w:t xml:space="preserve"> It is conceivable that allocentric representations could be cleaned-up by integrating information from different cues (for example, in an allocentric representation, the information about the location of one object might serve to constrain the representation of another). A further consideration is that the process of translating between ego and allocentric representations at encoding and retrieval may itself impose limits on </w:t>
      </w:r>
      <w:r w:rsidR="000A363D">
        <w:t>the precision of the underpinning representation</w:t>
      </w:r>
      <w:r w:rsidR="002D40B7">
        <w:t xml:space="preserve">. At a mechanistic level, the resolution of cue conflicts in behaviour (i.e., between responses driven by </w:t>
      </w:r>
      <w:proofErr w:type="spellStart"/>
      <w:r w:rsidR="002D40B7">
        <w:t>allo</w:t>
      </w:r>
      <w:proofErr w:type="spellEnd"/>
      <w:r w:rsidR="002D40B7">
        <w:t xml:space="preserve">- and egocentric- representations) </w:t>
      </w:r>
      <w:r w:rsidR="00085C6B">
        <w:t>is likely to</w:t>
      </w:r>
      <w:r w:rsidR="002D40B7">
        <w:t xml:space="preserve"> </w:t>
      </w:r>
      <w:r w:rsidR="00D24E2B">
        <w:t xml:space="preserve">involve complex dynamic interactions between neurons representing different ego- and allocentric locations </w:t>
      </w:r>
      <w:r w:rsidR="00675588">
        <w:fldChar w:fldCharType="begin"/>
      </w:r>
      <w:r w:rsidR="00675588">
        <w:instrText xml:space="preserve"> ADDIN ZOTERO_ITEM CSL_CITATION {"citationID":"lbZKPn02","properties":{"formattedCitation":"(Jeffery et al., 2016)","plainCitation":"(Jeffery et al., 2016)","noteIndex":0},"citationItems":[{"id":539,"uris":["http://zotero.org/users/5736906/items/YTFMN98B"],"uri":["http://zotero.org/users/5736906/items/YTFMN98B"],"itemData":{"id":539,"type":"article-journal","abstract":"Maintaining a sense of direction requires combining information from static environmental landmarks with dynamic information about self-motion. This is accomplished by the head direction system, whose neurons – head direction cells – encode specific head directions. When the brain integrates information in sensory domains, this process is almost always ‘optimal’ – that is, inputs are weighted according to their reliability. Evidence suggests cue combination by head direction cells may also be optimal. The simplicity of the head direction signal, together with the detailed knowledge we have about the anatomy and physiology of the underlying circuit, therefore makes this system a tractable model with which to discover how optimal cue combination occurs at a neural level. In the head direction system, cue interactions are thought to occur on an attractor network of interacting head direction neurons, but attractor dynamics predict a winner-take-all decision between cues, rather than optimal combination. However, optimal cue combination in an attractor could be achieved via plasticity in the feedforward connections from external sensory cues (i.e. the landmarks) onto the ring attractor. Short-term plasticity would allow rapid re-weighting that adjusts the final state of the network in accordance with cue reliability (reflected in the connection strengths), while longer term plasticity would allow long-term learning about this reliability. Although these principles were derived to model the head direction system, they could potentially serve to explain optimal cue combination in other sensory systems more generally.","container-title":"The Journal of Physiology","DOI":"10.1113/JP272945","ISSN":"1469-7793","issue":"22","note":"_eprint: https://physoc.onlinelibrary.wiley.com/doi/pdf/10.1113/JP272945","page":"6527-6534","source":"Wiley Online Library","title":"Optimal cue combination and landmark-stability learning in the head direction system","volume":"594","author":[{"family":"Jeffery","given":"Kate J."},{"family":"Page","given":"Hector J. I."},{"family":"Stringer","given":"Simon M."}],"issued":{"date-parts":[["2016"]]}}}],"schema":"https://github.com/citation-style-language/schema/raw/master/csl-citation.json"} </w:instrText>
      </w:r>
      <w:r w:rsidR="00675588">
        <w:fldChar w:fldCharType="separate"/>
      </w:r>
      <w:r w:rsidR="004C5C44">
        <w:t xml:space="preserve">(c.f., </w:t>
      </w:r>
      <w:r w:rsidR="00675588" w:rsidRPr="00675588">
        <w:t>Jeffery et al., 2016)</w:t>
      </w:r>
      <w:r w:rsidR="00675588">
        <w:fldChar w:fldCharType="end"/>
      </w:r>
      <w:r w:rsidR="00675588">
        <w:t>.</w:t>
      </w:r>
    </w:p>
    <w:p w14:paraId="69626E98" w14:textId="2374E554" w:rsidR="00670EF8" w:rsidRPr="00B42097" w:rsidRDefault="00085C6B" w:rsidP="00670EF8">
      <w:pPr>
        <w:pStyle w:val="BodyText"/>
      </w:pPr>
      <w:r>
        <w:t xml:space="preserve">In short, a more complete understanding of ego- and allocentric contributions to spatial memory will depend on more detailed, mechanistic modelling of tasks </w:t>
      </w:r>
      <w:r w:rsidR="00670EF8">
        <w:t>like those</w:t>
      </w:r>
      <w:r>
        <w:t xml:space="preserve"> we have developed</w:t>
      </w:r>
      <w:r w:rsidR="00670EF8">
        <w:t>.</w:t>
      </w:r>
      <w:r>
        <w:t xml:space="preserve"> </w:t>
      </w:r>
      <w:r w:rsidR="00670EF8">
        <w:t>O</w:t>
      </w:r>
      <w:r>
        <w:t>ur results provide some useful constraints on the behavioural predictions of such models.</w:t>
      </w:r>
      <w:r w:rsidR="00670EF8">
        <w:t xml:space="preserve"> </w:t>
      </w:r>
      <w:r w:rsidR="000A363D">
        <w:t>The</w:t>
      </w:r>
      <w:r w:rsidR="00670EF8">
        <w:t xml:space="preserve"> methods provide a useful empirical technique for quantifying the precision of spatial</w:t>
      </w:r>
      <w:r w:rsidR="00670EF8" w:rsidRPr="00B42097">
        <w:t xml:space="preserve"> memory for the locations of objects in virtual stimulus arrays</w:t>
      </w:r>
      <w:r w:rsidR="00670EF8">
        <w:t xml:space="preserve"> and distinguishing ego- and allocentric contributions to precision which, our model indicates, </w:t>
      </w:r>
      <w:r w:rsidR="00670EF8" w:rsidRPr="00B42097">
        <w:t xml:space="preserve"> respond lawfully to changes in 3D viewpoint.</w:t>
      </w:r>
    </w:p>
    <w:p w14:paraId="764A6C4A" w14:textId="00399989" w:rsidR="00277C54" w:rsidRDefault="00277C54" w:rsidP="005B4C58">
      <w:pPr>
        <w:pStyle w:val="BodyText"/>
      </w:pPr>
    </w:p>
    <w:p w14:paraId="2FC9980D" w14:textId="63DB059C" w:rsidR="000A5074" w:rsidRPr="00B42097" w:rsidRDefault="000A5074" w:rsidP="00D216F9">
      <w:pPr>
        <w:pStyle w:val="Bibliography"/>
        <w:ind w:left="0" w:firstLine="0"/>
      </w:pPr>
      <w:r w:rsidRPr="00B42097">
        <w:lastRenderedPageBreak/>
        <w:t>References</w:t>
      </w:r>
    </w:p>
    <w:p w14:paraId="7CDA5B47" w14:textId="77777777" w:rsidR="00256FB3" w:rsidRDefault="00FC0FD0" w:rsidP="00256FB3">
      <w:pPr>
        <w:pStyle w:val="Bibliography"/>
      </w:pPr>
      <w:r w:rsidRPr="00B42097">
        <w:fldChar w:fldCharType="begin"/>
      </w:r>
      <w:r w:rsidR="00675588">
        <w:instrText xml:space="preserve"> ADDIN ZOTERO_BIBL {"uncited":[],"omitted":[],"custom":[]} CSL_BIBLIOGRAPHY </w:instrText>
      </w:r>
      <w:r w:rsidRPr="00B42097">
        <w:fldChar w:fldCharType="separate"/>
      </w:r>
      <w:r w:rsidR="00256FB3">
        <w:t xml:space="preserve">Aagten-Murphy, D., &amp; Bays, P. M. (2019). Independent working memory resources for egocentric and allocentric spatial information. </w:t>
      </w:r>
      <w:r w:rsidR="00256FB3">
        <w:rPr>
          <w:i/>
          <w:iCs/>
        </w:rPr>
        <w:t>PLOS Computational Biology</w:t>
      </w:r>
      <w:r w:rsidR="00256FB3">
        <w:t xml:space="preserve">, </w:t>
      </w:r>
      <w:r w:rsidR="00256FB3">
        <w:rPr>
          <w:i/>
          <w:iCs/>
        </w:rPr>
        <w:t>15</w:t>
      </w:r>
      <w:r w:rsidR="00256FB3">
        <w:t>(2), e1006563. https://doi.org/10.1371/journal.pcbi.1006563</w:t>
      </w:r>
    </w:p>
    <w:p w14:paraId="5FECA834" w14:textId="77777777" w:rsidR="00256FB3" w:rsidRDefault="00256FB3" w:rsidP="00256FB3">
      <w:pPr>
        <w:pStyle w:val="Bibliography"/>
      </w:pPr>
      <w:r>
        <w:t xml:space="preserve">Alvarez, G. A., &amp; Cavanagh, P. (2004). The capacity of visual short-term memory is set both by visual information load and by number of objects. </w:t>
      </w:r>
      <w:r>
        <w:rPr>
          <w:i/>
          <w:iCs/>
        </w:rPr>
        <w:t>Psychol. Sci.</w:t>
      </w:r>
      <w:r>
        <w:t xml:space="preserve">, </w:t>
      </w:r>
      <w:r>
        <w:rPr>
          <w:i/>
          <w:iCs/>
        </w:rPr>
        <w:t>15</w:t>
      </w:r>
      <w:r>
        <w:t>(2), 106–111. https://doi.org/10.1111/j.0963-7214.2004.01502006.x</w:t>
      </w:r>
    </w:p>
    <w:p w14:paraId="14FDC502" w14:textId="77777777" w:rsidR="00256FB3" w:rsidRDefault="00256FB3" w:rsidP="00256FB3">
      <w:pPr>
        <w:pStyle w:val="Bibliography"/>
      </w:pPr>
      <w:r>
        <w:t xml:space="preserve">Awh, E., Barton, B., &amp; Vogel, E. K. (2007). Visual working memory represents a fixed number of items regardless of complexity. </w:t>
      </w:r>
      <w:r>
        <w:rPr>
          <w:i/>
          <w:iCs/>
        </w:rPr>
        <w:t>Psychol. Sci.</w:t>
      </w:r>
      <w:r>
        <w:t xml:space="preserve">, </w:t>
      </w:r>
      <w:r>
        <w:rPr>
          <w:i/>
          <w:iCs/>
        </w:rPr>
        <w:t>18</w:t>
      </w:r>
      <w:r>
        <w:t>(7), 622–628. https://doi.org/10.1111/j.1467-9280.2007.01949.x</w:t>
      </w:r>
    </w:p>
    <w:p w14:paraId="667BA9B4" w14:textId="77777777" w:rsidR="00256FB3" w:rsidRDefault="00256FB3" w:rsidP="00256FB3">
      <w:pPr>
        <w:pStyle w:val="Bibliography"/>
      </w:pPr>
      <w:r>
        <w:t xml:space="preserve">Bays, P. M., &amp; Husain, M. (2008). Dynamic Shifts of Limited Working Memory Resources in Human Vision. </w:t>
      </w:r>
      <w:r>
        <w:rPr>
          <w:i/>
          <w:iCs/>
        </w:rPr>
        <w:t>Science</w:t>
      </w:r>
      <w:r>
        <w:t xml:space="preserve">, </w:t>
      </w:r>
      <w:r>
        <w:rPr>
          <w:i/>
          <w:iCs/>
        </w:rPr>
        <w:t>321</w:t>
      </w:r>
      <w:r>
        <w:t>(5890), 851–854. https://doi.org/10.1126/science.1158023</w:t>
      </w:r>
    </w:p>
    <w:p w14:paraId="312A3F46" w14:textId="77777777" w:rsidR="00256FB3" w:rsidRDefault="00256FB3" w:rsidP="00256FB3">
      <w:pPr>
        <w:pStyle w:val="Bibliography"/>
      </w:pPr>
      <w:r>
        <w:t xml:space="preserve">Bays, Paul M, G., C., Raquel F., &amp; Husain, M. (2009). The precision of visual working memory is set by allocation of a shared resource. </w:t>
      </w:r>
      <w:r>
        <w:rPr>
          <w:i/>
          <w:iCs/>
        </w:rPr>
        <w:t>Journal of Vision</w:t>
      </w:r>
      <w:r>
        <w:t xml:space="preserve">, </w:t>
      </w:r>
      <w:r>
        <w:rPr>
          <w:i/>
          <w:iCs/>
        </w:rPr>
        <w:t>9</w:t>
      </w:r>
      <w:r>
        <w:t>(10). https://jov.arvojournals.org/article.aspx?articleid=2122354</w:t>
      </w:r>
    </w:p>
    <w:p w14:paraId="3CCA34F3" w14:textId="77777777" w:rsidR="00256FB3" w:rsidRDefault="00256FB3" w:rsidP="00256FB3">
      <w:pPr>
        <w:pStyle w:val="Bibliography"/>
      </w:pPr>
      <w:r>
        <w:t xml:space="preserve">Bicanski, A., &amp; Burgess, N. (2018). A neural-level model of spatial memory and imagery. </w:t>
      </w:r>
      <w:r>
        <w:rPr>
          <w:i/>
          <w:iCs/>
        </w:rPr>
        <w:t>Elife</w:t>
      </w:r>
      <w:r>
        <w:t xml:space="preserve">, </w:t>
      </w:r>
      <w:r>
        <w:rPr>
          <w:i/>
          <w:iCs/>
        </w:rPr>
        <w:t>7</w:t>
      </w:r>
      <w:r>
        <w:t>. https://doi.org/10.7554/eLife.33752</w:t>
      </w:r>
    </w:p>
    <w:p w14:paraId="345E23EC" w14:textId="77777777" w:rsidR="00256FB3" w:rsidRDefault="00256FB3" w:rsidP="00256FB3">
      <w:pPr>
        <w:pStyle w:val="Bibliography"/>
      </w:pPr>
      <w:r>
        <w:t xml:space="preserve">Brady, T. F., &amp; Alvarez, G. A. (2015). No evidence for a fixed object limit in working memory: Spatial ensemble representations inflate estimates of working memory capacity for complex objects. </w:t>
      </w:r>
      <w:r>
        <w:rPr>
          <w:i/>
          <w:iCs/>
        </w:rPr>
        <w:t>Journal of Experimental Psychology: Learning, Memory, and Cognition</w:t>
      </w:r>
      <w:r>
        <w:t xml:space="preserve">, </w:t>
      </w:r>
      <w:r>
        <w:rPr>
          <w:i/>
          <w:iCs/>
        </w:rPr>
        <w:t>41</w:t>
      </w:r>
      <w:r>
        <w:t>(3), 921–929. https://doi.org/10.1037/xlm0000075</w:t>
      </w:r>
    </w:p>
    <w:p w14:paraId="1A94DFD1" w14:textId="77777777" w:rsidR="00256FB3" w:rsidRDefault="00256FB3" w:rsidP="00256FB3">
      <w:pPr>
        <w:pStyle w:val="Bibliography"/>
      </w:pPr>
      <w:r>
        <w:t xml:space="preserve">Brady, T. F., Konkle, T., &amp; Alvarez, G. A. (2011). A review of visual memory capacity: Beyond individual items and toward structured representations. </w:t>
      </w:r>
      <w:r>
        <w:rPr>
          <w:i/>
          <w:iCs/>
        </w:rPr>
        <w:t>J. Vis.</w:t>
      </w:r>
      <w:r>
        <w:t xml:space="preserve">, </w:t>
      </w:r>
      <w:r>
        <w:rPr>
          <w:i/>
          <w:iCs/>
        </w:rPr>
        <w:t>11</w:t>
      </w:r>
      <w:r>
        <w:t>(5), 4. https://doi.org/10.1167/11.5.4</w:t>
      </w:r>
    </w:p>
    <w:p w14:paraId="5C5B088D" w14:textId="77777777" w:rsidR="00256FB3" w:rsidRDefault="00256FB3" w:rsidP="00256FB3">
      <w:pPr>
        <w:pStyle w:val="Bibliography"/>
      </w:pPr>
      <w:r>
        <w:lastRenderedPageBreak/>
        <w:t xml:space="preserve">Burgess, N. (2006). Spatial memory: How egocentric and allocentric combine. </w:t>
      </w:r>
      <w:r>
        <w:rPr>
          <w:i/>
          <w:iCs/>
        </w:rPr>
        <w:t>Trends Cogn. Sci.</w:t>
      </w:r>
      <w:r>
        <w:t xml:space="preserve">, </w:t>
      </w:r>
      <w:r>
        <w:rPr>
          <w:i/>
          <w:iCs/>
        </w:rPr>
        <w:t>10</w:t>
      </w:r>
      <w:r>
        <w:t>(12), 551–557. https://doi.org/10.1016/j.tics.2006.10.005</w:t>
      </w:r>
    </w:p>
    <w:p w14:paraId="2B63E8D5" w14:textId="77777777" w:rsidR="00256FB3" w:rsidRDefault="00256FB3" w:rsidP="00256FB3">
      <w:pPr>
        <w:pStyle w:val="Bibliography"/>
      </w:pPr>
      <w:r>
        <w:t xml:space="preserve">Burgess, N. (2008). </w:t>
      </w:r>
      <w:r>
        <w:rPr>
          <w:i/>
          <w:iCs/>
        </w:rPr>
        <w:t>Spatial Cognition and the Brain</w:t>
      </w:r>
      <w:r>
        <w:t xml:space="preserve">. </w:t>
      </w:r>
      <w:r>
        <w:rPr>
          <w:i/>
          <w:iCs/>
        </w:rPr>
        <w:t>Annals of the New York Academy of Sciences</w:t>
      </w:r>
      <w:r>
        <w:t xml:space="preserve">, </w:t>
      </w:r>
      <w:r>
        <w:rPr>
          <w:i/>
          <w:iCs/>
        </w:rPr>
        <w:t>1124</w:t>
      </w:r>
      <w:r>
        <w:t>(1), 77–97. https://doi.org/10.1196/annals.1440.002</w:t>
      </w:r>
    </w:p>
    <w:p w14:paraId="32E80487" w14:textId="77777777" w:rsidR="00256FB3" w:rsidRDefault="00256FB3" w:rsidP="00256FB3">
      <w:pPr>
        <w:pStyle w:val="Bibliography"/>
      </w:pPr>
      <w:r>
        <w:t xml:space="preserve">Burgess, N., Spiers, H. J., &amp; Paleologou, E. (2004). Orientational manoeuvres in the dark: Dissociating allocentric and egocentric influences on spatial memory. </w:t>
      </w:r>
      <w:r>
        <w:rPr>
          <w:i/>
          <w:iCs/>
        </w:rPr>
        <w:t>Cognition</w:t>
      </w:r>
      <w:r>
        <w:t xml:space="preserve">, </w:t>
      </w:r>
      <w:r>
        <w:rPr>
          <w:i/>
          <w:iCs/>
        </w:rPr>
        <w:t>94</w:t>
      </w:r>
      <w:r>
        <w:t>(2), 149–166. https://doi.org/10.1016/j.cognition.2004.01.001</w:t>
      </w:r>
    </w:p>
    <w:p w14:paraId="0A027E05" w14:textId="77777777" w:rsidR="00256FB3" w:rsidRDefault="00256FB3" w:rsidP="00256FB3">
      <w:pPr>
        <w:pStyle w:val="Bibliography"/>
      </w:pPr>
      <w:r>
        <w:t xml:space="preserve">Byrne, P., Becker, S., &amp; Burgess, N. (2007). Remembering the past and imagining the future: A neural model of spatial memory and imagery. </w:t>
      </w:r>
      <w:r>
        <w:rPr>
          <w:i/>
          <w:iCs/>
        </w:rPr>
        <w:t>Psychol. Rev.</w:t>
      </w:r>
      <w:r>
        <w:t xml:space="preserve">, </w:t>
      </w:r>
      <w:r>
        <w:rPr>
          <w:i/>
          <w:iCs/>
        </w:rPr>
        <w:t>114</w:t>
      </w:r>
      <w:r>
        <w:t>(2), 340–375. https://doi.org/10.1037/0033-295X.114.2.340</w:t>
      </w:r>
    </w:p>
    <w:p w14:paraId="1CA94A87" w14:textId="77777777" w:rsidR="00256FB3" w:rsidRDefault="00256FB3" w:rsidP="00256FB3">
      <w:pPr>
        <w:pStyle w:val="Bibliography"/>
      </w:pPr>
      <w:r>
        <w:t xml:space="preserve">Deneve, S., &amp; Pouget, A. (2004). Bayesian multisensory integration and cross-modal spatial links. </w:t>
      </w:r>
      <w:r>
        <w:rPr>
          <w:i/>
          <w:iCs/>
        </w:rPr>
        <w:t>Journal of Physiology-Paris</w:t>
      </w:r>
      <w:r>
        <w:t xml:space="preserve">, </w:t>
      </w:r>
      <w:r>
        <w:rPr>
          <w:i/>
          <w:iCs/>
        </w:rPr>
        <w:t>98</w:t>
      </w:r>
      <w:r>
        <w:t>(1), 249–258. https://doi.org/10.1016/j.jphysparis.2004.03.011</w:t>
      </w:r>
    </w:p>
    <w:p w14:paraId="259CE62D" w14:textId="77777777" w:rsidR="00256FB3" w:rsidRDefault="00256FB3" w:rsidP="00256FB3">
      <w:pPr>
        <w:pStyle w:val="Bibliography"/>
      </w:pPr>
      <w:r>
        <w:t xml:space="preserve">Diwadkar, V. A., &amp; McNamara, T. P. (1997). Viewpoint Dependence in Scene Recognition. </w:t>
      </w:r>
      <w:r>
        <w:rPr>
          <w:i/>
          <w:iCs/>
        </w:rPr>
        <w:t>Psychol. Sci.</w:t>
      </w:r>
      <w:r>
        <w:t xml:space="preserve">, </w:t>
      </w:r>
      <w:r>
        <w:rPr>
          <w:i/>
          <w:iCs/>
        </w:rPr>
        <w:t>8</w:t>
      </w:r>
      <w:r>
        <w:t>(4), 302–307. https://doi.org/10.1111/j.1467-9280.1997.tb00442.x</w:t>
      </w:r>
    </w:p>
    <w:p w14:paraId="0F370A9E" w14:textId="77777777" w:rsidR="00256FB3" w:rsidRDefault="00256FB3" w:rsidP="00256FB3">
      <w:pPr>
        <w:pStyle w:val="Bibliography"/>
      </w:pPr>
      <w:r>
        <w:t xml:space="preserve">Easton, R. D., &amp; Sholl, M. J. (1995). Object-array structure, frames of reference, and retrieval of spatial knowledge. </w:t>
      </w:r>
      <w:r>
        <w:rPr>
          <w:i/>
          <w:iCs/>
        </w:rPr>
        <w:t>J. Exp. Psychol. Learn. Mem. Cogn.</w:t>
      </w:r>
      <w:r>
        <w:t xml:space="preserve">, </w:t>
      </w:r>
      <w:r>
        <w:rPr>
          <w:i/>
          <w:iCs/>
        </w:rPr>
        <w:t>21</w:t>
      </w:r>
      <w:r>
        <w:t>(2), 483–500. https://doi.org/10.1037//0278-7393.21.2.483</w:t>
      </w:r>
    </w:p>
    <w:p w14:paraId="4D9F00B3" w14:textId="77777777" w:rsidR="00256FB3" w:rsidRDefault="00256FB3" w:rsidP="00256FB3">
      <w:pPr>
        <w:pStyle w:val="Bibliography"/>
      </w:pPr>
      <w:r>
        <w:t xml:space="preserve">Ekstrom, A. D., Arnold, A. E. G. F., &amp; Iaria, G. (2014). A critical review of the allocentric spatial representation and its neural underpinnings: Toward a network-based perspective. </w:t>
      </w:r>
      <w:r>
        <w:rPr>
          <w:i/>
          <w:iCs/>
        </w:rPr>
        <w:t>Frontiers in Human Neuroscience</w:t>
      </w:r>
      <w:r>
        <w:t xml:space="preserve">, </w:t>
      </w:r>
      <w:r>
        <w:rPr>
          <w:i/>
          <w:iCs/>
        </w:rPr>
        <w:t>8</w:t>
      </w:r>
      <w:r>
        <w:t>. https://doi.org/10.3389/fnhum.2014.00803</w:t>
      </w:r>
    </w:p>
    <w:p w14:paraId="67EAC0CC" w14:textId="77777777" w:rsidR="00256FB3" w:rsidRDefault="00256FB3" w:rsidP="00256FB3">
      <w:pPr>
        <w:pStyle w:val="Bibliography"/>
      </w:pPr>
      <w:r>
        <w:t xml:space="preserve">Galati, G., Lobel, E., Vallar, G., Berthoz, A., Pizzamiglio, L., &amp; Le Bihan, D. (2000). The neural basis of egocentric and allocentric coding of space in humans: A functional magnetic resonance study. </w:t>
      </w:r>
      <w:r>
        <w:rPr>
          <w:i/>
          <w:iCs/>
        </w:rPr>
        <w:t>Exp. Brain Res.</w:t>
      </w:r>
      <w:r>
        <w:t xml:space="preserve">, </w:t>
      </w:r>
      <w:r>
        <w:rPr>
          <w:i/>
          <w:iCs/>
        </w:rPr>
        <w:t>133</w:t>
      </w:r>
      <w:r>
        <w:t>(2), 156–164.</w:t>
      </w:r>
    </w:p>
    <w:p w14:paraId="33F32FEC" w14:textId="77777777" w:rsidR="00256FB3" w:rsidRDefault="00256FB3" w:rsidP="00256FB3">
      <w:pPr>
        <w:pStyle w:val="Bibliography"/>
      </w:pPr>
      <w:r>
        <w:lastRenderedPageBreak/>
        <w:t xml:space="preserve">Goodale, M. A., &amp; Milner, A. D. (1992). Separate visual pathways for perception and action. </w:t>
      </w:r>
      <w:r>
        <w:rPr>
          <w:i/>
          <w:iCs/>
        </w:rPr>
        <w:t>Trends Neurosci.</w:t>
      </w:r>
      <w:r>
        <w:t xml:space="preserve">, </w:t>
      </w:r>
      <w:r>
        <w:rPr>
          <w:i/>
          <w:iCs/>
        </w:rPr>
        <w:t>15</w:t>
      </w:r>
      <w:r>
        <w:t>(1), 20–25.</w:t>
      </w:r>
    </w:p>
    <w:p w14:paraId="13823419" w14:textId="77777777" w:rsidR="00256FB3" w:rsidRDefault="00256FB3" w:rsidP="00256FB3">
      <w:pPr>
        <w:pStyle w:val="Bibliography"/>
      </w:pPr>
      <w:r>
        <w:t xml:space="preserve">Greenauer, N., &amp; Waller, D. (2008). Intrinsic array structure is neither necessary nor sufficient for nonegocentric coding of spatial layouts. </w:t>
      </w:r>
      <w:r>
        <w:rPr>
          <w:i/>
          <w:iCs/>
        </w:rPr>
        <w:t>Psychonomic Bulletin &amp; Review</w:t>
      </w:r>
      <w:r>
        <w:t xml:space="preserve">, </w:t>
      </w:r>
      <w:r>
        <w:rPr>
          <w:i/>
          <w:iCs/>
        </w:rPr>
        <w:t>15</w:t>
      </w:r>
      <w:r>
        <w:t>(5), 1015–1021. https://doi.org/10.3758/PBR.15.5.1015</w:t>
      </w:r>
    </w:p>
    <w:p w14:paraId="20588A18" w14:textId="77777777" w:rsidR="00256FB3" w:rsidRDefault="00256FB3" w:rsidP="00256FB3">
      <w:pPr>
        <w:pStyle w:val="Bibliography"/>
      </w:pPr>
      <w:r>
        <w:t xml:space="preserve">Hartley, Tom, Lever, C., Burgess, N., &amp; O’Keefe, J. (2014). Space in the brain: How the hippocampal formation supports spatial cognition. </w:t>
      </w:r>
      <w:r>
        <w:rPr>
          <w:i/>
          <w:iCs/>
        </w:rPr>
        <w:t>Philos. Trans. R. Soc. Lond. B Biol. Sci.</w:t>
      </w:r>
      <w:r>
        <w:t xml:space="preserve">, </w:t>
      </w:r>
      <w:r>
        <w:rPr>
          <w:i/>
          <w:iCs/>
        </w:rPr>
        <w:t>369</w:t>
      </w:r>
      <w:r>
        <w:t>(1635), 20120510. https://doi.org/10.1098/rstb.2012.0510</w:t>
      </w:r>
    </w:p>
    <w:p w14:paraId="7FB68BA3" w14:textId="77777777" w:rsidR="00256FB3" w:rsidRDefault="00256FB3" w:rsidP="00256FB3">
      <w:pPr>
        <w:pStyle w:val="Bibliography"/>
      </w:pPr>
      <w:r>
        <w:t xml:space="preserve">Holmes, C. A., Newcombe, N. S., &amp; Shipley, T. F. (2018). Move to learn: Integrating spatial information from multiple viewpoints. </w:t>
      </w:r>
      <w:r>
        <w:rPr>
          <w:i/>
          <w:iCs/>
        </w:rPr>
        <w:t>Cognition</w:t>
      </w:r>
      <w:r>
        <w:t xml:space="preserve">, </w:t>
      </w:r>
      <w:r>
        <w:rPr>
          <w:i/>
          <w:iCs/>
        </w:rPr>
        <w:t>178</w:t>
      </w:r>
      <w:r>
        <w:t>, 7–25. https://doi.org/10.1016/j.cognition.2018.05.003</w:t>
      </w:r>
    </w:p>
    <w:p w14:paraId="1917F303" w14:textId="77777777" w:rsidR="00256FB3" w:rsidRDefault="00256FB3" w:rsidP="00256FB3">
      <w:pPr>
        <w:pStyle w:val="Bibliography"/>
      </w:pPr>
      <w:r>
        <w:t xml:space="preserve">Holmes, M. C., &amp; Sholl, M. J. (2005). Allocentric Coding of Object-to-Object Relations in Overlearned and Novel Environments. </w:t>
      </w:r>
      <w:r>
        <w:rPr>
          <w:i/>
          <w:iCs/>
        </w:rPr>
        <w:t>Journal of Experimental Psychology: Learning, Memory, and Cognition</w:t>
      </w:r>
      <w:r>
        <w:t xml:space="preserve">, </w:t>
      </w:r>
      <w:r>
        <w:rPr>
          <w:i/>
          <w:iCs/>
        </w:rPr>
        <w:t>31</w:t>
      </w:r>
      <w:r>
        <w:t>(5), 1069–1087. https://doi.org/10.1037/0278-7393.31.5.1069</w:t>
      </w:r>
    </w:p>
    <w:p w14:paraId="46D28B3D" w14:textId="77777777" w:rsidR="00256FB3" w:rsidRDefault="00256FB3" w:rsidP="00256FB3">
      <w:pPr>
        <w:pStyle w:val="Bibliography"/>
      </w:pPr>
      <w:r>
        <w:t xml:space="preserve">Jeffery, K. J., Page, H. J. I., &amp; Stringer, S. M. (2016). Optimal cue combination and landmark-stability learning in the head direction system. </w:t>
      </w:r>
      <w:r>
        <w:rPr>
          <w:i/>
          <w:iCs/>
        </w:rPr>
        <w:t>The Journal of Physiology</w:t>
      </w:r>
      <w:r>
        <w:t xml:space="preserve">, </w:t>
      </w:r>
      <w:r>
        <w:rPr>
          <w:i/>
          <w:iCs/>
        </w:rPr>
        <w:t>594</w:t>
      </w:r>
      <w:r>
        <w:t>(22), 6527–6534. https://doi.org/10.1113/JP272945</w:t>
      </w:r>
    </w:p>
    <w:p w14:paraId="16347223" w14:textId="77777777" w:rsidR="00256FB3" w:rsidRDefault="00256FB3" w:rsidP="00256FB3">
      <w:pPr>
        <w:pStyle w:val="Bibliography"/>
      </w:pPr>
      <w:r>
        <w:t xml:space="preserve">Jiang, Y., Olson, I. R., &amp; Chun, M. M. (2000). Organization of visual short-term memory. </w:t>
      </w:r>
      <w:r>
        <w:rPr>
          <w:i/>
          <w:iCs/>
        </w:rPr>
        <w:t>J. Exp. Psychol. Learn. Mem. Cogn.</w:t>
      </w:r>
      <w:r>
        <w:t xml:space="preserve">, </w:t>
      </w:r>
      <w:r>
        <w:rPr>
          <w:i/>
          <w:iCs/>
        </w:rPr>
        <w:t>26</w:t>
      </w:r>
      <w:r>
        <w:t>(3), 683–702.</w:t>
      </w:r>
    </w:p>
    <w:p w14:paraId="750B6D6C" w14:textId="77777777" w:rsidR="00256FB3" w:rsidRDefault="00256FB3" w:rsidP="00256FB3">
      <w:pPr>
        <w:pStyle w:val="Bibliography"/>
      </w:pPr>
      <w:r>
        <w:t xml:space="preserve">Kass, R. E., &amp; Raftery, A. E. (1995). Bayes Factors. </w:t>
      </w:r>
      <w:r>
        <w:rPr>
          <w:i/>
          <w:iCs/>
        </w:rPr>
        <w:t>Journal of the American Statistical Association</w:t>
      </w:r>
      <w:r>
        <w:t xml:space="preserve">, </w:t>
      </w:r>
      <w:r>
        <w:rPr>
          <w:i/>
          <w:iCs/>
        </w:rPr>
        <w:t>90</w:t>
      </w:r>
      <w:r>
        <w:t>(430), 773–795. JSTOR. https://doi.org/10.2307/2291091</w:t>
      </w:r>
    </w:p>
    <w:p w14:paraId="5271B7BA" w14:textId="77777777" w:rsidR="00256FB3" w:rsidRDefault="00256FB3" w:rsidP="00256FB3">
      <w:pPr>
        <w:pStyle w:val="Bibliography"/>
      </w:pPr>
      <w:r>
        <w:t xml:space="preserve">King, J. A., Burgess, N., Hartley, T., Vargha-Khadem, F., &amp; O’Keefe, J. (2002). Human hippocampus and viewpoint dependence in spatial memory. </w:t>
      </w:r>
      <w:r>
        <w:rPr>
          <w:i/>
          <w:iCs/>
        </w:rPr>
        <w:t>Hippocampus</w:t>
      </w:r>
      <w:r>
        <w:t xml:space="preserve">, </w:t>
      </w:r>
      <w:r>
        <w:rPr>
          <w:i/>
          <w:iCs/>
        </w:rPr>
        <w:t>12</w:t>
      </w:r>
      <w:r>
        <w:t>(6), 811–820. https://doi.org/10.1002/hipo.10070</w:t>
      </w:r>
    </w:p>
    <w:p w14:paraId="6FA23F32" w14:textId="77777777" w:rsidR="00256FB3" w:rsidRDefault="00256FB3" w:rsidP="00256FB3">
      <w:pPr>
        <w:pStyle w:val="Bibliography"/>
      </w:pPr>
      <w:r>
        <w:lastRenderedPageBreak/>
        <w:t xml:space="preserve">Lambrey, S., Doeller, C., Berthoz, A., &amp; Burgess, N. (2012). Imagining Being Somewhere Else: Neural Basis of Changing Perspective in Space. </w:t>
      </w:r>
      <w:r>
        <w:rPr>
          <w:i/>
          <w:iCs/>
        </w:rPr>
        <w:t>Cerebral Cortex</w:t>
      </w:r>
      <w:r>
        <w:t xml:space="preserve">, </w:t>
      </w:r>
      <w:r>
        <w:rPr>
          <w:i/>
          <w:iCs/>
        </w:rPr>
        <w:t>22</w:t>
      </w:r>
      <w:r>
        <w:t>(1), 166–174. https://doi.org/10.1093/cercor/bhr101</w:t>
      </w:r>
    </w:p>
    <w:p w14:paraId="3E5F5F32" w14:textId="77777777" w:rsidR="00256FB3" w:rsidRDefault="00256FB3" w:rsidP="00256FB3">
      <w:pPr>
        <w:pStyle w:val="Bibliography"/>
      </w:pPr>
      <w:r>
        <w:t xml:space="preserve">Luck, S J, &amp; Vogel, E. K. (1997). The capacity of visual working memory for features and conjunctions. </w:t>
      </w:r>
      <w:r>
        <w:rPr>
          <w:i/>
          <w:iCs/>
        </w:rPr>
        <w:t>Nature</w:t>
      </w:r>
      <w:r>
        <w:t xml:space="preserve">, </w:t>
      </w:r>
      <w:r>
        <w:rPr>
          <w:i/>
          <w:iCs/>
        </w:rPr>
        <w:t>390</w:t>
      </w:r>
      <w:r>
        <w:t>(6657), 279–281. https://doi.org/10.1038/36846</w:t>
      </w:r>
    </w:p>
    <w:p w14:paraId="16C083FD" w14:textId="020E4098" w:rsidR="00050E83" w:rsidRDefault="00050E83" w:rsidP="00256FB3">
      <w:pPr>
        <w:pStyle w:val="Bibliography"/>
      </w:pPr>
      <w:r>
        <w:t xml:space="preserve">Luck, S. J., Hillyard, S. A., </w:t>
      </w:r>
      <w:proofErr w:type="spellStart"/>
      <w:r>
        <w:t>Mouloua</w:t>
      </w:r>
      <w:proofErr w:type="spellEnd"/>
      <w:r>
        <w:t xml:space="preserve">, M., </w:t>
      </w:r>
      <w:proofErr w:type="spellStart"/>
      <w:r>
        <w:t>Woldorff</w:t>
      </w:r>
      <w:proofErr w:type="spellEnd"/>
      <w:r>
        <w:t xml:space="preserve">, M. G., Clark, V. P., &amp; Hawkins, H. L. (1994). Effects of spatial cuing on luminance detectability: Psychophysical and electrophysiological evidence for early selection. </w:t>
      </w:r>
      <w:r w:rsidRPr="00050E83">
        <w:rPr>
          <w:i/>
          <w:iCs/>
        </w:rPr>
        <w:t>Journal of Experimental Psychology: Human Perception and Performance,</w:t>
      </w:r>
      <w:r>
        <w:t xml:space="preserve"> 20(4), 887–904. https://doi.org/10.1037/0096-1523.20.4.887</w:t>
      </w:r>
    </w:p>
    <w:p w14:paraId="36C82697" w14:textId="77777777" w:rsidR="00256FB3" w:rsidRDefault="00256FB3" w:rsidP="00256FB3">
      <w:pPr>
        <w:pStyle w:val="Bibliography"/>
      </w:pPr>
      <w:r>
        <w:t xml:space="preserve">Luck, Steven J, &amp; Vogel, E. K. (2013). Visual working memory capacity: From psychophysics and neurobiology to individual differences. </w:t>
      </w:r>
      <w:r>
        <w:rPr>
          <w:i/>
          <w:iCs/>
        </w:rPr>
        <w:t>Trends Cogn. Sci.</w:t>
      </w:r>
      <w:r>
        <w:t xml:space="preserve">, </w:t>
      </w:r>
      <w:r>
        <w:rPr>
          <w:i/>
          <w:iCs/>
        </w:rPr>
        <w:t>17</w:t>
      </w:r>
      <w:r>
        <w:t>(8), 391–400. https://doi.org/10.1016/j.tics.2013.06.006</w:t>
      </w:r>
    </w:p>
    <w:p w14:paraId="377D507D" w14:textId="77777777" w:rsidR="00256FB3" w:rsidRDefault="00256FB3" w:rsidP="00256FB3">
      <w:pPr>
        <w:pStyle w:val="Bibliography"/>
      </w:pPr>
      <w:r>
        <w:t xml:space="preserve">Ma, W. J., &amp; Wilken, P. (2004). A signal detection account of visual short-term memory for orientation and spatial frequency. </w:t>
      </w:r>
      <w:r>
        <w:rPr>
          <w:i/>
          <w:iCs/>
        </w:rPr>
        <w:t>J. Vis.</w:t>
      </w:r>
      <w:r>
        <w:t xml:space="preserve">, </w:t>
      </w:r>
      <w:r>
        <w:rPr>
          <w:i/>
          <w:iCs/>
        </w:rPr>
        <w:t>4</w:t>
      </w:r>
      <w:r>
        <w:t>(8), 389–389. https://doi.org/10.1167/4.8.389</w:t>
      </w:r>
    </w:p>
    <w:p w14:paraId="5D8598E2" w14:textId="77777777" w:rsidR="00256FB3" w:rsidRDefault="00256FB3" w:rsidP="00256FB3">
      <w:pPr>
        <w:pStyle w:val="Bibliography"/>
      </w:pPr>
      <w:r>
        <w:t xml:space="preserve">Makovski, T., Watson, L. M., Koutstaal, W., &amp; Jiang, Y. V. (2010). Method matters: Systematic effects of testing procedure on visual working memory sensitivity. </w:t>
      </w:r>
      <w:r>
        <w:rPr>
          <w:i/>
          <w:iCs/>
        </w:rPr>
        <w:t>Journal of Experimental Psychology. Learning, Memory, and Cognition</w:t>
      </w:r>
      <w:r>
        <w:t xml:space="preserve">, </w:t>
      </w:r>
      <w:r>
        <w:rPr>
          <w:i/>
          <w:iCs/>
        </w:rPr>
        <w:t>36</w:t>
      </w:r>
      <w:r>
        <w:t>(6), 1466–1479. https://doi.org/10.1037/a0020851</w:t>
      </w:r>
    </w:p>
    <w:p w14:paraId="69470F42" w14:textId="77777777" w:rsidR="00256FB3" w:rsidRDefault="00256FB3" w:rsidP="00256FB3">
      <w:pPr>
        <w:pStyle w:val="Bibliography"/>
      </w:pPr>
      <w:r>
        <w:t xml:space="preserve">Moodley, K., Minati, L., Contarino, V., Prioni, S., Wood, R., Cooper, R., D’Incerti, L., Tagliavini, F., &amp; Chan, D. (2015). Diagnostic differentiation of mild cognitive impairment due to Alzheimer’s disease using a hippocampus-dependent test of spatial memory. </w:t>
      </w:r>
      <w:r>
        <w:rPr>
          <w:i/>
          <w:iCs/>
        </w:rPr>
        <w:t>Hippocampus</w:t>
      </w:r>
      <w:r>
        <w:t xml:space="preserve">, </w:t>
      </w:r>
      <w:r>
        <w:rPr>
          <w:i/>
          <w:iCs/>
        </w:rPr>
        <w:t>25</w:t>
      </w:r>
      <w:r>
        <w:t>(8), 939–951. https://doi.org/10.1002/hipo.22417</w:t>
      </w:r>
    </w:p>
    <w:p w14:paraId="66214C2A" w14:textId="77777777" w:rsidR="00256FB3" w:rsidRDefault="00256FB3" w:rsidP="00256FB3">
      <w:pPr>
        <w:pStyle w:val="Bibliography"/>
      </w:pPr>
      <w:r>
        <w:t xml:space="preserve">Mou, W., &amp; McNamara, T. P. (2002). Intrinsic frames of reference in spatial memory. </w:t>
      </w:r>
      <w:r>
        <w:rPr>
          <w:i/>
          <w:iCs/>
        </w:rPr>
        <w:t>J. Exp. Psychol. Learn. Mem. Cogn.</w:t>
      </w:r>
      <w:r>
        <w:t xml:space="preserve">, </w:t>
      </w:r>
      <w:r>
        <w:rPr>
          <w:i/>
          <w:iCs/>
        </w:rPr>
        <w:t>28</w:t>
      </w:r>
      <w:r>
        <w:t>(1), 162–170.</w:t>
      </w:r>
    </w:p>
    <w:p w14:paraId="2673C465" w14:textId="77777777" w:rsidR="00256FB3" w:rsidRDefault="00256FB3" w:rsidP="00256FB3">
      <w:pPr>
        <w:pStyle w:val="Bibliography"/>
      </w:pPr>
      <w:r>
        <w:lastRenderedPageBreak/>
        <w:t xml:space="preserve">Mou, W., McNamara, T. P., Rump, B., &amp; Xiao, C. (2006). Roles of egocentric and allocentric spatial representations in locomotion and reorientation. </w:t>
      </w:r>
      <w:r>
        <w:rPr>
          <w:i/>
          <w:iCs/>
        </w:rPr>
        <w:t>J. Exp. Psychol. Learn. Mem. Cogn.</w:t>
      </w:r>
      <w:r>
        <w:t xml:space="preserve">, </w:t>
      </w:r>
      <w:r>
        <w:rPr>
          <w:i/>
          <w:iCs/>
        </w:rPr>
        <w:t>32</w:t>
      </w:r>
      <w:r>
        <w:t>(6), 1274–1290. https://doi.org/10.1037/0278-7393.32.6.1274</w:t>
      </w:r>
    </w:p>
    <w:p w14:paraId="42422810" w14:textId="77777777" w:rsidR="00256FB3" w:rsidRDefault="00256FB3" w:rsidP="00256FB3">
      <w:pPr>
        <w:pStyle w:val="Bibliography"/>
      </w:pPr>
      <w:r>
        <w:t xml:space="preserve">Negen, J., Heywood-Everett, E., Roome, H. E., &amp; Nardini, M. (2018). Development of allocentric spatial recall from new viewpoints in virtual reality. </w:t>
      </w:r>
      <w:r>
        <w:rPr>
          <w:i/>
          <w:iCs/>
        </w:rPr>
        <w:t>Dev. Sci.</w:t>
      </w:r>
      <w:r>
        <w:t xml:space="preserve">, </w:t>
      </w:r>
      <w:r>
        <w:rPr>
          <w:i/>
          <w:iCs/>
        </w:rPr>
        <w:t>21</w:t>
      </w:r>
      <w:r>
        <w:t>(1). https://doi.org/10.1111/desc.12496</w:t>
      </w:r>
    </w:p>
    <w:p w14:paraId="7F07D1B0" w14:textId="77777777" w:rsidR="00256FB3" w:rsidRDefault="00256FB3" w:rsidP="00256FB3">
      <w:pPr>
        <w:pStyle w:val="Bibliography"/>
      </w:pPr>
      <w:r>
        <w:t xml:space="preserve">Newcombe, N., &amp; Huttenlocher, J. (1992). Children’s early ability to solve perspective-taking problems. </w:t>
      </w:r>
      <w:r>
        <w:rPr>
          <w:i/>
          <w:iCs/>
        </w:rPr>
        <w:t>Developmental Psychology</w:t>
      </w:r>
      <w:r>
        <w:t xml:space="preserve">, </w:t>
      </w:r>
      <w:r>
        <w:rPr>
          <w:i/>
          <w:iCs/>
        </w:rPr>
        <w:t>28</w:t>
      </w:r>
      <w:r>
        <w:t>(4), 635–643. https://doi.org/10.1037/0012-1649.28.4.635</w:t>
      </w:r>
    </w:p>
    <w:p w14:paraId="42CB0758" w14:textId="77777777" w:rsidR="00256FB3" w:rsidRDefault="00256FB3" w:rsidP="00256FB3">
      <w:pPr>
        <w:pStyle w:val="Bibliography"/>
      </w:pPr>
      <w:r>
        <w:t xml:space="preserve">Sargent, J., Dopkins, S., Philbeck, J., &amp; Chichka, D. (2010). Chunking in spatial memory. </w:t>
      </w:r>
      <w:r>
        <w:rPr>
          <w:i/>
          <w:iCs/>
        </w:rPr>
        <w:t>J. Exp. Psychol. Learn. Mem. Cogn.</w:t>
      </w:r>
      <w:r>
        <w:t xml:space="preserve">, </w:t>
      </w:r>
      <w:r>
        <w:rPr>
          <w:i/>
          <w:iCs/>
        </w:rPr>
        <w:t>36</w:t>
      </w:r>
      <w:r>
        <w:t>(3), 576–589. https://doi.org/10.1037/a0017528</w:t>
      </w:r>
    </w:p>
    <w:p w14:paraId="01E59509" w14:textId="77777777" w:rsidR="00256FB3" w:rsidRDefault="00256FB3" w:rsidP="00256FB3">
      <w:pPr>
        <w:pStyle w:val="Bibliography"/>
      </w:pPr>
      <w:r>
        <w:t xml:space="preserve">Sargent, J., Dopkins, S., Philbeck, J., &amp; Modarres, R. (2008). Spatial memory during progressive disorientation. </w:t>
      </w:r>
      <w:r>
        <w:rPr>
          <w:i/>
          <w:iCs/>
        </w:rPr>
        <w:t>J. Exp. Psychol. Learn. Mem. Cogn.</w:t>
      </w:r>
      <w:r>
        <w:t xml:space="preserve">, </w:t>
      </w:r>
      <w:r>
        <w:rPr>
          <w:i/>
          <w:iCs/>
        </w:rPr>
        <w:t>34</w:t>
      </w:r>
      <w:r>
        <w:t>(3), 602–615. https://doi.org/10.1037/0278-7393.34.3.602</w:t>
      </w:r>
    </w:p>
    <w:p w14:paraId="5F933A7B" w14:textId="77777777" w:rsidR="00256FB3" w:rsidRDefault="00256FB3" w:rsidP="00256FB3">
      <w:pPr>
        <w:pStyle w:val="Bibliography"/>
      </w:pPr>
      <w:r>
        <w:t xml:space="preserve">Schmidt, D., Krause, B. J., Weiss, P. H., Fink, G. R., Shah, N. J., Amorim, M.-A., Müller, H.-W., &amp; Berthoz, A. (2007). Visuospatial working memory and changes of the point of view in 3D space. </w:t>
      </w:r>
      <w:r>
        <w:rPr>
          <w:i/>
          <w:iCs/>
        </w:rPr>
        <w:t>NeuroImage</w:t>
      </w:r>
      <w:r>
        <w:t xml:space="preserve">, </w:t>
      </w:r>
      <w:r>
        <w:rPr>
          <w:i/>
          <w:iCs/>
        </w:rPr>
        <w:t>36</w:t>
      </w:r>
      <w:r>
        <w:t>(3), 955–968. https://doi.org/10.1016/j.neuroimage.2007.03.050</w:t>
      </w:r>
    </w:p>
    <w:p w14:paraId="2E377414" w14:textId="77777777" w:rsidR="00256FB3" w:rsidRDefault="00256FB3" w:rsidP="00256FB3">
      <w:pPr>
        <w:pStyle w:val="Bibliography"/>
      </w:pPr>
      <w:r>
        <w:t xml:space="preserve">Shelton, A. L., &amp; McNamara, T. P. (2001). Systems of spatial reference in human memory. </w:t>
      </w:r>
      <w:r>
        <w:rPr>
          <w:i/>
          <w:iCs/>
        </w:rPr>
        <w:t>Cogn. Psychol.</w:t>
      </w:r>
      <w:r>
        <w:t xml:space="preserve">, </w:t>
      </w:r>
      <w:r>
        <w:rPr>
          <w:i/>
          <w:iCs/>
        </w:rPr>
        <w:t>43</w:t>
      </w:r>
      <w:r>
        <w:t>(4), 274–310. https://doi.org/10.1006/cogp.2001.0758</w:t>
      </w:r>
    </w:p>
    <w:p w14:paraId="206CE342" w14:textId="77777777" w:rsidR="00256FB3" w:rsidRDefault="00256FB3" w:rsidP="00256FB3">
      <w:pPr>
        <w:pStyle w:val="Bibliography"/>
      </w:pPr>
      <w:r>
        <w:t xml:space="preserve">Simons, D. J., &amp; Wang, R. F. (1998). Perceiving Real-World Viewpoint Changes. </w:t>
      </w:r>
      <w:r>
        <w:rPr>
          <w:i/>
          <w:iCs/>
        </w:rPr>
        <w:t>Psychol. Sci.</w:t>
      </w:r>
      <w:r>
        <w:t xml:space="preserve">, </w:t>
      </w:r>
      <w:r>
        <w:rPr>
          <w:i/>
          <w:iCs/>
        </w:rPr>
        <w:t>9</w:t>
      </w:r>
      <w:r>
        <w:t>(4), 315–320. https://doi.org/10.1111/1467-9280.00062</w:t>
      </w:r>
    </w:p>
    <w:p w14:paraId="0C57131A" w14:textId="77777777" w:rsidR="00256FB3" w:rsidRDefault="00256FB3" w:rsidP="00256FB3">
      <w:pPr>
        <w:pStyle w:val="Bibliography"/>
      </w:pPr>
      <w:r>
        <w:t xml:space="preserve">Spiers, H. J., Burgess, N., Maguire, E. A., Baxendale, S. A., Hartley, T., Thompson, P. J., &amp; O’Keefe, J. (2001). Unilateral temporal lobectomy patients show lateralized topographical and episodic memory deficits in a virtual town. </w:t>
      </w:r>
      <w:r>
        <w:rPr>
          <w:i/>
          <w:iCs/>
        </w:rPr>
        <w:t>Brain</w:t>
      </w:r>
      <w:r>
        <w:t xml:space="preserve">, </w:t>
      </w:r>
      <w:r>
        <w:rPr>
          <w:i/>
          <w:iCs/>
        </w:rPr>
        <w:t>124</w:t>
      </w:r>
      <w:r>
        <w:t>(Pt 12), 2476–2489.</w:t>
      </w:r>
    </w:p>
    <w:p w14:paraId="038481CC" w14:textId="77777777" w:rsidR="00256FB3" w:rsidRDefault="00256FB3" w:rsidP="00256FB3">
      <w:pPr>
        <w:pStyle w:val="Bibliography"/>
      </w:pPr>
      <w:r>
        <w:lastRenderedPageBreak/>
        <w:t xml:space="preserve">Tu, S., Spiers, H. J., Hodges, J. R., Piguet, O., &amp; Hornberger, M. (2017). Egocentric versus Allocentric Spatial Memory in Behavioral Variant Frontotemporal Dementia and Alzheimer’s Disease. </w:t>
      </w:r>
      <w:r>
        <w:rPr>
          <w:i/>
          <w:iCs/>
        </w:rPr>
        <w:t>Journal of Alzheimer’s Disease</w:t>
      </w:r>
      <w:r>
        <w:t xml:space="preserve">, </w:t>
      </w:r>
      <w:r>
        <w:rPr>
          <w:i/>
          <w:iCs/>
        </w:rPr>
        <w:t>59</w:t>
      </w:r>
      <w:r>
        <w:t>(3), 883–892. https://doi.org/10.3233/JAD-160592</w:t>
      </w:r>
    </w:p>
    <w:p w14:paraId="0D742F2D" w14:textId="77777777" w:rsidR="00256FB3" w:rsidRDefault="00256FB3" w:rsidP="00256FB3">
      <w:pPr>
        <w:pStyle w:val="Bibliography"/>
      </w:pPr>
      <w:r>
        <w:t xml:space="preserve">Wagenmakers, E.-J. (2007). A practical solution to the pervasive problems ofp values. </w:t>
      </w:r>
      <w:r>
        <w:rPr>
          <w:i/>
          <w:iCs/>
        </w:rPr>
        <w:t>Psychonomic Bulletin &amp; Review</w:t>
      </w:r>
      <w:r>
        <w:t xml:space="preserve">, </w:t>
      </w:r>
      <w:r>
        <w:rPr>
          <w:i/>
          <w:iCs/>
        </w:rPr>
        <w:t>14</w:t>
      </w:r>
      <w:r>
        <w:t>(5), 779–804. https://doi.org/10.3758/BF03194105</w:t>
      </w:r>
    </w:p>
    <w:p w14:paraId="3D429070" w14:textId="77777777" w:rsidR="00256FB3" w:rsidRDefault="00256FB3" w:rsidP="00256FB3">
      <w:pPr>
        <w:pStyle w:val="Bibliography"/>
      </w:pPr>
      <w:r>
        <w:t xml:space="preserve">Waller, D., &amp; Hodgson, E. (2006). Transient and enduring spatial representations under disorientation and self-rotation. </w:t>
      </w:r>
      <w:r>
        <w:rPr>
          <w:i/>
          <w:iCs/>
        </w:rPr>
        <w:t>J. Exp. Psychol. Learn. Mem. Cogn.</w:t>
      </w:r>
      <w:r>
        <w:t xml:space="preserve">, </w:t>
      </w:r>
      <w:r>
        <w:rPr>
          <w:i/>
          <w:iCs/>
        </w:rPr>
        <w:t>32</w:t>
      </w:r>
      <w:r>
        <w:t>(4), 867.</w:t>
      </w:r>
    </w:p>
    <w:p w14:paraId="3DABF047" w14:textId="77777777" w:rsidR="00256FB3" w:rsidRDefault="00256FB3" w:rsidP="00256FB3">
      <w:pPr>
        <w:pStyle w:val="Bibliography"/>
      </w:pPr>
      <w:r>
        <w:t xml:space="preserve">Wang, R. F., &amp; Simons, D. J. (1999). Active and passive scene recognition across views. </w:t>
      </w:r>
      <w:r>
        <w:rPr>
          <w:i/>
          <w:iCs/>
        </w:rPr>
        <w:t>Cognition</w:t>
      </w:r>
      <w:r>
        <w:t xml:space="preserve">, </w:t>
      </w:r>
      <w:r>
        <w:rPr>
          <w:i/>
          <w:iCs/>
        </w:rPr>
        <w:t>70</w:t>
      </w:r>
      <w:r>
        <w:t>(2), 191–210.</w:t>
      </w:r>
    </w:p>
    <w:p w14:paraId="5D5C3B26" w14:textId="77777777" w:rsidR="00256FB3" w:rsidRDefault="00256FB3" w:rsidP="00256FB3">
      <w:pPr>
        <w:pStyle w:val="Bibliography"/>
      </w:pPr>
      <w:bookmarkStart w:id="5" w:name="_GoBack"/>
      <w:bookmarkEnd w:id="5"/>
      <w:r>
        <w:t xml:space="preserve">Wraga, M., Creem, S. H., &amp; Proffitt, D. R. (2000). Updating displays after imagined object and viewer rotations. </w:t>
      </w:r>
      <w:r>
        <w:rPr>
          <w:i/>
          <w:iCs/>
        </w:rPr>
        <w:t>Journal of Experimental Psychology: Learning, Memory, and Cognition</w:t>
      </w:r>
      <w:r>
        <w:t xml:space="preserve">, </w:t>
      </w:r>
      <w:r>
        <w:rPr>
          <w:i/>
          <w:iCs/>
        </w:rPr>
        <w:t>26</w:t>
      </w:r>
      <w:r>
        <w:t>(1), 151–168. https://doi.org/10.1037/0278-7393.26.1.151</w:t>
      </w:r>
    </w:p>
    <w:p w14:paraId="36560A28" w14:textId="77777777" w:rsidR="00256FB3" w:rsidRDefault="00256FB3" w:rsidP="00256FB3">
      <w:pPr>
        <w:pStyle w:val="Bibliography"/>
      </w:pPr>
      <w:r>
        <w:t xml:space="preserve">Wraga, M., Shephard, J. M., Church, J. A., Inati, S., &amp; Kosslyn, S. M. (2005). Imagined rotations of self versus objects: An fMRI study. </w:t>
      </w:r>
      <w:r>
        <w:rPr>
          <w:i/>
          <w:iCs/>
        </w:rPr>
        <w:t>Neuropsychologia</w:t>
      </w:r>
      <w:r>
        <w:t xml:space="preserve">, </w:t>
      </w:r>
      <w:r>
        <w:rPr>
          <w:i/>
          <w:iCs/>
        </w:rPr>
        <w:t>43</w:t>
      </w:r>
      <w:r>
        <w:t>(9), 1351–1361. https://doi.org/10.1016/j.neuropsychologia.2004.11.028</w:t>
      </w:r>
    </w:p>
    <w:p w14:paraId="1DD062D8" w14:textId="77777777" w:rsidR="00256FB3" w:rsidRDefault="00256FB3" w:rsidP="00256FB3">
      <w:pPr>
        <w:pStyle w:val="Bibliography"/>
      </w:pPr>
      <w:r>
        <w:t xml:space="preserve">Xu, Y., Regier, T., &amp; Newcombe, N. S. (2017). An adaptive cue combination model of human spatial reorientation. </w:t>
      </w:r>
      <w:r>
        <w:rPr>
          <w:i/>
          <w:iCs/>
        </w:rPr>
        <w:t>Cognition</w:t>
      </w:r>
      <w:r>
        <w:t xml:space="preserve">, </w:t>
      </w:r>
      <w:r>
        <w:rPr>
          <w:i/>
          <w:iCs/>
        </w:rPr>
        <w:t>163</w:t>
      </w:r>
      <w:r>
        <w:t>, 56–66. https://doi.org/10.1016/j.cognition.2017.02.016</w:t>
      </w:r>
    </w:p>
    <w:p w14:paraId="5E6CC8CA" w14:textId="77777777" w:rsidR="00256FB3" w:rsidRDefault="00256FB3" w:rsidP="00256FB3">
      <w:pPr>
        <w:pStyle w:val="Bibliography"/>
      </w:pPr>
      <w:r>
        <w:t xml:space="preserve">Zhang, H., Mou, W., &amp; McNamara, T. P. (2011). Spatial updating according to a fixed reference direction of a briefly viewed layout. </w:t>
      </w:r>
      <w:r>
        <w:rPr>
          <w:i/>
          <w:iCs/>
        </w:rPr>
        <w:t>Cognition</w:t>
      </w:r>
      <w:r>
        <w:t xml:space="preserve">, </w:t>
      </w:r>
      <w:r>
        <w:rPr>
          <w:i/>
          <w:iCs/>
        </w:rPr>
        <w:t>119</w:t>
      </w:r>
      <w:r>
        <w:t>(3), 419–429. https://doi.org/10.1016/j.cognition.2011.02.006</w:t>
      </w:r>
    </w:p>
    <w:p w14:paraId="0E5FE2CC" w14:textId="77777777" w:rsidR="00256FB3" w:rsidRDefault="00256FB3" w:rsidP="00256FB3">
      <w:pPr>
        <w:pStyle w:val="Bibliography"/>
      </w:pPr>
      <w:r>
        <w:t xml:space="preserve">Zhao, M., &amp; Warren, W. H. (2015). How You Get There From Here: Interaction of Visual Landmarks and Path Integration in Human Navigation. </w:t>
      </w:r>
      <w:r>
        <w:rPr>
          <w:i/>
          <w:iCs/>
        </w:rPr>
        <w:t>Psychological Science</w:t>
      </w:r>
      <w:r>
        <w:t xml:space="preserve">, </w:t>
      </w:r>
      <w:r>
        <w:rPr>
          <w:i/>
          <w:iCs/>
        </w:rPr>
        <w:t>26</w:t>
      </w:r>
      <w:r>
        <w:t>(6), 915–924. https://doi.org/10.1177/0956797615574952</w:t>
      </w:r>
    </w:p>
    <w:p w14:paraId="3E9DEBD8" w14:textId="56C80EAA" w:rsidR="00131977" w:rsidRDefault="00FC0FD0" w:rsidP="00D216F9">
      <w:pPr>
        <w:pStyle w:val="Bibliography"/>
      </w:pPr>
      <w:r w:rsidRPr="00B42097">
        <w:lastRenderedPageBreak/>
        <w:fldChar w:fldCharType="end"/>
      </w:r>
    </w:p>
    <w:p w14:paraId="2854C2F6" w14:textId="3FB6D313" w:rsidR="00A61335" w:rsidRDefault="00131977" w:rsidP="00131977">
      <w:r>
        <w:br w:type="page"/>
      </w:r>
    </w:p>
    <w:p w14:paraId="5ECDCF10" w14:textId="1BDE1C0B" w:rsidR="00A61335" w:rsidRPr="00E37EAA" w:rsidRDefault="00A61335" w:rsidP="00A61335">
      <w:pPr>
        <w:shd w:val="clear" w:color="auto" w:fill="FFFFFF"/>
        <w:jc w:val="center"/>
        <w:rPr>
          <w:bCs/>
          <w:sz w:val="28"/>
          <w:szCs w:val="28"/>
        </w:rPr>
      </w:pPr>
      <w:r w:rsidRPr="00E37EAA">
        <w:rPr>
          <w:bCs/>
          <w:sz w:val="28"/>
          <w:szCs w:val="28"/>
        </w:rPr>
        <w:lastRenderedPageBreak/>
        <w:t>Supplementary Materials for</w:t>
      </w:r>
    </w:p>
    <w:p w14:paraId="188D767A" w14:textId="77777777" w:rsidR="00A61335" w:rsidRPr="00E37EAA" w:rsidRDefault="00A61335" w:rsidP="00A61335">
      <w:pPr>
        <w:pStyle w:val="Articletitle"/>
        <w:jc w:val="center"/>
      </w:pPr>
      <w:r w:rsidRPr="00E37EAA">
        <w:t>Testing the precision of spatial memory representations using a change-detection task: Effects of viewpoint change</w:t>
      </w:r>
    </w:p>
    <w:p w14:paraId="0606DBC0" w14:textId="77777777" w:rsidR="00A61335" w:rsidRPr="00E37EAA" w:rsidRDefault="00A61335" w:rsidP="00A61335">
      <w:pPr>
        <w:pStyle w:val="Correspondencedetails"/>
        <w:jc w:val="center"/>
      </w:pPr>
      <w:r w:rsidRPr="00E37EAA">
        <w:t>Edward Heywood-Everett, Daniel H. Baker, Tom Hartley*</w:t>
      </w:r>
    </w:p>
    <w:p w14:paraId="4E5BEB34" w14:textId="77777777" w:rsidR="00A61335" w:rsidRPr="00E37EAA" w:rsidRDefault="00A61335" w:rsidP="00A61335">
      <w:pPr>
        <w:shd w:val="clear" w:color="auto" w:fill="FFFFFF"/>
        <w:rPr>
          <w:rFonts w:ascii="Arial" w:hAnsi="Arial" w:cs="Arial"/>
          <w:bCs/>
        </w:rPr>
      </w:pPr>
    </w:p>
    <w:p w14:paraId="28B0326F" w14:textId="193A7554" w:rsidR="00A61335" w:rsidRDefault="00A61335" w:rsidP="00A61335">
      <w:pPr>
        <w:rPr>
          <w:b/>
          <w:bCs/>
        </w:rPr>
      </w:pPr>
      <w:r w:rsidRPr="00E37EAA">
        <w:rPr>
          <w:b/>
          <w:bCs/>
        </w:rPr>
        <w:t>Calculation of decibel values</w:t>
      </w:r>
    </w:p>
    <w:p w14:paraId="653313EA" w14:textId="5107335C" w:rsidR="00C91425" w:rsidRPr="00D216F9" w:rsidRDefault="00C91425" w:rsidP="00A61335">
      <w:r w:rsidRPr="00D216F9">
        <w:t xml:space="preserve">The following </w:t>
      </w:r>
      <w:r>
        <w:t>function is used to conver</w:t>
      </w:r>
      <w:r w:rsidR="00EE3093">
        <w:t>t distances in meters into equivalent decibel values:</w:t>
      </w:r>
    </w:p>
    <w:p w14:paraId="75DE91A5" w14:textId="2D224263" w:rsidR="00A61335" w:rsidRPr="00E37EAA" w:rsidRDefault="00DA2656" w:rsidP="00A61335">
      <m:oMathPara>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dB</m:t>
              </m:r>
            </m:sub>
          </m:sSub>
          <m:r>
            <w:rPr>
              <w:rFonts w:ascii="Cambria Math" w:hAnsi="Cambria Math"/>
            </w:rPr>
            <m:t xml:space="preserve">=20 × </m:t>
          </m:r>
          <m:sSub>
            <m:sSubPr>
              <m:ctrlPr>
                <w:rPr>
                  <w:rFonts w:ascii="Cambria Math" w:hAnsi="Cambria Math"/>
                  <w:i/>
                </w:rPr>
              </m:ctrlPr>
            </m:sSubPr>
            <m:e>
              <m:r>
                <w:rPr>
                  <w:rFonts w:ascii="Cambria Math" w:hAnsi="Cambria Math"/>
                </w:rPr>
                <m:t>log</m:t>
              </m:r>
            </m:e>
            <m:sub>
              <m:r>
                <w:rPr>
                  <w:rFonts w:ascii="Cambria Math" w:hAnsi="Cambria Math"/>
                </w:rPr>
                <m:t>10</m:t>
              </m:r>
            </m:sub>
          </m:sSub>
          <m:r>
            <w:rPr>
              <w:rFonts w:ascii="Cambria Math" w:hAnsi="Cambria Math"/>
            </w:rPr>
            <m:t>(</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r>
            <w:rPr>
              <w:rFonts w:ascii="Cambria Math" w:hAnsi="Cambria Math"/>
            </w:rPr>
            <m:t>)</m:t>
          </m:r>
        </m:oMath>
      </m:oMathPara>
    </w:p>
    <w:p w14:paraId="195E7429" w14:textId="1659AA8E" w:rsidR="00A61335" w:rsidRPr="00E37EAA" w:rsidRDefault="00DA2656" w:rsidP="00A61335">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dB</m:t>
            </m:r>
          </m:sub>
        </m:sSub>
      </m:oMath>
      <w:r w:rsidR="00A61335" w:rsidRPr="00E37EAA">
        <w:t xml:space="preserve"> = spatial change (distortion) in decibels.</w:t>
      </w:r>
    </w:p>
    <w:p w14:paraId="73CFEC24" w14:textId="08F0D438" w:rsidR="00A61335" w:rsidRPr="00E37EAA" w:rsidRDefault="00A61335" w:rsidP="00A61335">
      <w:r w:rsidRPr="00E37EAA">
        <w:t xml:space="preserve">C = spatial change (distortion) in this trial in meters. </w:t>
      </w:r>
    </w:p>
    <w:p w14:paraId="0AA3178B" w14:textId="58AB4DE1" w:rsidR="00A61335" w:rsidRPr="00E37EAA" w:rsidRDefault="00DA2656" w:rsidP="00A61335">
      <m:oMath>
        <m:sSub>
          <m:sSubPr>
            <m:ctrlPr>
              <w:rPr>
                <w:rFonts w:ascii="Cambria Math" w:hAnsi="Cambria Math"/>
                <w:i/>
              </w:rPr>
            </m:ctrlPr>
          </m:sSubPr>
          <m:e>
            <m:r>
              <w:rPr>
                <w:rFonts w:ascii="Cambria Math" w:hAnsi="Cambria Math"/>
              </w:rPr>
              <m:t>C</m:t>
            </m:r>
          </m:e>
          <m:sub>
            <m:r>
              <w:rPr>
                <w:rFonts w:ascii="Cambria Math" w:hAnsi="Cambria Math"/>
              </w:rPr>
              <m:t xml:space="preserve">0 </m:t>
            </m:r>
          </m:sub>
        </m:sSub>
      </m:oMath>
      <w:r w:rsidR="00A61335" w:rsidRPr="00E37EAA">
        <w:t>= 0.5 This is the decibel reference value (</w:t>
      </w:r>
      <w:proofErr w:type="spellStart"/>
      <w:r w:rsidR="00A61335" w:rsidRPr="00E37EAA">
        <w:t>ie</w:t>
      </w:r>
      <w:proofErr w:type="spellEnd"/>
      <w:r w:rsidR="00A61335" w:rsidRPr="00E37EAA">
        <w:t xml:space="preserve"> 0dB = 0.5m). We chose to use 0.5m as during the pilot testing this corresponds to an approximately average level of performance in the task.  </w:t>
      </w:r>
    </w:p>
    <w:p w14:paraId="2DCAE9B8" w14:textId="77777777" w:rsidR="00A61335" w:rsidRPr="00E37EAA" w:rsidRDefault="00A61335" w:rsidP="00A61335"/>
    <w:p w14:paraId="5C74F07D" w14:textId="77777777" w:rsidR="00A61335" w:rsidRPr="00E37EAA" w:rsidRDefault="00A61335" w:rsidP="00A61335"/>
    <w:p w14:paraId="0D3AD18A" w14:textId="77777777" w:rsidR="00A61335" w:rsidRPr="00E37EAA" w:rsidRDefault="00A61335" w:rsidP="00A61335"/>
    <w:p w14:paraId="248564B7" w14:textId="77777777" w:rsidR="00A61335" w:rsidRPr="00E37EAA" w:rsidRDefault="00A61335" w:rsidP="00A61335"/>
    <w:p w14:paraId="2C758232" w14:textId="77777777" w:rsidR="00A61335" w:rsidRPr="00E37EAA" w:rsidRDefault="00A61335" w:rsidP="00A61335"/>
    <w:p w14:paraId="72B10F32" w14:textId="2F1D7C68" w:rsidR="00A61335" w:rsidRPr="00E37EAA" w:rsidRDefault="00A61335" w:rsidP="00A61335">
      <w:pPr>
        <w:shd w:val="clear" w:color="auto" w:fill="FFFFFF"/>
        <w:rPr>
          <w:rFonts w:cstheme="minorHAnsi"/>
          <w:b/>
        </w:rPr>
      </w:pPr>
      <w:r w:rsidRPr="00E37EAA">
        <w:rPr>
          <w:rFonts w:cstheme="minorHAnsi"/>
          <w:b/>
        </w:rPr>
        <w:lastRenderedPageBreak/>
        <w:t>Bayes Factors</w:t>
      </w:r>
    </w:p>
    <w:tbl>
      <w:tblPr>
        <w:tblW w:w="7800" w:type="dxa"/>
        <w:tblLook w:val="04A0" w:firstRow="1" w:lastRow="0" w:firstColumn="1" w:lastColumn="0" w:noHBand="0" w:noVBand="1"/>
      </w:tblPr>
      <w:tblGrid>
        <w:gridCol w:w="1300"/>
        <w:gridCol w:w="1413"/>
        <w:gridCol w:w="1413"/>
        <w:gridCol w:w="1479"/>
        <w:gridCol w:w="1091"/>
        <w:gridCol w:w="1104"/>
      </w:tblGrid>
      <w:tr w:rsidR="00A61335" w:rsidRPr="00E37EAA" w14:paraId="5CEA7F88" w14:textId="77777777" w:rsidTr="00131977">
        <w:trPr>
          <w:trHeight w:hRule="exact" w:val="301"/>
        </w:trPr>
        <w:tc>
          <w:tcPr>
            <w:tcW w:w="1300" w:type="dxa"/>
            <w:tcBorders>
              <w:top w:val="nil"/>
              <w:left w:val="nil"/>
              <w:bottom w:val="single" w:sz="4" w:space="0" w:color="auto"/>
              <w:right w:val="nil"/>
            </w:tcBorders>
            <w:shd w:val="clear" w:color="auto" w:fill="auto"/>
            <w:noWrap/>
            <w:vAlign w:val="bottom"/>
            <w:hideMark/>
          </w:tcPr>
          <w:p w14:paraId="0DA0D499" w14:textId="77777777" w:rsidR="00A61335" w:rsidRPr="00E37EAA" w:rsidRDefault="00A61335" w:rsidP="00A61335">
            <w:pPr>
              <w:spacing w:line="240" w:lineRule="auto"/>
              <w:rPr>
                <w:rFonts w:ascii="Calibri" w:hAnsi="Calibri" w:cs="Calibri"/>
                <w:color w:val="000000"/>
                <w:sz w:val="22"/>
                <w:szCs w:val="22"/>
              </w:rPr>
            </w:pPr>
            <w:r w:rsidRPr="00E37EAA">
              <w:rPr>
                <w:rFonts w:ascii="Calibri" w:hAnsi="Calibri" w:cs="Calibri"/>
                <w:color w:val="000000"/>
                <w:sz w:val="22"/>
                <w:szCs w:val="22"/>
              </w:rPr>
              <w:t> </w:t>
            </w:r>
          </w:p>
        </w:tc>
        <w:tc>
          <w:tcPr>
            <w:tcW w:w="6500" w:type="dxa"/>
            <w:gridSpan w:val="5"/>
            <w:tcBorders>
              <w:top w:val="nil"/>
              <w:left w:val="nil"/>
              <w:bottom w:val="single" w:sz="4" w:space="0" w:color="auto"/>
              <w:right w:val="nil"/>
            </w:tcBorders>
            <w:shd w:val="clear" w:color="auto" w:fill="auto"/>
            <w:noWrap/>
            <w:vAlign w:val="bottom"/>
            <w:hideMark/>
          </w:tcPr>
          <w:p w14:paraId="6E08A68E"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Experiment 1: Bayes Factors</w:t>
            </w:r>
          </w:p>
        </w:tc>
      </w:tr>
      <w:tr w:rsidR="00A61335" w:rsidRPr="00E37EAA" w14:paraId="7D61AF1F" w14:textId="77777777" w:rsidTr="00131977">
        <w:trPr>
          <w:trHeight w:hRule="exact" w:val="301"/>
        </w:trPr>
        <w:tc>
          <w:tcPr>
            <w:tcW w:w="1300" w:type="dxa"/>
            <w:tcBorders>
              <w:top w:val="nil"/>
              <w:left w:val="nil"/>
              <w:bottom w:val="single" w:sz="4" w:space="0" w:color="auto"/>
              <w:right w:val="nil"/>
            </w:tcBorders>
            <w:shd w:val="clear" w:color="auto" w:fill="auto"/>
            <w:noWrap/>
            <w:vAlign w:val="bottom"/>
            <w:hideMark/>
          </w:tcPr>
          <w:p w14:paraId="2B2B7E9E" w14:textId="77777777" w:rsidR="00A61335" w:rsidRPr="00E37EAA" w:rsidRDefault="00A61335" w:rsidP="00A61335">
            <w:pPr>
              <w:spacing w:line="240" w:lineRule="auto"/>
              <w:rPr>
                <w:rFonts w:ascii="Calibri" w:hAnsi="Calibri" w:cs="Calibri"/>
                <w:color w:val="000000"/>
                <w:sz w:val="22"/>
                <w:szCs w:val="22"/>
              </w:rPr>
            </w:pPr>
            <w:r w:rsidRPr="00E37EAA">
              <w:rPr>
                <w:rFonts w:ascii="Calibri" w:hAnsi="Calibri" w:cs="Calibri"/>
                <w:color w:val="000000"/>
                <w:sz w:val="22"/>
                <w:szCs w:val="22"/>
              </w:rPr>
              <w:t>Participant</w:t>
            </w:r>
          </w:p>
        </w:tc>
        <w:tc>
          <w:tcPr>
            <w:tcW w:w="1413" w:type="dxa"/>
            <w:tcBorders>
              <w:top w:val="nil"/>
              <w:left w:val="nil"/>
              <w:bottom w:val="single" w:sz="4" w:space="0" w:color="auto"/>
              <w:right w:val="nil"/>
            </w:tcBorders>
            <w:shd w:val="clear" w:color="auto" w:fill="auto"/>
            <w:noWrap/>
            <w:vAlign w:val="bottom"/>
            <w:hideMark/>
          </w:tcPr>
          <w:p w14:paraId="3EA530B1"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0°</w:t>
            </w:r>
          </w:p>
        </w:tc>
        <w:tc>
          <w:tcPr>
            <w:tcW w:w="1413" w:type="dxa"/>
            <w:tcBorders>
              <w:top w:val="nil"/>
              <w:left w:val="nil"/>
              <w:bottom w:val="single" w:sz="4" w:space="0" w:color="auto"/>
              <w:right w:val="nil"/>
            </w:tcBorders>
            <w:shd w:val="clear" w:color="auto" w:fill="auto"/>
            <w:noWrap/>
            <w:vAlign w:val="bottom"/>
            <w:hideMark/>
          </w:tcPr>
          <w:p w14:paraId="6249C01A"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5°</w:t>
            </w:r>
          </w:p>
        </w:tc>
        <w:tc>
          <w:tcPr>
            <w:tcW w:w="1479" w:type="dxa"/>
            <w:tcBorders>
              <w:top w:val="nil"/>
              <w:left w:val="nil"/>
              <w:bottom w:val="single" w:sz="4" w:space="0" w:color="auto"/>
              <w:right w:val="nil"/>
            </w:tcBorders>
            <w:shd w:val="clear" w:color="auto" w:fill="auto"/>
            <w:noWrap/>
            <w:vAlign w:val="bottom"/>
            <w:hideMark/>
          </w:tcPr>
          <w:p w14:paraId="425BA26D"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15°</w:t>
            </w:r>
          </w:p>
        </w:tc>
        <w:tc>
          <w:tcPr>
            <w:tcW w:w="1091" w:type="dxa"/>
            <w:tcBorders>
              <w:top w:val="nil"/>
              <w:left w:val="nil"/>
              <w:bottom w:val="single" w:sz="4" w:space="0" w:color="auto"/>
              <w:right w:val="nil"/>
            </w:tcBorders>
            <w:shd w:val="clear" w:color="auto" w:fill="auto"/>
            <w:noWrap/>
            <w:vAlign w:val="bottom"/>
            <w:hideMark/>
          </w:tcPr>
          <w:p w14:paraId="50730889"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45°</w:t>
            </w:r>
          </w:p>
        </w:tc>
        <w:tc>
          <w:tcPr>
            <w:tcW w:w="1104" w:type="dxa"/>
            <w:tcBorders>
              <w:top w:val="nil"/>
              <w:left w:val="nil"/>
              <w:bottom w:val="single" w:sz="4" w:space="0" w:color="auto"/>
              <w:right w:val="nil"/>
            </w:tcBorders>
            <w:shd w:val="clear" w:color="auto" w:fill="auto"/>
            <w:noWrap/>
            <w:vAlign w:val="bottom"/>
            <w:hideMark/>
          </w:tcPr>
          <w:p w14:paraId="681B60E9"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135°</w:t>
            </w:r>
          </w:p>
        </w:tc>
      </w:tr>
      <w:tr w:rsidR="00A61335" w:rsidRPr="00E37EAA" w14:paraId="0166DAAA" w14:textId="77777777" w:rsidTr="00131977">
        <w:trPr>
          <w:trHeight w:hRule="exact" w:val="301"/>
        </w:trPr>
        <w:tc>
          <w:tcPr>
            <w:tcW w:w="1300" w:type="dxa"/>
            <w:tcBorders>
              <w:top w:val="nil"/>
              <w:left w:val="nil"/>
              <w:bottom w:val="nil"/>
              <w:right w:val="nil"/>
            </w:tcBorders>
            <w:shd w:val="clear" w:color="auto" w:fill="auto"/>
            <w:noWrap/>
            <w:vAlign w:val="bottom"/>
            <w:hideMark/>
          </w:tcPr>
          <w:p w14:paraId="2788285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w:t>
            </w:r>
          </w:p>
        </w:tc>
        <w:tc>
          <w:tcPr>
            <w:tcW w:w="1413" w:type="dxa"/>
            <w:tcBorders>
              <w:top w:val="nil"/>
              <w:left w:val="nil"/>
              <w:bottom w:val="nil"/>
              <w:right w:val="nil"/>
            </w:tcBorders>
            <w:shd w:val="clear" w:color="auto" w:fill="auto"/>
            <w:noWrap/>
            <w:vAlign w:val="bottom"/>
            <w:hideMark/>
          </w:tcPr>
          <w:p w14:paraId="2D80FAB5"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1438.60</w:t>
            </w:r>
          </w:p>
        </w:tc>
        <w:tc>
          <w:tcPr>
            <w:tcW w:w="1413" w:type="dxa"/>
            <w:tcBorders>
              <w:top w:val="nil"/>
              <w:left w:val="nil"/>
              <w:bottom w:val="nil"/>
              <w:right w:val="nil"/>
            </w:tcBorders>
            <w:shd w:val="clear" w:color="auto" w:fill="auto"/>
            <w:noWrap/>
            <w:vAlign w:val="bottom"/>
            <w:hideMark/>
          </w:tcPr>
          <w:p w14:paraId="481ECED1"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2.60</w:t>
            </w:r>
          </w:p>
        </w:tc>
        <w:tc>
          <w:tcPr>
            <w:tcW w:w="1479" w:type="dxa"/>
            <w:tcBorders>
              <w:top w:val="nil"/>
              <w:left w:val="nil"/>
              <w:bottom w:val="nil"/>
              <w:right w:val="nil"/>
            </w:tcBorders>
            <w:shd w:val="clear" w:color="auto" w:fill="auto"/>
            <w:noWrap/>
            <w:vAlign w:val="bottom"/>
            <w:hideMark/>
          </w:tcPr>
          <w:p w14:paraId="60F0F254"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2.80</w:t>
            </w:r>
          </w:p>
        </w:tc>
        <w:tc>
          <w:tcPr>
            <w:tcW w:w="1091" w:type="dxa"/>
            <w:tcBorders>
              <w:top w:val="nil"/>
              <w:left w:val="nil"/>
              <w:bottom w:val="nil"/>
              <w:right w:val="nil"/>
            </w:tcBorders>
            <w:shd w:val="clear" w:color="auto" w:fill="auto"/>
            <w:noWrap/>
            <w:vAlign w:val="bottom"/>
            <w:hideMark/>
          </w:tcPr>
          <w:p w14:paraId="168D6885"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1.24</w:t>
            </w:r>
          </w:p>
        </w:tc>
        <w:tc>
          <w:tcPr>
            <w:tcW w:w="1104" w:type="dxa"/>
            <w:tcBorders>
              <w:top w:val="nil"/>
              <w:left w:val="nil"/>
              <w:bottom w:val="nil"/>
              <w:right w:val="nil"/>
            </w:tcBorders>
            <w:shd w:val="clear" w:color="auto" w:fill="auto"/>
            <w:noWrap/>
            <w:vAlign w:val="bottom"/>
            <w:hideMark/>
          </w:tcPr>
          <w:p w14:paraId="49EF6E4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2.44</w:t>
            </w:r>
          </w:p>
        </w:tc>
      </w:tr>
      <w:tr w:rsidR="00A61335" w:rsidRPr="00E37EAA" w14:paraId="7759286A" w14:textId="77777777" w:rsidTr="00131977">
        <w:trPr>
          <w:trHeight w:hRule="exact" w:val="301"/>
        </w:trPr>
        <w:tc>
          <w:tcPr>
            <w:tcW w:w="1300" w:type="dxa"/>
            <w:tcBorders>
              <w:top w:val="nil"/>
              <w:left w:val="nil"/>
              <w:bottom w:val="nil"/>
              <w:right w:val="nil"/>
            </w:tcBorders>
            <w:shd w:val="clear" w:color="auto" w:fill="auto"/>
            <w:noWrap/>
            <w:vAlign w:val="bottom"/>
            <w:hideMark/>
          </w:tcPr>
          <w:p w14:paraId="61DF4DB3"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w:t>
            </w:r>
          </w:p>
        </w:tc>
        <w:tc>
          <w:tcPr>
            <w:tcW w:w="1413" w:type="dxa"/>
            <w:tcBorders>
              <w:top w:val="nil"/>
              <w:left w:val="nil"/>
              <w:bottom w:val="nil"/>
              <w:right w:val="nil"/>
            </w:tcBorders>
            <w:shd w:val="clear" w:color="auto" w:fill="auto"/>
            <w:noWrap/>
            <w:vAlign w:val="bottom"/>
            <w:hideMark/>
          </w:tcPr>
          <w:p w14:paraId="4EB4B0B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34.97</w:t>
            </w:r>
          </w:p>
        </w:tc>
        <w:tc>
          <w:tcPr>
            <w:tcW w:w="1413" w:type="dxa"/>
            <w:tcBorders>
              <w:top w:val="nil"/>
              <w:left w:val="nil"/>
              <w:bottom w:val="nil"/>
              <w:right w:val="nil"/>
            </w:tcBorders>
            <w:shd w:val="clear" w:color="auto" w:fill="auto"/>
            <w:noWrap/>
            <w:vAlign w:val="bottom"/>
            <w:hideMark/>
          </w:tcPr>
          <w:p w14:paraId="04ECE009"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39.17</w:t>
            </w:r>
          </w:p>
        </w:tc>
        <w:tc>
          <w:tcPr>
            <w:tcW w:w="1479" w:type="dxa"/>
            <w:tcBorders>
              <w:top w:val="nil"/>
              <w:left w:val="nil"/>
              <w:bottom w:val="nil"/>
              <w:right w:val="nil"/>
            </w:tcBorders>
            <w:shd w:val="clear" w:color="auto" w:fill="auto"/>
            <w:noWrap/>
            <w:vAlign w:val="bottom"/>
            <w:hideMark/>
          </w:tcPr>
          <w:p w14:paraId="0E5B748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398.24</w:t>
            </w:r>
          </w:p>
        </w:tc>
        <w:tc>
          <w:tcPr>
            <w:tcW w:w="1091" w:type="dxa"/>
            <w:tcBorders>
              <w:top w:val="nil"/>
              <w:left w:val="nil"/>
              <w:bottom w:val="nil"/>
              <w:right w:val="nil"/>
            </w:tcBorders>
            <w:shd w:val="clear" w:color="auto" w:fill="auto"/>
            <w:noWrap/>
            <w:vAlign w:val="bottom"/>
            <w:hideMark/>
          </w:tcPr>
          <w:p w14:paraId="65929F9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4.05</w:t>
            </w:r>
          </w:p>
        </w:tc>
        <w:tc>
          <w:tcPr>
            <w:tcW w:w="1104" w:type="dxa"/>
            <w:tcBorders>
              <w:top w:val="nil"/>
              <w:left w:val="nil"/>
              <w:bottom w:val="nil"/>
              <w:right w:val="nil"/>
            </w:tcBorders>
            <w:shd w:val="clear" w:color="auto" w:fill="auto"/>
            <w:noWrap/>
            <w:vAlign w:val="bottom"/>
            <w:hideMark/>
          </w:tcPr>
          <w:p w14:paraId="4501F678"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4.86</w:t>
            </w:r>
          </w:p>
        </w:tc>
      </w:tr>
      <w:tr w:rsidR="00A61335" w:rsidRPr="00E37EAA" w14:paraId="58069DCC" w14:textId="77777777" w:rsidTr="00131977">
        <w:trPr>
          <w:trHeight w:hRule="exact" w:val="301"/>
        </w:trPr>
        <w:tc>
          <w:tcPr>
            <w:tcW w:w="1300" w:type="dxa"/>
            <w:tcBorders>
              <w:top w:val="nil"/>
              <w:left w:val="nil"/>
              <w:bottom w:val="nil"/>
              <w:right w:val="nil"/>
            </w:tcBorders>
            <w:shd w:val="clear" w:color="auto" w:fill="auto"/>
            <w:noWrap/>
            <w:vAlign w:val="bottom"/>
            <w:hideMark/>
          </w:tcPr>
          <w:p w14:paraId="32706E02"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4</w:t>
            </w:r>
          </w:p>
        </w:tc>
        <w:tc>
          <w:tcPr>
            <w:tcW w:w="1413" w:type="dxa"/>
            <w:tcBorders>
              <w:top w:val="nil"/>
              <w:left w:val="nil"/>
              <w:bottom w:val="nil"/>
              <w:right w:val="nil"/>
            </w:tcBorders>
            <w:shd w:val="clear" w:color="auto" w:fill="auto"/>
            <w:noWrap/>
            <w:vAlign w:val="bottom"/>
            <w:hideMark/>
          </w:tcPr>
          <w:p w14:paraId="1E39142D"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17.59</w:t>
            </w:r>
          </w:p>
        </w:tc>
        <w:tc>
          <w:tcPr>
            <w:tcW w:w="1413" w:type="dxa"/>
            <w:tcBorders>
              <w:top w:val="nil"/>
              <w:left w:val="nil"/>
              <w:bottom w:val="nil"/>
              <w:right w:val="nil"/>
            </w:tcBorders>
            <w:shd w:val="clear" w:color="auto" w:fill="auto"/>
            <w:noWrap/>
            <w:vAlign w:val="bottom"/>
            <w:hideMark/>
          </w:tcPr>
          <w:p w14:paraId="0EC7C6D6"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1132.60</w:t>
            </w:r>
          </w:p>
        </w:tc>
        <w:tc>
          <w:tcPr>
            <w:tcW w:w="1479" w:type="dxa"/>
            <w:tcBorders>
              <w:top w:val="nil"/>
              <w:left w:val="nil"/>
              <w:bottom w:val="nil"/>
              <w:right w:val="nil"/>
            </w:tcBorders>
            <w:shd w:val="clear" w:color="auto" w:fill="auto"/>
            <w:noWrap/>
            <w:vAlign w:val="bottom"/>
            <w:hideMark/>
          </w:tcPr>
          <w:p w14:paraId="2123B3F8"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187.60</w:t>
            </w:r>
          </w:p>
        </w:tc>
        <w:tc>
          <w:tcPr>
            <w:tcW w:w="1091" w:type="dxa"/>
            <w:tcBorders>
              <w:top w:val="nil"/>
              <w:left w:val="nil"/>
              <w:bottom w:val="nil"/>
              <w:right w:val="nil"/>
            </w:tcBorders>
            <w:shd w:val="clear" w:color="auto" w:fill="auto"/>
            <w:noWrap/>
            <w:vAlign w:val="bottom"/>
            <w:hideMark/>
          </w:tcPr>
          <w:p w14:paraId="71BBFBB8"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8.30</w:t>
            </w:r>
          </w:p>
        </w:tc>
        <w:tc>
          <w:tcPr>
            <w:tcW w:w="1104" w:type="dxa"/>
            <w:tcBorders>
              <w:top w:val="nil"/>
              <w:left w:val="nil"/>
              <w:bottom w:val="nil"/>
              <w:right w:val="nil"/>
            </w:tcBorders>
            <w:shd w:val="clear" w:color="auto" w:fill="auto"/>
            <w:noWrap/>
            <w:vAlign w:val="bottom"/>
            <w:hideMark/>
          </w:tcPr>
          <w:p w14:paraId="53B4BEC0"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1.58</w:t>
            </w:r>
          </w:p>
        </w:tc>
      </w:tr>
      <w:tr w:rsidR="00A61335" w:rsidRPr="00E37EAA" w14:paraId="09FD85AF" w14:textId="77777777" w:rsidTr="00131977">
        <w:trPr>
          <w:trHeight w:hRule="exact" w:val="301"/>
        </w:trPr>
        <w:tc>
          <w:tcPr>
            <w:tcW w:w="1300" w:type="dxa"/>
            <w:tcBorders>
              <w:top w:val="nil"/>
              <w:left w:val="nil"/>
              <w:bottom w:val="nil"/>
              <w:right w:val="nil"/>
            </w:tcBorders>
            <w:shd w:val="clear" w:color="auto" w:fill="auto"/>
            <w:noWrap/>
            <w:vAlign w:val="bottom"/>
            <w:hideMark/>
          </w:tcPr>
          <w:p w14:paraId="10E070F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5</w:t>
            </w:r>
          </w:p>
        </w:tc>
        <w:tc>
          <w:tcPr>
            <w:tcW w:w="1413" w:type="dxa"/>
            <w:tcBorders>
              <w:top w:val="nil"/>
              <w:left w:val="nil"/>
              <w:bottom w:val="nil"/>
              <w:right w:val="nil"/>
            </w:tcBorders>
            <w:shd w:val="clear" w:color="auto" w:fill="auto"/>
            <w:noWrap/>
            <w:vAlign w:val="bottom"/>
            <w:hideMark/>
          </w:tcPr>
          <w:p w14:paraId="0D5B06CF"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44.63</w:t>
            </w:r>
          </w:p>
        </w:tc>
        <w:tc>
          <w:tcPr>
            <w:tcW w:w="1413" w:type="dxa"/>
            <w:tcBorders>
              <w:top w:val="nil"/>
              <w:left w:val="nil"/>
              <w:bottom w:val="nil"/>
              <w:right w:val="nil"/>
            </w:tcBorders>
            <w:shd w:val="clear" w:color="auto" w:fill="auto"/>
            <w:noWrap/>
            <w:vAlign w:val="bottom"/>
            <w:hideMark/>
          </w:tcPr>
          <w:p w14:paraId="7820DA75"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8.69</w:t>
            </w:r>
          </w:p>
        </w:tc>
        <w:tc>
          <w:tcPr>
            <w:tcW w:w="1479" w:type="dxa"/>
            <w:tcBorders>
              <w:top w:val="nil"/>
              <w:left w:val="nil"/>
              <w:bottom w:val="nil"/>
              <w:right w:val="nil"/>
            </w:tcBorders>
            <w:shd w:val="clear" w:color="auto" w:fill="auto"/>
            <w:noWrap/>
            <w:vAlign w:val="bottom"/>
            <w:hideMark/>
          </w:tcPr>
          <w:p w14:paraId="1F69C19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21.47</w:t>
            </w:r>
          </w:p>
        </w:tc>
        <w:tc>
          <w:tcPr>
            <w:tcW w:w="1091" w:type="dxa"/>
            <w:tcBorders>
              <w:top w:val="nil"/>
              <w:left w:val="nil"/>
              <w:bottom w:val="nil"/>
              <w:right w:val="nil"/>
            </w:tcBorders>
            <w:shd w:val="clear" w:color="auto" w:fill="auto"/>
            <w:noWrap/>
            <w:vAlign w:val="bottom"/>
            <w:hideMark/>
          </w:tcPr>
          <w:p w14:paraId="3734F79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3.15</w:t>
            </w:r>
          </w:p>
        </w:tc>
        <w:tc>
          <w:tcPr>
            <w:tcW w:w="1104" w:type="dxa"/>
            <w:tcBorders>
              <w:top w:val="nil"/>
              <w:left w:val="nil"/>
              <w:bottom w:val="nil"/>
              <w:right w:val="nil"/>
            </w:tcBorders>
            <w:shd w:val="clear" w:color="auto" w:fill="auto"/>
            <w:noWrap/>
            <w:vAlign w:val="bottom"/>
            <w:hideMark/>
          </w:tcPr>
          <w:p w14:paraId="060BB3CD"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20.94</w:t>
            </w:r>
          </w:p>
        </w:tc>
      </w:tr>
      <w:tr w:rsidR="00A61335" w:rsidRPr="00E37EAA" w14:paraId="1A9B1786" w14:textId="77777777" w:rsidTr="00131977">
        <w:trPr>
          <w:trHeight w:hRule="exact" w:val="301"/>
        </w:trPr>
        <w:tc>
          <w:tcPr>
            <w:tcW w:w="1300" w:type="dxa"/>
            <w:tcBorders>
              <w:top w:val="nil"/>
              <w:left w:val="nil"/>
              <w:bottom w:val="nil"/>
              <w:right w:val="nil"/>
            </w:tcBorders>
            <w:shd w:val="clear" w:color="auto" w:fill="auto"/>
            <w:noWrap/>
            <w:vAlign w:val="bottom"/>
            <w:hideMark/>
          </w:tcPr>
          <w:p w14:paraId="5DFE459E"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6</w:t>
            </w:r>
          </w:p>
        </w:tc>
        <w:tc>
          <w:tcPr>
            <w:tcW w:w="1413" w:type="dxa"/>
            <w:tcBorders>
              <w:top w:val="nil"/>
              <w:left w:val="nil"/>
              <w:bottom w:val="nil"/>
              <w:right w:val="nil"/>
            </w:tcBorders>
            <w:shd w:val="clear" w:color="auto" w:fill="auto"/>
            <w:noWrap/>
            <w:vAlign w:val="bottom"/>
            <w:hideMark/>
          </w:tcPr>
          <w:p w14:paraId="7EC19D54"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321.09</w:t>
            </w:r>
          </w:p>
        </w:tc>
        <w:tc>
          <w:tcPr>
            <w:tcW w:w="1413" w:type="dxa"/>
            <w:tcBorders>
              <w:top w:val="nil"/>
              <w:left w:val="nil"/>
              <w:bottom w:val="nil"/>
              <w:right w:val="nil"/>
            </w:tcBorders>
            <w:shd w:val="clear" w:color="auto" w:fill="auto"/>
            <w:noWrap/>
            <w:vAlign w:val="bottom"/>
            <w:hideMark/>
          </w:tcPr>
          <w:p w14:paraId="64BDA509"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16788.18</w:t>
            </w:r>
          </w:p>
        </w:tc>
        <w:tc>
          <w:tcPr>
            <w:tcW w:w="1479" w:type="dxa"/>
            <w:tcBorders>
              <w:top w:val="nil"/>
              <w:left w:val="nil"/>
              <w:bottom w:val="nil"/>
              <w:right w:val="nil"/>
            </w:tcBorders>
            <w:shd w:val="clear" w:color="auto" w:fill="auto"/>
            <w:noWrap/>
            <w:vAlign w:val="bottom"/>
            <w:hideMark/>
          </w:tcPr>
          <w:p w14:paraId="5A713E7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113.54</w:t>
            </w:r>
          </w:p>
        </w:tc>
        <w:tc>
          <w:tcPr>
            <w:tcW w:w="1091" w:type="dxa"/>
            <w:tcBorders>
              <w:top w:val="nil"/>
              <w:left w:val="nil"/>
              <w:bottom w:val="nil"/>
              <w:right w:val="nil"/>
            </w:tcBorders>
            <w:shd w:val="clear" w:color="auto" w:fill="auto"/>
            <w:noWrap/>
            <w:vAlign w:val="bottom"/>
            <w:hideMark/>
          </w:tcPr>
          <w:p w14:paraId="4576EA52"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4992.62</w:t>
            </w:r>
          </w:p>
        </w:tc>
        <w:tc>
          <w:tcPr>
            <w:tcW w:w="1104" w:type="dxa"/>
            <w:tcBorders>
              <w:top w:val="nil"/>
              <w:left w:val="nil"/>
              <w:bottom w:val="nil"/>
              <w:right w:val="nil"/>
            </w:tcBorders>
            <w:shd w:val="clear" w:color="auto" w:fill="auto"/>
            <w:noWrap/>
            <w:vAlign w:val="bottom"/>
            <w:hideMark/>
          </w:tcPr>
          <w:p w14:paraId="7E082C5E"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283.73</w:t>
            </w:r>
          </w:p>
        </w:tc>
      </w:tr>
      <w:tr w:rsidR="00A61335" w:rsidRPr="00E37EAA" w14:paraId="358EF05B" w14:textId="77777777" w:rsidTr="00131977">
        <w:trPr>
          <w:trHeight w:hRule="exact" w:val="301"/>
        </w:trPr>
        <w:tc>
          <w:tcPr>
            <w:tcW w:w="1300" w:type="dxa"/>
            <w:tcBorders>
              <w:top w:val="nil"/>
              <w:left w:val="nil"/>
              <w:bottom w:val="nil"/>
              <w:right w:val="nil"/>
            </w:tcBorders>
            <w:shd w:val="clear" w:color="auto" w:fill="auto"/>
            <w:noWrap/>
            <w:vAlign w:val="bottom"/>
            <w:hideMark/>
          </w:tcPr>
          <w:p w14:paraId="4AE22F71"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7</w:t>
            </w:r>
          </w:p>
        </w:tc>
        <w:tc>
          <w:tcPr>
            <w:tcW w:w="1413" w:type="dxa"/>
            <w:tcBorders>
              <w:top w:val="nil"/>
              <w:left w:val="nil"/>
              <w:bottom w:val="nil"/>
              <w:right w:val="nil"/>
            </w:tcBorders>
            <w:shd w:val="clear" w:color="auto" w:fill="auto"/>
            <w:noWrap/>
            <w:vAlign w:val="bottom"/>
            <w:hideMark/>
          </w:tcPr>
          <w:p w14:paraId="6242F1FE"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206.45</w:t>
            </w:r>
          </w:p>
        </w:tc>
        <w:tc>
          <w:tcPr>
            <w:tcW w:w="1413" w:type="dxa"/>
            <w:tcBorders>
              <w:top w:val="nil"/>
              <w:left w:val="nil"/>
              <w:bottom w:val="nil"/>
              <w:right w:val="nil"/>
            </w:tcBorders>
            <w:shd w:val="clear" w:color="auto" w:fill="auto"/>
            <w:noWrap/>
            <w:vAlign w:val="bottom"/>
            <w:hideMark/>
          </w:tcPr>
          <w:p w14:paraId="3D4A8559"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37.22</w:t>
            </w:r>
          </w:p>
        </w:tc>
        <w:tc>
          <w:tcPr>
            <w:tcW w:w="1479" w:type="dxa"/>
            <w:tcBorders>
              <w:top w:val="nil"/>
              <w:left w:val="nil"/>
              <w:bottom w:val="nil"/>
              <w:right w:val="nil"/>
            </w:tcBorders>
            <w:shd w:val="clear" w:color="auto" w:fill="auto"/>
            <w:noWrap/>
            <w:vAlign w:val="bottom"/>
            <w:hideMark/>
          </w:tcPr>
          <w:p w14:paraId="6EEA8CA2"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65.57</w:t>
            </w:r>
          </w:p>
        </w:tc>
        <w:tc>
          <w:tcPr>
            <w:tcW w:w="1091" w:type="dxa"/>
            <w:tcBorders>
              <w:top w:val="nil"/>
              <w:left w:val="nil"/>
              <w:bottom w:val="nil"/>
              <w:right w:val="nil"/>
            </w:tcBorders>
            <w:shd w:val="clear" w:color="auto" w:fill="auto"/>
            <w:noWrap/>
            <w:vAlign w:val="bottom"/>
            <w:hideMark/>
          </w:tcPr>
          <w:p w14:paraId="372212DF"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1.43</w:t>
            </w:r>
          </w:p>
        </w:tc>
        <w:tc>
          <w:tcPr>
            <w:tcW w:w="1104" w:type="dxa"/>
            <w:tcBorders>
              <w:top w:val="nil"/>
              <w:left w:val="nil"/>
              <w:bottom w:val="nil"/>
              <w:right w:val="nil"/>
            </w:tcBorders>
            <w:shd w:val="clear" w:color="auto" w:fill="auto"/>
            <w:noWrap/>
            <w:vAlign w:val="bottom"/>
            <w:hideMark/>
          </w:tcPr>
          <w:p w14:paraId="313ABDC5"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6.00</w:t>
            </w:r>
          </w:p>
        </w:tc>
      </w:tr>
      <w:tr w:rsidR="00A61335" w:rsidRPr="00E37EAA" w14:paraId="1F9C21A0" w14:textId="77777777" w:rsidTr="00131977">
        <w:trPr>
          <w:trHeight w:hRule="exact" w:val="301"/>
        </w:trPr>
        <w:tc>
          <w:tcPr>
            <w:tcW w:w="1300" w:type="dxa"/>
            <w:tcBorders>
              <w:top w:val="nil"/>
              <w:left w:val="nil"/>
              <w:bottom w:val="nil"/>
              <w:right w:val="nil"/>
            </w:tcBorders>
            <w:shd w:val="clear" w:color="auto" w:fill="auto"/>
            <w:noWrap/>
            <w:vAlign w:val="bottom"/>
            <w:hideMark/>
          </w:tcPr>
          <w:p w14:paraId="47A798F7"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8</w:t>
            </w:r>
          </w:p>
        </w:tc>
        <w:tc>
          <w:tcPr>
            <w:tcW w:w="1413" w:type="dxa"/>
            <w:tcBorders>
              <w:top w:val="nil"/>
              <w:left w:val="nil"/>
              <w:bottom w:val="nil"/>
              <w:right w:val="nil"/>
            </w:tcBorders>
            <w:shd w:val="clear" w:color="auto" w:fill="auto"/>
            <w:noWrap/>
            <w:vAlign w:val="bottom"/>
            <w:hideMark/>
          </w:tcPr>
          <w:p w14:paraId="03A427A2"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40.06</w:t>
            </w:r>
          </w:p>
        </w:tc>
        <w:tc>
          <w:tcPr>
            <w:tcW w:w="1413" w:type="dxa"/>
            <w:tcBorders>
              <w:top w:val="nil"/>
              <w:left w:val="nil"/>
              <w:bottom w:val="nil"/>
              <w:right w:val="nil"/>
            </w:tcBorders>
            <w:shd w:val="clear" w:color="auto" w:fill="auto"/>
            <w:noWrap/>
            <w:vAlign w:val="bottom"/>
            <w:hideMark/>
          </w:tcPr>
          <w:p w14:paraId="4B91148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11.85</w:t>
            </w:r>
          </w:p>
        </w:tc>
        <w:tc>
          <w:tcPr>
            <w:tcW w:w="1479" w:type="dxa"/>
            <w:tcBorders>
              <w:top w:val="nil"/>
              <w:left w:val="nil"/>
              <w:bottom w:val="nil"/>
              <w:right w:val="nil"/>
            </w:tcBorders>
            <w:shd w:val="clear" w:color="auto" w:fill="auto"/>
            <w:noWrap/>
            <w:vAlign w:val="bottom"/>
            <w:hideMark/>
          </w:tcPr>
          <w:p w14:paraId="17CDF629"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1.26</w:t>
            </w:r>
          </w:p>
        </w:tc>
        <w:tc>
          <w:tcPr>
            <w:tcW w:w="1091" w:type="dxa"/>
            <w:tcBorders>
              <w:top w:val="nil"/>
              <w:left w:val="nil"/>
              <w:bottom w:val="nil"/>
              <w:right w:val="nil"/>
            </w:tcBorders>
            <w:shd w:val="clear" w:color="auto" w:fill="auto"/>
            <w:noWrap/>
            <w:vAlign w:val="bottom"/>
            <w:hideMark/>
          </w:tcPr>
          <w:p w14:paraId="53693851"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6.08</w:t>
            </w:r>
          </w:p>
        </w:tc>
        <w:tc>
          <w:tcPr>
            <w:tcW w:w="1104" w:type="dxa"/>
            <w:tcBorders>
              <w:top w:val="nil"/>
              <w:left w:val="nil"/>
              <w:bottom w:val="nil"/>
              <w:right w:val="nil"/>
            </w:tcBorders>
            <w:shd w:val="clear" w:color="auto" w:fill="auto"/>
            <w:noWrap/>
            <w:vAlign w:val="bottom"/>
            <w:hideMark/>
          </w:tcPr>
          <w:p w14:paraId="06A268D3"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3.62</w:t>
            </w:r>
          </w:p>
        </w:tc>
      </w:tr>
      <w:tr w:rsidR="00A61335" w:rsidRPr="00E37EAA" w14:paraId="496E0D6C" w14:textId="77777777" w:rsidTr="00131977">
        <w:trPr>
          <w:trHeight w:hRule="exact" w:val="301"/>
        </w:trPr>
        <w:tc>
          <w:tcPr>
            <w:tcW w:w="1300" w:type="dxa"/>
            <w:tcBorders>
              <w:top w:val="nil"/>
              <w:left w:val="nil"/>
              <w:bottom w:val="nil"/>
              <w:right w:val="nil"/>
            </w:tcBorders>
            <w:shd w:val="clear" w:color="auto" w:fill="auto"/>
            <w:noWrap/>
            <w:vAlign w:val="bottom"/>
            <w:hideMark/>
          </w:tcPr>
          <w:p w14:paraId="43C2A8B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10</w:t>
            </w:r>
          </w:p>
        </w:tc>
        <w:tc>
          <w:tcPr>
            <w:tcW w:w="1413" w:type="dxa"/>
            <w:tcBorders>
              <w:top w:val="nil"/>
              <w:left w:val="nil"/>
              <w:bottom w:val="nil"/>
              <w:right w:val="nil"/>
            </w:tcBorders>
            <w:shd w:val="clear" w:color="auto" w:fill="auto"/>
            <w:noWrap/>
            <w:vAlign w:val="bottom"/>
            <w:hideMark/>
          </w:tcPr>
          <w:p w14:paraId="1DCFCAD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52.44</w:t>
            </w:r>
          </w:p>
        </w:tc>
        <w:tc>
          <w:tcPr>
            <w:tcW w:w="1413" w:type="dxa"/>
            <w:tcBorders>
              <w:top w:val="nil"/>
              <w:left w:val="nil"/>
              <w:bottom w:val="nil"/>
              <w:right w:val="nil"/>
            </w:tcBorders>
            <w:shd w:val="clear" w:color="auto" w:fill="auto"/>
            <w:noWrap/>
            <w:vAlign w:val="bottom"/>
            <w:hideMark/>
          </w:tcPr>
          <w:p w14:paraId="47A5DA85"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524.06</w:t>
            </w:r>
          </w:p>
        </w:tc>
        <w:tc>
          <w:tcPr>
            <w:tcW w:w="1479" w:type="dxa"/>
            <w:tcBorders>
              <w:top w:val="nil"/>
              <w:left w:val="nil"/>
              <w:bottom w:val="nil"/>
              <w:right w:val="nil"/>
            </w:tcBorders>
            <w:shd w:val="clear" w:color="auto" w:fill="auto"/>
            <w:noWrap/>
            <w:vAlign w:val="bottom"/>
            <w:hideMark/>
          </w:tcPr>
          <w:p w14:paraId="40BD0B8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9.67</w:t>
            </w:r>
          </w:p>
        </w:tc>
        <w:tc>
          <w:tcPr>
            <w:tcW w:w="1091" w:type="dxa"/>
            <w:tcBorders>
              <w:top w:val="nil"/>
              <w:left w:val="nil"/>
              <w:bottom w:val="nil"/>
              <w:right w:val="nil"/>
            </w:tcBorders>
            <w:shd w:val="clear" w:color="auto" w:fill="auto"/>
            <w:noWrap/>
            <w:vAlign w:val="bottom"/>
            <w:hideMark/>
          </w:tcPr>
          <w:p w14:paraId="2F708433"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2.78</w:t>
            </w:r>
          </w:p>
        </w:tc>
        <w:tc>
          <w:tcPr>
            <w:tcW w:w="1104" w:type="dxa"/>
            <w:tcBorders>
              <w:top w:val="nil"/>
              <w:left w:val="nil"/>
              <w:bottom w:val="nil"/>
              <w:right w:val="nil"/>
            </w:tcBorders>
            <w:shd w:val="clear" w:color="auto" w:fill="auto"/>
            <w:noWrap/>
            <w:vAlign w:val="bottom"/>
            <w:hideMark/>
          </w:tcPr>
          <w:p w14:paraId="0A8C74E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3.55</w:t>
            </w:r>
          </w:p>
        </w:tc>
      </w:tr>
      <w:tr w:rsidR="00A61335" w:rsidRPr="00E37EAA" w14:paraId="71E5669C" w14:textId="77777777" w:rsidTr="00131977">
        <w:trPr>
          <w:trHeight w:hRule="exact" w:val="301"/>
        </w:trPr>
        <w:tc>
          <w:tcPr>
            <w:tcW w:w="1300" w:type="dxa"/>
            <w:tcBorders>
              <w:top w:val="nil"/>
              <w:left w:val="nil"/>
              <w:bottom w:val="nil"/>
              <w:right w:val="nil"/>
            </w:tcBorders>
            <w:shd w:val="clear" w:color="auto" w:fill="auto"/>
            <w:noWrap/>
            <w:vAlign w:val="bottom"/>
            <w:hideMark/>
          </w:tcPr>
          <w:p w14:paraId="1E05CEF7"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12</w:t>
            </w:r>
          </w:p>
        </w:tc>
        <w:tc>
          <w:tcPr>
            <w:tcW w:w="1413" w:type="dxa"/>
            <w:tcBorders>
              <w:top w:val="nil"/>
              <w:left w:val="nil"/>
              <w:bottom w:val="nil"/>
              <w:right w:val="nil"/>
            </w:tcBorders>
            <w:shd w:val="clear" w:color="auto" w:fill="auto"/>
            <w:noWrap/>
            <w:vAlign w:val="bottom"/>
            <w:hideMark/>
          </w:tcPr>
          <w:p w14:paraId="5FE18E54"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379077.36</w:t>
            </w:r>
          </w:p>
        </w:tc>
        <w:tc>
          <w:tcPr>
            <w:tcW w:w="1413" w:type="dxa"/>
            <w:tcBorders>
              <w:top w:val="nil"/>
              <w:left w:val="nil"/>
              <w:bottom w:val="nil"/>
              <w:right w:val="nil"/>
            </w:tcBorders>
            <w:shd w:val="clear" w:color="auto" w:fill="auto"/>
            <w:noWrap/>
            <w:vAlign w:val="bottom"/>
            <w:hideMark/>
          </w:tcPr>
          <w:p w14:paraId="6B1E19FC"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20222.15</w:t>
            </w:r>
          </w:p>
        </w:tc>
        <w:tc>
          <w:tcPr>
            <w:tcW w:w="1479" w:type="dxa"/>
            <w:tcBorders>
              <w:top w:val="nil"/>
              <w:left w:val="nil"/>
              <w:bottom w:val="nil"/>
              <w:right w:val="nil"/>
            </w:tcBorders>
            <w:shd w:val="clear" w:color="auto" w:fill="auto"/>
            <w:noWrap/>
            <w:vAlign w:val="bottom"/>
            <w:hideMark/>
          </w:tcPr>
          <w:p w14:paraId="7CD7C0D8"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5807.40</w:t>
            </w:r>
          </w:p>
        </w:tc>
        <w:tc>
          <w:tcPr>
            <w:tcW w:w="1091" w:type="dxa"/>
            <w:tcBorders>
              <w:top w:val="nil"/>
              <w:left w:val="nil"/>
              <w:bottom w:val="nil"/>
              <w:right w:val="nil"/>
            </w:tcBorders>
            <w:shd w:val="clear" w:color="auto" w:fill="auto"/>
            <w:noWrap/>
            <w:vAlign w:val="bottom"/>
            <w:hideMark/>
          </w:tcPr>
          <w:p w14:paraId="7C0E18AC"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22.44</w:t>
            </w:r>
          </w:p>
        </w:tc>
        <w:tc>
          <w:tcPr>
            <w:tcW w:w="1104" w:type="dxa"/>
            <w:tcBorders>
              <w:top w:val="nil"/>
              <w:left w:val="nil"/>
              <w:bottom w:val="nil"/>
              <w:right w:val="nil"/>
            </w:tcBorders>
            <w:shd w:val="clear" w:color="auto" w:fill="auto"/>
            <w:noWrap/>
            <w:vAlign w:val="bottom"/>
            <w:hideMark/>
          </w:tcPr>
          <w:p w14:paraId="43D58894"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54.66</w:t>
            </w:r>
          </w:p>
        </w:tc>
      </w:tr>
      <w:tr w:rsidR="00A61335" w:rsidRPr="00E37EAA" w14:paraId="0126A12A" w14:textId="77777777" w:rsidTr="00131977">
        <w:trPr>
          <w:trHeight w:hRule="exact" w:val="301"/>
        </w:trPr>
        <w:tc>
          <w:tcPr>
            <w:tcW w:w="1300" w:type="dxa"/>
            <w:tcBorders>
              <w:top w:val="nil"/>
              <w:left w:val="nil"/>
              <w:bottom w:val="nil"/>
              <w:right w:val="nil"/>
            </w:tcBorders>
            <w:shd w:val="clear" w:color="auto" w:fill="auto"/>
            <w:noWrap/>
            <w:vAlign w:val="bottom"/>
            <w:hideMark/>
          </w:tcPr>
          <w:p w14:paraId="089E6E81"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13</w:t>
            </w:r>
          </w:p>
        </w:tc>
        <w:tc>
          <w:tcPr>
            <w:tcW w:w="1413" w:type="dxa"/>
            <w:tcBorders>
              <w:top w:val="nil"/>
              <w:left w:val="nil"/>
              <w:bottom w:val="nil"/>
              <w:right w:val="nil"/>
            </w:tcBorders>
            <w:shd w:val="clear" w:color="auto" w:fill="auto"/>
            <w:noWrap/>
            <w:vAlign w:val="bottom"/>
            <w:hideMark/>
          </w:tcPr>
          <w:p w14:paraId="4101F9D8"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5.86</w:t>
            </w:r>
          </w:p>
        </w:tc>
        <w:tc>
          <w:tcPr>
            <w:tcW w:w="1413" w:type="dxa"/>
            <w:tcBorders>
              <w:top w:val="nil"/>
              <w:left w:val="nil"/>
              <w:bottom w:val="nil"/>
              <w:right w:val="nil"/>
            </w:tcBorders>
            <w:shd w:val="clear" w:color="auto" w:fill="auto"/>
            <w:noWrap/>
            <w:vAlign w:val="bottom"/>
            <w:hideMark/>
          </w:tcPr>
          <w:p w14:paraId="03DAA90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224.65</w:t>
            </w:r>
          </w:p>
        </w:tc>
        <w:tc>
          <w:tcPr>
            <w:tcW w:w="1479" w:type="dxa"/>
            <w:tcBorders>
              <w:top w:val="nil"/>
              <w:left w:val="nil"/>
              <w:bottom w:val="nil"/>
              <w:right w:val="nil"/>
            </w:tcBorders>
            <w:shd w:val="clear" w:color="auto" w:fill="auto"/>
            <w:noWrap/>
            <w:vAlign w:val="bottom"/>
            <w:hideMark/>
          </w:tcPr>
          <w:p w14:paraId="7693A8BD"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35.37</w:t>
            </w:r>
          </w:p>
        </w:tc>
        <w:tc>
          <w:tcPr>
            <w:tcW w:w="1091" w:type="dxa"/>
            <w:tcBorders>
              <w:top w:val="nil"/>
              <w:left w:val="nil"/>
              <w:bottom w:val="nil"/>
              <w:right w:val="nil"/>
            </w:tcBorders>
            <w:shd w:val="clear" w:color="auto" w:fill="auto"/>
            <w:noWrap/>
            <w:vAlign w:val="bottom"/>
            <w:hideMark/>
          </w:tcPr>
          <w:p w14:paraId="19BD5F23"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4.38</w:t>
            </w:r>
          </w:p>
        </w:tc>
        <w:tc>
          <w:tcPr>
            <w:tcW w:w="1104" w:type="dxa"/>
            <w:tcBorders>
              <w:top w:val="nil"/>
              <w:left w:val="nil"/>
              <w:bottom w:val="nil"/>
              <w:right w:val="nil"/>
            </w:tcBorders>
            <w:shd w:val="clear" w:color="auto" w:fill="auto"/>
            <w:noWrap/>
            <w:vAlign w:val="bottom"/>
            <w:hideMark/>
          </w:tcPr>
          <w:p w14:paraId="10F77A97"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1.72</w:t>
            </w:r>
          </w:p>
        </w:tc>
      </w:tr>
      <w:tr w:rsidR="00A61335" w:rsidRPr="00E37EAA" w14:paraId="61D72924" w14:textId="77777777" w:rsidTr="00131977">
        <w:trPr>
          <w:trHeight w:hRule="exact" w:val="301"/>
        </w:trPr>
        <w:tc>
          <w:tcPr>
            <w:tcW w:w="1300" w:type="dxa"/>
            <w:tcBorders>
              <w:top w:val="nil"/>
              <w:left w:val="nil"/>
              <w:bottom w:val="nil"/>
              <w:right w:val="nil"/>
            </w:tcBorders>
            <w:shd w:val="clear" w:color="auto" w:fill="auto"/>
            <w:noWrap/>
            <w:vAlign w:val="bottom"/>
          </w:tcPr>
          <w:p w14:paraId="42018579" w14:textId="77777777" w:rsidR="00A61335" w:rsidRPr="00E37EAA" w:rsidRDefault="00A61335" w:rsidP="00A61335">
            <w:pPr>
              <w:spacing w:line="240" w:lineRule="auto"/>
              <w:rPr>
                <w:rFonts w:ascii="Calibri" w:hAnsi="Calibri" w:cs="Calibri"/>
                <w:i/>
                <w:iCs/>
                <w:color w:val="000000"/>
                <w:sz w:val="22"/>
                <w:szCs w:val="22"/>
              </w:rPr>
            </w:pPr>
            <w:r w:rsidRPr="00E37EAA">
              <w:rPr>
                <w:rFonts w:ascii="Calibri" w:hAnsi="Calibri" w:cs="Calibri"/>
                <w:i/>
                <w:iCs/>
                <w:color w:val="000000"/>
                <w:sz w:val="22"/>
                <w:szCs w:val="22"/>
              </w:rPr>
              <w:t xml:space="preserve"> </w:t>
            </w:r>
          </w:p>
        </w:tc>
        <w:tc>
          <w:tcPr>
            <w:tcW w:w="1413" w:type="dxa"/>
            <w:tcBorders>
              <w:top w:val="nil"/>
              <w:left w:val="nil"/>
              <w:bottom w:val="nil"/>
              <w:right w:val="nil"/>
            </w:tcBorders>
            <w:shd w:val="clear" w:color="auto" w:fill="auto"/>
            <w:noWrap/>
            <w:vAlign w:val="bottom"/>
          </w:tcPr>
          <w:p w14:paraId="4F6A5C28" w14:textId="77777777" w:rsidR="00A61335" w:rsidRPr="00E37EAA" w:rsidRDefault="00A61335" w:rsidP="00A61335">
            <w:pPr>
              <w:spacing w:line="240" w:lineRule="auto"/>
              <w:jc w:val="right"/>
              <w:rPr>
                <w:rFonts w:ascii="Calibri" w:hAnsi="Calibri" w:cs="Calibri"/>
                <w:color w:val="000000"/>
                <w:sz w:val="22"/>
                <w:szCs w:val="22"/>
              </w:rPr>
            </w:pPr>
          </w:p>
        </w:tc>
        <w:tc>
          <w:tcPr>
            <w:tcW w:w="1413" w:type="dxa"/>
            <w:tcBorders>
              <w:top w:val="nil"/>
              <w:left w:val="nil"/>
              <w:bottom w:val="nil"/>
              <w:right w:val="nil"/>
            </w:tcBorders>
            <w:shd w:val="clear" w:color="auto" w:fill="auto"/>
            <w:noWrap/>
            <w:vAlign w:val="bottom"/>
          </w:tcPr>
          <w:p w14:paraId="3E5E50BC" w14:textId="77777777" w:rsidR="00A61335" w:rsidRPr="00E37EAA" w:rsidRDefault="00A61335" w:rsidP="00A61335">
            <w:pPr>
              <w:spacing w:line="240" w:lineRule="auto"/>
              <w:jc w:val="right"/>
              <w:rPr>
                <w:rFonts w:ascii="Calibri" w:hAnsi="Calibri" w:cs="Calibri"/>
                <w:color w:val="000000"/>
                <w:sz w:val="22"/>
                <w:szCs w:val="22"/>
              </w:rPr>
            </w:pPr>
          </w:p>
        </w:tc>
        <w:tc>
          <w:tcPr>
            <w:tcW w:w="1479" w:type="dxa"/>
            <w:tcBorders>
              <w:top w:val="nil"/>
              <w:left w:val="nil"/>
              <w:bottom w:val="nil"/>
              <w:right w:val="nil"/>
            </w:tcBorders>
            <w:shd w:val="clear" w:color="auto" w:fill="auto"/>
            <w:noWrap/>
            <w:vAlign w:val="bottom"/>
          </w:tcPr>
          <w:p w14:paraId="434C0CD8" w14:textId="77777777" w:rsidR="00A61335" w:rsidRPr="00E37EAA" w:rsidRDefault="00A61335" w:rsidP="00A61335">
            <w:pPr>
              <w:spacing w:line="240" w:lineRule="auto"/>
              <w:jc w:val="right"/>
              <w:rPr>
                <w:rFonts w:ascii="Calibri" w:hAnsi="Calibri" w:cs="Calibri"/>
                <w:color w:val="000000"/>
                <w:sz w:val="22"/>
                <w:szCs w:val="22"/>
              </w:rPr>
            </w:pPr>
          </w:p>
        </w:tc>
        <w:tc>
          <w:tcPr>
            <w:tcW w:w="1091" w:type="dxa"/>
            <w:tcBorders>
              <w:top w:val="nil"/>
              <w:left w:val="nil"/>
              <w:bottom w:val="nil"/>
              <w:right w:val="nil"/>
            </w:tcBorders>
            <w:shd w:val="clear" w:color="auto" w:fill="auto"/>
            <w:noWrap/>
            <w:vAlign w:val="bottom"/>
          </w:tcPr>
          <w:p w14:paraId="57959E6C" w14:textId="77777777" w:rsidR="00A61335" w:rsidRPr="00E37EAA" w:rsidRDefault="00A61335" w:rsidP="00A61335">
            <w:pPr>
              <w:spacing w:line="240" w:lineRule="auto"/>
              <w:jc w:val="right"/>
              <w:rPr>
                <w:rFonts w:ascii="Calibri" w:hAnsi="Calibri" w:cs="Calibri"/>
                <w:color w:val="000000"/>
                <w:sz w:val="22"/>
                <w:szCs w:val="22"/>
              </w:rPr>
            </w:pPr>
          </w:p>
        </w:tc>
        <w:tc>
          <w:tcPr>
            <w:tcW w:w="1104" w:type="dxa"/>
            <w:tcBorders>
              <w:top w:val="nil"/>
              <w:left w:val="nil"/>
              <w:bottom w:val="nil"/>
              <w:right w:val="nil"/>
            </w:tcBorders>
            <w:shd w:val="clear" w:color="auto" w:fill="auto"/>
            <w:noWrap/>
            <w:vAlign w:val="bottom"/>
          </w:tcPr>
          <w:p w14:paraId="21EB7AEA" w14:textId="77777777" w:rsidR="00A61335" w:rsidRPr="00E37EAA" w:rsidRDefault="00A61335" w:rsidP="00A61335">
            <w:pPr>
              <w:spacing w:line="240" w:lineRule="auto"/>
              <w:jc w:val="right"/>
              <w:rPr>
                <w:rFonts w:ascii="Calibri" w:hAnsi="Calibri" w:cs="Calibri"/>
                <w:color w:val="000000"/>
                <w:sz w:val="22"/>
                <w:szCs w:val="22"/>
              </w:rPr>
            </w:pPr>
          </w:p>
        </w:tc>
      </w:tr>
      <w:tr w:rsidR="00A61335" w:rsidRPr="00E37EAA" w14:paraId="7A9BD199" w14:textId="77777777" w:rsidTr="00131977">
        <w:trPr>
          <w:trHeight w:hRule="exact" w:val="301"/>
        </w:trPr>
        <w:tc>
          <w:tcPr>
            <w:tcW w:w="1300" w:type="dxa"/>
            <w:tcBorders>
              <w:top w:val="nil"/>
              <w:left w:val="nil"/>
              <w:bottom w:val="nil"/>
              <w:right w:val="nil"/>
            </w:tcBorders>
            <w:shd w:val="clear" w:color="auto" w:fill="auto"/>
            <w:noWrap/>
            <w:vAlign w:val="bottom"/>
            <w:hideMark/>
          </w:tcPr>
          <w:p w14:paraId="16522485" w14:textId="77777777" w:rsidR="00A61335" w:rsidRPr="00E37EAA" w:rsidRDefault="00A61335" w:rsidP="00A61335">
            <w:pPr>
              <w:spacing w:line="240" w:lineRule="auto"/>
              <w:rPr>
                <w:rFonts w:ascii="Calibri" w:hAnsi="Calibri" w:cs="Calibri"/>
                <w:color w:val="000000"/>
                <w:sz w:val="22"/>
                <w:szCs w:val="22"/>
              </w:rPr>
            </w:pPr>
          </w:p>
          <w:p w14:paraId="684FBF02" w14:textId="77777777" w:rsidR="00A61335" w:rsidRPr="00E37EAA" w:rsidRDefault="00A61335" w:rsidP="00A61335">
            <w:pPr>
              <w:spacing w:line="240" w:lineRule="auto"/>
              <w:rPr>
                <w:rFonts w:ascii="Calibri" w:hAnsi="Calibri" w:cs="Calibri"/>
                <w:color w:val="000000"/>
                <w:sz w:val="22"/>
                <w:szCs w:val="22"/>
              </w:rPr>
            </w:pPr>
          </w:p>
        </w:tc>
        <w:tc>
          <w:tcPr>
            <w:tcW w:w="1413" w:type="dxa"/>
            <w:tcBorders>
              <w:top w:val="nil"/>
              <w:left w:val="nil"/>
              <w:bottom w:val="nil"/>
              <w:right w:val="nil"/>
            </w:tcBorders>
            <w:shd w:val="clear" w:color="auto" w:fill="auto"/>
            <w:noWrap/>
            <w:vAlign w:val="bottom"/>
            <w:hideMark/>
          </w:tcPr>
          <w:p w14:paraId="565F8E83" w14:textId="77777777" w:rsidR="00A61335" w:rsidRPr="00E37EAA" w:rsidRDefault="00A61335" w:rsidP="00A61335">
            <w:pPr>
              <w:spacing w:line="240" w:lineRule="auto"/>
              <w:rPr>
                <w:sz w:val="20"/>
                <w:szCs w:val="20"/>
              </w:rPr>
            </w:pPr>
          </w:p>
        </w:tc>
        <w:tc>
          <w:tcPr>
            <w:tcW w:w="1413" w:type="dxa"/>
            <w:tcBorders>
              <w:top w:val="nil"/>
              <w:left w:val="nil"/>
              <w:bottom w:val="nil"/>
              <w:right w:val="nil"/>
            </w:tcBorders>
            <w:shd w:val="clear" w:color="auto" w:fill="auto"/>
            <w:noWrap/>
            <w:vAlign w:val="bottom"/>
            <w:hideMark/>
          </w:tcPr>
          <w:p w14:paraId="2AEB08D0" w14:textId="77777777" w:rsidR="00A61335" w:rsidRPr="00E37EAA" w:rsidRDefault="00A61335" w:rsidP="00A61335">
            <w:pPr>
              <w:spacing w:line="240" w:lineRule="auto"/>
              <w:rPr>
                <w:sz w:val="20"/>
                <w:szCs w:val="20"/>
              </w:rPr>
            </w:pPr>
          </w:p>
        </w:tc>
        <w:tc>
          <w:tcPr>
            <w:tcW w:w="1479" w:type="dxa"/>
            <w:tcBorders>
              <w:top w:val="nil"/>
              <w:left w:val="nil"/>
              <w:bottom w:val="nil"/>
              <w:right w:val="nil"/>
            </w:tcBorders>
            <w:shd w:val="clear" w:color="auto" w:fill="auto"/>
            <w:noWrap/>
            <w:vAlign w:val="bottom"/>
            <w:hideMark/>
          </w:tcPr>
          <w:p w14:paraId="15BDE982" w14:textId="77777777" w:rsidR="00A61335" w:rsidRPr="00E37EAA" w:rsidRDefault="00A61335" w:rsidP="00A61335">
            <w:pPr>
              <w:spacing w:line="240" w:lineRule="auto"/>
              <w:rPr>
                <w:sz w:val="20"/>
                <w:szCs w:val="20"/>
              </w:rPr>
            </w:pPr>
          </w:p>
        </w:tc>
        <w:tc>
          <w:tcPr>
            <w:tcW w:w="1091" w:type="dxa"/>
            <w:tcBorders>
              <w:top w:val="nil"/>
              <w:left w:val="nil"/>
              <w:bottom w:val="nil"/>
              <w:right w:val="nil"/>
            </w:tcBorders>
            <w:shd w:val="clear" w:color="auto" w:fill="auto"/>
            <w:noWrap/>
            <w:vAlign w:val="bottom"/>
            <w:hideMark/>
          </w:tcPr>
          <w:p w14:paraId="31B3E0D1" w14:textId="77777777" w:rsidR="00A61335" w:rsidRPr="00E37EAA" w:rsidRDefault="00A61335" w:rsidP="00A61335">
            <w:pPr>
              <w:spacing w:line="240" w:lineRule="auto"/>
              <w:rPr>
                <w:sz w:val="20"/>
                <w:szCs w:val="20"/>
              </w:rPr>
            </w:pPr>
          </w:p>
        </w:tc>
        <w:tc>
          <w:tcPr>
            <w:tcW w:w="1104" w:type="dxa"/>
            <w:tcBorders>
              <w:top w:val="nil"/>
              <w:left w:val="nil"/>
              <w:bottom w:val="nil"/>
              <w:right w:val="nil"/>
            </w:tcBorders>
            <w:shd w:val="clear" w:color="auto" w:fill="auto"/>
            <w:noWrap/>
            <w:vAlign w:val="bottom"/>
            <w:hideMark/>
          </w:tcPr>
          <w:p w14:paraId="5CC47B6E" w14:textId="77777777" w:rsidR="00A61335" w:rsidRPr="00E37EAA" w:rsidRDefault="00A61335" w:rsidP="00A61335">
            <w:pPr>
              <w:spacing w:line="240" w:lineRule="auto"/>
              <w:rPr>
                <w:sz w:val="20"/>
                <w:szCs w:val="20"/>
              </w:rPr>
            </w:pPr>
          </w:p>
          <w:p w14:paraId="78C00C11" w14:textId="77777777" w:rsidR="00A61335" w:rsidRPr="00E37EAA" w:rsidRDefault="00A61335" w:rsidP="00A61335">
            <w:pPr>
              <w:spacing w:line="240" w:lineRule="auto"/>
              <w:rPr>
                <w:sz w:val="20"/>
                <w:szCs w:val="20"/>
              </w:rPr>
            </w:pPr>
          </w:p>
        </w:tc>
      </w:tr>
      <w:tr w:rsidR="00A61335" w:rsidRPr="00E37EAA" w14:paraId="2061999E" w14:textId="77777777" w:rsidTr="00131977">
        <w:trPr>
          <w:trHeight w:hRule="exact" w:val="301"/>
        </w:trPr>
        <w:tc>
          <w:tcPr>
            <w:tcW w:w="1300" w:type="dxa"/>
            <w:tcBorders>
              <w:top w:val="nil"/>
              <w:left w:val="nil"/>
              <w:bottom w:val="single" w:sz="4" w:space="0" w:color="auto"/>
              <w:right w:val="nil"/>
            </w:tcBorders>
            <w:shd w:val="clear" w:color="auto" w:fill="auto"/>
            <w:noWrap/>
            <w:vAlign w:val="bottom"/>
            <w:hideMark/>
          </w:tcPr>
          <w:p w14:paraId="46C4CA4D" w14:textId="77777777" w:rsidR="00A61335" w:rsidRPr="00E37EAA" w:rsidRDefault="00A61335" w:rsidP="00A61335">
            <w:pPr>
              <w:spacing w:line="240" w:lineRule="auto"/>
              <w:rPr>
                <w:rFonts w:ascii="Calibri" w:hAnsi="Calibri" w:cs="Calibri"/>
                <w:color w:val="000000"/>
                <w:sz w:val="22"/>
                <w:szCs w:val="22"/>
              </w:rPr>
            </w:pPr>
            <w:r w:rsidRPr="00E37EAA">
              <w:rPr>
                <w:rFonts w:ascii="Calibri" w:hAnsi="Calibri" w:cs="Calibri"/>
                <w:color w:val="000000"/>
                <w:sz w:val="22"/>
                <w:szCs w:val="22"/>
              </w:rPr>
              <w:t> </w:t>
            </w:r>
          </w:p>
        </w:tc>
        <w:tc>
          <w:tcPr>
            <w:tcW w:w="6500" w:type="dxa"/>
            <w:gridSpan w:val="5"/>
            <w:tcBorders>
              <w:top w:val="nil"/>
              <w:left w:val="nil"/>
              <w:bottom w:val="single" w:sz="4" w:space="0" w:color="auto"/>
              <w:right w:val="nil"/>
            </w:tcBorders>
            <w:shd w:val="clear" w:color="auto" w:fill="auto"/>
            <w:noWrap/>
            <w:vAlign w:val="bottom"/>
            <w:hideMark/>
          </w:tcPr>
          <w:p w14:paraId="0691BF39"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Experiment 2: Bayes Factors</w:t>
            </w:r>
          </w:p>
        </w:tc>
      </w:tr>
      <w:tr w:rsidR="00A61335" w:rsidRPr="00E37EAA" w14:paraId="50B8145A" w14:textId="77777777" w:rsidTr="00131977">
        <w:trPr>
          <w:trHeight w:hRule="exact" w:val="301"/>
        </w:trPr>
        <w:tc>
          <w:tcPr>
            <w:tcW w:w="1300" w:type="dxa"/>
            <w:tcBorders>
              <w:top w:val="nil"/>
              <w:left w:val="nil"/>
              <w:bottom w:val="single" w:sz="4" w:space="0" w:color="auto"/>
              <w:right w:val="nil"/>
            </w:tcBorders>
            <w:shd w:val="clear" w:color="auto" w:fill="auto"/>
            <w:noWrap/>
            <w:vAlign w:val="bottom"/>
            <w:hideMark/>
          </w:tcPr>
          <w:p w14:paraId="5B4F06CE" w14:textId="77777777" w:rsidR="00A61335" w:rsidRPr="00E37EAA" w:rsidRDefault="00A61335" w:rsidP="00A61335">
            <w:pPr>
              <w:spacing w:line="240" w:lineRule="auto"/>
              <w:rPr>
                <w:rFonts w:ascii="Calibri" w:hAnsi="Calibri" w:cs="Calibri"/>
                <w:color w:val="000000"/>
                <w:sz w:val="22"/>
                <w:szCs w:val="22"/>
              </w:rPr>
            </w:pPr>
            <w:r w:rsidRPr="00E37EAA">
              <w:rPr>
                <w:rFonts w:ascii="Calibri" w:hAnsi="Calibri" w:cs="Calibri"/>
                <w:color w:val="000000"/>
                <w:sz w:val="22"/>
                <w:szCs w:val="22"/>
              </w:rPr>
              <w:t>Participant</w:t>
            </w:r>
          </w:p>
        </w:tc>
        <w:tc>
          <w:tcPr>
            <w:tcW w:w="1413" w:type="dxa"/>
            <w:tcBorders>
              <w:top w:val="nil"/>
              <w:left w:val="nil"/>
              <w:bottom w:val="single" w:sz="4" w:space="0" w:color="auto"/>
              <w:right w:val="nil"/>
            </w:tcBorders>
            <w:shd w:val="clear" w:color="auto" w:fill="auto"/>
            <w:noWrap/>
            <w:vAlign w:val="bottom"/>
            <w:hideMark/>
          </w:tcPr>
          <w:p w14:paraId="01C506D3"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0°</w:t>
            </w:r>
          </w:p>
        </w:tc>
        <w:tc>
          <w:tcPr>
            <w:tcW w:w="1413" w:type="dxa"/>
            <w:tcBorders>
              <w:top w:val="nil"/>
              <w:left w:val="nil"/>
              <w:bottom w:val="single" w:sz="4" w:space="0" w:color="auto"/>
              <w:right w:val="nil"/>
            </w:tcBorders>
            <w:shd w:val="clear" w:color="auto" w:fill="auto"/>
            <w:noWrap/>
            <w:vAlign w:val="bottom"/>
            <w:hideMark/>
          </w:tcPr>
          <w:p w14:paraId="7EA37509"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5°</w:t>
            </w:r>
          </w:p>
        </w:tc>
        <w:tc>
          <w:tcPr>
            <w:tcW w:w="1479" w:type="dxa"/>
            <w:tcBorders>
              <w:top w:val="nil"/>
              <w:left w:val="nil"/>
              <w:bottom w:val="single" w:sz="4" w:space="0" w:color="auto"/>
              <w:right w:val="nil"/>
            </w:tcBorders>
            <w:shd w:val="clear" w:color="auto" w:fill="auto"/>
            <w:noWrap/>
            <w:vAlign w:val="bottom"/>
            <w:hideMark/>
          </w:tcPr>
          <w:p w14:paraId="5FCDD6CD"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15°</w:t>
            </w:r>
          </w:p>
        </w:tc>
        <w:tc>
          <w:tcPr>
            <w:tcW w:w="1091" w:type="dxa"/>
            <w:tcBorders>
              <w:top w:val="nil"/>
              <w:left w:val="nil"/>
              <w:bottom w:val="single" w:sz="4" w:space="0" w:color="auto"/>
              <w:right w:val="nil"/>
            </w:tcBorders>
            <w:shd w:val="clear" w:color="auto" w:fill="auto"/>
            <w:noWrap/>
            <w:vAlign w:val="bottom"/>
            <w:hideMark/>
          </w:tcPr>
          <w:p w14:paraId="76B6630A"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45°</w:t>
            </w:r>
          </w:p>
        </w:tc>
        <w:tc>
          <w:tcPr>
            <w:tcW w:w="1104" w:type="dxa"/>
            <w:tcBorders>
              <w:top w:val="nil"/>
              <w:left w:val="nil"/>
              <w:bottom w:val="single" w:sz="4" w:space="0" w:color="auto"/>
              <w:right w:val="nil"/>
            </w:tcBorders>
            <w:shd w:val="clear" w:color="auto" w:fill="auto"/>
            <w:noWrap/>
            <w:vAlign w:val="bottom"/>
            <w:hideMark/>
          </w:tcPr>
          <w:p w14:paraId="4E027E67" w14:textId="77777777" w:rsidR="00A61335" w:rsidRPr="00E37EAA" w:rsidRDefault="00A61335" w:rsidP="00A61335">
            <w:pPr>
              <w:spacing w:line="240" w:lineRule="auto"/>
              <w:jc w:val="center"/>
              <w:rPr>
                <w:rFonts w:ascii="Calibri" w:hAnsi="Calibri" w:cs="Calibri"/>
                <w:color w:val="000000"/>
                <w:sz w:val="22"/>
                <w:szCs w:val="22"/>
              </w:rPr>
            </w:pPr>
            <w:r w:rsidRPr="00E37EAA">
              <w:rPr>
                <w:rFonts w:ascii="Calibri" w:hAnsi="Calibri" w:cs="Calibri"/>
                <w:color w:val="000000"/>
                <w:sz w:val="22"/>
                <w:szCs w:val="22"/>
              </w:rPr>
              <w:t>135°</w:t>
            </w:r>
          </w:p>
        </w:tc>
      </w:tr>
      <w:tr w:rsidR="00A61335" w:rsidRPr="00E37EAA" w14:paraId="68E8BA97" w14:textId="77777777" w:rsidTr="00131977">
        <w:trPr>
          <w:trHeight w:hRule="exact" w:val="301"/>
        </w:trPr>
        <w:tc>
          <w:tcPr>
            <w:tcW w:w="1300" w:type="dxa"/>
            <w:tcBorders>
              <w:top w:val="nil"/>
              <w:left w:val="nil"/>
              <w:bottom w:val="nil"/>
              <w:right w:val="nil"/>
            </w:tcBorders>
            <w:shd w:val="clear" w:color="auto" w:fill="auto"/>
            <w:noWrap/>
            <w:vAlign w:val="bottom"/>
            <w:hideMark/>
          </w:tcPr>
          <w:p w14:paraId="40F19FD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14</w:t>
            </w:r>
          </w:p>
        </w:tc>
        <w:tc>
          <w:tcPr>
            <w:tcW w:w="1413" w:type="dxa"/>
            <w:tcBorders>
              <w:top w:val="nil"/>
              <w:left w:val="nil"/>
              <w:bottom w:val="nil"/>
              <w:right w:val="nil"/>
            </w:tcBorders>
            <w:shd w:val="clear" w:color="auto" w:fill="auto"/>
            <w:noWrap/>
            <w:vAlign w:val="bottom"/>
            <w:hideMark/>
          </w:tcPr>
          <w:p w14:paraId="108E6243"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7372.55</w:t>
            </w:r>
          </w:p>
        </w:tc>
        <w:tc>
          <w:tcPr>
            <w:tcW w:w="1413" w:type="dxa"/>
            <w:tcBorders>
              <w:top w:val="nil"/>
              <w:left w:val="nil"/>
              <w:bottom w:val="nil"/>
              <w:right w:val="nil"/>
            </w:tcBorders>
            <w:shd w:val="clear" w:color="auto" w:fill="auto"/>
            <w:noWrap/>
            <w:vAlign w:val="bottom"/>
            <w:hideMark/>
          </w:tcPr>
          <w:p w14:paraId="415C65AD"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1035.91</w:t>
            </w:r>
          </w:p>
        </w:tc>
        <w:tc>
          <w:tcPr>
            <w:tcW w:w="1479" w:type="dxa"/>
            <w:tcBorders>
              <w:top w:val="nil"/>
              <w:left w:val="nil"/>
              <w:bottom w:val="nil"/>
              <w:right w:val="nil"/>
            </w:tcBorders>
            <w:shd w:val="clear" w:color="auto" w:fill="auto"/>
            <w:noWrap/>
            <w:vAlign w:val="bottom"/>
            <w:hideMark/>
          </w:tcPr>
          <w:p w14:paraId="10B586AD"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53.85</w:t>
            </w:r>
          </w:p>
        </w:tc>
        <w:tc>
          <w:tcPr>
            <w:tcW w:w="1091" w:type="dxa"/>
            <w:tcBorders>
              <w:top w:val="nil"/>
              <w:left w:val="nil"/>
              <w:bottom w:val="nil"/>
              <w:right w:val="nil"/>
            </w:tcBorders>
            <w:shd w:val="clear" w:color="auto" w:fill="auto"/>
            <w:noWrap/>
            <w:vAlign w:val="bottom"/>
            <w:hideMark/>
          </w:tcPr>
          <w:p w14:paraId="1EFC52BF"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320.58</w:t>
            </w:r>
          </w:p>
        </w:tc>
        <w:tc>
          <w:tcPr>
            <w:tcW w:w="1104" w:type="dxa"/>
            <w:tcBorders>
              <w:top w:val="nil"/>
              <w:left w:val="nil"/>
              <w:bottom w:val="nil"/>
              <w:right w:val="nil"/>
            </w:tcBorders>
            <w:shd w:val="clear" w:color="auto" w:fill="auto"/>
            <w:noWrap/>
            <w:vAlign w:val="bottom"/>
            <w:hideMark/>
          </w:tcPr>
          <w:p w14:paraId="50FF3031"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31.37</w:t>
            </w:r>
          </w:p>
        </w:tc>
      </w:tr>
      <w:tr w:rsidR="00A61335" w:rsidRPr="00E37EAA" w14:paraId="784AFB40" w14:textId="77777777" w:rsidTr="00131977">
        <w:trPr>
          <w:trHeight w:hRule="exact" w:val="301"/>
        </w:trPr>
        <w:tc>
          <w:tcPr>
            <w:tcW w:w="1300" w:type="dxa"/>
            <w:tcBorders>
              <w:top w:val="nil"/>
              <w:left w:val="nil"/>
              <w:bottom w:val="nil"/>
              <w:right w:val="nil"/>
            </w:tcBorders>
            <w:shd w:val="clear" w:color="auto" w:fill="auto"/>
            <w:noWrap/>
            <w:vAlign w:val="bottom"/>
            <w:hideMark/>
          </w:tcPr>
          <w:p w14:paraId="434B172F"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16</w:t>
            </w:r>
          </w:p>
        </w:tc>
        <w:tc>
          <w:tcPr>
            <w:tcW w:w="1413" w:type="dxa"/>
            <w:tcBorders>
              <w:top w:val="nil"/>
              <w:left w:val="nil"/>
              <w:bottom w:val="nil"/>
              <w:right w:val="nil"/>
            </w:tcBorders>
            <w:shd w:val="clear" w:color="auto" w:fill="auto"/>
            <w:noWrap/>
            <w:vAlign w:val="bottom"/>
            <w:hideMark/>
          </w:tcPr>
          <w:p w14:paraId="32C5483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387.10</w:t>
            </w:r>
          </w:p>
        </w:tc>
        <w:tc>
          <w:tcPr>
            <w:tcW w:w="1413" w:type="dxa"/>
            <w:tcBorders>
              <w:top w:val="nil"/>
              <w:left w:val="nil"/>
              <w:bottom w:val="nil"/>
              <w:right w:val="nil"/>
            </w:tcBorders>
            <w:shd w:val="clear" w:color="auto" w:fill="auto"/>
            <w:noWrap/>
            <w:vAlign w:val="bottom"/>
            <w:hideMark/>
          </w:tcPr>
          <w:p w14:paraId="5570D753"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1071.41</w:t>
            </w:r>
          </w:p>
        </w:tc>
        <w:tc>
          <w:tcPr>
            <w:tcW w:w="1479" w:type="dxa"/>
            <w:tcBorders>
              <w:top w:val="nil"/>
              <w:left w:val="nil"/>
              <w:bottom w:val="nil"/>
              <w:right w:val="nil"/>
            </w:tcBorders>
            <w:shd w:val="clear" w:color="auto" w:fill="auto"/>
            <w:noWrap/>
            <w:vAlign w:val="bottom"/>
            <w:hideMark/>
          </w:tcPr>
          <w:p w14:paraId="65016776"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685.07</w:t>
            </w:r>
          </w:p>
        </w:tc>
        <w:tc>
          <w:tcPr>
            <w:tcW w:w="1091" w:type="dxa"/>
            <w:tcBorders>
              <w:top w:val="nil"/>
              <w:left w:val="nil"/>
              <w:bottom w:val="nil"/>
              <w:right w:val="nil"/>
            </w:tcBorders>
            <w:shd w:val="clear" w:color="auto" w:fill="auto"/>
            <w:noWrap/>
            <w:vAlign w:val="bottom"/>
            <w:hideMark/>
          </w:tcPr>
          <w:p w14:paraId="01EB11AE"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11.52</w:t>
            </w:r>
          </w:p>
        </w:tc>
        <w:tc>
          <w:tcPr>
            <w:tcW w:w="1104" w:type="dxa"/>
            <w:tcBorders>
              <w:top w:val="nil"/>
              <w:left w:val="nil"/>
              <w:bottom w:val="nil"/>
              <w:right w:val="nil"/>
            </w:tcBorders>
            <w:shd w:val="clear" w:color="auto" w:fill="auto"/>
            <w:noWrap/>
            <w:vAlign w:val="bottom"/>
            <w:hideMark/>
          </w:tcPr>
          <w:p w14:paraId="321204B2"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2.43</w:t>
            </w:r>
          </w:p>
        </w:tc>
      </w:tr>
      <w:tr w:rsidR="00A61335" w:rsidRPr="00E37EAA" w14:paraId="1C6AD3EA" w14:textId="77777777" w:rsidTr="00131977">
        <w:trPr>
          <w:trHeight w:hRule="exact" w:val="301"/>
        </w:trPr>
        <w:tc>
          <w:tcPr>
            <w:tcW w:w="1300" w:type="dxa"/>
            <w:tcBorders>
              <w:top w:val="nil"/>
              <w:left w:val="nil"/>
              <w:bottom w:val="nil"/>
              <w:right w:val="nil"/>
            </w:tcBorders>
            <w:shd w:val="clear" w:color="auto" w:fill="auto"/>
            <w:noWrap/>
            <w:vAlign w:val="bottom"/>
            <w:hideMark/>
          </w:tcPr>
          <w:p w14:paraId="6F95CE3E"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17</w:t>
            </w:r>
          </w:p>
        </w:tc>
        <w:tc>
          <w:tcPr>
            <w:tcW w:w="1413" w:type="dxa"/>
            <w:tcBorders>
              <w:top w:val="nil"/>
              <w:left w:val="nil"/>
              <w:bottom w:val="nil"/>
              <w:right w:val="nil"/>
            </w:tcBorders>
            <w:shd w:val="clear" w:color="auto" w:fill="auto"/>
            <w:noWrap/>
            <w:vAlign w:val="bottom"/>
            <w:hideMark/>
          </w:tcPr>
          <w:p w14:paraId="61161470"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251.09</w:t>
            </w:r>
          </w:p>
        </w:tc>
        <w:tc>
          <w:tcPr>
            <w:tcW w:w="1413" w:type="dxa"/>
            <w:tcBorders>
              <w:top w:val="nil"/>
              <w:left w:val="nil"/>
              <w:bottom w:val="nil"/>
              <w:right w:val="nil"/>
            </w:tcBorders>
            <w:shd w:val="clear" w:color="auto" w:fill="auto"/>
            <w:noWrap/>
            <w:vAlign w:val="bottom"/>
            <w:hideMark/>
          </w:tcPr>
          <w:p w14:paraId="271AE687"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140646.86</w:t>
            </w:r>
          </w:p>
        </w:tc>
        <w:tc>
          <w:tcPr>
            <w:tcW w:w="1479" w:type="dxa"/>
            <w:tcBorders>
              <w:top w:val="nil"/>
              <w:left w:val="nil"/>
              <w:bottom w:val="nil"/>
              <w:right w:val="nil"/>
            </w:tcBorders>
            <w:shd w:val="clear" w:color="auto" w:fill="auto"/>
            <w:noWrap/>
            <w:vAlign w:val="bottom"/>
            <w:hideMark/>
          </w:tcPr>
          <w:p w14:paraId="4E0A9AB7"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434.50</w:t>
            </w:r>
          </w:p>
        </w:tc>
        <w:tc>
          <w:tcPr>
            <w:tcW w:w="1091" w:type="dxa"/>
            <w:tcBorders>
              <w:top w:val="nil"/>
              <w:left w:val="nil"/>
              <w:bottom w:val="nil"/>
              <w:right w:val="nil"/>
            </w:tcBorders>
            <w:shd w:val="clear" w:color="auto" w:fill="auto"/>
            <w:noWrap/>
            <w:vAlign w:val="bottom"/>
            <w:hideMark/>
          </w:tcPr>
          <w:p w14:paraId="07DE37E0"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152.98</w:t>
            </w:r>
          </w:p>
        </w:tc>
        <w:tc>
          <w:tcPr>
            <w:tcW w:w="1104" w:type="dxa"/>
            <w:tcBorders>
              <w:top w:val="nil"/>
              <w:left w:val="nil"/>
              <w:bottom w:val="nil"/>
              <w:right w:val="nil"/>
            </w:tcBorders>
            <w:shd w:val="clear" w:color="auto" w:fill="auto"/>
            <w:noWrap/>
            <w:vAlign w:val="bottom"/>
            <w:hideMark/>
          </w:tcPr>
          <w:p w14:paraId="7312343C"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75.40</w:t>
            </w:r>
          </w:p>
        </w:tc>
      </w:tr>
      <w:tr w:rsidR="00A61335" w:rsidRPr="00E37EAA" w14:paraId="06047A05" w14:textId="77777777" w:rsidTr="00131977">
        <w:trPr>
          <w:trHeight w:hRule="exact" w:val="301"/>
        </w:trPr>
        <w:tc>
          <w:tcPr>
            <w:tcW w:w="1300" w:type="dxa"/>
            <w:tcBorders>
              <w:top w:val="nil"/>
              <w:left w:val="nil"/>
              <w:bottom w:val="nil"/>
              <w:right w:val="nil"/>
            </w:tcBorders>
            <w:shd w:val="clear" w:color="auto" w:fill="auto"/>
            <w:noWrap/>
            <w:vAlign w:val="bottom"/>
            <w:hideMark/>
          </w:tcPr>
          <w:p w14:paraId="4950840F"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18</w:t>
            </w:r>
          </w:p>
        </w:tc>
        <w:tc>
          <w:tcPr>
            <w:tcW w:w="1413" w:type="dxa"/>
            <w:tcBorders>
              <w:top w:val="nil"/>
              <w:left w:val="nil"/>
              <w:bottom w:val="nil"/>
              <w:right w:val="nil"/>
            </w:tcBorders>
            <w:shd w:val="clear" w:color="auto" w:fill="auto"/>
            <w:noWrap/>
            <w:vAlign w:val="bottom"/>
            <w:hideMark/>
          </w:tcPr>
          <w:p w14:paraId="30E71B4D"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58090.18</w:t>
            </w:r>
          </w:p>
        </w:tc>
        <w:tc>
          <w:tcPr>
            <w:tcW w:w="1413" w:type="dxa"/>
            <w:tcBorders>
              <w:top w:val="nil"/>
              <w:left w:val="nil"/>
              <w:bottom w:val="nil"/>
              <w:right w:val="nil"/>
            </w:tcBorders>
            <w:shd w:val="clear" w:color="auto" w:fill="auto"/>
            <w:noWrap/>
            <w:vAlign w:val="bottom"/>
            <w:hideMark/>
          </w:tcPr>
          <w:p w14:paraId="2D0F295F"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9367.31</w:t>
            </w:r>
          </w:p>
        </w:tc>
        <w:tc>
          <w:tcPr>
            <w:tcW w:w="1479" w:type="dxa"/>
            <w:tcBorders>
              <w:top w:val="nil"/>
              <w:left w:val="nil"/>
              <w:bottom w:val="nil"/>
              <w:right w:val="nil"/>
            </w:tcBorders>
            <w:shd w:val="clear" w:color="auto" w:fill="auto"/>
            <w:noWrap/>
            <w:vAlign w:val="bottom"/>
            <w:hideMark/>
          </w:tcPr>
          <w:p w14:paraId="39B2F788"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7399.87</w:t>
            </w:r>
          </w:p>
        </w:tc>
        <w:tc>
          <w:tcPr>
            <w:tcW w:w="1091" w:type="dxa"/>
            <w:tcBorders>
              <w:top w:val="nil"/>
              <w:left w:val="nil"/>
              <w:bottom w:val="nil"/>
              <w:right w:val="nil"/>
            </w:tcBorders>
            <w:shd w:val="clear" w:color="auto" w:fill="auto"/>
            <w:noWrap/>
            <w:vAlign w:val="bottom"/>
            <w:hideMark/>
          </w:tcPr>
          <w:p w14:paraId="21CEE3F7"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41.55</w:t>
            </w:r>
          </w:p>
        </w:tc>
        <w:tc>
          <w:tcPr>
            <w:tcW w:w="1104" w:type="dxa"/>
            <w:tcBorders>
              <w:top w:val="nil"/>
              <w:left w:val="nil"/>
              <w:bottom w:val="nil"/>
              <w:right w:val="nil"/>
            </w:tcBorders>
            <w:shd w:val="clear" w:color="auto" w:fill="auto"/>
            <w:noWrap/>
            <w:vAlign w:val="bottom"/>
            <w:hideMark/>
          </w:tcPr>
          <w:p w14:paraId="190C401E"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123.90</w:t>
            </w:r>
          </w:p>
        </w:tc>
      </w:tr>
      <w:tr w:rsidR="00A61335" w:rsidRPr="00E37EAA" w14:paraId="3D3A952D" w14:textId="77777777" w:rsidTr="00131977">
        <w:trPr>
          <w:trHeight w:hRule="exact" w:val="301"/>
        </w:trPr>
        <w:tc>
          <w:tcPr>
            <w:tcW w:w="1300" w:type="dxa"/>
            <w:tcBorders>
              <w:top w:val="nil"/>
              <w:left w:val="nil"/>
              <w:bottom w:val="nil"/>
              <w:right w:val="nil"/>
            </w:tcBorders>
            <w:shd w:val="clear" w:color="auto" w:fill="auto"/>
            <w:noWrap/>
            <w:vAlign w:val="bottom"/>
            <w:hideMark/>
          </w:tcPr>
          <w:p w14:paraId="74C9D15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20</w:t>
            </w:r>
          </w:p>
        </w:tc>
        <w:tc>
          <w:tcPr>
            <w:tcW w:w="1413" w:type="dxa"/>
            <w:tcBorders>
              <w:top w:val="nil"/>
              <w:left w:val="nil"/>
              <w:bottom w:val="nil"/>
              <w:right w:val="nil"/>
            </w:tcBorders>
            <w:shd w:val="clear" w:color="auto" w:fill="auto"/>
            <w:noWrap/>
            <w:vAlign w:val="bottom"/>
            <w:hideMark/>
          </w:tcPr>
          <w:p w14:paraId="7D716B18"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4.02</w:t>
            </w:r>
          </w:p>
        </w:tc>
        <w:tc>
          <w:tcPr>
            <w:tcW w:w="1413" w:type="dxa"/>
            <w:tcBorders>
              <w:top w:val="nil"/>
              <w:left w:val="nil"/>
              <w:bottom w:val="nil"/>
              <w:right w:val="nil"/>
            </w:tcBorders>
            <w:shd w:val="clear" w:color="auto" w:fill="auto"/>
            <w:noWrap/>
            <w:vAlign w:val="bottom"/>
            <w:hideMark/>
          </w:tcPr>
          <w:p w14:paraId="03266C3C"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245.11</w:t>
            </w:r>
          </w:p>
        </w:tc>
        <w:tc>
          <w:tcPr>
            <w:tcW w:w="1479" w:type="dxa"/>
            <w:tcBorders>
              <w:top w:val="nil"/>
              <w:left w:val="nil"/>
              <w:bottom w:val="nil"/>
              <w:right w:val="nil"/>
            </w:tcBorders>
            <w:shd w:val="clear" w:color="auto" w:fill="auto"/>
            <w:noWrap/>
            <w:vAlign w:val="bottom"/>
            <w:hideMark/>
          </w:tcPr>
          <w:p w14:paraId="7412FEA7"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1092.20</w:t>
            </w:r>
          </w:p>
        </w:tc>
        <w:tc>
          <w:tcPr>
            <w:tcW w:w="1091" w:type="dxa"/>
            <w:tcBorders>
              <w:top w:val="nil"/>
              <w:left w:val="nil"/>
              <w:bottom w:val="nil"/>
              <w:right w:val="nil"/>
            </w:tcBorders>
            <w:shd w:val="clear" w:color="auto" w:fill="auto"/>
            <w:noWrap/>
            <w:vAlign w:val="bottom"/>
            <w:hideMark/>
          </w:tcPr>
          <w:p w14:paraId="17C04A1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36.98</w:t>
            </w:r>
          </w:p>
        </w:tc>
        <w:tc>
          <w:tcPr>
            <w:tcW w:w="1104" w:type="dxa"/>
            <w:tcBorders>
              <w:top w:val="nil"/>
              <w:left w:val="nil"/>
              <w:bottom w:val="nil"/>
              <w:right w:val="nil"/>
            </w:tcBorders>
            <w:shd w:val="clear" w:color="auto" w:fill="auto"/>
            <w:noWrap/>
            <w:vAlign w:val="bottom"/>
            <w:hideMark/>
          </w:tcPr>
          <w:p w14:paraId="46E7948C"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17.90</w:t>
            </w:r>
          </w:p>
        </w:tc>
      </w:tr>
      <w:tr w:rsidR="00A61335" w:rsidRPr="00E37EAA" w14:paraId="317D31B4" w14:textId="77777777" w:rsidTr="00131977">
        <w:trPr>
          <w:trHeight w:hRule="exact" w:val="301"/>
        </w:trPr>
        <w:tc>
          <w:tcPr>
            <w:tcW w:w="1300" w:type="dxa"/>
            <w:tcBorders>
              <w:top w:val="nil"/>
              <w:left w:val="nil"/>
              <w:bottom w:val="nil"/>
              <w:right w:val="nil"/>
            </w:tcBorders>
            <w:shd w:val="clear" w:color="auto" w:fill="auto"/>
            <w:noWrap/>
            <w:vAlign w:val="bottom"/>
            <w:hideMark/>
          </w:tcPr>
          <w:p w14:paraId="0B79C2C8"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22</w:t>
            </w:r>
          </w:p>
        </w:tc>
        <w:tc>
          <w:tcPr>
            <w:tcW w:w="1413" w:type="dxa"/>
            <w:tcBorders>
              <w:top w:val="nil"/>
              <w:left w:val="nil"/>
              <w:bottom w:val="nil"/>
              <w:right w:val="nil"/>
            </w:tcBorders>
            <w:shd w:val="clear" w:color="auto" w:fill="auto"/>
            <w:noWrap/>
            <w:vAlign w:val="bottom"/>
            <w:hideMark/>
          </w:tcPr>
          <w:p w14:paraId="5932278E"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6404.80</w:t>
            </w:r>
          </w:p>
        </w:tc>
        <w:tc>
          <w:tcPr>
            <w:tcW w:w="1413" w:type="dxa"/>
            <w:tcBorders>
              <w:top w:val="nil"/>
              <w:left w:val="nil"/>
              <w:bottom w:val="nil"/>
              <w:right w:val="nil"/>
            </w:tcBorders>
            <w:shd w:val="clear" w:color="auto" w:fill="auto"/>
            <w:noWrap/>
            <w:vAlign w:val="bottom"/>
            <w:hideMark/>
          </w:tcPr>
          <w:p w14:paraId="74245590"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208.10</w:t>
            </w:r>
          </w:p>
        </w:tc>
        <w:tc>
          <w:tcPr>
            <w:tcW w:w="1479" w:type="dxa"/>
            <w:tcBorders>
              <w:top w:val="nil"/>
              <w:left w:val="nil"/>
              <w:bottom w:val="nil"/>
              <w:right w:val="nil"/>
            </w:tcBorders>
            <w:shd w:val="clear" w:color="auto" w:fill="auto"/>
            <w:noWrap/>
            <w:vAlign w:val="bottom"/>
            <w:hideMark/>
          </w:tcPr>
          <w:p w14:paraId="30F3737E"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28.47</w:t>
            </w:r>
          </w:p>
        </w:tc>
        <w:tc>
          <w:tcPr>
            <w:tcW w:w="1091" w:type="dxa"/>
            <w:tcBorders>
              <w:top w:val="nil"/>
              <w:left w:val="nil"/>
              <w:bottom w:val="nil"/>
              <w:right w:val="nil"/>
            </w:tcBorders>
            <w:shd w:val="clear" w:color="auto" w:fill="auto"/>
            <w:noWrap/>
            <w:vAlign w:val="bottom"/>
            <w:hideMark/>
          </w:tcPr>
          <w:p w14:paraId="06A27E1F"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15.04</w:t>
            </w:r>
          </w:p>
        </w:tc>
        <w:tc>
          <w:tcPr>
            <w:tcW w:w="1104" w:type="dxa"/>
            <w:tcBorders>
              <w:top w:val="nil"/>
              <w:left w:val="nil"/>
              <w:bottom w:val="nil"/>
              <w:right w:val="nil"/>
            </w:tcBorders>
            <w:shd w:val="clear" w:color="auto" w:fill="auto"/>
            <w:noWrap/>
            <w:vAlign w:val="bottom"/>
            <w:hideMark/>
          </w:tcPr>
          <w:p w14:paraId="22CD1A78"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21.42</w:t>
            </w:r>
          </w:p>
        </w:tc>
      </w:tr>
      <w:tr w:rsidR="00A61335" w:rsidRPr="00E37EAA" w14:paraId="090066D1" w14:textId="77777777" w:rsidTr="00131977">
        <w:trPr>
          <w:trHeight w:hRule="exact" w:val="301"/>
        </w:trPr>
        <w:tc>
          <w:tcPr>
            <w:tcW w:w="1300" w:type="dxa"/>
            <w:tcBorders>
              <w:top w:val="nil"/>
              <w:left w:val="nil"/>
              <w:bottom w:val="nil"/>
              <w:right w:val="nil"/>
            </w:tcBorders>
            <w:shd w:val="clear" w:color="auto" w:fill="auto"/>
            <w:noWrap/>
            <w:vAlign w:val="bottom"/>
            <w:hideMark/>
          </w:tcPr>
          <w:p w14:paraId="2AE8A481"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25</w:t>
            </w:r>
          </w:p>
        </w:tc>
        <w:tc>
          <w:tcPr>
            <w:tcW w:w="1413" w:type="dxa"/>
            <w:tcBorders>
              <w:top w:val="nil"/>
              <w:left w:val="nil"/>
              <w:bottom w:val="nil"/>
              <w:right w:val="nil"/>
            </w:tcBorders>
            <w:shd w:val="clear" w:color="auto" w:fill="auto"/>
            <w:noWrap/>
            <w:vAlign w:val="bottom"/>
            <w:hideMark/>
          </w:tcPr>
          <w:p w14:paraId="39FBA1BC"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3684.98</w:t>
            </w:r>
          </w:p>
        </w:tc>
        <w:tc>
          <w:tcPr>
            <w:tcW w:w="1413" w:type="dxa"/>
            <w:tcBorders>
              <w:top w:val="nil"/>
              <w:left w:val="nil"/>
              <w:bottom w:val="nil"/>
              <w:right w:val="nil"/>
            </w:tcBorders>
            <w:shd w:val="clear" w:color="auto" w:fill="auto"/>
            <w:noWrap/>
            <w:vAlign w:val="bottom"/>
            <w:hideMark/>
          </w:tcPr>
          <w:p w14:paraId="05787DF8"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2929.09</w:t>
            </w:r>
          </w:p>
        </w:tc>
        <w:tc>
          <w:tcPr>
            <w:tcW w:w="1479" w:type="dxa"/>
            <w:tcBorders>
              <w:top w:val="nil"/>
              <w:left w:val="nil"/>
              <w:bottom w:val="nil"/>
              <w:right w:val="nil"/>
            </w:tcBorders>
            <w:shd w:val="clear" w:color="auto" w:fill="auto"/>
            <w:noWrap/>
            <w:vAlign w:val="bottom"/>
            <w:hideMark/>
          </w:tcPr>
          <w:p w14:paraId="7A85504F"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718.48</w:t>
            </w:r>
          </w:p>
        </w:tc>
        <w:tc>
          <w:tcPr>
            <w:tcW w:w="1091" w:type="dxa"/>
            <w:tcBorders>
              <w:top w:val="nil"/>
              <w:left w:val="nil"/>
              <w:bottom w:val="nil"/>
              <w:right w:val="nil"/>
            </w:tcBorders>
            <w:shd w:val="clear" w:color="auto" w:fill="auto"/>
            <w:noWrap/>
            <w:vAlign w:val="bottom"/>
            <w:hideMark/>
          </w:tcPr>
          <w:p w14:paraId="6766CFE5"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7.21</w:t>
            </w:r>
          </w:p>
        </w:tc>
        <w:tc>
          <w:tcPr>
            <w:tcW w:w="1104" w:type="dxa"/>
            <w:tcBorders>
              <w:top w:val="nil"/>
              <w:left w:val="nil"/>
              <w:bottom w:val="nil"/>
              <w:right w:val="nil"/>
            </w:tcBorders>
            <w:shd w:val="clear" w:color="auto" w:fill="auto"/>
            <w:noWrap/>
            <w:vAlign w:val="bottom"/>
            <w:hideMark/>
          </w:tcPr>
          <w:p w14:paraId="6E42854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276.54</w:t>
            </w:r>
          </w:p>
        </w:tc>
      </w:tr>
      <w:tr w:rsidR="00A61335" w:rsidRPr="00E37EAA" w14:paraId="52C484D7" w14:textId="77777777" w:rsidTr="00131977">
        <w:trPr>
          <w:trHeight w:hRule="exact" w:val="301"/>
        </w:trPr>
        <w:tc>
          <w:tcPr>
            <w:tcW w:w="1300" w:type="dxa"/>
            <w:tcBorders>
              <w:top w:val="nil"/>
              <w:left w:val="nil"/>
              <w:bottom w:val="nil"/>
              <w:right w:val="nil"/>
            </w:tcBorders>
            <w:shd w:val="clear" w:color="auto" w:fill="auto"/>
            <w:noWrap/>
            <w:vAlign w:val="bottom"/>
            <w:hideMark/>
          </w:tcPr>
          <w:p w14:paraId="6F750803"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26</w:t>
            </w:r>
          </w:p>
        </w:tc>
        <w:tc>
          <w:tcPr>
            <w:tcW w:w="1413" w:type="dxa"/>
            <w:tcBorders>
              <w:top w:val="nil"/>
              <w:left w:val="nil"/>
              <w:bottom w:val="nil"/>
              <w:right w:val="nil"/>
            </w:tcBorders>
            <w:shd w:val="clear" w:color="auto" w:fill="auto"/>
            <w:noWrap/>
            <w:vAlign w:val="bottom"/>
            <w:hideMark/>
          </w:tcPr>
          <w:p w14:paraId="77C13BBF"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89774.44</w:t>
            </w:r>
          </w:p>
        </w:tc>
        <w:tc>
          <w:tcPr>
            <w:tcW w:w="1413" w:type="dxa"/>
            <w:tcBorders>
              <w:top w:val="nil"/>
              <w:left w:val="nil"/>
              <w:bottom w:val="nil"/>
              <w:right w:val="nil"/>
            </w:tcBorders>
            <w:shd w:val="clear" w:color="auto" w:fill="auto"/>
            <w:noWrap/>
            <w:vAlign w:val="bottom"/>
            <w:hideMark/>
          </w:tcPr>
          <w:p w14:paraId="4B1DF483"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124531.04</w:t>
            </w:r>
          </w:p>
        </w:tc>
        <w:tc>
          <w:tcPr>
            <w:tcW w:w="1479" w:type="dxa"/>
            <w:tcBorders>
              <w:top w:val="nil"/>
              <w:left w:val="nil"/>
              <w:bottom w:val="nil"/>
              <w:right w:val="nil"/>
            </w:tcBorders>
            <w:shd w:val="clear" w:color="auto" w:fill="auto"/>
            <w:noWrap/>
            <w:vAlign w:val="bottom"/>
            <w:hideMark/>
          </w:tcPr>
          <w:p w14:paraId="573A359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226.03</w:t>
            </w:r>
          </w:p>
        </w:tc>
        <w:tc>
          <w:tcPr>
            <w:tcW w:w="1091" w:type="dxa"/>
            <w:tcBorders>
              <w:top w:val="nil"/>
              <w:left w:val="nil"/>
              <w:bottom w:val="nil"/>
              <w:right w:val="nil"/>
            </w:tcBorders>
            <w:shd w:val="clear" w:color="auto" w:fill="auto"/>
            <w:noWrap/>
            <w:vAlign w:val="bottom"/>
            <w:hideMark/>
          </w:tcPr>
          <w:p w14:paraId="6F276A5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120.42</w:t>
            </w:r>
          </w:p>
        </w:tc>
        <w:tc>
          <w:tcPr>
            <w:tcW w:w="1104" w:type="dxa"/>
            <w:tcBorders>
              <w:top w:val="nil"/>
              <w:left w:val="nil"/>
              <w:bottom w:val="nil"/>
              <w:right w:val="nil"/>
            </w:tcBorders>
            <w:shd w:val="clear" w:color="auto" w:fill="auto"/>
            <w:noWrap/>
            <w:vAlign w:val="bottom"/>
            <w:hideMark/>
          </w:tcPr>
          <w:p w14:paraId="5627DFE0"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60.58</w:t>
            </w:r>
          </w:p>
        </w:tc>
      </w:tr>
      <w:tr w:rsidR="00A61335" w:rsidRPr="00E37EAA" w14:paraId="390E2FB2" w14:textId="77777777" w:rsidTr="00131977">
        <w:trPr>
          <w:trHeight w:hRule="exact" w:val="301"/>
        </w:trPr>
        <w:tc>
          <w:tcPr>
            <w:tcW w:w="1300" w:type="dxa"/>
            <w:tcBorders>
              <w:top w:val="nil"/>
              <w:left w:val="nil"/>
              <w:bottom w:val="nil"/>
              <w:right w:val="nil"/>
            </w:tcBorders>
            <w:shd w:val="clear" w:color="auto" w:fill="auto"/>
            <w:noWrap/>
            <w:vAlign w:val="bottom"/>
            <w:hideMark/>
          </w:tcPr>
          <w:p w14:paraId="58291E98"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27</w:t>
            </w:r>
          </w:p>
        </w:tc>
        <w:tc>
          <w:tcPr>
            <w:tcW w:w="1413" w:type="dxa"/>
            <w:tcBorders>
              <w:top w:val="nil"/>
              <w:left w:val="nil"/>
              <w:bottom w:val="nil"/>
              <w:right w:val="nil"/>
            </w:tcBorders>
            <w:shd w:val="clear" w:color="auto" w:fill="auto"/>
            <w:noWrap/>
            <w:vAlign w:val="bottom"/>
            <w:hideMark/>
          </w:tcPr>
          <w:p w14:paraId="3C879C0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5748.44</w:t>
            </w:r>
          </w:p>
        </w:tc>
        <w:tc>
          <w:tcPr>
            <w:tcW w:w="1413" w:type="dxa"/>
            <w:tcBorders>
              <w:top w:val="nil"/>
              <w:left w:val="nil"/>
              <w:bottom w:val="nil"/>
              <w:right w:val="nil"/>
            </w:tcBorders>
            <w:shd w:val="clear" w:color="auto" w:fill="auto"/>
            <w:noWrap/>
            <w:vAlign w:val="bottom"/>
            <w:hideMark/>
          </w:tcPr>
          <w:p w14:paraId="3979F7E9"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374.87</w:t>
            </w:r>
          </w:p>
        </w:tc>
        <w:tc>
          <w:tcPr>
            <w:tcW w:w="1479" w:type="dxa"/>
            <w:tcBorders>
              <w:top w:val="nil"/>
              <w:left w:val="nil"/>
              <w:bottom w:val="nil"/>
              <w:right w:val="nil"/>
            </w:tcBorders>
            <w:shd w:val="clear" w:color="auto" w:fill="auto"/>
            <w:noWrap/>
            <w:vAlign w:val="bottom"/>
            <w:hideMark/>
          </w:tcPr>
          <w:p w14:paraId="17287C0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53420.57</w:t>
            </w:r>
          </w:p>
        </w:tc>
        <w:tc>
          <w:tcPr>
            <w:tcW w:w="1091" w:type="dxa"/>
            <w:tcBorders>
              <w:top w:val="nil"/>
              <w:left w:val="nil"/>
              <w:bottom w:val="nil"/>
              <w:right w:val="nil"/>
            </w:tcBorders>
            <w:shd w:val="clear" w:color="auto" w:fill="auto"/>
            <w:noWrap/>
            <w:vAlign w:val="bottom"/>
            <w:hideMark/>
          </w:tcPr>
          <w:p w14:paraId="072B4FAC"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3.68</w:t>
            </w:r>
          </w:p>
        </w:tc>
        <w:tc>
          <w:tcPr>
            <w:tcW w:w="1104" w:type="dxa"/>
            <w:tcBorders>
              <w:top w:val="nil"/>
              <w:left w:val="nil"/>
              <w:bottom w:val="nil"/>
              <w:right w:val="nil"/>
            </w:tcBorders>
            <w:shd w:val="clear" w:color="auto" w:fill="auto"/>
            <w:noWrap/>
            <w:vAlign w:val="bottom"/>
            <w:hideMark/>
          </w:tcPr>
          <w:p w14:paraId="239C2A44"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12.73</w:t>
            </w:r>
          </w:p>
        </w:tc>
      </w:tr>
      <w:tr w:rsidR="00A61335" w:rsidRPr="00E37EAA" w14:paraId="17A84A6B" w14:textId="77777777" w:rsidTr="00131977">
        <w:trPr>
          <w:trHeight w:hRule="exact" w:val="301"/>
        </w:trPr>
        <w:tc>
          <w:tcPr>
            <w:tcW w:w="1300" w:type="dxa"/>
            <w:tcBorders>
              <w:top w:val="nil"/>
              <w:left w:val="nil"/>
              <w:bottom w:val="nil"/>
              <w:right w:val="nil"/>
            </w:tcBorders>
            <w:shd w:val="clear" w:color="auto" w:fill="auto"/>
            <w:noWrap/>
            <w:vAlign w:val="bottom"/>
            <w:hideMark/>
          </w:tcPr>
          <w:p w14:paraId="704893F5"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29</w:t>
            </w:r>
          </w:p>
        </w:tc>
        <w:tc>
          <w:tcPr>
            <w:tcW w:w="1413" w:type="dxa"/>
            <w:tcBorders>
              <w:top w:val="nil"/>
              <w:left w:val="nil"/>
              <w:bottom w:val="nil"/>
              <w:right w:val="nil"/>
            </w:tcBorders>
            <w:shd w:val="clear" w:color="auto" w:fill="auto"/>
            <w:noWrap/>
            <w:vAlign w:val="bottom"/>
            <w:hideMark/>
          </w:tcPr>
          <w:p w14:paraId="2B61051B"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55.77</w:t>
            </w:r>
          </w:p>
        </w:tc>
        <w:tc>
          <w:tcPr>
            <w:tcW w:w="1413" w:type="dxa"/>
            <w:tcBorders>
              <w:top w:val="nil"/>
              <w:left w:val="nil"/>
              <w:bottom w:val="nil"/>
              <w:right w:val="nil"/>
            </w:tcBorders>
            <w:shd w:val="clear" w:color="auto" w:fill="auto"/>
            <w:noWrap/>
            <w:vAlign w:val="bottom"/>
            <w:hideMark/>
          </w:tcPr>
          <w:p w14:paraId="440DB440"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36668.24</w:t>
            </w:r>
          </w:p>
        </w:tc>
        <w:tc>
          <w:tcPr>
            <w:tcW w:w="1479" w:type="dxa"/>
            <w:tcBorders>
              <w:top w:val="nil"/>
              <w:left w:val="nil"/>
              <w:bottom w:val="nil"/>
              <w:right w:val="nil"/>
            </w:tcBorders>
            <w:shd w:val="clear" w:color="auto" w:fill="auto"/>
            <w:noWrap/>
            <w:vAlign w:val="bottom"/>
            <w:hideMark/>
          </w:tcPr>
          <w:p w14:paraId="5CC8D41D"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3002.64</w:t>
            </w:r>
          </w:p>
        </w:tc>
        <w:tc>
          <w:tcPr>
            <w:tcW w:w="1091" w:type="dxa"/>
            <w:tcBorders>
              <w:top w:val="nil"/>
              <w:left w:val="nil"/>
              <w:bottom w:val="nil"/>
              <w:right w:val="nil"/>
            </w:tcBorders>
            <w:shd w:val="clear" w:color="auto" w:fill="auto"/>
            <w:noWrap/>
            <w:vAlign w:val="bottom"/>
            <w:hideMark/>
          </w:tcPr>
          <w:p w14:paraId="1F7E46B6"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30.06</w:t>
            </w:r>
          </w:p>
        </w:tc>
        <w:tc>
          <w:tcPr>
            <w:tcW w:w="1104" w:type="dxa"/>
            <w:tcBorders>
              <w:top w:val="nil"/>
              <w:left w:val="nil"/>
              <w:bottom w:val="nil"/>
              <w:right w:val="nil"/>
            </w:tcBorders>
            <w:shd w:val="clear" w:color="auto" w:fill="auto"/>
            <w:noWrap/>
            <w:vAlign w:val="bottom"/>
            <w:hideMark/>
          </w:tcPr>
          <w:p w14:paraId="4A6B765A" w14:textId="77777777" w:rsidR="00A61335" w:rsidRPr="00E37EAA" w:rsidRDefault="00A61335" w:rsidP="00A61335">
            <w:pPr>
              <w:spacing w:line="240" w:lineRule="auto"/>
              <w:jc w:val="right"/>
              <w:rPr>
                <w:rFonts w:ascii="Calibri" w:hAnsi="Calibri" w:cs="Calibri"/>
                <w:color w:val="000000"/>
                <w:sz w:val="22"/>
                <w:szCs w:val="22"/>
              </w:rPr>
            </w:pPr>
            <w:r w:rsidRPr="00E37EAA">
              <w:rPr>
                <w:rFonts w:ascii="Calibri" w:hAnsi="Calibri" w:cs="Calibri"/>
                <w:color w:val="000000"/>
                <w:sz w:val="22"/>
                <w:szCs w:val="22"/>
              </w:rPr>
              <w:t>110.69</w:t>
            </w:r>
          </w:p>
        </w:tc>
      </w:tr>
      <w:tr w:rsidR="00A61335" w:rsidRPr="00E37EAA" w14:paraId="06540132" w14:textId="77777777" w:rsidTr="00131977">
        <w:trPr>
          <w:trHeight w:hRule="exact" w:val="301"/>
        </w:trPr>
        <w:tc>
          <w:tcPr>
            <w:tcW w:w="1300" w:type="dxa"/>
            <w:tcBorders>
              <w:top w:val="nil"/>
              <w:left w:val="nil"/>
              <w:bottom w:val="nil"/>
              <w:right w:val="nil"/>
            </w:tcBorders>
            <w:shd w:val="clear" w:color="auto" w:fill="auto"/>
            <w:noWrap/>
            <w:vAlign w:val="bottom"/>
            <w:hideMark/>
          </w:tcPr>
          <w:p w14:paraId="2E3B97AE" w14:textId="77777777" w:rsidR="00A61335" w:rsidRPr="00E37EAA" w:rsidRDefault="00A61335" w:rsidP="00A61335">
            <w:pPr>
              <w:spacing w:line="240" w:lineRule="auto"/>
              <w:rPr>
                <w:rFonts w:ascii="Calibri" w:hAnsi="Calibri" w:cs="Calibri"/>
                <w:color w:val="000000"/>
                <w:sz w:val="22"/>
                <w:szCs w:val="22"/>
              </w:rPr>
            </w:pPr>
          </w:p>
        </w:tc>
        <w:tc>
          <w:tcPr>
            <w:tcW w:w="1413" w:type="dxa"/>
            <w:tcBorders>
              <w:top w:val="nil"/>
              <w:left w:val="nil"/>
              <w:bottom w:val="nil"/>
              <w:right w:val="nil"/>
            </w:tcBorders>
            <w:shd w:val="clear" w:color="auto" w:fill="auto"/>
            <w:noWrap/>
            <w:vAlign w:val="bottom"/>
            <w:hideMark/>
          </w:tcPr>
          <w:p w14:paraId="3F36B984" w14:textId="77777777" w:rsidR="00A61335" w:rsidRPr="00E37EAA" w:rsidRDefault="00A61335" w:rsidP="00A61335">
            <w:pPr>
              <w:spacing w:line="240" w:lineRule="auto"/>
              <w:rPr>
                <w:sz w:val="20"/>
                <w:szCs w:val="20"/>
              </w:rPr>
            </w:pPr>
          </w:p>
        </w:tc>
        <w:tc>
          <w:tcPr>
            <w:tcW w:w="1413" w:type="dxa"/>
            <w:tcBorders>
              <w:top w:val="nil"/>
              <w:left w:val="nil"/>
              <w:bottom w:val="nil"/>
              <w:right w:val="nil"/>
            </w:tcBorders>
            <w:shd w:val="clear" w:color="auto" w:fill="auto"/>
            <w:noWrap/>
            <w:vAlign w:val="bottom"/>
            <w:hideMark/>
          </w:tcPr>
          <w:p w14:paraId="3177C57C" w14:textId="77777777" w:rsidR="00A61335" w:rsidRPr="00E37EAA" w:rsidRDefault="00A61335" w:rsidP="00A61335">
            <w:pPr>
              <w:spacing w:line="240" w:lineRule="auto"/>
              <w:rPr>
                <w:sz w:val="20"/>
                <w:szCs w:val="20"/>
              </w:rPr>
            </w:pPr>
          </w:p>
        </w:tc>
        <w:tc>
          <w:tcPr>
            <w:tcW w:w="1479" w:type="dxa"/>
            <w:tcBorders>
              <w:top w:val="nil"/>
              <w:left w:val="nil"/>
              <w:bottom w:val="nil"/>
              <w:right w:val="nil"/>
            </w:tcBorders>
            <w:shd w:val="clear" w:color="auto" w:fill="auto"/>
            <w:noWrap/>
            <w:vAlign w:val="bottom"/>
            <w:hideMark/>
          </w:tcPr>
          <w:p w14:paraId="5ADFF94A" w14:textId="77777777" w:rsidR="00A61335" w:rsidRPr="00E37EAA" w:rsidRDefault="00A61335" w:rsidP="00A61335">
            <w:pPr>
              <w:spacing w:line="240" w:lineRule="auto"/>
              <w:rPr>
                <w:sz w:val="20"/>
                <w:szCs w:val="20"/>
              </w:rPr>
            </w:pPr>
          </w:p>
        </w:tc>
        <w:tc>
          <w:tcPr>
            <w:tcW w:w="1091" w:type="dxa"/>
            <w:tcBorders>
              <w:top w:val="nil"/>
              <w:left w:val="nil"/>
              <w:bottom w:val="nil"/>
              <w:right w:val="nil"/>
            </w:tcBorders>
            <w:shd w:val="clear" w:color="auto" w:fill="auto"/>
            <w:noWrap/>
            <w:vAlign w:val="bottom"/>
            <w:hideMark/>
          </w:tcPr>
          <w:p w14:paraId="5D6B8484" w14:textId="77777777" w:rsidR="00A61335" w:rsidRPr="00E37EAA" w:rsidRDefault="00A61335" w:rsidP="00A61335">
            <w:pPr>
              <w:spacing w:line="240" w:lineRule="auto"/>
              <w:rPr>
                <w:sz w:val="20"/>
                <w:szCs w:val="20"/>
              </w:rPr>
            </w:pPr>
          </w:p>
        </w:tc>
        <w:tc>
          <w:tcPr>
            <w:tcW w:w="1104" w:type="dxa"/>
            <w:tcBorders>
              <w:top w:val="nil"/>
              <w:left w:val="nil"/>
              <w:bottom w:val="nil"/>
              <w:right w:val="nil"/>
            </w:tcBorders>
            <w:shd w:val="clear" w:color="auto" w:fill="auto"/>
            <w:noWrap/>
            <w:vAlign w:val="bottom"/>
            <w:hideMark/>
          </w:tcPr>
          <w:p w14:paraId="00C7A6BB" w14:textId="77777777" w:rsidR="00A61335" w:rsidRPr="00E37EAA" w:rsidRDefault="00A61335" w:rsidP="00A61335">
            <w:pPr>
              <w:spacing w:line="240" w:lineRule="auto"/>
              <w:rPr>
                <w:sz w:val="20"/>
                <w:szCs w:val="20"/>
              </w:rPr>
            </w:pPr>
          </w:p>
        </w:tc>
      </w:tr>
      <w:tr w:rsidR="00A61335" w:rsidRPr="00E37EAA" w14:paraId="03661CAA" w14:textId="77777777" w:rsidTr="00131977">
        <w:trPr>
          <w:trHeight w:hRule="exact" w:val="301"/>
        </w:trPr>
        <w:tc>
          <w:tcPr>
            <w:tcW w:w="1300" w:type="dxa"/>
            <w:tcBorders>
              <w:top w:val="nil"/>
              <w:left w:val="nil"/>
              <w:bottom w:val="nil"/>
              <w:right w:val="nil"/>
            </w:tcBorders>
            <w:shd w:val="clear" w:color="auto" w:fill="auto"/>
            <w:noWrap/>
            <w:vAlign w:val="bottom"/>
            <w:hideMark/>
          </w:tcPr>
          <w:p w14:paraId="5FBE838D" w14:textId="77777777" w:rsidR="00A61335" w:rsidRPr="00E37EAA" w:rsidRDefault="00A61335" w:rsidP="00A61335">
            <w:pPr>
              <w:spacing w:line="240" w:lineRule="auto"/>
              <w:rPr>
                <w:sz w:val="20"/>
                <w:szCs w:val="20"/>
              </w:rPr>
            </w:pPr>
          </w:p>
        </w:tc>
        <w:tc>
          <w:tcPr>
            <w:tcW w:w="1413" w:type="dxa"/>
            <w:tcBorders>
              <w:top w:val="nil"/>
              <w:left w:val="nil"/>
              <w:bottom w:val="nil"/>
              <w:right w:val="nil"/>
            </w:tcBorders>
            <w:shd w:val="clear" w:color="auto" w:fill="auto"/>
            <w:noWrap/>
            <w:vAlign w:val="bottom"/>
            <w:hideMark/>
          </w:tcPr>
          <w:p w14:paraId="2AC999E3" w14:textId="77777777" w:rsidR="00A61335" w:rsidRPr="00E37EAA" w:rsidRDefault="00A61335" w:rsidP="00A61335">
            <w:pPr>
              <w:spacing w:line="240" w:lineRule="auto"/>
              <w:rPr>
                <w:sz w:val="20"/>
                <w:szCs w:val="20"/>
              </w:rPr>
            </w:pPr>
          </w:p>
        </w:tc>
        <w:tc>
          <w:tcPr>
            <w:tcW w:w="1413" w:type="dxa"/>
            <w:tcBorders>
              <w:top w:val="nil"/>
              <w:left w:val="nil"/>
              <w:bottom w:val="nil"/>
              <w:right w:val="nil"/>
            </w:tcBorders>
            <w:shd w:val="clear" w:color="auto" w:fill="auto"/>
            <w:noWrap/>
            <w:vAlign w:val="bottom"/>
            <w:hideMark/>
          </w:tcPr>
          <w:p w14:paraId="13217601" w14:textId="77777777" w:rsidR="00A61335" w:rsidRPr="00E37EAA" w:rsidRDefault="00A61335" w:rsidP="00A61335">
            <w:pPr>
              <w:spacing w:line="240" w:lineRule="auto"/>
              <w:rPr>
                <w:sz w:val="20"/>
                <w:szCs w:val="20"/>
              </w:rPr>
            </w:pPr>
          </w:p>
        </w:tc>
        <w:tc>
          <w:tcPr>
            <w:tcW w:w="1479" w:type="dxa"/>
            <w:tcBorders>
              <w:top w:val="nil"/>
              <w:left w:val="nil"/>
              <w:bottom w:val="nil"/>
              <w:right w:val="nil"/>
            </w:tcBorders>
            <w:shd w:val="clear" w:color="auto" w:fill="auto"/>
            <w:noWrap/>
            <w:vAlign w:val="bottom"/>
            <w:hideMark/>
          </w:tcPr>
          <w:p w14:paraId="05B8C45B" w14:textId="77777777" w:rsidR="00A61335" w:rsidRPr="00E37EAA" w:rsidRDefault="00A61335" w:rsidP="00A61335">
            <w:pPr>
              <w:spacing w:line="240" w:lineRule="auto"/>
              <w:rPr>
                <w:sz w:val="20"/>
                <w:szCs w:val="20"/>
              </w:rPr>
            </w:pPr>
          </w:p>
        </w:tc>
        <w:tc>
          <w:tcPr>
            <w:tcW w:w="1091" w:type="dxa"/>
            <w:tcBorders>
              <w:top w:val="nil"/>
              <w:left w:val="nil"/>
              <w:bottom w:val="nil"/>
              <w:right w:val="nil"/>
            </w:tcBorders>
            <w:shd w:val="clear" w:color="auto" w:fill="auto"/>
            <w:noWrap/>
            <w:vAlign w:val="bottom"/>
            <w:hideMark/>
          </w:tcPr>
          <w:p w14:paraId="1C518F2F" w14:textId="77777777" w:rsidR="00A61335" w:rsidRPr="00E37EAA" w:rsidRDefault="00A61335" w:rsidP="00A61335">
            <w:pPr>
              <w:spacing w:line="240" w:lineRule="auto"/>
              <w:rPr>
                <w:sz w:val="20"/>
                <w:szCs w:val="20"/>
              </w:rPr>
            </w:pPr>
          </w:p>
        </w:tc>
        <w:tc>
          <w:tcPr>
            <w:tcW w:w="1104" w:type="dxa"/>
            <w:tcBorders>
              <w:top w:val="nil"/>
              <w:left w:val="nil"/>
              <w:bottom w:val="nil"/>
              <w:right w:val="nil"/>
            </w:tcBorders>
            <w:shd w:val="clear" w:color="auto" w:fill="auto"/>
            <w:noWrap/>
            <w:vAlign w:val="bottom"/>
            <w:hideMark/>
          </w:tcPr>
          <w:p w14:paraId="7FEEB36B" w14:textId="77777777" w:rsidR="00A61335" w:rsidRPr="00E37EAA" w:rsidRDefault="00A61335" w:rsidP="00A61335">
            <w:pPr>
              <w:spacing w:line="240" w:lineRule="auto"/>
              <w:rPr>
                <w:sz w:val="20"/>
                <w:szCs w:val="20"/>
              </w:rPr>
            </w:pPr>
          </w:p>
        </w:tc>
      </w:tr>
    </w:tbl>
    <w:p w14:paraId="7F6664EB" w14:textId="214ECC0F" w:rsidR="00A61335" w:rsidRPr="00E37EAA" w:rsidRDefault="00A61335" w:rsidP="00A61335">
      <w:pPr>
        <w:shd w:val="clear" w:color="auto" w:fill="FFFFFF"/>
        <w:rPr>
          <w:rFonts w:cstheme="minorHAnsi"/>
          <w:bCs/>
          <w:i/>
          <w:iCs/>
          <w:sz w:val="20"/>
          <w:szCs w:val="20"/>
        </w:rPr>
      </w:pPr>
      <w:r w:rsidRPr="00E37EAA">
        <w:rPr>
          <w:rFonts w:cstheme="minorHAnsi"/>
          <w:bCs/>
          <w:i/>
          <w:iCs/>
          <w:sz w:val="20"/>
          <w:szCs w:val="20"/>
        </w:rPr>
        <w:t xml:space="preserve">Table S2 showing Bayes factors for each participant/condition in Experiment 1 and Experiment 2 respectively. These describe a likelihood ratio of two different models: a model described by the null hypothesis (model 0) - a constant level of performance unaffected by the </w:t>
      </w:r>
      <w:r w:rsidRPr="006070BB">
        <w:rPr>
          <w:rFonts w:cstheme="minorHAnsi"/>
          <w:bCs/>
          <w:i/>
          <w:iCs/>
          <w:sz w:val="20"/>
          <w:szCs w:val="20"/>
        </w:rPr>
        <w:t xml:space="preserve">amount of spatial distortion, </w:t>
      </w:r>
      <w:r w:rsidRPr="006070BB">
        <w:rPr>
          <w:i/>
          <w:iCs/>
          <w:sz w:val="20"/>
          <w:szCs w:val="20"/>
        </w:rPr>
        <w:t>and the experimental hypothesis (model 1) i.e., that the data are described by a psychophysical ogive.</w:t>
      </w:r>
      <w:r w:rsidR="006070BB">
        <w:rPr>
          <w:i/>
          <w:iCs/>
          <w:sz w:val="20"/>
          <w:szCs w:val="20"/>
        </w:rPr>
        <w:t xml:space="preserve"> The Bayes Factor (BF</w:t>
      </w:r>
      <w:r w:rsidR="006070BB" w:rsidRPr="006070BB">
        <w:rPr>
          <w:i/>
          <w:iCs/>
          <w:sz w:val="20"/>
          <w:szCs w:val="20"/>
          <w:vertAlign w:val="subscript"/>
        </w:rPr>
        <w:t>10</w:t>
      </w:r>
      <w:r w:rsidR="006070BB">
        <w:rPr>
          <w:i/>
          <w:iCs/>
          <w:sz w:val="20"/>
          <w:szCs w:val="20"/>
        </w:rPr>
        <w:t>) describes the likelihood of model 1/model 0 given the data.</w:t>
      </w:r>
      <w:r w:rsidRPr="006070BB">
        <w:rPr>
          <w:i/>
          <w:iCs/>
          <w:sz w:val="20"/>
          <w:szCs w:val="20"/>
        </w:rPr>
        <w:t xml:space="preserve"> </w:t>
      </w:r>
      <w:proofErr w:type="spellStart"/>
      <w:r w:rsidRPr="006070BB">
        <w:rPr>
          <w:i/>
          <w:iCs/>
          <w:sz w:val="20"/>
          <w:szCs w:val="20"/>
        </w:rPr>
        <w:t>Kass</w:t>
      </w:r>
      <w:proofErr w:type="spellEnd"/>
      <w:r w:rsidRPr="006070BB">
        <w:rPr>
          <w:i/>
          <w:iCs/>
          <w:sz w:val="20"/>
          <w:szCs w:val="20"/>
        </w:rPr>
        <w:t xml:space="preserve"> and Rafferty</w:t>
      </w:r>
      <w:r w:rsidRPr="00E37EAA">
        <w:rPr>
          <w:i/>
          <w:iCs/>
          <w:sz w:val="20"/>
          <w:szCs w:val="20"/>
        </w:rPr>
        <w:t xml:space="preserve"> (1995) classify the likelihood strength based on this value as follows,</w:t>
      </w:r>
      <m:oMath>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BF</m:t>
            </m:r>
          </m:e>
          <m:sub>
            <m:r>
              <w:rPr>
                <w:rFonts w:ascii="Cambria Math" w:hAnsi="Cambria Math"/>
                <w:sz w:val="20"/>
                <w:szCs w:val="20"/>
              </w:rPr>
              <m:t>10</m:t>
            </m:r>
          </m:sub>
        </m:sSub>
      </m:oMath>
      <w:r w:rsidRPr="00E37EAA">
        <w:rPr>
          <w:i/>
          <w:iCs/>
          <w:sz w:val="20"/>
          <w:szCs w:val="20"/>
        </w:rPr>
        <w:t xml:space="preserve"> = 1-3.2 : ‘Barely worth mentioning’, 3.2-10 : ‘Substantial’, 10-100 : ‘Strong’, &gt;100 : ‘Decisive’.</w:t>
      </w:r>
    </w:p>
    <w:p w14:paraId="163A904C" w14:textId="77777777" w:rsidR="00A61335" w:rsidRPr="00E37EAA" w:rsidRDefault="00A61335" w:rsidP="00A61335">
      <w:pPr>
        <w:shd w:val="clear" w:color="auto" w:fill="FFFFFF"/>
        <w:rPr>
          <w:rFonts w:cstheme="minorHAnsi"/>
          <w:b/>
        </w:rPr>
      </w:pPr>
    </w:p>
    <w:p w14:paraId="5FBE7013" w14:textId="77777777" w:rsidR="00A61335" w:rsidRPr="00E37EAA" w:rsidRDefault="00A61335" w:rsidP="00A61335">
      <w:pPr>
        <w:shd w:val="clear" w:color="auto" w:fill="FFFFFF"/>
        <w:rPr>
          <w:rFonts w:cstheme="minorHAnsi"/>
          <w:b/>
        </w:rPr>
      </w:pPr>
    </w:p>
    <w:p w14:paraId="28BCEB08" w14:textId="2003A7C2" w:rsidR="008D013D" w:rsidRPr="00131977" w:rsidRDefault="008D013D" w:rsidP="00D216F9">
      <w:pPr>
        <w:pStyle w:val="BodyText"/>
        <w:rPr>
          <w:b/>
          <w:bCs/>
        </w:rPr>
      </w:pPr>
      <w:r w:rsidRPr="00131977">
        <w:rPr>
          <w:b/>
          <w:bCs/>
        </w:rPr>
        <w:lastRenderedPageBreak/>
        <w:t>Experiment 2: Same/Different Task D prime analysis</w:t>
      </w:r>
    </w:p>
    <w:p w14:paraId="72916B5E" w14:textId="77777777" w:rsidR="008D013D" w:rsidRPr="008D013D" w:rsidRDefault="008D013D" w:rsidP="00D216F9">
      <w:pPr>
        <w:pStyle w:val="BodyText"/>
      </w:pPr>
      <w:r w:rsidRPr="008D013D">
        <w:t xml:space="preserve">In order to facilitate comparisons between results from the Same/Different task and the 2AFC task, we chose to calculate thresholds using proportion correct and fitting psychometric curves in both tasks (see methods/results sections). This is a </w:t>
      </w:r>
      <w:proofErr w:type="gramStart"/>
      <w:r w:rsidRPr="008D013D">
        <w:t>fairly typical</w:t>
      </w:r>
      <w:proofErr w:type="gramEnd"/>
      <w:r w:rsidRPr="008D013D">
        <w:t xml:space="preserve"> analysis for yes/no type experiments when used in conjunction with staircases. However, it involves calculating proportion correct by binning responses according to the current staircase level. This makes the treatment of Same trials somewhat ambiguous because there is no spatial distortion in the stimulus itself to make the participant aware of the current level of the active staircase in intermixed trials.</w:t>
      </w:r>
    </w:p>
    <w:p w14:paraId="1DAF1776" w14:textId="14611B1C" w:rsidR="008D013D" w:rsidRPr="008D013D" w:rsidRDefault="008D013D" w:rsidP="00D216F9">
      <w:pPr>
        <w:pStyle w:val="BodyText"/>
      </w:pPr>
      <w:r w:rsidRPr="008D013D">
        <w:t xml:space="preserve"> To account for possible response </w:t>
      </w:r>
      <w:proofErr w:type="gramStart"/>
      <w:r w:rsidRPr="008D013D">
        <w:t>bias</w:t>
      </w:r>
      <w:proofErr w:type="gramEnd"/>
      <w:r w:rsidRPr="008D013D">
        <w:t xml:space="preserve"> we calculated a d’ value for each participant in each condition. This involved calculating a z-score across all of the false alarm target absent (Same) trials for a given viewpoint condition (around 50% of all trials), and subtracting this from the z-scores for the hit rates of each target present (Different) condition (e.g. staircase level of spatial distortion). This showed an appropriate range of d’ scores over the testing range. Participants’ d’ scores were higher at higher staircase levels, meaning that the stimulus was easier to differentiate from noise when there was a larger spatial distortion. Consistent with our main analysis (see Figure 2), increasing viewpoint rotation shifted the d’ functions rightwards, meaning that a greater spatial distortion was required to reach a given performance level.</w:t>
      </w:r>
    </w:p>
    <w:p w14:paraId="37E953AE" w14:textId="77777777" w:rsidR="008D013D" w:rsidRPr="008D013D" w:rsidRDefault="008D013D" w:rsidP="00D216F9">
      <w:pPr>
        <w:pStyle w:val="BodyText"/>
      </w:pPr>
      <w:r w:rsidRPr="008D013D">
        <w:t>We also calculated each participant’s response criterion across the testing range as the mean of the summed z-scores (C = -(z(hit) + z(FA))/2). However, given that the false alarm rate is constant across all staircase levels (because we pooled data from all target absent trials), these functions are effectively inverted d’ scores and are therefore not informative (see lower row of Figure S1). This is one reason why proportion correct values are typically presented when using staircase designs, as we have done here in our main analysis.</w:t>
      </w:r>
    </w:p>
    <w:p w14:paraId="3CFCCC99" w14:textId="77777777" w:rsidR="00F00EC8" w:rsidRDefault="00F00EC8">
      <w:pPr>
        <w:pStyle w:val="BodyText"/>
        <w:rPr>
          <w:noProof/>
        </w:rPr>
      </w:pPr>
    </w:p>
    <w:p w14:paraId="0B755C71" w14:textId="77777777" w:rsidR="001942F8" w:rsidRDefault="001942F8" w:rsidP="00D216F9">
      <w:pPr>
        <w:pStyle w:val="BodyText"/>
        <w:rPr>
          <w:noProof/>
        </w:rPr>
      </w:pPr>
    </w:p>
    <w:p w14:paraId="5ADFB605" w14:textId="3E562FD2" w:rsidR="00F00EC8" w:rsidRPr="008D013D" w:rsidRDefault="00DE756B" w:rsidP="00D216F9">
      <w:pPr>
        <w:pStyle w:val="BodyText"/>
      </w:pPr>
      <w:r>
        <w:rPr>
          <w:noProof/>
        </w:rPr>
        <w:lastRenderedPageBreak/>
        <w:drawing>
          <wp:inline distT="0" distB="0" distL="0" distR="0" wp14:anchorId="142F2855" wp14:editId="580A0DDC">
            <wp:extent cx="5810250" cy="4616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a:stretch/>
                  </pic:blipFill>
                  <pic:spPr bwMode="auto">
                    <a:xfrm>
                      <a:off x="0" y="0"/>
                      <a:ext cx="5817802" cy="4622672"/>
                    </a:xfrm>
                    <a:prstGeom prst="rect">
                      <a:avLst/>
                    </a:prstGeom>
                    <a:noFill/>
                    <a:ln>
                      <a:noFill/>
                    </a:ln>
                    <a:extLst>
                      <a:ext uri="{53640926-AAD7-44D8-BBD7-CCE9431645EC}">
                        <a14:shadowObscured xmlns:a14="http://schemas.microsoft.com/office/drawing/2010/main"/>
                      </a:ext>
                    </a:extLst>
                  </pic:spPr>
                </pic:pic>
              </a:graphicData>
            </a:graphic>
          </wp:inline>
        </w:drawing>
      </w:r>
    </w:p>
    <w:p w14:paraId="4613F2B6" w14:textId="51ABBF7E" w:rsidR="008D013D" w:rsidRPr="00D216F9" w:rsidRDefault="008D013D" w:rsidP="00D216F9">
      <w:pPr>
        <w:pStyle w:val="Figurecaption"/>
        <w:spacing w:line="360" w:lineRule="auto"/>
        <w:rPr>
          <w:sz w:val="20"/>
          <w:szCs w:val="20"/>
        </w:rPr>
      </w:pPr>
      <w:r w:rsidRPr="00D216F9">
        <w:rPr>
          <w:sz w:val="20"/>
          <w:szCs w:val="20"/>
        </w:rPr>
        <w:t>Figure S</w:t>
      </w:r>
      <w:r w:rsidR="00C5097D" w:rsidRPr="00D216F9">
        <w:rPr>
          <w:sz w:val="20"/>
          <w:szCs w:val="20"/>
        </w:rPr>
        <w:t>3</w:t>
      </w:r>
      <w:r w:rsidRPr="00D216F9">
        <w:rPr>
          <w:sz w:val="20"/>
          <w:szCs w:val="20"/>
        </w:rPr>
        <w:t xml:space="preserve">, showing </w:t>
      </w:r>
      <w:r w:rsidR="00C5097D" w:rsidRPr="00D216F9">
        <w:rPr>
          <w:sz w:val="20"/>
          <w:szCs w:val="20"/>
        </w:rPr>
        <w:t xml:space="preserve">levels of d’ (top) and response criterion (bottom) in each participant (faded grey line). The circles show the mean level of d’ and criterion respectively, averaged across all data points for each staircase level tested. Circle size represents number of data points. The bold line is a line plotted through these points. </w:t>
      </w:r>
    </w:p>
    <w:p w14:paraId="67AC79E9" w14:textId="49378D2F" w:rsidR="00A61335" w:rsidRPr="00A61335" w:rsidRDefault="008D013D" w:rsidP="00CC71DB">
      <w:pPr>
        <w:pStyle w:val="BodyText"/>
      </w:pPr>
      <w:r w:rsidRPr="008D013D">
        <w:t> </w:t>
      </w:r>
      <w:bookmarkEnd w:id="1"/>
    </w:p>
    <w:sectPr w:rsidR="00A61335" w:rsidRPr="00A61335" w:rsidSect="003C2F77">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6E62F" w14:textId="77777777" w:rsidR="006F55C9" w:rsidRDefault="006F55C9" w:rsidP="00E26CFF">
      <w:r>
        <w:separator/>
      </w:r>
    </w:p>
  </w:endnote>
  <w:endnote w:type="continuationSeparator" w:id="0">
    <w:p w14:paraId="5170487C" w14:textId="77777777" w:rsidR="006F55C9" w:rsidRDefault="006F55C9" w:rsidP="00E26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592729"/>
      <w:docPartObj>
        <w:docPartGallery w:val="Page Numbers (Bottom of Page)"/>
        <w:docPartUnique/>
      </w:docPartObj>
    </w:sdtPr>
    <w:sdtEndPr>
      <w:rPr>
        <w:noProof/>
      </w:rPr>
    </w:sdtEndPr>
    <w:sdtContent>
      <w:p w14:paraId="293716D1" w14:textId="76FCB991" w:rsidR="00DA2656" w:rsidRDefault="00DA2656">
        <w:pPr>
          <w:pStyle w:val="Footer"/>
        </w:pPr>
        <w:r>
          <w:fldChar w:fldCharType="begin"/>
        </w:r>
        <w:r>
          <w:instrText xml:space="preserve"> PAGE   \* MERGEFORMAT </w:instrText>
        </w:r>
        <w:r>
          <w:fldChar w:fldCharType="separate"/>
        </w:r>
        <w:r>
          <w:rPr>
            <w:noProof/>
          </w:rPr>
          <w:t>2</w:t>
        </w:r>
        <w:r>
          <w:rPr>
            <w:noProof/>
          </w:rPr>
          <w:fldChar w:fldCharType="end"/>
        </w:r>
      </w:p>
    </w:sdtContent>
  </w:sdt>
  <w:p w14:paraId="4FE8532E" w14:textId="77777777" w:rsidR="00DA2656" w:rsidRDefault="00DA2656" w:rsidP="00B4209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3E818" w14:textId="77777777" w:rsidR="006F55C9" w:rsidRDefault="006F55C9" w:rsidP="00E26CFF">
      <w:r>
        <w:separator/>
      </w:r>
    </w:p>
  </w:footnote>
  <w:footnote w:type="continuationSeparator" w:id="0">
    <w:p w14:paraId="7607F1B1" w14:textId="77777777" w:rsidR="006F55C9" w:rsidRDefault="006F55C9" w:rsidP="00E26C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0CA98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62EA2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72C3B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1E262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774A2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78EB7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A601A1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AF894E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062D5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4EAFE7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0958D9"/>
    <w:multiLevelType w:val="hybridMultilevel"/>
    <w:tmpl w:val="B8B221AC"/>
    <w:lvl w:ilvl="0" w:tplc="B3F2F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A41801"/>
    <w:multiLevelType w:val="hybridMultilevel"/>
    <w:tmpl w:val="0CE638EA"/>
    <w:lvl w:ilvl="0" w:tplc="2FC27528">
      <w:start w:val="12"/>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1D4D453C"/>
    <w:multiLevelType w:val="hybridMultilevel"/>
    <w:tmpl w:val="15BC1A86"/>
    <w:lvl w:ilvl="0" w:tplc="B96A92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0547974"/>
    <w:multiLevelType w:val="hybridMultilevel"/>
    <w:tmpl w:val="2D683F0E"/>
    <w:lvl w:ilvl="0" w:tplc="6AEA144C">
      <w:start w:val="4"/>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EB2686"/>
    <w:multiLevelType w:val="hybridMultilevel"/>
    <w:tmpl w:val="7764D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931542"/>
    <w:multiLevelType w:val="hybridMultilevel"/>
    <w:tmpl w:val="A028B01E"/>
    <w:lvl w:ilvl="0" w:tplc="5CC695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CA06582"/>
    <w:multiLevelType w:val="hybridMultilevel"/>
    <w:tmpl w:val="067296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42911CC"/>
    <w:multiLevelType w:val="hybridMultilevel"/>
    <w:tmpl w:val="03B23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7228C6"/>
    <w:multiLevelType w:val="hybridMultilevel"/>
    <w:tmpl w:val="FADC7412"/>
    <w:lvl w:ilvl="0" w:tplc="D3A2AC50">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26"/>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2"/>
  </w:num>
  <w:num w:numId="14">
    <w:abstractNumId w:val="27"/>
  </w:num>
  <w:num w:numId="15">
    <w:abstractNumId w:val="17"/>
  </w:num>
  <w:num w:numId="16">
    <w:abstractNumId w:val="20"/>
  </w:num>
  <w:num w:numId="17">
    <w:abstractNumId w:val="11"/>
  </w:num>
  <w:num w:numId="18">
    <w:abstractNumId w:val="0"/>
  </w:num>
  <w:num w:numId="19">
    <w:abstractNumId w:val="12"/>
  </w:num>
  <w:num w:numId="20">
    <w:abstractNumId w:val="27"/>
  </w:num>
  <w:num w:numId="21">
    <w:abstractNumId w:val="27"/>
  </w:num>
  <w:num w:numId="22">
    <w:abstractNumId w:val="27"/>
  </w:num>
  <w:num w:numId="23">
    <w:abstractNumId w:val="27"/>
  </w:num>
  <w:num w:numId="24">
    <w:abstractNumId w:val="22"/>
  </w:num>
  <w:num w:numId="25">
    <w:abstractNumId w:val="24"/>
  </w:num>
  <w:num w:numId="26">
    <w:abstractNumId w:val="28"/>
  </w:num>
  <w:num w:numId="27">
    <w:abstractNumId w:val="29"/>
  </w:num>
  <w:num w:numId="28">
    <w:abstractNumId w:val="27"/>
  </w:num>
  <w:num w:numId="29">
    <w:abstractNumId w:val="16"/>
  </w:num>
  <w:num w:numId="30">
    <w:abstractNumId w:val="30"/>
  </w:num>
  <w:num w:numId="31">
    <w:abstractNumId w:val="18"/>
  </w:num>
  <w:num w:numId="32">
    <w:abstractNumId w:val="25"/>
  </w:num>
  <w:num w:numId="33">
    <w:abstractNumId w:val="31"/>
  </w:num>
  <w:num w:numId="34">
    <w:abstractNumId w:val="32"/>
  </w:num>
  <w:num w:numId="35">
    <w:abstractNumId w:val="14"/>
  </w:num>
  <w:num w:numId="36">
    <w:abstractNumId w:val="15"/>
  </w:num>
  <w:num w:numId="37">
    <w:abstractNumId w:val="13"/>
  </w:num>
  <w:num w:numId="38">
    <w:abstractNumId w:val="23"/>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F27"/>
    <w:rsid w:val="00001731"/>
    <w:rsid w:val="00001899"/>
    <w:rsid w:val="00003521"/>
    <w:rsid w:val="000049AD"/>
    <w:rsid w:val="00004C71"/>
    <w:rsid w:val="0000570C"/>
    <w:rsid w:val="0000681B"/>
    <w:rsid w:val="00007F50"/>
    <w:rsid w:val="0001275A"/>
    <w:rsid w:val="000133C0"/>
    <w:rsid w:val="00013E02"/>
    <w:rsid w:val="00014C4E"/>
    <w:rsid w:val="00016175"/>
    <w:rsid w:val="00017107"/>
    <w:rsid w:val="000202E2"/>
    <w:rsid w:val="00022441"/>
    <w:rsid w:val="0002261E"/>
    <w:rsid w:val="00024839"/>
    <w:rsid w:val="00026871"/>
    <w:rsid w:val="000308BF"/>
    <w:rsid w:val="00030CC1"/>
    <w:rsid w:val="000319FB"/>
    <w:rsid w:val="0003246D"/>
    <w:rsid w:val="00032EB7"/>
    <w:rsid w:val="000365B4"/>
    <w:rsid w:val="00037A98"/>
    <w:rsid w:val="00040EF5"/>
    <w:rsid w:val="000414BB"/>
    <w:rsid w:val="000427FB"/>
    <w:rsid w:val="0004300E"/>
    <w:rsid w:val="0004455E"/>
    <w:rsid w:val="00045B03"/>
    <w:rsid w:val="000468FB"/>
    <w:rsid w:val="00047CB5"/>
    <w:rsid w:val="000506C5"/>
    <w:rsid w:val="00050E83"/>
    <w:rsid w:val="00051FAA"/>
    <w:rsid w:val="00056AD6"/>
    <w:rsid w:val="000572A9"/>
    <w:rsid w:val="00057F4F"/>
    <w:rsid w:val="00060B2B"/>
    <w:rsid w:val="00060DE5"/>
    <w:rsid w:val="00061325"/>
    <w:rsid w:val="000614DC"/>
    <w:rsid w:val="00062111"/>
    <w:rsid w:val="00062475"/>
    <w:rsid w:val="000641B6"/>
    <w:rsid w:val="00065416"/>
    <w:rsid w:val="00065810"/>
    <w:rsid w:val="00065B71"/>
    <w:rsid w:val="000714F5"/>
    <w:rsid w:val="000733AC"/>
    <w:rsid w:val="00074B81"/>
    <w:rsid w:val="00074D22"/>
    <w:rsid w:val="00075081"/>
    <w:rsid w:val="0007528A"/>
    <w:rsid w:val="00076481"/>
    <w:rsid w:val="00077F10"/>
    <w:rsid w:val="000811AB"/>
    <w:rsid w:val="00081712"/>
    <w:rsid w:val="0008181C"/>
    <w:rsid w:val="00081DCC"/>
    <w:rsid w:val="000830E7"/>
    <w:rsid w:val="00083C5F"/>
    <w:rsid w:val="00085C6B"/>
    <w:rsid w:val="0009172C"/>
    <w:rsid w:val="00092046"/>
    <w:rsid w:val="000928BD"/>
    <w:rsid w:val="000930EC"/>
    <w:rsid w:val="00095D7E"/>
    <w:rsid w:val="00095E61"/>
    <w:rsid w:val="000966C1"/>
    <w:rsid w:val="000970AC"/>
    <w:rsid w:val="0009778F"/>
    <w:rsid w:val="000A1167"/>
    <w:rsid w:val="000A14BF"/>
    <w:rsid w:val="000A363D"/>
    <w:rsid w:val="000A36ED"/>
    <w:rsid w:val="000A4428"/>
    <w:rsid w:val="000A5074"/>
    <w:rsid w:val="000A6D40"/>
    <w:rsid w:val="000A7BC3"/>
    <w:rsid w:val="000B1661"/>
    <w:rsid w:val="000B1E20"/>
    <w:rsid w:val="000B1EBE"/>
    <w:rsid w:val="000B1F0B"/>
    <w:rsid w:val="000B2373"/>
    <w:rsid w:val="000B2E88"/>
    <w:rsid w:val="000B4603"/>
    <w:rsid w:val="000B759C"/>
    <w:rsid w:val="000C09BE"/>
    <w:rsid w:val="000C116D"/>
    <w:rsid w:val="000C1380"/>
    <w:rsid w:val="000C554F"/>
    <w:rsid w:val="000C7A8E"/>
    <w:rsid w:val="000D0AF7"/>
    <w:rsid w:val="000D0DC5"/>
    <w:rsid w:val="000D15FF"/>
    <w:rsid w:val="000D1BC0"/>
    <w:rsid w:val="000D28DF"/>
    <w:rsid w:val="000D3A3C"/>
    <w:rsid w:val="000D488B"/>
    <w:rsid w:val="000D5333"/>
    <w:rsid w:val="000D68DF"/>
    <w:rsid w:val="000E0767"/>
    <w:rsid w:val="000E138D"/>
    <w:rsid w:val="000E187A"/>
    <w:rsid w:val="000E2D61"/>
    <w:rsid w:val="000E2E7E"/>
    <w:rsid w:val="000E4353"/>
    <w:rsid w:val="000E450E"/>
    <w:rsid w:val="000E5207"/>
    <w:rsid w:val="000E6259"/>
    <w:rsid w:val="000F1A7B"/>
    <w:rsid w:val="000F2344"/>
    <w:rsid w:val="000F4677"/>
    <w:rsid w:val="000F5BE0"/>
    <w:rsid w:val="000F78B4"/>
    <w:rsid w:val="00100587"/>
    <w:rsid w:val="001007AF"/>
    <w:rsid w:val="001011FC"/>
    <w:rsid w:val="0010284E"/>
    <w:rsid w:val="00103122"/>
    <w:rsid w:val="0010336A"/>
    <w:rsid w:val="001050F1"/>
    <w:rsid w:val="00105AEA"/>
    <w:rsid w:val="00106DAF"/>
    <w:rsid w:val="00107D06"/>
    <w:rsid w:val="001109A1"/>
    <w:rsid w:val="00113A6A"/>
    <w:rsid w:val="00114ABE"/>
    <w:rsid w:val="00116023"/>
    <w:rsid w:val="001201EC"/>
    <w:rsid w:val="00122687"/>
    <w:rsid w:val="00131977"/>
    <w:rsid w:val="00134A51"/>
    <w:rsid w:val="00135381"/>
    <w:rsid w:val="00135ED8"/>
    <w:rsid w:val="00137294"/>
    <w:rsid w:val="001405C6"/>
    <w:rsid w:val="00140727"/>
    <w:rsid w:val="00142211"/>
    <w:rsid w:val="00145BDA"/>
    <w:rsid w:val="00154AD5"/>
    <w:rsid w:val="001577F7"/>
    <w:rsid w:val="001578EE"/>
    <w:rsid w:val="00160628"/>
    <w:rsid w:val="00161344"/>
    <w:rsid w:val="00162195"/>
    <w:rsid w:val="0016322A"/>
    <w:rsid w:val="00165A21"/>
    <w:rsid w:val="001674ED"/>
    <w:rsid w:val="001705CE"/>
    <w:rsid w:val="001722D8"/>
    <w:rsid w:val="00175F75"/>
    <w:rsid w:val="0017714B"/>
    <w:rsid w:val="001804DF"/>
    <w:rsid w:val="00181BDC"/>
    <w:rsid w:val="00181DB0"/>
    <w:rsid w:val="00182055"/>
    <w:rsid w:val="00182345"/>
    <w:rsid w:val="001829E3"/>
    <w:rsid w:val="00185249"/>
    <w:rsid w:val="001924C0"/>
    <w:rsid w:val="001931AA"/>
    <w:rsid w:val="00193423"/>
    <w:rsid w:val="001942F8"/>
    <w:rsid w:val="0019731E"/>
    <w:rsid w:val="001A01DD"/>
    <w:rsid w:val="001A0706"/>
    <w:rsid w:val="001A09FE"/>
    <w:rsid w:val="001A0BFE"/>
    <w:rsid w:val="001A48E8"/>
    <w:rsid w:val="001A67C9"/>
    <w:rsid w:val="001A69DE"/>
    <w:rsid w:val="001A70F1"/>
    <w:rsid w:val="001A713C"/>
    <w:rsid w:val="001B1C7C"/>
    <w:rsid w:val="001B24F1"/>
    <w:rsid w:val="001B2E49"/>
    <w:rsid w:val="001B398F"/>
    <w:rsid w:val="001B434A"/>
    <w:rsid w:val="001B46C6"/>
    <w:rsid w:val="001B4B48"/>
    <w:rsid w:val="001B4D1F"/>
    <w:rsid w:val="001B56F0"/>
    <w:rsid w:val="001B67D4"/>
    <w:rsid w:val="001B7681"/>
    <w:rsid w:val="001B7CAE"/>
    <w:rsid w:val="001C0772"/>
    <w:rsid w:val="001C0D4F"/>
    <w:rsid w:val="001C1BA3"/>
    <w:rsid w:val="001C1DEC"/>
    <w:rsid w:val="001C5736"/>
    <w:rsid w:val="001D1032"/>
    <w:rsid w:val="001D1388"/>
    <w:rsid w:val="001D2E4E"/>
    <w:rsid w:val="001D34D1"/>
    <w:rsid w:val="001D647F"/>
    <w:rsid w:val="001D6857"/>
    <w:rsid w:val="001D68C2"/>
    <w:rsid w:val="001E0572"/>
    <w:rsid w:val="001E0A67"/>
    <w:rsid w:val="001E1028"/>
    <w:rsid w:val="001E120F"/>
    <w:rsid w:val="001E14E2"/>
    <w:rsid w:val="001E2AB8"/>
    <w:rsid w:val="001E3EA4"/>
    <w:rsid w:val="001E6302"/>
    <w:rsid w:val="001E78C0"/>
    <w:rsid w:val="001E7DCB"/>
    <w:rsid w:val="001F1FE8"/>
    <w:rsid w:val="001F3411"/>
    <w:rsid w:val="001F37C5"/>
    <w:rsid w:val="001F4287"/>
    <w:rsid w:val="001F4B7A"/>
    <w:rsid w:val="001F4DBA"/>
    <w:rsid w:val="001F53DC"/>
    <w:rsid w:val="00200E6B"/>
    <w:rsid w:val="00203405"/>
    <w:rsid w:val="0020371C"/>
    <w:rsid w:val="0020415E"/>
    <w:rsid w:val="002043FF"/>
    <w:rsid w:val="0020457C"/>
    <w:rsid w:val="00204FF4"/>
    <w:rsid w:val="00205D52"/>
    <w:rsid w:val="00206625"/>
    <w:rsid w:val="00207218"/>
    <w:rsid w:val="002101C6"/>
    <w:rsid w:val="0021056E"/>
    <w:rsid w:val="0021075D"/>
    <w:rsid w:val="0021165A"/>
    <w:rsid w:val="00211BC9"/>
    <w:rsid w:val="002121B0"/>
    <w:rsid w:val="002158FE"/>
    <w:rsid w:val="0021620C"/>
    <w:rsid w:val="00216E78"/>
    <w:rsid w:val="00217275"/>
    <w:rsid w:val="002178D4"/>
    <w:rsid w:val="00221141"/>
    <w:rsid w:val="002211DD"/>
    <w:rsid w:val="00221EB7"/>
    <w:rsid w:val="00222DAD"/>
    <w:rsid w:val="002266AB"/>
    <w:rsid w:val="0022757B"/>
    <w:rsid w:val="002275E7"/>
    <w:rsid w:val="00233A15"/>
    <w:rsid w:val="00236F4B"/>
    <w:rsid w:val="00240B14"/>
    <w:rsid w:val="00242B0D"/>
    <w:rsid w:val="002467C6"/>
    <w:rsid w:val="0024692A"/>
    <w:rsid w:val="00251DC2"/>
    <w:rsid w:val="00252BBA"/>
    <w:rsid w:val="00253123"/>
    <w:rsid w:val="00256FB3"/>
    <w:rsid w:val="002617A5"/>
    <w:rsid w:val="00262C9C"/>
    <w:rsid w:val="00262F52"/>
    <w:rsid w:val="00263798"/>
    <w:rsid w:val="00264001"/>
    <w:rsid w:val="00264C42"/>
    <w:rsid w:val="002658D3"/>
    <w:rsid w:val="00266354"/>
    <w:rsid w:val="00267A18"/>
    <w:rsid w:val="00273462"/>
    <w:rsid w:val="0027395B"/>
    <w:rsid w:val="00275854"/>
    <w:rsid w:val="0027776A"/>
    <w:rsid w:val="00277C54"/>
    <w:rsid w:val="00283B41"/>
    <w:rsid w:val="00285F28"/>
    <w:rsid w:val="00286398"/>
    <w:rsid w:val="00292253"/>
    <w:rsid w:val="002932C0"/>
    <w:rsid w:val="002A02AD"/>
    <w:rsid w:val="002A05C4"/>
    <w:rsid w:val="002A3C42"/>
    <w:rsid w:val="002A5D75"/>
    <w:rsid w:val="002A647A"/>
    <w:rsid w:val="002A6BE0"/>
    <w:rsid w:val="002A76DA"/>
    <w:rsid w:val="002B0D02"/>
    <w:rsid w:val="002B1B1A"/>
    <w:rsid w:val="002B2D00"/>
    <w:rsid w:val="002B5F8B"/>
    <w:rsid w:val="002B60C9"/>
    <w:rsid w:val="002B7228"/>
    <w:rsid w:val="002C4CD2"/>
    <w:rsid w:val="002C53EE"/>
    <w:rsid w:val="002D0C8D"/>
    <w:rsid w:val="002D1A36"/>
    <w:rsid w:val="002D21D6"/>
    <w:rsid w:val="002D24F7"/>
    <w:rsid w:val="002D2799"/>
    <w:rsid w:val="002D2CD7"/>
    <w:rsid w:val="002D3282"/>
    <w:rsid w:val="002D40B7"/>
    <w:rsid w:val="002D4DDC"/>
    <w:rsid w:val="002D4F75"/>
    <w:rsid w:val="002D6493"/>
    <w:rsid w:val="002D7AB6"/>
    <w:rsid w:val="002E06D0"/>
    <w:rsid w:val="002E1458"/>
    <w:rsid w:val="002E3C27"/>
    <w:rsid w:val="002E403A"/>
    <w:rsid w:val="002E5A43"/>
    <w:rsid w:val="002E5E08"/>
    <w:rsid w:val="002E7F3A"/>
    <w:rsid w:val="002F36A0"/>
    <w:rsid w:val="002F4EDB"/>
    <w:rsid w:val="002F52CA"/>
    <w:rsid w:val="002F6054"/>
    <w:rsid w:val="003019C1"/>
    <w:rsid w:val="00310BA8"/>
    <w:rsid w:val="00310CDC"/>
    <w:rsid w:val="00310E13"/>
    <w:rsid w:val="003135CA"/>
    <w:rsid w:val="00315713"/>
    <w:rsid w:val="0031686C"/>
    <w:rsid w:val="00316FE0"/>
    <w:rsid w:val="003204D2"/>
    <w:rsid w:val="0032289B"/>
    <w:rsid w:val="00324108"/>
    <w:rsid w:val="00324765"/>
    <w:rsid w:val="0032605E"/>
    <w:rsid w:val="003275D1"/>
    <w:rsid w:val="00330B2A"/>
    <w:rsid w:val="00331E17"/>
    <w:rsid w:val="00333063"/>
    <w:rsid w:val="003331CD"/>
    <w:rsid w:val="003360BF"/>
    <w:rsid w:val="003408E3"/>
    <w:rsid w:val="00343480"/>
    <w:rsid w:val="00345E89"/>
    <w:rsid w:val="003522A1"/>
    <w:rsid w:val="0035254B"/>
    <w:rsid w:val="00353555"/>
    <w:rsid w:val="003565D4"/>
    <w:rsid w:val="0036059B"/>
    <w:rsid w:val="003607FB"/>
    <w:rsid w:val="00360FD5"/>
    <w:rsid w:val="00361686"/>
    <w:rsid w:val="00362BC6"/>
    <w:rsid w:val="0036340D"/>
    <w:rsid w:val="003634A5"/>
    <w:rsid w:val="003647A0"/>
    <w:rsid w:val="00364EA0"/>
    <w:rsid w:val="00366868"/>
    <w:rsid w:val="00367506"/>
    <w:rsid w:val="00370085"/>
    <w:rsid w:val="0037274B"/>
    <w:rsid w:val="003744A7"/>
    <w:rsid w:val="00374AFA"/>
    <w:rsid w:val="00376235"/>
    <w:rsid w:val="0037664D"/>
    <w:rsid w:val="00381FB6"/>
    <w:rsid w:val="003836D3"/>
    <w:rsid w:val="00383A52"/>
    <w:rsid w:val="00391652"/>
    <w:rsid w:val="003940EA"/>
    <w:rsid w:val="0039507F"/>
    <w:rsid w:val="00395A2B"/>
    <w:rsid w:val="00397559"/>
    <w:rsid w:val="003A1260"/>
    <w:rsid w:val="003A295F"/>
    <w:rsid w:val="003A41DD"/>
    <w:rsid w:val="003A7033"/>
    <w:rsid w:val="003B242C"/>
    <w:rsid w:val="003B3478"/>
    <w:rsid w:val="003B3B72"/>
    <w:rsid w:val="003B47FE"/>
    <w:rsid w:val="003B5673"/>
    <w:rsid w:val="003B57A8"/>
    <w:rsid w:val="003B6287"/>
    <w:rsid w:val="003B62C9"/>
    <w:rsid w:val="003C2F77"/>
    <w:rsid w:val="003C3232"/>
    <w:rsid w:val="003C3F56"/>
    <w:rsid w:val="003C6976"/>
    <w:rsid w:val="003C7176"/>
    <w:rsid w:val="003D0929"/>
    <w:rsid w:val="003D4729"/>
    <w:rsid w:val="003D6211"/>
    <w:rsid w:val="003D71D5"/>
    <w:rsid w:val="003D79CD"/>
    <w:rsid w:val="003D7DD6"/>
    <w:rsid w:val="003E300A"/>
    <w:rsid w:val="003E4158"/>
    <w:rsid w:val="003E52BA"/>
    <w:rsid w:val="003E5AAF"/>
    <w:rsid w:val="003E600D"/>
    <w:rsid w:val="003E64DF"/>
    <w:rsid w:val="003E6A5D"/>
    <w:rsid w:val="003F16DA"/>
    <w:rsid w:val="003F193A"/>
    <w:rsid w:val="003F1A94"/>
    <w:rsid w:val="003F4207"/>
    <w:rsid w:val="003F5C46"/>
    <w:rsid w:val="003F7CBB"/>
    <w:rsid w:val="003F7D34"/>
    <w:rsid w:val="00400198"/>
    <w:rsid w:val="0041100C"/>
    <w:rsid w:val="00412C8E"/>
    <w:rsid w:val="0041518D"/>
    <w:rsid w:val="004202C1"/>
    <w:rsid w:val="00421060"/>
    <w:rsid w:val="0042221D"/>
    <w:rsid w:val="00424DD3"/>
    <w:rsid w:val="004255FA"/>
    <w:rsid w:val="004269C5"/>
    <w:rsid w:val="00432A1C"/>
    <w:rsid w:val="00435939"/>
    <w:rsid w:val="00436F5B"/>
    <w:rsid w:val="00437CC7"/>
    <w:rsid w:val="00442706"/>
    <w:rsid w:val="00442965"/>
    <w:rsid w:val="00442B9C"/>
    <w:rsid w:val="00445EFA"/>
    <w:rsid w:val="0044738A"/>
    <w:rsid w:val="004473D3"/>
    <w:rsid w:val="00450F55"/>
    <w:rsid w:val="00452231"/>
    <w:rsid w:val="00455A3D"/>
    <w:rsid w:val="00460C13"/>
    <w:rsid w:val="00462235"/>
    <w:rsid w:val="00463228"/>
    <w:rsid w:val="00463782"/>
    <w:rsid w:val="00463D70"/>
    <w:rsid w:val="004655A8"/>
    <w:rsid w:val="004667E0"/>
    <w:rsid w:val="004672D9"/>
    <w:rsid w:val="0046760E"/>
    <w:rsid w:val="00470E10"/>
    <w:rsid w:val="00472E88"/>
    <w:rsid w:val="004763BC"/>
    <w:rsid w:val="00477A97"/>
    <w:rsid w:val="00481343"/>
    <w:rsid w:val="00482737"/>
    <w:rsid w:val="00482B80"/>
    <w:rsid w:val="00483C57"/>
    <w:rsid w:val="00485346"/>
    <w:rsid w:val="0048549E"/>
    <w:rsid w:val="004872FD"/>
    <w:rsid w:val="00487A4F"/>
    <w:rsid w:val="00490635"/>
    <w:rsid w:val="004930C6"/>
    <w:rsid w:val="00493347"/>
    <w:rsid w:val="004933BF"/>
    <w:rsid w:val="00494D33"/>
    <w:rsid w:val="00496092"/>
    <w:rsid w:val="004A0682"/>
    <w:rsid w:val="004A08DB"/>
    <w:rsid w:val="004A25D0"/>
    <w:rsid w:val="004A37E8"/>
    <w:rsid w:val="004A675C"/>
    <w:rsid w:val="004A7549"/>
    <w:rsid w:val="004B09D4"/>
    <w:rsid w:val="004B309D"/>
    <w:rsid w:val="004B330A"/>
    <w:rsid w:val="004B6840"/>
    <w:rsid w:val="004B6AD3"/>
    <w:rsid w:val="004B7C8E"/>
    <w:rsid w:val="004C0AFD"/>
    <w:rsid w:val="004C2322"/>
    <w:rsid w:val="004C3D3C"/>
    <w:rsid w:val="004C5C44"/>
    <w:rsid w:val="004D0EDC"/>
    <w:rsid w:val="004D1220"/>
    <w:rsid w:val="004D14B3"/>
    <w:rsid w:val="004D1529"/>
    <w:rsid w:val="004D2253"/>
    <w:rsid w:val="004D5514"/>
    <w:rsid w:val="004D56C3"/>
    <w:rsid w:val="004D7066"/>
    <w:rsid w:val="004E0338"/>
    <w:rsid w:val="004E273B"/>
    <w:rsid w:val="004E4FF3"/>
    <w:rsid w:val="004E56A8"/>
    <w:rsid w:val="004E646E"/>
    <w:rsid w:val="004E6FB5"/>
    <w:rsid w:val="004F1C52"/>
    <w:rsid w:val="004F25E1"/>
    <w:rsid w:val="004F3B55"/>
    <w:rsid w:val="004F428E"/>
    <w:rsid w:val="004F43A7"/>
    <w:rsid w:val="004F4E46"/>
    <w:rsid w:val="004F6B7D"/>
    <w:rsid w:val="005015F6"/>
    <w:rsid w:val="005030C4"/>
    <w:rsid w:val="005031C5"/>
    <w:rsid w:val="00504FDC"/>
    <w:rsid w:val="005075E1"/>
    <w:rsid w:val="0050765A"/>
    <w:rsid w:val="00511DBF"/>
    <w:rsid w:val="005120CC"/>
    <w:rsid w:val="00512B7B"/>
    <w:rsid w:val="00514EA1"/>
    <w:rsid w:val="0051798B"/>
    <w:rsid w:val="00521F5A"/>
    <w:rsid w:val="005222B6"/>
    <w:rsid w:val="00525C10"/>
    <w:rsid w:val="00525E06"/>
    <w:rsid w:val="00526454"/>
    <w:rsid w:val="00531823"/>
    <w:rsid w:val="00534ECC"/>
    <w:rsid w:val="00536043"/>
    <w:rsid w:val="00536CC0"/>
    <w:rsid w:val="0053720D"/>
    <w:rsid w:val="005379DF"/>
    <w:rsid w:val="00540EF5"/>
    <w:rsid w:val="00541BF3"/>
    <w:rsid w:val="00541CD3"/>
    <w:rsid w:val="005463DB"/>
    <w:rsid w:val="005476FA"/>
    <w:rsid w:val="00553776"/>
    <w:rsid w:val="0055595E"/>
    <w:rsid w:val="00556894"/>
    <w:rsid w:val="00557988"/>
    <w:rsid w:val="00561E6F"/>
    <w:rsid w:val="00562C49"/>
    <w:rsid w:val="00562DEF"/>
    <w:rsid w:val="0056321A"/>
    <w:rsid w:val="00563A35"/>
    <w:rsid w:val="00566596"/>
    <w:rsid w:val="00567BA3"/>
    <w:rsid w:val="00573014"/>
    <w:rsid w:val="005741E9"/>
    <w:rsid w:val="005748CF"/>
    <w:rsid w:val="00584270"/>
    <w:rsid w:val="00584738"/>
    <w:rsid w:val="00585327"/>
    <w:rsid w:val="0058569A"/>
    <w:rsid w:val="00586C3F"/>
    <w:rsid w:val="00586CA8"/>
    <w:rsid w:val="00587786"/>
    <w:rsid w:val="0059135B"/>
    <w:rsid w:val="0059184E"/>
    <w:rsid w:val="005920B0"/>
    <w:rsid w:val="0059380D"/>
    <w:rsid w:val="00595A8F"/>
    <w:rsid w:val="0059619A"/>
    <w:rsid w:val="005977C2"/>
    <w:rsid w:val="00597BF2"/>
    <w:rsid w:val="005A1F54"/>
    <w:rsid w:val="005A3020"/>
    <w:rsid w:val="005A52C0"/>
    <w:rsid w:val="005B0B01"/>
    <w:rsid w:val="005B134E"/>
    <w:rsid w:val="005B2039"/>
    <w:rsid w:val="005B344F"/>
    <w:rsid w:val="005B3FBA"/>
    <w:rsid w:val="005B4A1D"/>
    <w:rsid w:val="005B4C58"/>
    <w:rsid w:val="005B5F0F"/>
    <w:rsid w:val="005B674D"/>
    <w:rsid w:val="005C056D"/>
    <w:rsid w:val="005C0CBE"/>
    <w:rsid w:val="005C1FCF"/>
    <w:rsid w:val="005C20D3"/>
    <w:rsid w:val="005C3F41"/>
    <w:rsid w:val="005C5A02"/>
    <w:rsid w:val="005C6530"/>
    <w:rsid w:val="005D1885"/>
    <w:rsid w:val="005D435E"/>
    <w:rsid w:val="005D4A38"/>
    <w:rsid w:val="005D712A"/>
    <w:rsid w:val="005D771D"/>
    <w:rsid w:val="005E18F6"/>
    <w:rsid w:val="005E2EEA"/>
    <w:rsid w:val="005E3708"/>
    <w:rsid w:val="005E3CCD"/>
    <w:rsid w:val="005E3D6B"/>
    <w:rsid w:val="005E53ED"/>
    <w:rsid w:val="005E5B55"/>
    <w:rsid w:val="005E5E4A"/>
    <w:rsid w:val="005E6691"/>
    <w:rsid w:val="005E693D"/>
    <w:rsid w:val="005E75BF"/>
    <w:rsid w:val="005F57BA"/>
    <w:rsid w:val="005F61E6"/>
    <w:rsid w:val="005F6C45"/>
    <w:rsid w:val="00601655"/>
    <w:rsid w:val="00605249"/>
    <w:rsid w:val="00605A69"/>
    <w:rsid w:val="00606C54"/>
    <w:rsid w:val="006070BB"/>
    <w:rsid w:val="00607936"/>
    <w:rsid w:val="00614375"/>
    <w:rsid w:val="006145DE"/>
    <w:rsid w:val="00615B0A"/>
    <w:rsid w:val="006168CF"/>
    <w:rsid w:val="00616F76"/>
    <w:rsid w:val="0062011B"/>
    <w:rsid w:val="0062074E"/>
    <w:rsid w:val="00626DE0"/>
    <w:rsid w:val="00627A49"/>
    <w:rsid w:val="00630842"/>
    <w:rsid w:val="00630901"/>
    <w:rsid w:val="00631F8E"/>
    <w:rsid w:val="00636EE9"/>
    <w:rsid w:val="00637A5D"/>
    <w:rsid w:val="00640950"/>
    <w:rsid w:val="00641AE7"/>
    <w:rsid w:val="00642629"/>
    <w:rsid w:val="0064727C"/>
    <w:rsid w:val="0064782B"/>
    <w:rsid w:val="006518FF"/>
    <w:rsid w:val="00651B77"/>
    <w:rsid w:val="0065293D"/>
    <w:rsid w:val="00653EFC"/>
    <w:rsid w:val="00654021"/>
    <w:rsid w:val="0065553C"/>
    <w:rsid w:val="00656991"/>
    <w:rsid w:val="0065733A"/>
    <w:rsid w:val="00657AAE"/>
    <w:rsid w:val="00661045"/>
    <w:rsid w:val="00661B9E"/>
    <w:rsid w:val="006634C9"/>
    <w:rsid w:val="00666DA8"/>
    <w:rsid w:val="006704CF"/>
    <w:rsid w:val="00670B48"/>
    <w:rsid w:val="00670EF8"/>
    <w:rsid w:val="00671057"/>
    <w:rsid w:val="00672E13"/>
    <w:rsid w:val="00675588"/>
    <w:rsid w:val="00675AAF"/>
    <w:rsid w:val="00676F3C"/>
    <w:rsid w:val="006770C4"/>
    <w:rsid w:val="00677F1D"/>
    <w:rsid w:val="0068031A"/>
    <w:rsid w:val="00681B2F"/>
    <w:rsid w:val="0068335F"/>
    <w:rsid w:val="00687217"/>
    <w:rsid w:val="0068783B"/>
    <w:rsid w:val="006903E1"/>
    <w:rsid w:val="0069192E"/>
    <w:rsid w:val="00693302"/>
    <w:rsid w:val="00695A1C"/>
    <w:rsid w:val="0069640B"/>
    <w:rsid w:val="006A12B1"/>
    <w:rsid w:val="006A1B83"/>
    <w:rsid w:val="006A21CD"/>
    <w:rsid w:val="006A5918"/>
    <w:rsid w:val="006B21B2"/>
    <w:rsid w:val="006B47AE"/>
    <w:rsid w:val="006B4A4A"/>
    <w:rsid w:val="006B6454"/>
    <w:rsid w:val="006C1777"/>
    <w:rsid w:val="006C19B2"/>
    <w:rsid w:val="006C2A89"/>
    <w:rsid w:val="006C4409"/>
    <w:rsid w:val="006C5BB8"/>
    <w:rsid w:val="006C6795"/>
    <w:rsid w:val="006C6924"/>
    <w:rsid w:val="006C6936"/>
    <w:rsid w:val="006C7B01"/>
    <w:rsid w:val="006D0FE8"/>
    <w:rsid w:val="006D4B2B"/>
    <w:rsid w:val="006D4F3C"/>
    <w:rsid w:val="006D5595"/>
    <w:rsid w:val="006D5A45"/>
    <w:rsid w:val="006D5C66"/>
    <w:rsid w:val="006D5E4B"/>
    <w:rsid w:val="006D7002"/>
    <w:rsid w:val="006E1B3C"/>
    <w:rsid w:val="006E23FB"/>
    <w:rsid w:val="006E2C18"/>
    <w:rsid w:val="006E325A"/>
    <w:rsid w:val="006E33EC"/>
    <w:rsid w:val="006E3802"/>
    <w:rsid w:val="006E46EF"/>
    <w:rsid w:val="006E4DF4"/>
    <w:rsid w:val="006E5C80"/>
    <w:rsid w:val="006E6179"/>
    <w:rsid w:val="006E6C02"/>
    <w:rsid w:val="006F10FE"/>
    <w:rsid w:val="006F231A"/>
    <w:rsid w:val="006F3559"/>
    <w:rsid w:val="006F55C9"/>
    <w:rsid w:val="006F6B55"/>
    <w:rsid w:val="006F788D"/>
    <w:rsid w:val="006F78E1"/>
    <w:rsid w:val="0070035B"/>
    <w:rsid w:val="00700BA6"/>
    <w:rsid w:val="00701072"/>
    <w:rsid w:val="0070153B"/>
    <w:rsid w:val="00702054"/>
    <w:rsid w:val="007035A4"/>
    <w:rsid w:val="00711706"/>
    <w:rsid w:val="00711799"/>
    <w:rsid w:val="00712B78"/>
    <w:rsid w:val="0071393B"/>
    <w:rsid w:val="00713EE2"/>
    <w:rsid w:val="007166C0"/>
    <w:rsid w:val="00716976"/>
    <w:rsid w:val="00716DA8"/>
    <w:rsid w:val="007177FC"/>
    <w:rsid w:val="00720C5E"/>
    <w:rsid w:val="0072151B"/>
    <w:rsid w:val="00721701"/>
    <w:rsid w:val="00723035"/>
    <w:rsid w:val="00731835"/>
    <w:rsid w:val="007341F8"/>
    <w:rsid w:val="00734372"/>
    <w:rsid w:val="00734EB8"/>
    <w:rsid w:val="00735F8B"/>
    <w:rsid w:val="00736CBD"/>
    <w:rsid w:val="0074090B"/>
    <w:rsid w:val="00742D1F"/>
    <w:rsid w:val="007436EC"/>
    <w:rsid w:val="00743EBA"/>
    <w:rsid w:val="00744C8E"/>
    <w:rsid w:val="00745492"/>
    <w:rsid w:val="0074707E"/>
    <w:rsid w:val="0075084B"/>
    <w:rsid w:val="007516DC"/>
    <w:rsid w:val="00752E58"/>
    <w:rsid w:val="0075363A"/>
    <w:rsid w:val="00754B80"/>
    <w:rsid w:val="007571D8"/>
    <w:rsid w:val="007573CD"/>
    <w:rsid w:val="00757DBB"/>
    <w:rsid w:val="00761918"/>
    <w:rsid w:val="00762F03"/>
    <w:rsid w:val="0076413B"/>
    <w:rsid w:val="007648AE"/>
    <w:rsid w:val="00764BF8"/>
    <w:rsid w:val="0076514D"/>
    <w:rsid w:val="00765C8B"/>
    <w:rsid w:val="00770829"/>
    <w:rsid w:val="00773D59"/>
    <w:rsid w:val="007809CD"/>
    <w:rsid w:val="00781003"/>
    <w:rsid w:val="00781419"/>
    <w:rsid w:val="00784D3D"/>
    <w:rsid w:val="00785782"/>
    <w:rsid w:val="007857C9"/>
    <w:rsid w:val="007911FD"/>
    <w:rsid w:val="00792270"/>
    <w:rsid w:val="00792C76"/>
    <w:rsid w:val="00793930"/>
    <w:rsid w:val="00793DD1"/>
    <w:rsid w:val="00794542"/>
    <w:rsid w:val="00794A41"/>
    <w:rsid w:val="00794FEC"/>
    <w:rsid w:val="0079524D"/>
    <w:rsid w:val="007973CB"/>
    <w:rsid w:val="007A003E"/>
    <w:rsid w:val="007A03F2"/>
    <w:rsid w:val="007A14F0"/>
    <w:rsid w:val="007A1965"/>
    <w:rsid w:val="007A2ED1"/>
    <w:rsid w:val="007A4BE6"/>
    <w:rsid w:val="007A511D"/>
    <w:rsid w:val="007A7895"/>
    <w:rsid w:val="007A7979"/>
    <w:rsid w:val="007B0DC6"/>
    <w:rsid w:val="007B1094"/>
    <w:rsid w:val="007B1762"/>
    <w:rsid w:val="007B20D8"/>
    <w:rsid w:val="007B3320"/>
    <w:rsid w:val="007B3A0D"/>
    <w:rsid w:val="007B5237"/>
    <w:rsid w:val="007C1FB9"/>
    <w:rsid w:val="007C301F"/>
    <w:rsid w:val="007C4540"/>
    <w:rsid w:val="007C53AA"/>
    <w:rsid w:val="007C65AF"/>
    <w:rsid w:val="007D135D"/>
    <w:rsid w:val="007D29AF"/>
    <w:rsid w:val="007D5DE5"/>
    <w:rsid w:val="007D730F"/>
    <w:rsid w:val="007D7CD8"/>
    <w:rsid w:val="007E15A9"/>
    <w:rsid w:val="007E3AA7"/>
    <w:rsid w:val="007E6799"/>
    <w:rsid w:val="007E7C30"/>
    <w:rsid w:val="007F0C71"/>
    <w:rsid w:val="007F20D6"/>
    <w:rsid w:val="007F2828"/>
    <w:rsid w:val="007F737D"/>
    <w:rsid w:val="0080308E"/>
    <w:rsid w:val="00804E47"/>
    <w:rsid w:val="00805303"/>
    <w:rsid w:val="00806705"/>
    <w:rsid w:val="00806738"/>
    <w:rsid w:val="00813AD8"/>
    <w:rsid w:val="008163B5"/>
    <w:rsid w:val="00816A86"/>
    <w:rsid w:val="00817D7A"/>
    <w:rsid w:val="008216D5"/>
    <w:rsid w:val="008246D3"/>
    <w:rsid w:val="008249CE"/>
    <w:rsid w:val="00826B0B"/>
    <w:rsid w:val="00831A50"/>
    <w:rsid w:val="00831B3C"/>
    <w:rsid w:val="00831C89"/>
    <w:rsid w:val="00832114"/>
    <w:rsid w:val="00834C46"/>
    <w:rsid w:val="0084093E"/>
    <w:rsid w:val="00840AA8"/>
    <w:rsid w:val="00841CE1"/>
    <w:rsid w:val="0084702B"/>
    <w:rsid w:val="008473D8"/>
    <w:rsid w:val="00850151"/>
    <w:rsid w:val="008528DC"/>
    <w:rsid w:val="00852B8C"/>
    <w:rsid w:val="0085357C"/>
    <w:rsid w:val="00853EFA"/>
    <w:rsid w:val="00854981"/>
    <w:rsid w:val="0085723D"/>
    <w:rsid w:val="00864B2E"/>
    <w:rsid w:val="00865963"/>
    <w:rsid w:val="008702F8"/>
    <w:rsid w:val="008711A6"/>
    <w:rsid w:val="00871568"/>
    <w:rsid w:val="00871C1D"/>
    <w:rsid w:val="0087238D"/>
    <w:rsid w:val="008742B6"/>
    <w:rsid w:val="0087450E"/>
    <w:rsid w:val="00875A82"/>
    <w:rsid w:val="00876CA3"/>
    <w:rsid w:val="008772FE"/>
    <w:rsid w:val="008775F1"/>
    <w:rsid w:val="008804F5"/>
    <w:rsid w:val="008821AE"/>
    <w:rsid w:val="0088221D"/>
    <w:rsid w:val="00883021"/>
    <w:rsid w:val="00883D3A"/>
    <w:rsid w:val="008854F7"/>
    <w:rsid w:val="00885A9D"/>
    <w:rsid w:val="008865B7"/>
    <w:rsid w:val="00890034"/>
    <w:rsid w:val="008929D2"/>
    <w:rsid w:val="00893636"/>
    <w:rsid w:val="00893B94"/>
    <w:rsid w:val="00894A26"/>
    <w:rsid w:val="00896E9D"/>
    <w:rsid w:val="00896F11"/>
    <w:rsid w:val="00896F18"/>
    <w:rsid w:val="008A0B8F"/>
    <w:rsid w:val="008A1049"/>
    <w:rsid w:val="008A170A"/>
    <w:rsid w:val="008A1C98"/>
    <w:rsid w:val="008A2944"/>
    <w:rsid w:val="008A322D"/>
    <w:rsid w:val="008A4B89"/>
    <w:rsid w:val="008A4B97"/>
    <w:rsid w:val="008A4D72"/>
    <w:rsid w:val="008A6285"/>
    <w:rsid w:val="008A63B2"/>
    <w:rsid w:val="008B0EFA"/>
    <w:rsid w:val="008B345D"/>
    <w:rsid w:val="008C1FC2"/>
    <w:rsid w:val="008C2980"/>
    <w:rsid w:val="008C4DD6"/>
    <w:rsid w:val="008C5AFB"/>
    <w:rsid w:val="008D013D"/>
    <w:rsid w:val="008D07FB"/>
    <w:rsid w:val="008D0C02"/>
    <w:rsid w:val="008D357D"/>
    <w:rsid w:val="008D435A"/>
    <w:rsid w:val="008D4AB0"/>
    <w:rsid w:val="008E387B"/>
    <w:rsid w:val="008E6087"/>
    <w:rsid w:val="008E758D"/>
    <w:rsid w:val="008F10A7"/>
    <w:rsid w:val="008F52EA"/>
    <w:rsid w:val="008F755D"/>
    <w:rsid w:val="008F7A39"/>
    <w:rsid w:val="009021E8"/>
    <w:rsid w:val="00903826"/>
    <w:rsid w:val="00904677"/>
    <w:rsid w:val="00905EE2"/>
    <w:rsid w:val="00911440"/>
    <w:rsid w:val="00911712"/>
    <w:rsid w:val="00911B27"/>
    <w:rsid w:val="00915003"/>
    <w:rsid w:val="0091578E"/>
    <w:rsid w:val="009162D5"/>
    <w:rsid w:val="009170BE"/>
    <w:rsid w:val="00917A9A"/>
    <w:rsid w:val="00917E3D"/>
    <w:rsid w:val="00920B55"/>
    <w:rsid w:val="00920DA4"/>
    <w:rsid w:val="00925024"/>
    <w:rsid w:val="009262C9"/>
    <w:rsid w:val="009263D0"/>
    <w:rsid w:val="00930EB9"/>
    <w:rsid w:val="00932D33"/>
    <w:rsid w:val="00933DC7"/>
    <w:rsid w:val="00937A71"/>
    <w:rsid w:val="009418F4"/>
    <w:rsid w:val="00942BBC"/>
    <w:rsid w:val="00944180"/>
    <w:rsid w:val="00944AA0"/>
    <w:rsid w:val="00947DA2"/>
    <w:rsid w:val="00951177"/>
    <w:rsid w:val="00951793"/>
    <w:rsid w:val="00951E2B"/>
    <w:rsid w:val="00954CEB"/>
    <w:rsid w:val="00955BFD"/>
    <w:rsid w:val="00956DDD"/>
    <w:rsid w:val="00961289"/>
    <w:rsid w:val="009612D5"/>
    <w:rsid w:val="009637AA"/>
    <w:rsid w:val="00965309"/>
    <w:rsid w:val="009673E8"/>
    <w:rsid w:val="00974DB8"/>
    <w:rsid w:val="00976BC4"/>
    <w:rsid w:val="00980405"/>
    <w:rsid w:val="00980661"/>
    <w:rsid w:val="0098093B"/>
    <w:rsid w:val="009811E9"/>
    <w:rsid w:val="0098123B"/>
    <w:rsid w:val="00982D9E"/>
    <w:rsid w:val="00984A04"/>
    <w:rsid w:val="009876D4"/>
    <w:rsid w:val="009914A5"/>
    <w:rsid w:val="0099387F"/>
    <w:rsid w:val="00994B05"/>
    <w:rsid w:val="009950AE"/>
    <w:rsid w:val="0099548E"/>
    <w:rsid w:val="00996456"/>
    <w:rsid w:val="00996A12"/>
    <w:rsid w:val="00997B0F"/>
    <w:rsid w:val="009A0CC3"/>
    <w:rsid w:val="009A1CAD"/>
    <w:rsid w:val="009A3440"/>
    <w:rsid w:val="009A5832"/>
    <w:rsid w:val="009A6838"/>
    <w:rsid w:val="009B24B5"/>
    <w:rsid w:val="009B4EBC"/>
    <w:rsid w:val="009B5ABB"/>
    <w:rsid w:val="009B73CE"/>
    <w:rsid w:val="009B7CF6"/>
    <w:rsid w:val="009C2041"/>
    <w:rsid w:val="009C2461"/>
    <w:rsid w:val="009C2CF3"/>
    <w:rsid w:val="009C4747"/>
    <w:rsid w:val="009C5A15"/>
    <w:rsid w:val="009C6FE2"/>
    <w:rsid w:val="009C71D1"/>
    <w:rsid w:val="009C7674"/>
    <w:rsid w:val="009C7DAA"/>
    <w:rsid w:val="009D004A"/>
    <w:rsid w:val="009D498C"/>
    <w:rsid w:val="009D555A"/>
    <w:rsid w:val="009D5880"/>
    <w:rsid w:val="009E1139"/>
    <w:rsid w:val="009E1FD4"/>
    <w:rsid w:val="009E33EF"/>
    <w:rsid w:val="009E3B07"/>
    <w:rsid w:val="009E3D5D"/>
    <w:rsid w:val="009E51D1"/>
    <w:rsid w:val="009E5531"/>
    <w:rsid w:val="009F171E"/>
    <w:rsid w:val="009F297A"/>
    <w:rsid w:val="009F3D2F"/>
    <w:rsid w:val="009F7052"/>
    <w:rsid w:val="00A02668"/>
    <w:rsid w:val="00A02801"/>
    <w:rsid w:val="00A06A39"/>
    <w:rsid w:val="00A071E8"/>
    <w:rsid w:val="00A07F58"/>
    <w:rsid w:val="00A1069C"/>
    <w:rsid w:val="00A1231C"/>
    <w:rsid w:val="00A131CB"/>
    <w:rsid w:val="00A14847"/>
    <w:rsid w:val="00A16D6D"/>
    <w:rsid w:val="00A21383"/>
    <w:rsid w:val="00A2199F"/>
    <w:rsid w:val="00A21B31"/>
    <w:rsid w:val="00A21E45"/>
    <w:rsid w:val="00A2360E"/>
    <w:rsid w:val="00A26E0C"/>
    <w:rsid w:val="00A320A5"/>
    <w:rsid w:val="00A3259C"/>
    <w:rsid w:val="00A32FCB"/>
    <w:rsid w:val="00A337E0"/>
    <w:rsid w:val="00A345DD"/>
    <w:rsid w:val="00A34C25"/>
    <w:rsid w:val="00A3507D"/>
    <w:rsid w:val="00A3717A"/>
    <w:rsid w:val="00A40565"/>
    <w:rsid w:val="00A4088C"/>
    <w:rsid w:val="00A421D3"/>
    <w:rsid w:val="00A4408A"/>
    <w:rsid w:val="00A4456B"/>
    <w:rsid w:val="00A448D4"/>
    <w:rsid w:val="00A452E0"/>
    <w:rsid w:val="00A506DF"/>
    <w:rsid w:val="00A51EA5"/>
    <w:rsid w:val="00A530E6"/>
    <w:rsid w:val="00A53742"/>
    <w:rsid w:val="00A53D4D"/>
    <w:rsid w:val="00A557A1"/>
    <w:rsid w:val="00A5698D"/>
    <w:rsid w:val="00A6004C"/>
    <w:rsid w:val="00A604ED"/>
    <w:rsid w:val="00A61335"/>
    <w:rsid w:val="00A62F04"/>
    <w:rsid w:val="00A63059"/>
    <w:rsid w:val="00A63AE3"/>
    <w:rsid w:val="00A63CEA"/>
    <w:rsid w:val="00A651A4"/>
    <w:rsid w:val="00A701D7"/>
    <w:rsid w:val="00A705DE"/>
    <w:rsid w:val="00A71361"/>
    <w:rsid w:val="00A71F5A"/>
    <w:rsid w:val="00A74482"/>
    <w:rsid w:val="00A746E2"/>
    <w:rsid w:val="00A7550C"/>
    <w:rsid w:val="00A81FF2"/>
    <w:rsid w:val="00A836C9"/>
    <w:rsid w:val="00A83904"/>
    <w:rsid w:val="00A8663D"/>
    <w:rsid w:val="00A90A79"/>
    <w:rsid w:val="00A90D2B"/>
    <w:rsid w:val="00A96B30"/>
    <w:rsid w:val="00AA0DA8"/>
    <w:rsid w:val="00AA442D"/>
    <w:rsid w:val="00AA59B5"/>
    <w:rsid w:val="00AA7777"/>
    <w:rsid w:val="00AA7B84"/>
    <w:rsid w:val="00AB48F6"/>
    <w:rsid w:val="00AB4AD6"/>
    <w:rsid w:val="00AB5199"/>
    <w:rsid w:val="00AB7A41"/>
    <w:rsid w:val="00AC0B4C"/>
    <w:rsid w:val="00AC0DB3"/>
    <w:rsid w:val="00AC1164"/>
    <w:rsid w:val="00AC1CDE"/>
    <w:rsid w:val="00AC2296"/>
    <w:rsid w:val="00AC273A"/>
    <w:rsid w:val="00AC2754"/>
    <w:rsid w:val="00AC4273"/>
    <w:rsid w:val="00AC48B0"/>
    <w:rsid w:val="00AC4ACD"/>
    <w:rsid w:val="00AC5748"/>
    <w:rsid w:val="00AC5DFB"/>
    <w:rsid w:val="00AD13DC"/>
    <w:rsid w:val="00AD6DE2"/>
    <w:rsid w:val="00AD7FC9"/>
    <w:rsid w:val="00AE0A40"/>
    <w:rsid w:val="00AE1ED4"/>
    <w:rsid w:val="00AE21E1"/>
    <w:rsid w:val="00AE2F8D"/>
    <w:rsid w:val="00AE31CC"/>
    <w:rsid w:val="00AE3BAE"/>
    <w:rsid w:val="00AE5DC5"/>
    <w:rsid w:val="00AE6A21"/>
    <w:rsid w:val="00AF1316"/>
    <w:rsid w:val="00AF1C8F"/>
    <w:rsid w:val="00AF2B68"/>
    <w:rsid w:val="00AF2C92"/>
    <w:rsid w:val="00AF3EC1"/>
    <w:rsid w:val="00AF4172"/>
    <w:rsid w:val="00AF5025"/>
    <w:rsid w:val="00AF519F"/>
    <w:rsid w:val="00AF5387"/>
    <w:rsid w:val="00AF55F5"/>
    <w:rsid w:val="00AF7E86"/>
    <w:rsid w:val="00B01F53"/>
    <w:rsid w:val="00B024B9"/>
    <w:rsid w:val="00B06C25"/>
    <w:rsid w:val="00B077FA"/>
    <w:rsid w:val="00B127D7"/>
    <w:rsid w:val="00B13B0C"/>
    <w:rsid w:val="00B14408"/>
    <w:rsid w:val="00B1453A"/>
    <w:rsid w:val="00B20F82"/>
    <w:rsid w:val="00B2178A"/>
    <w:rsid w:val="00B22A38"/>
    <w:rsid w:val="00B23DC5"/>
    <w:rsid w:val="00B25104"/>
    <w:rsid w:val="00B25BD5"/>
    <w:rsid w:val="00B32173"/>
    <w:rsid w:val="00B34079"/>
    <w:rsid w:val="00B34710"/>
    <w:rsid w:val="00B3581A"/>
    <w:rsid w:val="00B36873"/>
    <w:rsid w:val="00B3793A"/>
    <w:rsid w:val="00B401BA"/>
    <w:rsid w:val="00B40549"/>
    <w:rsid w:val="00B407E4"/>
    <w:rsid w:val="00B42097"/>
    <w:rsid w:val="00B425B6"/>
    <w:rsid w:val="00B42A72"/>
    <w:rsid w:val="00B4320E"/>
    <w:rsid w:val="00B441AE"/>
    <w:rsid w:val="00B44A42"/>
    <w:rsid w:val="00B45A65"/>
    <w:rsid w:val="00B45F33"/>
    <w:rsid w:val="00B45FE0"/>
    <w:rsid w:val="00B46D50"/>
    <w:rsid w:val="00B53170"/>
    <w:rsid w:val="00B548B9"/>
    <w:rsid w:val="00B56DBE"/>
    <w:rsid w:val="00B62999"/>
    <w:rsid w:val="00B63789"/>
    <w:rsid w:val="00B63BE3"/>
    <w:rsid w:val="00B64885"/>
    <w:rsid w:val="00B64FA3"/>
    <w:rsid w:val="00B66810"/>
    <w:rsid w:val="00B7042D"/>
    <w:rsid w:val="00B71A20"/>
    <w:rsid w:val="00B72BE3"/>
    <w:rsid w:val="00B73B80"/>
    <w:rsid w:val="00B770C7"/>
    <w:rsid w:val="00B80A97"/>
    <w:rsid w:val="00B80F26"/>
    <w:rsid w:val="00B822BD"/>
    <w:rsid w:val="00B82F97"/>
    <w:rsid w:val="00B842F4"/>
    <w:rsid w:val="00B8467B"/>
    <w:rsid w:val="00B84C72"/>
    <w:rsid w:val="00B91A7B"/>
    <w:rsid w:val="00B929DD"/>
    <w:rsid w:val="00B93AF6"/>
    <w:rsid w:val="00B95405"/>
    <w:rsid w:val="00B963F1"/>
    <w:rsid w:val="00BA020A"/>
    <w:rsid w:val="00BA144B"/>
    <w:rsid w:val="00BA16A3"/>
    <w:rsid w:val="00BA5019"/>
    <w:rsid w:val="00BB025A"/>
    <w:rsid w:val="00BB02A4"/>
    <w:rsid w:val="00BB1270"/>
    <w:rsid w:val="00BB1E44"/>
    <w:rsid w:val="00BB34F8"/>
    <w:rsid w:val="00BB4A65"/>
    <w:rsid w:val="00BB5267"/>
    <w:rsid w:val="00BB52B8"/>
    <w:rsid w:val="00BB54F3"/>
    <w:rsid w:val="00BB559F"/>
    <w:rsid w:val="00BB59D8"/>
    <w:rsid w:val="00BB7E69"/>
    <w:rsid w:val="00BC03EA"/>
    <w:rsid w:val="00BC0AAC"/>
    <w:rsid w:val="00BC0E51"/>
    <w:rsid w:val="00BC0FB0"/>
    <w:rsid w:val="00BC3C1F"/>
    <w:rsid w:val="00BC3F77"/>
    <w:rsid w:val="00BC51A0"/>
    <w:rsid w:val="00BC7CE7"/>
    <w:rsid w:val="00BD295E"/>
    <w:rsid w:val="00BD4664"/>
    <w:rsid w:val="00BD5AAE"/>
    <w:rsid w:val="00BE073D"/>
    <w:rsid w:val="00BE1193"/>
    <w:rsid w:val="00BE1D9D"/>
    <w:rsid w:val="00BE487A"/>
    <w:rsid w:val="00BE64D3"/>
    <w:rsid w:val="00BF4849"/>
    <w:rsid w:val="00BF4EA7"/>
    <w:rsid w:val="00BF53DD"/>
    <w:rsid w:val="00BF6336"/>
    <w:rsid w:val="00BF6525"/>
    <w:rsid w:val="00C00EDB"/>
    <w:rsid w:val="00C01075"/>
    <w:rsid w:val="00C0263C"/>
    <w:rsid w:val="00C02863"/>
    <w:rsid w:val="00C0383A"/>
    <w:rsid w:val="00C03D6A"/>
    <w:rsid w:val="00C04694"/>
    <w:rsid w:val="00C04937"/>
    <w:rsid w:val="00C067FF"/>
    <w:rsid w:val="00C12862"/>
    <w:rsid w:val="00C13D28"/>
    <w:rsid w:val="00C14585"/>
    <w:rsid w:val="00C165A0"/>
    <w:rsid w:val="00C168A5"/>
    <w:rsid w:val="00C16B80"/>
    <w:rsid w:val="00C216CE"/>
    <w:rsid w:val="00C2184F"/>
    <w:rsid w:val="00C22A78"/>
    <w:rsid w:val="00C23C7E"/>
    <w:rsid w:val="00C246C5"/>
    <w:rsid w:val="00C25A82"/>
    <w:rsid w:val="00C3045F"/>
    <w:rsid w:val="00C30A2A"/>
    <w:rsid w:val="00C33993"/>
    <w:rsid w:val="00C344C5"/>
    <w:rsid w:val="00C3633F"/>
    <w:rsid w:val="00C37104"/>
    <w:rsid w:val="00C4069E"/>
    <w:rsid w:val="00C41ADC"/>
    <w:rsid w:val="00C41F45"/>
    <w:rsid w:val="00C428F7"/>
    <w:rsid w:val="00C44149"/>
    <w:rsid w:val="00C44410"/>
    <w:rsid w:val="00C44A15"/>
    <w:rsid w:val="00C4630A"/>
    <w:rsid w:val="00C5097D"/>
    <w:rsid w:val="00C51DD6"/>
    <w:rsid w:val="00C523F0"/>
    <w:rsid w:val="00C526D2"/>
    <w:rsid w:val="00C53A91"/>
    <w:rsid w:val="00C5794E"/>
    <w:rsid w:val="00C60968"/>
    <w:rsid w:val="00C63726"/>
    <w:rsid w:val="00C63D39"/>
    <w:rsid w:val="00C63EDD"/>
    <w:rsid w:val="00C65B36"/>
    <w:rsid w:val="00C7044F"/>
    <w:rsid w:val="00C7257F"/>
    <w:rsid w:val="00C7292E"/>
    <w:rsid w:val="00C72C45"/>
    <w:rsid w:val="00C74E88"/>
    <w:rsid w:val="00C7570A"/>
    <w:rsid w:val="00C764F0"/>
    <w:rsid w:val="00C77425"/>
    <w:rsid w:val="00C80924"/>
    <w:rsid w:val="00C81E3B"/>
    <w:rsid w:val="00C8286B"/>
    <w:rsid w:val="00C83A19"/>
    <w:rsid w:val="00C84BD5"/>
    <w:rsid w:val="00C91425"/>
    <w:rsid w:val="00C947F8"/>
    <w:rsid w:val="00C9515F"/>
    <w:rsid w:val="00C963C5"/>
    <w:rsid w:val="00CA030C"/>
    <w:rsid w:val="00CA1F41"/>
    <w:rsid w:val="00CA32EE"/>
    <w:rsid w:val="00CA5771"/>
    <w:rsid w:val="00CA6A1A"/>
    <w:rsid w:val="00CB19AC"/>
    <w:rsid w:val="00CB32A5"/>
    <w:rsid w:val="00CB3626"/>
    <w:rsid w:val="00CB65AB"/>
    <w:rsid w:val="00CB7A88"/>
    <w:rsid w:val="00CC09C7"/>
    <w:rsid w:val="00CC1E75"/>
    <w:rsid w:val="00CC2E0E"/>
    <w:rsid w:val="00CC361C"/>
    <w:rsid w:val="00CC474B"/>
    <w:rsid w:val="00CC4AF9"/>
    <w:rsid w:val="00CC4EB7"/>
    <w:rsid w:val="00CC50B9"/>
    <w:rsid w:val="00CC5E10"/>
    <w:rsid w:val="00CC658C"/>
    <w:rsid w:val="00CC67BF"/>
    <w:rsid w:val="00CC71DB"/>
    <w:rsid w:val="00CD0843"/>
    <w:rsid w:val="00CD3345"/>
    <w:rsid w:val="00CD4E31"/>
    <w:rsid w:val="00CD5A78"/>
    <w:rsid w:val="00CD7345"/>
    <w:rsid w:val="00CE372E"/>
    <w:rsid w:val="00CF0A1B"/>
    <w:rsid w:val="00CF19F6"/>
    <w:rsid w:val="00CF2F4F"/>
    <w:rsid w:val="00CF3E40"/>
    <w:rsid w:val="00CF536D"/>
    <w:rsid w:val="00CF5B5F"/>
    <w:rsid w:val="00CF5FEB"/>
    <w:rsid w:val="00D02E9D"/>
    <w:rsid w:val="00D06DC8"/>
    <w:rsid w:val="00D07064"/>
    <w:rsid w:val="00D10CB8"/>
    <w:rsid w:val="00D1279D"/>
    <w:rsid w:val="00D12806"/>
    <w:rsid w:val="00D12D44"/>
    <w:rsid w:val="00D12DC9"/>
    <w:rsid w:val="00D15018"/>
    <w:rsid w:val="00D151FC"/>
    <w:rsid w:val="00D158AC"/>
    <w:rsid w:val="00D1694C"/>
    <w:rsid w:val="00D16B48"/>
    <w:rsid w:val="00D17A65"/>
    <w:rsid w:val="00D20F5E"/>
    <w:rsid w:val="00D216F9"/>
    <w:rsid w:val="00D23B76"/>
    <w:rsid w:val="00D24B4A"/>
    <w:rsid w:val="00D24E2B"/>
    <w:rsid w:val="00D3341D"/>
    <w:rsid w:val="00D3439E"/>
    <w:rsid w:val="00D352BD"/>
    <w:rsid w:val="00D379A3"/>
    <w:rsid w:val="00D37AB0"/>
    <w:rsid w:val="00D4052D"/>
    <w:rsid w:val="00D4432D"/>
    <w:rsid w:val="00D45FF3"/>
    <w:rsid w:val="00D512CF"/>
    <w:rsid w:val="00D52412"/>
    <w:rsid w:val="00D528B9"/>
    <w:rsid w:val="00D53186"/>
    <w:rsid w:val="00D5487D"/>
    <w:rsid w:val="00D558BF"/>
    <w:rsid w:val="00D60140"/>
    <w:rsid w:val="00D6024A"/>
    <w:rsid w:val="00D608B5"/>
    <w:rsid w:val="00D63F27"/>
    <w:rsid w:val="00D64739"/>
    <w:rsid w:val="00D70399"/>
    <w:rsid w:val="00D71F99"/>
    <w:rsid w:val="00D73CA4"/>
    <w:rsid w:val="00D73D71"/>
    <w:rsid w:val="00D74396"/>
    <w:rsid w:val="00D8006E"/>
    <w:rsid w:val="00D80284"/>
    <w:rsid w:val="00D80D86"/>
    <w:rsid w:val="00D8108B"/>
    <w:rsid w:val="00D81982"/>
    <w:rsid w:val="00D81F71"/>
    <w:rsid w:val="00D8315E"/>
    <w:rsid w:val="00D8464E"/>
    <w:rsid w:val="00D8642D"/>
    <w:rsid w:val="00D90A5E"/>
    <w:rsid w:val="00D90C5F"/>
    <w:rsid w:val="00D91A68"/>
    <w:rsid w:val="00D927ED"/>
    <w:rsid w:val="00D95A68"/>
    <w:rsid w:val="00DA17C7"/>
    <w:rsid w:val="00DA2656"/>
    <w:rsid w:val="00DA2780"/>
    <w:rsid w:val="00DA36F8"/>
    <w:rsid w:val="00DA5B7C"/>
    <w:rsid w:val="00DA6A9A"/>
    <w:rsid w:val="00DB1C85"/>
    <w:rsid w:val="00DB1EFD"/>
    <w:rsid w:val="00DB360A"/>
    <w:rsid w:val="00DB3CC0"/>
    <w:rsid w:val="00DB3EAF"/>
    <w:rsid w:val="00DB46C6"/>
    <w:rsid w:val="00DB543F"/>
    <w:rsid w:val="00DB61B4"/>
    <w:rsid w:val="00DB76A8"/>
    <w:rsid w:val="00DC3203"/>
    <w:rsid w:val="00DC3C99"/>
    <w:rsid w:val="00DC45BC"/>
    <w:rsid w:val="00DC52F5"/>
    <w:rsid w:val="00DC5FD0"/>
    <w:rsid w:val="00DC6BD2"/>
    <w:rsid w:val="00DD0354"/>
    <w:rsid w:val="00DD19A2"/>
    <w:rsid w:val="00DD27D7"/>
    <w:rsid w:val="00DD458C"/>
    <w:rsid w:val="00DD72E9"/>
    <w:rsid w:val="00DD7605"/>
    <w:rsid w:val="00DE05B7"/>
    <w:rsid w:val="00DE2020"/>
    <w:rsid w:val="00DE3476"/>
    <w:rsid w:val="00DE756B"/>
    <w:rsid w:val="00DE7BEA"/>
    <w:rsid w:val="00DF3541"/>
    <w:rsid w:val="00DF5B84"/>
    <w:rsid w:val="00DF6D5B"/>
    <w:rsid w:val="00DF771B"/>
    <w:rsid w:val="00DF7EE2"/>
    <w:rsid w:val="00E01BAA"/>
    <w:rsid w:val="00E0282A"/>
    <w:rsid w:val="00E02F9B"/>
    <w:rsid w:val="00E034D6"/>
    <w:rsid w:val="00E07E14"/>
    <w:rsid w:val="00E14F94"/>
    <w:rsid w:val="00E17336"/>
    <w:rsid w:val="00E17D15"/>
    <w:rsid w:val="00E2269C"/>
    <w:rsid w:val="00E22B95"/>
    <w:rsid w:val="00E26ABA"/>
    <w:rsid w:val="00E26CFF"/>
    <w:rsid w:val="00E271FC"/>
    <w:rsid w:val="00E30331"/>
    <w:rsid w:val="00E30BB8"/>
    <w:rsid w:val="00E31F9C"/>
    <w:rsid w:val="00E32415"/>
    <w:rsid w:val="00E34D78"/>
    <w:rsid w:val="00E40488"/>
    <w:rsid w:val="00E405D2"/>
    <w:rsid w:val="00E42E19"/>
    <w:rsid w:val="00E43A3B"/>
    <w:rsid w:val="00E45611"/>
    <w:rsid w:val="00E50367"/>
    <w:rsid w:val="00E507CA"/>
    <w:rsid w:val="00E51ABA"/>
    <w:rsid w:val="00E524CB"/>
    <w:rsid w:val="00E52CB4"/>
    <w:rsid w:val="00E5630F"/>
    <w:rsid w:val="00E570BA"/>
    <w:rsid w:val="00E57DB0"/>
    <w:rsid w:val="00E57E13"/>
    <w:rsid w:val="00E63DAE"/>
    <w:rsid w:val="00E65045"/>
    <w:rsid w:val="00E65456"/>
    <w:rsid w:val="00E65A91"/>
    <w:rsid w:val="00E6611D"/>
    <w:rsid w:val="00E66188"/>
    <w:rsid w:val="00E664FB"/>
    <w:rsid w:val="00E672F0"/>
    <w:rsid w:val="00E70373"/>
    <w:rsid w:val="00E712FC"/>
    <w:rsid w:val="00E72E40"/>
    <w:rsid w:val="00E73665"/>
    <w:rsid w:val="00E73999"/>
    <w:rsid w:val="00E73BDC"/>
    <w:rsid w:val="00E73E9E"/>
    <w:rsid w:val="00E749C7"/>
    <w:rsid w:val="00E77F24"/>
    <w:rsid w:val="00E80ED0"/>
    <w:rsid w:val="00E81660"/>
    <w:rsid w:val="00E854FE"/>
    <w:rsid w:val="00E86CA7"/>
    <w:rsid w:val="00E879AE"/>
    <w:rsid w:val="00E906CC"/>
    <w:rsid w:val="00E939A0"/>
    <w:rsid w:val="00E94275"/>
    <w:rsid w:val="00E97E4E"/>
    <w:rsid w:val="00EA1CC2"/>
    <w:rsid w:val="00EA27A6"/>
    <w:rsid w:val="00EA2D76"/>
    <w:rsid w:val="00EA4644"/>
    <w:rsid w:val="00EA758A"/>
    <w:rsid w:val="00EB096F"/>
    <w:rsid w:val="00EB199F"/>
    <w:rsid w:val="00EB21A4"/>
    <w:rsid w:val="00EB27C4"/>
    <w:rsid w:val="00EB45C2"/>
    <w:rsid w:val="00EB5387"/>
    <w:rsid w:val="00EB5C10"/>
    <w:rsid w:val="00EB5C5A"/>
    <w:rsid w:val="00EB5EA4"/>
    <w:rsid w:val="00EB7322"/>
    <w:rsid w:val="00EC0FE9"/>
    <w:rsid w:val="00EC198B"/>
    <w:rsid w:val="00EC426D"/>
    <w:rsid w:val="00EC571B"/>
    <w:rsid w:val="00EC57D7"/>
    <w:rsid w:val="00EC6385"/>
    <w:rsid w:val="00ED1DE9"/>
    <w:rsid w:val="00ED23D4"/>
    <w:rsid w:val="00ED5E0B"/>
    <w:rsid w:val="00EE3093"/>
    <w:rsid w:val="00EE37B6"/>
    <w:rsid w:val="00EF0F45"/>
    <w:rsid w:val="00EF5568"/>
    <w:rsid w:val="00EF7463"/>
    <w:rsid w:val="00EF7971"/>
    <w:rsid w:val="00F002EF"/>
    <w:rsid w:val="00F00EC8"/>
    <w:rsid w:val="00F01EE9"/>
    <w:rsid w:val="00F04900"/>
    <w:rsid w:val="00F065A4"/>
    <w:rsid w:val="00F0681C"/>
    <w:rsid w:val="00F112DD"/>
    <w:rsid w:val="00F126B9"/>
    <w:rsid w:val="00F12715"/>
    <w:rsid w:val="00F144D5"/>
    <w:rsid w:val="00F146F0"/>
    <w:rsid w:val="00F15039"/>
    <w:rsid w:val="00F177D1"/>
    <w:rsid w:val="00F20003"/>
    <w:rsid w:val="00F20FF3"/>
    <w:rsid w:val="00F2190B"/>
    <w:rsid w:val="00F21E8D"/>
    <w:rsid w:val="00F228B5"/>
    <w:rsid w:val="00F2389C"/>
    <w:rsid w:val="00F23927"/>
    <w:rsid w:val="00F25C67"/>
    <w:rsid w:val="00F30DFF"/>
    <w:rsid w:val="00F32B80"/>
    <w:rsid w:val="00F340EB"/>
    <w:rsid w:val="00F35285"/>
    <w:rsid w:val="00F35EE0"/>
    <w:rsid w:val="00F37A77"/>
    <w:rsid w:val="00F37B05"/>
    <w:rsid w:val="00F42776"/>
    <w:rsid w:val="00F43B9D"/>
    <w:rsid w:val="00F43CD3"/>
    <w:rsid w:val="00F44D5E"/>
    <w:rsid w:val="00F51A2D"/>
    <w:rsid w:val="00F52EFC"/>
    <w:rsid w:val="00F53A35"/>
    <w:rsid w:val="00F55A3D"/>
    <w:rsid w:val="00F5744B"/>
    <w:rsid w:val="00F61209"/>
    <w:rsid w:val="00F62579"/>
    <w:rsid w:val="00F6259E"/>
    <w:rsid w:val="00F65795"/>
    <w:rsid w:val="00F65AEE"/>
    <w:rsid w:val="00F65DD4"/>
    <w:rsid w:val="00F6670D"/>
    <w:rsid w:val="00F67286"/>
    <w:rsid w:val="00F672B2"/>
    <w:rsid w:val="00F738EB"/>
    <w:rsid w:val="00F744E3"/>
    <w:rsid w:val="00F756CB"/>
    <w:rsid w:val="00F8111A"/>
    <w:rsid w:val="00F82BF0"/>
    <w:rsid w:val="00F83973"/>
    <w:rsid w:val="00F83DB3"/>
    <w:rsid w:val="00F87FA3"/>
    <w:rsid w:val="00F93D8C"/>
    <w:rsid w:val="00F94219"/>
    <w:rsid w:val="00F95472"/>
    <w:rsid w:val="00F95CA9"/>
    <w:rsid w:val="00F978A8"/>
    <w:rsid w:val="00FA1231"/>
    <w:rsid w:val="00FA29BF"/>
    <w:rsid w:val="00FA3102"/>
    <w:rsid w:val="00FA48D4"/>
    <w:rsid w:val="00FA54FA"/>
    <w:rsid w:val="00FA684C"/>
    <w:rsid w:val="00FA6D39"/>
    <w:rsid w:val="00FA7EBD"/>
    <w:rsid w:val="00FB227E"/>
    <w:rsid w:val="00FB38FC"/>
    <w:rsid w:val="00FB3D61"/>
    <w:rsid w:val="00FB44CE"/>
    <w:rsid w:val="00FB5009"/>
    <w:rsid w:val="00FB76AB"/>
    <w:rsid w:val="00FC0FD0"/>
    <w:rsid w:val="00FC577E"/>
    <w:rsid w:val="00FD03FE"/>
    <w:rsid w:val="00FD126E"/>
    <w:rsid w:val="00FD3C36"/>
    <w:rsid w:val="00FD4D81"/>
    <w:rsid w:val="00FD50EE"/>
    <w:rsid w:val="00FD7498"/>
    <w:rsid w:val="00FD7FB3"/>
    <w:rsid w:val="00FE276D"/>
    <w:rsid w:val="00FE4713"/>
    <w:rsid w:val="00FE6EC0"/>
    <w:rsid w:val="00FF1F44"/>
    <w:rsid w:val="00FF225E"/>
    <w:rsid w:val="00FF672C"/>
    <w:rsid w:val="00FF6CE8"/>
    <w:rsid w:val="00FF72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D2110"/>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pPr>
        <w:spacing w:after="360" w:line="360"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3541"/>
    <w:rPr>
      <w:sz w:val="24"/>
      <w:szCs w:val="24"/>
    </w:rPr>
  </w:style>
  <w:style w:type="paragraph" w:styleId="Heading1">
    <w:name w:val="heading 1"/>
    <w:basedOn w:val="Normal"/>
    <w:next w:val="Paragraph"/>
    <w:link w:val="Heading1Char"/>
    <w:uiPriority w:val="9"/>
    <w:qFormat/>
    <w:rsid w:val="00E26CFF"/>
    <w:pPr>
      <w:keepNext/>
      <w:spacing w:before="360" w:after="60"/>
      <w:ind w:right="567"/>
      <w:contextualSpacing/>
      <w:outlineLvl w:val="0"/>
    </w:pPr>
    <w:rPr>
      <w:b/>
      <w:bCs/>
      <w:kern w:val="32"/>
      <w:szCs w:val="32"/>
    </w:rPr>
  </w:style>
  <w:style w:type="paragraph" w:styleId="Heading2">
    <w:name w:val="heading 2"/>
    <w:basedOn w:val="Heading1"/>
    <w:next w:val="Paragraph"/>
    <w:link w:val="Heading2Char"/>
    <w:uiPriority w:val="9"/>
    <w:qFormat/>
    <w:rsid w:val="00E26CFF"/>
    <w:pPr>
      <w:outlineLvl w:val="1"/>
    </w:pPr>
    <w:rPr>
      <w:i/>
      <w:iCs/>
    </w:rPr>
  </w:style>
  <w:style w:type="paragraph" w:styleId="Heading3">
    <w:name w:val="heading 3"/>
    <w:basedOn w:val="Normal"/>
    <w:next w:val="Paragraph"/>
    <w:link w:val="Heading3Char"/>
    <w:qFormat/>
    <w:rsid w:val="00DF7EE2"/>
    <w:pPr>
      <w:keepNext/>
      <w:spacing w:before="360" w:after="60"/>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pPr>
    <w:rPr>
      <w:b/>
      <w:sz w:val="28"/>
    </w:rPr>
  </w:style>
  <w:style w:type="paragraph" w:customStyle="1" w:styleId="Authornames">
    <w:name w:val="Author names"/>
    <w:basedOn w:val="Normal"/>
    <w:next w:val="Normal"/>
    <w:qFormat/>
    <w:rsid w:val="00F04900"/>
    <w:pPr>
      <w:spacing w:before="240"/>
    </w:pPr>
    <w:rPr>
      <w:sz w:val="28"/>
    </w:rPr>
  </w:style>
  <w:style w:type="paragraph" w:customStyle="1" w:styleId="Affiliation">
    <w:name w:val="Affiliation"/>
    <w:basedOn w:val="Normal"/>
    <w:qFormat/>
    <w:rsid w:val="00F04900"/>
    <w:pPr>
      <w:spacing w:before="240"/>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ind w:left="720" w:right="567"/>
    </w:pPr>
    <w:rPr>
      <w:sz w:val="22"/>
    </w:rPr>
  </w:style>
  <w:style w:type="paragraph" w:customStyle="1" w:styleId="Keywords">
    <w:name w:val="Keywords"/>
    <w:basedOn w:val="Normal"/>
    <w:next w:val="Paragraph"/>
    <w:qFormat/>
    <w:rsid w:val="00BB1270"/>
    <w:pPr>
      <w:spacing w:before="240" w:after="240"/>
      <w:ind w:left="720" w:right="567"/>
    </w:pPr>
    <w:rPr>
      <w:sz w:val="22"/>
    </w:rPr>
  </w:style>
  <w:style w:type="paragraph" w:customStyle="1" w:styleId="Correspondencedetails">
    <w:name w:val="Correspondence details"/>
    <w:basedOn w:val="Normal"/>
    <w:qFormat/>
    <w:rsid w:val="00F04900"/>
    <w:pPr>
      <w:spacing w:before="240"/>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pPr>
    <w:rPr>
      <w:sz w:val="22"/>
    </w:rPr>
  </w:style>
  <w:style w:type="paragraph" w:customStyle="1" w:styleId="Tabletitle">
    <w:name w:val="Table title"/>
    <w:basedOn w:val="Normal"/>
    <w:next w:val="Normal"/>
    <w:qFormat/>
    <w:rsid w:val="0031686C"/>
    <w:pPr>
      <w:spacing w:before="240"/>
    </w:pPr>
  </w:style>
  <w:style w:type="paragraph" w:customStyle="1" w:styleId="Figurecaption">
    <w:name w:val="Figure caption"/>
    <w:basedOn w:val="Caption"/>
    <w:next w:val="Normal"/>
    <w:qFormat/>
    <w:rsid w:val="008D013D"/>
    <w:rPr>
      <w:color w:val="auto"/>
    </w:rPr>
  </w:style>
  <w:style w:type="paragraph" w:customStyle="1" w:styleId="Footnotes">
    <w:name w:val="Footnotes"/>
    <w:basedOn w:val="Normal"/>
    <w:qFormat/>
    <w:rsid w:val="006C6936"/>
    <w:pPr>
      <w:spacing w:before="120"/>
      <w:ind w:left="482" w:hanging="482"/>
      <w:contextualSpacing/>
    </w:pPr>
    <w:rPr>
      <w:sz w:val="22"/>
    </w:rPr>
  </w:style>
  <w:style w:type="paragraph" w:customStyle="1" w:styleId="Notesoncontributors">
    <w:name w:val="Notes on contributors"/>
    <w:basedOn w:val="Normal"/>
    <w:qFormat/>
    <w:rsid w:val="00F04900"/>
    <w:pPr>
      <w:spacing w:before="240"/>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E26CFF"/>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uiPriority w:val="9"/>
    <w:rsid w:val="00E26CFF"/>
    <w:rPr>
      <w:b/>
      <w:bCs/>
      <w:i/>
      <w:iCs/>
      <w:kern w:val="32"/>
      <w:sz w:val="24"/>
      <w:szCs w:val="32"/>
    </w:rPr>
  </w:style>
  <w:style w:type="character" w:customStyle="1" w:styleId="Heading1Char">
    <w:name w:val="Heading 1 Char"/>
    <w:basedOn w:val="DefaultParagraphFont"/>
    <w:link w:val="Heading1"/>
    <w:uiPriority w:val="9"/>
    <w:rsid w:val="00E26CFF"/>
    <w:rPr>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Revision">
    <w:name w:val="Revision"/>
    <w:hidden/>
    <w:semiHidden/>
    <w:rsid w:val="00D3439E"/>
    <w:rPr>
      <w:sz w:val="24"/>
      <w:szCs w:val="24"/>
    </w:rPr>
  </w:style>
  <w:style w:type="paragraph" w:styleId="NormalWeb">
    <w:name w:val="Normal (Web)"/>
    <w:basedOn w:val="Normal"/>
    <w:uiPriority w:val="99"/>
    <w:semiHidden/>
    <w:unhideWhenUsed/>
    <w:rsid w:val="00D3439E"/>
    <w:pPr>
      <w:spacing w:before="100" w:beforeAutospacing="1" w:after="100" w:afterAutospacing="1" w:line="240" w:lineRule="auto"/>
    </w:pPr>
  </w:style>
  <w:style w:type="character" w:styleId="Hyperlink">
    <w:name w:val="Hyperlink"/>
    <w:basedOn w:val="DefaultParagraphFont"/>
    <w:uiPriority w:val="99"/>
    <w:unhideWhenUsed/>
    <w:rsid w:val="001D2E4E"/>
    <w:rPr>
      <w:color w:val="0000FF"/>
      <w:u w:val="single"/>
    </w:rPr>
  </w:style>
  <w:style w:type="paragraph" w:styleId="Caption">
    <w:name w:val="caption"/>
    <w:basedOn w:val="Normal"/>
    <w:next w:val="Normal"/>
    <w:uiPriority w:val="35"/>
    <w:unhideWhenUsed/>
    <w:qFormat/>
    <w:rsid w:val="00E26CFF"/>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056AD6"/>
    <w:rPr>
      <w:sz w:val="16"/>
      <w:szCs w:val="16"/>
    </w:rPr>
  </w:style>
  <w:style w:type="paragraph" w:styleId="CommentText">
    <w:name w:val="annotation text"/>
    <w:basedOn w:val="Normal"/>
    <w:link w:val="CommentTextChar"/>
    <w:uiPriority w:val="99"/>
    <w:unhideWhenUsed/>
    <w:rsid w:val="00056AD6"/>
    <w:pPr>
      <w:spacing w:line="240" w:lineRule="auto"/>
    </w:pPr>
    <w:rPr>
      <w:sz w:val="20"/>
      <w:szCs w:val="20"/>
    </w:rPr>
  </w:style>
  <w:style w:type="character" w:customStyle="1" w:styleId="CommentTextChar">
    <w:name w:val="Comment Text Char"/>
    <w:basedOn w:val="DefaultParagraphFont"/>
    <w:link w:val="CommentText"/>
    <w:uiPriority w:val="99"/>
    <w:rsid w:val="00056AD6"/>
  </w:style>
  <w:style w:type="paragraph" w:styleId="CommentSubject">
    <w:name w:val="annotation subject"/>
    <w:basedOn w:val="CommentText"/>
    <w:next w:val="CommentText"/>
    <w:link w:val="CommentSubjectChar"/>
    <w:semiHidden/>
    <w:unhideWhenUsed/>
    <w:rsid w:val="00056AD6"/>
    <w:rPr>
      <w:b/>
      <w:bCs/>
    </w:rPr>
  </w:style>
  <w:style w:type="character" w:customStyle="1" w:styleId="CommentSubjectChar">
    <w:name w:val="Comment Subject Char"/>
    <w:basedOn w:val="CommentTextChar"/>
    <w:link w:val="CommentSubject"/>
    <w:semiHidden/>
    <w:rsid w:val="00056AD6"/>
    <w:rPr>
      <w:b/>
      <w:bCs/>
    </w:rPr>
  </w:style>
  <w:style w:type="paragraph" w:styleId="BalloonText">
    <w:name w:val="Balloon Text"/>
    <w:basedOn w:val="Normal"/>
    <w:link w:val="BalloonTextChar"/>
    <w:semiHidden/>
    <w:unhideWhenUsed/>
    <w:rsid w:val="00056AD6"/>
    <w:pPr>
      <w:spacing w:line="240" w:lineRule="auto"/>
    </w:pPr>
    <w:rPr>
      <w:sz w:val="18"/>
      <w:szCs w:val="18"/>
    </w:rPr>
  </w:style>
  <w:style w:type="character" w:customStyle="1" w:styleId="BalloonTextChar">
    <w:name w:val="Balloon Text Char"/>
    <w:basedOn w:val="DefaultParagraphFont"/>
    <w:link w:val="BalloonText"/>
    <w:semiHidden/>
    <w:rsid w:val="00056AD6"/>
    <w:rPr>
      <w:sz w:val="18"/>
      <w:szCs w:val="18"/>
    </w:rPr>
  </w:style>
  <w:style w:type="character" w:styleId="PlaceholderText">
    <w:name w:val="Placeholder Text"/>
    <w:basedOn w:val="DefaultParagraphFont"/>
    <w:semiHidden/>
    <w:rsid w:val="00C7257F"/>
    <w:rPr>
      <w:color w:val="808080"/>
    </w:rPr>
  </w:style>
  <w:style w:type="paragraph" w:customStyle="1" w:styleId="BodyText">
    <w:name w:val="BodyText"/>
    <w:basedOn w:val="Normal"/>
    <w:qFormat/>
    <w:rsid w:val="00661B9E"/>
    <w:pPr>
      <w:spacing w:line="364" w:lineRule="auto"/>
      <w:ind w:left="-5" w:right="58"/>
    </w:pPr>
  </w:style>
  <w:style w:type="paragraph" w:styleId="Bibliography">
    <w:name w:val="Bibliography"/>
    <w:basedOn w:val="Normal"/>
    <w:next w:val="Normal"/>
    <w:unhideWhenUsed/>
    <w:rsid w:val="008A4B89"/>
    <w:pPr>
      <w:ind w:left="720" w:hanging="720"/>
    </w:pPr>
  </w:style>
  <w:style w:type="character" w:styleId="FollowedHyperlink">
    <w:name w:val="FollowedHyperlink"/>
    <w:basedOn w:val="DefaultParagraphFont"/>
    <w:semiHidden/>
    <w:unhideWhenUsed/>
    <w:rsid w:val="00765C8B"/>
    <w:rPr>
      <w:color w:val="800080" w:themeColor="followedHyperlink"/>
      <w:u w:val="single"/>
    </w:rPr>
  </w:style>
  <w:style w:type="character" w:styleId="UnresolvedMention">
    <w:name w:val="Unresolved Mention"/>
    <w:basedOn w:val="DefaultParagraphFont"/>
    <w:uiPriority w:val="99"/>
    <w:semiHidden/>
    <w:unhideWhenUsed/>
    <w:rsid w:val="00765C8B"/>
    <w:rPr>
      <w:color w:val="605E5C"/>
      <w:shd w:val="clear" w:color="auto" w:fill="E1DFDD"/>
    </w:rPr>
  </w:style>
  <w:style w:type="paragraph" w:styleId="ListParagraph">
    <w:name w:val="List Paragraph"/>
    <w:basedOn w:val="Normal"/>
    <w:rsid w:val="006145DE"/>
    <w:pPr>
      <w:ind w:left="720"/>
      <w:contextualSpacing/>
    </w:pPr>
  </w:style>
  <w:style w:type="character" w:styleId="LineNumber">
    <w:name w:val="line number"/>
    <w:basedOn w:val="DefaultParagraphFont"/>
    <w:semiHidden/>
    <w:unhideWhenUsed/>
    <w:rsid w:val="006E2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967640">
      <w:bodyDiv w:val="1"/>
      <w:marLeft w:val="0"/>
      <w:marRight w:val="0"/>
      <w:marTop w:val="0"/>
      <w:marBottom w:val="0"/>
      <w:divBdr>
        <w:top w:val="none" w:sz="0" w:space="0" w:color="auto"/>
        <w:left w:val="none" w:sz="0" w:space="0" w:color="auto"/>
        <w:bottom w:val="none" w:sz="0" w:space="0" w:color="auto"/>
        <w:right w:val="none" w:sz="0" w:space="0" w:color="auto"/>
      </w:divBdr>
    </w:div>
    <w:div w:id="377705873">
      <w:bodyDiv w:val="1"/>
      <w:marLeft w:val="0"/>
      <w:marRight w:val="0"/>
      <w:marTop w:val="0"/>
      <w:marBottom w:val="0"/>
      <w:divBdr>
        <w:top w:val="none" w:sz="0" w:space="0" w:color="auto"/>
        <w:left w:val="none" w:sz="0" w:space="0" w:color="auto"/>
        <w:bottom w:val="none" w:sz="0" w:space="0" w:color="auto"/>
        <w:right w:val="none" w:sz="0" w:space="0" w:color="auto"/>
      </w:divBdr>
    </w:div>
    <w:div w:id="412315858">
      <w:bodyDiv w:val="1"/>
      <w:marLeft w:val="0"/>
      <w:marRight w:val="0"/>
      <w:marTop w:val="0"/>
      <w:marBottom w:val="0"/>
      <w:divBdr>
        <w:top w:val="none" w:sz="0" w:space="0" w:color="auto"/>
        <w:left w:val="none" w:sz="0" w:space="0" w:color="auto"/>
        <w:bottom w:val="none" w:sz="0" w:space="0" w:color="auto"/>
        <w:right w:val="none" w:sz="0" w:space="0" w:color="auto"/>
      </w:divBdr>
    </w:div>
    <w:div w:id="650712041">
      <w:bodyDiv w:val="1"/>
      <w:marLeft w:val="0"/>
      <w:marRight w:val="0"/>
      <w:marTop w:val="0"/>
      <w:marBottom w:val="0"/>
      <w:divBdr>
        <w:top w:val="none" w:sz="0" w:space="0" w:color="auto"/>
        <w:left w:val="none" w:sz="0" w:space="0" w:color="auto"/>
        <w:bottom w:val="none" w:sz="0" w:space="0" w:color="auto"/>
        <w:right w:val="none" w:sz="0" w:space="0" w:color="auto"/>
      </w:divBdr>
    </w:div>
    <w:div w:id="719477824">
      <w:bodyDiv w:val="1"/>
      <w:marLeft w:val="0"/>
      <w:marRight w:val="0"/>
      <w:marTop w:val="0"/>
      <w:marBottom w:val="0"/>
      <w:divBdr>
        <w:top w:val="none" w:sz="0" w:space="0" w:color="auto"/>
        <w:left w:val="none" w:sz="0" w:space="0" w:color="auto"/>
        <w:bottom w:val="none" w:sz="0" w:space="0" w:color="auto"/>
        <w:right w:val="none" w:sz="0" w:space="0" w:color="auto"/>
      </w:divBdr>
      <w:divsChild>
        <w:div w:id="272713691">
          <w:marLeft w:val="0"/>
          <w:marRight w:val="0"/>
          <w:marTop w:val="0"/>
          <w:marBottom w:val="0"/>
          <w:divBdr>
            <w:top w:val="none" w:sz="0" w:space="0" w:color="auto"/>
            <w:left w:val="none" w:sz="0" w:space="0" w:color="auto"/>
            <w:bottom w:val="none" w:sz="0" w:space="0" w:color="auto"/>
            <w:right w:val="none" w:sz="0" w:space="0" w:color="auto"/>
          </w:divBdr>
          <w:divsChild>
            <w:div w:id="1123231113">
              <w:marLeft w:val="0"/>
              <w:marRight w:val="0"/>
              <w:marTop w:val="0"/>
              <w:marBottom w:val="0"/>
              <w:divBdr>
                <w:top w:val="none" w:sz="0" w:space="0" w:color="auto"/>
                <w:left w:val="none" w:sz="0" w:space="0" w:color="auto"/>
                <w:bottom w:val="none" w:sz="0" w:space="0" w:color="auto"/>
                <w:right w:val="none" w:sz="0" w:space="0" w:color="auto"/>
              </w:divBdr>
              <w:divsChild>
                <w:div w:id="14874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19665">
      <w:bodyDiv w:val="1"/>
      <w:marLeft w:val="0"/>
      <w:marRight w:val="0"/>
      <w:marTop w:val="0"/>
      <w:marBottom w:val="0"/>
      <w:divBdr>
        <w:top w:val="none" w:sz="0" w:space="0" w:color="auto"/>
        <w:left w:val="none" w:sz="0" w:space="0" w:color="auto"/>
        <w:bottom w:val="none" w:sz="0" w:space="0" w:color="auto"/>
        <w:right w:val="none" w:sz="0" w:space="0" w:color="auto"/>
      </w:divBdr>
      <w:divsChild>
        <w:div w:id="1758597045">
          <w:marLeft w:val="0"/>
          <w:marRight w:val="0"/>
          <w:marTop w:val="0"/>
          <w:marBottom w:val="0"/>
          <w:divBdr>
            <w:top w:val="none" w:sz="0" w:space="0" w:color="auto"/>
            <w:left w:val="none" w:sz="0" w:space="0" w:color="auto"/>
            <w:bottom w:val="none" w:sz="0" w:space="0" w:color="auto"/>
            <w:right w:val="none" w:sz="0" w:space="0" w:color="auto"/>
          </w:divBdr>
          <w:divsChild>
            <w:div w:id="1898125246">
              <w:marLeft w:val="0"/>
              <w:marRight w:val="0"/>
              <w:marTop w:val="0"/>
              <w:marBottom w:val="0"/>
              <w:divBdr>
                <w:top w:val="none" w:sz="0" w:space="0" w:color="auto"/>
                <w:left w:val="none" w:sz="0" w:space="0" w:color="auto"/>
                <w:bottom w:val="none" w:sz="0" w:space="0" w:color="auto"/>
                <w:right w:val="none" w:sz="0" w:space="0" w:color="auto"/>
              </w:divBdr>
              <w:divsChild>
                <w:div w:id="16116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93683">
      <w:bodyDiv w:val="1"/>
      <w:marLeft w:val="0"/>
      <w:marRight w:val="0"/>
      <w:marTop w:val="0"/>
      <w:marBottom w:val="0"/>
      <w:divBdr>
        <w:top w:val="none" w:sz="0" w:space="0" w:color="auto"/>
        <w:left w:val="none" w:sz="0" w:space="0" w:color="auto"/>
        <w:bottom w:val="none" w:sz="0" w:space="0" w:color="auto"/>
        <w:right w:val="none" w:sz="0" w:space="0" w:color="auto"/>
      </w:divBdr>
    </w:div>
    <w:div w:id="857085769">
      <w:bodyDiv w:val="1"/>
      <w:marLeft w:val="0"/>
      <w:marRight w:val="0"/>
      <w:marTop w:val="0"/>
      <w:marBottom w:val="0"/>
      <w:divBdr>
        <w:top w:val="none" w:sz="0" w:space="0" w:color="auto"/>
        <w:left w:val="none" w:sz="0" w:space="0" w:color="auto"/>
        <w:bottom w:val="none" w:sz="0" w:space="0" w:color="auto"/>
        <w:right w:val="none" w:sz="0" w:space="0" w:color="auto"/>
      </w:divBdr>
    </w:div>
    <w:div w:id="900940605">
      <w:bodyDiv w:val="1"/>
      <w:marLeft w:val="0"/>
      <w:marRight w:val="0"/>
      <w:marTop w:val="0"/>
      <w:marBottom w:val="0"/>
      <w:divBdr>
        <w:top w:val="none" w:sz="0" w:space="0" w:color="auto"/>
        <w:left w:val="none" w:sz="0" w:space="0" w:color="auto"/>
        <w:bottom w:val="none" w:sz="0" w:space="0" w:color="auto"/>
        <w:right w:val="none" w:sz="0" w:space="0" w:color="auto"/>
      </w:divBdr>
      <w:divsChild>
        <w:div w:id="458113083">
          <w:marLeft w:val="0"/>
          <w:marRight w:val="0"/>
          <w:marTop w:val="0"/>
          <w:marBottom w:val="0"/>
          <w:divBdr>
            <w:top w:val="none" w:sz="0" w:space="0" w:color="auto"/>
            <w:left w:val="none" w:sz="0" w:space="0" w:color="auto"/>
            <w:bottom w:val="none" w:sz="0" w:space="0" w:color="auto"/>
            <w:right w:val="none" w:sz="0" w:space="0" w:color="auto"/>
          </w:divBdr>
          <w:divsChild>
            <w:div w:id="1595938741">
              <w:marLeft w:val="0"/>
              <w:marRight w:val="0"/>
              <w:marTop w:val="0"/>
              <w:marBottom w:val="0"/>
              <w:divBdr>
                <w:top w:val="none" w:sz="0" w:space="0" w:color="auto"/>
                <w:left w:val="none" w:sz="0" w:space="0" w:color="auto"/>
                <w:bottom w:val="none" w:sz="0" w:space="0" w:color="auto"/>
                <w:right w:val="none" w:sz="0" w:space="0" w:color="auto"/>
              </w:divBdr>
              <w:divsChild>
                <w:div w:id="5101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91509321">
      <w:bodyDiv w:val="1"/>
      <w:marLeft w:val="0"/>
      <w:marRight w:val="0"/>
      <w:marTop w:val="0"/>
      <w:marBottom w:val="0"/>
      <w:divBdr>
        <w:top w:val="none" w:sz="0" w:space="0" w:color="auto"/>
        <w:left w:val="none" w:sz="0" w:space="0" w:color="auto"/>
        <w:bottom w:val="none" w:sz="0" w:space="0" w:color="auto"/>
        <w:right w:val="none" w:sz="0" w:space="0" w:color="auto"/>
      </w:divBdr>
    </w:div>
    <w:div w:id="1256750434">
      <w:bodyDiv w:val="1"/>
      <w:marLeft w:val="0"/>
      <w:marRight w:val="0"/>
      <w:marTop w:val="0"/>
      <w:marBottom w:val="0"/>
      <w:divBdr>
        <w:top w:val="none" w:sz="0" w:space="0" w:color="auto"/>
        <w:left w:val="none" w:sz="0" w:space="0" w:color="auto"/>
        <w:bottom w:val="none" w:sz="0" w:space="0" w:color="auto"/>
        <w:right w:val="none" w:sz="0" w:space="0" w:color="auto"/>
      </w:divBdr>
    </w:div>
    <w:div w:id="1281105355">
      <w:bodyDiv w:val="1"/>
      <w:marLeft w:val="0"/>
      <w:marRight w:val="0"/>
      <w:marTop w:val="0"/>
      <w:marBottom w:val="0"/>
      <w:divBdr>
        <w:top w:val="none" w:sz="0" w:space="0" w:color="auto"/>
        <w:left w:val="none" w:sz="0" w:space="0" w:color="auto"/>
        <w:bottom w:val="none" w:sz="0" w:space="0" w:color="auto"/>
        <w:right w:val="none" w:sz="0" w:space="0" w:color="auto"/>
      </w:divBdr>
    </w:div>
    <w:div w:id="1370959041">
      <w:bodyDiv w:val="1"/>
      <w:marLeft w:val="0"/>
      <w:marRight w:val="0"/>
      <w:marTop w:val="0"/>
      <w:marBottom w:val="0"/>
      <w:divBdr>
        <w:top w:val="none" w:sz="0" w:space="0" w:color="auto"/>
        <w:left w:val="none" w:sz="0" w:space="0" w:color="auto"/>
        <w:bottom w:val="none" w:sz="0" w:space="0" w:color="auto"/>
        <w:right w:val="none" w:sz="0" w:space="0" w:color="auto"/>
      </w:divBdr>
      <w:divsChild>
        <w:div w:id="638389408">
          <w:marLeft w:val="-115"/>
          <w:marRight w:val="0"/>
          <w:marTop w:val="0"/>
          <w:marBottom w:val="0"/>
          <w:divBdr>
            <w:top w:val="none" w:sz="0" w:space="0" w:color="auto"/>
            <w:left w:val="none" w:sz="0" w:space="0" w:color="auto"/>
            <w:bottom w:val="none" w:sz="0" w:space="0" w:color="auto"/>
            <w:right w:val="none" w:sz="0" w:space="0" w:color="auto"/>
          </w:divBdr>
        </w:div>
        <w:div w:id="689647239">
          <w:marLeft w:val="-115"/>
          <w:marRight w:val="0"/>
          <w:marTop w:val="0"/>
          <w:marBottom w:val="0"/>
          <w:divBdr>
            <w:top w:val="none" w:sz="0" w:space="0" w:color="auto"/>
            <w:left w:val="none" w:sz="0" w:space="0" w:color="auto"/>
            <w:bottom w:val="none" w:sz="0" w:space="0" w:color="auto"/>
            <w:right w:val="none" w:sz="0" w:space="0" w:color="auto"/>
          </w:divBdr>
        </w:div>
        <w:div w:id="1277561779">
          <w:marLeft w:val="-115"/>
          <w:marRight w:val="0"/>
          <w:marTop w:val="0"/>
          <w:marBottom w:val="0"/>
          <w:divBdr>
            <w:top w:val="none" w:sz="0" w:space="0" w:color="auto"/>
            <w:left w:val="none" w:sz="0" w:space="0" w:color="auto"/>
            <w:bottom w:val="none" w:sz="0" w:space="0" w:color="auto"/>
            <w:right w:val="none" w:sz="0" w:space="0" w:color="auto"/>
          </w:divBdr>
        </w:div>
        <w:div w:id="1656761085">
          <w:marLeft w:val="-115"/>
          <w:marRight w:val="0"/>
          <w:marTop w:val="0"/>
          <w:marBottom w:val="0"/>
          <w:divBdr>
            <w:top w:val="none" w:sz="0" w:space="0" w:color="auto"/>
            <w:left w:val="none" w:sz="0" w:space="0" w:color="auto"/>
            <w:bottom w:val="none" w:sz="0" w:space="0" w:color="auto"/>
            <w:right w:val="none" w:sz="0" w:space="0" w:color="auto"/>
          </w:divBdr>
        </w:div>
        <w:div w:id="1797016849">
          <w:marLeft w:val="-115"/>
          <w:marRight w:val="0"/>
          <w:marTop w:val="0"/>
          <w:marBottom w:val="0"/>
          <w:divBdr>
            <w:top w:val="none" w:sz="0" w:space="0" w:color="auto"/>
            <w:left w:val="none" w:sz="0" w:space="0" w:color="auto"/>
            <w:bottom w:val="none" w:sz="0" w:space="0" w:color="auto"/>
            <w:right w:val="none" w:sz="0" w:space="0" w:color="auto"/>
          </w:divBdr>
        </w:div>
      </w:divsChild>
    </w:div>
    <w:div w:id="1398748665">
      <w:bodyDiv w:val="1"/>
      <w:marLeft w:val="0"/>
      <w:marRight w:val="0"/>
      <w:marTop w:val="0"/>
      <w:marBottom w:val="0"/>
      <w:divBdr>
        <w:top w:val="none" w:sz="0" w:space="0" w:color="auto"/>
        <w:left w:val="none" w:sz="0" w:space="0" w:color="auto"/>
        <w:bottom w:val="none" w:sz="0" w:space="0" w:color="auto"/>
        <w:right w:val="none" w:sz="0" w:space="0" w:color="auto"/>
      </w:divBdr>
    </w:div>
    <w:div w:id="1473987722">
      <w:bodyDiv w:val="1"/>
      <w:marLeft w:val="0"/>
      <w:marRight w:val="0"/>
      <w:marTop w:val="0"/>
      <w:marBottom w:val="0"/>
      <w:divBdr>
        <w:top w:val="none" w:sz="0" w:space="0" w:color="auto"/>
        <w:left w:val="none" w:sz="0" w:space="0" w:color="auto"/>
        <w:bottom w:val="none" w:sz="0" w:space="0" w:color="auto"/>
        <w:right w:val="none" w:sz="0" w:space="0" w:color="auto"/>
      </w:divBdr>
      <w:divsChild>
        <w:div w:id="536240093">
          <w:marLeft w:val="0"/>
          <w:marRight w:val="0"/>
          <w:marTop w:val="0"/>
          <w:marBottom w:val="0"/>
          <w:divBdr>
            <w:top w:val="none" w:sz="0" w:space="0" w:color="auto"/>
            <w:left w:val="none" w:sz="0" w:space="0" w:color="auto"/>
            <w:bottom w:val="none" w:sz="0" w:space="0" w:color="auto"/>
            <w:right w:val="none" w:sz="0" w:space="0" w:color="auto"/>
          </w:divBdr>
          <w:divsChild>
            <w:div w:id="944994130">
              <w:marLeft w:val="0"/>
              <w:marRight w:val="0"/>
              <w:marTop w:val="0"/>
              <w:marBottom w:val="0"/>
              <w:divBdr>
                <w:top w:val="none" w:sz="0" w:space="0" w:color="auto"/>
                <w:left w:val="none" w:sz="0" w:space="0" w:color="auto"/>
                <w:bottom w:val="none" w:sz="0" w:space="0" w:color="auto"/>
                <w:right w:val="none" w:sz="0" w:space="0" w:color="auto"/>
              </w:divBdr>
              <w:divsChild>
                <w:div w:id="8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69676">
      <w:bodyDiv w:val="1"/>
      <w:marLeft w:val="0"/>
      <w:marRight w:val="0"/>
      <w:marTop w:val="0"/>
      <w:marBottom w:val="0"/>
      <w:divBdr>
        <w:top w:val="none" w:sz="0" w:space="0" w:color="auto"/>
        <w:left w:val="none" w:sz="0" w:space="0" w:color="auto"/>
        <w:bottom w:val="none" w:sz="0" w:space="0" w:color="auto"/>
        <w:right w:val="none" w:sz="0" w:space="0" w:color="auto"/>
      </w:divBdr>
      <w:divsChild>
        <w:div w:id="678505771">
          <w:marLeft w:val="0"/>
          <w:marRight w:val="0"/>
          <w:marTop w:val="0"/>
          <w:marBottom w:val="0"/>
          <w:divBdr>
            <w:top w:val="none" w:sz="0" w:space="0" w:color="auto"/>
            <w:left w:val="none" w:sz="0" w:space="0" w:color="auto"/>
            <w:bottom w:val="none" w:sz="0" w:space="0" w:color="auto"/>
            <w:right w:val="none" w:sz="0" w:space="0" w:color="auto"/>
          </w:divBdr>
          <w:divsChild>
            <w:div w:id="184489169">
              <w:marLeft w:val="0"/>
              <w:marRight w:val="0"/>
              <w:marTop w:val="0"/>
              <w:marBottom w:val="0"/>
              <w:divBdr>
                <w:top w:val="none" w:sz="0" w:space="0" w:color="auto"/>
                <w:left w:val="none" w:sz="0" w:space="0" w:color="auto"/>
                <w:bottom w:val="none" w:sz="0" w:space="0" w:color="auto"/>
                <w:right w:val="none" w:sz="0" w:space="0" w:color="auto"/>
              </w:divBdr>
              <w:divsChild>
                <w:div w:id="6119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72480">
      <w:bodyDiv w:val="1"/>
      <w:marLeft w:val="0"/>
      <w:marRight w:val="0"/>
      <w:marTop w:val="0"/>
      <w:marBottom w:val="0"/>
      <w:divBdr>
        <w:top w:val="none" w:sz="0" w:space="0" w:color="auto"/>
        <w:left w:val="none" w:sz="0" w:space="0" w:color="auto"/>
        <w:bottom w:val="none" w:sz="0" w:space="0" w:color="auto"/>
        <w:right w:val="none" w:sz="0" w:space="0" w:color="auto"/>
      </w:divBdr>
      <w:divsChild>
        <w:div w:id="58292782">
          <w:marLeft w:val="0"/>
          <w:marRight w:val="0"/>
          <w:marTop w:val="0"/>
          <w:marBottom w:val="0"/>
          <w:divBdr>
            <w:top w:val="none" w:sz="0" w:space="0" w:color="auto"/>
            <w:left w:val="none" w:sz="0" w:space="0" w:color="auto"/>
            <w:bottom w:val="none" w:sz="0" w:space="0" w:color="auto"/>
            <w:right w:val="none" w:sz="0" w:space="0" w:color="auto"/>
          </w:divBdr>
          <w:divsChild>
            <w:div w:id="1065377992">
              <w:marLeft w:val="0"/>
              <w:marRight w:val="0"/>
              <w:marTop w:val="0"/>
              <w:marBottom w:val="0"/>
              <w:divBdr>
                <w:top w:val="none" w:sz="0" w:space="0" w:color="auto"/>
                <w:left w:val="none" w:sz="0" w:space="0" w:color="auto"/>
                <w:bottom w:val="none" w:sz="0" w:space="0" w:color="auto"/>
                <w:right w:val="none" w:sz="0" w:space="0" w:color="auto"/>
              </w:divBdr>
              <w:divsChild>
                <w:div w:id="15477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5987">
      <w:bodyDiv w:val="1"/>
      <w:marLeft w:val="0"/>
      <w:marRight w:val="0"/>
      <w:marTop w:val="0"/>
      <w:marBottom w:val="0"/>
      <w:divBdr>
        <w:top w:val="none" w:sz="0" w:space="0" w:color="auto"/>
        <w:left w:val="none" w:sz="0" w:space="0" w:color="auto"/>
        <w:bottom w:val="none" w:sz="0" w:space="0" w:color="auto"/>
        <w:right w:val="none" w:sz="0" w:space="0" w:color="auto"/>
      </w:divBdr>
    </w:div>
    <w:div w:id="1605841588">
      <w:bodyDiv w:val="1"/>
      <w:marLeft w:val="0"/>
      <w:marRight w:val="0"/>
      <w:marTop w:val="0"/>
      <w:marBottom w:val="0"/>
      <w:divBdr>
        <w:top w:val="none" w:sz="0" w:space="0" w:color="auto"/>
        <w:left w:val="none" w:sz="0" w:space="0" w:color="auto"/>
        <w:bottom w:val="none" w:sz="0" w:space="0" w:color="auto"/>
        <w:right w:val="none" w:sz="0" w:space="0" w:color="auto"/>
      </w:divBdr>
    </w:div>
    <w:div w:id="1659726579">
      <w:bodyDiv w:val="1"/>
      <w:marLeft w:val="0"/>
      <w:marRight w:val="0"/>
      <w:marTop w:val="0"/>
      <w:marBottom w:val="0"/>
      <w:divBdr>
        <w:top w:val="none" w:sz="0" w:space="0" w:color="auto"/>
        <w:left w:val="none" w:sz="0" w:space="0" w:color="auto"/>
        <w:bottom w:val="none" w:sz="0" w:space="0" w:color="auto"/>
        <w:right w:val="none" w:sz="0" w:space="0" w:color="auto"/>
      </w:divBdr>
    </w:div>
    <w:div w:id="1756318372">
      <w:bodyDiv w:val="1"/>
      <w:marLeft w:val="0"/>
      <w:marRight w:val="0"/>
      <w:marTop w:val="0"/>
      <w:marBottom w:val="0"/>
      <w:divBdr>
        <w:top w:val="none" w:sz="0" w:space="0" w:color="auto"/>
        <w:left w:val="none" w:sz="0" w:space="0" w:color="auto"/>
        <w:bottom w:val="none" w:sz="0" w:space="0" w:color="auto"/>
        <w:right w:val="none" w:sz="0" w:space="0" w:color="auto"/>
      </w:divBdr>
    </w:div>
    <w:div w:id="1763842838">
      <w:bodyDiv w:val="1"/>
      <w:marLeft w:val="0"/>
      <w:marRight w:val="0"/>
      <w:marTop w:val="0"/>
      <w:marBottom w:val="0"/>
      <w:divBdr>
        <w:top w:val="none" w:sz="0" w:space="0" w:color="auto"/>
        <w:left w:val="none" w:sz="0" w:space="0" w:color="auto"/>
        <w:bottom w:val="none" w:sz="0" w:space="0" w:color="auto"/>
        <w:right w:val="none" w:sz="0" w:space="0" w:color="auto"/>
      </w:divBdr>
    </w:div>
    <w:div w:id="1858273590">
      <w:bodyDiv w:val="1"/>
      <w:marLeft w:val="0"/>
      <w:marRight w:val="0"/>
      <w:marTop w:val="0"/>
      <w:marBottom w:val="0"/>
      <w:divBdr>
        <w:top w:val="none" w:sz="0" w:space="0" w:color="auto"/>
        <w:left w:val="none" w:sz="0" w:space="0" w:color="auto"/>
        <w:bottom w:val="none" w:sz="0" w:space="0" w:color="auto"/>
        <w:right w:val="none" w:sz="0" w:space="0" w:color="auto"/>
      </w:divBdr>
    </w:div>
    <w:div w:id="1861819327">
      <w:bodyDiv w:val="1"/>
      <w:marLeft w:val="0"/>
      <w:marRight w:val="0"/>
      <w:marTop w:val="0"/>
      <w:marBottom w:val="0"/>
      <w:divBdr>
        <w:top w:val="none" w:sz="0" w:space="0" w:color="auto"/>
        <w:left w:val="none" w:sz="0" w:space="0" w:color="auto"/>
        <w:bottom w:val="none" w:sz="0" w:space="0" w:color="auto"/>
        <w:right w:val="none" w:sz="0" w:space="0" w:color="auto"/>
      </w:divBdr>
    </w:div>
    <w:div w:id="1870995515">
      <w:bodyDiv w:val="1"/>
      <w:marLeft w:val="0"/>
      <w:marRight w:val="0"/>
      <w:marTop w:val="0"/>
      <w:marBottom w:val="0"/>
      <w:divBdr>
        <w:top w:val="none" w:sz="0" w:space="0" w:color="auto"/>
        <w:left w:val="none" w:sz="0" w:space="0" w:color="auto"/>
        <w:bottom w:val="none" w:sz="0" w:space="0" w:color="auto"/>
        <w:right w:val="none" w:sz="0" w:space="0" w:color="auto"/>
      </w:divBdr>
      <w:divsChild>
        <w:div w:id="912354518">
          <w:marLeft w:val="0"/>
          <w:marRight w:val="0"/>
          <w:marTop w:val="0"/>
          <w:marBottom w:val="0"/>
          <w:divBdr>
            <w:top w:val="none" w:sz="0" w:space="0" w:color="auto"/>
            <w:left w:val="none" w:sz="0" w:space="0" w:color="auto"/>
            <w:bottom w:val="none" w:sz="0" w:space="0" w:color="auto"/>
            <w:right w:val="none" w:sz="0" w:space="0" w:color="auto"/>
          </w:divBdr>
          <w:divsChild>
            <w:div w:id="157381334">
              <w:marLeft w:val="0"/>
              <w:marRight w:val="0"/>
              <w:marTop w:val="0"/>
              <w:marBottom w:val="0"/>
              <w:divBdr>
                <w:top w:val="none" w:sz="0" w:space="0" w:color="auto"/>
                <w:left w:val="none" w:sz="0" w:space="0" w:color="auto"/>
                <w:bottom w:val="none" w:sz="0" w:space="0" w:color="auto"/>
                <w:right w:val="none" w:sz="0" w:space="0" w:color="auto"/>
              </w:divBdr>
              <w:divsChild>
                <w:div w:id="5556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7249">
      <w:bodyDiv w:val="1"/>
      <w:marLeft w:val="0"/>
      <w:marRight w:val="0"/>
      <w:marTop w:val="0"/>
      <w:marBottom w:val="0"/>
      <w:divBdr>
        <w:top w:val="none" w:sz="0" w:space="0" w:color="auto"/>
        <w:left w:val="none" w:sz="0" w:space="0" w:color="auto"/>
        <w:bottom w:val="none" w:sz="0" w:space="0" w:color="auto"/>
        <w:right w:val="none" w:sz="0" w:space="0" w:color="auto"/>
      </w:divBdr>
    </w:div>
    <w:div w:id="1935701898">
      <w:bodyDiv w:val="1"/>
      <w:marLeft w:val="0"/>
      <w:marRight w:val="0"/>
      <w:marTop w:val="0"/>
      <w:marBottom w:val="0"/>
      <w:divBdr>
        <w:top w:val="none" w:sz="0" w:space="0" w:color="auto"/>
        <w:left w:val="none" w:sz="0" w:space="0" w:color="auto"/>
        <w:bottom w:val="none" w:sz="0" w:space="0" w:color="auto"/>
        <w:right w:val="none" w:sz="0" w:space="0" w:color="auto"/>
      </w:divBdr>
    </w:div>
    <w:div w:id="2043087054">
      <w:bodyDiv w:val="1"/>
      <w:marLeft w:val="0"/>
      <w:marRight w:val="0"/>
      <w:marTop w:val="0"/>
      <w:marBottom w:val="0"/>
      <w:divBdr>
        <w:top w:val="none" w:sz="0" w:space="0" w:color="auto"/>
        <w:left w:val="none" w:sz="0" w:space="0" w:color="auto"/>
        <w:bottom w:val="none" w:sz="0" w:space="0" w:color="auto"/>
        <w:right w:val="none" w:sz="0" w:space="0" w:color="auto"/>
      </w:divBdr>
      <w:divsChild>
        <w:div w:id="1974632246">
          <w:marLeft w:val="0"/>
          <w:marRight w:val="0"/>
          <w:marTop w:val="0"/>
          <w:marBottom w:val="0"/>
          <w:divBdr>
            <w:top w:val="none" w:sz="0" w:space="0" w:color="auto"/>
            <w:left w:val="none" w:sz="0" w:space="0" w:color="auto"/>
            <w:bottom w:val="none" w:sz="0" w:space="0" w:color="auto"/>
            <w:right w:val="none" w:sz="0" w:space="0" w:color="auto"/>
          </w:divBdr>
          <w:divsChild>
            <w:div w:id="78061800">
              <w:marLeft w:val="0"/>
              <w:marRight w:val="0"/>
              <w:marTop w:val="0"/>
              <w:marBottom w:val="0"/>
              <w:divBdr>
                <w:top w:val="none" w:sz="0" w:space="0" w:color="auto"/>
                <w:left w:val="none" w:sz="0" w:space="0" w:color="auto"/>
                <w:bottom w:val="none" w:sz="0" w:space="0" w:color="auto"/>
                <w:right w:val="none" w:sz="0" w:space="0" w:color="auto"/>
              </w:divBdr>
              <w:divsChild>
                <w:div w:id="20550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p6gzt/"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osf.io/j7a8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j7a8p/" TargetMode="External"/><Relationship Id="rId5" Type="http://schemas.openxmlformats.org/officeDocument/2006/relationships/webSettings" Target="webSettings.xml"/><Relationship Id="rId15" Type="http://schemas.openxmlformats.org/officeDocument/2006/relationships/hyperlink" Target="https://osf.io/p6gzt/" TargetMode="External"/><Relationship Id="rId10" Type="http://schemas.openxmlformats.org/officeDocument/2006/relationships/hyperlink" Target="https://osf.io/p6gz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osf.io/j7a8p/"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3E844-0D59-4458-9315-E3D6821BC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25967</Words>
  <Characters>148017</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2021-01-06T15:36:00Z</dcterms:created>
  <dcterms:modified xsi:type="dcterms:W3CDTF">2021-01-06T15:36:00Z</dcterms:modified>
</cp:coreProperties>
</file>