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9B7C28" w14:textId="5E6B0472" w:rsidR="00C1526A" w:rsidRPr="00864C34" w:rsidRDefault="00E068B9" w:rsidP="004B1B31">
      <w:pPr>
        <w:widowControl w:val="0"/>
        <w:autoSpaceDE w:val="0"/>
        <w:autoSpaceDN w:val="0"/>
        <w:adjustRightInd w:val="0"/>
        <w:spacing w:line="480" w:lineRule="auto"/>
        <w:rPr>
          <w:rFonts w:asciiTheme="majorHAnsi" w:hAnsiTheme="majorHAnsi" w:cstheme="majorHAnsi"/>
          <w:color w:val="000000"/>
          <w:sz w:val="22"/>
          <w:szCs w:val="22"/>
        </w:rPr>
      </w:pPr>
      <w:bookmarkStart w:id="0" w:name="_GoBack"/>
      <w:bookmarkEnd w:id="0"/>
      <w:r>
        <w:rPr>
          <w:rFonts w:asciiTheme="majorHAnsi" w:hAnsiTheme="majorHAnsi" w:cstheme="majorHAnsi"/>
          <w:b/>
          <w:color w:val="000000"/>
          <w:sz w:val="22"/>
          <w:szCs w:val="22"/>
        </w:rPr>
        <w:t>Characteristics of</w:t>
      </w:r>
      <w:r w:rsidRPr="00E03190">
        <w:rPr>
          <w:rFonts w:asciiTheme="majorHAnsi" w:hAnsiTheme="majorHAnsi" w:cstheme="majorHAnsi"/>
          <w:b/>
          <w:color w:val="000000"/>
          <w:sz w:val="22"/>
          <w:szCs w:val="22"/>
        </w:rPr>
        <w:t xml:space="preserve"> </w:t>
      </w:r>
      <w:r w:rsidR="00DF6878" w:rsidRPr="00E03190">
        <w:rPr>
          <w:rFonts w:asciiTheme="majorHAnsi" w:hAnsiTheme="majorHAnsi" w:cstheme="majorHAnsi"/>
          <w:b/>
          <w:color w:val="000000"/>
          <w:sz w:val="22"/>
          <w:szCs w:val="22"/>
        </w:rPr>
        <w:t>persisten</w:t>
      </w:r>
      <w:r>
        <w:rPr>
          <w:rFonts w:asciiTheme="majorHAnsi" w:hAnsiTheme="majorHAnsi" w:cstheme="majorHAnsi"/>
          <w:b/>
          <w:color w:val="000000"/>
          <w:sz w:val="22"/>
          <w:szCs w:val="22"/>
        </w:rPr>
        <w:t>t</w:t>
      </w:r>
      <w:r w:rsidR="00DF6878" w:rsidRPr="00E03190">
        <w:rPr>
          <w:rFonts w:asciiTheme="majorHAnsi" w:hAnsiTheme="majorHAnsi" w:cstheme="majorHAnsi"/>
          <w:b/>
          <w:color w:val="000000"/>
          <w:sz w:val="22"/>
          <w:szCs w:val="22"/>
        </w:rPr>
        <w:t xml:space="preserve"> </w:t>
      </w:r>
      <w:r w:rsidR="0006307A">
        <w:rPr>
          <w:rFonts w:asciiTheme="majorHAnsi" w:hAnsiTheme="majorHAnsi" w:cstheme="majorHAnsi"/>
          <w:b/>
          <w:color w:val="000000"/>
          <w:sz w:val="22"/>
          <w:szCs w:val="22"/>
        </w:rPr>
        <w:t xml:space="preserve">mental health </w:t>
      </w:r>
      <w:r w:rsidR="00DF6878" w:rsidRPr="00E03190">
        <w:rPr>
          <w:rFonts w:asciiTheme="majorHAnsi" w:hAnsiTheme="majorHAnsi" w:cstheme="majorHAnsi"/>
          <w:b/>
          <w:color w:val="000000"/>
          <w:sz w:val="22"/>
          <w:szCs w:val="22"/>
        </w:rPr>
        <w:t>high-cost patients</w:t>
      </w:r>
      <w:r w:rsidR="00343E2B" w:rsidRPr="00E03190">
        <w:rPr>
          <w:rFonts w:asciiTheme="majorHAnsi" w:hAnsiTheme="majorHAnsi" w:cstheme="majorHAnsi"/>
          <w:b/>
          <w:color w:val="000000"/>
          <w:sz w:val="22"/>
          <w:szCs w:val="22"/>
        </w:rPr>
        <w:t xml:space="preserve">: a population-based </w:t>
      </w:r>
      <w:r w:rsidR="00E10212">
        <w:rPr>
          <w:rFonts w:asciiTheme="majorHAnsi" w:hAnsiTheme="majorHAnsi" w:cstheme="majorHAnsi"/>
          <w:b/>
          <w:color w:val="000000"/>
          <w:sz w:val="22"/>
          <w:szCs w:val="22"/>
        </w:rPr>
        <w:t>analysis</w:t>
      </w:r>
    </w:p>
    <w:p w14:paraId="2EE6151C" w14:textId="77777777" w:rsidR="00364D8B" w:rsidRPr="00E03190" w:rsidRDefault="00364D8B" w:rsidP="004B1B31">
      <w:pPr>
        <w:widowControl w:val="0"/>
        <w:autoSpaceDE w:val="0"/>
        <w:autoSpaceDN w:val="0"/>
        <w:adjustRightInd w:val="0"/>
        <w:spacing w:line="480" w:lineRule="auto"/>
        <w:rPr>
          <w:rFonts w:asciiTheme="majorHAnsi" w:hAnsiTheme="majorHAnsi" w:cstheme="majorHAnsi"/>
          <w:color w:val="FF0000"/>
          <w:sz w:val="22"/>
          <w:szCs w:val="22"/>
        </w:rPr>
      </w:pPr>
    </w:p>
    <w:p w14:paraId="5E1C591A" w14:textId="3526353E" w:rsidR="006B212A" w:rsidRPr="003667E2" w:rsidRDefault="006B212A" w:rsidP="004B1B31">
      <w:pPr>
        <w:widowControl w:val="0"/>
        <w:autoSpaceDE w:val="0"/>
        <w:autoSpaceDN w:val="0"/>
        <w:adjustRightInd w:val="0"/>
        <w:spacing w:line="480" w:lineRule="auto"/>
        <w:rPr>
          <w:rFonts w:asciiTheme="majorHAnsi" w:hAnsiTheme="majorHAnsi" w:cstheme="majorHAnsi"/>
          <w:b/>
          <w:sz w:val="22"/>
          <w:szCs w:val="22"/>
        </w:rPr>
      </w:pPr>
      <w:r w:rsidRPr="003667E2">
        <w:rPr>
          <w:rFonts w:asciiTheme="majorHAnsi" w:hAnsiTheme="majorHAnsi" w:cstheme="majorHAnsi"/>
          <w:b/>
          <w:sz w:val="22"/>
          <w:szCs w:val="22"/>
        </w:rPr>
        <w:t>Abstract</w:t>
      </w:r>
    </w:p>
    <w:p w14:paraId="1EBAF7C1" w14:textId="737FB9E8" w:rsidR="003667E2" w:rsidRDefault="003667E2" w:rsidP="004B1B31">
      <w:pPr>
        <w:widowControl w:val="0"/>
        <w:autoSpaceDE w:val="0"/>
        <w:autoSpaceDN w:val="0"/>
        <w:adjustRightInd w:val="0"/>
        <w:spacing w:line="480" w:lineRule="auto"/>
        <w:rPr>
          <w:rFonts w:asciiTheme="majorHAnsi" w:hAnsiTheme="majorHAnsi" w:cstheme="majorHAnsi"/>
          <w:sz w:val="22"/>
          <w:szCs w:val="22"/>
        </w:rPr>
      </w:pPr>
      <w:bookmarkStart w:id="1" w:name="_Hlk32406763"/>
      <w:r>
        <w:rPr>
          <w:rFonts w:asciiTheme="majorHAnsi" w:hAnsiTheme="majorHAnsi" w:cstheme="majorHAnsi"/>
          <w:b/>
          <w:sz w:val="22"/>
          <w:szCs w:val="22"/>
        </w:rPr>
        <w:t>Background:</w:t>
      </w:r>
      <w:r>
        <w:rPr>
          <w:rFonts w:asciiTheme="majorHAnsi" w:hAnsiTheme="majorHAnsi" w:cstheme="majorHAnsi"/>
          <w:sz w:val="22"/>
          <w:szCs w:val="22"/>
        </w:rPr>
        <w:t xml:space="preserve"> </w:t>
      </w:r>
      <w:r w:rsidR="00DF6BE7">
        <w:rPr>
          <w:rFonts w:asciiTheme="majorHAnsi" w:hAnsiTheme="majorHAnsi" w:cstheme="majorHAnsi"/>
          <w:sz w:val="22"/>
          <w:szCs w:val="22"/>
        </w:rPr>
        <w:t xml:space="preserve">While most literature </w:t>
      </w:r>
      <w:r w:rsidR="00E068B9">
        <w:rPr>
          <w:rFonts w:asciiTheme="majorHAnsi" w:hAnsiTheme="majorHAnsi" w:cstheme="majorHAnsi"/>
          <w:sz w:val="22"/>
          <w:szCs w:val="22"/>
        </w:rPr>
        <w:t xml:space="preserve">on high-cost health care users </w:t>
      </w:r>
      <w:r w:rsidR="00DF6BE7">
        <w:rPr>
          <w:rFonts w:asciiTheme="majorHAnsi" w:hAnsiTheme="majorHAnsi" w:cstheme="majorHAnsi"/>
          <w:sz w:val="22"/>
          <w:szCs w:val="22"/>
        </w:rPr>
        <w:t xml:space="preserve">has </w:t>
      </w:r>
      <w:r w:rsidR="003A325C">
        <w:rPr>
          <w:rFonts w:asciiTheme="majorHAnsi" w:hAnsiTheme="majorHAnsi" w:cstheme="majorHAnsi"/>
          <w:sz w:val="22"/>
          <w:szCs w:val="22"/>
        </w:rPr>
        <w:t>evaluated this population as a whole</w:t>
      </w:r>
      <w:r w:rsidR="00DF6BE7">
        <w:rPr>
          <w:rFonts w:asciiTheme="majorHAnsi" w:hAnsiTheme="majorHAnsi" w:cstheme="majorHAnsi"/>
          <w:sz w:val="22"/>
          <w:szCs w:val="22"/>
        </w:rPr>
        <w:t xml:space="preserve">, few studies have </w:t>
      </w:r>
      <w:r w:rsidR="00E068B9">
        <w:rPr>
          <w:rFonts w:asciiTheme="majorHAnsi" w:hAnsiTheme="majorHAnsi" w:cstheme="majorHAnsi"/>
          <w:sz w:val="22"/>
          <w:szCs w:val="22"/>
        </w:rPr>
        <w:t>focused on</w:t>
      </w:r>
      <w:r w:rsidR="00E068B9" w:rsidRPr="00DF6BE7">
        <w:rPr>
          <w:rFonts w:asciiTheme="majorHAnsi" w:hAnsiTheme="majorHAnsi" w:cstheme="majorHAnsi"/>
          <w:sz w:val="22"/>
          <w:szCs w:val="22"/>
        </w:rPr>
        <w:t xml:space="preserve"> </w:t>
      </w:r>
      <w:r w:rsidR="006E3293" w:rsidRPr="00DF6BE7">
        <w:rPr>
          <w:rFonts w:asciiTheme="majorHAnsi" w:hAnsiTheme="majorHAnsi" w:cstheme="majorHAnsi"/>
          <w:sz w:val="22"/>
          <w:szCs w:val="22"/>
        </w:rPr>
        <w:t>high-cost patients with mental illness</w:t>
      </w:r>
      <w:r w:rsidR="00525535" w:rsidRPr="00DF6BE7">
        <w:rPr>
          <w:rFonts w:asciiTheme="majorHAnsi" w:hAnsiTheme="majorHAnsi" w:cstheme="majorHAnsi"/>
          <w:sz w:val="22"/>
          <w:szCs w:val="22"/>
        </w:rPr>
        <w:t xml:space="preserve"> </w:t>
      </w:r>
      <w:r w:rsidR="00DF6BE7" w:rsidRPr="00DF6BE7">
        <w:rPr>
          <w:rFonts w:asciiTheme="majorHAnsi" w:hAnsiTheme="majorHAnsi" w:cstheme="majorHAnsi"/>
          <w:sz w:val="22"/>
          <w:szCs w:val="22"/>
        </w:rPr>
        <w:t>and</w:t>
      </w:r>
      <w:r w:rsidR="00525535" w:rsidRPr="00DF6BE7">
        <w:rPr>
          <w:rFonts w:asciiTheme="majorHAnsi" w:hAnsiTheme="majorHAnsi" w:cstheme="majorHAnsi"/>
          <w:sz w:val="22"/>
          <w:szCs w:val="22"/>
        </w:rPr>
        <w:t xml:space="preserve"> w</w:t>
      </w:r>
      <w:r w:rsidR="006E3293" w:rsidRPr="00DF6BE7">
        <w:rPr>
          <w:rFonts w:asciiTheme="majorHAnsi" w:hAnsiTheme="majorHAnsi" w:cstheme="majorHAnsi"/>
          <w:sz w:val="22"/>
          <w:szCs w:val="22"/>
        </w:rPr>
        <w:t xml:space="preserve">hether </w:t>
      </w:r>
      <w:r w:rsidR="00A23F3A" w:rsidRPr="00DF6BE7">
        <w:rPr>
          <w:rFonts w:asciiTheme="majorHAnsi" w:hAnsiTheme="majorHAnsi" w:cstheme="majorHAnsi"/>
          <w:sz w:val="22"/>
          <w:szCs w:val="22"/>
        </w:rPr>
        <w:t>the</w:t>
      </w:r>
      <w:r w:rsidR="00DF6BE7" w:rsidRPr="00DF6BE7">
        <w:rPr>
          <w:rFonts w:asciiTheme="majorHAnsi" w:hAnsiTheme="majorHAnsi" w:cstheme="majorHAnsi"/>
          <w:sz w:val="22"/>
          <w:szCs w:val="22"/>
        </w:rPr>
        <w:t>y</w:t>
      </w:r>
      <w:r w:rsidR="006E3293" w:rsidRPr="00DF6BE7">
        <w:rPr>
          <w:rFonts w:asciiTheme="majorHAnsi" w:hAnsiTheme="majorHAnsi" w:cstheme="majorHAnsi"/>
          <w:sz w:val="22"/>
          <w:szCs w:val="22"/>
        </w:rPr>
        <w:t xml:space="preserve"> persist</w:t>
      </w:r>
      <w:r w:rsidR="00A23F3A" w:rsidRPr="00DF6BE7">
        <w:rPr>
          <w:rFonts w:asciiTheme="majorHAnsi" w:hAnsiTheme="majorHAnsi" w:cstheme="majorHAnsi"/>
          <w:sz w:val="22"/>
          <w:szCs w:val="22"/>
        </w:rPr>
        <w:t xml:space="preserve"> in the</w:t>
      </w:r>
      <w:r w:rsidR="006E3293" w:rsidRPr="00DF6BE7">
        <w:rPr>
          <w:rFonts w:asciiTheme="majorHAnsi" w:hAnsiTheme="majorHAnsi" w:cstheme="majorHAnsi"/>
          <w:sz w:val="22"/>
          <w:szCs w:val="22"/>
        </w:rPr>
        <w:t xml:space="preserve"> high</w:t>
      </w:r>
      <w:r w:rsidR="00A23F3A" w:rsidRPr="00DF6BE7">
        <w:rPr>
          <w:rFonts w:asciiTheme="majorHAnsi" w:hAnsiTheme="majorHAnsi" w:cstheme="majorHAnsi"/>
          <w:sz w:val="22"/>
          <w:szCs w:val="22"/>
        </w:rPr>
        <w:t>-</w:t>
      </w:r>
      <w:r w:rsidR="006E3293" w:rsidRPr="00DF6BE7">
        <w:rPr>
          <w:rFonts w:asciiTheme="majorHAnsi" w:hAnsiTheme="majorHAnsi" w:cstheme="majorHAnsi"/>
          <w:sz w:val="22"/>
          <w:szCs w:val="22"/>
        </w:rPr>
        <w:t>cost</w:t>
      </w:r>
      <w:r w:rsidR="00A23F3A" w:rsidRPr="00DF6BE7">
        <w:rPr>
          <w:rFonts w:asciiTheme="majorHAnsi" w:hAnsiTheme="majorHAnsi" w:cstheme="majorHAnsi"/>
          <w:sz w:val="22"/>
          <w:szCs w:val="22"/>
        </w:rPr>
        <w:t xml:space="preserve"> state</w:t>
      </w:r>
      <w:r w:rsidR="00670584">
        <w:rPr>
          <w:rFonts w:asciiTheme="majorHAnsi" w:hAnsiTheme="majorHAnsi" w:cstheme="majorHAnsi"/>
          <w:sz w:val="22"/>
          <w:szCs w:val="22"/>
        </w:rPr>
        <w:t>.</w:t>
      </w:r>
      <w:r w:rsidR="00525535">
        <w:rPr>
          <w:rFonts w:asciiTheme="majorHAnsi" w:hAnsiTheme="majorHAnsi" w:cstheme="majorHAnsi"/>
          <w:sz w:val="22"/>
          <w:szCs w:val="22"/>
        </w:rPr>
        <w:t xml:space="preserve"> </w:t>
      </w:r>
      <w:r w:rsidR="00E068B9">
        <w:rPr>
          <w:rFonts w:asciiTheme="majorHAnsi" w:hAnsiTheme="majorHAnsi" w:cstheme="majorHAnsi"/>
          <w:sz w:val="22"/>
          <w:szCs w:val="22"/>
        </w:rPr>
        <w:t>We sought to analyze</w:t>
      </w:r>
      <w:r w:rsidR="001E3A83" w:rsidRPr="001E3A83">
        <w:rPr>
          <w:rFonts w:asciiTheme="majorHAnsi" w:hAnsiTheme="majorHAnsi" w:cstheme="majorHAnsi"/>
          <w:sz w:val="22"/>
          <w:szCs w:val="22"/>
        </w:rPr>
        <w:t xml:space="preserve"> persistent mental health high-cost patients </w:t>
      </w:r>
      <w:r w:rsidR="00E068B9">
        <w:rPr>
          <w:rFonts w:asciiTheme="majorHAnsi" w:hAnsiTheme="majorHAnsi" w:cstheme="majorHAnsi"/>
          <w:sz w:val="22"/>
          <w:szCs w:val="22"/>
        </w:rPr>
        <w:t xml:space="preserve">in depth </w:t>
      </w:r>
      <w:r w:rsidR="000767A4">
        <w:rPr>
          <w:rFonts w:asciiTheme="majorHAnsi" w:hAnsiTheme="majorHAnsi" w:cstheme="majorHAnsi"/>
          <w:sz w:val="22"/>
          <w:szCs w:val="22"/>
        </w:rPr>
        <w:t>and determine predictors of persistency in the high-cost state</w:t>
      </w:r>
      <w:r w:rsidR="001E3A83" w:rsidRPr="001E3A83">
        <w:rPr>
          <w:rFonts w:asciiTheme="majorHAnsi" w:hAnsiTheme="majorHAnsi" w:cstheme="majorHAnsi"/>
          <w:sz w:val="22"/>
          <w:szCs w:val="22"/>
        </w:rPr>
        <w:t>.</w:t>
      </w:r>
    </w:p>
    <w:p w14:paraId="5F5ED4E1" w14:textId="4A4869E8" w:rsidR="003667E2" w:rsidRDefault="003667E2" w:rsidP="004B1B31">
      <w:pPr>
        <w:widowControl w:val="0"/>
        <w:autoSpaceDE w:val="0"/>
        <w:autoSpaceDN w:val="0"/>
        <w:adjustRightInd w:val="0"/>
        <w:spacing w:line="480" w:lineRule="auto"/>
        <w:rPr>
          <w:rFonts w:asciiTheme="majorHAnsi" w:hAnsiTheme="majorHAnsi" w:cstheme="majorHAnsi"/>
          <w:sz w:val="22"/>
          <w:szCs w:val="22"/>
        </w:rPr>
      </w:pPr>
      <w:r>
        <w:rPr>
          <w:rFonts w:asciiTheme="majorHAnsi" w:hAnsiTheme="majorHAnsi" w:cstheme="majorHAnsi"/>
          <w:b/>
          <w:sz w:val="22"/>
          <w:szCs w:val="22"/>
        </w:rPr>
        <w:t xml:space="preserve">Methods: </w:t>
      </w:r>
      <w:r w:rsidR="00BB7DC2" w:rsidRPr="00F654AD">
        <w:rPr>
          <w:rFonts w:asciiTheme="majorHAnsi" w:hAnsiTheme="majorHAnsi" w:cstheme="majorHAnsi"/>
          <w:sz w:val="22"/>
          <w:szCs w:val="22"/>
        </w:rPr>
        <w:t xml:space="preserve">We used eight years of </w:t>
      </w:r>
      <w:r w:rsidR="000767A4">
        <w:rPr>
          <w:rFonts w:asciiTheme="majorHAnsi" w:hAnsiTheme="majorHAnsi" w:cstheme="majorHAnsi"/>
          <w:sz w:val="22"/>
          <w:szCs w:val="22"/>
        </w:rPr>
        <w:t xml:space="preserve">longitudinal </w:t>
      </w:r>
      <w:r w:rsidR="00BB7DC2" w:rsidRPr="00F654AD">
        <w:rPr>
          <w:rFonts w:asciiTheme="majorHAnsi" w:hAnsiTheme="majorHAnsi" w:cstheme="majorHAnsi"/>
          <w:sz w:val="22"/>
          <w:szCs w:val="22"/>
        </w:rPr>
        <w:t xml:space="preserve">patient-level </w:t>
      </w:r>
      <w:r w:rsidR="00506CD9">
        <w:rPr>
          <w:rFonts w:asciiTheme="majorHAnsi" w:hAnsiTheme="majorHAnsi" w:cstheme="majorHAnsi"/>
          <w:sz w:val="22"/>
          <w:szCs w:val="22"/>
        </w:rPr>
        <w:t xml:space="preserve">population </w:t>
      </w:r>
      <w:r w:rsidR="00BB7DC2" w:rsidRPr="00F654AD">
        <w:rPr>
          <w:rFonts w:asciiTheme="majorHAnsi" w:hAnsiTheme="majorHAnsi" w:cstheme="majorHAnsi"/>
          <w:sz w:val="22"/>
          <w:szCs w:val="22"/>
        </w:rPr>
        <w:t xml:space="preserve">data </w:t>
      </w:r>
      <w:r w:rsidR="00EB36FE">
        <w:rPr>
          <w:rFonts w:asciiTheme="majorHAnsi" w:hAnsiTheme="majorHAnsi" w:cstheme="majorHAnsi"/>
          <w:sz w:val="22"/>
          <w:szCs w:val="22"/>
        </w:rPr>
        <w:t xml:space="preserve">(2010 to 2017) </w:t>
      </w:r>
      <w:r w:rsidR="000767A4">
        <w:rPr>
          <w:rFonts w:asciiTheme="majorHAnsi" w:hAnsiTheme="majorHAnsi" w:cstheme="majorHAnsi"/>
          <w:sz w:val="22"/>
          <w:szCs w:val="22"/>
        </w:rPr>
        <w:t xml:space="preserve">from Ontario </w:t>
      </w:r>
      <w:r w:rsidR="00BB7DC2" w:rsidRPr="00F654AD">
        <w:rPr>
          <w:rFonts w:asciiTheme="majorHAnsi" w:hAnsiTheme="majorHAnsi" w:cstheme="majorHAnsi"/>
          <w:sz w:val="22"/>
          <w:szCs w:val="22"/>
        </w:rPr>
        <w:t xml:space="preserve">to </w:t>
      </w:r>
      <w:r w:rsidR="00A23F3A" w:rsidRPr="00F654AD">
        <w:rPr>
          <w:rFonts w:asciiTheme="majorHAnsi" w:hAnsiTheme="majorHAnsi" w:cstheme="majorHAnsi"/>
          <w:sz w:val="22"/>
          <w:szCs w:val="22"/>
        </w:rPr>
        <w:t>follow</w:t>
      </w:r>
      <w:r w:rsidR="00BB7DC2" w:rsidRPr="00F654AD">
        <w:rPr>
          <w:rFonts w:asciiTheme="majorHAnsi" w:hAnsiTheme="majorHAnsi" w:cstheme="majorHAnsi"/>
          <w:sz w:val="22"/>
          <w:szCs w:val="22"/>
        </w:rPr>
        <w:t xml:space="preserve"> high-cost patients</w:t>
      </w:r>
      <w:r w:rsidR="00583781" w:rsidRPr="00F654AD">
        <w:rPr>
          <w:rFonts w:asciiTheme="majorHAnsi" w:hAnsiTheme="majorHAnsi" w:cstheme="majorHAnsi"/>
          <w:sz w:val="22"/>
          <w:szCs w:val="22"/>
        </w:rPr>
        <w:t xml:space="preserve"> </w:t>
      </w:r>
      <w:r w:rsidR="00506CD9">
        <w:rPr>
          <w:rFonts w:asciiTheme="majorHAnsi" w:hAnsiTheme="majorHAnsi" w:cstheme="majorHAnsi"/>
          <w:sz w:val="22"/>
          <w:szCs w:val="22"/>
        </w:rPr>
        <w:t xml:space="preserve">(those </w:t>
      </w:r>
      <w:r w:rsidR="00506CD9" w:rsidRPr="00B11CE5">
        <w:rPr>
          <w:rFonts w:asciiTheme="majorHAnsi" w:hAnsiTheme="majorHAnsi" w:cstheme="majorHAnsi"/>
          <w:sz w:val="22"/>
          <w:szCs w:val="22"/>
        </w:rPr>
        <w:t>in and above the 90</w:t>
      </w:r>
      <w:r w:rsidR="00506CD9" w:rsidRPr="00B11CE5">
        <w:rPr>
          <w:rFonts w:asciiTheme="majorHAnsi" w:hAnsiTheme="majorHAnsi" w:cstheme="majorHAnsi"/>
          <w:sz w:val="22"/>
          <w:szCs w:val="22"/>
          <w:vertAlign w:val="superscript"/>
        </w:rPr>
        <w:t>th</w:t>
      </w:r>
      <w:r w:rsidR="00506CD9" w:rsidRPr="00B11CE5">
        <w:rPr>
          <w:rFonts w:asciiTheme="majorHAnsi" w:hAnsiTheme="majorHAnsi" w:cstheme="majorHAnsi"/>
          <w:sz w:val="22"/>
          <w:szCs w:val="22"/>
        </w:rPr>
        <w:t xml:space="preserve"> percentile of the cost distribution</w:t>
      </w:r>
      <w:r w:rsidR="00506CD9">
        <w:rPr>
          <w:rFonts w:asciiTheme="majorHAnsi" w:hAnsiTheme="majorHAnsi" w:cstheme="majorHAnsi"/>
          <w:sz w:val="22"/>
          <w:szCs w:val="22"/>
        </w:rPr>
        <w:t xml:space="preserve">) </w:t>
      </w:r>
      <w:r w:rsidR="00583781" w:rsidRPr="00F654AD">
        <w:rPr>
          <w:rFonts w:asciiTheme="majorHAnsi" w:hAnsiTheme="majorHAnsi" w:cstheme="majorHAnsi"/>
          <w:sz w:val="22"/>
          <w:szCs w:val="22"/>
        </w:rPr>
        <w:t>with mental illness</w:t>
      </w:r>
      <w:r w:rsidR="00BB7DC2" w:rsidRPr="00F654AD">
        <w:rPr>
          <w:rFonts w:asciiTheme="majorHAnsi" w:hAnsiTheme="majorHAnsi" w:cstheme="majorHAnsi"/>
          <w:sz w:val="22"/>
          <w:szCs w:val="22"/>
        </w:rPr>
        <w:t>.</w:t>
      </w:r>
      <w:r w:rsidR="00583781" w:rsidRPr="00F654AD">
        <w:rPr>
          <w:rFonts w:asciiTheme="majorHAnsi" w:hAnsiTheme="majorHAnsi" w:cstheme="majorHAnsi"/>
          <w:sz w:val="22"/>
          <w:szCs w:val="22"/>
        </w:rPr>
        <w:t xml:space="preserve"> </w:t>
      </w:r>
      <w:r w:rsidR="00506CD9">
        <w:rPr>
          <w:rFonts w:asciiTheme="majorHAnsi" w:hAnsiTheme="majorHAnsi" w:cstheme="majorHAnsi"/>
          <w:sz w:val="22"/>
          <w:szCs w:val="22"/>
        </w:rPr>
        <w:t>We classified</w:t>
      </w:r>
      <w:r w:rsidR="00B95D49" w:rsidRPr="00F654AD">
        <w:rPr>
          <w:rFonts w:asciiTheme="majorHAnsi" w:hAnsiTheme="majorHAnsi" w:cstheme="majorHAnsi"/>
          <w:sz w:val="22"/>
          <w:szCs w:val="22"/>
        </w:rPr>
        <w:t xml:space="preserve"> high-cost patients</w:t>
      </w:r>
      <w:r w:rsidR="00506CD9">
        <w:rPr>
          <w:rFonts w:asciiTheme="majorHAnsi" w:hAnsiTheme="majorHAnsi" w:cstheme="majorHAnsi"/>
          <w:sz w:val="22"/>
          <w:szCs w:val="22"/>
        </w:rPr>
        <w:t>, based on the proportion of the study period spent in the high-cost state,</w:t>
      </w:r>
      <w:r w:rsidR="00B95D49" w:rsidRPr="00F654AD">
        <w:rPr>
          <w:rFonts w:asciiTheme="majorHAnsi" w:hAnsiTheme="majorHAnsi" w:cstheme="majorHAnsi"/>
          <w:sz w:val="22"/>
          <w:szCs w:val="22"/>
        </w:rPr>
        <w:t xml:space="preserve"> as </w:t>
      </w:r>
      <w:r w:rsidR="00506CD9">
        <w:rPr>
          <w:rFonts w:asciiTheme="majorHAnsi" w:hAnsiTheme="majorHAnsi" w:cstheme="majorHAnsi"/>
          <w:sz w:val="22"/>
          <w:szCs w:val="22"/>
        </w:rPr>
        <w:t>persistent (</w:t>
      </w:r>
      <w:r w:rsidR="00EE3B20">
        <w:rPr>
          <w:rFonts w:asciiTheme="majorHAnsi" w:hAnsiTheme="majorHAnsi" w:cstheme="majorHAnsi"/>
          <w:sz w:val="22"/>
          <w:szCs w:val="22"/>
        </w:rPr>
        <w:t>6</w:t>
      </w:r>
      <w:r w:rsidR="00506CD9" w:rsidRPr="00F654AD">
        <w:rPr>
          <w:rFonts w:asciiTheme="majorHAnsi" w:hAnsiTheme="majorHAnsi" w:cstheme="majorHAnsi"/>
          <w:sz w:val="22"/>
          <w:szCs w:val="22"/>
        </w:rPr>
        <w:t xml:space="preserve"> </w:t>
      </w:r>
      <w:r w:rsidR="00EE3B20">
        <w:rPr>
          <w:rFonts w:asciiTheme="majorHAnsi" w:hAnsiTheme="majorHAnsi" w:cstheme="majorHAnsi"/>
          <w:sz w:val="22"/>
          <w:szCs w:val="22"/>
        </w:rPr>
        <w:t>to 8</w:t>
      </w:r>
      <w:r w:rsidR="00B95D49" w:rsidRPr="00F654AD">
        <w:rPr>
          <w:rFonts w:asciiTheme="majorHAnsi" w:hAnsiTheme="majorHAnsi" w:cstheme="majorHAnsi"/>
          <w:sz w:val="22"/>
          <w:szCs w:val="22"/>
        </w:rPr>
        <w:t xml:space="preserve"> years</w:t>
      </w:r>
      <w:r w:rsidR="00506CD9">
        <w:rPr>
          <w:rFonts w:asciiTheme="majorHAnsi" w:hAnsiTheme="majorHAnsi" w:cstheme="majorHAnsi"/>
          <w:sz w:val="22"/>
          <w:szCs w:val="22"/>
        </w:rPr>
        <w:t>)</w:t>
      </w:r>
      <w:r w:rsidR="00F950E4">
        <w:rPr>
          <w:rFonts w:asciiTheme="majorHAnsi" w:hAnsiTheme="majorHAnsi" w:cstheme="majorHAnsi"/>
          <w:sz w:val="22"/>
          <w:szCs w:val="22"/>
        </w:rPr>
        <w:t xml:space="preserve">, </w:t>
      </w:r>
      <w:r w:rsidR="00F950E4" w:rsidRPr="00F950E4">
        <w:rPr>
          <w:rFonts w:asciiTheme="majorHAnsi" w:hAnsiTheme="majorHAnsi" w:cstheme="majorHAnsi"/>
          <w:sz w:val="22"/>
          <w:szCs w:val="22"/>
        </w:rPr>
        <w:t xml:space="preserve">sporadic </w:t>
      </w:r>
      <w:r w:rsidR="00EE3B20">
        <w:rPr>
          <w:rFonts w:asciiTheme="majorHAnsi" w:hAnsiTheme="majorHAnsi" w:cstheme="majorHAnsi"/>
          <w:sz w:val="22"/>
          <w:szCs w:val="22"/>
        </w:rPr>
        <w:t>(1 to 2</w:t>
      </w:r>
      <w:r w:rsidR="00F950E4" w:rsidRPr="00F950E4">
        <w:rPr>
          <w:rFonts w:asciiTheme="majorHAnsi" w:hAnsiTheme="majorHAnsi" w:cstheme="majorHAnsi"/>
          <w:sz w:val="22"/>
          <w:szCs w:val="22"/>
        </w:rPr>
        <w:t xml:space="preserve"> years</w:t>
      </w:r>
      <w:r w:rsidR="00EE3B20">
        <w:rPr>
          <w:rFonts w:asciiTheme="majorHAnsi" w:hAnsiTheme="majorHAnsi" w:cstheme="majorHAnsi"/>
          <w:sz w:val="22"/>
          <w:szCs w:val="22"/>
        </w:rPr>
        <w:t>)</w:t>
      </w:r>
      <w:r w:rsidR="00F950E4" w:rsidRPr="00F950E4">
        <w:rPr>
          <w:rFonts w:asciiTheme="majorHAnsi" w:hAnsiTheme="majorHAnsi" w:cstheme="majorHAnsi"/>
          <w:sz w:val="22"/>
          <w:szCs w:val="22"/>
        </w:rPr>
        <w:t xml:space="preserve"> </w:t>
      </w:r>
      <w:r w:rsidR="00EE3B20">
        <w:rPr>
          <w:rFonts w:asciiTheme="majorHAnsi" w:hAnsiTheme="majorHAnsi" w:cstheme="majorHAnsi"/>
          <w:sz w:val="22"/>
          <w:szCs w:val="22"/>
        </w:rPr>
        <w:t>or</w:t>
      </w:r>
      <w:r w:rsidR="00EE3B20" w:rsidRPr="00F950E4">
        <w:rPr>
          <w:rFonts w:asciiTheme="majorHAnsi" w:hAnsiTheme="majorHAnsi" w:cstheme="majorHAnsi"/>
          <w:sz w:val="22"/>
          <w:szCs w:val="22"/>
        </w:rPr>
        <w:t xml:space="preserve"> </w:t>
      </w:r>
      <w:r w:rsidR="00F950E4" w:rsidRPr="00F950E4">
        <w:rPr>
          <w:rFonts w:asciiTheme="majorHAnsi" w:hAnsiTheme="majorHAnsi" w:cstheme="majorHAnsi"/>
          <w:sz w:val="22"/>
          <w:szCs w:val="22"/>
        </w:rPr>
        <w:t xml:space="preserve">moderate </w:t>
      </w:r>
      <w:r w:rsidR="00EE3B20">
        <w:rPr>
          <w:rFonts w:asciiTheme="majorHAnsi" w:hAnsiTheme="majorHAnsi" w:cstheme="majorHAnsi"/>
          <w:sz w:val="22"/>
          <w:szCs w:val="22"/>
        </w:rPr>
        <w:t>(3 to 5</w:t>
      </w:r>
      <w:r w:rsidR="00F950E4" w:rsidRPr="00F950E4">
        <w:rPr>
          <w:rFonts w:asciiTheme="majorHAnsi" w:hAnsiTheme="majorHAnsi" w:cstheme="majorHAnsi"/>
          <w:sz w:val="22"/>
          <w:szCs w:val="22"/>
        </w:rPr>
        <w:t xml:space="preserve"> years</w:t>
      </w:r>
      <w:r w:rsidR="00EE3B20">
        <w:rPr>
          <w:rFonts w:asciiTheme="majorHAnsi" w:hAnsiTheme="majorHAnsi" w:cstheme="majorHAnsi"/>
          <w:sz w:val="22"/>
          <w:szCs w:val="22"/>
        </w:rPr>
        <w:t>)</w:t>
      </w:r>
      <w:r w:rsidR="00B95D49" w:rsidRPr="00F654AD">
        <w:rPr>
          <w:rFonts w:asciiTheme="majorHAnsi" w:hAnsiTheme="majorHAnsi" w:cstheme="majorHAnsi"/>
          <w:sz w:val="22"/>
          <w:szCs w:val="22"/>
        </w:rPr>
        <w:t xml:space="preserve">. </w:t>
      </w:r>
      <w:bookmarkStart w:id="2" w:name="_Hlk32404431"/>
      <w:r w:rsidR="00EE3B20">
        <w:rPr>
          <w:rFonts w:asciiTheme="majorHAnsi" w:hAnsiTheme="majorHAnsi" w:cstheme="majorHAnsi"/>
          <w:sz w:val="22"/>
          <w:szCs w:val="22"/>
        </w:rPr>
        <w:t>We</w:t>
      </w:r>
      <w:r w:rsidR="00F950E4">
        <w:rPr>
          <w:rFonts w:asciiTheme="majorHAnsi" w:hAnsiTheme="majorHAnsi" w:cstheme="majorHAnsi"/>
          <w:sz w:val="22"/>
          <w:szCs w:val="22"/>
        </w:rPr>
        <w:t xml:space="preserve"> compared characteristics</w:t>
      </w:r>
      <w:r w:rsidR="004409B9">
        <w:rPr>
          <w:rFonts w:asciiTheme="majorHAnsi" w:hAnsiTheme="majorHAnsi" w:cstheme="majorHAnsi"/>
          <w:sz w:val="22"/>
          <w:szCs w:val="22"/>
        </w:rPr>
        <w:t xml:space="preserve"> between groups</w:t>
      </w:r>
      <w:r w:rsidR="00F950E4">
        <w:rPr>
          <w:rFonts w:asciiTheme="majorHAnsi" w:hAnsiTheme="majorHAnsi" w:cstheme="majorHAnsi"/>
          <w:sz w:val="22"/>
          <w:szCs w:val="22"/>
        </w:rPr>
        <w:t xml:space="preserve"> </w:t>
      </w:r>
      <w:r w:rsidR="00464CAC">
        <w:rPr>
          <w:rFonts w:asciiTheme="majorHAnsi" w:hAnsiTheme="majorHAnsi" w:cstheme="majorHAnsi"/>
          <w:sz w:val="22"/>
          <w:szCs w:val="22"/>
        </w:rPr>
        <w:t xml:space="preserve">and </w:t>
      </w:r>
      <w:r w:rsidR="00F950E4" w:rsidRPr="00F950E4">
        <w:rPr>
          <w:rFonts w:asciiTheme="majorHAnsi" w:hAnsiTheme="majorHAnsi" w:cstheme="majorHAnsi"/>
          <w:sz w:val="22"/>
          <w:szCs w:val="22"/>
        </w:rPr>
        <w:t>determine</w:t>
      </w:r>
      <w:r w:rsidR="00464CAC">
        <w:rPr>
          <w:rFonts w:asciiTheme="majorHAnsi" w:hAnsiTheme="majorHAnsi" w:cstheme="majorHAnsi"/>
          <w:sz w:val="22"/>
          <w:szCs w:val="22"/>
        </w:rPr>
        <w:t>d</w:t>
      </w:r>
      <w:r w:rsidR="00F950E4" w:rsidRPr="00F950E4">
        <w:rPr>
          <w:rFonts w:asciiTheme="majorHAnsi" w:hAnsiTheme="majorHAnsi" w:cstheme="majorHAnsi"/>
          <w:sz w:val="22"/>
          <w:szCs w:val="22"/>
        </w:rPr>
        <w:t xml:space="preserve"> predictors of being a persistent</w:t>
      </w:r>
      <w:r w:rsidR="00F950E4">
        <w:rPr>
          <w:rFonts w:asciiTheme="majorHAnsi" w:hAnsiTheme="majorHAnsi" w:cstheme="majorHAnsi"/>
          <w:sz w:val="22"/>
          <w:szCs w:val="22"/>
        </w:rPr>
        <w:t xml:space="preserve"> mental health high-cost patient.</w:t>
      </w:r>
    </w:p>
    <w:p w14:paraId="797A07A9" w14:textId="00CBDBAF" w:rsidR="003667E2" w:rsidRDefault="003667E2" w:rsidP="004B1B31">
      <w:pPr>
        <w:widowControl w:val="0"/>
        <w:autoSpaceDE w:val="0"/>
        <w:autoSpaceDN w:val="0"/>
        <w:adjustRightInd w:val="0"/>
        <w:spacing w:line="480" w:lineRule="auto"/>
        <w:rPr>
          <w:rFonts w:asciiTheme="majorHAnsi" w:hAnsiTheme="majorHAnsi" w:cstheme="majorHAnsi"/>
          <w:sz w:val="22"/>
          <w:szCs w:val="22"/>
        </w:rPr>
      </w:pPr>
      <w:r>
        <w:rPr>
          <w:rFonts w:asciiTheme="majorHAnsi" w:hAnsiTheme="majorHAnsi" w:cstheme="majorHAnsi"/>
          <w:b/>
          <w:sz w:val="22"/>
          <w:szCs w:val="22"/>
        </w:rPr>
        <w:t xml:space="preserve">Results: </w:t>
      </w:r>
      <w:r w:rsidR="00A87217">
        <w:rPr>
          <w:rFonts w:asciiTheme="majorHAnsi" w:hAnsiTheme="majorHAnsi" w:cstheme="majorHAnsi"/>
          <w:sz w:val="22"/>
          <w:szCs w:val="22"/>
        </w:rPr>
        <w:t>Among 52,638 mental health high-cost patients, 18,149 (34.5%) were persistent high-cost patients. Persistent mental health high-cost patients had higher</w:t>
      </w:r>
      <w:r w:rsidR="00B90100">
        <w:rPr>
          <w:rFonts w:asciiTheme="majorHAnsi" w:hAnsiTheme="majorHAnsi" w:cstheme="majorHAnsi"/>
          <w:sz w:val="22"/>
          <w:szCs w:val="22"/>
        </w:rPr>
        <w:t xml:space="preserve"> mean</w:t>
      </w:r>
      <w:r w:rsidR="00A87217">
        <w:rPr>
          <w:rFonts w:asciiTheme="majorHAnsi" w:hAnsiTheme="majorHAnsi" w:cstheme="majorHAnsi"/>
          <w:sz w:val="22"/>
          <w:szCs w:val="22"/>
        </w:rPr>
        <w:t xml:space="preserve"> annual costs of care</w:t>
      </w:r>
      <w:r w:rsidR="00B90100">
        <w:rPr>
          <w:rFonts w:asciiTheme="majorHAnsi" w:hAnsiTheme="majorHAnsi" w:cstheme="majorHAnsi"/>
          <w:sz w:val="22"/>
          <w:szCs w:val="22"/>
        </w:rPr>
        <w:t xml:space="preserve"> ($44,714, 95% CI $43,724 to $45,703) c</w:t>
      </w:r>
      <w:r w:rsidR="00BB7DC2" w:rsidRPr="00F654AD">
        <w:rPr>
          <w:rFonts w:asciiTheme="majorHAnsi" w:hAnsiTheme="majorHAnsi" w:cstheme="majorHAnsi"/>
          <w:sz w:val="22"/>
          <w:szCs w:val="22"/>
        </w:rPr>
        <w:t>ompared to</w:t>
      </w:r>
      <w:r w:rsidR="000D1F58" w:rsidRPr="00F654AD">
        <w:rPr>
          <w:rFonts w:asciiTheme="majorHAnsi" w:hAnsiTheme="majorHAnsi" w:cstheme="majorHAnsi"/>
          <w:sz w:val="22"/>
          <w:szCs w:val="22"/>
        </w:rPr>
        <w:t xml:space="preserve"> sporadic </w:t>
      </w:r>
      <w:r w:rsidR="00B90100">
        <w:rPr>
          <w:rFonts w:asciiTheme="majorHAnsi" w:hAnsiTheme="majorHAnsi" w:cstheme="majorHAnsi"/>
          <w:sz w:val="22"/>
          <w:szCs w:val="22"/>
        </w:rPr>
        <w:t xml:space="preserve">($31,055, 95% CI $30,359 to 31,751) </w:t>
      </w:r>
      <w:r w:rsidR="00D63B3F" w:rsidRPr="00F654AD">
        <w:rPr>
          <w:rFonts w:asciiTheme="majorHAnsi" w:hAnsiTheme="majorHAnsi" w:cstheme="majorHAnsi"/>
          <w:sz w:val="22"/>
          <w:szCs w:val="22"/>
        </w:rPr>
        <w:t>and</w:t>
      </w:r>
      <w:r w:rsidR="000D1F58" w:rsidRPr="00F654AD">
        <w:rPr>
          <w:rFonts w:asciiTheme="majorHAnsi" w:hAnsiTheme="majorHAnsi" w:cstheme="majorHAnsi"/>
          <w:sz w:val="22"/>
          <w:szCs w:val="22"/>
        </w:rPr>
        <w:t xml:space="preserve"> moderate </w:t>
      </w:r>
      <w:r w:rsidR="00B90100">
        <w:rPr>
          <w:rFonts w:asciiTheme="majorHAnsi" w:hAnsiTheme="majorHAnsi" w:cstheme="majorHAnsi"/>
          <w:sz w:val="22"/>
          <w:szCs w:val="22"/>
        </w:rPr>
        <w:t xml:space="preserve">($23,205, 95% CI $22,741 to $23,668) </w:t>
      </w:r>
      <w:r w:rsidR="00BB7DC2" w:rsidRPr="00F654AD">
        <w:rPr>
          <w:rFonts w:asciiTheme="majorHAnsi" w:hAnsiTheme="majorHAnsi" w:cstheme="majorHAnsi"/>
          <w:sz w:val="22"/>
          <w:szCs w:val="22"/>
        </w:rPr>
        <w:t>patient</w:t>
      </w:r>
      <w:r w:rsidR="00EC2E0A" w:rsidRPr="00F654AD">
        <w:rPr>
          <w:rFonts w:asciiTheme="majorHAnsi" w:hAnsiTheme="majorHAnsi" w:cstheme="majorHAnsi"/>
          <w:sz w:val="22"/>
          <w:szCs w:val="22"/>
        </w:rPr>
        <w:t>s</w:t>
      </w:r>
      <w:r w:rsidR="00953DCC" w:rsidRPr="00F654AD">
        <w:rPr>
          <w:rFonts w:asciiTheme="majorHAnsi" w:hAnsiTheme="majorHAnsi" w:cstheme="majorHAnsi"/>
          <w:sz w:val="22"/>
          <w:szCs w:val="22"/>
        </w:rPr>
        <w:t xml:space="preserve">, </w:t>
      </w:r>
      <w:r w:rsidR="00953DCC" w:rsidRPr="00F654AD" w:rsidDel="00953DCC">
        <w:rPr>
          <w:rFonts w:asciiTheme="majorHAnsi" w:hAnsiTheme="majorHAnsi" w:cstheme="majorHAnsi"/>
          <w:sz w:val="22"/>
          <w:szCs w:val="22"/>
        </w:rPr>
        <w:t>large</w:t>
      </w:r>
      <w:r w:rsidR="00953DCC">
        <w:rPr>
          <w:rFonts w:asciiTheme="majorHAnsi" w:hAnsiTheme="majorHAnsi" w:cstheme="majorHAnsi"/>
          <w:sz w:val="22"/>
          <w:szCs w:val="22"/>
        </w:rPr>
        <w:t>ly due to psychiatric hospitaliz</w:t>
      </w:r>
      <w:r w:rsidR="00953DCC" w:rsidRPr="00F654AD" w:rsidDel="00953DCC">
        <w:rPr>
          <w:rFonts w:asciiTheme="majorHAnsi" w:hAnsiTheme="majorHAnsi" w:cstheme="majorHAnsi"/>
          <w:sz w:val="22"/>
          <w:szCs w:val="22"/>
        </w:rPr>
        <w:t>ations.</w:t>
      </w:r>
      <w:r w:rsidR="00953DCC">
        <w:rPr>
          <w:rFonts w:asciiTheme="majorHAnsi" w:hAnsiTheme="majorHAnsi" w:cstheme="majorHAnsi"/>
          <w:sz w:val="22"/>
          <w:szCs w:val="22"/>
        </w:rPr>
        <w:t xml:space="preserve"> P</w:t>
      </w:r>
      <w:r w:rsidR="00BB7DC2" w:rsidRPr="00F654AD">
        <w:rPr>
          <w:rFonts w:asciiTheme="majorHAnsi" w:hAnsiTheme="majorHAnsi" w:cstheme="majorHAnsi"/>
          <w:sz w:val="22"/>
          <w:szCs w:val="22"/>
        </w:rPr>
        <w:t xml:space="preserve">ersistent mental health high-cost patients </w:t>
      </w:r>
      <w:r w:rsidR="00E16B15" w:rsidRPr="00F654AD">
        <w:rPr>
          <w:rFonts w:asciiTheme="majorHAnsi" w:hAnsiTheme="majorHAnsi" w:cstheme="majorHAnsi"/>
          <w:sz w:val="22"/>
          <w:szCs w:val="22"/>
        </w:rPr>
        <w:t xml:space="preserve">were more likely to </w:t>
      </w:r>
      <w:r w:rsidR="00B90100">
        <w:rPr>
          <w:rFonts w:asciiTheme="majorHAnsi" w:hAnsiTheme="majorHAnsi" w:cstheme="majorHAnsi"/>
          <w:sz w:val="22"/>
          <w:szCs w:val="22"/>
        </w:rPr>
        <w:t xml:space="preserve">be female, older, long-term residents, </w:t>
      </w:r>
      <w:r w:rsidR="00E16B15" w:rsidRPr="00F654AD">
        <w:rPr>
          <w:rFonts w:asciiTheme="majorHAnsi" w:hAnsiTheme="majorHAnsi" w:cstheme="majorHAnsi"/>
          <w:sz w:val="22"/>
          <w:szCs w:val="22"/>
        </w:rPr>
        <w:t>liv</w:t>
      </w:r>
      <w:r w:rsidR="00B90100">
        <w:rPr>
          <w:rFonts w:asciiTheme="majorHAnsi" w:hAnsiTheme="majorHAnsi" w:cstheme="majorHAnsi"/>
          <w:sz w:val="22"/>
          <w:szCs w:val="22"/>
        </w:rPr>
        <w:t>ing</w:t>
      </w:r>
      <w:r w:rsidR="00E16B15" w:rsidRPr="00F654AD">
        <w:rPr>
          <w:rFonts w:asciiTheme="majorHAnsi" w:hAnsiTheme="majorHAnsi" w:cstheme="majorHAnsi"/>
          <w:sz w:val="22"/>
          <w:szCs w:val="22"/>
        </w:rPr>
        <w:t xml:space="preserve"> in low-income </w:t>
      </w:r>
      <w:r w:rsidR="009425C6">
        <w:rPr>
          <w:rFonts w:asciiTheme="majorHAnsi" w:hAnsiTheme="majorHAnsi" w:cstheme="majorHAnsi"/>
          <w:sz w:val="22"/>
          <w:szCs w:val="22"/>
        </w:rPr>
        <w:t xml:space="preserve">or </w:t>
      </w:r>
      <w:r w:rsidR="00E16B15" w:rsidRPr="00F654AD">
        <w:rPr>
          <w:rFonts w:asciiTheme="majorHAnsi" w:hAnsiTheme="majorHAnsi" w:cstheme="majorHAnsi"/>
          <w:sz w:val="22"/>
          <w:szCs w:val="22"/>
        </w:rPr>
        <w:t>urban areas</w:t>
      </w:r>
      <w:r w:rsidR="00512634" w:rsidRPr="00F654AD">
        <w:rPr>
          <w:rFonts w:asciiTheme="majorHAnsi" w:hAnsiTheme="majorHAnsi" w:cstheme="majorHAnsi"/>
          <w:sz w:val="22"/>
          <w:szCs w:val="22"/>
        </w:rPr>
        <w:t xml:space="preserve">, </w:t>
      </w:r>
      <w:r w:rsidR="00953DCC">
        <w:rPr>
          <w:rFonts w:asciiTheme="majorHAnsi" w:hAnsiTheme="majorHAnsi" w:cstheme="majorHAnsi"/>
          <w:sz w:val="22"/>
          <w:szCs w:val="22"/>
        </w:rPr>
        <w:t xml:space="preserve">or </w:t>
      </w:r>
      <w:r w:rsidR="009425C6">
        <w:rPr>
          <w:rFonts w:asciiTheme="majorHAnsi" w:hAnsiTheme="majorHAnsi" w:cstheme="majorHAnsi"/>
          <w:sz w:val="22"/>
          <w:szCs w:val="22"/>
        </w:rPr>
        <w:t xml:space="preserve">to </w:t>
      </w:r>
      <w:r w:rsidR="00512634" w:rsidRPr="00F654AD">
        <w:rPr>
          <w:rFonts w:asciiTheme="majorHAnsi" w:hAnsiTheme="majorHAnsi" w:cstheme="majorHAnsi"/>
          <w:sz w:val="22"/>
          <w:szCs w:val="22"/>
        </w:rPr>
        <w:t xml:space="preserve">have </w:t>
      </w:r>
      <w:r w:rsidR="00953DCC">
        <w:rPr>
          <w:rFonts w:asciiTheme="majorHAnsi" w:hAnsiTheme="majorHAnsi" w:cstheme="majorHAnsi"/>
          <w:sz w:val="22"/>
          <w:szCs w:val="22"/>
        </w:rPr>
        <w:t xml:space="preserve">comorbidities. </w:t>
      </w:r>
      <w:r w:rsidR="00EC2E0A" w:rsidRPr="00F654AD">
        <w:rPr>
          <w:rFonts w:asciiTheme="majorHAnsi" w:hAnsiTheme="majorHAnsi" w:cstheme="majorHAnsi"/>
          <w:sz w:val="22"/>
          <w:szCs w:val="22"/>
        </w:rPr>
        <w:t>T</w:t>
      </w:r>
      <w:r w:rsidR="00BB7DC2" w:rsidRPr="00F654AD">
        <w:rPr>
          <w:rFonts w:asciiTheme="majorHAnsi" w:hAnsiTheme="majorHAnsi" w:cstheme="majorHAnsi"/>
          <w:sz w:val="22"/>
          <w:szCs w:val="22"/>
        </w:rPr>
        <w:t xml:space="preserve">he </w:t>
      </w:r>
      <w:r w:rsidR="00CC22E1">
        <w:rPr>
          <w:rFonts w:asciiTheme="majorHAnsi" w:hAnsiTheme="majorHAnsi" w:cstheme="majorHAnsi"/>
          <w:sz w:val="22"/>
          <w:szCs w:val="22"/>
        </w:rPr>
        <w:t>strongest</w:t>
      </w:r>
      <w:r w:rsidR="00CC22E1" w:rsidRPr="00F654AD">
        <w:rPr>
          <w:rFonts w:asciiTheme="majorHAnsi" w:hAnsiTheme="majorHAnsi" w:cstheme="majorHAnsi"/>
          <w:sz w:val="22"/>
          <w:szCs w:val="22"/>
        </w:rPr>
        <w:t xml:space="preserve"> </w:t>
      </w:r>
      <w:r w:rsidR="00BB7DC2" w:rsidRPr="00F654AD">
        <w:rPr>
          <w:rFonts w:asciiTheme="majorHAnsi" w:hAnsiTheme="majorHAnsi" w:cstheme="majorHAnsi"/>
          <w:sz w:val="22"/>
          <w:szCs w:val="22"/>
        </w:rPr>
        <w:t xml:space="preserve">predictors of </w:t>
      </w:r>
      <w:r w:rsidR="00E16B15" w:rsidRPr="00F654AD">
        <w:rPr>
          <w:rFonts w:asciiTheme="majorHAnsi" w:hAnsiTheme="majorHAnsi" w:cstheme="majorHAnsi"/>
          <w:sz w:val="22"/>
          <w:szCs w:val="22"/>
        </w:rPr>
        <w:t>persist</w:t>
      </w:r>
      <w:r w:rsidR="00CC22E1">
        <w:rPr>
          <w:rFonts w:asciiTheme="majorHAnsi" w:hAnsiTheme="majorHAnsi" w:cstheme="majorHAnsi"/>
          <w:sz w:val="22"/>
          <w:szCs w:val="22"/>
        </w:rPr>
        <w:t>ent</w:t>
      </w:r>
      <w:r w:rsidR="00464CAC">
        <w:rPr>
          <w:rFonts w:asciiTheme="majorHAnsi" w:hAnsiTheme="majorHAnsi" w:cstheme="majorHAnsi"/>
          <w:sz w:val="22"/>
          <w:szCs w:val="22"/>
        </w:rPr>
        <w:t xml:space="preserve"> </w:t>
      </w:r>
      <w:r w:rsidR="00CC22E1">
        <w:rPr>
          <w:rFonts w:asciiTheme="majorHAnsi" w:hAnsiTheme="majorHAnsi" w:cstheme="majorHAnsi"/>
          <w:sz w:val="22"/>
          <w:szCs w:val="22"/>
        </w:rPr>
        <w:t>(v. sporadic)</w:t>
      </w:r>
      <w:r w:rsidR="006E04D6" w:rsidRPr="00F654AD">
        <w:rPr>
          <w:rFonts w:asciiTheme="majorHAnsi" w:hAnsiTheme="majorHAnsi" w:cstheme="majorHAnsi"/>
          <w:sz w:val="22"/>
          <w:szCs w:val="22"/>
        </w:rPr>
        <w:t xml:space="preserve"> high-cost s</w:t>
      </w:r>
      <w:r w:rsidR="000767A4">
        <w:rPr>
          <w:rFonts w:asciiTheme="majorHAnsi" w:hAnsiTheme="majorHAnsi" w:cstheme="majorHAnsi"/>
          <w:sz w:val="22"/>
          <w:szCs w:val="22"/>
        </w:rPr>
        <w:t>t</w:t>
      </w:r>
      <w:r w:rsidR="006E04D6" w:rsidRPr="00F654AD">
        <w:rPr>
          <w:rFonts w:asciiTheme="majorHAnsi" w:hAnsiTheme="majorHAnsi" w:cstheme="majorHAnsi"/>
          <w:sz w:val="22"/>
          <w:szCs w:val="22"/>
        </w:rPr>
        <w:t>at</w:t>
      </w:r>
      <w:r w:rsidR="00CC22E1">
        <w:rPr>
          <w:rFonts w:asciiTheme="majorHAnsi" w:hAnsiTheme="majorHAnsi" w:cstheme="majorHAnsi"/>
          <w:sz w:val="22"/>
          <w:szCs w:val="22"/>
        </w:rPr>
        <w:t>us</w:t>
      </w:r>
      <w:r w:rsidR="00BB7DC2" w:rsidRPr="00F654AD">
        <w:rPr>
          <w:rFonts w:asciiTheme="majorHAnsi" w:hAnsiTheme="majorHAnsi" w:cstheme="majorHAnsi"/>
          <w:sz w:val="22"/>
          <w:szCs w:val="22"/>
        </w:rPr>
        <w:t xml:space="preserve"> were </w:t>
      </w:r>
      <w:r w:rsidR="009F0F7E" w:rsidRPr="00F654AD">
        <w:rPr>
          <w:rFonts w:asciiTheme="majorHAnsi" w:hAnsiTheme="majorHAnsi" w:cstheme="majorHAnsi"/>
          <w:sz w:val="22"/>
          <w:szCs w:val="22"/>
        </w:rPr>
        <w:t>HIV</w:t>
      </w:r>
      <w:r w:rsidR="00A56F43">
        <w:rPr>
          <w:rFonts w:asciiTheme="majorHAnsi" w:hAnsiTheme="majorHAnsi" w:cstheme="majorHAnsi"/>
          <w:sz w:val="22"/>
          <w:szCs w:val="22"/>
        </w:rPr>
        <w:t xml:space="preserve"> (RRR 4.32, 95% CI</w:t>
      </w:r>
      <w:r w:rsidR="00C135CB">
        <w:rPr>
          <w:rFonts w:asciiTheme="majorHAnsi" w:hAnsiTheme="majorHAnsi" w:cstheme="majorHAnsi"/>
          <w:sz w:val="22"/>
          <w:szCs w:val="22"/>
        </w:rPr>
        <w:t xml:space="preserve"> 3.08</w:t>
      </w:r>
      <w:r w:rsidR="00CC1466">
        <w:rPr>
          <w:rFonts w:asciiTheme="majorHAnsi" w:hAnsiTheme="majorHAnsi" w:cstheme="majorHAnsi"/>
          <w:sz w:val="22"/>
          <w:szCs w:val="22"/>
        </w:rPr>
        <w:t xml:space="preserve"> to</w:t>
      </w:r>
      <w:r w:rsidR="00C135CB">
        <w:rPr>
          <w:rFonts w:asciiTheme="majorHAnsi" w:hAnsiTheme="majorHAnsi" w:cstheme="majorHAnsi"/>
          <w:sz w:val="22"/>
          <w:szCs w:val="22"/>
        </w:rPr>
        <w:t xml:space="preserve"> 6.06</w:t>
      </w:r>
      <w:r w:rsidR="00A56F43">
        <w:rPr>
          <w:rFonts w:asciiTheme="majorHAnsi" w:hAnsiTheme="majorHAnsi" w:cstheme="majorHAnsi"/>
          <w:sz w:val="22"/>
          <w:szCs w:val="22"/>
        </w:rPr>
        <w:t>)</w:t>
      </w:r>
      <w:r w:rsidR="009F0F7E" w:rsidRPr="00F654AD">
        <w:rPr>
          <w:rFonts w:asciiTheme="majorHAnsi" w:hAnsiTheme="majorHAnsi" w:cstheme="majorHAnsi"/>
          <w:sz w:val="22"/>
          <w:szCs w:val="22"/>
        </w:rPr>
        <w:t>,</w:t>
      </w:r>
      <w:r w:rsidR="00BB7DC2" w:rsidRPr="00F654AD">
        <w:rPr>
          <w:rFonts w:asciiTheme="majorHAnsi" w:hAnsiTheme="majorHAnsi" w:cstheme="majorHAnsi"/>
          <w:sz w:val="22"/>
          <w:szCs w:val="22"/>
        </w:rPr>
        <w:t xml:space="preserve"> psychosis</w:t>
      </w:r>
      <w:r w:rsidR="00A56F43">
        <w:rPr>
          <w:rFonts w:asciiTheme="majorHAnsi" w:hAnsiTheme="majorHAnsi" w:cstheme="majorHAnsi"/>
          <w:sz w:val="22"/>
          <w:szCs w:val="22"/>
        </w:rPr>
        <w:t xml:space="preserve"> (RRR 3.41, 95% CI</w:t>
      </w:r>
      <w:r w:rsidR="00C135CB">
        <w:rPr>
          <w:rFonts w:asciiTheme="majorHAnsi" w:hAnsiTheme="majorHAnsi" w:cstheme="majorHAnsi"/>
          <w:sz w:val="22"/>
          <w:szCs w:val="22"/>
        </w:rPr>
        <w:t xml:space="preserve"> 3.25</w:t>
      </w:r>
      <w:r w:rsidR="00CC1466">
        <w:rPr>
          <w:rFonts w:asciiTheme="majorHAnsi" w:hAnsiTheme="majorHAnsi" w:cstheme="majorHAnsi"/>
          <w:sz w:val="22"/>
          <w:szCs w:val="22"/>
        </w:rPr>
        <w:t xml:space="preserve"> to</w:t>
      </w:r>
      <w:r w:rsidR="00C135CB">
        <w:rPr>
          <w:rFonts w:asciiTheme="majorHAnsi" w:hAnsiTheme="majorHAnsi" w:cstheme="majorHAnsi"/>
          <w:sz w:val="22"/>
          <w:szCs w:val="22"/>
        </w:rPr>
        <w:t xml:space="preserve"> 3.58</w:t>
      </w:r>
      <w:r w:rsidR="00A56F43">
        <w:rPr>
          <w:rFonts w:asciiTheme="majorHAnsi" w:hAnsiTheme="majorHAnsi" w:cstheme="majorHAnsi"/>
          <w:sz w:val="22"/>
          <w:szCs w:val="22"/>
        </w:rPr>
        <w:t>),</w:t>
      </w:r>
      <w:r w:rsidR="00BB7DC2" w:rsidRPr="00F654AD">
        <w:rPr>
          <w:rFonts w:asciiTheme="majorHAnsi" w:hAnsiTheme="majorHAnsi" w:cstheme="majorHAnsi"/>
          <w:sz w:val="22"/>
          <w:szCs w:val="22"/>
        </w:rPr>
        <w:t xml:space="preserve"> </w:t>
      </w:r>
      <w:r w:rsidR="00CC1466">
        <w:rPr>
          <w:rFonts w:asciiTheme="majorHAnsi" w:hAnsiTheme="majorHAnsi" w:cstheme="majorHAnsi"/>
          <w:sz w:val="22"/>
          <w:szCs w:val="22"/>
        </w:rPr>
        <w:t>and</w:t>
      </w:r>
      <w:r w:rsidR="00CC1466" w:rsidRPr="00F654AD">
        <w:rPr>
          <w:rFonts w:asciiTheme="majorHAnsi" w:hAnsiTheme="majorHAnsi" w:cstheme="majorHAnsi"/>
          <w:sz w:val="22"/>
          <w:szCs w:val="22"/>
        </w:rPr>
        <w:t xml:space="preserve"> </w:t>
      </w:r>
      <w:r w:rsidR="009F0F7E" w:rsidRPr="00F654AD">
        <w:rPr>
          <w:rFonts w:asciiTheme="majorHAnsi" w:hAnsiTheme="majorHAnsi" w:cstheme="majorHAnsi"/>
          <w:sz w:val="22"/>
          <w:szCs w:val="22"/>
        </w:rPr>
        <w:t>dementia</w:t>
      </w:r>
      <w:r w:rsidR="00A56F43">
        <w:rPr>
          <w:rFonts w:asciiTheme="majorHAnsi" w:hAnsiTheme="majorHAnsi" w:cstheme="majorHAnsi"/>
          <w:sz w:val="22"/>
          <w:szCs w:val="22"/>
        </w:rPr>
        <w:t xml:space="preserve"> (RRR 3.21, 95% CI</w:t>
      </w:r>
      <w:r w:rsidR="00C135CB">
        <w:rPr>
          <w:rFonts w:asciiTheme="majorHAnsi" w:hAnsiTheme="majorHAnsi" w:cstheme="majorHAnsi"/>
          <w:sz w:val="22"/>
          <w:szCs w:val="22"/>
        </w:rPr>
        <w:t xml:space="preserve"> 2.81</w:t>
      </w:r>
      <w:r w:rsidR="00CC1466">
        <w:rPr>
          <w:rFonts w:asciiTheme="majorHAnsi" w:hAnsiTheme="majorHAnsi" w:cstheme="majorHAnsi"/>
          <w:sz w:val="22"/>
          <w:szCs w:val="22"/>
        </w:rPr>
        <w:t xml:space="preserve"> to</w:t>
      </w:r>
      <w:r w:rsidR="00C135CB">
        <w:rPr>
          <w:rFonts w:asciiTheme="majorHAnsi" w:hAnsiTheme="majorHAnsi" w:cstheme="majorHAnsi"/>
          <w:sz w:val="22"/>
          <w:szCs w:val="22"/>
        </w:rPr>
        <w:t xml:space="preserve"> 3.68</w:t>
      </w:r>
      <w:r w:rsidR="00A56F43">
        <w:rPr>
          <w:rFonts w:asciiTheme="majorHAnsi" w:hAnsiTheme="majorHAnsi" w:cstheme="majorHAnsi"/>
          <w:sz w:val="22"/>
          <w:szCs w:val="22"/>
        </w:rPr>
        <w:t>)</w:t>
      </w:r>
      <w:r w:rsidR="00BB7DC2" w:rsidRPr="00F654AD">
        <w:rPr>
          <w:rFonts w:asciiTheme="majorHAnsi" w:hAnsiTheme="majorHAnsi" w:cstheme="majorHAnsi"/>
          <w:sz w:val="22"/>
          <w:szCs w:val="22"/>
        </w:rPr>
        <w:t xml:space="preserve">. </w:t>
      </w:r>
      <w:bookmarkEnd w:id="2"/>
    </w:p>
    <w:p w14:paraId="5B9268E1" w14:textId="41B1D7B8" w:rsidR="00D63B3F" w:rsidRDefault="003667E2" w:rsidP="004B1B31">
      <w:pPr>
        <w:widowControl w:val="0"/>
        <w:autoSpaceDE w:val="0"/>
        <w:autoSpaceDN w:val="0"/>
        <w:adjustRightInd w:val="0"/>
        <w:spacing w:line="480" w:lineRule="auto"/>
        <w:rPr>
          <w:rFonts w:asciiTheme="majorHAnsi" w:hAnsiTheme="majorHAnsi" w:cstheme="majorHAnsi"/>
          <w:sz w:val="22"/>
          <w:szCs w:val="22"/>
        </w:rPr>
      </w:pPr>
      <w:r>
        <w:rPr>
          <w:rFonts w:asciiTheme="majorHAnsi" w:hAnsiTheme="majorHAnsi" w:cstheme="majorHAnsi"/>
          <w:b/>
          <w:sz w:val="22"/>
          <w:szCs w:val="22"/>
        </w:rPr>
        <w:t>Interpretation:</w:t>
      </w:r>
      <w:r>
        <w:rPr>
          <w:rFonts w:asciiTheme="majorHAnsi" w:hAnsiTheme="majorHAnsi" w:cstheme="majorHAnsi"/>
          <w:sz w:val="22"/>
          <w:szCs w:val="22"/>
        </w:rPr>
        <w:t xml:space="preserve"> </w:t>
      </w:r>
      <w:r w:rsidR="00CC1466">
        <w:rPr>
          <w:rFonts w:asciiTheme="majorHAnsi" w:hAnsiTheme="majorHAnsi" w:cstheme="majorHAnsi"/>
          <w:sz w:val="22"/>
          <w:szCs w:val="22"/>
        </w:rPr>
        <w:t>Among</w:t>
      </w:r>
      <w:r w:rsidR="00A3440B">
        <w:rPr>
          <w:rFonts w:asciiTheme="majorHAnsi" w:hAnsiTheme="majorHAnsi" w:cstheme="majorHAnsi"/>
          <w:sz w:val="22"/>
          <w:szCs w:val="22"/>
        </w:rPr>
        <w:t xml:space="preserve"> mental health high-cost patients</w:t>
      </w:r>
      <w:r w:rsidR="00CC1466">
        <w:rPr>
          <w:rFonts w:asciiTheme="majorHAnsi" w:hAnsiTheme="majorHAnsi" w:cstheme="majorHAnsi"/>
          <w:sz w:val="22"/>
          <w:szCs w:val="22"/>
        </w:rPr>
        <w:t>,</w:t>
      </w:r>
      <w:r w:rsidR="00A3440B">
        <w:rPr>
          <w:rFonts w:asciiTheme="majorHAnsi" w:hAnsiTheme="majorHAnsi" w:cstheme="majorHAnsi"/>
          <w:sz w:val="22"/>
          <w:szCs w:val="22"/>
        </w:rPr>
        <w:t xml:space="preserve"> persist</w:t>
      </w:r>
      <w:r w:rsidR="00CC1466">
        <w:rPr>
          <w:rFonts w:asciiTheme="majorHAnsi" w:hAnsiTheme="majorHAnsi" w:cstheme="majorHAnsi"/>
          <w:sz w:val="22"/>
          <w:szCs w:val="22"/>
        </w:rPr>
        <w:t>ence</w:t>
      </w:r>
      <w:r w:rsidR="00A3440B">
        <w:rPr>
          <w:rFonts w:asciiTheme="majorHAnsi" w:hAnsiTheme="majorHAnsi" w:cstheme="majorHAnsi"/>
          <w:sz w:val="22"/>
          <w:szCs w:val="22"/>
        </w:rPr>
        <w:t xml:space="preserve"> in the </w:t>
      </w:r>
      <w:r w:rsidR="002F6DA0">
        <w:rPr>
          <w:rFonts w:asciiTheme="majorHAnsi" w:hAnsiTheme="majorHAnsi" w:cstheme="majorHAnsi"/>
          <w:sz w:val="22"/>
          <w:szCs w:val="22"/>
        </w:rPr>
        <w:t>high-</w:t>
      </w:r>
      <w:r w:rsidR="00A3440B">
        <w:rPr>
          <w:rFonts w:asciiTheme="majorHAnsi" w:hAnsiTheme="majorHAnsi" w:cstheme="majorHAnsi"/>
          <w:sz w:val="22"/>
          <w:szCs w:val="22"/>
        </w:rPr>
        <w:t xml:space="preserve">cost state </w:t>
      </w:r>
      <w:r w:rsidR="00CC1466">
        <w:rPr>
          <w:rFonts w:asciiTheme="majorHAnsi" w:hAnsiTheme="majorHAnsi" w:cstheme="majorHAnsi"/>
          <w:sz w:val="22"/>
          <w:szCs w:val="22"/>
        </w:rPr>
        <w:t>was mainly determined by</w:t>
      </w:r>
      <w:r w:rsidR="00E11AC8">
        <w:rPr>
          <w:rFonts w:asciiTheme="majorHAnsi" w:hAnsiTheme="majorHAnsi" w:cstheme="majorHAnsi"/>
          <w:sz w:val="22"/>
          <w:szCs w:val="22"/>
        </w:rPr>
        <w:t xml:space="preserve"> psychosis</w:t>
      </w:r>
      <w:r w:rsidR="002F6DA0">
        <w:rPr>
          <w:rFonts w:asciiTheme="majorHAnsi" w:hAnsiTheme="majorHAnsi" w:cstheme="majorHAnsi"/>
          <w:sz w:val="22"/>
          <w:szCs w:val="22"/>
        </w:rPr>
        <w:t xml:space="preserve"> and other comorbidities. </w:t>
      </w:r>
      <w:r w:rsidR="009425C6">
        <w:rPr>
          <w:rFonts w:asciiTheme="majorHAnsi" w:hAnsiTheme="majorHAnsi" w:cstheme="majorHAnsi"/>
          <w:sz w:val="22"/>
          <w:szCs w:val="22"/>
        </w:rPr>
        <w:t>Q</w:t>
      </w:r>
      <w:r w:rsidR="00A3440B" w:rsidRPr="00F654AD">
        <w:rPr>
          <w:rFonts w:asciiTheme="majorHAnsi" w:hAnsiTheme="majorHAnsi" w:cstheme="majorHAnsi"/>
          <w:sz w:val="22"/>
          <w:szCs w:val="22"/>
        </w:rPr>
        <w:t>uality of care</w:t>
      </w:r>
      <w:r w:rsidR="009425C6">
        <w:rPr>
          <w:rFonts w:asciiTheme="majorHAnsi" w:hAnsiTheme="majorHAnsi" w:cstheme="majorHAnsi"/>
          <w:sz w:val="22"/>
          <w:szCs w:val="22"/>
        </w:rPr>
        <w:t xml:space="preserve"> interventions directed </w:t>
      </w:r>
      <w:r w:rsidR="009425C6">
        <w:rPr>
          <w:rFonts w:asciiTheme="majorHAnsi" w:hAnsiTheme="majorHAnsi" w:cstheme="majorHAnsi"/>
          <w:sz w:val="22"/>
          <w:szCs w:val="22"/>
        </w:rPr>
        <w:lastRenderedPageBreak/>
        <w:t xml:space="preserve">at </w:t>
      </w:r>
      <w:r w:rsidR="00F66BAF">
        <w:rPr>
          <w:rFonts w:asciiTheme="majorHAnsi" w:hAnsiTheme="majorHAnsi" w:cstheme="majorHAnsi"/>
          <w:sz w:val="22"/>
          <w:szCs w:val="22"/>
        </w:rPr>
        <w:t xml:space="preserve">the </w:t>
      </w:r>
      <w:r w:rsidR="00A3440B" w:rsidRPr="00F654AD">
        <w:rPr>
          <w:rFonts w:asciiTheme="majorHAnsi" w:hAnsiTheme="majorHAnsi" w:cstheme="majorHAnsi"/>
          <w:sz w:val="22"/>
          <w:szCs w:val="22"/>
        </w:rPr>
        <w:t xml:space="preserve">management of psychosis and multimorbidity, </w:t>
      </w:r>
      <w:r w:rsidR="00170363">
        <w:rPr>
          <w:rFonts w:asciiTheme="majorHAnsi" w:hAnsiTheme="majorHAnsi" w:cstheme="majorHAnsi"/>
          <w:sz w:val="22"/>
          <w:szCs w:val="22"/>
        </w:rPr>
        <w:t xml:space="preserve">as well as </w:t>
      </w:r>
      <w:r w:rsidR="00170363" w:rsidRPr="00B11CE5">
        <w:rPr>
          <w:rFonts w:asciiTheme="majorHAnsi" w:hAnsiTheme="majorHAnsi" w:cstheme="majorHAnsi"/>
          <w:sz w:val="22"/>
          <w:szCs w:val="22"/>
        </w:rPr>
        <w:t>preventi</w:t>
      </w:r>
      <w:r w:rsidR="009425C6">
        <w:rPr>
          <w:rFonts w:asciiTheme="majorHAnsi" w:hAnsiTheme="majorHAnsi" w:cstheme="majorHAnsi"/>
          <w:sz w:val="22"/>
          <w:szCs w:val="22"/>
        </w:rPr>
        <w:t>ve</w:t>
      </w:r>
      <w:r w:rsidR="00170363" w:rsidRPr="00B11CE5">
        <w:rPr>
          <w:rFonts w:asciiTheme="majorHAnsi" w:hAnsiTheme="majorHAnsi" w:cstheme="majorHAnsi"/>
          <w:sz w:val="22"/>
          <w:szCs w:val="22"/>
        </w:rPr>
        <w:t xml:space="preserve"> </w:t>
      </w:r>
      <w:r w:rsidR="009425C6">
        <w:rPr>
          <w:rFonts w:asciiTheme="majorHAnsi" w:hAnsiTheme="majorHAnsi" w:cstheme="majorHAnsi"/>
          <w:sz w:val="22"/>
          <w:szCs w:val="22"/>
        </w:rPr>
        <w:t>interventions to</w:t>
      </w:r>
      <w:r w:rsidR="00170363" w:rsidRPr="00B11CE5">
        <w:rPr>
          <w:rFonts w:asciiTheme="majorHAnsi" w:hAnsiTheme="majorHAnsi" w:cstheme="majorHAnsi"/>
          <w:sz w:val="22"/>
          <w:szCs w:val="22"/>
        </w:rPr>
        <w:t xml:space="preserve"> target patients with mental illness before they become persistent high-cost patients</w:t>
      </w:r>
      <w:r w:rsidR="009425C6">
        <w:rPr>
          <w:rFonts w:asciiTheme="majorHAnsi" w:hAnsiTheme="majorHAnsi" w:cstheme="majorHAnsi"/>
          <w:sz w:val="22"/>
          <w:szCs w:val="22"/>
        </w:rPr>
        <w:t xml:space="preserve"> are needed</w:t>
      </w:r>
      <w:r w:rsidR="002F6DA0">
        <w:rPr>
          <w:rFonts w:asciiTheme="majorHAnsi" w:hAnsiTheme="majorHAnsi" w:cstheme="majorHAnsi"/>
          <w:sz w:val="22"/>
          <w:szCs w:val="22"/>
        </w:rPr>
        <w:t>.</w:t>
      </w:r>
    </w:p>
    <w:bookmarkEnd w:id="1"/>
    <w:p w14:paraId="00998281" w14:textId="77777777" w:rsidR="00BB7DC2" w:rsidRPr="00E03190" w:rsidRDefault="00BB7DC2" w:rsidP="004B1B31">
      <w:pPr>
        <w:widowControl w:val="0"/>
        <w:autoSpaceDE w:val="0"/>
        <w:autoSpaceDN w:val="0"/>
        <w:adjustRightInd w:val="0"/>
        <w:spacing w:line="480" w:lineRule="auto"/>
        <w:rPr>
          <w:rFonts w:asciiTheme="majorHAnsi" w:hAnsiTheme="majorHAnsi" w:cstheme="majorHAnsi"/>
          <w:sz w:val="22"/>
          <w:szCs w:val="22"/>
        </w:rPr>
      </w:pPr>
    </w:p>
    <w:p w14:paraId="36C6163D" w14:textId="77777777" w:rsidR="00F950E4" w:rsidRDefault="00F950E4">
      <w:pPr>
        <w:rPr>
          <w:rFonts w:asciiTheme="majorHAnsi" w:hAnsiTheme="majorHAnsi" w:cstheme="majorHAnsi"/>
          <w:b/>
          <w:sz w:val="22"/>
          <w:szCs w:val="22"/>
        </w:rPr>
      </w:pPr>
      <w:r>
        <w:rPr>
          <w:rFonts w:asciiTheme="majorHAnsi" w:hAnsiTheme="majorHAnsi" w:cstheme="majorHAnsi"/>
          <w:b/>
          <w:sz w:val="22"/>
          <w:szCs w:val="22"/>
        </w:rPr>
        <w:br w:type="page"/>
      </w:r>
    </w:p>
    <w:p w14:paraId="3023DA36" w14:textId="5DF262D3" w:rsidR="00E272D6" w:rsidRPr="003667E2" w:rsidRDefault="00E272D6" w:rsidP="004B1B31">
      <w:pPr>
        <w:widowControl w:val="0"/>
        <w:autoSpaceDE w:val="0"/>
        <w:autoSpaceDN w:val="0"/>
        <w:adjustRightInd w:val="0"/>
        <w:spacing w:line="480" w:lineRule="auto"/>
        <w:rPr>
          <w:rFonts w:asciiTheme="majorHAnsi" w:hAnsiTheme="majorHAnsi" w:cstheme="majorHAnsi"/>
          <w:b/>
          <w:sz w:val="22"/>
          <w:szCs w:val="22"/>
        </w:rPr>
      </w:pPr>
      <w:r w:rsidRPr="003667E2">
        <w:rPr>
          <w:rFonts w:asciiTheme="majorHAnsi" w:hAnsiTheme="majorHAnsi" w:cstheme="majorHAnsi"/>
          <w:b/>
          <w:sz w:val="22"/>
          <w:szCs w:val="22"/>
        </w:rPr>
        <w:lastRenderedPageBreak/>
        <w:t>Introduction</w:t>
      </w:r>
    </w:p>
    <w:p w14:paraId="0ED8DD46" w14:textId="37EF50FD" w:rsidR="00E272D6" w:rsidRPr="00B11CE5" w:rsidRDefault="003A325C" w:rsidP="004B1B31">
      <w:pPr>
        <w:widowControl w:val="0"/>
        <w:autoSpaceDE w:val="0"/>
        <w:autoSpaceDN w:val="0"/>
        <w:adjustRightInd w:val="0"/>
        <w:spacing w:line="480" w:lineRule="auto"/>
        <w:rPr>
          <w:rFonts w:asciiTheme="majorHAnsi" w:hAnsiTheme="majorHAnsi" w:cstheme="majorHAnsi"/>
          <w:sz w:val="22"/>
          <w:szCs w:val="22"/>
        </w:rPr>
      </w:pPr>
      <w:r>
        <w:rPr>
          <w:rFonts w:asciiTheme="majorHAnsi" w:hAnsiTheme="majorHAnsi" w:cstheme="majorHAnsi"/>
          <w:sz w:val="22"/>
          <w:szCs w:val="22"/>
        </w:rPr>
        <w:t>T</w:t>
      </w:r>
      <w:r w:rsidR="009C4002" w:rsidRPr="00E03190">
        <w:rPr>
          <w:rFonts w:asciiTheme="majorHAnsi" w:hAnsiTheme="majorHAnsi" w:cstheme="majorHAnsi"/>
          <w:sz w:val="22"/>
          <w:szCs w:val="22"/>
        </w:rPr>
        <w:t xml:space="preserve">o </w:t>
      </w:r>
      <w:r w:rsidR="00467A8E">
        <w:rPr>
          <w:rFonts w:asciiTheme="majorHAnsi" w:hAnsiTheme="majorHAnsi" w:cstheme="majorHAnsi"/>
          <w:sz w:val="22"/>
          <w:szCs w:val="22"/>
        </w:rPr>
        <w:t>address rising health care costs</w:t>
      </w:r>
      <w:r>
        <w:rPr>
          <w:rFonts w:asciiTheme="majorHAnsi" w:hAnsiTheme="majorHAnsi" w:cstheme="majorHAnsi"/>
          <w:sz w:val="22"/>
          <w:szCs w:val="22"/>
        </w:rPr>
        <w:t>, it is important</w:t>
      </w:r>
      <w:r w:rsidRPr="003A325C">
        <w:rPr>
          <w:rFonts w:asciiTheme="majorHAnsi" w:hAnsiTheme="majorHAnsi" w:cstheme="majorHAnsi"/>
          <w:sz w:val="22"/>
          <w:szCs w:val="22"/>
        </w:rPr>
        <w:t xml:space="preserve"> </w:t>
      </w:r>
      <w:r w:rsidRPr="00E03190">
        <w:rPr>
          <w:rFonts w:asciiTheme="majorHAnsi" w:hAnsiTheme="majorHAnsi" w:cstheme="majorHAnsi"/>
          <w:sz w:val="22"/>
          <w:szCs w:val="22"/>
        </w:rPr>
        <w:t>to understand the composition of the high-cost population</w:t>
      </w:r>
      <w:r w:rsidR="009C4002" w:rsidRPr="00B11CE5">
        <w:rPr>
          <w:rFonts w:asciiTheme="majorHAnsi" w:hAnsiTheme="majorHAnsi" w:cstheme="majorHAnsi"/>
          <w:sz w:val="22"/>
          <w:szCs w:val="22"/>
        </w:rPr>
        <w:t>.</w:t>
      </w:r>
      <w:r w:rsidR="006C3D1C" w:rsidRPr="00B11CE5">
        <w:rPr>
          <w:rFonts w:asciiTheme="majorHAnsi" w:hAnsiTheme="majorHAnsi" w:cstheme="majorHAnsi"/>
          <w:sz w:val="22"/>
          <w:szCs w:val="22"/>
        </w:rPr>
        <w:t xml:space="preserve"> </w:t>
      </w:r>
      <w:r w:rsidR="00AC7551">
        <w:rPr>
          <w:rFonts w:asciiTheme="majorHAnsi" w:hAnsiTheme="majorHAnsi" w:cstheme="majorHAnsi"/>
          <w:sz w:val="22"/>
          <w:szCs w:val="22"/>
        </w:rPr>
        <w:t>Most work on high-cost patients has considered this population as a whole.</w:t>
      </w:r>
      <w:r w:rsidR="00D865A6" w:rsidRPr="005C0D19">
        <w:rPr>
          <w:rFonts w:asciiTheme="majorHAnsi" w:hAnsiTheme="majorHAnsi" w:cstheme="majorHAnsi"/>
          <w:sz w:val="22"/>
          <w:szCs w:val="22"/>
          <w:vertAlign w:val="superscript"/>
        </w:rPr>
        <w:t>1-3</w:t>
      </w:r>
      <w:r w:rsidR="00AC7551">
        <w:rPr>
          <w:rFonts w:asciiTheme="majorHAnsi" w:hAnsiTheme="majorHAnsi" w:cstheme="majorHAnsi"/>
          <w:sz w:val="22"/>
          <w:szCs w:val="22"/>
        </w:rPr>
        <w:t xml:space="preserve"> However, p</w:t>
      </w:r>
      <w:r w:rsidR="00E272D6" w:rsidRPr="00B11CE5">
        <w:rPr>
          <w:rFonts w:asciiTheme="majorHAnsi" w:hAnsiTheme="majorHAnsi" w:cstheme="majorHAnsi"/>
          <w:sz w:val="22"/>
          <w:szCs w:val="22"/>
        </w:rPr>
        <w:t xml:space="preserve">rior </w:t>
      </w:r>
      <w:r w:rsidR="004237DE">
        <w:rPr>
          <w:rFonts w:asciiTheme="majorHAnsi" w:hAnsiTheme="majorHAnsi" w:cstheme="majorHAnsi"/>
          <w:sz w:val="22"/>
          <w:szCs w:val="22"/>
        </w:rPr>
        <w:t>work</w:t>
      </w:r>
      <w:r w:rsidR="00E272D6" w:rsidRPr="00B11CE5">
        <w:rPr>
          <w:rFonts w:asciiTheme="majorHAnsi" w:hAnsiTheme="majorHAnsi" w:cstheme="majorHAnsi"/>
          <w:sz w:val="22"/>
          <w:szCs w:val="22"/>
        </w:rPr>
        <w:t xml:space="preserve"> has shown that policies and interventions designed to address quality of care and high health care spending in general will likely not apply to all high-cost patient subgroups.</w:t>
      </w:r>
      <w:r w:rsidR="00D865A6">
        <w:rPr>
          <w:rFonts w:asciiTheme="majorHAnsi" w:hAnsiTheme="majorHAnsi" w:cstheme="majorHAnsi"/>
          <w:sz w:val="22"/>
          <w:szCs w:val="22"/>
          <w:vertAlign w:val="superscript"/>
        </w:rPr>
        <w:t>4,5</w:t>
      </w:r>
      <w:r w:rsidR="00E272D6" w:rsidRPr="00B11CE5">
        <w:rPr>
          <w:rFonts w:asciiTheme="majorHAnsi" w:hAnsiTheme="majorHAnsi" w:cstheme="majorHAnsi"/>
          <w:sz w:val="22"/>
          <w:szCs w:val="22"/>
        </w:rPr>
        <w:t xml:space="preserve"> </w:t>
      </w:r>
      <w:r w:rsidR="004237DE">
        <w:rPr>
          <w:rFonts w:asciiTheme="majorHAnsi" w:hAnsiTheme="majorHAnsi" w:cstheme="majorHAnsi"/>
          <w:sz w:val="22"/>
          <w:szCs w:val="22"/>
        </w:rPr>
        <w:t>Moreover, r</w:t>
      </w:r>
      <w:r w:rsidR="00E272D6" w:rsidRPr="00B11CE5">
        <w:rPr>
          <w:rFonts w:asciiTheme="majorHAnsi" w:hAnsiTheme="majorHAnsi" w:cstheme="majorHAnsi"/>
          <w:sz w:val="22"/>
          <w:szCs w:val="22"/>
        </w:rPr>
        <w:t>esearch has shown that high-cost patients are a heterogeneous population.</w:t>
      </w:r>
      <w:r w:rsidR="00D865A6">
        <w:rPr>
          <w:rFonts w:asciiTheme="majorHAnsi" w:hAnsiTheme="majorHAnsi" w:cstheme="majorHAnsi"/>
          <w:sz w:val="22"/>
          <w:szCs w:val="22"/>
          <w:vertAlign w:val="superscript"/>
        </w:rPr>
        <w:t>6</w:t>
      </w:r>
      <w:r w:rsidR="00E272D6" w:rsidRPr="00B11CE5">
        <w:rPr>
          <w:rFonts w:asciiTheme="majorHAnsi" w:hAnsiTheme="majorHAnsi" w:cstheme="majorHAnsi"/>
          <w:sz w:val="22"/>
          <w:szCs w:val="22"/>
        </w:rPr>
        <w:t xml:space="preserve"> For example, high-cost patients who use </w:t>
      </w:r>
      <w:r w:rsidR="008F56E2" w:rsidRPr="00B11CE5">
        <w:rPr>
          <w:rFonts w:asciiTheme="majorHAnsi" w:hAnsiTheme="majorHAnsi" w:cstheme="majorHAnsi"/>
          <w:sz w:val="22"/>
          <w:szCs w:val="22"/>
        </w:rPr>
        <w:t xml:space="preserve">mainly </w:t>
      </w:r>
      <w:r w:rsidR="00E272D6" w:rsidRPr="00B11CE5">
        <w:rPr>
          <w:rFonts w:asciiTheme="majorHAnsi" w:hAnsiTheme="majorHAnsi" w:cstheme="majorHAnsi"/>
          <w:sz w:val="22"/>
          <w:szCs w:val="22"/>
        </w:rPr>
        <w:t>mental health services are quite different from other high-cost patient</w:t>
      </w:r>
      <w:r w:rsidR="00684FB8" w:rsidRPr="00B11CE5">
        <w:rPr>
          <w:rFonts w:asciiTheme="majorHAnsi" w:hAnsiTheme="majorHAnsi" w:cstheme="majorHAnsi"/>
          <w:sz w:val="22"/>
          <w:szCs w:val="22"/>
        </w:rPr>
        <w:t>s – t</w:t>
      </w:r>
      <w:r w:rsidR="00E272D6" w:rsidRPr="00B11CE5">
        <w:rPr>
          <w:rFonts w:asciiTheme="majorHAnsi" w:hAnsiTheme="majorHAnsi" w:cstheme="majorHAnsi"/>
          <w:sz w:val="22"/>
          <w:szCs w:val="22"/>
        </w:rPr>
        <w:t>hey are younger, live in poorer neighbourhoods, and h</w:t>
      </w:r>
      <w:r w:rsidR="00D353D5" w:rsidRPr="00B11CE5">
        <w:rPr>
          <w:rFonts w:asciiTheme="majorHAnsi" w:hAnsiTheme="majorHAnsi" w:cstheme="majorHAnsi"/>
          <w:sz w:val="22"/>
          <w:szCs w:val="22"/>
        </w:rPr>
        <w:t>ave different health care utilis</w:t>
      </w:r>
      <w:r w:rsidR="00E272D6" w:rsidRPr="00B11CE5">
        <w:rPr>
          <w:rFonts w:asciiTheme="majorHAnsi" w:hAnsiTheme="majorHAnsi" w:cstheme="majorHAnsi"/>
          <w:sz w:val="22"/>
          <w:szCs w:val="22"/>
        </w:rPr>
        <w:t>ation patterns.</w:t>
      </w:r>
      <w:r w:rsidR="00D865A6">
        <w:rPr>
          <w:rFonts w:asciiTheme="majorHAnsi" w:hAnsiTheme="majorHAnsi" w:cstheme="majorHAnsi"/>
          <w:sz w:val="22"/>
          <w:szCs w:val="22"/>
          <w:vertAlign w:val="superscript"/>
        </w:rPr>
        <w:t>4</w:t>
      </w:r>
      <w:r w:rsidR="009A4AF0" w:rsidRPr="00B11CE5">
        <w:rPr>
          <w:rFonts w:asciiTheme="majorHAnsi" w:hAnsiTheme="majorHAnsi" w:cstheme="majorHAnsi"/>
          <w:sz w:val="22"/>
          <w:szCs w:val="22"/>
          <w:vertAlign w:val="superscript"/>
        </w:rPr>
        <w:t>,</w:t>
      </w:r>
      <w:r w:rsidR="00D865A6">
        <w:rPr>
          <w:rFonts w:asciiTheme="majorHAnsi" w:hAnsiTheme="majorHAnsi" w:cstheme="majorHAnsi"/>
          <w:sz w:val="22"/>
          <w:szCs w:val="22"/>
          <w:vertAlign w:val="superscript"/>
        </w:rPr>
        <w:t>6</w:t>
      </w:r>
      <w:r w:rsidR="00E272D6" w:rsidRPr="00B11CE5">
        <w:rPr>
          <w:rFonts w:asciiTheme="majorHAnsi" w:hAnsiTheme="majorHAnsi" w:cstheme="majorHAnsi"/>
          <w:sz w:val="22"/>
          <w:szCs w:val="22"/>
        </w:rPr>
        <w:t xml:space="preserve"> </w:t>
      </w:r>
      <w:r w:rsidR="009C4002" w:rsidRPr="00B11CE5">
        <w:rPr>
          <w:rFonts w:asciiTheme="majorHAnsi" w:hAnsiTheme="majorHAnsi" w:cstheme="majorHAnsi"/>
          <w:sz w:val="22"/>
          <w:szCs w:val="22"/>
        </w:rPr>
        <w:t>T</w:t>
      </w:r>
      <w:r w:rsidR="00E272D6" w:rsidRPr="00B11CE5">
        <w:rPr>
          <w:rFonts w:asciiTheme="majorHAnsi" w:hAnsiTheme="majorHAnsi" w:cstheme="majorHAnsi"/>
          <w:sz w:val="22"/>
          <w:szCs w:val="22"/>
        </w:rPr>
        <w:t>hey</w:t>
      </w:r>
      <w:r w:rsidR="009C4002" w:rsidRPr="00B11CE5">
        <w:rPr>
          <w:rFonts w:asciiTheme="majorHAnsi" w:hAnsiTheme="majorHAnsi" w:cstheme="majorHAnsi"/>
          <w:sz w:val="22"/>
          <w:szCs w:val="22"/>
        </w:rPr>
        <w:t xml:space="preserve"> also</w:t>
      </w:r>
      <w:r w:rsidR="00E272D6" w:rsidRPr="00B11CE5">
        <w:rPr>
          <w:rFonts w:asciiTheme="majorHAnsi" w:hAnsiTheme="majorHAnsi" w:cstheme="majorHAnsi"/>
          <w:sz w:val="22"/>
          <w:szCs w:val="22"/>
        </w:rPr>
        <w:t xml:space="preserve"> </w:t>
      </w:r>
      <w:r w:rsidR="007E576B">
        <w:rPr>
          <w:rFonts w:asciiTheme="majorHAnsi" w:hAnsiTheme="majorHAnsi" w:cstheme="majorHAnsi"/>
          <w:sz w:val="22"/>
          <w:szCs w:val="22"/>
        </w:rPr>
        <w:t xml:space="preserve">have high levels of comorbidity and </w:t>
      </w:r>
      <w:r w:rsidR="00E272D6" w:rsidRPr="00B11CE5">
        <w:rPr>
          <w:rFonts w:asciiTheme="majorHAnsi" w:hAnsiTheme="majorHAnsi" w:cstheme="majorHAnsi"/>
          <w:sz w:val="22"/>
          <w:szCs w:val="22"/>
        </w:rPr>
        <w:t>incur over 30% more costs than other high-cost patients, suggesting they may be a more complex population with higher needs.</w:t>
      </w:r>
      <w:r w:rsidR="00D865A6">
        <w:rPr>
          <w:rFonts w:asciiTheme="majorHAnsi" w:hAnsiTheme="majorHAnsi" w:cstheme="majorHAnsi"/>
          <w:sz w:val="22"/>
          <w:szCs w:val="22"/>
          <w:vertAlign w:val="superscript"/>
        </w:rPr>
        <w:t>4,6</w:t>
      </w:r>
      <w:r w:rsidR="00E272D6" w:rsidRPr="00B11CE5">
        <w:rPr>
          <w:rFonts w:asciiTheme="majorHAnsi" w:hAnsiTheme="majorHAnsi" w:cstheme="majorHAnsi"/>
          <w:sz w:val="22"/>
          <w:szCs w:val="22"/>
        </w:rPr>
        <w:t xml:space="preserve"> </w:t>
      </w:r>
    </w:p>
    <w:p w14:paraId="30AD7603" w14:textId="77777777" w:rsidR="00E272D6" w:rsidRPr="00B11CE5" w:rsidRDefault="00E272D6" w:rsidP="004B1B31">
      <w:pPr>
        <w:spacing w:line="480" w:lineRule="auto"/>
        <w:rPr>
          <w:rFonts w:asciiTheme="majorHAnsi" w:hAnsiTheme="majorHAnsi" w:cstheme="majorHAnsi"/>
          <w:sz w:val="22"/>
          <w:szCs w:val="22"/>
        </w:rPr>
      </w:pPr>
    </w:p>
    <w:p w14:paraId="626699B9" w14:textId="044A254E" w:rsidR="006C3D1C" w:rsidRPr="00E03190" w:rsidRDefault="004237DE" w:rsidP="008B3EA6">
      <w:pPr>
        <w:widowControl w:val="0"/>
        <w:autoSpaceDE w:val="0"/>
        <w:autoSpaceDN w:val="0"/>
        <w:adjustRightInd w:val="0"/>
        <w:spacing w:line="480" w:lineRule="auto"/>
        <w:rPr>
          <w:rFonts w:asciiTheme="majorHAnsi" w:hAnsiTheme="majorHAnsi" w:cstheme="majorHAnsi"/>
          <w:sz w:val="22"/>
          <w:szCs w:val="22"/>
        </w:rPr>
      </w:pPr>
      <w:r>
        <w:rPr>
          <w:rFonts w:asciiTheme="majorHAnsi" w:hAnsiTheme="majorHAnsi" w:cstheme="majorHAnsi"/>
          <w:sz w:val="22"/>
          <w:szCs w:val="22"/>
        </w:rPr>
        <w:t>I</w:t>
      </w:r>
      <w:r w:rsidR="002E7264" w:rsidRPr="00B11CE5">
        <w:rPr>
          <w:rFonts w:asciiTheme="majorHAnsi" w:hAnsiTheme="majorHAnsi" w:cstheme="majorHAnsi"/>
          <w:sz w:val="22"/>
          <w:szCs w:val="22"/>
        </w:rPr>
        <w:t xml:space="preserve">t is </w:t>
      </w:r>
      <w:r>
        <w:rPr>
          <w:rFonts w:asciiTheme="majorHAnsi" w:hAnsiTheme="majorHAnsi" w:cstheme="majorHAnsi"/>
          <w:sz w:val="22"/>
          <w:szCs w:val="22"/>
        </w:rPr>
        <w:t xml:space="preserve">also </w:t>
      </w:r>
      <w:r w:rsidR="002E7264" w:rsidRPr="00B11CE5">
        <w:rPr>
          <w:rFonts w:asciiTheme="majorHAnsi" w:hAnsiTheme="majorHAnsi" w:cstheme="majorHAnsi"/>
          <w:sz w:val="22"/>
          <w:szCs w:val="22"/>
        </w:rPr>
        <w:t>important</w:t>
      </w:r>
      <w:r w:rsidR="00684FB8" w:rsidRPr="00B11CE5">
        <w:rPr>
          <w:rFonts w:asciiTheme="majorHAnsi" w:hAnsiTheme="majorHAnsi" w:cstheme="majorHAnsi"/>
          <w:sz w:val="22"/>
          <w:szCs w:val="22"/>
        </w:rPr>
        <w:t xml:space="preserve"> to understand whether high-cost patients</w:t>
      </w:r>
      <w:r w:rsidR="00C0742F" w:rsidRPr="00B11CE5">
        <w:rPr>
          <w:rFonts w:asciiTheme="majorHAnsi" w:hAnsiTheme="majorHAnsi" w:cstheme="majorHAnsi"/>
          <w:sz w:val="22"/>
          <w:szCs w:val="22"/>
        </w:rPr>
        <w:t xml:space="preserve"> remain in the high-cost state for long periods of time or whether </w:t>
      </w:r>
      <w:r w:rsidR="00923B3B">
        <w:rPr>
          <w:rFonts w:asciiTheme="majorHAnsi" w:hAnsiTheme="majorHAnsi" w:cstheme="majorHAnsi"/>
          <w:sz w:val="22"/>
          <w:szCs w:val="22"/>
        </w:rPr>
        <w:t>this</w:t>
      </w:r>
      <w:r w:rsidR="00C0742F" w:rsidRPr="00B11CE5">
        <w:rPr>
          <w:rFonts w:asciiTheme="majorHAnsi" w:hAnsiTheme="majorHAnsi" w:cstheme="majorHAnsi"/>
          <w:sz w:val="22"/>
          <w:szCs w:val="22"/>
        </w:rPr>
        <w:t xml:space="preserve"> is a one-time occurrence.</w:t>
      </w:r>
      <w:r w:rsidR="007263AD">
        <w:rPr>
          <w:rFonts w:asciiTheme="majorHAnsi" w:hAnsiTheme="majorHAnsi" w:cstheme="majorHAnsi"/>
          <w:sz w:val="22"/>
          <w:szCs w:val="22"/>
        </w:rPr>
        <w:t xml:space="preserve"> </w:t>
      </w:r>
      <w:r w:rsidR="003A325C">
        <w:rPr>
          <w:rFonts w:asciiTheme="majorHAnsi" w:hAnsiTheme="majorHAnsi" w:cstheme="majorHAnsi"/>
          <w:sz w:val="22"/>
          <w:szCs w:val="22"/>
        </w:rPr>
        <w:t>The f</w:t>
      </w:r>
      <w:r w:rsidR="001144F4" w:rsidRPr="00B11CE5">
        <w:rPr>
          <w:rFonts w:asciiTheme="majorHAnsi" w:hAnsiTheme="majorHAnsi" w:cstheme="majorHAnsi"/>
          <w:sz w:val="22"/>
          <w:szCs w:val="22"/>
        </w:rPr>
        <w:t xml:space="preserve">ew studies </w:t>
      </w:r>
      <w:r w:rsidR="003A325C">
        <w:rPr>
          <w:rFonts w:asciiTheme="majorHAnsi" w:hAnsiTheme="majorHAnsi" w:cstheme="majorHAnsi"/>
          <w:sz w:val="22"/>
          <w:szCs w:val="22"/>
        </w:rPr>
        <w:t xml:space="preserve">that </w:t>
      </w:r>
      <w:r w:rsidR="001144F4" w:rsidRPr="00B11CE5">
        <w:rPr>
          <w:rFonts w:asciiTheme="majorHAnsi" w:hAnsiTheme="majorHAnsi" w:cstheme="majorHAnsi"/>
          <w:sz w:val="22"/>
          <w:szCs w:val="22"/>
        </w:rPr>
        <w:t>have examined</w:t>
      </w:r>
      <w:r w:rsidR="0040315B" w:rsidRPr="00B11CE5">
        <w:rPr>
          <w:rFonts w:asciiTheme="majorHAnsi" w:hAnsiTheme="majorHAnsi" w:cstheme="majorHAnsi"/>
          <w:sz w:val="22"/>
          <w:szCs w:val="22"/>
        </w:rPr>
        <w:t xml:space="preserve"> persistenc</w:t>
      </w:r>
      <w:r w:rsidR="00E821A4">
        <w:rPr>
          <w:rFonts w:asciiTheme="majorHAnsi" w:hAnsiTheme="majorHAnsi" w:cstheme="majorHAnsi"/>
          <w:sz w:val="22"/>
          <w:szCs w:val="22"/>
        </w:rPr>
        <w:t>y in the high-cost state</w:t>
      </w:r>
      <w:r w:rsidR="003A325C">
        <w:rPr>
          <w:rFonts w:asciiTheme="majorHAnsi" w:hAnsiTheme="majorHAnsi" w:cstheme="majorHAnsi"/>
          <w:sz w:val="22"/>
          <w:szCs w:val="22"/>
        </w:rPr>
        <w:t xml:space="preserve"> evaluated such patients as a whole and</w:t>
      </w:r>
      <w:r w:rsidR="00746348" w:rsidRPr="00B11CE5">
        <w:rPr>
          <w:rFonts w:asciiTheme="majorHAnsi" w:hAnsiTheme="majorHAnsi" w:cstheme="majorHAnsi"/>
          <w:sz w:val="22"/>
          <w:szCs w:val="22"/>
        </w:rPr>
        <w:t xml:space="preserve"> followed </w:t>
      </w:r>
      <w:r w:rsidR="003A325C">
        <w:rPr>
          <w:rFonts w:asciiTheme="majorHAnsi" w:hAnsiTheme="majorHAnsi" w:cstheme="majorHAnsi"/>
          <w:sz w:val="22"/>
          <w:szCs w:val="22"/>
        </w:rPr>
        <w:t>them</w:t>
      </w:r>
      <w:r w:rsidR="003A325C" w:rsidRPr="00B11CE5">
        <w:rPr>
          <w:rFonts w:asciiTheme="majorHAnsi" w:hAnsiTheme="majorHAnsi" w:cstheme="majorHAnsi"/>
          <w:sz w:val="22"/>
          <w:szCs w:val="22"/>
        </w:rPr>
        <w:t xml:space="preserve"> </w:t>
      </w:r>
      <w:r w:rsidR="00746348" w:rsidRPr="00B11CE5">
        <w:rPr>
          <w:rFonts w:asciiTheme="majorHAnsi" w:hAnsiTheme="majorHAnsi" w:cstheme="majorHAnsi"/>
          <w:sz w:val="22"/>
          <w:szCs w:val="22"/>
        </w:rPr>
        <w:t xml:space="preserve">for </w:t>
      </w:r>
      <w:r w:rsidR="00B64E2F" w:rsidRPr="00B11CE5">
        <w:rPr>
          <w:rFonts w:asciiTheme="majorHAnsi" w:hAnsiTheme="majorHAnsi" w:cstheme="majorHAnsi"/>
          <w:sz w:val="22"/>
          <w:szCs w:val="22"/>
        </w:rPr>
        <w:t>only three years</w:t>
      </w:r>
      <w:r w:rsidR="00746348" w:rsidRPr="00B11CE5">
        <w:rPr>
          <w:rFonts w:asciiTheme="majorHAnsi" w:hAnsiTheme="majorHAnsi" w:cstheme="majorHAnsi"/>
          <w:sz w:val="22"/>
          <w:szCs w:val="22"/>
        </w:rPr>
        <w:t>.</w:t>
      </w:r>
      <w:r w:rsidR="00E814C4">
        <w:rPr>
          <w:rFonts w:asciiTheme="majorHAnsi" w:hAnsiTheme="majorHAnsi" w:cstheme="majorHAnsi"/>
          <w:sz w:val="22"/>
          <w:szCs w:val="22"/>
          <w:vertAlign w:val="superscript"/>
        </w:rPr>
        <w:t>7,8</w:t>
      </w:r>
      <w:r w:rsidR="00C41F2A" w:rsidRPr="00C41F2A">
        <w:rPr>
          <w:rFonts w:asciiTheme="majorHAnsi" w:hAnsiTheme="majorHAnsi" w:cstheme="majorHAnsi"/>
          <w:sz w:val="22"/>
          <w:szCs w:val="22"/>
        </w:rPr>
        <w:t xml:space="preserve"> </w:t>
      </w:r>
      <w:r w:rsidR="00746348" w:rsidRPr="00B11CE5">
        <w:rPr>
          <w:rFonts w:asciiTheme="majorHAnsi" w:hAnsiTheme="majorHAnsi" w:cstheme="majorHAnsi"/>
          <w:sz w:val="22"/>
          <w:szCs w:val="22"/>
        </w:rPr>
        <w:t xml:space="preserve">, </w:t>
      </w:r>
      <w:r w:rsidR="000A5E25">
        <w:rPr>
          <w:rFonts w:asciiTheme="majorHAnsi" w:hAnsiTheme="majorHAnsi" w:cstheme="majorHAnsi"/>
          <w:color w:val="000000"/>
          <w:sz w:val="22"/>
          <w:szCs w:val="22"/>
        </w:rPr>
        <w:t>A</w:t>
      </w:r>
      <w:r w:rsidR="003A325C">
        <w:rPr>
          <w:rFonts w:asciiTheme="majorHAnsi" w:hAnsiTheme="majorHAnsi" w:cstheme="majorHAnsi"/>
          <w:color w:val="000000"/>
          <w:sz w:val="22"/>
          <w:szCs w:val="22"/>
        </w:rPr>
        <w:t>lthough p</w:t>
      </w:r>
      <w:r w:rsidR="00E272D6" w:rsidRPr="00B11CE5">
        <w:rPr>
          <w:rFonts w:asciiTheme="majorHAnsi" w:hAnsiTheme="majorHAnsi" w:cstheme="majorHAnsi"/>
          <w:sz w:val="22"/>
          <w:szCs w:val="22"/>
        </w:rPr>
        <w:t xml:space="preserve">rior studies have found that </w:t>
      </w:r>
      <w:r w:rsidR="00E821A4">
        <w:rPr>
          <w:rFonts w:asciiTheme="majorHAnsi" w:hAnsiTheme="majorHAnsi" w:cstheme="majorHAnsi"/>
          <w:sz w:val="22"/>
          <w:szCs w:val="22"/>
        </w:rPr>
        <w:t>individuals</w:t>
      </w:r>
      <w:r w:rsidR="00E272D6" w:rsidRPr="00B11CE5">
        <w:rPr>
          <w:rFonts w:asciiTheme="majorHAnsi" w:hAnsiTheme="majorHAnsi" w:cstheme="majorHAnsi"/>
          <w:sz w:val="22"/>
          <w:szCs w:val="22"/>
        </w:rPr>
        <w:t xml:space="preserve"> with mental illness are more likely to be persistent high-cost patients</w:t>
      </w:r>
      <w:r w:rsidR="003A325C">
        <w:rPr>
          <w:rFonts w:asciiTheme="majorHAnsi" w:hAnsiTheme="majorHAnsi" w:cstheme="majorHAnsi"/>
          <w:sz w:val="22"/>
          <w:szCs w:val="22"/>
        </w:rPr>
        <w:t>,</w:t>
      </w:r>
      <w:r w:rsidR="00EE14C5" w:rsidRPr="00EE14C5">
        <w:rPr>
          <w:rFonts w:asciiTheme="majorHAnsi" w:hAnsiTheme="majorHAnsi" w:cstheme="majorHAnsi"/>
          <w:sz w:val="22"/>
          <w:szCs w:val="22"/>
          <w:vertAlign w:val="superscript"/>
        </w:rPr>
        <w:t>9,</w:t>
      </w:r>
      <w:r w:rsidR="00D865A6">
        <w:rPr>
          <w:rFonts w:asciiTheme="majorHAnsi" w:hAnsiTheme="majorHAnsi" w:cstheme="majorHAnsi"/>
          <w:sz w:val="22"/>
          <w:szCs w:val="22"/>
          <w:vertAlign w:val="superscript"/>
        </w:rPr>
        <w:t>10,</w:t>
      </w:r>
      <w:r w:rsidR="00E272D6" w:rsidRPr="00B11CE5">
        <w:rPr>
          <w:rFonts w:asciiTheme="majorHAnsi" w:hAnsiTheme="majorHAnsi" w:cstheme="majorHAnsi"/>
          <w:sz w:val="22"/>
          <w:szCs w:val="22"/>
        </w:rPr>
        <w:t xml:space="preserve"> </w:t>
      </w:r>
      <w:r w:rsidR="003A325C" w:rsidRPr="00B11CE5">
        <w:rPr>
          <w:rFonts w:asciiTheme="majorHAnsi" w:hAnsiTheme="majorHAnsi" w:cstheme="majorHAnsi"/>
          <w:sz w:val="22"/>
          <w:szCs w:val="22"/>
        </w:rPr>
        <w:t>no studies have specifically examined persistency in the high-cost state among patients with mental illness</w:t>
      </w:r>
      <w:r w:rsidR="003A325C">
        <w:rPr>
          <w:rFonts w:asciiTheme="majorHAnsi" w:hAnsiTheme="majorHAnsi" w:cstheme="majorHAnsi"/>
          <w:sz w:val="22"/>
          <w:szCs w:val="22"/>
          <w:vertAlign w:val="superscript"/>
        </w:rPr>
        <w:t>4</w:t>
      </w:r>
      <w:r w:rsidR="003A325C" w:rsidRPr="00B11CE5">
        <w:rPr>
          <w:rFonts w:asciiTheme="majorHAnsi" w:hAnsiTheme="majorHAnsi" w:cstheme="majorHAnsi"/>
          <w:sz w:val="22"/>
          <w:szCs w:val="22"/>
        </w:rPr>
        <w:t xml:space="preserve"> or followed these patients for long periods of time.</w:t>
      </w:r>
      <w:r w:rsidR="00EE14C5">
        <w:rPr>
          <w:rFonts w:asciiTheme="majorHAnsi" w:hAnsiTheme="majorHAnsi" w:cstheme="majorHAnsi"/>
          <w:sz w:val="22"/>
          <w:szCs w:val="22"/>
          <w:vertAlign w:val="superscript"/>
        </w:rPr>
        <w:t>11</w:t>
      </w:r>
      <w:r w:rsidR="00776809">
        <w:rPr>
          <w:rFonts w:asciiTheme="majorHAnsi" w:hAnsiTheme="majorHAnsi" w:cstheme="majorHAnsi"/>
          <w:sz w:val="22"/>
          <w:szCs w:val="22"/>
        </w:rPr>
        <w:t xml:space="preserve"> </w:t>
      </w:r>
      <w:bookmarkStart w:id="3" w:name="_Hlk32404395"/>
      <w:r w:rsidR="0019031E">
        <w:rPr>
          <w:rFonts w:asciiTheme="majorHAnsi" w:hAnsiTheme="majorHAnsi" w:cstheme="majorHAnsi"/>
          <w:sz w:val="22"/>
          <w:szCs w:val="22"/>
        </w:rPr>
        <w:t>T</w:t>
      </w:r>
      <w:r w:rsidR="006C3D1C" w:rsidRPr="00B11CE5">
        <w:rPr>
          <w:rFonts w:asciiTheme="majorHAnsi" w:hAnsiTheme="majorHAnsi" w:cstheme="majorHAnsi"/>
          <w:sz w:val="22"/>
          <w:szCs w:val="22"/>
        </w:rPr>
        <w:t xml:space="preserve">he </w:t>
      </w:r>
      <w:r w:rsidR="00746348" w:rsidRPr="00B11CE5">
        <w:rPr>
          <w:rFonts w:asciiTheme="majorHAnsi" w:hAnsiTheme="majorHAnsi" w:cstheme="majorHAnsi"/>
          <w:sz w:val="22"/>
          <w:szCs w:val="22"/>
        </w:rPr>
        <w:t xml:space="preserve">goal of this </w:t>
      </w:r>
      <w:r w:rsidR="0065679D" w:rsidRPr="00B11CE5">
        <w:rPr>
          <w:rFonts w:asciiTheme="majorHAnsi" w:hAnsiTheme="majorHAnsi" w:cstheme="majorHAnsi"/>
          <w:sz w:val="22"/>
          <w:szCs w:val="22"/>
        </w:rPr>
        <w:t>study</w:t>
      </w:r>
      <w:r w:rsidR="00C0742F" w:rsidRPr="00B11CE5">
        <w:rPr>
          <w:rFonts w:asciiTheme="majorHAnsi" w:hAnsiTheme="majorHAnsi" w:cstheme="majorHAnsi"/>
          <w:sz w:val="22"/>
          <w:szCs w:val="22"/>
        </w:rPr>
        <w:t xml:space="preserve"> </w:t>
      </w:r>
      <w:r>
        <w:rPr>
          <w:rFonts w:asciiTheme="majorHAnsi" w:hAnsiTheme="majorHAnsi" w:cstheme="majorHAnsi"/>
          <w:sz w:val="22"/>
          <w:szCs w:val="22"/>
        </w:rPr>
        <w:t>wa</w:t>
      </w:r>
      <w:r w:rsidR="006C3D1C" w:rsidRPr="00B11CE5">
        <w:rPr>
          <w:rFonts w:asciiTheme="majorHAnsi" w:hAnsiTheme="majorHAnsi" w:cstheme="majorHAnsi"/>
          <w:sz w:val="22"/>
          <w:szCs w:val="22"/>
        </w:rPr>
        <w:t>s to provide an in-depth analysis</w:t>
      </w:r>
      <w:r w:rsidR="006C3D1C" w:rsidRPr="00E03190">
        <w:rPr>
          <w:rFonts w:asciiTheme="majorHAnsi" w:hAnsiTheme="majorHAnsi" w:cstheme="majorHAnsi"/>
          <w:sz w:val="22"/>
          <w:szCs w:val="22"/>
        </w:rPr>
        <w:t xml:space="preserve"> of persistent mental health high-cost patients using administrative health care </w:t>
      </w:r>
      <w:r w:rsidR="00746348" w:rsidRPr="00E03190">
        <w:rPr>
          <w:rFonts w:asciiTheme="majorHAnsi" w:hAnsiTheme="majorHAnsi" w:cstheme="majorHAnsi"/>
          <w:sz w:val="22"/>
          <w:szCs w:val="22"/>
        </w:rPr>
        <w:t xml:space="preserve">data </w:t>
      </w:r>
      <w:r w:rsidR="006C3D1C" w:rsidRPr="00E03190">
        <w:rPr>
          <w:rFonts w:asciiTheme="majorHAnsi" w:hAnsiTheme="majorHAnsi" w:cstheme="majorHAnsi"/>
          <w:sz w:val="22"/>
          <w:szCs w:val="22"/>
        </w:rPr>
        <w:t xml:space="preserve">from Ontario, Canada’s most populous province. </w:t>
      </w:r>
    </w:p>
    <w:bookmarkEnd w:id="3"/>
    <w:p w14:paraId="152447BE" w14:textId="77777777" w:rsidR="006C3D1C" w:rsidRPr="00E03190" w:rsidRDefault="006C3D1C" w:rsidP="004B1B31">
      <w:pPr>
        <w:spacing w:line="480" w:lineRule="auto"/>
        <w:rPr>
          <w:rFonts w:asciiTheme="majorHAnsi" w:hAnsiTheme="majorHAnsi" w:cstheme="majorHAnsi"/>
          <w:sz w:val="22"/>
          <w:szCs w:val="22"/>
        </w:rPr>
      </w:pPr>
    </w:p>
    <w:p w14:paraId="4ACA6BB0" w14:textId="4F413FBF" w:rsidR="00B03A75" w:rsidRPr="003667E2" w:rsidRDefault="00B03A75" w:rsidP="004B1B31">
      <w:pPr>
        <w:widowControl w:val="0"/>
        <w:autoSpaceDE w:val="0"/>
        <w:autoSpaceDN w:val="0"/>
        <w:adjustRightInd w:val="0"/>
        <w:spacing w:line="480" w:lineRule="auto"/>
        <w:rPr>
          <w:rFonts w:asciiTheme="majorHAnsi" w:hAnsiTheme="majorHAnsi" w:cstheme="majorHAnsi"/>
          <w:b/>
          <w:sz w:val="22"/>
          <w:szCs w:val="22"/>
        </w:rPr>
      </w:pPr>
      <w:r w:rsidRPr="003667E2">
        <w:rPr>
          <w:rFonts w:asciiTheme="majorHAnsi" w:hAnsiTheme="majorHAnsi" w:cstheme="majorHAnsi"/>
          <w:b/>
          <w:sz w:val="22"/>
          <w:szCs w:val="22"/>
        </w:rPr>
        <w:t xml:space="preserve">Methods </w:t>
      </w:r>
    </w:p>
    <w:p w14:paraId="0CBB6F1C" w14:textId="77777777" w:rsidR="00773E90" w:rsidRPr="00773E90" w:rsidRDefault="00773E90" w:rsidP="00773E90">
      <w:pPr>
        <w:widowControl w:val="0"/>
        <w:autoSpaceDE w:val="0"/>
        <w:autoSpaceDN w:val="0"/>
        <w:adjustRightInd w:val="0"/>
        <w:spacing w:after="240" w:line="480" w:lineRule="auto"/>
        <w:rPr>
          <w:rFonts w:asciiTheme="majorHAnsi" w:hAnsiTheme="majorHAnsi" w:cstheme="majorHAnsi"/>
          <w:b/>
          <w:i/>
          <w:sz w:val="22"/>
          <w:szCs w:val="22"/>
        </w:rPr>
      </w:pPr>
      <w:r w:rsidRPr="00773E90">
        <w:rPr>
          <w:rFonts w:asciiTheme="majorHAnsi" w:hAnsiTheme="majorHAnsi" w:cstheme="majorHAnsi"/>
          <w:b/>
          <w:i/>
          <w:sz w:val="22"/>
          <w:szCs w:val="22"/>
        </w:rPr>
        <w:t>Study design and setting</w:t>
      </w:r>
    </w:p>
    <w:p w14:paraId="556D3E1B" w14:textId="46DB9847" w:rsidR="00773E90" w:rsidRPr="00773E90" w:rsidRDefault="00773E90" w:rsidP="00773E90">
      <w:pPr>
        <w:widowControl w:val="0"/>
        <w:autoSpaceDE w:val="0"/>
        <w:autoSpaceDN w:val="0"/>
        <w:adjustRightInd w:val="0"/>
        <w:spacing w:after="240" w:line="480" w:lineRule="auto"/>
        <w:rPr>
          <w:rFonts w:asciiTheme="majorHAnsi" w:hAnsiTheme="majorHAnsi" w:cstheme="majorHAnsi"/>
          <w:sz w:val="22"/>
          <w:szCs w:val="22"/>
        </w:rPr>
      </w:pPr>
      <w:r w:rsidRPr="00773E90">
        <w:rPr>
          <w:rFonts w:asciiTheme="majorHAnsi" w:hAnsiTheme="majorHAnsi" w:cstheme="majorHAnsi"/>
          <w:sz w:val="22"/>
          <w:szCs w:val="22"/>
        </w:rPr>
        <w:lastRenderedPageBreak/>
        <w:t>We undertook a</w:t>
      </w:r>
      <w:r w:rsidR="00220FB9">
        <w:rPr>
          <w:rFonts w:asciiTheme="majorHAnsi" w:hAnsiTheme="majorHAnsi" w:cstheme="majorHAnsi"/>
          <w:sz w:val="22"/>
          <w:szCs w:val="22"/>
        </w:rPr>
        <w:t xml:space="preserve"> retrospective</w:t>
      </w:r>
      <w:r w:rsidRPr="00773E90">
        <w:rPr>
          <w:rFonts w:asciiTheme="majorHAnsi" w:hAnsiTheme="majorHAnsi" w:cstheme="majorHAnsi"/>
          <w:sz w:val="22"/>
          <w:szCs w:val="22"/>
        </w:rPr>
        <w:t xml:space="preserve"> population-based </w:t>
      </w:r>
      <w:r>
        <w:rPr>
          <w:rFonts w:asciiTheme="majorHAnsi" w:hAnsiTheme="majorHAnsi" w:cstheme="majorHAnsi"/>
          <w:sz w:val="22"/>
          <w:szCs w:val="22"/>
        </w:rPr>
        <w:t>longitudinal cohort</w:t>
      </w:r>
      <w:r w:rsidRPr="00773E90">
        <w:rPr>
          <w:rFonts w:asciiTheme="majorHAnsi" w:hAnsiTheme="majorHAnsi" w:cstheme="majorHAnsi"/>
          <w:sz w:val="22"/>
          <w:szCs w:val="22"/>
        </w:rPr>
        <w:t xml:space="preserve"> study of </w:t>
      </w:r>
      <w:r w:rsidR="003A325C" w:rsidRPr="00773E90">
        <w:rPr>
          <w:rFonts w:asciiTheme="majorHAnsi" w:hAnsiTheme="majorHAnsi" w:cstheme="majorHAnsi"/>
          <w:sz w:val="22"/>
          <w:szCs w:val="22"/>
        </w:rPr>
        <w:t xml:space="preserve">high-cost </w:t>
      </w:r>
      <w:r>
        <w:rPr>
          <w:rFonts w:asciiTheme="majorHAnsi" w:hAnsiTheme="majorHAnsi" w:cstheme="majorHAnsi"/>
          <w:sz w:val="22"/>
          <w:szCs w:val="22"/>
        </w:rPr>
        <w:t>mental health</w:t>
      </w:r>
      <w:r w:rsidRPr="00773E90">
        <w:rPr>
          <w:rFonts w:asciiTheme="majorHAnsi" w:hAnsiTheme="majorHAnsi" w:cstheme="majorHAnsi"/>
          <w:sz w:val="22"/>
          <w:szCs w:val="22"/>
        </w:rPr>
        <w:t xml:space="preserve"> patients to </w:t>
      </w:r>
      <w:r>
        <w:rPr>
          <w:rFonts w:asciiTheme="majorHAnsi" w:hAnsiTheme="majorHAnsi" w:cstheme="majorHAnsi"/>
          <w:sz w:val="22"/>
          <w:szCs w:val="22"/>
        </w:rPr>
        <w:t xml:space="preserve">examine persistency in </w:t>
      </w:r>
      <w:r w:rsidR="001A5294">
        <w:rPr>
          <w:rFonts w:asciiTheme="majorHAnsi" w:hAnsiTheme="majorHAnsi" w:cstheme="majorHAnsi"/>
          <w:sz w:val="22"/>
          <w:szCs w:val="22"/>
        </w:rPr>
        <w:t xml:space="preserve">the </w:t>
      </w:r>
      <w:r>
        <w:rPr>
          <w:rFonts w:asciiTheme="majorHAnsi" w:hAnsiTheme="majorHAnsi" w:cstheme="majorHAnsi"/>
          <w:sz w:val="22"/>
          <w:szCs w:val="22"/>
        </w:rPr>
        <w:t xml:space="preserve">high-cost state </w:t>
      </w:r>
      <w:r w:rsidR="0038451A">
        <w:rPr>
          <w:rFonts w:asciiTheme="majorHAnsi" w:hAnsiTheme="majorHAnsi" w:cstheme="majorHAnsi"/>
          <w:sz w:val="22"/>
          <w:szCs w:val="22"/>
        </w:rPr>
        <w:t xml:space="preserve">from 2010 to 2017 </w:t>
      </w:r>
      <w:r>
        <w:rPr>
          <w:rFonts w:asciiTheme="majorHAnsi" w:hAnsiTheme="majorHAnsi" w:cstheme="majorHAnsi"/>
          <w:sz w:val="22"/>
          <w:szCs w:val="22"/>
        </w:rPr>
        <w:t>using data from Ontario</w:t>
      </w:r>
      <w:r w:rsidRPr="00773E90">
        <w:rPr>
          <w:rFonts w:asciiTheme="majorHAnsi" w:hAnsiTheme="majorHAnsi" w:cstheme="majorHAnsi"/>
          <w:sz w:val="22"/>
          <w:szCs w:val="22"/>
        </w:rPr>
        <w:t>.</w:t>
      </w:r>
    </w:p>
    <w:p w14:paraId="474F0D41" w14:textId="5162C6B0" w:rsidR="00BF7D3E" w:rsidRPr="00BF7D3E" w:rsidRDefault="00BF7D3E" w:rsidP="004B1B31">
      <w:pPr>
        <w:widowControl w:val="0"/>
        <w:autoSpaceDE w:val="0"/>
        <w:autoSpaceDN w:val="0"/>
        <w:adjustRightInd w:val="0"/>
        <w:spacing w:after="240" w:line="480" w:lineRule="auto"/>
        <w:rPr>
          <w:rFonts w:asciiTheme="majorHAnsi" w:hAnsiTheme="majorHAnsi" w:cstheme="majorHAnsi"/>
          <w:b/>
          <w:i/>
          <w:sz w:val="22"/>
          <w:szCs w:val="22"/>
        </w:rPr>
      </w:pPr>
      <w:r w:rsidRPr="00BF7D3E">
        <w:rPr>
          <w:rFonts w:asciiTheme="majorHAnsi" w:hAnsiTheme="majorHAnsi" w:cstheme="majorHAnsi"/>
          <w:b/>
          <w:i/>
          <w:sz w:val="22"/>
          <w:szCs w:val="22"/>
        </w:rPr>
        <w:t>Data</w:t>
      </w:r>
    </w:p>
    <w:p w14:paraId="40A70EDC" w14:textId="716DB4A8" w:rsidR="00B03A75" w:rsidRPr="00B11CE5" w:rsidRDefault="00B03A75" w:rsidP="004B1B31">
      <w:pPr>
        <w:widowControl w:val="0"/>
        <w:autoSpaceDE w:val="0"/>
        <w:autoSpaceDN w:val="0"/>
        <w:adjustRightInd w:val="0"/>
        <w:spacing w:after="240" w:line="480" w:lineRule="auto"/>
        <w:rPr>
          <w:rFonts w:asciiTheme="majorHAnsi" w:hAnsiTheme="majorHAnsi" w:cstheme="majorHAnsi"/>
          <w:color w:val="000000"/>
          <w:sz w:val="22"/>
          <w:szCs w:val="22"/>
        </w:rPr>
      </w:pPr>
      <w:r w:rsidRPr="00E03190">
        <w:rPr>
          <w:rFonts w:asciiTheme="majorHAnsi" w:hAnsiTheme="majorHAnsi" w:cstheme="majorHAnsi"/>
          <w:sz w:val="22"/>
          <w:szCs w:val="22"/>
        </w:rPr>
        <w:t xml:space="preserve">We </w:t>
      </w:r>
      <w:r w:rsidR="00204587" w:rsidRPr="00E03190">
        <w:rPr>
          <w:rFonts w:asciiTheme="majorHAnsi" w:hAnsiTheme="majorHAnsi" w:cstheme="majorHAnsi"/>
          <w:sz w:val="22"/>
          <w:szCs w:val="22"/>
        </w:rPr>
        <w:t>used</w:t>
      </w:r>
      <w:r w:rsidRPr="00E03190">
        <w:rPr>
          <w:rFonts w:asciiTheme="majorHAnsi" w:hAnsiTheme="majorHAnsi" w:cstheme="majorHAnsi"/>
          <w:sz w:val="22"/>
          <w:szCs w:val="22"/>
        </w:rPr>
        <w:t xml:space="preserve"> administrative health care data available </w:t>
      </w:r>
      <w:r w:rsidR="00BC5875" w:rsidRPr="00E03190">
        <w:rPr>
          <w:rFonts w:asciiTheme="majorHAnsi" w:hAnsiTheme="majorHAnsi" w:cstheme="majorHAnsi"/>
          <w:sz w:val="22"/>
          <w:szCs w:val="22"/>
        </w:rPr>
        <w:t xml:space="preserve">through </w:t>
      </w:r>
      <w:r w:rsidR="00204587" w:rsidRPr="00E03190">
        <w:rPr>
          <w:rFonts w:asciiTheme="majorHAnsi" w:hAnsiTheme="majorHAnsi" w:cstheme="majorHAnsi"/>
          <w:sz w:val="22"/>
          <w:szCs w:val="22"/>
        </w:rPr>
        <w:t>ICES</w:t>
      </w:r>
      <w:r w:rsidRPr="00E03190">
        <w:rPr>
          <w:rFonts w:asciiTheme="majorHAnsi" w:hAnsiTheme="majorHAnsi" w:cstheme="majorHAnsi"/>
          <w:sz w:val="22"/>
          <w:szCs w:val="22"/>
        </w:rPr>
        <w:t xml:space="preserve">, in Toronto, Ontario, to </w:t>
      </w:r>
      <w:r w:rsidRPr="00B11CE5">
        <w:rPr>
          <w:rFonts w:asciiTheme="majorHAnsi" w:hAnsiTheme="majorHAnsi" w:cstheme="majorHAnsi"/>
          <w:sz w:val="22"/>
          <w:szCs w:val="22"/>
        </w:rPr>
        <w:t>undertake our analysis. The ICES data repository contains individual-level linkable and longitudinal data on most publicly funded health care services for all legal residents of Ontario. It includes several health services databases, many of which have been validated and described in the literature,</w:t>
      </w:r>
      <w:r w:rsidR="00D865A6">
        <w:rPr>
          <w:rFonts w:asciiTheme="majorHAnsi" w:hAnsiTheme="majorHAnsi" w:cstheme="majorHAnsi"/>
          <w:sz w:val="22"/>
          <w:szCs w:val="22"/>
          <w:vertAlign w:val="superscript"/>
        </w:rPr>
        <w:t>12</w:t>
      </w:r>
      <w:r w:rsidRPr="00B11CE5">
        <w:rPr>
          <w:rFonts w:asciiTheme="majorHAnsi" w:hAnsiTheme="majorHAnsi" w:cstheme="majorHAnsi"/>
          <w:sz w:val="22"/>
          <w:szCs w:val="22"/>
        </w:rPr>
        <w:t xml:space="preserve"> and used </w:t>
      </w:r>
      <w:r w:rsidR="00F97607">
        <w:rPr>
          <w:rFonts w:asciiTheme="majorHAnsi" w:hAnsiTheme="majorHAnsi" w:cstheme="majorHAnsi"/>
          <w:sz w:val="22"/>
          <w:szCs w:val="22"/>
        </w:rPr>
        <w:t>in</w:t>
      </w:r>
      <w:r w:rsidRPr="00B11CE5">
        <w:rPr>
          <w:rFonts w:asciiTheme="majorHAnsi" w:hAnsiTheme="majorHAnsi" w:cstheme="majorHAnsi"/>
          <w:sz w:val="22"/>
          <w:szCs w:val="22"/>
        </w:rPr>
        <w:t xml:space="preserve"> costing analyses.</w:t>
      </w:r>
      <w:r w:rsidR="00D865A6">
        <w:rPr>
          <w:rFonts w:asciiTheme="majorHAnsi" w:hAnsiTheme="majorHAnsi" w:cstheme="majorHAnsi"/>
          <w:sz w:val="22"/>
          <w:szCs w:val="22"/>
          <w:vertAlign w:val="superscript"/>
        </w:rPr>
        <w:t>4,6</w:t>
      </w:r>
      <w:r w:rsidRPr="00B11CE5">
        <w:rPr>
          <w:rFonts w:asciiTheme="majorHAnsi" w:hAnsiTheme="majorHAnsi" w:cstheme="majorHAnsi"/>
          <w:sz w:val="22"/>
          <w:szCs w:val="22"/>
        </w:rPr>
        <w:t xml:space="preserve"> </w:t>
      </w:r>
      <w:r w:rsidR="00923B3B">
        <w:rPr>
          <w:rFonts w:asciiTheme="majorHAnsi" w:hAnsiTheme="majorHAnsi" w:cstheme="majorHAnsi"/>
          <w:sz w:val="22"/>
          <w:szCs w:val="22"/>
        </w:rPr>
        <w:t>W</w:t>
      </w:r>
      <w:r w:rsidRPr="00B11CE5">
        <w:rPr>
          <w:rFonts w:asciiTheme="majorHAnsi" w:hAnsiTheme="majorHAnsi" w:cstheme="majorHAnsi"/>
          <w:sz w:val="22"/>
          <w:szCs w:val="22"/>
        </w:rPr>
        <w:t xml:space="preserve">e </w:t>
      </w:r>
      <w:r w:rsidR="00BC5875" w:rsidRPr="00B11CE5">
        <w:rPr>
          <w:rFonts w:asciiTheme="majorHAnsi" w:hAnsiTheme="majorHAnsi" w:cstheme="majorHAnsi"/>
          <w:sz w:val="22"/>
          <w:szCs w:val="22"/>
        </w:rPr>
        <w:t>used</w:t>
      </w:r>
      <w:r w:rsidRPr="00B11CE5">
        <w:rPr>
          <w:rFonts w:asciiTheme="majorHAnsi" w:hAnsiTheme="majorHAnsi" w:cstheme="majorHAnsi"/>
          <w:sz w:val="22"/>
          <w:szCs w:val="22"/>
        </w:rPr>
        <w:t xml:space="preserve"> the following databases: Discharge Abstract Database, Ontario Mental Health Reporting System, National Ambulatory Care Reporting System,</w:t>
      </w:r>
      <w:r w:rsidR="00684FB8" w:rsidRPr="00B11CE5">
        <w:rPr>
          <w:rFonts w:asciiTheme="majorHAnsi" w:hAnsiTheme="majorHAnsi" w:cstheme="majorHAnsi"/>
          <w:sz w:val="22"/>
          <w:szCs w:val="22"/>
        </w:rPr>
        <w:t xml:space="preserve"> Ontario Health Insurance Plan c</w:t>
      </w:r>
      <w:r w:rsidRPr="00B11CE5">
        <w:rPr>
          <w:rFonts w:asciiTheme="majorHAnsi" w:hAnsiTheme="majorHAnsi" w:cstheme="majorHAnsi"/>
          <w:sz w:val="22"/>
          <w:szCs w:val="22"/>
        </w:rPr>
        <w:t xml:space="preserve">laims database, Ontario Drug Benefit </w:t>
      </w:r>
      <w:r w:rsidR="00684FB8" w:rsidRPr="00B11CE5">
        <w:rPr>
          <w:rFonts w:asciiTheme="majorHAnsi" w:hAnsiTheme="majorHAnsi" w:cstheme="majorHAnsi"/>
          <w:sz w:val="22"/>
          <w:szCs w:val="22"/>
        </w:rPr>
        <w:t>c</w:t>
      </w:r>
      <w:r w:rsidRPr="00B11CE5">
        <w:rPr>
          <w:rFonts w:asciiTheme="majorHAnsi" w:hAnsiTheme="majorHAnsi" w:cstheme="majorHAnsi"/>
          <w:sz w:val="22"/>
          <w:szCs w:val="22"/>
        </w:rPr>
        <w:t xml:space="preserve">laims database, </w:t>
      </w:r>
      <w:r w:rsidR="00E57E35" w:rsidRPr="00B11CE5">
        <w:rPr>
          <w:rFonts w:asciiTheme="majorHAnsi" w:hAnsiTheme="majorHAnsi" w:cstheme="majorHAnsi"/>
          <w:sz w:val="22"/>
          <w:szCs w:val="22"/>
        </w:rPr>
        <w:t xml:space="preserve">National Rehabilitation Reporting System, </w:t>
      </w:r>
      <w:r w:rsidRPr="00B11CE5">
        <w:rPr>
          <w:rFonts w:asciiTheme="majorHAnsi" w:hAnsiTheme="majorHAnsi" w:cstheme="majorHAnsi"/>
          <w:sz w:val="22"/>
          <w:szCs w:val="22"/>
        </w:rPr>
        <w:t xml:space="preserve">Continuing Care Reporting System and </w:t>
      </w:r>
      <w:r w:rsidR="00E57E35" w:rsidRPr="00B11CE5">
        <w:rPr>
          <w:rFonts w:asciiTheme="majorHAnsi" w:hAnsiTheme="majorHAnsi" w:cstheme="majorHAnsi"/>
          <w:sz w:val="22"/>
          <w:szCs w:val="22"/>
        </w:rPr>
        <w:t>Home Care Database</w:t>
      </w:r>
      <w:r w:rsidRPr="00B11CE5">
        <w:rPr>
          <w:rFonts w:asciiTheme="majorHAnsi" w:hAnsiTheme="majorHAnsi" w:cstheme="majorHAnsi"/>
          <w:sz w:val="22"/>
          <w:szCs w:val="22"/>
        </w:rPr>
        <w:t xml:space="preserve">. All databases </w:t>
      </w:r>
      <w:r w:rsidR="00BC5875" w:rsidRPr="00B11CE5">
        <w:rPr>
          <w:rFonts w:asciiTheme="majorHAnsi" w:hAnsiTheme="majorHAnsi" w:cstheme="majorHAnsi"/>
          <w:sz w:val="22"/>
          <w:szCs w:val="22"/>
        </w:rPr>
        <w:t>were</w:t>
      </w:r>
      <w:r w:rsidRPr="00B11CE5">
        <w:rPr>
          <w:rFonts w:asciiTheme="majorHAnsi" w:hAnsiTheme="majorHAnsi" w:cstheme="majorHAnsi"/>
          <w:sz w:val="22"/>
          <w:szCs w:val="22"/>
        </w:rPr>
        <w:t xml:space="preserve"> linked using uniqu</w:t>
      </w:r>
      <w:r w:rsidR="00146FB1" w:rsidRPr="00B11CE5">
        <w:rPr>
          <w:rFonts w:asciiTheme="majorHAnsi" w:hAnsiTheme="majorHAnsi" w:cstheme="majorHAnsi"/>
          <w:sz w:val="22"/>
          <w:szCs w:val="22"/>
        </w:rPr>
        <w:t>e encoded identifiers and analys</w:t>
      </w:r>
      <w:r w:rsidRPr="00B11CE5">
        <w:rPr>
          <w:rFonts w:asciiTheme="majorHAnsi" w:hAnsiTheme="majorHAnsi" w:cstheme="majorHAnsi"/>
          <w:sz w:val="22"/>
          <w:szCs w:val="22"/>
        </w:rPr>
        <w:t xml:space="preserve">ed at ICES, in compliance with Ontario privacy legislation. A full description of each database can be found </w:t>
      </w:r>
      <w:r w:rsidR="00E57E35" w:rsidRPr="00B11CE5">
        <w:rPr>
          <w:rFonts w:asciiTheme="majorHAnsi" w:hAnsiTheme="majorHAnsi" w:cstheme="majorHAnsi"/>
          <w:sz w:val="22"/>
          <w:szCs w:val="22"/>
        </w:rPr>
        <w:t>in</w:t>
      </w:r>
      <w:r w:rsidR="00376A29" w:rsidRPr="00B11CE5">
        <w:rPr>
          <w:rFonts w:asciiTheme="majorHAnsi" w:hAnsiTheme="majorHAnsi" w:cstheme="majorHAnsi"/>
          <w:sz w:val="22"/>
          <w:szCs w:val="22"/>
        </w:rPr>
        <w:t xml:space="preserve"> T</w:t>
      </w:r>
      <w:r w:rsidR="00EE44FE" w:rsidRPr="00B11CE5">
        <w:rPr>
          <w:rFonts w:asciiTheme="majorHAnsi" w:hAnsiTheme="majorHAnsi" w:cstheme="majorHAnsi"/>
          <w:sz w:val="22"/>
          <w:szCs w:val="22"/>
        </w:rPr>
        <w:t>able A1 in</w:t>
      </w:r>
      <w:r w:rsidR="00E57E35" w:rsidRPr="00B11CE5">
        <w:rPr>
          <w:rFonts w:asciiTheme="majorHAnsi" w:hAnsiTheme="majorHAnsi" w:cstheme="majorHAnsi"/>
          <w:sz w:val="22"/>
          <w:szCs w:val="22"/>
        </w:rPr>
        <w:t xml:space="preserve"> the Appendix.</w:t>
      </w:r>
      <w:r w:rsidR="00724368" w:rsidRPr="00B11CE5">
        <w:rPr>
          <w:rFonts w:asciiTheme="majorHAnsi" w:hAnsiTheme="majorHAnsi" w:cstheme="majorHAnsi"/>
          <w:sz w:val="22"/>
          <w:szCs w:val="22"/>
        </w:rPr>
        <w:t xml:space="preserve"> </w:t>
      </w:r>
      <w:r w:rsidR="00724368" w:rsidRPr="00B11CE5">
        <w:rPr>
          <w:rFonts w:asciiTheme="majorHAnsi" w:hAnsiTheme="majorHAnsi" w:cstheme="majorHAnsi"/>
          <w:color w:val="1A1718"/>
          <w:sz w:val="22"/>
          <w:szCs w:val="22"/>
        </w:rPr>
        <w:t>This study was approved by the Institutional Review Board at Sunnybrook Health Sciences Centre, Toronto, Canada.</w:t>
      </w:r>
    </w:p>
    <w:p w14:paraId="2ADB269F" w14:textId="379F6D80" w:rsidR="00773E90" w:rsidRPr="00773E90" w:rsidRDefault="00773E90" w:rsidP="004B1B31">
      <w:pPr>
        <w:spacing w:line="480" w:lineRule="auto"/>
        <w:rPr>
          <w:rFonts w:asciiTheme="majorHAnsi" w:hAnsiTheme="majorHAnsi" w:cstheme="majorHAnsi"/>
          <w:b/>
          <w:i/>
          <w:sz w:val="22"/>
          <w:szCs w:val="22"/>
        </w:rPr>
      </w:pPr>
      <w:r w:rsidRPr="00773E90">
        <w:rPr>
          <w:rFonts w:asciiTheme="majorHAnsi" w:hAnsiTheme="majorHAnsi" w:cstheme="majorHAnsi"/>
          <w:b/>
          <w:i/>
          <w:sz w:val="22"/>
          <w:szCs w:val="22"/>
        </w:rPr>
        <w:t>Patient cohort</w:t>
      </w:r>
    </w:p>
    <w:p w14:paraId="7EA70593" w14:textId="785B6290" w:rsidR="004F5ABB" w:rsidRPr="00E03190" w:rsidRDefault="00146FB1" w:rsidP="004B1B31">
      <w:pPr>
        <w:spacing w:line="480" w:lineRule="auto"/>
        <w:rPr>
          <w:rFonts w:asciiTheme="majorHAnsi" w:hAnsiTheme="majorHAnsi" w:cstheme="majorHAnsi"/>
          <w:sz w:val="22"/>
          <w:szCs w:val="22"/>
        </w:rPr>
      </w:pPr>
      <w:r w:rsidRPr="00B11CE5">
        <w:rPr>
          <w:rFonts w:asciiTheme="majorHAnsi" w:hAnsiTheme="majorHAnsi" w:cstheme="majorHAnsi"/>
          <w:sz w:val="22"/>
          <w:szCs w:val="22"/>
        </w:rPr>
        <w:t>We selected</w:t>
      </w:r>
      <w:r w:rsidR="00B03A75" w:rsidRPr="00B11CE5">
        <w:rPr>
          <w:rFonts w:asciiTheme="majorHAnsi" w:hAnsiTheme="majorHAnsi" w:cstheme="majorHAnsi"/>
          <w:sz w:val="22"/>
          <w:szCs w:val="22"/>
        </w:rPr>
        <w:t xml:space="preserve"> all adult patients (ages eighteen and older) who had at least one encounter with the Ontario health care system in 20</w:t>
      </w:r>
      <w:r w:rsidR="00204587" w:rsidRPr="00B11CE5">
        <w:rPr>
          <w:rFonts w:asciiTheme="majorHAnsi" w:hAnsiTheme="majorHAnsi" w:cstheme="majorHAnsi"/>
          <w:sz w:val="22"/>
          <w:szCs w:val="22"/>
        </w:rPr>
        <w:t>10</w:t>
      </w:r>
      <w:r w:rsidR="00B03A75" w:rsidRPr="00B11CE5">
        <w:rPr>
          <w:rFonts w:asciiTheme="majorHAnsi" w:hAnsiTheme="majorHAnsi" w:cstheme="majorHAnsi"/>
          <w:sz w:val="22"/>
          <w:szCs w:val="22"/>
        </w:rPr>
        <w:t>, t</w:t>
      </w:r>
      <w:r w:rsidRPr="00B11CE5">
        <w:rPr>
          <w:rFonts w:asciiTheme="majorHAnsi" w:hAnsiTheme="majorHAnsi" w:cstheme="majorHAnsi"/>
          <w:sz w:val="22"/>
          <w:szCs w:val="22"/>
        </w:rPr>
        <w:t>he index year, and</w:t>
      </w:r>
      <w:r w:rsidR="00B03A75" w:rsidRPr="00B11CE5">
        <w:rPr>
          <w:rFonts w:asciiTheme="majorHAnsi" w:hAnsiTheme="majorHAnsi" w:cstheme="majorHAnsi"/>
          <w:sz w:val="22"/>
          <w:szCs w:val="22"/>
        </w:rPr>
        <w:t xml:space="preserve"> exclude</w:t>
      </w:r>
      <w:r w:rsidR="00BC5875" w:rsidRPr="00B11CE5">
        <w:rPr>
          <w:rFonts w:asciiTheme="majorHAnsi" w:hAnsiTheme="majorHAnsi" w:cstheme="majorHAnsi"/>
          <w:sz w:val="22"/>
          <w:szCs w:val="22"/>
        </w:rPr>
        <w:t xml:space="preserve">d </w:t>
      </w:r>
      <w:r w:rsidRPr="00B11CE5">
        <w:rPr>
          <w:rFonts w:asciiTheme="majorHAnsi" w:hAnsiTheme="majorHAnsi" w:cstheme="majorHAnsi"/>
          <w:sz w:val="22"/>
          <w:szCs w:val="22"/>
        </w:rPr>
        <w:t>those</w:t>
      </w:r>
      <w:r w:rsidR="00BC5875" w:rsidRPr="00B11CE5">
        <w:rPr>
          <w:rFonts w:asciiTheme="majorHAnsi" w:hAnsiTheme="majorHAnsi" w:cstheme="majorHAnsi"/>
          <w:sz w:val="22"/>
          <w:szCs w:val="22"/>
        </w:rPr>
        <w:t xml:space="preserve"> who did</w:t>
      </w:r>
      <w:r w:rsidR="00B03A75" w:rsidRPr="00B11CE5">
        <w:rPr>
          <w:rFonts w:asciiTheme="majorHAnsi" w:hAnsiTheme="majorHAnsi" w:cstheme="majorHAnsi"/>
          <w:sz w:val="22"/>
          <w:szCs w:val="22"/>
        </w:rPr>
        <w:t xml:space="preserve"> not have a valid </w:t>
      </w:r>
      <w:r w:rsidR="00370E5E">
        <w:rPr>
          <w:rFonts w:asciiTheme="majorHAnsi" w:hAnsiTheme="majorHAnsi" w:cstheme="majorHAnsi"/>
          <w:sz w:val="22"/>
          <w:szCs w:val="22"/>
        </w:rPr>
        <w:t>health card</w:t>
      </w:r>
      <w:r w:rsidR="00B03A75" w:rsidRPr="00B11CE5">
        <w:rPr>
          <w:rFonts w:asciiTheme="majorHAnsi" w:hAnsiTheme="majorHAnsi" w:cstheme="majorHAnsi"/>
          <w:sz w:val="22"/>
          <w:szCs w:val="22"/>
        </w:rPr>
        <w:t xml:space="preserve"> number. Among these patients, we define</w:t>
      </w:r>
      <w:r w:rsidR="00BC5875" w:rsidRPr="00B11CE5">
        <w:rPr>
          <w:rFonts w:asciiTheme="majorHAnsi" w:hAnsiTheme="majorHAnsi" w:cstheme="majorHAnsi"/>
          <w:sz w:val="22"/>
          <w:szCs w:val="22"/>
        </w:rPr>
        <w:t>d</w:t>
      </w:r>
      <w:r w:rsidR="00B03A75" w:rsidRPr="00B11CE5">
        <w:rPr>
          <w:rFonts w:asciiTheme="majorHAnsi" w:hAnsiTheme="majorHAnsi" w:cstheme="majorHAnsi"/>
          <w:sz w:val="22"/>
          <w:szCs w:val="22"/>
        </w:rPr>
        <w:t xml:space="preserve"> </w:t>
      </w:r>
      <w:r w:rsidR="00B03A75" w:rsidRPr="00B11CE5">
        <w:rPr>
          <w:rFonts w:asciiTheme="majorHAnsi" w:hAnsiTheme="majorHAnsi" w:cstheme="majorHAnsi"/>
          <w:i/>
          <w:sz w:val="22"/>
          <w:szCs w:val="22"/>
        </w:rPr>
        <w:t>high-cost patients</w:t>
      </w:r>
      <w:r w:rsidR="00B03A75" w:rsidRPr="00B11CE5">
        <w:rPr>
          <w:rFonts w:asciiTheme="majorHAnsi" w:hAnsiTheme="majorHAnsi" w:cstheme="majorHAnsi"/>
          <w:sz w:val="22"/>
          <w:szCs w:val="22"/>
        </w:rPr>
        <w:t xml:space="preserve"> as all patients in </w:t>
      </w:r>
      <w:r w:rsidR="00BC5875" w:rsidRPr="00B11CE5">
        <w:rPr>
          <w:rFonts w:asciiTheme="majorHAnsi" w:hAnsiTheme="majorHAnsi" w:cstheme="majorHAnsi"/>
          <w:sz w:val="22"/>
          <w:szCs w:val="22"/>
        </w:rPr>
        <w:t xml:space="preserve">and above </w:t>
      </w:r>
      <w:r w:rsidR="00B03A75" w:rsidRPr="00B11CE5">
        <w:rPr>
          <w:rFonts w:asciiTheme="majorHAnsi" w:hAnsiTheme="majorHAnsi" w:cstheme="majorHAnsi"/>
          <w:sz w:val="22"/>
          <w:szCs w:val="22"/>
        </w:rPr>
        <w:t>the 90</w:t>
      </w:r>
      <w:r w:rsidR="00B03A75" w:rsidRPr="00B11CE5">
        <w:rPr>
          <w:rFonts w:asciiTheme="majorHAnsi" w:hAnsiTheme="majorHAnsi" w:cstheme="majorHAnsi"/>
          <w:sz w:val="22"/>
          <w:szCs w:val="22"/>
          <w:vertAlign w:val="superscript"/>
        </w:rPr>
        <w:t>th</w:t>
      </w:r>
      <w:r w:rsidR="00B03A75" w:rsidRPr="00B11CE5">
        <w:rPr>
          <w:rFonts w:asciiTheme="majorHAnsi" w:hAnsiTheme="majorHAnsi" w:cstheme="majorHAnsi"/>
          <w:sz w:val="22"/>
          <w:szCs w:val="22"/>
        </w:rPr>
        <w:t xml:space="preserve"> percentile of the cost distribution, in line with previous work.</w:t>
      </w:r>
      <w:r w:rsidR="00D865A6">
        <w:rPr>
          <w:rFonts w:asciiTheme="majorHAnsi" w:hAnsiTheme="majorHAnsi" w:cstheme="majorHAnsi"/>
          <w:sz w:val="22"/>
          <w:szCs w:val="22"/>
          <w:vertAlign w:val="superscript"/>
        </w:rPr>
        <w:t>4</w:t>
      </w:r>
      <w:r w:rsidR="00FC5EDB" w:rsidRPr="00CE40FC">
        <w:rPr>
          <w:rFonts w:asciiTheme="majorHAnsi" w:hAnsiTheme="majorHAnsi" w:cstheme="majorHAnsi"/>
          <w:sz w:val="22"/>
          <w:szCs w:val="22"/>
          <w:vertAlign w:val="superscript"/>
        </w:rPr>
        <w:t>,</w:t>
      </w:r>
      <w:r w:rsidR="00D865A6">
        <w:rPr>
          <w:rFonts w:asciiTheme="majorHAnsi" w:hAnsiTheme="majorHAnsi" w:cstheme="majorHAnsi"/>
          <w:sz w:val="22"/>
          <w:szCs w:val="22"/>
          <w:vertAlign w:val="superscript"/>
        </w:rPr>
        <w:t>6</w:t>
      </w:r>
      <w:r w:rsidR="00FC5EDB">
        <w:rPr>
          <w:rFonts w:asciiTheme="majorHAnsi" w:hAnsiTheme="majorHAnsi" w:cstheme="majorHAnsi"/>
          <w:sz w:val="22"/>
          <w:szCs w:val="22"/>
          <w:vertAlign w:val="superscript"/>
        </w:rPr>
        <w:t>,</w:t>
      </w:r>
      <w:r w:rsidR="00D865A6">
        <w:rPr>
          <w:rFonts w:asciiTheme="majorHAnsi" w:hAnsiTheme="majorHAnsi" w:cstheme="majorHAnsi"/>
          <w:sz w:val="22"/>
          <w:szCs w:val="22"/>
          <w:vertAlign w:val="superscript"/>
        </w:rPr>
        <w:t>8</w:t>
      </w:r>
      <w:r w:rsidR="00B03A75" w:rsidRPr="00B11CE5">
        <w:rPr>
          <w:rFonts w:asciiTheme="majorHAnsi" w:hAnsiTheme="majorHAnsi" w:cstheme="majorHAnsi"/>
          <w:sz w:val="22"/>
          <w:szCs w:val="22"/>
        </w:rPr>
        <w:t xml:space="preserve"> This threshold enable</w:t>
      </w:r>
      <w:r w:rsidR="00BC5875" w:rsidRPr="00B11CE5">
        <w:rPr>
          <w:rFonts w:asciiTheme="majorHAnsi" w:hAnsiTheme="majorHAnsi" w:cstheme="majorHAnsi"/>
          <w:sz w:val="22"/>
          <w:szCs w:val="22"/>
        </w:rPr>
        <w:t>d</w:t>
      </w:r>
      <w:r w:rsidR="00B03A75" w:rsidRPr="00B11CE5">
        <w:rPr>
          <w:rFonts w:asciiTheme="majorHAnsi" w:hAnsiTheme="majorHAnsi" w:cstheme="majorHAnsi"/>
          <w:sz w:val="22"/>
          <w:szCs w:val="22"/>
        </w:rPr>
        <w:t xml:space="preserve"> us to select a larger cohort of patients compared to other definitions</w:t>
      </w:r>
      <w:r w:rsidR="007263AD">
        <w:rPr>
          <w:rFonts w:asciiTheme="majorHAnsi" w:hAnsiTheme="majorHAnsi" w:cstheme="majorHAnsi"/>
          <w:sz w:val="22"/>
          <w:szCs w:val="22"/>
        </w:rPr>
        <w:t xml:space="preserve"> (e.g. 95</w:t>
      </w:r>
      <w:r w:rsidR="007263AD" w:rsidRPr="007B7A4C">
        <w:rPr>
          <w:rFonts w:asciiTheme="majorHAnsi" w:hAnsiTheme="majorHAnsi" w:cstheme="majorHAnsi"/>
          <w:sz w:val="22"/>
          <w:szCs w:val="22"/>
          <w:vertAlign w:val="superscript"/>
        </w:rPr>
        <w:t>th</w:t>
      </w:r>
      <w:r w:rsidR="007263AD">
        <w:rPr>
          <w:rFonts w:asciiTheme="majorHAnsi" w:hAnsiTheme="majorHAnsi" w:cstheme="majorHAnsi"/>
          <w:sz w:val="22"/>
          <w:szCs w:val="22"/>
        </w:rPr>
        <w:t xml:space="preserve"> percentile)</w:t>
      </w:r>
      <w:r w:rsidR="00B03A75" w:rsidRPr="00B11CE5">
        <w:rPr>
          <w:rFonts w:asciiTheme="majorHAnsi" w:hAnsiTheme="majorHAnsi" w:cstheme="majorHAnsi"/>
          <w:sz w:val="22"/>
          <w:szCs w:val="22"/>
        </w:rPr>
        <w:t xml:space="preserve">. </w:t>
      </w:r>
      <w:r w:rsidRPr="00B11CE5">
        <w:rPr>
          <w:rFonts w:asciiTheme="majorHAnsi" w:hAnsiTheme="majorHAnsi" w:cstheme="majorHAnsi"/>
          <w:i/>
          <w:sz w:val="22"/>
          <w:szCs w:val="22"/>
        </w:rPr>
        <w:t>M</w:t>
      </w:r>
      <w:r w:rsidR="00B03A75" w:rsidRPr="00B11CE5">
        <w:rPr>
          <w:rFonts w:asciiTheme="majorHAnsi" w:hAnsiTheme="majorHAnsi" w:cstheme="majorHAnsi"/>
          <w:i/>
          <w:sz w:val="22"/>
          <w:szCs w:val="22"/>
        </w:rPr>
        <w:t>ental health high-cost patients</w:t>
      </w:r>
      <w:r w:rsidR="00B03A75" w:rsidRPr="00B11CE5">
        <w:rPr>
          <w:rFonts w:asciiTheme="majorHAnsi" w:hAnsiTheme="majorHAnsi" w:cstheme="majorHAnsi"/>
          <w:sz w:val="22"/>
          <w:szCs w:val="22"/>
        </w:rPr>
        <w:t xml:space="preserve"> </w:t>
      </w:r>
      <w:r w:rsidR="00BC5875" w:rsidRPr="00B11CE5">
        <w:rPr>
          <w:rFonts w:asciiTheme="majorHAnsi" w:hAnsiTheme="majorHAnsi" w:cstheme="majorHAnsi"/>
          <w:sz w:val="22"/>
          <w:szCs w:val="22"/>
        </w:rPr>
        <w:t>wer</w:t>
      </w:r>
      <w:r w:rsidR="00B03A75" w:rsidRPr="00B11CE5">
        <w:rPr>
          <w:rFonts w:asciiTheme="majorHAnsi" w:hAnsiTheme="majorHAnsi" w:cstheme="majorHAnsi"/>
          <w:sz w:val="22"/>
          <w:szCs w:val="22"/>
        </w:rPr>
        <w:t xml:space="preserve">e defined as those for whom costs related </w:t>
      </w:r>
      <w:r w:rsidR="00B03A75" w:rsidRPr="00B11CE5">
        <w:rPr>
          <w:rFonts w:asciiTheme="majorHAnsi" w:hAnsiTheme="majorHAnsi" w:cstheme="majorHAnsi"/>
          <w:sz w:val="22"/>
          <w:szCs w:val="22"/>
        </w:rPr>
        <w:lastRenderedPageBreak/>
        <w:t>to mental health and addiction care account</w:t>
      </w:r>
      <w:r w:rsidR="00E15C57" w:rsidRPr="00B11CE5">
        <w:rPr>
          <w:rFonts w:asciiTheme="majorHAnsi" w:hAnsiTheme="majorHAnsi" w:cstheme="majorHAnsi"/>
          <w:sz w:val="22"/>
          <w:szCs w:val="22"/>
        </w:rPr>
        <w:t>ed</w:t>
      </w:r>
      <w:r w:rsidR="00B03A75" w:rsidRPr="00B11CE5">
        <w:rPr>
          <w:rFonts w:asciiTheme="majorHAnsi" w:hAnsiTheme="majorHAnsi" w:cstheme="majorHAnsi"/>
          <w:sz w:val="22"/>
          <w:szCs w:val="22"/>
        </w:rPr>
        <w:t xml:space="preserve"> for 50% or more of their total costs.</w:t>
      </w:r>
      <w:r w:rsidR="00D865A6">
        <w:rPr>
          <w:rFonts w:asciiTheme="majorHAnsi" w:hAnsiTheme="majorHAnsi" w:cstheme="majorHAnsi"/>
          <w:sz w:val="22"/>
          <w:szCs w:val="22"/>
          <w:vertAlign w:val="superscript"/>
        </w:rPr>
        <w:t>4</w:t>
      </w:r>
      <w:r w:rsidR="00B03A75" w:rsidRPr="00B11CE5">
        <w:rPr>
          <w:rFonts w:asciiTheme="majorHAnsi" w:hAnsiTheme="majorHAnsi" w:cstheme="majorHAnsi"/>
          <w:sz w:val="22"/>
          <w:szCs w:val="22"/>
        </w:rPr>
        <w:t xml:space="preserve"> Previous research has shown that c</w:t>
      </w:r>
      <w:r w:rsidR="00376A29" w:rsidRPr="00B11CE5">
        <w:rPr>
          <w:rFonts w:asciiTheme="majorHAnsi" w:hAnsiTheme="majorHAnsi" w:cstheme="majorHAnsi"/>
          <w:sz w:val="22"/>
          <w:szCs w:val="22"/>
        </w:rPr>
        <w:t>hanging the threshold to 60% ha</w:t>
      </w:r>
      <w:r w:rsidR="00370E5E">
        <w:rPr>
          <w:rFonts w:asciiTheme="majorHAnsi" w:hAnsiTheme="majorHAnsi" w:cstheme="majorHAnsi"/>
          <w:sz w:val="22"/>
          <w:szCs w:val="22"/>
        </w:rPr>
        <w:t>s</w:t>
      </w:r>
      <w:r w:rsidR="00B03A75" w:rsidRPr="00B11CE5">
        <w:rPr>
          <w:rFonts w:asciiTheme="majorHAnsi" w:hAnsiTheme="majorHAnsi" w:cstheme="majorHAnsi"/>
          <w:sz w:val="22"/>
          <w:szCs w:val="22"/>
        </w:rPr>
        <w:t xml:space="preserve"> little impact on the cohort definition</w:t>
      </w:r>
      <w:r w:rsidR="00D865A6">
        <w:rPr>
          <w:rFonts w:asciiTheme="majorHAnsi" w:hAnsiTheme="majorHAnsi" w:cstheme="majorHAnsi"/>
          <w:sz w:val="22"/>
          <w:szCs w:val="22"/>
          <w:vertAlign w:val="superscript"/>
        </w:rPr>
        <w:t>4</w:t>
      </w:r>
      <w:r w:rsidR="00B03A75" w:rsidRPr="00B11CE5">
        <w:rPr>
          <w:rFonts w:asciiTheme="majorHAnsi" w:hAnsiTheme="majorHAnsi" w:cstheme="majorHAnsi"/>
          <w:sz w:val="22"/>
          <w:szCs w:val="22"/>
        </w:rPr>
        <w:t xml:space="preserve"> as mental health</w:t>
      </w:r>
      <w:r w:rsidR="00724368" w:rsidRPr="00B11CE5">
        <w:rPr>
          <w:rFonts w:asciiTheme="majorHAnsi" w:hAnsiTheme="majorHAnsi" w:cstheme="majorHAnsi"/>
          <w:sz w:val="22"/>
          <w:szCs w:val="22"/>
        </w:rPr>
        <w:t xml:space="preserve"> and addiction</w:t>
      </w:r>
      <w:r w:rsidR="00B03A75" w:rsidRPr="00B11CE5">
        <w:rPr>
          <w:rFonts w:asciiTheme="majorHAnsi" w:hAnsiTheme="majorHAnsi" w:cstheme="majorHAnsi"/>
          <w:sz w:val="22"/>
          <w:szCs w:val="22"/>
        </w:rPr>
        <w:t>-relate</w:t>
      </w:r>
      <w:r w:rsidR="00E15C57" w:rsidRPr="00B11CE5">
        <w:rPr>
          <w:rFonts w:asciiTheme="majorHAnsi" w:hAnsiTheme="majorHAnsi" w:cstheme="majorHAnsi"/>
          <w:sz w:val="22"/>
          <w:szCs w:val="22"/>
        </w:rPr>
        <w:t xml:space="preserve">d costs account for </w:t>
      </w:r>
      <w:r w:rsidR="00F54B84">
        <w:rPr>
          <w:rFonts w:asciiTheme="majorHAnsi" w:hAnsiTheme="majorHAnsi" w:cstheme="majorHAnsi"/>
          <w:sz w:val="22"/>
          <w:szCs w:val="22"/>
        </w:rPr>
        <w:t>most</w:t>
      </w:r>
      <w:r w:rsidR="00B03A75" w:rsidRPr="00B11CE5">
        <w:rPr>
          <w:rFonts w:asciiTheme="majorHAnsi" w:hAnsiTheme="majorHAnsi" w:cstheme="majorHAnsi"/>
          <w:sz w:val="22"/>
          <w:szCs w:val="22"/>
        </w:rPr>
        <w:t xml:space="preserve"> costs.</w:t>
      </w:r>
      <w:r w:rsidR="00B03A75" w:rsidRPr="00E03190">
        <w:rPr>
          <w:rFonts w:asciiTheme="majorHAnsi" w:hAnsiTheme="majorHAnsi" w:cstheme="majorHAnsi"/>
          <w:sz w:val="22"/>
          <w:szCs w:val="22"/>
        </w:rPr>
        <w:t xml:space="preserve"> </w:t>
      </w:r>
    </w:p>
    <w:p w14:paraId="22E9D902" w14:textId="77777777" w:rsidR="004F5ABB" w:rsidRPr="00E03190" w:rsidRDefault="004F5ABB" w:rsidP="004B1B31">
      <w:pPr>
        <w:spacing w:line="480" w:lineRule="auto"/>
        <w:rPr>
          <w:rFonts w:asciiTheme="majorHAnsi" w:hAnsiTheme="majorHAnsi" w:cstheme="majorHAnsi"/>
          <w:sz w:val="22"/>
          <w:szCs w:val="22"/>
        </w:rPr>
      </w:pPr>
    </w:p>
    <w:p w14:paraId="6A1F31F0" w14:textId="68354DAB" w:rsidR="00773E90" w:rsidRPr="00220FB9" w:rsidRDefault="00773E90" w:rsidP="004B1B31">
      <w:pPr>
        <w:spacing w:line="480" w:lineRule="auto"/>
        <w:rPr>
          <w:rFonts w:asciiTheme="majorHAnsi" w:hAnsiTheme="majorHAnsi" w:cstheme="majorHAnsi"/>
          <w:i/>
          <w:sz w:val="22"/>
          <w:szCs w:val="22"/>
        </w:rPr>
      </w:pPr>
      <w:r w:rsidRPr="00220FB9">
        <w:rPr>
          <w:rFonts w:asciiTheme="majorHAnsi" w:hAnsiTheme="majorHAnsi" w:cstheme="majorHAnsi"/>
          <w:i/>
          <w:sz w:val="22"/>
          <w:szCs w:val="22"/>
        </w:rPr>
        <w:t>Defining persistent mental health high-cost patients</w:t>
      </w:r>
    </w:p>
    <w:p w14:paraId="4B23158B" w14:textId="0576FA08" w:rsidR="006737B6" w:rsidRPr="00E03190" w:rsidRDefault="00A82239" w:rsidP="004B1B31">
      <w:pPr>
        <w:spacing w:line="480" w:lineRule="auto"/>
        <w:rPr>
          <w:rFonts w:asciiTheme="majorHAnsi" w:hAnsiTheme="majorHAnsi" w:cstheme="majorHAnsi"/>
          <w:sz w:val="22"/>
          <w:szCs w:val="22"/>
        </w:rPr>
      </w:pPr>
      <w:r w:rsidRPr="00E03190">
        <w:rPr>
          <w:rFonts w:asciiTheme="majorHAnsi" w:hAnsiTheme="majorHAnsi" w:cstheme="majorHAnsi"/>
          <w:sz w:val="22"/>
          <w:szCs w:val="22"/>
        </w:rPr>
        <w:t>Costs related to mental health and addiction care were defined in line with previous work.</w:t>
      </w:r>
      <w:r>
        <w:rPr>
          <w:rFonts w:asciiTheme="majorHAnsi" w:hAnsiTheme="majorHAnsi" w:cstheme="majorHAnsi"/>
          <w:sz w:val="22"/>
          <w:szCs w:val="22"/>
          <w:vertAlign w:val="superscript"/>
        </w:rPr>
        <w:t>4</w:t>
      </w:r>
      <w:r w:rsidRPr="00E03190">
        <w:rPr>
          <w:rFonts w:asciiTheme="majorHAnsi" w:hAnsiTheme="majorHAnsi" w:cstheme="majorHAnsi"/>
          <w:sz w:val="22"/>
          <w:szCs w:val="22"/>
        </w:rPr>
        <w:t xml:space="preserve"> We used a </w:t>
      </w:r>
      <w:r w:rsidRPr="00E03190">
        <w:rPr>
          <w:rFonts w:asciiTheme="majorHAnsi" w:hAnsiTheme="majorHAnsi" w:cstheme="majorHAnsi"/>
          <w:bCs/>
          <w:sz w:val="22"/>
          <w:szCs w:val="22"/>
        </w:rPr>
        <w:t xml:space="preserve">cost estimation algorithm, available at ICES, to estimate all direct health care costs </w:t>
      </w:r>
      <w:r w:rsidRPr="00B11CE5">
        <w:rPr>
          <w:rFonts w:asciiTheme="majorHAnsi" w:hAnsiTheme="majorHAnsi" w:cstheme="majorHAnsi"/>
          <w:bCs/>
          <w:sz w:val="22"/>
          <w:szCs w:val="22"/>
        </w:rPr>
        <w:t>incurred by patient</w:t>
      </w:r>
      <w:r>
        <w:rPr>
          <w:rFonts w:asciiTheme="majorHAnsi" w:hAnsiTheme="majorHAnsi" w:cstheme="majorHAnsi"/>
          <w:bCs/>
          <w:sz w:val="22"/>
          <w:szCs w:val="22"/>
        </w:rPr>
        <w:t>s</w:t>
      </w:r>
      <w:r w:rsidRPr="00B11CE5">
        <w:rPr>
          <w:rFonts w:asciiTheme="majorHAnsi" w:hAnsiTheme="majorHAnsi" w:cstheme="majorHAnsi"/>
          <w:bCs/>
          <w:sz w:val="22"/>
          <w:szCs w:val="22"/>
        </w:rPr>
        <w:t xml:space="preserve"> and borne by the Ontario </w:t>
      </w:r>
      <w:r>
        <w:rPr>
          <w:rFonts w:asciiTheme="majorHAnsi" w:hAnsiTheme="majorHAnsi" w:cstheme="majorHAnsi"/>
          <w:bCs/>
          <w:sz w:val="22"/>
          <w:szCs w:val="22"/>
        </w:rPr>
        <w:t>M</w:t>
      </w:r>
      <w:r w:rsidRPr="00B11CE5">
        <w:rPr>
          <w:rFonts w:asciiTheme="majorHAnsi" w:hAnsiTheme="majorHAnsi" w:cstheme="majorHAnsi"/>
          <w:bCs/>
          <w:sz w:val="22"/>
          <w:szCs w:val="22"/>
        </w:rPr>
        <w:t xml:space="preserve">inistry of </w:t>
      </w:r>
      <w:r>
        <w:rPr>
          <w:rFonts w:asciiTheme="majorHAnsi" w:hAnsiTheme="majorHAnsi" w:cstheme="majorHAnsi"/>
          <w:bCs/>
          <w:sz w:val="22"/>
          <w:szCs w:val="22"/>
        </w:rPr>
        <w:t>H</w:t>
      </w:r>
      <w:r w:rsidRPr="00B11CE5">
        <w:rPr>
          <w:rFonts w:asciiTheme="majorHAnsi" w:hAnsiTheme="majorHAnsi" w:cstheme="majorHAnsi"/>
          <w:bCs/>
          <w:sz w:val="22"/>
          <w:szCs w:val="22"/>
        </w:rPr>
        <w:t>ealth.</w:t>
      </w:r>
      <w:r>
        <w:rPr>
          <w:rFonts w:asciiTheme="majorHAnsi" w:hAnsiTheme="majorHAnsi" w:cstheme="majorHAnsi"/>
          <w:bCs/>
          <w:sz w:val="22"/>
          <w:szCs w:val="22"/>
          <w:vertAlign w:val="superscript"/>
        </w:rPr>
        <w:t>13</w:t>
      </w:r>
      <w:r w:rsidRPr="00B11CE5">
        <w:rPr>
          <w:rFonts w:asciiTheme="majorHAnsi" w:hAnsiTheme="majorHAnsi" w:cstheme="majorHAnsi"/>
          <w:bCs/>
          <w:sz w:val="22"/>
          <w:szCs w:val="22"/>
        </w:rPr>
        <w:t xml:space="preserve"> </w:t>
      </w:r>
      <w:r>
        <w:rPr>
          <w:rFonts w:asciiTheme="majorHAnsi" w:hAnsiTheme="majorHAnsi" w:cstheme="majorHAnsi"/>
          <w:bCs/>
          <w:sz w:val="22"/>
          <w:szCs w:val="22"/>
        </w:rPr>
        <w:t xml:space="preserve">Details are provided in the Appendix. </w:t>
      </w:r>
      <w:r w:rsidR="004F5ABB" w:rsidRPr="00E03190">
        <w:rPr>
          <w:rFonts w:asciiTheme="majorHAnsi" w:hAnsiTheme="majorHAnsi" w:cstheme="majorHAnsi"/>
          <w:sz w:val="22"/>
          <w:szCs w:val="22"/>
        </w:rPr>
        <w:t>We followed</w:t>
      </w:r>
      <w:r w:rsidR="00BB6E15" w:rsidRPr="00E03190">
        <w:rPr>
          <w:rFonts w:asciiTheme="majorHAnsi" w:hAnsiTheme="majorHAnsi" w:cstheme="majorHAnsi"/>
          <w:sz w:val="22"/>
          <w:szCs w:val="22"/>
        </w:rPr>
        <w:t xml:space="preserve"> </w:t>
      </w:r>
      <w:r w:rsidR="00761454">
        <w:rPr>
          <w:rFonts w:asciiTheme="majorHAnsi" w:hAnsiTheme="majorHAnsi" w:cstheme="majorHAnsi"/>
          <w:sz w:val="22"/>
          <w:szCs w:val="22"/>
        </w:rPr>
        <w:t>individuals</w:t>
      </w:r>
      <w:r w:rsidR="00A20B53" w:rsidRPr="00E03190">
        <w:rPr>
          <w:rFonts w:asciiTheme="majorHAnsi" w:hAnsiTheme="majorHAnsi" w:cstheme="majorHAnsi"/>
          <w:sz w:val="22"/>
          <w:szCs w:val="22"/>
        </w:rPr>
        <w:t xml:space="preserve"> </w:t>
      </w:r>
      <w:r w:rsidR="00F302B7" w:rsidRPr="00E03190">
        <w:rPr>
          <w:rFonts w:asciiTheme="majorHAnsi" w:hAnsiTheme="majorHAnsi" w:cstheme="majorHAnsi"/>
          <w:sz w:val="22"/>
          <w:szCs w:val="22"/>
        </w:rPr>
        <w:t xml:space="preserve">from 2010 </w:t>
      </w:r>
      <w:r w:rsidR="00525EFA">
        <w:rPr>
          <w:rFonts w:asciiTheme="majorHAnsi" w:hAnsiTheme="majorHAnsi" w:cstheme="majorHAnsi"/>
          <w:sz w:val="22"/>
          <w:szCs w:val="22"/>
        </w:rPr>
        <w:t>to</w:t>
      </w:r>
      <w:r w:rsidR="006D0BA1" w:rsidRPr="00E03190">
        <w:rPr>
          <w:rFonts w:asciiTheme="majorHAnsi" w:hAnsiTheme="majorHAnsi" w:cstheme="majorHAnsi"/>
          <w:sz w:val="22"/>
          <w:szCs w:val="22"/>
        </w:rPr>
        <w:t xml:space="preserve"> 2017</w:t>
      </w:r>
      <w:r w:rsidR="004F5ABB" w:rsidRPr="00E03190">
        <w:rPr>
          <w:rFonts w:asciiTheme="majorHAnsi" w:hAnsiTheme="majorHAnsi" w:cstheme="majorHAnsi"/>
          <w:sz w:val="22"/>
          <w:szCs w:val="22"/>
        </w:rPr>
        <w:t xml:space="preserve"> </w:t>
      </w:r>
      <w:r w:rsidR="004A1C34">
        <w:rPr>
          <w:rFonts w:asciiTheme="majorHAnsi" w:hAnsiTheme="majorHAnsi" w:cstheme="majorHAnsi"/>
          <w:sz w:val="22"/>
          <w:szCs w:val="22"/>
        </w:rPr>
        <w:t xml:space="preserve">(i.e., </w:t>
      </w:r>
      <w:r w:rsidR="00C61087">
        <w:rPr>
          <w:rFonts w:asciiTheme="majorHAnsi" w:hAnsiTheme="majorHAnsi" w:cstheme="majorHAnsi"/>
          <w:sz w:val="22"/>
          <w:szCs w:val="22"/>
        </w:rPr>
        <w:t>eight</w:t>
      </w:r>
      <w:r w:rsidR="004F5ABB" w:rsidRPr="00E03190">
        <w:rPr>
          <w:rFonts w:asciiTheme="majorHAnsi" w:hAnsiTheme="majorHAnsi" w:cstheme="majorHAnsi"/>
          <w:sz w:val="22"/>
          <w:szCs w:val="22"/>
        </w:rPr>
        <w:t xml:space="preserve"> years</w:t>
      </w:r>
      <w:r w:rsidR="004A1C34">
        <w:rPr>
          <w:rFonts w:asciiTheme="majorHAnsi" w:hAnsiTheme="majorHAnsi" w:cstheme="majorHAnsi"/>
          <w:sz w:val="22"/>
          <w:szCs w:val="22"/>
        </w:rPr>
        <w:t>)</w:t>
      </w:r>
      <w:r w:rsidR="004F5ABB" w:rsidRPr="00E03190">
        <w:rPr>
          <w:rFonts w:asciiTheme="majorHAnsi" w:hAnsiTheme="majorHAnsi" w:cstheme="majorHAnsi"/>
          <w:sz w:val="22"/>
          <w:szCs w:val="22"/>
        </w:rPr>
        <w:t xml:space="preserve"> to examine whether </w:t>
      </w:r>
      <w:r w:rsidR="009C12CF">
        <w:rPr>
          <w:rFonts w:asciiTheme="majorHAnsi" w:hAnsiTheme="majorHAnsi" w:cstheme="majorHAnsi"/>
          <w:sz w:val="22"/>
          <w:szCs w:val="22"/>
        </w:rPr>
        <w:t>they</w:t>
      </w:r>
      <w:r w:rsidR="004F5ABB" w:rsidRPr="00E03190">
        <w:rPr>
          <w:rFonts w:asciiTheme="majorHAnsi" w:hAnsiTheme="majorHAnsi" w:cstheme="majorHAnsi"/>
          <w:sz w:val="22"/>
          <w:szCs w:val="22"/>
        </w:rPr>
        <w:t xml:space="preserve"> moved in and out of the high-cost state (i.e., above or below the 90</w:t>
      </w:r>
      <w:r w:rsidR="004F5ABB" w:rsidRPr="00E03190">
        <w:rPr>
          <w:rFonts w:asciiTheme="majorHAnsi" w:hAnsiTheme="majorHAnsi" w:cstheme="majorHAnsi"/>
          <w:sz w:val="22"/>
          <w:szCs w:val="22"/>
          <w:vertAlign w:val="superscript"/>
        </w:rPr>
        <w:t>th</w:t>
      </w:r>
      <w:r w:rsidR="004F5ABB" w:rsidRPr="00E03190">
        <w:rPr>
          <w:rFonts w:asciiTheme="majorHAnsi" w:hAnsiTheme="majorHAnsi" w:cstheme="majorHAnsi"/>
          <w:sz w:val="22"/>
          <w:szCs w:val="22"/>
        </w:rPr>
        <w:t xml:space="preserve"> percentile of the cost distribution)</w:t>
      </w:r>
      <w:r w:rsidR="00BB6E15" w:rsidRPr="00E03190">
        <w:rPr>
          <w:rFonts w:asciiTheme="majorHAnsi" w:hAnsiTheme="majorHAnsi" w:cstheme="majorHAnsi"/>
          <w:sz w:val="22"/>
          <w:szCs w:val="22"/>
        </w:rPr>
        <w:t>.</w:t>
      </w:r>
      <w:r w:rsidR="004F5ABB" w:rsidRPr="00E03190">
        <w:rPr>
          <w:rFonts w:asciiTheme="majorHAnsi" w:hAnsiTheme="majorHAnsi" w:cstheme="majorHAnsi"/>
          <w:sz w:val="22"/>
          <w:szCs w:val="22"/>
        </w:rPr>
        <w:t xml:space="preserve"> Prior work has defined “persistent (or consistent) high-cost patients” as those in the 80</w:t>
      </w:r>
      <w:r w:rsidR="004F5ABB" w:rsidRPr="00E03190">
        <w:rPr>
          <w:rFonts w:asciiTheme="majorHAnsi" w:hAnsiTheme="majorHAnsi" w:cstheme="majorHAnsi"/>
          <w:sz w:val="22"/>
          <w:szCs w:val="22"/>
          <w:vertAlign w:val="superscript"/>
        </w:rPr>
        <w:t>th</w:t>
      </w:r>
      <w:r w:rsidR="004F5ABB" w:rsidRPr="00E03190">
        <w:rPr>
          <w:rFonts w:asciiTheme="majorHAnsi" w:hAnsiTheme="majorHAnsi" w:cstheme="majorHAnsi"/>
          <w:sz w:val="22"/>
          <w:szCs w:val="22"/>
        </w:rPr>
        <w:t xml:space="preserve"> percentile in all </w:t>
      </w:r>
      <w:r w:rsidR="00C61087">
        <w:rPr>
          <w:rFonts w:asciiTheme="majorHAnsi" w:hAnsiTheme="majorHAnsi" w:cstheme="majorHAnsi"/>
          <w:sz w:val="22"/>
          <w:szCs w:val="22"/>
        </w:rPr>
        <w:t>four</w:t>
      </w:r>
      <w:r w:rsidR="004F5ABB" w:rsidRPr="00E03190">
        <w:rPr>
          <w:rFonts w:asciiTheme="majorHAnsi" w:hAnsiTheme="majorHAnsi" w:cstheme="majorHAnsi"/>
          <w:sz w:val="22"/>
          <w:szCs w:val="22"/>
        </w:rPr>
        <w:t xml:space="preserve"> half-year periods across </w:t>
      </w:r>
      <w:r w:rsidR="0037650E">
        <w:rPr>
          <w:rFonts w:asciiTheme="majorHAnsi" w:hAnsiTheme="majorHAnsi" w:cstheme="majorHAnsi"/>
          <w:sz w:val="22"/>
          <w:szCs w:val="22"/>
        </w:rPr>
        <w:t>two years</w:t>
      </w:r>
      <w:r w:rsidR="004F5ABB" w:rsidRPr="00E03190">
        <w:rPr>
          <w:rFonts w:asciiTheme="majorHAnsi" w:hAnsiTheme="majorHAnsi" w:cstheme="majorHAnsi"/>
          <w:sz w:val="22"/>
          <w:szCs w:val="22"/>
        </w:rPr>
        <w:t xml:space="preserve">, and “point high-cost patients” as the top users in </w:t>
      </w:r>
      <w:r w:rsidR="0037650E">
        <w:rPr>
          <w:rFonts w:asciiTheme="majorHAnsi" w:hAnsiTheme="majorHAnsi" w:cstheme="majorHAnsi"/>
          <w:sz w:val="22"/>
          <w:szCs w:val="22"/>
        </w:rPr>
        <w:t>the first year</w:t>
      </w:r>
      <w:r w:rsidR="0037650E" w:rsidRPr="00E03190">
        <w:rPr>
          <w:rFonts w:asciiTheme="majorHAnsi" w:hAnsiTheme="majorHAnsi" w:cstheme="majorHAnsi"/>
          <w:sz w:val="22"/>
          <w:szCs w:val="22"/>
        </w:rPr>
        <w:t xml:space="preserve"> </w:t>
      </w:r>
      <w:r w:rsidR="004F5ABB" w:rsidRPr="00E03190">
        <w:rPr>
          <w:rFonts w:asciiTheme="majorHAnsi" w:hAnsiTheme="majorHAnsi" w:cstheme="majorHAnsi"/>
          <w:sz w:val="22"/>
          <w:szCs w:val="22"/>
        </w:rPr>
        <w:t>alone.</w:t>
      </w:r>
      <w:r w:rsidR="00EE14C5">
        <w:rPr>
          <w:rFonts w:asciiTheme="majorHAnsi" w:hAnsiTheme="majorHAnsi" w:cstheme="majorHAnsi"/>
          <w:sz w:val="22"/>
          <w:szCs w:val="22"/>
          <w:vertAlign w:val="superscript"/>
        </w:rPr>
        <w:t>11</w:t>
      </w:r>
      <w:r w:rsidR="004F5ABB" w:rsidRPr="00E03190">
        <w:rPr>
          <w:rFonts w:asciiTheme="majorHAnsi" w:hAnsiTheme="majorHAnsi" w:cstheme="majorHAnsi"/>
          <w:sz w:val="22"/>
          <w:szCs w:val="22"/>
        </w:rPr>
        <w:t xml:space="preserve"> </w:t>
      </w:r>
      <w:r>
        <w:rPr>
          <w:rFonts w:asciiTheme="majorHAnsi" w:hAnsiTheme="majorHAnsi" w:cstheme="majorHAnsi"/>
          <w:sz w:val="22"/>
          <w:szCs w:val="22"/>
        </w:rPr>
        <w:t xml:space="preserve">Since this study indicated that </w:t>
      </w:r>
      <w:r w:rsidR="004F5ABB" w:rsidRPr="00E03190">
        <w:rPr>
          <w:rFonts w:asciiTheme="majorHAnsi" w:hAnsiTheme="majorHAnsi" w:cstheme="majorHAnsi"/>
          <w:sz w:val="22"/>
          <w:szCs w:val="22"/>
        </w:rPr>
        <w:t xml:space="preserve">persistent high-cost patients should incur high costs consistently and continuously over </w:t>
      </w:r>
      <w:r w:rsidR="004F5ABB" w:rsidRPr="00E03190">
        <w:rPr>
          <w:rFonts w:asciiTheme="majorHAnsi" w:hAnsiTheme="majorHAnsi" w:cstheme="majorHAnsi"/>
          <w:i/>
          <w:sz w:val="22"/>
          <w:szCs w:val="22"/>
        </w:rPr>
        <w:t>several</w:t>
      </w:r>
      <w:r w:rsidR="004F5ABB" w:rsidRPr="00E03190">
        <w:rPr>
          <w:rFonts w:asciiTheme="majorHAnsi" w:hAnsiTheme="majorHAnsi" w:cstheme="majorHAnsi"/>
          <w:sz w:val="22"/>
          <w:szCs w:val="22"/>
        </w:rPr>
        <w:t xml:space="preserve"> periods, we defined persistent </w:t>
      </w:r>
      <w:r w:rsidR="003A10ED" w:rsidRPr="00E03190">
        <w:rPr>
          <w:rFonts w:asciiTheme="majorHAnsi" w:hAnsiTheme="majorHAnsi" w:cstheme="majorHAnsi"/>
          <w:sz w:val="22"/>
          <w:szCs w:val="22"/>
        </w:rPr>
        <w:t>high-cost patients</w:t>
      </w:r>
      <w:r w:rsidR="004F5ABB" w:rsidRPr="00E03190">
        <w:rPr>
          <w:rFonts w:asciiTheme="majorHAnsi" w:hAnsiTheme="majorHAnsi" w:cstheme="majorHAnsi"/>
          <w:sz w:val="22"/>
          <w:szCs w:val="22"/>
        </w:rPr>
        <w:t xml:space="preserve"> as those who remained in and above the 90</w:t>
      </w:r>
      <w:r w:rsidR="004F5ABB" w:rsidRPr="00E03190">
        <w:rPr>
          <w:rFonts w:asciiTheme="majorHAnsi" w:hAnsiTheme="majorHAnsi" w:cstheme="majorHAnsi"/>
          <w:sz w:val="22"/>
          <w:szCs w:val="22"/>
          <w:vertAlign w:val="superscript"/>
        </w:rPr>
        <w:t>th</w:t>
      </w:r>
      <w:r w:rsidR="004F5ABB" w:rsidRPr="00E03190">
        <w:rPr>
          <w:rFonts w:asciiTheme="majorHAnsi" w:hAnsiTheme="majorHAnsi" w:cstheme="majorHAnsi"/>
          <w:sz w:val="22"/>
          <w:szCs w:val="22"/>
        </w:rPr>
        <w:t xml:space="preserve"> percentil</w:t>
      </w:r>
      <w:r w:rsidR="006D0BA1" w:rsidRPr="00E03190">
        <w:rPr>
          <w:rFonts w:asciiTheme="majorHAnsi" w:hAnsiTheme="majorHAnsi" w:cstheme="majorHAnsi"/>
          <w:sz w:val="22"/>
          <w:szCs w:val="22"/>
        </w:rPr>
        <w:t xml:space="preserve">e of the cost distribution for </w:t>
      </w:r>
      <w:r w:rsidR="00C61087">
        <w:rPr>
          <w:rFonts w:asciiTheme="majorHAnsi" w:hAnsiTheme="majorHAnsi" w:cstheme="majorHAnsi"/>
          <w:sz w:val="22"/>
          <w:szCs w:val="22"/>
        </w:rPr>
        <w:t>6</w:t>
      </w:r>
      <w:r w:rsidR="004F5ABB" w:rsidRPr="00E03190">
        <w:rPr>
          <w:rFonts w:asciiTheme="majorHAnsi" w:hAnsiTheme="majorHAnsi" w:cstheme="majorHAnsi"/>
          <w:sz w:val="22"/>
          <w:szCs w:val="22"/>
        </w:rPr>
        <w:t xml:space="preserve"> or more</w:t>
      </w:r>
      <w:r w:rsidR="006D0BA1" w:rsidRPr="00E03190">
        <w:rPr>
          <w:rFonts w:asciiTheme="majorHAnsi" w:hAnsiTheme="majorHAnsi" w:cstheme="majorHAnsi"/>
          <w:sz w:val="22"/>
          <w:szCs w:val="22"/>
        </w:rPr>
        <w:t xml:space="preserve"> years (at any point) over the 8</w:t>
      </w:r>
      <w:r w:rsidR="004F5ABB" w:rsidRPr="00E03190">
        <w:rPr>
          <w:rFonts w:asciiTheme="majorHAnsi" w:hAnsiTheme="majorHAnsi" w:cstheme="majorHAnsi"/>
          <w:sz w:val="22"/>
          <w:szCs w:val="22"/>
        </w:rPr>
        <w:t>-year study period (i.e.</w:t>
      </w:r>
      <w:r w:rsidR="00322C91" w:rsidRPr="00E03190">
        <w:rPr>
          <w:rFonts w:asciiTheme="majorHAnsi" w:hAnsiTheme="majorHAnsi" w:cstheme="majorHAnsi"/>
          <w:sz w:val="22"/>
          <w:szCs w:val="22"/>
        </w:rPr>
        <w:t>,</w:t>
      </w:r>
      <w:r w:rsidR="006D0BA1" w:rsidRPr="00E03190">
        <w:rPr>
          <w:rFonts w:asciiTheme="majorHAnsi" w:hAnsiTheme="majorHAnsi" w:cstheme="majorHAnsi"/>
          <w:sz w:val="22"/>
          <w:szCs w:val="22"/>
        </w:rPr>
        <w:t xml:space="preserve"> 75</w:t>
      </w:r>
      <w:r w:rsidR="004F5ABB" w:rsidRPr="00E03190">
        <w:rPr>
          <w:rFonts w:asciiTheme="majorHAnsi" w:hAnsiTheme="majorHAnsi" w:cstheme="majorHAnsi"/>
          <w:sz w:val="22"/>
          <w:szCs w:val="22"/>
        </w:rPr>
        <w:t xml:space="preserve">% of the analysis period). </w:t>
      </w:r>
      <w:r w:rsidR="009C12CF">
        <w:rPr>
          <w:rFonts w:asciiTheme="majorHAnsi" w:hAnsiTheme="majorHAnsi" w:cstheme="majorHAnsi"/>
          <w:sz w:val="22"/>
          <w:szCs w:val="22"/>
        </w:rPr>
        <w:t>W</w:t>
      </w:r>
      <w:r w:rsidR="004F5ABB" w:rsidRPr="00E03190">
        <w:rPr>
          <w:rFonts w:asciiTheme="majorHAnsi" w:hAnsiTheme="majorHAnsi" w:cstheme="majorHAnsi"/>
          <w:sz w:val="22"/>
          <w:szCs w:val="22"/>
        </w:rPr>
        <w:t xml:space="preserve">e defined </w:t>
      </w:r>
      <w:bookmarkStart w:id="4" w:name="_Hlk32997263"/>
      <w:r w:rsidR="004F5ABB" w:rsidRPr="00E03190">
        <w:rPr>
          <w:rFonts w:asciiTheme="majorHAnsi" w:hAnsiTheme="majorHAnsi" w:cstheme="majorHAnsi"/>
          <w:sz w:val="22"/>
          <w:szCs w:val="22"/>
        </w:rPr>
        <w:t>sporadic high-cost patients as those in the high-cost category for 1 or 2 years and moderate high-cost patients as those in</w:t>
      </w:r>
      <w:r w:rsidR="006D0BA1" w:rsidRPr="00E03190">
        <w:rPr>
          <w:rFonts w:asciiTheme="majorHAnsi" w:hAnsiTheme="majorHAnsi" w:cstheme="majorHAnsi"/>
          <w:sz w:val="22"/>
          <w:szCs w:val="22"/>
        </w:rPr>
        <w:t xml:space="preserve"> the high-cost category for 3,</w:t>
      </w:r>
      <w:r w:rsidR="004F5ABB" w:rsidRPr="00E03190">
        <w:rPr>
          <w:rFonts w:asciiTheme="majorHAnsi" w:hAnsiTheme="majorHAnsi" w:cstheme="majorHAnsi"/>
          <w:sz w:val="22"/>
          <w:szCs w:val="22"/>
        </w:rPr>
        <w:t xml:space="preserve"> 4</w:t>
      </w:r>
      <w:r w:rsidR="006D0BA1" w:rsidRPr="00E03190">
        <w:rPr>
          <w:rFonts w:asciiTheme="majorHAnsi" w:hAnsiTheme="majorHAnsi" w:cstheme="majorHAnsi"/>
          <w:sz w:val="22"/>
          <w:szCs w:val="22"/>
        </w:rPr>
        <w:t xml:space="preserve"> or 5</w:t>
      </w:r>
      <w:r w:rsidR="004F5ABB" w:rsidRPr="00E03190">
        <w:rPr>
          <w:rFonts w:asciiTheme="majorHAnsi" w:hAnsiTheme="majorHAnsi" w:cstheme="majorHAnsi"/>
          <w:sz w:val="22"/>
          <w:szCs w:val="22"/>
        </w:rPr>
        <w:t xml:space="preserve"> years</w:t>
      </w:r>
      <w:bookmarkEnd w:id="4"/>
      <w:r w:rsidR="004F5ABB" w:rsidRPr="00E03190">
        <w:rPr>
          <w:rFonts w:asciiTheme="majorHAnsi" w:hAnsiTheme="majorHAnsi" w:cstheme="majorHAnsi"/>
          <w:sz w:val="22"/>
          <w:szCs w:val="22"/>
        </w:rPr>
        <w:t xml:space="preserve">. </w:t>
      </w:r>
      <w:r w:rsidR="00E544D1">
        <w:rPr>
          <w:rFonts w:asciiTheme="majorHAnsi" w:hAnsiTheme="majorHAnsi" w:cstheme="majorHAnsi"/>
          <w:sz w:val="22"/>
          <w:szCs w:val="22"/>
        </w:rPr>
        <w:t>Some patients (t</w:t>
      </w:r>
      <w:r w:rsidR="00E544D1" w:rsidRPr="00E544D1">
        <w:rPr>
          <w:rFonts w:asciiTheme="majorHAnsi" w:hAnsiTheme="majorHAnsi" w:cstheme="majorHAnsi"/>
          <w:sz w:val="22"/>
          <w:szCs w:val="22"/>
        </w:rPr>
        <w:t>he attrition cohort</w:t>
      </w:r>
      <w:r w:rsidR="00E544D1">
        <w:rPr>
          <w:rFonts w:asciiTheme="majorHAnsi" w:hAnsiTheme="majorHAnsi" w:cstheme="majorHAnsi"/>
          <w:sz w:val="22"/>
          <w:szCs w:val="22"/>
        </w:rPr>
        <w:t>)</w:t>
      </w:r>
      <w:r w:rsidR="00E544D1" w:rsidRPr="00E544D1">
        <w:rPr>
          <w:rFonts w:asciiTheme="majorHAnsi" w:hAnsiTheme="majorHAnsi" w:cstheme="majorHAnsi"/>
          <w:sz w:val="22"/>
          <w:szCs w:val="22"/>
        </w:rPr>
        <w:t xml:space="preserve"> did not have data for all 8 years due to loss to follow up (e.g. individuals who died, moved out of the province or those who were no longer eligible for public health care insurance in Ontario). </w:t>
      </w:r>
      <w:r w:rsidR="00E544D1">
        <w:rPr>
          <w:rFonts w:asciiTheme="majorHAnsi" w:hAnsiTheme="majorHAnsi" w:cstheme="majorHAnsi"/>
          <w:sz w:val="22"/>
          <w:szCs w:val="22"/>
        </w:rPr>
        <w:t xml:space="preserve">We classified high-cost status similarly in the attrition and </w:t>
      </w:r>
      <w:r w:rsidR="00E544D1" w:rsidRPr="00E544D1">
        <w:rPr>
          <w:rFonts w:asciiTheme="majorHAnsi" w:hAnsiTheme="majorHAnsi" w:cstheme="majorHAnsi"/>
          <w:sz w:val="22"/>
          <w:szCs w:val="22"/>
        </w:rPr>
        <w:t>non-attrition cohort</w:t>
      </w:r>
      <w:r w:rsidR="00E544D1">
        <w:rPr>
          <w:rFonts w:asciiTheme="majorHAnsi" w:hAnsiTheme="majorHAnsi" w:cstheme="majorHAnsi"/>
          <w:sz w:val="22"/>
          <w:szCs w:val="22"/>
        </w:rPr>
        <w:t>s and included both in the primary analysis</w:t>
      </w:r>
      <w:r w:rsidR="00E544D1" w:rsidRPr="00E544D1">
        <w:rPr>
          <w:rFonts w:asciiTheme="majorHAnsi" w:hAnsiTheme="majorHAnsi" w:cstheme="majorHAnsi"/>
          <w:sz w:val="22"/>
          <w:szCs w:val="22"/>
        </w:rPr>
        <w:t>.</w:t>
      </w:r>
      <w:r w:rsidR="00E544D1">
        <w:rPr>
          <w:rFonts w:asciiTheme="majorHAnsi" w:hAnsiTheme="majorHAnsi" w:cstheme="majorHAnsi"/>
          <w:sz w:val="22"/>
          <w:szCs w:val="22"/>
        </w:rPr>
        <w:t xml:space="preserve"> </w:t>
      </w:r>
    </w:p>
    <w:p w14:paraId="17A37494" w14:textId="77777777" w:rsidR="004F5ABB" w:rsidRPr="00E03190" w:rsidRDefault="004F5ABB" w:rsidP="004B1B31">
      <w:pPr>
        <w:spacing w:line="480" w:lineRule="auto"/>
        <w:rPr>
          <w:rFonts w:asciiTheme="majorHAnsi" w:hAnsiTheme="majorHAnsi" w:cstheme="majorHAnsi"/>
          <w:sz w:val="22"/>
          <w:szCs w:val="22"/>
        </w:rPr>
      </w:pPr>
    </w:p>
    <w:p w14:paraId="61C00BFA" w14:textId="1D5CE6B0" w:rsidR="00BF7D3E" w:rsidRPr="00BF7D3E" w:rsidRDefault="003667E2" w:rsidP="004B1B31">
      <w:pPr>
        <w:spacing w:line="480" w:lineRule="auto"/>
        <w:rPr>
          <w:rFonts w:asciiTheme="majorHAnsi" w:hAnsiTheme="majorHAnsi" w:cstheme="majorHAnsi"/>
          <w:b/>
          <w:i/>
          <w:sz w:val="22"/>
          <w:szCs w:val="22"/>
        </w:rPr>
      </w:pPr>
      <w:r w:rsidRPr="00BF7D3E">
        <w:rPr>
          <w:rFonts w:asciiTheme="majorHAnsi" w:hAnsiTheme="majorHAnsi" w:cstheme="majorHAnsi"/>
          <w:b/>
          <w:i/>
          <w:sz w:val="22"/>
          <w:szCs w:val="22"/>
        </w:rPr>
        <w:t>A</w:t>
      </w:r>
      <w:r w:rsidR="00BF7D3E" w:rsidRPr="00BF7D3E">
        <w:rPr>
          <w:rFonts w:asciiTheme="majorHAnsi" w:hAnsiTheme="majorHAnsi" w:cstheme="majorHAnsi"/>
          <w:b/>
          <w:i/>
          <w:sz w:val="22"/>
          <w:szCs w:val="22"/>
        </w:rPr>
        <w:t>nalysis</w:t>
      </w:r>
      <w:r w:rsidRPr="00BF7D3E">
        <w:rPr>
          <w:rFonts w:asciiTheme="majorHAnsi" w:hAnsiTheme="majorHAnsi" w:cstheme="majorHAnsi"/>
          <w:b/>
          <w:i/>
          <w:sz w:val="22"/>
          <w:szCs w:val="22"/>
        </w:rPr>
        <w:t xml:space="preserve"> </w:t>
      </w:r>
    </w:p>
    <w:p w14:paraId="4F16EB70" w14:textId="0569DEAF" w:rsidR="00AB774C" w:rsidRPr="00E03190" w:rsidRDefault="00EE44FE" w:rsidP="004B1B31">
      <w:pPr>
        <w:spacing w:line="480" w:lineRule="auto"/>
        <w:rPr>
          <w:rFonts w:asciiTheme="majorHAnsi" w:hAnsiTheme="majorHAnsi" w:cstheme="majorHAnsi"/>
          <w:sz w:val="22"/>
          <w:szCs w:val="22"/>
        </w:rPr>
      </w:pPr>
      <w:r w:rsidRPr="00B11CE5">
        <w:rPr>
          <w:rFonts w:asciiTheme="majorHAnsi" w:hAnsiTheme="majorHAnsi" w:cstheme="majorHAnsi"/>
          <w:sz w:val="22"/>
          <w:szCs w:val="22"/>
        </w:rPr>
        <w:lastRenderedPageBreak/>
        <w:t>We compared the</w:t>
      </w:r>
      <w:r w:rsidR="00ED0C10" w:rsidRPr="00B11CE5">
        <w:rPr>
          <w:rFonts w:asciiTheme="majorHAnsi" w:hAnsiTheme="majorHAnsi" w:cstheme="majorHAnsi"/>
          <w:sz w:val="22"/>
          <w:szCs w:val="22"/>
        </w:rPr>
        <w:t xml:space="preserve"> </w:t>
      </w:r>
      <w:r w:rsidR="00A16413">
        <w:rPr>
          <w:rFonts w:asciiTheme="majorHAnsi" w:hAnsiTheme="majorHAnsi" w:cstheme="majorHAnsi"/>
          <w:sz w:val="22"/>
          <w:szCs w:val="22"/>
        </w:rPr>
        <w:t>three</w:t>
      </w:r>
      <w:r w:rsidR="00ED0C10" w:rsidRPr="00B11CE5">
        <w:rPr>
          <w:rFonts w:asciiTheme="majorHAnsi" w:hAnsiTheme="majorHAnsi" w:cstheme="majorHAnsi"/>
          <w:sz w:val="22"/>
          <w:szCs w:val="22"/>
        </w:rPr>
        <w:t xml:space="preserve"> patients groups in terms of socio-demographic characteristics</w:t>
      </w:r>
      <w:r w:rsidR="00776809">
        <w:rPr>
          <w:rFonts w:asciiTheme="majorHAnsi" w:hAnsiTheme="majorHAnsi" w:cstheme="majorHAnsi"/>
          <w:sz w:val="22"/>
          <w:szCs w:val="22"/>
        </w:rPr>
        <w:t xml:space="preserve"> –</w:t>
      </w:r>
      <w:r w:rsidR="00ED0C10" w:rsidRPr="00B11CE5">
        <w:rPr>
          <w:rFonts w:asciiTheme="majorHAnsi" w:hAnsiTheme="majorHAnsi" w:cstheme="majorHAnsi"/>
          <w:sz w:val="22"/>
          <w:szCs w:val="22"/>
        </w:rPr>
        <w:t xml:space="preserve"> s</w:t>
      </w:r>
      <w:r w:rsidR="00AB774C" w:rsidRPr="00B11CE5">
        <w:rPr>
          <w:rFonts w:asciiTheme="majorHAnsi" w:hAnsiTheme="majorHAnsi" w:cstheme="majorHAnsi"/>
          <w:sz w:val="22"/>
          <w:szCs w:val="22"/>
        </w:rPr>
        <w:t xml:space="preserve">ex, age, migrant status, neighbourhood income quintile, rural residence, </w:t>
      </w:r>
      <w:r w:rsidR="00ED0C10" w:rsidRPr="00B11CE5">
        <w:rPr>
          <w:rFonts w:asciiTheme="majorHAnsi" w:hAnsiTheme="majorHAnsi" w:cstheme="majorHAnsi"/>
          <w:sz w:val="22"/>
          <w:szCs w:val="22"/>
        </w:rPr>
        <w:t xml:space="preserve">and </w:t>
      </w:r>
      <w:r w:rsidRPr="00B11CE5">
        <w:rPr>
          <w:rFonts w:asciiTheme="majorHAnsi" w:hAnsiTheme="majorHAnsi" w:cstheme="majorHAnsi"/>
          <w:sz w:val="22"/>
          <w:szCs w:val="22"/>
        </w:rPr>
        <w:t>administrative health region</w:t>
      </w:r>
      <w:r w:rsidR="00776809">
        <w:rPr>
          <w:rFonts w:asciiTheme="majorHAnsi" w:hAnsiTheme="majorHAnsi" w:cstheme="majorHAnsi"/>
          <w:sz w:val="22"/>
          <w:szCs w:val="22"/>
        </w:rPr>
        <w:t xml:space="preserve"> –</w:t>
      </w:r>
      <w:r w:rsidR="00ED0C10" w:rsidRPr="00B11CE5">
        <w:rPr>
          <w:rFonts w:asciiTheme="majorHAnsi" w:hAnsiTheme="majorHAnsi" w:cstheme="majorHAnsi"/>
          <w:sz w:val="22"/>
          <w:szCs w:val="22"/>
        </w:rPr>
        <w:t xml:space="preserve"> </w:t>
      </w:r>
      <w:r w:rsidR="00776809">
        <w:rPr>
          <w:rFonts w:asciiTheme="majorHAnsi" w:hAnsiTheme="majorHAnsi" w:cstheme="majorHAnsi"/>
          <w:sz w:val="22"/>
          <w:szCs w:val="22"/>
        </w:rPr>
        <w:t>and</w:t>
      </w:r>
      <w:r w:rsidR="00ED0C10" w:rsidRPr="00B11CE5">
        <w:rPr>
          <w:rFonts w:asciiTheme="majorHAnsi" w:hAnsiTheme="majorHAnsi" w:cstheme="majorHAnsi"/>
          <w:sz w:val="22"/>
          <w:szCs w:val="22"/>
        </w:rPr>
        <w:t xml:space="preserve"> </w:t>
      </w:r>
      <w:r w:rsidR="00AB774C" w:rsidRPr="00B11CE5">
        <w:rPr>
          <w:rFonts w:asciiTheme="majorHAnsi" w:hAnsiTheme="majorHAnsi" w:cstheme="majorHAnsi"/>
          <w:sz w:val="22"/>
          <w:szCs w:val="22"/>
        </w:rPr>
        <w:t>presence of chronic conditions</w:t>
      </w:r>
      <w:r w:rsidR="00BC3720">
        <w:rPr>
          <w:rFonts w:asciiTheme="majorHAnsi" w:hAnsiTheme="majorHAnsi" w:cstheme="majorHAnsi"/>
          <w:sz w:val="22"/>
          <w:szCs w:val="22"/>
        </w:rPr>
        <w:t xml:space="preserve"> –</w:t>
      </w:r>
      <w:r w:rsidR="00ED0C10" w:rsidRPr="00B11CE5">
        <w:rPr>
          <w:rFonts w:asciiTheme="majorHAnsi" w:hAnsiTheme="majorHAnsi" w:cstheme="majorHAnsi"/>
          <w:sz w:val="22"/>
          <w:szCs w:val="22"/>
        </w:rPr>
        <w:t xml:space="preserve"> </w:t>
      </w:r>
      <w:r w:rsidR="00AB774C" w:rsidRPr="00B11CE5">
        <w:rPr>
          <w:rFonts w:asciiTheme="majorHAnsi" w:hAnsiTheme="majorHAnsi" w:cstheme="majorHAnsi"/>
          <w:sz w:val="22"/>
          <w:szCs w:val="22"/>
        </w:rPr>
        <w:t xml:space="preserve">rheumatoid arthritis, </w:t>
      </w:r>
      <w:r w:rsidRPr="00B11CE5">
        <w:rPr>
          <w:rFonts w:asciiTheme="majorHAnsi" w:hAnsiTheme="majorHAnsi" w:cstheme="majorHAnsi"/>
          <w:sz w:val="22"/>
          <w:szCs w:val="22"/>
        </w:rPr>
        <w:t xml:space="preserve">asthma, </w:t>
      </w:r>
      <w:r w:rsidR="00AB774C" w:rsidRPr="00B11CE5">
        <w:rPr>
          <w:rFonts w:asciiTheme="majorHAnsi" w:hAnsiTheme="majorHAnsi" w:cstheme="majorHAnsi"/>
          <w:sz w:val="22"/>
          <w:szCs w:val="22"/>
        </w:rPr>
        <w:t>cancer, COPD, diabetes, HIV, hypertension, congestive heart failure, Crohn’s/colitis, myocardial infa</w:t>
      </w:r>
      <w:r w:rsidR="00ED0C10" w:rsidRPr="00B11CE5">
        <w:rPr>
          <w:rFonts w:asciiTheme="majorHAnsi" w:hAnsiTheme="majorHAnsi" w:cstheme="majorHAnsi"/>
          <w:sz w:val="22"/>
          <w:szCs w:val="22"/>
        </w:rPr>
        <w:t>rction, psychosis</w:t>
      </w:r>
      <w:r w:rsidR="009A1C30">
        <w:rPr>
          <w:rFonts w:asciiTheme="majorHAnsi" w:hAnsiTheme="majorHAnsi" w:cstheme="majorHAnsi"/>
          <w:sz w:val="22"/>
          <w:szCs w:val="22"/>
        </w:rPr>
        <w:t>,</w:t>
      </w:r>
      <w:r w:rsidR="009A1C30" w:rsidRPr="009A1C30">
        <w:rPr>
          <w:rFonts w:asciiTheme="majorHAnsi" w:hAnsiTheme="majorHAnsi" w:cstheme="majorHAnsi"/>
          <w:sz w:val="22"/>
          <w:szCs w:val="22"/>
        </w:rPr>
        <w:t xml:space="preserve"> </w:t>
      </w:r>
      <w:r w:rsidR="009A1C30" w:rsidRPr="00B11CE5">
        <w:rPr>
          <w:rFonts w:asciiTheme="majorHAnsi" w:hAnsiTheme="majorHAnsi" w:cstheme="majorHAnsi"/>
          <w:sz w:val="22"/>
          <w:szCs w:val="22"/>
        </w:rPr>
        <w:t>and dementia</w:t>
      </w:r>
      <w:r w:rsidR="00BC3720">
        <w:rPr>
          <w:rFonts w:asciiTheme="majorHAnsi" w:hAnsiTheme="majorHAnsi" w:cstheme="majorHAnsi"/>
          <w:sz w:val="22"/>
          <w:szCs w:val="22"/>
        </w:rPr>
        <w:t xml:space="preserve"> –</w:t>
      </w:r>
      <w:r w:rsidR="00943DA1" w:rsidRPr="00B11CE5">
        <w:rPr>
          <w:rFonts w:asciiTheme="majorHAnsi" w:hAnsiTheme="majorHAnsi" w:cstheme="majorHAnsi"/>
          <w:sz w:val="22"/>
          <w:szCs w:val="22"/>
        </w:rPr>
        <w:t xml:space="preserve"> which we</w:t>
      </w:r>
      <w:r w:rsidRPr="00B11CE5">
        <w:rPr>
          <w:rFonts w:asciiTheme="majorHAnsi" w:hAnsiTheme="majorHAnsi" w:cstheme="majorHAnsi"/>
          <w:sz w:val="22"/>
          <w:szCs w:val="22"/>
        </w:rPr>
        <w:t>re</w:t>
      </w:r>
      <w:r w:rsidR="00ED0C10" w:rsidRPr="00B11CE5">
        <w:rPr>
          <w:rFonts w:asciiTheme="majorHAnsi" w:hAnsiTheme="majorHAnsi" w:cstheme="majorHAnsi"/>
          <w:sz w:val="22"/>
          <w:szCs w:val="22"/>
        </w:rPr>
        <w:t xml:space="preserve"> </w:t>
      </w:r>
      <w:r w:rsidR="00585089" w:rsidRPr="00B11CE5">
        <w:rPr>
          <w:rFonts w:asciiTheme="majorHAnsi" w:hAnsiTheme="majorHAnsi" w:cstheme="majorHAnsi"/>
          <w:sz w:val="22"/>
          <w:szCs w:val="22"/>
        </w:rPr>
        <w:t>determined either through</w:t>
      </w:r>
      <w:r w:rsidR="00ED0C10" w:rsidRPr="00B11CE5">
        <w:rPr>
          <w:rFonts w:asciiTheme="majorHAnsi" w:hAnsiTheme="majorHAnsi" w:cstheme="majorHAnsi"/>
          <w:sz w:val="22"/>
          <w:szCs w:val="22"/>
        </w:rPr>
        <w:t xml:space="preserve"> disease registries, </w:t>
      </w:r>
      <w:r w:rsidR="00776809">
        <w:rPr>
          <w:rFonts w:asciiTheme="majorHAnsi" w:hAnsiTheme="majorHAnsi" w:cstheme="majorHAnsi"/>
          <w:sz w:val="22"/>
          <w:szCs w:val="22"/>
        </w:rPr>
        <w:t>(e.g.</w:t>
      </w:r>
      <w:r w:rsidR="00ED0C10" w:rsidRPr="00B11CE5">
        <w:rPr>
          <w:rFonts w:asciiTheme="majorHAnsi" w:hAnsiTheme="majorHAnsi" w:cstheme="majorHAnsi"/>
          <w:sz w:val="22"/>
          <w:szCs w:val="22"/>
        </w:rPr>
        <w:t xml:space="preserve"> Ontario Cancer Registry</w:t>
      </w:r>
      <w:r w:rsidR="00776809">
        <w:rPr>
          <w:rFonts w:asciiTheme="majorHAnsi" w:hAnsiTheme="majorHAnsi" w:cstheme="majorHAnsi"/>
          <w:sz w:val="22"/>
          <w:szCs w:val="22"/>
        </w:rPr>
        <w:t>)</w:t>
      </w:r>
      <w:r w:rsidR="00ED0C10" w:rsidRPr="00B11CE5">
        <w:rPr>
          <w:rFonts w:asciiTheme="majorHAnsi" w:hAnsiTheme="majorHAnsi" w:cstheme="majorHAnsi"/>
          <w:sz w:val="22"/>
          <w:szCs w:val="22"/>
        </w:rPr>
        <w:t xml:space="preserve">, </w:t>
      </w:r>
      <w:r w:rsidR="00585089" w:rsidRPr="00B11CE5">
        <w:rPr>
          <w:rFonts w:asciiTheme="majorHAnsi" w:hAnsiTheme="majorHAnsi" w:cstheme="majorHAnsi"/>
          <w:sz w:val="22"/>
          <w:szCs w:val="22"/>
        </w:rPr>
        <w:t>or</w:t>
      </w:r>
      <w:r w:rsidR="00ED0C10" w:rsidRPr="00B11CE5">
        <w:rPr>
          <w:rFonts w:asciiTheme="majorHAnsi" w:hAnsiTheme="majorHAnsi" w:cstheme="majorHAnsi"/>
          <w:sz w:val="22"/>
          <w:szCs w:val="22"/>
        </w:rPr>
        <w:t xml:space="preserve"> validated algorithms.</w:t>
      </w:r>
      <w:r w:rsidR="009A4AF0" w:rsidRPr="00B11CE5">
        <w:rPr>
          <w:rFonts w:asciiTheme="majorHAnsi" w:hAnsiTheme="majorHAnsi" w:cstheme="majorHAnsi"/>
          <w:sz w:val="22"/>
          <w:szCs w:val="22"/>
          <w:vertAlign w:val="superscript"/>
        </w:rPr>
        <w:t>1</w:t>
      </w:r>
      <w:r w:rsidR="00F45CF5">
        <w:rPr>
          <w:rFonts w:asciiTheme="majorHAnsi" w:hAnsiTheme="majorHAnsi" w:cstheme="majorHAnsi"/>
          <w:sz w:val="22"/>
          <w:szCs w:val="22"/>
          <w:vertAlign w:val="superscript"/>
        </w:rPr>
        <w:t>4</w:t>
      </w:r>
      <w:r w:rsidR="009A4AF0" w:rsidRPr="00B11CE5">
        <w:rPr>
          <w:rFonts w:asciiTheme="majorHAnsi" w:hAnsiTheme="majorHAnsi" w:cstheme="majorHAnsi"/>
          <w:sz w:val="22"/>
          <w:szCs w:val="22"/>
          <w:vertAlign w:val="superscript"/>
        </w:rPr>
        <w:t>-2</w:t>
      </w:r>
      <w:r w:rsidR="00F45CF5">
        <w:rPr>
          <w:rFonts w:asciiTheme="majorHAnsi" w:hAnsiTheme="majorHAnsi" w:cstheme="majorHAnsi"/>
          <w:sz w:val="22"/>
          <w:szCs w:val="22"/>
          <w:vertAlign w:val="superscript"/>
        </w:rPr>
        <w:t>5</w:t>
      </w:r>
      <w:r w:rsidR="00ED0C10" w:rsidRPr="00B11CE5">
        <w:rPr>
          <w:rFonts w:asciiTheme="majorHAnsi" w:hAnsiTheme="majorHAnsi" w:cstheme="majorHAnsi"/>
          <w:sz w:val="22"/>
          <w:szCs w:val="22"/>
        </w:rPr>
        <w:t xml:space="preserve"> </w:t>
      </w:r>
      <w:r w:rsidR="00E149DB">
        <w:rPr>
          <w:rFonts w:asciiTheme="majorHAnsi" w:hAnsiTheme="majorHAnsi" w:cstheme="majorHAnsi"/>
          <w:sz w:val="22"/>
          <w:szCs w:val="22"/>
        </w:rPr>
        <w:t>Given the lack of other relevant psychiatric chronic conditions</w:t>
      </w:r>
      <w:r w:rsidR="00585089" w:rsidRPr="00B11CE5">
        <w:rPr>
          <w:rFonts w:asciiTheme="majorHAnsi" w:hAnsiTheme="majorHAnsi" w:cstheme="majorHAnsi"/>
          <w:sz w:val="22"/>
          <w:szCs w:val="22"/>
        </w:rPr>
        <w:t xml:space="preserve">, </w:t>
      </w:r>
      <w:r w:rsidR="00322C91" w:rsidRPr="00B11CE5">
        <w:rPr>
          <w:rFonts w:asciiTheme="majorHAnsi" w:hAnsiTheme="majorHAnsi" w:cstheme="majorHAnsi"/>
          <w:sz w:val="22"/>
          <w:szCs w:val="22"/>
        </w:rPr>
        <w:t>we attempted to determine</w:t>
      </w:r>
      <w:r w:rsidR="00585089" w:rsidRPr="00B11CE5">
        <w:rPr>
          <w:rFonts w:asciiTheme="majorHAnsi" w:hAnsiTheme="majorHAnsi" w:cstheme="majorHAnsi"/>
          <w:sz w:val="22"/>
          <w:szCs w:val="22"/>
        </w:rPr>
        <w:t xml:space="preserve"> the presence of </w:t>
      </w:r>
      <w:r w:rsidR="00DC6300" w:rsidRPr="00B11CE5">
        <w:rPr>
          <w:rFonts w:asciiTheme="majorHAnsi" w:hAnsiTheme="majorHAnsi" w:cstheme="majorHAnsi"/>
          <w:sz w:val="22"/>
          <w:szCs w:val="22"/>
        </w:rPr>
        <w:t>mood</w:t>
      </w:r>
      <w:r w:rsidR="002563A6" w:rsidRPr="00B11CE5">
        <w:rPr>
          <w:rFonts w:asciiTheme="majorHAnsi" w:hAnsiTheme="majorHAnsi" w:cstheme="majorHAnsi"/>
          <w:sz w:val="22"/>
          <w:szCs w:val="22"/>
        </w:rPr>
        <w:t xml:space="preserve"> </w:t>
      </w:r>
      <w:r w:rsidR="00DC6300" w:rsidRPr="00B11CE5">
        <w:rPr>
          <w:rFonts w:asciiTheme="majorHAnsi" w:hAnsiTheme="majorHAnsi" w:cstheme="majorHAnsi"/>
          <w:sz w:val="22"/>
          <w:szCs w:val="22"/>
        </w:rPr>
        <w:t>disorder</w:t>
      </w:r>
      <w:r w:rsidR="002563A6" w:rsidRPr="00B11CE5">
        <w:rPr>
          <w:rFonts w:asciiTheme="majorHAnsi" w:hAnsiTheme="majorHAnsi" w:cstheme="majorHAnsi"/>
          <w:sz w:val="22"/>
          <w:szCs w:val="22"/>
        </w:rPr>
        <w:t>s</w:t>
      </w:r>
      <w:r w:rsidR="00DC6300" w:rsidRPr="00B11CE5">
        <w:rPr>
          <w:rFonts w:asciiTheme="majorHAnsi" w:hAnsiTheme="majorHAnsi" w:cstheme="majorHAnsi"/>
          <w:sz w:val="22"/>
          <w:szCs w:val="22"/>
        </w:rPr>
        <w:t xml:space="preserve"> </w:t>
      </w:r>
      <w:r w:rsidR="00685887" w:rsidRPr="00B11CE5">
        <w:rPr>
          <w:rFonts w:asciiTheme="majorHAnsi" w:hAnsiTheme="majorHAnsi" w:cstheme="majorHAnsi"/>
          <w:sz w:val="22"/>
          <w:szCs w:val="22"/>
        </w:rPr>
        <w:t>using</w:t>
      </w:r>
      <w:r w:rsidR="00992C68" w:rsidRPr="00B11CE5">
        <w:rPr>
          <w:rFonts w:asciiTheme="majorHAnsi" w:hAnsiTheme="majorHAnsi" w:cstheme="majorHAnsi"/>
          <w:sz w:val="22"/>
          <w:szCs w:val="22"/>
        </w:rPr>
        <w:t xml:space="preserve"> at least one</w:t>
      </w:r>
      <w:r w:rsidR="00685887" w:rsidRPr="00B11CE5">
        <w:rPr>
          <w:rFonts w:asciiTheme="majorHAnsi" w:hAnsiTheme="majorHAnsi" w:cstheme="majorHAnsi"/>
          <w:sz w:val="22"/>
          <w:szCs w:val="22"/>
        </w:rPr>
        <w:t xml:space="preserve"> hospitali</w:t>
      </w:r>
      <w:r w:rsidR="00776809">
        <w:rPr>
          <w:rFonts w:asciiTheme="majorHAnsi" w:hAnsiTheme="majorHAnsi" w:cstheme="majorHAnsi"/>
          <w:sz w:val="22"/>
          <w:szCs w:val="22"/>
        </w:rPr>
        <w:t>z</w:t>
      </w:r>
      <w:r w:rsidR="00685887" w:rsidRPr="00B11CE5">
        <w:rPr>
          <w:rFonts w:asciiTheme="majorHAnsi" w:hAnsiTheme="majorHAnsi" w:cstheme="majorHAnsi"/>
          <w:sz w:val="22"/>
          <w:szCs w:val="22"/>
        </w:rPr>
        <w:t>ation</w:t>
      </w:r>
      <w:r w:rsidR="00322C91" w:rsidRPr="00B11CE5">
        <w:rPr>
          <w:rFonts w:asciiTheme="majorHAnsi" w:hAnsiTheme="majorHAnsi" w:cstheme="majorHAnsi"/>
          <w:sz w:val="22"/>
          <w:szCs w:val="22"/>
        </w:rPr>
        <w:t xml:space="preserve"> record (</w:t>
      </w:r>
      <w:r w:rsidR="00D93659">
        <w:rPr>
          <w:rFonts w:asciiTheme="majorHAnsi" w:hAnsiTheme="majorHAnsi" w:cstheme="majorHAnsi"/>
          <w:sz w:val="22"/>
          <w:szCs w:val="22"/>
        </w:rPr>
        <w:t xml:space="preserve">with </w:t>
      </w:r>
      <w:r w:rsidR="002563A6" w:rsidRPr="00B11CE5">
        <w:rPr>
          <w:rFonts w:asciiTheme="majorHAnsi" w:hAnsiTheme="majorHAnsi" w:cstheme="majorHAnsi"/>
          <w:sz w:val="22"/>
          <w:szCs w:val="22"/>
        </w:rPr>
        <w:t>ICD-10</w:t>
      </w:r>
      <w:r w:rsidR="00237B7B" w:rsidRPr="00B11CE5">
        <w:rPr>
          <w:rFonts w:asciiTheme="majorHAnsi" w:hAnsiTheme="majorHAnsi" w:cstheme="majorHAnsi"/>
          <w:sz w:val="22"/>
          <w:szCs w:val="22"/>
        </w:rPr>
        <w:t xml:space="preserve"> codes</w:t>
      </w:r>
      <w:r w:rsidR="002563A6" w:rsidRPr="00B11CE5">
        <w:rPr>
          <w:rFonts w:asciiTheme="majorHAnsi" w:hAnsiTheme="majorHAnsi" w:cstheme="majorHAnsi"/>
          <w:sz w:val="22"/>
          <w:szCs w:val="22"/>
        </w:rPr>
        <w:t xml:space="preserve"> F30, F31, F32, F33, F34, F38, F39, F53.0</w:t>
      </w:r>
      <w:r w:rsidR="00D93659">
        <w:rPr>
          <w:rFonts w:asciiTheme="majorHAnsi" w:hAnsiTheme="majorHAnsi" w:cstheme="majorHAnsi"/>
          <w:sz w:val="22"/>
          <w:szCs w:val="22"/>
        </w:rPr>
        <w:t xml:space="preserve"> and</w:t>
      </w:r>
      <w:r w:rsidR="002563A6" w:rsidRPr="00B11CE5">
        <w:rPr>
          <w:rFonts w:asciiTheme="majorHAnsi" w:hAnsiTheme="majorHAnsi" w:cstheme="majorHAnsi"/>
          <w:sz w:val="22"/>
          <w:szCs w:val="22"/>
        </w:rPr>
        <w:t xml:space="preserve"> DSM-IV</w:t>
      </w:r>
      <w:r w:rsidR="00237B7B" w:rsidRPr="00B11CE5">
        <w:rPr>
          <w:rFonts w:asciiTheme="majorHAnsi" w:hAnsiTheme="majorHAnsi" w:cstheme="majorHAnsi"/>
          <w:sz w:val="22"/>
          <w:szCs w:val="22"/>
        </w:rPr>
        <w:t xml:space="preserve"> codes</w:t>
      </w:r>
      <w:r w:rsidR="002563A6" w:rsidRPr="00B11CE5">
        <w:rPr>
          <w:rFonts w:asciiTheme="majorHAnsi" w:hAnsiTheme="majorHAnsi" w:cstheme="majorHAnsi"/>
          <w:sz w:val="22"/>
          <w:szCs w:val="22"/>
        </w:rPr>
        <w:t xml:space="preserve"> 296.x, 300.4x, 301.13</w:t>
      </w:r>
      <w:r w:rsidR="00322C91" w:rsidRPr="00B11CE5">
        <w:rPr>
          <w:rFonts w:asciiTheme="majorHAnsi" w:hAnsiTheme="majorHAnsi" w:cstheme="majorHAnsi"/>
          <w:sz w:val="22"/>
          <w:szCs w:val="22"/>
        </w:rPr>
        <w:t>) and</w:t>
      </w:r>
      <w:r w:rsidR="00992C68" w:rsidRPr="00B11CE5">
        <w:rPr>
          <w:rFonts w:asciiTheme="majorHAnsi" w:hAnsiTheme="majorHAnsi" w:cstheme="majorHAnsi"/>
          <w:sz w:val="22"/>
          <w:szCs w:val="22"/>
        </w:rPr>
        <w:t>/or two</w:t>
      </w:r>
      <w:r w:rsidR="00322C91" w:rsidRPr="00B11CE5">
        <w:rPr>
          <w:rFonts w:asciiTheme="majorHAnsi" w:hAnsiTheme="majorHAnsi" w:cstheme="majorHAnsi"/>
          <w:sz w:val="22"/>
          <w:szCs w:val="22"/>
        </w:rPr>
        <w:t xml:space="preserve"> physician billings </w:t>
      </w:r>
      <w:r w:rsidR="002563A6" w:rsidRPr="00B11CE5">
        <w:rPr>
          <w:rFonts w:asciiTheme="majorHAnsi" w:hAnsiTheme="majorHAnsi" w:cstheme="majorHAnsi"/>
          <w:sz w:val="22"/>
          <w:szCs w:val="22"/>
        </w:rPr>
        <w:t>(</w:t>
      </w:r>
      <w:r w:rsidR="00D93659">
        <w:rPr>
          <w:rFonts w:asciiTheme="majorHAnsi" w:hAnsiTheme="majorHAnsi" w:cstheme="majorHAnsi"/>
          <w:sz w:val="22"/>
          <w:szCs w:val="22"/>
        </w:rPr>
        <w:t xml:space="preserve">with </w:t>
      </w:r>
      <w:r w:rsidRPr="00B11CE5">
        <w:rPr>
          <w:rFonts w:asciiTheme="majorHAnsi" w:hAnsiTheme="majorHAnsi" w:cstheme="majorHAnsi"/>
          <w:sz w:val="22"/>
          <w:szCs w:val="22"/>
        </w:rPr>
        <w:t>diagnostic</w:t>
      </w:r>
      <w:r w:rsidRPr="00E03190">
        <w:rPr>
          <w:rFonts w:asciiTheme="majorHAnsi" w:hAnsiTheme="majorHAnsi" w:cstheme="majorHAnsi"/>
          <w:sz w:val="22"/>
          <w:szCs w:val="22"/>
        </w:rPr>
        <w:t xml:space="preserve"> billing </w:t>
      </w:r>
      <w:r w:rsidR="002563A6" w:rsidRPr="00E03190">
        <w:rPr>
          <w:rFonts w:asciiTheme="majorHAnsi" w:hAnsiTheme="majorHAnsi" w:cstheme="majorHAnsi"/>
          <w:sz w:val="22"/>
          <w:szCs w:val="22"/>
        </w:rPr>
        <w:t xml:space="preserve">code 311 </w:t>
      </w:r>
      <w:r w:rsidR="00D93659">
        <w:rPr>
          <w:rFonts w:asciiTheme="majorHAnsi" w:hAnsiTheme="majorHAnsi" w:cstheme="majorHAnsi"/>
          <w:sz w:val="22"/>
          <w:szCs w:val="22"/>
        </w:rPr>
        <w:t>for</w:t>
      </w:r>
      <w:r w:rsidR="002563A6" w:rsidRPr="00E03190">
        <w:rPr>
          <w:rFonts w:asciiTheme="majorHAnsi" w:hAnsiTheme="majorHAnsi" w:cstheme="majorHAnsi"/>
          <w:sz w:val="22"/>
          <w:szCs w:val="22"/>
        </w:rPr>
        <w:t xml:space="preserve"> depressive or other non-psychotic disorders, not elsewhere classified</w:t>
      </w:r>
      <w:r w:rsidR="00322C91" w:rsidRPr="00E03190">
        <w:rPr>
          <w:rFonts w:asciiTheme="majorHAnsi" w:hAnsiTheme="majorHAnsi" w:cstheme="majorHAnsi"/>
          <w:sz w:val="22"/>
          <w:szCs w:val="22"/>
        </w:rPr>
        <w:t xml:space="preserve">) within a </w:t>
      </w:r>
      <w:r w:rsidR="000F196A">
        <w:rPr>
          <w:rFonts w:asciiTheme="majorHAnsi" w:hAnsiTheme="majorHAnsi" w:cstheme="majorHAnsi"/>
          <w:sz w:val="22"/>
          <w:szCs w:val="22"/>
        </w:rPr>
        <w:t>one</w:t>
      </w:r>
      <w:r w:rsidR="00322C91" w:rsidRPr="00E03190">
        <w:rPr>
          <w:rFonts w:asciiTheme="majorHAnsi" w:hAnsiTheme="majorHAnsi" w:cstheme="majorHAnsi"/>
          <w:sz w:val="22"/>
          <w:szCs w:val="22"/>
        </w:rPr>
        <w:t xml:space="preserve">-year period. </w:t>
      </w:r>
      <w:r w:rsidR="002563A6" w:rsidRPr="00E03190">
        <w:rPr>
          <w:rFonts w:asciiTheme="majorHAnsi" w:hAnsiTheme="majorHAnsi" w:cstheme="majorHAnsi"/>
          <w:sz w:val="22"/>
          <w:szCs w:val="22"/>
        </w:rPr>
        <w:t>T</w:t>
      </w:r>
      <w:r w:rsidR="00322C91" w:rsidRPr="00E03190">
        <w:rPr>
          <w:rFonts w:asciiTheme="majorHAnsi" w:hAnsiTheme="majorHAnsi" w:cstheme="majorHAnsi"/>
          <w:sz w:val="22"/>
          <w:szCs w:val="22"/>
        </w:rPr>
        <w:t>his al</w:t>
      </w:r>
      <w:r w:rsidR="002563A6" w:rsidRPr="00E03190">
        <w:rPr>
          <w:rFonts w:asciiTheme="majorHAnsi" w:hAnsiTheme="majorHAnsi" w:cstheme="majorHAnsi"/>
          <w:sz w:val="22"/>
          <w:szCs w:val="22"/>
        </w:rPr>
        <w:t xml:space="preserve">gorithm has not been validated; </w:t>
      </w:r>
      <w:r w:rsidR="009C12CF">
        <w:rPr>
          <w:rFonts w:asciiTheme="majorHAnsi" w:hAnsiTheme="majorHAnsi" w:cstheme="majorHAnsi"/>
          <w:sz w:val="22"/>
          <w:szCs w:val="22"/>
        </w:rPr>
        <w:t>therefore</w:t>
      </w:r>
      <w:r w:rsidR="002563A6" w:rsidRPr="00E03190">
        <w:rPr>
          <w:rFonts w:asciiTheme="majorHAnsi" w:hAnsiTheme="majorHAnsi" w:cstheme="majorHAnsi"/>
          <w:sz w:val="22"/>
          <w:szCs w:val="22"/>
        </w:rPr>
        <w:t xml:space="preserve">, </w:t>
      </w:r>
      <w:r w:rsidR="009A1C30">
        <w:rPr>
          <w:rFonts w:asciiTheme="majorHAnsi" w:hAnsiTheme="majorHAnsi" w:cstheme="majorHAnsi"/>
          <w:sz w:val="22"/>
          <w:szCs w:val="22"/>
        </w:rPr>
        <w:t xml:space="preserve">it was </w:t>
      </w:r>
      <w:r w:rsidR="00322C91" w:rsidRPr="00E03190">
        <w:rPr>
          <w:rFonts w:asciiTheme="majorHAnsi" w:hAnsiTheme="majorHAnsi" w:cstheme="majorHAnsi"/>
          <w:sz w:val="22"/>
          <w:szCs w:val="22"/>
        </w:rPr>
        <w:t xml:space="preserve">only </w:t>
      </w:r>
      <w:r w:rsidR="00943DA1" w:rsidRPr="00E03190">
        <w:rPr>
          <w:rFonts w:asciiTheme="majorHAnsi" w:hAnsiTheme="majorHAnsi" w:cstheme="majorHAnsi"/>
          <w:sz w:val="22"/>
          <w:szCs w:val="22"/>
        </w:rPr>
        <w:t>considered</w:t>
      </w:r>
      <w:r w:rsidR="00322C91" w:rsidRPr="00E03190">
        <w:rPr>
          <w:rFonts w:asciiTheme="majorHAnsi" w:hAnsiTheme="majorHAnsi" w:cstheme="majorHAnsi"/>
          <w:sz w:val="22"/>
          <w:szCs w:val="22"/>
        </w:rPr>
        <w:t xml:space="preserve"> in </w:t>
      </w:r>
      <w:r w:rsidR="00943DA1" w:rsidRPr="00E03190">
        <w:rPr>
          <w:rFonts w:asciiTheme="majorHAnsi" w:hAnsiTheme="majorHAnsi" w:cstheme="majorHAnsi"/>
          <w:sz w:val="22"/>
          <w:szCs w:val="22"/>
        </w:rPr>
        <w:t>a</w:t>
      </w:r>
      <w:r w:rsidR="00322C91" w:rsidRPr="00E03190">
        <w:rPr>
          <w:rFonts w:asciiTheme="majorHAnsi" w:hAnsiTheme="majorHAnsi" w:cstheme="majorHAnsi"/>
          <w:sz w:val="22"/>
          <w:szCs w:val="22"/>
        </w:rPr>
        <w:t xml:space="preserve"> sensitivity anal</w:t>
      </w:r>
      <w:r w:rsidR="00943DA1" w:rsidRPr="00E03190">
        <w:rPr>
          <w:rFonts w:asciiTheme="majorHAnsi" w:hAnsiTheme="majorHAnsi" w:cstheme="majorHAnsi"/>
          <w:sz w:val="22"/>
          <w:szCs w:val="22"/>
        </w:rPr>
        <w:t>ysi</w:t>
      </w:r>
      <w:r w:rsidR="00322C91" w:rsidRPr="00E03190">
        <w:rPr>
          <w:rFonts w:asciiTheme="majorHAnsi" w:hAnsiTheme="majorHAnsi" w:cstheme="majorHAnsi"/>
          <w:sz w:val="22"/>
          <w:szCs w:val="22"/>
        </w:rPr>
        <w:t>s.</w:t>
      </w:r>
    </w:p>
    <w:p w14:paraId="55E4D6F5" w14:textId="77777777" w:rsidR="00770A9C" w:rsidRPr="00E03190" w:rsidRDefault="00770A9C" w:rsidP="004B1B31">
      <w:pPr>
        <w:spacing w:line="480" w:lineRule="auto"/>
        <w:rPr>
          <w:rFonts w:asciiTheme="majorHAnsi" w:hAnsiTheme="majorHAnsi" w:cstheme="majorHAnsi"/>
          <w:sz w:val="22"/>
          <w:szCs w:val="22"/>
        </w:rPr>
      </w:pPr>
    </w:p>
    <w:p w14:paraId="15491878" w14:textId="23217E5C" w:rsidR="00322C91" w:rsidRDefault="00111B0A" w:rsidP="004B1B31">
      <w:pPr>
        <w:spacing w:line="480" w:lineRule="auto"/>
        <w:rPr>
          <w:rFonts w:asciiTheme="majorHAnsi" w:hAnsiTheme="majorHAnsi" w:cstheme="majorHAnsi"/>
          <w:sz w:val="22"/>
          <w:szCs w:val="22"/>
        </w:rPr>
      </w:pPr>
      <w:r>
        <w:rPr>
          <w:rFonts w:asciiTheme="majorHAnsi" w:hAnsiTheme="majorHAnsi" w:cstheme="majorHAnsi"/>
          <w:sz w:val="22"/>
          <w:szCs w:val="22"/>
        </w:rPr>
        <w:t>Cost analyses are described in the Appendix.</w:t>
      </w:r>
      <w:r w:rsidR="00213A3E">
        <w:rPr>
          <w:rFonts w:asciiTheme="majorHAnsi" w:hAnsiTheme="majorHAnsi" w:cstheme="majorHAnsi"/>
          <w:sz w:val="22"/>
          <w:szCs w:val="22"/>
        </w:rPr>
        <w:t xml:space="preserve"> </w:t>
      </w:r>
      <w:r w:rsidR="00317395">
        <w:rPr>
          <w:rFonts w:asciiTheme="majorHAnsi" w:hAnsiTheme="majorHAnsi" w:cstheme="majorHAnsi"/>
          <w:sz w:val="22"/>
          <w:szCs w:val="22"/>
        </w:rPr>
        <w:t>A</w:t>
      </w:r>
      <w:r w:rsidR="00E218E7">
        <w:rPr>
          <w:rFonts w:asciiTheme="majorHAnsi" w:hAnsiTheme="majorHAnsi" w:cstheme="majorHAnsi"/>
          <w:sz w:val="22"/>
          <w:szCs w:val="22"/>
        </w:rPr>
        <w:t xml:space="preserve"> trends analysis of costs over time </w:t>
      </w:r>
      <w:r w:rsidR="00F73283">
        <w:rPr>
          <w:rFonts w:asciiTheme="majorHAnsi" w:hAnsiTheme="majorHAnsi" w:cstheme="majorHAnsi"/>
          <w:sz w:val="22"/>
          <w:szCs w:val="22"/>
        </w:rPr>
        <w:t xml:space="preserve">was undertaken </w:t>
      </w:r>
      <w:r w:rsidR="00F73283" w:rsidRPr="00F73283">
        <w:rPr>
          <w:rFonts w:ascii="Calibri" w:eastAsia="Times New Roman" w:hAnsi="Calibri" w:cs="Times New Roman"/>
          <w:sz w:val="22"/>
          <w:szCs w:val="22"/>
        </w:rPr>
        <w:t xml:space="preserve">using linear regression </w:t>
      </w:r>
      <w:r w:rsidR="00437CFB">
        <w:rPr>
          <w:rFonts w:ascii="Calibri" w:eastAsia="Times New Roman" w:hAnsi="Calibri" w:cs="Times New Roman"/>
          <w:sz w:val="22"/>
          <w:szCs w:val="22"/>
        </w:rPr>
        <w:t>with a time trend for each patient group</w:t>
      </w:r>
      <w:r w:rsidR="00F73283" w:rsidRPr="00F73283">
        <w:rPr>
          <w:rFonts w:ascii="Calibri" w:eastAsia="Times New Roman" w:hAnsi="Calibri" w:cs="Times New Roman"/>
          <w:sz w:val="22"/>
          <w:szCs w:val="22"/>
        </w:rPr>
        <w:t>.</w:t>
      </w:r>
      <w:r w:rsidR="00F73283" w:rsidRPr="00343BFB">
        <w:rPr>
          <w:rFonts w:ascii="Times New Roman" w:eastAsia="Times New Roman" w:hAnsi="Times New Roman" w:cs="Times New Roman"/>
        </w:rPr>
        <w:t xml:space="preserve"> </w:t>
      </w:r>
      <w:r>
        <w:rPr>
          <w:rFonts w:asciiTheme="majorHAnsi" w:hAnsiTheme="majorHAnsi" w:cstheme="majorHAnsi"/>
          <w:sz w:val="22"/>
          <w:szCs w:val="22"/>
        </w:rPr>
        <w:t>W</w:t>
      </w:r>
      <w:r w:rsidR="00CD1608" w:rsidRPr="00B11CE5">
        <w:rPr>
          <w:rFonts w:asciiTheme="majorHAnsi" w:hAnsiTheme="majorHAnsi" w:cstheme="majorHAnsi"/>
          <w:sz w:val="22"/>
          <w:szCs w:val="22"/>
        </w:rPr>
        <w:t>e</w:t>
      </w:r>
      <w:r w:rsidR="00FC300D" w:rsidRPr="00B11CE5">
        <w:rPr>
          <w:rFonts w:asciiTheme="majorHAnsi" w:hAnsiTheme="majorHAnsi" w:cstheme="majorHAnsi"/>
          <w:sz w:val="22"/>
          <w:szCs w:val="22"/>
        </w:rPr>
        <w:t xml:space="preserve"> estimated </w:t>
      </w:r>
      <w:r w:rsidR="00A10588" w:rsidRPr="00B11CE5">
        <w:rPr>
          <w:rFonts w:asciiTheme="majorHAnsi" w:hAnsiTheme="majorHAnsi" w:cstheme="majorHAnsi"/>
          <w:sz w:val="22"/>
          <w:szCs w:val="22"/>
        </w:rPr>
        <w:t>a multinomial</w:t>
      </w:r>
      <w:r w:rsidR="00451284">
        <w:rPr>
          <w:rFonts w:asciiTheme="majorHAnsi" w:hAnsiTheme="majorHAnsi" w:cstheme="majorHAnsi"/>
          <w:sz w:val="22"/>
          <w:szCs w:val="22"/>
        </w:rPr>
        <w:t xml:space="preserve"> logistic</w:t>
      </w:r>
      <w:r w:rsidR="00A10588" w:rsidRPr="00B11CE5">
        <w:rPr>
          <w:rFonts w:asciiTheme="majorHAnsi" w:hAnsiTheme="majorHAnsi" w:cstheme="majorHAnsi"/>
          <w:sz w:val="22"/>
          <w:szCs w:val="22"/>
        </w:rPr>
        <w:t xml:space="preserve"> regression model</w:t>
      </w:r>
      <w:r w:rsidR="00F45CF5">
        <w:rPr>
          <w:rFonts w:asciiTheme="majorHAnsi" w:hAnsiTheme="majorHAnsi" w:cstheme="majorHAnsi"/>
          <w:sz w:val="22"/>
          <w:szCs w:val="22"/>
          <w:vertAlign w:val="superscript"/>
        </w:rPr>
        <w:t>26,27</w:t>
      </w:r>
      <w:r w:rsidR="00FC300D" w:rsidRPr="00B11CE5">
        <w:rPr>
          <w:rFonts w:asciiTheme="majorHAnsi" w:hAnsiTheme="majorHAnsi" w:cstheme="majorHAnsi"/>
          <w:sz w:val="22"/>
          <w:szCs w:val="22"/>
        </w:rPr>
        <w:t xml:space="preserve"> </w:t>
      </w:r>
      <w:r w:rsidR="004C3818" w:rsidRPr="00B11CE5">
        <w:rPr>
          <w:rFonts w:asciiTheme="majorHAnsi" w:hAnsiTheme="majorHAnsi" w:cstheme="majorHAnsi"/>
          <w:sz w:val="22"/>
          <w:szCs w:val="22"/>
        </w:rPr>
        <w:t>on the pooled data</w:t>
      </w:r>
      <w:r w:rsidR="00154261">
        <w:rPr>
          <w:rFonts w:asciiTheme="majorHAnsi" w:hAnsiTheme="majorHAnsi" w:cstheme="majorHAnsi"/>
          <w:sz w:val="22"/>
          <w:szCs w:val="22"/>
        </w:rPr>
        <w:t xml:space="preserve"> (i.e., all eight years of data combined)</w:t>
      </w:r>
      <w:r w:rsidR="004C3818" w:rsidRPr="00B11CE5">
        <w:rPr>
          <w:rFonts w:asciiTheme="majorHAnsi" w:hAnsiTheme="majorHAnsi" w:cstheme="majorHAnsi"/>
          <w:sz w:val="22"/>
          <w:szCs w:val="22"/>
        </w:rPr>
        <w:t xml:space="preserve"> </w:t>
      </w:r>
      <w:r w:rsidR="00FC300D" w:rsidRPr="00B11CE5">
        <w:rPr>
          <w:rFonts w:asciiTheme="majorHAnsi" w:hAnsiTheme="majorHAnsi" w:cstheme="majorHAnsi"/>
          <w:sz w:val="22"/>
          <w:szCs w:val="22"/>
        </w:rPr>
        <w:t xml:space="preserve">to determine the </w:t>
      </w:r>
      <w:r w:rsidR="00E149DB">
        <w:rPr>
          <w:rFonts w:asciiTheme="majorHAnsi" w:hAnsiTheme="majorHAnsi" w:cstheme="majorHAnsi"/>
          <w:sz w:val="22"/>
          <w:szCs w:val="22"/>
        </w:rPr>
        <w:t xml:space="preserve">predictors </w:t>
      </w:r>
      <w:r w:rsidR="00FC300D" w:rsidRPr="00B11CE5">
        <w:rPr>
          <w:rFonts w:asciiTheme="majorHAnsi" w:hAnsiTheme="majorHAnsi" w:cstheme="majorHAnsi"/>
          <w:sz w:val="22"/>
          <w:szCs w:val="22"/>
        </w:rPr>
        <w:t xml:space="preserve">of being a persistent </w:t>
      </w:r>
      <w:r w:rsidR="00A10588" w:rsidRPr="00B11CE5">
        <w:rPr>
          <w:rFonts w:asciiTheme="majorHAnsi" w:hAnsiTheme="majorHAnsi" w:cstheme="majorHAnsi"/>
          <w:sz w:val="22"/>
          <w:szCs w:val="22"/>
        </w:rPr>
        <w:t>or</w:t>
      </w:r>
      <w:r w:rsidR="00FC300D" w:rsidRPr="00B11CE5">
        <w:rPr>
          <w:rFonts w:asciiTheme="majorHAnsi" w:hAnsiTheme="majorHAnsi" w:cstheme="majorHAnsi"/>
          <w:sz w:val="22"/>
          <w:szCs w:val="22"/>
        </w:rPr>
        <w:t xml:space="preserve"> moderate </w:t>
      </w:r>
      <w:r w:rsidR="00A10588" w:rsidRPr="00B11CE5">
        <w:rPr>
          <w:rFonts w:asciiTheme="majorHAnsi" w:hAnsiTheme="majorHAnsi" w:cstheme="majorHAnsi"/>
          <w:sz w:val="22"/>
          <w:szCs w:val="22"/>
        </w:rPr>
        <w:t>mental health high-cost patient compared to</w:t>
      </w:r>
      <w:r w:rsidR="00FC300D" w:rsidRPr="00B11CE5">
        <w:rPr>
          <w:rFonts w:asciiTheme="majorHAnsi" w:hAnsiTheme="majorHAnsi" w:cstheme="majorHAnsi"/>
          <w:sz w:val="22"/>
          <w:szCs w:val="22"/>
        </w:rPr>
        <w:t xml:space="preserve"> </w:t>
      </w:r>
      <w:r w:rsidR="00322C91" w:rsidRPr="00B11CE5">
        <w:rPr>
          <w:rFonts w:asciiTheme="majorHAnsi" w:hAnsiTheme="majorHAnsi" w:cstheme="majorHAnsi"/>
          <w:sz w:val="22"/>
          <w:szCs w:val="22"/>
        </w:rPr>
        <w:t xml:space="preserve">being a </w:t>
      </w:r>
      <w:r w:rsidR="00FC300D" w:rsidRPr="00B11CE5">
        <w:rPr>
          <w:rFonts w:asciiTheme="majorHAnsi" w:hAnsiTheme="majorHAnsi" w:cstheme="majorHAnsi"/>
          <w:sz w:val="22"/>
          <w:szCs w:val="22"/>
        </w:rPr>
        <w:t xml:space="preserve">sporadic </w:t>
      </w:r>
      <w:r w:rsidR="00AD2E0A">
        <w:rPr>
          <w:rFonts w:asciiTheme="majorHAnsi" w:hAnsiTheme="majorHAnsi" w:cstheme="majorHAnsi"/>
          <w:sz w:val="22"/>
          <w:szCs w:val="22"/>
        </w:rPr>
        <w:t>one</w:t>
      </w:r>
      <w:r w:rsidR="00EA1BC5">
        <w:rPr>
          <w:rFonts w:asciiTheme="majorHAnsi" w:hAnsiTheme="majorHAnsi" w:cstheme="majorHAnsi"/>
          <w:sz w:val="22"/>
          <w:szCs w:val="22"/>
        </w:rPr>
        <w:t xml:space="preserve">, where the dependent variable for each patient was constructed using </w:t>
      </w:r>
      <w:r w:rsidR="00DD67E1">
        <w:rPr>
          <w:rFonts w:asciiTheme="majorHAnsi" w:hAnsiTheme="majorHAnsi" w:cstheme="majorHAnsi"/>
          <w:sz w:val="22"/>
          <w:szCs w:val="22"/>
        </w:rPr>
        <w:t xml:space="preserve">the </w:t>
      </w:r>
      <w:r w:rsidR="008267E7">
        <w:rPr>
          <w:rFonts w:asciiTheme="majorHAnsi" w:hAnsiTheme="majorHAnsi" w:cstheme="majorHAnsi"/>
          <w:sz w:val="22"/>
          <w:szCs w:val="22"/>
        </w:rPr>
        <w:t xml:space="preserve">previous </w:t>
      </w:r>
      <w:r w:rsidR="00DD67E1">
        <w:rPr>
          <w:rFonts w:asciiTheme="majorHAnsi" w:hAnsiTheme="majorHAnsi" w:cstheme="majorHAnsi"/>
          <w:sz w:val="22"/>
          <w:szCs w:val="22"/>
        </w:rPr>
        <w:t xml:space="preserve">definitions </w:t>
      </w:r>
      <w:r w:rsidR="00EA1BC5">
        <w:rPr>
          <w:rFonts w:asciiTheme="majorHAnsi" w:hAnsiTheme="majorHAnsi" w:cstheme="majorHAnsi"/>
          <w:sz w:val="22"/>
          <w:szCs w:val="22"/>
        </w:rPr>
        <w:t xml:space="preserve">and </w:t>
      </w:r>
      <w:r w:rsidR="00010F79">
        <w:rPr>
          <w:rFonts w:asciiTheme="majorHAnsi" w:hAnsiTheme="majorHAnsi" w:cstheme="majorHAnsi"/>
          <w:sz w:val="22"/>
          <w:szCs w:val="22"/>
        </w:rPr>
        <w:t xml:space="preserve">its value </w:t>
      </w:r>
      <w:r w:rsidR="00EA1BC5">
        <w:rPr>
          <w:rFonts w:asciiTheme="majorHAnsi" w:hAnsiTheme="majorHAnsi" w:cstheme="majorHAnsi"/>
          <w:sz w:val="22"/>
          <w:szCs w:val="22"/>
        </w:rPr>
        <w:t>repeated for each year</w:t>
      </w:r>
      <w:r w:rsidR="003A4AC9">
        <w:rPr>
          <w:rFonts w:asciiTheme="majorHAnsi" w:hAnsiTheme="majorHAnsi" w:cstheme="majorHAnsi"/>
          <w:sz w:val="22"/>
          <w:szCs w:val="22"/>
        </w:rPr>
        <w:t xml:space="preserve"> patients</w:t>
      </w:r>
      <w:r w:rsidR="00EA1BC5">
        <w:rPr>
          <w:rFonts w:asciiTheme="majorHAnsi" w:hAnsiTheme="majorHAnsi" w:cstheme="majorHAnsi"/>
          <w:sz w:val="22"/>
          <w:szCs w:val="22"/>
        </w:rPr>
        <w:t xml:space="preserve"> were in the data</w:t>
      </w:r>
      <w:r w:rsidR="00FC300D" w:rsidRPr="00B11CE5">
        <w:rPr>
          <w:rFonts w:asciiTheme="majorHAnsi" w:hAnsiTheme="majorHAnsi" w:cstheme="majorHAnsi"/>
          <w:sz w:val="22"/>
          <w:szCs w:val="22"/>
        </w:rPr>
        <w:t xml:space="preserve">. </w:t>
      </w:r>
      <w:r w:rsidR="00322C91" w:rsidRPr="00B11CE5">
        <w:rPr>
          <w:rFonts w:asciiTheme="majorHAnsi" w:hAnsiTheme="majorHAnsi" w:cstheme="majorHAnsi"/>
          <w:sz w:val="22"/>
          <w:szCs w:val="22"/>
        </w:rPr>
        <w:t>This</w:t>
      </w:r>
      <w:r w:rsidR="00D91F7D" w:rsidRPr="00B11CE5">
        <w:rPr>
          <w:rFonts w:asciiTheme="majorHAnsi" w:hAnsiTheme="majorHAnsi" w:cstheme="majorHAnsi"/>
          <w:sz w:val="22"/>
          <w:szCs w:val="22"/>
        </w:rPr>
        <w:t xml:space="preserve"> model</w:t>
      </w:r>
      <w:r w:rsidR="00FC300D" w:rsidRPr="00B11CE5">
        <w:rPr>
          <w:rFonts w:asciiTheme="majorHAnsi" w:hAnsiTheme="majorHAnsi" w:cstheme="majorHAnsi"/>
          <w:sz w:val="22"/>
          <w:szCs w:val="22"/>
        </w:rPr>
        <w:t xml:space="preserve"> controlled for patient socio-demographic characteristics and chronic conditions</w:t>
      </w:r>
      <w:r w:rsidR="004C3818" w:rsidRPr="00B11CE5">
        <w:rPr>
          <w:rFonts w:asciiTheme="majorHAnsi" w:hAnsiTheme="majorHAnsi" w:cstheme="majorHAnsi"/>
          <w:sz w:val="22"/>
          <w:szCs w:val="22"/>
        </w:rPr>
        <w:t xml:space="preserve"> described beforehand</w:t>
      </w:r>
      <w:r w:rsidR="008267E7">
        <w:rPr>
          <w:rFonts w:asciiTheme="majorHAnsi" w:hAnsiTheme="majorHAnsi" w:cstheme="majorHAnsi"/>
          <w:sz w:val="22"/>
          <w:szCs w:val="22"/>
        </w:rPr>
        <w:t>,</w:t>
      </w:r>
      <w:r w:rsidR="006B28B8" w:rsidRPr="00B11CE5">
        <w:rPr>
          <w:rFonts w:asciiTheme="majorHAnsi" w:hAnsiTheme="majorHAnsi" w:cstheme="majorHAnsi"/>
          <w:sz w:val="22"/>
          <w:szCs w:val="22"/>
        </w:rPr>
        <w:t xml:space="preserve"> </w:t>
      </w:r>
      <w:r w:rsidR="00F53C89" w:rsidRPr="00B11CE5">
        <w:rPr>
          <w:rFonts w:asciiTheme="majorHAnsi" w:hAnsiTheme="majorHAnsi" w:cstheme="majorHAnsi"/>
          <w:sz w:val="22"/>
          <w:szCs w:val="22"/>
        </w:rPr>
        <w:t xml:space="preserve">and </w:t>
      </w:r>
      <w:r w:rsidR="00154261">
        <w:rPr>
          <w:rFonts w:asciiTheme="majorHAnsi" w:hAnsiTheme="majorHAnsi" w:cstheme="majorHAnsi"/>
          <w:sz w:val="22"/>
          <w:szCs w:val="22"/>
        </w:rPr>
        <w:t xml:space="preserve">calendar </w:t>
      </w:r>
      <w:r w:rsidR="00F53C89" w:rsidRPr="00B11CE5">
        <w:rPr>
          <w:rFonts w:asciiTheme="majorHAnsi" w:hAnsiTheme="majorHAnsi" w:cstheme="majorHAnsi"/>
          <w:sz w:val="22"/>
          <w:szCs w:val="22"/>
        </w:rPr>
        <w:t>year</w:t>
      </w:r>
      <w:r w:rsidR="006B28B8" w:rsidRPr="00B11CE5">
        <w:rPr>
          <w:rFonts w:asciiTheme="majorHAnsi" w:hAnsiTheme="majorHAnsi" w:cstheme="majorHAnsi"/>
          <w:sz w:val="22"/>
          <w:szCs w:val="22"/>
        </w:rPr>
        <w:t xml:space="preserve"> </w:t>
      </w:r>
      <w:r w:rsidR="00B31497">
        <w:rPr>
          <w:rFonts w:asciiTheme="majorHAnsi" w:hAnsiTheme="majorHAnsi" w:cstheme="majorHAnsi"/>
          <w:sz w:val="22"/>
          <w:szCs w:val="22"/>
        </w:rPr>
        <w:t>indicator</w:t>
      </w:r>
      <w:r w:rsidR="006B28B8" w:rsidRPr="00B11CE5">
        <w:rPr>
          <w:rFonts w:asciiTheme="majorHAnsi" w:hAnsiTheme="majorHAnsi" w:cstheme="majorHAnsi"/>
          <w:sz w:val="22"/>
          <w:szCs w:val="22"/>
        </w:rPr>
        <w:t xml:space="preserve"> variables</w:t>
      </w:r>
      <w:r w:rsidR="00010F79">
        <w:rPr>
          <w:rFonts w:asciiTheme="majorHAnsi" w:hAnsiTheme="majorHAnsi" w:cstheme="majorHAnsi"/>
          <w:sz w:val="22"/>
          <w:szCs w:val="22"/>
        </w:rPr>
        <w:t xml:space="preserve">, </w:t>
      </w:r>
      <w:r w:rsidR="006A445F">
        <w:rPr>
          <w:rFonts w:asciiTheme="majorHAnsi" w:hAnsiTheme="majorHAnsi" w:cstheme="majorHAnsi"/>
          <w:sz w:val="22"/>
          <w:szCs w:val="22"/>
        </w:rPr>
        <w:t xml:space="preserve">all of </w:t>
      </w:r>
      <w:r w:rsidR="00010F79">
        <w:rPr>
          <w:rFonts w:asciiTheme="majorHAnsi" w:hAnsiTheme="majorHAnsi" w:cstheme="majorHAnsi"/>
          <w:sz w:val="22"/>
          <w:szCs w:val="22"/>
        </w:rPr>
        <w:t>which</w:t>
      </w:r>
      <w:r w:rsidR="006A445F">
        <w:rPr>
          <w:rFonts w:asciiTheme="majorHAnsi" w:hAnsiTheme="majorHAnsi" w:cstheme="majorHAnsi"/>
          <w:sz w:val="22"/>
          <w:szCs w:val="22"/>
        </w:rPr>
        <w:t xml:space="preserve"> </w:t>
      </w:r>
      <w:r w:rsidR="00010F79">
        <w:rPr>
          <w:rFonts w:asciiTheme="majorHAnsi" w:hAnsiTheme="majorHAnsi" w:cstheme="majorHAnsi"/>
          <w:sz w:val="22"/>
          <w:szCs w:val="22"/>
        </w:rPr>
        <w:t>could vary over the eight years</w:t>
      </w:r>
      <w:r w:rsidR="006B28B8" w:rsidRPr="00B11CE5">
        <w:rPr>
          <w:rFonts w:asciiTheme="majorHAnsi" w:hAnsiTheme="majorHAnsi" w:cstheme="majorHAnsi"/>
          <w:sz w:val="22"/>
          <w:szCs w:val="22"/>
        </w:rPr>
        <w:t>.</w:t>
      </w:r>
      <w:r w:rsidR="00CF4A22">
        <w:rPr>
          <w:rFonts w:asciiTheme="majorHAnsi" w:hAnsiTheme="majorHAnsi" w:cstheme="majorHAnsi"/>
          <w:sz w:val="22"/>
          <w:szCs w:val="22"/>
        </w:rPr>
        <w:t xml:space="preserve"> </w:t>
      </w:r>
      <w:r w:rsidR="00367465">
        <w:rPr>
          <w:rFonts w:asciiTheme="majorHAnsi" w:hAnsiTheme="majorHAnsi" w:cstheme="majorHAnsi"/>
          <w:sz w:val="22"/>
          <w:szCs w:val="22"/>
        </w:rPr>
        <w:t>The model</w:t>
      </w:r>
      <w:r w:rsidR="00412BA5" w:rsidRPr="00412BA5">
        <w:rPr>
          <w:rFonts w:asciiTheme="majorHAnsi" w:hAnsiTheme="majorHAnsi" w:cstheme="majorHAnsi"/>
          <w:sz w:val="22"/>
          <w:szCs w:val="22"/>
        </w:rPr>
        <w:t xml:space="preserve"> coefficients</w:t>
      </w:r>
      <w:r w:rsidR="00367465">
        <w:rPr>
          <w:rFonts w:asciiTheme="majorHAnsi" w:hAnsiTheme="majorHAnsi" w:cstheme="majorHAnsi"/>
          <w:sz w:val="22"/>
          <w:szCs w:val="22"/>
        </w:rPr>
        <w:t xml:space="preserve"> were </w:t>
      </w:r>
      <w:r w:rsidR="00367465" w:rsidRPr="00367465">
        <w:rPr>
          <w:rFonts w:asciiTheme="majorHAnsi" w:hAnsiTheme="majorHAnsi" w:cstheme="majorHAnsi"/>
          <w:sz w:val="22"/>
          <w:szCs w:val="22"/>
        </w:rPr>
        <w:t xml:space="preserve">exponentiated </w:t>
      </w:r>
      <w:r w:rsidR="00367465">
        <w:rPr>
          <w:rFonts w:asciiTheme="majorHAnsi" w:hAnsiTheme="majorHAnsi" w:cstheme="majorHAnsi"/>
          <w:sz w:val="22"/>
          <w:szCs w:val="22"/>
        </w:rPr>
        <w:t>to obtain</w:t>
      </w:r>
      <w:r w:rsidR="00367465" w:rsidRPr="00367465">
        <w:rPr>
          <w:rFonts w:asciiTheme="majorHAnsi" w:hAnsiTheme="majorHAnsi" w:cstheme="majorHAnsi"/>
          <w:sz w:val="22"/>
          <w:szCs w:val="22"/>
        </w:rPr>
        <w:t xml:space="preserve"> the relative</w:t>
      </w:r>
      <w:r w:rsidR="00E149DB">
        <w:rPr>
          <w:rFonts w:asciiTheme="majorHAnsi" w:hAnsiTheme="majorHAnsi" w:cstheme="majorHAnsi"/>
          <w:sz w:val="22"/>
          <w:szCs w:val="22"/>
        </w:rPr>
        <w:t xml:space="preserve"> </w:t>
      </w:r>
      <w:r w:rsidR="00367465" w:rsidRPr="00367465">
        <w:rPr>
          <w:rFonts w:asciiTheme="majorHAnsi" w:hAnsiTheme="majorHAnsi" w:cstheme="majorHAnsi"/>
          <w:sz w:val="22"/>
          <w:szCs w:val="22"/>
        </w:rPr>
        <w:t>risk ratio for a one-unit change in the</w:t>
      </w:r>
      <w:r w:rsidR="00367465">
        <w:rPr>
          <w:rFonts w:asciiTheme="majorHAnsi" w:hAnsiTheme="majorHAnsi" w:cstheme="majorHAnsi"/>
          <w:sz w:val="22"/>
          <w:szCs w:val="22"/>
        </w:rPr>
        <w:t xml:space="preserve"> </w:t>
      </w:r>
      <w:r w:rsidR="00367465" w:rsidRPr="00367465">
        <w:rPr>
          <w:rFonts w:asciiTheme="majorHAnsi" w:hAnsiTheme="majorHAnsi" w:cstheme="majorHAnsi"/>
          <w:sz w:val="22"/>
          <w:szCs w:val="22"/>
        </w:rPr>
        <w:t>corresponding variable (</w:t>
      </w:r>
      <w:r w:rsidR="00367465">
        <w:rPr>
          <w:rFonts w:asciiTheme="majorHAnsi" w:hAnsiTheme="majorHAnsi" w:cstheme="majorHAnsi"/>
          <w:sz w:val="22"/>
          <w:szCs w:val="22"/>
        </w:rPr>
        <w:t xml:space="preserve">where </w:t>
      </w:r>
      <w:r w:rsidR="00367465" w:rsidRPr="00367465">
        <w:rPr>
          <w:rFonts w:asciiTheme="majorHAnsi" w:hAnsiTheme="majorHAnsi" w:cstheme="majorHAnsi"/>
          <w:sz w:val="22"/>
          <w:szCs w:val="22"/>
        </w:rPr>
        <w:t>risk is measured as the risk of the outcome relative to the base outcome).</w:t>
      </w:r>
      <w:r w:rsidR="00DD49FC" w:rsidRPr="00DD49FC">
        <w:rPr>
          <w:rFonts w:asciiTheme="majorHAnsi" w:hAnsiTheme="majorHAnsi" w:cstheme="majorHAnsi"/>
          <w:sz w:val="22"/>
          <w:szCs w:val="22"/>
          <w:vertAlign w:val="superscript"/>
        </w:rPr>
        <w:t xml:space="preserve"> </w:t>
      </w:r>
      <w:r w:rsidR="00F45CF5">
        <w:rPr>
          <w:rFonts w:asciiTheme="majorHAnsi" w:hAnsiTheme="majorHAnsi" w:cstheme="majorHAnsi"/>
          <w:sz w:val="22"/>
          <w:szCs w:val="22"/>
          <w:vertAlign w:val="superscript"/>
        </w:rPr>
        <w:t>26,27</w:t>
      </w:r>
      <w:r w:rsidR="00A82239">
        <w:rPr>
          <w:rFonts w:asciiTheme="majorHAnsi" w:hAnsiTheme="majorHAnsi" w:cstheme="majorHAnsi"/>
          <w:sz w:val="22"/>
          <w:szCs w:val="22"/>
        </w:rPr>
        <w:t xml:space="preserve"> </w:t>
      </w:r>
      <w:r w:rsidR="00A82239" w:rsidRPr="00B11CE5">
        <w:rPr>
          <w:rFonts w:asciiTheme="majorHAnsi" w:hAnsiTheme="majorHAnsi" w:cstheme="majorHAnsi"/>
          <w:sz w:val="22"/>
          <w:szCs w:val="22"/>
        </w:rPr>
        <w:t xml:space="preserve">Clustered standard errors were </w:t>
      </w:r>
      <w:r w:rsidR="00A82239" w:rsidRPr="00B11CE5">
        <w:rPr>
          <w:rFonts w:asciiTheme="majorHAnsi" w:hAnsiTheme="majorHAnsi" w:cstheme="majorHAnsi"/>
          <w:sz w:val="22"/>
          <w:szCs w:val="22"/>
        </w:rPr>
        <w:lastRenderedPageBreak/>
        <w:t>estimated for all models to account for repeated observations on the same individual, where applicable.</w:t>
      </w:r>
    </w:p>
    <w:p w14:paraId="33CE3FED" w14:textId="77777777" w:rsidR="00A82239" w:rsidRDefault="00A82239" w:rsidP="004B1B31">
      <w:pPr>
        <w:spacing w:line="480" w:lineRule="auto"/>
        <w:rPr>
          <w:rFonts w:asciiTheme="majorHAnsi" w:hAnsiTheme="majorHAnsi" w:cstheme="majorHAnsi"/>
          <w:sz w:val="22"/>
          <w:szCs w:val="22"/>
        </w:rPr>
      </w:pPr>
    </w:p>
    <w:p w14:paraId="5AF4B644" w14:textId="29070A1D" w:rsidR="00773E90" w:rsidRPr="00773E90" w:rsidRDefault="00773E90" w:rsidP="004B1B31">
      <w:pPr>
        <w:spacing w:line="480" w:lineRule="auto"/>
        <w:rPr>
          <w:rFonts w:asciiTheme="majorHAnsi" w:hAnsiTheme="majorHAnsi" w:cstheme="majorHAnsi"/>
          <w:i/>
          <w:sz w:val="22"/>
          <w:szCs w:val="22"/>
        </w:rPr>
      </w:pPr>
      <w:r w:rsidRPr="00773E90">
        <w:rPr>
          <w:rFonts w:asciiTheme="majorHAnsi" w:hAnsiTheme="majorHAnsi" w:cstheme="majorHAnsi"/>
          <w:i/>
          <w:sz w:val="22"/>
          <w:szCs w:val="22"/>
        </w:rPr>
        <w:t>Sensitivity analysis</w:t>
      </w:r>
    </w:p>
    <w:p w14:paraId="44C929E9" w14:textId="2399F6A3" w:rsidR="00370D33" w:rsidRDefault="00FC300D" w:rsidP="004B1B31">
      <w:pPr>
        <w:spacing w:line="480" w:lineRule="auto"/>
        <w:rPr>
          <w:rFonts w:asciiTheme="majorHAnsi" w:hAnsiTheme="majorHAnsi" w:cstheme="majorHAnsi"/>
          <w:sz w:val="22"/>
          <w:szCs w:val="22"/>
        </w:rPr>
      </w:pPr>
      <w:r w:rsidRPr="00B11CE5">
        <w:rPr>
          <w:rFonts w:asciiTheme="majorHAnsi" w:hAnsiTheme="majorHAnsi" w:cstheme="majorHAnsi"/>
          <w:sz w:val="22"/>
          <w:szCs w:val="22"/>
        </w:rPr>
        <w:t>We</w:t>
      </w:r>
      <w:r w:rsidR="004C3818" w:rsidRPr="00B11CE5">
        <w:rPr>
          <w:rFonts w:asciiTheme="majorHAnsi" w:hAnsiTheme="majorHAnsi" w:cstheme="majorHAnsi"/>
          <w:sz w:val="22"/>
          <w:szCs w:val="22"/>
        </w:rPr>
        <w:t xml:space="preserve"> undertook</w:t>
      </w:r>
      <w:r w:rsidR="00943DA1" w:rsidRPr="00B11CE5">
        <w:rPr>
          <w:rFonts w:asciiTheme="majorHAnsi" w:hAnsiTheme="majorHAnsi" w:cstheme="majorHAnsi"/>
          <w:sz w:val="22"/>
          <w:szCs w:val="22"/>
        </w:rPr>
        <w:t xml:space="preserve"> </w:t>
      </w:r>
      <w:r w:rsidR="004C3818" w:rsidRPr="00B11CE5">
        <w:rPr>
          <w:rFonts w:asciiTheme="majorHAnsi" w:hAnsiTheme="majorHAnsi" w:cstheme="majorHAnsi"/>
          <w:sz w:val="22"/>
          <w:szCs w:val="22"/>
        </w:rPr>
        <w:t>sensitivity analyse</w:t>
      </w:r>
      <w:r w:rsidRPr="00B11CE5">
        <w:rPr>
          <w:rFonts w:asciiTheme="majorHAnsi" w:hAnsiTheme="majorHAnsi" w:cstheme="majorHAnsi"/>
          <w:sz w:val="22"/>
          <w:szCs w:val="22"/>
        </w:rPr>
        <w:t>s</w:t>
      </w:r>
      <w:r w:rsidR="00317DB6" w:rsidRPr="00B11CE5">
        <w:rPr>
          <w:rFonts w:asciiTheme="majorHAnsi" w:hAnsiTheme="majorHAnsi" w:cstheme="majorHAnsi"/>
          <w:sz w:val="22"/>
          <w:szCs w:val="22"/>
        </w:rPr>
        <w:t xml:space="preserve">, </w:t>
      </w:r>
      <w:r w:rsidRPr="00B11CE5">
        <w:rPr>
          <w:rFonts w:asciiTheme="majorHAnsi" w:hAnsiTheme="majorHAnsi" w:cstheme="majorHAnsi"/>
          <w:sz w:val="22"/>
          <w:szCs w:val="22"/>
        </w:rPr>
        <w:t>where</w:t>
      </w:r>
      <w:r w:rsidR="00E05886" w:rsidRPr="00B11CE5">
        <w:rPr>
          <w:rFonts w:asciiTheme="majorHAnsi" w:hAnsiTheme="majorHAnsi" w:cstheme="majorHAnsi"/>
          <w:sz w:val="22"/>
          <w:szCs w:val="22"/>
        </w:rPr>
        <w:t xml:space="preserve"> an indicator of</w:t>
      </w:r>
      <w:r w:rsidRPr="00B11CE5">
        <w:rPr>
          <w:rFonts w:asciiTheme="majorHAnsi" w:hAnsiTheme="majorHAnsi" w:cstheme="majorHAnsi"/>
          <w:sz w:val="22"/>
          <w:szCs w:val="22"/>
        </w:rPr>
        <w:t xml:space="preserve"> mood disorder</w:t>
      </w:r>
      <w:r w:rsidR="002563A6" w:rsidRPr="00B11CE5">
        <w:rPr>
          <w:rFonts w:asciiTheme="majorHAnsi" w:hAnsiTheme="majorHAnsi" w:cstheme="majorHAnsi"/>
          <w:sz w:val="22"/>
          <w:szCs w:val="22"/>
        </w:rPr>
        <w:t>s</w:t>
      </w:r>
      <w:r w:rsidRPr="00B11CE5">
        <w:rPr>
          <w:rFonts w:asciiTheme="majorHAnsi" w:hAnsiTheme="majorHAnsi" w:cstheme="majorHAnsi"/>
          <w:sz w:val="22"/>
          <w:szCs w:val="22"/>
        </w:rPr>
        <w:t xml:space="preserve"> was included in the</w:t>
      </w:r>
      <w:r w:rsidR="00943DA1" w:rsidRPr="00B11CE5">
        <w:rPr>
          <w:rFonts w:asciiTheme="majorHAnsi" w:hAnsiTheme="majorHAnsi" w:cstheme="majorHAnsi"/>
          <w:sz w:val="22"/>
          <w:szCs w:val="22"/>
        </w:rPr>
        <w:t xml:space="preserve"> </w:t>
      </w:r>
      <w:r w:rsidRPr="00B11CE5">
        <w:rPr>
          <w:rFonts w:asciiTheme="majorHAnsi" w:hAnsiTheme="majorHAnsi" w:cstheme="majorHAnsi"/>
          <w:sz w:val="22"/>
          <w:szCs w:val="22"/>
        </w:rPr>
        <w:t>model</w:t>
      </w:r>
      <w:r w:rsidR="00761454">
        <w:rPr>
          <w:rFonts w:asciiTheme="majorHAnsi" w:hAnsiTheme="majorHAnsi" w:cstheme="majorHAnsi"/>
          <w:sz w:val="22"/>
          <w:szCs w:val="22"/>
        </w:rPr>
        <w:t xml:space="preserve"> </w:t>
      </w:r>
      <w:r w:rsidR="0079531A" w:rsidRPr="00B11CE5">
        <w:rPr>
          <w:rFonts w:asciiTheme="majorHAnsi" w:hAnsiTheme="majorHAnsi" w:cstheme="majorHAnsi"/>
          <w:sz w:val="22"/>
          <w:szCs w:val="22"/>
        </w:rPr>
        <w:t xml:space="preserve">and </w:t>
      </w:r>
      <w:r w:rsidR="004C3818" w:rsidRPr="00B11CE5">
        <w:rPr>
          <w:rFonts w:asciiTheme="majorHAnsi" w:hAnsiTheme="majorHAnsi" w:cstheme="majorHAnsi"/>
          <w:sz w:val="22"/>
          <w:szCs w:val="22"/>
        </w:rPr>
        <w:t>where</w:t>
      </w:r>
      <w:r w:rsidR="00DD49FC">
        <w:rPr>
          <w:rFonts w:asciiTheme="majorHAnsi" w:hAnsiTheme="majorHAnsi" w:cstheme="majorHAnsi"/>
          <w:sz w:val="22"/>
          <w:szCs w:val="22"/>
        </w:rPr>
        <w:t xml:space="preserve"> patients lost to attrition (i.e.,</w:t>
      </w:r>
      <w:r w:rsidR="004C3818" w:rsidRPr="00B11CE5">
        <w:rPr>
          <w:rFonts w:asciiTheme="majorHAnsi" w:hAnsiTheme="majorHAnsi" w:cstheme="majorHAnsi"/>
          <w:sz w:val="22"/>
          <w:szCs w:val="22"/>
        </w:rPr>
        <w:t xml:space="preserve"> all decedents</w:t>
      </w:r>
      <w:r w:rsidR="0079531A" w:rsidRPr="00B11CE5">
        <w:rPr>
          <w:rFonts w:asciiTheme="majorHAnsi" w:hAnsiTheme="majorHAnsi" w:cstheme="majorHAnsi"/>
          <w:sz w:val="22"/>
          <w:szCs w:val="22"/>
        </w:rPr>
        <w:t xml:space="preserve"> and individuals </w:t>
      </w:r>
      <w:r w:rsidR="00E05886" w:rsidRPr="00B11CE5">
        <w:rPr>
          <w:rFonts w:asciiTheme="majorHAnsi" w:hAnsiTheme="majorHAnsi" w:cstheme="majorHAnsi"/>
          <w:sz w:val="22"/>
          <w:szCs w:val="22"/>
        </w:rPr>
        <w:t>ineligible for</w:t>
      </w:r>
      <w:r w:rsidR="0079531A" w:rsidRPr="00B11CE5">
        <w:rPr>
          <w:rFonts w:asciiTheme="majorHAnsi" w:hAnsiTheme="majorHAnsi" w:cstheme="majorHAnsi"/>
          <w:sz w:val="22"/>
          <w:szCs w:val="22"/>
        </w:rPr>
        <w:t xml:space="preserve"> public health care insurance</w:t>
      </w:r>
      <w:r w:rsidR="00DD49FC">
        <w:rPr>
          <w:rFonts w:asciiTheme="majorHAnsi" w:hAnsiTheme="majorHAnsi" w:cstheme="majorHAnsi"/>
          <w:sz w:val="22"/>
          <w:szCs w:val="22"/>
        </w:rPr>
        <w:t>)</w:t>
      </w:r>
      <w:r w:rsidR="004C3818" w:rsidRPr="00B11CE5">
        <w:rPr>
          <w:rFonts w:asciiTheme="majorHAnsi" w:hAnsiTheme="majorHAnsi" w:cstheme="majorHAnsi"/>
          <w:sz w:val="22"/>
          <w:szCs w:val="22"/>
        </w:rPr>
        <w:t xml:space="preserve"> were excluded from the analysis</w:t>
      </w:r>
      <w:r w:rsidRPr="00B11CE5">
        <w:rPr>
          <w:rFonts w:asciiTheme="majorHAnsi" w:hAnsiTheme="majorHAnsi" w:cstheme="majorHAnsi"/>
          <w:sz w:val="22"/>
          <w:szCs w:val="22"/>
        </w:rPr>
        <w:t xml:space="preserve">. </w:t>
      </w:r>
      <w:r w:rsidR="0059735C">
        <w:rPr>
          <w:rFonts w:asciiTheme="majorHAnsi" w:hAnsiTheme="majorHAnsi" w:cstheme="majorHAnsi"/>
          <w:sz w:val="22"/>
          <w:szCs w:val="22"/>
        </w:rPr>
        <w:t xml:space="preserve">Moreover, we estimated the odds of being a persistent mental health high-cost patient relative to being a moderate and sporadic </w:t>
      </w:r>
      <w:r w:rsidR="00E75900">
        <w:rPr>
          <w:rFonts w:asciiTheme="majorHAnsi" w:hAnsiTheme="majorHAnsi" w:cstheme="majorHAnsi"/>
          <w:sz w:val="22"/>
          <w:szCs w:val="22"/>
        </w:rPr>
        <w:t>one</w:t>
      </w:r>
      <w:r w:rsidR="0059735C">
        <w:rPr>
          <w:rFonts w:asciiTheme="majorHAnsi" w:hAnsiTheme="majorHAnsi" w:cstheme="majorHAnsi"/>
          <w:sz w:val="22"/>
          <w:szCs w:val="22"/>
        </w:rPr>
        <w:t>, in line with pr</w:t>
      </w:r>
      <w:r w:rsidR="009A1C30">
        <w:rPr>
          <w:rFonts w:asciiTheme="majorHAnsi" w:hAnsiTheme="majorHAnsi" w:cstheme="majorHAnsi"/>
          <w:sz w:val="22"/>
          <w:szCs w:val="22"/>
        </w:rPr>
        <w:t>ior</w:t>
      </w:r>
      <w:r w:rsidR="0059735C">
        <w:rPr>
          <w:rFonts w:asciiTheme="majorHAnsi" w:hAnsiTheme="majorHAnsi" w:cstheme="majorHAnsi"/>
          <w:sz w:val="22"/>
          <w:szCs w:val="22"/>
        </w:rPr>
        <w:t xml:space="preserve"> work.</w:t>
      </w:r>
      <w:r w:rsidR="00D865A6">
        <w:rPr>
          <w:rFonts w:asciiTheme="majorHAnsi" w:hAnsiTheme="majorHAnsi" w:cstheme="majorHAnsi"/>
          <w:sz w:val="22"/>
          <w:szCs w:val="22"/>
          <w:vertAlign w:val="superscript"/>
        </w:rPr>
        <w:t>8</w:t>
      </w:r>
      <w:r w:rsidR="0059735C">
        <w:rPr>
          <w:rFonts w:asciiTheme="majorHAnsi" w:hAnsiTheme="majorHAnsi" w:cstheme="majorHAnsi"/>
          <w:sz w:val="22"/>
          <w:szCs w:val="22"/>
        </w:rPr>
        <w:t xml:space="preserve"> </w:t>
      </w:r>
    </w:p>
    <w:p w14:paraId="2DB0F844" w14:textId="77777777" w:rsidR="00370D33" w:rsidRDefault="00370D33" w:rsidP="004B1B31">
      <w:pPr>
        <w:spacing w:line="480" w:lineRule="auto"/>
        <w:rPr>
          <w:rFonts w:asciiTheme="majorHAnsi" w:hAnsiTheme="majorHAnsi" w:cstheme="majorHAnsi"/>
          <w:sz w:val="22"/>
          <w:szCs w:val="22"/>
        </w:rPr>
      </w:pPr>
    </w:p>
    <w:p w14:paraId="033FADE8" w14:textId="24E0FB9D" w:rsidR="00B03A75" w:rsidRPr="003667E2" w:rsidRDefault="00B03A75" w:rsidP="004B1B31">
      <w:pPr>
        <w:widowControl w:val="0"/>
        <w:autoSpaceDE w:val="0"/>
        <w:autoSpaceDN w:val="0"/>
        <w:adjustRightInd w:val="0"/>
        <w:spacing w:line="480" w:lineRule="auto"/>
        <w:rPr>
          <w:rFonts w:asciiTheme="majorHAnsi" w:hAnsiTheme="majorHAnsi" w:cstheme="majorHAnsi"/>
          <w:b/>
          <w:sz w:val="22"/>
          <w:szCs w:val="22"/>
        </w:rPr>
      </w:pPr>
      <w:r w:rsidRPr="003667E2">
        <w:rPr>
          <w:rFonts w:asciiTheme="majorHAnsi" w:hAnsiTheme="majorHAnsi" w:cstheme="majorHAnsi"/>
          <w:b/>
          <w:sz w:val="22"/>
          <w:szCs w:val="22"/>
        </w:rPr>
        <w:t xml:space="preserve">Results </w:t>
      </w:r>
    </w:p>
    <w:p w14:paraId="36B486D9" w14:textId="518E6CFA" w:rsidR="00E544D1" w:rsidRDefault="00E544D1" w:rsidP="004B1B31">
      <w:pPr>
        <w:widowControl w:val="0"/>
        <w:autoSpaceDE w:val="0"/>
        <w:autoSpaceDN w:val="0"/>
        <w:adjustRightInd w:val="0"/>
        <w:spacing w:line="480" w:lineRule="auto"/>
        <w:rPr>
          <w:rFonts w:asciiTheme="majorHAnsi" w:hAnsiTheme="majorHAnsi" w:cstheme="majorHAnsi"/>
          <w:sz w:val="22"/>
          <w:szCs w:val="22"/>
        </w:rPr>
      </w:pPr>
      <w:r>
        <w:rPr>
          <w:rFonts w:asciiTheme="majorHAnsi" w:hAnsiTheme="majorHAnsi" w:cstheme="majorHAnsi"/>
          <w:sz w:val="22"/>
          <w:szCs w:val="22"/>
        </w:rPr>
        <w:t xml:space="preserve">Roughly 13% (n = </w:t>
      </w:r>
      <w:r w:rsidRPr="00A27DEE">
        <w:rPr>
          <w:rFonts w:ascii="Calibri" w:hAnsi="Calibri"/>
          <w:sz w:val="22"/>
        </w:rPr>
        <w:t xml:space="preserve">6,975) </w:t>
      </w:r>
      <w:r>
        <w:rPr>
          <w:rFonts w:asciiTheme="majorHAnsi" w:hAnsiTheme="majorHAnsi" w:cstheme="majorHAnsi"/>
          <w:sz w:val="22"/>
          <w:szCs w:val="22"/>
        </w:rPr>
        <w:t>of individuals from the initial sample (n= 52,638) did not have data for all 8 years of the analysis due to loss to follow up</w:t>
      </w:r>
      <w:r w:rsidR="003D2B06">
        <w:rPr>
          <w:rFonts w:asciiTheme="majorHAnsi" w:hAnsiTheme="majorHAnsi" w:cstheme="majorHAnsi"/>
          <w:sz w:val="22"/>
          <w:szCs w:val="22"/>
        </w:rPr>
        <w:t xml:space="preserve"> (Table 1)</w:t>
      </w:r>
      <w:r>
        <w:rPr>
          <w:rFonts w:asciiTheme="majorHAnsi" w:hAnsiTheme="majorHAnsi" w:cstheme="majorHAnsi"/>
          <w:sz w:val="22"/>
          <w:szCs w:val="22"/>
        </w:rPr>
        <w:t xml:space="preserve">. </w:t>
      </w:r>
      <w:r w:rsidRPr="00E03190">
        <w:rPr>
          <w:rFonts w:asciiTheme="majorHAnsi" w:hAnsiTheme="majorHAnsi" w:cstheme="majorHAnsi"/>
          <w:sz w:val="22"/>
          <w:szCs w:val="22"/>
        </w:rPr>
        <w:t>Based on our definition</w:t>
      </w:r>
      <w:r>
        <w:rPr>
          <w:rFonts w:asciiTheme="majorHAnsi" w:hAnsiTheme="majorHAnsi" w:cstheme="majorHAnsi"/>
          <w:sz w:val="22"/>
          <w:szCs w:val="22"/>
        </w:rPr>
        <w:t>s</w:t>
      </w:r>
      <w:r w:rsidRPr="00E03190">
        <w:rPr>
          <w:rFonts w:asciiTheme="majorHAnsi" w:hAnsiTheme="majorHAnsi" w:cstheme="majorHAnsi"/>
          <w:sz w:val="22"/>
          <w:szCs w:val="22"/>
        </w:rPr>
        <w:t xml:space="preserve">, </w:t>
      </w:r>
      <w:r w:rsidRPr="009A1C30">
        <w:rPr>
          <w:rFonts w:asciiTheme="majorHAnsi" w:hAnsiTheme="majorHAnsi" w:cstheme="majorHAnsi"/>
          <w:sz w:val="22"/>
          <w:szCs w:val="22"/>
        </w:rPr>
        <w:t>33.8% (n = 17,746) were classified as sporadic, 31.8% (n = 16,743) as moderate and 34.</w:t>
      </w:r>
      <w:r>
        <w:rPr>
          <w:rFonts w:asciiTheme="majorHAnsi" w:hAnsiTheme="majorHAnsi" w:cstheme="majorHAnsi"/>
          <w:sz w:val="22"/>
          <w:szCs w:val="22"/>
        </w:rPr>
        <w:t>5</w:t>
      </w:r>
      <w:r w:rsidRPr="009A1C30">
        <w:rPr>
          <w:rFonts w:asciiTheme="majorHAnsi" w:hAnsiTheme="majorHAnsi" w:cstheme="majorHAnsi"/>
          <w:sz w:val="22"/>
          <w:szCs w:val="22"/>
        </w:rPr>
        <w:t>% (n = 18,149) as persistent high-cost patients (18.3% patients were in the high-cost state for all eight years).</w:t>
      </w:r>
    </w:p>
    <w:p w14:paraId="231CF5BA" w14:textId="77777777" w:rsidR="008267E7" w:rsidRDefault="008267E7" w:rsidP="004B1B31">
      <w:pPr>
        <w:widowControl w:val="0"/>
        <w:autoSpaceDE w:val="0"/>
        <w:autoSpaceDN w:val="0"/>
        <w:adjustRightInd w:val="0"/>
        <w:spacing w:line="480" w:lineRule="auto"/>
        <w:rPr>
          <w:rFonts w:asciiTheme="majorHAnsi" w:hAnsiTheme="majorHAnsi" w:cstheme="majorHAnsi"/>
          <w:sz w:val="22"/>
          <w:szCs w:val="22"/>
        </w:rPr>
      </w:pPr>
    </w:p>
    <w:p w14:paraId="265960AA" w14:textId="47DE4448" w:rsidR="00A17098" w:rsidRPr="00E03190" w:rsidRDefault="003D1CB6" w:rsidP="004B1B31">
      <w:pPr>
        <w:widowControl w:val="0"/>
        <w:autoSpaceDE w:val="0"/>
        <w:autoSpaceDN w:val="0"/>
        <w:adjustRightInd w:val="0"/>
        <w:spacing w:line="480" w:lineRule="auto"/>
        <w:rPr>
          <w:rFonts w:asciiTheme="majorHAnsi" w:hAnsiTheme="majorHAnsi" w:cstheme="majorHAnsi"/>
          <w:color w:val="1A1718"/>
          <w:sz w:val="22"/>
          <w:szCs w:val="22"/>
        </w:rPr>
      </w:pPr>
      <w:r>
        <w:rPr>
          <w:rFonts w:asciiTheme="majorHAnsi" w:hAnsiTheme="majorHAnsi" w:cstheme="majorHAnsi"/>
          <w:sz w:val="22"/>
          <w:szCs w:val="22"/>
        </w:rPr>
        <w:t>T</w:t>
      </w:r>
      <w:r w:rsidR="00B302FD">
        <w:rPr>
          <w:rFonts w:asciiTheme="majorHAnsi" w:hAnsiTheme="majorHAnsi" w:cstheme="majorHAnsi"/>
          <w:sz w:val="22"/>
          <w:szCs w:val="22"/>
        </w:rPr>
        <w:t xml:space="preserve">he </w:t>
      </w:r>
      <w:r>
        <w:rPr>
          <w:rFonts w:asciiTheme="majorHAnsi" w:hAnsiTheme="majorHAnsi" w:cstheme="majorHAnsi"/>
          <w:sz w:val="22"/>
          <w:szCs w:val="22"/>
        </w:rPr>
        <w:t>overall cohort</w:t>
      </w:r>
      <w:r w:rsidR="00B302FD">
        <w:rPr>
          <w:rFonts w:asciiTheme="majorHAnsi" w:hAnsiTheme="majorHAnsi" w:cstheme="majorHAnsi"/>
          <w:sz w:val="22"/>
          <w:szCs w:val="22"/>
        </w:rPr>
        <w:t xml:space="preserve"> had a mean age of 45 and </w:t>
      </w:r>
      <w:r w:rsidR="003D2B06">
        <w:rPr>
          <w:rFonts w:asciiTheme="majorHAnsi" w:hAnsiTheme="majorHAnsi" w:cstheme="majorHAnsi"/>
          <w:sz w:val="22"/>
          <w:szCs w:val="22"/>
        </w:rPr>
        <w:t>included</w:t>
      </w:r>
      <w:r w:rsidR="00B302FD">
        <w:rPr>
          <w:rFonts w:asciiTheme="majorHAnsi" w:hAnsiTheme="majorHAnsi" w:cstheme="majorHAnsi"/>
          <w:sz w:val="22"/>
          <w:szCs w:val="22"/>
        </w:rPr>
        <w:t xml:space="preserve"> roughly the same proportion of males (49%) and females (51%)</w:t>
      </w:r>
      <w:r w:rsidR="004F49E2">
        <w:rPr>
          <w:rFonts w:asciiTheme="majorHAnsi" w:hAnsiTheme="majorHAnsi" w:cstheme="majorHAnsi"/>
          <w:sz w:val="22"/>
          <w:szCs w:val="22"/>
        </w:rPr>
        <w:t xml:space="preserve"> (Table 2)</w:t>
      </w:r>
      <w:r w:rsidR="00B302FD">
        <w:rPr>
          <w:rFonts w:asciiTheme="majorHAnsi" w:hAnsiTheme="majorHAnsi" w:cstheme="majorHAnsi"/>
          <w:sz w:val="22"/>
          <w:szCs w:val="22"/>
        </w:rPr>
        <w:t xml:space="preserve">. </w:t>
      </w:r>
      <w:r>
        <w:rPr>
          <w:rFonts w:asciiTheme="majorHAnsi" w:hAnsiTheme="majorHAnsi" w:cstheme="majorHAnsi"/>
          <w:sz w:val="22"/>
          <w:szCs w:val="22"/>
        </w:rPr>
        <w:t>Compared to sporadic high-cost patients, p</w:t>
      </w:r>
      <w:r w:rsidR="00A17098" w:rsidRPr="00E03190">
        <w:rPr>
          <w:rFonts w:asciiTheme="majorHAnsi" w:hAnsiTheme="majorHAnsi" w:cstheme="majorHAnsi"/>
          <w:sz w:val="22"/>
          <w:szCs w:val="22"/>
        </w:rPr>
        <w:t xml:space="preserve">ersistent high-cost patients were </w:t>
      </w:r>
      <w:r w:rsidR="00F536C3">
        <w:rPr>
          <w:rFonts w:asciiTheme="majorHAnsi" w:hAnsiTheme="majorHAnsi" w:cstheme="majorHAnsi"/>
          <w:sz w:val="22"/>
          <w:szCs w:val="22"/>
        </w:rPr>
        <w:t xml:space="preserve">more likely to be </w:t>
      </w:r>
      <w:r w:rsidR="00F25B6C">
        <w:rPr>
          <w:rFonts w:asciiTheme="majorHAnsi" w:hAnsiTheme="majorHAnsi" w:cstheme="majorHAnsi"/>
          <w:sz w:val="22"/>
          <w:szCs w:val="22"/>
        </w:rPr>
        <w:t>older</w:t>
      </w:r>
      <w:r w:rsidR="00651263" w:rsidRPr="00E03190">
        <w:rPr>
          <w:rFonts w:asciiTheme="majorHAnsi" w:hAnsiTheme="majorHAnsi" w:cstheme="majorHAnsi"/>
          <w:sz w:val="22"/>
          <w:szCs w:val="22"/>
        </w:rPr>
        <w:t xml:space="preserve"> (</w:t>
      </w:r>
      <w:r w:rsidR="00846B72">
        <w:rPr>
          <w:rFonts w:asciiTheme="majorHAnsi" w:hAnsiTheme="majorHAnsi" w:cstheme="majorHAnsi"/>
          <w:sz w:val="22"/>
          <w:szCs w:val="22"/>
        </w:rPr>
        <w:t xml:space="preserve">mean age </w:t>
      </w:r>
      <w:r w:rsidR="00651263" w:rsidRPr="00E03190">
        <w:rPr>
          <w:rFonts w:asciiTheme="majorHAnsi" w:hAnsiTheme="majorHAnsi" w:cstheme="majorHAnsi"/>
          <w:sz w:val="22"/>
          <w:szCs w:val="22"/>
        </w:rPr>
        <w:t>4</w:t>
      </w:r>
      <w:r w:rsidR="00F25B6C">
        <w:rPr>
          <w:rFonts w:asciiTheme="majorHAnsi" w:hAnsiTheme="majorHAnsi" w:cstheme="majorHAnsi"/>
          <w:sz w:val="22"/>
          <w:szCs w:val="22"/>
        </w:rPr>
        <w:t>7</w:t>
      </w:r>
      <w:r w:rsidR="00846B72">
        <w:rPr>
          <w:rFonts w:asciiTheme="majorHAnsi" w:hAnsiTheme="majorHAnsi" w:cstheme="majorHAnsi"/>
          <w:sz w:val="22"/>
          <w:szCs w:val="22"/>
        </w:rPr>
        <w:t xml:space="preserve"> </w:t>
      </w:r>
      <w:r w:rsidR="002763D4">
        <w:rPr>
          <w:rFonts w:asciiTheme="majorHAnsi" w:hAnsiTheme="majorHAnsi" w:cstheme="majorHAnsi"/>
          <w:sz w:val="22"/>
          <w:szCs w:val="22"/>
        </w:rPr>
        <w:t>v. 42</w:t>
      </w:r>
      <w:r w:rsidR="0064702B" w:rsidRPr="00E03190">
        <w:rPr>
          <w:rFonts w:asciiTheme="majorHAnsi" w:hAnsiTheme="majorHAnsi" w:cstheme="majorHAnsi"/>
          <w:sz w:val="22"/>
          <w:szCs w:val="22"/>
        </w:rPr>
        <w:t xml:space="preserve">), </w:t>
      </w:r>
      <w:r w:rsidR="00F536C3">
        <w:rPr>
          <w:rFonts w:asciiTheme="majorHAnsi" w:hAnsiTheme="majorHAnsi" w:cstheme="majorHAnsi"/>
          <w:sz w:val="22"/>
          <w:szCs w:val="22"/>
        </w:rPr>
        <w:t xml:space="preserve">or </w:t>
      </w:r>
      <w:r w:rsidR="00AF4305" w:rsidRPr="00E03190">
        <w:rPr>
          <w:rFonts w:asciiTheme="majorHAnsi" w:hAnsiTheme="majorHAnsi" w:cstheme="majorHAnsi"/>
          <w:sz w:val="22"/>
          <w:szCs w:val="22"/>
        </w:rPr>
        <w:t>fe</w:t>
      </w:r>
      <w:r w:rsidR="00C1526A" w:rsidRPr="00E03190">
        <w:rPr>
          <w:rFonts w:asciiTheme="majorHAnsi" w:hAnsiTheme="majorHAnsi" w:cstheme="majorHAnsi"/>
          <w:sz w:val="22"/>
          <w:szCs w:val="22"/>
        </w:rPr>
        <w:t>male (</w:t>
      </w:r>
      <w:r w:rsidR="00282E54">
        <w:rPr>
          <w:rFonts w:asciiTheme="majorHAnsi" w:hAnsiTheme="majorHAnsi" w:cstheme="majorHAnsi"/>
          <w:sz w:val="22"/>
          <w:szCs w:val="22"/>
        </w:rPr>
        <w:t>52.</w:t>
      </w:r>
      <w:r w:rsidR="00AF4305" w:rsidRPr="00E03190">
        <w:rPr>
          <w:rFonts w:asciiTheme="majorHAnsi" w:hAnsiTheme="majorHAnsi" w:cstheme="majorHAnsi"/>
          <w:sz w:val="22"/>
          <w:szCs w:val="22"/>
        </w:rPr>
        <w:t>7</w:t>
      </w:r>
      <w:r w:rsidR="00A17098" w:rsidRPr="00E03190">
        <w:rPr>
          <w:rFonts w:asciiTheme="majorHAnsi" w:hAnsiTheme="majorHAnsi" w:cstheme="majorHAnsi"/>
          <w:sz w:val="22"/>
          <w:szCs w:val="22"/>
        </w:rPr>
        <w:t>%</w:t>
      </w:r>
      <w:r w:rsidR="002763D4">
        <w:rPr>
          <w:rFonts w:asciiTheme="majorHAnsi" w:hAnsiTheme="majorHAnsi" w:cstheme="majorHAnsi"/>
          <w:sz w:val="22"/>
          <w:szCs w:val="22"/>
        </w:rPr>
        <w:t xml:space="preserve"> v. 48.7%</w:t>
      </w:r>
      <w:r w:rsidR="00A17098" w:rsidRPr="00E03190">
        <w:rPr>
          <w:rFonts w:asciiTheme="majorHAnsi" w:hAnsiTheme="majorHAnsi" w:cstheme="majorHAnsi"/>
          <w:sz w:val="22"/>
          <w:szCs w:val="22"/>
        </w:rPr>
        <w:t>), to live in low-income neighbourhoods (</w:t>
      </w:r>
      <w:r w:rsidR="00586ED4" w:rsidRPr="00E03190">
        <w:rPr>
          <w:rFonts w:asciiTheme="majorHAnsi" w:hAnsiTheme="majorHAnsi" w:cstheme="majorHAnsi"/>
          <w:sz w:val="22"/>
          <w:szCs w:val="22"/>
        </w:rPr>
        <w:t>30</w:t>
      </w:r>
      <w:r w:rsidR="00651263" w:rsidRPr="00E03190">
        <w:rPr>
          <w:rFonts w:asciiTheme="majorHAnsi" w:hAnsiTheme="majorHAnsi" w:cstheme="majorHAnsi"/>
          <w:sz w:val="22"/>
          <w:szCs w:val="22"/>
        </w:rPr>
        <w:t>.</w:t>
      </w:r>
      <w:r w:rsidR="00282E54">
        <w:rPr>
          <w:rFonts w:asciiTheme="majorHAnsi" w:hAnsiTheme="majorHAnsi" w:cstheme="majorHAnsi"/>
          <w:sz w:val="22"/>
          <w:szCs w:val="22"/>
        </w:rPr>
        <w:t>9</w:t>
      </w:r>
      <w:r w:rsidR="00586ED4" w:rsidRPr="00E03190">
        <w:rPr>
          <w:rFonts w:asciiTheme="majorHAnsi" w:hAnsiTheme="majorHAnsi" w:cstheme="majorHAnsi"/>
          <w:sz w:val="22"/>
          <w:szCs w:val="22"/>
        </w:rPr>
        <w:t>%</w:t>
      </w:r>
      <w:r w:rsidR="002763D4">
        <w:rPr>
          <w:rFonts w:asciiTheme="majorHAnsi" w:hAnsiTheme="majorHAnsi" w:cstheme="majorHAnsi"/>
          <w:sz w:val="22"/>
          <w:szCs w:val="22"/>
        </w:rPr>
        <w:t xml:space="preserve"> v. 24.6%</w:t>
      </w:r>
      <w:r w:rsidR="00A17098" w:rsidRPr="00E03190">
        <w:rPr>
          <w:rFonts w:asciiTheme="majorHAnsi" w:hAnsiTheme="majorHAnsi" w:cstheme="majorHAnsi"/>
          <w:sz w:val="22"/>
          <w:szCs w:val="22"/>
        </w:rPr>
        <w:t xml:space="preserve">), </w:t>
      </w:r>
      <w:r w:rsidR="00F536C3">
        <w:rPr>
          <w:rFonts w:asciiTheme="majorHAnsi" w:hAnsiTheme="majorHAnsi" w:cstheme="majorHAnsi"/>
          <w:sz w:val="22"/>
          <w:szCs w:val="22"/>
        </w:rPr>
        <w:t>or</w:t>
      </w:r>
      <w:r w:rsidR="00A17098" w:rsidRPr="00E03190">
        <w:rPr>
          <w:rFonts w:asciiTheme="majorHAnsi" w:hAnsiTheme="majorHAnsi" w:cstheme="majorHAnsi"/>
          <w:sz w:val="22"/>
          <w:szCs w:val="22"/>
        </w:rPr>
        <w:t xml:space="preserve"> urban </w:t>
      </w:r>
      <w:r w:rsidR="00F536C3">
        <w:rPr>
          <w:rFonts w:asciiTheme="majorHAnsi" w:hAnsiTheme="majorHAnsi" w:cstheme="majorHAnsi"/>
          <w:sz w:val="22"/>
          <w:szCs w:val="22"/>
        </w:rPr>
        <w:t>areas</w:t>
      </w:r>
      <w:r w:rsidR="00F536C3" w:rsidRPr="00E03190">
        <w:rPr>
          <w:rFonts w:asciiTheme="majorHAnsi" w:hAnsiTheme="majorHAnsi" w:cstheme="majorHAnsi"/>
          <w:sz w:val="22"/>
          <w:szCs w:val="22"/>
        </w:rPr>
        <w:t xml:space="preserve"> </w:t>
      </w:r>
      <w:r w:rsidR="00651263" w:rsidRPr="00E03190">
        <w:rPr>
          <w:rFonts w:asciiTheme="majorHAnsi" w:hAnsiTheme="majorHAnsi" w:cstheme="majorHAnsi"/>
          <w:sz w:val="22"/>
          <w:szCs w:val="22"/>
        </w:rPr>
        <w:t>(9</w:t>
      </w:r>
      <w:r w:rsidR="00282E54">
        <w:rPr>
          <w:rFonts w:asciiTheme="majorHAnsi" w:hAnsiTheme="majorHAnsi" w:cstheme="majorHAnsi"/>
          <w:sz w:val="22"/>
          <w:szCs w:val="22"/>
        </w:rPr>
        <w:t>3.2</w:t>
      </w:r>
      <w:r w:rsidR="00A17098" w:rsidRPr="00E03190">
        <w:rPr>
          <w:rFonts w:asciiTheme="majorHAnsi" w:hAnsiTheme="majorHAnsi" w:cstheme="majorHAnsi"/>
          <w:sz w:val="22"/>
          <w:szCs w:val="22"/>
        </w:rPr>
        <w:t>%</w:t>
      </w:r>
      <w:r w:rsidR="002763D4">
        <w:rPr>
          <w:rFonts w:asciiTheme="majorHAnsi" w:hAnsiTheme="majorHAnsi" w:cstheme="majorHAnsi"/>
          <w:sz w:val="22"/>
          <w:szCs w:val="22"/>
        </w:rPr>
        <w:t xml:space="preserve"> v. 89.7%</w:t>
      </w:r>
      <w:r w:rsidR="00A17098" w:rsidRPr="00E03190">
        <w:rPr>
          <w:rFonts w:asciiTheme="majorHAnsi" w:hAnsiTheme="majorHAnsi" w:cstheme="majorHAnsi"/>
          <w:sz w:val="22"/>
          <w:szCs w:val="22"/>
        </w:rPr>
        <w:t>),</w:t>
      </w:r>
      <w:r w:rsidR="00AD22E5">
        <w:rPr>
          <w:rFonts w:asciiTheme="majorHAnsi" w:hAnsiTheme="majorHAnsi" w:cstheme="majorHAnsi"/>
          <w:sz w:val="22"/>
          <w:szCs w:val="22"/>
        </w:rPr>
        <w:t xml:space="preserve"> </w:t>
      </w:r>
      <w:r w:rsidR="00F536C3">
        <w:rPr>
          <w:rFonts w:asciiTheme="majorHAnsi" w:hAnsiTheme="majorHAnsi" w:cstheme="majorHAnsi"/>
          <w:sz w:val="22"/>
          <w:szCs w:val="22"/>
        </w:rPr>
        <w:t>and to have psychosis (55.2% v. 31.1%), diabetes (20.9% v. 8.9%), hypertension (30.6% v. 19.8%), COPD (15.7% v. 8.1%), dementia (7.2% v. 3.5%</w:t>
      </w:r>
      <w:r w:rsidR="00D90E3F">
        <w:rPr>
          <w:rFonts w:asciiTheme="majorHAnsi" w:hAnsiTheme="majorHAnsi" w:cstheme="majorHAnsi"/>
          <w:sz w:val="22"/>
          <w:szCs w:val="22"/>
        </w:rPr>
        <w:t>), or asthma (22.3% v. 17.3%</w:t>
      </w:r>
      <w:r w:rsidR="00F536C3">
        <w:rPr>
          <w:rFonts w:asciiTheme="majorHAnsi" w:hAnsiTheme="majorHAnsi" w:cstheme="majorHAnsi"/>
          <w:sz w:val="22"/>
          <w:szCs w:val="22"/>
        </w:rPr>
        <w:t>)</w:t>
      </w:r>
      <w:r w:rsidR="00262499">
        <w:rPr>
          <w:rFonts w:asciiTheme="majorHAnsi" w:hAnsiTheme="majorHAnsi" w:cstheme="majorHAnsi"/>
          <w:sz w:val="22"/>
          <w:szCs w:val="22"/>
        </w:rPr>
        <w:t xml:space="preserve">. </w:t>
      </w:r>
      <w:r w:rsidR="00701C3A">
        <w:rPr>
          <w:rFonts w:asciiTheme="majorHAnsi" w:hAnsiTheme="majorHAnsi" w:cstheme="majorHAnsi"/>
          <w:sz w:val="22"/>
          <w:szCs w:val="22"/>
        </w:rPr>
        <w:t xml:space="preserve">Moderate high-cost patients were </w:t>
      </w:r>
      <w:r w:rsidR="009563E5">
        <w:rPr>
          <w:rFonts w:asciiTheme="majorHAnsi" w:hAnsiTheme="majorHAnsi" w:cstheme="majorHAnsi"/>
          <w:sz w:val="22"/>
          <w:szCs w:val="22"/>
        </w:rPr>
        <w:t xml:space="preserve">relatively </w:t>
      </w:r>
      <w:r w:rsidR="00701C3A">
        <w:rPr>
          <w:rFonts w:asciiTheme="majorHAnsi" w:hAnsiTheme="majorHAnsi" w:cstheme="majorHAnsi"/>
          <w:sz w:val="22"/>
          <w:szCs w:val="22"/>
        </w:rPr>
        <w:t>similar to persistent high</w:t>
      </w:r>
      <w:r w:rsidR="00820D5F">
        <w:rPr>
          <w:rFonts w:asciiTheme="majorHAnsi" w:hAnsiTheme="majorHAnsi" w:cstheme="majorHAnsi"/>
          <w:sz w:val="22"/>
          <w:szCs w:val="22"/>
        </w:rPr>
        <w:t>-</w:t>
      </w:r>
      <w:r w:rsidR="00701C3A">
        <w:rPr>
          <w:rFonts w:asciiTheme="majorHAnsi" w:hAnsiTheme="majorHAnsi" w:cstheme="majorHAnsi"/>
          <w:sz w:val="22"/>
          <w:szCs w:val="22"/>
        </w:rPr>
        <w:t>cost patients, except for a lower prevalence of psychosis (40.5% v. 55.2%) and diabetes (13.7% v. 20.9%).</w:t>
      </w:r>
      <w:r w:rsidR="0064702B" w:rsidRPr="00E03190">
        <w:rPr>
          <w:rFonts w:asciiTheme="majorHAnsi" w:hAnsiTheme="majorHAnsi" w:cstheme="majorHAnsi"/>
          <w:sz w:val="22"/>
          <w:szCs w:val="22"/>
        </w:rPr>
        <w:t xml:space="preserve"> </w:t>
      </w:r>
    </w:p>
    <w:p w14:paraId="556E5C1C" w14:textId="77777777" w:rsidR="0064702B" w:rsidRPr="00E03190" w:rsidRDefault="0064702B" w:rsidP="004B1B31">
      <w:pPr>
        <w:spacing w:line="480" w:lineRule="auto"/>
        <w:rPr>
          <w:rFonts w:asciiTheme="majorHAnsi" w:hAnsiTheme="majorHAnsi" w:cstheme="majorHAnsi"/>
          <w:sz w:val="22"/>
          <w:szCs w:val="22"/>
        </w:rPr>
      </w:pPr>
    </w:p>
    <w:p w14:paraId="22584B0E" w14:textId="41D4FDFE" w:rsidR="00A4506E" w:rsidRPr="00E03190" w:rsidRDefault="0064702B" w:rsidP="004B1B31">
      <w:pPr>
        <w:spacing w:line="480" w:lineRule="auto"/>
        <w:rPr>
          <w:rFonts w:asciiTheme="majorHAnsi" w:hAnsiTheme="majorHAnsi" w:cstheme="majorHAnsi"/>
          <w:sz w:val="22"/>
          <w:szCs w:val="22"/>
        </w:rPr>
      </w:pPr>
      <w:r w:rsidRPr="00E03190">
        <w:rPr>
          <w:rFonts w:asciiTheme="majorHAnsi" w:hAnsiTheme="majorHAnsi" w:cstheme="majorHAnsi"/>
          <w:sz w:val="22"/>
          <w:szCs w:val="22"/>
        </w:rPr>
        <w:t>Persistent</w:t>
      </w:r>
      <w:r w:rsidR="005816F5" w:rsidRPr="00E03190">
        <w:rPr>
          <w:rFonts w:asciiTheme="majorHAnsi" w:hAnsiTheme="majorHAnsi" w:cstheme="majorHAnsi"/>
          <w:sz w:val="22"/>
          <w:szCs w:val="22"/>
        </w:rPr>
        <w:t xml:space="preserve"> high-cost patients </w:t>
      </w:r>
      <w:r w:rsidR="00AF4335" w:rsidRPr="00E03190">
        <w:rPr>
          <w:rFonts w:asciiTheme="majorHAnsi" w:hAnsiTheme="majorHAnsi" w:cstheme="majorHAnsi"/>
          <w:sz w:val="22"/>
          <w:szCs w:val="22"/>
        </w:rPr>
        <w:t>had the highest mean costs</w:t>
      </w:r>
      <w:r w:rsidR="004F49E2">
        <w:rPr>
          <w:rFonts w:asciiTheme="majorHAnsi" w:hAnsiTheme="majorHAnsi" w:cstheme="majorHAnsi"/>
          <w:sz w:val="22"/>
          <w:szCs w:val="22"/>
        </w:rPr>
        <w:t xml:space="preserve"> in 2010</w:t>
      </w:r>
      <w:r w:rsidR="00AF4335" w:rsidRPr="00E03190">
        <w:rPr>
          <w:rFonts w:asciiTheme="majorHAnsi" w:hAnsiTheme="majorHAnsi" w:cstheme="majorHAnsi"/>
          <w:sz w:val="22"/>
          <w:szCs w:val="22"/>
        </w:rPr>
        <w:t xml:space="preserve"> ($</w:t>
      </w:r>
      <w:r w:rsidR="00282E54" w:rsidRPr="00282E54">
        <w:rPr>
          <w:rFonts w:asciiTheme="majorHAnsi" w:hAnsiTheme="majorHAnsi" w:cstheme="majorHAnsi"/>
          <w:sz w:val="22"/>
          <w:szCs w:val="22"/>
        </w:rPr>
        <w:t>44,71</w:t>
      </w:r>
      <w:r w:rsidR="00701C3A">
        <w:rPr>
          <w:rFonts w:asciiTheme="majorHAnsi" w:hAnsiTheme="majorHAnsi" w:cstheme="majorHAnsi"/>
          <w:sz w:val="22"/>
          <w:szCs w:val="22"/>
        </w:rPr>
        <w:t>4, 95% CI $43,724 to $45,703</w:t>
      </w:r>
      <w:r w:rsidR="00AF4335" w:rsidRPr="00E03190">
        <w:rPr>
          <w:rFonts w:asciiTheme="majorHAnsi" w:hAnsiTheme="majorHAnsi" w:cstheme="majorHAnsi"/>
          <w:sz w:val="22"/>
          <w:szCs w:val="22"/>
        </w:rPr>
        <w:t>), compared to moderate (</w:t>
      </w:r>
      <w:r w:rsidR="003C1E69" w:rsidRPr="00E03190">
        <w:rPr>
          <w:rFonts w:asciiTheme="majorHAnsi" w:hAnsiTheme="majorHAnsi" w:cstheme="majorHAnsi"/>
          <w:sz w:val="22"/>
          <w:szCs w:val="22"/>
        </w:rPr>
        <w:t>$</w:t>
      </w:r>
      <w:r w:rsidR="00282E54" w:rsidRPr="00282E54">
        <w:rPr>
          <w:rFonts w:asciiTheme="majorHAnsi" w:hAnsiTheme="majorHAnsi" w:cstheme="majorHAnsi"/>
          <w:sz w:val="22"/>
          <w:szCs w:val="22"/>
        </w:rPr>
        <w:t>31,055</w:t>
      </w:r>
      <w:r w:rsidR="00701C3A">
        <w:rPr>
          <w:rFonts w:asciiTheme="majorHAnsi" w:hAnsiTheme="majorHAnsi" w:cstheme="majorHAnsi"/>
          <w:sz w:val="22"/>
          <w:szCs w:val="22"/>
        </w:rPr>
        <w:t>, 95% CI $30,359 to $31,751</w:t>
      </w:r>
      <w:r w:rsidR="00AF4335" w:rsidRPr="00E03190">
        <w:rPr>
          <w:rFonts w:asciiTheme="majorHAnsi" w:hAnsiTheme="majorHAnsi" w:cstheme="majorHAnsi"/>
          <w:sz w:val="22"/>
          <w:szCs w:val="22"/>
        </w:rPr>
        <w:t>) and sporadic high-cost patients (</w:t>
      </w:r>
      <w:r w:rsidR="003C1E69" w:rsidRPr="00E03190">
        <w:rPr>
          <w:rFonts w:asciiTheme="majorHAnsi" w:hAnsiTheme="majorHAnsi" w:cstheme="majorHAnsi"/>
          <w:sz w:val="22"/>
          <w:szCs w:val="22"/>
        </w:rPr>
        <w:t>$</w:t>
      </w:r>
      <w:r w:rsidR="00282E54" w:rsidRPr="00282E54">
        <w:rPr>
          <w:rFonts w:asciiTheme="majorHAnsi" w:hAnsiTheme="majorHAnsi" w:cstheme="majorHAnsi"/>
          <w:sz w:val="22"/>
          <w:szCs w:val="22"/>
        </w:rPr>
        <w:t>23,20</w:t>
      </w:r>
      <w:r w:rsidR="00701C3A">
        <w:rPr>
          <w:rFonts w:asciiTheme="majorHAnsi" w:hAnsiTheme="majorHAnsi" w:cstheme="majorHAnsi"/>
          <w:sz w:val="22"/>
          <w:szCs w:val="22"/>
        </w:rPr>
        <w:t>5, 95% CI $22,741 to $23,668</w:t>
      </w:r>
      <w:r w:rsidR="00AF4335" w:rsidRPr="00E03190">
        <w:rPr>
          <w:rFonts w:asciiTheme="majorHAnsi" w:hAnsiTheme="majorHAnsi" w:cstheme="majorHAnsi"/>
          <w:sz w:val="22"/>
          <w:szCs w:val="22"/>
        </w:rPr>
        <w:t>)</w:t>
      </w:r>
      <w:r w:rsidR="004F49E2">
        <w:rPr>
          <w:rFonts w:asciiTheme="majorHAnsi" w:hAnsiTheme="majorHAnsi" w:cstheme="majorHAnsi"/>
          <w:sz w:val="22"/>
          <w:szCs w:val="22"/>
        </w:rPr>
        <w:t xml:space="preserve"> (Table 3)</w:t>
      </w:r>
      <w:r w:rsidRPr="00E03190">
        <w:rPr>
          <w:rFonts w:asciiTheme="majorHAnsi" w:hAnsiTheme="majorHAnsi" w:cstheme="majorHAnsi"/>
          <w:sz w:val="22"/>
          <w:szCs w:val="22"/>
        </w:rPr>
        <w:t>. I</w:t>
      </w:r>
      <w:r w:rsidR="00AF4335" w:rsidRPr="00E03190">
        <w:rPr>
          <w:rFonts w:asciiTheme="majorHAnsi" w:hAnsiTheme="majorHAnsi" w:cstheme="majorHAnsi"/>
          <w:sz w:val="22"/>
          <w:szCs w:val="22"/>
        </w:rPr>
        <w:t xml:space="preserve">n particular, </w:t>
      </w:r>
      <w:r w:rsidR="00282E54">
        <w:rPr>
          <w:rFonts w:asciiTheme="majorHAnsi" w:hAnsiTheme="majorHAnsi" w:cstheme="majorHAnsi"/>
          <w:sz w:val="22"/>
          <w:szCs w:val="22"/>
        </w:rPr>
        <w:t>69</w:t>
      </w:r>
      <w:r w:rsidR="00AF4335" w:rsidRPr="00E03190">
        <w:rPr>
          <w:rFonts w:asciiTheme="majorHAnsi" w:hAnsiTheme="majorHAnsi" w:cstheme="majorHAnsi"/>
          <w:sz w:val="22"/>
          <w:szCs w:val="22"/>
        </w:rPr>
        <w:t xml:space="preserve">% of total costs </w:t>
      </w:r>
      <w:r w:rsidR="00F97ED0" w:rsidRPr="00E03190">
        <w:rPr>
          <w:rFonts w:asciiTheme="majorHAnsi" w:hAnsiTheme="majorHAnsi" w:cstheme="majorHAnsi"/>
          <w:sz w:val="22"/>
          <w:szCs w:val="22"/>
        </w:rPr>
        <w:t xml:space="preserve">for persistent high-cost patients </w:t>
      </w:r>
      <w:r w:rsidR="00AF4335" w:rsidRPr="00E03190">
        <w:rPr>
          <w:rFonts w:asciiTheme="majorHAnsi" w:hAnsiTheme="majorHAnsi" w:cstheme="majorHAnsi"/>
          <w:sz w:val="22"/>
          <w:szCs w:val="22"/>
        </w:rPr>
        <w:t>were made up of costs of psychiatric hospitali</w:t>
      </w:r>
      <w:r w:rsidR="00BB011D">
        <w:rPr>
          <w:rFonts w:asciiTheme="majorHAnsi" w:hAnsiTheme="majorHAnsi" w:cstheme="majorHAnsi"/>
          <w:sz w:val="22"/>
          <w:szCs w:val="22"/>
        </w:rPr>
        <w:t>z</w:t>
      </w:r>
      <w:r w:rsidR="00AF4335" w:rsidRPr="00E03190">
        <w:rPr>
          <w:rFonts w:asciiTheme="majorHAnsi" w:hAnsiTheme="majorHAnsi" w:cstheme="majorHAnsi"/>
          <w:sz w:val="22"/>
          <w:szCs w:val="22"/>
        </w:rPr>
        <w:t>ations alone ($</w:t>
      </w:r>
      <w:r w:rsidR="00282E54" w:rsidRPr="00282E54">
        <w:rPr>
          <w:rFonts w:asciiTheme="majorHAnsi" w:hAnsiTheme="majorHAnsi" w:cstheme="majorHAnsi"/>
          <w:sz w:val="22"/>
          <w:szCs w:val="22"/>
        </w:rPr>
        <w:t>30,94</w:t>
      </w:r>
      <w:r w:rsidR="00B45038">
        <w:rPr>
          <w:rFonts w:asciiTheme="majorHAnsi" w:hAnsiTheme="majorHAnsi" w:cstheme="majorHAnsi"/>
          <w:sz w:val="22"/>
          <w:szCs w:val="22"/>
        </w:rPr>
        <w:t>4, 95% CI $29,956 to $31,932</w:t>
      </w:r>
      <w:r w:rsidR="00AF4335" w:rsidRPr="00E03190">
        <w:rPr>
          <w:rFonts w:asciiTheme="majorHAnsi" w:hAnsiTheme="majorHAnsi" w:cstheme="majorHAnsi"/>
          <w:sz w:val="22"/>
          <w:szCs w:val="22"/>
        </w:rPr>
        <w:t>)</w:t>
      </w:r>
      <w:r w:rsidR="00B45038">
        <w:rPr>
          <w:rFonts w:asciiTheme="majorHAnsi" w:hAnsiTheme="majorHAnsi" w:cstheme="majorHAnsi"/>
          <w:sz w:val="22"/>
          <w:szCs w:val="22"/>
        </w:rPr>
        <w:t>,</w:t>
      </w:r>
      <w:r w:rsidR="00AF4335" w:rsidRPr="00E03190">
        <w:rPr>
          <w:rFonts w:asciiTheme="majorHAnsi" w:hAnsiTheme="majorHAnsi" w:cstheme="majorHAnsi"/>
          <w:sz w:val="22"/>
          <w:szCs w:val="22"/>
        </w:rPr>
        <w:t xml:space="preserve"> </w:t>
      </w:r>
      <w:r w:rsidR="00B45038">
        <w:rPr>
          <w:rFonts w:asciiTheme="majorHAnsi" w:hAnsiTheme="majorHAnsi" w:cstheme="majorHAnsi"/>
          <w:sz w:val="22"/>
          <w:szCs w:val="22"/>
        </w:rPr>
        <w:t xml:space="preserve">with </w:t>
      </w:r>
      <w:r w:rsidR="00AF4335" w:rsidRPr="00E03190">
        <w:rPr>
          <w:rFonts w:asciiTheme="majorHAnsi" w:hAnsiTheme="majorHAnsi" w:cstheme="majorHAnsi"/>
          <w:sz w:val="22"/>
          <w:szCs w:val="22"/>
        </w:rPr>
        <w:t xml:space="preserve">other </w:t>
      </w:r>
      <w:r w:rsidR="00B45038">
        <w:rPr>
          <w:rFonts w:asciiTheme="majorHAnsi" w:hAnsiTheme="majorHAnsi" w:cstheme="majorHAnsi"/>
          <w:sz w:val="22"/>
          <w:szCs w:val="22"/>
        </w:rPr>
        <w:t>large</w:t>
      </w:r>
      <w:r w:rsidR="00B45038" w:rsidRPr="00E03190">
        <w:rPr>
          <w:rFonts w:asciiTheme="majorHAnsi" w:hAnsiTheme="majorHAnsi" w:cstheme="majorHAnsi"/>
          <w:sz w:val="22"/>
          <w:szCs w:val="22"/>
        </w:rPr>
        <w:t xml:space="preserve"> </w:t>
      </w:r>
      <w:r w:rsidR="00AF4335" w:rsidRPr="00E03190">
        <w:rPr>
          <w:rFonts w:asciiTheme="majorHAnsi" w:hAnsiTheme="majorHAnsi" w:cstheme="majorHAnsi"/>
          <w:sz w:val="22"/>
          <w:szCs w:val="22"/>
        </w:rPr>
        <w:t>cost</w:t>
      </w:r>
      <w:r w:rsidR="00B45038">
        <w:rPr>
          <w:rFonts w:asciiTheme="majorHAnsi" w:hAnsiTheme="majorHAnsi" w:cstheme="majorHAnsi"/>
          <w:sz w:val="22"/>
          <w:szCs w:val="22"/>
        </w:rPr>
        <w:t>s</w:t>
      </w:r>
      <w:r w:rsidR="00AF4335" w:rsidRPr="00E03190">
        <w:rPr>
          <w:rFonts w:asciiTheme="majorHAnsi" w:hAnsiTheme="majorHAnsi" w:cstheme="majorHAnsi"/>
          <w:sz w:val="22"/>
          <w:szCs w:val="22"/>
        </w:rPr>
        <w:t xml:space="preserve"> </w:t>
      </w:r>
      <w:r w:rsidR="00B45038">
        <w:rPr>
          <w:rFonts w:asciiTheme="majorHAnsi" w:hAnsiTheme="majorHAnsi" w:cstheme="majorHAnsi"/>
          <w:sz w:val="22"/>
          <w:szCs w:val="22"/>
        </w:rPr>
        <w:t>incurred by</w:t>
      </w:r>
      <w:r w:rsidR="00AF4335" w:rsidRPr="00E03190">
        <w:rPr>
          <w:rFonts w:asciiTheme="majorHAnsi" w:hAnsiTheme="majorHAnsi" w:cstheme="majorHAnsi"/>
          <w:sz w:val="22"/>
          <w:szCs w:val="22"/>
        </w:rPr>
        <w:t xml:space="preserve"> physician services ($</w:t>
      </w:r>
      <w:r w:rsidR="00282E54" w:rsidRPr="00282E54">
        <w:rPr>
          <w:rFonts w:asciiTheme="majorHAnsi" w:hAnsiTheme="majorHAnsi" w:cstheme="majorHAnsi"/>
          <w:sz w:val="22"/>
          <w:szCs w:val="22"/>
        </w:rPr>
        <w:t>5,81</w:t>
      </w:r>
      <w:r w:rsidR="00B45038">
        <w:rPr>
          <w:rFonts w:asciiTheme="majorHAnsi" w:hAnsiTheme="majorHAnsi" w:cstheme="majorHAnsi"/>
          <w:sz w:val="22"/>
          <w:szCs w:val="22"/>
        </w:rPr>
        <w:t>8, 95% CI $5,734 to $5,902</w:t>
      </w:r>
      <w:r w:rsidR="00AF4335" w:rsidRPr="00E03190">
        <w:rPr>
          <w:rFonts w:asciiTheme="majorHAnsi" w:hAnsiTheme="majorHAnsi" w:cstheme="majorHAnsi"/>
          <w:sz w:val="22"/>
          <w:szCs w:val="22"/>
        </w:rPr>
        <w:t>), outpatient prescription drugs ($</w:t>
      </w:r>
      <w:r w:rsidR="00282E54" w:rsidRPr="00282E54">
        <w:rPr>
          <w:rFonts w:asciiTheme="majorHAnsi" w:hAnsiTheme="majorHAnsi" w:cstheme="majorHAnsi"/>
          <w:sz w:val="22"/>
          <w:szCs w:val="22"/>
        </w:rPr>
        <w:t>2,94</w:t>
      </w:r>
      <w:r w:rsidR="00B45038">
        <w:rPr>
          <w:rFonts w:asciiTheme="majorHAnsi" w:hAnsiTheme="majorHAnsi" w:cstheme="majorHAnsi"/>
          <w:sz w:val="22"/>
          <w:szCs w:val="22"/>
        </w:rPr>
        <w:t>7, 95% CI $2,893 to $3,000</w:t>
      </w:r>
      <w:r w:rsidR="00AF4335" w:rsidRPr="00E03190">
        <w:rPr>
          <w:rFonts w:asciiTheme="majorHAnsi" w:hAnsiTheme="majorHAnsi" w:cstheme="majorHAnsi"/>
          <w:sz w:val="22"/>
          <w:szCs w:val="22"/>
        </w:rPr>
        <w:t xml:space="preserve">) and </w:t>
      </w:r>
      <w:r w:rsidR="00AF4335" w:rsidRPr="00B11CE5">
        <w:rPr>
          <w:rFonts w:asciiTheme="majorHAnsi" w:hAnsiTheme="majorHAnsi" w:cstheme="majorHAnsi"/>
          <w:sz w:val="22"/>
          <w:szCs w:val="22"/>
        </w:rPr>
        <w:t>hospital outpatient clinic visits ($</w:t>
      </w:r>
      <w:r w:rsidR="00282E54" w:rsidRPr="00282E54">
        <w:rPr>
          <w:rFonts w:asciiTheme="majorHAnsi" w:hAnsiTheme="majorHAnsi" w:cstheme="majorHAnsi"/>
          <w:sz w:val="22"/>
          <w:szCs w:val="22"/>
        </w:rPr>
        <w:t>2,66</w:t>
      </w:r>
      <w:r w:rsidR="00B45038">
        <w:rPr>
          <w:rFonts w:asciiTheme="majorHAnsi" w:hAnsiTheme="majorHAnsi" w:cstheme="majorHAnsi"/>
          <w:sz w:val="22"/>
          <w:szCs w:val="22"/>
        </w:rPr>
        <w:t>6, 95% CI $2,608 to $2,724</w:t>
      </w:r>
      <w:r w:rsidR="00AF4335" w:rsidRPr="00B11CE5">
        <w:rPr>
          <w:rFonts w:asciiTheme="majorHAnsi" w:hAnsiTheme="majorHAnsi" w:cstheme="majorHAnsi"/>
          <w:sz w:val="22"/>
          <w:szCs w:val="22"/>
        </w:rPr>
        <w:t>)</w:t>
      </w:r>
      <w:r w:rsidR="00586ED4" w:rsidRPr="00B11CE5">
        <w:rPr>
          <w:rFonts w:asciiTheme="majorHAnsi" w:hAnsiTheme="majorHAnsi" w:cstheme="majorHAnsi"/>
          <w:sz w:val="22"/>
          <w:szCs w:val="22"/>
        </w:rPr>
        <w:t>. C</w:t>
      </w:r>
      <w:r w:rsidR="00282153" w:rsidRPr="00B11CE5">
        <w:rPr>
          <w:rFonts w:asciiTheme="majorHAnsi" w:hAnsiTheme="majorHAnsi" w:cstheme="majorHAnsi"/>
          <w:sz w:val="22"/>
          <w:szCs w:val="22"/>
        </w:rPr>
        <w:t>ombined</w:t>
      </w:r>
      <w:r w:rsidR="003C1E69" w:rsidRPr="00B11CE5">
        <w:rPr>
          <w:rFonts w:asciiTheme="majorHAnsi" w:hAnsiTheme="majorHAnsi" w:cstheme="majorHAnsi"/>
          <w:sz w:val="22"/>
          <w:szCs w:val="22"/>
        </w:rPr>
        <w:t>,</w:t>
      </w:r>
      <w:r w:rsidR="00282153" w:rsidRPr="00B11CE5">
        <w:rPr>
          <w:rFonts w:asciiTheme="majorHAnsi" w:hAnsiTheme="majorHAnsi" w:cstheme="majorHAnsi"/>
          <w:sz w:val="22"/>
          <w:szCs w:val="22"/>
        </w:rPr>
        <w:t xml:space="preserve"> </w:t>
      </w:r>
      <w:r w:rsidR="00885032" w:rsidRPr="00B11CE5">
        <w:rPr>
          <w:rFonts w:asciiTheme="majorHAnsi" w:hAnsiTheme="majorHAnsi" w:cstheme="majorHAnsi"/>
          <w:sz w:val="22"/>
          <w:szCs w:val="22"/>
        </w:rPr>
        <w:t>the</w:t>
      </w:r>
      <w:r w:rsidR="00614EFF">
        <w:rPr>
          <w:rFonts w:asciiTheme="majorHAnsi" w:hAnsiTheme="majorHAnsi" w:cstheme="majorHAnsi"/>
          <w:sz w:val="22"/>
          <w:szCs w:val="22"/>
        </w:rPr>
        <w:t>se</w:t>
      </w:r>
      <w:r w:rsidR="00885032" w:rsidRPr="00B11CE5">
        <w:rPr>
          <w:rFonts w:asciiTheme="majorHAnsi" w:hAnsiTheme="majorHAnsi" w:cstheme="majorHAnsi"/>
          <w:sz w:val="22"/>
          <w:szCs w:val="22"/>
        </w:rPr>
        <w:t xml:space="preserve"> costs </w:t>
      </w:r>
      <w:r w:rsidR="003C1E69" w:rsidRPr="00B11CE5">
        <w:rPr>
          <w:rFonts w:asciiTheme="majorHAnsi" w:hAnsiTheme="majorHAnsi" w:cstheme="majorHAnsi"/>
          <w:sz w:val="22"/>
          <w:szCs w:val="22"/>
        </w:rPr>
        <w:t>mad</w:t>
      </w:r>
      <w:r w:rsidR="00282153" w:rsidRPr="00B11CE5">
        <w:rPr>
          <w:rFonts w:asciiTheme="majorHAnsi" w:hAnsiTheme="majorHAnsi" w:cstheme="majorHAnsi"/>
          <w:sz w:val="22"/>
          <w:szCs w:val="22"/>
        </w:rPr>
        <w:t xml:space="preserve">e up </w:t>
      </w:r>
      <w:r w:rsidR="00B45038">
        <w:rPr>
          <w:rFonts w:asciiTheme="majorHAnsi" w:hAnsiTheme="majorHAnsi" w:cstheme="majorHAnsi"/>
          <w:sz w:val="22"/>
          <w:szCs w:val="22"/>
        </w:rPr>
        <w:t>94.8</w:t>
      </w:r>
      <w:r w:rsidR="00282153" w:rsidRPr="00B11CE5">
        <w:rPr>
          <w:rFonts w:asciiTheme="majorHAnsi" w:hAnsiTheme="majorHAnsi" w:cstheme="majorHAnsi"/>
          <w:sz w:val="22"/>
          <w:szCs w:val="22"/>
        </w:rPr>
        <w:t>% of total costs</w:t>
      </w:r>
      <w:r w:rsidRPr="00B11CE5">
        <w:rPr>
          <w:rFonts w:asciiTheme="majorHAnsi" w:hAnsiTheme="majorHAnsi" w:cstheme="majorHAnsi"/>
          <w:sz w:val="22"/>
          <w:szCs w:val="22"/>
        </w:rPr>
        <w:t xml:space="preserve">. </w:t>
      </w:r>
      <w:r w:rsidR="00614EFF">
        <w:rPr>
          <w:rFonts w:asciiTheme="majorHAnsi" w:hAnsiTheme="majorHAnsi" w:cstheme="majorHAnsi"/>
          <w:sz w:val="22"/>
          <w:szCs w:val="22"/>
        </w:rPr>
        <w:t>T</w:t>
      </w:r>
      <w:r w:rsidR="00CD1608" w:rsidRPr="00B11CE5">
        <w:rPr>
          <w:rFonts w:asciiTheme="majorHAnsi" w:hAnsiTheme="majorHAnsi" w:cstheme="majorHAnsi"/>
          <w:sz w:val="22"/>
          <w:szCs w:val="22"/>
        </w:rPr>
        <w:t xml:space="preserve">he proportion of </w:t>
      </w:r>
      <w:r w:rsidR="00AF4305" w:rsidRPr="00B11CE5">
        <w:rPr>
          <w:rFonts w:asciiTheme="majorHAnsi" w:hAnsiTheme="majorHAnsi" w:cstheme="majorHAnsi"/>
          <w:sz w:val="22"/>
          <w:szCs w:val="22"/>
        </w:rPr>
        <w:t xml:space="preserve">potentially </w:t>
      </w:r>
      <w:r w:rsidR="00CD1608" w:rsidRPr="00B11CE5">
        <w:rPr>
          <w:rFonts w:asciiTheme="majorHAnsi" w:hAnsiTheme="majorHAnsi" w:cstheme="majorHAnsi"/>
          <w:sz w:val="22"/>
          <w:szCs w:val="22"/>
        </w:rPr>
        <w:t xml:space="preserve">preventable acute care costs was small among </w:t>
      </w:r>
      <w:r w:rsidR="00614EFF">
        <w:rPr>
          <w:rFonts w:asciiTheme="majorHAnsi" w:hAnsiTheme="majorHAnsi" w:cstheme="majorHAnsi"/>
          <w:sz w:val="22"/>
          <w:szCs w:val="22"/>
        </w:rPr>
        <w:t xml:space="preserve">all </w:t>
      </w:r>
      <w:r w:rsidR="00CD1608" w:rsidRPr="00B11CE5">
        <w:rPr>
          <w:rFonts w:asciiTheme="majorHAnsi" w:hAnsiTheme="majorHAnsi" w:cstheme="majorHAnsi"/>
          <w:sz w:val="22"/>
          <w:szCs w:val="22"/>
        </w:rPr>
        <w:t>mental health high-cost patients</w:t>
      </w:r>
      <w:r w:rsidR="00614EFF">
        <w:rPr>
          <w:rFonts w:asciiTheme="majorHAnsi" w:hAnsiTheme="majorHAnsi" w:cstheme="majorHAnsi"/>
          <w:sz w:val="22"/>
          <w:szCs w:val="22"/>
        </w:rPr>
        <w:t xml:space="preserve"> </w:t>
      </w:r>
      <w:r w:rsidR="00EA1F1C">
        <w:rPr>
          <w:rFonts w:asciiTheme="majorHAnsi" w:hAnsiTheme="majorHAnsi" w:cstheme="majorHAnsi"/>
          <w:sz w:val="22"/>
          <w:szCs w:val="22"/>
        </w:rPr>
        <w:t>(0.5% of total costs)</w:t>
      </w:r>
      <w:r w:rsidRPr="00B11CE5">
        <w:rPr>
          <w:rFonts w:asciiTheme="majorHAnsi" w:hAnsiTheme="majorHAnsi" w:cstheme="majorHAnsi"/>
          <w:sz w:val="22"/>
          <w:szCs w:val="22"/>
        </w:rPr>
        <w:t>.</w:t>
      </w:r>
      <w:r w:rsidR="00935579" w:rsidRPr="00B11CE5">
        <w:rPr>
          <w:rFonts w:asciiTheme="majorHAnsi" w:hAnsiTheme="majorHAnsi" w:cstheme="majorHAnsi"/>
          <w:sz w:val="22"/>
          <w:szCs w:val="22"/>
        </w:rPr>
        <w:t xml:space="preserve"> </w:t>
      </w:r>
      <w:r w:rsidR="00A4506E" w:rsidRPr="00B11CE5">
        <w:rPr>
          <w:rFonts w:asciiTheme="majorHAnsi" w:hAnsiTheme="majorHAnsi" w:cstheme="majorHAnsi"/>
          <w:sz w:val="22"/>
          <w:szCs w:val="22"/>
        </w:rPr>
        <w:t xml:space="preserve">Costs were </w:t>
      </w:r>
      <w:r w:rsidR="00AF4305" w:rsidRPr="00B11CE5">
        <w:rPr>
          <w:rFonts w:asciiTheme="majorHAnsi" w:hAnsiTheme="majorHAnsi" w:cstheme="majorHAnsi"/>
          <w:sz w:val="22"/>
          <w:szCs w:val="22"/>
        </w:rPr>
        <w:t>quite high</w:t>
      </w:r>
      <w:r w:rsidR="00A4506E" w:rsidRPr="00B11CE5">
        <w:rPr>
          <w:rFonts w:asciiTheme="majorHAnsi" w:hAnsiTheme="majorHAnsi" w:cstheme="majorHAnsi"/>
          <w:sz w:val="22"/>
          <w:szCs w:val="22"/>
        </w:rPr>
        <w:t xml:space="preserve"> over the 8 years for persistent mental health high-cost patients, </w:t>
      </w:r>
      <w:r w:rsidR="00FA12C8">
        <w:rPr>
          <w:rFonts w:asciiTheme="majorHAnsi" w:hAnsiTheme="majorHAnsi" w:cstheme="majorHAnsi"/>
          <w:sz w:val="22"/>
          <w:szCs w:val="22"/>
        </w:rPr>
        <w:t>albeit</w:t>
      </w:r>
      <w:r w:rsidR="00A4506E" w:rsidRPr="00B11CE5">
        <w:rPr>
          <w:rFonts w:asciiTheme="majorHAnsi" w:hAnsiTheme="majorHAnsi" w:cstheme="majorHAnsi"/>
          <w:sz w:val="22"/>
          <w:szCs w:val="22"/>
        </w:rPr>
        <w:t xml:space="preserve"> </w:t>
      </w:r>
      <w:r w:rsidR="00FA25A0">
        <w:rPr>
          <w:rFonts w:asciiTheme="majorHAnsi" w:hAnsiTheme="majorHAnsi" w:cstheme="majorHAnsi"/>
          <w:sz w:val="22"/>
          <w:szCs w:val="22"/>
        </w:rPr>
        <w:t xml:space="preserve">these </w:t>
      </w:r>
      <w:r w:rsidR="00A4506E" w:rsidRPr="00B11CE5">
        <w:rPr>
          <w:rFonts w:asciiTheme="majorHAnsi" w:hAnsiTheme="majorHAnsi" w:cstheme="majorHAnsi"/>
          <w:sz w:val="22"/>
          <w:szCs w:val="22"/>
        </w:rPr>
        <w:t>decreas</w:t>
      </w:r>
      <w:r w:rsidR="00FA25A0">
        <w:rPr>
          <w:rFonts w:asciiTheme="majorHAnsi" w:hAnsiTheme="majorHAnsi" w:cstheme="majorHAnsi"/>
          <w:sz w:val="22"/>
          <w:szCs w:val="22"/>
        </w:rPr>
        <w:t>ed</w:t>
      </w:r>
      <w:r w:rsidR="00A4506E" w:rsidRPr="00B11CE5">
        <w:rPr>
          <w:rFonts w:asciiTheme="majorHAnsi" w:hAnsiTheme="majorHAnsi" w:cstheme="majorHAnsi"/>
          <w:sz w:val="22"/>
          <w:szCs w:val="22"/>
        </w:rPr>
        <w:t xml:space="preserve"> </w:t>
      </w:r>
      <w:r w:rsidR="00FF4DA4">
        <w:rPr>
          <w:rFonts w:asciiTheme="majorHAnsi" w:hAnsiTheme="majorHAnsi" w:cstheme="majorHAnsi"/>
          <w:sz w:val="22"/>
          <w:szCs w:val="22"/>
        </w:rPr>
        <w:t xml:space="preserve">a bit </w:t>
      </w:r>
      <w:r w:rsidR="00FA12C8">
        <w:rPr>
          <w:rFonts w:asciiTheme="majorHAnsi" w:hAnsiTheme="majorHAnsi" w:cstheme="majorHAnsi"/>
          <w:sz w:val="22"/>
          <w:szCs w:val="22"/>
        </w:rPr>
        <w:t>over time</w:t>
      </w:r>
      <w:r w:rsidR="005043B1">
        <w:rPr>
          <w:rFonts w:asciiTheme="majorHAnsi" w:hAnsiTheme="majorHAnsi" w:cstheme="majorHAnsi"/>
          <w:sz w:val="22"/>
          <w:szCs w:val="22"/>
        </w:rPr>
        <w:t xml:space="preserve"> (Figure 1)</w:t>
      </w:r>
      <w:r w:rsidR="00A4506E" w:rsidRPr="00E03190">
        <w:rPr>
          <w:rFonts w:asciiTheme="majorHAnsi" w:hAnsiTheme="majorHAnsi" w:cstheme="majorHAnsi"/>
          <w:sz w:val="22"/>
          <w:szCs w:val="22"/>
        </w:rPr>
        <w:t xml:space="preserve">. Costs </w:t>
      </w:r>
      <w:r w:rsidR="009C750D" w:rsidRPr="00E03190">
        <w:rPr>
          <w:rFonts w:asciiTheme="majorHAnsi" w:hAnsiTheme="majorHAnsi" w:cstheme="majorHAnsi"/>
          <w:sz w:val="22"/>
          <w:szCs w:val="22"/>
        </w:rPr>
        <w:t xml:space="preserve">were lower </w:t>
      </w:r>
      <w:r w:rsidR="00A4506E" w:rsidRPr="00E03190">
        <w:rPr>
          <w:rFonts w:asciiTheme="majorHAnsi" w:hAnsiTheme="majorHAnsi" w:cstheme="majorHAnsi"/>
          <w:sz w:val="22"/>
          <w:szCs w:val="22"/>
        </w:rPr>
        <w:t xml:space="preserve">for </w:t>
      </w:r>
      <w:r w:rsidR="00886477">
        <w:rPr>
          <w:rFonts w:asciiTheme="majorHAnsi" w:hAnsiTheme="majorHAnsi" w:cstheme="majorHAnsi"/>
          <w:sz w:val="22"/>
          <w:szCs w:val="22"/>
        </w:rPr>
        <w:t>other</w:t>
      </w:r>
      <w:r w:rsidR="00A4506E" w:rsidRPr="00E03190">
        <w:rPr>
          <w:rFonts w:asciiTheme="majorHAnsi" w:hAnsiTheme="majorHAnsi" w:cstheme="majorHAnsi"/>
          <w:sz w:val="22"/>
          <w:szCs w:val="22"/>
        </w:rPr>
        <w:t xml:space="preserve"> mental health high-cost patients</w:t>
      </w:r>
      <w:r w:rsidR="00886477">
        <w:rPr>
          <w:rFonts w:asciiTheme="majorHAnsi" w:hAnsiTheme="majorHAnsi" w:cstheme="majorHAnsi"/>
          <w:sz w:val="22"/>
          <w:szCs w:val="22"/>
        </w:rPr>
        <w:t xml:space="preserve"> and followed a similar pattern</w:t>
      </w:r>
      <w:r w:rsidR="00193B3A">
        <w:rPr>
          <w:rFonts w:asciiTheme="majorHAnsi" w:hAnsiTheme="majorHAnsi" w:cstheme="majorHAnsi"/>
          <w:sz w:val="22"/>
          <w:szCs w:val="22"/>
        </w:rPr>
        <w:t xml:space="preserve"> but decreased substantially more over time</w:t>
      </w:r>
      <w:r w:rsidR="00A3423B">
        <w:rPr>
          <w:rFonts w:asciiTheme="majorHAnsi" w:hAnsiTheme="majorHAnsi" w:cstheme="majorHAnsi"/>
          <w:sz w:val="22"/>
          <w:szCs w:val="22"/>
        </w:rPr>
        <w:t>,</w:t>
      </w:r>
      <w:r w:rsidR="00FF4DA4">
        <w:rPr>
          <w:rFonts w:asciiTheme="majorHAnsi" w:hAnsiTheme="majorHAnsi" w:cstheme="majorHAnsi"/>
          <w:sz w:val="22"/>
          <w:szCs w:val="22"/>
        </w:rPr>
        <w:t xml:space="preserve"> in particular after the first year for sporadic mental health high-cost patients</w:t>
      </w:r>
      <w:r w:rsidR="00A4506E" w:rsidRPr="00E03190">
        <w:rPr>
          <w:rFonts w:asciiTheme="majorHAnsi" w:hAnsiTheme="majorHAnsi" w:cstheme="majorHAnsi"/>
          <w:sz w:val="22"/>
          <w:szCs w:val="22"/>
        </w:rPr>
        <w:t xml:space="preserve">. </w:t>
      </w:r>
      <w:r w:rsidR="00A77B74">
        <w:rPr>
          <w:rFonts w:asciiTheme="majorHAnsi" w:hAnsiTheme="majorHAnsi" w:cstheme="majorHAnsi"/>
          <w:sz w:val="22"/>
          <w:szCs w:val="22"/>
        </w:rPr>
        <w:t>The</w:t>
      </w:r>
      <w:r w:rsidR="000A5E25">
        <w:rPr>
          <w:rFonts w:asciiTheme="majorHAnsi" w:hAnsiTheme="majorHAnsi" w:cstheme="majorHAnsi"/>
          <w:sz w:val="22"/>
          <w:szCs w:val="22"/>
        </w:rPr>
        <w:t xml:space="preserve"> change in costs was greater for </w:t>
      </w:r>
      <w:r w:rsidR="001E7EAE">
        <w:rPr>
          <w:rFonts w:asciiTheme="majorHAnsi" w:hAnsiTheme="majorHAnsi" w:cstheme="majorHAnsi"/>
          <w:sz w:val="22"/>
          <w:szCs w:val="22"/>
        </w:rPr>
        <w:t>moderate</w:t>
      </w:r>
      <w:r w:rsidR="000A5E25">
        <w:rPr>
          <w:rFonts w:asciiTheme="majorHAnsi" w:hAnsiTheme="majorHAnsi" w:cstheme="majorHAnsi"/>
          <w:sz w:val="22"/>
          <w:szCs w:val="22"/>
        </w:rPr>
        <w:t xml:space="preserve"> high-cost patients</w:t>
      </w:r>
      <w:r w:rsidR="00E67291">
        <w:rPr>
          <w:rFonts w:asciiTheme="majorHAnsi" w:hAnsiTheme="majorHAnsi" w:cstheme="majorHAnsi"/>
          <w:sz w:val="22"/>
          <w:szCs w:val="22"/>
        </w:rPr>
        <w:t xml:space="preserve"> (</w:t>
      </w:r>
      <w:r w:rsidR="00437CFB">
        <w:rPr>
          <w:rFonts w:ascii="Calibri" w:hAnsi="Calibri" w:cstheme="majorHAnsi"/>
          <w:sz w:val="22"/>
          <w:szCs w:val="22"/>
        </w:rPr>
        <w:t>β</w:t>
      </w:r>
      <w:r w:rsidR="00437CFB" w:rsidRPr="00DA4388">
        <w:rPr>
          <w:rFonts w:asciiTheme="majorHAnsi" w:hAnsiTheme="majorHAnsi" w:cstheme="majorHAnsi"/>
          <w:sz w:val="22"/>
          <w:szCs w:val="22"/>
          <w:vertAlign w:val="subscript"/>
        </w:rPr>
        <w:t>m</w:t>
      </w:r>
      <w:r w:rsidR="00437CFB">
        <w:rPr>
          <w:rFonts w:asciiTheme="majorHAnsi" w:hAnsiTheme="majorHAnsi" w:cstheme="majorHAnsi"/>
          <w:sz w:val="22"/>
          <w:szCs w:val="22"/>
        </w:rPr>
        <w:t>=</w:t>
      </w:r>
      <w:r w:rsidR="00E67291">
        <w:rPr>
          <w:rFonts w:asciiTheme="majorHAnsi" w:hAnsiTheme="majorHAnsi" w:cstheme="majorHAnsi"/>
          <w:sz w:val="22"/>
          <w:szCs w:val="22"/>
        </w:rPr>
        <w:t>-2,935, p-value</w:t>
      </w:r>
      <w:r w:rsidR="00673781">
        <w:rPr>
          <w:rFonts w:asciiTheme="majorHAnsi" w:hAnsiTheme="majorHAnsi" w:cstheme="majorHAnsi"/>
          <w:sz w:val="22"/>
          <w:szCs w:val="22"/>
        </w:rPr>
        <w:t>&lt;0.001</w:t>
      </w:r>
      <w:r w:rsidR="00E67291">
        <w:rPr>
          <w:rFonts w:asciiTheme="majorHAnsi" w:hAnsiTheme="majorHAnsi" w:cstheme="majorHAnsi"/>
          <w:sz w:val="22"/>
          <w:szCs w:val="22"/>
        </w:rPr>
        <w:t>)</w:t>
      </w:r>
      <w:r w:rsidR="00673781">
        <w:rPr>
          <w:rFonts w:asciiTheme="majorHAnsi" w:hAnsiTheme="majorHAnsi" w:cstheme="majorHAnsi"/>
          <w:sz w:val="22"/>
          <w:szCs w:val="22"/>
        </w:rPr>
        <w:t xml:space="preserve"> followed by sporadic (</w:t>
      </w:r>
      <w:r w:rsidR="00437CFB">
        <w:rPr>
          <w:rFonts w:ascii="Calibri" w:hAnsi="Calibri" w:cstheme="majorHAnsi"/>
          <w:sz w:val="22"/>
          <w:szCs w:val="22"/>
        </w:rPr>
        <w:t>β</w:t>
      </w:r>
      <w:r w:rsidR="00437CFB">
        <w:rPr>
          <w:rFonts w:asciiTheme="majorHAnsi" w:hAnsiTheme="majorHAnsi" w:cstheme="majorHAnsi"/>
          <w:sz w:val="22"/>
          <w:szCs w:val="22"/>
          <w:vertAlign w:val="subscript"/>
        </w:rPr>
        <w:t>s</w:t>
      </w:r>
      <w:r w:rsidR="00437CFB">
        <w:rPr>
          <w:rFonts w:asciiTheme="majorHAnsi" w:hAnsiTheme="majorHAnsi" w:cstheme="majorHAnsi"/>
          <w:sz w:val="22"/>
          <w:szCs w:val="22"/>
        </w:rPr>
        <w:t>=-</w:t>
      </w:r>
      <w:r w:rsidR="00673781">
        <w:rPr>
          <w:rFonts w:asciiTheme="majorHAnsi" w:hAnsiTheme="majorHAnsi" w:cstheme="majorHAnsi"/>
          <w:sz w:val="22"/>
          <w:szCs w:val="22"/>
        </w:rPr>
        <w:t>2,067, p-value&lt;0.001) and persistent high-cost patients (</w:t>
      </w:r>
      <w:r w:rsidR="00437CFB">
        <w:rPr>
          <w:rFonts w:ascii="Calibri" w:hAnsi="Calibri" w:cstheme="majorHAnsi"/>
          <w:sz w:val="22"/>
          <w:szCs w:val="22"/>
        </w:rPr>
        <w:t>β</w:t>
      </w:r>
      <w:r w:rsidR="00437CFB">
        <w:rPr>
          <w:rFonts w:asciiTheme="majorHAnsi" w:hAnsiTheme="majorHAnsi" w:cstheme="majorHAnsi"/>
          <w:sz w:val="22"/>
          <w:szCs w:val="22"/>
          <w:vertAlign w:val="subscript"/>
        </w:rPr>
        <w:t>p</w:t>
      </w:r>
      <w:r w:rsidR="00437CFB">
        <w:rPr>
          <w:rFonts w:asciiTheme="majorHAnsi" w:hAnsiTheme="majorHAnsi" w:cstheme="majorHAnsi"/>
          <w:sz w:val="22"/>
          <w:szCs w:val="22"/>
        </w:rPr>
        <w:t>=-</w:t>
      </w:r>
      <w:r w:rsidR="00673781">
        <w:rPr>
          <w:rFonts w:asciiTheme="majorHAnsi" w:hAnsiTheme="majorHAnsi" w:cstheme="majorHAnsi"/>
          <w:sz w:val="22"/>
          <w:szCs w:val="22"/>
        </w:rPr>
        <w:t>-918, p-value&lt;0.001)</w:t>
      </w:r>
      <w:r w:rsidR="00D16AA4">
        <w:rPr>
          <w:rFonts w:asciiTheme="majorHAnsi" w:hAnsiTheme="majorHAnsi" w:cstheme="majorHAnsi"/>
          <w:sz w:val="22"/>
          <w:szCs w:val="22"/>
        </w:rPr>
        <w:t>; all between-group</w:t>
      </w:r>
      <w:r w:rsidR="001E7EAE">
        <w:rPr>
          <w:rFonts w:asciiTheme="majorHAnsi" w:hAnsiTheme="majorHAnsi" w:cstheme="majorHAnsi"/>
          <w:sz w:val="22"/>
          <w:szCs w:val="22"/>
        </w:rPr>
        <w:t xml:space="preserve"> differences were statistically </w:t>
      </w:r>
      <w:r w:rsidR="00AB4253">
        <w:rPr>
          <w:rFonts w:asciiTheme="majorHAnsi" w:hAnsiTheme="majorHAnsi" w:cstheme="majorHAnsi"/>
          <w:sz w:val="22"/>
          <w:szCs w:val="22"/>
        </w:rPr>
        <w:t>significant</w:t>
      </w:r>
      <w:r w:rsidR="00E15FDB">
        <w:rPr>
          <w:rFonts w:asciiTheme="majorHAnsi" w:hAnsiTheme="majorHAnsi" w:cstheme="majorHAnsi"/>
          <w:sz w:val="22"/>
          <w:szCs w:val="22"/>
        </w:rPr>
        <w:t xml:space="preserve"> (p-value&lt;0.001)</w:t>
      </w:r>
      <w:r w:rsidR="000A5E25">
        <w:rPr>
          <w:rFonts w:asciiTheme="majorHAnsi" w:hAnsiTheme="majorHAnsi" w:cstheme="majorHAnsi"/>
          <w:sz w:val="22"/>
          <w:szCs w:val="22"/>
        </w:rPr>
        <w:t>.</w:t>
      </w:r>
      <w:r w:rsidR="003D2B06">
        <w:rPr>
          <w:rFonts w:asciiTheme="majorHAnsi" w:hAnsiTheme="majorHAnsi" w:cstheme="majorHAnsi"/>
          <w:sz w:val="22"/>
          <w:szCs w:val="22"/>
        </w:rPr>
        <w:t xml:space="preserve"> </w:t>
      </w:r>
      <w:r w:rsidR="00A4506E" w:rsidRPr="00E03190">
        <w:rPr>
          <w:rFonts w:asciiTheme="majorHAnsi" w:hAnsiTheme="majorHAnsi" w:cstheme="majorHAnsi"/>
          <w:sz w:val="22"/>
          <w:szCs w:val="22"/>
        </w:rPr>
        <w:t>Table A</w:t>
      </w:r>
      <w:r w:rsidR="00440E41">
        <w:rPr>
          <w:rFonts w:asciiTheme="majorHAnsi" w:hAnsiTheme="majorHAnsi" w:cstheme="majorHAnsi"/>
          <w:sz w:val="22"/>
          <w:szCs w:val="22"/>
        </w:rPr>
        <w:t>2</w:t>
      </w:r>
      <w:r w:rsidR="00BF4650" w:rsidRPr="00E03190">
        <w:rPr>
          <w:rFonts w:asciiTheme="majorHAnsi" w:hAnsiTheme="majorHAnsi" w:cstheme="majorHAnsi"/>
          <w:sz w:val="22"/>
          <w:szCs w:val="22"/>
        </w:rPr>
        <w:t xml:space="preserve"> in the Appendix provides</w:t>
      </w:r>
      <w:r w:rsidR="00A4506E" w:rsidRPr="00E03190">
        <w:rPr>
          <w:rFonts w:asciiTheme="majorHAnsi" w:hAnsiTheme="majorHAnsi" w:cstheme="majorHAnsi"/>
          <w:sz w:val="22"/>
          <w:szCs w:val="22"/>
        </w:rPr>
        <w:t xml:space="preserve"> cost</w:t>
      </w:r>
      <w:r w:rsidR="00F97ED0" w:rsidRPr="00E03190">
        <w:rPr>
          <w:rFonts w:asciiTheme="majorHAnsi" w:hAnsiTheme="majorHAnsi" w:cstheme="majorHAnsi"/>
          <w:sz w:val="22"/>
          <w:szCs w:val="22"/>
        </w:rPr>
        <w:t>s</w:t>
      </w:r>
      <w:r w:rsidR="00A4506E" w:rsidRPr="00E03190">
        <w:rPr>
          <w:rFonts w:asciiTheme="majorHAnsi" w:hAnsiTheme="majorHAnsi" w:cstheme="majorHAnsi"/>
          <w:sz w:val="22"/>
          <w:szCs w:val="22"/>
        </w:rPr>
        <w:t xml:space="preserve"> by health service for each year.</w:t>
      </w:r>
    </w:p>
    <w:p w14:paraId="6716F714" w14:textId="30442ABC" w:rsidR="00C1526A" w:rsidRPr="00E03190" w:rsidRDefault="00A4506E" w:rsidP="004B1B31">
      <w:pPr>
        <w:spacing w:line="480" w:lineRule="auto"/>
        <w:rPr>
          <w:rFonts w:asciiTheme="majorHAnsi" w:hAnsiTheme="majorHAnsi" w:cstheme="majorHAnsi"/>
          <w:sz w:val="22"/>
          <w:szCs w:val="22"/>
        </w:rPr>
      </w:pPr>
      <w:r w:rsidRPr="00E03190">
        <w:rPr>
          <w:rFonts w:asciiTheme="majorHAnsi" w:hAnsiTheme="majorHAnsi" w:cstheme="majorHAnsi"/>
          <w:sz w:val="22"/>
          <w:szCs w:val="22"/>
        </w:rPr>
        <w:t xml:space="preserve"> </w:t>
      </w:r>
    </w:p>
    <w:p w14:paraId="7D69DC17" w14:textId="5ABB1024" w:rsidR="00AB774C" w:rsidRPr="00886477" w:rsidRDefault="00102C01" w:rsidP="004B1B31">
      <w:pPr>
        <w:spacing w:line="480" w:lineRule="auto"/>
        <w:rPr>
          <w:rFonts w:asciiTheme="majorHAnsi" w:hAnsiTheme="majorHAnsi" w:cstheme="majorHAnsi"/>
          <w:sz w:val="22"/>
          <w:szCs w:val="22"/>
        </w:rPr>
      </w:pPr>
      <w:r>
        <w:rPr>
          <w:rFonts w:asciiTheme="majorHAnsi" w:hAnsiTheme="majorHAnsi" w:cstheme="majorHAnsi"/>
          <w:sz w:val="22"/>
          <w:szCs w:val="22"/>
        </w:rPr>
        <w:t>T</w:t>
      </w:r>
      <w:r w:rsidR="00173026" w:rsidRPr="00886477">
        <w:rPr>
          <w:rFonts w:asciiTheme="majorHAnsi" w:hAnsiTheme="majorHAnsi" w:cstheme="majorHAnsi"/>
          <w:sz w:val="22"/>
          <w:szCs w:val="22"/>
        </w:rPr>
        <w:t xml:space="preserve">he </w:t>
      </w:r>
      <w:r w:rsidR="007556DF" w:rsidRPr="00886477">
        <w:rPr>
          <w:rFonts w:asciiTheme="majorHAnsi" w:hAnsiTheme="majorHAnsi" w:cstheme="majorHAnsi"/>
          <w:sz w:val="22"/>
          <w:szCs w:val="22"/>
        </w:rPr>
        <w:t>risk of</w:t>
      </w:r>
      <w:r w:rsidR="005F4BF3" w:rsidRPr="00886477">
        <w:rPr>
          <w:rFonts w:asciiTheme="majorHAnsi" w:hAnsiTheme="majorHAnsi" w:cstheme="majorHAnsi"/>
          <w:sz w:val="22"/>
          <w:szCs w:val="22"/>
        </w:rPr>
        <w:t xml:space="preserve"> b</w:t>
      </w:r>
      <w:r w:rsidR="0050749A" w:rsidRPr="00886477">
        <w:rPr>
          <w:rFonts w:asciiTheme="majorHAnsi" w:hAnsiTheme="majorHAnsi" w:cstheme="majorHAnsi"/>
          <w:sz w:val="22"/>
          <w:szCs w:val="22"/>
        </w:rPr>
        <w:t>eing a persistent high-cost patient</w:t>
      </w:r>
      <w:r w:rsidR="00462D36" w:rsidRPr="00886477">
        <w:rPr>
          <w:rFonts w:asciiTheme="majorHAnsi" w:hAnsiTheme="majorHAnsi" w:cstheme="majorHAnsi"/>
          <w:sz w:val="22"/>
          <w:szCs w:val="22"/>
        </w:rPr>
        <w:t>, compared to being</w:t>
      </w:r>
      <w:r w:rsidR="0050749A" w:rsidRPr="00886477">
        <w:rPr>
          <w:rFonts w:asciiTheme="majorHAnsi" w:hAnsiTheme="majorHAnsi" w:cstheme="majorHAnsi"/>
          <w:sz w:val="22"/>
          <w:szCs w:val="22"/>
        </w:rPr>
        <w:t xml:space="preserve"> a sporadic high-cost patient</w:t>
      </w:r>
      <w:r w:rsidR="00462D36" w:rsidRPr="00886477">
        <w:rPr>
          <w:rFonts w:asciiTheme="majorHAnsi" w:hAnsiTheme="majorHAnsi" w:cstheme="majorHAnsi"/>
          <w:sz w:val="22"/>
          <w:szCs w:val="22"/>
        </w:rPr>
        <w:t>,</w:t>
      </w:r>
      <w:r w:rsidR="0050749A" w:rsidRPr="00886477">
        <w:rPr>
          <w:rFonts w:asciiTheme="majorHAnsi" w:hAnsiTheme="majorHAnsi" w:cstheme="majorHAnsi"/>
          <w:sz w:val="22"/>
          <w:szCs w:val="22"/>
        </w:rPr>
        <w:t xml:space="preserve"> </w:t>
      </w:r>
      <w:r w:rsidR="004F1BE7" w:rsidRPr="00886477">
        <w:rPr>
          <w:rFonts w:asciiTheme="majorHAnsi" w:hAnsiTheme="majorHAnsi" w:cstheme="majorHAnsi"/>
          <w:sz w:val="22"/>
          <w:szCs w:val="22"/>
        </w:rPr>
        <w:t xml:space="preserve">was </w:t>
      </w:r>
      <w:r w:rsidR="007556DF" w:rsidRPr="00886477">
        <w:rPr>
          <w:rFonts w:asciiTheme="majorHAnsi" w:hAnsiTheme="majorHAnsi" w:cstheme="majorHAnsi"/>
          <w:sz w:val="22"/>
          <w:szCs w:val="22"/>
        </w:rPr>
        <w:t>higher</w:t>
      </w:r>
      <w:r w:rsidR="00CE5608" w:rsidRPr="00886477">
        <w:rPr>
          <w:rFonts w:asciiTheme="majorHAnsi" w:hAnsiTheme="majorHAnsi" w:cstheme="majorHAnsi"/>
          <w:sz w:val="22"/>
          <w:szCs w:val="22"/>
        </w:rPr>
        <w:t xml:space="preserve"> for </w:t>
      </w:r>
      <w:r w:rsidR="0050749A" w:rsidRPr="00886477">
        <w:rPr>
          <w:rFonts w:asciiTheme="majorHAnsi" w:hAnsiTheme="majorHAnsi" w:cstheme="majorHAnsi"/>
          <w:sz w:val="22"/>
          <w:szCs w:val="22"/>
        </w:rPr>
        <w:t>older</w:t>
      </w:r>
      <w:r w:rsidR="00CE5608" w:rsidRPr="00886477">
        <w:rPr>
          <w:rFonts w:asciiTheme="majorHAnsi" w:hAnsiTheme="majorHAnsi" w:cstheme="majorHAnsi"/>
          <w:sz w:val="22"/>
          <w:szCs w:val="22"/>
        </w:rPr>
        <w:t xml:space="preserve"> patients</w:t>
      </w:r>
      <w:r w:rsidR="009F1D22" w:rsidRPr="00886477">
        <w:rPr>
          <w:rFonts w:asciiTheme="majorHAnsi" w:hAnsiTheme="majorHAnsi" w:cstheme="majorHAnsi"/>
          <w:sz w:val="22"/>
          <w:szCs w:val="22"/>
        </w:rPr>
        <w:t xml:space="preserve"> (</w:t>
      </w:r>
      <w:r>
        <w:rPr>
          <w:rFonts w:asciiTheme="majorHAnsi" w:hAnsiTheme="majorHAnsi" w:cstheme="majorHAnsi"/>
          <w:sz w:val="22"/>
          <w:szCs w:val="22"/>
        </w:rPr>
        <w:t>v</w:t>
      </w:r>
      <w:r w:rsidR="00D24347">
        <w:rPr>
          <w:rFonts w:asciiTheme="majorHAnsi" w:hAnsiTheme="majorHAnsi" w:cstheme="majorHAnsi"/>
          <w:sz w:val="22"/>
          <w:szCs w:val="22"/>
        </w:rPr>
        <w:t>s</w:t>
      </w:r>
      <w:r>
        <w:rPr>
          <w:rFonts w:asciiTheme="majorHAnsi" w:hAnsiTheme="majorHAnsi" w:cstheme="majorHAnsi"/>
          <w:sz w:val="22"/>
          <w:szCs w:val="22"/>
        </w:rPr>
        <w:t xml:space="preserve">. ages 18-44, ages </w:t>
      </w:r>
      <w:r w:rsidR="009F1D22" w:rsidRPr="00886477">
        <w:rPr>
          <w:rFonts w:asciiTheme="majorHAnsi" w:hAnsiTheme="majorHAnsi" w:cstheme="majorHAnsi"/>
          <w:sz w:val="22"/>
          <w:szCs w:val="22"/>
        </w:rPr>
        <w:t>45-64</w:t>
      </w:r>
      <w:r>
        <w:rPr>
          <w:rFonts w:asciiTheme="majorHAnsi" w:hAnsiTheme="majorHAnsi" w:cstheme="majorHAnsi"/>
          <w:sz w:val="22"/>
          <w:szCs w:val="22"/>
        </w:rPr>
        <w:t>, RRR 1.19, 95% CI 1.13 to 1.25;</w:t>
      </w:r>
      <w:r w:rsidR="0050749A" w:rsidRPr="00886477">
        <w:rPr>
          <w:rFonts w:asciiTheme="majorHAnsi" w:hAnsiTheme="majorHAnsi" w:cstheme="majorHAnsi"/>
          <w:sz w:val="22"/>
          <w:szCs w:val="22"/>
        </w:rPr>
        <w:t xml:space="preserve"> </w:t>
      </w:r>
      <w:r>
        <w:rPr>
          <w:rFonts w:asciiTheme="majorHAnsi" w:hAnsiTheme="majorHAnsi" w:cstheme="majorHAnsi"/>
          <w:sz w:val="22"/>
          <w:szCs w:val="22"/>
        </w:rPr>
        <w:t>ages</w:t>
      </w:r>
      <w:r w:rsidRPr="00886477">
        <w:rPr>
          <w:rFonts w:asciiTheme="majorHAnsi" w:hAnsiTheme="majorHAnsi" w:cstheme="majorHAnsi"/>
          <w:sz w:val="22"/>
          <w:szCs w:val="22"/>
        </w:rPr>
        <w:t xml:space="preserve"> </w:t>
      </w:r>
      <w:r w:rsidR="0050749A" w:rsidRPr="00886477">
        <w:rPr>
          <w:rFonts w:asciiTheme="majorHAnsi" w:hAnsiTheme="majorHAnsi" w:cstheme="majorHAnsi"/>
          <w:sz w:val="22"/>
          <w:szCs w:val="22"/>
        </w:rPr>
        <w:t>65-84</w:t>
      </w:r>
      <w:r>
        <w:rPr>
          <w:rFonts w:asciiTheme="majorHAnsi" w:hAnsiTheme="majorHAnsi" w:cstheme="majorHAnsi"/>
          <w:sz w:val="22"/>
          <w:szCs w:val="22"/>
        </w:rPr>
        <w:t>, RRR 1.70, 95% CI 1.52 to 1.89</w:t>
      </w:r>
      <w:r w:rsidR="00EC6892">
        <w:rPr>
          <w:rFonts w:asciiTheme="majorHAnsi" w:hAnsiTheme="majorHAnsi" w:cstheme="majorHAnsi"/>
          <w:sz w:val="22"/>
          <w:szCs w:val="22"/>
        </w:rPr>
        <w:t>; ages 85-105, RRR 1.23, 95% CI 0.93 to 1.62</w:t>
      </w:r>
      <w:r w:rsidR="009F1D22" w:rsidRPr="00886477">
        <w:rPr>
          <w:rFonts w:asciiTheme="majorHAnsi" w:hAnsiTheme="majorHAnsi" w:cstheme="majorHAnsi"/>
          <w:sz w:val="22"/>
          <w:szCs w:val="22"/>
        </w:rPr>
        <w:t>)</w:t>
      </w:r>
      <w:r w:rsidR="00CE5608" w:rsidRPr="00886477">
        <w:rPr>
          <w:rFonts w:asciiTheme="majorHAnsi" w:hAnsiTheme="majorHAnsi" w:cstheme="majorHAnsi"/>
          <w:sz w:val="22"/>
          <w:szCs w:val="22"/>
        </w:rPr>
        <w:t xml:space="preserve">, </w:t>
      </w:r>
      <w:r w:rsidR="004F1BE7" w:rsidRPr="00886477">
        <w:rPr>
          <w:rFonts w:asciiTheme="majorHAnsi" w:hAnsiTheme="majorHAnsi" w:cstheme="majorHAnsi"/>
          <w:sz w:val="22"/>
          <w:szCs w:val="22"/>
        </w:rPr>
        <w:t xml:space="preserve">but </w:t>
      </w:r>
      <w:r w:rsidR="007556DF" w:rsidRPr="00886477">
        <w:rPr>
          <w:rFonts w:asciiTheme="majorHAnsi" w:hAnsiTheme="majorHAnsi" w:cstheme="majorHAnsi"/>
          <w:sz w:val="22"/>
          <w:szCs w:val="22"/>
        </w:rPr>
        <w:t>lower</w:t>
      </w:r>
      <w:r w:rsidR="004F1BE7" w:rsidRPr="00886477">
        <w:rPr>
          <w:rFonts w:asciiTheme="majorHAnsi" w:hAnsiTheme="majorHAnsi" w:cstheme="majorHAnsi"/>
          <w:sz w:val="22"/>
          <w:szCs w:val="22"/>
        </w:rPr>
        <w:t xml:space="preserve"> for</w:t>
      </w:r>
      <w:r w:rsidR="00462D36" w:rsidRPr="00886477">
        <w:rPr>
          <w:rFonts w:asciiTheme="majorHAnsi" w:hAnsiTheme="majorHAnsi" w:cstheme="majorHAnsi"/>
          <w:sz w:val="22"/>
          <w:szCs w:val="22"/>
        </w:rPr>
        <w:t xml:space="preserve"> males</w:t>
      </w:r>
      <w:r w:rsidR="00EB5E9A">
        <w:rPr>
          <w:rFonts w:asciiTheme="majorHAnsi" w:hAnsiTheme="majorHAnsi" w:cstheme="majorHAnsi"/>
          <w:sz w:val="22"/>
          <w:szCs w:val="22"/>
        </w:rPr>
        <w:t xml:space="preserve"> (RRR 0.79, 95% CI 0.75 to 0.82)</w:t>
      </w:r>
      <w:r w:rsidR="00462D36" w:rsidRPr="00886477">
        <w:rPr>
          <w:rFonts w:asciiTheme="majorHAnsi" w:hAnsiTheme="majorHAnsi" w:cstheme="majorHAnsi"/>
          <w:sz w:val="22"/>
          <w:szCs w:val="22"/>
        </w:rPr>
        <w:t>,</w:t>
      </w:r>
      <w:r w:rsidR="004F1BE7" w:rsidRPr="00886477">
        <w:rPr>
          <w:rFonts w:asciiTheme="majorHAnsi" w:hAnsiTheme="majorHAnsi" w:cstheme="majorHAnsi"/>
          <w:sz w:val="22"/>
          <w:szCs w:val="22"/>
        </w:rPr>
        <w:t xml:space="preserve"> </w:t>
      </w:r>
      <w:r w:rsidR="00462D36" w:rsidRPr="00886477">
        <w:rPr>
          <w:rFonts w:asciiTheme="majorHAnsi" w:hAnsiTheme="majorHAnsi" w:cstheme="majorHAnsi"/>
          <w:sz w:val="22"/>
          <w:szCs w:val="22"/>
        </w:rPr>
        <w:t xml:space="preserve">immigrants </w:t>
      </w:r>
      <w:r w:rsidR="00EB5E9A">
        <w:rPr>
          <w:rFonts w:asciiTheme="majorHAnsi" w:hAnsiTheme="majorHAnsi" w:cstheme="majorHAnsi"/>
          <w:sz w:val="22"/>
          <w:szCs w:val="22"/>
        </w:rPr>
        <w:t xml:space="preserve">(RRR 0.59, 95% CI 0.53 to 0.64) </w:t>
      </w:r>
      <w:r w:rsidR="00462D36" w:rsidRPr="00886477">
        <w:rPr>
          <w:rFonts w:asciiTheme="majorHAnsi" w:hAnsiTheme="majorHAnsi" w:cstheme="majorHAnsi"/>
          <w:sz w:val="22"/>
          <w:szCs w:val="22"/>
        </w:rPr>
        <w:t>and refugees</w:t>
      </w:r>
      <w:r w:rsidR="00EB5E9A">
        <w:rPr>
          <w:rFonts w:asciiTheme="majorHAnsi" w:hAnsiTheme="majorHAnsi" w:cstheme="majorHAnsi"/>
          <w:sz w:val="22"/>
          <w:szCs w:val="22"/>
        </w:rPr>
        <w:t xml:space="preserve"> (RRR 0.64, 95% CI 0.55 to 0.74)</w:t>
      </w:r>
      <w:r w:rsidR="00CE5608" w:rsidRPr="00886477">
        <w:rPr>
          <w:rFonts w:asciiTheme="majorHAnsi" w:hAnsiTheme="majorHAnsi" w:cstheme="majorHAnsi"/>
          <w:sz w:val="22"/>
          <w:szCs w:val="22"/>
        </w:rPr>
        <w:t xml:space="preserve">, </w:t>
      </w:r>
      <w:r w:rsidR="004F1BE7" w:rsidRPr="00886477">
        <w:rPr>
          <w:rFonts w:asciiTheme="majorHAnsi" w:hAnsiTheme="majorHAnsi" w:cstheme="majorHAnsi"/>
          <w:sz w:val="22"/>
          <w:szCs w:val="22"/>
        </w:rPr>
        <w:t>rural</w:t>
      </w:r>
      <w:r w:rsidR="00CE5608" w:rsidRPr="00886477">
        <w:rPr>
          <w:rFonts w:asciiTheme="majorHAnsi" w:hAnsiTheme="majorHAnsi" w:cstheme="majorHAnsi"/>
          <w:sz w:val="22"/>
          <w:szCs w:val="22"/>
        </w:rPr>
        <w:t xml:space="preserve"> dwellers</w:t>
      </w:r>
      <w:r w:rsidR="00EB5E9A">
        <w:rPr>
          <w:rFonts w:asciiTheme="majorHAnsi" w:hAnsiTheme="majorHAnsi" w:cstheme="majorHAnsi"/>
          <w:sz w:val="22"/>
          <w:szCs w:val="22"/>
        </w:rPr>
        <w:t xml:space="preserve"> (RRR 0.61, 95% CI 0.57 to 0.66) and those living in </w:t>
      </w:r>
      <w:r w:rsidR="00EB5E9A">
        <w:rPr>
          <w:rFonts w:asciiTheme="majorHAnsi" w:hAnsiTheme="majorHAnsi" w:cstheme="majorHAnsi"/>
          <w:sz w:val="22"/>
          <w:szCs w:val="22"/>
        </w:rPr>
        <w:lastRenderedPageBreak/>
        <w:t>higher income neighbourhoods (e.g. highest v</w:t>
      </w:r>
      <w:r w:rsidR="00D24347">
        <w:rPr>
          <w:rFonts w:asciiTheme="majorHAnsi" w:hAnsiTheme="majorHAnsi" w:cstheme="majorHAnsi"/>
          <w:sz w:val="22"/>
          <w:szCs w:val="22"/>
        </w:rPr>
        <w:t>s</w:t>
      </w:r>
      <w:r w:rsidR="00EB5E9A">
        <w:rPr>
          <w:rFonts w:asciiTheme="majorHAnsi" w:hAnsiTheme="majorHAnsi" w:cstheme="majorHAnsi"/>
          <w:sz w:val="22"/>
          <w:szCs w:val="22"/>
        </w:rPr>
        <w:t>. lowest neighbourhood income quintile, RRR 0.84, 95% CI 0.79 to 0.89) (Table 4)</w:t>
      </w:r>
      <w:r w:rsidR="00D44D19" w:rsidRPr="00886477">
        <w:rPr>
          <w:rFonts w:asciiTheme="majorHAnsi" w:hAnsiTheme="majorHAnsi" w:cstheme="majorHAnsi"/>
          <w:sz w:val="22"/>
          <w:szCs w:val="22"/>
        </w:rPr>
        <w:t>.</w:t>
      </w:r>
      <w:r w:rsidR="00FD6937" w:rsidRPr="00886477">
        <w:rPr>
          <w:rFonts w:asciiTheme="majorHAnsi" w:hAnsiTheme="majorHAnsi" w:cstheme="majorHAnsi"/>
          <w:sz w:val="22"/>
          <w:szCs w:val="22"/>
        </w:rPr>
        <w:t xml:space="preserve"> </w:t>
      </w:r>
      <w:r>
        <w:rPr>
          <w:rFonts w:asciiTheme="majorHAnsi" w:hAnsiTheme="majorHAnsi" w:cstheme="majorHAnsi"/>
          <w:sz w:val="22"/>
          <w:szCs w:val="22"/>
        </w:rPr>
        <w:t xml:space="preserve">All comorbidities were associated with </w:t>
      </w:r>
      <w:r w:rsidR="00EB5E9A">
        <w:rPr>
          <w:rFonts w:asciiTheme="majorHAnsi" w:hAnsiTheme="majorHAnsi" w:cstheme="majorHAnsi"/>
          <w:sz w:val="22"/>
          <w:szCs w:val="22"/>
        </w:rPr>
        <w:t xml:space="preserve">increased risk of persistent high-costs status, with </w:t>
      </w:r>
      <w:r w:rsidR="00FD6937" w:rsidRPr="00886477">
        <w:rPr>
          <w:rFonts w:asciiTheme="majorHAnsi" w:hAnsiTheme="majorHAnsi" w:cstheme="majorHAnsi"/>
          <w:sz w:val="22"/>
          <w:szCs w:val="22"/>
        </w:rPr>
        <w:t xml:space="preserve">the highest </w:t>
      </w:r>
      <w:r w:rsidR="004F1BE7" w:rsidRPr="00886477">
        <w:rPr>
          <w:rFonts w:asciiTheme="majorHAnsi" w:hAnsiTheme="majorHAnsi" w:cstheme="majorHAnsi"/>
          <w:sz w:val="22"/>
          <w:szCs w:val="22"/>
        </w:rPr>
        <w:t>relative risk ratios</w:t>
      </w:r>
      <w:r w:rsidR="00FD6937" w:rsidRPr="00886477">
        <w:rPr>
          <w:rFonts w:asciiTheme="majorHAnsi" w:hAnsiTheme="majorHAnsi" w:cstheme="majorHAnsi"/>
          <w:sz w:val="22"/>
          <w:szCs w:val="22"/>
        </w:rPr>
        <w:t xml:space="preserve"> </w:t>
      </w:r>
      <w:r w:rsidR="00EB5E9A">
        <w:rPr>
          <w:rFonts w:asciiTheme="majorHAnsi" w:hAnsiTheme="majorHAnsi" w:cstheme="majorHAnsi"/>
          <w:sz w:val="22"/>
          <w:szCs w:val="22"/>
        </w:rPr>
        <w:t>observed</w:t>
      </w:r>
      <w:r w:rsidR="00EB5E9A" w:rsidRPr="00886477">
        <w:rPr>
          <w:rFonts w:asciiTheme="majorHAnsi" w:hAnsiTheme="majorHAnsi" w:cstheme="majorHAnsi"/>
          <w:sz w:val="22"/>
          <w:szCs w:val="22"/>
        </w:rPr>
        <w:t xml:space="preserve"> </w:t>
      </w:r>
      <w:r w:rsidR="00F97ED0" w:rsidRPr="00886477">
        <w:rPr>
          <w:rFonts w:asciiTheme="majorHAnsi" w:hAnsiTheme="majorHAnsi" w:cstheme="majorHAnsi"/>
          <w:sz w:val="22"/>
          <w:szCs w:val="22"/>
        </w:rPr>
        <w:t xml:space="preserve">for </w:t>
      </w:r>
      <w:r w:rsidR="004F1BE7" w:rsidRPr="00886477">
        <w:rPr>
          <w:rFonts w:asciiTheme="majorHAnsi" w:hAnsiTheme="majorHAnsi" w:cstheme="majorHAnsi"/>
          <w:sz w:val="22"/>
          <w:szCs w:val="22"/>
        </w:rPr>
        <w:t>HIV</w:t>
      </w:r>
      <w:r w:rsidR="00131610">
        <w:rPr>
          <w:rFonts w:asciiTheme="majorHAnsi" w:hAnsiTheme="majorHAnsi" w:cstheme="majorHAnsi"/>
          <w:sz w:val="22"/>
          <w:szCs w:val="22"/>
        </w:rPr>
        <w:t xml:space="preserve"> (</w:t>
      </w:r>
      <w:r w:rsidR="00EB5E9A">
        <w:rPr>
          <w:rFonts w:asciiTheme="majorHAnsi" w:hAnsiTheme="majorHAnsi" w:cstheme="majorHAnsi"/>
          <w:sz w:val="22"/>
          <w:szCs w:val="22"/>
        </w:rPr>
        <w:t xml:space="preserve">RRR </w:t>
      </w:r>
      <w:r w:rsidR="00131610" w:rsidRPr="00886477">
        <w:rPr>
          <w:rFonts w:asciiTheme="majorHAnsi" w:hAnsiTheme="majorHAnsi" w:cstheme="majorHAnsi"/>
          <w:sz w:val="22"/>
          <w:szCs w:val="22"/>
        </w:rPr>
        <w:t xml:space="preserve">4.32, </w:t>
      </w:r>
      <w:r w:rsidR="00EB5E9A">
        <w:rPr>
          <w:rFonts w:asciiTheme="majorHAnsi" w:hAnsiTheme="majorHAnsi" w:cstheme="majorHAnsi"/>
          <w:sz w:val="22"/>
          <w:szCs w:val="22"/>
        </w:rPr>
        <w:t>95% CI 3.08 to 6.06</w:t>
      </w:r>
      <w:r w:rsidR="00131610">
        <w:rPr>
          <w:rFonts w:asciiTheme="majorHAnsi" w:hAnsiTheme="majorHAnsi" w:cstheme="majorHAnsi"/>
          <w:sz w:val="22"/>
          <w:szCs w:val="22"/>
        </w:rPr>
        <w:t>)</w:t>
      </w:r>
      <w:r w:rsidR="004F1BE7" w:rsidRPr="00886477">
        <w:rPr>
          <w:rFonts w:asciiTheme="majorHAnsi" w:hAnsiTheme="majorHAnsi" w:cstheme="majorHAnsi"/>
          <w:sz w:val="22"/>
          <w:szCs w:val="22"/>
        </w:rPr>
        <w:t xml:space="preserve">, </w:t>
      </w:r>
      <w:r w:rsidR="00F97ED0" w:rsidRPr="00886477">
        <w:rPr>
          <w:rFonts w:asciiTheme="majorHAnsi" w:hAnsiTheme="majorHAnsi" w:cstheme="majorHAnsi"/>
          <w:sz w:val="22"/>
          <w:szCs w:val="22"/>
        </w:rPr>
        <w:t xml:space="preserve">psychosis </w:t>
      </w:r>
      <w:r w:rsidR="000A70A8">
        <w:rPr>
          <w:rFonts w:asciiTheme="majorHAnsi" w:hAnsiTheme="majorHAnsi" w:cstheme="majorHAnsi"/>
          <w:sz w:val="22"/>
          <w:szCs w:val="22"/>
        </w:rPr>
        <w:t>(</w:t>
      </w:r>
      <w:r w:rsidR="00EB5E9A">
        <w:rPr>
          <w:rFonts w:asciiTheme="majorHAnsi" w:hAnsiTheme="majorHAnsi" w:cstheme="majorHAnsi"/>
          <w:sz w:val="22"/>
          <w:szCs w:val="22"/>
        </w:rPr>
        <w:t xml:space="preserve">RRR </w:t>
      </w:r>
      <w:r w:rsidR="000A70A8" w:rsidRPr="00886477">
        <w:rPr>
          <w:rFonts w:asciiTheme="majorHAnsi" w:hAnsiTheme="majorHAnsi" w:cstheme="majorHAnsi"/>
          <w:sz w:val="22"/>
          <w:szCs w:val="22"/>
        </w:rPr>
        <w:t xml:space="preserve">3.41, </w:t>
      </w:r>
      <w:r w:rsidR="00EB5E9A">
        <w:rPr>
          <w:rFonts w:asciiTheme="majorHAnsi" w:hAnsiTheme="majorHAnsi" w:cstheme="majorHAnsi"/>
          <w:sz w:val="22"/>
          <w:szCs w:val="22"/>
        </w:rPr>
        <w:t>95% CI 3.25 to 3.58</w:t>
      </w:r>
      <w:r w:rsidR="000A70A8">
        <w:rPr>
          <w:rFonts w:asciiTheme="majorHAnsi" w:hAnsiTheme="majorHAnsi" w:cstheme="majorHAnsi"/>
          <w:sz w:val="22"/>
          <w:szCs w:val="22"/>
        </w:rPr>
        <w:t xml:space="preserve">) </w:t>
      </w:r>
      <w:r w:rsidR="00F97ED0" w:rsidRPr="00886477">
        <w:rPr>
          <w:rFonts w:asciiTheme="majorHAnsi" w:hAnsiTheme="majorHAnsi" w:cstheme="majorHAnsi"/>
          <w:sz w:val="22"/>
          <w:szCs w:val="22"/>
        </w:rPr>
        <w:t xml:space="preserve">and </w:t>
      </w:r>
      <w:r w:rsidR="004F1BE7" w:rsidRPr="00886477">
        <w:rPr>
          <w:rFonts w:asciiTheme="majorHAnsi" w:hAnsiTheme="majorHAnsi" w:cstheme="majorHAnsi"/>
          <w:sz w:val="22"/>
          <w:szCs w:val="22"/>
        </w:rPr>
        <w:t>dementia</w:t>
      </w:r>
      <w:r w:rsidR="00F97ED0" w:rsidRPr="00886477">
        <w:rPr>
          <w:rFonts w:asciiTheme="majorHAnsi" w:hAnsiTheme="majorHAnsi" w:cstheme="majorHAnsi"/>
          <w:sz w:val="22"/>
          <w:szCs w:val="22"/>
        </w:rPr>
        <w:t xml:space="preserve"> </w:t>
      </w:r>
      <w:r w:rsidR="000A70A8" w:rsidRPr="00886477">
        <w:rPr>
          <w:rFonts w:asciiTheme="majorHAnsi" w:hAnsiTheme="majorHAnsi" w:cstheme="majorHAnsi"/>
          <w:sz w:val="22"/>
          <w:szCs w:val="22"/>
        </w:rPr>
        <w:t>(</w:t>
      </w:r>
      <w:r w:rsidR="00EB5E9A">
        <w:rPr>
          <w:rFonts w:asciiTheme="majorHAnsi" w:hAnsiTheme="majorHAnsi" w:cstheme="majorHAnsi"/>
          <w:sz w:val="22"/>
          <w:szCs w:val="22"/>
        </w:rPr>
        <w:t xml:space="preserve">RRR </w:t>
      </w:r>
      <w:r w:rsidR="000A70A8" w:rsidRPr="00886477">
        <w:rPr>
          <w:rFonts w:asciiTheme="majorHAnsi" w:hAnsiTheme="majorHAnsi" w:cstheme="majorHAnsi"/>
          <w:sz w:val="22"/>
          <w:szCs w:val="22"/>
        </w:rPr>
        <w:t xml:space="preserve">3.21, </w:t>
      </w:r>
      <w:r w:rsidR="00EB5E9A">
        <w:rPr>
          <w:rFonts w:asciiTheme="majorHAnsi" w:hAnsiTheme="majorHAnsi" w:cstheme="majorHAnsi"/>
          <w:sz w:val="22"/>
          <w:szCs w:val="22"/>
        </w:rPr>
        <w:t>95% CI 2.81 to 3.68</w:t>
      </w:r>
      <w:r w:rsidR="000A70A8">
        <w:rPr>
          <w:rFonts w:asciiTheme="majorHAnsi" w:hAnsiTheme="majorHAnsi" w:cstheme="majorHAnsi"/>
          <w:sz w:val="22"/>
          <w:szCs w:val="22"/>
        </w:rPr>
        <w:t>)</w:t>
      </w:r>
      <w:r w:rsidR="00CE5608" w:rsidRPr="00886477">
        <w:rPr>
          <w:rFonts w:asciiTheme="majorHAnsi" w:hAnsiTheme="majorHAnsi" w:cstheme="majorHAnsi"/>
          <w:sz w:val="22"/>
          <w:szCs w:val="22"/>
        </w:rPr>
        <w:t xml:space="preserve">. </w:t>
      </w:r>
      <w:r>
        <w:rPr>
          <w:rFonts w:asciiTheme="majorHAnsi" w:hAnsiTheme="majorHAnsi" w:cstheme="majorHAnsi"/>
          <w:sz w:val="22"/>
          <w:szCs w:val="22"/>
        </w:rPr>
        <w:t xml:space="preserve">Associations of similar or slightly smaller magnitude were found for these variables with the risk of being a moderate rather than </w:t>
      </w:r>
      <w:r w:rsidR="00AD22E5">
        <w:rPr>
          <w:rFonts w:asciiTheme="majorHAnsi" w:hAnsiTheme="majorHAnsi" w:cstheme="majorHAnsi"/>
          <w:sz w:val="22"/>
          <w:szCs w:val="22"/>
        </w:rPr>
        <w:t xml:space="preserve">a </w:t>
      </w:r>
      <w:r>
        <w:rPr>
          <w:rFonts w:asciiTheme="majorHAnsi" w:hAnsiTheme="majorHAnsi" w:cstheme="majorHAnsi"/>
          <w:sz w:val="22"/>
          <w:szCs w:val="22"/>
        </w:rPr>
        <w:t xml:space="preserve">sporadic high-cost patient (Table 4). </w:t>
      </w:r>
      <w:r w:rsidR="005F4BF3" w:rsidRPr="00886477">
        <w:rPr>
          <w:rFonts w:asciiTheme="majorHAnsi" w:hAnsiTheme="majorHAnsi" w:cstheme="majorHAnsi"/>
          <w:sz w:val="22"/>
          <w:szCs w:val="22"/>
        </w:rPr>
        <w:t xml:space="preserve"> </w:t>
      </w:r>
      <w:r w:rsidR="00E15C57" w:rsidRPr="00886477">
        <w:rPr>
          <w:rFonts w:asciiTheme="majorHAnsi" w:hAnsiTheme="majorHAnsi" w:cstheme="majorHAnsi"/>
          <w:sz w:val="22"/>
          <w:szCs w:val="22"/>
        </w:rPr>
        <w:t>Tables A</w:t>
      </w:r>
      <w:r w:rsidR="00440E41">
        <w:rPr>
          <w:rFonts w:asciiTheme="majorHAnsi" w:hAnsiTheme="majorHAnsi" w:cstheme="majorHAnsi"/>
          <w:sz w:val="22"/>
          <w:szCs w:val="22"/>
        </w:rPr>
        <w:t>3</w:t>
      </w:r>
      <w:r w:rsidR="00E15C57" w:rsidRPr="00886477">
        <w:rPr>
          <w:rFonts w:asciiTheme="majorHAnsi" w:hAnsiTheme="majorHAnsi" w:cstheme="majorHAnsi"/>
          <w:sz w:val="22"/>
          <w:szCs w:val="22"/>
        </w:rPr>
        <w:t xml:space="preserve"> and A</w:t>
      </w:r>
      <w:r w:rsidR="00440E41">
        <w:rPr>
          <w:rFonts w:asciiTheme="majorHAnsi" w:hAnsiTheme="majorHAnsi" w:cstheme="majorHAnsi"/>
          <w:sz w:val="22"/>
          <w:szCs w:val="22"/>
        </w:rPr>
        <w:t>4</w:t>
      </w:r>
      <w:r w:rsidR="00A4506E" w:rsidRPr="00886477">
        <w:rPr>
          <w:rFonts w:asciiTheme="majorHAnsi" w:hAnsiTheme="majorHAnsi" w:cstheme="majorHAnsi"/>
          <w:sz w:val="22"/>
          <w:szCs w:val="22"/>
        </w:rPr>
        <w:t xml:space="preserve"> </w:t>
      </w:r>
      <w:r w:rsidR="009F1D22" w:rsidRPr="00886477">
        <w:rPr>
          <w:rFonts w:asciiTheme="majorHAnsi" w:hAnsiTheme="majorHAnsi" w:cstheme="majorHAnsi"/>
          <w:sz w:val="22"/>
          <w:szCs w:val="22"/>
        </w:rPr>
        <w:t xml:space="preserve">in the Appendix </w:t>
      </w:r>
      <w:r w:rsidR="00FD6937" w:rsidRPr="00886477">
        <w:rPr>
          <w:rFonts w:asciiTheme="majorHAnsi" w:hAnsiTheme="majorHAnsi" w:cstheme="majorHAnsi"/>
          <w:sz w:val="22"/>
          <w:szCs w:val="22"/>
        </w:rPr>
        <w:t>provide the results of the multinomial</w:t>
      </w:r>
      <w:r w:rsidR="001451F3" w:rsidRPr="00886477">
        <w:rPr>
          <w:rFonts w:asciiTheme="majorHAnsi" w:hAnsiTheme="majorHAnsi" w:cstheme="majorHAnsi"/>
          <w:sz w:val="22"/>
          <w:szCs w:val="22"/>
        </w:rPr>
        <w:t xml:space="preserve"> </w:t>
      </w:r>
      <w:r w:rsidR="00FD6937" w:rsidRPr="00886477">
        <w:rPr>
          <w:rFonts w:asciiTheme="majorHAnsi" w:hAnsiTheme="majorHAnsi" w:cstheme="majorHAnsi"/>
          <w:sz w:val="22"/>
          <w:szCs w:val="22"/>
        </w:rPr>
        <w:t>logistic regression</w:t>
      </w:r>
      <w:r w:rsidR="00C90FA0">
        <w:rPr>
          <w:rFonts w:asciiTheme="majorHAnsi" w:hAnsiTheme="majorHAnsi" w:cstheme="majorHAnsi"/>
          <w:sz w:val="22"/>
          <w:szCs w:val="22"/>
        </w:rPr>
        <w:t>s</w:t>
      </w:r>
      <w:r w:rsidR="00D24347">
        <w:rPr>
          <w:rFonts w:asciiTheme="majorHAnsi" w:hAnsiTheme="majorHAnsi" w:cstheme="majorHAnsi"/>
          <w:sz w:val="22"/>
          <w:szCs w:val="22"/>
        </w:rPr>
        <w:t xml:space="preserve"> </w:t>
      </w:r>
      <w:r w:rsidR="00C90FA0">
        <w:rPr>
          <w:rFonts w:asciiTheme="majorHAnsi" w:hAnsiTheme="majorHAnsi" w:cstheme="majorHAnsi"/>
          <w:sz w:val="22"/>
          <w:szCs w:val="22"/>
        </w:rPr>
        <w:t>including</w:t>
      </w:r>
      <w:r w:rsidR="009F1D22" w:rsidRPr="00886477">
        <w:rPr>
          <w:rFonts w:asciiTheme="majorHAnsi" w:hAnsiTheme="majorHAnsi" w:cstheme="majorHAnsi"/>
          <w:sz w:val="22"/>
          <w:szCs w:val="22"/>
        </w:rPr>
        <w:t xml:space="preserve"> </w:t>
      </w:r>
      <w:r w:rsidR="00A01E64" w:rsidRPr="00886477">
        <w:rPr>
          <w:rFonts w:asciiTheme="majorHAnsi" w:hAnsiTheme="majorHAnsi" w:cstheme="majorHAnsi"/>
          <w:sz w:val="22"/>
          <w:szCs w:val="22"/>
        </w:rPr>
        <w:t>mood disorder</w:t>
      </w:r>
      <w:r w:rsidR="002563A6" w:rsidRPr="00886477">
        <w:rPr>
          <w:rFonts w:asciiTheme="majorHAnsi" w:hAnsiTheme="majorHAnsi" w:cstheme="majorHAnsi"/>
          <w:sz w:val="22"/>
          <w:szCs w:val="22"/>
        </w:rPr>
        <w:t>s</w:t>
      </w:r>
      <w:r w:rsidR="00F943BB" w:rsidRPr="00886477">
        <w:rPr>
          <w:rFonts w:asciiTheme="majorHAnsi" w:hAnsiTheme="majorHAnsi" w:cstheme="majorHAnsi"/>
          <w:sz w:val="22"/>
          <w:szCs w:val="22"/>
        </w:rPr>
        <w:t xml:space="preserve"> and</w:t>
      </w:r>
      <w:r w:rsidR="009F1D22" w:rsidRPr="00886477">
        <w:rPr>
          <w:rFonts w:asciiTheme="majorHAnsi" w:hAnsiTheme="majorHAnsi" w:cstheme="majorHAnsi"/>
          <w:sz w:val="22"/>
          <w:szCs w:val="22"/>
        </w:rPr>
        <w:t xml:space="preserve"> exclu</w:t>
      </w:r>
      <w:r w:rsidR="00C90FA0">
        <w:rPr>
          <w:rFonts w:asciiTheme="majorHAnsi" w:hAnsiTheme="majorHAnsi" w:cstheme="majorHAnsi"/>
          <w:sz w:val="22"/>
          <w:szCs w:val="22"/>
        </w:rPr>
        <w:t xml:space="preserve">ding </w:t>
      </w:r>
      <w:r w:rsidR="007556DF" w:rsidRPr="00886477">
        <w:rPr>
          <w:rFonts w:asciiTheme="majorHAnsi" w:hAnsiTheme="majorHAnsi" w:cstheme="majorHAnsi"/>
          <w:sz w:val="22"/>
          <w:szCs w:val="22"/>
        </w:rPr>
        <w:t>patients lost to attrition</w:t>
      </w:r>
      <w:r w:rsidR="00FD6937" w:rsidRPr="00886477">
        <w:rPr>
          <w:rFonts w:asciiTheme="majorHAnsi" w:hAnsiTheme="majorHAnsi" w:cstheme="majorHAnsi"/>
          <w:sz w:val="22"/>
          <w:szCs w:val="22"/>
        </w:rPr>
        <w:t>, respectively</w:t>
      </w:r>
      <w:r w:rsidR="007556DF" w:rsidRPr="00886477">
        <w:rPr>
          <w:rFonts w:asciiTheme="majorHAnsi" w:hAnsiTheme="majorHAnsi" w:cstheme="majorHAnsi"/>
          <w:sz w:val="22"/>
          <w:szCs w:val="22"/>
        </w:rPr>
        <w:t>;</w:t>
      </w:r>
      <w:r w:rsidR="002E17D1" w:rsidRPr="00886477">
        <w:rPr>
          <w:rFonts w:asciiTheme="majorHAnsi" w:hAnsiTheme="majorHAnsi" w:cstheme="majorHAnsi"/>
          <w:sz w:val="22"/>
          <w:szCs w:val="22"/>
        </w:rPr>
        <w:t xml:space="preserve"> </w:t>
      </w:r>
      <w:r w:rsidR="007556DF" w:rsidRPr="00886477">
        <w:rPr>
          <w:rFonts w:asciiTheme="majorHAnsi" w:hAnsiTheme="majorHAnsi" w:cstheme="majorHAnsi"/>
          <w:sz w:val="22"/>
          <w:szCs w:val="22"/>
        </w:rPr>
        <w:t>d</w:t>
      </w:r>
      <w:r w:rsidR="009F1D22" w:rsidRPr="00886477">
        <w:rPr>
          <w:rFonts w:asciiTheme="majorHAnsi" w:hAnsiTheme="majorHAnsi" w:cstheme="majorHAnsi"/>
          <w:sz w:val="22"/>
          <w:szCs w:val="22"/>
        </w:rPr>
        <w:t>espite minor differences</w:t>
      </w:r>
      <w:r w:rsidR="00650B0C">
        <w:rPr>
          <w:rFonts w:asciiTheme="majorHAnsi" w:hAnsiTheme="majorHAnsi" w:cstheme="majorHAnsi"/>
          <w:sz w:val="22"/>
          <w:szCs w:val="22"/>
        </w:rPr>
        <w:t>,</w:t>
      </w:r>
      <w:r w:rsidR="009F1D22" w:rsidRPr="00886477">
        <w:rPr>
          <w:rFonts w:asciiTheme="majorHAnsi" w:hAnsiTheme="majorHAnsi" w:cstheme="majorHAnsi"/>
          <w:sz w:val="22"/>
          <w:szCs w:val="22"/>
        </w:rPr>
        <w:t xml:space="preserve"> the main findings were largely unchanged.</w:t>
      </w:r>
      <w:r w:rsidR="0059735C" w:rsidRPr="00886477">
        <w:rPr>
          <w:rFonts w:asciiTheme="majorHAnsi" w:hAnsiTheme="majorHAnsi" w:cstheme="majorHAnsi"/>
          <w:sz w:val="22"/>
          <w:szCs w:val="22"/>
        </w:rPr>
        <w:t xml:space="preserve"> Table A</w:t>
      </w:r>
      <w:r w:rsidR="00440E41">
        <w:rPr>
          <w:rFonts w:asciiTheme="majorHAnsi" w:hAnsiTheme="majorHAnsi" w:cstheme="majorHAnsi"/>
          <w:sz w:val="22"/>
          <w:szCs w:val="22"/>
        </w:rPr>
        <w:t>5</w:t>
      </w:r>
      <w:r w:rsidR="0059735C" w:rsidRPr="00886477">
        <w:rPr>
          <w:rFonts w:asciiTheme="majorHAnsi" w:hAnsiTheme="majorHAnsi" w:cstheme="majorHAnsi"/>
          <w:sz w:val="22"/>
          <w:szCs w:val="22"/>
        </w:rPr>
        <w:t xml:space="preserve"> in the Appendix provides the odds ratios of being a persistent mental health high-cost patient versus being a moderate and a sporadic </w:t>
      </w:r>
      <w:r w:rsidR="00E07CD5">
        <w:rPr>
          <w:rFonts w:asciiTheme="majorHAnsi" w:hAnsiTheme="majorHAnsi" w:cstheme="majorHAnsi"/>
          <w:sz w:val="22"/>
          <w:szCs w:val="22"/>
        </w:rPr>
        <w:t>one;</w:t>
      </w:r>
      <w:r w:rsidR="0059735C" w:rsidRPr="00886477">
        <w:rPr>
          <w:rFonts w:asciiTheme="majorHAnsi" w:hAnsiTheme="majorHAnsi" w:cstheme="majorHAnsi"/>
          <w:sz w:val="22"/>
          <w:szCs w:val="22"/>
        </w:rPr>
        <w:t xml:space="preserve"> </w:t>
      </w:r>
      <w:r w:rsidR="00E07CD5">
        <w:rPr>
          <w:rFonts w:asciiTheme="majorHAnsi" w:hAnsiTheme="majorHAnsi" w:cstheme="majorHAnsi"/>
          <w:sz w:val="22"/>
          <w:szCs w:val="22"/>
        </w:rPr>
        <w:t>a</w:t>
      </w:r>
      <w:r w:rsidR="0059735C" w:rsidRPr="00886477">
        <w:rPr>
          <w:rFonts w:asciiTheme="majorHAnsi" w:hAnsiTheme="majorHAnsi" w:cstheme="majorHAnsi"/>
          <w:sz w:val="22"/>
          <w:szCs w:val="22"/>
        </w:rPr>
        <w:t>gain, results were qualitatively the same.</w:t>
      </w:r>
    </w:p>
    <w:p w14:paraId="27C776FE" w14:textId="0DD8ADD4" w:rsidR="00DE7A86" w:rsidRDefault="00DE7A86" w:rsidP="004B1B31">
      <w:pPr>
        <w:spacing w:line="480" w:lineRule="auto"/>
        <w:rPr>
          <w:rFonts w:asciiTheme="majorHAnsi" w:hAnsiTheme="majorHAnsi" w:cstheme="majorHAnsi"/>
          <w:sz w:val="22"/>
          <w:szCs w:val="22"/>
        </w:rPr>
      </w:pPr>
    </w:p>
    <w:p w14:paraId="05B43790" w14:textId="2547C3B5" w:rsidR="00B03A75" w:rsidRPr="003667E2" w:rsidRDefault="00D90E3F" w:rsidP="004B1B31">
      <w:pPr>
        <w:widowControl w:val="0"/>
        <w:autoSpaceDE w:val="0"/>
        <w:autoSpaceDN w:val="0"/>
        <w:adjustRightInd w:val="0"/>
        <w:spacing w:line="480" w:lineRule="auto"/>
        <w:rPr>
          <w:rFonts w:asciiTheme="majorHAnsi" w:hAnsiTheme="majorHAnsi" w:cstheme="majorHAnsi"/>
          <w:b/>
          <w:sz w:val="22"/>
          <w:szCs w:val="22"/>
        </w:rPr>
      </w:pPr>
      <w:r>
        <w:rPr>
          <w:rFonts w:asciiTheme="majorHAnsi" w:hAnsiTheme="majorHAnsi" w:cstheme="majorHAnsi"/>
          <w:b/>
          <w:sz w:val="22"/>
          <w:szCs w:val="22"/>
        </w:rPr>
        <w:t>Interpretation</w:t>
      </w:r>
    </w:p>
    <w:p w14:paraId="7EBCD86E" w14:textId="4CD177D7" w:rsidR="00F736B1" w:rsidRPr="00E03190" w:rsidRDefault="00252323" w:rsidP="004B1B31">
      <w:pPr>
        <w:spacing w:line="480" w:lineRule="auto"/>
        <w:rPr>
          <w:rFonts w:asciiTheme="majorHAnsi" w:hAnsiTheme="majorHAnsi" w:cstheme="majorHAnsi"/>
          <w:sz w:val="22"/>
          <w:szCs w:val="22"/>
        </w:rPr>
      </w:pPr>
      <w:r>
        <w:rPr>
          <w:rFonts w:asciiTheme="majorHAnsi" w:hAnsiTheme="majorHAnsi" w:cstheme="majorHAnsi"/>
          <w:sz w:val="22"/>
          <w:szCs w:val="22"/>
        </w:rPr>
        <w:t>A</w:t>
      </w:r>
      <w:r w:rsidR="00BC5875" w:rsidRPr="00E03190">
        <w:rPr>
          <w:rFonts w:asciiTheme="majorHAnsi" w:hAnsiTheme="majorHAnsi" w:cstheme="majorHAnsi"/>
          <w:sz w:val="22"/>
          <w:szCs w:val="22"/>
        </w:rPr>
        <w:t xml:space="preserve">mong </w:t>
      </w:r>
      <w:r w:rsidR="004C3818" w:rsidRPr="00E03190">
        <w:rPr>
          <w:rFonts w:asciiTheme="majorHAnsi" w:hAnsiTheme="majorHAnsi" w:cstheme="majorHAnsi"/>
          <w:sz w:val="22"/>
          <w:szCs w:val="22"/>
        </w:rPr>
        <w:t xml:space="preserve">our </w:t>
      </w:r>
      <w:r w:rsidR="00BC5875" w:rsidRPr="00E03190">
        <w:rPr>
          <w:rFonts w:asciiTheme="majorHAnsi" w:hAnsiTheme="majorHAnsi" w:cstheme="majorHAnsi"/>
          <w:sz w:val="22"/>
          <w:szCs w:val="22"/>
        </w:rPr>
        <w:t>cohort</w:t>
      </w:r>
      <w:r w:rsidR="003F5123" w:rsidRPr="003F5123">
        <w:rPr>
          <w:rFonts w:asciiTheme="majorHAnsi" w:hAnsiTheme="majorHAnsi" w:cstheme="majorHAnsi"/>
          <w:sz w:val="22"/>
          <w:szCs w:val="22"/>
        </w:rPr>
        <w:t xml:space="preserve"> </w:t>
      </w:r>
      <w:r w:rsidR="003F5123">
        <w:rPr>
          <w:rFonts w:asciiTheme="majorHAnsi" w:hAnsiTheme="majorHAnsi" w:cstheme="majorHAnsi"/>
          <w:sz w:val="22"/>
          <w:szCs w:val="22"/>
        </w:rPr>
        <w:t xml:space="preserve">of </w:t>
      </w:r>
      <w:r w:rsidR="003F5123" w:rsidRPr="00E03190">
        <w:rPr>
          <w:rFonts w:asciiTheme="majorHAnsi" w:hAnsiTheme="majorHAnsi" w:cstheme="majorHAnsi"/>
          <w:sz w:val="22"/>
          <w:szCs w:val="22"/>
        </w:rPr>
        <w:t>mental health high-cost patients</w:t>
      </w:r>
      <w:r w:rsidR="00BC5875" w:rsidRPr="00E03190">
        <w:rPr>
          <w:rFonts w:asciiTheme="majorHAnsi" w:hAnsiTheme="majorHAnsi" w:cstheme="majorHAnsi"/>
          <w:sz w:val="22"/>
          <w:szCs w:val="22"/>
        </w:rPr>
        <w:t xml:space="preserve">, </w:t>
      </w:r>
      <w:r w:rsidRPr="00E03190">
        <w:rPr>
          <w:rFonts w:asciiTheme="majorHAnsi" w:hAnsiTheme="majorHAnsi" w:cstheme="majorHAnsi"/>
          <w:sz w:val="22"/>
          <w:szCs w:val="22"/>
        </w:rPr>
        <w:t xml:space="preserve">we found that </w:t>
      </w:r>
      <w:r w:rsidR="008C6A12">
        <w:rPr>
          <w:rFonts w:asciiTheme="majorHAnsi" w:hAnsiTheme="majorHAnsi" w:cstheme="majorHAnsi"/>
          <w:sz w:val="22"/>
          <w:szCs w:val="22"/>
        </w:rPr>
        <w:t>over 1 in 3</w:t>
      </w:r>
      <w:r w:rsidR="00D9141E">
        <w:rPr>
          <w:rFonts w:asciiTheme="majorHAnsi" w:hAnsiTheme="majorHAnsi" w:cstheme="majorHAnsi"/>
          <w:sz w:val="22"/>
          <w:szCs w:val="22"/>
        </w:rPr>
        <w:t xml:space="preserve"> </w:t>
      </w:r>
      <w:r w:rsidR="003F5123">
        <w:rPr>
          <w:rFonts w:asciiTheme="majorHAnsi" w:hAnsiTheme="majorHAnsi" w:cstheme="majorHAnsi"/>
          <w:sz w:val="22"/>
          <w:szCs w:val="22"/>
        </w:rPr>
        <w:t>were considered</w:t>
      </w:r>
      <w:r w:rsidR="00BC5875" w:rsidRPr="00E03190">
        <w:rPr>
          <w:rFonts w:asciiTheme="majorHAnsi" w:hAnsiTheme="majorHAnsi" w:cstheme="majorHAnsi"/>
          <w:sz w:val="22"/>
          <w:szCs w:val="22"/>
        </w:rPr>
        <w:t xml:space="preserve"> pe</w:t>
      </w:r>
      <w:r w:rsidR="004C3818" w:rsidRPr="00E03190">
        <w:rPr>
          <w:rFonts w:asciiTheme="majorHAnsi" w:hAnsiTheme="majorHAnsi" w:cstheme="majorHAnsi"/>
          <w:sz w:val="22"/>
          <w:szCs w:val="22"/>
        </w:rPr>
        <w:t>rsistent</w:t>
      </w:r>
      <w:r w:rsidR="003F5123">
        <w:rPr>
          <w:rFonts w:asciiTheme="majorHAnsi" w:hAnsiTheme="majorHAnsi" w:cstheme="majorHAnsi"/>
          <w:sz w:val="22"/>
          <w:szCs w:val="22"/>
        </w:rPr>
        <w:t xml:space="preserve"> high-cost patients</w:t>
      </w:r>
      <w:r w:rsidR="008C6A12">
        <w:rPr>
          <w:rFonts w:asciiTheme="majorHAnsi" w:hAnsiTheme="majorHAnsi" w:cstheme="majorHAnsi"/>
          <w:sz w:val="22"/>
          <w:szCs w:val="22"/>
        </w:rPr>
        <w:t>, while nearly 1 in 5</w:t>
      </w:r>
      <w:r w:rsidR="00BC5875" w:rsidRPr="00E03190">
        <w:rPr>
          <w:rFonts w:asciiTheme="majorHAnsi" w:hAnsiTheme="majorHAnsi" w:cstheme="majorHAnsi"/>
          <w:sz w:val="22"/>
          <w:szCs w:val="22"/>
        </w:rPr>
        <w:t xml:space="preserve"> </w:t>
      </w:r>
      <w:r w:rsidR="00314F34" w:rsidRPr="00E03190">
        <w:rPr>
          <w:rFonts w:asciiTheme="majorHAnsi" w:hAnsiTheme="majorHAnsi" w:cstheme="majorHAnsi"/>
          <w:sz w:val="22"/>
          <w:szCs w:val="22"/>
        </w:rPr>
        <w:t>remained</w:t>
      </w:r>
      <w:r w:rsidR="00BC5875" w:rsidRPr="00E03190">
        <w:rPr>
          <w:rFonts w:asciiTheme="majorHAnsi" w:hAnsiTheme="majorHAnsi" w:cstheme="majorHAnsi"/>
          <w:sz w:val="22"/>
          <w:szCs w:val="22"/>
        </w:rPr>
        <w:t xml:space="preserve"> in </w:t>
      </w:r>
      <w:r w:rsidR="00314F34" w:rsidRPr="00E03190">
        <w:rPr>
          <w:rFonts w:asciiTheme="majorHAnsi" w:hAnsiTheme="majorHAnsi" w:cstheme="majorHAnsi"/>
          <w:sz w:val="22"/>
          <w:szCs w:val="22"/>
        </w:rPr>
        <w:t xml:space="preserve">the </w:t>
      </w:r>
      <w:r w:rsidR="00BC5875" w:rsidRPr="00E03190">
        <w:rPr>
          <w:rFonts w:asciiTheme="majorHAnsi" w:hAnsiTheme="majorHAnsi" w:cstheme="majorHAnsi"/>
          <w:sz w:val="22"/>
          <w:szCs w:val="22"/>
        </w:rPr>
        <w:t xml:space="preserve">high-cost state </w:t>
      </w:r>
      <w:r w:rsidR="00314F34" w:rsidRPr="00E03190">
        <w:rPr>
          <w:rFonts w:asciiTheme="majorHAnsi" w:hAnsiTheme="majorHAnsi" w:cstheme="majorHAnsi"/>
          <w:sz w:val="22"/>
          <w:szCs w:val="22"/>
        </w:rPr>
        <w:t xml:space="preserve">for </w:t>
      </w:r>
      <w:r w:rsidR="00355A4A" w:rsidRPr="00E03190">
        <w:rPr>
          <w:rFonts w:asciiTheme="majorHAnsi" w:hAnsiTheme="majorHAnsi" w:cstheme="majorHAnsi"/>
          <w:sz w:val="22"/>
          <w:szCs w:val="22"/>
        </w:rPr>
        <w:t>all 8</w:t>
      </w:r>
      <w:r w:rsidR="00BC5875" w:rsidRPr="00E03190">
        <w:rPr>
          <w:rFonts w:asciiTheme="majorHAnsi" w:hAnsiTheme="majorHAnsi" w:cstheme="majorHAnsi"/>
          <w:sz w:val="22"/>
          <w:szCs w:val="22"/>
        </w:rPr>
        <w:t xml:space="preserve"> years</w:t>
      </w:r>
      <w:r w:rsidR="00314F34" w:rsidRPr="00E03190">
        <w:rPr>
          <w:rFonts w:asciiTheme="majorHAnsi" w:hAnsiTheme="majorHAnsi" w:cstheme="majorHAnsi"/>
          <w:sz w:val="22"/>
          <w:szCs w:val="22"/>
        </w:rPr>
        <w:t xml:space="preserve"> of the analysis. Persistent mental health high-cost patients were </w:t>
      </w:r>
      <w:r w:rsidR="00E92E71">
        <w:rPr>
          <w:rFonts w:asciiTheme="majorHAnsi" w:hAnsiTheme="majorHAnsi" w:cstheme="majorHAnsi"/>
          <w:sz w:val="22"/>
          <w:szCs w:val="22"/>
        </w:rPr>
        <w:t>slightly older</w:t>
      </w:r>
      <w:r w:rsidR="00314F34" w:rsidRPr="00E03190">
        <w:rPr>
          <w:rFonts w:asciiTheme="majorHAnsi" w:hAnsiTheme="majorHAnsi" w:cstheme="majorHAnsi"/>
          <w:sz w:val="22"/>
          <w:szCs w:val="22"/>
        </w:rPr>
        <w:t xml:space="preserve">, </w:t>
      </w:r>
      <w:r w:rsidR="00401FEC" w:rsidRPr="00E03190">
        <w:rPr>
          <w:rFonts w:asciiTheme="majorHAnsi" w:hAnsiTheme="majorHAnsi" w:cstheme="majorHAnsi"/>
          <w:sz w:val="22"/>
          <w:szCs w:val="22"/>
        </w:rPr>
        <w:t xml:space="preserve">made up of slightly </w:t>
      </w:r>
      <w:r w:rsidR="00E92E71">
        <w:rPr>
          <w:rFonts w:asciiTheme="majorHAnsi" w:hAnsiTheme="majorHAnsi" w:cstheme="majorHAnsi"/>
          <w:sz w:val="22"/>
          <w:szCs w:val="22"/>
        </w:rPr>
        <w:t>more</w:t>
      </w:r>
      <w:r w:rsidR="00314F34" w:rsidRPr="00E03190">
        <w:rPr>
          <w:rFonts w:asciiTheme="majorHAnsi" w:hAnsiTheme="majorHAnsi" w:cstheme="majorHAnsi"/>
          <w:sz w:val="22"/>
          <w:szCs w:val="22"/>
        </w:rPr>
        <w:t xml:space="preserve"> </w:t>
      </w:r>
      <w:r w:rsidR="00401FEC" w:rsidRPr="00E03190">
        <w:rPr>
          <w:rFonts w:asciiTheme="majorHAnsi" w:hAnsiTheme="majorHAnsi" w:cstheme="majorHAnsi"/>
          <w:sz w:val="22"/>
          <w:szCs w:val="22"/>
        </w:rPr>
        <w:t>fe</w:t>
      </w:r>
      <w:r w:rsidR="00314F34" w:rsidRPr="00E03190">
        <w:rPr>
          <w:rFonts w:asciiTheme="majorHAnsi" w:hAnsiTheme="majorHAnsi" w:cstheme="majorHAnsi"/>
          <w:sz w:val="22"/>
          <w:szCs w:val="22"/>
        </w:rPr>
        <w:t>males, more likely to live in low-income urban areas and to have psychosis</w:t>
      </w:r>
      <w:r w:rsidR="001145F4" w:rsidRPr="00E03190">
        <w:rPr>
          <w:rFonts w:asciiTheme="majorHAnsi" w:hAnsiTheme="majorHAnsi" w:cstheme="majorHAnsi"/>
          <w:sz w:val="22"/>
          <w:szCs w:val="22"/>
        </w:rPr>
        <w:t>,</w:t>
      </w:r>
      <w:r w:rsidR="003F5123">
        <w:rPr>
          <w:rFonts w:asciiTheme="majorHAnsi" w:hAnsiTheme="majorHAnsi" w:cstheme="majorHAnsi"/>
          <w:sz w:val="22"/>
          <w:szCs w:val="22"/>
        </w:rPr>
        <w:t xml:space="preserve"> hypertension, asthma and diabetes,</w:t>
      </w:r>
      <w:r w:rsidR="00091164" w:rsidRPr="00E03190">
        <w:rPr>
          <w:rFonts w:asciiTheme="majorHAnsi" w:hAnsiTheme="majorHAnsi" w:cstheme="majorHAnsi"/>
          <w:sz w:val="22"/>
          <w:szCs w:val="22"/>
        </w:rPr>
        <w:t xml:space="preserve"> compared to </w:t>
      </w:r>
      <w:r w:rsidR="00C24A21">
        <w:rPr>
          <w:rFonts w:asciiTheme="majorHAnsi" w:hAnsiTheme="majorHAnsi" w:cstheme="majorHAnsi"/>
          <w:sz w:val="22"/>
          <w:szCs w:val="22"/>
        </w:rPr>
        <w:t>sporadic and moderate</w:t>
      </w:r>
      <w:r w:rsidR="008831EF" w:rsidRPr="00E03190">
        <w:rPr>
          <w:rFonts w:asciiTheme="majorHAnsi" w:hAnsiTheme="majorHAnsi" w:cstheme="majorHAnsi"/>
          <w:sz w:val="22"/>
          <w:szCs w:val="22"/>
        </w:rPr>
        <w:t xml:space="preserve"> </w:t>
      </w:r>
      <w:r w:rsidR="00091164" w:rsidRPr="00E03190">
        <w:rPr>
          <w:rFonts w:asciiTheme="majorHAnsi" w:hAnsiTheme="majorHAnsi" w:cstheme="majorHAnsi"/>
          <w:sz w:val="22"/>
          <w:szCs w:val="22"/>
        </w:rPr>
        <w:t>mental health high-cost patients</w:t>
      </w:r>
      <w:r w:rsidR="00314F34" w:rsidRPr="00E03190">
        <w:rPr>
          <w:rFonts w:asciiTheme="majorHAnsi" w:hAnsiTheme="majorHAnsi" w:cstheme="majorHAnsi"/>
          <w:sz w:val="22"/>
          <w:szCs w:val="22"/>
        </w:rPr>
        <w:t xml:space="preserve">. </w:t>
      </w:r>
      <w:r w:rsidR="00785A77">
        <w:rPr>
          <w:rFonts w:asciiTheme="majorHAnsi" w:hAnsiTheme="majorHAnsi" w:cstheme="majorHAnsi"/>
          <w:sz w:val="22"/>
          <w:szCs w:val="22"/>
        </w:rPr>
        <w:t>T</w:t>
      </w:r>
      <w:r w:rsidR="008831EF" w:rsidRPr="00E03190">
        <w:rPr>
          <w:rFonts w:asciiTheme="majorHAnsi" w:hAnsiTheme="majorHAnsi" w:cstheme="majorHAnsi"/>
          <w:sz w:val="22"/>
          <w:szCs w:val="22"/>
        </w:rPr>
        <w:t>heir spending profile</w:t>
      </w:r>
      <w:r w:rsidR="00785A77">
        <w:rPr>
          <w:rFonts w:asciiTheme="majorHAnsi" w:hAnsiTheme="majorHAnsi" w:cstheme="majorHAnsi"/>
          <w:sz w:val="22"/>
          <w:szCs w:val="22"/>
        </w:rPr>
        <w:t xml:space="preserve"> also</w:t>
      </w:r>
      <w:r w:rsidR="008831EF" w:rsidRPr="00E03190">
        <w:rPr>
          <w:rFonts w:asciiTheme="majorHAnsi" w:hAnsiTheme="majorHAnsi" w:cstheme="majorHAnsi"/>
          <w:sz w:val="22"/>
          <w:szCs w:val="22"/>
        </w:rPr>
        <w:t xml:space="preserve"> differ</w:t>
      </w:r>
      <w:r w:rsidR="001A228C" w:rsidRPr="00E03190">
        <w:rPr>
          <w:rFonts w:asciiTheme="majorHAnsi" w:hAnsiTheme="majorHAnsi" w:cstheme="majorHAnsi"/>
          <w:sz w:val="22"/>
          <w:szCs w:val="22"/>
        </w:rPr>
        <w:t>ed</w:t>
      </w:r>
      <w:r w:rsidR="00421D0B">
        <w:rPr>
          <w:rFonts w:asciiTheme="majorHAnsi" w:hAnsiTheme="majorHAnsi" w:cstheme="majorHAnsi"/>
          <w:sz w:val="22"/>
          <w:szCs w:val="22"/>
        </w:rPr>
        <w:t xml:space="preserve"> </w:t>
      </w:r>
      <w:r w:rsidR="008831EF" w:rsidRPr="00E03190">
        <w:rPr>
          <w:rFonts w:asciiTheme="majorHAnsi" w:hAnsiTheme="majorHAnsi" w:cstheme="majorHAnsi"/>
          <w:sz w:val="22"/>
          <w:szCs w:val="22"/>
        </w:rPr>
        <w:t>–</w:t>
      </w:r>
      <w:r w:rsidR="00EB6E7E" w:rsidRPr="00E03190">
        <w:rPr>
          <w:rFonts w:asciiTheme="majorHAnsi" w:hAnsiTheme="majorHAnsi" w:cstheme="majorHAnsi"/>
          <w:sz w:val="22"/>
          <w:szCs w:val="22"/>
        </w:rPr>
        <w:t xml:space="preserve"> </w:t>
      </w:r>
      <w:r w:rsidR="005A40A7" w:rsidRPr="00E03190">
        <w:rPr>
          <w:rFonts w:asciiTheme="majorHAnsi" w:hAnsiTheme="majorHAnsi" w:cstheme="majorHAnsi"/>
          <w:sz w:val="22"/>
          <w:szCs w:val="22"/>
        </w:rPr>
        <w:t xml:space="preserve">they had higher costs </w:t>
      </w:r>
      <w:r w:rsidR="005A40A7" w:rsidRPr="00B11CE5">
        <w:rPr>
          <w:rFonts w:asciiTheme="majorHAnsi" w:hAnsiTheme="majorHAnsi" w:cstheme="majorHAnsi"/>
          <w:sz w:val="22"/>
          <w:szCs w:val="22"/>
        </w:rPr>
        <w:t xml:space="preserve">and </w:t>
      </w:r>
      <w:r w:rsidR="001A228C" w:rsidRPr="00B11CE5">
        <w:rPr>
          <w:rFonts w:asciiTheme="majorHAnsi" w:hAnsiTheme="majorHAnsi" w:cstheme="majorHAnsi"/>
          <w:sz w:val="22"/>
          <w:szCs w:val="22"/>
        </w:rPr>
        <w:t>the proportion of</w:t>
      </w:r>
      <w:r w:rsidR="00314F34" w:rsidRPr="00B11CE5">
        <w:rPr>
          <w:rFonts w:asciiTheme="majorHAnsi" w:hAnsiTheme="majorHAnsi" w:cstheme="majorHAnsi"/>
          <w:sz w:val="22"/>
          <w:szCs w:val="22"/>
        </w:rPr>
        <w:t xml:space="preserve"> costs due to psychiatric hospitali</w:t>
      </w:r>
      <w:r w:rsidR="00BB011D">
        <w:rPr>
          <w:rFonts w:asciiTheme="majorHAnsi" w:hAnsiTheme="majorHAnsi" w:cstheme="majorHAnsi"/>
          <w:sz w:val="22"/>
          <w:szCs w:val="22"/>
        </w:rPr>
        <w:t>z</w:t>
      </w:r>
      <w:r w:rsidR="00314F34" w:rsidRPr="00B11CE5">
        <w:rPr>
          <w:rFonts w:asciiTheme="majorHAnsi" w:hAnsiTheme="majorHAnsi" w:cstheme="majorHAnsi"/>
          <w:sz w:val="22"/>
          <w:szCs w:val="22"/>
        </w:rPr>
        <w:t>ations</w:t>
      </w:r>
      <w:r w:rsidR="001A228C" w:rsidRPr="00B11CE5">
        <w:rPr>
          <w:rFonts w:asciiTheme="majorHAnsi" w:hAnsiTheme="majorHAnsi" w:cstheme="majorHAnsi"/>
          <w:sz w:val="22"/>
          <w:szCs w:val="22"/>
        </w:rPr>
        <w:t xml:space="preserve"> was larger compared to the other two</w:t>
      </w:r>
      <w:r w:rsidR="005A40A7" w:rsidRPr="00B11CE5">
        <w:rPr>
          <w:rFonts w:asciiTheme="majorHAnsi" w:hAnsiTheme="majorHAnsi" w:cstheme="majorHAnsi"/>
          <w:sz w:val="22"/>
          <w:szCs w:val="22"/>
        </w:rPr>
        <w:t xml:space="preserve"> groups</w:t>
      </w:r>
      <w:r w:rsidR="00314F34" w:rsidRPr="00B11CE5">
        <w:rPr>
          <w:rFonts w:asciiTheme="majorHAnsi" w:hAnsiTheme="majorHAnsi" w:cstheme="majorHAnsi"/>
          <w:sz w:val="22"/>
          <w:szCs w:val="22"/>
        </w:rPr>
        <w:t>.</w:t>
      </w:r>
      <w:r w:rsidR="00A87B1E" w:rsidRPr="00B11CE5">
        <w:rPr>
          <w:rFonts w:asciiTheme="majorHAnsi" w:hAnsiTheme="majorHAnsi" w:cstheme="majorHAnsi"/>
          <w:sz w:val="22"/>
          <w:szCs w:val="22"/>
        </w:rPr>
        <w:t xml:space="preserve"> </w:t>
      </w:r>
      <w:r w:rsidR="00007393">
        <w:rPr>
          <w:rFonts w:asciiTheme="majorHAnsi" w:hAnsiTheme="majorHAnsi" w:cstheme="majorHAnsi"/>
          <w:sz w:val="22"/>
          <w:szCs w:val="22"/>
        </w:rPr>
        <w:t>W</w:t>
      </w:r>
      <w:r w:rsidR="00353B12" w:rsidRPr="00235ECB">
        <w:rPr>
          <w:rFonts w:asciiTheme="majorHAnsi" w:hAnsiTheme="majorHAnsi" w:cstheme="majorHAnsi"/>
          <w:sz w:val="22"/>
          <w:szCs w:val="22"/>
        </w:rPr>
        <w:t>e found that t</w:t>
      </w:r>
      <w:r w:rsidR="00314F34" w:rsidRPr="00235ECB">
        <w:rPr>
          <w:rFonts w:asciiTheme="majorHAnsi" w:hAnsiTheme="majorHAnsi" w:cstheme="majorHAnsi"/>
          <w:sz w:val="22"/>
          <w:szCs w:val="22"/>
        </w:rPr>
        <w:t xml:space="preserve">he main predictors of being a persistent mental health high-cost </w:t>
      </w:r>
      <w:r w:rsidR="007E65CA" w:rsidRPr="00235ECB">
        <w:rPr>
          <w:rFonts w:asciiTheme="majorHAnsi" w:hAnsiTheme="majorHAnsi" w:cstheme="majorHAnsi"/>
          <w:sz w:val="22"/>
          <w:szCs w:val="22"/>
        </w:rPr>
        <w:t xml:space="preserve">patient </w:t>
      </w:r>
      <w:r w:rsidR="00314F34" w:rsidRPr="00235ECB">
        <w:rPr>
          <w:rFonts w:asciiTheme="majorHAnsi" w:hAnsiTheme="majorHAnsi" w:cstheme="majorHAnsi"/>
          <w:sz w:val="22"/>
          <w:szCs w:val="22"/>
        </w:rPr>
        <w:t>were</w:t>
      </w:r>
      <w:r w:rsidR="00BC5875" w:rsidRPr="00235ECB">
        <w:rPr>
          <w:rFonts w:asciiTheme="majorHAnsi" w:hAnsiTheme="majorHAnsi" w:cstheme="majorHAnsi"/>
          <w:sz w:val="22"/>
          <w:szCs w:val="22"/>
        </w:rPr>
        <w:t xml:space="preserve"> having </w:t>
      </w:r>
      <w:r w:rsidR="00092FDF" w:rsidRPr="00235ECB">
        <w:rPr>
          <w:rFonts w:asciiTheme="majorHAnsi" w:hAnsiTheme="majorHAnsi" w:cstheme="majorHAnsi"/>
          <w:sz w:val="22"/>
          <w:szCs w:val="22"/>
        </w:rPr>
        <w:t xml:space="preserve">HIV, </w:t>
      </w:r>
      <w:r w:rsidR="00BC5875" w:rsidRPr="00235ECB">
        <w:rPr>
          <w:rFonts w:asciiTheme="majorHAnsi" w:hAnsiTheme="majorHAnsi" w:cstheme="majorHAnsi"/>
          <w:sz w:val="22"/>
          <w:szCs w:val="22"/>
        </w:rPr>
        <w:t>psychosis</w:t>
      </w:r>
      <w:r w:rsidR="00685FE0" w:rsidRPr="00235ECB">
        <w:rPr>
          <w:rFonts w:asciiTheme="majorHAnsi" w:hAnsiTheme="majorHAnsi" w:cstheme="majorHAnsi"/>
          <w:sz w:val="22"/>
          <w:szCs w:val="22"/>
        </w:rPr>
        <w:t xml:space="preserve"> </w:t>
      </w:r>
      <w:r w:rsidR="00B31497">
        <w:rPr>
          <w:rFonts w:asciiTheme="majorHAnsi" w:hAnsiTheme="majorHAnsi" w:cstheme="majorHAnsi"/>
          <w:sz w:val="22"/>
          <w:szCs w:val="22"/>
        </w:rPr>
        <w:t>or</w:t>
      </w:r>
      <w:r w:rsidR="00B31497" w:rsidRPr="00235ECB">
        <w:rPr>
          <w:rFonts w:asciiTheme="majorHAnsi" w:hAnsiTheme="majorHAnsi" w:cstheme="majorHAnsi"/>
          <w:sz w:val="22"/>
          <w:szCs w:val="22"/>
        </w:rPr>
        <w:t xml:space="preserve"> </w:t>
      </w:r>
      <w:r w:rsidR="00BC5875" w:rsidRPr="00235ECB">
        <w:rPr>
          <w:rFonts w:asciiTheme="majorHAnsi" w:hAnsiTheme="majorHAnsi" w:cstheme="majorHAnsi"/>
          <w:sz w:val="22"/>
          <w:szCs w:val="22"/>
        </w:rPr>
        <w:t>d</w:t>
      </w:r>
      <w:r w:rsidR="00092FDF" w:rsidRPr="00235ECB">
        <w:rPr>
          <w:rFonts w:asciiTheme="majorHAnsi" w:hAnsiTheme="majorHAnsi" w:cstheme="majorHAnsi"/>
          <w:sz w:val="22"/>
          <w:szCs w:val="22"/>
        </w:rPr>
        <w:t>ementia</w:t>
      </w:r>
      <w:r w:rsidR="001145F4" w:rsidRPr="00235ECB">
        <w:rPr>
          <w:rFonts w:asciiTheme="majorHAnsi" w:hAnsiTheme="majorHAnsi" w:cstheme="majorHAnsi"/>
          <w:sz w:val="22"/>
          <w:szCs w:val="22"/>
        </w:rPr>
        <w:t xml:space="preserve">. </w:t>
      </w:r>
      <w:r w:rsidR="00F506FB" w:rsidRPr="00235ECB">
        <w:rPr>
          <w:rFonts w:asciiTheme="majorHAnsi" w:hAnsiTheme="majorHAnsi" w:cstheme="majorHAnsi"/>
          <w:sz w:val="22"/>
          <w:szCs w:val="22"/>
        </w:rPr>
        <w:t>W</w:t>
      </w:r>
      <w:r w:rsidR="009E4971" w:rsidRPr="00235ECB">
        <w:rPr>
          <w:rFonts w:asciiTheme="majorHAnsi" w:hAnsiTheme="majorHAnsi" w:cstheme="majorHAnsi"/>
          <w:sz w:val="22"/>
          <w:szCs w:val="22"/>
        </w:rPr>
        <w:t xml:space="preserve">e </w:t>
      </w:r>
      <w:r w:rsidR="003F5123" w:rsidRPr="00235ECB">
        <w:rPr>
          <w:rFonts w:asciiTheme="majorHAnsi" w:hAnsiTheme="majorHAnsi" w:cstheme="majorHAnsi"/>
          <w:sz w:val="22"/>
          <w:szCs w:val="22"/>
        </w:rPr>
        <w:t xml:space="preserve">also </w:t>
      </w:r>
      <w:r w:rsidR="00C1526A" w:rsidRPr="00235ECB">
        <w:rPr>
          <w:rFonts w:asciiTheme="majorHAnsi" w:hAnsiTheme="majorHAnsi" w:cstheme="majorHAnsi"/>
          <w:sz w:val="22"/>
          <w:szCs w:val="22"/>
        </w:rPr>
        <w:t xml:space="preserve">found that </w:t>
      </w:r>
      <w:r w:rsidR="00BC5875" w:rsidRPr="00235ECB">
        <w:rPr>
          <w:rFonts w:asciiTheme="majorHAnsi" w:hAnsiTheme="majorHAnsi" w:cstheme="majorHAnsi"/>
          <w:sz w:val="22"/>
          <w:szCs w:val="22"/>
        </w:rPr>
        <w:t xml:space="preserve">having </w:t>
      </w:r>
      <w:r w:rsidR="003F5123" w:rsidRPr="00235ECB">
        <w:rPr>
          <w:rFonts w:asciiTheme="majorHAnsi" w:hAnsiTheme="majorHAnsi" w:cstheme="majorHAnsi"/>
          <w:sz w:val="22"/>
          <w:szCs w:val="22"/>
        </w:rPr>
        <w:t xml:space="preserve">a </w:t>
      </w:r>
      <w:r w:rsidR="00BC5875" w:rsidRPr="00235ECB">
        <w:rPr>
          <w:rFonts w:asciiTheme="majorHAnsi" w:hAnsiTheme="majorHAnsi" w:cstheme="majorHAnsi"/>
          <w:sz w:val="22"/>
          <w:szCs w:val="22"/>
        </w:rPr>
        <w:t xml:space="preserve">mood disorder </w:t>
      </w:r>
      <w:r w:rsidR="007E65CA" w:rsidRPr="00235ECB">
        <w:rPr>
          <w:rFonts w:asciiTheme="majorHAnsi" w:hAnsiTheme="majorHAnsi" w:cstheme="majorHAnsi"/>
          <w:sz w:val="22"/>
          <w:szCs w:val="22"/>
        </w:rPr>
        <w:t xml:space="preserve">was </w:t>
      </w:r>
      <w:r w:rsidR="00BC5875" w:rsidRPr="00235ECB">
        <w:rPr>
          <w:rFonts w:asciiTheme="majorHAnsi" w:hAnsiTheme="majorHAnsi" w:cstheme="majorHAnsi"/>
          <w:sz w:val="22"/>
          <w:szCs w:val="22"/>
        </w:rPr>
        <w:t xml:space="preserve">predictive of </w:t>
      </w:r>
      <w:r w:rsidR="00C1526A" w:rsidRPr="00235ECB">
        <w:rPr>
          <w:rFonts w:asciiTheme="majorHAnsi" w:hAnsiTheme="majorHAnsi" w:cstheme="majorHAnsi"/>
          <w:sz w:val="22"/>
          <w:szCs w:val="22"/>
        </w:rPr>
        <w:t xml:space="preserve">being a </w:t>
      </w:r>
      <w:r w:rsidR="003F5123" w:rsidRPr="00235ECB">
        <w:rPr>
          <w:rFonts w:asciiTheme="majorHAnsi" w:hAnsiTheme="majorHAnsi" w:cstheme="majorHAnsi"/>
          <w:sz w:val="22"/>
          <w:szCs w:val="22"/>
        </w:rPr>
        <w:t xml:space="preserve">persistent </w:t>
      </w:r>
      <w:r w:rsidR="00C1526A" w:rsidRPr="00235ECB">
        <w:rPr>
          <w:rFonts w:asciiTheme="majorHAnsi" w:hAnsiTheme="majorHAnsi" w:cstheme="majorHAnsi"/>
          <w:sz w:val="22"/>
          <w:szCs w:val="22"/>
        </w:rPr>
        <w:t>mental health high-cost patient</w:t>
      </w:r>
      <w:r w:rsidR="00F506FB" w:rsidRPr="00235ECB">
        <w:rPr>
          <w:rFonts w:asciiTheme="majorHAnsi" w:hAnsiTheme="majorHAnsi" w:cstheme="majorHAnsi"/>
          <w:sz w:val="22"/>
          <w:szCs w:val="22"/>
        </w:rPr>
        <w:t xml:space="preserve"> in </w:t>
      </w:r>
      <w:r w:rsidR="00007393">
        <w:rPr>
          <w:rFonts w:asciiTheme="majorHAnsi" w:hAnsiTheme="majorHAnsi" w:cstheme="majorHAnsi"/>
          <w:sz w:val="22"/>
          <w:szCs w:val="22"/>
        </w:rPr>
        <w:t>a</w:t>
      </w:r>
      <w:r w:rsidR="00007393" w:rsidRPr="00235ECB">
        <w:rPr>
          <w:rFonts w:asciiTheme="majorHAnsi" w:hAnsiTheme="majorHAnsi" w:cstheme="majorHAnsi"/>
          <w:sz w:val="22"/>
          <w:szCs w:val="22"/>
        </w:rPr>
        <w:t xml:space="preserve"> </w:t>
      </w:r>
      <w:r w:rsidR="00F506FB" w:rsidRPr="00235ECB">
        <w:rPr>
          <w:rFonts w:asciiTheme="majorHAnsi" w:hAnsiTheme="majorHAnsi" w:cstheme="majorHAnsi"/>
          <w:sz w:val="22"/>
          <w:szCs w:val="22"/>
        </w:rPr>
        <w:t>sensitivity analysis</w:t>
      </w:r>
      <w:r w:rsidR="001145F4" w:rsidRPr="00235ECB">
        <w:rPr>
          <w:rFonts w:asciiTheme="majorHAnsi" w:hAnsiTheme="majorHAnsi" w:cstheme="majorHAnsi"/>
          <w:sz w:val="22"/>
          <w:szCs w:val="22"/>
        </w:rPr>
        <w:t>.</w:t>
      </w:r>
      <w:r w:rsidR="000747B2" w:rsidRPr="00235ECB">
        <w:rPr>
          <w:rFonts w:asciiTheme="majorHAnsi" w:hAnsiTheme="majorHAnsi" w:cstheme="majorHAnsi"/>
          <w:sz w:val="22"/>
          <w:szCs w:val="22"/>
        </w:rPr>
        <w:t xml:space="preserve"> </w:t>
      </w:r>
      <w:r w:rsidR="007C15E3">
        <w:rPr>
          <w:rFonts w:asciiTheme="majorHAnsi" w:hAnsiTheme="majorHAnsi" w:cstheme="majorHAnsi"/>
          <w:sz w:val="22"/>
          <w:szCs w:val="22"/>
        </w:rPr>
        <w:t>R</w:t>
      </w:r>
      <w:r w:rsidR="000747B2" w:rsidRPr="00235ECB">
        <w:rPr>
          <w:rFonts w:asciiTheme="majorHAnsi" w:hAnsiTheme="majorHAnsi" w:cstheme="majorHAnsi"/>
          <w:sz w:val="22"/>
          <w:szCs w:val="22"/>
        </w:rPr>
        <w:t xml:space="preserve">esults were largely unchanged when we dropped individuals who were lost to attrition over time. </w:t>
      </w:r>
      <w:r w:rsidR="001145F4" w:rsidRPr="00235ECB">
        <w:rPr>
          <w:rFonts w:asciiTheme="majorHAnsi" w:hAnsiTheme="majorHAnsi" w:cstheme="majorHAnsi"/>
          <w:sz w:val="22"/>
          <w:szCs w:val="22"/>
        </w:rPr>
        <w:t>It</w:t>
      </w:r>
      <w:r w:rsidR="00685FE0" w:rsidRPr="00235ECB">
        <w:rPr>
          <w:rFonts w:asciiTheme="majorHAnsi" w:hAnsiTheme="majorHAnsi" w:cstheme="majorHAnsi"/>
          <w:sz w:val="22"/>
          <w:szCs w:val="22"/>
        </w:rPr>
        <w:t xml:space="preserve"> is not surprising</w:t>
      </w:r>
      <w:r w:rsidR="001145F4" w:rsidRPr="00235ECB">
        <w:rPr>
          <w:rFonts w:asciiTheme="majorHAnsi" w:hAnsiTheme="majorHAnsi" w:cstheme="majorHAnsi"/>
          <w:sz w:val="22"/>
          <w:szCs w:val="22"/>
        </w:rPr>
        <w:t xml:space="preserve"> </w:t>
      </w:r>
      <w:r w:rsidR="001145F4" w:rsidRPr="00235ECB">
        <w:rPr>
          <w:rFonts w:asciiTheme="majorHAnsi" w:hAnsiTheme="majorHAnsi" w:cstheme="majorHAnsi"/>
          <w:sz w:val="22"/>
          <w:szCs w:val="22"/>
        </w:rPr>
        <w:lastRenderedPageBreak/>
        <w:t>that having psychosis is predictive of being a persistent mental health high-cost patient</w:t>
      </w:r>
      <w:r w:rsidR="00685FE0" w:rsidRPr="00235ECB">
        <w:rPr>
          <w:rFonts w:asciiTheme="majorHAnsi" w:hAnsiTheme="majorHAnsi" w:cstheme="majorHAnsi"/>
          <w:sz w:val="22"/>
          <w:szCs w:val="22"/>
        </w:rPr>
        <w:t>; previous research has found that patients with psychosis have high costs of care.</w:t>
      </w:r>
      <w:r w:rsidR="00F45CF5">
        <w:rPr>
          <w:rFonts w:asciiTheme="majorHAnsi" w:hAnsiTheme="majorHAnsi" w:cstheme="majorHAnsi"/>
          <w:sz w:val="22"/>
          <w:szCs w:val="22"/>
          <w:vertAlign w:val="superscript"/>
        </w:rPr>
        <w:t>28</w:t>
      </w:r>
      <w:r w:rsidR="00685FE0" w:rsidRPr="00235ECB">
        <w:rPr>
          <w:rFonts w:asciiTheme="majorHAnsi" w:hAnsiTheme="majorHAnsi" w:cstheme="majorHAnsi"/>
          <w:sz w:val="22"/>
          <w:szCs w:val="22"/>
        </w:rPr>
        <w:t xml:space="preserve"> </w:t>
      </w:r>
      <w:r w:rsidR="000747B2" w:rsidRPr="00235ECB">
        <w:rPr>
          <w:rFonts w:asciiTheme="majorHAnsi" w:hAnsiTheme="majorHAnsi" w:cstheme="majorHAnsi"/>
          <w:sz w:val="22"/>
          <w:szCs w:val="22"/>
        </w:rPr>
        <w:t>Moreover</w:t>
      </w:r>
      <w:r w:rsidR="00685FE0" w:rsidRPr="00235ECB">
        <w:rPr>
          <w:rFonts w:asciiTheme="majorHAnsi" w:hAnsiTheme="majorHAnsi" w:cstheme="majorHAnsi"/>
          <w:sz w:val="22"/>
          <w:szCs w:val="22"/>
        </w:rPr>
        <w:t>,</w:t>
      </w:r>
      <w:r w:rsidR="00E92E71" w:rsidRPr="00235ECB">
        <w:rPr>
          <w:rFonts w:asciiTheme="majorHAnsi" w:hAnsiTheme="majorHAnsi" w:cstheme="majorHAnsi"/>
          <w:sz w:val="22"/>
          <w:szCs w:val="22"/>
        </w:rPr>
        <w:t xml:space="preserve"> having diabetes was also an important predictor of persisten</w:t>
      </w:r>
      <w:r w:rsidR="00161168">
        <w:rPr>
          <w:rFonts w:asciiTheme="majorHAnsi" w:hAnsiTheme="majorHAnsi" w:cstheme="majorHAnsi"/>
          <w:sz w:val="22"/>
          <w:szCs w:val="22"/>
        </w:rPr>
        <w:t>cy</w:t>
      </w:r>
      <w:r w:rsidR="004F4888">
        <w:rPr>
          <w:rFonts w:asciiTheme="majorHAnsi" w:hAnsiTheme="majorHAnsi" w:cstheme="majorHAnsi"/>
          <w:sz w:val="22"/>
          <w:szCs w:val="22"/>
        </w:rPr>
        <w:t>.</w:t>
      </w:r>
      <w:r w:rsidR="0019463D" w:rsidRPr="00235ECB">
        <w:rPr>
          <w:rFonts w:asciiTheme="majorHAnsi" w:hAnsiTheme="majorHAnsi" w:cstheme="majorHAnsi"/>
          <w:sz w:val="22"/>
          <w:szCs w:val="22"/>
        </w:rPr>
        <w:t xml:space="preserve"> </w:t>
      </w:r>
      <w:r w:rsidR="00685FE0" w:rsidRPr="00235ECB">
        <w:rPr>
          <w:rFonts w:asciiTheme="majorHAnsi" w:hAnsiTheme="majorHAnsi" w:cstheme="majorHAnsi"/>
          <w:sz w:val="22"/>
          <w:szCs w:val="22"/>
        </w:rPr>
        <w:t xml:space="preserve"> </w:t>
      </w:r>
      <w:r w:rsidR="00E92E71" w:rsidRPr="00235ECB">
        <w:rPr>
          <w:rFonts w:asciiTheme="majorHAnsi" w:hAnsiTheme="majorHAnsi" w:cstheme="majorHAnsi"/>
          <w:sz w:val="22"/>
          <w:szCs w:val="22"/>
        </w:rPr>
        <w:t>O</w:t>
      </w:r>
      <w:r w:rsidR="00F736B1" w:rsidRPr="00235ECB">
        <w:rPr>
          <w:rFonts w:asciiTheme="majorHAnsi" w:hAnsiTheme="majorHAnsi" w:cstheme="majorHAnsi"/>
          <w:sz w:val="22"/>
          <w:szCs w:val="22"/>
        </w:rPr>
        <w:t>ther work has found th</w:t>
      </w:r>
      <w:r w:rsidR="000747B2" w:rsidRPr="00235ECB">
        <w:rPr>
          <w:rFonts w:asciiTheme="majorHAnsi" w:hAnsiTheme="majorHAnsi" w:cstheme="majorHAnsi"/>
          <w:sz w:val="22"/>
          <w:szCs w:val="22"/>
        </w:rPr>
        <w:t>at individuals with</w:t>
      </w:r>
      <w:r w:rsidR="000747B2" w:rsidRPr="00B11CE5">
        <w:rPr>
          <w:rFonts w:asciiTheme="majorHAnsi" w:hAnsiTheme="majorHAnsi" w:cstheme="majorHAnsi"/>
          <w:sz w:val="22"/>
          <w:szCs w:val="22"/>
        </w:rPr>
        <w:t xml:space="preserve"> psychosis a</w:t>
      </w:r>
      <w:r w:rsidR="00F736B1" w:rsidRPr="00B11CE5">
        <w:rPr>
          <w:rFonts w:asciiTheme="majorHAnsi" w:hAnsiTheme="majorHAnsi" w:cstheme="majorHAnsi"/>
          <w:sz w:val="22"/>
          <w:szCs w:val="22"/>
        </w:rPr>
        <w:t>re less like</w:t>
      </w:r>
      <w:r w:rsidR="00B31497">
        <w:rPr>
          <w:rFonts w:asciiTheme="majorHAnsi" w:hAnsiTheme="majorHAnsi" w:cstheme="majorHAnsi"/>
          <w:sz w:val="22"/>
          <w:szCs w:val="22"/>
        </w:rPr>
        <w:t>ly</w:t>
      </w:r>
      <w:r w:rsidR="00F736B1" w:rsidRPr="00B11CE5">
        <w:rPr>
          <w:rFonts w:asciiTheme="majorHAnsi" w:hAnsiTheme="majorHAnsi" w:cstheme="majorHAnsi"/>
          <w:sz w:val="22"/>
          <w:szCs w:val="22"/>
        </w:rPr>
        <w:t xml:space="preserve"> to have optimal diabetes care compared to </w:t>
      </w:r>
      <w:r w:rsidR="00414050" w:rsidRPr="00B11CE5">
        <w:rPr>
          <w:rFonts w:asciiTheme="majorHAnsi" w:hAnsiTheme="majorHAnsi" w:cstheme="majorHAnsi"/>
          <w:sz w:val="22"/>
          <w:szCs w:val="22"/>
        </w:rPr>
        <w:t>those</w:t>
      </w:r>
      <w:r w:rsidR="00F736B1" w:rsidRPr="00B11CE5">
        <w:rPr>
          <w:rFonts w:asciiTheme="majorHAnsi" w:hAnsiTheme="majorHAnsi" w:cstheme="majorHAnsi"/>
          <w:sz w:val="22"/>
          <w:szCs w:val="22"/>
        </w:rPr>
        <w:t xml:space="preserve"> without psychosis, resulting in </w:t>
      </w:r>
      <w:r w:rsidR="00F736B1" w:rsidRPr="00B11CE5">
        <w:rPr>
          <w:rFonts w:asciiTheme="majorHAnsi" w:eastAsia="Times New Roman" w:hAnsiTheme="majorHAnsi" w:cstheme="majorHAnsi"/>
          <w:sz w:val="22"/>
          <w:szCs w:val="22"/>
        </w:rPr>
        <w:t>higher rates of di</w:t>
      </w:r>
      <w:r w:rsidR="00210823" w:rsidRPr="00B11CE5">
        <w:rPr>
          <w:rFonts w:asciiTheme="majorHAnsi" w:eastAsia="Times New Roman" w:hAnsiTheme="majorHAnsi" w:cstheme="majorHAnsi"/>
          <w:sz w:val="22"/>
          <w:szCs w:val="22"/>
        </w:rPr>
        <w:t>abetes-related hospital</w:t>
      </w:r>
      <w:r w:rsidR="00007393">
        <w:rPr>
          <w:rFonts w:asciiTheme="majorHAnsi" w:eastAsia="Times New Roman" w:hAnsiTheme="majorHAnsi" w:cstheme="majorHAnsi"/>
          <w:sz w:val="22"/>
          <w:szCs w:val="22"/>
        </w:rPr>
        <w:t>i</w:t>
      </w:r>
      <w:r w:rsidR="00706989">
        <w:rPr>
          <w:rFonts w:asciiTheme="majorHAnsi" w:eastAsia="Times New Roman" w:hAnsiTheme="majorHAnsi" w:cstheme="majorHAnsi"/>
          <w:sz w:val="22"/>
          <w:szCs w:val="22"/>
        </w:rPr>
        <w:t>z</w:t>
      </w:r>
      <w:r w:rsidR="00007393">
        <w:rPr>
          <w:rFonts w:asciiTheme="majorHAnsi" w:eastAsia="Times New Roman" w:hAnsiTheme="majorHAnsi" w:cstheme="majorHAnsi"/>
          <w:sz w:val="22"/>
          <w:szCs w:val="22"/>
        </w:rPr>
        <w:t>ations</w:t>
      </w:r>
      <w:r w:rsidR="000747B2" w:rsidRPr="00B11CE5">
        <w:rPr>
          <w:rFonts w:asciiTheme="majorHAnsi" w:eastAsia="Times New Roman" w:hAnsiTheme="majorHAnsi" w:cstheme="majorHAnsi"/>
          <w:sz w:val="22"/>
          <w:szCs w:val="22"/>
        </w:rPr>
        <w:t>,</w:t>
      </w:r>
      <w:r w:rsidR="00F45CF5">
        <w:rPr>
          <w:rFonts w:asciiTheme="majorHAnsi" w:eastAsia="Times New Roman" w:hAnsiTheme="majorHAnsi" w:cstheme="majorHAnsi"/>
          <w:sz w:val="22"/>
          <w:szCs w:val="22"/>
          <w:vertAlign w:val="superscript"/>
        </w:rPr>
        <w:t>29</w:t>
      </w:r>
      <w:r w:rsidR="000747B2" w:rsidRPr="00B11CE5">
        <w:rPr>
          <w:rFonts w:asciiTheme="majorHAnsi" w:eastAsia="Times New Roman" w:hAnsiTheme="majorHAnsi" w:cstheme="majorHAnsi"/>
          <w:sz w:val="22"/>
          <w:szCs w:val="22"/>
        </w:rPr>
        <w:t xml:space="preserve"> which</w:t>
      </w:r>
      <w:r w:rsidR="00161168">
        <w:rPr>
          <w:rFonts w:asciiTheme="majorHAnsi" w:eastAsia="Times New Roman" w:hAnsiTheme="majorHAnsi" w:cstheme="majorHAnsi"/>
          <w:sz w:val="22"/>
          <w:szCs w:val="22"/>
        </w:rPr>
        <w:t xml:space="preserve"> </w:t>
      </w:r>
      <w:r w:rsidR="00F506FB">
        <w:rPr>
          <w:rFonts w:asciiTheme="majorHAnsi" w:eastAsia="Times New Roman" w:hAnsiTheme="majorHAnsi" w:cstheme="majorHAnsi"/>
          <w:sz w:val="22"/>
          <w:szCs w:val="22"/>
        </w:rPr>
        <w:t>can</w:t>
      </w:r>
      <w:r w:rsidR="000747B2" w:rsidRPr="00B11CE5">
        <w:rPr>
          <w:rFonts w:asciiTheme="majorHAnsi" w:eastAsia="Times New Roman" w:hAnsiTheme="majorHAnsi" w:cstheme="majorHAnsi"/>
          <w:sz w:val="22"/>
          <w:szCs w:val="22"/>
        </w:rPr>
        <w:t xml:space="preserve"> lead to</w:t>
      </w:r>
      <w:r w:rsidR="00F736B1" w:rsidRPr="00B11CE5">
        <w:rPr>
          <w:rFonts w:asciiTheme="majorHAnsi" w:eastAsia="Times New Roman" w:hAnsiTheme="majorHAnsi" w:cstheme="majorHAnsi"/>
          <w:sz w:val="22"/>
          <w:szCs w:val="22"/>
        </w:rPr>
        <w:t xml:space="preserve"> higher costs.</w:t>
      </w:r>
      <w:r w:rsidR="00E000F3" w:rsidRPr="00E03190">
        <w:rPr>
          <w:rFonts w:asciiTheme="majorHAnsi" w:eastAsia="Times New Roman" w:hAnsiTheme="majorHAnsi" w:cstheme="majorHAnsi"/>
          <w:sz w:val="22"/>
          <w:szCs w:val="22"/>
        </w:rPr>
        <w:t xml:space="preserve"> </w:t>
      </w:r>
    </w:p>
    <w:p w14:paraId="693134F9" w14:textId="77777777" w:rsidR="00F736B1" w:rsidRPr="00E03190" w:rsidRDefault="00F736B1" w:rsidP="004B1B31">
      <w:pPr>
        <w:spacing w:line="480" w:lineRule="auto"/>
        <w:rPr>
          <w:rFonts w:asciiTheme="majorHAnsi" w:hAnsiTheme="majorHAnsi" w:cstheme="majorHAnsi"/>
          <w:sz w:val="22"/>
          <w:szCs w:val="22"/>
        </w:rPr>
      </w:pPr>
    </w:p>
    <w:p w14:paraId="5052FE26" w14:textId="512B587F" w:rsidR="00D24FA1" w:rsidRPr="00B11CE5" w:rsidRDefault="00414050" w:rsidP="004B1B31">
      <w:pPr>
        <w:spacing w:line="480" w:lineRule="auto"/>
        <w:rPr>
          <w:rFonts w:asciiTheme="majorHAnsi" w:eastAsia="Times New Roman" w:hAnsiTheme="majorHAnsi" w:cstheme="majorHAnsi"/>
          <w:sz w:val="22"/>
          <w:szCs w:val="22"/>
        </w:rPr>
      </w:pPr>
      <w:r w:rsidRPr="00E03190">
        <w:rPr>
          <w:rFonts w:asciiTheme="majorHAnsi" w:hAnsiTheme="majorHAnsi" w:cstheme="majorHAnsi"/>
          <w:sz w:val="22"/>
          <w:szCs w:val="22"/>
        </w:rPr>
        <w:t>Few studies have examined persistency in the high-cost state</w:t>
      </w:r>
      <w:r w:rsidR="00436FB3">
        <w:rPr>
          <w:rFonts w:asciiTheme="majorHAnsi" w:hAnsiTheme="majorHAnsi" w:cstheme="majorHAnsi"/>
          <w:sz w:val="22"/>
          <w:szCs w:val="22"/>
        </w:rPr>
        <w:t>,</w:t>
      </w:r>
      <w:r w:rsidR="00235ECB">
        <w:rPr>
          <w:rFonts w:asciiTheme="majorHAnsi" w:hAnsiTheme="majorHAnsi" w:cstheme="majorHAnsi"/>
          <w:sz w:val="22"/>
          <w:szCs w:val="22"/>
        </w:rPr>
        <w:t xml:space="preserve"> </w:t>
      </w:r>
      <w:r w:rsidR="00436FB3">
        <w:rPr>
          <w:rFonts w:asciiTheme="majorHAnsi" w:hAnsiTheme="majorHAnsi" w:cstheme="majorHAnsi"/>
          <w:sz w:val="22"/>
          <w:szCs w:val="22"/>
        </w:rPr>
        <w:t>particular</w:t>
      </w:r>
      <w:r w:rsidR="00A95F21">
        <w:rPr>
          <w:rFonts w:asciiTheme="majorHAnsi" w:hAnsiTheme="majorHAnsi" w:cstheme="majorHAnsi"/>
          <w:sz w:val="22"/>
          <w:szCs w:val="22"/>
        </w:rPr>
        <w:t>ly</w:t>
      </w:r>
      <w:r w:rsidR="00436FB3">
        <w:rPr>
          <w:rFonts w:asciiTheme="majorHAnsi" w:hAnsiTheme="majorHAnsi" w:cstheme="majorHAnsi"/>
          <w:sz w:val="22"/>
          <w:szCs w:val="22"/>
        </w:rPr>
        <w:t xml:space="preserve"> among</w:t>
      </w:r>
      <w:r w:rsidR="00E000F3" w:rsidRPr="00E03190">
        <w:rPr>
          <w:rFonts w:asciiTheme="majorHAnsi" w:hAnsiTheme="majorHAnsi" w:cstheme="majorHAnsi"/>
          <w:sz w:val="22"/>
          <w:szCs w:val="22"/>
        </w:rPr>
        <w:t xml:space="preserve"> high-cost patients</w:t>
      </w:r>
      <w:r w:rsidR="00210823" w:rsidRPr="00E03190">
        <w:rPr>
          <w:rFonts w:asciiTheme="majorHAnsi" w:hAnsiTheme="majorHAnsi" w:cstheme="majorHAnsi"/>
          <w:sz w:val="22"/>
          <w:szCs w:val="22"/>
        </w:rPr>
        <w:t xml:space="preserve"> with me</w:t>
      </w:r>
      <w:r w:rsidR="0034188D">
        <w:rPr>
          <w:rFonts w:asciiTheme="majorHAnsi" w:hAnsiTheme="majorHAnsi" w:cstheme="majorHAnsi"/>
          <w:sz w:val="22"/>
          <w:szCs w:val="22"/>
        </w:rPr>
        <w:t>n</w:t>
      </w:r>
      <w:r w:rsidRPr="00E03190">
        <w:rPr>
          <w:rFonts w:asciiTheme="majorHAnsi" w:hAnsiTheme="majorHAnsi" w:cstheme="majorHAnsi"/>
          <w:sz w:val="22"/>
          <w:szCs w:val="22"/>
        </w:rPr>
        <w:t xml:space="preserve">tal illness. </w:t>
      </w:r>
      <w:r w:rsidR="00BD1C1F" w:rsidRPr="00E03190">
        <w:rPr>
          <w:rFonts w:asciiTheme="majorHAnsi" w:hAnsiTheme="majorHAnsi" w:cstheme="majorHAnsi"/>
          <w:sz w:val="22"/>
          <w:szCs w:val="22"/>
        </w:rPr>
        <w:t xml:space="preserve">Using administrative data from Ontario, </w:t>
      </w:r>
      <w:r w:rsidR="007E65CA" w:rsidRPr="00E03190">
        <w:rPr>
          <w:rFonts w:asciiTheme="majorHAnsi" w:hAnsiTheme="majorHAnsi" w:cstheme="majorHAnsi"/>
          <w:sz w:val="22"/>
          <w:szCs w:val="22"/>
        </w:rPr>
        <w:t>Wodchis et al</w:t>
      </w:r>
      <w:r w:rsidR="00D207AB" w:rsidRPr="00E03190">
        <w:rPr>
          <w:rFonts w:asciiTheme="majorHAnsi" w:hAnsiTheme="majorHAnsi" w:cstheme="majorHAnsi"/>
          <w:sz w:val="22"/>
          <w:szCs w:val="22"/>
        </w:rPr>
        <w:t>.</w:t>
      </w:r>
      <w:r w:rsidR="007E65CA" w:rsidRPr="00E03190">
        <w:rPr>
          <w:rFonts w:asciiTheme="majorHAnsi" w:hAnsiTheme="majorHAnsi" w:cstheme="majorHAnsi"/>
          <w:sz w:val="22"/>
          <w:szCs w:val="22"/>
        </w:rPr>
        <w:t xml:space="preserve"> </w:t>
      </w:r>
      <w:r w:rsidR="00BD1C1F" w:rsidRPr="00E03190">
        <w:rPr>
          <w:rFonts w:asciiTheme="majorHAnsi" w:hAnsiTheme="majorHAnsi" w:cstheme="majorHAnsi"/>
          <w:sz w:val="22"/>
          <w:szCs w:val="22"/>
        </w:rPr>
        <w:t xml:space="preserve">found that </w:t>
      </w:r>
      <w:r w:rsidR="00775192" w:rsidRPr="00E03190">
        <w:rPr>
          <w:rFonts w:asciiTheme="majorHAnsi" w:hAnsiTheme="majorHAnsi" w:cstheme="majorHAnsi"/>
          <w:sz w:val="22"/>
          <w:szCs w:val="22"/>
        </w:rPr>
        <w:t xml:space="preserve">30.7% of individuals in </w:t>
      </w:r>
      <w:r w:rsidR="000747B2" w:rsidRPr="00E03190">
        <w:rPr>
          <w:rFonts w:asciiTheme="majorHAnsi" w:hAnsiTheme="majorHAnsi" w:cstheme="majorHAnsi"/>
          <w:sz w:val="22"/>
          <w:szCs w:val="22"/>
        </w:rPr>
        <w:t>the top 5%</w:t>
      </w:r>
      <w:r w:rsidR="00775192" w:rsidRPr="00E03190">
        <w:rPr>
          <w:rFonts w:asciiTheme="majorHAnsi" w:hAnsiTheme="majorHAnsi" w:cstheme="majorHAnsi"/>
          <w:sz w:val="22"/>
          <w:szCs w:val="22"/>
        </w:rPr>
        <w:t xml:space="preserve"> remained in </w:t>
      </w:r>
      <w:r w:rsidR="00775192" w:rsidRPr="00B11CE5">
        <w:rPr>
          <w:rFonts w:asciiTheme="majorHAnsi" w:hAnsiTheme="majorHAnsi" w:cstheme="majorHAnsi"/>
          <w:sz w:val="22"/>
          <w:szCs w:val="22"/>
        </w:rPr>
        <w:t xml:space="preserve">the high-cost state </w:t>
      </w:r>
      <w:r w:rsidR="00F54C03" w:rsidRPr="00B11CE5">
        <w:rPr>
          <w:rFonts w:asciiTheme="majorHAnsi" w:hAnsiTheme="majorHAnsi" w:cstheme="majorHAnsi"/>
          <w:sz w:val="22"/>
          <w:szCs w:val="22"/>
        </w:rPr>
        <w:t xml:space="preserve">from </w:t>
      </w:r>
      <w:r w:rsidR="00F54C03" w:rsidRPr="00B11CE5">
        <w:rPr>
          <w:rFonts w:asciiTheme="majorHAnsi" w:eastAsia="Times New Roman" w:hAnsiTheme="majorHAnsi" w:cstheme="majorHAnsi"/>
          <w:sz w:val="22"/>
          <w:szCs w:val="22"/>
        </w:rPr>
        <w:t>2009 to 2011</w:t>
      </w:r>
      <w:r w:rsidR="00210823" w:rsidRPr="00B11CE5">
        <w:rPr>
          <w:rFonts w:asciiTheme="majorHAnsi" w:eastAsia="Times New Roman" w:hAnsiTheme="majorHAnsi" w:cstheme="majorHAnsi"/>
          <w:sz w:val="22"/>
          <w:szCs w:val="22"/>
        </w:rPr>
        <w:t>.</w:t>
      </w:r>
      <w:r w:rsidR="00D865A6">
        <w:rPr>
          <w:rFonts w:asciiTheme="majorHAnsi" w:eastAsia="Times New Roman" w:hAnsiTheme="majorHAnsi" w:cstheme="majorHAnsi"/>
          <w:sz w:val="22"/>
          <w:szCs w:val="22"/>
          <w:vertAlign w:val="superscript"/>
        </w:rPr>
        <w:t>7</w:t>
      </w:r>
      <w:r w:rsidR="00210823" w:rsidRPr="00B11CE5">
        <w:rPr>
          <w:rFonts w:asciiTheme="majorHAnsi" w:eastAsia="Times New Roman" w:hAnsiTheme="majorHAnsi" w:cstheme="majorHAnsi"/>
          <w:sz w:val="22"/>
          <w:szCs w:val="22"/>
        </w:rPr>
        <w:t xml:space="preserve"> </w:t>
      </w:r>
      <w:r w:rsidR="00827753" w:rsidRPr="00B11CE5">
        <w:rPr>
          <w:rFonts w:asciiTheme="majorHAnsi" w:hAnsiTheme="majorHAnsi" w:cstheme="majorHAnsi"/>
          <w:sz w:val="22"/>
          <w:szCs w:val="22"/>
        </w:rPr>
        <w:t>Figueroa</w:t>
      </w:r>
      <w:r w:rsidR="00D207AB" w:rsidRPr="00B11CE5">
        <w:rPr>
          <w:rFonts w:asciiTheme="majorHAnsi" w:hAnsiTheme="majorHAnsi" w:cstheme="majorHAnsi"/>
          <w:sz w:val="22"/>
          <w:szCs w:val="22"/>
        </w:rPr>
        <w:t xml:space="preserve"> et al.</w:t>
      </w:r>
      <w:r w:rsidR="00827753" w:rsidRPr="00B11CE5">
        <w:rPr>
          <w:rFonts w:asciiTheme="majorHAnsi" w:hAnsiTheme="majorHAnsi" w:cstheme="majorHAnsi"/>
          <w:sz w:val="22"/>
          <w:szCs w:val="22"/>
        </w:rPr>
        <w:t xml:space="preserve"> examined persistency in the high-cost state among a 20% sample of Medicare fee-for-service </w:t>
      </w:r>
      <w:r w:rsidR="00210823" w:rsidRPr="00B11CE5">
        <w:rPr>
          <w:rFonts w:asciiTheme="majorHAnsi" w:hAnsiTheme="majorHAnsi" w:cstheme="majorHAnsi"/>
          <w:sz w:val="22"/>
          <w:szCs w:val="22"/>
        </w:rPr>
        <w:t>beneficiaries from 2012 to 2014</w:t>
      </w:r>
      <w:r w:rsidR="007A5874">
        <w:rPr>
          <w:rFonts w:asciiTheme="majorHAnsi" w:hAnsiTheme="majorHAnsi" w:cstheme="majorHAnsi"/>
          <w:sz w:val="22"/>
          <w:szCs w:val="22"/>
        </w:rPr>
        <w:t xml:space="preserve"> using data</w:t>
      </w:r>
      <w:r w:rsidR="0099109F">
        <w:rPr>
          <w:rFonts w:asciiTheme="majorHAnsi" w:hAnsiTheme="majorHAnsi" w:cstheme="majorHAnsi"/>
          <w:sz w:val="22"/>
          <w:szCs w:val="22"/>
        </w:rPr>
        <w:t xml:space="preserve"> on</w:t>
      </w:r>
      <w:r w:rsidR="007A5874">
        <w:rPr>
          <w:rFonts w:asciiTheme="majorHAnsi" w:hAnsiTheme="majorHAnsi" w:cstheme="majorHAnsi"/>
          <w:sz w:val="22"/>
          <w:szCs w:val="22"/>
        </w:rPr>
        <w:t xml:space="preserve"> inpatient and outpatient care, physician services, tests and procedures, and drugs</w:t>
      </w:r>
      <w:r w:rsidR="00210823" w:rsidRPr="00B11CE5">
        <w:rPr>
          <w:rFonts w:asciiTheme="majorHAnsi" w:hAnsiTheme="majorHAnsi" w:cstheme="majorHAnsi"/>
          <w:sz w:val="22"/>
          <w:szCs w:val="22"/>
        </w:rPr>
        <w:t>.</w:t>
      </w:r>
      <w:r w:rsidR="00D865A6">
        <w:rPr>
          <w:rFonts w:asciiTheme="majorHAnsi" w:hAnsiTheme="majorHAnsi" w:cstheme="majorHAnsi"/>
          <w:sz w:val="22"/>
          <w:szCs w:val="22"/>
          <w:vertAlign w:val="superscript"/>
        </w:rPr>
        <w:t>8</w:t>
      </w:r>
      <w:r w:rsidR="00827753" w:rsidRPr="00B11CE5">
        <w:rPr>
          <w:rFonts w:asciiTheme="majorHAnsi" w:hAnsiTheme="majorHAnsi" w:cstheme="majorHAnsi"/>
          <w:sz w:val="22"/>
          <w:szCs w:val="22"/>
        </w:rPr>
        <w:t xml:space="preserve"> They found that 28.1% of hig</w:t>
      </w:r>
      <w:r w:rsidR="00D10058" w:rsidRPr="00B11CE5">
        <w:rPr>
          <w:rFonts w:asciiTheme="majorHAnsi" w:hAnsiTheme="majorHAnsi" w:cstheme="majorHAnsi"/>
          <w:sz w:val="22"/>
          <w:szCs w:val="22"/>
        </w:rPr>
        <w:t>h-cost patients in the top 10% remained</w:t>
      </w:r>
      <w:r w:rsidR="00827753" w:rsidRPr="00B11CE5">
        <w:rPr>
          <w:rFonts w:asciiTheme="majorHAnsi" w:hAnsiTheme="majorHAnsi" w:cstheme="majorHAnsi"/>
          <w:sz w:val="22"/>
          <w:szCs w:val="22"/>
        </w:rPr>
        <w:t xml:space="preserve"> in the high-cost state for all 3 years. These patients were younger, more likely to </w:t>
      </w:r>
      <w:r w:rsidR="00EF373F" w:rsidRPr="00B11CE5">
        <w:rPr>
          <w:rFonts w:asciiTheme="majorHAnsi" w:hAnsiTheme="majorHAnsi" w:cstheme="majorHAnsi"/>
          <w:sz w:val="22"/>
          <w:szCs w:val="22"/>
        </w:rPr>
        <w:t xml:space="preserve">be individuals of colour, </w:t>
      </w:r>
      <w:r w:rsidR="005F54A8" w:rsidRPr="00B11CE5">
        <w:rPr>
          <w:rFonts w:asciiTheme="majorHAnsi" w:hAnsiTheme="majorHAnsi" w:cstheme="majorHAnsi"/>
          <w:sz w:val="22"/>
          <w:szCs w:val="22"/>
        </w:rPr>
        <w:t xml:space="preserve">live in lower income areas, </w:t>
      </w:r>
      <w:r w:rsidR="00D207AB" w:rsidRPr="00B11CE5">
        <w:rPr>
          <w:rFonts w:asciiTheme="majorHAnsi" w:hAnsiTheme="majorHAnsi" w:cstheme="majorHAnsi"/>
          <w:sz w:val="22"/>
          <w:szCs w:val="22"/>
        </w:rPr>
        <w:t xml:space="preserve">be </w:t>
      </w:r>
      <w:r w:rsidR="00EF373F" w:rsidRPr="00B11CE5">
        <w:rPr>
          <w:rFonts w:asciiTheme="majorHAnsi" w:hAnsiTheme="majorHAnsi" w:cstheme="majorHAnsi"/>
          <w:sz w:val="22"/>
          <w:szCs w:val="22"/>
        </w:rPr>
        <w:t>Medicare eligible</w:t>
      </w:r>
      <w:r w:rsidR="00235ECB">
        <w:rPr>
          <w:rFonts w:asciiTheme="majorHAnsi" w:hAnsiTheme="majorHAnsi" w:cstheme="majorHAnsi"/>
          <w:sz w:val="22"/>
          <w:szCs w:val="22"/>
        </w:rPr>
        <w:t>,</w:t>
      </w:r>
      <w:r w:rsidR="00EF373F" w:rsidRPr="00B11CE5">
        <w:rPr>
          <w:rFonts w:asciiTheme="majorHAnsi" w:hAnsiTheme="majorHAnsi" w:cstheme="majorHAnsi"/>
          <w:sz w:val="22"/>
          <w:szCs w:val="22"/>
        </w:rPr>
        <w:t xml:space="preserve"> and dually eligible for </w:t>
      </w:r>
      <w:r w:rsidR="00B31497">
        <w:rPr>
          <w:rFonts w:asciiTheme="majorHAnsi" w:hAnsiTheme="majorHAnsi" w:cstheme="majorHAnsi"/>
          <w:sz w:val="22"/>
          <w:szCs w:val="22"/>
        </w:rPr>
        <w:t xml:space="preserve">Medicare and </w:t>
      </w:r>
      <w:r w:rsidR="00EF373F" w:rsidRPr="00B11CE5">
        <w:rPr>
          <w:rFonts w:asciiTheme="majorHAnsi" w:hAnsiTheme="majorHAnsi" w:cstheme="majorHAnsi"/>
          <w:sz w:val="22"/>
          <w:szCs w:val="22"/>
        </w:rPr>
        <w:t xml:space="preserve">Medicaid compared to </w:t>
      </w:r>
      <w:r w:rsidR="00D10058" w:rsidRPr="00B11CE5">
        <w:rPr>
          <w:rFonts w:asciiTheme="majorHAnsi" w:hAnsiTheme="majorHAnsi" w:cstheme="majorHAnsi"/>
          <w:color w:val="1A1718"/>
          <w:sz w:val="22"/>
          <w:szCs w:val="22"/>
        </w:rPr>
        <w:t>transient</w:t>
      </w:r>
      <w:r w:rsidR="00EF373F" w:rsidRPr="00B11CE5">
        <w:rPr>
          <w:rFonts w:asciiTheme="majorHAnsi" w:hAnsiTheme="majorHAnsi" w:cstheme="majorHAnsi"/>
          <w:color w:val="1A1718"/>
          <w:sz w:val="22"/>
          <w:szCs w:val="22"/>
        </w:rPr>
        <w:t xml:space="preserve"> and never high-cost patients. Furthermore, the</w:t>
      </w:r>
      <w:r w:rsidR="002C74BB">
        <w:rPr>
          <w:rFonts w:asciiTheme="majorHAnsi" w:hAnsiTheme="majorHAnsi" w:cstheme="majorHAnsi"/>
          <w:color w:val="1A1718"/>
          <w:sz w:val="22"/>
          <w:szCs w:val="22"/>
        </w:rPr>
        <w:t>y</w:t>
      </w:r>
      <w:r w:rsidR="00EF373F" w:rsidRPr="00B11CE5">
        <w:rPr>
          <w:rFonts w:asciiTheme="majorHAnsi" w:hAnsiTheme="majorHAnsi" w:cstheme="majorHAnsi"/>
          <w:color w:val="1A1718"/>
          <w:sz w:val="22"/>
          <w:szCs w:val="22"/>
        </w:rPr>
        <w:t xml:space="preserve"> found that persistent high-cost patients’ spending was mostly due to outpatient care and </w:t>
      </w:r>
      <w:r w:rsidR="00F95F02">
        <w:rPr>
          <w:rFonts w:asciiTheme="majorHAnsi" w:hAnsiTheme="majorHAnsi" w:cstheme="majorHAnsi"/>
          <w:color w:val="1A1718"/>
          <w:sz w:val="22"/>
          <w:szCs w:val="22"/>
        </w:rPr>
        <w:t>drug</w:t>
      </w:r>
      <w:r w:rsidR="00EF373F" w:rsidRPr="00B11CE5">
        <w:rPr>
          <w:rFonts w:asciiTheme="majorHAnsi" w:hAnsiTheme="majorHAnsi" w:cstheme="majorHAnsi"/>
          <w:color w:val="1A1718"/>
          <w:sz w:val="22"/>
          <w:szCs w:val="22"/>
        </w:rPr>
        <w:t xml:space="preserve">s. </w:t>
      </w:r>
      <w:r w:rsidR="00A04925">
        <w:rPr>
          <w:rFonts w:asciiTheme="majorHAnsi" w:hAnsiTheme="majorHAnsi" w:cstheme="majorHAnsi"/>
          <w:color w:val="1A1718"/>
          <w:sz w:val="22"/>
          <w:szCs w:val="22"/>
        </w:rPr>
        <w:t xml:space="preserve">While we examined a sub-group of high-cost </w:t>
      </w:r>
      <w:r w:rsidR="00007393">
        <w:rPr>
          <w:rFonts w:asciiTheme="majorHAnsi" w:hAnsiTheme="majorHAnsi" w:cstheme="majorHAnsi"/>
          <w:color w:val="1A1718"/>
          <w:sz w:val="22"/>
          <w:szCs w:val="22"/>
        </w:rPr>
        <w:t>patients</w:t>
      </w:r>
      <w:r w:rsidR="005F54A8" w:rsidRPr="00B11CE5">
        <w:rPr>
          <w:rFonts w:asciiTheme="majorHAnsi" w:hAnsiTheme="majorHAnsi" w:cstheme="majorHAnsi"/>
          <w:color w:val="1A1718"/>
          <w:sz w:val="22"/>
          <w:szCs w:val="22"/>
        </w:rPr>
        <w:t>, we also</w:t>
      </w:r>
      <w:r w:rsidR="00B42D77" w:rsidRPr="00B11CE5">
        <w:rPr>
          <w:rFonts w:asciiTheme="majorHAnsi" w:hAnsiTheme="majorHAnsi" w:cstheme="majorHAnsi"/>
          <w:color w:val="1A1718"/>
          <w:sz w:val="22"/>
          <w:szCs w:val="22"/>
        </w:rPr>
        <w:t xml:space="preserve"> found that persistent mental health high-cost patients </w:t>
      </w:r>
      <w:r w:rsidR="005F54A8" w:rsidRPr="00B11CE5">
        <w:rPr>
          <w:rFonts w:asciiTheme="majorHAnsi" w:hAnsiTheme="majorHAnsi" w:cstheme="majorHAnsi"/>
          <w:color w:val="1A1718"/>
          <w:sz w:val="22"/>
          <w:szCs w:val="22"/>
        </w:rPr>
        <w:t xml:space="preserve">lived in lower income areas </w:t>
      </w:r>
      <w:r w:rsidR="00B42D77" w:rsidRPr="00B11CE5">
        <w:rPr>
          <w:rFonts w:asciiTheme="majorHAnsi" w:hAnsiTheme="majorHAnsi" w:cstheme="majorHAnsi"/>
          <w:color w:val="1A1718"/>
          <w:sz w:val="22"/>
          <w:szCs w:val="22"/>
        </w:rPr>
        <w:t>c</w:t>
      </w:r>
      <w:r w:rsidR="005F54A8" w:rsidRPr="00B11CE5">
        <w:rPr>
          <w:rFonts w:asciiTheme="majorHAnsi" w:hAnsiTheme="majorHAnsi" w:cstheme="majorHAnsi"/>
          <w:color w:val="1A1718"/>
          <w:sz w:val="22"/>
          <w:szCs w:val="22"/>
        </w:rPr>
        <w:t xml:space="preserve">ompared to </w:t>
      </w:r>
      <w:r w:rsidR="00B51E67" w:rsidRPr="00B11CE5">
        <w:rPr>
          <w:rFonts w:asciiTheme="majorHAnsi" w:hAnsiTheme="majorHAnsi" w:cstheme="majorHAnsi"/>
          <w:color w:val="1A1718"/>
          <w:sz w:val="22"/>
          <w:szCs w:val="22"/>
        </w:rPr>
        <w:t>moderate and sporadic mental health high-cost patients</w:t>
      </w:r>
      <w:r w:rsidR="005F54A8" w:rsidRPr="00B11CE5">
        <w:rPr>
          <w:rFonts w:asciiTheme="majorHAnsi" w:hAnsiTheme="majorHAnsi" w:cstheme="majorHAnsi"/>
          <w:color w:val="1A1718"/>
          <w:sz w:val="22"/>
          <w:szCs w:val="22"/>
        </w:rPr>
        <w:t>. However, the</w:t>
      </w:r>
      <w:r w:rsidR="00007393">
        <w:rPr>
          <w:rFonts w:asciiTheme="majorHAnsi" w:hAnsiTheme="majorHAnsi" w:cstheme="majorHAnsi"/>
          <w:color w:val="1A1718"/>
          <w:sz w:val="22"/>
          <w:szCs w:val="22"/>
        </w:rPr>
        <w:t>se patients’</w:t>
      </w:r>
      <w:r w:rsidR="00B42D77" w:rsidRPr="00B11CE5">
        <w:rPr>
          <w:rFonts w:asciiTheme="majorHAnsi" w:hAnsiTheme="majorHAnsi" w:cstheme="majorHAnsi"/>
          <w:color w:val="1A1718"/>
          <w:sz w:val="22"/>
          <w:szCs w:val="22"/>
        </w:rPr>
        <w:t xml:space="preserve"> spending profile</w:t>
      </w:r>
      <w:r w:rsidR="00B51E67" w:rsidRPr="00B11CE5">
        <w:rPr>
          <w:rFonts w:asciiTheme="majorHAnsi" w:hAnsiTheme="majorHAnsi" w:cstheme="majorHAnsi"/>
          <w:color w:val="1A1718"/>
          <w:sz w:val="22"/>
          <w:szCs w:val="22"/>
        </w:rPr>
        <w:t xml:space="preserve"> </w:t>
      </w:r>
      <w:r w:rsidR="00D10058" w:rsidRPr="00B11CE5">
        <w:rPr>
          <w:rFonts w:asciiTheme="majorHAnsi" w:hAnsiTheme="majorHAnsi" w:cstheme="majorHAnsi"/>
          <w:color w:val="1A1718"/>
          <w:sz w:val="22"/>
          <w:szCs w:val="22"/>
        </w:rPr>
        <w:t>wa</w:t>
      </w:r>
      <w:r w:rsidR="00B42D77" w:rsidRPr="00B11CE5">
        <w:rPr>
          <w:rFonts w:asciiTheme="majorHAnsi" w:hAnsiTheme="majorHAnsi" w:cstheme="majorHAnsi"/>
          <w:color w:val="1A1718"/>
          <w:sz w:val="22"/>
          <w:szCs w:val="22"/>
        </w:rPr>
        <w:t>s substantially different</w:t>
      </w:r>
      <w:r w:rsidR="00BA5592" w:rsidRPr="00B11CE5">
        <w:rPr>
          <w:rFonts w:asciiTheme="majorHAnsi" w:hAnsiTheme="majorHAnsi" w:cstheme="majorHAnsi"/>
          <w:color w:val="1A1718"/>
          <w:sz w:val="22"/>
          <w:szCs w:val="22"/>
        </w:rPr>
        <w:t xml:space="preserve"> – </w:t>
      </w:r>
      <w:r w:rsidR="002C74BB">
        <w:rPr>
          <w:rFonts w:asciiTheme="majorHAnsi" w:hAnsiTheme="majorHAnsi" w:cstheme="majorHAnsi"/>
          <w:color w:val="1A1718"/>
          <w:sz w:val="22"/>
          <w:szCs w:val="22"/>
        </w:rPr>
        <w:t>most</w:t>
      </w:r>
      <w:r w:rsidR="00BA5592" w:rsidRPr="00B11CE5">
        <w:rPr>
          <w:rFonts w:asciiTheme="majorHAnsi" w:hAnsiTheme="majorHAnsi" w:cstheme="majorHAnsi"/>
          <w:color w:val="1A1718"/>
          <w:sz w:val="22"/>
          <w:szCs w:val="22"/>
        </w:rPr>
        <w:t xml:space="preserve"> costs were due to psychiatric hospitali</w:t>
      </w:r>
      <w:r w:rsidR="005043B1">
        <w:rPr>
          <w:rFonts w:asciiTheme="majorHAnsi" w:hAnsiTheme="majorHAnsi" w:cstheme="majorHAnsi"/>
          <w:color w:val="1A1718"/>
          <w:sz w:val="22"/>
          <w:szCs w:val="22"/>
        </w:rPr>
        <w:t>z</w:t>
      </w:r>
      <w:r w:rsidR="00BA5592" w:rsidRPr="00B11CE5">
        <w:rPr>
          <w:rFonts w:asciiTheme="majorHAnsi" w:hAnsiTheme="majorHAnsi" w:cstheme="majorHAnsi"/>
          <w:color w:val="1A1718"/>
          <w:sz w:val="22"/>
          <w:szCs w:val="22"/>
        </w:rPr>
        <w:t>ations</w:t>
      </w:r>
      <w:r w:rsidR="002C74BB">
        <w:rPr>
          <w:rFonts w:asciiTheme="majorHAnsi" w:hAnsiTheme="majorHAnsi" w:cstheme="majorHAnsi"/>
          <w:color w:val="1A1718"/>
          <w:sz w:val="22"/>
          <w:szCs w:val="22"/>
        </w:rPr>
        <w:t>,</w:t>
      </w:r>
      <w:r w:rsidR="00B42D77" w:rsidRPr="00B11CE5">
        <w:rPr>
          <w:rFonts w:asciiTheme="majorHAnsi" w:hAnsiTheme="majorHAnsi" w:cstheme="majorHAnsi"/>
          <w:color w:val="1A1718"/>
          <w:sz w:val="22"/>
          <w:szCs w:val="22"/>
        </w:rPr>
        <w:t xml:space="preserve"> further </w:t>
      </w:r>
      <w:r w:rsidR="00BA5592" w:rsidRPr="00B11CE5">
        <w:rPr>
          <w:rFonts w:asciiTheme="majorHAnsi" w:hAnsiTheme="majorHAnsi" w:cstheme="majorHAnsi"/>
          <w:color w:val="1A1718"/>
          <w:sz w:val="22"/>
          <w:szCs w:val="22"/>
        </w:rPr>
        <w:t>confirm</w:t>
      </w:r>
      <w:r w:rsidR="002C74BB">
        <w:rPr>
          <w:rFonts w:asciiTheme="majorHAnsi" w:hAnsiTheme="majorHAnsi" w:cstheme="majorHAnsi"/>
          <w:color w:val="1A1718"/>
          <w:sz w:val="22"/>
          <w:szCs w:val="22"/>
        </w:rPr>
        <w:t>ing</w:t>
      </w:r>
      <w:r w:rsidR="00B42D77" w:rsidRPr="00B11CE5">
        <w:rPr>
          <w:rFonts w:asciiTheme="majorHAnsi" w:hAnsiTheme="majorHAnsi" w:cstheme="majorHAnsi"/>
          <w:color w:val="1A1718"/>
          <w:sz w:val="22"/>
          <w:szCs w:val="22"/>
        </w:rPr>
        <w:t xml:space="preserve"> the</w:t>
      </w:r>
      <w:r w:rsidR="00F124C6" w:rsidRPr="00B11CE5">
        <w:rPr>
          <w:rFonts w:asciiTheme="majorHAnsi" w:hAnsiTheme="majorHAnsi" w:cstheme="majorHAnsi"/>
          <w:color w:val="1A1718"/>
          <w:sz w:val="22"/>
          <w:szCs w:val="22"/>
        </w:rPr>
        <w:t xml:space="preserve"> need to </w:t>
      </w:r>
      <w:r w:rsidR="00433907" w:rsidRPr="00B11CE5">
        <w:rPr>
          <w:rFonts w:asciiTheme="majorHAnsi" w:hAnsiTheme="majorHAnsi" w:cstheme="majorHAnsi"/>
          <w:color w:val="1A1718"/>
          <w:sz w:val="22"/>
          <w:szCs w:val="22"/>
        </w:rPr>
        <w:t>consider</w:t>
      </w:r>
      <w:r w:rsidR="00F124C6" w:rsidRPr="00B11CE5">
        <w:rPr>
          <w:rFonts w:asciiTheme="majorHAnsi" w:hAnsiTheme="majorHAnsi" w:cstheme="majorHAnsi"/>
          <w:color w:val="1A1718"/>
          <w:sz w:val="22"/>
          <w:szCs w:val="22"/>
        </w:rPr>
        <w:t xml:space="preserve"> </w:t>
      </w:r>
      <w:r w:rsidR="00F52AD0">
        <w:rPr>
          <w:rFonts w:asciiTheme="majorHAnsi" w:hAnsiTheme="majorHAnsi" w:cstheme="majorHAnsi"/>
          <w:color w:val="1A1718"/>
          <w:sz w:val="22"/>
          <w:szCs w:val="22"/>
        </w:rPr>
        <w:t>them</w:t>
      </w:r>
      <w:r w:rsidR="00F124C6" w:rsidRPr="00B11CE5">
        <w:rPr>
          <w:rFonts w:asciiTheme="majorHAnsi" w:hAnsiTheme="majorHAnsi" w:cstheme="majorHAnsi"/>
          <w:color w:val="1A1718"/>
          <w:sz w:val="22"/>
          <w:szCs w:val="22"/>
        </w:rPr>
        <w:t xml:space="preserve"> </w:t>
      </w:r>
      <w:r w:rsidR="00433907" w:rsidRPr="00B11CE5">
        <w:rPr>
          <w:rFonts w:asciiTheme="majorHAnsi" w:hAnsiTheme="majorHAnsi" w:cstheme="majorHAnsi"/>
          <w:color w:val="1A1718"/>
          <w:sz w:val="22"/>
          <w:szCs w:val="22"/>
        </w:rPr>
        <w:t>separate</w:t>
      </w:r>
      <w:r w:rsidR="00B51E67" w:rsidRPr="00B11CE5">
        <w:rPr>
          <w:rFonts w:asciiTheme="majorHAnsi" w:hAnsiTheme="majorHAnsi" w:cstheme="majorHAnsi"/>
          <w:color w:val="1A1718"/>
          <w:sz w:val="22"/>
          <w:szCs w:val="22"/>
        </w:rPr>
        <w:t>ly from other high-cost patients</w:t>
      </w:r>
      <w:r w:rsidR="00B42D77" w:rsidRPr="00B11CE5">
        <w:rPr>
          <w:rFonts w:asciiTheme="majorHAnsi" w:hAnsiTheme="majorHAnsi" w:cstheme="majorHAnsi"/>
          <w:color w:val="1A1718"/>
          <w:sz w:val="22"/>
          <w:szCs w:val="22"/>
        </w:rPr>
        <w:t>.</w:t>
      </w:r>
      <w:r w:rsidR="00F124C6" w:rsidRPr="00B11CE5">
        <w:rPr>
          <w:rFonts w:asciiTheme="majorHAnsi" w:hAnsiTheme="majorHAnsi" w:cstheme="majorHAnsi"/>
          <w:color w:val="1A1718"/>
          <w:sz w:val="22"/>
          <w:szCs w:val="22"/>
        </w:rPr>
        <w:t xml:space="preserve"> </w:t>
      </w:r>
      <w:r w:rsidR="00433907" w:rsidRPr="00B11CE5">
        <w:rPr>
          <w:rFonts w:asciiTheme="majorHAnsi" w:hAnsiTheme="majorHAnsi" w:cstheme="majorHAnsi"/>
          <w:color w:val="1A1718"/>
          <w:sz w:val="22"/>
          <w:szCs w:val="22"/>
        </w:rPr>
        <w:t>I</w:t>
      </w:r>
      <w:r w:rsidR="00B42D77" w:rsidRPr="00B11CE5">
        <w:rPr>
          <w:rFonts w:asciiTheme="majorHAnsi" w:hAnsiTheme="majorHAnsi" w:cstheme="majorHAnsi"/>
          <w:color w:val="1A1718"/>
          <w:sz w:val="22"/>
          <w:szCs w:val="22"/>
        </w:rPr>
        <w:t>n line with Figueroa et al., we</w:t>
      </w:r>
      <w:r w:rsidR="005B243E" w:rsidRPr="00B11CE5">
        <w:rPr>
          <w:rFonts w:asciiTheme="majorHAnsi" w:hAnsiTheme="majorHAnsi" w:cstheme="majorHAnsi"/>
          <w:color w:val="1A1718"/>
          <w:sz w:val="22"/>
          <w:szCs w:val="22"/>
        </w:rPr>
        <w:t xml:space="preserve"> also</w:t>
      </w:r>
      <w:r w:rsidR="00B42D77" w:rsidRPr="00B11CE5">
        <w:rPr>
          <w:rFonts w:asciiTheme="majorHAnsi" w:hAnsiTheme="majorHAnsi" w:cstheme="majorHAnsi"/>
          <w:color w:val="1A1718"/>
          <w:sz w:val="22"/>
          <w:szCs w:val="22"/>
        </w:rPr>
        <w:t xml:space="preserve"> found that </w:t>
      </w:r>
      <w:r w:rsidR="00BF4650" w:rsidRPr="00B11CE5">
        <w:rPr>
          <w:rFonts w:asciiTheme="majorHAnsi" w:hAnsiTheme="majorHAnsi" w:cstheme="majorHAnsi"/>
          <w:color w:val="1A1718"/>
          <w:sz w:val="22"/>
          <w:szCs w:val="22"/>
        </w:rPr>
        <w:t>a small proportion of</w:t>
      </w:r>
      <w:r w:rsidR="00BA5592" w:rsidRPr="00B11CE5">
        <w:rPr>
          <w:rFonts w:asciiTheme="majorHAnsi" w:hAnsiTheme="majorHAnsi" w:cstheme="majorHAnsi"/>
          <w:color w:val="1A1718"/>
          <w:sz w:val="22"/>
          <w:szCs w:val="22"/>
        </w:rPr>
        <w:t xml:space="preserve"> spending </w:t>
      </w:r>
      <w:r w:rsidR="00B42D77" w:rsidRPr="00B11CE5">
        <w:rPr>
          <w:rFonts w:asciiTheme="majorHAnsi" w:hAnsiTheme="majorHAnsi" w:cstheme="majorHAnsi"/>
          <w:color w:val="1A1718"/>
          <w:sz w:val="22"/>
          <w:szCs w:val="22"/>
        </w:rPr>
        <w:t>was due to preventable acute</w:t>
      </w:r>
      <w:r w:rsidR="00BA5592" w:rsidRPr="00B11CE5">
        <w:rPr>
          <w:rFonts w:asciiTheme="majorHAnsi" w:hAnsiTheme="majorHAnsi" w:cstheme="majorHAnsi"/>
          <w:color w:val="1A1718"/>
          <w:sz w:val="22"/>
          <w:szCs w:val="22"/>
        </w:rPr>
        <w:t xml:space="preserve"> care</w:t>
      </w:r>
      <w:r w:rsidR="00B42D77" w:rsidRPr="00B11CE5">
        <w:rPr>
          <w:rFonts w:asciiTheme="majorHAnsi" w:hAnsiTheme="majorHAnsi" w:cstheme="majorHAnsi"/>
          <w:color w:val="1A1718"/>
          <w:sz w:val="22"/>
          <w:szCs w:val="22"/>
        </w:rPr>
        <w:t xml:space="preserve"> hospitali</w:t>
      </w:r>
      <w:r w:rsidR="00BB011D">
        <w:rPr>
          <w:rFonts w:asciiTheme="majorHAnsi" w:hAnsiTheme="majorHAnsi" w:cstheme="majorHAnsi"/>
          <w:color w:val="1A1718"/>
          <w:sz w:val="22"/>
          <w:szCs w:val="22"/>
        </w:rPr>
        <w:t>z</w:t>
      </w:r>
      <w:r w:rsidR="00B42D77" w:rsidRPr="00B11CE5">
        <w:rPr>
          <w:rFonts w:asciiTheme="majorHAnsi" w:hAnsiTheme="majorHAnsi" w:cstheme="majorHAnsi"/>
          <w:color w:val="1A1718"/>
          <w:sz w:val="22"/>
          <w:szCs w:val="22"/>
        </w:rPr>
        <w:t>ations</w:t>
      </w:r>
      <w:r w:rsidR="00A04925" w:rsidRPr="00A04925">
        <w:rPr>
          <w:rFonts w:asciiTheme="majorHAnsi" w:hAnsiTheme="majorHAnsi" w:cstheme="majorHAnsi"/>
          <w:color w:val="1A1718"/>
          <w:sz w:val="22"/>
          <w:szCs w:val="22"/>
        </w:rPr>
        <w:t xml:space="preserve"> </w:t>
      </w:r>
      <w:r w:rsidR="00A04925" w:rsidRPr="00B11CE5">
        <w:rPr>
          <w:rFonts w:asciiTheme="majorHAnsi" w:hAnsiTheme="majorHAnsi" w:cstheme="majorHAnsi"/>
          <w:color w:val="1A1718"/>
          <w:sz w:val="22"/>
          <w:szCs w:val="22"/>
        </w:rPr>
        <w:t>among mental health high-cost patients</w:t>
      </w:r>
      <w:r w:rsidR="00B42D77" w:rsidRPr="00B11CE5">
        <w:rPr>
          <w:rFonts w:asciiTheme="majorHAnsi" w:hAnsiTheme="majorHAnsi" w:cstheme="majorHAnsi"/>
          <w:color w:val="1A1718"/>
          <w:sz w:val="22"/>
          <w:szCs w:val="22"/>
        </w:rPr>
        <w:t>.</w:t>
      </w:r>
      <w:r w:rsidR="00822457" w:rsidRPr="00B11CE5">
        <w:rPr>
          <w:rFonts w:asciiTheme="majorHAnsi" w:hAnsiTheme="majorHAnsi" w:cstheme="majorHAnsi"/>
          <w:color w:val="1A1718"/>
          <w:sz w:val="22"/>
          <w:szCs w:val="22"/>
        </w:rPr>
        <w:t xml:space="preserve"> This is not surprising </w:t>
      </w:r>
      <w:r w:rsidR="00007393">
        <w:rPr>
          <w:rFonts w:asciiTheme="majorHAnsi" w:hAnsiTheme="majorHAnsi" w:cstheme="majorHAnsi"/>
          <w:color w:val="1A1718"/>
          <w:sz w:val="22"/>
          <w:szCs w:val="22"/>
        </w:rPr>
        <w:t>as</w:t>
      </w:r>
      <w:r w:rsidR="00822457" w:rsidRPr="00B11CE5">
        <w:rPr>
          <w:rFonts w:asciiTheme="majorHAnsi" w:hAnsiTheme="majorHAnsi" w:cstheme="majorHAnsi"/>
          <w:color w:val="1A1718"/>
          <w:sz w:val="22"/>
          <w:szCs w:val="22"/>
        </w:rPr>
        <w:t xml:space="preserve"> </w:t>
      </w:r>
      <w:r w:rsidR="00235ECB">
        <w:rPr>
          <w:rFonts w:asciiTheme="majorHAnsi" w:hAnsiTheme="majorHAnsi" w:cstheme="majorHAnsi"/>
          <w:color w:val="1A1718"/>
          <w:sz w:val="22"/>
          <w:szCs w:val="22"/>
        </w:rPr>
        <w:t>most</w:t>
      </w:r>
      <w:r w:rsidR="003A32F5" w:rsidRPr="00B11CE5">
        <w:rPr>
          <w:rFonts w:asciiTheme="majorHAnsi" w:hAnsiTheme="majorHAnsi" w:cstheme="majorHAnsi"/>
          <w:color w:val="1A1718"/>
          <w:sz w:val="22"/>
          <w:szCs w:val="22"/>
        </w:rPr>
        <w:t xml:space="preserve"> costs </w:t>
      </w:r>
      <w:r w:rsidR="00822457" w:rsidRPr="00B11CE5">
        <w:rPr>
          <w:rFonts w:asciiTheme="majorHAnsi" w:hAnsiTheme="majorHAnsi" w:cstheme="majorHAnsi"/>
          <w:color w:val="1A1718"/>
          <w:sz w:val="22"/>
          <w:szCs w:val="22"/>
        </w:rPr>
        <w:lastRenderedPageBreak/>
        <w:t>were due to psychiatric hospitali</w:t>
      </w:r>
      <w:r w:rsidR="005043B1">
        <w:rPr>
          <w:rFonts w:asciiTheme="majorHAnsi" w:hAnsiTheme="majorHAnsi" w:cstheme="majorHAnsi"/>
          <w:color w:val="1A1718"/>
          <w:sz w:val="22"/>
          <w:szCs w:val="22"/>
        </w:rPr>
        <w:t>z</w:t>
      </w:r>
      <w:r w:rsidR="00822457" w:rsidRPr="00B11CE5">
        <w:rPr>
          <w:rFonts w:asciiTheme="majorHAnsi" w:hAnsiTheme="majorHAnsi" w:cstheme="majorHAnsi"/>
          <w:color w:val="1A1718"/>
          <w:sz w:val="22"/>
          <w:szCs w:val="22"/>
        </w:rPr>
        <w:t>ation</w:t>
      </w:r>
      <w:r w:rsidR="0019463D">
        <w:rPr>
          <w:rFonts w:asciiTheme="majorHAnsi" w:hAnsiTheme="majorHAnsi" w:cstheme="majorHAnsi"/>
          <w:color w:val="1A1718"/>
          <w:sz w:val="22"/>
          <w:szCs w:val="22"/>
        </w:rPr>
        <w:t>s</w:t>
      </w:r>
      <w:r w:rsidR="00822457" w:rsidRPr="00B11CE5">
        <w:rPr>
          <w:rFonts w:asciiTheme="majorHAnsi" w:hAnsiTheme="majorHAnsi" w:cstheme="majorHAnsi"/>
          <w:color w:val="1A1718"/>
          <w:sz w:val="22"/>
          <w:szCs w:val="22"/>
        </w:rPr>
        <w:t xml:space="preserve"> and not acute care hospitali</w:t>
      </w:r>
      <w:r w:rsidR="005043B1">
        <w:rPr>
          <w:rFonts w:asciiTheme="majorHAnsi" w:hAnsiTheme="majorHAnsi" w:cstheme="majorHAnsi"/>
          <w:color w:val="1A1718"/>
          <w:sz w:val="22"/>
          <w:szCs w:val="22"/>
        </w:rPr>
        <w:t>z</w:t>
      </w:r>
      <w:r w:rsidR="00822457" w:rsidRPr="00B11CE5">
        <w:rPr>
          <w:rFonts w:asciiTheme="majorHAnsi" w:hAnsiTheme="majorHAnsi" w:cstheme="majorHAnsi"/>
          <w:color w:val="1A1718"/>
          <w:sz w:val="22"/>
          <w:szCs w:val="22"/>
        </w:rPr>
        <w:t xml:space="preserve">ations. </w:t>
      </w:r>
      <w:r w:rsidR="002C74BB">
        <w:rPr>
          <w:rFonts w:asciiTheme="majorHAnsi" w:hAnsiTheme="majorHAnsi" w:cstheme="majorHAnsi"/>
          <w:color w:val="1A1718"/>
          <w:sz w:val="22"/>
          <w:szCs w:val="22"/>
        </w:rPr>
        <w:t>Therefore</w:t>
      </w:r>
      <w:r w:rsidR="00D207AB" w:rsidRPr="00B11CE5">
        <w:rPr>
          <w:rFonts w:asciiTheme="majorHAnsi" w:hAnsiTheme="majorHAnsi" w:cstheme="majorHAnsi"/>
          <w:color w:val="1A1718"/>
          <w:sz w:val="22"/>
          <w:szCs w:val="22"/>
        </w:rPr>
        <w:t>, i</w:t>
      </w:r>
      <w:r w:rsidR="00F124C6" w:rsidRPr="00B11CE5">
        <w:rPr>
          <w:rFonts w:asciiTheme="majorHAnsi" w:hAnsiTheme="majorHAnsi" w:cstheme="majorHAnsi"/>
          <w:color w:val="1A1718"/>
          <w:sz w:val="22"/>
          <w:szCs w:val="22"/>
        </w:rPr>
        <w:t xml:space="preserve">t may </w:t>
      </w:r>
      <w:r w:rsidR="00235ECB">
        <w:rPr>
          <w:rFonts w:asciiTheme="majorHAnsi" w:hAnsiTheme="majorHAnsi" w:cstheme="majorHAnsi"/>
          <w:color w:val="1A1718"/>
          <w:sz w:val="22"/>
          <w:szCs w:val="22"/>
        </w:rPr>
        <w:t xml:space="preserve">make </w:t>
      </w:r>
      <w:r w:rsidR="00D207AB" w:rsidRPr="00B11CE5">
        <w:rPr>
          <w:rFonts w:asciiTheme="majorHAnsi" w:hAnsiTheme="majorHAnsi" w:cstheme="majorHAnsi"/>
          <w:color w:val="1A1718"/>
          <w:sz w:val="22"/>
          <w:szCs w:val="22"/>
        </w:rPr>
        <w:t>more sense</w:t>
      </w:r>
      <w:r w:rsidR="00F124C6" w:rsidRPr="00B11CE5">
        <w:rPr>
          <w:rFonts w:asciiTheme="majorHAnsi" w:hAnsiTheme="majorHAnsi" w:cstheme="majorHAnsi"/>
          <w:color w:val="1A1718"/>
          <w:sz w:val="22"/>
          <w:szCs w:val="22"/>
        </w:rPr>
        <w:t xml:space="preserve"> to try to ascertain preventable </w:t>
      </w:r>
      <w:r w:rsidR="00F124C6" w:rsidRPr="00B11CE5">
        <w:rPr>
          <w:rFonts w:asciiTheme="majorHAnsi" w:hAnsiTheme="majorHAnsi" w:cstheme="majorHAnsi"/>
          <w:i/>
          <w:color w:val="1A1718"/>
          <w:sz w:val="22"/>
          <w:szCs w:val="22"/>
        </w:rPr>
        <w:t>psychiatric</w:t>
      </w:r>
      <w:r w:rsidR="00F124C6" w:rsidRPr="00B11CE5">
        <w:rPr>
          <w:rFonts w:asciiTheme="majorHAnsi" w:hAnsiTheme="majorHAnsi" w:cstheme="majorHAnsi"/>
          <w:color w:val="1A1718"/>
          <w:sz w:val="22"/>
          <w:szCs w:val="22"/>
        </w:rPr>
        <w:t xml:space="preserve"> hospitali</w:t>
      </w:r>
      <w:r w:rsidR="005043B1">
        <w:rPr>
          <w:rFonts w:asciiTheme="majorHAnsi" w:hAnsiTheme="majorHAnsi" w:cstheme="majorHAnsi"/>
          <w:color w:val="1A1718"/>
          <w:sz w:val="22"/>
          <w:szCs w:val="22"/>
        </w:rPr>
        <w:t>z</w:t>
      </w:r>
      <w:r w:rsidR="00F124C6" w:rsidRPr="00B11CE5">
        <w:rPr>
          <w:rFonts w:asciiTheme="majorHAnsi" w:hAnsiTheme="majorHAnsi" w:cstheme="majorHAnsi"/>
          <w:color w:val="1A1718"/>
          <w:sz w:val="22"/>
          <w:szCs w:val="22"/>
        </w:rPr>
        <w:t>ations</w:t>
      </w:r>
      <w:r w:rsidR="00C9040D" w:rsidRPr="00B11CE5">
        <w:rPr>
          <w:rFonts w:asciiTheme="majorHAnsi" w:hAnsiTheme="majorHAnsi" w:cstheme="majorHAnsi"/>
          <w:color w:val="1A1718"/>
          <w:sz w:val="22"/>
          <w:szCs w:val="22"/>
        </w:rPr>
        <w:t>, where possible</w:t>
      </w:r>
      <w:r w:rsidR="00F124C6" w:rsidRPr="00B11CE5">
        <w:rPr>
          <w:rFonts w:asciiTheme="majorHAnsi" w:hAnsiTheme="majorHAnsi" w:cstheme="majorHAnsi"/>
          <w:color w:val="1A1718"/>
          <w:sz w:val="22"/>
          <w:szCs w:val="22"/>
        </w:rPr>
        <w:t>.</w:t>
      </w:r>
      <w:r w:rsidR="003B62C5" w:rsidRPr="00B11CE5">
        <w:rPr>
          <w:rFonts w:asciiTheme="majorHAnsi" w:hAnsiTheme="majorHAnsi" w:cstheme="majorHAnsi"/>
          <w:color w:val="1A1718"/>
          <w:sz w:val="22"/>
          <w:szCs w:val="22"/>
        </w:rPr>
        <w:t xml:space="preserve"> While some psychiatric hospitali</w:t>
      </w:r>
      <w:r w:rsidR="005043B1">
        <w:rPr>
          <w:rFonts w:asciiTheme="majorHAnsi" w:hAnsiTheme="majorHAnsi" w:cstheme="majorHAnsi"/>
          <w:color w:val="1A1718"/>
          <w:sz w:val="22"/>
          <w:szCs w:val="22"/>
        </w:rPr>
        <w:t>z</w:t>
      </w:r>
      <w:r w:rsidR="003B62C5" w:rsidRPr="00B11CE5">
        <w:rPr>
          <w:rFonts w:asciiTheme="majorHAnsi" w:hAnsiTheme="majorHAnsi" w:cstheme="majorHAnsi"/>
          <w:color w:val="1A1718"/>
          <w:sz w:val="22"/>
          <w:szCs w:val="22"/>
        </w:rPr>
        <w:t xml:space="preserve">ations are likely part of the </w:t>
      </w:r>
      <w:r w:rsidR="009C1BE7" w:rsidRPr="00B11CE5">
        <w:rPr>
          <w:rFonts w:asciiTheme="majorHAnsi" w:hAnsiTheme="majorHAnsi" w:cstheme="majorHAnsi"/>
          <w:color w:val="1A1718"/>
          <w:sz w:val="22"/>
          <w:szCs w:val="22"/>
        </w:rPr>
        <w:t>natural course of the disease</w:t>
      </w:r>
      <w:r w:rsidR="002C74BB">
        <w:rPr>
          <w:rFonts w:asciiTheme="majorHAnsi" w:hAnsiTheme="majorHAnsi" w:cstheme="majorHAnsi"/>
          <w:color w:val="1A1718"/>
          <w:sz w:val="22"/>
          <w:szCs w:val="22"/>
        </w:rPr>
        <w:t>,</w:t>
      </w:r>
      <w:r w:rsidR="00D207AB" w:rsidRPr="00B11CE5">
        <w:rPr>
          <w:rFonts w:asciiTheme="majorHAnsi" w:hAnsiTheme="majorHAnsi" w:cstheme="majorHAnsi"/>
          <w:color w:val="1A1718"/>
          <w:sz w:val="22"/>
          <w:szCs w:val="22"/>
        </w:rPr>
        <w:t xml:space="preserve"> </w:t>
      </w:r>
      <w:r w:rsidR="003B62C5" w:rsidRPr="00B11CE5">
        <w:rPr>
          <w:rFonts w:asciiTheme="majorHAnsi" w:hAnsiTheme="majorHAnsi" w:cstheme="majorHAnsi"/>
          <w:color w:val="1A1718"/>
          <w:sz w:val="22"/>
          <w:szCs w:val="22"/>
        </w:rPr>
        <w:t>and thus inevitable, some hospitali</w:t>
      </w:r>
      <w:r w:rsidR="005043B1">
        <w:rPr>
          <w:rFonts w:asciiTheme="majorHAnsi" w:hAnsiTheme="majorHAnsi" w:cstheme="majorHAnsi"/>
          <w:color w:val="1A1718"/>
          <w:sz w:val="22"/>
          <w:szCs w:val="22"/>
        </w:rPr>
        <w:t>z</w:t>
      </w:r>
      <w:r w:rsidR="003B62C5" w:rsidRPr="00B11CE5">
        <w:rPr>
          <w:rFonts w:asciiTheme="majorHAnsi" w:hAnsiTheme="majorHAnsi" w:cstheme="majorHAnsi"/>
          <w:color w:val="1A1718"/>
          <w:sz w:val="22"/>
          <w:szCs w:val="22"/>
        </w:rPr>
        <w:t>ations</w:t>
      </w:r>
      <w:r w:rsidR="00F963A0">
        <w:rPr>
          <w:rFonts w:asciiTheme="majorHAnsi" w:hAnsiTheme="majorHAnsi" w:cstheme="majorHAnsi"/>
          <w:color w:val="1A1718"/>
          <w:sz w:val="22"/>
          <w:szCs w:val="22"/>
        </w:rPr>
        <w:t xml:space="preserve">, </w:t>
      </w:r>
      <w:r w:rsidR="007056C1">
        <w:rPr>
          <w:rFonts w:asciiTheme="majorHAnsi" w:hAnsiTheme="majorHAnsi" w:cstheme="majorHAnsi"/>
          <w:color w:val="1A1718"/>
          <w:sz w:val="22"/>
          <w:szCs w:val="22"/>
        </w:rPr>
        <w:t xml:space="preserve">namely readmissions, </w:t>
      </w:r>
      <w:r w:rsidR="003B62C5" w:rsidRPr="00B11CE5">
        <w:rPr>
          <w:rFonts w:asciiTheme="majorHAnsi" w:hAnsiTheme="majorHAnsi" w:cstheme="majorHAnsi"/>
          <w:color w:val="1A1718"/>
          <w:sz w:val="22"/>
          <w:szCs w:val="22"/>
        </w:rPr>
        <w:t xml:space="preserve">could potentially be prevented through </w:t>
      </w:r>
      <w:r w:rsidR="009C1BE7" w:rsidRPr="00B11CE5">
        <w:rPr>
          <w:rFonts w:asciiTheme="majorHAnsi" w:hAnsiTheme="majorHAnsi" w:cstheme="majorHAnsi"/>
          <w:color w:val="1A1718"/>
          <w:sz w:val="22"/>
          <w:szCs w:val="22"/>
        </w:rPr>
        <w:t>timely access to physician care</w:t>
      </w:r>
      <w:r w:rsidR="00D865A6">
        <w:rPr>
          <w:rFonts w:asciiTheme="majorHAnsi" w:hAnsiTheme="majorHAnsi" w:cstheme="majorHAnsi"/>
          <w:color w:val="1A1718"/>
          <w:sz w:val="22"/>
          <w:szCs w:val="22"/>
          <w:vertAlign w:val="superscript"/>
        </w:rPr>
        <w:t>3</w:t>
      </w:r>
      <w:r w:rsidR="00F45CF5">
        <w:rPr>
          <w:rFonts w:asciiTheme="majorHAnsi" w:hAnsiTheme="majorHAnsi" w:cstheme="majorHAnsi"/>
          <w:color w:val="1A1718"/>
          <w:sz w:val="22"/>
          <w:szCs w:val="22"/>
          <w:vertAlign w:val="superscript"/>
        </w:rPr>
        <w:t>0</w:t>
      </w:r>
      <w:r w:rsidR="009C1BE7" w:rsidRPr="00B11CE5">
        <w:rPr>
          <w:rFonts w:asciiTheme="majorHAnsi" w:hAnsiTheme="majorHAnsi" w:cstheme="majorHAnsi"/>
          <w:color w:val="1A1718"/>
          <w:sz w:val="22"/>
          <w:szCs w:val="22"/>
        </w:rPr>
        <w:t xml:space="preserve"> and adherence to medication.</w:t>
      </w:r>
      <w:r w:rsidR="00D865A6">
        <w:rPr>
          <w:rFonts w:asciiTheme="majorHAnsi" w:hAnsiTheme="majorHAnsi" w:cstheme="majorHAnsi"/>
          <w:color w:val="1A1718"/>
          <w:sz w:val="22"/>
          <w:szCs w:val="22"/>
          <w:vertAlign w:val="superscript"/>
        </w:rPr>
        <w:t>3</w:t>
      </w:r>
      <w:r w:rsidR="00F45CF5">
        <w:rPr>
          <w:rFonts w:asciiTheme="majorHAnsi" w:hAnsiTheme="majorHAnsi" w:cstheme="majorHAnsi"/>
          <w:color w:val="1A1718"/>
          <w:sz w:val="22"/>
          <w:szCs w:val="22"/>
          <w:vertAlign w:val="superscript"/>
        </w:rPr>
        <w:t>1</w:t>
      </w:r>
      <w:r w:rsidR="009C1BE7" w:rsidRPr="00B11CE5">
        <w:rPr>
          <w:rFonts w:asciiTheme="majorHAnsi" w:hAnsiTheme="majorHAnsi" w:cstheme="majorHAnsi"/>
          <w:color w:val="1A1718"/>
          <w:sz w:val="22"/>
          <w:szCs w:val="22"/>
        </w:rPr>
        <w:t xml:space="preserve"> This should be explored in future research.</w:t>
      </w:r>
      <w:r w:rsidR="00D24FA1" w:rsidRPr="00B11CE5">
        <w:rPr>
          <w:rFonts w:asciiTheme="majorHAnsi" w:hAnsiTheme="majorHAnsi" w:cstheme="majorHAnsi"/>
          <w:color w:val="1A1718"/>
          <w:sz w:val="22"/>
          <w:szCs w:val="22"/>
        </w:rPr>
        <w:t xml:space="preserve"> </w:t>
      </w:r>
      <w:r w:rsidR="00D207AB" w:rsidRPr="00B11CE5">
        <w:rPr>
          <w:rFonts w:asciiTheme="majorHAnsi" w:hAnsiTheme="majorHAnsi" w:cstheme="majorHAnsi"/>
          <w:color w:val="1A1718"/>
          <w:sz w:val="22"/>
          <w:szCs w:val="22"/>
        </w:rPr>
        <w:t>Also, a</w:t>
      </w:r>
      <w:r w:rsidR="00D24FA1" w:rsidRPr="00B11CE5">
        <w:rPr>
          <w:rFonts w:asciiTheme="majorHAnsi" w:hAnsiTheme="majorHAnsi" w:cstheme="majorHAnsi"/>
          <w:color w:val="1A1718"/>
          <w:sz w:val="22"/>
          <w:szCs w:val="22"/>
        </w:rPr>
        <w:t>s a non-trivial number of patients persisted in the high-cost state for 8 years, models predicting long-term pe</w:t>
      </w:r>
      <w:r w:rsidR="00D207AB" w:rsidRPr="00B11CE5">
        <w:rPr>
          <w:rFonts w:asciiTheme="majorHAnsi" w:hAnsiTheme="majorHAnsi" w:cstheme="majorHAnsi"/>
          <w:color w:val="1A1718"/>
          <w:sz w:val="22"/>
          <w:szCs w:val="22"/>
        </w:rPr>
        <w:t xml:space="preserve">rsistency </w:t>
      </w:r>
      <w:r w:rsidR="00BA5592" w:rsidRPr="00B11CE5">
        <w:rPr>
          <w:rFonts w:asciiTheme="majorHAnsi" w:hAnsiTheme="majorHAnsi" w:cstheme="majorHAnsi"/>
          <w:color w:val="1A1718"/>
          <w:sz w:val="22"/>
          <w:szCs w:val="22"/>
        </w:rPr>
        <w:t>may also prove</w:t>
      </w:r>
      <w:r w:rsidR="00D207AB" w:rsidRPr="00B11CE5">
        <w:rPr>
          <w:rFonts w:asciiTheme="majorHAnsi" w:hAnsiTheme="majorHAnsi" w:cstheme="majorHAnsi"/>
          <w:color w:val="1A1718"/>
          <w:sz w:val="22"/>
          <w:szCs w:val="22"/>
        </w:rPr>
        <w:t xml:space="preserve"> useful</w:t>
      </w:r>
      <w:r w:rsidR="00BA5592" w:rsidRPr="00B11CE5">
        <w:rPr>
          <w:rFonts w:asciiTheme="majorHAnsi" w:hAnsiTheme="majorHAnsi" w:cstheme="majorHAnsi"/>
          <w:color w:val="1A1718"/>
          <w:sz w:val="22"/>
          <w:szCs w:val="22"/>
        </w:rPr>
        <w:t xml:space="preserve"> for decision makers</w:t>
      </w:r>
      <w:r w:rsidR="00D24FA1" w:rsidRPr="00B11CE5">
        <w:rPr>
          <w:rFonts w:asciiTheme="majorHAnsi" w:hAnsiTheme="majorHAnsi" w:cstheme="majorHAnsi"/>
          <w:color w:val="1A1718"/>
          <w:sz w:val="22"/>
          <w:szCs w:val="22"/>
        </w:rPr>
        <w:t>.</w:t>
      </w:r>
      <w:r w:rsidR="00BA5592" w:rsidRPr="00B11CE5">
        <w:rPr>
          <w:rFonts w:asciiTheme="majorHAnsi" w:hAnsiTheme="majorHAnsi" w:cstheme="majorHAnsi"/>
          <w:color w:val="1A1718"/>
          <w:sz w:val="22"/>
          <w:szCs w:val="22"/>
        </w:rPr>
        <w:t xml:space="preserve"> </w:t>
      </w:r>
      <w:r w:rsidR="005214E9">
        <w:rPr>
          <w:rFonts w:asciiTheme="majorHAnsi" w:hAnsiTheme="majorHAnsi" w:cstheme="majorHAnsi"/>
          <w:color w:val="1A1718"/>
          <w:sz w:val="22"/>
          <w:szCs w:val="22"/>
        </w:rPr>
        <w:t xml:space="preserve">This may require a better understanding of how to prevent multimorbidity from developing among individuals with severe mental illness, for example through screening of chronic conditions </w:t>
      </w:r>
      <w:r w:rsidR="0007591A">
        <w:rPr>
          <w:rFonts w:asciiTheme="majorHAnsi" w:hAnsiTheme="majorHAnsi" w:cstheme="majorHAnsi"/>
          <w:color w:val="1A1718"/>
          <w:sz w:val="22"/>
          <w:szCs w:val="22"/>
        </w:rPr>
        <w:t>where appropriate</w:t>
      </w:r>
      <w:r w:rsidR="005214E9">
        <w:rPr>
          <w:rFonts w:asciiTheme="majorHAnsi" w:hAnsiTheme="majorHAnsi" w:cstheme="majorHAnsi"/>
          <w:color w:val="1A1718"/>
          <w:sz w:val="22"/>
          <w:szCs w:val="22"/>
        </w:rPr>
        <w:t>.</w:t>
      </w:r>
      <w:r w:rsidR="00D865A6">
        <w:rPr>
          <w:rFonts w:asciiTheme="majorHAnsi" w:hAnsiTheme="majorHAnsi" w:cstheme="majorHAnsi"/>
          <w:color w:val="1A1718"/>
          <w:sz w:val="22"/>
          <w:szCs w:val="22"/>
          <w:vertAlign w:val="superscript"/>
        </w:rPr>
        <w:t>3</w:t>
      </w:r>
      <w:r w:rsidR="00F45CF5">
        <w:rPr>
          <w:rFonts w:asciiTheme="majorHAnsi" w:hAnsiTheme="majorHAnsi" w:cstheme="majorHAnsi"/>
          <w:color w:val="1A1718"/>
          <w:sz w:val="22"/>
          <w:szCs w:val="22"/>
          <w:vertAlign w:val="superscript"/>
        </w:rPr>
        <w:t>2</w:t>
      </w:r>
    </w:p>
    <w:p w14:paraId="1CC4076E" w14:textId="77777777" w:rsidR="009C1BE7" w:rsidRPr="00B11CE5" w:rsidRDefault="009C1BE7" w:rsidP="004B1B31">
      <w:pPr>
        <w:spacing w:line="480" w:lineRule="auto"/>
        <w:rPr>
          <w:rFonts w:asciiTheme="majorHAnsi" w:hAnsiTheme="majorHAnsi" w:cstheme="majorHAnsi"/>
          <w:sz w:val="22"/>
          <w:szCs w:val="22"/>
        </w:rPr>
      </w:pPr>
    </w:p>
    <w:p w14:paraId="2762E654" w14:textId="0D1BCEB5" w:rsidR="00BC5875" w:rsidRPr="00F654AD" w:rsidRDefault="00471BA1" w:rsidP="004B1B31">
      <w:pPr>
        <w:spacing w:line="480" w:lineRule="auto"/>
        <w:rPr>
          <w:rFonts w:asciiTheme="majorHAnsi" w:hAnsiTheme="majorHAnsi" w:cstheme="majorHAnsi"/>
          <w:sz w:val="22"/>
          <w:szCs w:val="22"/>
        </w:rPr>
      </w:pPr>
      <w:r w:rsidRPr="00B11CE5">
        <w:rPr>
          <w:rFonts w:asciiTheme="majorHAnsi" w:hAnsiTheme="majorHAnsi" w:cstheme="majorHAnsi"/>
          <w:sz w:val="22"/>
          <w:szCs w:val="22"/>
        </w:rPr>
        <w:t xml:space="preserve">We examined </w:t>
      </w:r>
      <w:r w:rsidR="00007393">
        <w:rPr>
          <w:rFonts w:asciiTheme="majorHAnsi" w:hAnsiTheme="majorHAnsi" w:cstheme="majorHAnsi"/>
          <w:sz w:val="22"/>
          <w:szCs w:val="22"/>
        </w:rPr>
        <w:t>all adult</w:t>
      </w:r>
      <w:r w:rsidR="00007393" w:rsidRPr="00B11CE5">
        <w:rPr>
          <w:rFonts w:asciiTheme="majorHAnsi" w:hAnsiTheme="majorHAnsi" w:cstheme="majorHAnsi"/>
          <w:sz w:val="22"/>
          <w:szCs w:val="22"/>
        </w:rPr>
        <w:t xml:space="preserve"> </w:t>
      </w:r>
      <w:r w:rsidRPr="00B11CE5">
        <w:rPr>
          <w:rFonts w:asciiTheme="majorHAnsi" w:hAnsiTheme="majorHAnsi" w:cstheme="majorHAnsi"/>
          <w:sz w:val="22"/>
          <w:szCs w:val="22"/>
        </w:rPr>
        <w:t xml:space="preserve">mental health high-cost patients in Ontario; previous work has typically examined representative samples or </w:t>
      </w:r>
      <w:r w:rsidRPr="00F654AD">
        <w:rPr>
          <w:rFonts w:asciiTheme="majorHAnsi" w:hAnsiTheme="majorHAnsi" w:cstheme="majorHAnsi"/>
          <w:sz w:val="22"/>
          <w:szCs w:val="22"/>
        </w:rPr>
        <w:t>patients 65 and older</w:t>
      </w:r>
      <w:r w:rsidR="006E04D6" w:rsidRPr="00F654AD">
        <w:rPr>
          <w:rFonts w:asciiTheme="majorHAnsi" w:hAnsiTheme="majorHAnsi" w:cstheme="majorHAnsi"/>
          <w:sz w:val="22"/>
          <w:szCs w:val="22"/>
        </w:rPr>
        <w:t xml:space="preserve"> only</w:t>
      </w:r>
      <w:r w:rsidRPr="00F654AD">
        <w:rPr>
          <w:rFonts w:asciiTheme="majorHAnsi" w:hAnsiTheme="majorHAnsi" w:cstheme="majorHAnsi"/>
          <w:sz w:val="22"/>
          <w:szCs w:val="22"/>
        </w:rPr>
        <w:t xml:space="preserve">. We followed patients for 8 years; most </w:t>
      </w:r>
      <w:r w:rsidR="00F626AA">
        <w:rPr>
          <w:rFonts w:asciiTheme="majorHAnsi" w:hAnsiTheme="majorHAnsi" w:cstheme="majorHAnsi"/>
          <w:sz w:val="22"/>
          <w:szCs w:val="22"/>
        </w:rPr>
        <w:t xml:space="preserve">related </w:t>
      </w:r>
      <w:r w:rsidRPr="00F654AD">
        <w:rPr>
          <w:rFonts w:asciiTheme="majorHAnsi" w:hAnsiTheme="majorHAnsi" w:cstheme="majorHAnsi"/>
          <w:sz w:val="22"/>
          <w:szCs w:val="22"/>
        </w:rPr>
        <w:t xml:space="preserve">work has followed patients for 3 years. </w:t>
      </w:r>
      <w:r w:rsidR="005F1799" w:rsidRPr="00F654AD">
        <w:rPr>
          <w:rFonts w:asciiTheme="majorHAnsi" w:hAnsiTheme="majorHAnsi" w:cstheme="majorHAnsi"/>
          <w:sz w:val="22"/>
          <w:szCs w:val="22"/>
        </w:rPr>
        <w:t>Finally</w:t>
      </w:r>
      <w:r w:rsidRPr="00F654AD">
        <w:rPr>
          <w:rFonts w:asciiTheme="majorHAnsi" w:hAnsiTheme="majorHAnsi" w:cstheme="majorHAnsi"/>
          <w:sz w:val="22"/>
          <w:szCs w:val="22"/>
        </w:rPr>
        <w:t>, we</w:t>
      </w:r>
      <w:r w:rsidRPr="00F654AD">
        <w:rPr>
          <w:rFonts w:asciiTheme="majorHAnsi" w:hAnsiTheme="majorHAnsi" w:cstheme="majorHAnsi"/>
          <w:color w:val="1A1718"/>
          <w:sz w:val="22"/>
          <w:szCs w:val="22"/>
        </w:rPr>
        <w:t xml:space="preserve"> captured </w:t>
      </w:r>
      <w:r w:rsidR="00725A96">
        <w:rPr>
          <w:rFonts w:asciiTheme="majorHAnsi" w:hAnsiTheme="majorHAnsi" w:cstheme="majorHAnsi"/>
          <w:color w:val="1A1718"/>
          <w:sz w:val="22"/>
          <w:szCs w:val="22"/>
        </w:rPr>
        <w:t>most</w:t>
      </w:r>
      <w:r w:rsidRPr="00F654AD">
        <w:rPr>
          <w:rFonts w:asciiTheme="majorHAnsi" w:hAnsiTheme="majorHAnsi" w:cstheme="majorHAnsi"/>
          <w:color w:val="1A1718"/>
          <w:sz w:val="22"/>
          <w:szCs w:val="22"/>
        </w:rPr>
        <w:t xml:space="preserve"> health care services paid by the Ontario </w:t>
      </w:r>
      <w:r w:rsidR="009F2237">
        <w:rPr>
          <w:rFonts w:asciiTheme="majorHAnsi" w:hAnsiTheme="majorHAnsi" w:cstheme="majorHAnsi"/>
          <w:color w:val="1A1718"/>
          <w:sz w:val="22"/>
          <w:szCs w:val="22"/>
        </w:rPr>
        <w:t>M</w:t>
      </w:r>
      <w:r w:rsidRPr="00F654AD">
        <w:rPr>
          <w:rFonts w:asciiTheme="majorHAnsi" w:hAnsiTheme="majorHAnsi" w:cstheme="majorHAnsi"/>
          <w:color w:val="1A1718"/>
          <w:sz w:val="22"/>
          <w:szCs w:val="22"/>
        </w:rPr>
        <w:t xml:space="preserve">inistry of </w:t>
      </w:r>
      <w:r w:rsidR="009F2237">
        <w:rPr>
          <w:rFonts w:asciiTheme="majorHAnsi" w:hAnsiTheme="majorHAnsi" w:cstheme="majorHAnsi"/>
          <w:color w:val="1A1718"/>
          <w:sz w:val="22"/>
          <w:szCs w:val="22"/>
        </w:rPr>
        <w:t>H</w:t>
      </w:r>
      <w:r w:rsidRPr="00F654AD">
        <w:rPr>
          <w:rFonts w:asciiTheme="majorHAnsi" w:hAnsiTheme="majorHAnsi" w:cstheme="majorHAnsi"/>
          <w:color w:val="1A1718"/>
          <w:sz w:val="22"/>
          <w:szCs w:val="22"/>
        </w:rPr>
        <w:t xml:space="preserve">ealth under a comprehensive universal health care insurance </w:t>
      </w:r>
      <w:r w:rsidR="00613466" w:rsidRPr="00F654AD">
        <w:rPr>
          <w:rFonts w:asciiTheme="majorHAnsi" w:hAnsiTheme="majorHAnsi" w:cstheme="majorHAnsi"/>
          <w:color w:val="1A1718"/>
          <w:sz w:val="22"/>
          <w:szCs w:val="22"/>
        </w:rPr>
        <w:t>system</w:t>
      </w:r>
      <w:r w:rsidRPr="00F654AD">
        <w:rPr>
          <w:rFonts w:asciiTheme="majorHAnsi" w:hAnsiTheme="majorHAnsi" w:cstheme="majorHAnsi"/>
          <w:color w:val="1A1718"/>
          <w:sz w:val="22"/>
          <w:szCs w:val="22"/>
        </w:rPr>
        <w:t xml:space="preserve">. </w:t>
      </w:r>
      <w:r w:rsidR="008831EF" w:rsidRPr="00F654AD">
        <w:rPr>
          <w:rFonts w:asciiTheme="majorHAnsi" w:hAnsiTheme="majorHAnsi" w:cstheme="majorHAnsi"/>
          <w:sz w:val="22"/>
          <w:szCs w:val="22"/>
        </w:rPr>
        <w:t>While there is a large body of work on all high-cost patients,</w:t>
      </w:r>
      <w:r w:rsidR="00F45CF5">
        <w:rPr>
          <w:rFonts w:asciiTheme="majorHAnsi" w:hAnsiTheme="majorHAnsi" w:cstheme="majorHAnsi"/>
          <w:sz w:val="22"/>
          <w:szCs w:val="22"/>
          <w:vertAlign w:val="superscript"/>
        </w:rPr>
        <w:t>9</w:t>
      </w:r>
      <w:r w:rsidR="00D865A6">
        <w:rPr>
          <w:rFonts w:asciiTheme="majorHAnsi" w:hAnsiTheme="majorHAnsi" w:cstheme="majorHAnsi"/>
          <w:sz w:val="22"/>
          <w:szCs w:val="22"/>
          <w:vertAlign w:val="superscript"/>
        </w:rPr>
        <w:t>,3</w:t>
      </w:r>
      <w:r w:rsidR="00F45CF5">
        <w:rPr>
          <w:rFonts w:asciiTheme="majorHAnsi" w:hAnsiTheme="majorHAnsi" w:cstheme="majorHAnsi"/>
          <w:sz w:val="22"/>
          <w:szCs w:val="22"/>
          <w:vertAlign w:val="superscript"/>
        </w:rPr>
        <w:t>3</w:t>
      </w:r>
      <w:r w:rsidR="00D865A6">
        <w:rPr>
          <w:rFonts w:asciiTheme="majorHAnsi" w:hAnsiTheme="majorHAnsi" w:cstheme="majorHAnsi"/>
          <w:sz w:val="22"/>
          <w:szCs w:val="22"/>
          <w:vertAlign w:val="superscript"/>
        </w:rPr>
        <w:t>,3</w:t>
      </w:r>
      <w:r w:rsidR="00F45CF5">
        <w:rPr>
          <w:rFonts w:asciiTheme="majorHAnsi" w:hAnsiTheme="majorHAnsi" w:cstheme="majorHAnsi"/>
          <w:sz w:val="22"/>
          <w:szCs w:val="22"/>
          <w:vertAlign w:val="superscript"/>
        </w:rPr>
        <w:t>4</w:t>
      </w:r>
      <w:r w:rsidR="008831EF" w:rsidRPr="00F654AD">
        <w:rPr>
          <w:rFonts w:asciiTheme="majorHAnsi" w:hAnsiTheme="majorHAnsi" w:cstheme="majorHAnsi"/>
          <w:sz w:val="22"/>
          <w:szCs w:val="22"/>
        </w:rPr>
        <w:t xml:space="preserve"> little attention has been devoted to those with mental </w:t>
      </w:r>
      <w:r w:rsidR="001A228C" w:rsidRPr="00F654AD">
        <w:rPr>
          <w:rFonts w:asciiTheme="majorHAnsi" w:hAnsiTheme="majorHAnsi" w:cstheme="majorHAnsi"/>
          <w:sz w:val="22"/>
          <w:szCs w:val="22"/>
        </w:rPr>
        <w:t>illness</w:t>
      </w:r>
      <w:r w:rsidR="008831EF" w:rsidRPr="00F654AD">
        <w:rPr>
          <w:rFonts w:asciiTheme="majorHAnsi" w:hAnsiTheme="majorHAnsi" w:cstheme="majorHAnsi"/>
          <w:sz w:val="22"/>
          <w:szCs w:val="22"/>
        </w:rPr>
        <w:t xml:space="preserve"> </w:t>
      </w:r>
      <w:r w:rsidR="0019463D" w:rsidRPr="00F654AD">
        <w:rPr>
          <w:rFonts w:asciiTheme="majorHAnsi" w:hAnsiTheme="majorHAnsi" w:cstheme="majorHAnsi"/>
          <w:sz w:val="22"/>
          <w:szCs w:val="22"/>
        </w:rPr>
        <w:t>and/</w:t>
      </w:r>
      <w:r w:rsidR="008831EF" w:rsidRPr="00F654AD">
        <w:rPr>
          <w:rFonts w:asciiTheme="majorHAnsi" w:hAnsiTheme="majorHAnsi" w:cstheme="majorHAnsi"/>
          <w:sz w:val="22"/>
          <w:szCs w:val="22"/>
        </w:rPr>
        <w:t xml:space="preserve">or </w:t>
      </w:r>
      <w:r w:rsidR="00BA5592" w:rsidRPr="00F654AD">
        <w:rPr>
          <w:rFonts w:asciiTheme="majorHAnsi" w:hAnsiTheme="majorHAnsi" w:cstheme="majorHAnsi"/>
          <w:sz w:val="22"/>
          <w:szCs w:val="22"/>
        </w:rPr>
        <w:t xml:space="preserve">examined </w:t>
      </w:r>
      <w:r w:rsidR="008831EF" w:rsidRPr="00F654AD">
        <w:rPr>
          <w:rFonts w:asciiTheme="majorHAnsi" w:hAnsiTheme="majorHAnsi" w:cstheme="majorHAnsi"/>
          <w:sz w:val="22"/>
          <w:szCs w:val="22"/>
        </w:rPr>
        <w:t>their trajectories of care.</w:t>
      </w:r>
      <w:r w:rsidR="00D865A6">
        <w:rPr>
          <w:rFonts w:asciiTheme="majorHAnsi" w:hAnsiTheme="majorHAnsi" w:cstheme="majorHAnsi"/>
          <w:sz w:val="22"/>
          <w:szCs w:val="22"/>
          <w:vertAlign w:val="superscript"/>
        </w:rPr>
        <w:t>4</w:t>
      </w:r>
      <w:r w:rsidR="008831EF" w:rsidRPr="00F654AD">
        <w:rPr>
          <w:rFonts w:asciiTheme="majorHAnsi" w:hAnsiTheme="majorHAnsi" w:cstheme="majorHAnsi"/>
          <w:sz w:val="22"/>
          <w:szCs w:val="22"/>
        </w:rPr>
        <w:t xml:space="preserve"> </w:t>
      </w:r>
      <w:r w:rsidR="00613239" w:rsidRPr="00F654AD">
        <w:rPr>
          <w:rFonts w:asciiTheme="majorHAnsi" w:hAnsiTheme="majorHAnsi" w:cstheme="majorHAnsi"/>
          <w:sz w:val="22"/>
          <w:szCs w:val="22"/>
        </w:rPr>
        <w:t xml:space="preserve">At a health systems level, this research will </w:t>
      </w:r>
      <w:r w:rsidR="00F626AA">
        <w:rPr>
          <w:rFonts w:asciiTheme="majorHAnsi" w:hAnsiTheme="majorHAnsi" w:cstheme="majorHAnsi"/>
          <w:sz w:val="22"/>
          <w:szCs w:val="22"/>
        </w:rPr>
        <w:t>help</w:t>
      </w:r>
      <w:r w:rsidR="00613239" w:rsidRPr="00F654AD">
        <w:rPr>
          <w:rFonts w:asciiTheme="majorHAnsi" w:hAnsiTheme="majorHAnsi" w:cstheme="majorHAnsi"/>
          <w:sz w:val="22"/>
          <w:szCs w:val="22"/>
        </w:rPr>
        <w:t xml:space="preserve"> inform</w:t>
      </w:r>
      <w:r w:rsidR="002B2280" w:rsidRPr="00F654AD">
        <w:rPr>
          <w:rFonts w:asciiTheme="majorHAnsi" w:hAnsiTheme="majorHAnsi" w:cstheme="majorHAnsi"/>
          <w:sz w:val="22"/>
          <w:szCs w:val="22"/>
        </w:rPr>
        <w:t xml:space="preserve"> interventions that preserve quality of care while reducing costs, including preventing persistence in the high-cost state. </w:t>
      </w:r>
      <w:r w:rsidR="00EA059A" w:rsidRPr="00F654AD">
        <w:rPr>
          <w:rFonts w:asciiTheme="majorHAnsi" w:hAnsiTheme="majorHAnsi" w:cstheme="majorHAnsi"/>
          <w:sz w:val="22"/>
          <w:szCs w:val="22"/>
        </w:rPr>
        <w:t>Previous</w:t>
      </w:r>
      <w:r w:rsidR="0045608A" w:rsidRPr="00F654AD">
        <w:rPr>
          <w:rFonts w:asciiTheme="majorHAnsi" w:hAnsiTheme="majorHAnsi" w:cstheme="majorHAnsi"/>
          <w:sz w:val="22"/>
          <w:szCs w:val="22"/>
        </w:rPr>
        <w:t xml:space="preserve"> literature suggests that persistent high-cost </w:t>
      </w:r>
      <w:r w:rsidR="005F1799" w:rsidRPr="00F654AD">
        <w:rPr>
          <w:rFonts w:asciiTheme="majorHAnsi" w:hAnsiTheme="majorHAnsi" w:cstheme="majorHAnsi"/>
          <w:sz w:val="22"/>
          <w:szCs w:val="22"/>
        </w:rPr>
        <w:t>patient</w:t>
      </w:r>
      <w:r w:rsidR="0045608A" w:rsidRPr="00F654AD">
        <w:rPr>
          <w:rFonts w:asciiTheme="majorHAnsi" w:hAnsiTheme="majorHAnsi" w:cstheme="majorHAnsi"/>
          <w:sz w:val="22"/>
          <w:szCs w:val="22"/>
        </w:rPr>
        <w:t xml:space="preserve">s may be ideal targets for cost-saving interventions, as </w:t>
      </w:r>
      <w:r w:rsidR="008A7010" w:rsidRPr="00F654AD">
        <w:rPr>
          <w:rFonts w:asciiTheme="majorHAnsi" w:hAnsiTheme="majorHAnsi" w:cstheme="majorHAnsi"/>
          <w:sz w:val="22"/>
          <w:szCs w:val="22"/>
        </w:rPr>
        <w:t xml:space="preserve">some </w:t>
      </w:r>
      <w:r w:rsidR="0045608A" w:rsidRPr="00F654AD">
        <w:rPr>
          <w:rFonts w:asciiTheme="majorHAnsi" w:hAnsiTheme="majorHAnsi" w:cstheme="majorHAnsi"/>
          <w:sz w:val="22"/>
          <w:szCs w:val="22"/>
        </w:rPr>
        <w:t>costs may be reduced through proper disease management.</w:t>
      </w:r>
      <w:r w:rsidR="00210823" w:rsidRPr="00F654AD">
        <w:rPr>
          <w:rFonts w:asciiTheme="majorHAnsi" w:hAnsiTheme="majorHAnsi" w:cstheme="majorHAnsi"/>
          <w:sz w:val="22"/>
          <w:szCs w:val="22"/>
          <w:vertAlign w:val="superscript"/>
        </w:rPr>
        <w:t>3</w:t>
      </w:r>
      <w:r w:rsidR="00F45CF5">
        <w:rPr>
          <w:rFonts w:asciiTheme="majorHAnsi" w:hAnsiTheme="majorHAnsi" w:cstheme="majorHAnsi"/>
          <w:sz w:val="22"/>
          <w:szCs w:val="22"/>
          <w:vertAlign w:val="superscript"/>
        </w:rPr>
        <w:t>5</w:t>
      </w:r>
      <w:r w:rsidR="00F21E7F" w:rsidRPr="00F654AD">
        <w:rPr>
          <w:rFonts w:asciiTheme="majorHAnsi" w:hAnsiTheme="majorHAnsi" w:cstheme="majorHAnsi"/>
          <w:sz w:val="22"/>
          <w:szCs w:val="22"/>
        </w:rPr>
        <w:t xml:space="preserve"> </w:t>
      </w:r>
      <w:r w:rsidR="00892250" w:rsidRPr="00F654AD">
        <w:rPr>
          <w:rFonts w:asciiTheme="majorHAnsi" w:hAnsiTheme="majorHAnsi" w:cstheme="majorHAnsi"/>
          <w:sz w:val="22"/>
          <w:szCs w:val="22"/>
        </w:rPr>
        <w:t>For example, high support housing</w:t>
      </w:r>
      <w:r w:rsidR="00F45CF5">
        <w:rPr>
          <w:rFonts w:asciiTheme="majorHAnsi" w:hAnsiTheme="majorHAnsi" w:cstheme="majorHAnsi"/>
          <w:sz w:val="22"/>
          <w:szCs w:val="22"/>
          <w:vertAlign w:val="superscript"/>
        </w:rPr>
        <w:t>36</w:t>
      </w:r>
      <w:r w:rsidR="00892250" w:rsidRPr="00F654AD">
        <w:rPr>
          <w:rFonts w:asciiTheme="majorHAnsi" w:hAnsiTheme="majorHAnsi" w:cstheme="majorHAnsi"/>
          <w:sz w:val="22"/>
          <w:szCs w:val="22"/>
        </w:rPr>
        <w:t xml:space="preserve"> may </w:t>
      </w:r>
      <w:r w:rsidR="00007393">
        <w:rPr>
          <w:rFonts w:asciiTheme="majorHAnsi" w:hAnsiTheme="majorHAnsi" w:cstheme="majorHAnsi"/>
          <w:sz w:val="22"/>
          <w:szCs w:val="22"/>
        </w:rPr>
        <w:t>help</w:t>
      </w:r>
      <w:r w:rsidR="00892250" w:rsidRPr="00F654AD">
        <w:rPr>
          <w:rFonts w:asciiTheme="majorHAnsi" w:hAnsiTheme="majorHAnsi" w:cstheme="majorHAnsi"/>
          <w:sz w:val="22"/>
          <w:szCs w:val="22"/>
        </w:rPr>
        <w:t xml:space="preserve"> address long hospital</w:t>
      </w:r>
      <w:r w:rsidR="00587759" w:rsidRPr="00587759">
        <w:rPr>
          <w:rFonts w:asciiTheme="majorHAnsi" w:hAnsiTheme="majorHAnsi" w:cstheme="majorHAnsi"/>
          <w:sz w:val="22"/>
          <w:szCs w:val="22"/>
        </w:rPr>
        <w:t xml:space="preserve"> </w:t>
      </w:r>
      <w:r w:rsidR="00587759" w:rsidRPr="00F654AD">
        <w:rPr>
          <w:rFonts w:asciiTheme="majorHAnsi" w:hAnsiTheme="majorHAnsi" w:cstheme="majorHAnsi"/>
          <w:sz w:val="22"/>
          <w:szCs w:val="22"/>
        </w:rPr>
        <w:t>stay</w:t>
      </w:r>
      <w:r w:rsidR="00587759">
        <w:rPr>
          <w:rFonts w:asciiTheme="majorHAnsi" w:hAnsiTheme="majorHAnsi" w:cstheme="majorHAnsi"/>
          <w:sz w:val="22"/>
          <w:szCs w:val="22"/>
        </w:rPr>
        <w:t>s</w:t>
      </w:r>
      <w:r w:rsidR="00892250" w:rsidRPr="00F654AD">
        <w:rPr>
          <w:rFonts w:asciiTheme="majorHAnsi" w:hAnsiTheme="majorHAnsi" w:cstheme="majorHAnsi"/>
          <w:sz w:val="22"/>
          <w:szCs w:val="22"/>
        </w:rPr>
        <w:t xml:space="preserve">, which are a driver of high costs. </w:t>
      </w:r>
      <w:r w:rsidR="00EA059A" w:rsidRPr="00F654AD">
        <w:rPr>
          <w:rFonts w:asciiTheme="majorHAnsi" w:hAnsiTheme="majorHAnsi" w:cstheme="majorHAnsi"/>
          <w:sz w:val="22"/>
          <w:szCs w:val="22"/>
        </w:rPr>
        <w:t>However, o</w:t>
      </w:r>
      <w:r w:rsidRPr="00F654AD">
        <w:rPr>
          <w:rFonts w:asciiTheme="majorHAnsi" w:hAnsiTheme="majorHAnsi" w:cstheme="majorHAnsi"/>
          <w:sz w:val="22"/>
          <w:szCs w:val="22"/>
        </w:rPr>
        <w:t xml:space="preserve">ur results suggest there may </w:t>
      </w:r>
      <w:r w:rsidR="00626320" w:rsidRPr="00F654AD">
        <w:rPr>
          <w:rFonts w:asciiTheme="majorHAnsi" w:hAnsiTheme="majorHAnsi" w:cstheme="majorHAnsi"/>
          <w:sz w:val="22"/>
          <w:szCs w:val="22"/>
        </w:rPr>
        <w:t xml:space="preserve">be little </w:t>
      </w:r>
      <w:r w:rsidRPr="00F654AD">
        <w:rPr>
          <w:rFonts w:asciiTheme="majorHAnsi" w:hAnsiTheme="majorHAnsi" w:cstheme="majorHAnsi"/>
          <w:sz w:val="22"/>
          <w:szCs w:val="22"/>
        </w:rPr>
        <w:t xml:space="preserve">scope to address these patients’ high costs without further </w:t>
      </w:r>
      <w:r w:rsidR="008749CC">
        <w:rPr>
          <w:rFonts w:asciiTheme="majorHAnsi" w:hAnsiTheme="majorHAnsi" w:cstheme="majorHAnsi"/>
          <w:sz w:val="22"/>
          <w:szCs w:val="22"/>
        </w:rPr>
        <w:t xml:space="preserve">understanding </w:t>
      </w:r>
      <w:r w:rsidRPr="00F654AD">
        <w:rPr>
          <w:rFonts w:asciiTheme="majorHAnsi" w:hAnsiTheme="majorHAnsi" w:cstheme="majorHAnsi"/>
          <w:sz w:val="22"/>
          <w:szCs w:val="22"/>
        </w:rPr>
        <w:t>the reasons for high hospitali</w:t>
      </w:r>
      <w:r w:rsidR="005043B1">
        <w:rPr>
          <w:rFonts w:asciiTheme="majorHAnsi" w:hAnsiTheme="majorHAnsi" w:cstheme="majorHAnsi"/>
          <w:sz w:val="22"/>
          <w:szCs w:val="22"/>
        </w:rPr>
        <w:t>z</w:t>
      </w:r>
      <w:r w:rsidRPr="00F654AD">
        <w:rPr>
          <w:rFonts w:asciiTheme="majorHAnsi" w:hAnsiTheme="majorHAnsi" w:cstheme="majorHAnsi"/>
          <w:sz w:val="22"/>
          <w:szCs w:val="22"/>
        </w:rPr>
        <w:t>ation</w:t>
      </w:r>
      <w:r w:rsidR="00B6641A">
        <w:rPr>
          <w:rFonts w:asciiTheme="majorHAnsi" w:hAnsiTheme="majorHAnsi" w:cstheme="majorHAnsi"/>
          <w:sz w:val="22"/>
          <w:szCs w:val="22"/>
        </w:rPr>
        <w:t xml:space="preserve"> </w:t>
      </w:r>
      <w:r w:rsidR="00B10591">
        <w:rPr>
          <w:rFonts w:asciiTheme="majorHAnsi" w:hAnsiTheme="majorHAnsi" w:cstheme="majorHAnsi"/>
          <w:sz w:val="22"/>
          <w:szCs w:val="22"/>
        </w:rPr>
        <w:t>costs</w:t>
      </w:r>
      <w:r w:rsidR="00B10591" w:rsidRPr="00F654AD">
        <w:rPr>
          <w:rFonts w:asciiTheme="majorHAnsi" w:hAnsiTheme="majorHAnsi" w:cstheme="majorHAnsi"/>
          <w:sz w:val="22"/>
          <w:szCs w:val="22"/>
        </w:rPr>
        <w:t xml:space="preserve"> </w:t>
      </w:r>
      <w:r w:rsidR="00725A96">
        <w:rPr>
          <w:rFonts w:asciiTheme="majorHAnsi" w:hAnsiTheme="majorHAnsi" w:cstheme="majorHAnsi"/>
          <w:sz w:val="22"/>
          <w:szCs w:val="22"/>
        </w:rPr>
        <w:t>and</w:t>
      </w:r>
      <w:r w:rsidR="00D32342">
        <w:rPr>
          <w:rFonts w:asciiTheme="majorHAnsi" w:hAnsiTheme="majorHAnsi" w:cstheme="majorHAnsi"/>
          <w:sz w:val="22"/>
          <w:szCs w:val="22"/>
        </w:rPr>
        <w:t xml:space="preserve"> for related </w:t>
      </w:r>
      <w:r w:rsidR="00D32342">
        <w:rPr>
          <w:rFonts w:asciiTheme="majorHAnsi" w:hAnsiTheme="majorHAnsi" w:cstheme="majorHAnsi"/>
          <w:sz w:val="22"/>
          <w:szCs w:val="22"/>
        </w:rPr>
        <w:lastRenderedPageBreak/>
        <w:t>outcomes such</w:t>
      </w:r>
      <w:r w:rsidR="00C27CA2">
        <w:rPr>
          <w:rFonts w:asciiTheme="majorHAnsi" w:hAnsiTheme="majorHAnsi" w:cstheme="majorHAnsi"/>
          <w:sz w:val="22"/>
          <w:szCs w:val="22"/>
        </w:rPr>
        <w:t xml:space="preserve"> long lengths of stay</w:t>
      </w:r>
      <w:r w:rsidR="005214E9">
        <w:rPr>
          <w:rFonts w:asciiTheme="majorHAnsi" w:hAnsiTheme="majorHAnsi" w:cstheme="majorHAnsi"/>
          <w:sz w:val="22"/>
          <w:szCs w:val="22"/>
        </w:rPr>
        <w:t xml:space="preserve"> in hospital</w:t>
      </w:r>
      <w:r w:rsidRPr="00F654AD">
        <w:rPr>
          <w:rFonts w:asciiTheme="majorHAnsi" w:hAnsiTheme="majorHAnsi" w:cstheme="majorHAnsi"/>
          <w:sz w:val="22"/>
          <w:szCs w:val="22"/>
        </w:rPr>
        <w:t xml:space="preserve">. </w:t>
      </w:r>
      <w:r w:rsidR="00631C81" w:rsidRPr="00F654AD">
        <w:rPr>
          <w:rFonts w:asciiTheme="majorHAnsi" w:hAnsiTheme="majorHAnsi" w:cstheme="majorHAnsi"/>
          <w:sz w:val="22"/>
          <w:szCs w:val="22"/>
        </w:rPr>
        <w:t xml:space="preserve">These findings may be useful to inform </w:t>
      </w:r>
      <w:r w:rsidR="00F249FC">
        <w:rPr>
          <w:rFonts w:asciiTheme="majorHAnsi" w:hAnsiTheme="majorHAnsi" w:cstheme="majorHAnsi"/>
          <w:sz w:val="22"/>
          <w:szCs w:val="22"/>
        </w:rPr>
        <w:t>initiatives</w:t>
      </w:r>
      <w:r w:rsidR="006C632A">
        <w:rPr>
          <w:rFonts w:asciiTheme="majorHAnsi" w:hAnsiTheme="majorHAnsi" w:cstheme="majorHAnsi"/>
          <w:sz w:val="22"/>
          <w:szCs w:val="22"/>
        </w:rPr>
        <w:t xml:space="preserve"> that</w:t>
      </w:r>
      <w:r w:rsidR="00F249FC">
        <w:rPr>
          <w:rFonts w:asciiTheme="majorHAnsi" w:hAnsiTheme="majorHAnsi" w:cstheme="majorHAnsi"/>
          <w:sz w:val="22"/>
          <w:szCs w:val="22"/>
        </w:rPr>
        <w:t xml:space="preserve"> </w:t>
      </w:r>
      <w:r w:rsidR="00F249FC" w:rsidRPr="00F654AD">
        <w:rPr>
          <w:rFonts w:asciiTheme="majorHAnsi" w:hAnsiTheme="majorHAnsi" w:cstheme="majorHAnsi"/>
          <w:sz w:val="22"/>
          <w:szCs w:val="22"/>
        </w:rPr>
        <w:t>focus on improving the management of care among complex</w:t>
      </w:r>
      <w:r w:rsidR="00F01038">
        <w:rPr>
          <w:rFonts w:asciiTheme="majorHAnsi" w:hAnsiTheme="majorHAnsi" w:cstheme="majorHAnsi"/>
          <w:sz w:val="22"/>
          <w:szCs w:val="22"/>
        </w:rPr>
        <w:t>, high-need</w:t>
      </w:r>
      <w:r w:rsidR="00F249FC" w:rsidRPr="00F654AD">
        <w:rPr>
          <w:rFonts w:asciiTheme="majorHAnsi" w:hAnsiTheme="majorHAnsi" w:cstheme="majorHAnsi"/>
          <w:sz w:val="22"/>
          <w:szCs w:val="22"/>
        </w:rPr>
        <w:t xml:space="preserve"> patients</w:t>
      </w:r>
      <w:r w:rsidR="00F01038">
        <w:rPr>
          <w:rFonts w:asciiTheme="majorHAnsi" w:hAnsiTheme="majorHAnsi" w:cstheme="majorHAnsi"/>
          <w:sz w:val="22"/>
          <w:szCs w:val="22"/>
        </w:rPr>
        <w:t xml:space="preserve"> with medical and psychiatric multimorbidity</w:t>
      </w:r>
      <w:r w:rsidR="00F249FC">
        <w:rPr>
          <w:rFonts w:asciiTheme="majorHAnsi" w:hAnsiTheme="majorHAnsi" w:cstheme="majorHAnsi"/>
          <w:sz w:val="22"/>
          <w:szCs w:val="22"/>
        </w:rPr>
        <w:t>, such as</w:t>
      </w:r>
      <w:r w:rsidR="00631C81" w:rsidRPr="00F654AD">
        <w:rPr>
          <w:rFonts w:asciiTheme="majorHAnsi" w:hAnsiTheme="majorHAnsi" w:cstheme="majorHAnsi"/>
          <w:sz w:val="22"/>
          <w:szCs w:val="22"/>
        </w:rPr>
        <w:t xml:space="preserve"> </w:t>
      </w:r>
      <w:r w:rsidR="00D91CEF">
        <w:rPr>
          <w:rFonts w:asciiTheme="majorHAnsi" w:hAnsiTheme="majorHAnsi" w:cstheme="majorHAnsi"/>
          <w:sz w:val="22"/>
          <w:szCs w:val="22"/>
        </w:rPr>
        <w:t xml:space="preserve">the </w:t>
      </w:r>
      <w:r w:rsidR="00631C81" w:rsidRPr="00F654AD">
        <w:rPr>
          <w:rFonts w:asciiTheme="majorHAnsi" w:hAnsiTheme="majorHAnsi" w:cstheme="majorHAnsi"/>
          <w:sz w:val="22"/>
          <w:szCs w:val="22"/>
        </w:rPr>
        <w:t>Health Links Initiative in Ontario</w:t>
      </w:r>
      <w:r w:rsidR="00C24723">
        <w:rPr>
          <w:rFonts w:asciiTheme="majorHAnsi" w:hAnsiTheme="majorHAnsi" w:cstheme="majorHAnsi"/>
          <w:sz w:val="22"/>
          <w:szCs w:val="22"/>
          <w:vertAlign w:val="superscript"/>
        </w:rPr>
        <w:t>37</w:t>
      </w:r>
      <w:r w:rsidR="00631C81" w:rsidRPr="00F654AD">
        <w:rPr>
          <w:rFonts w:asciiTheme="majorHAnsi" w:hAnsiTheme="majorHAnsi" w:cstheme="majorHAnsi"/>
          <w:sz w:val="22"/>
          <w:szCs w:val="22"/>
        </w:rPr>
        <w:t>, Accountable Care Organizations in the US, and the Better Care Fund in the UK.</w:t>
      </w:r>
    </w:p>
    <w:p w14:paraId="28343B91" w14:textId="71A82743" w:rsidR="00BF7D3E" w:rsidRDefault="00BF7D3E" w:rsidP="00BF7D3E">
      <w:pPr>
        <w:widowControl w:val="0"/>
        <w:autoSpaceDE w:val="0"/>
        <w:autoSpaceDN w:val="0"/>
        <w:adjustRightInd w:val="0"/>
        <w:spacing w:line="480" w:lineRule="auto"/>
        <w:rPr>
          <w:rFonts w:asciiTheme="majorHAnsi" w:hAnsiTheme="majorHAnsi" w:cstheme="majorHAnsi"/>
          <w:color w:val="1A1718"/>
          <w:sz w:val="22"/>
          <w:szCs w:val="22"/>
        </w:rPr>
      </w:pPr>
    </w:p>
    <w:p w14:paraId="5AF7310C" w14:textId="0580DE1F" w:rsidR="00BF7D3E" w:rsidRPr="00BF7D3E" w:rsidRDefault="00BF7D3E" w:rsidP="00BF7D3E">
      <w:pPr>
        <w:widowControl w:val="0"/>
        <w:autoSpaceDE w:val="0"/>
        <w:autoSpaceDN w:val="0"/>
        <w:adjustRightInd w:val="0"/>
        <w:spacing w:line="480" w:lineRule="auto"/>
        <w:rPr>
          <w:rFonts w:asciiTheme="majorHAnsi" w:hAnsiTheme="majorHAnsi" w:cstheme="majorHAnsi"/>
          <w:b/>
          <w:i/>
          <w:color w:val="1A1718"/>
          <w:sz w:val="22"/>
          <w:szCs w:val="22"/>
        </w:rPr>
      </w:pPr>
      <w:r w:rsidRPr="00BF7D3E">
        <w:rPr>
          <w:rFonts w:asciiTheme="majorHAnsi" w:hAnsiTheme="majorHAnsi" w:cstheme="majorHAnsi"/>
          <w:b/>
          <w:i/>
          <w:color w:val="1A1718"/>
          <w:sz w:val="22"/>
          <w:szCs w:val="22"/>
        </w:rPr>
        <w:t>Limitations</w:t>
      </w:r>
    </w:p>
    <w:p w14:paraId="66218A2D" w14:textId="05A407A7" w:rsidR="00BF7D3E" w:rsidRPr="00E03190" w:rsidRDefault="00BF7D3E" w:rsidP="00BF7D3E">
      <w:pPr>
        <w:widowControl w:val="0"/>
        <w:autoSpaceDE w:val="0"/>
        <w:autoSpaceDN w:val="0"/>
        <w:adjustRightInd w:val="0"/>
        <w:spacing w:line="480" w:lineRule="auto"/>
        <w:rPr>
          <w:rFonts w:asciiTheme="majorHAnsi" w:hAnsiTheme="majorHAnsi" w:cstheme="majorHAnsi"/>
          <w:color w:val="1A1718"/>
          <w:sz w:val="22"/>
          <w:szCs w:val="22"/>
        </w:rPr>
      </w:pPr>
      <w:r w:rsidRPr="00E03190">
        <w:rPr>
          <w:rFonts w:asciiTheme="majorHAnsi" w:hAnsiTheme="majorHAnsi" w:cstheme="majorHAnsi"/>
          <w:color w:val="1A1718"/>
          <w:sz w:val="22"/>
          <w:szCs w:val="22"/>
        </w:rPr>
        <w:t xml:space="preserve">We did not examine children and adolescents, as some health services for this population are funded by ministries other than the </w:t>
      </w:r>
      <w:r w:rsidR="009F2237">
        <w:rPr>
          <w:rFonts w:asciiTheme="majorHAnsi" w:hAnsiTheme="majorHAnsi" w:cstheme="majorHAnsi"/>
          <w:color w:val="1A1718"/>
          <w:sz w:val="22"/>
          <w:szCs w:val="22"/>
        </w:rPr>
        <w:t>M</w:t>
      </w:r>
      <w:r w:rsidRPr="00E03190">
        <w:rPr>
          <w:rFonts w:asciiTheme="majorHAnsi" w:hAnsiTheme="majorHAnsi" w:cstheme="majorHAnsi"/>
          <w:color w:val="1A1718"/>
          <w:sz w:val="22"/>
          <w:szCs w:val="22"/>
        </w:rPr>
        <w:t xml:space="preserve">inistry of </w:t>
      </w:r>
      <w:r w:rsidR="009F2237">
        <w:rPr>
          <w:rFonts w:asciiTheme="majorHAnsi" w:hAnsiTheme="majorHAnsi" w:cstheme="majorHAnsi"/>
          <w:color w:val="1A1718"/>
          <w:sz w:val="22"/>
          <w:szCs w:val="22"/>
        </w:rPr>
        <w:t>H</w:t>
      </w:r>
      <w:r w:rsidRPr="00E03190">
        <w:rPr>
          <w:rFonts w:asciiTheme="majorHAnsi" w:hAnsiTheme="majorHAnsi" w:cstheme="majorHAnsi"/>
          <w:color w:val="1A1718"/>
          <w:sz w:val="22"/>
          <w:szCs w:val="22"/>
        </w:rPr>
        <w:t xml:space="preserve">ealth. We </w:t>
      </w:r>
      <w:r w:rsidRPr="00E03190">
        <w:rPr>
          <w:rFonts w:asciiTheme="majorHAnsi" w:hAnsiTheme="majorHAnsi" w:cstheme="majorHAnsi"/>
          <w:sz w:val="22"/>
          <w:szCs w:val="22"/>
        </w:rPr>
        <w:t>could not capture patients who did not access the health care system via settings for which we did not have data on. For example, w</w:t>
      </w:r>
      <w:r w:rsidRPr="00E03190">
        <w:rPr>
          <w:rFonts w:asciiTheme="majorHAnsi" w:hAnsiTheme="majorHAnsi" w:cstheme="majorHAnsi"/>
          <w:color w:val="1A1718"/>
          <w:sz w:val="22"/>
          <w:szCs w:val="22"/>
        </w:rPr>
        <w:t>e were not able to include</w:t>
      </w:r>
      <w:r>
        <w:rPr>
          <w:rFonts w:asciiTheme="majorHAnsi" w:hAnsiTheme="majorHAnsi" w:cstheme="majorHAnsi"/>
          <w:color w:val="1A1718"/>
          <w:sz w:val="22"/>
          <w:szCs w:val="22"/>
        </w:rPr>
        <w:t xml:space="preserve"> the costs of</w:t>
      </w:r>
      <w:r w:rsidRPr="00E03190">
        <w:rPr>
          <w:rFonts w:asciiTheme="majorHAnsi" w:hAnsiTheme="majorHAnsi" w:cstheme="majorHAnsi"/>
          <w:color w:val="1A1718"/>
          <w:sz w:val="22"/>
          <w:szCs w:val="22"/>
        </w:rPr>
        <w:t xml:space="preserve"> </w:t>
      </w:r>
      <w:r w:rsidR="00DA4388" w:rsidRPr="00E03190">
        <w:rPr>
          <w:rFonts w:asciiTheme="majorHAnsi" w:hAnsiTheme="majorHAnsi" w:cstheme="majorHAnsi"/>
          <w:color w:val="1A1718"/>
          <w:sz w:val="22"/>
          <w:szCs w:val="22"/>
        </w:rPr>
        <w:t xml:space="preserve">community-based </w:t>
      </w:r>
      <w:r w:rsidRPr="00E03190">
        <w:rPr>
          <w:rFonts w:asciiTheme="majorHAnsi" w:hAnsiTheme="majorHAnsi" w:cstheme="majorHAnsi"/>
          <w:color w:val="1A1718"/>
          <w:sz w:val="22"/>
          <w:szCs w:val="22"/>
        </w:rPr>
        <w:t xml:space="preserve">addiction-related care. </w:t>
      </w:r>
      <w:r w:rsidR="004F4692">
        <w:rPr>
          <w:rFonts w:asciiTheme="majorHAnsi" w:hAnsiTheme="majorHAnsi" w:cstheme="majorHAnsi"/>
          <w:color w:val="1A1718"/>
          <w:sz w:val="22"/>
          <w:szCs w:val="22"/>
        </w:rPr>
        <w:t>W</w:t>
      </w:r>
      <w:r w:rsidRPr="00E03190">
        <w:rPr>
          <w:rFonts w:asciiTheme="majorHAnsi" w:hAnsiTheme="majorHAnsi" w:cstheme="majorHAnsi"/>
          <w:color w:val="1A1718"/>
          <w:sz w:val="22"/>
          <w:szCs w:val="22"/>
        </w:rPr>
        <w:t xml:space="preserve">e were only able to capture costs </w:t>
      </w:r>
      <w:r>
        <w:rPr>
          <w:rFonts w:asciiTheme="majorHAnsi" w:hAnsiTheme="majorHAnsi" w:cstheme="majorHAnsi"/>
          <w:color w:val="1A1718"/>
          <w:sz w:val="22"/>
          <w:szCs w:val="22"/>
        </w:rPr>
        <w:t>of</w:t>
      </w:r>
      <w:r w:rsidRPr="00E03190">
        <w:rPr>
          <w:rFonts w:asciiTheme="majorHAnsi" w:hAnsiTheme="majorHAnsi" w:cstheme="majorHAnsi"/>
          <w:color w:val="1A1718"/>
          <w:sz w:val="22"/>
          <w:szCs w:val="22"/>
        </w:rPr>
        <w:t xml:space="preserve"> outpatient drugs covered by the public provincial drug plan (although this was in line with the perspective of the analysis). The lack of these costs may have affected how patient cohorts were determined. </w:t>
      </w:r>
      <w:r>
        <w:rPr>
          <w:rFonts w:asciiTheme="majorHAnsi" w:hAnsiTheme="majorHAnsi" w:cstheme="majorHAnsi"/>
          <w:color w:val="1A1718"/>
          <w:sz w:val="22"/>
          <w:szCs w:val="22"/>
        </w:rPr>
        <w:t>Furthermore, w</w:t>
      </w:r>
      <w:r w:rsidRPr="00E03190">
        <w:rPr>
          <w:rFonts w:asciiTheme="majorHAnsi" w:hAnsiTheme="majorHAnsi" w:cstheme="majorHAnsi"/>
          <w:sz w:val="22"/>
          <w:szCs w:val="22"/>
        </w:rPr>
        <w:t xml:space="preserve">e were only able to examine chronic conditions for which there were validated algorithms. This was particularly problematic for psychiatric conditions as there </w:t>
      </w:r>
      <w:r w:rsidR="005214E9">
        <w:rPr>
          <w:rFonts w:asciiTheme="majorHAnsi" w:hAnsiTheme="majorHAnsi" w:cstheme="majorHAnsi"/>
          <w:sz w:val="22"/>
          <w:szCs w:val="22"/>
        </w:rPr>
        <w:t>is</w:t>
      </w:r>
      <w:r w:rsidR="005214E9" w:rsidRPr="00E03190">
        <w:rPr>
          <w:rFonts w:asciiTheme="majorHAnsi" w:hAnsiTheme="majorHAnsi" w:cstheme="majorHAnsi"/>
          <w:sz w:val="22"/>
          <w:szCs w:val="22"/>
        </w:rPr>
        <w:t xml:space="preserve"> </w:t>
      </w:r>
      <w:r w:rsidRPr="00E03190">
        <w:rPr>
          <w:rFonts w:asciiTheme="majorHAnsi" w:hAnsiTheme="majorHAnsi" w:cstheme="majorHAnsi"/>
          <w:sz w:val="22"/>
          <w:szCs w:val="22"/>
        </w:rPr>
        <w:t>only a validated algorithm for psychosis (the mood disorders algorithm is not validated</w:t>
      </w:r>
      <w:r>
        <w:rPr>
          <w:rFonts w:asciiTheme="majorHAnsi" w:hAnsiTheme="majorHAnsi" w:cstheme="majorHAnsi"/>
          <w:sz w:val="22"/>
          <w:szCs w:val="22"/>
        </w:rPr>
        <w:t xml:space="preserve"> and</w:t>
      </w:r>
      <w:r w:rsidRPr="00E03190">
        <w:rPr>
          <w:rFonts w:asciiTheme="majorHAnsi" w:hAnsiTheme="majorHAnsi" w:cstheme="majorHAnsi"/>
          <w:sz w:val="22"/>
          <w:szCs w:val="22"/>
        </w:rPr>
        <w:t xml:space="preserve"> its definition was limited to the quality of the </w:t>
      </w:r>
      <w:r w:rsidR="004F4888">
        <w:rPr>
          <w:rFonts w:asciiTheme="majorHAnsi" w:hAnsiTheme="majorHAnsi" w:cstheme="majorHAnsi"/>
          <w:sz w:val="22"/>
          <w:szCs w:val="22"/>
        </w:rPr>
        <w:t xml:space="preserve">Ontario </w:t>
      </w:r>
      <w:r w:rsidRPr="00E03190">
        <w:rPr>
          <w:rFonts w:asciiTheme="majorHAnsi" w:hAnsiTheme="majorHAnsi" w:cstheme="majorHAnsi"/>
          <w:sz w:val="22"/>
          <w:szCs w:val="22"/>
        </w:rPr>
        <w:t>physician billing</w:t>
      </w:r>
      <w:r>
        <w:rPr>
          <w:rFonts w:asciiTheme="majorHAnsi" w:hAnsiTheme="majorHAnsi" w:cstheme="majorHAnsi"/>
          <w:sz w:val="22"/>
          <w:szCs w:val="22"/>
        </w:rPr>
        <w:t>s</w:t>
      </w:r>
      <w:r w:rsidRPr="00E03190">
        <w:rPr>
          <w:rFonts w:asciiTheme="majorHAnsi" w:hAnsiTheme="majorHAnsi" w:cstheme="majorHAnsi"/>
          <w:sz w:val="22"/>
          <w:szCs w:val="22"/>
        </w:rPr>
        <w:t xml:space="preserve"> data</w:t>
      </w:r>
      <w:r w:rsidR="005214E9">
        <w:rPr>
          <w:rFonts w:asciiTheme="majorHAnsi" w:hAnsiTheme="majorHAnsi" w:cstheme="majorHAnsi"/>
          <w:sz w:val="22"/>
          <w:szCs w:val="22"/>
        </w:rPr>
        <w:t xml:space="preserve">; moreover, </w:t>
      </w:r>
      <w:r w:rsidR="00FF4B29">
        <w:rPr>
          <w:rFonts w:asciiTheme="majorHAnsi" w:hAnsiTheme="majorHAnsi" w:cstheme="majorHAnsi"/>
          <w:sz w:val="22"/>
          <w:szCs w:val="22"/>
        </w:rPr>
        <w:t>it</w:t>
      </w:r>
      <w:r w:rsidR="00C517E7">
        <w:rPr>
          <w:rFonts w:asciiTheme="majorHAnsi" w:hAnsiTheme="majorHAnsi" w:cstheme="majorHAnsi"/>
          <w:sz w:val="22"/>
          <w:szCs w:val="22"/>
        </w:rPr>
        <w:t xml:space="preserve"> likely underestimate</w:t>
      </w:r>
      <w:r w:rsidR="00FF4B29">
        <w:rPr>
          <w:rFonts w:asciiTheme="majorHAnsi" w:hAnsiTheme="majorHAnsi" w:cstheme="majorHAnsi"/>
          <w:sz w:val="22"/>
          <w:szCs w:val="22"/>
        </w:rPr>
        <w:t>s</w:t>
      </w:r>
      <w:r w:rsidR="00C517E7">
        <w:rPr>
          <w:rFonts w:asciiTheme="majorHAnsi" w:hAnsiTheme="majorHAnsi" w:cstheme="majorHAnsi"/>
          <w:sz w:val="22"/>
          <w:szCs w:val="22"/>
        </w:rPr>
        <w:t xml:space="preserve"> the number of patients with mood disorders</w:t>
      </w:r>
      <w:r w:rsidR="00FF4B29">
        <w:rPr>
          <w:rFonts w:asciiTheme="majorHAnsi" w:hAnsiTheme="majorHAnsi" w:cstheme="majorHAnsi"/>
          <w:sz w:val="22"/>
          <w:szCs w:val="22"/>
        </w:rPr>
        <w:t>)</w:t>
      </w:r>
      <w:r w:rsidRPr="00E03190">
        <w:rPr>
          <w:rFonts w:asciiTheme="majorHAnsi" w:hAnsiTheme="majorHAnsi" w:cstheme="majorHAnsi"/>
          <w:sz w:val="22"/>
          <w:szCs w:val="22"/>
        </w:rPr>
        <w:t xml:space="preserve">. </w:t>
      </w:r>
      <w:r>
        <w:rPr>
          <w:rFonts w:asciiTheme="majorHAnsi" w:hAnsiTheme="majorHAnsi" w:cstheme="majorHAnsi"/>
          <w:sz w:val="22"/>
          <w:szCs w:val="22"/>
        </w:rPr>
        <w:t>Additionally</w:t>
      </w:r>
      <w:r w:rsidRPr="00E03190">
        <w:rPr>
          <w:rFonts w:asciiTheme="majorHAnsi" w:hAnsiTheme="majorHAnsi" w:cstheme="majorHAnsi"/>
          <w:sz w:val="22"/>
          <w:szCs w:val="22"/>
        </w:rPr>
        <w:t xml:space="preserve">, </w:t>
      </w:r>
      <w:r w:rsidR="004F4692">
        <w:rPr>
          <w:rFonts w:asciiTheme="majorHAnsi" w:hAnsiTheme="majorHAnsi" w:cstheme="majorHAnsi"/>
          <w:sz w:val="22"/>
          <w:szCs w:val="22"/>
        </w:rPr>
        <w:t>due to data limitations</w:t>
      </w:r>
      <w:r w:rsidRPr="00E03190">
        <w:rPr>
          <w:rFonts w:asciiTheme="majorHAnsi" w:hAnsiTheme="majorHAnsi" w:cstheme="majorHAnsi"/>
          <w:sz w:val="22"/>
          <w:szCs w:val="22"/>
        </w:rPr>
        <w:t xml:space="preserve">, we were not able to </w:t>
      </w:r>
      <w:r w:rsidRPr="00737308">
        <w:rPr>
          <w:rFonts w:asciiTheme="majorHAnsi" w:hAnsiTheme="majorHAnsi" w:cstheme="majorHAnsi"/>
          <w:sz w:val="22"/>
          <w:szCs w:val="22"/>
        </w:rPr>
        <w:t>characterise patients in terms of their ethnicity</w:t>
      </w:r>
      <w:r w:rsidR="004F4692">
        <w:rPr>
          <w:rFonts w:asciiTheme="majorHAnsi" w:hAnsiTheme="majorHAnsi" w:cstheme="majorHAnsi"/>
          <w:sz w:val="22"/>
          <w:szCs w:val="22"/>
        </w:rPr>
        <w:t>/race</w:t>
      </w:r>
      <w:r w:rsidRPr="00737308">
        <w:rPr>
          <w:rFonts w:asciiTheme="majorHAnsi" w:hAnsiTheme="majorHAnsi" w:cstheme="majorHAnsi"/>
          <w:sz w:val="22"/>
          <w:szCs w:val="22"/>
        </w:rPr>
        <w:t>, for example, as done in previous research.</w:t>
      </w:r>
      <w:r w:rsidRPr="00737308">
        <w:rPr>
          <w:rFonts w:asciiTheme="majorHAnsi" w:hAnsiTheme="majorHAnsi" w:cstheme="majorHAnsi"/>
          <w:sz w:val="22"/>
          <w:szCs w:val="22"/>
          <w:vertAlign w:val="superscript"/>
        </w:rPr>
        <w:t>5</w:t>
      </w:r>
    </w:p>
    <w:p w14:paraId="46676522" w14:textId="77777777" w:rsidR="00B03A75" w:rsidRPr="00F654AD" w:rsidRDefault="00B03A75" w:rsidP="004B1B31">
      <w:pPr>
        <w:spacing w:line="480" w:lineRule="auto"/>
        <w:rPr>
          <w:rFonts w:asciiTheme="majorHAnsi" w:hAnsiTheme="majorHAnsi" w:cstheme="majorHAnsi"/>
          <w:sz w:val="22"/>
          <w:szCs w:val="22"/>
        </w:rPr>
      </w:pPr>
    </w:p>
    <w:p w14:paraId="524FBC02" w14:textId="77777777" w:rsidR="00B03A75" w:rsidRPr="00BF7D3E" w:rsidRDefault="00B03A75" w:rsidP="004B1B31">
      <w:pPr>
        <w:widowControl w:val="0"/>
        <w:autoSpaceDE w:val="0"/>
        <w:autoSpaceDN w:val="0"/>
        <w:adjustRightInd w:val="0"/>
        <w:spacing w:line="480" w:lineRule="auto"/>
        <w:rPr>
          <w:rFonts w:asciiTheme="majorHAnsi" w:hAnsiTheme="majorHAnsi" w:cstheme="majorHAnsi"/>
          <w:b/>
          <w:i/>
          <w:sz w:val="22"/>
          <w:szCs w:val="22"/>
        </w:rPr>
      </w:pPr>
      <w:r w:rsidRPr="00BF7D3E">
        <w:rPr>
          <w:rFonts w:asciiTheme="majorHAnsi" w:hAnsiTheme="majorHAnsi" w:cstheme="majorHAnsi"/>
          <w:b/>
          <w:i/>
          <w:sz w:val="22"/>
          <w:szCs w:val="22"/>
        </w:rPr>
        <w:t xml:space="preserve">Conclusion </w:t>
      </w:r>
    </w:p>
    <w:p w14:paraId="48DD6C8A" w14:textId="26D8A488" w:rsidR="00D67F11" w:rsidRPr="00E03190" w:rsidRDefault="008C6A12" w:rsidP="004B1B31">
      <w:pPr>
        <w:spacing w:line="480" w:lineRule="auto"/>
        <w:rPr>
          <w:rFonts w:asciiTheme="majorHAnsi" w:hAnsiTheme="majorHAnsi" w:cstheme="majorHAnsi"/>
          <w:sz w:val="22"/>
          <w:szCs w:val="22"/>
        </w:rPr>
      </w:pPr>
      <w:r>
        <w:rPr>
          <w:rFonts w:asciiTheme="majorHAnsi" w:hAnsiTheme="majorHAnsi" w:cstheme="majorHAnsi"/>
          <w:sz w:val="22"/>
          <w:szCs w:val="22"/>
        </w:rPr>
        <w:t xml:space="preserve">Many </w:t>
      </w:r>
      <w:r w:rsidR="00D67F11" w:rsidRPr="00F654AD">
        <w:rPr>
          <w:rFonts w:asciiTheme="majorHAnsi" w:hAnsiTheme="majorHAnsi" w:cstheme="majorHAnsi"/>
          <w:sz w:val="22"/>
          <w:szCs w:val="22"/>
        </w:rPr>
        <w:t xml:space="preserve">mental health </w:t>
      </w:r>
      <w:r w:rsidR="008749CC">
        <w:rPr>
          <w:rFonts w:asciiTheme="majorHAnsi" w:hAnsiTheme="majorHAnsi" w:cstheme="majorHAnsi"/>
          <w:sz w:val="22"/>
          <w:szCs w:val="22"/>
        </w:rPr>
        <w:t>high-cost</w:t>
      </w:r>
      <w:r w:rsidR="008749CC" w:rsidRPr="00F654AD">
        <w:rPr>
          <w:rFonts w:asciiTheme="majorHAnsi" w:hAnsiTheme="majorHAnsi" w:cstheme="majorHAnsi"/>
          <w:sz w:val="22"/>
          <w:szCs w:val="22"/>
        </w:rPr>
        <w:t xml:space="preserve"> </w:t>
      </w:r>
      <w:r w:rsidR="00D67F11" w:rsidRPr="00F654AD">
        <w:rPr>
          <w:rFonts w:asciiTheme="majorHAnsi" w:hAnsiTheme="majorHAnsi" w:cstheme="majorHAnsi"/>
          <w:sz w:val="22"/>
          <w:szCs w:val="22"/>
        </w:rPr>
        <w:t xml:space="preserve">patients </w:t>
      </w:r>
      <w:r>
        <w:rPr>
          <w:rFonts w:asciiTheme="majorHAnsi" w:hAnsiTheme="majorHAnsi" w:cstheme="majorHAnsi"/>
          <w:sz w:val="22"/>
          <w:szCs w:val="22"/>
        </w:rPr>
        <w:t>persisted</w:t>
      </w:r>
      <w:r w:rsidRPr="00F654AD">
        <w:rPr>
          <w:rFonts w:asciiTheme="majorHAnsi" w:hAnsiTheme="majorHAnsi" w:cstheme="majorHAnsi"/>
          <w:sz w:val="22"/>
          <w:szCs w:val="22"/>
        </w:rPr>
        <w:t xml:space="preserve"> </w:t>
      </w:r>
      <w:r w:rsidR="00D67F11" w:rsidRPr="00F654AD">
        <w:rPr>
          <w:rFonts w:asciiTheme="majorHAnsi" w:hAnsiTheme="majorHAnsi" w:cstheme="majorHAnsi"/>
          <w:sz w:val="22"/>
          <w:szCs w:val="22"/>
        </w:rPr>
        <w:t>in the high-cost state</w:t>
      </w:r>
      <w:r>
        <w:rPr>
          <w:rFonts w:asciiTheme="majorHAnsi" w:hAnsiTheme="majorHAnsi" w:cstheme="majorHAnsi"/>
          <w:sz w:val="22"/>
          <w:szCs w:val="22"/>
        </w:rPr>
        <w:t>, particularly those</w:t>
      </w:r>
      <w:r w:rsidR="00D67F11" w:rsidRPr="00F654AD">
        <w:rPr>
          <w:rFonts w:asciiTheme="majorHAnsi" w:hAnsiTheme="majorHAnsi" w:cstheme="majorHAnsi"/>
          <w:sz w:val="22"/>
          <w:szCs w:val="22"/>
        </w:rPr>
        <w:t xml:space="preserve"> </w:t>
      </w:r>
      <w:r w:rsidR="00607211" w:rsidRPr="00F654AD">
        <w:rPr>
          <w:rFonts w:asciiTheme="majorHAnsi" w:hAnsiTheme="majorHAnsi" w:cstheme="majorHAnsi"/>
          <w:sz w:val="22"/>
          <w:szCs w:val="22"/>
        </w:rPr>
        <w:t>in low-income</w:t>
      </w:r>
      <w:r w:rsidR="00CB5F72" w:rsidRPr="00F654AD">
        <w:rPr>
          <w:rFonts w:asciiTheme="majorHAnsi" w:hAnsiTheme="majorHAnsi" w:cstheme="majorHAnsi"/>
          <w:sz w:val="22"/>
          <w:szCs w:val="22"/>
        </w:rPr>
        <w:t xml:space="preserve"> urban areas</w:t>
      </w:r>
      <w:r w:rsidR="00F54C03" w:rsidRPr="00F654AD">
        <w:rPr>
          <w:rFonts w:asciiTheme="majorHAnsi" w:hAnsiTheme="majorHAnsi" w:cstheme="majorHAnsi"/>
          <w:sz w:val="22"/>
          <w:szCs w:val="22"/>
        </w:rPr>
        <w:t xml:space="preserve"> and</w:t>
      </w:r>
      <w:r w:rsidR="005F1799" w:rsidRPr="00F654AD">
        <w:rPr>
          <w:rFonts w:asciiTheme="majorHAnsi" w:hAnsiTheme="majorHAnsi" w:cstheme="majorHAnsi"/>
          <w:sz w:val="22"/>
          <w:szCs w:val="22"/>
        </w:rPr>
        <w:t xml:space="preserve"> </w:t>
      </w:r>
      <w:r>
        <w:rPr>
          <w:rFonts w:asciiTheme="majorHAnsi" w:hAnsiTheme="majorHAnsi" w:cstheme="majorHAnsi"/>
          <w:sz w:val="22"/>
          <w:szCs w:val="22"/>
        </w:rPr>
        <w:t>with comorbidities</w:t>
      </w:r>
      <w:r w:rsidR="00607211" w:rsidRPr="00F654AD">
        <w:rPr>
          <w:rFonts w:asciiTheme="majorHAnsi" w:hAnsiTheme="majorHAnsi" w:cstheme="majorHAnsi"/>
          <w:sz w:val="22"/>
          <w:szCs w:val="22"/>
        </w:rPr>
        <w:t xml:space="preserve">. </w:t>
      </w:r>
      <w:r>
        <w:rPr>
          <w:rFonts w:asciiTheme="majorHAnsi" w:hAnsiTheme="majorHAnsi" w:cstheme="majorHAnsi"/>
          <w:sz w:val="22"/>
          <w:szCs w:val="22"/>
        </w:rPr>
        <w:t>The</w:t>
      </w:r>
      <w:r w:rsidR="00607211" w:rsidRPr="00F654AD">
        <w:rPr>
          <w:rFonts w:asciiTheme="majorHAnsi" w:hAnsiTheme="majorHAnsi" w:cstheme="majorHAnsi"/>
          <w:sz w:val="22"/>
          <w:szCs w:val="22"/>
        </w:rPr>
        <w:t xml:space="preserve"> </w:t>
      </w:r>
      <w:r w:rsidR="00CB5F72" w:rsidRPr="00F654AD">
        <w:rPr>
          <w:rFonts w:asciiTheme="majorHAnsi" w:hAnsiTheme="majorHAnsi" w:cstheme="majorHAnsi"/>
          <w:sz w:val="22"/>
          <w:szCs w:val="22"/>
        </w:rPr>
        <w:t>higher costs</w:t>
      </w:r>
      <w:r>
        <w:rPr>
          <w:rFonts w:asciiTheme="majorHAnsi" w:hAnsiTheme="majorHAnsi" w:cstheme="majorHAnsi"/>
          <w:sz w:val="22"/>
          <w:szCs w:val="22"/>
        </w:rPr>
        <w:t xml:space="preserve"> incurred by this group were driven by</w:t>
      </w:r>
      <w:r w:rsidR="00A824A4" w:rsidRPr="00F654AD">
        <w:rPr>
          <w:rFonts w:asciiTheme="majorHAnsi" w:hAnsiTheme="majorHAnsi" w:cstheme="majorHAnsi"/>
          <w:sz w:val="22"/>
          <w:szCs w:val="22"/>
        </w:rPr>
        <w:t xml:space="preserve"> psychiatric hospitali</w:t>
      </w:r>
      <w:r>
        <w:rPr>
          <w:rFonts w:asciiTheme="majorHAnsi" w:hAnsiTheme="majorHAnsi" w:cstheme="majorHAnsi"/>
          <w:sz w:val="22"/>
          <w:szCs w:val="22"/>
        </w:rPr>
        <w:t>z</w:t>
      </w:r>
      <w:r w:rsidR="00A824A4" w:rsidRPr="00F654AD">
        <w:rPr>
          <w:rFonts w:asciiTheme="majorHAnsi" w:hAnsiTheme="majorHAnsi" w:cstheme="majorHAnsi"/>
          <w:sz w:val="22"/>
          <w:szCs w:val="22"/>
        </w:rPr>
        <w:t xml:space="preserve">ations. </w:t>
      </w:r>
      <w:r>
        <w:rPr>
          <w:rFonts w:asciiTheme="majorHAnsi" w:hAnsiTheme="majorHAnsi" w:cstheme="majorHAnsi"/>
          <w:sz w:val="22"/>
          <w:szCs w:val="22"/>
        </w:rPr>
        <w:t>P</w:t>
      </w:r>
      <w:r w:rsidR="00A824A4" w:rsidRPr="00F654AD">
        <w:rPr>
          <w:rFonts w:asciiTheme="majorHAnsi" w:hAnsiTheme="majorHAnsi" w:cstheme="majorHAnsi"/>
          <w:sz w:val="22"/>
          <w:szCs w:val="22"/>
        </w:rPr>
        <w:t xml:space="preserve">olicymakers </w:t>
      </w:r>
      <w:r w:rsidR="00607211" w:rsidRPr="00F654AD">
        <w:rPr>
          <w:rFonts w:asciiTheme="majorHAnsi" w:hAnsiTheme="majorHAnsi" w:cstheme="majorHAnsi"/>
          <w:sz w:val="22"/>
          <w:szCs w:val="22"/>
        </w:rPr>
        <w:t>should</w:t>
      </w:r>
      <w:r w:rsidR="00A824A4" w:rsidRPr="00F654AD">
        <w:rPr>
          <w:rFonts w:asciiTheme="majorHAnsi" w:hAnsiTheme="majorHAnsi" w:cstheme="majorHAnsi"/>
          <w:sz w:val="22"/>
          <w:szCs w:val="22"/>
        </w:rPr>
        <w:t xml:space="preserve"> consider interventions</w:t>
      </w:r>
      <w:r>
        <w:rPr>
          <w:rFonts w:asciiTheme="majorHAnsi" w:hAnsiTheme="majorHAnsi" w:cstheme="majorHAnsi"/>
          <w:sz w:val="22"/>
          <w:szCs w:val="22"/>
        </w:rPr>
        <w:t xml:space="preserve"> that</w:t>
      </w:r>
      <w:r w:rsidR="00A824A4" w:rsidRPr="00F654AD">
        <w:rPr>
          <w:rFonts w:asciiTheme="majorHAnsi" w:hAnsiTheme="majorHAnsi" w:cstheme="majorHAnsi"/>
          <w:sz w:val="22"/>
          <w:szCs w:val="22"/>
        </w:rPr>
        <w:t xml:space="preserve"> address </w:t>
      </w:r>
      <w:r w:rsidR="00C24A21" w:rsidRPr="00F654AD">
        <w:rPr>
          <w:rFonts w:asciiTheme="majorHAnsi" w:hAnsiTheme="majorHAnsi" w:cstheme="majorHAnsi"/>
          <w:sz w:val="22"/>
          <w:szCs w:val="22"/>
        </w:rPr>
        <w:t xml:space="preserve">quality </w:t>
      </w:r>
      <w:r w:rsidR="00C24A21" w:rsidRPr="00F654AD">
        <w:rPr>
          <w:rFonts w:asciiTheme="majorHAnsi" w:hAnsiTheme="majorHAnsi" w:cstheme="majorHAnsi"/>
          <w:sz w:val="22"/>
          <w:szCs w:val="22"/>
        </w:rPr>
        <w:lastRenderedPageBreak/>
        <w:t>of care</w:t>
      </w:r>
      <w:r w:rsidR="00892250" w:rsidRPr="00F654AD">
        <w:rPr>
          <w:rFonts w:asciiTheme="majorHAnsi" w:hAnsiTheme="majorHAnsi" w:cstheme="majorHAnsi"/>
          <w:sz w:val="22"/>
          <w:szCs w:val="22"/>
        </w:rPr>
        <w:t xml:space="preserve"> through the management of psychosis and multimorbidity </w:t>
      </w:r>
      <w:r w:rsidR="005214E9">
        <w:rPr>
          <w:rFonts w:asciiTheme="majorHAnsi" w:hAnsiTheme="majorHAnsi" w:cstheme="majorHAnsi"/>
          <w:sz w:val="22"/>
          <w:szCs w:val="22"/>
        </w:rPr>
        <w:t>and rising health care costs</w:t>
      </w:r>
      <w:r>
        <w:rPr>
          <w:rFonts w:asciiTheme="majorHAnsi" w:hAnsiTheme="majorHAnsi" w:cstheme="majorHAnsi"/>
          <w:sz w:val="22"/>
          <w:szCs w:val="22"/>
        </w:rPr>
        <w:t>,</w:t>
      </w:r>
      <w:r w:rsidR="005214E9">
        <w:rPr>
          <w:rFonts w:asciiTheme="majorHAnsi" w:hAnsiTheme="majorHAnsi" w:cstheme="majorHAnsi"/>
          <w:sz w:val="22"/>
          <w:szCs w:val="22"/>
        </w:rPr>
        <w:t xml:space="preserve"> </w:t>
      </w:r>
      <w:r w:rsidR="00C24A21" w:rsidRPr="00F654AD">
        <w:rPr>
          <w:rFonts w:asciiTheme="majorHAnsi" w:hAnsiTheme="majorHAnsi" w:cstheme="majorHAnsi"/>
          <w:sz w:val="22"/>
          <w:szCs w:val="22"/>
        </w:rPr>
        <w:t xml:space="preserve">as well as </w:t>
      </w:r>
      <w:r w:rsidR="005214E9" w:rsidRPr="00B11CE5">
        <w:rPr>
          <w:rFonts w:asciiTheme="majorHAnsi" w:hAnsiTheme="majorHAnsi" w:cstheme="majorHAnsi"/>
          <w:sz w:val="22"/>
          <w:szCs w:val="22"/>
        </w:rPr>
        <w:t>appropriate prevention policies</w:t>
      </w:r>
      <w:r w:rsidR="00213A3E">
        <w:rPr>
          <w:rFonts w:asciiTheme="majorHAnsi" w:hAnsiTheme="majorHAnsi" w:cstheme="majorHAnsi"/>
          <w:sz w:val="22"/>
          <w:szCs w:val="22"/>
        </w:rPr>
        <w:t xml:space="preserve"> </w:t>
      </w:r>
      <w:r>
        <w:rPr>
          <w:rFonts w:asciiTheme="majorHAnsi" w:hAnsiTheme="majorHAnsi" w:cstheme="majorHAnsi"/>
          <w:sz w:val="22"/>
          <w:szCs w:val="22"/>
        </w:rPr>
        <w:t>that</w:t>
      </w:r>
      <w:r w:rsidR="005214E9" w:rsidRPr="00B11CE5">
        <w:rPr>
          <w:rFonts w:asciiTheme="majorHAnsi" w:hAnsiTheme="majorHAnsi" w:cstheme="majorHAnsi"/>
          <w:sz w:val="22"/>
          <w:szCs w:val="22"/>
        </w:rPr>
        <w:t xml:space="preserve"> target patients with mental illness before they become persistent high-cost patients</w:t>
      </w:r>
      <w:r w:rsidR="00607211" w:rsidRPr="00F654AD">
        <w:rPr>
          <w:rFonts w:asciiTheme="majorHAnsi" w:hAnsiTheme="majorHAnsi" w:cstheme="majorHAnsi"/>
          <w:sz w:val="22"/>
          <w:szCs w:val="22"/>
        </w:rPr>
        <w:t>.</w:t>
      </w:r>
      <w:r w:rsidR="00213A3E">
        <w:rPr>
          <w:rFonts w:asciiTheme="majorHAnsi" w:hAnsiTheme="majorHAnsi" w:cstheme="majorHAnsi"/>
          <w:sz w:val="22"/>
          <w:szCs w:val="22"/>
        </w:rPr>
        <w:t xml:space="preserve"> </w:t>
      </w:r>
      <w:r>
        <w:rPr>
          <w:rFonts w:asciiTheme="majorHAnsi" w:hAnsiTheme="majorHAnsi" w:cstheme="majorHAnsi"/>
          <w:sz w:val="22"/>
          <w:szCs w:val="22"/>
        </w:rPr>
        <w:t>M</w:t>
      </w:r>
      <w:r w:rsidR="00D67F11" w:rsidRPr="00F654AD">
        <w:rPr>
          <w:rFonts w:asciiTheme="majorHAnsi" w:hAnsiTheme="majorHAnsi" w:cstheme="majorHAnsi"/>
          <w:sz w:val="22"/>
          <w:szCs w:val="22"/>
        </w:rPr>
        <w:t xml:space="preserve">ore research is required to understand what </w:t>
      </w:r>
      <w:r>
        <w:rPr>
          <w:rFonts w:asciiTheme="majorHAnsi" w:hAnsiTheme="majorHAnsi" w:cstheme="majorHAnsi"/>
          <w:sz w:val="22"/>
          <w:szCs w:val="22"/>
        </w:rPr>
        <w:t xml:space="preserve">more </w:t>
      </w:r>
      <w:r w:rsidR="00D67F11" w:rsidRPr="00F654AD">
        <w:rPr>
          <w:rFonts w:asciiTheme="majorHAnsi" w:hAnsiTheme="majorHAnsi" w:cstheme="majorHAnsi"/>
          <w:sz w:val="22"/>
          <w:szCs w:val="22"/>
        </w:rPr>
        <w:t>can b</w:t>
      </w:r>
      <w:r w:rsidR="00287DA7" w:rsidRPr="00F654AD">
        <w:rPr>
          <w:rFonts w:asciiTheme="majorHAnsi" w:hAnsiTheme="majorHAnsi" w:cstheme="majorHAnsi"/>
          <w:sz w:val="22"/>
          <w:szCs w:val="22"/>
        </w:rPr>
        <w:t>e done</w:t>
      </w:r>
      <w:r w:rsidR="00213A3E">
        <w:rPr>
          <w:rFonts w:asciiTheme="majorHAnsi" w:hAnsiTheme="majorHAnsi" w:cstheme="majorHAnsi"/>
          <w:sz w:val="22"/>
          <w:szCs w:val="22"/>
        </w:rPr>
        <w:t xml:space="preserve"> </w:t>
      </w:r>
      <w:r w:rsidR="00287DA7" w:rsidRPr="00F654AD">
        <w:rPr>
          <w:rFonts w:asciiTheme="majorHAnsi" w:hAnsiTheme="majorHAnsi" w:cstheme="majorHAnsi"/>
          <w:sz w:val="22"/>
          <w:szCs w:val="22"/>
        </w:rPr>
        <w:t>to address</w:t>
      </w:r>
      <w:r w:rsidR="00D67F11" w:rsidRPr="00F654AD">
        <w:rPr>
          <w:rFonts w:asciiTheme="majorHAnsi" w:hAnsiTheme="majorHAnsi" w:cstheme="majorHAnsi"/>
          <w:sz w:val="22"/>
          <w:szCs w:val="22"/>
        </w:rPr>
        <w:t xml:space="preserve"> p</w:t>
      </w:r>
      <w:r w:rsidR="00287DA7" w:rsidRPr="00F654AD">
        <w:rPr>
          <w:rFonts w:asciiTheme="majorHAnsi" w:hAnsiTheme="majorHAnsi" w:cstheme="majorHAnsi"/>
          <w:sz w:val="22"/>
          <w:szCs w:val="22"/>
        </w:rPr>
        <w:t>ersistency in the high-cost state an</w:t>
      </w:r>
      <w:r w:rsidR="00EA059A" w:rsidRPr="00F654AD">
        <w:rPr>
          <w:rFonts w:asciiTheme="majorHAnsi" w:hAnsiTheme="majorHAnsi" w:cstheme="majorHAnsi"/>
          <w:sz w:val="22"/>
          <w:szCs w:val="22"/>
        </w:rPr>
        <w:t>d whether there may be</w:t>
      </w:r>
      <w:r w:rsidR="00287DA7" w:rsidRPr="00F654AD">
        <w:rPr>
          <w:rFonts w:asciiTheme="majorHAnsi" w:hAnsiTheme="majorHAnsi" w:cstheme="majorHAnsi"/>
          <w:sz w:val="22"/>
          <w:szCs w:val="22"/>
        </w:rPr>
        <w:t xml:space="preserve"> potential to reduce psychiatric hospitali</w:t>
      </w:r>
      <w:r w:rsidR="00BB011D">
        <w:rPr>
          <w:rFonts w:asciiTheme="majorHAnsi" w:hAnsiTheme="majorHAnsi" w:cstheme="majorHAnsi"/>
          <w:sz w:val="22"/>
          <w:szCs w:val="22"/>
        </w:rPr>
        <w:t>z</w:t>
      </w:r>
      <w:r w:rsidR="00287DA7" w:rsidRPr="00F654AD">
        <w:rPr>
          <w:rFonts w:asciiTheme="majorHAnsi" w:hAnsiTheme="majorHAnsi" w:cstheme="majorHAnsi"/>
          <w:sz w:val="22"/>
          <w:szCs w:val="22"/>
        </w:rPr>
        <w:t>ations</w:t>
      </w:r>
      <w:r w:rsidR="009F2237">
        <w:rPr>
          <w:rFonts w:asciiTheme="majorHAnsi" w:hAnsiTheme="majorHAnsi" w:cstheme="majorHAnsi"/>
          <w:sz w:val="22"/>
          <w:szCs w:val="22"/>
        </w:rPr>
        <w:t xml:space="preserve"> or the length of </w:t>
      </w:r>
      <w:r w:rsidR="007406C4">
        <w:rPr>
          <w:rFonts w:asciiTheme="majorHAnsi" w:hAnsiTheme="majorHAnsi" w:cstheme="majorHAnsi"/>
          <w:sz w:val="22"/>
          <w:szCs w:val="22"/>
        </w:rPr>
        <w:t xml:space="preserve">hospital </w:t>
      </w:r>
      <w:r w:rsidR="009F2237">
        <w:rPr>
          <w:rFonts w:asciiTheme="majorHAnsi" w:hAnsiTheme="majorHAnsi" w:cstheme="majorHAnsi"/>
          <w:sz w:val="22"/>
          <w:szCs w:val="22"/>
        </w:rPr>
        <w:t>stay</w:t>
      </w:r>
      <w:r w:rsidR="007406C4">
        <w:rPr>
          <w:rFonts w:asciiTheme="majorHAnsi" w:hAnsiTheme="majorHAnsi" w:cstheme="majorHAnsi"/>
          <w:sz w:val="22"/>
          <w:szCs w:val="22"/>
        </w:rPr>
        <w:t>s</w:t>
      </w:r>
      <w:r w:rsidR="00287DA7" w:rsidRPr="00F654AD">
        <w:rPr>
          <w:rFonts w:asciiTheme="majorHAnsi" w:hAnsiTheme="majorHAnsi" w:cstheme="majorHAnsi"/>
          <w:sz w:val="22"/>
          <w:szCs w:val="22"/>
        </w:rPr>
        <w:t>.</w:t>
      </w:r>
    </w:p>
    <w:p w14:paraId="0E3649E5" w14:textId="28618DD5" w:rsidR="00992C68" w:rsidRPr="00E03190" w:rsidRDefault="00992C68" w:rsidP="004B1B31">
      <w:pPr>
        <w:spacing w:line="480" w:lineRule="auto"/>
        <w:rPr>
          <w:rFonts w:asciiTheme="majorHAnsi" w:hAnsiTheme="majorHAnsi" w:cstheme="majorHAnsi"/>
          <w:sz w:val="22"/>
          <w:szCs w:val="22"/>
        </w:rPr>
      </w:pPr>
    </w:p>
    <w:p w14:paraId="331802CE" w14:textId="77777777" w:rsidR="0053159F" w:rsidRPr="00E03190" w:rsidRDefault="0053159F" w:rsidP="004B1B31">
      <w:pPr>
        <w:spacing w:line="480" w:lineRule="auto"/>
        <w:rPr>
          <w:rFonts w:asciiTheme="majorHAnsi" w:hAnsiTheme="majorHAnsi" w:cstheme="majorHAnsi"/>
          <w:b/>
          <w:sz w:val="22"/>
          <w:szCs w:val="22"/>
        </w:rPr>
      </w:pPr>
      <w:r w:rsidRPr="00E03190">
        <w:rPr>
          <w:rFonts w:asciiTheme="majorHAnsi" w:hAnsiTheme="majorHAnsi" w:cstheme="majorHAnsi"/>
          <w:b/>
          <w:sz w:val="22"/>
          <w:szCs w:val="22"/>
        </w:rPr>
        <w:br w:type="page"/>
      </w:r>
    </w:p>
    <w:p w14:paraId="418AEFAF" w14:textId="52D85636" w:rsidR="00992C68" w:rsidRPr="00E03190" w:rsidRDefault="00992C68" w:rsidP="004B1B31">
      <w:pPr>
        <w:spacing w:line="480" w:lineRule="auto"/>
        <w:rPr>
          <w:rFonts w:asciiTheme="majorHAnsi" w:hAnsiTheme="majorHAnsi" w:cstheme="majorHAnsi"/>
          <w:b/>
          <w:sz w:val="22"/>
          <w:szCs w:val="22"/>
        </w:rPr>
      </w:pPr>
      <w:r w:rsidRPr="00E03190">
        <w:rPr>
          <w:rFonts w:asciiTheme="majorHAnsi" w:hAnsiTheme="majorHAnsi" w:cstheme="majorHAnsi"/>
          <w:b/>
          <w:sz w:val="22"/>
          <w:szCs w:val="22"/>
        </w:rPr>
        <w:lastRenderedPageBreak/>
        <w:t>References</w:t>
      </w:r>
    </w:p>
    <w:p w14:paraId="653C9698" w14:textId="77777777" w:rsidR="00AB12B5" w:rsidRPr="00A66E36" w:rsidRDefault="00AB12B5" w:rsidP="00AB12B5">
      <w:pPr>
        <w:pStyle w:val="ListParagraph"/>
        <w:numPr>
          <w:ilvl w:val="0"/>
          <w:numId w:val="6"/>
        </w:numPr>
        <w:spacing w:line="480" w:lineRule="auto"/>
        <w:rPr>
          <w:rFonts w:ascii="Calibri" w:hAnsi="Calibri" w:cstheme="majorHAnsi"/>
          <w:sz w:val="22"/>
          <w:szCs w:val="22"/>
        </w:rPr>
      </w:pPr>
      <w:r w:rsidRPr="00A66E36">
        <w:rPr>
          <w:rFonts w:ascii="Calibri" w:hAnsi="Calibri" w:cstheme="majorHAnsi"/>
          <w:sz w:val="22"/>
          <w:szCs w:val="22"/>
        </w:rPr>
        <w:t>Chechulin Y, Nazerian A, Rais S, Malikov K. Predicting patients with high risk of becoming high-cost healthcare users in Ontario (Canada). Healthc Policy. 2014;(3):68–79.</w:t>
      </w:r>
    </w:p>
    <w:p w14:paraId="606A3396" w14:textId="77777777" w:rsidR="00AB12B5" w:rsidRPr="00BA7EFA" w:rsidRDefault="00AB12B5" w:rsidP="00AB12B5">
      <w:pPr>
        <w:spacing w:line="480" w:lineRule="auto"/>
        <w:ind w:left="720"/>
        <w:rPr>
          <w:rFonts w:ascii="Calibri" w:hAnsi="Calibri" w:cstheme="majorHAnsi"/>
          <w:sz w:val="22"/>
          <w:szCs w:val="22"/>
        </w:rPr>
      </w:pPr>
    </w:p>
    <w:p w14:paraId="6549F0AF" w14:textId="77777777" w:rsidR="00AB12B5" w:rsidRPr="00A66E36" w:rsidRDefault="00AB12B5" w:rsidP="00AB12B5">
      <w:pPr>
        <w:pStyle w:val="ListParagraph"/>
        <w:numPr>
          <w:ilvl w:val="0"/>
          <w:numId w:val="6"/>
        </w:numPr>
        <w:spacing w:line="480" w:lineRule="auto"/>
        <w:rPr>
          <w:rFonts w:ascii="Calibri" w:hAnsi="Calibri" w:cstheme="majorHAnsi"/>
          <w:sz w:val="22"/>
          <w:szCs w:val="22"/>
        </w:rPr>
      </w:pPr>
      <w:r w:rsidRPr="00A66E36">
        <w:rPr>
          <w:rFonts w:ascii="Calibri" w:hAnsi="Calibri" w:cstheme="majorHAnsi"/>
          <w:sz w:val="22"/>
          <w:szCs w:val="22"/>
        </w:rPr>
        <w:t xml:space="preserve">Rosella LC, Fitzpatrick T, Wodchis WP, Calzavara A, Manson H, Goel V. High-cost health care users in Ontario, Canada: demographic, socio-economic, and health status characteristics. BMC Health Serv Res. 2014;14:532. </w:t>
      </w:r>
    </w:p>
    <w:p w14:paraId="60A358B1" w14:textId="77777777" w:rsidR="00AB12B5" w:rsidRPr="00BA7EFA" w:rsidRDefault="00AB12B5" w:rsidP="00AB12B5">
      <w:pPr>
        <w:spacing w:line="480" w:lineRule="auto"/>
        <w:rPr>
          <w:rFonts w:ascii="Calibri" w:hAnsi="Calibri" w:cstheme="majorHAnsi"/>
          <w:sz w:val="22"/>
          <w:szCs w:val="22"/>
        </w:rPr>
      </w:pPr>
    </w:p>
    <w:p w14:paraId="758E6673" w14:textId="77777777" w:rsidR="00AB12B5" w:rsidRDefault="00AB12B5" w:rsidP="00AB12B5">
      <w:pPr>
        <w:pStyle w:val="ListParagraph"/>
        <w:numPr>
          <w:ilvl w:val="0"/>
          <w:numId w:val="6"/>
        </w:numPr>
        <w:spacing w:line="480" w:lineRule="auto"/>
        <w:rPr>
          <w:rFonts w:ascii="Calibri" w:hAnsi="Calibri" w:cstheme="majorHAnsi"/>
          <w:sz w:val="22"/>
          <w:szCs w:val="22"/>
        </w:rPr>
      </w:pPr>
      <w:r w:rsidRPr="00A66E36">
        <w:rPr>
          <w:rFonts w:ascii="Calibri" w:hAnsi="Calibri" w:cstheme="majorHAnsi"/>
          <w:sz w:val="22"/>
          <w:szCs w:val="22"/>
        </w:rPr>
        <w:t xml:space="preserve">Wammes JJG, van der Wees PJ, Tanke MAC, Westert GP, Jeurissen PPT. Systematic review of high-cost patients' characteristics and healthcare utilisation. BMJ Open. 2018;8(9):e023113. </w:t>
      </w:r>
    </w:p>
    <w:p w14:paraId="72FD360C" w14:textId="77777777" w:rsidR="00AB12B5" w:rsidRPr="00AB12B5" w:rsidRDefault="00AB12B5" w:rsidP="00AB12B5">
      <w:pPr>
        <w:spacing w:line="480" w:lineRule="auto"/>
        <w:rPr>
          <w:rFonts w:ascii="Calibri" w:hAnsi="Calibri" w:cstheme="majorHAnsi"/>
          <w:sz w:val="22"/>
          <w:szCs w:val="22"/>
        </w:rPr>
      </w:pPr>
    </w:p>
    <w:p w14:paraId="50F630EF" w14:textId="77777777" w:rsidR="0053159F" w:rsidRPr="00E03190" w:rsidRDefault="0053159F" w:rsidP="004B1B31">
      <w:pPr>
        <w:numPr>
          <w:ilvl w:val="0"/>
          <w:numId w:val="6"/>
        </w:numPr>
        <w:spacing w:line="480" w:lineRule="auto"/>
        <w:rPr>
          <w:rFonts w:asciiTheme="majorHAnsi" w:hAnsiTheme="majorHAnsi" w:cstheme="majorHAnsi"/>
          <w:sz w:val="22"/>
          <w:szCs w:val="22"/>
        </w:rPr>
      </w:pPr>
      <w:bookmarkStart w:id="5" w:name="_Hlk44584328"/>
      <w:r w:rsidRPr="00E03190">
        <w:rPr>
          <w:rFonts w:asciiTheme="majorHAnsi" w:hAnsiTheme="majorHAnsi" w:cstheme="majorHAnsi"/>
          <w:sz w:val="22"/>
          <w:szCs w:val="22"/>
        </w:rPr>
        <w:t>de Oliveira C, Cheng J, Vigod S, Rehm J, Kurdyak P. Patients with High Mental Health Costs Incur Over 30 Percent More Costs than Other High Cost Patients, Health Aff (Millwood). 2016; 35(1):36–43.</w:t>
      </w:r>
      <w:bookmarkEnd w:id="5"/>
    </w:p>
    <w:p w14:paraId="0FC0303F" w14:textId="77777777" w:rsidR="0053159F" w:rsidRPr="00E03190" w:rsidRDefault="0053159F" w:rsidP="004B1B31">
      <w:pPr>
        <w:spacing w:line="480" w:lineRule="auto"/>
        <w:rPr>
          <w:rFonts w:asciiTheme="majorHAnsi" w:hAnsiTheme="majorHAnsi" w:cstheme="majorHAnsi"/>
          <w:sz w:val="22"/>
          <w:szCs w:val="22"/>
        </w:rPr>
      </w:pPr>
    </w:p>
    <w:p w14:paraId="5B07982F" w14:textId="77777777" w:rsidR="0053159F" w:rsidRPr="00E03190" w:rsidRDefault="0053159F"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 xml:space="preserve">Powers BW, Chaguturu SK. ACOs and High-Cost Patients. N Engl J Med. 2016; 374(3):203–5. </w:t>
      </w:r>
    </w:p>
    <w:p w14:paraId="4D661EDC" w14:textId="77777777" w:rsidR="0053159F" w:rsidRPr="00E03190" w:rsidRDefault="0053159F" w:rsidP="004B1B31">
      <w:pPr>
        <w:spacing w:line="480" w:lineRule="auto"/>
        <w:rPr>
          <w:rFonts w:asciiTheme="majorHAnsi" w:hAnsiTheme="majorHAnsi" w:cstheme="majorHAnsi"/>
          <w:sz w:val="22"/>
          <w:szCs w:val="22"/>
        </w:rPr>
      </w:pPr>
    </w:p>
    <w:p w14:paraId="61BACB51" w14:textId="1083C8CE" w:rsidR="0053159F" w:rsidRPr="00E03190" w:rsidRDefault="0053159F"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 xml:space="preserve">de Oliveira C, Cheng J, Rehm J, Kurdyak P. The role of mental health and addiction among high-cost patients: a population-based study. J Med Econ. 2017;1-8. </w:t>
      </w:r>
    </w:p>
    <w:p w14:paraId="5616C3C2" w14:textId="77777777" w:rsidR="00DC09FF" w:rsidRPr="00E03190" w:rsidRDefault="00DC09FF" w:rsidP="004B1B31">
      <w:pPr>
        <w:spacing w:line="480" w:lineRule="auto"/>
        <w:rPr>
          <w:rFonts w:asciiTheme="majorHAnsi" w:hAnsiTheme="majorHAnsi" w:cstheme="majorHAnsi"/>
          <w:sz w:val="22"/>
          <w:szCs w:val="22"/>
        </w:rPr>
      </w:pPr>
    </w:p>
    <w:p w14:paraId="4260C171" w14:textId="77777777" w:rsidR="0053159F" w:rsidRPr="00E03190" w:rsidRDefault="00B11CE5" w:rsidP="004B1B31">
      <w:pPr>
        <w:numPr>
          <w:ilvl w:val="0"/>
          <w:numId w:val="6"/>
        </w:numPr>
        <w:spacing w:line="480" w:lineRule="auto"/>
        <w:rPr>
          <w:rFonts w:asciiTheme="majorHAnsi" w:hAnsiTheme="majorHAnsi" w:cstheme="majorHAnsi"/>
          <w:sz w:val="22"/>
          <w:szCs w:val="22"/>
        </w:rPr>
      </w:pPr>
      <w:bookmarkStart w:id="6" w:name="_Hlk44584465"/>
      <w:r w:rsidRPr="00E03190">
        <w:rPr>
          <w:rFonts w:asciiTheme="majorHAnsi" w:hAnsiTheme="majorHAnsi" w:cstheme="majorHAnsi"/>
          <w:sz w:val="22"/>
          <w:szCs w:val="22"/>
        </w:rPr>
        <w:t>Wodchis WP, Austin PC, Henry DA. A 3-year study of high-cost users of health care. CMAJ. 2016</w:t>
      </w:r>
      <w:r w:rsidR="0053159F" w:rsidRPr="00E03190">
        <w:rPr>
          <w:rFonts w:asciiTheme="majorHAnsi" w:hAnsiTheme="majorHAnsi" w:cstheme="majorHAnsi"/>
          <w:sz w:val="22"/>
          <w:szCs w:val="22"/>
        </w:rPr>
        <w:t>;</w:t>
      </w:r>
      <w:r w:rsidRPr="00E03190">
        <w:rPr>
          <w:rFonts w:asciiTheme="majorHAnsi" w:hAnsiTheme="majorHAnsi" w:cstheme="majorHAnsi"/>
          <w:sz w:val="22"/>
          <w:szCs w:val="22"/>
        </w:rPr>
        <w:t xml:space="preserve"> </w:t>
      </w:r>
      <w:r w:rsidR="0053159F" w:rsidRPr="00E03190">
        <w:rPr>
          <w:rFonts w:asciiTheme="majorHAnsi" w:hAnsiTheme="majorHAnsi" w:cstheme="majorHAnsi"/>
          <w:sz w:val="22"/>
          <w:szCs w:val="22"/>
        </w:rPr>
        <w:t>188(3):182-188.</w:t>
      </w:r>
      <w:bookmarkEnd w:id="6"/>
    </w:p>
    <w:p w14:paraId="14E9EF55" w14:textId="77777777" w:rsidR="0053159F" w:rsidRPr="00E03190" w:rsidRDefault="0053159F" w:rsidP="004B1B31">
      <w:pPr>
        <w:spacing w:line="480" w:lineRule="auto"/>
        <w:rPr>
          <w:rFonts w:asciiTheme="majorHAnsi" w:hAnsiTheme="majorHAnsi" w:cstheme="majorHAnsi"/>
          <w:sz w:val="22"/>
          <w:szCs w:val="22"/>
        </w:rPr>
      </w:pPr>
    </w:p>
    <w:p w14:paraId="6D8F5D34" w14:textId="77777777" w:rsidR="0053159F" w:rsidRPr="00E03190" w:rsidRDefault="0053159F" w:rsidP="004B1B31">
      <w:pPr>
        <w:numPr>
          <w:ilvl w:val="0"/>
          <w:numId w:val="6"/>
        </w:numPr>
        <w:spacing w:line="480" w:lineRule="auto"/>
        <w:rPr>
          <w:rFonts w:asciiTheme="majorHAnsi" w:hAnsiTheme="majorHAnsi" w:cstheme="majorHAnsi"/>
          <w:sz w:val="22"/>
          <w:szCs w:val="22"/>
        </w:rPr>
      </w:pPr>
      <w:r w:rsidRPr="003A325C">
        <w:rPr>
          <w:rFonts w:asciiTheme="majorHAnsi" w:hAnsiTheme="majorHAnsi" w:cstheme="majorHAnsi"/>
          <w:sz w:val="22"/>
          <w:szCs w:val="22"/>
          <w:lang w:val="fr-CA"/>
        </w:rPr>
        <w:t xml:space="preserve">Figueroa JF, Zhou X, Jha AK. </w:t>
      </w:r>
      <w:r w:rsidRPr="00E03190">
        <w:rPr>
          <w:rFonts w:asciiTheme="majorHAnsi" w:hAnsiTheme="majorHAnsi" w:cstheme="majorHAnsi"/>
          <w:sz w:val="22"/>
          <w:szCs w:val="22"/>
        </w:rPr>
        <w:t>Characteristics and spending patterns of persistently high-c</w:t>
      </w:r>
      <w:r w:rsidR="00B11CE5" w:rsidRPr="00E03190">
        <w:rPr>
          <w:rFonts w:asciiTheme="majorHAnsi" w:hAnsiTheme="majorHAnsi" w:cstheme="majorHAnsi"/>
          <w:sz w:val="22"/>
          <w:szCs w:val="22"/>
        </w:rPr>
        <w:t xml:space="preserve">ost Medicare </w:t>
      </w:r>
      <w:r w:rsidRPr="00E03190">
        <w:rPr>
          <w:rFonts w:asciiTheme="majorHAnsi" w:hAnsiTheme="majorHAnsi" w:cstheme="majorHAnsi"/>
          <w:sz w:val="22"/>
          <w:szCs w:val="22"/>
        </w:rPr>
        <w:t>patients. Health Aff (Millwood) 2019;38:107-14.</w:t>
      </w:r>
    </w:p>
    <w:p w14:paraId="20749A34" w14:textId="77777777" w:rsidR="0053159F" w:rsidRPr="00E03190" w:rsidRDefault="0053159F" w:rsidP="004B1B31">
      <w:pPr>
        <w:spacing w:line="480" w:lineRule="auto"/>
        <w:rPr>
          <w:rFonts w:asciiTheme="majorHAnsi" w:hAnsiTheme="majorHAnsi" w:cstheme="majorHAnsi"/>
          <w:sz w:val="22"/>
          <w:szCs w:val="22"/>
        </w:rPr>
      </w:pPr>
    </w:p>
    <w:p w14:paraId="344C9130" w14:textId="77777777" w:rsidR="00DC09F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Riley GF. Long-term trends in the concentration of Medicare spending. Health Aff (Millwood). 2007; 26(3):808–16.</w:t>
      </w:r>
    </w:p>
    <w:p w14:paraId="786A9F2C" w14:textId="77777777" w:rsidR="0053159F" w:rsidRPr="00E03190" w:rsidRDefault="0053159F" w:rsidP="004B1B31">
      <w:pPr>
        <w:spacing w:line="480" w:lineRule="auto"/>
        <w:rPr>
          <w:rFonts w:asciiTheme="majorHAnsi" w:hAnsiTheme="majorHAnsi" w:cstheme="majorHAnsi"/>
          <w:sz w:val="22"/>
          <w:szCs w:val="22"/>
        </w:rPr>
      </w:pPr>
    </w:p>
    <w:p w14:paraId="2D6958CA" w14:textId="77777777" w:rsidR="0053159F"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Monheit AC. Persistence in health expenditures in the short run: prevalence and consequences. Med Care. 2003; 41(suppl):III53–III64.</w:t>
      </w:r>
    </w:p>
    <w:p w14:paraId="37EE1326" w14:textId="77777777" w:rsidR="00F45CF5" w:rsidRPr="00E03190" w:rsidRDefault="00F45CF5" w:rsidP="00F45CF5">
      <w:pPr>
        <w:spacing w:line="480" w:lineRule="auto"/>
        <w:rPr>
          <w:rFonts w:asciiTheme="majorHAnsi" w:hAnsiTheme="majorHAnsi" w:cstheme="majorHAnsi"/>
          <w:sz w:val="22"/>
          <w:szCs w:val="22"/>
        </w:rPr>
      </w:pPr>
    </w:p>
    <w:p w14:paraId="09181282" w14:textId="77777777" w:rsidR="00F45CF5" w:rsidRPr="00E03190" w:rsidRDefault="00F45CF5" w:rsidP="00F45CF5">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Chang HY, Boyd CM, Leff B, Lemke KW, Bodycombe DP, Weiner JP. Identifying Consistent High-cost Users in a Health Plan: Comparison of Alternative Prediction Models. Med Care. 2016; 54(9):852-9.</w:t>
      </w:r>
    </w:p>
    <w:p w14:paraId="3D801653" w14:textId="77777777" w:rsidR="0053159F" w:rsidRPr="00E03190" w:rsidRDefault="0053159F" w:rsidP="004B1B31">
      <w:pPr>
        <w:spacing w:line="480" w:lineRule="auto"/>
        <w:rPr>
          <w:rFonts w:asciiTheme="majorHAnsi" w:hAnsiTheme="majorHAnsi" w:cstheme="majorHAnsi"/>
          <w:sz w:val="22"/>
          <w:szCs w:val="22"/>
        </w:rPr>
      </w:pPr>
    </w:p>
    <w:p w14:paraId="46C6AEE3" w14:textId="483A59EF" w:rsidR="00AB12B5" w:rsidRPr="00AB12B5" w:rsidRDefault="00AB12B5" w:rsidP="00AB12B5">
      <w:pPr>
        <w:pStyle w:val="ListParagraph"/>
        <w:numPr>
          <w:ilvl w:val="0"/>
          <w:numId w:val="6"/>
        </w:numPr>
        <w:spacing w:line="480" w:lineRule="auto"/>
        <w:rPr>
          <w:rFonts w:ascii="Calibri" w:hAnsi="Calibri" w:cstheme="majorHAnsi"/>
          <w:sz w:val="22"/>
          <w:szCs w:val="22"/>
        </w:rPr>
      </w:pPr>
      <w:bookmarkStart w:id="7" w:name="_Hlk44584401"/>
      <w:r w:rsidRPr="00AB12B5">
        <w:rPr>
          <w:rFonts w:ascii="Calibri" w:eastAsia="Times New Roman" w:hAnsi="Calibri" w:cs="Times New Roman"/>
          <w:sz w:val="22"/>
          <w:szCs w:val="20"/>
        </w:rPr>
        <w:t>Wodchis W, Bushmeneva K, Nikitovic M, et al</w:t>
      </w:r>
      <w:r w:rsidRPr="00AB12B5">
        <w:rPr>
          <w:rFonts w:ascii="Calibri" w:eastAsia="Times New Roman" w:hAnsi="Calibri" w:cs="Times New Roman"/>
          <w:i/>
          <w:iCs/>
          <w:sz w:val="22"/>
          <w:szCs w:val="20"/>
        </w:rPr>
        <w:t xml:space="preserve">. </w:t>
      </w:r>
      <w:r w:rsidRPr="00AB12B5">
        <w:rPr>
          <w:rFonts w:ascii="Calibri" w:eastAsia="Times New Roman" w:hAnsi="Calibri" w:cs="Times New Roman"/>
          <w:iCs/>
          <w:sz w:val="22"/>
          <w:szCs w:val="20"/>
        </w:rPr>
        <w:t>Guidelines on person-level costing using administrative databases in Ontario: working paper series volume 1 May 2013. Toronto: Health System Performance Research Network; 2013</w:t>
      </w:r>
      <w:r w:rsidRPr="00AB12B5">
        <w:rPr>
          <w:rFonts w:ascii="Calibri" w:eastAsia="Times New Roman" w:hAnsi="Calibri" w:cs="Times New Roman"/>
          <w:i/>
          <w:iCs/>
          <w:sz w:val="22"/>
          <w:szCs w:val="20"/>
        </w:rPr>
        <w:t>.</w:t>
      </w:r>
      <w:bookmarkEnd w:id="7"/>
    </w:p>
    <w:p w14:paraId="6B57FAC0" w14:textId="77777777" w:rsidR="00DC09FF" w:rsidRPr="00E03190" w:rsidRDefault="00DC09FF" w:rsidP="004B1B31">
      <w:pPr>
        <w:spacing w:line="480" w:lineRule="auto"/>
        <w:rPr>
          <w:rFonts w:asciiTheme="majorHAnsi" w:hAnsiTheme="majorHAnsi" w:cstheme="majorHAnsi"/>
          <w:sz w:val="22"/>
          <w:szCs w:val="22"/>
          <w:lang w:val="fr-FR"/>
        </w:rPr>
      </w:pPr>
    </w:p>
    <w:p w14:paraId="52E8D14C" w14:textId="77777777" w:rsidR="00C24723" w:rsidRPr="00C24723" w:rsidRDefault="00C24723" w:rsidP="00C24723">
      <w:pPr>
        <w:pStyle w:val="ListParagraph"/>
        <w:numPr>
          <w:ilvl w:val="0"/>
          <w:numId w:val="6"/>
        </w:numPr>
        <w:spacing w:line="360" w:lineRule="auto"/>
        <w:rPr>
          <w:rFonts w:ascii="Calibri" w:hAnsi="Calibri" w:cstheme="majorHAnsi"/>
          <w:sz w:val="22"/>
        </w:rPr>
      </w:pPr>
      <w:r w:rsidRPr="00C24723">
        <w:rPr>
          <w:rFonts w:ascii="Calibri" w:hAnsi="Calibri" w:cstheme="majorHAnsi"/>
          <w:sz w:val="22"/>
        </w:rPr>
        <w:t>Wodchis WP, Austin PC, Henry DA. A 3-year study of high-cost users of health care. CMAJ. 2016; 188(3):182-188.</w:t>
      </w:r>
    </w:p>
    <w:p w14:paraId="50652970" w14:textId="77777777" w:rsidR="00C24723" w:rsidRPr="00C24723" w:rsidRDefault="00C24723" w:rsidP="00C24723">
      <w:pPr>
        <w:spacing w:line="480" w:lineRule="auto"/>
        <w:ind w:left="720"/>
        <w:rPr>
          <w:rFonts w:asciiTheme="majorHAnsi" w:hAnsiTheme="majorHAnsi" w:cstheme="majorHAnsi"/>
          <w:sz w:val="22"/>
          <w:szCs w:val="22"/>
        </w:rPr>
      </w:pPr>
    </w:p>
    <w:p w14:paraId="293B77A9"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lang w:val="fr-FR"/>
        </w:rPr>
        <w:t xml:space="preserve">Antoniou T, Zagorski B, Loutfy MR, et al. </w:t>
      </w:r>
      <w:r w:rsidRPr="00E03190">
        <w:rPr>
          <w:rFonts w:asciiTheme="majorHAnsi" w:hAnsiTheme="majorHAnsi" w:cstheme="majorHAnsi"/>
          <w:sz w:val="22"/>
          <w:szCs w:val="22"/>
        </w:rPr>
        <w:t>(2011) Validation of case-finding algorithms derived from administrative data for identifying adults living with human immunodeficiency virus infection. PLoS One. 6(6):e21748.</w:t>
      </w:r>
    </w:p>
    <w:p w14:paraId="696A550D" w14:textId="77777777" w:rsidR="00DC09FF" w:rsidRPr="00E03190" w:rsidRDefault="00DC09FF" w:rsidP="004B1B31">
      <w:pPr>
        <w:spacing w:line="480" w:lineRule="auto"/>
        <w:rPr>
          <w:rFonts w:asciiTheme="majorHAnsi" w:hAnsiTheme="majorHAnsi" w:cstheme="majorHAnsi"/>
          <w:sz w:val="22"/>
          <w:szCs w:val="22"/>
        </w:rPr>
      </w:pPr>
    </w:p>
    <w:p w14:paraId="2F4DB894"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lastRenderedPageBreak/>
        <w:t>Benchimol E, Guttmann A, Mack DR et al. Validation of international algorithms to identify adults with inflammatory bowel disease in health administrative data from Ontario, Canada. J Clin Epidemiol. 2014;67(8):887-896.</w:t>
      </w:r>
    </w:p>
    <w:p w14:paraId="53AECBF9" w14:textId="77777777" w:rsidR="00DC09FF" w:rsidRPr="00E03190" w:rsidRDefault="00DC09FF" w:rsidP="004B1B31">
      <w:pPr>
        <w:spacing w:line="480" w:lineRule="auto"/>
        <w:rPr>
          <w:rFonts w:asciiTheme="majorHAnsi" w:hAnsiTheme="majorHAnsi" w:cstheme="majorHAnsi"/>
          <w:sz w:val="22"/>
          <w:szCs w:val="22"/>
        </w:rPr>
      </w:pPr>
    </w:p>
    <w:p w14:paraId="73D3F0DC"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Gershon AS, Wang C, Guan J, et al. Identifying patients with physician diagnosed asthma in health administrative databases. Can Respir J. 2009;16(6):183-8.</w:t>
      </w:r>
    </w:p>
    <w:p w14:paraId="24CC2D39" w14:textId="77777777" w:rsidR="00DC09FF" w:rsidRPr="00E03190" w:rsidRDefault="00DC09FF" w:rsidP="004B1B31">
      <w:pPr>
        <w:spacing w:line="480" w:lineRule="auto"/>
        <w:rPr>
          <w:rFonts w:asciiTheme="majorHAnsi" w:hAnsiTheme="majorHAnsi" w:cstheme="majorHAnsi"/>
          <w:sz w:val="22"/>
          <w:szCs w:val="22"/>
        </w:rPr>
      </w:pPr>
    </w:p>
    <w:p w14:paraId="47EF9C94"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Gershon AS, Wang C, Guan J, et al. Identifying individuals with physician diagnosed COPD in health administrative databases. COPD. 2009;6(5):388–94.</w:t>
      </w:r>
    </w:p>
    <w:p w14:paraId="4E56AE6F" w14:textId="77777777" w:rsidR="00DC09FF" w:rsidRPr="00732FD1" w:rsidRDefault="00DC09FF" w:rsidP="004B1B31">
      <w:pPr>
        <w:spacing w:line="480" w:lineRule="auto"/>
        <w:rPr>
          <w:rFonts w:asciiTheme="majorHAnsi" w:hAnsiTheme="majorHAnsi" w:cstheme="majorHAnsi"/>
          <w:sz w:val="22"/>
          <w:szCs w:val="22"/>
        </w:rPr>
      </w:pPr>
    </w:p>
    <w:p w14:paraId="6E6EBBE7"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lang w:val="fr-FR"/>
        </w:rPr>
        <w:t xml:space="preserve">Hux JE, Ivis F, Flintoft V, et al. </w:t>
      </w:r>
      <w:r w:rsidRPr="00E03190">
        <w:rPr>
          <w:rFonts w:asciiTheme="majorHAnsi" w:hAnsiTheme="majorHAnsi" w:cstheme="majorHAnsi"/>
          <w:sz w:val="22"/>
          <w:szCs w:val="22"/>
        </w:rPr>
        <w:t>Diabetes in Ontario: determination of prevalence and incidence using a validated administrative data algorithm. Diabetes Care. 2002;25(3):512-6.</w:t>
      </w:r>
    </w:p>
    <w:p w14:paraId="292B761E" w14:textId="77777777" w:rsidR="00DC09FF" w:rsidRPr="00E03190" w:rsidRDefault="00DC09FF" w:rsidP="004B1B31">
      <w:pPr>
        <w:spacing w:line="480" w:lineRule="auto"/>
        <w:rPr>
          <w:rFonts w:asciiTheme="majorHAnsi" w:hAnsiTheme="majorHAnsi" w:cstheme="majorHAnsi"/>
          <w:sz w:val="22"/>
          <w:szCs w:val="22"/>
        </w:rPr>
      </w:pPr>
    </w:p>
    <w:p w14:paraId="035F37A4"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Jaak</w:t>
      </w:r>
      <w:r w:rsidR="0053159F" w:rsidRPr="00E03190">
        <w:rPr>
          <w:rFonts w:asciiTheme="majorHAnsi" w:hAnsiTheme="majorHAnsi" w:cstheme="majorHAnsi"/>
          <w:sz w:val="22"/>
          <w:szCs w:val="22"/>
        </w:rPr>
        <w:t>kimainen RL, Bronskill SE,</w:t>
      </w:r>
      <w:r w:rsidRPr="00E03190">
        <w:rPr>
          <w:rFonts w:asciiTheme="majorHAnsi" w:hAnsiTheme="majorHAnsi" w:cstheme="majorHAnsi"/>
          <w:sz w:val="22"/>
          <w:szCs w:val="22"/>
        </w:rPr>
        <w:t xml:space="preserve"> K. </w:t>
      </w:r>
      <w:r w:rsidR="0053159F" w:rsidRPr="00E03190">
        <w:rPr>
          <w:rFonts w:asciiTheme="majorHAnsi" w:hAnsiTheme="majorHAnsi" w:cstheme="majorHAnsi"/>
          <w:sz w:val="22"/>
          <w:szCs w:val="22"/>
        </w:rPr>
        <w:t>Tierney MC,</w:t>
      </w:r>
      <w:r w:rsidRPr="00E03190">
        <w:rPr>
          <w:rFonts w:asciiTheme="majorHAnsi" w:hAnsiTheme="majorHAnsi" w:cstheme="majorHAnsi"/>
          <w:sz w:val="22"/>
          <w:szCs w:val="22"/>
        </w:rPr>
        <w:t xml:space="preserve"> et al., Identification of physician-diagnosed Alzheimer’s disease and related dementias in population-based administrative data: a validation study using family physicians’ electronic medical records. Journal of Alzheimer’s Disease. 2016;54(1):337-349.</w:t>
      </w:r>
    </w:p>
    <w:p w14:paraId="76E640C7" w14:textId="77777777" w:rsidR="00DC09FF" w:rsidRPr="00E03190" w:rsidRDefault="00DC09FF" w:rsidP="004B1B31">
      <w:pPr>
        <w:spacing w:line="480" w:lineRule="auto"/>
        <w:rPr>
          <w:rFonts w:asciiTheme="majorHAnsi" w:hAnsiTheme="majorHAnsi" w:cstheme="majorHAnsi"/>
          <w:sz w:val="22"/>
          <w:szCs w:val="22"/>
        </w:rPr>
      </w:pPr>
    </w:p>
    <w:p w14:paraId="7A5006F4" w14:textId="4FECA83C" w:rsidR="0053159F" w:rsidRPr="00E03190" w:rsidRDefault="0053159F"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Kurdyak P</w:t>
      </w:r>
      <w:r w:rsidR="00B11CE5" w:rsidRPr="00E03190">
        <w:rPr>
          <w:rFonts w:asciiTheme="majorHAnsi" w:hAnsiTheme="majorHAnsi" w:cstheme="majorHAnsi"/>
          <w:sz w:val="22"/>
          <w:szCs w:val="22"/>
        </w:rPr>
        <w:t xml:space="preserve">, Lin </w:t>
      </w:r>
      <w:r w:rsidRPr="00E03190">
        <w:rPr>
          <w:rFonts w:asciiTheme="majorHAnsi" w:hAnsiTheme="majorHAnsi" w:cstheme="majorHAnsi"/>
          <w:sz w:val="22"/>
          <w:szCs w:val="22"/>
        </w:rPr>
        <w:t>E, Green D,</w:t>
      </w:r>
      <w:r w:rsidR="00B11CE5" w:rsidRPr="00E03190">
        <w:rPr>
          <w:rFonts w:asciiTheme="majorHAnsi" w:hAnsiTheme="majorHAnsi" w:cstheme="majorHAnsi"/>
          <w:sz w:val="22"/>
          <w:szCs w:val="22"/>
        </w:rPr>
        <w:t xml:space="preserve"> Vigod S. Validation of a Population-Based Algorithm to Detect Chronic Psychotic Illness. Can J Psychiatry. 2015;60(8):362–368.</w:t>
      </w:r>
    </w:p>
    <w:p w14:paraId="6B27B7CC" w14:textId="77777777" w:rsidR="00DC09FF" w:rsidRPr="00E03190" w:rsidRDefault="00DC09FF" w:rsidP="004B1B31">
      <w:pPr>
        <w:spacing w:line="480" w:lineRule="auto"/>
        <w:rPr>
          <w:rFonts w:asciiTheme="majorHAnsi" w:hAnsiTheme="majorHAnsi" w:cstheme="majorHAnsi"/>
          <w:sz w:val="22"/>
          <w:szCs w:val="22"/>
          <w:lang w:val="fr-FR"/>
        </w:rPr>
      </w:pPr>
    </w:p>
    <w:p w14:paraId="6DC3025F"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3A325C">
        <w:rPr>
          <w:rFonts w:asciiTheme="majorHAnsi" w:hAnsiTheme="majorHAnsi" w:cstheme="majorHAnsi"/>
          <w:sz w:val="22"/>
          <w:szCs w:val="22"/>
        </w:rPr>
        <w:t xml:space="preserve">Moist LM, Fenton S, Kim JS et al. </w:t>
      </w:r>
      <w:r w:rsidRPr="00E03190">
        <w:rPr>
          <w:rFonts w:asciiTheme="majorHAnsi" w:hAnsiTheme="majorHAnsi" w:cstheme="majorHAnsi"/>
          <w:sz w:val="22"/>
          <w:szCs w:val="22"/>
        </w:rPr>
        <w:t>Canadian Organ Replacement Register (CORR): reflecting the past and embracing the future. Can J Kidney Health Dis. 2014;1: 26.</w:t>
      </w:r>
    </w:p>
    <w:p w14:paraId="6D3EDAB0" w14:textId="77777777" w:rsidR="00DC09FF" w:rsidRPr="00E03190" w:rsidRDefault="00DC09FF" w:rsidP="004B1B31">
      <w:pPr>
        <w:spacing w:line="480" w:lineRule="auto"/>
        <w:rPr>
          <w:rFonts w:asciiTheme="majorHAnsi" w:hAnsiTheme="majorHAnsi" w:cstheme="majorHAnsi"/>
          <w:sz w:val="22"/>
          <w:szCs w:val="22"/>
        </w:rPr>
      </w:pPr>
    </w:p>
    <w:p w14:paraId="1F588C99"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Prodhan S, King MJ, De P, Gilbert J. (2016) Health Services Data: The Ontario Cancer Registry (a Unique, Linked, and Automated Population-Based Registry). In: Sobolev B., Levy A., Goring S. (eds) Data and Measures in Health Services Research. Health Services Research. Springer, Boston, MA</w:t>
      </w:r>
      <w:r w:rsidR="0053159F" w:rsidRPr="00E03190">
        <w:rPr>
          <w:rFonts w:asciiTheme="majorHAnsi" w:hAnsiTheme="majorHAnsi" w:cstheme="majorHAnsi"/>
          <w:sz w:val="22"/>
          <w:szCs w:val="22"/>
        </w:rPr>
        <w:t>.</w:t>
      </w:r>
    </w:p>
    <w:p w14:paraId="23168A66" w14:textId="77777777" w:rsidR="00DC09FF" w:rsidRPr="00E03190" w:rsidRDefault="00DC09FF" w:rsidP="004B1B31">
      <w:pPr>
        <w:spacing w:line="480" w:lineRule="auto"/>
        <w:rPr>
          <w:rFonts w:asciiTheme="majorHAnsi" w:hAnsiTheme="majorHAnsi" w:cstheme="majorHAnsi"/>
          <w:sz w:val="22"/>
          <w:szCs w:val="22"/>
        </w:rPr>
      </w:pPr>
    </w:p>
    <w:p w14:paraId="32C8231A"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 xml:space="preserve">Schultz SE, Rothwell DM, Chen Z, et al. Identifying cases of congestive heart failure from administrative data: a validation study using primary care patient records. Chronic Dis Inj Can. 2013;33(3):160-166. </w:t>
      </w:r>
    </w:p>
    <w:p w14:paraId="42F77130" w14:textId="77777777" w:rsidR="00DC09FF" w:rsidRPr="00E03190" w:rsidRDefault="00DC09FF" w:rsidP="004B1B31">
      <w:pPr>
        <w:spacing w:line="480" w:lineRule="auto"/>
        <w:rPr>
          <w:rFonts w:asciiTheme="majorHAnsi" w:hAnsiTheme="majorHAnsi" w:cstheme="majorHAnsi"/>
          <w:sz w:val="22"/>
          <w:szCs w:val="22"/>
        </w:rPr>
      </w:pPr>
    </w:p>
    <w:p w14:paraId="29BE28FD"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Tu K, Chen Z, Lipscombe LL; Canadian Hypertension Education Program Outcomes Research Taskforce. Prevalence and incidence of hypertension from 1995 to 2005: a population-based study. CMAJ. 2008;178(11):1429-1435.</w:t>
      </w:r>
    </w:p>
    <w:p w14:paraId="7F37309F" w14:textId="77777777" w:rsidR="00DC09FF" w:rsidRPr="00E03190" w:rsidRDefault="00DC09FF" w:rsidP="004B1B31">
      <w:pPr>
        <w:spacing w:line="480" w:lineRule="auto"/>
        <w:rPr>
          <w:rFonts w:asciiTheme="majorHAnsi" w:hAnsiTheme="majorHAnsi" w:cstheme="majorHAnsi"/>
          <w:sz w:val="22"/>
          <w:szCs w:val="22"/>
        </w:rPr>
      </w:pPr>
    </w:p>
    <w:p w14:paraId="13C1BC67" w14:textId="77777777" w:rsidR="00AB12B5" w:rsidRDefault="00B11CE5" w:rsidP="00AB12B5">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Widdifield J, Bernatsky S, Paterson JM, Tu K, Ng R, Thorne JC, et al. Accuracy of Canadian Health administrative databases in identifying patients with rheumatoid arthritis: a validation study using the medical records of rheumatologists. Arthritis Care Res (Hoboken). 2013;65(10):1582–1589.</w:t>
      </w:r>
    </w:p>
    <w:p w14:paraId="71676CD5" w14:textId="77777777" w:rsidR="00AB12B5" w:rsidRDefault="00AB12B5" w:rsidP="00AB12B5">
      <w:pPr>
        <w:spacing w:line="480" w:lineRule="auto"/>
        <w:rPr>
          <w:rFonts w:ascii="Calibri" w:hAnsi="Calibri" w:cstheme="majorHAnsi"/>
          <w:sz w:val="22"/>
          <w:szCs w:val="22"/>
        </w:rPr>
      </w:pPr>
    </w:p>
    <w:p w14:paraId="00765876" w14:textId="741EB3E9" w:rsidR="000F46D6" w:rsidRDefault="000F46D6" w:rsidP="004B1B31">
      <w:pPr>
        <w:numPr>
          <w:ilvl w:val="0"/>
          <w:numId w:val="6"/>
        </w:numPr>
        <w:spacing w:line="480" w:lineRule="auto"/>
        <w:rPr>
          <w:rFonts w:asciiTheme="majorHAnsi" w:hAnsiTheme="majorHAnsi" w:cstheme="majorHAnsi"/>
          <w:sz w:val="22"/>
          <w:szCs w:val="22"/>
        </w:rPr>
      </w:pPr>
      <w:r w:rsidRPr="000F46D6">
        <w:rPr>
          <w:rFonts w:asciiTheme="majorHAnsi" w:hAnsiTheme="majorHAnsi" w:cstheme="majorHAnsi"/>
          <w:sz w:val="22"/>
          <w:szCs w:val="22"/>
        </w:rPr>
        <w:t>Greene, W. H. 2012. Econometric Analysis. 7</w:t>
      </w:r>
      <w:r w:rsidRPr="000F46D6">
        <w:rPr>
          <w:rFonts w:asciiTheme="majorHAnsi" w:hAnsiTheme="majorHAnsi" w:cstheme="majorHAnsi"/>
          <w:sz w:val="22"/>
          <w:szCs w:val="22"/>
          <w:vertAlign w:val="superscript"/>
        </w:rPr>
        <w:t>th</w:t>
      </w:r>
      <w:r>
        <w:rPr>
          <w:rFonts w:asciiTheme="majorHAnsi" w:hAnsiTheme="majorHAnsi" w:cstheme="majorHAnsi"/>
          <w:sz w:val="22"/>
          <w:szCs w:val="22"/>
        </w:rPr>
        <w:t xml:space="preserve"> </w:t>
      </w:r>
      <w:r w:rsidRPr="000F46D6">
        <w:rPr>
          <w:rFonts w:asciiTheme="majorHAnsi" w:hAnsiTheme="majorHAnsi" w:cstheme="majorHAnsi"/>
          <w:sz w:val="22"/>
          <w:szCs w:val="22"/>
        </w:rPr>
        <w:t>ed. Upper Saddle River, NJ: Prentice Hall.</w:t>
      </w:r>
    </w:p>
    <w:p w14:paraId="572C4EF4" w14:textId="77777777" w:rsidR="000F46D6" w:rsidRDefault="000F46D6" w:rsidP="004B1B31">
      <w:pPr>
        <w:pStyle w:val="ListParagraph"/>
        <w:spacing w:line="480" w:lineRule="auto"/>
        <w:rPr>
          <w:rFonts w:asciiTheme="majorHAnsi" w:hAnsiTheme="majorHAnsi" w:cstheme="majorHAnsi"/>
          <w:sz w:val="22"/>
          <w:szCs w:val="22"/>
        </w:rPr>
      </w:pPr>
    </w:p>
    <w:p w14:paraId="1E437115" w14:textId="77777777" w:rsidR="00AB12B5" w:rsidRPr="001E7344" w:rsidRDefault="00AB12B5" w:rsidP="00AB12B5">
      <w:pPr>
        <w:pStyle w:val="ListParagraph"/>
        <w:numPr>
          <w:ilvl w:val="0"/>
          <w:numId w:val="6"/>
        </w:numPr>
        <w:spacing w:line="480" w:lineRule="auto"/>
        <w:rPr>
          <w:rStyle w:val="HTMLCite"/>
          <w:rFonts w:ascii="Calibri" w:hAnsi="Calibri" w:cstheme="majorHAnsi"/>
          <w:i w:val="0"/>
          <w:iCs w:val="0"/>
          <w:sz w:val="22"/>
          <w:szCs w:val="22"/>
        </w:rPr>
      </w:pPr>
      <w:r w:rsidRPr="001E7344">
        <w:rPr>
          <w:rStyle w:val="HTMLCite"/>
          <w:rFonts w:ascii="Calibri" w:eastAsia="Times New Roman" w:hAnsi="Calibri"/>
          <w:i w:val="0"/>
          <w:sz w:val="22"/>
        </w:rPr>
        <w:t xml:space="preserve">Engel, J. (1988). "Polytomous logistic regression". Statistica Neerlandica. </w:t>
      </w:r>
      <w:r w:rsidRPr="001E7344">
        <w:rPr>
          <w:rStyle w:val="HTMLCite"/>
          <w:rFonts w:ascii="Calibri" w:eastAsia="Times New Roman" w:hAnsi="Calibri"/>
          <w:bCs/>
          <w:i w:val="0"/>
          <w:sz w:val="22"/>
        </w:rPr>
        <w:t>42</w:t>
      </w:r>
      <w:r w:rsidRPr="001E7344">
        <w:rPr>
          <w:rStyle w:val="HTMLCite"/>
          <w:rFonts w:ascii="Calibri" w:eastAsia="Times New Roman" w:hAnsi="Calibri"/>
          <w:i w:val="0"/>
          <w:sz w:val="22"/>
        </w:rPr>
        <w:t xml:space="preserve"> (4): 233–252. </w:t>
      </w:r>
    </w:p>
    <w:p w14:paraId="1C55F7B7" w14:textId="77777777" w:rsidR="00AB12B5" w:rsidRDefault="00AB12B5" w:rsidP="00AB12B5">
      <w:pPr>
        <w:spacing w:line="480" w:lineRule="auto"/>
        <w:ind w:left="720"/>
        <w:rPr>
          <w:rFonts w:asciiTheme="majorHAnsi" w:hAnsiTheme="majorHAnsi" w:cstheme="majorHAnsi"/>
          <w:sz w:val="22"/>
          <w:szCs w:val="22"/>
        </w:rPr>
      </w:pPr>
    </w:p>
    <w:p w14:paraId="4A334C3E" w14:textId="74C33933" w:rsidR="00DC09F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lastRenderedPageBreak/>
        <w:t>de Oliveira C, Cheng J, Rehm J, Kurdyak P. The Economic Burden of Chronic Psychotic Disorders in Ontario. J Ment Health Policy Econ. 2016;19(4):181-192.</w:t>
      </w:r>
    </w:p>
    <w:p w14:paraId="068AE1AF" w14:textId="1987B644" w:rsidR="0053159F" w:rsidRPr="00E03190" w:rsidRDefault="0053159F" w:rsidP="004B1B31">
      <w:pPr>
        <w:spacing w:line="480" w:lineRule="auto"/>
        <w:rPr>
          <w:rFonts w:asciiTheme="majorHAnsi" w:hAnsiTheme="majorHAnsi" w:cstheme="majorHAnsi"/>
          <w:sz w:val="22"/>
          <w:szCs w:val="22"/>
        </w:rPr>
      </w:pPr>
    </w:p>
    <w:p w14:paraId="2D00BBA5" w14:textId="77777777" w:rsidR="0053159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 xml:space="preserve">Kurdyak P, Vigod S, Duchen R, Jacob B, Stukel T, Kiran T. Diabetes quality of care and outcomes: Comparison of individuals with and without schizophrenia. Gen Hosp Psychiatry. 2017;46:7-13. </w:t>
      </w:r>
    </w:p>
    <w:p w14:paraId="102B699C" w14:textId="77777777" w:rsidR="0053159F" w:rsidRPr="00E03190" w:rsidRDefault="0053159F" w:rsidP="004B1B31">
      <w:pPr>
        <w:spacing w:line="480" w:lineRule="auto"/>
        <w:rPr>
          <w:rFonts w:asciiTheme="majorHAnsi" w:hAnsiTheme="majorHAnsi" w:cstheme="majorHAnsi"/>
          <w:sz w:val="22"/>
          <w:szCs w:val="22"/>
        </w:rPr>
      </w:pPr>
    </w:p>
    <w:p w14:paraId="408FBB88" w14:textId="77777777" w:rsidR="00AB12B5" w:rsidRPr="001E7344" w:rsidRDefault="00AB12B5" w:rsidP="00AB12B5">
      <w:pPr>
        <w:pStyle w:val="ListParagraph"/>
        <w:numPr>
          <w:ilvl w:val="0"/>
          <w:numId w:val="6"/>
        </w:numPr>
        <w:spacing w:line="480" w:lineRule="auto"/>
        <w:rPr>
          <w:rFonts w:ascii="Calibri" w:hAnsi="Calibri" w:cstheme="majorHAnsi"/>
          <w:sz w:val="22"/>
          <w:szCs w:val="22"/>
        </w:rPr>
      </w:pPr>
      <w:r w:rsidRPr="001E7344">
        <w:rPr>
          <w:rFonts w:ascii="Calibri" w:hAnsi="Calibri"/>
          <w:sz w:val="22"/>
          <w:szCs w:val="22"/>
        </w:rPr>
        <w:t>Kurdyak P, Vigod SN, Newman A, Giannakeas V, Mulsant BH, Stukel T. Impact of Physician Follow-Up Care on Psychiatric Readmission Rates in a Population-Based Sample of Patients With Schizophrenia. Psychiatr Serv. 2018; 1;69(1):61-68.</w:t>
      </w:r>
    </w:p>
    <w:p w14:paraId="651A1AF5" w14:textId="77777777" w:rsidR="00AB12B5" w:rsidRPr="001E7344" w:rsidRDefault="00AB12B5" w:rsidP="00AB12B5">
      <w:pPr>
        <w:spacing w:line="480" w:lineRule="auto"/>
        <w:rPr>
          <w:rFonts w:ascii="Calibri" w:hAnsi="Calibri"/>
          <w:sz w:val="22"/>
          <w:szCs w:val="22"/>
        </w:rPr>
      </w:pPr>
    </w:p>
    <w:p w14:paraId="35891EF1" w14:textId="77777777" w:rsidR="00AB12B5" w:rsidRPr="001E7344" w:rsidRDefault="00AB12B5" w:rsidP="00AB12B5">
      <w:pPr>
        <w:pStyle w:val="ListParagraph"/>
        <w:numPr>
          <w:ilvl w:val="0"/>
          <w:numId w:val="6"/>
        </w:numPr>
        <w:spacing w:line="480" w:lineRule="auto"/>
        <w:rPr>
          <w:rFonts w:ascii="Calibri" w:hAnsi="Calibri" w:cstheme="majorHAnsi"/>
          <w:sz w:val="22"/>
          <w:szCs w:val="22"/>
        </w:rPr>
      </w:pPr>
      <w:r w:rsidRPr="001E7344">
        <w:rPr>
          <w:rFonts w:ascii="Calibri" w:hAnsi="Calibri"/>
          <w:sz w:val="22"/>
          <w:szCs w:val="22"/>
        </w:rPr>
        <w:t>Higashi K, Medic G, Littlewood KJ, Diez T, Granström O, De Hert M. Medication adherence in schizophrenia: factors influencing adherence and consequences of nonadherence, a systematic literature review. Ther Adv Psychopharmacol. 2013;3(4):200-18.</w:t>
      </w:r>
    </w:p>
    <w:p w14:paraId="6658E8A4" w14:textId="77777777" w:rsidR="00DC09FF" w:rsidRPr="00E03190" w:rsidRDefault="00DC09FF" w:rsidP="004B1B31">
      <w:pPr>
        <w:spacing w:line="480" w:lineRule="auto"/>
        <w:rPr>
          <w:rFonts w:asciiTheme="majorHAnsi" w:hAnsiTheme="majorHAnsi" w:cstheme="majorHAnsi"/>
          <w:sz w:val="22"/>
          <w:szCs w:val="22"/>
        </w:rPr>
      </w:pPr>
    </w:p>
    <w:p w14:paraId="0C1DF1E5" w14:textId="77777777" w:rsidR="007870CF" w:rsidRDefault="00AB12B5" w:rsidP="007870CF">
      <w:pPr>
        <w:pStyle w:val="ListParagraph"/>
        <w:numPr>
          <w:ilvl w:val="0"/>
          <w:numId w:val="6"/>
        </w:numPr>
        <w:spacing w:line="480" w:lineRule="auto"/>
        <w:rPr>
          <w:rFonts w:ascii="Calibri" w:hAnsi="Calibri" w:cstheme="majorHAnsi"/>
          <w:sz w:val="22"/>
          <w:szCs w:val="22"/>
        </w:rPr>
      </w:pPr>
      <w:r w:rsidRPr="001E7344">
        <w:rPr>
          <w:rFonts w:ascii="Calibri" w:hAnsi="Calibri" w:cstheme="majorHAnsi"/>
          <w:sz w:val="22"/>
          <w:szCs w:val="22"/>
        </w:rPr>
        <w:t xml:space="preserve">Severe mental illness (SMI) and physical </w:t>
      </w:r>
      <w:r>
        <w:rPr>
          <w:rFonts w:ascii="Calibri" w:hAnsi="Calibri" w:cstheme="majorHAnsi"/>
          <w:sz w:val="22"/>
          <w:szCs w:val="22"/>
        </w:rPr>
        <w:t xml:space="preserve">health inequalities: briefing – </w:t>
      </w:r>
      <w:r w:rsidRPr="002970FD">
        <w:rPr>
          <w:rFonts w:ascii="Calibri" w:hAnsi="Calibri" w:cstheme="majorHAnsi"/>
          <w:sz w:val="22"/>
          <w:szCs w:val="22"/>
        </w:rPr>
        <w:t>Public Health England.</w:t>
      </w:r>
      <w:r>
        <w:rPr>
          <w:rFonts w:ascii="Calibri" w:hAnsi="Calibri" w:cstheme="majorHAnsi"/>
          <w:sz w:val="22"/>
          <w:szCs w:val="22"/>
        </w:rPr>
        <w:t xml:space="preserve"> London (UK): Public Health England;</w:t>
      </w:r>
      <w:r w:rsidRPr="002970FD">
        <w:rPr>
          <w:rFonts w:ascii="Calibri" w:hAnsi="Calibri" w:cstheme="majorHAnsi"/>
          <w:sz w:val="22"/>
          <w:szCs w:val="22"/>
        </w:rPr>
        <w:t xml:space="preserve"> 2018. </w:t>
      </w:r>
      <w:r>
        <w:rPr>
          <w:rFonts w:ascii="Calibri" w:hAnsi="Calibri" w:cstheme="majorHAnsi"/>
          <w:sz w:val="22"/>
          <w:szCs w:val="22"/>
        </w:rPr>
        <w:t>Available</w:t>
      </w:r>
      <w:r w:rsidRPr="002970FD">
        <w:rPr>
          <w:rFonts w:ascii="Calibri" w:hAnsi="Calibri" w:cstheme="majorHAnsi"/>
          <w:sz w:val="22"/>
          <w:szCs w:val="22"/>
        </w:rPr>
        <w:t xml:space="preserve">: </w:t>
      </w:r>
      <w:hyperlink r:id="rId8" w:history="1">
        <w:r w:rsidRPr="002970FD">
          <w:rPr>
            <w:rStyle w:val="Hyperlink"/>
            <w:rFonts w:ascii="Calibri" w:hAnsi="Calibri" w:cstheme="majorHAnsi"/>
            <w:sz w:val="22"/>
            <w:szCs w:val="22"/>
          </w:rPr>
          <w:t>https://www.gov.uk/government/publications/severe-mental-illness-smi-physical-health-inequalities/severe-mental-illness-and-physical-health-inequalities-briefing</w:t>
        </w:r>
      </w:hyperlink>
      <w:r w:rsidRPr="002970FD">
        <w:rPr>
          <w:rFonts w:ascii="Calibri" w:hAnsi="Calibri" w:cstheme="majorHAnsi"/>
          <w:sz w:val="22"/>
          <w:szCs w:val="22"/>
        </w:rPr>
        <w:t xml:space="preserve"> (accessed 2020 May 8).</w:t>
      </w:r>
    </w:p>
    <w:p w14:paraId="644A92E5" w14:textId="77777777" w:rsidR="007870CF" w:rsidRPr="007870CF" w:rsidRDefault="007870CF" w:rsidP="007870CF">
      <w:pPr>
        <w:spacing w:line="480" w:lineRule="auto"/>
        <w:rPr>
          <w:rFonts w:ascii="Calibri" w:hAnsi="Calibri" w:cstheme="majorHAnsi"/>
          <w:sz w:val="22"/>
          <w:szCs w:val="22"/>
        </w:rPr>
      </w:pPr>
    </w:p>
    <w:p w14:paraId="6865D36B" w14:textId="73D5988F" w:rsidR="007870CF" w:rsidRPr="007870CF" w:rsidRDefault="007870CF" w:rsidP="007870CF">
      <w:pPr>
        <w:pStyle w:val="ListParagraph"/>
        <w:numPr>
          <w:ilvl w:val="0"/>
          <w:numId w:val="6"/>
        </w:numPr>
        <w:spacing w:line="480" w:lineRule="auto"/>
        <w:rPr>
          <w:rStyle w:val="Hyperlink"/>
          <w:rFonts w:ascii="Calibri" w:hAnsi="Calibri" w:cstheme="majorHAnsi"/>
          <w:color w:val="auto"/>
          <w:sz w:val="22"/>
          <w:szCs w:val="22"/>
          <w:u w:val="none"/>
        </w:rPr>
      </w:pPr>
      <w:r w:rsidRPr="007870CF">
        <w:rPr>
          <w:rFonts w:ascii="Calibri" w:hAnsi="Calibri" w:cstheme="majorHAnsi"/>
          <w:sz w:val="22"/>
          <w:szCs w:val="22"/>
        </w:rPr>
        <w:t xml:space="preserve">Cohen SB. The concentration and persistence in the level of health expenditures over time: estimates for the U.S. population, 2009–2010: statistical brief No. 392. Rockville </w:t>
      </w:r>
      <w:r w:rsidRPr="007870CF">
        <w:rPr>
          <w:rFonts w:ascii="Calibri" w:hAnsi="Calibri" w:cstheme="majorHAnsi"/>
          <w:sz w:val="22"/>
          <w:szCs w:val="22"/>
        </w:rPr>
        <w:lastRenderedPageBreak/>
        <w:t xml:space="preserve">(MD): Agency for Healthcare Research and Quality; 2012. Available: </w:t>
      </w:r>
      <w:hyperlink r:id="rId9" w:history="1">
        <w:r w:rsidRPr="007870CF">
          <w:rPr>
            <w:rStyle w:val="Hyperlink"/>
            <w:rFonts w:ascii="Calibri" w:hAnsi="Calibri" w:cstheme="majorHAnsi"/>
            <w:sz w:val="22"/>
            <w:szCs w:val="22"/>
          </w:rPr>
          <w:t>http://www.meps.ahrq.gov/mepsweb/data_files/publications/st392/stat392.shtml</w:t>
        </w:r>
      </w:hyperlink>
      <w:r w:rsidRPr="007870CF">
        <w:rPr>
          <w:rStyle w:val="Hyperlink"/>
          <w:rFonts w:ascii="Calibri" w:hAnsi="Calibri" w:cstheme="majorHAnsi"/>
          <w:sz w:val="22"/>
          <w:szCs w:val="22"/>
        </w:rPr>
        <w:t xml:space="preserve"> </w:t>
      </w:r>
      <w:r w:rsidRPr="007870CF">
        <w:rPr>
          <w:rFonts w:ascii="Calibri" w:hAnsi="Calibri" w:cstheme="majorHAnsi"/>
          <w:sz w:val="22"/>
          <w:szCs w:val="22"/>
        </w:rPr>
        <w:t>(accessed 2020 May 8).</w:t>
      </w:r>
    </w:p>
    <w:p w14:paraId="1F60BFDF" w14:textId="77777777" w:rsidR="00DC09FF" w:rsidRPr="00E03190" w:rsidRDefault="00DC09FF" w:rsidP="004B1B31">
      <w:pPr>
        <w:spacing w:line="480" w:lineRule="auto"/>
        <w:rPr>
          <w:rFonts w:asciiTheme="majorHAnsi" w:hAnsiTheme="majorHAnsi" w:cstheme="majorHAnsi"/>
          <w:sz w:val="22"/>
          <w:szCs w:val="22"/>
        </w:rPr>
      </w:pPr>
    </w:p>
    <w:p w14:paraId="5DAD817C" w14:textId="509DC71E" w:rsidR="00DC09FF" w:rsidRPr="00E03190" w:rsidRDefault="00B11CE5"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Rais S, Nazerian A, Ardal S, Chechulin Y, Bains N, Malikov K. High-cost users of Ontario’s healthcare services. Healthc Policy. 2013;9(1):44–51.</w:t>
      </w:r>
    </w:p>
    <w:p w14:paraId="644D6A15" w14:textId="77777777" w:rsidR="0053159F" w:rsidRPr="00E03190" w:rsidRDefault="0053159F" w:rsidP="004B1B31">
      <w:pPr>
        <w:spacing w:line="480" w:lineRule="auto"/>
        <w:rPr>
          <w:rFonts w:asciiTheme="majorHAnsi" w:hAnsiTheme="majorHAnsi" w:cstheme="majorHAnsi"/>
          <w:sz w:val="22"/>
          <w:szCs w:val="22"/>
        </w:rPr>
      </w:pPr>
    </w:p>
    <w:p w14:paraId="327CF38C" w14:textId="7E980537" w:rsidR="00892250" w:rsidRDefault="00892250" w:rsidP="004B1B31">
      <w:pPr>
        <w:numPr>
          <w:ilvl w:val="0"/>
          <w:numId w:val="6"/>
        </w:numPr>
        <w:spacing w:line="480" w:lineRule="auto"/>
        <w:rPr>
          <w:rFonts w:asciiTheme="majorHAnsi" w:hAnsiTheme="majorHAnsi" w:cstheme="majorHAnsi"/>
          <w:sz w:val="22"/>
          <w:szCs w:val="22"/>
        </w:rPr>
      </w:pPr>
      <w:r w:rsidRPr="00E03190">
        <w:rPr>
          <w:rFonts w:asciiTheme="majorHAnsi" w:hAnsiTheme="majorHAnsi" w:cstheme="majorHAnsi"/>
          <w:sz w:val="22"/>
          <w:szCs w:val="22"/>
        </w:rPr>
        <w:t>Billings J, Mijanovich T. Improving the management of care for high-cost Medicaid patients. Health Aff (Millwood). 2007;26(6):1643–54.</w:t>
      </w:r>
    </w:p>
    <w:p w14:paraId="290D1A80" w14:textId="77777777" w:rsidR="00892250" w:rsidRDefault="00892250" w:rsidP="004B1B31">
      <w:pPr>
        <w:spacing w:line="480" w:lineRule="auto"/>
        <w:rPr>
          <w:rFonts w:asciiTheme="majorHAnsi" w:hAnsiTheme="majorHAnsi" w:cstheme="majorHAnsi"/>
          <w:sz w:val="22"/>
          <w:szCs w:val="22"/>
        </w:rPr>
      </w:pPr>
    </w:p>
    <w:p w14:paraId="5892290B" w14:textId="77777777" w:rsidR="00222EBC" w:rsidRDefault="00222EBC" w:rsidP="004B1B31">
      <w:pPr>
        <w:pStyle w:val="ListParagraph"/>
        <w:numPr>
          <w:ilvl w:val="0"/>
          <w:numId w:val="6"/>
        </w:numPr>
        <w:spacing w:line="480" w:lineRule="auto"/>
        <w:rPr>
          <w:rFonts w:asciiTheme="majorHAnsi" w:hAnsiTheme="majorHAnsi" w:cstheme="majorHAnsi"/>
          <w:sz w:val="22"/>
          <w:szCs w:val="22"/>
        </w:rPr>
      </w:pPr>
      <w:r w:rsidRPr="00222EBC">
        <w:rPr>
          <w:rFonts w:asciiTheme="majorHAnsi" w:hAnsiTheme="majorHAnsi" w:cstheme="majorHAnsi"/>
          <w:sz w:val="22"/>
          <w:szCs w:val="22"/>
        </w:rPr>
        <w:t xml:space="preserve">Rudoler D, de Oliveira C, Jacob B, Hopkins M, Kurdyak P. Cost Analysis of a High Support Housing Initiative for Persons with Severe Mental Illness and Long-Term Psychiatric Hospitalization. Can J Psychiatry. 2018;63(7):492-500. </w:t>
      </w:r>
    </w:p>
    <w:p w14:paraId="5688AEF3" w14:textId="77777777" w:rsidR="00C24723" w:rsidRPr="00C24723" w:rsidRDefault="00C24723" w:rsidP="00C24723">
      <w:pPr>
        <w:spacing w:line="480" w:lineRule="auto"/>
        <w:rPr>
          <w:rFonts w:asciiTheme="majorHAnsi" w:hAnsiTheme="majorHAnsi" w:cstheme="majorHAnsi"/>
          <w:sz w:val="22"/>
          <w:szCs w:val="22"/>
        </w:rPr>
      </w:pPr>
    </w:p>
    <w:p w14:paraId="5BFC0202" w14:textId="77777777" w:rsidR="00C24723" w:rsidRPr="00AB12B5" w:rsidRDefault="00C24723" w:rsidP="00C24723">
      <w:pPr>
        <w:pStyle w:val="ListParagraph"/>
        <w:numPr>
          <w:ilvl w:val="0"/>
          <w:numId w:val="6"/>
        </w:numPr>
        <w:spacing w:line="480" w:lineRule="auto"/>
        <w:rPr>
          <w:rFonts w:ascii="Calibri" w:hAnsi="Calibri" w:cstheme="majorHAnsi"/>
          <w:sz w:val="22"/>
          <w:szCs w:val="22"/>
        </w:rPr>
      </w:pPr>
      <w:r w:rsidRPr="00A66E36">
        <w:rPr>
          <w:rFonts w:ascii="Calibri" w:hAnsi="Calibri" w:cstheme="majorHAnsi"/>
          <w:sz w:val="22"/>
          <w:szCs w:val="22"/>
        </w:rPr>
        <w:t>Coordinated Care Management for Patients with Mental Health and/or Add</w:t>
      </w:r>
      <w:r>
        <w:rPr>
          <w:rFonts w:ascii="Calibri" w:hAnsi="Calibri" w:cstheme="majorHAnsi"/>
          <w:sz w:val="22"/>
          <w:szCs w:val="22"/>
        </w:rPr>
        <w:t>ictions Conditions – Health Quality Ontario</w:t>
      </w:r>
      <w:r w:rsidRPr="002970FD">
        <w:rPr>
          <w:rFonts w:ascii="Calibri" w:hAnsi="Calibri" w:cstheme="majorHAnsi"/>
          <w:sz w:val="22"/>
          <w:szCs w:val="22"/>
        </w:rPr>
        <w:t xml:space="preserve">. Toronto: Health Quality Ontario; 2020. Available: </w:t>
      </w:r>
      <w:hyperlink r:id="rId10" w:history="1">
        <w:r w:rsidRPr="002970FD">
          <w:rPr>
            <w:rStyle w:val="Hyperlink"/>
            <w:rFonts w:ascii="Calibri" w:eastAsia="Times New Roman" w:hAnsi="Calibri" w:cs="Arial"/>
            <w:sz w:val="22"/>
            <w:szCs w:val="22"/>
          </w:rPr>
          <w:t>https://www.hqontario.ca/Quality-Improvement/Quality-Improvement-in-Action/Health-Links/Health-Links-Resources/Coordinated-Care-Management-for-Patients-with-Mental-Health-and-or-Addictions-Conditions</w:t>
        </w:r>
      </w:hyperlink>
      <w:r w:rsidRPr="002970FD">
        <w:rPr>
          <w:rFonts w:ascii="Calibri" w:eastAsia="Times New Roman" w:hAnsi="Calibri" w:cs="Arial"/>
          <w:color w:val="222222"/>
          <w:sz w:val="22"/>
          <w:szCs w:val="22"/>
          <w:shd w:val="clear" w:color="auto" w:fill="FFFFFF"/>
        </w:rPr>
        <w:t xml:space="preserve"> (accessed 2020 May 8).</w:t>
      </w:r>
    </w:p>
    <w:p w14:paraId="6DE5DCF7" w14:textId="77777777" w:rsidR="00C24723" w:rsidRPr="00AB12B5" w:rsidRDefault="00C24723" w:rsidP="00C24723">
      <w:pPr>
        <w:spacing w:line="480" w:lineRule="auto"/>
        <w:rPr>
          <w:rFonts w:ascii="Calibri" w:eastAsia="Times New Roman" w:hAnsi="Calibri" w:cs="Times New Roman"/>
          <w:sz w:val="22"/>
          <w:szCs w:val="20"/>
        </w:rPr>
      </w:pPr>
    </w:p>
    <w:p w14:paraId="617B696F" w14:textId="77777777" w:rsidR="00C24723" w:rsidRPr="00222EBC" w:rsidRDefault="00C24723" w:rsidP="00C24723">
      <w:pPr>
        <w:pStyle w:val="ListParagraph"/>
        <w:spacing w:line="480" w:lineRule="auto"/>
        <w:rPr>
          <w:rFonts w:asciiTheme="majorHAnsi" w:hAnsiTheme="majorHAnsi" w:cstheme="majorHAnsi"/>
          <w:sz w:val="22"/>
          <w:szCs w:val="22"/>
        </w:rPr>
      </w:pPr>
    </w:p>
    <w:p w14:paraId="30EC18E4" w14:textId="77777777" w:rsidR="00222EBC" w:rsidRDefault="00222EBC" w:rsidP="004B1B31">
      <w:pPr>
        <w:spacing w:line="480" w:lineRule="auto"/>
        <w:ind w:left="720"/>
        <w:rPr>
          <w:rFonts w:asciiTheme="majorHAnsi" w:hAnsiTheme="majorHAnsi" w:cstheme="majorHAnsi"/>
          <w:sz w:val="22"/>
          <w:szCs w:val="22"/>
        </w:rPr>
      </w:pPr>
    </w:p>
    <w:p w14:paraId="67FB8A3E" w14:textId="77777777" w:rsidR="00BD53E8" w:rsidRPr="00E03190" w:rsidRDefault="00BD53E8" w:rsidP="004B1B31">
      <w:pPr>
        <w:spacing w:line="480" w:lineRule="auto"/>
        <w:ind w:left="360"/>
        <w:rPr>
          <w:rFonts w:asciiTheme="majorHAnsi" w:hAnsiTheme="majorHAnsi" w:cstheme="majorHAnsi"/>
          <w:sz w:val="22"/>
          <w:szCs w:val="22"/>
        </w:rPr>
      </w:pPr>
    </w:p>
    <w:p w14:paraId="03C0F152" w14:textId="77777777" w:rsidR="00976392" w:rsidRDefault="00976392">
      <w:pPr>
        <w:rPr>
          <w:rFonts w:ascii="Calibri" w:eastAsia="Calibri" w:hAnsi="Calibri" w:cs="Times New Roman"/>
          <w:b/>
          <w:sz w:val="22"/>
          <w:szCs w:val="22"/>
        </w:rPr>
      </w:pPr>
      <w:r>
        <w:rPr>
          <w:rFonts w:ascii="Calibri" w:eastAsia="Calibri" w:hAnsi="Calibri" w:cs="Times New Roman"/>
          <w:b/>
          <w:sz w:val="22"/>
          <w:szCs w:val="22"/>
        </w:rPr>
        <w:br w:type="page"/>
      </w:r>
    </w:p>
    <w:p w14:paraId="4E2F8AD7" w14:textId="380DC810" w:rsidR="00976392" w:rsidRPr="002D1558" w:rsidRDefault="00976392" w:rsidP="00976392">
      <w:pPr>
        <w:spacing w:after="160" w:line="480" w:lineRule="auto"/>
        <w:rPr>
          <w:rFonts w:ascii="Calibri" w:eastAsia="Calibri" w:hAnsi="Calibri" w:cs="Times New Roman"/>
          <w:sz w:val="22"/>
          <w:szCs w:val="22"/>
        </w:rPr>
      </w:pPr>
      <w:r w:rsidRPr="002D1558">
        <w:rPr>
          <w:rFonts w:ascii="Calibri" w:eastAsia="Calibri" w:hAnsi="Calibri" w:cs="Times New Roman"/>
          <w:b/>
          <w:sz w:val="22"/>
          <w:szCs w:val="22"/>
        </w:rPr>
        <w:lastRenderedPageBreak/>
        <w:t>Acknowledgements:</w:t>
      </w:r>
      <w:r w:rsidRPr="002D1558">
        <w:rPr>
          <w:rFonts w:ascii="Calibri" w:eastAsia="Calibri" w:hAnsi="Calibri" w:cs="Times New Roman"/>
          <w:sz w:val="22"/>
          <w:szCs w:val="22"/>
        </w:rPr>
        <w:t xml:space="preserve"> This research was </w:t>
      </w:r>
      <w:r>
        <w:rPr>
          <w:rFonts w:ascii="Calibri" w:eastAsia="Calibri" w:hAnsi="Calibri" w:cs="Times New Roman"/>
          <w:sz w:val="22"/>
          <w:szCs w:val="22"/>
        </w:rPr>
        <w:t xml:space="preserve">funded by the Canadian Institutes of Health Research (CIHR) and </w:t>
      </w:r>
      <w:r w:rsidRPr="002D1558">
        <w:rPr>
          <w:rFonts w:ascii="Calibri" w:eastAsia="Calibri" w:hAnsi="Calibri" w:cs="Times New Roman"/>
          <w:sz w:val="22"/>
          <w:szCs w:val="22"/>
        </w:rPr>
        <w:t xml:space="preserve">supported by ICES, which is funded by an annual grant from the Ontario </w:t>
      </w:r>
      <w:r>
        <w:rPr>
          <w:rFonts w:ascii="Calibri" w:eastAsia="Calibri" w:hAnsi="Calibri" w:cs="Times New Roman"/>
          <w:sz w:val="22"/>
          <w:szCs w:val="22"/>
        </w:rPr>
        <w:t>Ministry of Health and Long-term Care (</w:t>
      </w:r>
      <w:r w:rsidRPr="002D1558">
        <w:rPr>
          <w:rFonts w:ascii="Calibri" w:eastAsia="Calibri" w:hAnsi="Calibri" w:cs="Times New Roman"/>
          <w:sz w:val="22"/>
          <w:szCs w:val="22"/>
        </w:rPr>
        <w:t>MOHLTC</w:t>
      </w:r>
      <w:r>
        <w:rPr>
          <w:rFonts w:ascii="Calibri" w:eastAsia="Calibri" w:hAnsi="Calibri" w:cs="Times New Roman"/>
          <w:sz w:val="22"/>
          <w:szCs w:val="22"/>
        </w:rPr>
        <w:t>)</w:t>
      </w:r>
      <w:r w:rsidRPr="002D1558">
        <w:rPr>
          <w:rFonts w:ascii="Calibri" w:eastAsia="Calibri" w:hAnsi="Calibri" w:cs="Times New Roman"/>
          <w:sz w:val="22"/>
          <w:szCs w:val="22"/>
        </w:rPr>
        <w:t>. The opinions, results and conclusions reported in this paper are those of the authors and are independent from funding sources. No endorsement by</w:t>
      </w:r>
      <w:r>
        <w:rPr>
          <w:rFonts w:ascii="Calibri" w:eastAsia="Calibri" w:hAnsi="Calibri" w:cs="Times New Roman"/>
          <w:sz w:val="22"/>
          <w:szCs w:val="22"/>
        </w:rPr>
        <w:t xml:space="preserve"> CIHR,</w:t>
      </w:r>
      <w:r w:rsidRPr="002D1558">
        <w:rPr>
          <w:rFonts w:ascii="Calibri" w:eastAsia="Calibri" w:hAnsi="Calibri" w:cs="Times New Roman"/>
          <w:sz w:val="22"/>
          <w:szCs w:val="22"/>
        </w:rPr>
        <w:t xml:space="preserve"> ICES or the Ontario MOHLTC is intended or should be inferred. Parts of this material are based on data and information compiled and provided by the Canadian Institute for Health Information (CIHI). However, the analyses, conclusions, opinions and statements expressed herein are those of the authors, and not necessarily those of CIHI.</w:t>
      </w:r>
    </w:p>
    <w:p w14:paraId="10EE28DC" w14:textId="77777777" w:rsidR="00976392" w:rsidRPr="002D1558" w:rsidRDefault="00976392" w:rsidP="00976392">
      <w:pPr>
        <w:spacing w:after="160" w:line="480" w:lineRule="auto"/>
        <w:rPr>
          <w:rFonts w:ascii="Calibri" w:eastAsia="Calibri" w:hAnsi="Calibri" w:cs="Times New Roman"/>
          <w:sz w:val="22"/>
          <w:szCs w:val="22"/>
        </w:rPr>
      </w:pPr>
      <w:r w:rsidRPr="002D1558">
        <w:rPr>
          <w:rFonts w:ascii="Calibri" w:eastAsia="Calibri" w:hAnsi="Calibri" w:cs="Times New Roman"/>
          <w:b/>
          <w:sz w:val="22"/>
          <w:szCs w:val="22"/>
        </w:rPr>
        <w:t>Co</w:t>
      </w:r>
      <w:r>
        <w:rPr>
          <w:rFonts w:ascii="Calibri" w:eastAsia="Calibri" w:hAnsi="Calibri" w:cs="Times New Roman"/>
          <w:b/>
          <w:sz w:val="22"/>
          <w:szCs w:val="22"/>
        </w:rPr>
        <w:t>mpeting i</w:t>
      </w:r>
      <w:r w:rsidRPr="002D1558">
        <w:rPr>
          <w:rFonts w:ascii="Calibri" w:eastAsia="Calibri" w:hAnsi="Calibri" w:cs="Times New Roman"/>
          <w:b/>
          <w:sz w:val="22"/>
          <w:szCs w:val="22"/>
        </w:rPr>
        <w:t>nterest</w:t>
      </w:r>
      <w:r>
        <w:rPr>
          <w:rFonts w:ascii="Calibri" w:eastAsia="Calibri" w:hAnsi="Calibri" w:cs="Times New Roman"/>
          <w:b/>
          <w:sz w:val="22"/>
          <w:szCs w:val="22"/>
        </w:rPr>
        <w:t>s</w:t>
      </w:r>
      <w:r w:rsidRPr="002D1558">
        <w:rPr>
          <w:rFonts w:ascii="Calibri" w:eastAsia="Calibri" w:hAnsi="Calibri" w:cs="Times New Roman"/>
          <w:b/>
          <w:sz w:val="22"/>
          <w:szCs w:val="22"/>
        </w:rPr>
        <w:t>:</w:t>
      </w:r>
      <w:r w:rsidRPr="002D1558">
        <w:rPr>
          <w:rFonts w:ascii="Calibri" w:eastAsia="Calibri" w:hAnsi="Calibri" w:cs="Times New Roman"/>
          <w:sz w:val="22"/>
          <w:szCs w:val="22"/>
        </w:rPr>
        <w:t xml:space="preserve"> None to declare. </w:t>
      </w:r>
    </w:p>
    <w:p w14:paraId="1BA22FBB" w14:textId="77777777" w:rsidR="00976392" w:rsidRPr="002D1558" w:rsidRDefault="00976392" w:rsidP="00976392">
      <w:pPr>
        <w:spacing w:after="160" w:line="480" w:lineRule="auto"/>
        <w:rPr>
          <w:rFonts w:ascii="Calibri" w:eastAsia="Calibri" w:hAnsi="Calibri" w:cs="Times New Roman"/>
          <w:sz w:val="22"/>
          <w:szCs w:val="22"/>
        </w:rPr>
      </w:pPr>
      <w:r w:rsidRPr="002D1558">
        <w:rPr>
          <w:rFonts w:ascii="Calibri" w:eastAsia="Calibri" w:hAnsi="Calibri" w:cs="Times New Roman"/>
          <w:b/>
          <w:sz w:val="22"/>
          <w:szCs w:val="22"/>
        </w:rPr>
        <w:t xml:space="preserve">Data </w:t>
      </w:r>
      <w:r>
        <w:rPr>
          <w:rFonts w:ascii="Calibri" w:eastAsia="Calibri" w:hAnsi="Calibri" w:cs="Times New Roman"/>
          <w:b/>
          <w:sz w:val="22"/>
          <w:szCs w:val="22"/>
        </w:rPr>
        <w:t>sharing</w:t>
      </w:r>
      <w:r w:rsidRPr="002D1558">
        <w:rPr>
          <w:rFonts w:ascii="Calibri" w:eastAsia="Calibri" w:hAnsi="Calibri" w:cs="Times New Roman"/>
          <w:b/>
          <w:sz w:val="22"/>
          <w:szCs w:val="22"/>
        </w:rPr>
        <w:t>:</w:t>
      </w:r>
      <w:r w:rsidRPr="002D1558">
        <w:rPr>
          <w:rFonts w:ascii="Calibri" w:eastAsia="Calibri" w:hAnsi="Calibri" w:cs="Times New Roman"/>
          <w:sz w:val="22"/>
          <w:szCs w:val="22"/>
        </w:rPr>
        <w:t xml:space="preserve"> The data from this study is held securely in coded form at ICES. While data sharing agreements prohibit ICES from making the data publicly available, access may be granted to those who meet pre-specified criteria for confidential access, available at www.ices.on.ca/DAS.</w:t>
      </w:r>
    </w:p>
    <w:p w14:paraId="41DF301A" w14:textId="5EE53D1D" w:rsidR="00992C68" w:rsidRDefault="00992C68" w:rsidP="004B1B31">
      <w:pPr>
        <w:spacing w:line="480" w:lineRule="auto"/>
        <w:rPr>
          <w:rFonts w:asciiTheme="majorHAnsi" w:hAnsiTheme="majorHAnsi" w:cstheme="majorHAnsi"/>
          <w:sz w:val="22"/>
          <w:szCs w:val="22"/>
        </w:rPr>
      </w:pPr>
    </w:p>
    <w:p w14:paraId="08DB0C62" w14:textId="5676BA0E" w:rsidR="007472AA" w:rsidRPr="00700402" w:rsidRDefault="007472AA" w:rsidP="004B1B31">
      <w:pPr>
        <w:spacing w:line="480" w:lineRule="auto"/>
        <w:rPr>
          <w:rFonts w:asciiTheme="majorHAnsi" w:hAnsiTheme="majorHAnsi" w:cstheme="majorHAnsi"/>
          <w:sz w:val="22"/>
          <w:szCs w:val="22"/>
        </w:rPr>
      </w:pPr>
    </w:p>
    <w:p w14:paraId="1B665B4D" w14:textId="321C3A7F" w:rsidR="00700402" w:rsidRDefault="00700402" w:rsidP="004B1B31">
      <w:pPr>
        <w:spacing w:line="480" w:lineRule="auto"/>
        <w:rPr>
          <w:rFonts w:asciiTheme="majorHAnsi" w:hAnsiTheme="majorHAnsi" w:cstheme="majorHAnsi"/>
          <w:sz w:val="22"/>
          <w:szCs w:val="22"/>
        </w:rPr>
      </w:pPr>
    </w:p>
    <w:p w14:paraId="4DB171D5" w14:textId="337F3A4A" w:rsidR="002D1558" w:rsidRDefault="002D1558" w:rsidP="004B1B31">
      <w:pPr>
        <w:spacing w:line="480" w:lineRule="auto"/>
        <w:rPr>
          <w:rFonts w:asciiTheme="majorHAnsi" w:hAnsiTheme="majorHAnsi" w:cstheme="majorHAnsi"/>
          <w:sz w:val="22"/>
          <w:szCs w:val="22"/>
        </w:rPr>
      </w:pPr>
    </w:p>
    <w:sectPr w:rsidR="002D1558" w:rsidSect="006F6E5E">
      <w:footerReference w:type="even" r:id="rId11"/>
      <w:footerReference w:type="default" r:id="rId12"/>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A7C32A" w14:textId="77777777" w:rsidR="00F45CF5" w:rsidRDefault="00F45CF5" w:rsidP="009F177B">
      <w:r>
        <w:separator/>
      </w:r>
    </w:p>
  </w:endnote>
  <w:endnote w:type="continuationSeparator" w:id="0">
    <w:p w14:paraId="442FEAEC" w14:textId="77777777" w:rsidR="00F45CF5" w:rsidRDefault="00F45CF5" w:rsidP="009F1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Roman"/>
    <w:panose1 w:val="02020603050405020304"/>
    <w:charset w:val="4D"/>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29F2E" w14:textId="77777777" w:rsidR="00F45CF5" w:rsidRDefault="00F45CF5" w:rsidP="000911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9BD4F94" w14:textId="77777777" w:rsidR="00F45CF5" w:rsidRDefault="00F45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CA4E6B" w14:textId="3A2B72B6" w:rsidR="00F45CF5" w:rsidRPr="001D5B17" w:rsidRDefault="00F45CF5" w:rsidP="00091164">
    <w:pPr>
      <w:pStyle w:val="Footer"/>
      <w:framePr w:wrap="around" w:vAnchor="text" w:hAnchor="margin" w:xAlign="center" w:y="1"/>
      <w:rPr>
        <w:rStyle w:val="PageNumber"/>
        <w:rFonts w:asciiTheme="majorHAnsi" w:hAnsiTheme="majorHAnsi" w:cstheme="majorHAnsi"/>
        <w:sz w:val="22"/>
        <w:szCs w:val="22"/>
      </w:rPr>
    </w:pPr>
    <w:r w:rsidRPr="001D5B17">
      <w:rPr>
        <w:rStyle w:val="PageNumber"/>
        <w:rFonts w:asciiTheme="majorHAnsi" w:hAnsiTheme="majorHAnsi" w:cstheme="majorHAnsi"/>
        <w:sz w:val="22"/>
        <w:szCs w:val="22"/>
      </w:rPr>
      <w:fldChar w:fldCharType="begin"/>
    </w:r>
    <w:r w:rsidRPr="001D5B17">
      <w:rPr>
        <w:rStyle w:val="PageNumber"/>
        <w:rFonts w:asciiTheme="majorHAnsi" w:hAnsiTheme="majorHAnsi" w:cstheme="majorHAnsi"/>
        <w:sz w:val="22"/>
        <w:szCs w:val="22"/>
      </w:rPr>
      <w:instrText xml:space="preserve">PAGE  </w:instrText>
    </w:r>
    <w:r w:rsidRPr="001D5B17">
      <w:rPr>
        <w:rStyle w:val="PageNumber"/>
        <w:rFonts w:asciiTheme="majorHAnsi" w:hAnsiTheme="majorHAnsi" w:cstheme="majorHAnsi"/>
        <w:sz w:val="22"/>
        <w:szCs w:val="22"/>
      </w:rPr>
      <w:fldChar w:fldCharType="separate"/>
    </w:r>
    <w:r w:rsidR="00922149">
      <w:rPr>
        <w:rStyle w:val="PageNumber"/>
        <w:rFonts w:asciiTheme="majorHAnsi" w:hAnsiTheme="majorHAnsi" w:cstheme="majorHAnsi"/>
        <w:noProof/>
        <w:sz w:val="22"/>
        <w:szCs w:val="22"/>
      </w:rPr>
      <w:t>1</w:t>
    </w:r>
    <w:r w:rsidRPr="001D5B17">
      <w:rPr>
        <w:rStyle w:val="PageNumber"/>
        <w:rFonts w:asciiTheme="majorHAnsi" w:hAnsiTheme="majorHAnsi" w:cstheme="majorHAnsi"/>
        <w:sz w:val="22"/>
        <w:szCs w:val="22"/>
      </w:rPr>
      <w:fldChar w:fldCharType="end"/>
    </w:r>
  </w:p>
  <w:p w14:paraId="5F571B97" w14:textId="77777777" w:rsidR="00F45CF5" w:rsidRDefault="00F45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2B39F" w14:textId="77777777" w:rsidR="00F45CF5" w:rsidRDefault="00F45CF5" w:rsidP="009F177B">
      <w:r>
        <w:separator/>
      </w:r>
    </w:p>
  </w:footnote>
  <w:footnote w:type="continuationSeparator" w:id="0">
    <w:p w14:paraId="7FAD50BE" w14:textId="77777777" w:rsidR="00F45CF5" w:rsidRDefault="00F45CF5" w:rsidP="009F1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D1976"/>
    <w:multiLevelType w:val="hybridMultilevel"/>
    <w:tmpl w:val="DA34AD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45422DE6"/>
    <w:multiLevelType w:val="hybridMultilevel"/>
    <w:tmpl w:val="0BF4F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EA5406"/>
    <w:multiLevelType w:val="hybridMultilevel"/>
    <w:tmpl w:val="6F3481A4"/>
    <w:lvl w:ilvl="0" w:tplc="10445358">
      <w:start w:val="1"/>
      <w:numFmt w:val="bullet"/>
      <w:lvlText w:val=""/>
      <w:lvlJc w:val="left"/>
      <w:pPr>
        <w:tabs>
          <w:tab w:val="num" w:pos="720"/>
        </w:tabs>
        <w:ind w:left="720" w:hanging="360"/>
      </w:pPr>
      <w:rPr>
        <w:rFonts w:ascii="Wingdings" w:hAnsi="Wingdings" w:hint="default"/>
      </w:rPr>
    </w:lvl>
    <w:lvl w:ilvl="1" w:tplc="AB4E3EBA">
      <w:numFmt w:val="bullet"/>
      <w:lvlText w:val="•"/>
      <w:lvlJc w:val="left"/>
      <w:pPr>
        <w:tabs>
          <w:tab w:val="num" w:pos="1440"/>
        </w:tabs>
        <w:ind w:left="1440" w:hanging="360"/>
      </w:pPr>
      <w:rPr>
        <w:rFonts w:ascii="Times" w:hAnsi="Times" w:hint="default"/>
      </w:rPr>
    </w:lvl>
    <w:lvl w:ilvl="2" w:tplc="D312F0E8" w:tentative="1">
      <w:start w:val="1"/>
      <w:numFmt w:val="bullet"/>
      <w:lvlText w:val=""/>
      <w:lvlJc w:val="left"/>
      <w:pPr>
        <w:tabs>
          <w:tab w:val="num" w:pos="2160"/>
        </w:tabs>
        <w:ind w:left="2160" w:hanging="360"/>
      </w:pPr>
      <w:rPr>
        <w:rFonts w:ascii="Wingdings" w:hAnsi="Wingdings" w:hint="default"/>
      </w:rPr>
    </w:lvl>
    <w:lvl w:ilvl="3" w:tplc="81FC402A" w:tentative="1">
      <w:start w:val="1"/>
      <w:numFmt w:val="bullet"/>
      <w:lvlText w:val=""/>
      <w:lvlJc w:val="left"/>
      <w:pPr>
        <w:tabs>
          <w:tab w:val="num" w:pos="2880"/>
        </w:tabs>
        <w:ind w:left="2880" w:hanging="360"/>
      </w:pPr>
      <w:rPr>
        <w:rFonts w:ascii="Wingdings" w:hAnsi="Wingdings" w:hint="default"/>
      </w:rPr>
    </w:lvl>
    <w:lvl w:ilvl="4" w:tplc="19E48F22" w:tentative="1">
      <w:start w:val="1"/>
      <w:numFmt w:val="bullet"/>
      <w:lvlText w:val=""/>
      <w:lvlJc w:val="left"/>
      <w:pPr>
        <w:tabs>
          <w:tab w:val="num" w:pos="3600"/>
        </w:tabs>
        <w:ind w:left="3600" w:hanging="360"/>
      </w:pPr>
      <w:rPr>
        <w:rFonts w:ascii="Wingdings" w:hAnsi="Wingdings" w:hint="default"/>
      </w:rPr>
    </w:lvl>
    <w:lvl w:ilvl="5" w:tplc="7688CA7E" w:tentative="1">
      <w:start w:val="1"/>
      <w:numFmt w:val="bullet"/>
      <w:lvlText w:val=""/>
      <w:lvlJc w:val="left"/>
      <w:pPr>
        <w:tabs>
          <w:tab w:val="num" w:pos="4320"/>
        </w:tabs>
        <w:ind w:left="4320" w:hanging="360"/>
      </w:pPr>
      <w:rPr>
        <w:rFonts w:ascii="Wingdings" w:hAnsi="Wingdings" w:hint="default"/>
      </w:rPr>
    </w:lvl>
    <w:lvl w:ilvl="6" w:tplc="F982B55E" w:tentative="1">
      <w:start w:val="1"/>
      <w:numFmt w:val="bullet"/>
      <w:lvlText w:val=""/>
      <w:lvlJc w:val="left"/>
      <w:pPr>
        <w:tabs>
          <w:tab w:val="num" w:pos="5040"/>
        </w:tabs>
        <w:ind w:left="5040" w:hanging="360"/>
      </w:pPr>
      <w:rPr>
        <w:rFonts w:ascii="Wingdings" w:hAnsi="Wingdings" w:hint="default"/>
      </w:rPr>
    </w:lvl>
    <w:lvl w:ilvl="7" w:tplc="54F24AE2" w:tentative="1">
      <w:start w:val="1"/>
      <w:numFmt w:val="bullet"/>
      <w:lvlText w:val=""/>
      <w:lvlJc w:val="left"/>
      <w:pPr>
        <w:tabs>
          <w:tab w:val="num" w:pos="5760"/>
        </w:tabs>
        <w:ind w:left="5760" w:hanging="360"/>
      </w:pPr>
      <w:rPr>
        <w:rFonts w:ascii="Wingdings" w:hAnsi="Wingdings" w:hint="default"/>
      </w:rPr>
    </w:lvl>
    <w:lvl w:ilvl="8" w:tplc="505087A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DDD5F20"/>
    <w:multiLevelType w:val="hybridMultilevel"/>
    <w:tmpl w:val="E974B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3158AD"/>
    <w:multiLevelType w:val="hybridMultilevel"/>
    <w:tmpl w:val="42644E2A"/>
    <w:lvl w:ilvl="0" w:tplc="04090017">
      <w:start w:val="1"/>
      <w:numFmt w:val="lowerLetter"/>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97C1523"/>
    <w:multiLevelType w:val="hybridMultilevel"/>
    <w:tmpl w:val="1D0A8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307A0F"/>
    <w:multiLevelType w:val="hybridMultilevel"/>
    <w:tmpl w:val="EA845662"/>
    <w:lvl w:ilvl="0" w:tplc="86141560">
      <w:start w:val="1"/>
      <w:numFmt w:val="bullet"/>
      <w:lvlText w:val=""/>
      <w:lvlJc w:val="left"/>
      <w:pPr>
        <w:tabs>
          <w:tab w:val="num" w:pos="720"/>
        </w:tabs>
        <w:ind w:left="720" w:hanging="360"/>
      </w:pPr>
      <w:rPr>
        <w:rFonts w:ascii="Wingdings" w:hAnsi="Wingdings" w:hint="default"/>
      </w:rPr>
    </w:lvl>
    <w:lvl w:ilvl="1" w:tplc="73E21B94">
      <w:numFmt w:val="bullet"/>
      <w:lvlText w:val="•"/>
      <w:lvlJc w:val="left"/>
      <w:pPr>
        <w:tabs>
          <w:tab w:val="num" w:pos="1440"/>
        </w:tabs>
        <w:ind w:left="1440" w:hanging="360"/>
      </w:pPr>
      <w:rPr>
        <w:rFonts w:ascii="Times" w:hAnsi="Times" w:hint="default"/>
      </w:rPr>
    </w:lvl>
    <w:lvl w:ilvl="2" w:tplc="731A4974" w:tentative="1">
      <w:start w:val="1"/>
      <w:numFmt w:val="bullet"/>
      <w:lvlText w:val=""/>
      <w:lvlJc w:val="left"/>
      <w:pPr>
        <w:tabs>
          <w:tab w:val="num" w:pos="2160"/>
        </w:tabs>
        <w:ind w:left="2160" w:hanging="360"/>
      </w:pPr>
      <w:rPr>
        <w:rFonts w:ascii="Wingdings" w:hAnsi="Wingdings" w:hint="default"/>
      </w:rPr>
    </w:lvl>
    <w:lvl w:ilvl="3" w:tplc="503699A0" w:tentative="1">
      <w:start w:val="1"/>
      <w:numFmt w:val="bullet"/>
      <w:lvlText w:val=""/>
      <w:lvlJc w:val="left"/>
      <w:pPr>
        <w:tabs>
          <w:tab w:val="num" w:pos="2880"/>
        </w:tabs>
        <w:ind w:left="2880" w:hanging="360"/>
      </w:pPr>
      <w:rPr>
        <w:rFonts w:ascii="Wingdings" w:hAnsi="Wingdings" w:hint="default"/>
      </w:rPr>
    </w:lvl>
    <w:lvl w:ilvl="4" w:tplc="1B48FECE" w:tentative="1">
      <w:start w:val="1"/>
      <w:numFmt w:val="bullet"/>
      <w:lvlText w:val=""/>
      <w:lvlJc w:val="left"/>
      <w:pPr>
        <w:tabs>
          <w:tab w:val="num" w:pos="3600"/>
        </w:tabs>
        <w:ind w:left="3600" w:hanging="360"/>
      </w:pPr>
      <w:rPr>
        <w:rFonts w:ascii="Wingdings" w:hAnsi="Wingdings" w:hint="default"/>
      </w:rPr>
    </w:lvl>
    <w:lvl w:ilvl="5" w:tplc="DDB85618" w:tentative="1">
      <w:start w:val="1"/>
      <w:numFmt w:val="bullet"/>
      <w:lvlText w:val=""/>
      <w:lvlJc w:val="left"/>
      <w:pPr>
        <w:tabs>
          <w:tab w:val="num" w:pos="4320"/>
        </w:tabs>
        <w:ind w:left="4320" w:hanging="360"/>
      </w:pPr>
      <w:rPr>
        <w:rFonts w:ascii="Wingdings" w:hAnsi="Wingdings" w:hint="default"/>
      </w:rPr>
    </w:lvl>
    <w:lvl w:ilvl="6" w:tplc="401A9CEE" w:tentative="1">
      <w:start w:val="1"/>
      <w:numFmt w:val="bullet"/>
      <w:lvlText w:val=""/>
      <w:lvlJc w:val="left"/>
      <w:pPr>
        <w:tabs>
          <w:tab w:val="num" w:pos="5040"/>
        </w:tabs>
        <w:ind w:left="5040" w:hanging="360"/>
      </w:pPr>
      <w:rPr>
        <w:rFonts w:ascii="Wingdings" w:hAnsi="Wingdings" w:hint="default"/>
      </w:rPr>
    </w:lvl>
    <w:lvl w:ilvl="7" w:tplc="FC76ECEA" w:tentative="1">
      <w:start w:val="1"/>
      <w:numFmt w:val="bullet"/>
      <w:lvlText w:val=""/>
      <w:lvlJc w:val="left"/>
      <w:pPr>
        <w:tabs>
          <w:tab w:val="num" w:pos="5760"/>
        </w:tabs>
        <w:ind w:left="5760" w:hanging="360"/>
      </w:pPr>
      <w:rPr>
        <w:rFonts w:ascii="Wingdings" w:hAnsi="Wingdings" w:hint="default"/>
      </w:rPr>
    </w:lvl>
    <w:lvl w:ilvl="8" w:tplc="9460D44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6"/>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CA" w:vendorID="64" w:dllVersion="6" w:nlCheck="1" w:checkStyle="1"/>
  <w:activeWritingStyle w:appName="MSWord" w:lang="en-US" w:vendorID="64" w:dllVersion="6" w:nlCheck="1" w:checkStyle="1"/>
  <w:activeWritingStyle w:appName="MSWord" w:lang="en-CA"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activeWritingStyle w:appName="MSWord" w:lang="en-CA" w:vendorID="64" w:dllVersion="131078" w:nlCheck="1" w:checkStyle="1"/>
  <w:activeWritingStyle w:appName="MSWord" w:lang="fr-CA" w:vendorID="64" w:dllVersion="131078" w:nlCheck="1" w:checkStyle="0"/>
  <w:activeWritingStyle w:appName="MSWord" w:lang="fr-FR" w:vendorID="64" w:dllVersion="131078"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D1C"/>
    <w:rsid w:val="00002041"/>
    <w:rsid w:val="00004103"/>
    <w:rsid w:val="00007393"/>
    <w:rsid w:val="00010F79"/>
    <w:rsid w:val="000147A8"/>
    <w:rsid w:val="00041631"/>
    <w:rsid w:val="0006307A"/>
    <w:rsid w:val="000706B7"/>
    <w:rsid w:val="00072978"/>
    <w:rsid w:val="000747B2"/>
    <w:rsid w:val="0007591A"/>
    <w:rsid w:val="000767A4"/>
    <w:rsid w:val="00082B9E"/>
    <w:rsid w:val="00090C57"/>
    <w:rsid w:val="00091164"/>
    <w:rsid w:val="00092FDF"/>
    <w:rsid w:val="000A5E25"/>
    <w:rsid w:val="000A6D98"/>
    <w:rsid w:val="000A70A8"/>
    <w:rsid w:val="000A7C14"/>
    <w:rsid w:val="000B38C4"/>
    <w:rsid w:val="000D1F58"/>
    <w:rsid w:val="000D2027"/>
    <w:rsid w:val="000D66D3"/>
    <w:rsid w:val="000E7062"/>
    <w:rsid w:val="000F196A"/>
    <w:rsid w:val="000F46D6"/>
    <w:rsid w:val="000F5186"/>
    <w:rsid w:val="00102C01"/>
    <w:rsid w:val="00111A7C"/>
    <w:rsid w:val="00111B0A"/>
    <w:rsid w:val="001142AC"/>
    <w:rsid w:val="001144F4"/>
    <w:rsid w:val="001145F4"/>
    <w:rsid w:val="00131610"/>
    <w:rsid w:val="00132933"/>
    <w:rsid w:val="00132D01"/>
    <w:rsid w:val="00133426"/>
    <w:rsid w:val="00143A48"/>
    <w:rsid w:val="001451F3"/>
    <w:rsid w:val="00145D6A"/>
    <w:rsid w:val="00146FB1"/>
    <w:rsid w:val="00150349"/>
    <w:rsid w:val="00154261"/>
    <w:rsid w:val="00161168"/>
    <w:rsid w:val="001642D8"/>
    <w:rsid w:val="00170363"/>
    <w:rsid w:val="0017256C"/>
    <w:rsid w:val="00173026"/>
    <w:rsid w:val="00177538"/>
    <w:rsid w:val="00186544"/>
    <w:rsid w:val="0019031E"/>
    <w:rsid w:val="00193B3A"/>
    <w:rsid w:val="0019463D"/>
    <w:rsid w:val="001A228C"/>
    <w:rsid w:val="001A5294"/>
    <w:rsid w:val="001A7929"/>
    <w:rsid w:val="001B1858"/>
    <w:rsid w:val="001C20FC"/>
    <w:rsid w:val="001C7C5B"/>
    <w:rsid w:val="001D1B5D"/>
    <w:rsid w:val="001D2420"/>
    <w:rsid w:val="001D5B17"/>
    <w:rsid w:val="001E372C"/>
    <w:rsid w:val="001E3A83"/>
    <w:rsid w:val="001E7EAE"/>
    <w:rsid w:val="00204587"/>
    <w:rsid w:val="00210823"/>
    <w:rsid w:val="00211CF5"/>
    <w:rsid w:val="00213A3E"/>
    <w:rsid w:val="00220FB9"/>
    <w:rsid w:val="002210EA"/>
    <w:rsid w:val="0022280A"/>
    <w:rsid w:val="00222EBC"/>
    <w:rsid w:val="00231517"/>
    <w:rsid w:val="00235ECB"/>
    <w:rsid w:val="00237B7B"/>
    <w:rsid w:val="00252323"/>
    <w:rsid w:val="002563A6"/>
    <w:rsid w:val="002573F5"/>
    <w:rsid w:val="00260494"/>
    <w:rsid w:val="00262499"/>
    <w:rsid w:val="00263CD1"/>
    <w:rsid w:val="00272FF8"/>
    <w:rsid w:val="002763D4"/>
    <w:rsid w:val="00282153"/>
    <w:rsid w:val="00282E54"/>
    <w:rsid w:val="002864CC"/>
    <w:rsid w:val="00287DA7"/>
    <w:rsid w:val="002A165F"/>
    <w:rsid w:val="002B2280"/>
    <w:rsid w:val="002B6F37"/>
    <w:rsid w:val="002C2F0B"/>
    <w:rsid w:val="002C74BB"/>
    <w:rsid w:val="002D1558"/>
    <w:rsid w:val="002D2DA2"/>
    <w:rsid w:val="002E17D1"/>
    <w:rsid w:val="002E7264"/>
    <w:rsid w:val="002F6DA0"/>
    <w:rsid w:val="00314F34"/>
    <w:rsid w:val="00317395"/>
    <w:rsid w:val="00317DB6"/>
    <w:rsid w:val="00322C91"/>
    <w:rsid w:val="00323CE2"/>
    <w:rsid w:val="003247AC"/>
    <w:rsid w:val="0034188D"/>
    <w:rsid w:val="00341AF3"/>
    <w:rsid w:val="00343E2B"/>
    <w:rsid w:val="00345B47"/>
    <w:rsid w:val="00353B12"/>
    <w:rsid w:val="00353CC5"/>
    <w:rsid w:val="00355A4A"/>
    <w:rsid w:val="00356705"/>
    <w:rsid w:val="00364420"/>
    <w:rsid w:val="00364D8B"/>
    <w:rsid w:val="003667E2"/>
    <w:rsid w:val="00367465"/>
    <w:rsid w:val="00370D33"/>
    <w:rsid w:val="00370E5E"/>
    <w:rsid w:val="00375475"/>
    <w:rsid w:val="0037650E"/>
    <w:rsid w:val="00376A29"/>
    <w:rsid w:val="0038451A"/>
    <w:rsid w:val="003846AA"/>
    <w:rsid w:val="00385FB4"/>
    <w:rsid w:val="003934CE"/>
    <w:rsid w:val="003A10ED"/>
    <w:rsid w:val="003A325C"/>
    <w:rsid w:val="003A32F5"/>
    <w:rsid w:val="003A4AC9"/>
    <w:rsid w:val="003A64F3"/>
    <w:rsid w:val="003B2818"/>
    <w:rsid w:val="003B3022"/>
    <w:rsid w:val="003B5CBF"/>
    <w:rsid w:val="003B62C5"/>
    <w:rsid w:val="003B7278"/>
    <w:rsid w:val="003C1E69"/>
    <w:rsid w:val="003D1CB6"/>
    <w:rsid w:val="003D2B06"/>
    <w:rsid w:val="003D3BFA"/>
    <w:rsid w:val="003D7653"/>
    <w:rsid w:val="003F5123"/>
    <w:rsid w:val="00401FEC"/>
    <w:rsid w:val="0040315B"/>
    <w:rsid w:val="0041230A"/>
    <w:rsid w:val="00412BA5"/>
    <w:rsid w:val="00413654"/>
    <w:rsid w:val="00414050"/>
    <w:rsid w:val="00421D0B"/>
    <w:rsid w:val="004237DE"/>
    <w:rsid w:val="00425B08"/>
    <w:rsid w:val="00430EA7"/>
    <w:rsid w:val="00433907"/>
    <w:rsid w:val="00436FB3"/>
    <w:rsid w:val="00437CFB"/>
    <w:rsid w:val="004409B9"/>
    <w:rsid w:val="00440E41"/>
    <w:rsid w:val="00446D16"/>
    <w:rsid w:val="00451284"/>
    <w:rsid w:val="004530C2"/>
    <w:rsid w:val="0045608A"/>
    <w:rsid w:val="0046054E"/>
    <w:rsid w:val="00460AC9"/>
    <w:rsid w:val="00462D36"/>
    <w:rsid w:val="00462DC7"/>
    <w:rsid w:val="00464CAC"/>
    <w:rsid w:val="00467A8E"/>
    <w:rsid w:val="004711C0"/>
    <w:rsid w:val="00471BA1"/>
    <w:rsid w:val="0047603B"/>
    <w:rsid w:val="004A1C34"/>
    <w:rsid w:val="004A438A"/>
    <w:rsid w:val="004A4CDB"/>
    <w:rsid w:val="004A568F"/>
    <w:rsid w:val="004B1B31"/>
    <w:rsid w:val="004B1BA6"/>
    <w:rsid w:val="004B4B93"/>
    <w:rsid w:val="004B56C3"/>
    <w:rsid w:val="004C3818"/>
    <w:rsid w:val="004C40E0"/>
    <w:rsid w:val="004C6EFF"/>
    <w:rsid w:val="004D798E"/>
    <w:rsid w:val="004E2D6E"/>
    <w:rsid w:val="004E37E3"/>
    <w:rsid w:val="004E6087"/>
    <w:rsid w:val="004F1BE7"/>
    <w:rsid w:val="004F4692"/>
    <w:rsid w:val="004F475B"/>
    <w:rsid w:val="004F4888"/>
    <w:rsid w:val="004F49E2"/>
    <w:rsid w:val="004F5ABB"/>
    <w:rsid w:val="00500936"/>
    <w:rsid w:val="005043B1"/>
    <w:rsid w:val="00505E7C"/>
    <w:rsid w:val="00506CD9"/>
    <w:rsid w:val="0050749A"/>
    <w:rsid w:val="00507D88"/>
    <w:rsid w:val="00512634"/>
    <w:rsid w:val="0051279E"/>
    <w:rsid w:val="00514DC6"/>
    <w:rsid w:val="0051509F"/>
    <w:rsid w:val="005214E9"/>
    <w:rsid w:val="00522812"/>
    <w:rsid w:val="00525535"/>
    <w:rsid w:val="00525EFA"/>
    <w:rsid w:val="0053159F"/>
    <w:rsid w:val="005322A7"/>
    <w:rsid w:val="0054002F"/>
    <w:rsid w:val="00541F5E"/>
    <w:rsid w:val="00541FD6"/>
    <w:rsid w:val="005471CD"/>
    <w:rsid w:val="00571FD3"/>
    <w:rsid w:val="005810B6"/>
    <w:rsid w:val="005816F5"/>
    <w:rsid w:val="00583781"/>
    <w:rsid w:val="00584559"/>
    <w:rsid w:val="00585089"/>
    <w:rsid w:val="00586ED4"/>
    <w:rsid w:val="00587759"/>
    <w:rsid w:val="00595A49"/>
    <w:rsid w:val="0059735C"/>
    <w:rsid w:val="005A40A7"/>
    <w:rsid w:val="005B0BFD"/>
    <w:rsid w:val="005B243E"/>
    <w:rsid w:val="005C0D19"/>
    <w:rsid w:val="005C5A5D"/>
    <w:rsid w:val="005E143D"/>
    <w:rsid w:val="005E4616"/>
    <w:rsid w:val="005F1799"/>
    <w:rsid w:val="005F4BF3"/>
    <w:rsid w:val="005F54A8"/>
    <w:rsid w:val="00607211"/>
    <w:rsid w:val="006111DC"/>
    <w:rsid w:val="00613239"/>
    <w:rsid w:val="00613466"/>
    <w:rsid w:val="00614D2D"/>
    <w:rsid w:val="00614EFF"/>
    <w:rsid w:val="00626320"/>
    <w:rsid w:val="00631C81"/>
    <w:rsid w:val="00645379"/>
    <w:rsid w:val="0064702B"/>
    <w:rsid w:val="00650B0C"/>
    <w:rsid w:val="00651263"/>
    <w:rsid w:val="006523B4"/>
    <w:rsid w:val="00652788"/>
    <w:rsid w:val="00653B7F"/>
    <w:rsid w:val="0065679D"/>
    <w:rsid w:val="00661CC5"/>
    <w:rsid w:val="00665209"/>
    <w:rsid w:val="00670584"/>
    <w:rsid w:val="00670F80"/>
    <w:rsid w:val="00673781"/>
    <w:rsid w:val="006737B6"/>
    <w:rsid w:val="006761E9"/>
    <w:rsid w:val="00681203"/>
    <w:rsid w:val="00682783"/>
    <w:rsid w:val="00684FB8"/>
    <w:rsid w:val="006854C5"/>
    <w:rsid w:val="00685887"/>
    <w:rsid w:val="00685FE0"/>
    <w:rsid w:val="00687479"/>
    <w:rsid w:val="00693D5D"/>
    <w:rsid w:val="006955DC"/>
    <w:rsid w:val="00695CAE"/>
    <w:rsid w:val="006A445F"/>
    <w:rsid w:val="006A798C"/>
    <w:rsid w:val="006B212A"/>
    <w:rsid w:val="006B28B8"/>
    <w:rsid w:val="006C0B7B"/>
    <w:rsid w:val="006C3D1C"/>
    <w:rsid w:val="006C597A"/>
    <w:rsid w:val="006C632A"/>
    <w:rsid w:val="006D0BA1"/>
    <w:rsid w:val="006E04D6"/>
    <w:rsid w:val="006E2E74"/>
    <w:rsid w:val="006E3293"/>
    <w:rsid w:val="006F0CAD"/>
    <w:rsid w:val="006F6E5E"/>
    <w:rsid w:val="00700402"/>
    <w:rsid w:val="00701C3A"/>
    <w:rsid w:val="007056C1"/>
    <w:rsid w:val="00706989"/>
    <w:rsid w:val="00724368"/>
    <w:rsid w:val="00725A96"/>
    <w:rsid w:val="007263AD"/>
    <w:rsid w:val="00730CFD"/>
    <w:rsid w:val="00732FD1"/>
    <w:rsid w:val="00737308"/>
    <w:rsid w:val="007406C4"/>
    <w:rsid w:val="007409F5"/>
    <w:rsid w:val="00746348"/>
    <w:rsid w:val="007472AA"/>
    <w:rsid w:val="00753864"/>
    <w:rsid w:val="007556DF"/>
    <w:rsid w:val="00761454"/>
    <w:rsid w:val="00770A9C"/>
    <w:rsid w:val="00772583"/>
    <w:rsid w:val="00773E90"/>
    <w:rsid w:val="00775192"/>
    <w:rsid w:val="00776809"/>
    <w:rsid w:val="00785A77"/>
    <w:rsid w:val="007870CF"/>
    <w:rsid w:val="00790E54"/>
    <w:rsid w:val="0079531A"/>
    <w:rsid w:val="00796149"/>
    <w:rsid w:val="007A585D"/>
    <w:rsid w:val="007A5874"/>
    <w:rsid w:val="007B596F"/>
    <w:rsid w:val="007B64D3"/>
    <w:rsid w:val="007B7A4C"/>
    <w:rsid w:val="007C15E3"/>
    <w:rsid w:val="007D2152"/>
    <w:rsid w:val="007E04FF"/>
    <w:rsid w:val="007E292B"/>
    <w:rsid w:val="007E576B"/>
    <w:rsid w:val="007E65CA"/>
    <w:rsid w:val="00814FA4"/>
    <w:rsid w:val="00820D5F"/>
    <w:rsid w:val="008211F0"/>
    <w:rsid w:val="00822457"/>
    <w:rsid w:val="008267E7"/>
    <w:rsid w:val="00827753"/>
    <w:rsid w:val="00833E18"/>
    <w:rsid w:val="00843BB7"/>
    <w:rsid w:val="00846B72"/>
    <w:rsid w:val="008624EC"/>
    <w:rsid w:val="00864C34"/>
    <w:rsid w:val="008749CC"/>
    <w:rsid w:val="00875C81"/>
    <w:rsid w:val="008761DD"/>
    <w:rsid w:val="008831EF"/>
    <w:rsid w:val="00885032"/>
    <w:rsid w:val="00885C7A"/>
    <w:rsid w:val="00886477"/>
    <w:rsid w:val="00890A2D"/>
    <w:rsid w:val="00892250"/>
    <w:rsid w:val="00895E30"/>
    <w:rsid w:val="008970A0"/>
    <w:rsid w:val="008A7010"/>
    <w:rsid w:val="008B3EA6"/>
    <w:rsid w:val="008C2B78"/>
    <w:rsid w:val="008C30F4"/>
    <w:rsid w:val="008C63C3"/>
    <w:rsid w:val="008C6A12"/>
    <w:rsid w:val="008D0C7C"/>
    <w:rsid w:val="008D24FE"/>
    <w:rsid w:val="008D7E14"/>
    <w:rsid w:val="008E1294"/>
    <w:rsid w:val="008E5C79"/>
    <w:rsid w:val="008F4E9D"/>
    <w:rsid w:val="008F56E2"/>
    <w:rsid w:val="00907F7B"/>
    <w:rsid w:val="00922149"/>
    <w:rsid w:val="009224AF"/>
    <w:rsid w:val="00923B3B"/>
    <w:rsid w:val="00924F58"/>
    <w:rsid w:val="00927997"/>
    <w:rsid w:val="00930D8A"/>
    <w:rsid w:val="0093210A"/>
    <w:rsid w:val="00935579"/>
    <w:rsid w:val="00935868"/>
    <w:rsid w:val="00935897"/>
    <w:rsid w:val="00937E6D"/>
    <w:rsid w:val="009425C6"/>
    <w:rsid w:val="00943DA1"/>
    <w:rsid w:val="00947277"/>
    <w:rsid w:val="00953DCC"/>
    <w:rsid w:val="009563E5"/>
    <w:rsid w:val="009625BC"/>
    <w:rsid w:val="00976392"/>
    <w:rsid w:val="0099109F"/>
    <w:rsid w:val="00991A36"/>
    <w:rsid w:val="00992C68"/>
    <w:rsid w:val="00995E0A"/>
    <w:rsid w:val="009A1C30"/>
    <w:rsid w:val="009A4AF0"/>
    <w:rsid w:val="009A6F2F"/>
    <w:rsid w:val="009B3587"/>
    <w:rsid w:val="009C12CF"/>
    <w:rsid w:val="009C1BE7"/>
    <w:rsid w:val="009C4002"/>
    <w:rsid w:val="009C4842"/>
    <w:rsid w:val="009C750D"/>
    <w:rsid w:val="009E369C"/>
    <w:rsid w:val="009E4971"/>
    <w:rsid w:val="009F0F7E"/>
    <w:rsid w:val="009F177B"/>
    <w:rsid w:val="009F1D22"/>
    <w:rsid w:val="009F2237"/>
    <w:rsid w:val="009F4ED5"/>
    <w:rsid w:val="00A01585"/>
    <w:rsid w:val="00A01E64"/>
    <w:rsid w:val="00A03148"/>
    <w:rsid w:val="00A04925"/>
    <w:rsid w:val="00A10588"/>
    <w:rsid w:val="00A16413"/>
    <w:rsid w:val="00A17098"/>
    <w:rsid w:val="00A20B53"/>
    <w:rsid w:val="00A23F3A"/>
    <w:rsid w:val="00A24395"/>
    <w:rsid w:val="00A27DEE"/>
    <w:rsid w:val="00A3077E"/>
    <w:rsid w:val="00A3423B"/>
    <w:rsid w:val="00A3440B"/>
    <w:rsid w:val="00A4506E"/>
    <w:rsid w:val="00A56F43"/>
    <w:rsid w:val="00A736C5"/>
    <w:rsid w:val="00A74E79"/>
    <w:rsid w:val="00A77B74"/>
    <w:rsid w:val="00A81769"/>
    <w:rsid w:val="00A82239"/>
    <w:rsid w:val="00A824A4"/>
    <w:rsid w:val="00A86095"/>
    <w:rsid w:val="00A87217"/>
    <w:rsid w:val="00A87B1E"/>
    <w:rsid w:val="00A90171"/>
    <w:rsid w:val="00A95F21"/>
    <w:rsid w:val="00AA2A40"/>
    <w:rsid w:val="00AA5AA8"/>
    <w:rsid w:val="00AB12B5"/>
    <w:rsid w:val="00AB4253"/>
    <w:rsid w:val="00AB774C"/>
    <w:rsid w:val="00AC7551"/>
    <w:rsid w:val="00AD22E5"/>
    <w:rsid w:val="00AD2E0A"/>
    <w:rsid w:val="00AD56E8"/>
    <w:rsid w:val="00AF2DB8"/>
    <w:rsid w:val="00AF4305"/>
    <w:rsid w:val="00AF4335"/>
    <w:rsid w:val="00B01B86"/>
    <w:rsid w:val="00B03A75"/>
    <w:rsid w:val="00B10591"/>
    <w:rsid w:val="00B11CE5"/>
    <w:rsid w:val="00B16EB0"/>
    <w:rsid w:val="00B2240A"/>
    <w:rsid w:val="00B25F82"/>
    <w:rsid w:val="00B302FD"/>
    <w:rsid w:val="00B31497"/>
    <w:rsid w:val="00B36A0C"/>
    <w:rsid w:val="00B42D77"/>
    <w:rsid w:val="00B45038"/>
    <w:rsid w:val="00B51E67"/>
    <w:rsid w:val="00B555A0"/>
    <w:rsid w:val="00B5642D"/>
    <w:rsid w:val="00B57E21"/>
    <w:rsid w:val="00B607B7"/>
    <w:rsid w:val="00B64E2F"/>
    <w:rsid w:val="00B6641A"/>
    <w:rsid w:val="00B81B23"/>
    <w:rsid w:val="00B81BFA"/>
    <w:rsid w:val="00B86836"/>
    <w:rsid w:val="00B86A87"/>
    <w:rsid w:val="00B87056"/>
    <w:rsid w:val="00B90100"/>
    <w:rsid w:val="00B9139C"/>
    <w:rsid w:val="00B95D49"/>
    <w:rsid w:val="00BA4F12"/>
    <w:rsid w:val="00BA5592"/>
    <w:rsid w:val="00BB011D"/>
    <w:rsid w:val="00BB4779"/>
    <w:rsid w:val="00BB4A11"/>
    <w:rsid w:val="00BB6E15"/>
    <w:rsid w:val="00BB7DC2"/>
    <w:rsid w:val="00BC0379"/>
    <w:rsid w:val="00BC2399"/>
    <w:rsid w:val="00BC3720"/>
    <w:rsid w:val="00BC5875"/>
    <w:rsid w:val="00BD1C1F"/>
    <w:rsid w:val="00BD3B5A"/>
    <w:rsid w:val="00BD53E8"/>
    <w:rsid w:val="00BD56B7"/>
    <w:rsid w:val="00BE0E6D"/>
    <w:rsid w:val="00BE3F64"/>
    <w:rsid w:val="00BE5F31"/>
    <w:rsid w:val="00BF4650"/>
    <w:rsid w:val="00BF60A7"/>
    <w:rsid w:val="00BF7D3E"/>
    <w:rsid w:val="00C06B61"/>
    <w:rsid w:val="00C0725C"/>
    <w:rsid w:val="00C0742F"/>
    <w:rsid w:val="00C123F6"/>
    <w:rsid w:val="00C135CB"/>
    <w:rsid w:val="00C13C90"/>
    <w:rsid w:val="00C1526A"/>
    <w:rsid w:val="00C22682"/>
    <w:rsid w:val="00C24723"/>
    <w:rsid w:val="00C24A21"/>
    <w:rsid w:val="00C27CA2"/>
    <w:rsid w:val="00C41F2A"/>
    <w:rsid w:val="00C517E7"/>
    <w:rsid w:val="00C60F54"/>
    <w:rsid w:val="00C61087"/>
    <w:rsid w:val="00C611D9"/>
    <w:rsid w:val="00C6690A"/>
    <w:rsid w:val="00C6722B"/>
    <w:rsid w:val="00C83B16"/>
    <w:rsid w:val="00C9040D"/>
    <w:rsid w:val="00C9099A"/>
    <w:rsid w:val="00C90FA0"/>
    <w:rsid w:val="00CA0FFC"/>
    <w:rsid w:val="00CA20DF"/>
    <w:rsid w:val="00CB0362"/>
    <w:rsid w:val="00CB5F72"/>
    <w:rsid w:val="00CC1466"/>
    <w:rsid w:val="00CC22E1"/>
    <w:rsid w:val="00CD1608"/>
    <w:rsid w:val="00CE40FC"/>
    <w:rsid w:val="00CE5608"/>
    <w:rsid w:val="00CE5691"/>
    <w:rsid w:val="00CF4309"/>
    <w:rsid w:val="00CF4A22"/>
    <w:rsid w:val="00CF5150"/>
    <w:rsid w:val="00CF6AAA"/>
    <w:rsid w:val="00D10058"/>
    <w:rsid w:val="00D16662"/>
    <w:rsid w:val="00D16AA4"/>
    <w:rsid w:val="00D17B27"/>
    <w:rsid w:val="00D207AB"/>
    <w:rsid w:val="00D20E64"/>
    <w:rsid w:val="00D21501"/>
    <w:rsid w:val="00D22096"/>
    <w:rsid w:val="00D24347"/>
    <w:rsid w:val="00D24FA1"/>
    <w:rsid w:val="00D32342"/>
    <w:rsid w:val="00D32C71"/>
    <w:rsid w:val="00D3302C"/>
    <w:rsid w:val="00D353D5"/>
    <w:rsid w:val="00D422CA"/>
    <w:rsid w:val="00D44824"/>
    <w:rsid w:val="00D44D19"/>
    <w:rsid w:val="00D46B54"/>
    <w:rsid w:val="00D5001B"/>
    <w:rsid w:val="00D5192E"/>
    <w:rsid w:val="00D5256E"/>
    <w:rsid w:val="00D52B90"/>
    <w:rsid w:val="00D53A91"/>
    <w:rsid w:val="00D57A07"/>
    <w:rsid w:val="00D60FCA"/>
    <w:rsid w:val="00D63B3F"/>
    <w:rsid w:val="00D65380"/>
    <w:rsid w:val="00D65A2D"/>
    <w:rsid w:val="00D65A60"/>
    <w:rsid w:val="00D67F11"/>
    <w:rsid w:val="00D741C4"/>
    <w:rsid w:val="00D84592"/>
    <w:rsid w:val="00D865A6"/>
    <w:rsid w:val="00D90E3F"/>
    <w:rsid w:val="00D9141E"/>
    <w:rsid w:val="00D91CEF"/>
    <w:rsid w:val="00D91F7D"/>
    <w:rsid w:val="00D93659"/>
    <w:rsid w:val="00D9709D"/>
    <w:rsid w:val="00DA4388"/>
    <w:rsid w:val="00DB0DC5"/>
    <w:rsid w:val="00DC09FF"/>
    <w:rsid w:val="00DC6300"/>
    <w:rsid w:val="00DC6713"/>
    <w:rsid w:val="00DD19B4"/>
    <w:rsid w:val="00DD49FC"/>
    <w:rsid w:val="00DD56D1"/>
    <w:rsid w:val="00DD67E1"/>
    <w:rsid w:val="00DE3082"/>
    <w:rsid w:val="00DE7A86"/>
    <w:rsid w:val="00DF20FC"/>
    <w:rsid w:val="00DF5FFC"/>
    <w:rsid w:val="00DF6878"/>
    <w:rsid w:val="00DF6BE7"/>
    <w:rsid w:val="00E000F3"/>
    <w:rsid w:val="00E00473"/>
    <w:rsid w:val="00E022D8"/>
    <w:rsid w:val="00E0243E"/>
    <w:rsid w:val="00E03190"/>
    <w:rsid w:val="00E04E70"/>
    <w:rsid w:val="00E05886"/>
    <w:rsid w:val="00E068B9"/>
    <w:rsid w:val="00E07CD5"/>
    <w:rsid w:val="00E10212"/>
    <w:rsid w:val="00E11AC8"/>
    <w:rsid w:val="00E12526"/>
    <w:rsid w:val="00E149DB"/>
    <w:rsid w:val="00E15C57"/>
    <w:rsid w:val="00E15FDB"/>
    <w:rsid w:val="00E16B15"/>
    <w:rsid w:val="00E218E7"/>
    <w:rsid w:val="00E272D6"/>
    <w:rsid w:val="00E4529E"/>
    <w:rsid w:val="00E544D1"/>
    <w:rsid w:val="00E57E35"/>
    <w:rsid w:val="00E67291"/>
    <w:rsid w:val="00E745ED"/>
    <w:rsid w:val="00E75900"/>
    <w:rsid w:val="00E814C4"/>
    <w:rsid w:val="00E821A4"/>
    <w:rsid w:val="00E83263"/>
    <w:rsid w:val="00E863E2"/>
    <w:rsid w:val="00E91671"/>
    <w:rsid w:val="00E9250F"/>
    <w:rsid w:val="00E92E71"/>
    <w:rsid w:val="00E92F38"/>
    <w:rsid w:val="00EA059A"/>
    <w:rsid w:val="00EA1BC5"/>
    <w:rsid w:val="00EA1F1C"/>
    <w:rsid w:val="00EB3683"/>
    <w:rsid w:val="00EB36FE"/>
    <w:rsid w:val="00EB5E9A"/>
    <w:rsid w:val="00EB6E7E"/>
    <w:rsid w:val="00EC1FFD"/>
    <w:rsid w:val="00EC2E0A"/>
    <w:rsid w:val="00EC406D"/>
    <w:rsid w:val="00EC4DD8"/>
    <w:rsid w:val="00EC6892"/>
    <w:rsid w:val="00ED0C10"/>
    <w:rsid w:val="00ED134F"/>
    <w:rsid w:val="00EE14C5"/>
    <w:rsid w:val="00EE3B20"/>
    <w:rsid w:val="00EE3FD2"/>
    <w:rsid w:val="00EE44FE"/>
    <w:rsid w:val="00EE4B86"/>
    <w:rsid w:val="00EF1197"/>
    <w:rsid w:val="00EF173D"/>
    <w:rsid w:val="00EF373F"/>
    <w:rsid w:val="00EF469D"/>
    <w:rsid w:val="00EF6842"/>
    <w:rsid w:val="00F01038"/>
    <w:rsid w:val="00F124C6"/>
    <w:rsid w:val="00F21E7F"/>
    <w:rsid w:val="00F22BED"/>
    <w:rsid w:val="00F249FC"/>
    <w:rsid w:val="00F25B6C"/>
    <w:rsid w:val="00F302B7"/>
    <w:rsid w:val="00F32ECE"/>
    <w:rsid w:val="00F4021B"/>
    <w:rsid w:val="00F455B9"/>
    <w:rsid w:val="00F45CF5"/>
    <w:rsid w:val="00F506FB"/>
    <w:rsid w:val="00F52AD0"/>
    <w:rsid w:val="00F536C3"/>
    <w:rsid w:val="00F53C89"/>
    <w:rsid w:val="00F54B84"/>
    <w:rsid w:val="00F54C03"/>
    <w:rsid w:val="00F5675F"/>
    <w:rsid w:val="00F626AA"/>
    <w:rsid w:val="00F654AD"/>
    <w:rsid w:val="00F66BAF"/>
    <w:rsid w:val="00F73283"/>
    <w:rsid w:val="00F736B1"/>
    <w:rsid w:val="00F81A1C"/>
    <w:rsid w:val="00F845AF"/>
    <w:rsid w:val="00F86EFE"/>
    <w:rsid w:val="00F90366"/>
    <w:rsid w:val="00F943BB"/>
    <w:rsid w:val="00F950E4"/>
    <w:rsid w:val="00F95F02"/>
    <w:rsid w:val="00F963A0"/>
    <w:rsid w:val="00F97607"/>
    <w:rsid w:val="00F97ED0"/>
    <w:rsid w:val="00FA12C8"/>
    <w:rsid w:val="00FA25A0"/>
    <w:rsid w:val="00FB17A7"/>
    <w:rsid w:val="00FB47C4"/>
    <w:rsid w:val="00FB5B6F"/>
    <w:rsid w:val="00FC024E"/>
    <w:rsid w:val="00FC300D"/>
    <w:rsid w:val="00FC5EDB"/>
    <w:rsid w:val="00FD6937"/>
    <w:rsid w:val="00FE1AE1"/>
    <w:rsid w:val="00FE666F"/>
    <w:rsid w:val="00FF4B29"/>
    <w:rsid w:val="00FF4D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27E99C"/>
  <w14:defaultImageDpi w14:val="330"/>
  <w15:docId w15:val="{50865794-0269-42DD-86CC-4CEFF278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CA"/>
    </w:rPr>
  </w:style>
  <w:style w:type="paragraph" w:styleId="Heading1">
    <w:name w:val="heading 1"/>
    <w:basedOn w:val="Normal"/>
    <w:link w:val="Heading1Char"/>
    <w:uiPriority w:val="9"/>
    <w:qFormat/>
    <w:rsid w:val="0007591A"/>
    <w:pPr>
      <w:spacing w:before="100" w:beforeAutospacing="1" w:after="100" w:afterAutospacing="1"/>
      <w:outlineLvl w:val="0"/>
    </w:pPr>
    <w:rPr>
      <w:rFonts w:ascii="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810B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10B6"/>
    <w:rPr>
      <w:rFonts w:ascii="Lucida Grande" w:hAnsi="Lucida Grande" w:cs="Lucida Grande"/>
      <w:sz w:val="18"/>
      <w:szCs w:val="18"/>
      <w:lang w:val="en-CA"/>
    </w:rPr>
  </w:style>
  <w:style w:type="character" w:styleId="CommentReference">
    <w:name w:val="annotation reference"/>
    <w:basedOn w:val="DefaultParagraphFont"/>
    <w:uiPriority w:val="99"/>
    <w:semiHidden/>
    <w:unhideWhenUsed/>
    <w:rsid w:val="00AB774C"/>
    <w:rPr>
      <w:sz w:val="16"/>
      <w:szCs w:val="16"/>
    </w:rPr>
  </w:style>
  <w:style w:type="paragraph" w:styleId="CommentText">
    <w:name w:val="annotation text"/>
    <w:basedOn w:val="Normal"/>
    <w:link w:val="CommentTextChar"/>
    <w:unhideWhenUsed/>
    <w:rsid w:val="00AB774C"/>
    <w:pPr>
      <w:spacing w:after="160"/>
    </w:pPr>
    <w:rPr>
      <w:rFonts w:eastAsiaTheme="minorHAnsi"/>
      <w:sz w:val="20"/>
      <w:szCs w:val="20"/>
      <w:lang w:val="en-US"/>
    </w:rPr>
  </w:style>
  <w:style w:type="character" w:customStyle="1" w:styleId="CommentTextChar">
    <w:name w:val="Comment Text Char"/>
    <w:basedOn w:val="DefaultParagraphFont"/>
    <w:link w:val="CommentText"/>
    <w:rsid w:val="00AB774C"/>
    <w:rPr>
      <w:rFonts w:eastAsiaTheme="minorHAnsi"/>
      <w:sz w:val="20"/>
      <w:szCs w:val="20"/>
    </w:rPr>
  </w:style>
  <w:style w:type="character" w:styleId="Hyperlink">
    <w:name w:val="Hyperlink"/>
    <w:basedOn w:val="DefaultParagraphFont"/>
    <w:uiPriority w:val="99"/>
    <w:unhideWhenUsed/>
    <w:rsid w:val="00AB774C"/>
    <w:rPr>
      <w:color w:val="0000FF" w:themeColor="hyperlink"/>
      <w:u w:val="single"/>
    </w:rPr>
  </w:style>
  <w:style w:type="paragraph" w:styleId="ListParagraph">
    <w:name w:val="List Paragraph"/>
    <w:basedOn w:val="Normal"/>
    <w:uiPriority w:val="34"/>
    <w:qFormat/>
    <w:rsid w:val="00D84592"/>
    <w:pPr>
      <w:ind w:left="720"/>
      <w:contextualSpacing/>
    </w:pPr>
  </w:style>
  <w:style w:type="paragraph" w:styleId="Footer">
    <w:name w:val="footer"/>
    <w:basedOn w:val="Normal"/>
    <w:link w:val="FooterChar"/>
    <w:uiPriority w:val="99"/>
    <w:unhideWhenUsed/>
    <w:rsid w:val="009F177B"/>
    <w:pPr>
      <w:tabs>
        <w:tab w:val="center" w:pos="4320"/>
        <w:tab w:val="right" w:pos="8640"/>
      </w:tabs>
    </w:pPr>
  </w:style>
  <w:style w:type="character" w:customStyle="1" w:styleId="FooterChar">
    <w:name w:val="Footer Char"/>
    <w:basedOn w:val="DefaultParagraphFont"/>
    <w:link w:val="Footer"/>
    <w:uiPriority w:val="99"/>
    <w:rsid w:val="009F177B"/>
    <w:rPr>
      <w:lang w:val="en-CA"/>
    </w:rPr>
  </w:style>
  <w:style w:type="character" w:styleId="PageNumber">
    <w:name w:val="page number"/>
    <w:basedOn w:val="DefaultParagraphFont"/>
    <w:uiPriority w:val="99"/>
    <w:semiHidden/>
    <w:unhideWhenUsed/>
    <w:rsid w:val="009F177B"/>
  </w:style>
  <w:style w:type="paragraph" w:styleId="Header">
    <w:name w:val="header"/>
    <w:basedOn w:val="Normal"/>
    <w:link w:val="HeaderChar"/>
    <w:uiPriority w:val="99"/>
    <w:unhideWhenUsed/>
    <w:rsid w:val="009F177B"/>
    <w:pPr>
      <w:tabs>
        <w:tab w:val="center" w:pos="4320"/>
        <w:tab w:val="right" w:pos="8640"/>
      </w:tabs>
    </w:pPr>
  </w:style>
  <w:style w:type="character" w:customStyle="1" w:styleId="HeaderChar">
    <w:name w:val="Header Char"/>
    <w:basedOn w:val="DefaultParagraphFont"/>
    <w:link w:val="Header"/>
    <w:uiPriority w:val="99"/>
    <w:rsid w:val="009F177B"/>
    <w:rPr>
      <w:lang w:val="en-CA"/>
    </w:rPr>
  </w:style>
  <w:style w:type="table" w:styleId="TableGrid">
    <w:name w:val="Table Grid"/>
    <w:basedOn w:val="TableNormal"/>
    <w:uiPriority w:val="39"/>
    <w:rsid w:val="00CE5608"/>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E143D"/>
    <w:pPr>
      <w:spacing w:after="0"/>
    </w:pPr>
    <w:rPr>
      <w:rFonts w:eastAsiaTheme="minorEastAsia"/>
      <w:b/>
      <w:bCs/>
      <w:lang w:val="en-CA"/>
    </w:rPr>
  </w:style>
  <w:style w:type="character" w:customStyle="1" w:styleId="CommentSubjectChar">
    <w:name w:val="Comment Subject Char"/>
    <w:basedOn w:val="CommentTextChar"/>
    <w:link w:val="CommentSubject"/>
    <w:uiPriority w:val="99"/>
    <w:semiHidden/>
    <w:rsid w:val="005E143D"/>
    <w:rPr>
      <w:rFonts w:eastAsiaTheme="minorHAnsi"/>
      <w:b/>
      <w:bCs/>
      <w:sz w:val="20"/>
      <w:szCs w:val="20"/>
      <w:lang w:val="en-CA"/>
    </w:rPr>
  </w:style>
  <w:style w:type="character" w:styleId="HTMLCite">
    <w:name w:val="HTML Cite"/>
    <w:basedOn w:val="DefaultParagraphFont"/>
    <w:uiPriority w:val="99"/>
    <w:semiHidden/>
    <w:unhideWhenUsed/>
    <w:rsid w:val="00A81769"/>
    <w:rPr>
      <w:i/>
      <w:iCs/>
    </w:rPr>
  </w:style>
  <w:style w:type="paragraph" w:styleId="Revision">
    <w:name w:val="Revision"/>
    <w:hidden/>
    <w:uiPriority w:val="99"/>
    <w:semiHidden/>
    <w:rsid w:val="00A03148"/>
    <w:rPr>
      <w:lang w:val="en-CA"/>
    </w:rPr>
  </w:style>
  <w:style w:type="paragraph" w:styleId="FootnoteText">
    <w:name w:val="footnote text"/>
    <w:basedOn w:val="Normal"/>
    <w:link w:val="FootnoteTextChar"/>
    <w:uiPriority w:val="99"/>
    <w:unhideWhenUsed/>
    <w:rsid w:val="00356705"/>
  </w:style>
  <w:style w:type="character" w:customStyle="1" w:styleId="FootnoteTextChar">
    <w:name w:val="Footnote Text Char"/>
    <w:basedOn w:val="DefaultParagraphFont"/>
    <w:link w:val="FootnoteText"/>
    <w:uiPriority w:val="99"/>
    <w:rsid w:val="00356705"/>
    <w:rPr>
      <w:lang w:val="en-CA"/>
    </w:rPr>
  </w:style>
  <w:style w:type="character" w:styleId="FootnoteReference">
    <w:name w:val="footnote reference"/>
    <w:basedOn w:val="DefaultParagraphFont"/>
    <w:uiPriority w:val="99"/>
    <w:unhideWhenUsed/>
    <w:rsid w:val="00356705"/>
    <w:rPr>
      <w:vertAlign w:val="superscript"/>
    </w:rPr>
  </w:style>
  <w:style w:type="character" w:customStyle="1" w:styleId="Heading1Char">
    <w:name w:val="Heading 1 Char"/>
    <w:basedOn w:val="DefaultParagraphFont"/>
    <w:link w:val="Heading1"/>
    <w:uiPriority w:val="9"/>
    <w:rsid w:val="0007591A"/>
    <w:rPr>
      <w:rFonts w:ascii="Times New Roman" w:hAnsi="Times New Roman" w:cs="Times New Roman"/>
      <w:b/>
      <w:bCs/>
      <w:kern w:val="36"/>
      <w:sz w:val="48"/>
      <w:szCs w:val="4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6204">
      <w:bodyDiv w:val="1"/>
      <w:marLeft w:val="0"/>
      <w:marRight w:val="0"/>
      <w:marTop w:val="0"/>
      <w:marBottom w:val="0"/>
      <w:divBdr>
        <w:top w:val="none" w:sz="0" w:space="0" w:color="auto"/>
        <w:left w:val="none" w:sz="0" w:space="0" w:color="auto"/>
        <w:bottom w:val="none" w:sz="0" w:space="0" w:color="auto"/>
        <w:right w:val="none" w:sz="0" w:space="0" w:color="auto"/>
      </w:divBdr>
      <w:divsChild>
        <w:div w:id="228924802">
          <w:marLeft w:val="1166"/>
          <w:marRight w:val="0"/>
          <w:marTop w:val="86"/>
          <w:marBottom w:val="0"/>
          <w:divBdr>
            <w:top w:val="none" w:sz="0" w:space="0" w:color="auto"/>
            <w:left w:val="none" w:sz="0" w:space="0" w:color="auto"/>
            <w:bottom w:val="none" w:sz="0" w:space="0" w:color="auto"/>
            <w:right w:val="none" w:sz="0" w:space="0" w:color="auto"/>
          </w:divBdr>
        </w:div>
        <w:div w:id="394742132">
          <w:marLeft w:val="1166"/>
          <w:marRight w:val="0"/>
          <w:marTop w:val="86"/>
          <w:marBottom w:val="0"/>
          <w:divBdr>
            <w:top w:val="none" w:sz="0" w:space="0" w:color="auto"/>
            <w:left w:val="none" w:sz="0" w:space="0" w:color="auto"/>
            <w:bottom w:val="none" w:sz="0" w:space="0" w:color="auto"/>
            <w:right w:val="none" w:sz="0" w:space="0" w:color="auto"/>
          </w:divBdr>
        </w:div>
        <w:div w:id="703823187">
          <w:marLeft w:val="547"/>
          <w:marRight w:val="0"/>
          <w:marTop w:val="96"/>
          <w:marBottom w:val="0"/>
          <w:divBdr>
            <w:top w:val="none" w:sz="0" w:space="0" w:color="auto"/>
            <w:left w:val="none" w:sz="0" w:space="0" w:color="auto"/>
            <w:bottom w:val="none" w:sz="0" w:space="0" w:color="auto"/>
            <w:right w:val="none" w:sz="0" w:space="0" w:color="auto"/>
          </w:divBdr>
        </w:div>
        <w:div w:id="1152598447">
          <w:marLeft w:val="547"/>
          <w:marRight w:val="0"/>
          <w:marTop w:val="96"/>
          <w:marBottom w:val="0"/>
          <w:divBdr>
            <w:top w:val="none" w:sz="0" w:space="0" w:color="auto"/>
            <w:left w:val="none" w:sz="0" w:space="0" w:color="auto"/>
            <w:bottom w:val="none" w:sz="0" w:space="0" w:color="auto"/>
            <w:right w:val="none" w:sz="0" w:space="0" w:color="auto"/>
          </w:divBdr>
        </w:div>
        <w:div w:id="1208297562">
          <w:marLeft w:val="547"/>
          <w:marRight w:val="0"/>
          <w:marTop w:val="96"/>
          <w:marBottom w:val="0"/>
          <w:divBdr>
            <w:top w:val="none" w:sz="0" w:space="0" w:color="auto"/>
            <w:left w:val="none" w:sz="0" w:space="0" w:color="auto"/>
            <w:bottom w:val="none" w:sz="0" w:space="0" w:color="auto"/>
            <w:right w:val="none" w:sz="0" w:space="0" w:color="auto"/>
          </w:divBdr>
        </w:div>
        <w:div w:id="1375999853">
          <w:marLeft w:val="1166"/>
          <w:marRight w:val="0"/>
          <w:marTop w:val="86"/>
          <w:marBottom w:val="0"/>
          <w:divBdr>
            <w:top w:val="none" w:sz="0" w:space="0" w:color="auto"/>
            <w:left w:val="none" w:sz="0" w:space="0" w:color="auto"/>
            <w:bottom w:val="none" w:sz="0" w:space="0" w:color="auto"/>
            <w:right w:val="none" w:sz="0" w:space="0" w:color="auto"/>
          </w:divBdr>
        </w:div>
        <w:div w:id="1379822608">
          <w:marLeft w:val="547"/>
          <w:marRight w:val="0"/>
          <w:marTop w:val="96"/>
          <w:marBottom w:val="0"/>
          <w:divBdr>
            <w:top w:val="none" w:sz="0" w:space="0" w:color="auto"/>
            <w:left w:val="none" w:sz="0" w:space="0" w:color="auto"/>
            <w:bottom w:val="none" w:sz="0" w:space="0" w:color="auto"/>
            <w:right w:val="none" w:sz="0" w:space="0" w:color="auto"/>
          </w:divBdr>
        </w:div>
        <w:div w:id="1617373661">
          <w:marLeft w:val="1166"/>
          <w:marRight w:val="0"/>
          <w:marTop w:val="86"/>
          <w:marBottom w:val="0"/>
          <w:divBdr>
            <w:top w:val="none" w:sz="0" w:space="0" w:color="auto"/>
            <w:left w:val="none" w:sz="0" w:space="0" w:color="auto"/>
            <w:bottom w:val="none" w:sz="0" w:space="0" w:color="auto"/>
            <w:right w:val="none" w:sz="0" w:space="0" w:color="auto"/>
          </w:divBdr>
        </w:div>
      </w:divsChild>
    </w:div>
    <w:div w:id="291054722">
      <w:bodyDiv w:val="1"/>
      <w:marLeft w:val="0"/>
      <w:marRight w:val="0"/>
      <w:marTop w:val="0"/>
      <w:marBottom w:val="0"/>
      <w:divBdr>
        <w:top w:val="none" w:sz="0" w:space="0" w:color="auto"/>
        <w:left w:val="none" w:sz="0" w:space="0" w:color="auto"/>
        <w:bottom w:val="none" w:sz="0" w:space="0" w:color="auto"/>
        <w:right w:val="none" w:sz="0" w:space="0" w:color="auto"/>
      </w:divBdr>
    </w:div>
    <w:div w:id="489030860">
      <w:bodyDiv w:val="1"/>
      <w:marLeft w:val="0"/>
      <w:marRight w:val="0"/>
      <w:marTop w:val="0"/>
      <w:marBottom w:val="0"/>
      <w:divBdr>
        <w:top w:val="none" w:sz="0" w:space="0" w:color="auto"/>
        <w:left w:val="none" w:sz="0" w:space="0" w:color="auto"/>
        <w:bottom w:val="none" w:sz="0" w:space="0" w:color="auto"/>
        <w:right w:val="none" w:sz="0" w:space="0" w:color="auto"/>
      </w:divBdr>
      <w:divsChild>
        <w:div w:id="1698702916">
          <w:marLeft w:val="0"/>
          <w:marRight w:val="0"/>
          <w:marTop w:val="0"/>
          <w:marBottom w:val="0"/>
          <w:divBdr>
            <w:top w:val="none" w:sz="0" w:space="0" w:color="auto"/>
            <w:left w:val="none" w:sz="0" w:space="0" w:color="auto"/>
            <w:bottom w:val="none" w:sz="0" w:space="0" w:color="auto"/>
            <w:right w:val="none" w:sz="0" w:space="0" w:color="auto"/>
          </w:divBdr>
        </w:div>
        <w:div w:id="23094129">
          <w:marLeft w:val="0"/>
          <w:marRight w:val="0"/>
          <w:marTop w:val="0"/>
          <w:marBottom w:val="0"/>
          <w:divBdr>
            <w:top w:val="none" w:sz="0" w:space="0" w:color="auto"/>
            <w:left w:val="none" w:sz="0" w:space="0" w:color="auto"/>
            <w:bottom w:val="none" w:sz="0" w:space="0" w:color="auto"/>
            <w:right w:val="none" w:sz="0" w:space="0" w:color="auto"/>
          </w:divBdr>
        </w:div>
        <w:div w:id="45186248">
          <w:marLeft w:val="0"/>
          <w:marRight w:val="0"/>
          <w:marTop w:val="0"/>
          <w:marBottom w:val="0"/>
          <w:divBdr>
            <w:top w:val="none" w:sz="0" w:space="0" w:color="auto"/>
            <w:left w:val="none" w:sz="0" w:space="0" w:color="auto"/>
            <w:bottom w:val="none" w:sz="0" w:space="0" w:color="auto"/>
            <w:right w:val="none" w:sz="0" w:space="0" w:color="auto"/>
          </w:divBdr>
        </w:div>
        <w:div w:id="724062643">
          <w:marLeft w:val="0"/>
          <w:marRight w:val="0"/>
          <w:marTop w:val="0"/>
          <w:marBottom w:val="0"/>
          <w:divBdr>
            <w:top w:val="none" w:sz="0" w:space="0" w:color="auto"/>
            <w:left w:val="none" w:sz="0" w:space="0" w:color="auto"/>
            <w:bottom w:val="none" w:sz="0" w:space="0" w:color="auto"/>
            <w:right w:val="none" w:sz="0" w:space="0" w:color="auto"/>
          </w:divBdr>
        </w:div>
        <w:div w:id="1804931116">
          <w:marLeft w:val="0"/>
          <w:marRight w:val="0"/>
          <w:marTop w:val="0"/>
          <w:marBottom w:val="0"/>
          <w:divBdr>
            <w:top w:val="none" w:sz="0" w:space="0" w:color="auto"/>
            <w:left w:val="none" w:sz="0" w:space="0" w:color="auto"/>
            <w:bottom w:val="none" w:sz="0" w:space="0" w:color="auto"/>
            <w:right w:val="none" w:sz="0" w:space="0" w:color="auto"/>
          </w:divBdr>
        </w:div>
        <w:div w:id="11420059">
          <w:marLeft w:val="0"/>
          <w:marRight w:val="0"/>
          <w:marTop w:val="0"/>
          <w:marBottom w:val="0"/>
          <w:divBdr>
            <w:top w:val="none" w:sz="0" w:space="0" w:color="auto"/>
            <w:left w:val="none" w:sz="0" w:space="0" w:color="auto"/>
            <w:bottom w:val="none" w:sz="0" w:space="0" w:color="auto"/>
            <w:right w:val="none" w:sz="0" w:space="0" w:color="auto"/>
          </w:divBdr>
        </w:div>
        <w:div w:id="1769085179">
          <w:marLeft w:val="0"/>
          <w:marRight w:val="0"/>
          <w:marTop w:val="0"/>
          <w:marBottom w:val="0"/>
          <w:divBdr>
            <w:top w:val="none" w:sz="0" w:space="0" w:color="auto"/>
            <w:left w:val="none" w:sz="0" w:space="0" w:color="auto"/>
            <w:bottom w:val="none" w:sz="0" w:space="0" w:color="auto"/>
            <w:right w:val="none" w:sz="0" w:space="0" w:color="auto"/>
          </w:divBdr>
        </w:div>
        <w:div w:id="1459105568">
          <w:marLeft w:val="0"/>
          <w:marRight w:val="0"/>
          <w:marTop w:val="0"/>
          <w:marBottom w:val="0"/>
          <w:divBdr>
            <w:top w:val="none" w:sz="0" w:space="0" w:color="auto"/>
            <w:left w:val="none" w:sz="0" w:space="0" w:color="auto"/>
            <w:bottom w:val="none" w:sz="0" w:space="0" w:color="auto"/>
            <w:right w:val="none" w:sz="0" w:space="0" w:color="auto"/>
          </w:divBdr>
        </w:div>
        <w:div w:id="1717512370">
          <w:marLeft w:val="0"/>
          <w:marRight w:val="0"/>
          <w:marTop w:val="0"/>
          <w:marBottom w:val="0"/>
          <w:divBdr>
            <w:top w:val="none" w:sz="0" w:space="0" w:color="auto"/>
            <w:left w:val="none" w:sz="0" w:space="0" w:color="auto"/>
            <w:bottom w:val="none" w:sz="0" w:space="0" w:color="auto"/>
            <w:right w:val="none" w:sz="0" w:space="0" w:color="auto"/>
          </w:divBdr>
        </w:div>
        <w:div w:id="910310353">
          <w:marLeft w:val="0"/>
          <w:marRight w:val="0"/>
          <w:marTop w:val="0"/>
          <w:marBottom w:val="0"/>
          <w:divBdr>
            <w:top w:val="none" w:sz="0" w:space="0" w:color="auto"/>
            <w:left w:val="none" w:sz="0" w:space="0" w:color="auto"/>
            <w:bottom w:val="none" w:sz="0" w:space="0" w:color="auto"/>
            <w:right w:val="none" w:sz="0" w:space="0" w:color="auto"/>
          </w:divBdr>
        </w:div>
        <w:div w:id="1648699959">
          <w:marLeft w:val="0"/>
          <w:marRight w:val="0"/>
          <w:marTop w:val="0"/>
          <w:marBottom w:val="0"/>
          <w:divBdr>
            <w:top w:val="none" w:sz="0" w:space="0" w:color="auto"/>
            <w:left w:val="none" w:sz="0" w:space="0" w:color="auto"/>
            <w:bottom w:val="none" w:sz="0" w:space="0" w:color="auto"/>
            <w:right w:val="none" w:sz="0" w:space="0" w:color="auto"/>
          </w:divBdr>
        </w:div>
      </w:divsChild>
    </w:div>
    <w:div w:id="1146388276">
      <w:bodyDiv w:val="1"/>
      <w:marLeft w:val="0"/>
      <w:marRight w:val="0"/>
      <w:marTop w:val="0"/>
      <w:marBottom w:val="0"/>
      <w:divBdr>
        <w:top w:val="none" w:sz="0" w:space="0" w:color="auto"/>
        <w:left w:val="none" w:sz="0" w:space="0" w:color="auto"/>
        <w:bottom w:val="none" w:sz="0" w:space="0" w:color="auto"/>
        <w:right w:val="none" w:sz="0" w:space="0" w:color="auto"/>
      </w:divBdr>
      <w:divsChild>
        <w:div w:id="4018937">
          <w:marLeft w:val="547"/>
          <w:marRight w:val="0"/>
          <w:marTop w:val="96"/>
          <w:marBottom w:val="0"/>
          <w:divBdr>
            <w:top w:val="none" w:sz="0" w:space="0" w:color="auto"/>
            <w:left w:val="none" w:sz="0" w:space="0" w:color="auto"/>
            <w:bottom w:val="none" w:sz="0" w:space="0" w:color="auto"/>
            <w:right w:val="none" w:sz="0" w:space="0" w:color="auto"/>
          </w:divBdr>
        </w:div>
        <w:div w:id="21328424">
          <w:marLeft w:val="547"/>
          <w:marRight w:val="0"/>
          <w:marTop w:val="96"/>
          <w:marBottom w:val="0"/>
          <w:divBdr>
            <w:top w:val="none" w:sz="0" w:space="0" w:color="auto"/>
            <w:left w:val="none" w:sz="0" w:space="0" w:color="auto"/>
            <w:bottom w:val="none" w:sz="0" w:space="0" w:color="auto"/>
            <w:right w:val="none" w:sz="0" w:space="0" w:color="auto"/>
          </w:divBdr>
        </w:div>
        <w:div w:id="594948556">
          <w:marLeft w:val="547"/>
          <w:marRight w:val="0"/>
          <w:marTop w:val="96"/>
          <w:marBottom w:val="0"/>
          <w:divBdr>
            <w:top w:val="none" w:sz="0" w:space="0" w:color="auto"/>
            <w:left w:val="none" w:sz="0" w:space="0" w:color="auto"/>
            <w:bottom w:val="none" w:sz="0" w:space="0" w:color="auto"/>
            <w:right w:val="none" w:sz="0" w:space="0" w:color="auto"/>
          </w:divBdr>
        </w:div>
        <w:div w:id="1120107471">
          <w:marLeft w:val="1166"/>
          <w:marRight w:val="0"/>
          <w:marTop w:val="77"/>
          <w:marBottom w:val="0"/>
          <w:divBdr>
            <w:top w:val="none" w:sz="0" w:space="0" w:color="auto"/>
            <w:left w:val="none" w:sz="0" w:space="0" w:color="auto"/>
            <w:bottom w:val="none" w:sz="0" w:space="0" w:color="auto"/>
            <w:right w:val="none" w:sz="0" w:space="0" w:color="auto"/>
          </w:divBdr>
        </w:div>
        <w:div w:id="1485583973">
          <w:marLeft w:val="1166"/>
          <w:marRight w:val="0"/>
          <w:marTop w:val="77"/>
          <w:marBottom w:val="0"/>
          <w:divBdr>
            <w:top w:val="none" w:sz="0" w:space="0" w:color="auto"/>
            <w:left w:val="none" w:sz="0" w:space="0" w:color="auto"/>
            <w:bottom w:val="none" w:sz="0" w:space="0" w:color="auto"/>
            <w:right w:val="none" w:sz="0" w:space="0" w:color="auto"/>
          </w:divBdr>
        </w:div>
        <w:div w:id="1596548565">
          <w:marLeft w:val="547"/>
          <w:marRight w:val="0"/>
          <w:marTop w:val="96"/>
          <w:marBottom w:val="0"/>
          <w:divBdr>
            <w:top w:val="none" w:sz="0" w:space="0" w:color="auto"/>
            <w:left w:val="none" w:sz="0" w:space="0" w:color="auto"/>
            <w:bottom w:val="none" w:sz="0" w:space="0" w:color="auto"/>
            <w:right w:val="none" w:sz="0" w:space="0" w:color="auto"/>
          </w:divBdr>
        </w:div>
        <w:div w:id="1696998752">
          <w:marLeft w:val="1166"/>
          <w:marRight w:val="0"/>
          <w:marTop w:val="77"/>
          <w:marBottom w:val="0"/>
          <w:divBdr>
            <w:top w:val="none" w:sz="0" w:space="0" w:color="auto"/>
            <w:left w:val="none" w:sz="0" w:space="0" w:color="auto"/>
            <w:bottom w:val="none" w:sz="0" w:space="0" w:color="auto"/>
            <w:right w:val="none" w:sz="0" w:space="0" w:color="auto"/>
          </w:divBdr>
        </w:div>
        <w:div w:id="1732850360">
          <w:marLeft w:val="1166"/>
          <w:marRight w:val="0"/>
          <w:marTop w:val="77"/>
          <w:marBottom w:val="0"/>
          <w:divBdr>
            <w:top w:val="none" w:sz="0" w:space="0" w:color="auto"/>
            <w:left w:val="none" w:sz="0" w:space="0" w:color="auto"/>
            <w:bottom w:val="none" w:sz="0" w:space="0" w:color="auto"/>
            <w:right w:val="none" w:sz="0" w:space="0" w:color="auto"/>
          </w:divBdr>
        </w:div>
        <w:div w:id="1936815887">
          <w:marLeft w:val="1166"/>
          <w:marRight w:val="0"/>
          <w:marTop w:val="77"/>
          <w:marBottom w:val="0"/>
          <w:divBdr>
            <w:top w:val="none" w:sz="0" w:space="0" w:color="auto"/>
            <w:left w:val="none" w:sz="0" w:space="0" w:color="auto"/>
            <w:bottom w:val="none" w:sz="0" w:space="0" w:color="auto"/>
            <w:right w:val="none" w:sz="0" w:space="0" w:color="auto"/>
          </w:divBdr>
        </w:div>
        <w:div w:id="1999653887">
          <w:marLeft w:val="547"/>
          <w:marRight w:val="0"/>
          <w:marTop w:val="96"/>
          <w:marBottom w:val="0"/>
          <w:divBdr>
            <w:top w:val="none" w:sz="0" w:space="0" w:color="auto"/>
            <w:left w:val="none" w:sz="0" w:space="0" w:color="auto"/>
            <w:bottom w:val="none" w:sz="0" w:space="0" w:color="auto"/>
            <w:right w:val="none" w:sz="0" w:space="0" w:color="auto"/>
          </w:divBdr>
        </w:div>
      </w:divsChild>
    </w:div>
    <w:div w:id="1254825151">
      <w:bodyDiv w:val="1"/>
      <w:marLeft w:val="0"/>
      <w:marRight w:val="0"/>
      <w:marTop w:val="0"/>
      <w:marBottom w:val="0"/>
      <w:divBdr>
        <w:top w:val="none" w:sz="0" w:space="0" w:color="auto"/>
        <w:left w:val="none" w:sz="0" w:space="0" w:color="auto"/>
        <w:bottom w:val="none" w:sz="0" w:space="0" w:color="auto"/>
        <w:right w:val="none" w:sz="0" w:space="0" w:color="auto"/>
      </w:divBdr>
    </w:div>
    <w:div w:id="1538355725">
      <w:bodyDiv w:val="1"/>
      <w:marLeft w:val="0"/>
      <w:marRight w:val="0"/>
      <w:marTop w:val="0"/>
      <w:marBottom w:val="0"/>
      <w:divBdr>
        <w:top w:val="none" w:sz="0" w:space="0" w:color="auto"/>
        <w:left w:val="none" w:sz="0" w:space="0" w:color="auto"/>
        <w:bottom w:val="none" w:sz="0" w:space="0" w:color="auto"/>
        <w:right w:val="none" w:sz="0" w:space="0" w:color="auto"/>
      </w:divBdr>
    </w:div>
    <w:div w:id="2009743445">
      <w:bodyDiv w:val="1"/>
      <w:marLeft w:val="0"/>
      <w:marRight w:val="0"/>
      <w:marTop w:val="0"/>
      <w:marBottom w:val="0"/>
      <w:divBdr>
        <w:top w:val="none" w:sz="0" w:space="0" w:color="auto"/>
        <w:left w:val="none" w:sz="0" w:space="0" w:color="auto"/>
        <w:bottom w:val="none" w:sz="0" w:space="0" w:color="auto"/>
        <w:right w:val="none" w:sz="0" w:space="0" w:color="auto"/>
      </w:divBdr>
      <w:divsChild>
        <w:div w:id="132743799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evere-mental-illness-smi-physical-health-inequalities/severe-mental-illness-and-physical-health-inequalities-briefi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20https://www.hqontario.ca/Quality-Improvement/Quality-Improvement-in-Action/Health-Links/Health-Links-Resources/Coordinated-Care-Management-for-Patients-with-Mental-Health-and-or-Addictions-Conditions" TargetMode="External"/><Relationship Id="rId4" Type="http://schemas.openxmlformats.org/officeDocument/2006/relationships/settings" Target="settings.xml"/><Relationship Id="rId9" Type="http://schemas.openxmlformats.org/officeDocument/2006/relationships/hyperlink" Target="http://www.meps.ahrq.gov/mepsweb/data_files/publications/st392/stat392.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415D7-CD25-4313-A92C-677409D76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4574</Words>
  <Characters>26074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de Oliveira</dc:creator>
  <cp:keywords/>
  <dc:description/>
  <cp:lastModifiedBy>Gill Forder</cp:lastModifiedBy>
  <cp:revision>2</cp:revision>
  <cp:lastPrinted>2019-07-31T01:37:00Z</cp:lastPrinted>
  <dcterms:created xsi:type="dcterms:W3CDTF">2020-09-21T10:02:00Z</dcterms:created>
  <dcterms:modified xsi:type="dcterms:W3CDTF">2020-09-21T10:02:00Z</dcterms:modified>
</cp:coreProperties>
</file>