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06E" w:rsidRDefault="003E0FE7" w:rsidP="0066706E">
      <w:pPr>
        <w:pStyle w:val="ElsGraphText"/>
        <w:sectPr w:rsidR="0066706E">
          <w:headerReference w:type="even" r:id="rId8"/>
          <w:headerReference w:type="default" r:id="rId9"/>
          <w:pgSz w:w="11906" w:h="16838"/>
          <w:pgMar w:top="1692" w:right="912" w:bottom="1692" w:left="912" w:header="1200" w:footer="1200" w:gutter="0"/>
          <w:pgNumType w:start="2"/>
          <w:cols w:space="720"/>
          <w:titlePg/>
        </w:sectPr>
      </w:pPr>
      <w:r>
        <w:rPr>
          <w:noProof/>
          <w:lang w:val="en-GB" w:eastAsia="en-GB"/>
        </w:rPr>
        <mc:AlternateContent>
          <mc:Choice Requires="wpg">
            <w:drawing>
              <wp:anchor distT="0" distB="0" distL="114300" distR="114300" simplePos="0" relativeHeight="251658752" behindDoc="0" locked="0" layoutInCell="1" allowOverlap="1">
                <wp:simplePos x="0" y="0"/>
                <wp:positionH relativeFrom="column">
                  <wp:posOffset>0</wp:posOffset>
                </wp:positionH>
                <wp:positionV relativeFrom="paragraph">
                  <wp:posOffset>655320</wp:posOffset>
                </wp:positionV>
                <wp:extent cx="6400800" cy="1981200"/>
                <wp:effectExtent l="7620" t="5080" r="11430" b="13970"/>
                <wp:wrapTopAndBottom/>
                <wp:docPr id="5" name="Group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0800" cy="1981200"/>
                          <a:chOff x="912" y="3672"/>
                          <a:chExt cx="10080" cy="3120"/>
                        </a:xfrm>
                      </wpg:grpSpPr>
                      <wps:wsp>
                        <wps:cNvPr id="6" name="Text Box 87"/>
                        <wps:cNvSpPr txBox="1">
                          <a:spLocks noChangeAspect="1" noChangeArrowheads="1"/>
                        </wps:cNvSpPr>
                        <wps:spPr bwMode="auto">
                          <a:xfrm>
                            <a:off x="912" y="3672"/>
                            <a:ext cx="10080" cy="3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30BA2" w:rsidRDefault="00830BA2">
                              <w:pPr>
                                <w:pStyle w:val="ElsGraphTitle"/>
                              </w:pPr>
                              <w:r>
                                <w:t>Synthesis of cytotoxic spirocyclic imides from a biomass-derived oxanorbornene</w:t>
                              </w:r>
                            </w:p>
                            <w:p w:rsidR="00830BA2" w:rsidRDefault="00830BA2">
                              <w:pPr>
                                <w:pStyle w:val="ElsGraphAuthor"/>
                              </w:pPr>
                              <w:r>
                                <w:t>Stefan B. Lawrenson, Amanda K. Pearce, Sam Hart, Adrian C. Whitwood, Rachel K. O’Reilly and Michael North</w:t>
                              </w:r>
                            </w:p>
                            <w:p w:rsidR="00830BA2" w:rsidRDefault="00830BA2">
                              <w:pPr>
                                <w:pStyle w:val="ElsGraphAddress"/>
                              </w:pPr>
                              <w:r>
                                <w:t xml:space="preserve">Department of Chemistry, University of York, </w:t>
                              </w:r>
                              <w:proofErr w:type="spellStart"/>
                              <w:r>
                                <w:t>Heslington</w:t>
                              </w:r>
                              <w:proofErr w:type="spellEnd"/>
                              <w:r>
                                <w:t xml:space="preserve">, York, YO10 5DD, UK; School of Chemistry, University of Birmingham, </w:t>
                              </w:r>
                              <w:proofErr w:type="spellStart"/>
                              <w:r>
                                <w:t>Edgbaston</w:t>
                              </w:r>
                              <w:proofErr w:type="spellEnd"/>
                              <w:r>
                                <w:t>, Birmingham, B15 2TT, UK.</w:t>
                              </w:r>
                            </w:p>
                            <w:p w:rsidR="00830BA2" w:rsidRDefault="00830BA2">
                              <w:pPr>
                                <w:pStyle w:val="ElsGraphAddress"/>
                              </w:pPr>
                            </w:p>
                            <w:p w:rsidR="00830BA2" w:rsidRDefault="00830BA2">
                              <w:pPr>
                                <w:pStyle w:val="ElsGraphPlaceholder"/>
                              </w:pPr>
                              <w:r>
                                <w:rPr>
                                  <w:noProof/>
                                  <w:lang w:val="en-GB" w:eastAsia="en-GB"/>
                                </w:rPr>
                                <w:drawing>
                                  <wp:inline distT="0" distB="0" distL="0" distR="0">
                                    <wp:extent cx="2903220" cy="6890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C.tif"/>
                                            <pic:cNvPicPr/>
                                          </pic:nvPicPr>
                                          <pic:blipFill>
                                            <a:blip r:embed="rId10">
                                              <a:extLst>
                                                <a:ext uri="{28A0092B-C50C-407E-A947-70E740481C1C}">
                                                  <a14:useLocalDpi xmlns:a14="http://schemas.microsoft.com/office/drawing/2010/main" val="0"/>
                                                </a:ext>
                                              </a:extLst>
                                            </a:blip>
                                            <a:stretch>
                                              <a:fillRect/>
                                            </a:stretch>
                                          </pic:blipFill>
                                          <pic:spPr>
                                            <a:xfrm>
                                              <a:off x="0" y="0"/>
                                              <a:ext cx="2944103" cy="698787"/>
                                            </a:xfrm>
                                            <a:prstGeom prst="rect">
                                              <a:avLst/>
                                            </a:prstGeom>
                                          </pic:spPr>
                                        </pic:pic>
                                      </a:graphicData>
                                    </a:graphic>
                                  </wp:inline>
                                </w:drawing>
                              </w:r>
                            </w:p>
                          </w:txbxContent>
                        </wps:txbx>
                        <wps:bodyPr rot="0" vert="horz" wrap="square" lIns="45720" tIns="45720" rIns="45720" bIns="45720" anchor="t" anchorCtr="0" upright="1">
                          <a:noAutofit/>
                        </wps:bodyPr>
                      </wps:wsp>
                      <wps:wsp>
                        <wps:cNvPr id="7" name="Text Box 88"/>
                        <wps:cNvSpPr txBox="1">
                          <a:spLocks noChangeAspect="1" noChangeArrowheads="1"/>
                        </wps:cNvSpPr>
                        <wps:spPr bwMode="auto">
                          <a:xfrm>
                            <a:off x="6672" y="3672"/>
                            <a:ext cx="4320" cy="600"/>
                          </a:xfrm>
                          <a:prstGeom prst="rect">
                            <a:avLst/>
                          </a:prstGeom>
                          <a:solidFill>
                            <a:srgbClr val="00FFFF">
                              <a:alpha val="50000"/>
                            </a:srgbClr>
                          </a:solidFill>
                          <a:ln w="9525">
                            <a:solidFill>
                              <a:srgbClr val="000000"/>
                            </a:solidFill>
                            <a:miter lim="800000"/>
                            <a:headEnd/>
                            <a:tailEnd/>
                          </a:ln>
                        </wps:spPr>
                        <wps:txbx>
                          <w:txbxContent>
                            <w:p w:rsidR="00830BA2" w:rsidRDefault="00830BA2">
                              <w:r>
                                <w:t>Leave this area blank for abstract info.</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0;margin-top:51.6pt;width:7in;height:156pt;z-index:251658752" coordorigin="912,3672" coordsize="1008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">
                <o:lock v:ext="edit" aspectratio="t"/>
                <v:shapetype id="_x0000_t202" coordsize="21600,21600" o:spt="202" path="m,l,21600r21600,l21600,xe">
                  <v:stroke joinstyle="miter"/>
                  <v:path gradientshapeok="t" o:connecttype="rect"/>
                </v:shapetype>
                <v:shape id="Text Box 87" o:spid="_x0000_s1027" type="#_x0000_t202" style="position:absolute;left:912;top:3672;width:1008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" filled="f">
                  <o:lock v:ext="edit" aspectratio="t"/>
                  <v:textbox inset="3.6pt,,3.6pt">
                    <w:txbxContent>
                      <w:p w:rsidR="00830BA2" w:rsidRDefault="00830BA2">
                        <w:pPr>
                          <w:pStyle w:val="ElsGraphTitle"/>
                        </w:pPr>
                        <w:r>
                          <w:t>Synthesis of cytotoxic spirocyclic imides from a biomass-derived oxanorbornene</w:t>
                        </w:r>
                      </w:p>
                      <w:p w:rsidR="00830BA2" w:rsidRDefault="00830BA2">
                        <w:pPr>
                          <w:pStyle w:val="ElsGraphAuthor"/>
                        </w:pPr>
                        <w:r>
                          <w:t>Stefan B. Lawrenson, Amanda K. Pearce, Sam Hart, Adrian C. Whitwood, Rachel K. O’Reilly and Michael North</w:t>
                        </w:r>
                      </w:p>
                      <w:p w:rsidR="00830BA2" w:rsidRDefault="00830BA2">
                        <w:pPr>
                          <w:pStyle w:val="ElsGraphAddress"/>
                        </w:pPr>
                        <w:r>
                          <w:t xml:space="preserve">Department of Chemistry, University of York, </w:t>
                        </w:r>
                        <w:proofErr w:type="spellStart"/>
                        <w:r>
                          <w:t>Heslington</w:t>
                        </w:r>
                        <w:proofErr w:type="spellEnd"/>
                        <w:r>
                          <w:t xml:space="preserve">, York, YO10 5DD, UK; School of Chemistry, University of Birmingham, </w:t>
                        </w:r>
                        <w:proofErr w:type="spellStart"/>
                        <w:r>
                          <w:t>Edgbaston</w:t>
                        </w:r>
                        <w:proofErr w:type="spellEnd"/>
                        <w:r>
                          <w:t>, Birmingham, B15 2TT, UK.</w:t>
                        </w:r>
                      </w:p>
                      <w:p w:rsidR="00830BA2" w:rsidRDefault="00830BA2">
                        <w:pPr>
                          <w:pStyle w:val="ElsGraphAddress"/>
                        </w:pPr>
                      </w:p>
                      <w:p w:rsidR="00830BA2" w:rsidRDefault="00830BA2">
                        <w:pPr>
                          <w:pStyle w:val="ElsGraphPlaceholder"/>
                        </w:pPr>
                        <w:r>
                          <w:rPr>
                            <w:noProof/>
                            <w:lang w:val="en-GB" w:eastAsia="en-GB"/>
                          </w:rPr>
                          <w:drawing>
                            <wp:inline distT="0" distB="0" distL="0" distR="0">
                              <wp:extent cx="2903220" cy="6890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C.tif"/>
                                      <pic:cNvPicPr/>
                                    </pic:nvPicPr>
                                    <pic:blipFill>
                                      <a:blip r:embed="rId11">
                                        <a:extLst>
                                          <a:ext uri="{28A0092B-C50C-407E-A947-70E740481C1C}">
                                            <a14:useLocalDpi xmlns:a14="http://schemas.microsoft.com/office/drawing/2010/main" val="0"/>
                                          </a:ext>
                                        </a:extLst>
                                      </a:blip>
                                      <a:stretch>
                                        <a:fillRect/>
                                      </a:stretch>
                                    </pic:blipFill>
                                    <pic:spPr>
                                      <a:xfrm>
                                        <a:off x="0" y="0"/>
                                        <a:ext cx="2944103" cy="698787"/>
                                      </a:xfrm>
                                      <a:prstGeom prst="rect">
                                        <a:avLst/>
                                      </a:prstGeom>
                                    </pic:spPr>
                                  </pic:pic>
                                </a:graphicData>
                              </a:graphic>
                            </wp:inline>
                          </w:drawing>
                        </w:r>
                      </w:p>
                    </w:txbxContent>
                  </v:textbox>
                </v:shape>
                <v:shape id="Text Box 88" o:spid="_x0000_s1028" type="#_x0000_t202" style="position:absolute;left:6672;top:3672;width:432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" fillcolor="aqua">
                  <v:fill opacity="32896f"/>
                  <o:lock v:ext="edit" aspectratio="t"/>
                  <v:textbox inset="3.6pt,,3.6pt">
                    <w:txbxContent>
                      <w:p w:rsidR="00830BA2" w:rsidRDefault="00830BA2">
                        <w:r>
                          <w:t>Leave this area blank for abstract info.</w:t>
                        </w:r>
                      </w:p>
                    </w:txbxContent>
                  </v:textbox>
                </v:shape>
                <w10:wrap type="topAndBottom"/>
              </v:group>
            </w:pict>
          </mc:Fallback>
        </mc:AlternateContent>
      </w:r>
    </w:p>
    <w:tbl>
      <w:tblPr>
        <w:tblW w:w="0" w:type="auto"/>
        <w:tblLayout w:type="fixed"/>
        <w:tblLook w:val="0000" w:firstRow="0" w:lastRow="0" w:firstColumn="0" w:lastColumn="0" w:noHBand="0" w:noVBand="0"/>
      </w:tblPr>
      <w:tblGrid>
        <w:gridCol w:w="1458"/>
        <w:gridCol w:w="7650"/>
        <w:gridCol w:w="1440"/>
      </w:tblGrid>
      <w:tr w:rsidR="0066706E">
        <w:trPr>
          <w:cantSplit/>
          <w:trHeight w:val="1530"/>
        </w:trPr>
        <w:tc>
          <w:tcPr>
            <w:tcW w:w="1458" w:type="dxa"/>
          </w:tcPr>
          <w:p w:rsidR="0066706E" w:rsidRDefault="003E0FE7">
            <w:pPr>
              <w:rPr>
                <w:sz w:val="30"/>
              </w:rPr>
            </w:pPr>
            <w:r>
              <w:rPr>
                <w:noProof/>
                <w:sz w:val="20"/>
                <w:vertAlign w:val="superscript"/>
                <w:lang w:val="en-GB"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-38100</wp:posOffset>
                      </wp:positionV>
                      <wp:extent cx="5715000" cy="0"/>
                      <wp:effectExtent l="10160" t="9525" r="8890" b="9525"/>
                      <wp:wrapNone/>
                      <wp:docPr id="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FA03B" id="Line 5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5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"/>
                  </w:pict>
                </mc:Fallback>
              </mc:AlternateContent>
            </w:r>
            <w:r>
              <w:rPr>
                <w:noProof/>
                <w:sz w:val="20"/>
                <w:lang w:val="en-GB" w:eastAsia="en-GB"/>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914400</wp:posOffset>
                      </wp:positionV>
                      <wp:extent cx="6600825" cy="0"/>
                      <wp:effectExtent l="19685" t="19050" r="27940" b="19050"/>
                      <wp:wrapNone/>
                      <wp:docPr id="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082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03842" id="Line 5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in" to="519.7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" strokeweight="3pt"/>
                  </w:pict>
                </mc:Fallback>
              </mc:AlternateContent>
            </w:r>
            <w:r>
              <w:rPr>
                <w:noProof/>
                <w:lang w:val="en-GB" w:eastAsia="en-GB"/>
              </w:rPr>
              <w:drawing>
                <wp:inline distT="0" distB="0" distL="0" distR="0">
                  <wp:extent cx="835025" cy="87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5025" cy="879475"/>
                          </a:xfrm>
                          <a:prstGeom prst="rect">
                            <a:avLst/>
                          </a:prstGeom>
                          <a:noFill/>
                          <a:ln>
                            <a:noFill/>
                          </a:ln>
                        </pic:spPr>
                      </pic:pic>
                    </a:graphicData>
                  </a:graphic>
                </wp:inline>
              </w:drawing>
            </w:r>
          </w:p>
        </w:tc>
        <w:tc>
          <w:tcPr>
            <w:tcW w:w="7650" w:type="dxa"/>
            <w:vAlign w:val="center"/>
          </w:tcPr>
          <w:p w:rsidR="0066706E" w:rsidRDefault="0066706E">
            <w:pPr>
              <w:jc w:val="center"/>
              <w:outlineLvl w:val="0"/>
              <w:rPr>
                <w:sz w:val="19"/>
                <w:lang w:val="en-GB"/>
              </w:rPr>
            </w:pPr>
            <w:r>
              <w:br/>
            </w:r>
            <w:r>
              <w:rPr>
                <w:sz w:val="28"/>
              </w:rPr>
              <w:t>Tetrahedron</w:t>
            </w:r>
            <w:r>
              <w:br/>
            </w:r>
            <w:r>
              <w:rPr>
                <w:rFonts w:ascii="Univers" w:hAnsi="Univers"/>
                <w:spacing w:val="20"/>
                <w:sz w:val="17"/>
              </w:rPr>
              <w:t>journal homepage: www.elsevier.com</w:t>
            </w:r>
          </w:p>
        </w:tc>
        <w:tc>
          <w:tcPr>
            <w:tcW w:w="1440" w:type="dxa"/>
          </w:tcPr>
          <w:p w:rsidR="0066706E" w:rsidRDefault="0066706E">
            <w:pPr>
              <w:outlineLvl w:val="0"/>
              <w:rPr>
                <w:sz w:val="19"/>
                <w:lang w:val="en-GB"/>
              </w:rPr>
            </w:pPr>
            <w:r>
              <w:object w:dxaOrig="5924" w:dyaOrig="7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73.2pt" o:ole="">
                  <v:imagedata r:id="rId13" o:title=""/>
                </v:shape>
                <o:OLEObject Type="Embed" ProgID="PBrush" ShapeID="_x0000_i1025" DrawAspect="Content" ObjectID="_1665920394" r:id="rId14"/>
              </w:object>
            </w:r>
          </w:p>
        </w:tc>
      </w:tr>
    </w:tbl>
    <w:p w:rsidR="0066706E" w:rsidRDefault="004C384D">
      <w:pPr>
        <w:pStyle w:val="ElsArticleTitle"/>
      </w:pPr>
      <w:r>
        <w:t xml:space="preserve">Synthesis of cytotoxic spirocyclic imides from a biomass-derived oxanorbornene </w:t>
      </w:r>
    </w:p>
    <w:p w:rsidR="0066706E" w:rsidRDefault="004C384D">
      <w:pPr>
        <w:pStyle w:val="ElsAuthor"/>
      </w:pPr>
      <w:r>
        <w:t>Stefan B.</w:t>
      </w:r>
      <w:r w:rsidR="0066706E">
        <w:t xml:space="preserve"> </w:t>
      </w:r>
      <w:proofErr w:type="spellStart"/>
      <w:r>
        <w:t>Lawrenson</w:t>
      </w:r>
      <w:r w:rsidR="0066706E">
        <w:rPr>
          <w:vertAlign w:val="superscript"/>
        </w:rPr>
        <w:t>a</w:t>
      </w:r>
      <w:r>
        <w:rPr>
          <w:vertAlign w:val="superscript"/>
        </w:rPr>
        <w:t>b</w:t>
      </w:r>
      <w:proofErr w:type="spellEnd"/>
      <w:r w:rsidR="0066706E">
        <w:t xml:space="preserve">, </w:t>
      </w:r>
      <w:r>
        <w:t xml:space="preserve">Amanda K. </w:t>
      </w:r>
      <w:proofErr w:type="spellStart"/>
      <w:r>
        <w:t>Pearce</w:t>
      </w:r>
      <w:r w:rsidRPr="004C384D">
        <w:rPr>
          <w:vertAlign w:val="superscript"/>
        </w:rPr>
        <w:t>b</w:t>
      </w:r>
      <w:proofErr w:type="spellEnd"/>
      <w:r>
        <w:t xml:space="preserve">, Sam </w:t>
      </w:r>
      <w:proofErr w:type="spellStart"/>
      <w:r>
        <w:t>Hart</w:t>
      </w:r>
      <w:r w:rsidRPr="004C384D">
        <w:rPr>
          <w:vertAlign w:val="superscript"/>
        </w:rPr>
        <w:t>a</w:t>
      </w:r>
      <w:proofErr w:type="spellEnd"/>
      <w:r>
        <w:t xml:space="preserve">, Adrian C. </w:t>
      </w:r>
      <w:proofErr w:type="spellStart"/>
      <w:r>
        <w:t>Whitwood</w:t>
      </w:r>
      <w:r w:rsidRPr="004C384D">
        <w:rPr>
          <w:vertAlign w:val="superscript"/>
        </w:rPr>
        <w:t>a</w:t>
      </w:r>
      <w:proofErr w:type="spellEnd"/>
      <w:r>
        <w:t xml:space="preserve">, Rachel K. </w:t>
      </w:r>
      <w:proofErr w:type="spellStart"/>
      <w:r>
        <w:t>O’Reilly</w:t>
      </w:r>
      <w:r w:rsidRPr="004C384D">
        <w:rPr>
          <w:vertAlign w:val="superscript"/>
        </w:rPr>
        <w:t>b</w:t>
      </w:r>
      <w:proofErr w:type="spellEnd"/>
      <w:r>
        <w:footnoteReference w:customMarkFollows="1" w:id="2"/>
        <w:sym w:font="Symbol" w:char="F02A"/>
      </w:r>
      <w:r>
        <w:t xml:space="preserve"> and  </w:t>
      </w:r>
      <w:r w:rsidR="0066706E">
        <w:t xml:space="preserve"> </w:t>
      </w:r>
      <w:r>
        <w:t xml:space="preserve">Michael </w:t>
      </w:r>
      <w:proofErr w:type="spellStart"/>
      <w:r>
        <w:t>North</w:t>
      </w:r>
      <w:r w:rsidRPr="004C384D">
        <w:rPr>
          <w:vertAlign w:val="superscript"/>
        </w:rPr>
        <w:t>a</w:t>
      </w:r>
      <w:proofErr w:type="spellEnd"/>
      <w:r w:rsidR="0066706E">
        <w:footnoteReference w:customMarkFollows="1" w:id="3"/>
        <w:sym w:font="Symbol" w:char="F02A"/>
      </w:r>
      <w:r w:rsidR="0066706E">
        <w:t xml:space="preserve"> </w:t>
      </w:r>
    </w:p>
    <w:p w:rsidR="0066706E" w:rsidRDefault="0066706E">
      <w:pPr>
        <w:pStyle w:val="ElsAffiliation"/>
      </w:pPr>
      <w:proofErr w:type="gramStart"/>
      <w:r>
        <w:rPr>
          <w:vertAlign w:val="superscript"/>
        </w:rPr>
        <w:t>a</w:t>
      </w:r>
      <w:proofErr w:type="gramEnd"/>
      <w:r w:rsidR="005D7ADD">
        <w:rPr>
          <w:vertAlign w:val="superscript"/>
        </w:rPr>
        <w:t xml:space="preserve"> </w:t>
      </w:r>
      <w:r w:rsidR="005D7ADD">
        <w:t xml:space="preserve">Department of Chemistry, University of York, </w:t>
      </w:r>
      <w:proofErr w:type="spellStart"/>
      <w:r w:rsidR="005D7ADD">
        <w:t>Heslington</w:t>
      </w:r>
      <w:proofErr w:type="spellEnd"/>
      <w:r w:rsidR="005D7ADD">
        <w:t xml:space="preserve">, York, YO10 5DD, UK. </w:t>
      </w:r>
    </w:p>
    <w:p w:rsidR="0066706E" w:rsidRDefault="0066706E">
      <w:pPr>
        <w:pStyle w:val="ElsAffiliation"/>
      </w:pPr>
      <w:proofErr w:type="gramStart"/>
      <w:r>
        <w:rPr>
          <w:vertAlign w:val="superscript"/>
        </w:rPr>
        <w:t>b</w:t>
      </w:r>
      <w:proofErr w:type="gramEnd"/>
      <w:r w:rsidR="005D7ADD">
        <w:rPr>
          <w:vertAlign w:val="superscript"/>
        </w:rPr>
        <w:t xml:space="preserve"> </w:t>
      </w:r>
      <w:r w:rsidR="005D7ADD">
        <w:t xml:space="preserve">School of Chemistry, University of Birmingham, </w:t>
      </w:r>
      <w:proofErr w:type="spellStart"/>
      <w:r w:rsidR="005D7ADD">
        <w:t>Edgbaston</w:t>
      </w:r>
      <w:proofErr w:type="spellEnd"/>
      <w:r w:rsidR="005D7ADD">
        <w:t>, B15 2TT, UK.</w:t>
      </w:r>
    </w:p>
    <w:p w:rsidR="000B437E" w:rsidRDefault="000B437E">
      <w:pPr>
        <w:pStyle w:val="ElsAffiliation"/>
      </w:pPr>
    </w:p>
    <w:p w:rsidR="0066706E" w:rsidRPr="002C29A5" w:rsidRDefault="000B437E">
      <w:pPr>
        <w:pStyle w:val="ElsAffiliation"/>
        <w:rPr>
          <w:i w:val="0"/>
        </w:rPr>
      </w:pPr>
      <w:r>
        <w:rPr>
          <w:i w:val="0"/>
        </w:rPr>
        <w:t xml:space="preserve">Dedicated to Professor Richard J. K. Taylor in appreciation of his tenure as editor in chief of Tetrahedron. </w:t>
      </w:r>
    </w:p>
    <w:tbl>
      <w:tblPr>
        <w:tblpPr w:leftFromText="187" w:rightFromText="187" w:bottomFromText="187" w:vertAnchor="text" w:tblpY="1"/>
        <w:tblOverlap w:val="never"/>
        <w:tblW w:w="0" w:type="auto"/>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3468"/>
        <w:gridCol w:w="6840"/>
      </w:tblGrid>
      <w:tr w:rsidR="0066706E">
        <w:trPr>
          <w:trHeight w:val="710"/>
        </w:trPr>
        <w:tc>
          <w:tcPr>
            <w:tcW w:w="3468" w:type="dxa"/>
            <w:vAlign w:val="center"/>
          </w:tcPr>
          <w:p w:rsidR="0066706E" w:rsidRDefault="0066706E">
            <w:pPr>
              <w:pStyle w:val="ElsArticleinfoHead"/>
              <w:rPr>
                <w:noProof/>
              </w:rPr>
            </w:pPr>
            <w:r>
              <w:rPr>
                <w:noProof/>
              </w:rPr>
              <w:t>ARTICLE INFO</w:t>
            </w:r>
          </w:p>
        </w:tc>
        <w:tc>
          <w:tcPr>
            <w:tcW w:w="6840" w:type="dxa"/>
            <w:tcMar>
              <w:left w:w="240" w:type="dxa"/>
            </w:tcMar>
            <w:vAlign w:val="center"/>
          </w:tcPr>
          <w:p w:rsidR="0066706E" w:rsidRDefault="0066706E">
            <w:pPr>
              <w:pStyle w:val="ElsAbstractHead"/>
            </w:pPr>
            <w:r>
              <w:t>ABSTRACT</w:t>
            </w:r>
          </w:p>
        </w:tc>
      </w:tr>
      <w:tr w:rsidR="0066706E">
        <w:trPr>
          <w:cantSplit/>
          <w:trHeight w:val="1051"/>
        </w:trPr>
        <w:tc>
          <w:tcPr>
            <w:tcW w:w="3468" w:type="dxa"/>
            <w:tcMar>
              <w:top w:w="72" w:type="dxa"/>
            </w:tcMar>
          </w:tcPr>
          <w:p w:rsidR="0066706E" w:rsidRDefault="0066706E">
            <w:pPr>
              <w:pStyle w:val="ElsArticlehistory"/>
            </w:pPr>
            <w:r>
              <w:t>Article history:</w:t>
            </w:r>
          </w:p>
          <w:p w:rsidR="0066706E" w:rsidRDefault="0066706E">
            <w:pPr>
              <w:pStyle w:val="ElsArticlehistory"/>
              <w:rPr>
                <w:i w:val="0"/>
                <w:iCs/>
              </w:rPr>
            </w:pPr>
            <w:r>
              <w:rPr>
                <w:i w:val="0"/>
                <w:iCs/>
              </w:rPr>
              <w:t>Received</w:t>
            </w:r>
          </w:p>
          <w:p w:rsidR="0066706E" w:rsidRDefault="0066706E">
            <w:pPr>
              <w:pStyle w:val="ElsArticlehistory"/>
              <w:rPr>
                <w:i w:val="0"/>
                <w:iCs/>
              </w:rPr>
            </w:pPr>
            <w:r>
              <w:rPr>
                <w:i w:val="0"/>
                <w:iCs/>
              </w:rPr>
              <w:t>Received in revised form</w:t>
            </w:r>
          </w:p>
          <w:p w:rsidR="0066706E" w:rsidRDefault="0066706E">
            <w:pPr>
              <w:pStyle w:val="ElsArticlehistory"/>
              <w:rPr>
                <w:i w:val="0"/>
                <w:iCs/>
              </w:rPr>
            </w:pPr>
            <w:r>
              <w:rPr>
                <w:i w:val="0"/>
                <w:iCs/>
              </w:rPr>
              <w:t>Accepted</w:t>
            </w:r>
          </w:p>
          <w:p w:rsidR="0066706E" w:rsidRDefault="0066706E">
            <w:pPr>
              <w:pStyle w:val="ElsArticlehistory"/>
            </w:pPr>
            <w:r>
              <w:rPr>
                <w:i w:val="0"/>
                <w:iCs/>
              </w:rPr>
              <w:t>Available online</w:t>
            </w:r>
          </w:p>
        </w:tc>
        <w:tc>
          <w:tcPr>
            <w:tcW w:w="6840" w:type="dxa"/>
            <w:vMerge w:val="restart"/>
            <w:tcMar>
              <w:left w:w="240" w:type="dxa"/>
            </w:tcMar>
          </w:tcPr>
          <w:p w:rsidR="0066706E" w:rsidRDefault="005D7ADD">
            <w:pPr>
              <w:pStyle w:val="ElsAbstractText"/>
            </w:pPr>
            <w:r w:rsidRPr="009D4455">
              <w:rPr>
                <w:i/>
              </w:rPr>
              <w:t>N</w:t>
            </w:r>
            <w:r>
              <w:t xml:space="preserve">-Substituted derivatives of cantharimide and norcantharimide represent a promising but underutilized motif for therapeutic applications. Herein, we report a divergent strategy for the preparation of secondary amides </w:t>
            </w:r>
            <w:r w:rsidRPr="00EF0EFC">
              <w:t xml:space="preserve">and </w:t>
            </w:r>
            <w:r>
              <w:t xml:space="preserve">norcantharimide resembling </w:t>
            </w:r>
            <w:r w:rsidRPr="00EF0EFC">
              <w:t xml:space="preserve">spirocyclic imides </w:t>
            </w:r>
            <w:r>
              <w:t xml:space="preserve">from a biomass-derived oxanorbornene and assess their biological activity. Computational modelling suggests these compounds fall perfectly within lead-like chemical space (200 Da &lt; RMM &lt; 350 Da, -1 &lt; </w:t>
            </w:r>
            <w:proofErr w:type="spellStart"/>
            <w:r>
              <w:t>AlogP</w:t>
            </w:r>
            <w:proofErr w:type="spellEnd"/>
            <w:r>
              <w:t xml:space="preserve"> &lt; 3), with the </w:t>
            </w:r>
            <w:r w:rsidRPr="00EF0EFC">
              <w:t>spirocyclic imides</w:t>
            </w:r>
            <w:r>
              <w:t xml:space="preserve"> preferred due to their lack of reactive functionalities.</w:t>
            </w:r>
            <w:r w:rsidRPr="009D4455">
              <w:t xml:space="preserve"> </w:t>
            </w:r>
            <w:r>
              <w:t xml:space="preserve">Biological analysis of the </w:t>
            </w:r>
            <w:r w:rsidRPr="00EF0EFC">
              <w:t>spirocyclic imides</w:t>
            </w:r>
            <w:r>
              <w:rPr>
                <w:b/>
              </w:rPr>
              <w:t xml:space="preserve"> </w:t>
            </w:r>
            <w:r>
              <w:t xml:space="preserve">revealed that the compounds displayed antiproliferative activity against a range of human cancer cells (A549, HCT 116, OVCAR-3, MDA-MB-231, MCF7 and PC-3) with the </w:t>
            </w:r>
            <w:r w:rsidRPr="00BE6242">
              <w:rPr>
                <w:i/>
              </w:rPr>
              <w:t>N</w:t>
            </w:r>
            <w:r>
              <w:rPr>
                <w:i/>
              </w:rPr>
              <w:t>-</w:t>
            </w:r>
            <w:proofErr w:type="spellStart"/>
            <w:r w:rsidRPr="00BE6242">
              <w:t>octyl</w:t>
            </w:r>
            <w:proofErr w:type="spellEnd"/>
            <w:r w:rsidRPr="00BE6242">
              <w:t xml:space="preserve"> derivative</w:t>
            </w:r>
            <w:r>
              <w:t xml:space="preserve"> displaying the greatest potential as a potent broad-spectrum anticancer drug. Dose-response curves for the </w:t>
            </w:r>
            <w:r w:rsidRPr="00BE6242">
              <w:rPr>
                <w:i/>
              </w:rPr>
              <w:t>N</w:t>
            </w:r>
            <w:r>
              <w:rPr>
                <w:i/>
              </w:rPr>
              <w:t>-</w:t>
            </w:r>
            <w:proofErr w:type="spellStart"/>
            <w:r w:rsidRPr="00BE6242">
              <w:t>octyl</w:t>
            </w:r>
            <w:proofErr w:type="spellEnd"/>
            <w:r>
              <w:t xml:space="preserve"> </w:t>
            </w:r>
            <w:proofErr w:type="spellStart"/>
            <w:r w:rsidRPr="00EF0EFC">
              <w:t>spirocyclic</w:t>
            </w:r>
            <w:proofErr w:type="spellEnd"/>
            <w:r w:rsidRPr="00EF0EFC">
              <w:t xml:space="preserve"> imide</w:t>
            </w:r>
            <w:r>
              <w:t xml:space="preserve"> found EC</w:t>
            </w:r>
            <w:r w:rsidRPr="00185748">
              <w:rPr>
                <w:vertAlign w:val="subscript"/>
              </w:rPr>
              <w:t>50</w:t>
            </w:r>
            <w:r>
              <w:t xml:space="preserve"> values of 56–95 </w:t>
            </w:r>
            <w:r>
              <w:rPr>
                <w:rFonts w:cs="Times"/>
              </w:rPr>
              <w:t>µ</w:t>
            </w:r>
            <w:r>
              <w:t xml:space="preserve">M dependent on the cell line, with highest activity against human </w:t>
            </w:r>
            <w:r w:rsidRPr="00F4581E">
              <w:t>colorectal carcinoma</w:t>
            </w:r>
            <w:r>
              <w:t xml:space="preserve"> cells (HCT 116).</w:t>
            </w:r>
          </w:p>
          <w:p w:rsidR="0066706E" w:rsidRDefault="0066706E">
            <w:pPr>
              <w:pStyle w:val="ElsAbstractText"/>
              <w:jc w:val="right"/>
              <w:rPr>
                <w:sz w:val="16"/>
              </w:rPr>
            </w:pPr>
            <w:r>
              <w:rPr>
                <w:szCs w:val="14"/>
              </w:rPr>
              <w:t>2009 Elsevier Ltd. All rights reserved</w:t>
            </w:r>
            <w:r>
              <w:rPr>
                <w:sz w:val="16"/>
                <w:szCs w:val="14"/>
              </w:rPr>
              <w:t>.</w:t>
            </w:r>
          </w:p>
          <w:p w:rsidR="0066706E" w:rsidRDefault="0066706E">
            <w:pPr>
              <w:pStyle w:val="ElsAbstractText"/>
            </w:pPr>
          </w:p>
        </w:tc>
      </w:tr>
      <w:tr w:rsidR="0066706E">
        <w:trPr>
          <w:cantSplit/>
          <w:trHeight w:val="1385"/>
        </w:trPr>
        <w:tc>
          <w:tcPr>
            <w:tcW w:w="3468" w:type="dxa"/>
            <w:tcMar>
              <w:top w:w="72" w:type="dxa"/>
              <w:left w:w="0" w:type="dxa"/>
            </w:tcMar>
            <w:vAlign w:val="center"/>
          </w:tcPr>
          <w:p w:rsidR="0066706E" w:rsidRDefault="0066706E">
            <w:pPr>
              <w:pStyle w:val="ElsKeywordHead"/>
            </w:pPr>
            <w:r>
              <w:t>Keywords:</w:t>
            </w:r>
          </w:p>
          <w:p w:rsidR="0066706E" w:rsidRDefault="000D1A09">
            <w:pPr>
              <w:pStyle w:val="ElsKeyword"/>
            </w:pPr>
            <w:r>
              <w:t>Cytotoxicity</w:t>
            </w:r>
          </w:p>
          <w:p w:rsidR="0066706E" w:rsidRDefault="000D1A09">
            <w:pPr>
              <w:pStyle w:val="ElsKeyword"/>
              <w:rPr>
                <w:iCs/>
              </w:rPr>
            </w:pPr>
            <w:r>
              <w:t>Drug design</w:t>
            </w:r>
          </w:p>
          <w:p w:rsidR="0066706E" w:rsidRDefault="000D1A09">
            <w:pPr>
              <w:pStyle w:val="ElsKeyword"/>
              <w:rPr>
                <w:iCs/>
              </w:rPr>
            </w:pPr>
            <w:r>
              <w:t>Active surfactants</w:t>
            </w:r>
          </w:p>
          <w:p w:rsidR="0066706E" w:rsidRDefault="000D1A09">
            <w:pPr>
              <w:pStyle w:val="ElsKeyword"/>
            </w:pPr>
            <w:r>
              <w:t>Cantharidin</w:t>
            </w:r>
          </w:p>
          <w:p w:rsidR="0066706E" w:rsidRDefault="000D1A09">
            <w:pPr>
              <w:pStyle w:val="ElsKeyword"/>
            </w:pPr>
            <w:r>
              <w:t>Spirocyclic</w:t>
            </w:r>
          </w:p>
          <w:p w:rsidR="0066706E" w:rsidRDefault="0066706E">
            <w:pPr>
              <w:pStyle w:val="ElsKeyword"/>
              <w:rPr>
                <w:i/>
              </w:rPr>
            </w:pPr>
          </w:p>
        </w:tc>
        <w:tc>
          <w:tcPr>
            <w:tcW w:w="6840" w:type="dxa"/>
            <w:vMerge/>
          </w:tcPr>
          <w:p w:rsidR="0066706E" w:rsidRDefault="0066706E">
            <w:pPr>
              <w:spacing w:after="80" w:line="200" w:lineRule="exact"/>
            </w:pPr>
          </w:p>
        </w:tc>
      </w:tr>
    </w:tbl>
    <w:p w:rsidR="0066706E" w:rsidRDefault="0066706E">
      <w:pPr>
        <w:pStyle w:val="ElsCorrespondingAuthor"/>
        <w:spacing w:before="60" w:after="200" w:line="240" w:lineRule="auto"/>
        <w:rPr>
          <w:szCs w:val="24"/>
        </w:rPr>
        <w:sectPr w:rsidR="0066706E">
          <w:headerReference w:type="even" r:id="rId15"/>
          <w:pgSz w:w="11906" w:h="16838" w:code="9"/>
          <w:pgMar w:top="1440" w:right="766" w:bottom="1238" w:left="766" w:header="720" w:footer="240" w:gutter="0"/>
          <w:pgNumType w:start="1"/>
          <w:cols w:space="720"/>
        </w:sectPr>
      </w:pPr>
    </w:p>
    <w:p w:rsidR="003E0FE7" w:rsidRDefault="003E0FE7" w:rsidP="003E0FE7">
      <w:pPr>
        <w:pStyle w:val="ElsHeading1"/>
      </w:pPr>
      <w:r>
        <w:fldChar w:fldCharType="begin"/>
      </w:r>
      <w:r>
        <w:instrText xml:space="preserve"> MACROBUTTON NoMacro Introduction </w:instrText>
      </w:r>
      <w:r>
        <w:fldChar w:fldCharType="end"/>
      </w:r>
    </w:p>
    <w:p w:rsidR="005D7ADD" w:rsidRDefault="007E1441" w:rsidP="005D7ADD">
      <w:pPr>
        <w:pStyle w:val="ElsParagraph"/>
      </w:pPr>
      <w:r>
        <w:rPr>
          <w:noProof/>
        </w:rPr>
        <w:object w:dxaOrig="1440" w:dyaOrig="1440">
          <v:shape id="_x0000_s1120" type="#_x0000_t75" style="position:absolute;left:0;text-align:left;margin-left:299.35pt;margin-top:27.6pt;width:199.4pt;height:179.3pt;z-index:251664896;mso-position-horizontal-relative:text;mso-position-vertical-relative:text">
            <v:imagedata r:id="rId16" o:title=""/>
            <w10:wrap type="topAndBottom"/>
          </v:shape>
          <o:OLEObject Type="Embed" ProgID="ChemDraw.Document.6.0" ShapeID="_x0000_s1120" DrawAspect="Content" ObjectID="_1665920395" r:id="rId17"/>
        </w:object>
      </w:r>
      <w:r w:rsidR="005D7ADD" w:rsidRPr="00BE14B2">
        <w:t xml:space="preserve">Cyclic imides represent an important structural motif that has </w:t>
      </w:r>
      <w:r w:rsidR="005D7ADD">
        <w:t>found</w:t>
      </w:r>
      <w:r w:rsidR="005D7ADD" w:rsidRPr="00BE14B2">
        <w:t xml:space="preserve"> widespread use across biological, medicinal and polymer chemistry</w:t>
      </w:r>
      <w:r w:rsidR="005D7ADD" w:rsidRPr="00344D87">
        <w:t>.</w:t>
      </w:r>
      <w:r w:rsidR="005D7ADD" w:rsidRPr="00344D87">
        <w:rPr>
          <w:vertAlign w:val="superscript"/>
        </w:rPr>
        <w:fldChar w:fldCharType="begin" w:fldLock="1"/>
      </w:r>
      <w:r w:rsidR="00BA4B30">
        <w:rPr>
          <w:vertAlign w:val="superscript"/>
        </w:rPr>
        <w:instrText>ADDIN CSL_CITATION {"citationItems":[{"id":"ITEM-1","itemData":{"DOI":"10.1021/cr60266a001","ISSN":"0009-2665","author":[{"dropping-particle":"","family":"Hargreaves","given":"Michael K.","non-dropping-particle":"","parse-names":false,"suffix":""},{"dropping-particle":"","family":"Pritchard","given":"J. G.","non-dropping-particle":"","parse-names":false,"suffix":""},{"dropping-particle":"","family":"Dave","given":"H. R.","non-dropping-particle":"","parse-names":false,"suffix":""}],"container-title":"Chemical Reviews","id":"ITEM-1","issue":"4","issued":{"date-parts":[["1970","8","1"]]},"page":"439-469","publisher":"American Chemical Society","title":"Cyclic carboxylic monoimides","type":"article-journal","volume":"70"},"uris":["http://www.mendeley.com/documents/?uuid=ee38a3d2-b97c-38e6-a682-a7ce4beb4d02"]},{"id":"ITEM-2","itemData":{"DOI":"10.1021/cr500225d","ISSN":"0009-2665","author":[{"dropping-particle":"","family":"Guo","given":"Xugang","non-dropping-particle":"","parse-names":false,"suffix":""},{"dropping-particle":"","family":"Facchetti","given":"Antonio","non-dropping-particle":"","parse-names":false,"suffix":""},{"dropping-particle":"","family":"Marks","given":"Tobin J","non-dropping-particle":"","parse-names":false,"suffix":""}],"container-title":"Chemical Reviews","id":"ITEM-2","issue":"18","issued":{"date-parts":[["2014","9","24"]]},"page":"8943-9021","title":"Imide- and Amide-Functionalized Polymer Semiconductors","type":"article-journal","volume":"114"},"uris":["http://www.mendeley.com/documents/?uuid=84a5dd98-6c2e-3f55-b35c-471a45392cc6"]}],"mendeley":{"formattedCitation":"&lt;sup&gt;1,2&lt;/sup&gt;","plainTextFormattedCitation":"1,2","previouslyFormattedCitation":"&lt;sup&gt;1,2&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1,2</w:t>
      </w:r>
      <w:r w:rsidR="005D7ADD" w:rsidRPr="00344D87">
        <w:rPr>
          <w:vertAlign w:val="superscript"/>
        </w:rPr>
        <w:fldChar w:fldCharType="end"/>
      </w:r>
      <w:r w:rsidR="005D7ADD" w:rsidRPr="00344D87">
        <w:t xml:space="preserve"> They are prevalent in natural products and</w:t>
      </w:r>
      <w:r w:rsidR="005D7ADD">
        <w:t xml:space="preserve"> </w:t>
      </w:r>
      <w:r w:rsidR="005D7ADD" w:rsidRPr="00344D87">
        <w:t>therapeutics</w:t>
      </w:r>
      <w:r w:rsidR="005D7ADD">
        <w:t xml:space="preserve"> that</w:t>
      </w:r>
      <w:r w:rsidR="005D7ADD" w:rsidRPr="00344D87">
        <w:t xml:space="preserve"> have a wide range of biological activit</w:t>
      </w:r>
      <w:r w:rsidR="005D7ADD">
        <w:t>ies;</w:t>
      </w:r>
      <w:r w:rsidR="005D7ADD" w:rsidRPr="00344D87">
        <w:t xml:space="preserve"> finding potential as sedatives,</w:t>
      </w:r>
      <w:r w:rsidR="005D7ADD" w:rsidRPr="00344D87">
        <w:rPr>
          <w:vertAlign w:val="superscript"/>
        </w:rPr>
        <w:fldChar w:fldCharType="begin" w:fldLock="1"/>
      </w:r>
      <w:r w:rsidR="00BA4B30">
        <w:rPr>
          <w:vertAlign w:val="superscript"/>
        </w:rPr>
        <w:instrText>ADDIN CSL_CITATION {"citationItems":[{"id":"ITEM-1","itemData":{"DOI":"10.1016/S0140-6736(04)16308-3","ISSN":"01406736","PMID":"15172781","abstract":"Despite its history as a human teratogen, thalidomide is emerging as a treatment for cancer and inflammatory diseases. Although the evolution of its clinical application could not have been predicted from the tragedy associated with its misuse in the past, its history serves as a lesson in drug development that underscores the need to understand the molecular pharmacology of a compound's activity, including associated toxicities. Here, we summarise the applications for thalidomide with an emphasis on clinical trials published over the past 10 years, and consider our knowledge of the molecular pharmacology of the drug in the context of clinical trial data, attempting to provide a mechanism-guided understanding of its activity.","author":[{"dropping-particle":"","family":"Franks","given":"Michael E.","non-dropping-particle":"","parse-names":false,"suffix":""},{"dropping-particle":"","family":"Macpherson","given":"Gordon R.","non-dropping-particle":"","parse-names":false,"suffix":""},{"dropping-particle":"","family":"Figg","given":"William D.","non-dropping-particle":"","parse-names":false,"suffix":""}],"container-title":"The Lancet","id":"ITEM-1","issue":"9423","issued":{"date-parts":[["2004","5","29"]]},"page":"1802-1811","title":"Thalidomide","type":"article-journal","volume":"363"},"uris":["http://www.mendeley.com/documents/?uuid=ce4181b0-3e33-3368-94b3-15c84545c998"]}],"mendeley":{"formattedCitation":"&lt;sup&gt;3&lt;/sup&gt;","plainTextFormattedCitation":"3","previouslyFormattedCitation":"&lt;sup&gt;3&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3</w:t>
      </w:r>
      <w:r w:rsidR="005D7ADD" w:rsidRPr="00344D87">
        <w:rPr>
          <w:vertAlign w:val="superscript"/>
        </w:rPr>
        <w:fldChar w:fldCharType="end"/>
      </w:r>
      <w:r w:rsidR="005D7ADD" w:rsidRPr="00344D87">
        <w:t xml:space="preserve"> hypnotics,</w:t>
      </w:r>
      <w:r w:rsidR="005D7ADD" w:rsidRPr="00344D87">
        <w:rPr>
          <w:vertAlign w:val="superscript"/>
        </w:rPr>
        <w:fldChar w:fldCharType="begin" w:fldLock="1"/>
      </w:r>
      <w:r w:rsidR="00BA4B30">
        <w:rPr>
          <w:vertAlign w:val="superscript"/>
        </w:rPr>
        <w:instrText>ADDIN CSL_CITATION {"citationItems":[{"id":"ITEM-1","itemData":{"DOI":"10.1021/jacs.7b08341","ISSN":"0002-7863","abstract":"The first example of base-metal-catalyzed dehydrogenative coupling of diols and amines to form cyclic imides is reported. The reaction is catalyzed by a pincer complex of the earth abundant manganese and forms hydrogen gas as the sole byproduct, making the overall process atom economical and environmentally benign. C yclic imides are an important class of organic compounds, valuable for synthetic, biological and polymer chemistry. 1 They are also used for a variety of pharmacological purposes such as sedatives, hypnotics, anticonvulscants, hypotensive agents, antitubercular agents and carcinostatics. 1a,2 Several drugs containing the cyclic imide group, such as thalidomide, 3 phensuximide, 4 buspirone 5 and luracidone, 6 are on the market and many derivatives are potential drug candidates. 7 Because of such high industrial value, an atom economic, sustainable and environmentally benign synthetic route to cyclic imides from cheap starting materials is highly desirable. However, the conventional method for the synthesis of cyclic imides involves harsh thermal conditions and generates stoichiometric amounts of waste. 1a,8 Recent developments toward efficient transition metal catalyzed synthesis of cyclic imides include iridium catalyzed three component reaction of nitriles, olefins and water to produce glutarimides; 9 palladium catalyzed carbon-ylative cyclization of o-halobenzoates and primary amines to form isoindole-1,3-diones; 10 ruthenium catalyzed carbonylation of aromatic amides to form phthalimides, 11 and rhodium catalyzed conjugate addition of phenyl boronic acids to unprotected maleimides. 12 Asymmetric cyclic imides have also been synthesized using rhodium catalysts. 13 Drawbacks of these methods include expensive and toxic noble-metal based systems, limited availability of appropriate starting materials and, in some cases, waste generation. Fe 3 (CO) 12 catalyzed carbonylation of alkynes using excess ammonia and CO pressure to form succinimides has also been reported. 14 Hong reported the synthesis of cyclic imides from diols and amines using a ruthenium catalyst, 15 and recently the coupling of nitriles and diols to form cyclic imides catalyzed by RuH 2 (PPh 3) 4. 16 Both these synthetic methods use ruthenium (5 mol %) and base (20 mol %). Herein we report the first base-metal (manganese) catalyst for the dehydrogenative coupling of diols with amines (Scheme 1). Both the substrate diols and amines are inexpensive and readily available, and th…","author":[{"dropping-particle":"","family":"Espinosa-Jalapa","given":"Noel Angel","non-dropping-particle":"","parse-names":false,"suffix":""},{"dropping-particle":"","family":"Kumar","given":"Amit","non-dropping-particle":"","parse-names":false,"suffix":""},{"dropping-particle":"","family":"Leitus","given":"Gregory","non-dropping-particle":"","parse-names":false,"suffix":""},{"dropping-particle":"","family":"Diskin-Posner","given":"Yael","non-dropping-particle":"","parse-names":false,"suffix":""},{"dropping-particle":"","family":"Milstein","given":"David","non-dropping-particle":"","parse-names":false,"suffix":""}],"container-title":"Journal of the American Chemical Society","id":"ITEM-1","issue":"34","issued":{"date-parts":[["2017","8","30"]]},"page":"11722-11725","title":"Synthesis of Cyclic Imides by Acceptorless Dehydrogenative Coupling of Diols and Amines Catalyzed by a Manganese Pincer Complex","type":"article-journal","volume":"139"},"uris":["http://www.mendeley.com/documents/?uuid=a39ed37f-3fef-367c-8e97-bfcc19760173"]}],"mendeley":{"formattedCitation":"&lt;sup&gt;4&lt;/sup&gt;","plainTextFormattedCitation":"4","previouslyFormattedCitation":"&lt;sup&gt;4&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4</w:t>
      </w:r>
      <w:r w:rsidR="005D7ADD" w:rsidRPr="00344D87">
        <w:rPr>
          <w:vertAlign w:val="superscript"/>
        </w:rPr>
        <w:fldChar w:fldCharType="end"/>
      </w:r>
      <w:r w:rsidR="005D7ADD" w:rsidRPr="00344D87">
        <w:t xml:space="preserve"> anxiolytics,</w:t>
      </w:r>
      <w:r w:rsidR="005D7ADD" w:rsidRPr="00344D87">
        <w:rPr>
          <w:vertAlign w:val="superscript"/>
        </w:rPr>
        <w:fldChar w:fldCharType="begin" w:fldLock="1"/>
      </w:r>
      <w:r w:rsidR="00BA4B30">
        <w:rPr>
          <w:vertAlign w:val="superscript"/>
        </w:rPr>
        <w:instrText>ADDIN CSL_CITATION {"citationItems":[{"id":"ITEM-1","itemData":{"DOI":"10.1021/jm00275a009","ISSN":"0022-2623","abstract":"A series of 8-(4-pyridyl- and 4-pyrimidinyl-l-piperazinylalkyl)-8-azaspiro[4.5]decane-7, 9-diones was synthesized for psychotropic studies. In testing for suppression of conditioned avoidance response in rats, several compds (3, 6, 8) demonstrated tranquilizing potencies and selectivities equal to or better than the corresponding properties of chlorpromazine. Their tranquilizing actions (3 and 6) were confirmed in monkeys. These compounds are outstanding in having extremely low sedative and a-adrenergic blocking side effects. © 1972, American Chemical Society. All rights reserved.","author":[{"dropping-particle":"","family":"Wu","given":"Yao-Hua","non-dropping-particle":"","parse-names":false,"suffix":""},{"dropping-particle":"","family":"Rayburn","given":"J. W.","non-dropping-particle":"","parse-names":false,"suffix":""},{"dropping-particle":"","family":"Allen","given":"L. E.","non-dropping-particle":"","parse-names":false,"suffix":""},{"dropping-particle":"","family":"Ferguson","given":"H. C.","non-dropping-particle":"","parse-names":false,"suffix":""},{"dropping-particle":"","family":"Kissel","given":"J. W.","non-dropping-particle":"","parse-names":false,"suffix":""}],"container-title":"Journal of Medicinal Chemistry","id":"ITEM-1","issue":"5","issued":{"date-parts":[["1972","5","1"]]},"page":"477-479","publisher":"American Chemical Society","title":"Psychosedative agents. 2. 8-(4-Substituted 1-piperazinylalkyl)-8-azaspiro[4.5]decane-7,9-diones","type":"article-journal","volume":"15"},"uris":["http://www.mendeley.com/documents/?uuid=d835c624-19d4-356e-98d7-3371194c3de2"]}],"mendeley":{"formattedCitation":"&lt;sup&gt;5&lt;/sup&gt;","plainTextFormattedCitation":"5","previouslyFormattedCitation":"&lt;sup&gt;5&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5</w:t>
      </w:r>
      <w:r w:rsidR="005D7ADD" w:rsidRPr="00344D87">
        <w:rPr>
          <w:vertAlign w:val="superscript"/>
        </w:rPr>
        <w:fldChar w:fldCharType="end"/>
      </w:r>
      <w:r w:rsidR="005D7ADD" w:rsidRPr="00344D87">
        <w:t xml:space="preserve"> anti-inflammatories,</w:t>
      </w:r>
      <w:r w:rsidR="005D7ADD" w:rsidRPr="00344D87">
        <w:rPr>
          <w:vertAlign w:val="superscript"/>
        </w:rPr>
        <w:fldChar w:fldCharType="begin" w:fldLock="1"/>
      </w:r>
      <w:r w:rsidR="00BA4B30">
        <w:rPr>
          <w:vertAlign w:val="superscript"/>
        </w:rPr>
        <w:instrText>ADDIN CSL_CITATION {"citationItems":[{"id":"ITEM-1","itemData":{"DOI":"10.1016/j.ejmech.2011.02.013","ISSN":"02235234","abstract":"A group of cyclic imides (1e13) was designed for evaluation as selective COX-2 inhibitors and investigated in vivo for their anti-inflammatory activities using carrageenan-induced rat paw edema model. Compounds 5b, 6b, 11b, 11c, 12b and 12c were proved to be potent COX-2 inhibitors with IC 50 range of 0.1 e1.0 mM. In vitro COX-1/COX-2 inhibition structureeactivity studies identified compound 5b as a highly potent (IC 50 ¼ 0.1 mM), and an extremely selective [COX-2 (SI) ¼ 400] comparable to celecoxib [COX-2 (SI) &gt; 333.3], COX-2 inhibitor that showed superior anti-inflammatory activity (ED 50 ¼ 104 mg/kg) relative to diclofenac (ED 50 ¼ 114 mg/kg). A Virtual screening was carried out through docking the designed compounds into the COX-2 binding site to predict if these compounds have analogous binding mode to the COX-2 inhibitors. Molecular modeling (docking) study showed that the CH 3 O substituents of 5b inserted deep inside the 2-pocket of the COX-2 active site, where the O-atoms of such group underwent a H-bonding interaction with His 90 (2.43, 2.83 Å), Arg 513 (2.89 Å) and Tyr 355 (3.34 Å). Docking study of the synthesized compound 5b into the active site of COX-2 revealed a similar binding mode to SC-558, a selective COX","author":[{"dropping-particle":"","family":"Abdel-Aziz","given":"Alaa A.-M.","non-dropping-particle":"","parse-names":false,"suffix":""},{"dropping-particle":"","family":"ElTahir","given":"Kamal E.H.","non-dropping-particle":"","parse-names":false,"suffix":""},{"dropping-particle":"","family":"Asiri","given":"Yousif A","non-dropping-particle":"","parse-names":false,"suffix":""}],"container-title":"European Journal of Medicinal Chemistry","id":"ITEM-1","issue":"5","issued":{"date-parts":[["2011","5"]]},"page":"1648-1655","title":"Synthesis, anti-inflammatory activity and COX-1/COX-2 inhibition of novel substituted cyclic imides. Part 1: Molecular docking study","type":"article-journal","volume":"46"},"uris":["http://www.mendeley.com/documents/?uuid=ea85d436-b79a-3c35-bba7-6319ad345f4a"]}],"mendeley":{"formattedCitation":"&lt;sup&gt;6&lt;/sup&gt;","plainTextFormattedCitation":"6","previouslyFormattedCitation":"&lt;sup&gt;6&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6</w:t>
      </w:r>
      <w:r w:rsidR="005D7ADD" w:rsidRPr="00344D87">
        <w:rPr>
          <w:vertAlign w:val="superscript"/>
        </w:rPr>
        <w:fldChar w:fldCharType="end"/>
      </w:r>
      <w:r w:rsidR="005D7ADD" w:rsidRPr="00344D87">
        <w:t xml:space="preserve"> antivirals,</w:t>
      </w:r>
      <w:r w:rsidR="005D7ADD" w:rsidRPr="00344D87">
        <w:rPr>
          <w:vertAlign w:val="superscript"/>
        </w:rPr>
        <w:fldChar w:fldCharType="begin" w:fldLock="1"/>
      </w:r>
      <w:r w:rsidR="00BA4B30">
        <w:rPr>
          <w:vertAlign w:val="superscript"/>
        </w:rPr>
        <w:instrText>ADDIN CSL_CITATION {"citationItems":[{"id":"ITEM-1","itemData":{"DOI":"10.1021/jm049559q","ISSN":"0022-2623","abstract":"Human immunodeficiency virus type-1 integrase is an essential enzyme for effective viral replication and hence a valid target for the design of inhibitors. We report here on the design and synthesis of a novel series of phthalimide analogues as integrase inhibitors. The short synthetic pathway enabled us to synthesize a series of analogues with a defined structure diversity. The presence of a single carbonyl-hydroxy-aromatic nitrogen motif was shown to be essential for the enzymatic activity and this was confirmed by molecular docking studies. The enzymatically most active compound from this series is 7-(3,4-dichlorobenzyl)-5,9-dihydroxypyrrolo[3,4-g]quinoxaline-6,8- dione (15l) with an IC50 value of 112 nM on the HIV-1 integrase enzyme, while ((7-(4-chlorobenzyl)-5,9-dihydroxy-pyirolo[3,4-g]quinoxaline-6,8- dione (15k)) showed an EC50 of 270 nM against HIV-1 in a cell-based assay. © 2005 American Chemical Society.","author":[{"dropping-particle":"","family":"Verschueren","given":"Wim G.","non-dropping-particle":"","parse-names":false,"suffix":""},{"dropping-particle":"","family":"Dierynck","given":"Inge","non-dropping-particle":"","parse-names":false,"suffix":""},{"dropping-particle":"","family":"Amssoms","given":"Katie I. E.","non-dropping-particle":"","parse-names":false,"suffix":""},{"dropping-particle":"","family":"Hu","given":"Lili","non-dropping-particle":"","parse-names":false,"suffix":""},{"dropping-particle":"","family":"Boonants","given":"Paul M. J. G.","non-dropping-particle":"","parse-names":false,"suffix":""},{"dropping-particle":"","family":"Pille","given":"Geert M. E.","non-dropping-particle":"","parse-names":false,"suffix":""},{"dropping-particle":"","family":"Daeyaert","given":"Frits F. D.","non-dropping-particle":"","parse-names":false,"suffix":""},{"dropping-particle":"","family":"Hertogs","given":"Kurt","non-dropping-particle":"","parse-names":false,"suffix":""},{"dropping-particle":"","family":"Surleraux","given":"Dominique L. N. G.","non-dropping-particle":"","parse-names":false,"suffix":""},{"dropping-particle":"","family":"Wigerinck","given":"Piet B. T. P.","non-dropping-particle":"","parse-names":false,"suffix":""}],"container-title":"Journal of Medicinal Chemistry","id":"ITEM-1","issue":"6","issued":{"date-parts":[["2005","3","24"]]},"page":"1930-1940","publisher":"American Chemical Society","title":"Design and Optimization of Tricyclic Phtalimide Analogues as Novel Inhibitors of HIV-1 Integrase","type":"article-journal","volume":"48"},"uris":["http://www.mendeley.com/documents/?uuid=104cdb4f-99ab-379e-8e14-fb4801751fbd"]}],"mendeley":{"formattedCitation":"&lt;sup&gt;7&lt;/sup&gt;","plainTextFormattedCitation":"7","previouslyFormattedCitation":"&lt;sup&gt;7&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7</w:t>
      </w:r>
      <w:r w:rsidR="005D7ADD" w:rsidRPr="00344D87">
        <w:rPr>
          <w:vertAlign w:val="superscript"/>
        </w:rPr>
        <w:fldChar w:fldCharType="end"/>
      </w:r>
      <w:r w:rsidR="005D7ADD" w:rsidRPr="00344D87">
        <w:t xml:space="preserve"> antibacterials,</w:t>
      </w:r>
      <w:r w:rsidR="005D7ADD" w:rsidRPr="00344D87">
        <w:rPr>
          <w:vertAlign w:val="superscript"/>
        </w:rPr>
        <w:fldChar w:fldCharType="begin" w:fldLock="1"/>
      </w:r>
      <w:r w:rsidR="00BA4B30">
        <w:rPr>
          <w:vertAlign w:val="superscript"/>
        </w:rPr>
        <w:instrText>ADDIN CSL_CITATION {"citationItems":[{"id":"ITEM-1","itemData":{"DOI":"10.1016/j.bmcl.2011.05.042","ISSN":"0960894X","abstract":"Naphthalimide-derived azoles as a new type of antimicrobial agents were synthesized and evaluated for their efficiency in vitro against eight bacteria and two fungi by two fold serial dilution technique. Most title compounds exhibited good antimicrobial potency with low MIC values ranging from 1 to 16 lg/ mL. Notably, some synthesized compounds displayed comparable or even better antibacterial and anti-fungal activities against some tested strains than the reference drugs Orbifloxacin, Chloromycin and Fluconazole, respectively.","author":[{"dropping-particle":"","family":"Zhang","given":"Yi-Yi","non-dropping-particle":"","parse-names":false,"suffix":""},{"dropping-particle":"","family":"Zhou","given":"Cheng-He","non-dropping-particle":"","parse-names":false,"suffix":""}],"container-title":"Bioorganic &amp; Medicinal Chemistry Letters","id":"ITEM-1","issue":"14","issued":{"date-parts":[["2011","7"]]},"page":"4349-4352","title":"Synthesis and activities of naphthalimide azoles as a new type of antibacterial and antifungal agents","type":"article-journal","volume":"21"},"uris":["http://www.mendeley.com/documents/?uuid=71533d61-9c4c-371c-8f30-c82b023fc542"]}],"mendeley":{"formattedCitation":"&lt;sup&gt;8&lt;/sup&gt;","plainTextFormattedCitation":"8","previouslyFormattedCitation":"&lt;sup&gt;8&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8</w:t>
      </w:r>
      <w:r w:rsidR="005D7ADD" w:rsidRPr="00344D87">
        <w:rPr>
          <w:vertAlign w:val="superscript"/>
        </w:rPr>
        <w:fldChar w:fldCharType="end"/>
      </w:r>
      <w:r w:rsidR="005D7ADD" w:rsidRPr="00344D87">
        <w:t xml:space="preserve"> antimicrobials</w:t>
      </w:r>
      <w:r w:rsidR="005D7ADD" w:rsidRPr="00344D87">
        <w:rPr>
          <w:vertAlign w:val="superscript"/>
        </w:rPr>
        <w:fldChar w:fldCharType="begin" w:fldLock="1"/>
      </w:r>
      <w:r w:rsidR="00BA4B30">
        <w:rPr>
          <w:vertAlign w:val="superscript"/>
        </w:rPr>
        <w:instrText>ADDIN CSL_CITATION {"citationItems":[{"id":"ITEM-1","itemData":{"DOI":"10.1016/S0014-827X(02)01217-X","ISSN":"0014827X","abstract":"In the field of our research programs concerning novel antimicrobial agents, a series of N-substituted imides was synthesized. These compounds were obtained by cyclization of amido-acids in acetic anhydride/sodium acetate or hexamethyldisilazane/zinc bromide for the hydroxy-aromatic derivatives. The hydroxy-alkyl maleimides were directly prepared by condensation of the corresponding amino-alcohol with maleic anhydride in boiling toluene. Most of N-substituted maleimides showed an interesting antimicrobial activity towards bacteria from the ATCC collection (Staphylococcus aureus ATCC 25923, Enterococcus faecalis ATCC 29212, Escherichia coli ATCC 25922 and Pseudomonas aeruginosa ATCC 27853) but the MIC values for P. aeruginosa were always high (128 μg/ml). The imides with alkyl substituents showed higher activities than aromatic analogues with MIC values in the range of 8-32 μg/ml. Comparatively, succinimides were practically inactive. © 2002 Published by Éditions scientifiques et médicales Elsevier SAS.","author":[{"dropping-particle":"","family":"Zentz","given":"Frederic","non-dropping-particle":"","parse-names":false,"suffix":""},{"dropping-particle":"","family":"Valla","given":"Alain","non-dropping-particle":"","parse-names":false,"suffix":""},{"dropping-particle":"","family":"Guillou","given":"Regis","non-dropping-particle":"Le","parse-names":false,"suffix":""},{"dropping-particle":"","family":"Labia","given":"Roger","non-dropping-particle":"","parse-names":false,"suffix":""},{"dropping-particle":"","family":"Mathot","given":"Anne-Gabrielle","non-dropping-particle":"","parse-names":false,"suffix":""},{"dropping-particle":"","family":"Sirot","given":"Danielle","non-dropping-particle":"","parse-names":false,"suffix":""}],"container-title":"Il Farmaco","id":"ITEM-1","issue":"5","issued":{"date-parts":[["2002","4","10"]]},"page":"421-426","title":"Synthesis and antimicrobial activities of N-substituted imides","type":"article-journal","volume":"57"},"uris":["http://www.mendeley.com/documents/?uuid=b227ef76-a672-3123-af80-2cfe795519ae"]}],"mendeley":{"formattedCitation":"&lt;sup&gt;9&lt;/sup&gt;","plainTextFormattedCitation":"9","previouslyFormattedCitation":"&lt;sup&gt;9&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9</w:t>
      </w:r>
      <w:r w:rsidR="005D7ADD" w:rsidRPr="00344D87">
        <w:rPr>
          <w:vertAlign w:val="superscript"/>
        </w:rPr>
        <w:fldChar w:fldCharType="end"/>
      </w:r>
      <w:r w:rsidR="005D7ADD" w:rsidRPr="00344D87">
        <w:t xml:space="preserve"> and carcinostatics.</w:t>
      </w:r>
      <w:r w:rsidR="005D7ADD" w:rsidRPr="00344D87">
        <w:rPr>
          <w:vertAlign w:val="superscript"/>
        </w:rPr>
        <w:fldChar w:fldCharType="begin" w:fldLock="1"/>
      </w:r>
      <w:r w:rsidR="00BA4B30">
        <w:rPr>
          <w:vertAlign w:val="superscript"/>
        </w:rPr>
        <w:instrText>ADDIN CSL_CITATION {"citationItems":[{"id":"ITEM-1","itemData":{"DOI":"10.1016/j.bmc.2011.09.008","ISSN":"09680896","abstract":"Cyclic imides are a large class of compounds obtained by organic synthesis including several sub-classes (succinimides maleimide, glutarimide, phthalimides naphtalimides, and its derivatives). Recently, some cyclic imide derivatives have shown important results as potential antitumor agents, as a Mitonafide and Amonafide. Based on this fact, we have studied antitumoral properties of nine cyclic imide derivatives, four of which are unpublished compounds, against Murine Melanoma Cells (B16F10). Initially, the MTT assay was used to select the compound with the best cytotoxic potential. After this selection, the compound 2-benzyl-1H-benzo[de]isoquinoline-1,3(2H)-dione (4), which showed the best cytotoxic effects, was evaluated by flow cytometry, and a significant increase was observed in the proportion of cells in the subG0/G1, S and G2/M phases accompanied by a significant decrease in the G0/G1 phases. Then the mechanism involved on the death route (necrosis or apoptosis) was evaluated the by bromide and acridine orange method and by an Annexin V-FITC Apoptosis Detection kit. These results confirm that the percentage of B16F10 cells observed in the sub G0/G1 phase were undergoing apoptosis. The biological effects observed in the current study for the cyclic imide derivatives suggested promising applications, especially for the prototype compound 4. © 2011 Elsevier Ltd. All rights reserved.","author":[{"dropping-particle":"","family":"Machado","given":"Karina Elisa","non-dropping-particle":"","parse-names":false,"suffix":""},{"dropping-particle":"de","family":"Oliveira","given":"Kely Navakoski","non-dropping-particle":"","parse-names":false,"suffix":""},{"dropping-particle":"","family":"Santos-Bubniak","given":"Lorena","non-dropping-particle":"","parse-names":false,"suffix":""},{"dropping-particle":"","family":"Licínio","given":"Marley Aparecida","non-dropping-particle":"","parse-names":false,"suffix":""},{"dropping-particle":"","family":"Nunes","given":"Ricardo José","non-dropping-particle":"","parse-names":false,"suffix":""},{"dropping-particle":"","family":"Santos-Silva","given":"Maria Cláudia","non-dropping-particle":"","parse-names":false,"suffix":""}],"container-title":"Bioorganic &amp; Medicinal Chemistry","id":"ITEM-1","issue":"21","issued":{"date-parts":[["2011","11","1"]]},"page":"6285-6291","publisher":"Elsevier Ltd","title":"Evaluation of apoptotic effect of cyclic imide derivatives on murine B16F10 melanoma cells","type":"article-journal","volume":"19"},"uris":["http://www.mendeley.com/documents/?uuid=0c3754b7-c37a-310d-8841-722ccb81f1f8"]}],"mendeley":{"formattedCitation":"&lt;sup&gt;10&lt;/sup&gt;","plainTextFormattedCitation":"10","previouslyFormattedCitation":"&lt;sup&gt;10&lt;/sup&gt;"},"properties":{"noteIndex":0},"schema":"https://github.com/citation-style-language/schema/raw/master/csl-citation.json"}</w:instrText>
      </w:r>
      <w:r w:rsidR="005D7ADD" w:rsidRPr="00344D87">
        <w:rPr>
          <w:vertAlign w:val="superscript"/>
        </w:rPr>
        <w:fldChar w:fldCharType="separate"/>
      </w:r>
      <w:r w:rsidR="00BA4B30" w:rsidRPr="00BA4B30">
        <w:rPr>
          <w:noProof/>
          <w:vertAlign w:val="superscript"/>
        </w:rPr>
        <w:t>10</w:t>
      </w:r>
      <w:r w:rsidR="005D7ADD" w:rsidRPr="00344D87">
        <w:rPr>
          <w:vertAlign w:val="superscript"/>
        </w:rPr>
        <w:fldChar w:fldCharType="end"/>
      </w:r>
      <w:r w:rsidR="005D7ADD" w:rsidRPr="00344D87">
        <w:t xml:space="preserve"> Notab</w:t>
      </w:r>
      <w:r w:rsidR="005D7ADD" w:rsidRPr="00BE14B2">
        <w:t xml:space="preserve">le therapeutic examples include thalidomide </w:t>
      </w:r>
      <w:r w:rsidR="005D7ADD" w:rsidRPr="007F797E">
        <w:rPr>
          <w:b/>
        </w:rPr>
        <w:t>1</w:t>
      </w:r>
      <w:r w:rsidR="005D7ADD" w:rsidRPr="00BE14B2">
        <w:t xml:space="preserve">, phensuximide </w:t>
      </w:r>
      <w:r w:rsidR="005D7ADD">
        <w:rPr>
          <w:b/>
        </w:rPr>
        <w:t>2</w:t>
      </w:r>
      <w:r w:rsidR="005D7ADD" w:rsidRPr="00BE14B2">
        <w:t xml:space="preserve">, lenalidomide </w:t>
      </w:r>
      <w:r w:rsidR="005D7ADD">
        <w:rPr>
          <w:b/>
        </w:rPr>
        <w:t>3</w:t>
      </w:r>
      <w:r w:rsidR="005D7ADD" w:rsidRPr="00BE14B2">
        <w:t xml:space="preserve"> and fluorouracil </w:t>
      </w:r>
      <w:r w:rsidR="005D7ADD">
        <w:rPr>
          <w:b/>
        </w:rPr>
        <w:t>4</w:t>
      </w:r>
      <w:r w:rsidR="005D7ADD" w:rsidRPr="00BE14B2">
        <w:t xml:space="preserve"> (</w:t>
      </w:r>
      <w:r w:rsidR="005D7ADD" w:rsidRPr="00735AC6">
        <w:rPr>
          <w:b/>
        </w:rPr>
        <w:t>Figure 1</w:t>
      </w:r>
      <w:r w:rsidR="005D7ADD" w:rsidRPr="00BE14B2">
        <w:t>).</w:t>
      </w:r>
      <w:r w:rsidR="005D7ADD" w:rsidRPr="008E63FB">
        <w:t xml:space="preserve"> </w:t>
      </w:r>
    </w:p>
    <w:p w:rsidR="00F84267" w:rsidRDefault="005D7ADD" w:rsidP="0052532F">
      <w:pPr>
        <w:pStyle w:val="ElsParagraph"/>
      </w:pPr>
      <w:r w:rsidRPr="003C0617">
        <w:t xml:space="preserve">Cantharidin </w:t>
      </w:r>
      <w:r>
        <w:rPr>
          <w:b/>
        </w:rPr>
        <w:t>5</w:t>
      </w:r>
      <w:r w:rsidRPr="003C0617">
        <w:t xml:space="preserve">, </w:t>
      </w:r>
      <w:r w:rsidRPr="003C0617">
        <w:rPr>
          <w:i/>
        </w:rPr>
        <w:t>exo</w:t>
      </w:r>
      <w:r w:rsidRPr="003C0617">
        <w:t>,</w:t>
      </w:r>
      <w:r w:rsidRPr="003C0617">
        <w:rPr>
          <w:i/>
        </w:rPr>
        <w:t>exo</w:t>
      </w:r>
      <w:r w:rsidRPr="003C0617">
        <w:t>-2,3,-dimethyl-7-oxabicyclo[2.2.1]</w:t>
      </w:r>
      <w:r>
        <w:t xml:space="preserve"> </w:t>
      </w:r>
      <w:r w:rsidRPr="003C0617">
        <w:t>heptane-2,3,dicarboxylic acid anhydride, and the</w:t>
      </w:r>
      <w:r>
        <w:t xml:space="preserve"> cyclic</w:t>
      </w:r>
      <w:r w:rsidRPr="003C0617">
        <w:t xml:space="preserve"> </w:t>
      </w:r>
      <w:r>
        <w:t>imide analogue</w:t>
      </w:r>
      <w:r w:rsidRPr="003C0617">
        <w:t xml:space="preserve"> cantharimide </w:t>
      </w:r>
      <w:r>
        <w:rPr>
          <w:b/>
        </w:rPr>
        <w:t>6</w:t>
      </w:r>
      <w:r w:rsidRPr="003C0617">
        <w:t xml:space="preserve"> </w:t>
      </w:r>
      <w:r>
        <w:t xml:space="preserve">are natural products found within the Mylabris genus of the Meloidae family of Chinese blister </w:t>
      </w:r>
      <w:r w:rsidRPr="00344D87">
        <w:t>beetles</w:t>
      </w:r>
      <w:r>
        <w:t>;</w:t>
      </w:r>
      <w:r w:rsidRPr="00344D87">
        <w:fldChar w:fldCharType="begin" w:fldLock="1"/>
      </w:r>
      <w:r w:rsidR="00BA4B30">
        <w:instrText>ADDIN CSL_CITATION {"citationItems":[{"id":"ITEM-1","itemData":{"DOI":"10.1111/cbdd.12180","ISSN":"17470277","abstract":"Chemical and pharmacological information on cantharidin-based small molecules was analyzed. The review summarizes new facts about blister beetles' metabolites for the period 2006-2012. General synthetic approaches to cantharidin-based small molecules as well as their chemical transformations and biological activities related to cantharidin, norcantharidin, cantharidimide, and norcantharimide analogs, especially their inhibitory activity of phosphoprotein phosphatases in cancer treatment, were discussed in this mini review, which could help to design new small molecule modulators for other biological models. Chemical and pharmacological information on cantharidin-based SMs was analyzed. The review summarizes new facts about blister beetles metabolites for the period 2006-2012. General synthetic approaches to cantharidin-based small molecules as well as its chemical transformations and potential biological applications were discussed in this mini review that could help to design new SMs modulators from other biological models. © 2013 John Wiley &amp; Sons A/S.","author":[{"dropping-particle":"","family":"Puerto Galvis","given":"Carlos E.","non-dropping-particle":"","parse-names":false,"suffix":""},{"dropping-particle":"","family":"Vargas Méndez","given":"Leonor Y.","non-dropping-particle":"","parse-names":false,"suffix":""},{"dropping-particle":"V.","family":"Kouznetsov","given":"Vladimir","non-dropping-particle":"","parse-names":false,"suffix":""}],"container-title":"Chemical Biology &amp; Drug Design","id":"ITEM-1","issue":"5","issued":{"date-parts":[["2013","11","1"]]},"page":"477-499","publisher":"John Wiley &amp; Sons, Ltd","title":"Cantharidin-Based Small Molecules as Potential Therapeutic Agents","type":"article-journal","volume":"82"},"uris":["http://www.mendeley.com/documents/?uuid=8ad03f86-2155-3133-bdb8-94844834697c"]}],"mendeley":{"formattedCitation":"&lt;sup&gt;11&lt;/sup&gt;","plainTextFormattedCitation":"11","previouslyFormattedCitation":"&lt;sup&gt;11&lt;/sup&gt;"},"properties":{"noteIndex":0},"schema":"https://github.com/citation-style-language/schema/raw/master/csl-citation.json"}</w:instrText>
      </w:r>
      <w:r w:rsidRPr="00344D87">
        <w:fldChar w:fldCharType="separate"/>
      </w:r>
      <w:r w:rsidR="00BA4B30" w:rsidRPr="00BA4B30">
        <w:rPr>
          <w:noProof/>
          <w:vertAlign w:val="superscript"/>
        </w:rPr>
        <w:t>11</w:t>
      </w:r>
      <w:r w:rsidRPr="00344D87">
        <w:fldChar w:fldCharType="end"/>
      </w:r>
      <w:r>
        <w:t xml:space="preserve"> the dried bodies of which have been widely utilized within Chinese traditional medicine for over 2000 years for a range of </w:t>
      </w:r>
      <w:r w:rsidRPr="00344D87">
        <w:t>ailments.</w:t>
      </w:r>
      <w:r w:rsidRPr="00344D87">
        <w:fldChar w:fldCharType="begin" w:fldLock="1"/>
      </w:r>
      <w:r w:rsidR="00BA4B30">
        <w:instrText>ADDIN CSL_CITATION {"citationItems":[{"id":"ITEM-1","itemData":{"DOI":"10.1016/0378-8741(89)90062-7","ISSN":"03788741","abstract":"Mylabris is the dried body of the Chinese blister beetle. The species used in medicine are Mylabris phalerata and M. cichorii. The use of mylabris as a traditional medicine in China can be traced back more than 2000 years, and it is still used as a folk medicine today. In recent studies, it has been found that mylabris possesses antitumor properties, increases the number of leucocytes, and has irritant effects on the urinary organs. The active constituent of mylabris is cantharidin. The synthesis of cantharidin is rather difficult. In order to find a less toxic analogue of cantharidin, its hydrolytic compound, disodium cantharidate, and its demethylated form, norcantharidin, were prepared. By biochemical and biological methods, it was found that these compoundsmay affect cancer cells in several ways. In clinical studies, antihepatoma effectiveness sequentially increased from cantharidin to disodium cantharidate to norcantharidin. Disodium cantharidate showed less urinary irritation than cantharidin while norcantharidin showed little to no such irritation. It appears that the two methyl groups of cantharidin are not the main functional groups for antitumor activity and for the stimulation of bone marrow but are associated with urinary irritation. Hydrocantharidimide, methylcantharidimide and dehydronorcantharidin have also been studied. All these compounds, except the last one, have been produced as antitumor agents in China. Since demethylated cantharidin may be prepared by total synthesis, it may be more suitable for medical investigation than cantharidin itself. © 1989.","author":[{"dropping-particle":"","family":"Wang","given":"Guang-Sheng","non-dropping-particle":"","parse-names":false,"suffix":""}],"container-title":"Journal of Ethnopharmacology","id":"ITEM-1","issue":"2","issued":{"date-parts":[["1989","9"]]},"page":"147-162","title":"Medical uses of mylabris in ancient China and recent studies","type":"article-journal","volume":"26"},"uris":["http://www.mendeley.com/documents/?uuid=89b3cd5c-d657-3a0c-b653-1f6e7b1bd223"]}],"mendeley":{"formattedCitation":"&lt;sup&gt;12&lt;/sup&gt;","plainTextFormattedCitation":"12","previouslyFormattedCitation":"&lt;sup&gt;12&lt;/sup&gt;"},"properties":{"noteIndex":0},"schema":"https://github.com/citation-style-language/schema/raw/master/csl-citation.json"}</w:instrText>
      </w:r>
      <w:r w:rsidRPr="00344D87">
        <w:fldChar w:fldCharType="separate"/>
      </w:r>
      <w:r w:rsidR="00BA4B30" w:rsidRPr="00BA4B30">
        <w:rPr>
          <w:noProof/>
          <w:vertAlign w:val="superscript"/>
        </w:rPr>
        <w:t>12</w:t>
      </w:r>
      <w:r w:rsidRPr="00344D87">
        <w:fldChar w:fldCharType="end"/>
      </w:r>
      <w:r w:rsidRPr="00344D87">
        <w:t xml:space="preserve"> Of particular interest is the cytotoxicity of cantharidin </w:t>
      </w:r>
      <w:r w:rsidRPr="00344D87">
        <w:rPr>
          <w:b/>
        </w:rPr>
        <w:t>5</w:t>
      </w:r>
      <w:r w:rsidRPr="00344D87">
        <w:t>, first reported in 1264</w:t>
      </w:r>
      <w:r>
        <w:t>,</w:t>
      </w:r>
      <w:r w:rsidRPr="00344D87">
        <w:fldChar w:fldCharType="begin" w:fldLock="1"/>
      </w:r>
      <w:r w:rsidR="00BA4B30">
        <w:instrText>ADDIN CSL_CITATION {"citationItems":[{"id":"ITEM-1","itemData":{"DOI":"10.1016/0378-8741(89)90062-7","ISSN":"03788741","abstract":"Mylabris is the dried body of the Chinese blister beetle. The species used in medicine are Mylabris phalerata and M. cichorii. The use of mylabris as a traditional medicine in China can be traced back more than 2000 years, and it is still used as a folk medicine today. In recent studies, it has been found that mylabris possesses antitumor properties, increases the number of leucocytes, and has irritant effects on the urinary organs. The active constituent of mylabris is cantharidin. The synthesis of cantharidin is rather difficult. In order to find a less toxic analogue of cantharidin, its hydrolytic compound, disodium cantharidate, and its demethylated form, norcantharidin, were prepared. By biochemical and biological methods, it was found that these compoundsmay affect cancer cells in several ways. In clinical studies, antihepatoma effectiveness sequentially increased from cantharidin to disodium cantharidate to norcantharidin. Disodium cantharidate showed less urinary irritation than cantharidin while norcantharidin showed little to no such irritation. It appears that the two methyl groups of cantharidin are not the main functional groups for antitumor activity and for the stimulation of bone marrow but are associated with urinary irritation. Hydrocantharidimide, methylcantharidimide and dehydronorcantharidin have also been studied. All these compounds, except the last one, have been produced as antitumor agents in China. Since demethylated cantharidin may be prepared by total synthesis, it may be more suitable for medical investigation than cantharidin itself. © 1989.","author":[{"dropping-particle":"","family":"Wang","given":"Guang-Sheng","non-dropping-particle":"","parse-names":false,"suffix":""}],"container-title":"Journal of Ethnopharmacology","id":"ITEM-1","issue":"2","issued":{"date-parts":[["1989","9"]]},"page":"147-162","title":"Medical uses of mylabris in ancient China and recent studies","type":"article-journal","volume":"26"},"uris":["http://www.mendeley.com/documents/?uuid=89b3cd5c-d657-3a0c-b653-1f6e7b1bd223"]}],"mendeley":{"formattedCitation":"&lt;sup&gt;12&lt;/sup&gt;","plainTextFormattedCitation":"12","previouslyFormattedCitation":"&lt;sup&gt;12&lt;/sup&gt;"},"properties":{"noteIndex":0},"schema":"https://github.com/citation-style-language/schema/raw/master/csl-citation.json"}</w:instrText>
      </w:r>
      <w:r w:rsidRPr="00344D87">
        <w:fldChar w:fldCharType="separate"/>
      </w:r>
      <w:r w:rsidR="00BA4B30" w:rsidRPr="00BA4B30">
        <w:rPr>
          <w:noProof/>
          <w:vertAlign w:val="superscript"/>
        </w:rPr>
        <w:t>12</w:t>
      </w:r>
      <w:r w:rsidRPr="00344D87">
        <w:fldChar w:fldCharType="end"/>
      </w:r>
      <w:r w:rsidRPr="00344D87">
        <w:t xml:space="preserve"> </w:t>
      </w:r>
      <w:r>
        <w:t>which</w:t>
      </w:r>
      <w:r w:rsidRPr="00344D87">
        <w:t xml:space="preserve"> has since been found to be active against a number of human cancer cell lines, particularly liver and esophagus carcinoma</w:t>
      </w:r>
      <w:r>
        <w:t>.</w:t>
      </w:r>
      <w:r w:rsidRPr="00344D87">
        <w:fldChar w:fldCharType="begin" w:fldLock="1"/>
      </w:r>
      <w:r w:rsidR="00BA4B30">
        <w:instrText>ADDIN CSL_CITATION {"citationItems":[{"id":"ITEM-1","itemData":{"DOI":"10.1016/j.bmcl.2006.12.039","ISSN":"0960894X","abstract":"A remarkable control of the potency of cantharimide is described based on the electronic properties of functional group and it exhibits a relatively less toxic effect to the non-malignant hematological disorder bone marrow cells. © 2006 Elsevier Ltd. All rights reserved.","author":[{"dropping-particle":"","family":"Kok","given":"Stanton Hon Lung","non-dropping-particle":"","parse-names":false,"suffix":""},{"dropping-particle":"","family":"Chui","given":"Chung Hin","non-dropping-particle":"","parse-names":false,"suffix":""},{"dropping-particle":"","family":"Lam","given":"Wing Sze","non-dropping-particle":"","parse-names":false,"suffix":""},{"dropping-particle":"","family":"Chen","given":"Jien","non-dropping-particle":"","parse-names":false,"suffix":""},{"dropping-particle":"","family":"Lau","given":"Fung Yi","non-dropping-particle":"","parse-names":false,"suffix":""},{"dropping-particle":"","family":"Wong","given":"Raymond Siu Ming","non-dropping-particle":"","parse-names":false,"suffix":""},{"dropping-particle":"","family":"Cheng","given":"Gregory Yin Ming","non-dropping-particle":"","parse-names":false,"suffix":""},{"dropping-particle":"","family":"Lai","given":"Paul Bo San","non-dropping-particle":"","parse-names":false,"suffix":""},{"dropping-particle":"","family":"Leung","given":"Thomas Wai Tong","non-dropping-particle":"","parse-names":false,"suffix":""},{"dropping-particle":"","family":"Yu","given":"Michael Wing Yiu","non-dropping-particle":"","parse-names":false,"suffix":""},{"dropping-particle":"","family":"Tang","given":"Johnny Cheuk On","non-dropping-particle":"","parse-names":false,"suffix":""},{"dropping-particle":"","family":"Chan","given":"Albert Sun Chi","non-dropping-particle":"","parse-names":false,"suffix":""}],"container-title":"Bioorganic &amp; Medicinal Chemistry Letters","id":"ITEM-1","issue":"5","issued":{"date-parts":[["2007","3","1"]]},"page":"1155-1159","title":"Synthesis and structure evaluation of a novel cantharimide and its cytotoxicity on SK-Hep-1 hepatoma cells","type":"article-journal","volume":"17"},"uris":["http://www.mendeley.com/documents/?uuid=4125514c-bbb0-376f-8544-c8c3851887e7"]}],"mendeley":{"formattedCitation":"&lt;sup&gt;13&lt;/sup&gt;","plainTextFormattedCitation":"13","previouslyFormattedCitation":"&lt;sup&gt;13&lt;/sup&gt;"},"properties":{"noteIndex":0},"schema":"https://github.com/citation-style-language/schema/raw/master/csl-citation.json"}</w:instrText>
      </w:r>
      <w:r w:rsidRPr="00344D87">
        <w:fldChar w:fldCharType="separate"/>
      </w:r>
      <w:r w:rsidR="00BA4B30" w:rsidRPr="00BA4B30">
        <w:rPr>
          <w:noProof/>
          <w:vertAlign w:val="superscript"/>
        </w:rPr>
        <w:t>13</w:t>
      </w:r>
      <w:r w:rsidRPr="00344D87">
        <w:fldChar w:fldCharType="end"/>
      </w:r>
      <w:r>
        <w:t xml:space="preserve"> Cantharidin</w:t>
      </w:r>
      <w:r w:rsidRPr="00344D87">
        <w:t xml:space="preserve"> has</w:t>
      </w:r>
      <w:r w:rsidRPr="00BA3D14">
        <w:t xml:space="preserve"> </w:t>
      </w:r>
      <w:r w:rsidRPr="00344D87">
        <w:t xml:space="preserve">also been </w:t>
      </w:r>
      <w:r>
        <w:t>identified</w:t>
      </w:r>
      <w:r w:rsidRPr="00344D87">
        <w:t xml:space="preserve"> to induce haematopoiesis in both humans and animals, as well as </w:t>
      </w:r>
      <w:r>
        <w:t xml:space="preserve">to </w:t>
      </w:r>
      <w:r w:rsidRPr="00344D87">
        <w:t>be a potent and selective inhibitor of</w:t>
      </w:r>
      <w:r>
        <w:t xml:space="preserve"> </w:t>
      </w:r>
      <w:r w:rsidRPr="00344D87">
        <w:t>the serine/threonine protein phosphatases PP1 and PP2A.</w:t>
      </w:r>
      <w:r w:rsidRPr="00344D87">
        <w:fldChar w:fldCharType="begin" w:fldLock="1"/>
      </w:r>
      <w:r w:rsidR="00BA4B30">
        <w:instrText>ADDIN CSL_CITATION {"citationItems":[{"id":"ITEM-1","itemData":{"DOI":"10.1016/S0960-894X(01)00594-7","ISSN":"0960894X","abstract":"Cantharidin and its analogues have been of considerable interest as potent inhibitors of the serine/threonine protein phosphatases 1 and 2A (PP1 and PP2A). However, limited modifications to the parent compounds is tolerated. As part of an on-going study we have developed a new series of cantharidin analogues, the cantharimides. Inhibition studies indicate that cantharimides possessing a D- or L-histidine, are more potent inhibitors of PP1 and PP2A (PP1 IC50=3.22±0.7 μM; PP2A IC50=0.81±0.1 μM and PP1 IC50=2.82±0.6 μM; PP2A IC50=1.35±0.3 μM, respectively) than norcantharidin (PP1 IC50=5.31±0.76 μM; PP2A IC50=2.9±1.04 μM) and essentially equipotent with cantharidin (PP1 IC50=3.6±0.42 μM; PP2A IC50=0.36±0.08 μM). Cantharimides with non-polar or acidic amino acid residues are only poor inhibitors of PP1 and PP2A. © 2001 Elsevier Science Ltd. All rights reserved.","author":[{"dropping-particle":"","family":"McCluskey","given":"Adam","non-dropping-particle":"","parse-names":false,"suffix":""},{"dropping-particle":"","family":"Walkom","given":"Cecilia","non-dropping-particle":"","parse-names":false,"suffix":""},{"dropping-particle":"","family":"Bowyer","given":"Michael C.","non-dropping-particle":"","parse-names":false,"suffix":""},{"dropping-particle":"","family":"Ackland","given":"Stephen P.","non-dropping-particle":"","parse-names":false,"suffix":""},{"dropping-particle":"","family":"Gardiner","given":"Emma","non-dropping-particle":"","parse-names":false,"suffix":""},{"dropping-particle":"","family":"Sakoff","given":"Jennette A.","non-dropping-particle":"","parse-names":false,"suffix":""}],"container-title":"Bioorganic &amp; Medicinal Chemistry Letters","id":"ITEM-1","issue":"22","issued":{"date-parts":[["2001","11","19"]]},"page":"2941-2946","title":"Cantharimides: A new class of modified cantharidin analogues inhibiting protein phosphatases 1 and 2A","type":"article-journal","volume":"11"},"uris":["http://www.mendeley.com/documents/?uuid=c241f9b8-cb2c-3fe6-ad78-aaf756aa7569"]},{"id":"ITEM-2","itemData":{"DOI":"10.1016/j.bmc.2011.01.031","ISSN":"09680896","abstract":"A family of norcantharidin analogues possessing a terminal alcohol (ethanol, propanol, butanol, pentanol, hexanol and cyclohexanol) moiety were treated with either chlorodiethyl, chlorodiphenyl or chloro-bis-trichloroethyl- phosphate to afford highly focused libraries of the corresponding phosphate esters. Subsequent biological screening against a panel of nine human cancer cell lines identified a trend between the ease of phosphate unmasking (phosphate ester hydrolysis) and cell death. The most potent analogues possessed either a diphenyl or a bis-trichloroethyl moiety. The effect of alkyl spacer was also examined with the hexyl analogues typically more potent. 4-Aza-4-(3-{bis(2,2,2- trichloroethyl)phosphate}propyl)-10-oxatricyclo[5.2.1.0]decane-3,5-dione (10b) was the most potent analogue synthesised with an average GI 50 of 11 μM across a panel of nine human carcinoma cell lines: colon carcinoma (HT29 and SW480); breast carcinoma (MCF-7); ovarian carcinoma (A2780); lung carcinoma (H460); skin carcinoma (A431); prostate carcinoma (DU145); neuronal carcinoma (BE2-C) and brain carcinoma (SJ-G2). This represents a fivefold improvement in anti-proliferative activity relative to the lead, norcantharidin. © 2011 Elsevier Ltd. All rights reserved.","author":[{"dropping-particle":"","family":"Robertson","given":"Mark J.","non-dropping-particle":"","parse-names":false,"suffix":""},{"dropping-particle":"","family":"Gordon","given":"Christopher P.","non-dropping-particle":"","parse-names":false,"suffix":""},{"dropping-particle":"","family":"Gilbert","given":"Jayne","non-dropping-particle":"","parse-names":false,"suffix":""},{"dropping-particle":"","family":"McCluskey","given":"Adam","non-dropping-particle":"","parse-names":false,"suffix":""},{"dropping-particle":"","family":"Sakoff","given":"Jennette A.","non-dropping-particle":"","parse-names":false,"suffix":""}],"container-title":"Bioorganic &amp; Medicinal Chemistry","id":"ITEM-2","issue":"18","issued":{"date-parts":[["2011","9","15"]]},"page":"5734-5741","title":"Norcantharimide analogues possessing terminal phosphate esters and their anti-cancer activity","type":"article-journal","volume":"19"},"uris":["http://www.mendeley.com/documents/?uuid=803c40ff-e267-3e38-86ba-1bf86a81e2f7"]}],"mendeley":{"formattedCitation":"&lt;sup&gt;14,15&lt;/sup&gt;","plainTextFormattedCitation":"14,15","previouslyFormattedCitation":"&lt;sup&gt;14,15&lt;/sup&gt;"},"properties":{"noteIndex":0},"schema":"https://github.com/citation-style-language/schema/raw/master/csl-citation.json"}</w:instrText>
      </w:r>
      <w:r w:rsidRPr="00344D87">
        <w:fldChar w:fldCharType="separate"/>
      </w:r>
      <w:r w:rsidR="00BA4B30" w:rsidRPr="00BA4B30">
        <w:rPr>
          <w:noProof/>
          <w:vertAlign w:val="superscript"/>
        </w:rPr>
        <w:t>14,15</w:t>
      </w:r>
      <w:r w:rsidRPr="00344D87">
        <w:fldChar w:fldCharType="end"/>
      </w:r>
      <w:r w:rsidRPr="00344D87">
        <w:t xml:space="preserve"> Unfortunately</w:t>
      </w:r>
      <w:r>
        <w:t xml:space="preserve">, cantharidin is also known to possess a number of severe side effects including </w:t>
      </w:r>
      <w:proofErr w:type="spellStart"/>
      <w:r>
        <w:t>hepato</w:t>
      </w:r>
      <w:proofErr w:type="spellEnd"/>
      <w:r>
        <w:t>- and nephrotoxicity, thus limiting its application to date to a topical treatment for m</w:t>
      </w:r>
      <w:r w:rsidRPr="00D66E8B">
        <w:t>olluscum contagiosum</w:t>
      </w:r>
      <w:r w:rsidRPr="00344D87">
        <w:t>.</w:t>
      </w:r>
      <w:r w:rsidRPr="00344D87">
        <w:fldChar w:fldCharType="begin" w:fldLock="1"/>
      </w:r>
      <w:r w:rsidR="00BA4B30">
        <w:instrText>ADDIN CSL_CITATION {"citationItems":[{"id":"ITEM-1","itemData":{"DOI":"10.1111/j.1742-7843.2005.pto960104.x","ISSN":"1742-7835","abstract":"In China, cantharidin has been reported to be active against various human cancers, but with severe side effects such as nephrotoxicity. In order to reduce this toxicity, its demethylated analogue nor-cantharidin has been synthesized and used in cancer therapy, but with only few data regarding safety assessment. The aim of this study was to compare the in vitro effects of cantharidin and nor-cantharidin on renal toxicity and on inflammatory events associated with tumoural process where protein phosphatases could be involved (energy status, prostanoid production, glutathione and nitrite contents) on RAW 264.7 and LLC-PK1 cells. In macrophages, both cantharidin and nor-cantharidin decreased cell viability, in a concentration- and time-dependent manner. However, IC50 was lower with cantharidin than with norcantharidin. These two drugs significantly decreased the ATP level after 24 hr incubation. However, ATP decreased much more with cantharidin (up to 4 times) than with nor-cantharidin. When control macrophages were activated with lipopolysaccharide+interferon-γ for 24 hr a significant increase in nitrite content and in prostanoids were observed. Addition of either drug decreased nitrite generation and prostanoids, however these decreases were greater with cantharidin than with nor-cantharidin. In LLC-PK1 cells, incubated with either cantharidin or nor-cantharidin, our results show significant differences between the two drugs, similar to those observed in peritoneal macrophages, except for GSH content with opposite variations in both cells. We provide a better understanding of the various mechanisms of cantharidin side effects, allowing an easier comparison with nor-cantharidin which could be an attractive therapeutic potential in cancer chemotherapy in western countries.","author":[{"dropping-particle":"","family":"Massicot","given":"France","non-dropping-particle":"","parse-names":false,"suffix":""},{"dropping-particle":"","family":"Dutertre-Catella","given":"Helene","non-dropping-particle":"","parse-names":false,"suffix":""},{"dropping-particle":"","family":"Pham-Huy","given":"Chuong","non-dropping-particle":"","parse-names":false,"suffix":""},{"dropping-particle":"","family":"Liu","given":"Xu-Hui","non-dropping-particle":"","parse-names":false,"suffix":""},{"dropping-particle":"","family":"Duc","given":"Huynh Thien","non-dropping-particle":"","parse-names":false,"suffix":""},{"dropping-particle":"","family":"Warnet","given":"Jean-Michel","non-dropping-particle":"","parse-names":false,"suffix":""}],"container-title":"Basic &amp; Clinical Pharmacology &amp; Toxicology","id":"ITEM-1","issue":"1","issued":{"date-parts":[["2005","1"]]},"page":"26-32","title":"In vitro Assessment of Renal Toxicity and Inflammatory Events of Two Protein Phosphatase Inhibitors Cantharidin and Nor-Cantharidin*","type":"article-journal","volume":"96"},"uris":["http://www.mendeley.com/documents/?uuid=4fdbc3d7-c91a-395b-8e45-31682d7c89c9"]},{"id":"ITEM-2","itemData":{"DOI":"10.1001/jama.1971.03180170074022","ISSN":"0098-7484","abstract":"To the Editor.— Drs. Presto and Muecke are to be commended for their excellent review of toxicity from Spanish fly (214:591, 1970). I assume that in their statement, \"currently it (cantharides ) is used only in the experimental study of its vesicant action on the skin, as in the treatment of superficial lesions such as verruca vulgaris,\" the authors meant the \"as\" to be an \"and.\" In dermatology cantharidin has been a standard treatment for many years in the treatment of warts. One company has had a wart-treatment product, a 0.7% cantharidin collodion (Cantharone), available for the past ten years. A check with the company reveals that over 1,500,000 ml of this product have been sold without a single case of systemic toxicity reported to the company. Ten years of use and literally millions of applications by physicians without any report of systemic toxicity certainly suggests that its use as","author":[{"dropping-particle":"","family":"Tromovitch","given":"T. A.","non-dropping-particle":"","parse-names":false,"suffix":""}],"container-title":"JAMA: The Journal of the American Medical Association","id":"ITEM-2","issue":"4","issued":{"date-parts":[["1971","1","25"]]},"page":"640","publisher":"American Medical Association","title":"Cantharadin","type":"article-journal","volume":"215"},"uris":["http://www.mendeley.com/documents/?uuid=e40d775a-54f1-3964-88c0-b6474118748b"]}],"mendeley":{"formattedCitation":"&lt;sup&gt;16,17&lt;/sup&gt;","plainTextFormattedCitation":"16,17","previouslyFormattedCitation":"&lt;sup&gt;16,17&lt;/sup&gt;"},"properties":{"noteIndex":0},"schema":"https://github.com/citation-style-language/schema/raw/master/csl-citation.json"}</w:instrText>
      </w:r>
      <w:r w:rsidRPr="00344D87">
        <w:fldChar w:fldCharType="separate"/>
      </w:r>
      <w:r w:rsidR="00BA4B30" w:rsidRPr="00BA4B30">
        <w:rPr>
          <w:noProof/>
          <w:vertAlign w:val="superscript"/>
        </w:rPr>
        <w:t>16,17</w:t>
      </w:r>
      <w:r w:rsidRPr="00344D87">
        <w:fldChar w:fldCharType="end"/>
      </w:r>
    </w:p>
    <w:p w:rsidR="0052532F" w:rsidRDefault="0052532F" w:rsidP="0052532F">
      <w:pPr>
        <w:pStyle w:val="ElsFigureCaption"/>
      </w:pPr>
      <w:r>
        <w:rPr>
          <w:b/>
        </w:rPr>
        <w:t>Figure</w:t>
      </w:r>
      <w:r w:rsidRPr="00C10EE0">
        <w:rPr>
          <w:b/>
        </w:rPr>
        <w:t xml:space="preserve"> 1.</w:t>
      </w:r>
      <w:r>
        <w:t xml:space="preserve"> Chemical structures of thalidomide </w:t>
      </w:r>
      <w:r>
        <w:rPr>
          <w:b/>
        </w:rPr>
        <w:t>1</w:t>
      </w:r>
      <w:r>
        <w:t xml:space="preserve">, phensuximide </w:t>
      </w:r>
      <w:r>
        <w:rPr>
          <w:b/>
        </w:rPr>
        <w:t>2</w:t>
      </w:r>
      <w:r>
        <w:t xml:space="preserve">, lenalidomide </w:t>
      </w:r>
      <w:r w:rsidRPr="00263EEB">
        <w:rPr>
          <w:b/>
        </w:rPr>
        <w:t>3</w:t>
      </w:r>
      <w:r>
        <w:t xml:space="preserve">, fluorouracil </w:t>
      </w:r>
      <w:r>
        <w:rPr>
          <w:b/>
        </w:rPr>
        <w:t>4</w:t>
      </w:r>
      <w:r>
        <w:t xml:space="preserve"> and the cantharidin family </w:t>
      </w:r>
      <w:r w:rsidRPr="00263EEB">
        <w:rPr>
          <w:b/>
        </w:rPr>
        <w:t>5–8</w:t>
      </w:r>
      <w:r>
        <w:t xml:space="preserve">, cantharidin </w:t>
      </w:r>
      <w:r>
        <w:rPr>
          <w:b/>
        </w:rPr>
        <w:t>5</w:t>
      </w:r>
      <w:r>
        <w:t xml:space="preserve">, cantharimide </w:t>
      </w:r>
      <w:r>
        <w:rPr>
          <w:b/>
        </w:rPr>
        <w:t>6</w:t>
      </w:r>
      <w:r w:rsidRPr="00263EEB">
        <w:t>,</w:t>
      </w:r>
      <w:r>
        <w:t xml:space="preserve"> norcantharidin </w:t>
      </w:r>
      <w:r w:rsidRPr="00263EEB">
        <w:rPr>
          <w:b/>
        </w:rPr>
        <w:t>7</w:t>
      </w:r>
      <w:r>
        <w:t xml:space="preserve">, and norcantharimide </w:t>
      </w:r>
      <w:r>
        <w:rPr>
          <w:b/>
        </w:rPr>
        <w:t>8</w:t>
      </w:r>
      <w:r>
        <w:t xml:space="preserve">.  </w:t>
      </w:r>
    </w:p>
    <w:p w:rsidR="00042017" w:rsidRDefault="00042017" w:rsidP="00042017">
      <w:pPr>
        <w:pStyle w:val="ElsParagraph"/>
      </w:pPr>
      <w:r>
        <w:lastRenderedPageBreak/>
        <w:t xml:space="preserve">In comparison, the demethylated species norcantharidin </w:t>
      </w:r>
      <w:r>
        <w:rPr>
          <w:b/>
        </w:rPr>
        <w:t>7</w:t>
      </w:r>
      <w:r>
        <w:t xml:space="preserve"> also demonstrates similar anticancer activity to the parent compound, however without the associated </w:t>
      </w:r>
      <w:r w:rsidRPr="00344D87">
        <w:t>toxicity.</w:t>
      </w:r>
      <w:r w:rsidRPr="00344D87">
        <w:fldChar w:fldCharType="begin" w:fldLock="1"/>
      </w:r>
      <w:r w:rsidR="00BA4B30">
        <w:instrText>ADDIN CSL_CITATION {"citationItems":[{"id":"ITEM-1","itemData":{"DOI":"10.1111/j.1742-7843.2005.pto960104.x","ISSN":"1742-7835","abstract":"In China, cantharidin has been reported to be active against various human cancers, but with severe side effects such as nephrotoxicity. In order to reduce this toxicity, its demethylated analogue nor-cantharidin has been synthesized and used in cancer therapy, but with only few data regarding safety assessment. The aim of this study was to compare the in vitro effects of cantharidin and nor-cantharidin on renal toxicity and on inflammatory events associated with tumoural process where protein phosphatases could be involved (energy status, prostanoid production, glutathione and nitrite contents) on RAW 264.7 and LLC-PK1 cells. In macrophages, both cantharidin and nor-cantharidin decreased cell viability, in a concentration- and time-dependent manner. However, IC50 was lower with cantharidin than with norcantharidin. These two drugs significantly decreased the ATP level after 24 hr incubation. However, ATP decreased much more with cantharidin (up to 4 times) than with nor-cantharidin. When control macrophages were activated with lipopolysaccharide+interferon-γ for 24 hr a significant increase in nitrite content and in prostanoids were observed. Addition of either drug decreased nitrite generation and prostanoids, however these decreases were greater with cantharidin than with nor-cantharidin. In LLC-PK1 cells, incubated with either cantharidin or nor-cantharidin, our results show significant differences between the two drugs, similar to those observed in peritoneal macrophages, except for GSH content with opposite variations in both cells. We provide a better understanding of the various mechanisms of cantharidin side effects, allowing an easier comparison with nor-cantharidin which could be an attractive therapeutic potential in cancer chemotherapy in western countries.","author":[{"dropping-particle":"","family":"Massicot","given":"France","non-dropping-particle":"","parse-names":false,"suffix":""},{"dropping-particle":"","family":"Dutertre-Catella","given":"Helene","non-dropping-particle":"","parse-names":false,"suffix":""},{"dropping-particle":"","family":"Pham-Huy","given":"Chuong","non-dropping-particle":"","parse-names":false,"suffix":""},{"dropping-particle":"","family":"Liu","given":"Xu-Hui","non-dropping-particle":"","parse-names":false,"suffix":""},{"dropping-particle":"","family":"Duc","given":"Huynh Thien","non-dropping-particle":"","parse-names":false,"suffix":""},{"dropping-particle":"","family":"Warnet","given":"Jean-Michel","non-dropping-particle":"","parse-names":false,"suffix":""}],"container-title":"Basic &amp; Clinical Pharmacology &amp; Toxicology","id":"ITEM-1","issue":"1","issued":{"date-parts":[["2005","1"]]},"page":"26-32","title":"In vitro Assessment of Renal Toxicity and Inflammatory Events of Two Protein Phosphatase Inhibitors Cantharidin and Nor-Cantharidin*","type":"article-journal","volume":"96"},"uris":["http://www.mendeley.com/documents/?uuid=4fdbc3d7-c91a-395b-8e45-31682d7c89c9"]}],"mendeley":{"formattedCitation":"&lt;sup&gt;16&lt;/sup&gt;","plainTextFormattedCitation":"16","previouslyFormattedCitation":"&lt;sup&gt;16&lt;/sup&gt;"},"properties":{"noteIndex":0},"schema":"https://github.com/citation-style-language/schema/raw/master/csl-citation.json"}</w:instrText>
      </w:r>
      <w:r w:rsidRPr="00344D87">
        <w:fldChar w:fldCharType="separate"/>
      </w:r>
      <w:r w:rsidR="00BA4B30" w:rsidRPr="00BA4B30">
        <w:rPr>
          <w:noProof/>
          <w:vertAlign w:val="superscript"/>
        </w:rPr>
        <w:t>16</w:t>
      </w:r>
      <w:r w:rsidRPr="00344D87">
        <w:fldChar w:fldCharType="end"/>
      </w:r>
      <w:r w:rsidRPr="00344D87">
        <w:t xml:space="preserve"> Its synthesis is likewise readily accessible through the Diels-Alder [4+2] cycloaddition between furan and maleic anhydride, followed by subsequent reduction of the alkene.</w:t>
      </w:r>
      <w:r w:rsidRPr="00344D87">
        <w:fldChar w:fldCharType="begin" w:fldLock="1"/>
      </w:r>
      <w:r w:rsidR="00BA4B30">
        <w:instrText>ADDIN CSL_CITATION {"citationItems":[{"id":"ITEM-1","itemData":{"DOI":"10.1021/jm00342a042","ISSN":"0022-2623","author":[{"dropping-particle":"","family":"Grogan","given":"Charles H.","non-dropping-particle":"","parse-names":false,"suffix":""},{"dropping-particle":"","family":"Rice","given":"Leonard M.","non-dropping-particle":"","parse-names":false,"suffix":""}],"container-title":"Journal of Medicinal Chemistry","id":"ITEM-1","issue":"6","issued":{"date-parts":[["1963","11","1"]]},"page":"802-805","publisher":"American Chemical Society","title":"Bicyclic Imides and Isoindolines 1","type":"article-journal","volume":"6"},"uris":["http://www.mendeley.com/documents/?uuid=2b18fa5d-cae0-393b-8525-77b0c4eb4270"]}],"mendeley":{"formattedCitation":"&lt;sup&gt;18&lt;/sup&gt;","plainTextFormattedCitation":"18","previouslyFormattedCitation":"&lt;sup&gt;18&lt;/sup&gt;"},"properties":{"noteIndex":0},"schema":"https://github.com/citation-style-language/schema/raw/master/csl-citation.json"}</w:instrText>
      </w:r>
      <w:r w:rsidRPr="00344D87">
        <w:fldChar w:fldCharType="separate"/>
      </w:r>
      <w:r w:rsidR="00BA4B30" w:rsidRPr="00BA4B30">
        <w:rPr>
          <w:noProof/>
          <w:vertAlign w:val="superscript"/>
        </w:rPr>
        <w:t>18</w:t>
      </w:r>
      <w:r w:rsidRPr="00344D87">
        <w:fldChar w:fldCharType="end"/>
      </w:r>
      <w:r w:rsidRPr="00344D87">
        <w:t xml:space="preserve"> This has </w:t>
      </w:r>
      <w:r>
        <w:t>led to</w:t>
      </w:r>
      <w:r w:rsidRPr="00344D87">
        <w:t xml:space="preserve"> numerous investigations into synthetic analogues of cantharidin </w:t>
      </w:r>
      <w:r w:rsidRPr="00344D87">
        <w:rPr>
          <w:b/>
        </w:rPr>
        <w:t>5</w:t>
      </w:r>
      <w:r w:rsidRPr="00344D87">
        <w:t>, with several groups reporting structure-activity relationships (SAR) for cytotoxicity and PP1/PP2A inhibition following modification of the 7-oxabicylo[2.2.1]heptyl ring system</w:t>
      </w:r>
      <w:r w:rsidRPr="00344D87">
        <w:fldChar w:fldCharType="begin" w:fldLock="1"/>
      </w:r>
      <w:r w:rsidR="00BA4B30">
        <w:instrText>ADDIN CSL_CITATION {"citationItems":[{"id":"ITEM-1","itemData":{"DOI":"10.1016/S0960-894X(97)00141-8","ISSN":"0960894X","abstract":"The design, synthesis, and evaluation of small molecule, in vitro, inhibitors of human calcineurin is described. These ligands were derived from the known nonspecific phosphatase inhibitor endothall, and were modified to enhance binding and selectivity toward calcineurin using protein crystal structure information.","author":[{"dropping-particle":"","family":"Tatlock","given":"John H.","non-dropping-particle":"","parse-names":false,"suffix":""},{"dropping-particle":"","family":"Angelica Linton","given":"M.","non-dropping-particle":"","parse-names":false,"suffix":""},{"dropping-particle":"","family":"Hou","given":"Xinjun J.","non-dropping-particle":"","parse-names":false,"suffix":""},{"dropping-particle":"","family":"Kissinger","given":"Charles R.","non-dropping-particle":"","parse-names":false,"suffix":""},{"dropping-particle":"","family":"Pelletier","given":"Laura A.","non-dropping-particle":"","parse-names":false,"suffix":""},{"dropping-particle":"","family":"Showalter","given":"Richard E.","non-dropping-particle":"","parse-names":false,"suffix":""},{"dropping-particle":"","family":"Tempczyk","given":"Anna","non-dropping-particle":"","parse-names":false,"suffix":""},{"dropping-particle":"","family":"Ernest Villafranca","given":"J.","non-dropping-particle":"","parse-names":false,"suffix":""}],"container-title":"Bioorganic &amp; Medicinal Chemistry Letters","id":"ITEM-1","issue":"8","issued":{"date-parts":[["1997","4","22"]]},"page":"1007-1012","publisher":"Elsevier Ltd","title":"Structure-based design of novel calcineurin (PP2B) inhibitors","type":"article-journal","volume":"7"},"uris":["http://www.mendeley.com/documents/?uuid=ef0a49e9-9b62-3d3d-b312-97ce264ba3d4"]},{"id":"ITEM-2","itemData":{"DOI":"10.1016/S0968-0896(99)00239-4","ISSN":"09680896","abstract":"Endothal (1(diacid)) and [3H]cantharidic acid ([3H]CA) bind with high affinity to the catalytic subunit of protein phosphatase 2A (PP2A). PP2A in liver cytosol was greatly stabilized with 30% glycerol as a preliminary step in the potential use of endothal-type derivatives for affinity chromatography. We report here the first introduction of a functionalizable group into endothal which allows retention of binding site affinity (assayed as [3H]CA binding in mouse liver cytosol). 2-Carboxymethylendothal anhydride (7) was prepared in two steps and 97% overall yield from cis-aconitic anhydride and furan. The potency of 7 was retained on conversion to two 2-carboxymethyl esters but not to two 2-(n-alkylcarboxamidomethyl) analogues. Copyright (C) 1999 Elsevier Science Ltd.","author":[{"dropping-particle":"","family":"Laidley","given":"Charles W.","non-dropping-particle":"","parse-names":false,"suffix":""},{"dropping-particle":"","family":"Dauben","given":"William G.","non-dropping-particle":"","parse-names":false,"suffix":""},{"dropping-particle":"","family":"Guo","given":"Zhen R.","non-dropping-particle":"","parse-names":false,"suffix":""},{"dropping-particle":"","family":"Lam","given":"Joe Y.L.","non-dropping-particle":"","parse-names":false,"suffix":""},{"dropping-particle":"","family":"Casida","given":"John E.","non-dropping-particle":"","parse-names":false,"suffix":""}],"container-title":"Bioorganic &amp; Medicinal Chemistry","id":"ITEM-2","issue":"12","issued":{"date-parts":[["1999","12"]]},"page":"2937-2944","title":"2-Carboxymethylendothal analogues as affinity probes for stabilized protein phosphatase 2A","type":"article-journal","volume":"7"},"uris":["http://www.mendeley.com/documents/?uuid=360d4675-f940-33f7-a77a-d75ad7bed046"]},{"id":"ITEM-3","itemData":{"DOI":"10.1016/S0040-4039(01)01056-5","ISSN":"00404039","abstract":"Fluorinated cantharidin analogues (4-7) have been synthesized for the first time. The key step in each synthesis is an exo-selective Diels-Alder reaction of furan with the appropriate fluorinated maleic anhydride. 17O NMR measurements of 5-7 and the corresponding non-fluorinated parent compounds were undertaken to show the influence of the fluorine substituent(s) on the electronic properties of the oxygen atoms. © 2001 Elsevier Science Ltd. All rights reserved.","author":[{"dropping-particle":"","family":"Essers","given":"Michael","non-dropping-particle":"","parse-names":false,"suffix":""},{"dropping-particle":"","family":"Wibbeling","given":"Birgit","non-dropping-particle":"","parse-names":false,"suffix":""},{"dropping-particle":"","family":"Haufe","given":"Günter","non-dropping-particle":"","parse-names":false,"suffix":""}],"container-title":"Tetrahedron Letters","id":"ITEM-3","issue":"32","issued":{"date-parts":[["2001","8","6"]]},"page":"5429-5433","title":"Synthesis of the first fluorinated cantharidin analogues","type":"article-journal","volume":"42"},"uris":["http://www.mendeley.com/documents/?uuid=64ceb8fd-b7c1-389b-9547-c4872ad6d4b6"]},{"id":"ITEM-4","itemData":{"DOI":"10.1021/ja034694y","ISSN":"0002-7863","abstract":"Protein serine/threonine phosphatases (PP1, PP2A and PP2B) play important roles in intracellular signal transductions. The immunosuppressant drugs FK506 and cyclosporin A (CsA) bind to immunophilins, and these complexes selectively inhibit PP2B (calcineurin), leading to the suppression of T-cell proliferation. Both FK506 and CsA must, however, form complexes with immunophilins to exert their inhibitory action on PP2B. Thus, it is of interest to find a direct and selective inhibitor of PP2B that does not involve the immunophilins as a biological tool for studies of PP2B and also as a candidate therapeutic agent. We selected the simple natural product cantharidin, a known PP2A-selective inhibitor, as a lead compound for this project. Primary SAR indicated that norcantharidin (7-oxabicyclo[2.2.1]heptane-2,3-dicarboxylic anhydride) inhibits not only PP1 and PP2A but also PP2B, and a binding model of norcantharidin carboxylate to the PP2B catalytic site was computationally constructed. Based on this binding model, we designed and synthesized several cantharidin derivatives. Among these compounds, 1,5-dibenzoyloxymethyl-substituted norcantharidin was found to inhibit PP2B without inhibiting PP1 or PP2A. To our knowledge, this is the first highly selective catalytic site-directed inhibitor of PP2B.","author":[{"dropping-particle":"","family":"Baba","given":"Yoshiyasu","non-dropping-particle":"","parse-names":false,"suffix":""},{"dropping-particle":"","family":"Hirukawa","given":"Nozomu","non-dropping-particle":"","parse-names":false,"suffix":""},{"dropping-particle":"","family":"Tanohira","given":"Naoto","non-dropping-particle":"","parse-names":false,"suffix":""},{"dropping-particle":"","family":"Sodeoka","given":"Mikiko","non-dropping-particle":"","parse-names":false,"suffix":""}],"container-title":"Journal of the American Chemical Society","id":"ITEM-4","issue":"32","issued":{"date-parts":[["2003","8"]]},"page":"9740-9749","title":"Structure-Based Design of a Highly Selective Catalytic Site-Directed Inhibitor of Ser/Thr Protein Phosphatase 2B (Calcineurin)","type":"article-journal","volume":"125"},"uris":["http://www.mendeley.com/documents/?uuid=6061e7e2-6eaf-332f-946e-e1e3df71469f"]},{"id":"ITEM-5","itemData":{"DOI":"10.1016/j.ejmech.2010.01.004","ISSN":"02235234","abstract":"Cantharidin (1) and norcantharidin (2) are potent protein phosphatase 1 and 2A inhibitors that also display high levels of anticancer activity against a broad range of tumor cells lines. Surprisingly, D-5,6-ethyl norcantharidin (3, cis-tetrahydrofurano[3,4-c]furan-1,3-dione) displays neither phosphatase inhibition nor anticancer activity. This suggests that the 5,6-ethyl bridge is pivotal to both anti-cancer and protein phosphatase activity. Additionally bioisosteric replacement of the ethereal oxygen has no effect on biological activity nor does modification of the anhydride moiety. Unlike the parent norcantharidin, anhydride ring opening has no effect on either protein phosphatase inhibition or anti-cancer activity. Additionally, this work highlights the discovery of the octyl substituted, cis-5-benzyl-2-hexyltetrahydro-2H,3aH-pyrrolo[3,4-c]pyrrole-1,3-dione, 9p, and the octyl substituted, cis-octyltetrahydro-5H-furo[3,4-c]pyrrole-4,6-dione, 8p, as two new cytotoxic agents which are equipotent (9p) with, and more potent (8p) than norcantharidin. Crown","author":[{"dropping-particle":"","family":"Thaqi","given":"Ali","non-dropping-particle":"","parse-names":false,"suffix":""},{"dropping-particle":"","family":"Scott","given":"Janet L","non-dropping-particle":"","parse-names":false,"suffix":""},{"dropping-particle":"","family":"Gilbert","given":"Jayne","non-dropping-particle":"","parse-names":false,"suffix":""},{"dropping-particle":"","family":"Sakoff","given":"Jennette A","non-dropping-particle":"","parse-names":false,"suffix":""},{"dropping-particle":"","family":"McCluskey","given":"Adam","non-dropping-particle":"","parse-names":false,"suffix":""}],"container-title":"European Journal of Medicinal Chemistry","id":"ITEM-5","issue":"5","issued":{"date-parts":[["2010","5"]]},"page":"1717-1723","title":"Synthesis and biological activity of Δ-5,6-norcantharimides: importance of the 5,6-bridge","type":"article-journal","volume":"45"},"uris":["http://www.mendeley.com/documents/?uuid=36a38ab5-101f-3c38-bf98-38c70506cc80"]}],"mendeley":{"formattedCitation":"&lt;sup&gt;19–23&lt;/sup&gt;","plainTextFormattedCitation":"19–23","previouslyFormattedCitation":"&lt;sup&gt;19–23&lt;/sup&gt;"},"properties":{"noteIndex":0},"schema":"https://github.com/citation-style-language/schema/raw/master/csl-citation.json"}</w:instrText>
      </w:r>
      <w:r w:rsidRPr="00344D87">
        <w:fldChar w:fldCharType="separate"/>
      </w:r>
      <w:r w:rsidR="00BA4B30" w:rsidRPr="00BA4B30">
        <w:rPr>
          <w:noProof/>
          <w:vertAlign w:val="superscript"/>
        </w:rPr>
        <w:t>19–23</w:t>
      </w:r>
      <w:r w:rsidRPr="00344D87">
        <w:fldChar w:fldCharType="end"/>
      </w:r>
      <w:r w:rsidRPr="00344D87">
        <w:t xml:space="preserve"> or ring-opening the anhydride.</w:t>
      </w:r>
      <w:r w:rsidRPr="00344D87">
        <w:fldChar w:fldCharType="begin" w:fldLock="1"/>
      </w:r>
      <w:r w:rsidR="00BA4B30">
        <w:instrText xml:space="preserve">ADDIN CSL_CITATION {"citationItems":[{"id":"ITEM-1","itemData":{"DOI":"10.1016/0960-894X(96)00166-7","ISSN":"0960894X","abstract":"The syntheses of several cantharidin analogues and their biochemical effects on protein phosphatase 2A are described. Comparison of the PP2A inhibition of these cantharidin analogues has shown that the 7-oxo moiety and the anhydride system contribute to the biochemical activity. The diacid forms of several anhydrides showed reduced inhibition of PP2A.","author":[{"dropping-particle":"","family":"McCluskey","given":"Adam","non-dropping-particle":"","parse-names":false,"suffix":""},{"dropping-particle":"","family":"Taylor","given":"Cherie","non-dropping-particle":"","parse-names":false,"suffix":""},{"dropping-particle":"","family":"Quinn","given":"Ronald J.","non-dropping-particle":"","parse-names":false,"suffix":""},{"dropping-particle":"","family":"Suganuma","given":"Masami","non-dropping-particle":"","parse-names":false,"suffix":""},{"dropping-particle":"","family":"Fujiki","given":"Hirota","non-dropping-particle":"","parse-names":false,"suffix":""}],"container-title":"Bioorganic &amp; Medicinal Chemistry Letters","id":"ITEM-1","issue":"9","issued":{"date-parts":[["1996","5","7"]]},"page":"1025-1028","publisher":"Elsevier Ltd","title":"Inhibition of protein phosphatase 2A by cantharidin analogues","type":"article-journal","volume":"6"},"uris":["http://www.mendeley.com/documents/?uuid=fa2eba23-5f13-3bc6-bed0-5989fe3a2f5a"]},{"id":"ITEM-2","itemData":{"DOI":"10.1016/S0960-894X(97)10005-1","ISSN":"0960894X","abstract":"Cantharidin (1) as well as norcantharidin or endothall (2) have been described to be inhibitors of protein phosphatase 2A, but were reported to be inactive as inhibitors of calcineurin. Using an HPLC-assay, we have discovered that 1 and 2 are inhibitors of calcineurin-dependent (appKi = 10.8 and 3.26 μM,respectively) dephosphorylation of a phosphopeptide derived from the RII subunit of c-AMP dependent kinase, H-DLDVPIPGRFDRRVS(PO4)VAAE-OH (7), which is commonly used in calcineurin assays. The phosphatase inhibitor 6 also inhibits the production of IL-2 in Jurkat cells, a calcineurin dependent process, with IC50 = 4.7 μM, indicating that some of the biological activity of this substance class may be due to calcineurin inhibition, in addition to the established PP2A inhibition.","author":[{"dropping-particle":"","family":"Enz","given":"Albert","non-dropping-particle":"","parse-names":false,"suffix":""},{"dropping-particle":"","family":"Zenke","given":"Gerhard","non-dropping-particle":"","parse-names":false,"suffix":""},{"dropping-particle":"","family":"Pombo-Villar","given":"Esteban","non-dropping-particle":"","parse-names":false,"suffix":""}],"container-title":"Bioorganic &amp; Medicinal Chemistry Letters","id":"ITEM-2","issue":"19","issued":{"date-parts":[["1997","10","7"]]},"page":"2513-2518","title":"7-Oxa[2.2.1]bicycloheptane-2,3-dicarboxylic acid derivatives as phosphatase inhibitors","type":"article-journal","volume":"7"},"uris":["http://www.mendeley.com/documents/?uuid=18e0e083-e2b0-3826-b6ce-49ed066d7009"]},{"id":"ITEM-3","itemData":{"DOI":"10.1016/S0960-894X(97)00316-8","ISSN":"0960894X","abstract":"The effects of structural modification of cantharidin on the inhibition of protein Ser/Thr phosphatases are described. Removal of the methyl substituents at C2 and C3 in cantharidin improved the inhibition of PP2B. In contrast, introduction of a substituent to C1/C4-position drastically decreased inhibition of PP1 and PP2A1. PP2B was found to be quite tolerant to modifications at the C5 position.","author":[{"dropping-particle":"","family":"Sodeoka","given":"Mikiko","non-dropping-particle":"","parse-names":false,"suffix":""},{"dropping-particle":"","family":"Baba","given":"Yoshiyasu","non-dropping-particle":"","parse-names":false,"suffix":""},{"dropping-particle":"","family":"Kobayashi","given":"Satoko","non-dropping-particle":"","parse-names":false,"suffix":""},{"dropping-particle":"","family":"Hirukawa","given":"Nozomu","non-dropping-particle":"","parse-names":false,"suffix":""}],"container-title":"Bioorganic &amp; Medicinal Chemistry Letters","id":"ITEM-3","issue":"14","issued":{"date-parts":[["1997","7","22"]]},"page":"1833-1836","title":"Structure-activity relationship of cantharidin derivatives to protein phosphatases 1, 2A1, and 2B","type":"article-journal","volume":"7"},"uris":["http://www.mendeley.com/documents/?uuid=5f782655-0a4e-31b0-a659-a7622db1ee51"]},{"id":"ITEM-4","itemData":{"DOI":"10.1016/S0223-5234(00)00186-0","ISSN":"02235234","abstract":"A series of anhydride modified cantharidin analogues have been synthesised and screened for their ability to inhibit protein phosphatase 2A. Surprisingly only analogues capable of undergoing a facile ring opening of the anhydride moiety displayed any significant inhibition. Subsequent NMR experiments indicated that 7-oxobicyclo[2.2.1]heptane-2,3-dicarboxylic acid was the major (sole) species under assay conditions. The ability of these modified anhydro-cantharidin analogues to inhibit protein phosphatase 2A varies from 4 (16) to 100% (8) at 100 mM test concentration. © 2000 E ´ ditions scientifiques et médicales Elsevier SAS protein phosphatase 2A / cantharidin / anhydride ring opening","author":[{"dropping-particle":"","family":"McCluskey","given":"Adam","non-dropping-particle":"","parse-names":false,"suffix":""},{"dropping-particle":"","family":"Keane","given":"Mirella A","non-dropping-particle":"","parse-names":false,"suffix":""},{"dropping-particle":"","family":"Mudgee","given":"Lisa-Maree","non-dropping-particle":"","parse-names":false,"suffix":""},{"dropping-particle":"","family":"Sim","given":"Alistair T.R.","non-dropping-particle":"","parse-names":false,"suffix":""},{"dropping-particle":"","family":"Sakoff","given":"Jennette","non-dropping-particle":"","parse-names":false,"suffix":""},{"dropping-particle":"","family":"Quinn","given":"Ronald J","non-dropping-particle":"","parse-names":false,"suffix":""}],"container-title":"European Journal of Medicinal Chemistry","id":"ITEM-4","issue":"10","issued":{"date-parts":[["2000","10"]]},"page":"957-964","title":"Anhydride modified cantharidin analogues. Is ring opening important in the inhibition of protein phosphatase 2A?","type":"article-journal","volume":"35"},"uris":["http://www.mendeley.com/documents/?uuid=d928b1b7-1822-3d04-87f1-70ccedb373a9"]},{"id":"ITEM-5","itemData":{"DOI":"10.1016/j.bmcl.2004.01.093","ISSN":"0960894X","abstract":"Fourteen modified norcantharidin analogues have been synthesised and screened for their ability to inhibit the serine/threonine protein phosphatases 1 and 2A. The most potent compounds found were 10 (PP1 IC50= 13±5 μM; PP2A IC50=7±3 μM) and 16 (PP1 IC 50=18±8 μM; PP2A IC50=3.2±0.4 μM). Overall, only analogues possessing at least one acidic residue at the former anhydride warhead displayed any PP1 or PP2A inhibitory action. The ability of these analogues to inhibit PP1 and PP2A correlates well with their observed anti-cancer activity against a panel of five cancer cell lines: A2780 (human ovarian carcinoma), G401 (human kidney carcinoma), HT29 (human colorectal carcinoma), H460 (human lung carcinoma) and L1210 (murine leukemia). © 2004 Elsevier Ltd. All rights reserved.","author":[{"dropping-particle":"","family":"Hart","given":"Matthew E.","non-dropping-particle":"","parse-names":false,"suffix":""},{"dropping-particle":"","family":"Chamberlin","given":"A.Richard","non-dropping-particle":"","parse-names":false,"suffix":""},{"dropping-particle":"","family":"Walkom","given":"Cecilia","non-dropping-particle":"","parse-names":false,"suffix":""},{"dropping-particle":"","family":"Sakoff","given":"Jennette A.","non-dropping-particle":"","parse-names":false,"suffix":""},{"dropping-particle":"","family":"McCluskey","given":"Adam","non-dropping-particle":"","parse-names":false,"suffix":""}],"container-title":"Bioorganic &amp; Medicinal Chemistry Letters","id":"ITEM-5","issue":"8","issued":{"date-parts":[["2004","4","19"]]},"page":"1969-1973","publisher":"Pergamon","title":"Modified norcantharidins: Synthesis, Protein Phosphatases 1 and 2A Inhibition and Anticancer Activity","type":"article-journal","volume":"14"},"uris":["http://www.mendeley.com/documents/?uuid=16b08d05-bcae-3c89-be04-167bdcb32f98"]},{"id":"ITEM-6","itemData":{"DOI":"10.1002/cmdc.200800192","ISSN":"18607179","abstract":"Cantharidin (1) and its derivatives are of significant interest as serine/threonine protein phosphatase 1 and 2A inhibitors. Additionally, compounds of this type have displayed growth inhibition of various tumour cell lines. To further explore both of these inhibition pathways, a number of amide-acid norcantharidin analogues (15-26) were prepared. Compounds 23 and 24, containing two carboxylic acid residues, showed good PP1 and PP2A activity, with IC50 values of </w:instrText>
      </w:r>
      <w:r w:rsidR="00BA4B30">
        <w:rPr>
          <w:rFonts w:ascii="Cambria Math" w:hAnsi="Cambria Math" w:cs="Cambria Math"/>
        </w:rPr>
        <w:instrText>∼</w:instrText>
      </w:r>
      <w:r w:rsidR="00BA4B30">
        <w:instrText xml:space="preserve">15 and </w:instrText>
      </w:r>
      <w:r w:rsidR="00BA4B30">
        <w:rPr>
          <w:rFonts w:ascii="Cambria Math" w:hAnsi="Cambria Math" w:cs="Cambria Math"/>
        </w:rPr>
        <w:instrText>∼</w:instrText>
      </w:r>
      <w:r w:rsidR="00BA4B30">
        <w:instrText>3 μm, respectively. Substituted aromatic amide analogues 45, 48, 49, 52, 53, and 54 also displayed good PP1 and PP2A inhibition, with IC50 values in the range of 15-10 μm (PP1) and 11-5 μm (PP2A). However, bulky ortho substituents on the aromatic ring caused the aromatic ring to be skewed from the NCO planarity, leading to a decrease in PP1 and PP2A inhibition. A number of analogues, 20, 22, 25 and 46, showed excellent tumour growth inhibition, with 46 in particular being more potent than the lead, norcantharidin 2. © 2008 Wiley-VCH Verlag GmbH &amp; Co. KGaA.","author":[{"dropping-particle":"","family":"Hill","given":"Timothy A.","non-dropping-particle":"","parse-names":false,"suffix":""},{"dropping-particle":"","family":"Stewart","given":"Scott G.","non-dropping-particle":"","parse-names":false,"suffix":""},{"dropping-particle":"","family":"Gordon","given":"Christopher P.","non-dropping-particle":"","parse-names":false,"suffix":""},{"dropping-particle":"","family":"Ackland","given":"Stephen P.","non-dropping-particle":"","parse-names":false,"suffix":""},{"dropping-particle":"","family":"Gilbert","given":"Jayne","non-dropping-particle":"","parse-names":false,"suffix":""},{"dropping-particle":"","family":"Sauer","given":"Benjamin","non-dropping-particle":"","parse-names":false,"suffix":""},{"dropping-particle":"","family":"Sakoff","given":"Jennette A.","non-dropping-particle":"","parse-names":false,"suffix":""},{"dropping-particle":"","family":"McCluskey","given":"Adam","non-dropping-particle":"","parse-names":false,"suffix":""}],"container-title":"ChemMedChem","id":"ITEM-6","issue":"12","issued":{"date-parts":[["2008","12","15"]]},"page":"1878-1892","title":"Norcantharidin Analogues: Synthesis, Anticancer Activity and Protein Phosphatase 1 and 2A Inhibition","type":"article-journal","volume":"3"},"uris":["http://www.mendeley.com/documents/?uuid=d47977d8-dee6-3980-8e9c-9c1636774756"]}],"mendeley":{"formattedCitation":"&lt;sup&gt;24–29&lt;/sup&gt;","plainTextFormattedCitation":"24–29","previouslyFormattedCitation":"&lt;sup&gt;24–29&lt;/sup&gt;"},"properties":{"noteIndex":0},"schema":"https://github.com/citation-style-language/schema/raw/master/csl-citation.json"}</w:instrText>
      </w:r>
      <w:r w:rsidRPr="00344D87">
        <w:fldChar w:fldCharType="separate"/>
      </w:r>
      <w:r w:rsidR="00BA4B30" w:rsidRPr="00BA4B30">
        <w:rPr>
          <w:noProof/>
          <w:vertAlign w:val="superscript"/>
        </w:rPr>
        <w:t>24–29</w:t>
      </w:r>
      <w:r w:rsidRPr="00344D87">
        <w:fldChar w:fldCharType="end"/>
      </w:r>
      <w:r w:rsidRPr="00344D87">
        <w:t xml:space="preserve"> </w:t>
      </w:r>
      <w:r>
        <w:t>However, t</w:t>
      </w:r>
      <w:r w:rsidRPr="00344D87">
        <w:t>hese synthetic</w:t>
      </w:r>
      <w:r>
        <w:t xml:space="preserve"> analogues have seldom shown cytotoxicity comparable to cantharidin </w:t>
      </w:r>
      <w:r>
        <w:rPr>
          <w:b/>
        </w:rPr>
        <w:t>5</w:t>
      </w:r>
      <w:r w:rsidRPr="00633D45">
        <w:t>,</w:t>
      </w:r>
      <w:r>
        <w:rPr>
          <w:b/>
        </w:rPr>
        <w:t xml:space="preserve"> </w:t>
      </w:r>
      <w:r w:rsidRPr="00633D45">
        <w:t xml:space="preserve">suggesting </w:t>
      </w:r>
      <w:r>
        <w:t xml:space="preserve">only </w:t>
      </w:r>
      <w:r w:rsidRPr="00633D45">
        <w:t>limited modification of the parent</w:t>
      </w:r>
      <w:r>
        <w:t xml:space="preserve"> compound is tolerated. </w:t>
      </w:r>
    </w:p>
    <w:p w:rsidR="00874FE1" w:rsidRDefault="00042017" w:rsidP="00042017">
      <w:pPr>
        <w:pStyle w:val="ElsParagraph"/>
      </w:pPr>
      <w:r>
        <w:t xml:space="preserve">Rather surprisingly, derivatization of cantharidin </w:t>
      </w:r>
      <w:r>
        <w:rPr>
          <w:b/>
        </w:rPr>
        <w:t>5</w:t>
      </w:r>
      <w:r>
        <w:t xml:space="preserve"> or norcantharidin </w:t>
      </w:r>
      <w:r>
        <w:rPr>
          <w:b/>
        </w:rPr>
        <w:t>7</w:t>
      </w:r>
      <w:r>
        <w:t xml:space="preserve"> to the corresponding </w:t>
      </w:r>
      <w:r w:rsidRPr="00F531B9">
        <w:rPr>
          <w:i/>
        </w:rPr>
        <w:t>N</w:t>
      </w:r>
      <w:r>
        <w:t xml:space="preserve">-substituted imides, through condensation of the </w:t>
      </w:r>
      <w:r w:rsidRPr="00344D87">
        <w:t xml:space="preserve">anhydride with an amine, has seen </w:t>
      </w:r>
      <w:r>
        <w:t>minimal</w:t>
      </w:r>
      <w:r w:rsidRPr="00344D87">
        <w:t xml:space="preserve"> investigation, despite a few encouraging reports.</w:t>
      </w:r>
      <w:r w:rsidRPr="00344D87">
        <w:fldChar w:fldCharType="begin" w:fldLock="1"/>
      </w:r>
      <w:r w:rsidR="00BA4B30">
        <w:instrText>ADDIN CSL_CITATION {"citationItems":[{"id":"ITEM-1","itemData":{"DOI":"10.1006/bioo.2000.1178","ISSN":"00452068","abstract":"We made an effort to prepare effective cantharidinimides by heating the reactants 1 and 2a-j to 200°C with toluene and triethylamine to provide 10 N-thiazolyl- and N-thiadiazolylcantharidinimides 3a-j in high yields of 48-91%. All of the synthetic compounds were tested for their capability to suppress growth of the human hepatocellular carcinoma cell lines, SK-Hep-1 and Hep 3B. The results showed that compound 3f was the most potent, and it was more cytotoxic than cantharidin. © 2000 Academic Press.","author":[{"dropping-particle":"","family":"Pen-Yuan","given":"Lin","non-dropping-particle":"","parse-names":false,"suffix":""},{"dropping-particle":"","family":"Sheng-Jie","given":"Shi","non-dropping-particle":"","parse-names":false,"suffix":""},{"dropping-particle":"","family":"Hsien-Liang","given":"Shu","non-dropping-particle":"","parse-names":false,"suffix":""},{"dropping-particle":"","family":"Hsue-Fen","given":"Chen","non-dropping-particle":"","parse-names":false,"suffix":""},{"dropping-particle":"","family":"Chiung-Chang","given":"Lin","non-dropping-particle":"","parse-names":false,"suffix":""},{"dropping-particle":"","family":"Pong-Chun","given":"Liu","non-dropping-particle":"","parse-names":false,"suffix":""},{"dropping-particle":"","family":"Leng-Fang","given":"Wang","non-dropping-particle":"","parse-names":false,"suffix":""}],"container-title":"Bioorganic Chemistry","id":"ITEM-1","issue":"5","issued":{"date-parts":[["2000","10"]]},"page":"266-272","publisher":"Academic Press Inc.","title":"A Simple Procedure for Preparation of N-Thiazolyl and N-Thiadiazolylcantharidinimides and Evaluation of Their Cytotoxicities against Human Hepatocellular Carcinoma Cells","type":"article-journal","volume":"28"},"uris":["http://www.mendeley.com/documents/?uuid=287f74e9-98bb-3cc6-a7f0-de36ed89b66a"]},{"id":"ITEM-2","itemData":{"DOI":"10.1016/S0960-894X(01)00594-7","ISSN":"0960894X","abstract":"Cantharidin and its analogues have been of considerable interest as potent inhibitors of the serine/threonine protein phosphatases 1 and 2A (PP1 and PP2A). However, limited modifications to the parent compounds is tolerated. As part of an on-going study we have developed a new series of cantharidin analogues, the cantharimides. Inhibition studies indicate that cantharimides possessing a D- or L-histidine, are more potent inhibitors of PP1 and PP2A (PP1 IC50=3.22±0.7 μM; PP2A IC50=0.81±0.1 μM and PP1 IC50=2.82±0.6 μM; PP2A IC50=1.35±0.3 μM, respectively) than norcantharidin (PP1 IC50=5.31±0.76 μM; PP2A IC50=2.9±1.04 μM) and essentially equipotent with cantharidin (PP1 IC50=3.6±0.42 μM; PP2A IC50=0.36±0.08 μM). Cantharimides with non-polar or acidic amino acid residues are only poor inhibitors of PP1 and PP2A. © 2001 Elsevier Science Ltd. All rights reserved.","author":[{"dropping-particle":"","family":"McCluskey","given":"Adam","non-dropping-particle":"","parse-names":false,"suffix":""},{"dropping-particle":"","family":"Walkom","given":"Cecilia","non-dropping-particle":"","parse-names":false,"suffix":""},{"dropping-particle":"","family":"Bowyer","given":"Michael C.","non-dropping-particle":"","parse-names":false,"suffix":""},{"dropping-particle":"","family":"Ackland","given":"Stephen P.","non-dropping-particle":"","parse-names":false,"suffix":""},{"dropping-particle":"","family":"Gardiner","given":"Emma","non-dropping-particle":"","parse-names":false,"suffix":""},{"dropping-particle":"","family":"Sakoff","given":"Jennette A.","non-dropping-particle":"","parse-names":false,"suffix":""}],"container-title":"Bioorganic &amp; Medicinal Chemistry Letters","id":"ITEM-2","issue":"22","issued":{"date-parts":[["2001","11","19"]]},"page":"2941-2946","title":"Cantharimides: A new class of modified cantharidin analogues inhibiting protein phosphatases 1 and 2A","type":"article-journal","volume":"11"},"uris":["http://www.mendeley.com/documents/?uuid=c241f9b8-cb2c-3fe6-ad78-aaf756aa7569"]},{"id":"ITEM-3","itemData":{"DOI":"10.1248/cpb.52.855","ISSN":"0009-2363","abstract":"Cantharidin is found in Mylabris caraganae and various other insects and shows extremely high vesicant potency and toxic properties. 1-4) In a pharmacologic study, cantharidin increased the force of contraction in isolated guinea pig pap-illary muscles. 5) It can also cause severe congestion and edema of the liver. 6) Recent reports have indicated that the action of cantharidin in mice is associated with binding to protein phosphatase 2A in liver cytosol and inhibition of its phosphorylase phosphatase activity. 7,8) In clinical studies it had significant activity against liver tumors and the KB cell line in tissue culture at low concentrations. 9-12) In our previous studies, 2) increasing the solubility of the title compounds decreased the toxicity while maintaining the biological activities. N-Thiazolyl and thiadiazolyl cantharidinimides with better solubility showed cytotoxicity against human hepato-cellular carcinoma cell lines, which encouraged us to prepare cantharidinimide derivatives. These compounds were synthesized from cantharidin and primary amines in triethylamine by heating to ca. 200 °C. N-Methylcantharidinimide has shown tumor-inhibitory action in animals, and some can-tharidinimides were tested for their effects on xanthine oxi-dase; those tests showed inhibitory effects on xanthine oxi-dase. 13) Some cantharidinimides also show antiplatelet effects on thrombin, arachidonic acid, collagen, and platelet-activating factor-induced aggregation. Chemistry We prepared effective cantharidinimides by heating the reactants cantharidin 1 and primary amines, ani-line derivatives, and aminopyridines to ca. 200 °C with 3 ml of dry toluene and 1-2 ml of triethylamine in a high-pressure sealed tube (Buchi glasuster 0032) to provide canthari-dinimides (compounds 2-22, Chart 1) in good yields. In further studies, all of the synthetic compounds were tested for their cytotoxicity in suppressing the growth of the human carcinoma cell lines HL-60 and Hep G2. Results and Discussion With the high-pressure technique, we obtained canthari-dinimides (after recrystallization from methanol) in yields of 29-96%, as listed in Table 1. The highest yields were obtained from aliphatic primary amines, (2-4) as well as phenetyl amines 18-22. The variable yields of compounds 5-16, which had parent aniline and pyridine components, might reflect the inductive electron negative effect influencing the yield. The results of these yields strongly confirm the influence of amine n…","author":[{"dropping-particle":"","family":"Lin","given":"Lun-Huei","non-dropping-particle":"","parse-names":false,"suffix":""},{"dropping-particle":"","family":"Huang","given":"Hsu-Shan","non-dropping-particle":"","parse-names":false,"suffix":""},{"dropping-particle":"","family":"Lin","given":"Chiung-Chang","non-dropping-particle":"","parse-names":false,"suffix":""},{"dropping-particle":"","family":"Lee","given":"Lin-Wen","non-dropping-particle":"","parse-names":false,"suffix":""},{"dropping-particle":"","family":"Lin","given":"Pen-Yuan","non-dropping-particle":"","parse-names":false,"suffix":""}],"container-title":"CHEMICAL &amp; PHARMACEUTICAL BULLETIN","id":"ITEM-3","issue":"7","issued":{"date-parts":[["2004","8","1"]]},"page":"855-857","title":"Effects of Cantharidinimides on Human Carcinoma Cells","type":"article-journal","volume":"52"},"uris":["http://www.mendeley.com/documents/?uuid=f202d1ed-2f61-3f29-9869-a75e52ecf49a"]},{"id":"ITEM-4","itemData":{"DOI":"10.1016/j.bmcl.2006.12.039","ISSN":"0960894X","abstract":"A remarkable control of the potency of cantharimide is described based on the electronic properties of functional group and it exhibits a relatively less toxic effect to the non-malignant hematological disorder bone marrow cells. © 2006 Elsevier Ltd. All rights reserved.","author":[{"dropping-particle":"","family":"Kok","given":"Stanton Hon Lung","non-dropping-particle":"","parse-names":false,"suffix":""},{"dropping-particle":"","family":"Chui","given":"Chung Hin","non-dropping-particle":"","parse-names":false,"suffix":""},{"dropping-particle":"","family":"Lam","given":"Wing Sze","non-dropping-particle":"","parse-names":false,"suffix":""},{"dropping-particle":"","family":"Chen","given":"Jien","non-dropping-particle":"","parse-names":false,"suffix":""},{"dropping-particle":"","family":"Lau","given":"Fung Yi","non-dropping-particle":"","parse-names":false,"suffix":""},{"dropping-particle":"","family":"Wong","given":"Raymond Siu Ming","non-dropping-particle":"","parse-names":false,"suffix":""},{"dropping-particle":"","family":"Cheng","given":"Gregory Yin Ming","non-dropping-particle":"","parse-names":false,"suffix":""},{"dropping-particle":"","family":"Lai","given":"Paul Bo San","non-dropping-particle":"","parse-names":false,"suffix":""},{"dropping-particle":"","family":"Leung","given":"Thomas Wai Tong","non-dropping-particle":"","parse-names":false,"suffix":""},{"dropping-particle":"","family":"Yu","given":"Michael Wing Yiu","non-dropping-particle":"","parse-names":false,"suffix":""},{"dropping-particle":"","family":"Tang","given":"Johnny Cheuk On","non-dropping-particle":"","parse-names":false,"suffix":""},{"dropping-particle":"","family":"Chan","given":"Albert Sun Chi","non-dropping-particle":"","parse-names":false,"suffix":""}],"container-title":"Bioorganic &amp; Medicinal Chemistry Letters","id":"ITEM-4","issue":"5","issued":{"date-parts":[["2007","3","1"]]},"page":"1155-1159","title":"Synthesis and structure evaluation of a novel cantharimide and its cytotoxicity on SK-Hep-1 hepatoma cells","type":"article-journal","volume":"17"},"uris":["http://www.mendeley.com/documents/?uuid=4125514c-bbb0-376f-8544-c8c3851887e7"]},{"id":"ITEM-5","itemData":{"DOI":"10.1016/j.bmc.2007.06.034","ISSN":"09680896","abstract":"A range of amines was reacted with norcantharidin (2) to provide the corresponding norcantharimides (9-43). Treatment of norcantharidin with allylamine afforded the corresponding allyl-norcantharimide (20) which was amenable to epoxidation (mCPBA, 22) and subsequent ring opening (MeOH/H + ; 23) or alternatively, osmylation (OsO 4 /NMO; 24). These simple synthetic modifications of 2 facilitated the development of a novel series of norcantharimides displaying modest to good broad spectrum cyto-toxicity against HT29 and SW480 (colorectal carcinoma); MCF-7 (breast adenocarcinoma); A2780 (ovarian carcinoma); H460 (lung carcinoma); A431 (epidermoid carcinoma); DU145 (prostate carcinoma); BE2-C (neuroblastoma); and SJ-G2 (glioblastoma). Analogues possessing a C 10 , C 12 or C 14 alkyl chain or a C 12 linked bis-norcantharimide displayed the highest levels of cytotoxicity.","author":[{"dropping-particle":"","family":"Hill","given":"Timothy A","non-dropping-particle":"","parse-names":false,"suffix":""},{"dropping-particle":"","family":"Stewart","given":"Scott G","non-dropping-particle":"","parse-names":false,"suffix":""},{"dropping-particle":"","family":"Ackland","given":"Stephen P","non-dropping-particle":"","parse-names":false,"suffix":""},{"dropping-particle":"","family":"Gilbert","given":"Jayne","non-dropping-particle":"","parse-names":false,"suffix":""},{"dropping-particle":"","family":"Sauer","given":"Benjamin","non-dropping-particle":"","parse-names":false,"suffix":""},{"dropping-particle":"","family":"Sakoff","given":"Jennette A","non-dropping-particle":"","parse-names":false,"suffix":""},{"dropping-particle":"","family":"McCluskey","given":"Adam","non-dropping-particle":"","parse-names":false,"suffix":""}],"container-title":"Bioorganic &amp; Medicinal Chemistry","id":"ITEM-5","issue":"18","issued":{"date-parts":[["2007","9"]]},"page":"6126-6134","title":"Norcantharimides, synthesis and anticancer activity: Synthesis of new norcantharidin analogues and their anticancer evaluation","type":"article-journal","volume":"15"},"uris":["http://www.mendeley.com/documents/?uuid=d9c76d62-b788-30fa-9a1f-3282fe411b32"]},{"id":"ITEM-6","itemData":{"DOI":"10.1016/j.ejmech.2010.01.004","ISSN":"02235234","abstract":"Cantharidin (1) and norcantharidin (2) are potent protein phosphatase 1 and 2A inhibitors that also display high levels of anticancer activity against a broad range of tumor cells lines. Surprisingly, D-5,6-ethyl norcantharidin (3, cis-tetrahydrofurano[3,4-c]furan-1,3-dione) displays neither phosphatase inhibition nor anticancer activity. This suggests that the 5,6-ethyl bridge is pivotal to both anti-cancer and protein phosphatase activity. Additionally bioisosteric replacement of the ethereal oxygen has no effect on biological activity nor does modification of the anhydride moiety. Unlike the parent norcantharidin, anhydride ring opening has no effect on either protein phosphatase inhibition or anti-cancer activity. Additionally, this work highlights the discovery of the octyl substituted, cis-5-benzyl-2-hexyltetrahydro-2H,3aH-pyrrolo[3,4-c]pyrrole-1,3-dione, 9p, and the octyl substituted, cis-octyltetrahydro-5H-furo[3,4-c]pyrrole-4,6-dione, 8p, as two new cytotoxic agents which are equipotent (9p) with, and more potent (8p) than norcantharidin. Crown","author":[{"dropping-particle":"","family":"Thaqi","given":"Ali","non-dropping-particle":"","parse-names":false,"suffix":""},{"dropping-particle":"","family":"Scott","given":"Janet L","non-dropping-particle":"","parse-names":false,"suffix":""},{"dropping-particle":"","family":"Gilbert","given":"Jayne","non-dropping-particle":"","parse-names":false,"suffix":""},{"dropping-particle":"","family":"Sakoff","given":"Jennette A","non-dropping-particle":"","parse-names":false,"suffix":""},{"dropping-particle":"","family":"McCluskey","given":"Adam","non-dropping-particle":"","parse-names":false,"suffix":""}],"container-title":"European Journal of Medicinal Chemistry","id":"ITEM-6","issue":"5","issued":{"date-parts":[["2010","5"]]},"page":"1717-1723","title":"Synthesis and biological activity of Δ-5,6-norcantharimides: importance of the 5,6-bridge","type":"article-journal","volume":"45"},"uris":["http://www.mendeley.com/documents/?uuid=36a38ab5-101f-3c38-bf98-38c70506cc80"]},{"id":"ITEM-7","itemData":{"DOI":"10.1016/j.bmc.2011.01.031","ISSN":"09680896","abstract":"A family of norcantharidin analogues possessing a terminal alcohol (ethanol, propanol, butanol, pentanol, hexanol and cyclohexanol) moiety were treated with either chlorodiethyl, chlorodiphenyl or chloro-bis-trichloroethyl- phosphate to afford highly focused libraries of the corresponding phosphate esters. Subsequent biological screening against a panel of nine human cancer cell lines identified a trend between the ease of phosphate unmasking (phosphate ester hydrolysis) and cell death. The most potent analogues possessed either a diphenyl or a bis-trichloroethyl moiety. The effect of alkyl spacer was also examined with the hexyl analogues typically more potent. 4-Aza-4-(3-{bis(2,2,2- trichloroethyl)phosphate}propyl)-10-oxatricyclo[5.2.1.0]decane-3,5-dione (10b) was the most potent analogue synthesised with an average GI 50 of 11 μM across a panel of nine human carcinoma cell lines: colon carcinoma (HT29 and SW480); breast carcinoma (MCF-7); ovarian carcinoma (A2780); lung carcinoma (H460); skin carcinoma (A431); prostate carcinoma (DU145); neuronal carcinoma (BE2-C) and brain carcinoma (SJ-G2). This represents a fivefold improvement in anti-proliferative activity relative to the lead, norcantharidin. © 2011 Elsevier Ltd. All rights reserved.","author":[{"dropping-particle":"","family":"Robertson","given":"Mark J.","non-dropping-particle":"","parse-names":false,"suffix":""},{"dropping-particle":"","family":"Gordon","given":"Christopher P.","non-dropping-particle":"","parse-names":false,"suffix":""},{"dropping-particle":"","family":"Gilbert","given":"Jayne","non-dropping-particle":"","parse-names":false,"suffix":""},{"dropping-particle":"","family":"McCluskey","given":"Adam","non-dropping-particle":"","parse-names":false,"suffix":""},{"dropping-particle":"","family":"Sakoff","given":"Jennette A.","non-dropping-particle":"","parse-names":false,"suffix":""}],"container-title":"Bioorganic &amp; Medicinal Chemistry","id":"ITEM-7","issue":"18","issued":{"date-parts":[["2011","9","15"]]},"page":"5734-5741","title":"Norcantharimide analogues possessing terminal phosphate esters and their anti-cancer activity","type":"article-journal","volume":"19"},"uris":["http://www.mendeley.com/documents/?uuid=803c40ff-e267-3e38-86ba-1bf86a81e2f7"]},{"id":"ITEM-8","itemData":{"DOI":"10.1016/j.bmcl.2011.04.031","ISSN":"0960894X","abstract":"With the major problems with resistance in parasitic nematodes of livestock to anthelmintic drugs, there is an urgent need to develop new nematocides. In the present study, we employed a targeted approach for the design of a series of norcantharidin analogues (n = 54) for activity testing against the barber's pole worm (Haemonchus contortus) of small ruminants in a larval development assay (LDA) and also for toxicity testing on nine distinct human cell lines. Although none of the 54 analogues synthesized were toxic to any of these cell lines, three of them (N-octyl-7-oxabicyclo(2.2.1)heptane-2,3-dicarboximide (B2), N-decyl-7-oxabicyclo(2.2.1)heptane-2,3-dicarboximide (B3) and 4-[(4-methyl)-3-ethyl-2-methyl-5-phenylfuran-10-oxa-4-azatricyclo[5.2.1] decane-3,5-dione (B21) reproducibly displayed 99-100% lethality to H. contortus in LDA, with LD 50s of 25-40 μM. The high 'hit rate' (5.6%) indicates that the approach taken here has advantages over conventional drug screening methods. A major advantage of norcantharidin analogues over some other currently available anthelmintics is that they can be produced in one to two steps in large amounts at low cost and high purity, and do not require any additional steps for the isolation of the active isomer. This positions them well for commercial development. © 2011 Elsevier Ltd. All rights reserved.","author":[{"dropping-particle":"","family":"Campbell","given":"Bronwyn E.","non-dropping-particle":"","parse-names":false,"suffix":""},{"dropping-particle":"","family":"Tarleton","given":"Mark","non-dropping-particle":"","parse-names":false,"suffix":""},{"dropping-particle":"","family":"Gordon","given":"Christopher P.","non-dropping-particle":"","parse-names":false,"suffix":""},{"dropping-particle":"","family":"Sakoff","given":"Jennette A.","non-dropping-particle":"","parse-names":false,"suffix":""},{"dropping-particle":"","family":"Gilbert","given":"Jayne","non-dropping-particle":"","parse-names":false,"suffix":""},{"dropping-particle":"","family":"McCluskey","given":"Adam","non-dropping-particle":"","parse-names":false,"suffix":""},{"dropping-particle":"","family":"Gasser","given":"Robin B.","non-dropping-particle":"","parse-names":false,"suffix":""}],"container-title":"Bioorganic &amp; Medicinal Chemistry Letters","id":"ITEM-8","issue":"11","issued":{"date-parts":[["2011","6","1"]]},"page":"3277-3281","title":"Norcantharidin analogues with nematocidal activity in Haemonchus contortus","type":"article-journal","volume":"21"},"uris":["http://www.mendeley.com/documents/?uuid=ac8f2857-3ed9-3079-b80b-113da51773d1"]},{"id":"ITEM-9","itemData":{"DOI":"10.3390/molecules19066911","ISSN":"1420-3049","abstract":"This research attempted to study the effect of lipophilicity on the anticancer activity of N-substituted norcantharimide derivatives. Twenty-three compounds were synthesized and their cytotoxicities against five human cancer cell lines studied. The lipophilicity of each derivative was altered by its substituent, an alkyl, alkyloxy, terpenyl or terpenyloxy group at the N-position of norcantharimide. Further, among all synthesized derivatives studied, the compounds N-farnesyloxy-7-oxabicyclo[2.2.1]heptane-2,3- dicarboximide (9), and N-farnesyl-7-oxabicyclo[2.2.1]heptane-2,3-dicarboximide (18), have shown the highest cytotoxicity, anti-proliferative and apoptotic effect against human liver carcinoma HepG2 cell lines, yet displayed no significant cytotoxic effect on normal murine embryonic liver BNL CL.2 cells. Their overall performance led us to believe that these two compounds might be potential candidates for anticancer drugs development. © 2014 by the authors.","author":[{"dropping-particle":"","family":"Wu","given":"Jin-Yi","non-dropping-particle":"","parse-names":false,"suffix":""},{"dropping-particle":"","family":"Kuo","given":"Cheng-Deng","non-dropping-particle":"","parse-names":false,"suffix":""},{"dropping-particle":"","family":"Chu","given":"Chien-Yu","non-dropping-particle":"","parse-names":false,"suffix":""},{"dropping-particle":"","family":"Chen","given":"Min-Shin","non-dropping-particle":"","parse-names":false,"suffix":""},{"dropping-particle":"","family":"Lin","given":"Jia-Hua","non-dropping-particle":"","parse-names":false,"suffix":""},{"dropping-particle":"","family":"Chen","given":"Yu-Jen","non-dropping-particle":"","parse-names":false,"suffix":""},{"dropping-particle":"","family":"Liao","given":"Hui-Fen","non-dropping-particle":"","parse-names":false,"suffix":""}],"container-title":"Molecules","id":"ITEM-9","issue":"6","issued":{"date-parts":[["2014","5","26"]]},"page":"6911-6928","publisher":"MDPI AG","title":"Synthesis of Novel Lipophilic N-Substituted Norcantharimide Derivatives and Evaluation of Their Anticancer Activities","type":"article-journal","volume":"19"},"uris":["http://www.mendeley.com/documents/?uuid=477dc381-b4fe-3636-99b3-03ae777bc489"]},{"id":"ITEM-10","itemData":{"DOI":"10.1002/chem.201406286","ISSN":"09476539","abstract":"The [4+2] cycloaddition of 3-alkoxyfurans with N-substituted maleimides provides the first general route for preparing endo-cantharimides. Unlike the corresponding reaction with 3H furans, the reaction can tolerate a broad range of 2-substitued furans including alkyl, aromatic, and heteroaromatic groups. The cycloaddition products were converted into a range of cantharimide products with promising lead-like properties for medicinal chemistry programs. Furthermore, the electron-rich furans are shown to react with a variety of alternative dienophiles to generate 7-oxabicyclo[2.2.1]heptane derivatives under mild conditions. DFT calculations have been performed to rationalize the activation effect of the 3-alkoxy group on a furan Diels-Alder reaction.","author":[{"dropping-particle":"","family":"Foster","given":"Robert W.","non-dropping-particle":"","parse-names":false,"suffix":""},{"dropping-particle":"","family":"Benhamou","given":"Laure","non-dropping-particle":"","parse-names":false,"suffix":""},{"dropping-particle":"","family":"Porter","given":"Michael J.","non-dropping-particle":"","parse-names":false,"suffix":""},{"dropping-particle":"","family":"Bučar","given":"Dejan-Krešimir","non-dropping-particle":"","parse-names":false,"suffix":""},{"dropping-particle":"","family":"Hailes","given":"Helen C.","non-dropping-particle":"","parse-names":false,"suffix":""},{"dropping-particle":"","family":"Tame","given":"Christopher J.","non-dropping-particle":"","parse-names":false,"suffix":""},{"dropping-particle":"","family":"Sheppard","given":"Tom D.","non-dropping-particle":"","parse-names":false,"suffix":""}],"container-title":"Chem. Eur. J.","id":"ITEM-10","issue":"16","issued":{"date-parts":[["2015","4","13"]]},"page":"6107-6114","publisher":"Wiley-VCH Verlag","title":"Irreversible endo -Selective Diels-Alder Reactions of Substituted Alkoxyfurans: A General Synthesis of endo -Cantharimides","type":"article-journal","volume":"21"},"uris":["http://www.mendeley.com/documents/?uuid=50639a51-d949-3a1b-b5bd-23b811901dc8"]}],"mendeley":{"formattedCitation":"&lt;sup&gt;13–15,23,30–35&lt;/sup&gt;","plainTextFormattedCitation":"13–15,23,30–35","previouslyFormattedCitation":"&lt;sup&gt;13–15,23,30–35&lt;/sup&gt;"},"properties":{"noteIndex":0},"schema":"https://github.com/citation-style-language/schema/raw/master/csl-citation.json"}</w:instrText>
      </w:r>
      <w:r w:rsidRPr="00344D87">
        <w:fldChar w:fldCharType="separate"/>
      </w:r>
      <w:r w:rsidR="00BA4B30" w:rsidRPr="00BA4B30">
        <w:rPr>
          <w:noProof/>
          <w:vertAlign w:val="superscript"/>
        </w:rPr>
        <w:t>13–15,23,30–35</w:t>
      </w:r>
      <w:r w:rsidRPr="00344D87">
        <w:fldChar w:fldCharType="end"/>
      </w:r>
      <w:r w:rsidRPr="00344D87">
        <w:t xml:space="preserve"> For example, potential for broad spectrum cytotoxicity against a range of cell lines has been highlighted a number of times,</w:t>
      </w:r>
      <w:r w:rsidRPr="00344D87">
        <w:fldChar w:fldCharType="begin" w:fldLock="1"/>
      </w:r>
      <w:r w:rsidR="00BA4B30">
        <w:instrText>ADDIN CSL_CITATION {"citationItems":[{"id":"ITEM-1","itemData":{"DOI":"10.1248/cpb.52.855","ISSN":"0009-2363","abstract":"Cantharidin is found in Mylabris caraganae and various other insects and shows extremely high vesicant potency and toxic properties. 1-4) In a pharmacologic study, cantharidin increased the force of contraction in isolated guinea pig pap-illary muscles. 5) It can also cause severe congestion and edema of the liver. 6) Recent reports have indicated that the action of cantharidin in mice is associated with binding to protein phosphatase 2A in liver cytosol and inhibition of its phosphorylase phosphatase activity. 7,8) In clinical studies it had significant activity against liver tumors and the KB cell line in tissue culture at low concentrations. 9-12) In our previous studies, 2) increasing the solubility of the title compounds decreased the toxicity while maintaining the biological activities. N-Thiazolyl and thiadiazolyl cantharidinimides with better solubility showed cytotoxicity against human hepato-cellular carcinoma cell lines, which encouraged us to prepare cantharidinimide derivatives. These compounds were synthesized from cantharidin and primary amines in triethylamine by heating to ca. 200 °C. N-Methylcantharidinimide has shown tumor-inhibitory action in animals, and some can-tharidinimides were tested for their effects on xanthine oxi-dase; those tests showed inhibitory effects on xanthine oxi-dase. 13) Some cantharidinimides also show antiplatelet effects on thrombin, arachidonic acid, collagen, and platelet-activating factor-induced aggregation. Chemistry We prepared effective cantharidinimides by heating the reactants cantharidin 1 and primary amines, ani-line derivatives, and aminopyridines to ca. 200 °C with 3 ml of dry toluene and 1-2 ml of triethylamine in a high-pressure sealed tube (Buchi glasuster 0032) to provide canthari-dinimides (compounds 2-22, Chart 1) in good yields. In further studies, all of the synthetic compounds were tested for their cytotoxicity in suppressing the growth of the human carcinoma cell lines HL-60 and Hep G2. Results and Discussion With the high-pressure technique, we obtained canthari-dinimides (after recrystallization from methanol) in yields of 29-96%, as listed in Table 1. The highest yields were obtained from aliphatic primary amines, (2-4) as well as phenetyl amines 18-22. The variable yields of compounds 5-16, which had parent aniline and pyridine components, might reflect the inductive electron negative effect influencing the yield. The results of these yields strongly confirm the influence of amine n…","author":[{"dropping-particle":"","family":"Lin","given":"Lun-Huei","non-dropping-particle":"","parse-names":false,"suffix":""},{"dropping-particle":"","family":"Huang","given":"Hsu-Shan","non-dropping-particle":"","parse-names":false,"suffix":""},{"dropping-particle":"","family":"Lin","given":"Chiung-Chang","non-dropping-particle":"","parse-names":false,"suffix":""},{"dropping-particle":"","family":"Lee","given":"Lin-Wen","non-dropping-particle":"","parse-names":false,"suffix":""},{"dropping-particle":"","family":"Lin","given":"Pen-Yuan","non-dropping-particle":"","parse-names":false,"suffix":""}],"container-title":"CHEMICAL &amp; PHARMACEUTICAL BULLETIN","id":"ITEM-1","issue":"7","issued":{"date-parts":[["2004","8","1"]]},"page":"855-857","title":"Effects of Cantharidinimides on Human Carcinoma Cells","type":"article-journal","volume":"52"},"uris":["http://www.mendeley.com/documents/?uuid=f202d1ed-2f61-3f29-9869-a75e52ecf49a"]},{"id":"ITEM-2","itemData":{"DOI":"10.1016/j.bmc.2007.06.034","ISSN":"09680896","abstract":"A range of amines was reacted with norcantharidin (2) to provide the corresponding norcantharimides (9-43). Treatment of norcantharidin with allylamine afforded the corresponding allyl-norcantharimide (20) which was amenable to epoxidation (mCPBA, 22) and subsequent ring opening (MeOH/H + ; 23) or alternatively, osmylation (OsO 4 /NMO; 24). These simple synthetic modifications of 2 facilitated the development of a novel series of norcantharimides displaying modest to good broad spectrum cyto-toxicity against HT29 and SW480 (colorectal carcinoma); MCF-7 (breast adenocarcinoma); A2780 (ovarian carcinoma); H460 (lung carcinoma); A431 (epidermoid carcinoma); DU145 (prostate carcinoma); BE2-C (neuroblastoma); and SJ-G2 (glioblastoma). Analogues possessing a C 10 , C 12 or C 14 alkyl chain or a C 12 linked bis-norcantharimide displayed the highest levels of cytotoxicity.","author":[{"dropping-particle":"","family":"Hill","given":"Timothy A","non-dropping-particle":"","parse-names":false,"suffix":""},{"dropping-particle":"","family":"Stewart","given":"Scott G","non-dropping-particle":"","parse-names":false,"suffix":""},{"dropping-particle":"","family":"Ackland","given":"Stephen P","non-dropping-particle":"","parse-names":false,"suffix":""},{"dropping-particle":"","family":"Gilbert","given":"Jayne","non-dropping-particle":"","parse-names":false,"suffix":""},{"dropping-particle":"","family":"Sauer","given":"Benjamin","non-dropping-particle":"","parse-names":false,"suffix":""},{"dropping-particle":"","family":"Sakoff","given":"Jennette A","non-dropping-particle":"","parse-names":false,"suffix":""},{"dropping-particle":"","family":"McCluskey","given":"Adam","non-dropping-particle":"","parse-names":false,"suffix":""}],"container-title":"Bioorganic &amp; Medicinal Chemistry","id":"ITEM-2","issue":"18","issued":{"date-parts":[["2007","9"]]},"page":"6126-6134","title":"Norcantharimides, synthesis and anticancer activity: Synthesis of new norcantharidin analogues and their anticancer evaluation","type":"article-journal","volume":"15"},"uris":["http://www.mendeley.com/documents/?uuid=d9c76d62-b788-30fa-9a1f-3282fe411b32"]},{"id":"ITEM-3","itemData":{"DOI":"10.1016/j.bmcl.2006.12.039","ISSN":"0960894X","abstract":"A remarkable control of the potency of cantharimide is described based on the electronic properties of functional group and it exhibits a relatively less toxic effect to the non-malignant hematological disorder bone marrow cells. © 2006 Elsevier Ltd. All rights reserved.","author":[{"dropping-particle":"","family":"Kok","given":"Stanton Hon Lung","non-dropping-particle":"","parse-names":false,"suffix":""},{"dropping-particle":"","family":"Chui","given":"Chung Hin","non-dropping-particle":"","parse-names":false,"suffix":""},{"dropping-particle":"","family":"Lam","given":"Wing Sze","non-dropping-particle":"","parse-names":false,"suffix":""},{"dropping-particle":"","family":"Chen","given":"Jien","non-dropping-particle":"","parse-names":false,"suffix":""},{"dropping-particle":"","family":"Lau","given":"Fung Yi","non-dropping-particle":"","parse-names":false,"suffix":""},{"dropping-particle":"","family":"Wong","given":"Raymond Siu Ming","non-dropping-particle":"","parse-names":false,"suffix":""},{"dropping-particle":"","family":"Cheng","given":"Gregory Yin Ming","non-dropping-particle":"","parse-names":false,"suffix":""},{"dropping-particle":"","family":"Lai","given":"Paul Bo San","non-dropping-particle":"","parse-names":false,"suffix":""},{"dropping-particle":"","family":"Leung","given":"Thomas Wai Tong","non-dropping-particle":"","parse-names":false,"suffix":""},{"dropping-particle":"","family":"Yu","given":"Michael Wing Yiu","non-dropping-particle":"","parse-names":false,"suffix":""},{"dropping-particle":"","family":"Tang","given":"Johnny Cheuk On","non-dropping-particle":"","parse-names":false,"suffix":""},{"dropping-particle":"","family":"Chan","given":"Albert Sun Chi","non-dropping-particle":"","parse-names":false,"suffix":""}],"container-title":"Bioorganic &amp; Medicinal Chemistry Letters","id":"ITEM-3","issue":"5","issued":{"date-parts":[["2007","3","1"]]},"page":"1155-1159","title":"Synthesis and structure evaluation of a novel cantharimide and its cytotoxicity on SK-Hep-1 hepatoma cells","type":"article-journal","volume":"17"},"uris":["http://www.mendeley.com/documents/?uuid=4125514c-bbb0-376f-8544-c8c3851887e7"]},{"id":"ITEM-4","itemData":{"DOI":"10.1016/j.bmc.2011.01.031","ISSN":"09680896","abstract":"A family of norcantharidin analogues possessing a terminal alcohol (ethanol, propanol, butanol, pentanol, hexanol and cyclohexanol) moiety were treated with either chlorodiethyl, chlorodiphenyl or chloro-bis-trichloroethyl- phosphate to afford highly focused libraries of the corresponding phosphate esters. Subsequent biological screening against a panel of nine human cancer cell lines identified a trend between the ease of phosphate unmasking (phosphate ester hydrolysis) and cell death. The most potent analogues possessed either a diphenyl or a bis-trichloroethyl moiety. The effect of alkyl spacer was also examined with the hexyl analogues typically more potent. 4-Aza-4-(3-{bis(2,2,2- trichloroethyl)phosphate}propyl)-10-oxatricyclo[5.2.1.0]decane-3,5-dione (10b) was the most potent analogue synthesised with an average GI 50 of 11 μM across a panel of nine human carcinoma cell lines: colon carcinoma (HT29 and SW480); breast carcinoma (MCF-7); ovarian carcinoma (A2780); lung carcinoma (H460); skin carcinoma (A431); prostate carcinoma (DU145); neuronal carcinoma (BE2-C) and brain carcinoma (SJ-G2). This represents a fivefold improvement in anti-proliferative activity relative to the lead, norcantharidin. © 2011 Elsevier Ltd. All rights reserved.","author":[{"dropping-particle":"","family":"Robertson","given":"Mark J.","non-dropping-particle":"","parse-names":false,"suffix":""},{"dropping-particle":"","family":"Gordon","given":"Christopher P.","non-dropping-particle":"","parse-names":false,"suffix":""},{"dropping-particle":"","family":"Gilbert","given":"Jayne","non-dropping-particle":"","parse-names":false,"suffix":""},{"dropping-particle":"","family":"McCluskey","given":"Adam","non-dropping-particle":"","parse-names":false,"suffix":""},{"dropping-particle":"","family":"Sakoff","given":"Jennette A.","non-dropping-particle":"","parse-names":false,"suffix":""}],"container-title":"Bioorganic &amp; Medicinal Chemistry","id":"ITEM-4","issue":"18","issued":{"date-parts":[["2011","9","15"]]},"page":"5734-5741","title":"Norcantharimide analogues possessing terminal phosphate esters and their anti-cancer activity","type":"article-journal","volume":"19"},"uris":["http://www.mendeley.com/documents/?uuid=803c40ff-e267-3e38-86ba-1bf86a81e2f7"]},{"id":"ITEM-5","itemData":{"DOI":"10.3390/molecules19066911","ISSN":"1420-3049","abstract":"This research attempted to study the effect of lipophilicity on the anticancer activity of N-substituted norcantharimide derivatives. Twenty-three compounds were synthesized and their cytotoxicities against five human cancer cell lines studied. The lipophilicity of each derivative was altered by its substituent, an alkyl, alkyloxy, terpenyl or terpenyloxy group at the N-position of norcantharimide. Further, among all synthesized derivatives studied, the compounds N-farnesyloxy-7-oxabicyclo[2.2.1]heptane-2,3- dicarboximide (9), and N-farnesyl-7-oxabicyclo[2.2.1]heptane-2,3-dicarboximide (18), have shown the highest cytotoxicity, anti-proliferative and apoptotic effect against human liver carcinoma HepG2 cell lines, yet displayed no significant cytotoxic effect on normal murine embryonic liver BNL CL.2 cells. Their overall performance led us to believe that these two compounds might be potential candidates for anticancer drugs development. © 2014 by the authors.","author":[{"dropping-particle":"","family":"Wu","given":"Jin-Yi","non-dropping-particle":"","parse-names":false,"suffix":""},{"dropping-particle":"","family":"Kuo","given":"Cheng-Deng","non-dropping-particle":"","parse-names":false,"suffix":""},{"dropping-particle":"","family":"Chu","given":"Chien-Yu","non-dropping-particle":"","parse-names":false,"suffix":""},{"dropping-particle":"","family":"Chen","given":"Min-Shin","non-dropping-particle":"","parse-names":false,"suffix":""},{"dropping-particle":"","family":"Lin","given":"Jia-Hua","non-dropping-particle":"","parse-names":false,"suffix":""},{"dropping-particle":"","family":"Chen","given":"Yu-Jen","non-dropping-particle":"","parse-names":false,"suffix":""},{"dropping-particle":"","family":"Liao","given":"Hui-Fen","non-dropping-particle":"","parse-names":false,"suffix":""}],"container-title":"Molecules","id":"ITEM-5","issue":"6","issued":{"date-parts":[["2014","5","26"]]},"page":"6911-6928","publisher":"MDPI AG","title":"Synthesis of Novel Lipophilic N-Substituted Norcantharimide Derivatives and Evaluation of Their Anticancer Activities","type":"article-journal","volume":"19"},"uris":["http://www.mendeley.com/documents/?uuid=477dc381-b4fe-3636-99b3-03ae777bc489"]}],"mendeley":{"formattedCitation":"&lt;sup&gt;13,15,31,32,34&lt;/sup&gt;","plainTextFormattedCitation":"13,15,31,32,34","previouslyFormattedCitation":"&lt;sup&gt;13,15,31,32,34&lt;/sup&gt;"},"properties":{"noteIndex":0},"schema":"https://github.com/citation-style-language/schema/raw/master/csl-citation.json"}</w:instrText>
      </w:r>
      <w:r w:rsidRPr="00344D87">
        <w:fldChar w:fldCharType="separate"/>
      </w:r>
      <w:r w:rsidR="00BA4B30" w:rsidRPr="00BA4B30">
        <w:rPr>
          <w:noProof/>
          <w:vertAlign w:val="superscript"/>
        </w:rPr>
        <w:t>13,15,31,32,34</w:t>
      </w:r>
      <w:r w:rsidRPr="00344D87">
        <w:fldChar w:fldCharType="end"/>
      </w:r>
      <w:r w:rsidRPr="00344D87">
        <w:t xml:space="preserve"> with Lin </w:t>
      </w:r>
      <w:r w:rsidRPr="00344D87">
        <w:rPr>
          <w:i/>
        </w:rPr>
        <w:t>et al</w:t>
      </w:r>
      <w:r w:rsidRPr="00344D87">
        <w:t xml:space="preserve">. </w:t>
      </w:r>
      <w:r>
        <w:t>demonstrating</w:t>
      </w:r>
      <w:r w:rsidRPr="00344D87">
        <w:t xml:space="preserve"> that </w:t>
      </w:r>
      <w:r w:rsidRPr="00344D87">
        <w:rPr>
          <w:i/>
        </w:rPr>
        <w:t>N</w:t>
      </w:r>
      <w:r w:rsidRPr="00344D87">
        <w:t>-</w:t>
      </w:r>
      <w:proofErr w:type="spellStart"/>
      <w:r>
        <w:t>thiazolylcantharimides</w:t>
      </w:r>
      <w:proofErr w:type="spellEnd"/>
      <w:r>
        <w:t xml:space="preserve"> were more potent than cantharidin against the human hepatocellular carcinoma cell lines SK-Hep-1 and </w:t>
      </w:r>
      <w:proofErr w:type="spellStart"/>
      <w:r>
        <w:t>Hep</w:t>
      </w:r>
      <w:proofErr w:type="spellEnd"/>
      <w:r>
        <w:t xml:space="preserve"> 3B</w:t>
      </w:r>
      <w:r w:rsidRPr="00344D87">
        <w:t>.</w:t>
      </w:r>
      <w:r w:rsidRPr="00344D87">
        <w:fldChar w:fldCharType="begin" w:fldLock="1"/>
      </w:r>
      <w:r w:rsidR="00BA4B30">
        <w:instrText>ADDIN CSL_CITATION {"citationItems":[{"id":"ITEM-1","itemData":{"DOI":"10.1006/bioo.2000.1178","ISSN":"00452068","abstract":"We made an effort to prepare effective cantharidinimides by heating the reactants 1 and 2a-j to 200°C with toluene and triethylamine to provide 10 N-thiazolyl- and N-thiadiazolylcantharidinimides 3a-j in high yields of 48-91%. All of the synthetic compounds were tested for their capability to suppress growth of the human hepatocellular carcinoma cell lines, SK-Hep-1 and Hep 3B. The results showed that compound 3f was the most potent, and it was more cytotoxic than cantharidin. © 2000 Academic Press.","author":[{"dropping-particle":"","family":"Pen-Yuan","given":"Lin","non-dropping-particle":"","parse-names":false,"suffix":""},{"dropping-particle":"","family":"Sheng-Jie","given":"Shi","non-dropping-particle":"","parse-names":false,"suffix":""},{"dropping-particle":"","family":"Hsien-Liang","given":"Shu","non-dropping-particle":"","parse-names":false,"suffix":""},{"dropping-particle":"","family":"Hsue-Fen","given":"Chen","non-dropping-particle":"","parse-names":false,"suffix":""},{"dropping-particle":"","family":"Chiung-Chang","given":"Lin","non-dropping-particle":"","parse-names":false,"suffix":""},{"dropping-particle":"","family":"Pong-Chun","given":"Liu","non-dropping-particle":"","parse-names":false,"suffix":""},{"dropping-particle":"","family":"Leng-Fang","given":"Wang","non-dropping-particle":"","parse-names":false,"suffix":""}],"container-title":"Bioorganic Chemistry","id":"ITEM-1","issue":"5","issued":{"date-parts":[["2000","10"]]},"page":"266-272","publisher":"Academic Press Inc.","title":"A Simple Procedure for Preparation of N-Thiazolyl and N-Thiadiazolylcantharidinimides and Evaluation of Their Cytotoxicities against Human Hepatocellular Carcinoma Cells","type":"article-journal","volume":"28"},"uris":["http://www.mendeley.com/documents/?uuid=287f74e9-98bb-3cc6-a7f0-de36ed89b66a"]}],"mendeley":{"formattedCitation":"&lt;sup&gt;30&lt;/sup&gt;","plainTextFormattedCitation":"30","previouslyFormattedCitation":"&lt;sup&gt;30&lt;/sup&gt;"},"properties":{"noteIndex":0},"schema":"https://github.com/citation-style-language/schema/raw/master/csl-citation.json"}</w:instrText>
      </w:r>
      <w:r w:rsidRPr="00344D87">
        <w:fldChar w:fldCharType="separate"/>
      </w:r>
      <w:r w:rsidR="00BA4B30" w:rsidRPr="00BA4B30">
        <w:rPr>
          <w:noProof/>
          <w:vertAlign w:val="superscript"/>
        </w:rPr>
        <w:t>30</w:t>
      </w:r>
      <w:r w:rsidRPr="00344D87">
        <w:fldChar w:fldCharType="end"/>
      </w:r>
      <w:r>
        <w:t xml:space="preserve"> </w:t>
      </w:r>
      <w:proofErr w:type="spellStart"/>
      <w:r>
        <w:t>McCluskey</w:t>
      </w:r>
      <w:proofErr w:type="spellEnd"/>
      <w:r>
        <w:t xml:space="preserve"> </w:t>
      </w:r>
      <w:r w:rsidRPr="00A82614">
        <w:rPr>
          <w:i/>
          <w:iCs/>
        </w:rPr>
        <w:t>et al.</w:t>
      </w:r>
      <w:r>
        <w:t xml:space="preserve"> have also found that </w:t>
      </w:r>
      <w:proofErr w:type="spellStart"/>
      <w:r>
        <w:t>norcantharimides</w:t>
      </w:r>
      <w:proofErr w:type="spellEnd"/>
      <w:r>
        <w:t xml:space="preserve"> substituted with either </w:t>
      </w:r>
      <w:r w:rsidRPr="00543258">
        <w:rPr>
          <w:sz w:val="14"/>
        </w:rPr>
        <w:t>D</w:t>
      </w:r>
      <w:r>
        <w:t xml:space="preserve">- or </w:t>
      </w:r>
      <w:r w:rsidRPr="00543258">
        <w:rPr>
          <w:sz w:val="14"/>
        </w:rPr>
        <w:t>L</w:t>
      </w:r>
      <w:r>
        <w:t xml:space="preserve">-histidine are more potent than norcantharidin </w:t>
      </w:r>
      <w:r>
        <w:rPr>
          <w:b/>
        </w:rPr>
        <w:t>7</w:t>
      </w:r>
      <w:r>
        <w:t xml:space="preserve"> and equipotent to cantharidin </w:t>
      </w:r>
      <w:r>
        <w:rPr>
          <w:b/>
        </w:rPr>
        <w:t>5</w:t>
      </w:r>
      <w:r>
        <w:t xml:space="preserve"> for the inhibition of PP1 and </w:t>
      </w:r>
      <w:r w:rsidRPr="00344D87">
        <w:t>PP2A.</w:t>
      </w:r>
      <w:r w:rsidRPr="00344D87">
        <w:fldChar w:fldCharType="begin" w:fldLock="1"/>
      </w:r>
      <w:r w:rsidR="00BA4B30">
        <w:instrText>ADDIN CSL_CITATION {"citationItems":[{"id":"ITEM-1","itemData":{"DOI":"10.1016/S0960-894X(01)00594-7","ISSN":"0960894X","abstract":"Cantharidin and its analogues have been of considerable interest as potent inhibitors of the serine/threonine protein phosphatases 1 and 2A (PP1 and PP2A). However, limited modifications to the parent compounds is tolerated. As part of an on-going study we have developed a new series of cantharidin analogues, the cantharimides. Inhibition studies indicate that cantharimides possessing a D- or L-histidine, are more potent inhibitors of PP1 and PP2A (PP1 IC50=3.22±0.7 μM; PP2A IC50=0.81±0.1 μM and PP1 IC50=2.82±0.6 μM; PP2A IC50=1.35±0.3 μM, respectively) than norcantharidin (PP1 IC50=5.31±0.76 μM; PP2A IC50=2.9±1.04 μM) and essentially equipotent with cantharidin (PP1 IC50=3.6±0.42 μM; PP2A IC50=0.36±0.08 μM). Cantharimides with non-polar or acidic amino acid residues are only poor inhibitors of PP1 and PP2A. © 2001 Elsevier Science Ltd. All rights reserved.","author":[{"dropping-particle":"","family":"McCluskey","given":"Adam","non-dropping-particle":"","parse-names":false,"suffix":""},{"dropping-particle":"","family":"Walkom","given":"Cecilia","non-dropping-particle":"","parse-names":false,"suffix":""},{"dropping-particle":"","family":"Bowyer","given":"Michael C.","non-dropping-particle":"","parse-names":false,"suffix":""},{"dropping-particle":"","family":"Ackland","given":"Stephen P.","non-dropping-particle":"","parse-names":false,"suffix":""},{"dropping-particle":"","family":"Gardiner","given":"Emma","non-dropping-particle":"","parse-names":false,"suffix":""},{"dropping-particle":"","family":"Sakoff","given":"Jennette A.","non-dropping-particle":"","parse-names":false,"suffix":""}],"container-title":"Bioorganic &amp; Medicinal Chemistry Letters","id":"ITEM-1","issue":"22","issued":{"date-parts":[["2001","11","19"]]},"page":"2941-2946","title":"Cantharimides: A new class of modified cantharidin analogues inhibiting protein phosphatases 1 and 2A","type":"article-journal","volume":"11"},"uris":["http://www.mendeley.com/documents/?uuid=c241f9b8-cb2c-3fe6-ad78-aaf756aa7569"]}],"mendeley":{"formattedCitation":"&lt;sup&gt;14&lt;/sup&gt;","plainTextFormattedCitation":"14","previouslyFormattedCitation":"&lt;sup&gt;14&lt;/sup&gt;"},"properties":{"noteIndex":0},"schema":"https://github.com/citation-style-language/schema/raw/master/csl-citation.json"}</w:instrText>
      </w:r>
      <w:r w:rsidRPr="00344D87">
        <w:fldChar w:fldCharType="separate"/>
      </w:r>
      <w:r w:rsidR="00BA4B30" w:rsidRPr="00BA4B30">
        <w:rPr>
          <w:noProof/>
          <w:vertAlign w:val="superscript"/>
        </w:rPr>
        <w:t>14</w:t>
      </w:r>
      <w:r w:rsidRPr="00344D87">
        <w:fldChar w:fldCharType="end"/>
      </w:r>
      <w:r w:rsidRPr="00344D87">
        <w:t xml:space="preserve"> Finally</w:t>
      </w:r>
      <w:r>
        <w:t xml:space="preserve">, Gasser </w:t>
      </w:r>
      <w:r w:rsidRPr="00FB44CB">
        <w:rPr>
          <w:i/>
        </w:rPr>
        <w:t>et al</w:t>
      </w:r>
      <w:r>
        <w:t xml:space="preserve">. has shown that </w:t>
      </w:r>
      <w:r w:rsidRPr="0052574B">
        <w:rPr>
          <w:i/>
        </w:rPr>
        <w:t>N</w:t>
      </w:r>
      <w:r>
        <w:t xml:space="preserve">-substituted </w:t>
      </w:r>
      <w:proofErr w:type="spellStart"/>
      <w:r>
        <w:t>norcantharimides</w:t>
      </w:r>
      <w:proofErr w:type="spellEnd"/>
      <w:r>
        <w:t xml:space="preserve"> display unique potential as nematocides for the treatment of </w:t>
      </w:r>
      <w:r w:rsidRPr="0052574B">
        <w:rPr>
          <w:i/>
        </w:rPr>
        <w:t xml:space="preserve">Haemonchus </w:t>
      </w:r>
      <w:r w:rsidRPr="00344D87">
        <w:rPr>
          <w:i/>
        </w:rPr>
        <w:t>contortus</w:t>
      </w:r>
      <w:r w:rsidRPr="00344D87">
        <w:t>.</w:t>
      </w:r>
      <w:r w:rsidRPr="00344D87">
        <w:fldChar w:fldCharType="begin" w:fldLock="1"/>
      </w:r>
      <w:r w:rsidR="00BA4B30">
        <w:instrText>ADDIN CSL_CITATION {"citationItems":[{"id":"ITEM-1","itemData":{"DOI":"10.1016/j.bmcl.2011.04.031","ISSN":"0960894X","abstract":"With the major problems with resistance in parasitic nematodes of livestock to anthelmintic drugs, there is an urgent need to develop new nematocides. In the present study, we employed a targeted approach for the design of a series of norcantharidin analogues (n = 54) for activity testing against the barber's pole worm (Haemonchus contortus) of small ruminants in a larval development assay (LDA) and also for toxicity testing on nine distinct human cell lines. Although none of the 54 analogues synthesized were toxic to any of these cell lines, three of them (N-octyl-7-oxabicyclo(2.2.1)heptane-2,3-dicarboximide (B2), N-decyl-7-oxabicyclo(2.2.1)heptane-2,3-dicarboximide (B3) and 4-[(4-methyl)-3-ethyl-2-methyl-5-phenylfuran-10-oxa-4-azatricyclo[5.2.1] decane-3,5-dione (B21) reproducibly displayed 99-100% lethality to H. contortus in LDA, with LD 50s of 25-40 μM. The high 'hit rate' (5.6%) indicates that the approach taken here has advantages over conventional drug screening methods. A major advantage of norcantharidin analogues over some other currently available anthelmintics is that they can be produced in one to two steps in large amounts at low cost and high purity, and do not require any additional steps for the isolation of the active isomer. This positions them well for commercial development. © 2011 Elsevier Ltd. All rights reserved.","author":[{"dropping-particle":"","family":"Campbell","given":"Bronwyn E.","non-dropping-particle":"","parse-names":false,"suffix":""},{"dropping-particle":"","family":"Tarleton","given":"Mark","non-dropping-particle":"","parse-names":false,"suffix":""},{"dropping-particle":"","family":"Gordon","given":"Christopher P.","non-dropping-particle":"","parse-names":false,"suffix":""},{"dropping-particle":"","family":"Sakoff","given":"Jennette A.","non-dropping-particle":"","parse-names":false,"suffix":""},{"dropping-particle":"","family":"Gilbert","given":"Jayne","non-dropping-particle":"","parse-names":false,"suffix":""},{"dropping-particle":"","family":"McCluskey","given":"Adam","non-dropping-particle":"","parse-names":false,"suffix":""},{"dropping-particle":"","family":"Gasser","given":"Robin B.","non-dropping-particle":"","parse-names":false,"suffix":""}],"container-title":"Bioorganic &amp; Medicinal Chemistry Letters","id":"ITEM-1","issue":"11","issued":{"date-parts":[["2011","6","1"]]},"page":"3277-3281","title":"Norcantharidin analogues with nematocidal activity in Haemonchus contortus","type":"article-journal","volume":"21"},"uris":["http://www.mendeley.com/documents/?uuid=ac8f2857-3ed9-3079-b80b-113da51773d1"]}],"mendeley":{"formattedCitation":"&lt;sup&gt;33&lt;/sup&gt;","plainTextFormattedCitation":"33","previouslyFormattedCitation":"&lt;sup&gt;33&lt;/sup&gt;"},"properties":{"noteIndex":0},"schema":"https://github.com/citation-style-language/schema/raw/master/csl-citation.json"}</w:instrText>
      </w:r>
      <w:r w:rsidRPr="00344D87">
        <w:fldChar w:fldCharType="separate"/>
      </w:r>
      <w:r w:rsidR="00BA4B30" w:rsidRPr="00BA4B30">
        <w:rPr>
          <w:noProof/>
          <w:vertAlign w:val="superscript"/>
        </w:rPr>
        <w:t>33</w:t>
      </w:r>
      <w:r w:rsidRPr="00344D87">
        <w:fldChar w:fldCharType="end"/>
      </w:r>
      <w:r>
        <w:t xml:space="preserve"> We therefore believe substantial scope exists for exploring the potential of novel cyclic imides based on </w:t>
      </w:r>
      <w:r w:rsidRPr="007227F1">
        <w:rPr>
          <w:i/>
        </w:rPr>
        <w:t>N</w:t>
      </w:r>
      <w:r>
        <w:t xml:space="preserve">-substituted cantharimide </w:t>
      </w:r>
      <w:r>
        <w:rPr>
          <w:b/>
        </w:rPr>
        <w:t>6</w:t>
      </w:r>
      <w:r>
        <w:t xml:space="preserve"> and norcantharimide </w:t>
      </w:r>
      <w:r>
        <w:rPr>
          <w:b/>
        </w:rPr>
        <w:t xml:space="preserve">8 </w:t>
      </w:r>
      <w:r w:rsidRPr="007227F1">
        <w:t>for therapeutic applications</w:t>
      </w:r>
      <w:r>
        <w:t>.</w:t>
      </w:r>
    </w:p>
    <w:p w:rsidR="00F84267" w:rsidRDefault="007E1441" w:rsidP="00F84267">
      <w:pPr>
        <w:pStyle w:val="ElsParagraph"/>
      </w:pPr>
      <w:r>
        <w:rPr>
          <w:noProof/>
        </w:rPr>
        <w:object w:dxaOrig="1440" w:dyaOrig="1440">
          <v:shape id="_x0000_s1119" type="#_x0000_t75" style="position:absolute;left:0;text-align:left;margin-left:24.75pt;margin-top:200.85pt;width:189.7pt;height:135.7pt;z-index:251662848;mso-position-horizontal-relative:text;mso-position-vertical-relative:text">
            <v:imagedata r:id="rId18" o:title=""/>
            <w10:wrap type="topAndBottom"/>
          </v:shape>
          <o:OLEObject Type="Embed" ProgID="ChemDraw.Document.6.0" ShapeID="_x0000_s1119" DrawAspect="Content" ObjectID="_1665920396" r:id="rId19"/>
        </w:object>
      </w:r>
      <w:r w:rsidR="00874FE1">
        <w:t xml:space="preserve">Ourselves, along with </w:t>
      </w:r>
      <w:proofErr w:type="spellStart"/>
      <w:r w:rsidR="00874FE1">
        <w:t>Pehere</w:t>
      </w:r>
      <w:proofErr w:type="spellEnd"/>
      <w:r w:rsidR="00874FE1">
        <w:t xml:space="preserve"> </w:t>
      </w:r>
      <w:r w:rsidR="00874FE1" w:rsidRPr="002B2040">
        <w:rPr>
          <w:i/>
        </w:rPr>
        <w:t>et al</w:t>
      </w:r>
      <w:r w:rsidR="00874FE1">
        <w:t xml:space="preserve">., have previously reported, independently and simultaneously, the synthesis of </w:t>
      </w:r>
      <w:r w:rsidR="00874FE1" w:rsidRPr="00F03FF2">
        <w:t>2-[</w:t>
      </w:r>
      <w:r w:rsidR="00874FE1">
        <w:t>(1</w:t>
      </w:r>
      <w:r w:rsidR="00874FE1" w:rsidRPr="00666C51">
        <w:rPr>
          <w:i/>
        </w:rPr>
        <w:t>S</w:t>
      </w:r>
      <w:r w:rsidR="00874FE1">
        <w:rPr>
          <w:i/>
        </w:rPr>
        <w:t>*</w:t>
      </w:r>
      <w:r w:rsidR="00874FE1">
        <w:t>,5</w:t>
      </w:r>
      <w:r w:rsidR="00874FE1" w:rsidRPr="000D36E0">
        <w:rPr>
          <w:i/>
        </w:rPr>
        <w:t>S</w:t>
      </w:r>
      <w:r w:rsidR="00874FE1">
        <w:rPr>
          <w:i/>
        </w:rPr>
        <w:t>*</w:t>
      </w:r>
      <w:r w:rsidR="00874FE1">
        <w:t>,7</w:t>
      </w:r>
      <w:r w:rsidR="00874FE1" w:rsidRPr="000D36E0">
        <w:rPr>
          <w:i/>
        </w:rPr>
        <w:t>S</w:t>
      </w:r>
      <w:r w:rsidR="00874FE1">
        <w:rPr>
          <w:i/>
        </w:rPr>
        <w:t>*</w:t>
      </w:r>
      <w:r w:rsidR="00874FE1">
        <w:t>)-4-oxo-3,10-dioxatricyclo-[5.2.1.0</w:t>
      </w:r>
      <w:r w:rsidR="00874FE1" w:rsidRPr="00F03FF2">
        <w:rPr>
          <w:vertAlign w:val="superscript"/>
        </w:rPr>
        <w:t>1,5</w:t>
      </w:r>
      <w:r w:rsidR="00874FE1">
        <w:t xml:space="preserve">]dec-8-en-5-yl] acetic acid </w:t>
      </w:r>
      <w:r w:rsidR="00874FE1" w:rsidRPr="002D1E8D">
        <w:rPr>
          <w:b/>
        </w:rPr>
        <w:t>12</w:t>
      </w:r>
      <w:r w:rsidR="00874FE1">
        <w:t xml:space="preserve">, through the tandem Diels-Alder cycloaddition and lactonization reaction of furfuryl alcohol </w:t>
      </w:r>
      <w:r w:rsidR="00874FE1" w:rsidRPr="002D1E8D">
        <w:rPr>
          <w:b/>
        </w:rPr>
        <w:t>10</w:t>
      </w:r>
      <w:r w:rsidR="00874FE1">
        <w:t xml:space="preserve"> and itaconic anhydride </w:t>
      </w:r>
      <w:r w:rsidR="00874FE1" w:rsidRPr="002D1E8D">
        <w:rPr>
          <w:b/>
        </w:rPr>
        <w:t>9</w:t>
      </w:r>
      <w:r w:rsidR="00874FE1">
        <w:t xml:space="preserve"> (</w:t>
      </w:r>
      <w:r w:rsidR="00874FE1" w:rsidRPr="002D1E8D">
        <w:rPr>
          <w:b/>
        </w:rPr>
        <w:t>Scheme 1</w:t>
      </w:r>
      <w:r w:rsidR="00874FE1">
        <w:t>).</w:t>
      </w:r>
      <w:r w:rsidR="00874FE1" w:rsidRPr="00344D87">
        <w:fldChar w:fldCharType="begin" w:fldLock="1"/>
      </w:r>
      <w:r w:rsidR="00BA4B30">
        <w:instrText>ADDIN CSL_CITATION {"citationItems":[{"id":"ITEM-1","itemData":{"DOI":"10.1039/C6GC00623J","ISSN":"1463-9262","abstract":"A tandem Diels–Alder addition and lactonisation between bio-derivable itaconic anhydride and furfuryl alcohol can be used to prepare novel monomers for ROMP.","author":[{"dropping-particle":"","family":"Bai","given":"Yinjuan","non-dropping-particle":"","parse-names":false,"suffix":""},{"dropping-particle":"","family":"bruyn","given":"Mario","non-dropping-particle":"De","parse-names":false,"suffix":""},{"dropping-particle":"","family":"Clark","given":"James H.","non-dropping-particle":"","parse-names":false,"suffix":""},{"dropping-particle":"","family":"Dodson","given":"Jennifer R.","non-dropping-particle":"","parse-names":false,"suffix":""},{"dropping-particle":"","family":"Farmer","given":"Thomas J.","non-dropping-particle":"","parse-names":false,"suffix":""},{"dropping-particle":"","family":"Honoré","given":"Mathilde","non-dropping-particle":"","parse-names":false,"suffix":""},{"dropping-particle":"V.","family":"Ingram","given":"Ian D.","non-dropping-particle":"","parse-names":false,"suffix":""},{"dropping-particle":"","family":"Naguib","given":"Mohamed","non-dropping-particle":"","parse-names":false,"suffix":""},{"dropping-particle":"","family":"Whitwood","given":"Adrian C.","non-dropping-particle":"","parse-names":false,"suffix":""},{"dropping-particle":"","family":"North","given":"Michael","non-dropping-particle":"","parse-names":false,"suffix":""}],"container-title":"Green Chemistry","id":"ITEM-1","issue":"14","issued":{"date-parts":[["2016","7","11"]]},"page":"3945-3948","publisher":"Royal Society of Chemistry","title":"Ring opening metathesis polymerisation of a new bio-derived monomer from itaconic anhydride and furfuryl alcohol","type":"article-journal","volume":"18"},"uris":["http://www.mendeley.com/documents/?uuid=5f31e7f8-91a5-34d1-a677-4ad3478446ef"]},{"id":"ITEM-2","itemData":{"DOI":"10.1021/acs.orglett.6b00929","ISSN":"1523-7060","abstract":"Unfavorable thermodynamics often render furans reluctant to engage in high-yielding Diels-Alder (DA) cycloaddition reactions. Here, we report the highly efficient conversion of the biosourced reactants itaconic anhydride (IA) and furfuryl alcohol (FA) to a single DA adduct. The free energy advantages provided by anhydride ring opening and crystal lattice energy of the product overcome the loss of aromaticity of the furanoid diene. Detailed 1H NMR studies provided valuable insights about relevant kinetic and thermodynamic features.","author":[{"dropping-particle":"","family":"Pehere","given":"Ashok D.","non-dropping-particle":"","parse-names":false,"suffix":""},{"dropping-particle":"","family":"Xu","given":"Shu","non-dropping-particle":"","parse-names":false,"suffix":""},{"dropping-particle":"","family":"Thompson","given":"Severin K.","non-dropping-particle":"","parse-names":false,"suffix":""},{"dropping-particle":"","family":"Hillmyer","given":"Marc A.","non-dropping-particle":"","parse-names":false,"suffix":""},{"dropping-particle":"","family":"Hoye","given":"Thomas R.","non-dropping-particle":"","parse-names":false,"suffix":""}],"container-title":"Organic Letters","id":"ITEM-2","issue":"11","issued":{"date-parts":[["2016","6","3"]]},"page":"2584-2587","publisher":"American Chemical Society","title":"Diels–Alder Reactions of Furans with Itaconic Anhydride: Overcoming Unfavorable Thermodynamics","type":"article-journal","volume":"18"},"uris":["http://www.mendeley.com/documents/?uuid=68e2562b-64d0-37d0-ae8a-1fafdb61df40"]}],"mendeley":{"formattedCitation":"&lt;sup&gt;36,37&lt;/sup&gt;","plainTextFormattedCitation":"36,37","previouslyFormattedCitation":"&lt;sup&gt;36,37&lt;/sup&gt;"},"properties":{"noteIndex":0},"schema":"https://github.com/citation-style-language/schema/raw/master/csl-citation.json"}</w:instrText>
      </w:r>
      <w:r w:rsidR="00874FE1" w:rsidRPr="00344D87">
        <w:fldChar w:fldCharType="separate"/>
      </w:r>
      <w:r w:rsidR="00BA4B30" w:rsidRPr="00BA4B30">
        <w:rPr>
          <w:noProof/>
          <w:vertAlign w:val="superscript"/>
        </w:rPr>
        <w:t>36,37</w:t>
      </w:r>
      <w:r w:rsidR="00874FE1" w:rsidRPr="00344D87">
        <w:fldChar w:fldCharType="end"/>
      </w:r>
      <w:r w:rsidR="00874FE1" w:rsidRPr="00344D87">
        <w:t xml:space="preserve"> Oxanorbornene</w:t>
      </w:r>
      <w:r w:rsidR="00874FE1">
        <w:t xml:space="preserve"> </w:t>
      </w:r>
      <w:r w:rsidR="00874FE1" w:rsidRPr="002D1E8D">
        <w:rPr>
          <w:b/>
        </w:rPr>
        <w:t>12</w:t>
      </w:r>
      <w:r w:rsidR="00874FE1">
        <w:t xml:space="preserve"> is isolated as a single species, due to the lactonization step only being favorable when the [4+2] cycloaddition yields the </w:t>
      </w:r>
      <w:proofErr w:type="spellStart"/>
      <w:r w:rsidR="00874FE1">
        <w:t>prox-</w:t>
      </w:r>
      <w:r w:rsidR="00874FE1" w:rsidRPr="00BE2E25">
        <w:rPr>
          <w:i/>
        </w:rPr>
        <w:t>exo</w:t>
      </w:r>
      <w:proofErr w:type="spellEnd"/>
      <w:r w:rsidR="00874FE1">
        <w:t xml:space="preserve"> intermediate </w:t>
      </w:r>
      <w:r w:rsidR="00874FE1">
        <w:rPr>
          <w:b/>
        </w:rPr>
        <w:t>11</w:t>
      </w:r>
      <w:r w:rsidR="00874FE1">
        <w:t xml:space="preserve">, which drives ring-opening of the anhydride and subsequent crystallization of </w:t>
      </w:r>
      <w:r w:rsidR="00874FE1">
        <w:rPr>
          <w:b/>
        </w:rPr>
        <w:t xml:space="preserve">12 </w:t>
      </w:r>
      <w:r w:rsidR="00874FE1">
        <w:t>from the dynamic reaction mixture as a racemic mixture</w:t>
      </w:r>
      <w:r w:rsidR="00874FE1" w:rsidRPr="00344D87">
        <w:t>.</w:t>
      </w:r>
      <w:r w:rsidR="00874FE1" w:rsidRPr="00344D87">
        <w:fldChar w:fldCharType="begin" w:fldLock="1"/>
      </w:r>
      <w:r w:rsidR="00BA4B30">
        <w:instrText>ADDIN CSL_CITATION {"citationItems":[{"id":"ITEM-1","itemData":{"DOI":"10.1021/acs.orglett.6b00929","ISSN":"1523-7060","abstract":"Unfavorable thermodynamics often render furans reluctant to engage in high-yielding Diels-Alder (DA) cycloaddition reactions. Here, we report the highly efficient conversion of the biosourced reactants itaconic anhydride (IA) and furfuryl alcohol (FA) to a single DA adduct. The free energy advantages provided by anhydride ring opening and crystal lattice energy of the product overcome the loss of aromaticity of the furanoid diene. Detailed 1H NMR studies provided valuable insights about relevant kinetic and thermodynamic features.","author":[{"dropping-particle":"","family":"Pehere","given":"Ashok D.","non-dropping-particle":"","parse-names":false,"suffix":""},{"dropping-particle":"","family":"Xu","given":"Shu","non-dropping-particle":"","parse-names":false,"suffix":""},{"dropping-particle":"","family":"Thompson","given":"Severin K.","non-dropping-particle":"","parse-names":false,"suffix":""},{"dropping-particle":"","family":"Hillmyer","given":"Marc A.","non-dropping-particle":"","parse-names":false,"suffix":""},{"dropping-particle":"","family":"Hoye","given":"Thomas R.","non-dropping-particle":"","parse-names":false,"suffix":""}],"container-title":"Organic Letters","id":"ITEM-1","issue":"11","issued":{"date-parts":[["2016","6","3"]]},"page":"2584-2587","publisher":"American Chemical Society","title":"Diels–Alder Reactions of Furans with Itaconic Anhydride: Overcoming Unfavorable Thermodynamics","type":"article-journal","volume":"18"},"uris":["http://www.mendeley.com/documents/?uuid=68e2562b-64d0-37d0-ae8a-1fafdb61df40"]}],"mendeley":{"formattedCitation":"&lt;sup&gt;37&lt;/sup&gt;","plainTextFormattedCitation":"37","previouslyFormattedCitation":"&lt;sup&gt;37&lt;/sup&gt;"},"properties":{"noteIndex":0},"schema":"https://github.com/citation-style-language/schema/raw/master/csl-citation.json"}</w:instrText>
      </w:r>
      <w:r w:rsidR="00874FE1" w:rsidRPr="00344D87">
        <w:fldChar w:fldCharType="separate"/>
      </w:r>
      <w:r w:rsidR="00BA4B30" w:rsidRPr="00BA4B30">
        <w:rPr>
          <w:noProof/>
          <w:vertAlign w:val="superscript"/>
        </w:rPr>
        <w:t>37</w:t>
      </w:r>
      <w:r w:rsidR="00874FE1" w:rsidRPr="00344D87">
        <w:fldChar w:fldCharType="end"/>
      </w:r>
      <w:r w:rsidR="00874FE1">
        <w:t xml:space="preserve"> This direct and atom economical reaction therefore presents a highly efficient route to yield a functionalized oxanorbornene. Furthermore, itaconic anhydride </w:t>
      </w:r>
      <w:r w:rsidR="00874FE1">
        <w:rPr>
          <w:b/>
        </w:rPr>
        <w:t>9</w:t>
      </w:r>
      <w:r w:rsidR="00874FE1">
        <w:t xml:space="preserve"> and furfuryl alcohol </w:t>
      </w:r>
      <w:r w:rsidR="00874FE1">
        <w:rPr>
          <w:b/>
        </w:rPr>
        <w:t>10</w:t>
      </w:r>
      <w:r w:rsidR="00874FE1">
        <w:t xml:space="preserve"> are readily available from biomass; the former through the simultaneous decarboxylation and dehydration of citric acid </w:t>
      </w:r>
      <w:r w:rsidR="00874FE1" w:rsidRPr="00B0313E">
        <w:t>(ca. 1,000,000 tons per annum</w:t>
      </w:r>
      <w:r w:rsidR="00874FE1" w:rsidRPr="00344D87">
        <w:t>),</w:t>
      </w:r>
      <w:r w:rsidR="00874FE1" w:rsidRPr="00344D87">
        <w:fldChar w:fldCharType="begin" w:fldLock="1"/>
      </w:r>
      <w:r w:rsidR="00BA4B30">
        <w:instrText>ADDIN CSL_CITATION {"citationItems":[{"id":"ITEM-1","itemData":{"DOI":"10.1016/S1387-2656(07)13011-8","ISBN":"0444530320","ISSN":"13872656","PMID":"17875481","abstract":"Citric acid is a commodity chemical produced and consumed throughout The World. It is used mainly in the food and beverage industry, primarily as an acidulant. Although it is one of the oldiest industrial fermentations, its World production is still in rapid increasing. Global production of citric acid in 2007 was over 1.6 million tones. Biochemistry of citric acid fermentation, various microbial strains, as well as various substrates, technological processes and product recovery are presented. World production and economics aspects of this strategically product of bulk biotechnology are discussed. © 2007 Elsevier B.V. All rights reserved.","author":[{"dropping-particle":"","family":"Berovic","given":"Marin","non-dropping-particle":"","parse-names":false,"suffix":""},{"dropping-particle":"","family":"Legisa","given":"Matic","non-dropping-particle":"","parse-names":false,"suffix":""}],"container-title":"Biotechnology Annual Review","id":"ITEM-1","issued":{"date-parts":[["2007","1","1"]]},"page":"303-343","publisher":"Elsevier","title":"Citric acid production","type":"chapter","volume":"13"},"uris":["http://www.mendeley.com/documents/?uuid=20ad6bc5-fc70-3bdb-9366-3fcf8feee439"]}],"mendeley":{"formattedCitation":"&lt;sup&gt;38&lt;/sup&gt;","plainTextFormattedCitation":"38","previouslyFormattedCitation":"&lt;sup&gt;38&lt;/sup&gt;"},"properties":{"noteIndex":0},"schema":"https://github.com/citation-style-language/schema/raw/master/csl-citation.json"}</w:instrText>
      </w:r>
      <w:r w:rsidR="00874FE1" w:rsidRPr="00344D87">
        <w:fldChar w:fldCharType="separate"/>
      </w:r>
      <w:r w:rsidR="00BA4B30" w:rsidRPr="00BA4B30">
        <w:rPr>
          <w:noProof/>
          <w:vertAlign w:val="superscript"/>
        </w:rPr>
        <w:t>38</w:t>
      </w:r>
      <w:r w:rsidR="00874FE1" w:rsidRPr="00344D87">
        <w:fldChar w:fldCharType="end"/>
      </w:r>
      <w:r w:rsidR="00874FE1">
        <w:t xml:space="preserve"> the latter by hydrogenation of furfural, which is produced through the acid-catalyzed dehydration of </w:t>
      </w:r>
      <w:r w:rsidR="00874FE1" w:rsidRPr="00B0313E">
        <w:t>pentoses (ca. 200,000 tons per annum</w:t>
      </w:r>
      <w:r w:rsidR="00874FE1" w:rsidRPr="00344D87">
        <w:t>).</w:t>
      </w:r>
      <w:r w:rsidR="00874FE1" w:rsidRPr="00344D87">
        <w:fldChar w:fldCharType="begin" w:fldLock="1"/>
      </w:r>
      <w:r w:rsidR="00BA4B30">
        <w:instrText>ADDIN CSL_CITATION {"citationItems":[{"id":"ITEM-1","itemData":{"DOI":"10.1023/B:TOCA.0000013537.13540.0e","ISSN":"1022-5528","abstract":"In this review, an overview is given on the last development of catalytic methods for the preparation of substituted furans from carbohydrates and ensuing polymers. The review starts with the recent aspects in the synthesis of some key furan monomers in the presence of solid catalysts. In the second part, selected examples are given of polymerization systems leading to furan-based materials with promising properties, thus constituting a serious alternative to petroleum-based counterparts. Finally, a short examination is given on what could be the future of furan chemistry with the recent development of ionic liquids as solvents. © 2004 Plenum Publishing Corporation.","author":[{"dropping-particle":"","family":"Moreau","given":"Claude","non-dropping-particle":"","parse-names":false,"suffix":""},{"dropping-particle":"","family":"Belgacem","given":"Mohamed Naceur","non-dropping-particle":"","parse-names":false,"suffix":""},{"dropping-particle":"","family":"Gandini","given":"Alessandro","non-dropping-particle":"","parse-names":false,"suffix":""}],"container-title":"Topics in Catalysis","id":"ITEM-1","issue":"1-4","issued":{"date-parts":[["2004","2"]]},"page":"11-30","publisher":"Kluwer Academic Publishers","title":"Recent Catalytic Advances in the Chemistry of Substituted Furans from Carbohydrates and in the Ensuing Polymers","type":"article-journal","volume":"27"},"uris":["http://www.mendeley.com/documents/?uuid=94fd6fbe-578b-3593-9b43-287e36d32874"]}],"mendeley":{"formattedCitation":"&lt;sup&gt;39&lt;/sup&gt;","plainTextFormattedCitation":"39","previouslyFormattedCitation":"&lt;sup&gt;39&lt;/sup&gt;"},"properties":{"noteIndex":0},"schema":"https://github.com/citation-style-language/schema/raw/master/csl-citation.json"}</w:instrText>
      </w:r>
      <w:r w:rsidR="00874FE1" w:rsidRPr="00344D87">
        <w:fldChar w:fldCharType="separate"/>
      </w:r>
      <w:r w:rsidR="00BA4B30" w:rsidRPr="00BA4B30">
        <w:rPr>
          <w:noProof/>
          <w:vertAlign w:val="superscript"/>
        </w:rPr>
        <w:t>39</w:t>
      </w:r>
      <w:r w:rsidR="00874FE1" w:rsidRPr="00344D87">
        <w:fldChar w:fldCharType="end"/>
      </w:r>
    </w:p>
    <w:p w:rsidR="00F84267" w:rsidRDefault="00F84267" w:rsidP="009B5F0C">
      <w:pPr>
        <w:pStyle w:val="ElsFigureCaption"/>
      </w:pPr>
      <w:r w:rsidRPr="000847E3">
        <w:rPr>
          <w:b/>
        </w:rPr>
        <w:t>Scheme 1.</w:t>
      </w:r>
      <w:r w:rsidRPr="009D5F77">
        <w:t xml:space="preserve"> </w:t>
      </w:r>
      <w:r>
        <w:t xml:space="preserve">Preparation of oxanorbornene </w:t>
      </w:r>
      <w:r>
        <w:rPr>
          <w:b/>
        </w:rPr>
        <w:t>12</w:t>
      </w:r>
      <w:r>
        <w:t xml:space="preserve"> </w:t>
      </w:r>
      <w:r w:rsidRPr="009D5F77">
        <w:rPr>
          <w:i/>
        </w:rPr>
        <w:t>via</w:t>
      </w:r>
      <w:r>
        <w:t xml:space="preserve"> the [4+2] cycloaddition and intramolecular lactonization of furfuryl alcohol </w:t>
      </w:r>
      <w:r>
        <w:rPr>
          <w:b/>
        </w:rPr>
        <w:t>10</w:t>
      </w:r>
      <w:r>
        <w:t xml:space="preserve"> and itaconic anhydride </w:t>
      </w:r>
      <w:r>
        <w:rPr>
          <w:b/>
        </w:rPr>
        <w:t>9</w:t>
      </w:r>
      <w:r w:rsidRPr="009D5F77">
        <w:t>.</w:t>
      </w:r>
    </w:p>
    <w:p w:rsidR="009B5F0C" w:rsidRDefault="007E1441" w:rsidP="009B5F0C">
      <w:pPr>
        <w:pStyle w:val="ElsFigureCaption"/>
      </w:pPr>
      <w:r>
        <w:rPr>
          <w:noProof/>
        </w:rPr>
        <w:object w:dxaOrig="1440" w:dyaOrig="1440">
          <v:shape id="_x0000_s1126" type="#_x0000_t75" style="position:absolute;left:0;text-align:left;margin-left:0;margin-top:-296.8pt;width:204.9pt;height:306pt;z-index:251677184;mso-position-horizontal:center;mso-position-horizontal-relative:text;mso-position-vertical:absolute;mso-position-vertical-relative:text">
            <v:imagedata r:id="rId20" o:title=""/>
            <w10:wrap type="topAndBottom"/>
          </v:shape>
          <o:OLEObject Type="Embed" ProgID="ChemDraw.Document.6.0" ShapeID="_x0000_s1126" DrawAspect="Content" ObjectID="_1665920397" r:id="rId21"/>
        </w:object>
      </w:r>
    </w:p>
    <w:p w:rsidR="009B5F0C" w:rsidRDefault="009B5F0C" w:rsidP="009B5F0C">
      <w:pPr>
        <w:pStyle w:val="ElsFigureCaption"/>
      </w:pPr>
      <w:r w:rsidRPr="007140FA">
        <w:rPr>
          <w:b/>
        </w:rPr>
        <w:t>Scheme 2.</w:t>
      </w:r>
      <w:r w:rsidRPr="007140FA">
        <w:t xml:space="preserve"> A. Previous work on the synthesis of bio-based ROMP polymers from oxanorbornene lactone </w:t>
      </w:r>
      <w:r w:rsidRPr="007140FA">
        <w:rPr>
          <w:b/>
        </w:rPr>
        <w:t>12</w:t>
      </w:r>
      <w:r w:rsidRPr="007140FA">
        <w:t xml:space="preserve"> and oxanorbornene lactam </w:t>
      </w:r>
      <w:r w:rsidRPr="007140FA">
        <w:rPr>
          <w:b/>
        </w:rPr>
        <w:t>15</w:t>
      </w:r>
      <w:r w:rsidRPr="007140FA">
        <w:t xml:space="preserve">. B. This work on the divergent synthesis of secondary amides and spirocyclic imides from oxanorbornene </w:t>
      </w:r>
      <w:r w:rsidRPr="007140FA">
        <w:rPr>
          <w:b/>
        </w:rPr>
        <w:t>12</w:t>
      </w:r>
      <w:r w:rsidRPr="007140FA">
        <w:t>.</w:t>
      </w:r>
    </w:p>
    <w:p w:rsidR="009B5F0C" w:rsidRDefault="009B5F0C" w:rsidP="009B5F0C">
      <w:pPr>
        <w:pStyle w:val="ElsParagraph"/>
      </w:pPr>
      <w:r>
        <w:t xml:space="preserve">Subsequently, we have been interested in exploring derivatives of oxanorbornene </w:t>
      </w:r>
      <w:r>
        <w:rPr>
          <w:b/>
        </w:rPr>
        <w:t>12</w:t>
      </w:r>
      <w:r>
        <w:t xml:space="preserve"> as novel reactive monomers for the synthesis of sustainable polymers </w:t>
      </w:r>
      <w:r w:rsidRPr="00876C74">
        <w:rPr>
          <w:i/>
        </w:rPr>
        <w:t>via</w:t>
      </w:r>
      <w:r>
        <w:t xml:space="preserve"> ring-opening metathesis polymerization (ROMP). We have reported a number of examples utilizing ester and tertiary amide derivatives </w:t>
      </w:r>
      <w:r w:rsidRPr="00FD7D20">
        <w:rPr>
          <w:b/>
        </w:rPr>
        <w:t>13</w:t>
      </w:r>
      <w:r>
        <w:t xml:space="preserve"> for the synthesis of various homo- and copolymers </w:t>
      </w:r>
      <w:r>
        <w:rPr>
          <w:b/>
        </w:rPr>
        <w:t>14</w:t>
      </w:r>
      <w:r>
        <w:t xml:space="preserve"> derived from biomass using Grubbs 2</w:t>
      </w:r>
      <w:r w:rsidRPr="00DE350F">
        <w:rPr>
          <w:vertAlign w:val="superscript"/>
        </w:rPr>
        <w:t>nd</w:t>
      </w:r>
      <w:r>
        <w:t xml:space="preserve"> generation catalyst (</w:t>
      </w:r>
      <w:r w:rsidRPr="00FD7D20">
        <w:rPr>
          <w:b/>
        </w:rPr>
        <w:t>Scheme 2</w:t>
      </w:r>
      <w:r>
        <w:t>).</w:t>
      </w:r>
      <w:r>
        <w:fldChar w:fldCharType="begin" w:fldLock="1"/>
      </w:r>
      <w:r w:rsidR="00BA4B30">
        <w:instrText>ADDIN CSL_CITATION {"citationItems":[{"id":"ITEM-1","itemData":{"DOI":"10.1039/C6GC00623J","ISSN":"1463-9262","abstract":"A tandem Diels–Alder addition and lactonisation between bio-derivable itaconic anhydride and furfuryl alcohol can be used to prepare novel monomers for ROMP.","author":[{"dropping-particle":"","family":"Bai","given":"Yinjuan","non-dropping-particle":"","parse-names":false,"suffix":""},{"dropping-particle":"","family":"bruyn","given":"Mario","non-dropping-particle":"De","parse-names":false,"suffix":""},{"dropping-particle":"","family":"Clark","given":"James H.","non-dropping-particle":"","parse-names":false,"suffix":""},{"dropping-particle":"","family":"Dodson","given":"Jennifer R.","non-dropping-particle":"","parse-names":false,"suffix":""},{"dropping-particle":"","family":"Farmer","given":"Thomas J.","non-dropping-particle":"","parse-names":false,"suffix":""},{"dropping-particle":"","family":"Honoré","given":"Mathilde","non-dropping-particle":"","parse-names":false,"suffix":""},{"dropping-particle":"V.","family":"Ingram","given":"Ian D.","non-dropping-particle":"","parse-names":false,"suffix":""},{"dropping-particle":"","family":"Naguib","given":"Mohamed","non-dropping-particle":"","parse-names":false,"suffix":""},{"dropping-particle":"","family":"Whitwood","given":"Adrian C.","non-dropping-particle":"","parse-names":false,"suffix":""},{"dropping-particle":"","family":"North","given":"Michael","non-dropping-particle":"","parse-names":false,"suffix":""}],"container-title":"Green Chemistry","id":"ITEM-1","issue":"14","issued":{"date-parts":[["2016","7","11"]]},"page":"3945-3948","publisher":"Royal Society of Chemistry","title":"Ring opening metathesis polymerisation of a new bio-derived monomer from itaconic anhydride and furfuryl alcohol","type":"article-journal","volume":"18"},"uris":["http://www.mendeley.com/documents/?uuid=5f31e7f8-91a5-34d1-a677-4ad3478446ef"]},{"id":"ITEM-2","itemData":{"DOI":"10.1039/c7py00486a","abstract":"Ring-opening metathesis polymerisation (ROMP) of oxanorbornene esters by Grubbs second generation catalyst is used to prepare a range of wholly biomass-derivable homo and copolymers. Eight ester mono-mers are prepared by esterification of the corresponding carboxylic acid which itself is formed by a 100% atom-economical tandem Diels-Alder-lactonisation reaction of itaconic anhydride and furfuryl alcohol. The well-controlled nature of the ROMP is confirmed by NMR spectroscopy studies and facilitated the preparation of homopolymers, random copolymers and block copolymers with good control over the polymer molecular weight and molecular weight distribution.","author":[{"dropping-particle":"","family":"Bai","given":"Yinjuan","non-dropping-particle":"","parse-names":false,"suffix":""},{"dropping-particle":"","family":"Clark","given":"James H","non-dropping-particle":"","parse-names":false,"suffix":""},{"dropping-particle":"","family":"Farmer","given":"Thomas J","non-dropping-particle":"","parse-names":false,"suffix":""},{"dropping-particle":"V","family":"Ingram","given":"Ian D","non-dropping-particle":"","parse-names":false,"suffix":""},{"dropping-particle":"","family":"North","given":"Michael","non-dropping-particle":"","parse-names":false,"suffix":""}],"container-title":"Polymer Chemistry","id":"ITEM-2","issued":{"date-parts":[["2017"]]},"page":"3074-3081","title":"Wholly biomass derivable sustainable polymers by ring-opening metathesis polymerisation of monomers obtained from furfuryl alcohol and itaconic anhydride","type":"article-journal","volume":"8"},"uris":["http://www.mendeley.com/documents/?uuid=598da287-cc52-35f9-9788-7b41fa9de868"]},{"id":"ITEM-3","itemData":{"DOI":"10.1021/acssuschemeng.8b00779","ISSN":"2168-0485","abstract":"Ring-opening metathesis polymerization (ROMP) of biobased oxanorbornene amides by Grubbs second generation catalyst was used to prepare a range of well-defined homo-and copolymers. A series of 11 amide monomers, featuring a variety of functionalities including amino acids and peptides, have been synthesized from a biobased oxanorbornene acid, prepared through the 100% atom economical tandem Diels−Alder lactonization between itaconic anhydride and furfuryl alcohol. The polymerization has been shown to be well-controlled, with the prepared homo-and copolymers possessing controlled molecular weights with narrow polydispersities.","author":[{"dropping-particle":"","family":"Lawrenson","given":"Stefan B","non-dropping-particle":"","parse-names":false,"suffix":""},{"dropping-particle":"","family":"Hart","given":"Sam","non-dropping-particle":"","parse-names":false,"suffix":""},{"dropping-particle":"V","family":"Ingram","given":"Ian D","non-dropping-particle":"","parse-names":false,"suffix":""},{"dropping-particle":"","family":"North","given":"Michael","non-dropping-particle":"","parse-names":false,"suffix":""},{"dropping-particle":"","family":"Parker","given":"Rachel R","non-dropping-particle":"","parse-names":false,"suffix":""},{"dropping-particle":"","family":"Whitwood","given":"Adrian C","non-dropping-particle":"","parse-names":false,"suffix":""}],"container-title":"ACS Sustainable Chemistry &amp; Engineering","id":"ITEM-3","issue":"8","issued":{"date-parts":[["2018","8","6"]]},"page":"9744-9752","title":"Ring-Opening Metathesis Polymerization of Tertiary Amide Monomers Derived from a Biobased Oxanorbornene","type":"article-journal","volume":"6"},"uris":["http://www.mendeley.com/documents/?uuid=c109291f-6a7c-30c6-a431-10471300c5fc"]}],"mendeley":{"formattedCitation":"&lt;sup&gt;36,40,41&lt;/sup&gt;","plainTextFormattedCitation":"36,40,41","previouslyFormattedCitation":"&lt;sup&gt;36,40,41&lt;/sup&gt;"},"properties":{"noteIndex":0},"schema":"https://github.com/citation-style-language/schema/raw/master/csl-citation.json"}</w:instrText>
      </w:r>
      <w:r>
        <w:fldChar w:fldCharType="separate"/>
      </w:r>
      <w:r w:rsidR="00BA4B30" w:rsidRPr="00BA4B30">
        <w:rPr>
          <w:noProof/>
          <w:vertAlign w:val="superscript"/>
        </w:rPr>
        <w:t>36,40,41</w:t>
      </w:r>
      <w:r>
        <w:fldChar w:fldCharType="end"/>
      </w:r>
      <w:r>
        <w:t xml:space="preserve"> </w:t>
      </w:r>
      <w:proofErr w:type="gramStart"/>
      <w:r>
        <w:t>These</w:t>
      </w:r>
      <w:proofErr w:type="gramEnd"/>
      <w:r>
        <w:t xml:space="preserve"> polymerizations were found to be well-controlled, but slow, which was attributed to the </w:t>
      </w:r>
      <w:r w:rsidRPr="0099243F">
        <w:rPr>
          <w:i/>
        </w:rPr>
        <w:t>endo</w:t>
      </w:r>
      <w:r>
        <w:t xml:space="preserve">-orientation of the carboxylic acid derivative within </w:t>
      </w:r>
      <w:r>
        <w:rPr>
          <w:b/>
        </w:rPr>
        <w:t>13</w:t>
      </w:r>
      <w:r>
        <w:t xml:space="preserve">. In more recent work, structurally similar </w:t>
      </w:r>
      <w:r w:rsidRPr="0099243F">
        <w:rPr>
          <w:i/>
        </w:rPr>
        <w:t>N</w:t>
      </w:r>
      <w:r>
        <w:t xml:space="preserve">-substituted lactams </w:t>
      </w:r>
      <w:r>
        <w:rPr>
          <w:b/>
        </w:rPr>
        <w:t xml:space="preserve">15 </w:t>
      </w:r>
      <w:r>
        <w:t xml:space="preserve">possessing an </w:t>
      </w:r>
      <w:proofErr w:type="spellStart"/>
      <w:r w:rsidRPr="0099243F">
        <w:rPr>
          <w:i/>
        </w:rPr>
        <w:t>exo</w:t>
      </w:r>
      <w:proofErr w:type="spellEnd"/>
      <w:r>
        <w:t>-orientated carboxylic acid were found to display well-controlled and extremely rapid polymerizations in the presence of Grubbs 3</w:t>
      </w:r>
      <w:r w:rsidRPr="00653614">
        <w:rPr>
          <w:vertAlign w:val="superscript"/>
        </w:rPr>
        <w:t>rd</w:t>
      </w:r>
      <w:r>
        <w:t xml:space="preserve"> generation catalyst.</w:t>
      </w:r>
      <w:r w:rsidRPr="00344D87">
        <w:fldChar w:fldCharType="begin" w:fldLock="1"/>
      </w:r>
      <w:r w:rsidR="00BA4B30">
        <w:instrText>ADDIN CSL_CITATION {"citationItems":[{"id":"ITEM-1","itemData":{"DOI":"10.1002/cssc.201900748","ISSN":"1864-5631","abstract":"Well-controlled and extremely rapid ring-opening metathesis polymerization of unusual oxanorbornene lactam esters by Grubbs third-generation catalyst is used to prepare a range of bio-based homo- and copolymers. Bio-derived oxanorbornene lactam monomers were prepared at room temperature from maleic anhydride and secondary furfuryl amines by using a 100 % atom economical, tandem Diels–Alder lactamization reaction, followed by esterification. Several of the resulting homo- and copolymers show good control over polymer molecular weight and have narrow molecular weight distributions.","author":[{"dropping-particle":"","family":"Blanpain","given":"Anna","non-dropping-particle":"","parse-names":false,"suffix":""},{"dropping-particle":"","family":"Clark","given":"James H.","non-dropping-particle":"","parse-names":false,"suffix":""},{"dropping-particle":"","family":"Farmer","given":"Thomas J.","non-dropping-particle":"","parse-names":false,"suffix":""},{"dropping-particle":"","family":"Guo","given":"Yuanlong","non-dropping-particle":"","parse-names":false,"suffix":""},{"dropping-particle":"V.","family":"Ingram","given":"Ian D.","non-dropping-particle":"","parse-names":false,"suffix":""},{"dropping-particle":"","family":"Kendrick","given":"John E.","non-dropping-particle":"","parse-names":false,"suffix":""},{"dropping-particle":"","family":"Lawrenson","given":"Stefan B.","non-dropping-particle":"","parse-names":false,"suffix":""},{"dropping-particle":"","family":"North","given":"Michael","non-dropping-particle":"","parse-names":false,"suffix":""},{"dropping-particle":"","family":"Rodgers","given":"George","non-dropping-particle":"","parse-names":false,"suffix":""},{"dropping-particle":"","family":"Whitwood","given":"Adrian C.","non-dropping-particle":"","parse-names":false,"suffix":""}],"container-title":"ChemSusChem","id":"ITEM-1","issue":"11","issued":{"date-parts":[["2019","5","17"]]},"page":"2393-2401","publisher":"Wiley-VCH Verlag","title":"Rapid Ring‐Opening Metathesis Polymerization of Monomers Obtained from Biomass‐Derived Furfuryl Amines and Maleic Anhydride","type":"article-journal","volume":"12"},"uris":["http://www.mendeley.com/documents/?uuid=4b714ab4-287c-3989-8d0e-ee9e9979e9dc"]}],"mendeley":{"formattedCitation":"&lt;sup&gt;42&lt;/sup&gt;","plainTextFormattedCitation":"42","previouslyFormattedCitation":"&lt;sup&gt;42&lt;/sup&gt;"},"properties":{"noteIndex":0},"schema":"https://github.com/citation-style-language/schema/raw/master/csl-citation.json"}</w:instrText>
      </w:r>
      <w:r w:rsidRPr="00344D87">
        <w:fldChar w:fldCharType="separate"/>
      </w:r>
      <w:r w:rsidR="00BA4B30" w:rsidRPr="00BA4B30">
        <w:rPr>
          <w:noProof/>
          <w:vertAlign w:val="superscript"/>
        </w:rPr>
        <w:t>42</w:t>
      </w:r>
      <w:r w:rsidRPr="00344D87">
        <w:fldChar w:fldCharType="end"/>
      </w:r>
      <w:r>
        <w:t xml:space="preserve"> During the course of these investigations, whilst attempting to produce secondary amide derivatives of </w:t>
      </w:r>
      <w:r>
        <w:rPr>
          <w:b/>
        </w:rPr>
        <w:t>12</w:t>
      </w:r>
      <w:r>
        <w:t xml:space="preserve"> for ROMP, we observed a </w:t>
      </w:r>
      <w:r w:rsidRPr="001F41C3">
        <w:t>cyclization</w:t>
      </w:r>
      <w:r>
        <w:t xml:space="preserve"> that yielded a mixture of two species; the desired secondary amide and a spirocyclic imide </w:t>
      </w:r>
      <w:r w:rsidRPr="001E6DF1">
        <w:t>(</w:t>
      </w:r>
      <w:r w:rsidRPr="00DB7C97">
        <w:rPr>
          <w:b/>
        </w:rPr>
        <w:t>Scheme 2</w:t>
      </w:r>
      <w:r w:rsidRPr="001E6DF1">
        <w:t>)</w:t>
      </w:r>
      <w:r>
        <w:t xml:space="preserve">. Inspired by the structural similarity between </w:t>
      </w:r>
      <w:r w:rsidRPr="00DB7C97">
        <w:t>the spirocyclic imide</w:t>
      </w:r>
      <w:r>
        <w:t xml:space="preserve"> and the aforementioned cantharimide </w:t>
      </w:r>
      <w:r>
        <w:rPr>
          <w:b/>
        </w:rPr>
        <w:t>6</w:t>
      </w:r>
      <w:r>
        <w:t xml:space="preserve"> and norcantharimide </w:t>
      </w:r>
      <w:r>
        <w:rPr>
          <w:b/>
        </w:rPr>
        <w:t>8</w:t>
      </w:r>
      <w:r w:rsidRPr="002A2C23">
        <w:t>,</w:t>
      </w:r>
      <w:r>
        <w:t xml:space="preserve"> we were motivated to explore this avenue further. Herein, we present a divergent strategy for the selective preparation of secondary amides </w:t>
      </w:r>
      <w:r w:rsidRPr="00DB7C97">
        <w:rPr>
          <w:b/>
        </w:rPr>
        <w:t>19a–e</w:t>
      </w:r>
      <w:r>
        <w:rPr>
          <w:b/>
        </w:rPr>
        <w:t xml:space="preserve"> </w:t>
      </w:r>
      <w:r w:rsidRPr="00324496">
        <w:t>(pathway A)</w:t>
      </w:r>
      <w:r>
        <w:t xml:space="preserve"> and spirocyclic imides </w:t>
      </w:r>
      <w:r w:rsidRPr="00DB7C97">
        <w:rPr>
          <w:b/>
        </w:rPr>
        <w:t>21a–e</w:t>
      </w:r>
      <w:r>
        <w:rPr>
          <w:b/>
        </w:rPr>
        <w:t xml:space="preserve"> </w:t>
      </w:r>
      <w:r w:rsidRPr="00324496">
        <w:t>(pathway B)</w:t>
      </w:r>
      <w:r>
        <w:t xml:space="preserve"> based on the 7-</w:t>
      </w:r>
      <w:proofErr w:type="gramStart"/>
      <w:r>
        <w:t>oxabicylo[</w:t>
      </w:r>
      <w:proofErr w:type="gramEnd"/>
      <w:r>
        <w:t xml:space="preserve">2.2.1]heptyl ring system, from oxanorbornene </w:t>
      </w:r>
      <w:r>
        <w:rPr>
          <w:b/>
        </w:rPr>
        <w:t>12</w:t>
      </w:r>
      <w:r>
        <w:t xml:space="preserve">. A computational study of these compounds by lead-likeness and molecular analysis (LLAMA) suggested that spirocyclic imides </w:t>
      </w:r>
      <w:r w:rsidRPr="00DB7C97">
        <w:rPr>
          <w:b/>
        </w:rPr>
        <w:t>21a–e</w:t>
      </w:r>
      <w:r>
        <w:t xml:space="preserve"> represent highly novel and lead-like compounds, and as such they were subsequently investigated for their biological activity against a range of human cancer cell lines.</w:t>
      </w:r>
    </w:p>
    <w:p w:rsidR="00DC24A5" w:rsidRPr="0070786D" w:rsidRDefault="00DC24A5" w:rsidP="00DC24A5">
      <w:pPr>
        <w:pStyle w:val="ElsHeading1"/>
      </w:pPr>
      <w:r>
        <w:t xml:space="preserve">Results and Discussion </w:t>
      </w:r>
    </w:p>
    <w:p w:rsidR="00DC24A5" w:rsidRDefault="00DC24A5" w:rsidP="00DC24A5">
      <w:pPr>
        <w:pStyle w:val="ElsParagraph"/>
      </w:pPr>
      <w:r>
        <w:t xml:space="preserve">Initially, amide synthesis was performed in a similar manner to that reported previously, with oxanorbornene </w:t>
      </w:r>
      <w:r>
        <w:rPr>
          <w:b/>
        </w:rPr>
        <w:t>12</w:t>
      </w:r>
      <w:r>
        <w:t xml:space="preserve"> first converted to </w:t>
      </w:r>
      <w:r>
        <w:lastRenderedPageBreak/>
        <w:t>the acid chloride intermediate, using oxalyl chloride and catalytic DMF (</w:t>
      </w:r>
      <w:r w:rsidRPr="009324CD">
        <w:rPr>
          <w:b/>
        </w:rPr>
        <w:t>Scheme 3</w:t>
      </w:r>
      <w:r>
        <w:t>). The acid chloride was easily isolated, redissolved in fresh anhydrous CH</w:t>
      </w:r>
      <w:r w:rsidRPr="000F5254">
        <w:rPr>
          <w:vertAlign w:val="subscript"/>
        </w:rPr>
        <w:t>2</w:t>
      </w:r>
      <w:r>
        <w:t>Cl</w:t>
      </w:r>
      <w:r w:rsidRPr="000F5254">
        <w:rPr>
          <w:vertAlign w:val="subscript"/>
        </w:rPr>
        <w:t>2</w:t>
      </w:r>
      <w:r>
        <w:t xml:space="preserve">, and reacted with </w:t>
      </w:r>
      <w:r w:rsidRPr="00D46E59">
        <w:rPr>
          <w:i/>
        </w:rPr>
        <w:t>N</w:t>
      </w:r>
      <w:r>
        <w:t xml:space="preserve">-butylamine in the presence of two equivalents of triethylamine, to account for the formation of the hydrochloric acid by-product. This yielded the desired secondary amide </w:t>
      </w:r>
      <w:r w:rsidRPr="00B31085">
        <w:rPr>
          <w:b/>
        </w:rPr>
        <w:t>20</w:t>
      </w:r>
      <w:r>
        <w:rPr>
          <w:b/>
        </w:rPr>
        <w:t>a</w:t>
      </w:r>
      <w:r>
        <w:t xml:space="preserve"> along with spirocyclic imide </w:t>
      </w:r>
      <w:r w:rsidRPr="00B31085">
        <w:rPr>
          <w:b/>
        </w:rPr>
        <w:t>22</w:t>
      </w:r>
      <w:r>
        <w:t xml:space="preserve">. </w:t>
      </w:r>
      <w:r w:rsidRPr="00FF609A">
        <w:t xml:space="preserve">Compounds </w:t>
      </w:r>
      <w:r w:rsidRPr="00FF609A">
        <w:rPr>
          <w:b/>
        </w:rPr>
        <w:t>20a</w:t>
      </w:r>
      <w:r w:rsidRPr="00FF609A">
        <w:t xml:space="preserve"> and </w:t>
      </w:r>
      <w:r w:rsidRPr="00FF609A">
        <w:rPr>
          <w:b/>
        </w:rPr>
        <w:t>22</w:t>
      </w:r>
      <w:r w:rsidRPr="00FF609A">
        <w:t xml:space="preserve"> were separable by flash column chromatography, allowing them to be studied independently.</w:t>
      </w:r>
    </w:p>
    <w:p w:rsidR="00DC24A5" w:rsidRPr="00352F01" w:rsidRDefault="007E1441" w:rsidP="00132EFD">
      <w:pPr>
        <w:pStyle w:val="ElsParagraph"/>
        <w:rPr>
          <w:rStyle w:val="RSCI04CaptiontoFigureSchemeChartChar"/>
          <w:rFonts w:ascii="Times New Roman" w:hAnsi="Times New Roman" w:cs="Times New Roman"/>
          <w:sz w:val="16"/>
          <w:szCs w:val="16"/>
        </w:rPr>
      </w:pPr>
      <w:r w:rsidRPr="00340C88">
        <w:rPr>
          <w:noProof/>
          <w:sz w:val="16"/>
          <w:szCs w:val="16"/>
        </w:rPr>
        <w:object w:dxaOrig="1440" w:dyaOrig="1440">
          <v:shape id="_x0000_s1127" type="#_x0000_t75" style="position:absolute;left:0;text-align:left;margin-left:10.6pt;margin-top:5.2pt;width:216.75pt;height:68.25pt;z-index:251679232;mso-position-horizontal-relative:text;mso-position-vertical-relative:text">
            <v:imagedata r:id="rId22" o:title=""/>
            <w10:wrap type="topAndBottom"/>
          </v:shape>
          <o:OLEObject Type="Embed" ProgID="ChemDraw.Document.6.0" ShapeID="_x0000_s1127" DrawAspect="Content" ObjectID="_1665920398" r:id="rId23"/>
        </w:object>
      </w:r>
      <w:r w:rsidR="00DC24A5" w:rsidRPr="00340C88">
        <w:rPr>
          <w:rStyle w:val="RSCI04CaptiontoFigureSchemeChartChar"/>
          <w:rFonts w:ascii="Times New Roman" w:hAnsi="Times New Roman" w:cs="Times New Roman"/>
          <w:b/>
          <w:sz w:val="16"/>
          <w:szCs w:val="16"/>
        </w:rPr>
        <w:t>Scheme 3</w:t>
      </w:r>
      <w:r w:rsidR="00DC24A5" w:rsidRPr="00340C88">
        <w:rPr>
          <w:rStyle w:val="RSCI04CaptiontoFigureSchemeChartChar"/>
          <w:rFonts w:ascii="Times New Roman" w:hAnsi="Times New Roman" w:cs="Times New Roman"/>
          <w:sz w:val="16"/>
          <w:szCs w:val="16"/>
        </w:rPr>
        <w:t xml:space="preserve">. Synthesis of </w:t>
      </w:r>
      <w:r w:rsidR="00DC24A5" w:rsidRPr="00340C88">
        <w:rPr>
          <w:rStyle w:val="RSCI04CaptiontoFigureSchemeChartChar"/>
          <w:rFonts w:ascii="Times New Roman" w:hAnsi="Times New Roman" w:cs="Times New Roman"/>
          <w:i/>
          <w:sz w:val="16"/>
          <w:szCs w:val="16"/>
        </w:rPr>
        <w:t>N</w:t>
      </w:r>
      <w:r w:rsidR="00DC24A5" w:rsidRPr="00340C88">
        <w:rPr>
          <w:rStyle w:val="RSCI04CaptiontoFigureSchemeChartChar"/>
          <w:rFonts w:ascii="Times New Roman" w:hAnsi="Times New Roman" w:cs="Times New Roman"/>
          <w:sz w:val="16"/>
          <w:szCs w:val="16"/>
        </w:rPr>
        <w:t xml:space="preserve">-butyl secondary amide </w:t>
      </w:r>
      <w:r w:rsidR="00DC24A5" w:rsidRPr="00340C88">
        <w:rPr>
          <w:rStyle w:val="RSCI04CaptiontoFigureSchemeChartChar"/>
          <w:rFonts w:ascii="Times New Roman" w:hAnsi="Times New Roman" w:cs="Times New Roman"/>
          <w:b/>
          <w:sz w:val="16"/>
          <w:szCs w:val="16"/>
        </w:rPr>
        <w:t>20a</w:t>
      </w:r>
      <w:r w:rsidR="00DC24A5" w:rsidRPr="00340C88">
        <w:rPr>
          <w:rStyle w:val="RSCI04CaptiontoFigureSchemeChartChar"/>
          <w:rFonts w:ascii="Times New Roman" w:hAnsi="Times New Roman" w:cs="Times New Roman"/>
          <w:sz w:val="16"/>
          <w:szCs w:val="16"/>
        </w:rPr>
        <w:t xml:space="preserve"> and spirocyclic imide </w:t>
      </w:r>
      <w:r w:rsidR="00DC24A5" w:rsidRPr="00340C88">
        <w:rPr>
          <w:rStyle w:val="RSCI04CaptiontoFigureSchemeChartChar"/>
          <w:rFonts w:ascii="Times New Roman" w:hAnsi="Times New Roman" w:cs="Times New Roman"/>
          <w:b/>
          <w:sz w:val="16"/>
          <w:szCs w:val="16"/>
        </w:rPr>
        <w:t>22</w:t>
      </w:r>
      <w:r w:rsidR="00DC24A5" w:rsidRPr="00340C88">
        <w:rPr>
          <w:rStyle w:val="RSCI04CaptiontoFigureSchemeChartChar"/>
          <w:rFonts w:ascii="Times New Roman" w:hAnsi="Times New Roman" w:cs="Times New Roman"/>
          <w:sz w:val="16"/>
          <w:szCs w:val="16"/>
        </w:rPr>
        <w:t xml:space="preserve"> by the amidation of </w:t>
      </w:r>
      <w:r w:rsidR="00DC24A5" w:rsidRPr="00340C88">
        <w:rPr>
          <w:rStyle w:val="RSCI04CaptiontoFigureSchemeChartChar"/>
          <w:rFonts w:ascii="Times New Roman" w:hAnsi="Times New Roman" w:cs="Times New Roman"/>
          <w:b/>
          <w:sz w:val="16"/>
          <w:szCs w:val="16"/>
        </w:rPr>
        <w:t>12</w:t>
      </w:r>
      <w:r w:rsidR="00DC24A5" w:rsidRPr="00340C88">
        <w:rPr>
          <w:rStyle w:val="RSCI04CaptiontoFigureSchemeChartChar"/>
          <w:rFonts w:ascii="Times New Roman" w:hAnsi="Times New Roman" w:cs="Times New Roman"/>
          <w:sz w:val="16"/>
          <w:szCs w:val="16"/>
        </w:rPr>
        <w:t xml:space="preserve"> by oxalyl chloride and </w:t>
      </w:r>
      <w:r w:rsidR="00DC24A5" w:rsidRPr="00340C88">
        <w:rPr>
          <w:rStyle w:val="RSCI04CaptiontoFigureSchemeChartChar"/>
          <w:rFonts w:ascii="Times New Roman" w:hAnsi="Times New Roman" w:cs="Times New Roman"/>
          <w:i/>
          <w:sz w:val="16"/>
          <w:szCs w:val="16"/>
        </w:rPr>
        <w:t>N</w:t>
      </w:r>
      <w:r w:rsidR="00DC24A5" w:rsidRPr="00340C88">
        <w:rPr>
          <w:rStyle w:val="RSCI04CaptiontoFigureSchemeChartChar"/>
          <w:rFonts w:ascii="Times New Roman" w:hAnsi="Times New Roman" w:cs="Times New Roman"/>
          <w:sz w:val="16"/>
          <w:szCs w:val="16"/>
        </w:rPr>
        <w:t>-butylamine.</w:t>
      </w:r>
    </w:p>
    <w:p w:rsidR="001317BF" w:rsidRDefault="001317BF" w:rsidP="001317BF">
      <w:pPr>
        <w:pStyle w:val="ElsParagraph"/>
      </w:pPr>
      <w:r w:rsidRPr="00FF609A">
        <w:t xml:space="preserve">The respective structures of </w:t>
      </w:r>
      <w:r w:rsidRPr="00FF609A">
        <w:rPr>
          <w:b/>
        </w:rPr>
        <w:t>20a</w:t>
      </w:r>
      <w:r w:rsidRPr="00FF609A">
        <w:t xml:space="preserve"> and </w:t>
      </w:r>
      <w:r w:rsidRPr="00FF609A">
        <w:rPr>
          <w:b/>
        </w:rPr>
        <w:t xml:space="preserve">22 </w:t>
      </w:r>
      <w:r w:rsidRPr="00FF609A">
        <w:t xml:space="preserve">were determined using a combination of electrospray ionization-mass spectroscopy (ESI-MS), FTIR and 2D </w:t>
      </w:r>
      <w:r w:rsidRPr="00FF609A">
        <w:rPr>
          <w:vertAlign w:val="superscript"/>
        </w:rPr>
        <w:t>1</w:t>
      </w:r>
      <w:r w:rsidRPr="00FF609A">
        <w:t>H-</w:t>
      </w:r>
      <w:r w:rsidRPr="00FF609A">
        <w:rPr>
          <w:vertAlign w:val="superscript"/>
        </w:rPr>
        <w:t>13</w:t>
      </w:r>
      <w:r w:rsidRPr="00FF609A">
        <w:t>C heteronuclear multiple bond correlation NMR spectroscopy (</w:t>
      </w:r>
      <w:r w:rsidRPr="00FF609A">
        <w:rPr>
          <w:b/>
        </w:rPr>
        <w:t>Figure 2</w:t>
      </w:r>
      <w:r w:rsidRPr="00FF609A">
        <w:t>). ESI-MS showed that the two species had identical molecular weights, suggesting they were structural isomers. FTIR then clearly identified a sharp peak at 3396 cm</w:t>
      </w:r>
      <w:r w:rsidRPr="00FF609A">
        <w:rPr>
          <w:vertAlign w:val="superscript"/>
        </w:rPr>
        <w:t>-1</w:t>
      </w:r>
      <w:r w:rsidRPr="00FF609A">
        <w:t xml:space="preserve"> in </w:t>
      </w:r>
      <w:r w:rsidRPr="00FF609A">
        <w:rPr>
          <w:b/>
        </w:rPr>
        <w:t>22</w:t>
      </w:r>
      <w:r w:rsidRPr="00FF609A">
        <w:t>, which was absent in</w:t>
      </w:r>
      <w:r w:rsidRPr="00FF609A">
        <w:rPr>
          <w:b/>
        </w:rPr>
        <w:t xml:space="preserve"> 20a</w:t>
      </w:r>
      <w:r w:rsidRPr="00FF609A">
        <w:t xml:space="preserve">, most likely corresponding to the O-H stretch of an alcohol. This strongly implied that compound </w:t>
      </w:r>
      <w:r w:rsidRPr="00FF609A">
        <w:rPr>
          <w:b/>
        </w:rPr>
        <w:t>22</w:t>
      </w:r>
      <w:r w:rsidRPr="00FF609A">
        <w:t xml:space="preserve"> was the result of an intramolecular cyclization, which led to the ring-opening of the lactone moiety. Finally, </w:t>
      </w:r>
      <w:r w:rsidRPr="00FF609A">
        <w:rPr>
          <w:vertAlign w:val="superscript"/>
        </w:rPr>
        <w:t>1</w:t>
      </w:r>
      <w:r w:rsidRPr="00FF609A">
        <w:t>H-</w:t>
      </w:r>
      <w:r w:rsidRPr="00FF609A">
        <w:rPr>
          <w:vertAlign w:val="superscript"/>
        </w:rPr>
        <w:t>13</w:t>
      </w:r>
      <w:r w:rsidRPr="00FF609A">
        <w:t>C HMBC NMR spectroscopy of the two compounds showed that the butyl protons alpha to the</w:t>
      </w:r>
      <w:r>
        <w:t xml:space="preserve"> </w:t>
      </w:r>
      <w:r w:rsidRPr="00C033DD">
        <w:t xml:space="preserve">nitrogen (yellow dot) had a clear correlation to both carbonyl groups (grey dot) in </w:t>
      </w:r>
      <w:r w:rsidRPr="00C033DD">
        <w:rPr>
          <w:b/>
        </w:rPr>
        <w:t xml:space="preserve">22 </w:t>
      </w:r>
      <w:r w:rsidRPr="00C033DD">
        <w:rPr>
          <w:rFonts w:cs="Arial"/>
          <w:color w:val="202124"/>
          <w:spacing w:val="3"/>
          <w:lang w:eastAsia="en-GB"/>
        </w:rPr>
        <w:t>(</w:t>
      </w:r>
      <w:r w:rsidRPr="000767AA">
        <w:rPr>
          <w:rFonts w:cs="Arial"/>
          <w:b/>
          <w:color w:val="202124"/>
          <w:spacing w:val="3"/>
          <w:lang w:eastAsia="en-GB"/>
        </w:rPr>
        <w:t>Figure 2 spectrum B</w:t>
      </w:r>
      <w:r w:rsidRPr="00C033DD">
        <w:rPr>
          <w:rFonts w:cs="Arial"/>
          <w:color w:val="202124"/>
          <w:spacing w:val="3"/>
          <w:lang w:eastAsia="en-GB"/>
        </w:rPr>
        <w:t>)</w:t>
      </w:r>
      <w:r w:rsidRPr="00C033DD">
        <w:t>, rather than just</w:t>
      </w:r>
      <w:r>
        <w:t xml:space="preserve"> </w:t>
      </w:r>
      <w:r w:rsidRPr="00C033DD">
        <w:t xml:space="preserve">the one as observed in the secondary amide </w:t>
      </w:r>
      <w:r>
        <w:rPr>
          <w:b/>
        </w:rPr>
        <w:t>20</w:t>
      </w:r>
      <w:r w:rsidRPr="00C033DD">
        <w:rPr>
          <w:b/>
        </w:rPr>
        <w:t xml:space="preserve">a </w:t>
      </w:r>
      <w:r w:rsidRPr="00C033DD">
        <w:rPr>
          <w:rFonts w:cs="Arial"/>
          <w:color w:val="202124"/>
          <w:spacing w:val="3"/>
          <w:lang w:eastAsia="en-GB"/>
        </w:rPr>
        <w:t>(</w:t>
      </w:r>
      <w:r w:rsidRPr="000767AA">
        <w:rPr>
          <w:rFonts w:cs="Arial"/>
          <w:b/>
          <w:color w:val="202124"/>
          <w:spacing w:val="3"/>
          <w:lang w:eastAsia="en-GB"/>
        </w:rPr>
        <w:t>Figure 2 spectrum A</w:t>
      </w:r>
      <w:r w:rsidRPr="00C033DD">
        <w:rPr>
          <w:rFonts w:cs="Arial"/>
          <w:color w:val="202124"/>
          <w:spacing w:val="3"/>
          <w:lang w:eastAsia="en-GB"/>
        </w:rPr>
        <w:t>)</w:t>
      </w:r>
      <w:r w:rsidRPr="00C033DD">
        <w:t xml:space="preserve">. This confirmed the spirocyclic imide structure for </w:t>
      </w:r>
      <w:r w:rsidRPr="00C033DD">
        <w:rPr>
          <w:b/>
        </w:rPr>
        <w:t>22</w:t>
      </w:r>
      <w:r w:rsidRPr="00C033DD">
        <w:t>, which can be formed by an intramolecular 5-</w:t>
      </w:r>
      <w:r w:rsidRPr="00C033DD">
        <w:rPr>
          <w:i/>
        </w:rPr>
        <w:t>exo</w:t>
      </w:r>
      <w:r w:rsidRPr="00C033DD">
        <w:t>-trig cyclization of secondary amide</w:t>
      </w:r>
      <w:r w:rsidRPr="00C033DD">
        <w:rPr>
          <w:b/>
        </w:rPr>
        <w:t xml:space="preserve"> 20a</w:t>
      </w:r>
      <w:r w:rsidRPr="00C033DD">
        <w:t xml:space="preserve">. The structures of both </w:t>
      </w:r>
      <w:r w:rsidRPr="00C033DD">
        <w:rPr>
          <w:i/>
        </w:rPr>
        <w:t>N</w:t>
      </w:r>
      <w:r w:rsidRPr="00C033DD">
        <w:t xml:space="preserve">-butyl secondary amide </w:t>
      </w:r>
      <w:r w:rsidRPr="00C033DD">
        <w:rPr>
          <w:b/>
        </w:rPr>
        <w:t>20a</w:t>
      </w:r>
      <w:r w:rsidRPr="00C033DD">
        <w:t xml:space="preserve"> and spirocyclic imide </w:t>
      </w:r>
      <w:r w:rsidRPr="00C033DD">
        <w:rPr>
          <w:b/>
        </w:rPr>
        <w:t>22</w:t>
      </w:r>
      <w:r w:rsidRPr="00C033DD">
        <w:t xml:space="preserve"> were then subsequently confirmed by X-ray crystallography (CCDC 2000921 &amp; 2000922).</w:t>
      </w:r>
    </w:p>
    <w:p w:rsidR="001317BF" w:rsidRDefault="00F24A35" w:rsidP="00F24A35">
      <w:pPr>
        <w:pStyle w:val="ElsParagraph"/>
      </w:pPr>
      <w:r w:rsidRPr="00DB261F">
        <w:t xml:space="preserve">Intrigued by the unusual nature of spirocyclic compound </w:t>
      </w:r>
      <w:r w:rsidRPr="00DB261F">
        <w:rPr>
          <w:b/>
        </w:rPr>
        <w:t>22</w:t>
      </w:r>
      <w:r w:rsidRPr="00DB261F">
        <w:t xml:space="preserve">, we were encouraged to investigate this transformation further in an effort to selectively produce either compound and study their applications. Furthermore, the synthesis of cyclic imides is traditionally performed through the dehydrative condensation of an anhydride with an amine or the cyclisation of an </w:t>
      </w:r>
      <w:proofErr w:type="spellStart"/>
      <w:r w:rsidRPr="00DB261F">
        <w:t>amic</w:t>
      </w:r>
      <w:proofErr w:type="spellEnd"/>
      <w:r w:rsidRPr="00DB261F">
        <w:t>-acid, which usually requires either high temperature, a Lewis acid catalyst or the use of stoichiometric acidic reagents.</w:t>
      </w:r>
      <w:r w:rsidRPr="00DB261F">
        <w:fldChar w:fldCharType="begin" w:fldLock="1"/>
      </w:r>
      <w:r w:rsidR="00BA4B30">
        <w:instrText>ADDIN CSL_CITATION {"citationItems":[{"id":"ITEM-1","itemData":{"DOI":"10.1002/anie.201002136","ISSN":"14337851","abstract":"There's something imide so strong: Cyclic imides were synthesized from simple diols with primary amines in a single step using an in-situ-generated ruthenium catalytic system. The atom-economical and operatively simple syntheses of succinimides, phthalimides, and glutarimides, which are important building blocks in natural products and drugs, was also demonstrated. Copyright © 2010 WILEY-VCH Verlag GmbH &amp; Co. KGaA, Weinheim.","author":[{"dropping-particle":"","family":"Zhang","given":"Jian","non-dropping-particle":"","parse-names":false,"suffix":""},{"dropping-particle":"","family":"Senthilkumar","given":"Muthaiah","non-dropping-particle":"","parse-names":false,"suffix":""},{"dropping-particle":"","family":"Ghosh","given":"Subhash Chandra","non-dropping-particle":"","parse-names":false,"suffix":""},{"dropping-particle":"","family":"Hong","given":"Soon Hyeok","non-dropping-particle":"","parse-names":false,"suffix":""}],"container-title":"Angew. Chem. Int. Ed.","id":"ITEM-1","issue":"36","issued":{"date-parts":[["2010","8","23"]]},"page":"6391-6395","title":"Synthesis of Cyclic Imides from Simple Diols","type":"article-journal","volume":"49"},"uris":["http://www.mendeley.com/documents/?uuid=057d49e1-7edc-365f-b7c9-785ee745c24e"]}],"mendeley":{"formattedCitation":"&lt;sup&gt;43&lt;/sup&gt;","plainTextFormattedCitation":"43","previouslyFormattedCitation":"&lt;sup&gt;43&lt;/sup&gt;"},"properties":{"noteIndex":0},"schema":"https://github.com/citation-style-language/schema/raw/master/csl-citation.json"}</w:instrText>
      </w:r>
      <w:r w:rsidRPr="00DB261F">
        <w:fldChar w:fldCharType="separate"/>
      </w:r>
      <w:r w:rsidR="00BA4B30" w:rsidRPr="00BA4B30">
        <w:rPr>
          <w:noProof/>
          <w:vertAlign w:val="superscript"/>
        </w:rPr>
        <w:t>43</w:t>
      </w:r>
      <w:r w:rsidRPr="00DB261F">
        <w:fldChar w:fldCharType="end"/>
      </w:r>
      <w:r w:rsidRPr="00DB261F">
        <w:t xml:space="preserve"> More recently, there has been great interest in direct routes to cyclic imides using readily available starting materials due to the therapeutic potential of this class of compounds.</w:t>
      </w:r>
      <w:r w:rsidRPr="00DB261F">
        <w:fldChar w:fldCharType="begin" w:fldLock="1"/>
      </w:r>
      <w:r w:rsidR="00BA4B30">
        <w:instrText>ADDIN CSL_CITATION {"citationItems":[{"id":"ITEM-1","itemData":{"DOI":"10.1021/ja045603f","ISSN":"0002-7863","abstract":"Oxidations of alkanes, alkenes, and aromatic rings with pyridine N-oxides are efficiently catalyzed by ruthenium porphyrins under mild conditions. We show here that the oxidation of N-acyl cyclic amines with RuIVtetraarylporphyrin dichloride-2,6-substituted pyridine N-oxides directly gives N-acyl amino acids in modest to good yield via oxidative C-N bond cleavage. N-Acylpyrrolidines and N-acylpiperidines were converted to N-acyl-γ-aminobutyric acids and N-acyl-δ-aminovaleric acids, respectively. This type of reaction is a novel one in which the C-N bond is cleaved selectively at the less substituted carbon. Notably, the proline residue in proline-containing peptides was selectively converted to glutamate. A large intramolecular kinetic isotope effect (kH/kD = 9.8) was observed in the oxidation of N-benzoyl[2,2,-d2]pyrrolidine, indicating that the reaction should involve an α-hydrogen atom abstraction process as the rate-determining step. N-Acylcarbaldehyde, the putative intermediate ring-opened form of α-hydroxylated N-acyl cyclic amine, was readily oxidized with the oxidizing system to afford the corresponding N-acylamino acid in good yield. Further, lactams (1-methyl-2-pyrrolidone and 1-methyl- 2-piperidone) were also oxidized to give the corresponding imides (1-methylsuccinimide and 1-methylpiperidine-2,6-dione). Copyright © 2005 American Chemical Society.","author":[{"dropping-particle":"","family":"Ito","given":"Rina","non-dropping-particle":"","parse-names":false,"suffix":""},{"dropping-particle":"","family":"Umezawa","given":"Naoki","non-dropping-particle":"","parse-names":false,"suffix":""},{"dropping-particle":"","family":"Higuchi","given":"Tsunehiko","non-dropping-particle":"","parse-names":false,"suffix":""}],"container-title":"Journal of the American Chemical Society","id":"ITEM-1","issue":"3","issued":{"date-parts":[["2005","1","26"]]},"page":"834-835","publisher":"American Chemical Society","title":"Unique Oxidation Reaction of Amides with Pyridine- N -oxide Catalyzed by Ruthenium Porphyrin: Direct Oxidative Conversion of N -Acyl- l -proline to N -Acyl- l -glutamate","type":"article-journal","volume":"127"},"uris":["http://www.mendeley.com/documents/?uuid=5c645a1b-8f53-3552-befb-492f22d9c025"]},{"id":"ITEM-2","itemData":{"DOI":"10.1002/anie.200902078","ISSN":"14337851","abstract":"A convenient one-pot method for the synthesis of various substituted succinimides has been developed. By starting from commercially available amines (or ammonia) and alkynes, a range of interesting succinimides have been obtained selectively in the presence of either [Fe(CO)5] or [Fe 3(CO)12] (see scheme; R′=H, alkyl, aryl; R″, R‴ =alkyl, aryl). © 2009 Wiley-VCH Verlag GmbH &amp; Co. KGaA.","author":[{"dropping-particle":"","family":"Driller","given":"Katrin Marie","non-dropping-particle":"","parse-names":false,"suffix":""},{"dropping-particle":"","family":"Klein","given":"Holger","non-dropping-particle":"","parse-names":false,"suffix":""},{"dropping-particle":"","family":"Jackstell","given":"Ralf","non-dropping-particle":"","parse-names":false,"suffix":""},{"dropping-particle":"","family":"Beller","given":"Matthias","non-dropping-particle":"","parse-names":false,"suffix":""}],"container-title":"Angew. Chem. Int. Ed.","id":"ITEM-2","issue":"33","issued":{"date-parts":[["2009","8","3"]]},"page":"6041-6044","title":"Iron-Catalyzed Carbonylation: Selective and Efficient Synthesis of Succinimides","type":"article-journal","volume":"48"},"uris":["http://www.mendeley.com/documents/?uuid=ebd65629-d72f-382e-ad58-4541027ccc1e"]},{"id":"ITEM-3","itemData":{"DOI":"10.1002/anie.201002136","ISSN":"14337851","abstract":"There's something imide so strong: Cyclic imides were synthesized from simple diols with primary amines in a single step using an in-situ-generated ruthenium catalytic system. The atom-economical and operatively simple syntheses of succinimides, phthalimides, and glutarimides, which are important building blocks in natural products and drugs, was also demonstrated. Copyright © 2010 WILEY-VCH Verlag GmbH &amp; Co. KGaA, Weinheim.","author":[{"dropping-particle":"","family":"Zhang","given":"Jian","non-dropping-particle":"","parse-names":false,"suffix":""},{"dropping-particle":"","family":"Senthilkumar","given":"Muthaiah","non-dropping-particle":"","parse-names":false,"suffix":""},{"dropping-particle":"","family":"Ghosh","given":"Subhash Chandra","non-dropping-particle":"","parse-names":false,"suffix":""},{"dropping-particle":"","family":"Hong","given":"Soon Hyeok","non-dropping-particle":"","parse-names":false,"suffix":""}],"container-title":"Angew. Chem. Int. Ed.","id":"ITEM-3","issue":"36","issued":{"date-parts":[["2010","8","23"]]},"page":"6391-6395","title":"Synthesis of Cyclic Imides from Simple Diols","type":"article-journal","volume":"49"},"uris":["http://www.mendeley.com/documents/?uuid=057d49e1-7edc-365f-b7c9-785ee745c24e"]},{"id":"ITEM-4","itemData":{"DOI":"10.1021/jacs.7b08341","ISSN":"0002-7863","abstract":"The first example of base-metal-catalyzed dehydrogenative coupling of diols and amines to form cyclic imides is reported. The reaction is catalyzed by a pincer complex of the earth abundant manganese and forms hydrogen gas as the sole byproduct, making the overall process atom economical and environmentally benign. C yclic imides are an important class of organic compounds, valuable for synthetic, biological and polymer chemistry. 1 They are also used for a variety of pharmacological purposes such as sedatives, hypnotics, anticonvulscants, hypotensive agents, antitubercular agents and carcinostatics. 1a,2 Several drugs containing the cyclic imide group, such as thalidomide, 3 phensuximide, 4 buspirone 5 and luracidone, 6 are on the market and many derivatives are potential drug candidates. 7 Because of such high industrial value, an atom economic, sustainable and environmentally benign synthetic route to cyclic imides from cheap starting materials is highly desirable. However, the conventional method for the synthesis of cyclic imides involves harsh thermal conditions and generates stoichiometric amounts of waste. 1a,8 Recent developments toward efficient transition metal catalyzed synthesis of cyclic imides include iridium catalyzed three component reaction of nitriles, olefins and water to produce glutarimides; 9 palladium catalyzed carbon-ylative cyclization of o-halobenzoates and primary amines to form isoindole-1,3-diones; 10 ruthenium catalyzed carbonylation of aromatic amides to form phthalimides, 11 and rhodium catalyzed conjugate addition of phenyl boronic acids to unprotected maleimides. 12 Asymmetric cyclic imides have also been synthesized using rhodium catalysts. 13 Drawbacks of these methods include expensive and toxic noble-metal based systems, limited availability of appropriate starting materials and, in some cases, waste generation. Fe 3 (CO) 12 catalyzed carbonylation of alkynes using excess ammonia and CO pressure to form succinimides has also been reported. 14 Hong reported the synthesis of cyclic imides from diols and amines using a ruthenium catalyst, 15 and recently the coupling of nitriles and diols to form cyclic imides catalyzed by RuH 2 (PPh 3) 4. 16 Both these synthetic methods use ruthenium (5 mol %) and base (20 mol %). Herein we report the first base-metal (manganese) catalyst for the dehydrogenative coupling of diols with amines (Scheme 1). Both the substrate diols and amines are inexpensive and readily available, and th…","author":[{"dropping-particle":"","family":"Espinosa-Jalapa","given":"Noel Angel","non-dropping-particle":"","parse-names":false,"suffix":""},{"dropping-particle":"","family":"Kumar","given":"Amit","non-dropping-particle":"","parse-names":false,"suffix":""},{"dropping-particle":"","family":"Leitus","given":"Gregory","non-dropping-particle":"","parse-names":false,"suffix":""},{"dropping-particle":"","family":"Diskin-Posner","given":"Yael","non-dropping-particle":"","parse-names":false,"suffix":""},{"dropping-particle":"","family":"Milstein","given":"David","non-dropping-particle":"","parse-names":false,"suffix":""}],"container-title":"Journal of the American Chemical Society","id":"ITEM-4","issue":"34","issued":{"date-parts":[["2017","8","30"]]},"page":"11722-11725","title":"Synthesis of Cyclic Imides by Acceptorless Dehydrogenative Coupling of Diols and Amines Catalyzed by a Manganese Pincer Complex","type":"article-journal","volume":"139"},"uris":["http://www.mendeley.com/documents/?uuid=a39ed37f-3fef-367c-8e97-bfcc19760173"]}],"mendeley":{"formattedCitation":"&lt;sup&gt;4,43–45&lt;/sup&gt;","plainTextFormattedCitation":"4,43–45","previouslyFormattedCitation":"&lt;sup&gt;4,43–45&lt;/sup&gt;"},"properties":{"noteIndex":0},"schema":"https://github.com/citation-style-language/schema/raw/master/csl-citation.json"}</w:instrText>
      </w:r>
      <w:r w:rsidRPr="00DB261F">
        <w:fldChar w:fldCharType="separate"/>
      </w:r>
      <w:r w:rsidR="00BA4B30" w:rsidRPr="00BA4B30">
        <w:rPr>
          <w:noProof/>
          <w:vertAlign w:val="superscript"/>
        </w:rPr>
        <w:t>4,43–45</w:t>
      </w:r>
      <w:r w:rsidRPr="00DB261F">
        <w:fldChar w:fldCharType="end"/>
      </w:r>
      <w:r w:rsidRPr="00DB261F">
        <w:t xml:space="preserve"> </w:t>
      </w:r>
      <w:r w:rsidRPr="00DB261F">
        <w:rPr>
          <w:color w:val="000000" w:themeColor="text1"/>
        </w:rPr>
        <w:t>The intramolecular 5-</w:t>
      </w:r>
      <w:r w:rsidRPr="00DB261F">
        <w:rPr>
          <w:i/>
          <w:color w:val="000000" w:themeColor="text1"/>
        </w:rPr>
        <w:t>exo</w:t>
      </w:r>
      <w:r w:rsidRPr="00DB261F">
        <w:rPr>
          <w:color w:val="000000" w:themeColor="text1"/>
        </w:rPr>
        <w:t>-trig cyclization of a secondary amide onto a lactone under homogeneous basic conditions, as reported here, provides a mild and highly efficient method for the synthesis of cyclic imides.</w:t>
      </w:r>
      <w:r w:rsidRPr="00DB261F">
        <w:rPr>
          <w:color w:val="000000" w:themeColor="text1"/>
        </w:rPr>
        <w:fldChar w:fldCharType="begin" w:fldLock="1"/>
      </w:r>
      <w:r w:rsidR="00BA4B30">
        <w:rPr>
          <w:color w:val="000000" w:themeColor="text1"/>
        </w:rPr>
        <w:instrText>ADDIN CSL_CITATION {"citationItems":[{"id":"ITEM-1","itemData":{"DOI":"10.1134/S1070428010060096","ISSN":"1070-4280","abstract":"Acylation of N-substituted exo-2-hydroxy-5-oxo-4-oxatricyclo[4.2.1.0 3,7]nonane-endo-9-carboxamides on heating in boiling glacial acetic acid gave the corresponding trans-diacetoxy imides of the norbornane series. The effect of the reaction time on the product composition was studied in the reaction with exo-2-hydroxy-N-(4-methylphenyl)-5-oxo-4-oxatricyclo[4.2.1.0 3,7]nonane-endo-9-carboxamide. The structure of the resulting norbornane-2,3-dicarboximides was confirmed by IR, 1H NMR, and mass spectra, and the structure of N-(2,5-dimethylphenyl)-exo-2,endo-3- diacetoxybicyclo[2.2.1]heptan-endo-5,endo-6-dicarboximide was additionally proved by X-ray analysis. © Pleiades Publishing, Ltd., 2010.","author":[{"dropping-particle":"","family":"Pal’chikov","given":"V. A.","non-dropping-particle":"","parse-names":false,"suffix":""},{"dropping-particle":"","family":"Tarabara","given":"I. N.","non-dropping-particle":"","parse-names":false,"suffix":""},{"dropping-particle":"V.","family":"Omel’chenko","given":"I.","non-dropping-particle":"","parse-names":false,"suffix":""},{"dropping-particle":"V.","family":"Shishkin","given":"O.","non-dropping-particle":"","parse-names":false,"suffix":""},{"dropping-particle":"","family":"Kas’yan","given":"L. I.","non-dropping-particle":"","parse-names":false,"suffix":""}],"container-title":"Russ. J. Org. Chem.","id":"ITEM-1","issue":"6","issued":{"date-parts":[["2010","6","8"]]},"page":"823-829","title":"Reaction of N-substituted exo-2-hydroxy-5-oxo-4-oxatricyclo[4.2.1.03,7]nonane-endo-9-carboxamides with acetic acid","type":"article-journal","volume":"46"},"uris":["http://www.mendeley.com/documents/?uuid=245f6920-75d3-4675-bc8f-7cf0e7abc118"]}],"mendeley":{"formattedCitation":"&lt;sup&gt;46&lt;/sup&gt;","plainTextFormattedCitation":"46","previouslyFormattedCitation":"&lt;sup&gt;46&lt;/sup&gt;"},"properties":{"noteIndex":0},"schema":"https://github.com/citation-style-language/schema/raw/master/csl-citation.json"}</w:instrText>
      </w:r>
      <w:r w:rsidRPr="00DB261F">
        <w:rPr>
          <w:color w:val="000000" w:themeColor="text1"/>
        </w:rPr>
        <w:fldChar w:fldCharType="separate"/>
      </w:r>
      <w:r w:rsidR="00BA4B30" w:rsidRPr="00BA4B30">
        <w:rPr>
          <w:noProof/>
          <w:color w:val="000000" w:themeColor="text1"/>
          <w:vertAlign w:val="superscript"/>
        </w:rPr>
        <w:t>46</w:t>
      </w:r>
      <w:r w:rsidRPr="00DB261F">
        <w:rPr>
          <w:color w:val="000000" w:themeColor="text1"/>
        </w:rPr>
        <w:fldChar w:fldCharType="end"/>
      </w:r>
      <w:r w:rsidRPr="00DB261F">
        <w:rPr>
          <w:color w:val="000000" w:themeColor="text1"/>
        </w:rPr>
        <w:t xml:space="preserve">  </w:t>
      </w:r>
      <w:r w:rsidRPr="00B521F9">
        <w:rPr>
          <w:color w:val="000000" w:themeColor="text1"/>
        </w:rPr>
        <w:t xml:space="preserve"> </w:t>
      </w:r>
    </w:p>
    <w:p w:rsidR="001317BF" w:rsidRDefault="001317BF" w:rsidP="001317BF">
      <w:pPr>
        <w:pStyle w:val="ElsParagraph"/>
        <w:ind w:firstLine="0"/>
      </w:pPr>
    </w:p>
    <w:p w:rsidR="001317BF" w:rsidRDefault="001317BF" w:rsidP="001317BF">
      <w:pPr>
        <w:pStyle w:val="ElsParagraph"/>
        <w:ind w:firstLine="0"/>
      </w:pPr>
    </w:p>
    <w:p w:rsidR="001317BF" w:rsidRDefault="001317BF" w:rsidP="001317BF">
      <w:pPr>
        <w:pStyle w:val="ElsParagraph"/>
        <w:ind w:firstLine="0"/>
      </w:pPr>
    </w:p>
    <w:p w:rsidR="001317BF" w:rsidRDefault="001317BF" w:rsidP="001317BF">
      <w:pPr>
        <w:pStyle w:val="ElsParagraph"/>
        <w:ind w:firstLine="0"/>
        <w:sectPr w:rsidR="001317BF">
          <w:headerReference w:type="even" r:id="rId24"/>
          <w:type w:val="continuous"/>
          <w:pgSz w:w="11906" w:h="16838" w:code="9"/>
          <w:pgMar w:top="964" w:right="766" w:bottom="1242" w:left="766" w:header="720" w:footer="238" w:gutter="0"/>
          <w:cols w:num="2" w:space="360"/>
        </w:sectPr>
      </w:pPr>
    </w:p>
    <w:p w:rsidR="001317BF" w:rsidRDefault="001317BF" w:rsidP="001317BF">
      <w:pPr>
        <w:pStyle w:val="RSCI04CaptiontoFigureSchemeChart"/>
        <w:rPr>
          <w:b/>
        </w:rPr>
      </w:pPr>
      <w:r w:rsidRPr="00443894">
        <w:rPr>
          <w:noProof/>
          <w:lang w:eastAsia="en-GB"/>
        </w:rPr>
        <w:drawing>
          <wp:anchor distT="0" distB="0" distL="114300" distR="114300" simplePos="0" relativeHeight="251671040" behindDoc="0" locked="1" layoutInCell="1" allowOverlap="1" wp14:anchorId="32ACD0EC" wp14:editId="2AD7AF13">
            <wp:simplePos x="0" y="0"/>
            <wp:positionH relativeFrom="margin">
              <wp:posOffset>0</wp:posOffset>
            </wp:positionH>
            <wp:positionV relativeFrom="paragraph">
              <wp:posOffset>254635</wp:posOffset>
            </wp:positionV>
            <wp:extent cx="4803140" cy="4319905"/>
            <wp:effectExtent l="0" t="0" r="0" b="444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wrensb\Desktop\oreillyr-sbl\Papers\2020 - Spirocycles\Figures\Figure 2.tif"/>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803140" cy="4319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7BF" w:rsidRPr="00352F01" w:rsidRDefault="001317BF" w:rsidP="001317BF">
      <w:pPr>
        <w:pStyle w:val="RSCI04CaptiontoFigureSchemeChart"/>
        <w:rPr>
          <w:rFonts w:ascii="Times New Roman" w:hAnsi="Times New Roman" w:cs="Times New Roman"/>
          <w:sz w:val="16"/>
          <w:szCs w:val="16"/>
        </w:rPr>
      </w:pPr>
      <w:r w:rsidRPr="00352F01">
        <w:rPr>
          <w:rFonts w:ascii="Times New Roman" w:hAnsi="Times New Roman" w:cs="Times New Roman"/>
          <w:b/>
          <w:sz w:val="16"/>
          <w:szCs w:val="16"/>
        </w:rPr>
        <w:t>Figure 2.</w:t>
      </w:r>
      <w:r w:rsidRPr="00352F01">
        <w:rPr>
          <w:rFonts w:ascii="Times New Roman" w:hAnsi="Times New Roman" w:cs="Times New Roman"/>
          <w:sz w:val="16"/>
          <w:szCs w:val="16"/>
        </w:rPr>
        <w:t xml:space="preserve"> </w:t>
      </w:r>
      <w:r w:rsidRPr="00352F01">
        <w:rPr>
          <w:rFonts w:ascii="Times New Roman" w:hAnsi="Times New Roman" w:cs="Times New Roman"/>
          <w:sz w:val="16"/>
          <w:szCs w:val="16"/>
          <w:vertAlign w:val="superscript"/>
        </w:rPr>
        <w:t>1</w:t>
      </w:r>
      <w:r w:rsidRPr="00352F01">
        <w:rPr>
          <w:rFonts w:ascii="Times New Roman" w:hAnsi="Times New Roman" w:cs="Times New Roman"/>
          <w:sz w:val="16"/>
          <w:szCs w:val="16"/>
        </w:rPr>
        <w:t>H-</w:t>
      </w:r>
      <w:r w:rsidRPr="00352F01">
        <w:rPr>
          <w:rFonts w:ascii="Times New Roman" w:hAnsi="Times New Roman" w:cs="Times New Roman"/>
          <w:sz w:val="16"/>
          <w:szCs w:val="16"/>
          <w:vertAlign w:val="superscript"/>
        </w:rPr>
        <w:t>13</w:t>
      </w:r>
      <w:r w:rsidRPr="00352F01">
        <w:rPr>
          <w:rFonts w:ascii="Times New Roman" w:hAnsi="Times New Roman" w:cs="Times New Roman"/>
          <w:sz w:val="16"/>
          <w:szCs w:val="16"/>
        </w:rPr>
        <w:t xml:space="preserve">C HMBC NMR spectroscopy experiments for A. </w:t>
      </w:r>
      <w:r w:rsidRPr="00352F01">
        <w:rPr>
          <w:rFonts w:ascii="Times New Roman" w:hAnsi="Times New Roman" w:cs="Times New Roman"/>
          <w:i/>
          <w:sz w:val="16"/>
          <w:szCs w:val="16"/>
        </w:rPr>
        <w:t>N</w:t>
      </w:r>
      <w:r w:rsidRPr="00352F01">
        <w:rPr>
          <w:rFonts w:ascii="Times New Roman" w:hAnsi="Times New Roman" w:cs="Times New Roman"/>
          <w:sz w:val="16"/>
          <w:szCs w:val="16"/>
        </w:rPr>
        <w:t xml:space="preserve">-butyl secondary amide </w:t>
      </w:r>
      <w:r w:rsidRPr="00352F01">
        <w:rPr>
          <w:rFonts w:ascii="Times New Roman" w:hAnsi="Times New Roman" w:cs="Times New Roman"/>
          <w:b/>
          <w:sz w:val="16"/>
          <w:szCs w:val="16"/>
        </w:rPr>
        <w:t>20a</w:t>
      </w:r>
      <w:r w:rsidRPr="00352F01">
        <w:rPr>
          <w:rFonts w:ascii="Times New Roman" w:hAnsi="Times New Roman" w:cs="Times New Roman"/>
          <w:sz w:val="16"/>
          <w:szCs w:val="16"/>
        </w:rPr>
        <w:t xml:space="preserve"> and B. </w:t>
      </w:r>
      <w:r w:rsidRPr="00352F01">
        <w:rPr>
          <w:rFonts w:ascii="Times New Roman" w:hAnsi="Times New Roman" w:cs="Times New Roman"/>
          <w:i/>
          <w:sz w:val="16"/>
          <w:szCs w:val="16"/>
        </w:rPr>
        <w:t>N</w:t>
      </w:r>
      <w:r w:rsidRPr="00352F01">
        <w:rPr>
          <w:rFonts w:ascii="Times New Roman" w:hAnsi="Times New Roman" w:cs="Times New Roman"/>
          <w:sz w:val="16"/>
          <w:szCs w:val="16"/>
        </w:rPr>
        <w:t xml:space="preserve">-butyl spirocyclic imide </w:t>
      </w:r>
      <w:r w:rsidRPr="00352F01">
        <w:rPr>
          <w:rFonts w:ascii="Times New Roman" w:hAnsi="Times New Roman" w:cs="Times New Roman"/>
          <w:b/>
          <w:sz w:val="16"/>
          <w:szCs w:val="16"/>
        </w:rPr>
        <w:t>22</w:t>
      </w:r>
      <w:r w:rsidRPr="00352F01">
        <w:rPr>
          <w:rFonts w:ascii="Times New Roman" w:hAnsi="Times New Roman" w:cs="Times New Roman"/>
          <w:sz w:val="16"/>
          <w:szCs w:val="16"/>
        </w:rPr>
        <w:t>, and associated X-ray crystal structures.</w:t>
      </w:r>
    </w:p>
    <w:p w:rsidR="001317BF" w:rsidRPr="00352F01" w:rsidRDefault="001317BF" w:rsidP="001317BF">
      <w:pPr>
        <w:pStyle w:val="ElsParagraph"/>
        <w:rPr>
          <w:sz w:val="16"/>
          <w:szCs w:val="16"/>
        </w:rPr>
        <w:sectPr w:rsidR="001317BF" w:rsidRPr="00352F01" w:rsidSect="001317BF">
          <w:type w:val="continuous"/>
          <w:pgSz w:w="11906" w:h="16838" w:code="9"/>
          <w:pgMar w:top="964" w:right="766" w:bottom="1242" w:left="766" w:header="720" w:footer="238" w:gutter="0"/>
          <w:cols w:space="360"/>
        </w:sectPr>
      </w:pPr>
    </w:p>
    <w:p w:rsidR="00F24A35" w:rsidRDefault="007E1441" w:rsidP="00F24A35">
      <w:pPr>
        <w:pStyle w:val="ElsParagraph"/>
      </w:pPr>
      <w:r>
        <w:rPr>
          <w:noProof/>
        </w:rPr>
        <w:lastRenderedPageBreak/>
        <w:object w:dxaOrig="1440" w:dyaOrig="1440">
          <v:shape id="_x0000_s1125" type="#_x0000_t75" style="position:absolute;left:0;text-align:left;margin-left:279pt;margin-top:228.1pt;width:220.15pt;height:171pt;z-index:251675136;mso-position-horizontal-relative:text;mso-position-vertical-relative:text">
            <v:imagedata r:id="rId26" o:title=""/>
            <w10:wrap type="topAndBottom"/>
          </v:shape>
          <o:OLEObject Type="Embed" ProgID="ChemDraw.Document.6.0" ShapeID="_x0000_s1125" DrawAspect="Content" ObjectID="_1665920399" r:id="rId27"/>
        </w:object>
      </w:r>
      <w:r>
        <w:rPr>
          <w:noProof/>
        </w:rPr>
        <w:object w:dxaOrig="1440" w:dyaOrig="1440">
          <v:shape id="_x0000_s1124" type="#_x0000_t75" style="position:absolute;left:0;text-align:left;margin-left:29.5pt;margin-top:354.6pt;width:184.15pt;height:119.1pt;z-index:251673088;mso-position-horizontal-relative:text;mso-position-vertical-relative:text">
            <v:imagedata r:id="rId28" o:title=""/>
            <w10:wrap type="topAndBottom"/>
          </v:shape>
          <o:OLEObject Type="Embed" ProgID="ChemDraw.Document.6.0" ShapeID="_x0000_s1124" DrawAspect="Content" ObjectID="_1665920400" r:id="rId29"/>
        </w:object>
      </w:r>
      <w:r w:rsidR="00F24A35" w:rsidRPr="00C033DD">
        <w:t xml:space="preserve">In an effort to selectively synthesize either the </w:t>
      </w:r>
      <w:r w:rsidR="00F24A35" w:rsidRPr="00C033DD">
        <w:rPr>
          <w:i/>
        </w:rPr>
        <w:t>N</w:t>
      </w:r>
      <w:r w:rsidR="00F24A35" w:rsidRPr="00C033DD">
        <w:t xml:space="preserve">-butyl secondary amide </w:t>
      </w:r>
      <w:r w:rsidR="00F24A35" w:rsidRPr="00C033DD">
        <w:rPr>
          <w:b/>
        </w:rPr>
        <w:t>20a</w:t>
      </w:r>
      <w:r w:rsidR="00F24A35" w:rsidRPr="00C033DD">
        <w:t xml:space="preserve"> or the spirocyclic imide </w:t>
      </w:r>
      <w:r w:rsidR="00F24A35" w:rsidRPr="00C033DD">
        <w:rPr>
          <w:b/>
        </w:rPr>
        <w:t>22</w:t>
      </w:r>
      <w:r w:rsidR="00F24A35" w:rsidRPr="00C033DD">
        <w:t>, the quantity of triethylamine was adjusted during the amidation step of the reaction (</w:t>
      </w:r>
      <w:r w:rsidR="00F24A35" w:rsidRPr="00C033DD">
        <w:rPr>
          <w:b/>
        </w:rPr>
        <w:t>Figure S101</w:t>
      </w:r>
      <w:r w:rsidR="00F24A35" w:rsidRPr="00C033DD">
        <w:t xml:space="preserve">). When varying the quantity of triethylamine from 0.8–4.0 equivalents relative to oxanorbornene </w:t>
      </w:r>
      <w:r w:rsidR="00F24A35" w:rsidRPr="00C033DD">
        <w:rPr>
          <w:b/>
        </w:rPr>
        <w:t>12</w:t>
      </w:r>
      <w:r w:rsidR="00F24A35" w:rsidRPr="00C033DD">
        <w:t xml:space="preserve">, it was found by </w:t>
      </w:r>
      <w:r w:rsidR="00F24A35" w:rsidRPr="00C033DD">
        <w:rPr>
          <w:vertAlign w:val="superscript"/>
        </w:rPr>
        <w:t>1</w:t>
      </w:r>
      <w:r w:rsidR="00F24A35" w:rsidRPr="00C033DD">
        <w:t xml:space="preserve">H NMR spectroscopy of the reaction mixture that either species could be formed, with 0.8 equivalents giving exclusively the </w:t>
      </w:r>
      <w:r w:rsidR="00F24A35" w:rsidRPr="00C033DD">
        <w:rPr>
          <w:i/>
        </w:rPr>
        <w:t>N</w:t>
      </w:r>
      <w:r w:rsidR="00F24A35" w:rsidRPr="00C033DD">
        <w:t xml:space="preserve">-butyl secondary amide </w:t>
      </w:r>
      <w:r w:rsidR="00F24A35" w:rsidRPr="00C033DD">
        <w:rPr>
          <w:b/>
        </w:rPr>
        <w:t>20a</w:t>
      </w:r>
      <w:r w:rsidR="00F24A35" w:rsidRPr="00C033DD">
        <w:t xml:space="preserve"> whilst 4.0 equivalents produced exclusively the </w:t>
      </w:r>
      <w:r w:rsidR="00F24A35" w:rsidRPr="00C033DD">
        <w:rPr>
          <w:i/>
        </w:rPr>
        <w:t>N</w:t>
      </w:r>
      <w:r w:rsidR="00F24A35" w:rsidRPr="00C033DD">
        <w:t xml:space="preserve">-butyl spirocyclic imide </w:t>
      </w:r>
      <w:r w:rsidR="00F24A35" w:rsidRPr="00C033DD">
        <w:rPr>
          <w:b/>
        </w:rPr>
        <w:t>22</w:t>
      </w:r>
      <w:r w:rsidR="00F24A35" w:rsidRPr="00C033DD">
        <w:t xml:space="preserve">. This was rationalized on the basis that amides are typically poor nucleophiles for </w:t>
      </w:r>
      <w:r w:rsidR="00F24A35" w:rsidRPr="00C033DD">
        <w:rPr>
          <w:i/>
        </w:rPr>
        <w:t>N</w:t>
      </w:r>
      <w:r w:rsidR="00F24A35" w:rsidRPr="00C033DD">
        <w:t>-attack due</w:t>
      </w:r>
      <w:r w:rsidR="00F24A35">
        <w:t xml:space="preserve"> to delocalization of the lone pair, which results in </w:t>
      </w:r>
      <w:r w:rsidR="00F24A35" w:rsidRPr="00706DDF">
        <w:rPr>
          <w:i/>
        </w:rPr>
        <w:t>O</w:t>
      </w:r>
      <w:r w:rsidR="00F24A35">
        <w:t xml:space="preserve">-attack being </w:t>
      </w:r>
      <w:r w:rsidR="00F24A35" w:rsidRPr="00C033DD">
        <w:t>preferred.</w:t>
      </w:r>
      <w:r w:rsidR="00F24A35" w:rsidRPr="00C033DD">
        <w:fldChar w:fldCharType="begin" w:fldLock="1"/>
      </w:r>
      <w:r w:rsidR="00BA4B30">
        <w:instrText>ADDIN CSL_CITATION {"citationItems":[{"id":"ITEM-1","itemData":{"DOI":"10.1039/C8CS00335A","ISSN":"0306-0012","abstract":"This review focusses on the use of amide activation for chemoselective functionalisation and its application in natural product synthesis.","author":[{"dropping-particle":"","family":"Kaiser","given":"Daniel","non-dropping-particle":"","parse-names":false,"suffix":""},{"dropping-particle":"","family":"Bauer","given":"Adriano","non-dropping-particle":"","parse-names":false,"suffix":""},{"dropping-particle":"","family":"Lemmerer","given":"Miran","non-dropping-particle":"","parse-names":false,"suffix":""},{"dropping-particle":"","family":"Maulide","given":"Nuno","non-dropping-particle":"","parse-names":false,"suffix":""}],"container-title":"Chemical Society Reviews","id":"ITEM-1","issue":"21","issued":{"date-parts":[["2018"]]},"page":"7899-7925","title":"Amide activation: an emerging tool for chemoselective synthesis","type":"article-journal","volume":"47"},"uris":["http://www.mendeley.com/documents/?uuid=ce15fa5a-f788-3361-8787-d46909b6fc6b"]}],"mendeley":{"formattedCitation":"&lt;sup&gt;47&lt;/sup&gt;","plainTextFormattedCitation":"47","previouslyFormattedCitation":"&lt;sup&gt;47&lt;/sup&gt;"},"properties":{"noteIndex":0},"schema":"https://github.com/citation-style-language/schema/raw/master/csl-citation.json"}</w:instrText>
      </w:r>
      <w:r w:rsidR="00F24A35" w:rsidRPr="00C033DD">
        <w:fldChar w:fldCharType="separate"/>
      </w:r>
      <w:r w:rsidR="00BA4B30" w:rsidRPr="00BA4B30">
        <w:rPr>
          <w:noProof/>
          <w:vertAlign w:val="superscript"/>
        </w:rPr>
        <w:t>47</w:t>
      </w:r>
      <w:r w:rsidR="00F24A35" w:rsidRPr="00C033DD">
        <w:fldChar w:fldCharType="end"/>
      </w:r>
      <w:r w:rsidR="00F24A35" w:rsidRPr="00C033DD">
        <w:t xml:space="preserve"> In contrast, ambident amide nucleophiles have been shown to prefer </w:t>
      </w:r>
      <w:r w:rsidR="00F24A35" w:rsidRPr="00C033DD">
        <w:rPr>
          <w:i/>
        </w:rPr>
        <w:t>N</w:t>
      </w:r>
      <w:r w:rsidR="00F24A35" w:rsidRPr="00C033DD">
        <w:t xml:space="preserve">-attack over </w:t>
      </w:r>
      <w:r w:rsidR="00F24A35" w:rsidRPr="00C033DD">
        <w:rPr>
          <w:i/>
        </w:rPr>
        <w:t>O</w:t>
      </w:r>
      <w:r w:rsidR="00F24A35" w:rsidRPr="00C033DD">
        <w:t>-attack.</w:t>
      </w:r>
      <w:r w:rsidR="00F24A35" w:rsidRPr="00C033DD">
        <w:fldChar w:fldCharType="begin" w:fldLock="1"/>
      </w:r>
      <w:r w:rsidR="00BA4B30">
        <w:instrText>ADDIN CSL_CITATION {"citationItems":[{"id":"ITEM-1","itemData":{"DOI":"10.1021/jo1009883","ISSN":"0022-3263","abstract":"(Figure presented) The kinetics of the reactions of amide and imide anions 2a-o with benzhydrylium ions 1a-i and structurally related quinone methides 1j-q have been studied by UV-vis spectroscopy in DMSO and acetonitrile solution. The second-order rate constants (log k2) correlated linearly with the electrophilicity parameters E of 1a-q according to the correlation log k 2 = s(N + E) (Angew. Chem., Int. Ed. Engl. 1994, 33, 938-957), allowing us to determine the nucleophilicity parameters N and the nucleophile-specific parameters s for these nucleophiles. The reactivities of all sulfonamide and diacylimide anions are found in a relatively small range (15 &lt; N &lt; 22). Comparison with structurally related carbanions revealed that amide and imide anions are less reactive than carbanions of the same pK aH. These effects can be attributed to the absence of resonance stabilization of one of the lone pairs in the amide or imide anions. As amide and imide anions are exclusively attacked at nitrogen by benzhydrylium ions, Kornblums interpretation of the ambident reactivity of amide anions has to be revised. © 2010 American Chemical Society.","author":[{"dropping-particle":"","family":"Breugst","given":"Martin","non-dropping-particle":"","parse-names":false,"suffix":""},{"dropping-particle":"","family":"Tokuyasu","given":"Takahiro","non-dropping-particle":"","parse-names":false,"suffix":""},{"dropping-particle":"","family":"Mayr","given":"Herbert","non-dropping-particle":"","parse-names":false,"suffix":""}],"container-title":"The Journal of Organic Chemistry","id":"ITEM-1","issue":"15","issued":{"date-parts":[["2010","8","6"]]},"page":"5250-5258","publisher":"American Chemical Society","title":"Nucleophilic Reactivities of Imide and Amide Anions","type":"article-journal","volume":"75"},"uris":["http://www.mendeley.com/documents/?uuid=69f65c45-293e-34d8-9c90-37ac1c902ba1"]}],"mendeley":{"formattedCitation":"&lt;sup&gt;48&lt;/sup&gt;","plainTextFormattedCitation":"48","previouslyFormattedCitation":"&lt;sup&gt;48&lt;/sup&gt;"},"properties":{"noteIndex":0},"schema":"https://github.com/citation-style-language/schema/raw/master/csl-citation.json"}</w:instrText>
      </w:r>
      <w:r w:rsidR="00F24A35" w:rsidRPr="00C033DD">
        <w:fldChar w:fldCharType="separate"/>
      </w:r>
      <w:r w:rsidR="00BA4B30" w:rsidRPr="00BA4B30">
        <w:rPr>
          <w:noProof/>
          <w:vertAlign w:val="superscript"/>
        </w:rPr>
        <w:t>48</w:t>
      </w:r>
      <w:r w:rsidR="00F24A35" w:rsidRPr="00C033DD">
        <w:fldChar w:fldCharType="end"/>
      </w:r>
      <w:r w:rsidR="00F24A35" w:rsidRPr="00C033DD">
        <w:t xml:space="preserve"> Deprotonation of the amide would therefore favor </w:t>
      </w:r>
      <w:r w:rsidR="00F24A35" w:rsidRPr="00C033DD">
        <w:rPr>
          <w:i/>
        </w:rPr>
        <w:t>N</w:t>
      </w:r>
      <w:r w:rsidR="00F24A35" w:rsidRPr="00C033DD">
        <w:t xml:space="preserve">-attack through the now nucleophilic nitrogen leading to formation of the spirocyclic product </w:t>
      </w:r>
      <w:r w:rsidR="00F24A35" w:rsidRPr="00C033DD">
        <w:rPr>
          <w:b/>
        </w:rPr>
        <w:t>22</w:t>
      </w:r>
      <w:r w:rsidR="00F24A35" w:rsidRPr="00C033DD">
        <w:t>, whilst under neutral or acidic conditions ring-opening of the lactone is disfavored, leading to formation of the secondary amide</w:t>
      </w:r>
      <w:r w:rsidR="00F24A35" w:rsidRPr="00C033DD">
        <w:rPr>
          <w:b/>
        </w:rPr>
        <w:t xml:space="preserve"> 20a</w:t>
      </w:r>
      <w:r w:rsidR="00F24A35" w:rsidRPr="00C033DD">
        <w:t xml:space="preserve">. The </w:t>
      </w:r>
      <w:r w:rsidR="00F24A35" w:rsidRPr="00C033DD">
        <w:rPr>
          <w:i/>
        </w:rPr>
        <w:t>N</w:t>
      </w:r>
      <w:r w:rsidR="00F24A35" w:rsidRPr="00C033DD">
        <w:t xml:space="preserve">-butyl secondary amide </w:t>
      </w:r>
      <w:r w:rsidR="00F24A35" w:rsidRPr="00C033DD">
        <w:rPr>
          <w:b/>
        </w:rPr>
        <w:t>20a</w:t>
      </w:r>
      <w:r w:rsidR="00F24A35" w:rsidRPr="00C033DD">
        <w:t xml:space="preserve"> was then exposed to 2.0 equivalents of triethylamine to see if it could promote formation of the imide </w:t>
      </w:r>
      <w:r w:rsidR="00F24A35" w:rsidRPr="00C033DD">
        <w:rPr>
          <w:b/>
        </w:rPr>
        <w:t>22</w:t>
      </w:r>
      <w:r w:rsidR="00F24A35" w:rsidRPr="00C033DD">
        <w:t xml:space="preserve"> (</w:t>
      </w:r>
      <w:r w:rsidR="00F24A35" w:rsidRPr="00C033DD">
        <w:rPr>
          <w:b/>
        </w:rPr>
        <w:t>Figure S102</w:t>
      </w:r>
      <w:r w:rsidR="00F24A35" w:rsidRPr="00C033DD">
        <w:t xml:space="preserve">). It was observed that </w:t>
      </w:r>
      <w:r w:rsidR="00F24A35" w:rsidRPr="00C033DD">
        <w:rPr>
          <w:b/>
        </w:rPr>
        <w:t>20a</w:t>
      </w:r>
      <w:r w:rsidR="00F24A35" w:rsidRPr="00C033DD">
        <w:t xml:space="preserve"> was indeed </w:t>
      </w:r>
      <w:r w:rsidR="00F24A35" w:rsidRPr="000F3AC4">
        <w:t xml:space="preserve">converted to </w:t>
      </w:r>
      <w:r w:rsidR="00F24A35" w:rsidRPr="000F3AC4">
        <w:rPr>
          <w:b/>
        </w:rPr>
        <w:t>22</w:t>
      </w:r>
      <w:r w:rsidR="00F24A35" w:rsidRPr="000F3AC4">
        <w:t>, with optimal formation of the imide found after 7 hours (</w:t>
      </w:r>
      <w:r w:rsidR="00F24A35" w:rsidRPr="000F3AC4">
        <w:rPr>
          <w:b/>
        </w:rPr>
        <w:t>20a</w:t>
      </w:r>
      <w:r w:rsidR="00F24A35" w:rsidRPr="000F3AC4">
        <w:t xml:space="preserve"> 4%; </w:t>
      </w:r>
      <w:r w:rsidR="00F24A35" w:rsidRPr="000F3AC4">
        <w:rPr>
          <w:b/>
        </w:rPr>
        <w:t>22</w:t>
      </w:r>
      <w:r w:rsidR="00F24A35" w:rsidRPr="000F3AC4">
        <w:t xml:space="preserve"> 85%; </w:t>
      </w:r>
      <w:r w:rsidR="00F24A35" w:rsidRPr="000F3AC4">
        <w:rPr>
          <w:b/>
        </w:rPr>
        <w:t>10</w:t>
      </w:r>
      <w:r w:rsidR="00F24A35" w:rsidRPr="000F3AC4">
        <w:t xml:space="preserve"> and </w:t>
      </w:r>
      <w:r w:rsidR="00F24A35" w:rsidRPr="000F3AC4">
        <w:rPr>
          <w:b/>
        </w:rPr>
        <w:t>23</w:t>
      </w:r>
      <w:r w:rsidR="00F24A35" w:rsidRPr="000F3AC4">
        <w:t xml:space="preserve"> 11%), and complete consumption of the amide observed after 24 hours (</w:t>
      </w:r>
      <w:r w:rsidR="00F24A35" w:rsidRPr="000F3AC4">
        <w:rPr>
          <w:b/>
        </w:rPr>
        <w:t>20a</w:t>
      </w:r>
      <w:r w:rsidR="00F24A35" w:rsidRPr="000F3AC4">
        <w:t xml:space="preserve"> 0%; </w:t>
      </w:r>
      <w:r w:rsidR="00F24A35" w:rsidRPr="000F3AC4">
        <w:rPr>
          <w:b/>
        </w:rPr>
        <w:t>22</w:t>
      </w:r>
      <w:r w:rsidR="00F24A35" w:rsidRPr="000F3AC4">
        <w:t xml:space="preserve"> 41%; </w:t>
      </w:r>
      <w:r w:rsidR="00F24A35" w:rsidRPr="000F3AC4">
        <w:rPr>
          <w:b/>
        </w:rPr>
        <w:t>10</w:t>
      </w:r>
      <w:r w:rsidR="00F24A35" w:rsidRPr="000F3AC4">
        <w:t xml:space="preserve"> and </w:t>
      </w:r>
      <w:r w:rsidR="00F24A35" w:rsidRPr="000F3AC4">
        <w:rPr>
          <w:b/>
        </w:rPr>
        <w:t>23</w:t>
      </w:r>
      <w:r w:rsidR="00F24A35" w:rsidRPr="000F3AC4">
        <w:t xml:space="preserve"> 59%). This experiment reaffirmed our hypothesis that deprotonation </w:t>
      </w:r>
      <w:r w:rsidR="00F24A35" w:rsidRPr="00C033DD">
        <w:t xml:space="preserve">of the amide is necessary to form imide </w:t>
      </w:r>
      <w:r w:rsidR="00F24A35" w:rsidRPr="00C033DD">
        <w:rPr>
          <w:b/>
        </w:rPr>
        <w:t>22</w:t>
      </w:r>
      <w:r w:rsidR="00F24A35" w:rsidRPr="00C033DD">
        <w:t xml:space="preserve"> whilst also highlighting its inherent instability in solution, with clear degradation products observed to form over the course of the reaction. The degradation products were subsequently identified</w:t>
      </w:r>
      <w:r w:rsidR="00F24A35">
        <w:t xml:space="preserve"> to be furfuryl alcohol </w:t>
      </w:r>
      <w:r w:rsidR="00F24A35" w:rsidRPr="000A6729">
        <w:rPr>
          <w:b/>
        </w:rPr>
        <w:t>10</w:t>
      </w:r>
      <w:r w:rsidR="00F24A35">
        <w:t xml:space="preserve"> and 1-butyl-3-methylene-pyrrolidine-2</w:t>
      </w:r>
      <w:proofErr w:type="gramStart"/>
      <w:r w:rsidR="00F24A35">
        <w:t>,5</w:t>
      </w:r>
      <w:proofErr w:type="gramEnd"/>
      <w:r w:rsidR="00F24A35">
        <w:t xml:space="preserve">,-dione </w:t>
      </w:r>
      <w:r w:rsidR="00F24A35" w:rsidRPr="000A6729">
        <w:rPr>
          <w:b/>
        </w:rPr>
        <w:t>23</w:t>
      </w:r>
      <w:r w:rsidR="00F24A35">
        <w:t>, formed through a retro-Diels-Alder reaction, which is possible following ring-opening of the lactone moiety (</w:t>
      </w:r>
      <w:r w:rsidR="00F24A35" w:rsidRPr="000918D5">
        <w:rPr>
          <w:b/>
        </w:rPr>
        <w:t>Scheme 4</w:t>
      </w:r>
      <w:r w:rsidR="00F24A35">
        <w:t xml:space="preserve">). </w:t>
      </w:r>
    </w:p>
    <w:p w:rsidR="00465E21" w:rsidRDefault="00465E21" w:rsidP="00465E21">
      <w:pPr>
        <w:pStyle w:val="ElsFigureCaption"/>
      </w:pPr>
      <w:r w:rsidRPr="00C033DD">
        <w:rPr>
          <w:b/>
        </w:rPr>
        <w:t>Scheme 4.</w:t>
      </w:r>
      <w:r w:rsidRPr="00C033DD">
        <w:t xml:space="preserve"> Intramolecular 5-</w:t>
      </w:r>
      <w:r w:rsidRPr="00C033DD">
        <w:rPr>
          <w:i/>
        </w:rPr>
        <w:t>exo</w:t>
      </w:r>
      <w:r w:rsidRPr="00C033DD">
        <w:t xml:space="preserve">-trig cyclization of </w:t>
      </w:r>
      <w:r w:rsidRPr="00C033DD">
        <w:rPr>
          <w:b/>
        </w:rPr>
        <w:t>20a</w:t>
      </w:r>
      <w:r w:rsidRPr="00C033DD">
        <w:t xml:space="preserve"> under basic conditions to form </w:t>
      </w:r>
      <w:r w:rsidRPr="00C033DD">
        <w:rPr>
          <w:b/>
        </w:rPr>
        <w:t>22</w:t>
      </w:r>
      <w:r w:rsidRPr="00C033DD">
        <w:t xml:space="preserve"> and subsequent retro-Diels-Alder, which yields the degradation products furfuryl alcohol </w:t>
      </w:r>
      <w:r w:rsidRPr="00C033DD">
        <w:rPr>
          <w:b/>
        </w:rPr>
        <w:t>10</w:t>
      </w:r>
      <w:r w:rsidRPr="00C033DD">
        <w:t xml:space="preserve"> and 1-butyl-3-methylene-pyrrolidine-2</w:t>
      </w:r>
      <w:proofErr w:type="gramStart"/>
      <w:r w:rsidRPr="00C033DD">
        <w:t>,5</w:t>
      </w:r>
      <w:proofErr w:type="gramEnd"/>
      <w:r w:rsidRPr="00C033DD">
        <w:t xml:space="preserve">-dione </w:t>
      </w:r>
      <w:r w:rsidRPr="00C033DD">
        <w:rPr>
          <w:b/>
        </w:rPr>
        <w:t>23</w:t>
      </w:r>
      <w:r w:rsidRPr="00C033DD">
        <w:t>.</w:t>
      </w:r>
    </w:p>
    <w:p w:rsidR="00F428E1" w:rsidRDefault="00F428E1" w:rsidP="00F428E1">
      <w:pPr>
        <w:pStyle w:val="ElsParagraph"/>
      </w:pPr>
      <w:r>
        <w:t xml:space="preserve">On the basis of the above studies, we realized that hydrogenation of the oxanorbornene unit within structures </w:t>
      </w:r>
      <w:r w:rsidRPr="00613642">
        <w:rPr>
          <w:b/>
        </w:rPr>
        <w:t>20a</w:t>
      </w:r>
      <w:r>
        <w:t xml:space="preserve"> and </w:t>
      </w:r>
      <w:r w:rsidRPr="00613642">
        <w:rPr>
          <w:b/>
        </w:rPr>
        <w:t>22</w:t>
      </w:r>
      <w:r>
        <w:t xml:space="preserve"> would prevent the retro-Diels-Alder reaction and, in the case of the spirocyclic imide, provide a motif that bears a striking resemblance to the natural products cantharimide </w:t>
      </w:r>
      <w:r>
        <w:rPr>
          <w:b/>
        </w:rPr>
        <w:t>6</w:t>
      </w:r>
      <w:r>
        <w:t xml:space="preserve"> and norcantharimide </w:t>
      </w:r>
      <w:r>
        <w:rPr>
          <w:b/>
        </w:rPr>
        <w:t>8</w:t>
      </w:r>
      <w:r>
        <w:t xml:space="preserve">, suggesting a potential therapeutic application. Buoyed by this we set about investigating derivatization of oxanorbornene </w:t>
      </w:r>
      <w:r>
        <w:rPr>
          <w:b/>
        </w:rPr>
        <w:t>12</w:t>
      </w:r>
      <w:r>
        <w:t xml:space="preserve"> by amidation and hydrogenation (</w:t>
      </w:r>
      <w:r w:rsidRPr="00735735">
        <w:rPr>
          <w:b/>
        </w:rPr>
        <w:t xml:space="preserve">Scheme </w:t>
      </w:r>
      <w:r>
        <w:rPr>
          <w:b/>
        </w:rPr>
        <w:t>5</w:t>
      </w:r>
      <w:r>
        <w:t xml:space="preserve">). This can be done by either first hydrogenating </w:t>
      </w:r>
      <w:r>
        <w:rPr>
          <w:b/>
        </w:rPr>
        <w:t>12</w:t>
      </w:r>
      <w:r>
        <w:t xml:space="preserve"> to produce the oxanorbornane </w:t>
      </w:r>
      <w:r>
        <w:rPr>
          <w:b/>
        </w:rPr>
        <w:t>18</w:t>
      </w:r>
      <w:r>
        <w:t xml:space="preserve"> which can then be functionalized with the desired amine </w:t>
      </w:r>
      <w:r w:rsidRPr="00433E24">
        <w:rPr>
          <w:b/>
        </w:rPr>
        <w:t>19a–e</w:t>
      </w:r>
      <w:r>
        <w:t xml:space="preserve"> (pathway A), or by producing the desired secondary amide </w:t>
      </w:r>
      <w:r w:rsidRPr="00433E24">
        <w:rPr>
          <w:b/>
        </w:rPr>
        <w:t>20a–e</w:t>
      </w:r>
      <w:r>
        <w:t xml:space="preserve"> derivatives which are then hydrogenated </w:t>
      </w:r>
      <w:r w:rsidRPr="00433E24">
        <w:rPr>
          <w:b/>
        </w:rPr>
        <w:t>21a–e</w:t>
      </w:r>
      <w:r>
        <w:t xml:space="preserve"> (pathway B). Rather surprisingly, we found that it was possible to selectively form either the secondary amides </w:t>
      </w:r>
      <w:r w:rsidRPr="00433E24">
        <w:rPr>
          <w:b/>
        </w:rPr>
        <w:t>19a–e</w:t>
      </w:r>
      <w:r>
        <w:t xml:space="preserve"> or the spirocyclic imides </w:t>
      </w:r>
      <w:r w:rsidRPr="00433E24">
        <w:rPr>
          <w:b/>
        </w:rPr>
        <w:t>21a–e</w:t>
      </w:r>
      <w:r>
        <w:t xml:space="preserve"> depending on the method used, providing a simple and divergent route to either species from oxanorbornene </w:t>
      </w:r>
      <w:r>
        <w:rPr>
          <w:b/>
        </w:rPr>
        <w:t>12</w:t>
      </w:r>
      <w:r>
        <w:t xml:space="preserve">. In the case of pathway A, oxanorbornene </w:t>
      </w:r>
      <w:r>
        <w:rPr>
          <w:b/>
        </w:rPr>
        <w:t>12</w:t>
      </w:r>
      <w:r>
        <w:t xml:space="preserve"> was first hydrogenated using 10 </w:t>
      </w:r>
      <w:proofErr w:type="spellStart"/>
      <w:r>
        <w:t>wt</w:t>
      </w:r>
      <w:proofErr w:type="spellEnd"/>
      <w:r>
        <w:t xml:space="preserve">% palladium on carbon, yielding the corresponding oxanorbornane </w:t>
      </w:r>
      <w:r>
        <w:rPr>
          <w:b/>
        </w:rPr>
        <w:t>18</w:t>
      </w:r>
      <w:r>
        <w:t xml:space="preserve"> in an excellent 93% </w:t>
      </w:r>
      <w:r>
        <w:t xml:space="preserve">yield. Amidation was then performed using a series of alkyl and aryl amines according to the procedure described previously, producing secondary amides </w:t>
      </w:r>
      <w:r w:rsidRPr="00433E24">
        <w:rPr>
          <w:b/>
        </w:rPr>
        <w:t>19a–e</w:t>
      </w:r>
      <w:r>
        <w:t xml:space="preserve"> in moderate to excellent yields (33–77%). Notably, pyridine was used as the base rather than triethylamine due to its lower basicity (</w:t>
      </w:r>
      <w:proofErr w:type="spellStart"/>
      <w:r>
        <w:t>p</w:t>
      </w:r>
      <w:r w:rsidRPr="001065D4">
        <w:rPr>
          <w:i/>
        </w:rPr>
        <w:t>K</w:t>
      </w:r>
      <w:r w:rsidRPr="001065D4">
        <w:rPr>
          <w:vertAlign w:val="subscript"/>
        </w:rPr>
        <w:t>aH</w:t>
      </w:r>
      <w:proofErr w:type="spellEnd"/>
      <w:r>
        <w:rPr>
          <w:vertAlign w:val="subscript"/>
        </w:rPr>
        <w:t xml:space="preserve"> </w:t>
      </w:r>
      <w:r w:rsidRPr="001065D4">
        <w:t>pyridine: 5.23</w:t>
      </w:r>
      <w:r>
        <w:t>;</w:t>
      </w:r>
      <w:r w:rsidRPr="001065D4">
        <w:t xml:space="preserve"> NEt</w:t>
      </w:r>
      <w:r w:rsidRPr="001065D4">
        <w:rPr>
          <w:vertAlign w:val="subscript"/>
        </w:rPr>
        <w:t>3</w:t>
      </w:r>
      <w:r>
        <w:t>: 10.65, both in H</w:t>
      </w:r>
      <w:r>
        <w:rPr>
          <w:vertAlign w:val="subscript"/>
        </w:rPr>
        <w:t>2</w:t>
      </w:r>
      <w:r>
        <w:t>O) and less than two equivalents were used to prevent formation of spirocyclic species.</w:t>
      </w:r>
      <w:r w:rsidR="00BA4B30">
        <w:fldChar w:fldCharType="begin" w:fldLock="1"/>
      </w:r>
      <w:r w:rsidR="00BA4B30">
        <w:instrText>ADDIN CSL_CITATION {"citationItems":[{"id":"ITEM-1","itemData":{"DOI":"10.1002/ejoc.201900956","ISSN":"1434193X","abstract":"The basicities of simple organic bases – aliphatic and aromatic amines, amidines, phosphazenes, as well as saturated and unsaturated nitrogen heterocycles – are examined in acetonitrile, dimethyl sulfoxide, tetrahydrofuran, water and the gas phase. The basicities (pKaH values) of conjugate acids of a large variety of bases in these media are presented and discussed. Equations employing easily usable structural descriptors have been derived for approximately converting basicities from acetonitrile to other solvents. Recommendations are given on their practical use and a number of pKaH values that are experimentally unavailable are estimated from these relationships. An important part of the minireview is a large compilation of pKaH and GB values of the compounds in solvents and the gas phase, respectively, as well as the revised basicity scale in acetonitrile, now containing more than 270 pKaH values.","author":[{"dropping-particle":"","family":"Tshepelevitsh","given":"Sofja","non-dropping-particle":"","parse-names":false,"suffix":""},{"dropping-particle":"","family":"Kütt","given":"Agnes","non-dropping-particle":"","parse-names":false,"suffix":""},{"dropping-particle":"","family":"Lõkov","given":"Märt","non-dropping-particle":"","parse-names":false,"suffix":""},{"dropping-particle":"","family":"Kaljurand","given":"Ivari","non-dropping-particle":"","parse-names":false,"suffix":""},{"dropping-particle":"","family":"Saame","given":"Jaan","non-dropping-particle":"","parse-names":false,"suffix":""},{"dropping-particle":"","family":"Heering","given":"Agnes","non-dropping-particle":"","parse-names":false,"suffix":""},{"dropping-particle":"","family":"Plieger","given":"Paul G.","non-dropping-particle":"","parse-names":false,"suffix":""},{"dropping-particle":"","family":"Vianello","given":"Robert","non-dropping-particle":"","parse-names":false,"suffix":""},{"dropping-particle":"","family":"Leito","given":"Ivo","non-dropping-particle":"","parse-names":false,"suffix":""}],"container-title":"Eur. J. Org. Chem.","id":"ITEM-1","issue":"40","issued":{"date-parts":[["2019","10","31"]]},"page":"6735-6748","publisher":"Wiley-VCH Verlag","title":"On the Basicity of Organic Bases in Different Media","type":"article-journal","volume":"2019"},"uris":["http://www.mendeley.com/documents/?uuid=157ddcb2-af91-3d76-9813-bcba16dd3c09"]}],"mendeley":{"formattedCitation":"&lt;sup&gt;49&lt;/sup&gt;","plainTextFormattedCitation":"49","previouslyFormattedCitation":"&lt;sup&gt;49&lt;/sup&gt;"},"properties":{"noteIndex":0},"schema":"https://github.com/citation-style-language/schema/raw/master/csl-citation.json"}</w:instrText>
      </w:r>
      <w:r w:rsidR="00BA4B30">
        <w:fldChar w:fldCharType="separate"/>
      </w:r>
      <w:r w:rsidR="00BA4B30" w:rsidRPr="00BA4B30">
        <w:rPr>
          <w:noProof/>
          <w:vertAlign w:val="superscript"/>
        </w:rPr>
        <w:t>49</w:t>
      </w:r>
      <w:r w:rsidR="00BA4B30">
        <w:fldChar w:fldCharType="end"/>
      </w:r>
      <w:r>
        <w:t xml:space="preserve"> </w:t>
      </w:r>
      <w:r w:rsidR="00374C8F">
        <w:t xml:space="preserve">Alternatively, by pathway B, amidation of oxanorbornene </w:t>
      </w:r>
      <w:r w:rsidR="00374C8F">
        <w:rPr>
          <w:b/>
        </w:rPr>
        <w:t>12</w:t>
      </w:r>
      <w:r w:rsidR="00374C8F">
        <w:t xml:space="preserve"> could be used to selectively produce the secondary amides </w:t>
      </w:r>
      <w:r w:rsidR="00374C8F" w:rsidRPr="00433E24">
        <w:rPr>
          <w:b/>
        </w:rPr>
        <w:t>20a–e</w:t>
      </w:r>
      <w:r w:rsidR="00374C8F">
        <w:t xml:space="preserve"> in moderate to excellent yields (31–86%). Hydrogenation of </w:t>
      </w:r>
      <w:r w:rsidR="00374C8F" w:rsidRPr="00433E24">
        <w:rPr>
          <w:b/>
        </w:rPr>
        <w:t>20a–e</w:t>
      </w:r>
      <w:r w:rsidR="00374C8F">
        <w:t xml:space="preserve"> then resulted in a tandem cyclisation to produce spirocyclic imides </w:t>
      </w:r>
      <w:r w:rsidR="00374C8F" w:rsidRPr="00433E24">
        <w:rPr>
          <w:b/>
        </w:rPr>
        <w:t>21a–e</w:t>
      </w:r>
      <w:r w:rsidR="00374C8F">
        <w:rPr>
          <w:b/>
        </w:rPr>
        <w:t xml:space="preserve"> </w:t>
      </w:r>
      <w:r w:rsidR="00374C8F">
        <w:t xml:space="preserve">in excellent yields (76–98%). </w:t>
      </w:r>
      <w:r>
        <w:t xml:space="preserve">A possible explanation for this is that the hydrogenation conditions result in the formation of palladium hydrides which are sufficiently basic to deprotonate the amide, facilitating the cyclisation. As described previously, spirocyclic imides </w:t>
      </w:r>
      <w:r w:rsidRPr="00433E24">
        <w:rPr>
          <w:b/>
        </w:rPr>
        <w:t>21a–e</w:t>
      </w:r>
      <w:r>
        <w:t xml:space="preserve"> could be easily differentiated from secondary amides </w:t>
      </w:r>
      <w:r w:rsidRPr="00433E24">
        <w:rPr>
          <w:b/>
        </w:rPr>
        <w:t>19a–e</w:t>
      </w:r>
      <w:r>
        <w:t xml:space="preserve"> through a combination of ESI-MS, FTIR spectroscopy and </w:t>
      </w:r>
      <w:r w:rsidRPr="003B1E5D">
        <w:rPr>
          <w:vertAlign w:val="superscript"/>
        </w:rPr>
        <w:t>1</w:t>
      </w:r>
      <w:r>
        <w:t>H-</w:t>
      </w:r>
      <w:r w:rsidRPr="003B1E5D">
        <w:rPr>
          <w:vertAlign w:val="superscript"/>
        </w:rPr>
        <w:t>13</w:t>
      </w:r>
      <w:r>
        <w:t>C HMBC NMR spectroscopy (see supporting information),</w:t>
      </w:r>
      <w:r w:rsidRPr="00F05F2B">
        <w:t xml:space="preserve"> </w:t>
      </w:r>
      <w:r w:rsidRPr="003B3CFB">
        <w:t xml:space="preserve">and the structure of </w:t>
      </w:r>
      <w:r w:rsidRPr="003B3CFB">
        <w:rPr>
          <w:b/>
        </w:rPr>
        <w:t>21d</w:t>
      </w:r>
      <w:r w:rsidRPr="003B3CFB">
        <w:t xml:space="preserve"> was confirmed by X-ray crystallography (CCDC 2000923)</w:t>
      </w:r>
      <w:r w:rsidRPr="00F05F2B">
        <w:t xml:space="preserve">. </w:t>
      </w:r>
    </w:p>
    <w:p w:rsidR="00F428E1" w:rsidRDefault="00F428E1" w:rsidP="00465E21">
      <w:pPr>
        <w:pStyle w:val="ElsFigureCaption"/>
      </w:pPr>
    </w:p>
    <w:p w:rsidR="00AA2F5D" w:rsidRDefault="00AA2F5D" w:rsidP="00AA2F5D">
      <w:pPr>
        <w:pStyle w:val="ElsFigureCaption"/>
      </w:pPr>
      <w:r>
        <w:rPr>
          <w:b/>
        </w:rPr>
        <w:t>Scheme 5</w:t>
      </w:r>
      <w:r w:rsidRPr="00735735">
        <w:rPr>
          <w:b/>
        </w:rPr>
        <w:t>.</w:t>
      </w:r>
      <w:r w:rsidRPr="004045B3">
        <w:t xml:space="preserve"> Synthesis of secondary amides </w:t>
      </w:r>
      <w:r w:rsidRPr="00433E24">
        <w:rPr>
          <w:b/>
        </w:rPr>
        <w:t>19a–e</w:t>
      </w:r>
      <w:r w:rsidRPr="004045B3">
        <w:t xml:space="preserve"> and spirocyclic imides </w:t>
      </w:r>
      <w:r w:rsidRPr="00433E24">
        <w:rPr>
          <w:b/>
        </w:rPr>
        <w:t>21a–e</w:t>
      </w:r>
      <w:r w:rsidRPr="004045B3">
        <w:t xml:space="preserve"> by divergent amidation/hydrogenation strategy from oxanorbornene </w:t>
      </w:r>
      <w:r>
        <w:rPr>
          <w:b/>
        </w:rPr>
        <w:t>12</w:t>
      </w:r>
      <w:r w:rsidRPr="00D36694">
        <w:rPr>
          <w:b/>
        </w:rPr>
        <w:t xml:space="preserve"> </w:t>
      </w:r>
      <w:r w:rsidRPr="00D36694">
        <w:t xml:space="preserve">and </w:t>
      </w:r>
      <w:r w:rsidRPr="00F05F2B">
        <w:t xml:space="preserve">the </w:t>
      </w:r>
      <w:r w:rsidRPr="00EF24B4">
        <w:t>X-ray crystal structure of</w:t>
      </w:r>
      <w:r w:rsidRPr="00EF24B4">
        <w:rPr>
          <w:b/>
        </w:rPr>
        <w:t xml:space="preserve"> 21d</w:t>
      </w:r>
      <w:r w:rsidRPr="00433E24">
        <w:t>.</w:t>
      </w:r>
    </w:p>
    <w:p w:rsidR="00465E21" w:rsidRDefault="00465E21" w:rsidP="00465E21">
      <w:pPr>
        <w:pStyle w:val="ElsFigureCaption"/>
      </w:pPr>
    </w:p>
    <w:p w:rsidR="00AA2F5D" w:rsidRDefault="00AA2F5D" w:rsidP="00AA2F5D">
      <w:pPr>
        <w:pStyle w:val="ElsParagraph"/>
        <w:rPr>
          <w:noProof/>
          <w:lang w:eastAsia="en-GB"/>
        </w:rPr>
      </w:pPr>
      <w:r w:rsidRPr="00A835F4">
        <w:t xml:space="preserve">In view of the resemblance of these compounds to cantharimide </w:t>
      </w:r>
      <w:r w:rsidRPr="00A835F4">
        <w:rPr>
          <w:b/>
        </w:rPr>
        <w:t>6</w:t>
      </w:r>
      <w:r w:rsidRPr="00A835F4">
        <w:t xml:space="preserve"> and norcantharimide </w:t>
      </w:r>
      <w:r w:rsidRPr="00A835F4">
        <w:rPr>
          <w:b/>
        </w:rPr>
        <w:t>8</w:t>
      </w:r>
      <w:r w:rsidRPr="00A835F4">
        <w:t>, we were intrigued as to whether these compounds held potential as lead-like targets for therapeutic applications. Lead-likeness and molecular analysis (LLAMA) is an open-access, web-based tool developed by the University of Leeds for the decoration and assessment of small molecule scaffolds for their lead-likeness and novelty.</w:t>
      </w:r>
      <w:r w:rsidRPr="00A835F4">
        <w:fldChar w:fldCharType="begin" w:fldLock="1"/>
      </w:r>
      <w:r w:rsidR="00BA4B30">
        <w:instrText>ADDIN CSL_CITATION {"citationItems":[{"id":"ITEM-1","itemData":{"DOI":"10.1039/C6CC03244C","ISSN":"1359-7345","abstract":"LLAMA was used to assess the lead-likeness of scaffolds prepared via complementary cyclisations of hex-2-ene-1,6-diamine derivatives.","author":[{"dropping-particle":"","family":"Colomer","given":"Ignacio","non-dropping-particle":"","parse-names":false,"suffix":""},{"dropping-particle":"","family":"Empson","given":"Christopher J.","non-dropping-particle":"","parse-names":false,"suffix":""},{"dropping-particle":"","family":"Craven","given":"Philip","non-dropping-particle":"","parse-names":false,"suffix":""},{"dropping-particle":"","family":"Owen","given":"Zachary","non-dropping-particle":"","parse-names":false,"suffix":""},{"dropping-particle":"","family":"Doveston","given":"Richard G.","non-dropping-particle":"","parse-names":false,"suffix":""},{"dropping-particle":"","family":"Churcher","given":"Ian","non-dropping-particle":"","parse-names":false,"suffix":""},{"dropping-particle":"","family":"Marsden","given":"Stephen P.","non-dropping-particle":"","parse-names":false,"suffix":""},{"dropping-particle":"","family":"Nelson","given":"Adam","non-dropping-particle":"","parse-names":false,"suffix":""}],"container-title":"Chemical Communications","id":"ITEM-1","issue":"45","issued":{"date-parts":[["2016"]]},"page":"7209-7212","title":"A divergent synthetic approach to diverse molecular scaffolds: assessment of lead-likeness using LLAMA, an open-access computational tool","type":"article-journal","volume":"52"},"uris":["http://www.mendeley.com/documents/?uuid=61f36e4b-6d8e-39b0-8120-3b3cdcf9eef8"]}],"mendeley":{"formattedCitation":"&lt;sup&gt;50&lt;/sup&gt;","plainTextFormattedCitation":"50","previouslyFormattedCitation":"&lt;sup&gt;50&lt;/sup&gt;"},"properties":{"noteIndex":0},"schema":"https://github.com/citation-style-language/schema/raw/master/csl-citation.json"}</w:instrText>
      </w:r>
      <w:r w:rsidRPr="00A835F4">
        <w:fldChar w:fldCharType="separate"/>
      </w:r>
      <w:r w:rsidR="00BA4B30" w:rsidRPr="00BA4B30">
        <w:rPr>
          <w:noProof/>
          <w:vertAlign w:val="superscript"/>
        </w:rPr>
        <w:t>50</w:t>
      </w:r>
      <w:r w:rsidRPr="00A835F4">
        <w:fldChar w:fldCharType="end"/>
      </w:r>
      <w:r w:rsidRPr="00A835F4">
        <w:t xml:space="preserve"> Analyzing secondary amides </w:t>
      </w:r>
      <w:r w:rsidRPr="00A835F4">
        <w:rPr>
          <w:b/>
        </w:rPr>
        <w:t>19a–e</w:t>
      </w:r>
      <w:r w:rsidRPr="00A835F4">
        <w:t xml:space="preserve"> and spirocyclic imides </w:t>
      </w:r>
      <w:r w:rsidRPr="00A835F4">
        <w:rPr>
          <w:b/>
        </w:rPr>
        <w:t>21a–e</w:t>
      </w:r>
      <w:r w:rsidRPr="00A835F4">
        <w:t xml:space="preserve"> by LLAMA, it was found that all compounds lay within lead-like space on the basis of their relative molecular mass (RMM)</w:t>
      </w:r>
      <w:r>
        <w:t xml:space="preserve"> </w:t>
      </w:r>
      <w:r w:rsidRPr="00A835F4">
        <w:t xml:space="preserve">(200 Da &lt; RMM &lt; 350 Da) and predicted </w:t>
      </w:r>
      <w:proofErr w:type="spellStart"/>
      <w:r w:rsidRPr="00A835F4">
        <w:t>lipophilicity</w:t>
      </w:r>
      <w:proofErr w:type="spellEnd"/>
      <w:r w:rsidRPr="00A835F4">
        <w:t xml:space="preserve"> (-1 &lt; </w:t>
      </w:r>
      <w:proofErr w:type="spellStart"/>
      <w:r w:rsidRPr="00A835F4">
        <w:t>AlogP</w:t>
      </w:r>
      <w:proofErr w:type="spellEnd"/>
      <w:r>
        <w:br/>
      </w:r>
      <w:r w:rsidRPr="00A835F4">
        <w:t xml:space="preserve"> &lt; 3) as shown in </w:t>
      </w:r>
      <w:r w:rsidRPr="00A835F4">
        <w:rPr>
          <w:b/>
          <w:bCs/>
        </w:rPr>
        <w:t>Figure 3</w:t>
      </w:r>
      <w:r w:rsidRPr="00A835F4">
        <w:t>. However, whilst spirocyclic imides</w:t>
      </w:r>
      <w:r>
        <w:t xml:space="preserve"> </w:t>
      </w:r>
      <w:r w:rsidRPr="00A835F4">
        <w:rPr>
          <w:b/>
        </w:rPr>
        <w:t>21a–e</w:t>
      </w:r>
      <w:r w:rsidRPr="00A835F4">
        <w:t xml:space="preserve"> were assigned minimal lead-likeness penalties (0–1: due to the absence of an aromatic ring in </w:t>
      </w:r>
      <w:r w:rsidRPr="00A835F4">
        <w:rPr>
          <w:b/>
        </w:rPr>
        <w:t>21d,e</w:t>
      </w:r>
      <w:r w:rsidRPr="00A835F4">
        <w:t xml:space="preserve">), secondary amides </w:t>
      </w:r>
      <w:r w:rsidRPr="00A835F4">
        <w:rPr>
          <w:b/>
        </w:rPr>
        <w:t>19a–e</w:t>
      </w:r>
      <w:r w:rsidRPr="00A835F4">
        <w:t xml:space="preserve"> were assigned higher penalties (5–6) due to the presence of the undesirable lactone functionality and the absence of an aromatic ring in </w:t>
      </w:r>
      <w:r w:rsidRPr="00A835F4">
        <w:rPr>
          <w:b/>
        </w:rPr>
        <w:t>19d,</w:t>
      </w:r>
      <w:r w:rsidRPr="00F90447">
        <w:rPr>
          <w:b/>
        </w:rPr>
        <w:t>e</w:t>
      </w:r>
      <w:r w:rsidRPr="00A835F4">
        <w:t>. The compounds were then analyzed for novelty against the ZINC database, a repository of over twenty million commercially available molecules.</w:t>
      </w:r>
      <w:r w:rsidRPr="00A835F4">
        <w:fldChar w:fldCharType="begin" w:fldLock="1"/>
      </w:r>
      <w:r w:rsidR="00BA4B30">
        <w:instrText>ADDIN CSL_CITATION {"citationItems":[{"id":"ITEM-1","itemData":{"DOI":"10.1021/ci3001277","ISSN":"1549-9596","PMID":"22587354","abstract":"ZINC is a free public resource for ligand discovery. The database contains over twenty million commercially available molecules in biologically relevant representations that may be downloaded in popular ready-to-dock formats and subsets. The Web site also enables searches by structure, biological activity, physical property, vendor, catalog number, name, and CAS number. Small custom subsets may be created, edited, shared, docked, downloaded, and conveyed to a vendor for purchase. The database is maintained and curated for a high purchasing success rate and is freely available at zinc.docking.org. © 2012 American Chemical Society.","author":[{"dropping-particle":"","family":"Irwin","given":"John J.","non-dropping-particle":"","parse-names":false,"suffix":""},{"dropping-particle":"","family":"Sterling","given":"Teague","non-dropping-particle":"","parse-names":false,"suffix":""},{"dropping-particle":"","family":"Mysinger","given":"Michael M.","non-dropping-particle":"","parse-names":false,"suffix":""},{"dropping-particle":"","family":"Bolstad","given":"Erin S.","non-dropping-particle":"","parse-names":false,"suffix":""},{"dropping-particle":"","family":"Coleman","given":"Ryan G.","non-dropping-particle":"","parse-names":false,"suffix":""}],"container-title":"Journal of Chemical Information and Modeling","id":"ITEM-1","issue":"7","issued":{"date-parts":[["2012","7","23"]]},"page":"1757-1768","publisher":"American Chemical Society","title":"ZINC: A Free Tool to Discover Chemistry for Biology","type":"article-journal","volume":"52"},"uris":["http://www.mendeley.com/documents/?uuid=be180f70-c58c-3054-84ab-8ddc15f68823"]}],"mendeley":{"formattedCitation":"&lt;sup&gt;51&lt;/sup&gt;","plainTextFormattedCitation":"51","previouslyFormattedCitation":"&lt;sup&gt;51&lt;/sup&gt;"},"properties":{"noteIndex":0},"schema":"https://github.com/citation-style-language/schema/raw/master/csl-citation.json"}</w:instrText>
      </w:r>
      <w:r w:rsidRPr="00A835F4">
        <w:fldChar w:fldCharType="separate"/>
      </w:r>
      <w:r w:rsidR="00BA4B30" w:rsidRPr="00BA4B30">
        <w:rPr>
          <w:noProof/>
          <w:vertAlign w:val="superscript"/>
        </w:rPr>
        <w:t>51</w:t>
      </w:r>
      <w:r w:rsidRPr="00A835F4">
        <w:fldChar w:fldCharType="end"/>
      </w:r>
      <w:r w:rsidRPr="00A835F4">
        <w:t xml:space="preserve"> In both cases, the secondary amides </w:t>
      </w:r>
      <w:r w:rsidRPr="00A835F4">
        <w:rPr>
          <w:b/>
        </w:rPr>
        <w:t>19a–e</w:t>
      </w:r>
      <w:r w:rsidRPr="00A835F4">
        <w:t xml:space="preserve"> and the spirocyclic imides </w:t>
      </w:r>
      <w:r w:rsidRPr="00A835F4">
        <w:rPr>
          <w:b/>
        </w:rPr>
        <w:t>21a–e</w:t>
      </w:r>
      <w:r w:rsidRPr="00A835F4">
        <w:t xml:space="preserve"> were found to possess a 0.0% likeness to a random 2% of the database. Finally, PMI analysis found that the majority of the compounds lie along the rod-like to disc-like axis. Overall, these results strongly suggest that the spirocyclic imides </w:t>
      </w:r>
      <w:r w:rsidRPr="00A835F4">
        <w:rPr>
          <w:b/>
        </w:rPr>
        <w:t>21a–e</w:t>
      </w:r>
      <w:r w:rsidRPr="00A835F4">
        <w:t xml:space="preserve"> represent highly novel and </w:t>
      </w:r>
      <w:r w:rsidRPr="00A835F4">
        <w:lastRenderedPageBreak/>
        <w:t xml:space="preserve">promising lead-like compounds for further consideration as </w:t>
      </w:r>
      <w:r w:rsidR="00374C8F" w:rsidRPr="00A835F4">
        <w:rPr>
          <w:noProof/>
          <w:lang w:val="en-GB" w:eastAsia="en-GB"/>
        </w:rPr>
        <w:drawing>
          <wp:anchor distT="0" distB="0" distL="114300" distR="114300" simplePos="0" relativeHeight="251681280" behindDoc="0" locked="0" layoutInCell="1" allowOverlap="1" wp14:anchorId="7C72010B" wp14:editId="3C9F0A64">
            <wp:simplePos x="0" y="0"/>
            <wp:positionH relativeFrom="margin">
              <wp:align>left</wp:align>
            </wp:positionH>
            <wp:positionV relativeFrom="paragraph">
              <wp:posOffset>375920</wp:posOffset>
            </wp:positionV>
            <wp:extent cx="3023870" cy="4570095"/>
            <wp:effectExtent l="0" t="0" r="5080" b="19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870" cy="4570095"/>
                    </a:xfrm>
                    <a:prstGeom prst="rect">
                      <a:avLst/>
                    </a:prstGeom>
                    <a:noFill/>
                    <a:ln>
                      <a:noFill/>
                    </a:ln>
                  </pic:spPr>
                </pic:pic>
              </a:graphicData>
            </a:graphic>
            <wp14:sizeRelH relativeFrom="margin">
              <wp14:pctWidth>0</wp14:pctWidth>
            </wp14:sizeRelH>
          </wp:anchor>
        </w:drawing>
      </w:r>
      <w:r w:rsidRPr="00A835F4">
        <w:t>therapeutics.</w:t>
      </w:r>
      <w:r w:rsidRPr="00916DDC">
        <w:rPr>
          <w:noProof/>
          <w:lang w:eastAsia="en-GB"/>
        </w:rPr>
        <w:t xml:space="preserve"> </w:t>
      </w:r>
    </w:p>
    <w:p w:rsidR="00AA2F5D" w:rsidRDefault="00AA2F5D" w:rsidP="00AA2F5D">
      <w:pPr>
        <w:pStyle w:val="ElsFigureCaption"/>
      </w:pPr>
      <w:r w:rsidRPr="00064465">
        <w:rPr>
          <w:b/>
        </w:rPr>
        <w:t>Figure 3.</w:t>
      </w:r>
      <w:r w:rsidRPr="008D26CA">
        <w:t xml:space="preserve"> </w:t>
      </w:r>
      <w:r>
        <w:t>A. Lead-likeness</w:t>
      </w:r>
      <w:r w:rsidRPr="008D26CA">
        <w:t xml:space="preserve"> and</w:t>
      </w:r>
      <w:r>
        <w:t xml:space="preserve"> B. PMI</w:t>
      </w:r>
      <w:r w:rsidRPr="008D26CA">
        <w:t xml:space="preserve"> analysis plots for secondary amides </w:t>
      </w:r>
      <w:r w:rsidRPr="00EA5371">
        <w:rPr>
          <w:b/>
        </w:rPr>
        <w:t>19a–e</w:t>
      </w:r>
      <w:r w:rsidRPr="00EA5371">
        <w:t xml:space="preserve"> and</w:t>
      </w:r>
      <w:r w:rsidRPr="008D26CA">
        <w:t xml:space="preserve"> spirocyclic imides </w:t>
      </w:r>
      <w:r w:rsidRPr="00EA5371">
        <w:rPr>
          <w:b/>
        </w:rPr>
        <w:t>21a–e</w:t>
      </w:r>
      <w:r w:rsidRPr="00EA5371">
        <w:t>.</w:t>
      </w:r>
      <w:r>
        <w:t xml:space="preserve"> Blue region represents the 3D region of PMI space where I1 + I2 &gt; 1.2.</w:t>
      </w:r>
    </w:p>
    <w:p w:rsidR="00AA2F5D" w:rsidRDefault="00AA2F5D" w:rsidP="00AA2F5D">
      <w:pPr>
        <w:pStyle w:val="ElsFigureCaption"/>
      </w:pPr>
    </w:p>
    <w:p w:rsidR="00374C8F" w:rsidRDefault="00374C8F" w:rsidP="00AA2F5D">
      <w:pPr>
        <w:pStyle w:val="ElsParagraph"/>
      </w:pPr>
    </w:p>
    <w:p w:rsidR="00374C8F" w:rsidRDefault="00374C8F" w:rsidP="00AA2F5D">
      <w:pPr>
        <w:pStyle w:val="ElsParagraph"/>
      </w:pPr>
    </w:p>
    <w:p w:rsidR="00AA2F5D" w:rsidRDefault="00AA2F5D" w:rsidP="00AA2F5D">
      <w:pPr>
        <w:pStyle w:val="ElsParagraph"/>
      </w:pPr>
      <w:r>
        <w:t>Previously, c</w:t>
      </w:r>
      <w:r w:rsidRPr="00790660">
        <w:t>antharidin</w:t>
      </w:r>
      <w:r>
        <w:t xml:space="preserve"> and</w:t>
      </w:r>
      <w:r w:rsidRPr="00790660">
        <w:t xml:space="preserve"> norcantharidin analogues </w:t>
      </w:r>
      <w:r>
        <w:t xml:space="preserve">have shown promising anticancer activities against a range of cancer cell types, both </w:t>
      </w:r>
      <w:r>
        <w:rPr>
          <w:i/>
          <w:iCs/>
        </w:rPr>
        <w:t xml:space="preserve">in vitro </w:t>
      </w:r>
      <w:r>
        <w:t xml:space="preserve">and </w:t>
      </w:r>
      <w:r>
        <w:rPr>
          <w:i/>
          <w:iCs/>
        </w:rPr>
        <w:t xml:space="preserve">in </w:t>
      </w:r>
      <w:r w:rsidRPr="001F0A7A">
        <w:rPr>
          <w:i/>
          <w:iCs/>
        </w:rPr>
        <w:t>vivo</w:t>
      </w:r>
      <w:r w:rsidRPr="001F0A7A">
        <w:t>.</w:t>
      </w:r>
      <w:r w:rsidRPr="001F0A7A">
        <w:fldChar w:fldCharType="begin" w:fldLock="1"/>
      </w:r>
      <w:r w:rsidR="00BA4B30">
        <w:instrText xml:space="preserve">ADDIN CSL_CITATION {"citationItems":[{"id":"ITEM-1","itemData":{"DOI":"10.1016/j.ejmech.2012.06.010","ISSN":"02235234","abstract":"Cantharidin (1) and norcantharidin (2) display high levels of anticancer activity against a broad range of tumour cell lines. Synthetic manipulation of norcantharidin yields (3S,3aR,4S,7R,7aS)-3-hydroxyhexahydro-4,7- epoxyisobenzofuran-1(3H)-one (3), which also displays a high level of anticancer activity against tumour cells but interestingly, shows selectivity towards HT29 (colon; GI50 = 14 μM) and SJ-G2 (glioblastoma; GI50 = 15 μM) cell lines. Substitution at the hydroxyl group of the cyclic lactone within (3) produces a diasteromeric pair of products that have no difference in cytotoxicity over the cell lines tested. Incorporation of an isopropyl tail at this position (16) produced the most promising compound of this series to date, with strong selectivity towards HT29 (colon; GI50 = 19 μM) and SJ-G2 (glioblastoma; GI50 = 21 μM) cell lines but completely void of any activity against the remaining tumour cell lines (GI50 &gt; 100 μM), as per the parent molecule. We also discovered that the introduction of a terminal phosphate moiety (28) at the same position produced a different trend in cytotoxicity with strong activity in BE2-C (neuroblastoma; GI 50 = 9 μM) cells; suggestive of an alternate mode of action. © 2012 Elsevier Masson SAS. All rights reserved.","author":[{"dropping-particle":"","family":"Tarleton","given":"Mark","non-dropping-particle":"","parse-names":false,"suffix":""},{"dropping-particle":"","family":"Gilbert","given":"Jayne","non-dropping-particle":"","parse-names":false,"suffix":""},{"dropping-particle":"","family":"Sakoff","given":"Jennette A.","non-dropping-particle":"","parse-names":false,"suffix":""},{"dropping-particle":"","family":"McCluskey","given":"Adam","non-dropping-particle":"","parse-names":false,"suffix":""}],"container-title":"European Journal of Medicinal Chemistry","id":"ITEM-1","issued":{"date-parts":[["2012","8"]]},"page":"573-581","title":"Synthesis and anticancer activity of a series of norcantharidin analogues","type":"article-journal","volume":"54"},"uris":["http://www.mendeley.com/documents/?uuid=d73c716d-fa28-3bd4-8c98-5b90016633dd"]},{"id":"ITEM-2","itemData":{"DOI":"10.3892/ijmm.18.2.375","ISSN":"1107-3756","abstract":"Cantharidin isolated from Mylabris caraganae and other insects is used traditionally as an anti-cancer drug especially on hepatoma and leukaemia. Previously, we demonstrated that the novel synthetic cantharidin analogue CAN 032 possessed apoptotic activity on two human hepatoma cell lines Hep3B hepatocellular carcinoma and SK-Hep-1 liver adenocarcinoma. However, its underlying mechanistic action on cancer cells remained unclear. Herein, we furthered our work by making use of KG1a acute myelogenous leukaemia (AML) and K562 chronic myelogenous leukaemia (CML) as experimental models. As anticipated, both leukaemia cell lines were sensitive to the cytotoxic action of CAN 032. The activity of CAN 032 was both dose- and time-course-dependent. CAN 032 readily inhibited the colony formation potential of both leukaemia cell lines. KG1a AML treated with CAN032 decreased G1 phase cell population, mitochondrial membrane potential collapse, caspase 3 activation and hence DNA fragmentation. Pre-incubation of leukaemia cells with the general caspase inhibitor Z-VAD-FMK could partially reversed the apoptotic action of CAN 032. This result suggested that the caspase-dependent pathway is necessary for the apoptotic action of CAN 032. CAN 032 provides a new direction for novel drug discovery in experimental cancer therapy.","author":[{"dropping-particle":"","family":"Kok","given":"Stanton","non-dropping-particle":"","parse-names":false,"suffix":""},{"dropping-particle":"","family":"Chui","given":"Chung","non-dropping-particle":"","parse-names":false,"suffix":""},{"dropping-particle":"","family":"Lam","given":"Wing","non-dropping-particle":"","parse-names":false,"suffix":""},{"dropping-particle":"","family":"Chen","given":"Jien","non-dropping-particle":"","parse-names":false,"suffix":""},{"dropping-particle":"","family":"Lau","given":"Fung","non-dropping-particle":"","parse-names":false,"suffix":""},{"dropping-particle":"","family":"Wong","given":"Raymond","non-dropping-particle":"","parse-names":false,"suffix":""},{"dropping-particle":"","family":"Cheng","given":"Gregory","non-dropping-particle":"","parse-names":false,"suffix":""},{"dropping-particle":"","family":"Tang","given":"Wing","non-dropping-particle":"","parse-names":false,"suffix":""},{"dropping-particle":"","family":"Cheng","given":"Chor","non-dropping-particle":"","parse-names":false,"suffix":""},{"dropping-particle":"","family":"Tang","given":"Johnny","non-dropping-particle":"","parse-names":false,"suffix":""},{"dropping-particle":"","family":"Chan","given":"Albert","non-dropping-particle":"","parse-names":false,"suffix":""}],"container-title":"International Journal of Molecular Medicine","id":"ITEM-2","issue":"2","issued":{"date-parts":[["2006","8","1"]]},"page":"375-379","publisher":"Spandidos Publications","title":"Mechanistic insight into a novel synthetic cantharidin analogue in a leukaemia model","type":"article-journal","volume":"18"},"uris":["http://www.mendeley.com/documents/?uuid=1e7bdcba-39bc-38ff-8c7b-f972ee351a13"]},{"id":"ITEM-3","itemData":{"DOI":"10.1016/S0960-894X(01)00594-7","ISSN":"0960894X","abstract":"Cantharidin and its analogues have been of considerable interest as potent inhibitors of the serine/threonine protein phosphatases 1 and 2A (PP1 and PP2A). However, limited modifications to the parent compounds is tolerated. As part of an on-going study we have developed a new series of cantharidin analogues, the cantharimides. Inhibition studies indicate that cantharimides possessing a D- or L-histidine, are more potent inhibitors of PP1 and PP2A (PP1 IC50=3.22±0.7 μM; PP2A IC50=0.81±0.1 μM and PP1 IC50=2.82±0.6 μM; PP2A IC50=1.35±0.3 μM, respectively) than norcantharidin (PP1 IC50=5.31±0.76 μM; PP2A IC50=2.9±1.04 μM) and essentially equipotent with cantharidin (PP1 IC50=3.6±0.42 μM; PP2A IC50=0.36±0.08 μM). Cantharimides with non-polar or acidic amino acid residues are only poor inhibitors of PP1 and PP2A. © 2001 Elsevier Science Ltd. All rights reserved.","author":[{"dropping-particle":"","family":"McCluskey","given":"Adam","non-dropping-particle":"","parse-names":false,"suffix":""},{"dropping-particle":"","family":"Walkom","given":"Cecilia","non-dropping-particle":"","parse-names":false,"suffix":""},{"dropping-particle":"","family":"Bowyer","given":"Michael C.","non-dropping-particle":"","parse-names":false,"suffix":""},{"dropping-particle":"","family":"Ackland","given":"Stephen P.","non-dropping-particle":"","parse-names":false,"suffix":""},{"dropping-particle":"","family":"Gardiner","given":"Emma","non-dropping-particle":"","parse-names":false,"suffix":""},{"dropping-particle":"","family":"Sakoff","given":"Jennette A.","non-dropping-particle":"","parse-names":false,"suffix":""}],"container-title":"Bioorganic &amp; Medicinal Chemistry Letters","id":"ITEM-3","issue":"22","issued":{"date-parts":[["2001","11","19"]]},"page":"2941-2946","title":"Cantharimides: A new class of modified cantharidin analogues inhibiting protein phosphatases 1 and 2A","type":"article-journal","volume":"11"},"uris":["http://www.mendeley.com/documents/?uuid=c241f9b8-cb2c-3fe6-ad78-aaf756aa7569"]},{"id":"ITEM-4","itemData":{"DOI":"10.1002/cmdc.200800192","ISSN":"18607179","abstract":"Cantharidin (1) and its derivatives are of significant interest as serine/threonine protein phosphatase 1 and 2A inhibitors. Additionally, compounds of this type have displayed growth inhibition of various tumour cell lines. To further explore both of these inhibition pathways, a number of amide-acid norcantharidin analogues (15-26) were prepared. Compounds 23 and 24, containing two carboxylic acid residues, showed good PP1 and PP2A activity, with IC50 values of </w:instrText>
      </w:r>
      <w:r w:rsidR="00BA4B30">
        <w:rPr>
          <w:rFonts w:ascii="Cambria Math" w:hAnsi="Cambria Math" w:cs="Cambria Math"/>
        </w:rPr>
        <w:instrText>∼</w:instrText>
      </w:r>
      <w:r w:rsidR="00BA4B30">
        <w:instrText xml:space="preserve">15 and </w:instrText>
      </w:r>
      <w:r w:rsidR="00BA4B30">
        <w:rPr>
          <w:rFonts w:ascii="Cambria Math" w:hAnsi="Cambria Math" w:cs="Cambria Math"/>
        </w:rPr>
        <w:instrText>∼</w:instrText>
      </w:r>
      <w:r w:rsidR="00BA4B30">
        <w:instrText>3 μm, respectively. Substituted aromatic amide analogues 45, 48, 49, 52, 53, and 54 also displayed good PP1 and PP2A inhibition, with IC50 values in the range of 15-10 μm (PP1) and 11-5 μm (PP2A). However, bulky ortho substituents on the aromatic ring caused the aromatic ring to be skewed from the NCO planarity, leading to a decrease in PP1 and PP2A inhibition. A number of analogues, 20, 22, 25 and 46, showed excellent tumour growth inhibition, with 46 in particular being more potent than the lead, norcantharidin 2. © 2008 Wiley-VCH Verlag GmbH &amp; Co. KGaA.","author":[{"dropping-particle":"","family":"Hill","given":"Timothy A.","non-dropping-particle":"","parse-names":false,"suffix":""},{"dropping-particle":"","family":"Stewart","given":"Scott G.","non-dropping-particle":"","parse-names":false,"suffix":""},{"dropping-particle":"","family":"Gordon","given":"Christopher P.","non-dropping-particle":"","parse-names":false,"suffix":""},{"dropping-particle":"","family":"Ackland","given":"Stephen P.","non-dropping-particle":"","parse-names":false,"suffix":""},{"dropping-particle":"","family":"Gilbert","given":"Jayne","non-dropping-particle":"","parse-names":false,"suffix":""},{"dropping-particle":"","family":"Sauer","given":"Benjamin","non-dropping-particle":"","parse-names":false,"suffix":""},{"dropping-particle":"","family":"Sakoff","given":"Jennette A.","non-dropping-particle":"","parse-names":false,"suffix":""},{"dropping-particle":"","family":"McCluskey","given":"Adam","non-dropping-particle":"","parse-names":false,"suffix":""}],"container-title":"ChemMedChem","id":"ITEM-4","issue":"12","issued":{"date-parts":[["2008","12","15"]]},"page":"1878-1892","title":"Norcantharidin Analogues: Synthesis, Anticancer Activity and Protein Phosphatase 1 and 2A Inhibition","type":"article-journal","volume":"3"},"uris":["http://www.mendeley.com/documents/?uuid=d47977d8-dee6-3980-8e9c-9c1636774756"]},{"id":"ITEM-5","itemData":{"DOI":"10.1016/j.bmc.2007.06.034","ISSN":"09680896","abstract":"A range of amines was reacted with norcantharidin (2) to provide the corresponding norcantharimides (9-43). Treatment of norcantharidin with allylamine afforded the corresponding allyl-norcantharimide (20) which was amenable to epoxidation (mCPBA, 22) and subsequent ring opening (MeOH/H + ; 23) or alternatively, osmylation (OsO 4 /NMO; 24). These simple synthetic modifications of 2 facilitated the development of a novel series of norcantharimides displaying modest to good broad spectrum cyto-toxicity against HT29 and SW480 (colorectal carcinoma); MCF-7 (breast adenocarcinoma); A2780 (ovarian carcinoma); H460 (lung carcinoma); A431 (epidermoid carcinoma); DU145 (prostate carcinoma); BE2-C (neuroblastoma); and SJ-G2 (glioblastoma). Analogues possessing a C 10 , C 12 or C 14 alkyl chain or a C 12 linked bis-norcantharimide displayed the highest levels of cytotoxicity.","author":[{"dropping-particle":"","family":"Hill","given":"Timothy A","non-dropping-particle":"","parse-names":false,"suffix":""},{"dropping-particle":"","family":"Stewart","given":"Scott G","non-dropping-particle":"","parse-names":false,"suffix":""},{"dropping-particle":"","family":"Ackland","given":"Stephen P","non-dropping-particle":"","parse-names":false,"suffix":""},{"dropping-particle":"","family":"Gilbert","given":"Jayne","non-dropping-particle":"","parse-names":false,"suffix":""},{"dropping-particle":"","family":"Sauer","given":"Benjamin","non-dropping-particle":"","parse-names":false,"suffix":""},{"dropping-particle":"","family":"Sakoff","given":"Jennette A","non-dropping-particle":"","parse-names":false,"suffix":""},{"dropping-particle":"","family":"McCluskey","given":"Adam","non-dropping-particle":"","parse-names":false,"suffix":""}],"container-title":"Bioorganic &amp; Medicinal Chemistry","id":"ITEM-5","issue":"18","issued":{"date-parts":[["2007","9"]]},"page":"6126-6134","title":"Norcantharimides, synthesis and anticancer activity: Synthesis of new norcantharidin analogues and their anticancer evaluation","type":"article-journal","volume":"15"},"uris":["http://www.mendeley.com/documents/?uuid=d9c76d62-b788-30fa-9a1f-3282fe411b32"]}],"mendeley":{"formattedCitation":"&lt;sup&gt;14,29,32,52,53&lt;/sup&gt;","plainTextFormattedCitation":"14,29,32,52,53","previouslyFormattedCitation":"&lt;sup&gt;14,29,32,52,53&lt;/sup&gt;"},"properties":{"noteIndex":0},"schema":"https://github.com/citation-style-language/schema/raw/master/csl-citation.json"}</w:instrText>
      </w:r>
      <w:r w:rsidRPr="001F0A7A">
        <w:fldChar w:fldCharType="separate"/>
      </w:r>
      <w:r w:rsidR="00BA4B30" w:rsidRPr="00BA4B30">
        <w:rPr>
          <w:noProof/>
          <w:vertAlign w:val="superscript"/>
        </w:rPr>
        <w:t>14,29,32,52,53</w:t>
      </w:r>
      <w:r w:rsidRPr="001F0A7A">
        <w:fldChar w:fldCharType="end"/>
      </w:r>
      <w:r>
        <w:t xml:space="preserve"> Based on this, we screened the racemic spirocyclic imides </w:t>
      </w:r>
      <w:r w:rsidRPr="00A97691">
        <w:rPr>
          <w:b/>
        </w:rPr>
        <w:t>21a–e</w:t>
      </w:r>
      <w:r w:rsidRPr="00920063">
        <w:t xml:space="preserve">, </w:t>
      </w:r>
      <w:r>
        <w:rPr>
          <w:bCs/>
        </w:rPr>
        <w:t xml:space="preserve">for their activity against six human cancer cell lines. For this we selected </w:t>
      </w:r>
      <w:r w:rsidRPr="00181645">
        <w:t>A549 human lung carcinoma cells</w:t>
      </w:r>
      <w:r>
        <w:t xml:space="preserve">, HCT 116 </w:t>
      </w:r>
      <w:r w:rsidRPr="00F4581E">
        <w:t>colorectal carcinoma</w:t>
      </w:r>
      <w:r>
        <w:t xml:space="preserve"> cells, OVCAR-3 human ovarian adenocarcinoma cells, MDA-MB-231 human breast adenocarcinoma cells, MCF7 human breast adenocarcinoma cells and PC-3 human prostate adenocarcinoma cells to represent a range of cell types. For the initial investigation, we performed a broad assessment of the potential of all five molecules to inhibit cancer cell growth at two moderate fixed concentrations (100 </w:t>
      </w:r>
      <w:r>
        <w:rPr>
          <w:rFonts w:cs="Times"/>
        </w:rPr>
        <w:t>µ</w:t>
      </w:r>
      <w:r>
        <w:t xml:space="preserve">M and 200 </w:t>
      </w:r>
      <w:r>
        <w:rPr>
          <w:rFonts w:cs="Times"/>
        </w:rPr>
        <w:t>µ</w:t>
      </w:r>
      <w:r>
        <w:t xml:space="preserve">M) and over three time points: 24, 48 and 72h. Cell growth was monitored as a function of relative cell viability, and the results are shown in </w:t>
      </w:r>
      <w:r w:rsidRPr="009C063C">
        <w:rPr>
          <w:b/>
          <w:bCs/>
        </w:rPr>
        <w:t>Table 1</w:t>
      </w:r>
      <w:r w:rsidRPr="00A97691">
        <w:t xml:space="preserve">, </w:t>
      </w:r>
      <w:r>
        <w:rPr>
          <w:b/>
        </w:rPr>
        <w:t>F</w:t>
      </w:r>
      <w:r w:rsidRPr="009C063C">
        <w:rPr>
          <w:b/>
        </w:rPr>
        <w:t>igure 4A</w:t>
      </w:r>
      <w:r w:rsidRPr="00A97691">
        <w:t xml:space="preserve"> and </w:t>
      </w:r>
      <w:r>
        <w:rPr>
          <w:b/>
        </w:rPr>
        <w:t>F</w:t>
      </w:r>
      <w:r w:rsidRPr="009C063C">
        <w:rPr>
          <w:b/>
        </w:rPr>
        <w:t>igures S103–S108</w:t>
      </w:r>
      <w:r>
        <w:t>.</w:t>
      </w:r>
    </w:p>
    <w:p w:rsidR="00F30734" w:rsidRDefault="00AA2F5D" w:rsidP="00F30734">
      <w:pPr>
        <w:pStyle w:val="ElsParagraph"/>
      </w:pPr>
      <w:r w:rsidRPr="00916DDC">
        <w:t xml:space="preserve">The data in </w:t>
      </w:r>
      <w:r w:rsidRPr="00916DDC">
        <w:rPr>
          <w:b/>
          <w:bCs/>
        </w:rPr>
        <w:t xml:space="preserve">Table 1 </w:t>
      </w:r>
      <w:r w:rsidRPr="00916DDC">
        <w:t xml:space="preserve">shows that after 72h of exposure, promisingly, all compounds had a negative impact on the growth of all studied cell lines. </w:t>
      </w:r>
      <w:r w:rsidRPr="00916DDC">
        <w:rPr>
          <w:b/>
        </w:rPr>
        <w:t>Figures S103–S108</w:t>
      </w:r>
      <w:r w:rsidRPr="00916DDC">
        <w:t xml:space="preserve"> confirm that these results have both a concentration- and time-dependent effect. In particular, HCT 116, A549, OVCAR-3 and MCF7 cells were most susceptible to compounds </w:t>
      </w:r>
      <w:r w:rsidRPr="00916DDC">
        <w:rPr>
          <w:b/>
        </w:rPr>
        <w:t>21a-e</w:t>
      </w:r>
      <w:r w:rsidRPr="00916DDC">
        <w:t xml:space="preserve"> after 72h of exposure, while PC-3 and MDA-MB-231 cells showed more resistance. Furthermore, it was apparent that compound </w:t>
      </w:r>
      <w:r w:rsidRPr="00916DDC">
        <w:rPr>
          <w:b/>
          <w:bCs/>
        </w:rPr>
        <w:t>21c</w:t>
      </w:r>
      <w:r w:rsidRPr="00916DDC">
        <w:t xml:space="preserve"> consistently exhibited the highest potency from all the compounds assayed. In HCT 116 cells, at 200 </w:t>
      </w:r>
      <w:r w:rsidRPr="00916DDC">
        <w:rPr>
          <w:rFonts w:cs="Times"/>
        </w:rPr>
        <w:t>µ</w:t>
      </w:r>
      <w:r w:rsidRPr="00916DDC">
        <w:t xml:space="preserve">M, almost complete cell death was achieved, with similar efficacy in A549 and MCF7 cells, suggesting that compound </w:t>
      </w:r>
      <w:r w:rsidRPr="00916DDC">
        <w:rPr>
          <w:b/>
          <w:bCs/>
        </w:rPr>
        <w:t xml:space="preserve">21c </w:t>
      </w:r>
      <w:r w:rsidRPr="00916DDC">
        <w:t xml:space="preserve">has potential as a </w:t>
      </w:r>
      <w:r w:rsidRPr="00916DDC">
        <w:rPr>
          <w:bCs/>
        </w:rPr>
        <w:t>potent, broad-spectrum anticancer agent</w:t>
      </w:r>
      <w:r>
        <w:rPr>
          <w:bCs/>
        </w:rPr>
        <w:t xml:space="preserve">. </w:t>
      </w:r>
      <w:r w:rsidR="00F30734">
        <w:rPr>
          <w:bCs/>
        </w:rPr>
        <w:t xml:space="preserve"> </w:t>
      </w:r>
      <w:r w:rsidR="00F30734" w:rsidRPr="00916DDC">
        <w:rPr>
          <w:bCs/>
        </w:rPr>
        <w:t xml:space="preserve">When analyzing the biological results in comparison with the chemical structures of each compound, whereby </w:t>
      </w:r>
      <w:r w:rsidR="00F30734" w:rsidRPr="00916DDC">
        <w:rPr>
          <w:b/>
        </w:rPr>
        <w:t>21c</w:t>
      </w:r>
      <w:r w:rsidR="00F30734" w:rsidRPr="00916DDC">
        <w:rPr>
          <w:bCs/>
        </w:rPr>
        <w:t xml:space="preserve"> followed by </w:t>
      </w:r>
      <w:r w:rsidR="00F30734" w:rsidRPr="00916DDC">
        <w:rPr>
          <w:b/>
        </w:rPr>
        <w:t>21b</w:t>
      </w:r>
      <w:r w:rsidR="00F30734" w:rsidRPr="00916DDC">
        <w:rPr>
          <w:bCs/>
        </w:rPr>
        <w:t xml:space="preserve"> were the most toxic, it was apparent that the presence of a long alkyl chain (C8 and C6 chains respectively) increased the anticancer effect. This was unexpected, with </w:t>
      </w:r>
      <w:r w:rsidR="00F30734" w:rsidRPr="00916DDC">
        <w:rPr>
          <w:b/>
        </w:rPr>
        <w:t>21a–c</w:t>
      </w:r>
      <w:r w:rsidR="00F30734" w:rsidRPr="00916DDC">
        <w:rPr>
          <w:bCs/>
        </w:rPr>
        <w:t xml:space="preserve"> in fact receiving penalties during the LLAMA simulation as a result of the prediction placing importance on the presence of aromatic moieties. Instead, the three less active compounds had either a short alkyl chain (</w:t>
      </w:r>
      <w:r w:rsidR="00F30734" w:rsidRPr="00916DDC">
        <w:rPr>
          <w:b/>
        </w:rPr>
        <w:t>21a,</w:t>
      </w:r>
      <w:r w:rsidR="00F30734" w:rsidRPr="00916DDC">
        <w:rPr>
          <w:bCs/>
        </w:rPr>
        <w:t xml:space="preserve"> C4) or aryl/</w:t>
      </w:r>
      <w:proofErr w:type="spellStart"/>
      <w:r w:rsidR="00F30734" w:rsidRPr="00916DDC">
        <w:rPr>
          <w:bCs/>
        </w:rPr>
        <w:t>aryloxy</w:t>
      </w:r>
      <w:proofErr w:type="spellEnd"/>
      <w:r w:rsidR="00F30734" w:rsidRPr="00916DDC">
        <w:rPr>
          <w:bCs/>
        </w:rPr>
        <w:t xml:space="preserve"> side-groups (</w:t>
      </w:r>
      <w:r w:rsidR="00F30734" w:rsidRPr="00916DDC">
        <w:rPr>
          <w:b/>
        </w:rPr>
        <w:t>21d</w:t>
      </w:r>
      <w:proofErr w:type="gramStart"/>
      <w:r w:rsidR="00F30734" w:rsidRPr="00916DDC">
        <w:rPr>
          <w:b/>
        </w:rPr>
        <w:t>,e</w:t>
      </w:r>
      <w:proofErr w:type="gramEnd"/>
      <w:r w:rsidR="00F30734" w:rsidRPr="00916DDC">
        <w:rPr>
          <w:b/>
        </w:rPr>
        <w:t>)</w:t>
      </w:r>
      <w:r w:rsidR="00F30734" w:rsidRPr="00916DDC">
        <w:rPr>
          <w:bCs/>
        </w:rPr>
        <w:t>.</w:t>
      </w:r>
      <w:r w:rsidR="00F30734">
        <w:rPr>
          <w:bCs/>
        </w:rPr>
        <w:t xml:space="preserve">  </w:t>
      </w:r>
    </w:p>
    <w:p w:rsidR="00F934F3" w:rsidRDefault="00F934F3" w:rsidP="00AA2F5D">
      <w:pPr>
        <w:pStyle w:val="ElsFigureCaption"/>
        <w:rPr>
          <w:noProof/>
          <w:lang w:eastAsia="en-GB"/>
        </w:rPr>
      </w:pPr>
    </w:p>
    <w:p w:rsidR="00F30734" w:rsidRDefault="00F30734" w:rsidP="00AA2F5D">
      <w:pPr>
        <w:pStyle w:val="ElsFigureCaption"/>
        <w:rPr>
          <w:noProof/>
          <w:lang w:eastAsia="en-GB"/>
        </w:rPr>
      </w:pPr>
    </w:p>
    <w:p w:rsidR="00F30734" w:rsidRDefault="00F30734" w:rsidP="00AA2F5D">
      <w:pPr>
        <w:pStyle w:val="ElsFigureCaption"/>
        <w:rPr>
          <w:noProof/>
          <w:lang w:eastAsia="en-GB"/>
        </w:rPr>
      </w:pPr>
    </w:p>
    <w:p w:rsidR="00AA2F5D" w:rsidRDefault="00AA2F5D" w:rsidP="00AA2F5D">
      <w:pPr>
        <w:pStyle w:val="ElsFigureCaption"/>
        <w:rPr>
          <w:noProof/>
          <w:lang w:eastAsia="en-GB"/>
        </w:rPr>
        <w:sectPr w:rsidR="00AA2F5D" w:rsidSect="00F24A35">
          <w:type w:val="continuous"/>
          <w:pgSz w:w="11906" w:h="16838" w:code="9"/>
          <w:pgMar w:top="964" w:right="766" w:bottom="1242" w:left="766" w:header="720" w:footer="238" w:gutter="0"/>
          <w:cols w:num="2" w:space="360"/>
        </w:sectPr>
      </w:pPr>
    </w:p>
    <w:p w:rsidR="00F934F3" w:rsidRDefault="00F934F3" w:rsidP="00B31AEC">
      <w:pPr>
        <w:pStyle w:val="ElsFigureCaption"/>
        <w:rPr>
          <w:b/>
        </w:rPr>
      </w:pPr>
    </w:p>
    <w:p w:rsidR="00F934F3" w:rsidRDefault="00F934F3" w:rsidP="00B31AEC">
      <w:pPr>
        <w:pStyle w:val="ElsFigureCaption"/>
        <w:rPr>
          <w:b/>
        </w:rPr>
      </w:pPr>
    </w:p>
    <w:p w:rsidR="00F934F3" w:rsidRDefault="00F934F3" w:rsidP="00B31AEC">
      <w:pPr>
        <w:pStyle w:val="ElsFigureCaption"/>
        <w:rPr>
          <w:b/>
        </w:rPr>
      </w:pPr>
    </w:p>
    <w:p w:rsidR="00F934F3" w:rsidRDefault="00F934F3" w:rsidP="00B31AEC">
      <w:pPr>
        <w:pStyle w:val="ElsFigureCaption"/>
        <w:rPr>
          <w:b/>
        </w:rPr>
      </w:pPr>
    </w:p>
    <w:p w:rsidR="00AA2F5D" w:rsidRDefault="00AA2F5D" w:rsidP="00B31AEC">
      <w:pPr>
        <w:pStyle w:val="ElsFigureCaption"/>
      </w:pPr>
      <w:r w:rsidRPr="00F94C9A">
        <w:rPr>
          <w:b/>
        </w:rPr>
        <w:t>Table</w:t>
      </w:r>
      <w:r w:rsidRPr="00F94C9A">
        <w:rPr>
          <w:b/>
          <w:iCs/>
        </w:rPr>
        <w:t xml:space="preserve"> 1</w:t>
      </w:r>
      <w:r w:rsidRPr="00F94C9A">
        <w:rPr>
          <w:b/>
        </w:rPr>
        <w:t>.</w:t>
      </w:r>
      <w:r w:rsidRPr="005F2D18">
        <w:rPr>
          <w:b/>
        </w:rPr>
        <w:t xml:space="preserve"> </w:t>
      </w:r>
      <w:r w:rsidRPr="00707292">
        <w:t xml:space="preserve">Cytotoxicity of compounds </w:t>
      </w:r>
      <w:r w:rsidRPr="00F94C9A">
        <w:rPr>
          <w:b/>
        </w:rPr>
        <w:t>21a–e</w:t>
      </w:r>
      <w:r w:rsidRPr="00707292">
        <w:t xml:space="preserve"> in the cancer cell panel</w:t>
      </w:r>
      <w:r>
        <w:t>. Cytotoxicity is expressed as the percentage of</w:t>
      </w:r>
      <w:r w:rsidRPr="00707292">
        <w:t xml:space="preserve"> </w:t>
      </w:r>
      <w:r>
        <w:t>relative metabolic activity (compared to untreated cells)</w:t>
      </w:r>
      <w:r w:rsidRPr="00707292">
        <w:t xml:space="preserve"> at 100 </w:t>
      </w:r>
      <w:proofErr w:type="spellStart"/>
      <w:r w:rsidRPr="00707292">
        <w:t>μM</w:t>
      </w:r>
      <w:proofErr w:type="spellEnd"/>
      <w:r w:rsidRPr="00707292">
        <w:t xml:space="preserve"> and 200 </w:t>
      </w:r>
      <w:proofErr w:type="spellStart"/>
      <w:r w:rsidRPr="00707292">
        <w:t>μM</w:t>
      </w:r>
      <w:proofErr w:type="spellEnd"/>
      <w:r w:rsidRPr="00707292">
        <w:t xml:space="preserve"> drug concentration after 72 h of continuous drug exposure, presented as mean ± S.D (n=5)</w:t>
      </w:r>
    </w:p>
    <w:p w:rsidR="0008613A" w:rsidRDefault="0008613A" w:rsidP="00B31AEC">
      <w:pPr>
        <w:pStyle w:val="ElsFigureCaption"/>
      </w:pPr>
    </w:p>
    <w:tbl>
      <w:tblPr>
        <w:tblW w:w="0" w:type="auto"/>
        <w:jc w:val="center"/>
        <w:tblCellMar>
          <w:left w:w="0" w:type="dxa"/>
          <w:right w:w="0" w:type="dxa"/>
        </w:tblCellMar>
        <w:tblLook w:val="0420" w:firstRow="1" w:lastRow="0" w:firstColumn="0" w:lastColumn="0" w:noHBand="0" w:noVBand="1"/>
      </w:tblPr>
      <w:tblGrid>
        <w:gridCol w:w="530"/>
        <w:gridCol w:w="758"/>
        <w:gridCol w:w="758"/>
        <w:gridCol w:w="758"/>
        <w:gridCol w:w="758"/>
        <w:gridCol w:w="758"/>
        <w:gridCol w:w="758"/>
        <w:gridCol w:w="758"/>
        <w:gridCol w:w="793"/>
        <w:gridCol w:w="793"/>
        <w:gridCol w:w="758"/>
        <w:gridCol w:w="758"/>
        <w:gridCol w:w="793"/>
      </w:tblGrid>
      <w:tr w:rsidR="00AA2F5D" w:rsidRPr="00BE267C" w:rsidTr="0066706E">
        <w:trPr>
          <w:trHeight w:val="293"/>
          <w:jc w:val="center"/>
        </w:trPr>
        <w:tc>
          <w:tcPr>
            <w:tcW w:w="0" w:type="auto"/>
            <w:vMerge w:val="restart"/>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CTableBody"/>
              <w:jc w:val="left"/>
              <w:rPr>
                <w:b/>
                <w:lang w:val="en-GB" w:eastAsia="en-GB"/>
              </w:rPr>
            </w:pPr>
          </w:p>
        </w:tc>
        <w:tc>
          <w:tcPr>
            <w:tcW w:w="0" w:type="auto"/>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jc w:val="center"/>
              <w:rPr>
                <w:b/>
                <w:lang w:eastAsia="en-GB"/>
              </w:rPr>
            </w:pPr>
            <w:r w:rsidRPr="008E38D1">
              <w:rPr>
                <w:b/>
                <w:lang w:eastAsia="en-GB"/>
              </w:rPr>
              <w:t>HCT 116</w:t>
            </w:r>
          </w:p>
        </w:tc>
        <w:tc>
          <w:tcPr>
            <w:tcW w:w="0" w:type="auto"/>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jc w:val="center"/>
              <w:rPr>
                <w:b/>
                <w:lang w:eastAsia="en-GB"/>
              </w:rPr>
            </w:pPr>
            <w:r w:rsidRPr="008E38D1">
              <w:rPr>
                <w:b/>
                <w:lang w:eastAsia="en-GB"/>
              </w:rPr>
              <w:t>A549</w:t>
            </w:r>
          </w:p>
        </w:tc>
        <w:tc>
          <w:tcPr>
            <w:tcW w:w="0" w:type="auto"/>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jc w:val="center"/>
              <w:rPr>
                <w:b/>
                <w:lang w:eastAsia="en-GB"/>
              </w:rPr>
            </w:pPr>
            <w:r w:rsidRPr="008E38D1">
              <w:rPr>
                <w:b/>
                <w:lang w:eastAsia="en-GB"/>
              </w:rPr>
              <w:t>PC-3</w:t>
            </w:r>
          </w:p>
        </w:tc>
        <w:tc>
          <w:tcPr>
            <w:tcW w:w="0" w:type="auto"/>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jc w:val="center"/>
              <w:rPr>
                <w:b/>
                <w:lang w:eastAsia="en-GB"/>
              </w:rPr>
            </w:pPr>
            <w:r w:rsidRPr="008E38D1">
              <w:rPr>
                <w:b/>
                <w:lang w:eastAsia="en-GB"/>
              </w:rPr>
              <w:t>OVCAR-3</w:t>
            </w:r>
          </w:p>
        </w:tc>
        <w:tc>
          <w:tcPr>
            <w:tcW w:w="0" w:type="auto"/>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jc w:val="center"/>
              <w:rPr>
                <w:b/>
                <w:lang w:eastAsia="en-GB"/>
              </w:rPr>
            </w:pPr>
            <w:r w:rsidRPr="008E38D1">
              <w:rPr>
                <w:b/>
                <w:lang w:eastAsia="en-GB"/>
              </w:rPr>
              <w:t>MCF7</w:t>
            </w:r>
          </w:p>
        </w:tc>
        <w:tc>
          <w:tcPr>
            <w:tcW w:w="0" w:type="auto"/>
            <w:gridSpan w:val="2"/>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jc w:val="center"/>
              <w:rPr>
                <w:b/>
                <w:lang w:eastAsia="en-GB"/>
              </w:rPr>
            </w:pPr>
            <w:r w:rsidRPr="008E38D1">
              <w:rPr>
                <w:b/>
                <w:lang w:eastAsia="en-GB"/>
              </w:rPr>
              <w:t>MDA-MB-231</w:t>
            </w:r>
          </w:p>
        </w:tc>
      </w:tr>
      <w:tr w:rsidR="00AA2F5D" w:rsidRPr="00BE267C" w:rsidTr="0066706E">
        <w:trPr>
          <w:trHeight w:val="293"/>
          <w:jc w:val="center"/>
        </w:trPr>
        <w:tc>
          <w:tcPr>
            <w:tcW w:w="0" w:type="auto"/>
            <w:vMerge/>
            <w:tcBorders>
              <w:bottom w:val="single" w:sz="4" w:space="0" w:color="auto"/>
            </w:tcBorders>
            <w:shd w:val="clear" w:color="auto" w:fill="FFFFFF" w:themeFill="background1"/>
            <w:vAlign w:val="center"/>
            <w:hideMark/>
          </w:tcPr>
          <w:p w:rsidR="00AA2F5D" w:rsidRPr="008E38D1" w:rsidRDefault="00AA2F5D" w:rsidP="0066706E">
            <w:pPr>
              <w:pStyle w:val="TCTableBody"/>
              <w:jc w:val="left"/>
              <w:rPr>
                <w:b/>
                <w:lang w:val="en-GB" w:eastAsia="en-GB"/>
              </w:rPr>
            </w:pP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100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100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100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100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100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100 µM</w:t>
            </w:r>
          </w:p>
        </w:tc>
        <w:tc>
          <w:tcPr>
            <w:tcW w:w="0" w:type="auto"/>
            <w:tcBorders>
              <w:top w:val="single" w:sz="4" w:space="0" w:color="auto"/>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200 µM</w:t>
            </w:r>
          </w:p>
        </w:tc>
      </w:tr>
      <w:tr w:rsidR="00AA2F5D" w:rsidRPr="00BE267C" w:rsidTr="0066706E">
        <w:trPr>
          <w:trHeight w:val="379"/>
          <w:jc w:val="center"/>
        </w:trPr>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21a</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79 </w:t>
            </w:r>
            <w:r>
              <w:rPr>
                <w:lang w:eastAsia="en-GB"/>
              </w:rPr>
              <w:t xml:space="preserve"> </w:t>
            </w:r>
            <w:r w:rsidRPr="00635A79">
              <w:rPr>
                <w:lang w:eastAsia="en-GB"/>
              </w:rPr>
              <w:t>± 2</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27 </w:t>
            </w:r>
            <w:r>
              <w:rPr>
                <w:lang w:eastAsia="en-GB"/>
              </w:rPr>
              <w:t xml:space="preserve"> </w:t>
            </w:r>
            <w:r w:rsidRPr="00635A79">
              <w:rPr>
                <w:lang w:eastAsia="en-GB"/>
              </w:rPr>
              <w:t>± 5</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83 </w:t>
            </w:r>
            <w:r>
              <w:rPr>
                <w:lang w:eastAsia="en-GB"/>
              </w:rPr>
              <w:t xml:space="preserve"> </w:t>
            </w:r>
            <w:r w:rsidRPr="00635A79">
              <w:rPr>
                <w:lang w:eastAsia="en-GB"/>
              </w:rPr>
              <w:t>± 8</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46 </w:t>
            </w:r>
            <w:r>
              <w:rPr>
                <w:lang w:eastAsia="en-GB"/>
              </w:rPr>
              <w:t xml:space="preserve"> </w:t>
            </w:r>
            <w:r w:rsidRPr="00635A79">
              <w:rPr>
                <w:lang w:eastAsia="en-GB"/>
              </w:rPr>
              <w:t>± 7</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82 </w:t>
            </w:r>
            <w:r>
              <w:rPr>
                <w:lang w:eastAsia="en-GB"/>
              </w:rPr>
              <w:t xml:space="preserve"> </w:t>
            </w:r>
            <w:r w:rsidRPr="00635A79">
              <w:rPr>
                <w:lang w:eastAsia="en-GB"/>
              </w:rPr>
              <w:t>± 8</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62 </w:t>
            </w:r>
            <w:r>
              <w:rPr>
                <w:lang w:eastAsia="en-GB"/>
              </w:rPr>
              <w:t xml:space="preserve"> </w:t>
            </w:r>
            <w:r w:rsidRPr="00635A79">
              <w:rPr>
                <w:lang w:eastAsia="en-GB"/>
              </w:rPr>
              <w:t>± 5</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69 </w:t>
            </w:r>
            <w:r>
              <w:rPr>
                <w:lang w:eastAsia="en-GB"/>
              </w:rPr>
              <w:t xml:space="preserve"> </w:t>
            </w:r>
            <w:r w:rsidRPr="00635A79">
              <w:rPr>
                <w:lang w:eastAsia="en-GB"/>
              </w:rPr>
              <w:t>± 5</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59 </w:t>
            </w:r>
            <w:r>
              <w:rPr>
                <w:lang w:eastAsia="en-GB"/>
              </w:rPr>
              <w:t xml:space="preserve"> </w:t>
            </w:r>
            <w:r w:rsidRPr="00635A79">
              <w:rPr>
                <w:lang w:eastAsia="en-GB"/>
              </w:rPr>
              <w:t>± 9</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68 </w:t>
            </w:r>
            <w:r>
              <w:rPr>
                <w:lang w:eastAsia="en-GB"/>
              </w:rPr>
              <w:t xml:space="preserve"> </w:t>
            </w:r>
            <w:r w:rsidRPr="00635A79">
              <w:rPr>
                <w:lang w:eastAsia="en-GB"/>
              </w:rPr>
              <w:t>± 12</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46 </w:t>
            </w:r>
            <w:r>
              <w:rPr>
                <w:lang w:eastAsia="en-GB"/>
              </w:rPr>
              <w:t xml:space="preserve"> </w:t>
            </w:r>
            <w:r w:rsidRPr="00635A79">
              <w:rPr>
                <w:lang w:eastAsia="en-GB"/>
              </w:rPr>
              <w:t>± 5</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72</w:t>
            </w:r>
            <w:r>
              <w:rPr>
                <w:lang w:eastAsia="en-GB"/>
              </w:rPr>
              <w:t xml:space="preserve"> </w:t>
            </w:r>
            <w:r w:rsidRPr="00635A79">
              <w:rPr>
                <w:lang w:eastAsia="en-GB"/>
              </w:rPr>
              <w:t xml:space="preserve"> ± 4</w:t>
            </w:r>
          </w:p>
        </w:tc>
        <w:tc>
          <w:tcPr>
            <w:tcW w:w="0" w:type="auto"/>
            <w:tcBorders>
              <w:top w:val="single" w:sz="4" w:space="0" w:color="auto"/>
            </w:tcBorders>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64 </w:t>
            </w:r>
            <w:r>
              <w:rPr>
                <w:lang w:eastAsia="en-GB"/>
              </w:rPr>
              <w:t xml:space="preserve"> </w:t>
            </w:r>
            <w:r w:rsidRPr="00635A79">
              <w:rPr>
                <w:lang w:eastAsia="en-GB"/>
              </w:rPr>
              <w:t>± 6</w:t>
            </w:r>
          </w:p>
        </w:tc>
      </w:tr>
      <w:tr w:rsidR="00AA2F5D" w:rsidRPr="00BE267C" w:rsidTr="0066706E">
        <w:trPr>
          <w:trHeight w:val="24"/>
          <w:jc w:val="center"/>
        </w:trPr>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21b</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61 </w:t>
            </w:r>
            <w:r>
              <w:rPr>
                <w:lang w:eastAsia="en-GB"/>
              </w:rPr>
              <w:t xml:space="preserve"> </w:t>
            </w:r>
            <w:r w:rsidRPr="00635A79">
              <w:rPr>
                <w:lang w:eastAsia="en-GB"/>
              </w:rPr>
              <w:t>± 8</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23 </w:t>
            </w:r>
            <w:r>
              <w:rPr>
                <w:lang w:eastAsia="en-GB"/>
              </w:rPr>
              <w:t xml:space="preserve"> </w:t>
            </w:r>
            <w:r w:rsidRPr="00635A79">
              <w:rPr>
                <w:lang w:eastAsia="en-GB"/>
              </w:rPr>
              <w:t>± 2</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74 </w:t>
            </w:r>
            <w:r>
              <w:rPr>
                <w:lang w:eastAsia="en-GB"/>
              </w:rPr>
              <w:t xml:space="preserve"> </w:t>
            </w:r>
            <w:r w:rsidRPr="00635A79">
              <w:rPr>
                <w:lang w:eastAsia="en-GB"/>
              </w:rPr>
              <w:t>± 5</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43 </w:t>
            </w:r>
            <w:r>
              <w:rPr>
                <w:lang w:eastAsia="en-GB"/>
              </w:rPr>
              <w:t xml:space="preserve"> </w:t>
            </w:r>
            <w:r w:rsidRPr="00635A79">
              <w:rPr>
                <w:lang w:eastAsia="en-GB"/>
              </w:rPr>
              <w:t>± 5</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69</w:t>
            </w:r>
            <w:r>
              <w:rPr>
                <w:lang w:eastAsia="en-GB"/>
              </w:rPr>
              <w:t xml:space="preserve"> </w:t>
            </w:r>
            <w:r w:rsidRPr="00635A79">
              <w:rPr>
                <w:lang w:eastAsia="en-GB"/>
              </w:rPr>
              <w:t xml:space="preserve"> ± 6</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55 </w:t>
            </w:r>
            <w:r>
              <w:rPr>
                <w:lang w:eastAsia="en-GB"/>
              </w:rPr>
              <w:t xml:space="preserve"> </w:t>
            </w:r>
            <w:r w:rsidRPr="00635A79">
              <w:rPr>
                <w:lang w:eastAsia="en-GB"/>
              </w:rPr>
              <w:t>± 9</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64 </w:t>
            </w:r>
            <w:r>
              <w:rPr>
                <w:lang w:eastAsia="en-GB"/>
              </w:rPr>
              <w:t xml:space="preserve"> </w:t>
            </w:r>
            <w:r w:rsidRPr="00635A79">
              <w:rPr>
                <w:lang w:eastAsia="en-GB"/>
              </w:rPr>
              <w:t>± 7</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47 </w:t>
            </w:r>
            <w:r>
              <w:rPr>
                <w:lang w:eastAsia="en-GB"/>
              </w:rPr>
              <w:t xml:space="preserve"> </w:t>
            </w:r>
            <w:r w:rsidRPr="00635A79">
              <w:rPr>
                <w:lang w:eastAsia="en-GB"/>
              </w:rPr>
              <w:t>± 9</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51 </w:t>
            </w:r>
            <w:r>
              <w:rPr>
                <w:lang w:eastAsia="en-GB"/>
              </w:rPr>
              <w:t xml:space="preserve"> </w:t>
            </w:r>
            <w:r w:rsidRPr="00635A79">
              <w:rPr>
                <w:lang w:eastAsia="en-GB"/>
              </w:rPr>
              <w:t>± 10</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35 </w:t>
            </w:r>
            <w:r>
              <w:rPr>
                <w:lang w:eastAsia="en-GB"/>
              </w:rPr>
              <w:t xml:space="preserve"> </w:t>
            </w:r>
            <w:r w:rsidRPr="00635A79">
              <w:rPr>
                <w:lang w:eastAsia="en-GB"/>
              </w:rPr>
              <w:t>± 7</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77 </w:t>
            </w:r>
            <w:r>
              <w:rPr>
                <w:lang w:eastAsia="en-GB"/>
              </w:rPr>
              <w:t xml:space="preserve"> </w:t>
            </w:r>
            <w:r w:rsidRPr="00635A79">
              <w:rPr>
                <w:lang w:eastAsia="en-GB"/>
              </w:rPr>
              <w:t>± 4</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59</w:t>
            </w:r>
            <w:r>
              <w:rPr>
                <w:lang w:eastAsia="en-GB"/>
              </w:rPr>
              <w:t xml:space="preserve"> </w:t>
            </w:r>
            <w:r w:rsidRPr="00635A79">
              <w:rPr>
                <w:lang w:eastAsia="en-GB"/>
              </w:rPr>
              <w:t xml:space="preserve"> ± 3</w:t>
            </w:r>
          </w:p>
        </w:tc>
      </w:tr>
      <w:tr w:rsidR="00AA2F5D" w:rsidRPr="00BE267C" w:rsidTr="0066706E">
        <w:trPr>
          <w:trHeight w:val="24"/>
          <w:jc w:val="center"/>
        </w:trPr>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21c</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31 </w:t>
            </w:r>
            <w:r>
              <w:rPr>
                <w:lang w:eastAsia="en-GB"/>
              </w:rPr>
              <w:t xml:space="preserve"> </w:t>
            </w:r>
            <w:r w:rsidRPr="00635A79">
              <w:rPr>
                <w:lang w:eastAsia="en-GB"/>
              </w:rPr>
              <w:t>± 4</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5 </w:t>
            </w:r>
            <w:r>
              <w:rPr>
                <w:lang w:eastAsia="en-GB"/>
              </w:rPr>
              <w:t xml:space="preserve">   </w:t>
            </w:r>
            <w:r w:rsidRPr="00635A79">
              <w:rPr>
                <w:lang w:eastAsia="en-GB"/>
              </w:rPr>
              <w:t>± 2</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33 </w:t>
            </w:r>
            <w:r>
              <w:rPr>
                <w:lang w:eastAsia="en-GB"/>
              </w:rPr>
              <w:t xml:space="preserve"> </w:t>
            </w:r>
            <w:r w:rsidRPr="00635A79">
              <w:rPr>
                <w:lang w:eastAsia="en-GB"/>
              </w:rPr>
              <w:t>± 5</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18</w:t>
            </w:r>
            <w:r>
              <w:rPr>
                <w:lang w:eastAsia="en-GB"/>
              </w:rPr>
              <w:t xml:space="preserve"> </w:t>
            </w:r>
            <w:r w:rsidRPr="00635A79">
              <w:rPr>
                <w:lang w:eastAsia="en-GB"/>
              </w:rPr>
              <w:t xml:space="preserve"> ± 7</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61</w:t>
            </w:r>
            <w:r>
              <w:rPr>
                <w:lang w:eastAsia="en-GB"/>
              </w:rPr>
              <w:t xml:space="preserve"> </w:t>
            </w:r>
            <w:r w:rsidRPr="00635A79">
              <w:rPr>
                <w:lang w:eastAsia="en-GB"/>
              </w:rPr>
              <w:t xml:space="preserve"> ± 4</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40 </w:t>
            </w:r>
            <w:r>
              <w:rPr>
                <w:lang w:eastAsia="en-GB"/>
              </w:rPr>
              <w:t xml:space="preserve"> </w:t>
            </w:r>
            <w:r w:rsidRPr="00635A79">
              <w:rPr>
                <w:lang w:eastAsia="en-GB"/>
              </w:rPr>
              <w:t>± 9</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35 </w:t>
            </w:r>
            <w:r>
              <w:rPr>
                <w:lang w:eastAsia="en-GB"/>
              </w:rPr>
              <w:t xml:space="preserve"> </w:t>
            </w:r>
            <w:r w:rsidRPr="00635A79">
              <w:rPr>
                <w:lang w:eastAsia="en-GB"/>
              </w:rPr>
              <w:t>± 2</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16 </w:t>
            </w:r>
            <w:r>
              <w:rPr>
                <w:lang w:eastAsia="en-GB"/>
              </w:rPr>
              <w:t xml:space="preserve"> </w:t>
            </w:r>
            <w:r w:rsidRPr="00635A79">
              <w:rPr>
                <w:lang w:eastAsia="en-GB"/>
              </w:rPr>
              <w:t>± 3</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29 </w:t>
            </w:r>
            <w:r>
              <w:rPr>
                <w:lang w:eastAsia="en-GB"/>
              </w:rPr>
              <w:t xml:space="preserve"> </w:t>
            </w:r>
            <w:r w:rsidRPr="00635A79">
              <w:rPr>
                <w:lang w:eastAsia="en-GB"/>
              </w:rPr>
              <w:t>± 9</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10</w:t>
            </w:r>
            <w:r>
              <w:rPr>
                <w:lang w:eastAsia="en-GB"/>
              </w:rPr>
              <w:t xml:space="preserve"> </w:t>
            </w:r>
            <w:r w:rsidRPr="00635A79">
              <w:rPr>
                <w:lang w:eastAsia="en-GB"/>
              </w:rPr>
              <w:t xml:space="preserve"> ± 5</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62</w:t>
            </w:r>
            <w:r>
              <w:rPr>
                <w:lang w:eastAsia="en-GB"/>
              </w:rPr>
              <w:t xml:space="preserve"> </w:t>
            </w:r>
            <w:r w:rsidRPr="00635A79">
              <w:rPr>
                <w:lang w:eastAsia="en-GB"/>
              </w:rPr>
              <w:t xml:space="preserve"> ± 5</w:t>
            </w:r>
          </w:p>
        </w:tc>
        <w:tc>
          <w:tcPr>
            <w:tcW w:w="0" w:type="auto"/>
            <w:shd w:val="clear" w:color="auto" w:fill="FFFFFF" w:themeFill="background1"/>
            <w:tcMar>
              <w:top w:w="72" w:type="dxa"/>
              <w:left w:w="144" w:type="dxa"/>
              <w:bottom w:w="72" w:type="dxa"/>
              <w:right w:w="144" w:type="dxa"/>
            </w:tcMar>
            <w:vAlign w:val="center"/>
            <w:hideMark/>
          </w:tcPr>
          <w:p w:rsidR="00AA2F5D" w:rsidRPr="00635A79" w:rsidRDefault="00AA2F5D" w:rsidP="0066706E">
            <w:pPr>
              <w:pStyle w:val="TableBody"/>
              <w:rPr>
                <w:lang w:eastAsia="en-GB"/>
              </w:rPr>
            </w:pPr>
            <w:r w:rsidRPr="00635A79">
              <w:rPr>
                <w:lang w:eastAsia="en-GB"/>
              </w:rPr>
              <w:t xml:space="preserve">40 </w:t>
            </w:r>
            <w:r>
              <w:rPr>
                <w:lang w:eastAsia="en-GB"/>
              </w:rPr>
              <w:t xml:space="preserve"> </w:t>
            </w:r>
            <w:r w:rsidRPr="00635A79">
              <w:rPr>
                <w:lang w:eastAsia="en-GB"/>
              </w:rPr>
              <w:t>± 11</w:t>
            </w:r>
          </w:p>
        </w:tc>
      </w:tr>
      <w:tr w:rsidR="00AA2F5D" w:rsidRPr="00BE267C" w:rsidTr="0066706E">
        <w:trPr>
          <w:trHeight w:val="24"/>
          <w:jc w:val="center"/>
        </w:trPr>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21d</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74  ± 3</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42  ± 2</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78  ± 2</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36  ± 7</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72  ± 9</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63  ± 8</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77  ± 5</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61  ± 2</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71  ± 12</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48  ± 5</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75  ± 4</w:t>
            </w:r>
          </w:p>
        </w:tc>
        <w:tc>
          <w:tcPr>
            <w:tcW w:w="0" w:type="auto"/>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65  ± 5</w:t>
            </w:r>
          </w:p>
        </w:tc>
      </w:tr>
      <w:tr w:rsidR="00AA2F5D" w:rsidRPr="00BE267C" w:rsidTr="0066706E">
        <w:trPr>
          <w:trHeight w:val="24"/>
          <w:jc w:val="center"/>
        </w:trPr>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rPr>
                <w:b/>
                <w:lang w:eastAsia="en-GB"/>
              </w:rPr>
            </w:pPr>
            <w:r w:rsidRPr="008E38D1">
              <w:rPr>
                <w:b/>
                <w:lang w:eastAsia="en-GB"/>
              </w:rPr>
              <w:t>21e</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72  ± 4</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49  ± 6</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78  ± 5</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46  ± 6</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83  ± 5</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73  ± 7</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63  ± 9</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57  ± 10</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67  ± 10</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39  ± 4</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76  ± 9</w:t>
            </w:r>
          </w:p>
        </w:tc>
        <w:tc>
          <w:tcPr>
            <w:tcW w:w="0" w:type="auto"/>
            <w:tcBorders>
              <w:bottom w:val="single" w:sz="4" w:space="0" w:color="auto"/>
            </w:tcBorders>
            <w:shd w:val="clear" w:color="auto" w:fill="FFFFFF" w:themeFill="background1"/>
            <w:tcMar>
              <w:top w:w="72" w:type="dxa"/>
              <w:left w:w="144" w:type="dxa"/>
              <w:bottom w:w="72" w:type="dxa"/>
              <w:right w:w="144" w:type="dxa"/>
            </w:tcMar>
            <w:vAlign w:val="center"/>
            <w:hideMark/>
          </w:tcPr>
          <w:p w:rsidR="00AA2F5D" w:rsidRPr="008E38D1" w:rsidRDefault="00AA2F5D" w:rsidP="0066706E">
            <w:pPr>
              <w:pStyle w:val="TableBody"/>
            </w:pPr>
            <w:r w:rsidRPr="008E38D1">
              <w:t>63  ± 8</w:t>
            </w:r>
          </w:p>
        </w:tc>
      </w:tr>
    </w:tbl>
    <w:p w:rsidR="00AA2F5D" w:rsidRDefault="00AA2F5D" w:rsidP="00AA2F5D">
      <w:pPr>
        <w:pStyle w:val="ElsFigureCaption"/>
        <w:rPr>
          <w:noProof/>
          <w:lang w:eastAsia="en-GB"/>
        </w:rPr>
      </w:pPr>
    </w:p>
    <w:p w:rsidR="00AA2F5D" w:rsidRDefault="00AA2F5D" w:rsidP="00AA2F5D">
      <w:pPr>
        <w:pStyle w:val="ElsFigureCaption"/>
        <w:rPr>
          <w:noProof/>
          <w:lang w:eastAsia="en-GB"/>
        </w:rPr>
      </w:pPr>
    </w:p>
    <w:p w:rsidR="00B31AEC" w:rsidRDefault="00B31AEC" w:rsidP="00AA2F5D">
      <w:pPr>
        <w:pStyle w:val="ElsFigureCaption"/>
        <w:rPr>
          <w:noProof/>
          <w:lang w:eastAsia="en-GB"/>
        </w:rPr>
      </w:pPr>
    </w:p>
    <w:p w:rsidR="00B31AEC" w:rsidRDefault="00B31AEC" w:rsidP="00AA2F5D">
      <w:pPr>
        <w:pStyle w:val="ElsFigureCaption"/>
        <w:rPr>
          <w:noProof/>
          <w:lang w:eastAsia="en-GB"/>
        </w:rPr>
      </w:pPr>
      <w:r w:rsidRPr="00A72F8F">
        <w:rPr>
          <w:noProof/>
          <w:lang w:val="en-GB" w:eastAsia="en-GB"/>
        </w:rPr>
        <w:drawing>
          <wp:anchor distT="0" distB="0" distL="114300" distR="114300" simplePos="0" relativeHeight="251683328" behindDoc="0" locked="0" layoutInCell="1" allowOverlap="1" wp14:anchorId="31B8FE33" wp14:editId="20FCB4B5">
            <wp:simplePos x="0" y="0"/>
            <wp:positionH relativeFrom="column">
              <wp:align>center</wp:align>
            </wp:positionH>
            <wp:positionV relativeFrom="paragraph">
              <wp:posOffset>141605</wp:posOffset>
            </wp:positionV>
            <wp:extent cx="6120000" cy="1944000"/>
            <wp:effectExtent l="0" t="0" r="0" b="0"/>
            <wp:wrapTopAndBottom/>
            <wp:docPr id="10" name="Picture 10" descr="C:\Users\lawrensb\Desktop\oreillyr-sbl\Papers\2020 - Spirocycles\Data mangement\Cell data\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wrensb\Desktop\oreillyr-sbl\Papers\2020 - Spirocycles\Data mangement\Cell data\Figur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0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1AEC" w:rsidRDefault="00B31AEC" w:rsidP="00B31AEC">
      <w:pPr>
        <w:pStyle w:val="ElsFigureCaption"/>
      </w:pPr>
      <w:r>
        <w:rPr>
          <w:b/>
        </w:rPr>
        <w:t>F</w:t>
      </w:r>
      <w:r w:rsidRPr="002055C5">
        <w:rPr>
          <w:b/>
        </w:rPr>
        <w:t>igure</w:t>
      </w:r>
      <w:r>
        <w:rPr>
          <w:b/>
        </w:rPr>
        <w:t xml:space="preserve"> </w:t>
      </w:r>
      <w:r w:rsidRPr="00C70064">
        <w:rPr>
          <w:b/>
          <w:iCs/>
        </w:rPr>
        <w:t>4</w:t>
      </w:r>
      <w:r w:rsidRPr="00C70064">
        <w:rPr>
          <w:b/>
        </w:rPr>
        <w:t>.</w:t>
      </w:r>
      <w:r w:rsidRPr="00C97412">
        <w:t xml:space="preserve"> A</w:t>
      </w:r>
      <w:r>
        <w:t>.</w:t>
      </w:r>
      <w:r w:rsidRPr="00C97412">
        <w:t xml:space="preserve"> Representative </w:t>
      </w:r>
      <w:proofErr w:type="gramStart"/>
      <w:r w:rsidRPr="00C97412">
        <w:t>cytotoxicity</w:t>
      </w:r>
      <w:proofErr w:type="gramEnd"/>
      <w:r w:rsidRPr="00C97412">
        <w:t xml:space="preserve"> profiles of compounds </w:t>
      </w:r>
      <w:r w:rsidRPr="00F822E4">
        <w:rPr>
          <w:b/>
        </w:rPr>
        <w:t>21a–e</w:t>
      </w:r>
      <w:r w:rsidRPr="00C97412">
        <w:t xml:space="preserve"> in HCT 116 cells over 24, 48 and 72h as assessed by the </w:t>
      </w:r>
      <w:proofErr w:type="spellStart"/>
      <w:r w:rsidRPr="00C97412">
        <w:t>PrestoBlue</w:t>
      </w:r>
      <w:proofErr w:type="spellEnd"/>
      <w:r w:rsidRPr="00C97412">
        <w:t xml:space="preserve"> metabolic assay, B</w:t>
      </w:r>
      <w:r>
        <w:t>. D</w:t>
      </w:r>
      <w:r w:rsidRPr="00C97412">
        <w:t xml:space="preserve">ose-response curves of compound </w:t>
      </w:r>
      <w:r w:rsidRPr="00F822E4">
        <w:rPr>
          <w:b/>
        </w:rPr>
        <w:t>21c</w:t>
      </w:r>
      <w:r w:rsidRPr="00C97412">
        <w:t xml:space="preserve"> in all cell lines</w:t>
      </w:r>
      <w:r>
        <w:t xml:space="preserve">. </w:t>
      </w:r>
      <w:r w:rsidRPr="00B424E9">
        <w:t>Data are presented as mean ± S.D (n=4).</w:t>
      </w:r>
      <w:r w:rsidRPr="00C97412">
        <w:t xml:space="preserve"> C</w:t>
      </w:r>
      <w:r>
        <w:t>.</w:t>
      </w:r>
      <w:r w:rsidRPr="00C97412">
        <w:rPr>
          <w:b/>
        </w:rPr>
        <w:t xml:space="preserve"> </w:t>
      </w:r>
      <w:r w:rsidRPr="00C97412">
        <w:t xml:space="preserve">DLS traces of compounds </w:t>
      </w:r>
      <w:r w:rsidRPr="00F822E4">
        <w:rPr>
          <w:b/>
        </w:rPr>
        <w:t>21a–e</w:t>
      </w:r>
      <w:r w:rsidRPr="00C97412">
        <w:t xml:space="preserve"> showing the presence of well-defined nanoaggregates in </w:t>
      </w:r>
      <w:proofErr w:type="spellStart"/>
      <w:r w:rsidRPr="00C97412">
        <w:t>milliQ</w:t>
      </w:r>
      <w:proofErr w:type="spellEnd"/>
      <w:r w:rsidRPr="00C97412">
        <w:t xml:space="preserve"> water (concentration 125 µg/mL).</w:t>
      </w:r>
    </w:p>
    <w:p w:rsidR="00AA2F5D" w:rsidRDefault="00AA2F5D" w:rsidP="00AA2F5D">
      <w:pPr>
        <w:pStyle w:val="ElsFigureCaption"/>
        <w:rPr>
          <w:noProof/>
          <w:lang w:eastAsia="en-GB"/>
        </w:rPr>
      </w:pPr>
    </w:p>
    <w:p w:rsidR="00AA2F5D" w:rsidRDefault="00AA2F5D" w:rsidP="00AA2F5D">
      <w:pPr>
        <w:pStyle w:val="ElsFigureCaption"/>
        <w:rPr>
          <w:noProof/>
          <w:lang w:eastAsia="en-GB"/>
        </w:rPr>
        <w:sectPr w:rsidR="00AA2F5D" w:rsidSect="00AA2F5D">
          <w:type w:val="continuous"/>
          <w:pgSz w:w="11906" w:h="16838" w:code="9"/>
          <w:pgMar w:top="964" w:right="766" w:bottom="1242" w:left="766" w:header="720" w:footer="238" w:gutter="0"/>
          <w:cols w:space="360"/>
        </w:sectPr>
      </w:pPr>
    </w:p>
    <w:p w:rsidR="00B31AEC" w:rsidRDefault="00B31AEC" w:rsidP="00B31AEC">
      <w:pPr>
        <w:pStyle w:val="ElsParagraph"/>
      </w:pPr>
      <w:r>
        <w:t xml:space="preserve">Given the structural similarity of the two most active compounds to traditional surfactant molecules, </w:t>
      </w:r>
      <w:r w:rsidRPr="00DB1A99">
        <w:rPr>
          <w:i/>
        </w:rPr>
        <w:t>i.e.</w:t>
      </w:r>
      <w:r>
        <w:t xml:space="preserve"> the presence of a polar head group and aliphatic sidechain, it was hypothesized that this could be the cause of the enhanced cytotoxicity of </w:t>
      </w:r>
      <w:r w:rsidRPr="00815A2B">
        <w:rPr>
          <w:b/>
        </w:rPr>
        <w:t>21b-c</w:t>
      </w:r>
      <w:r>
        <w:t xml:space="preserve"> over the other lead-like compounds. Many surfactants have toxicological effects on cells as a result of hydrocarbon chain insertion into lipid bilayers, causing perturbation of cell membranes and lysis, which is typically a function of hydrocarbon chain length and critical micelle/aggregation concentration (CMC/CAC</w:t>
      </w:r>
      <w:r w:rsidRPr="009029B6">
        <w:t>).</w:t>
      </w:r>
      <w:r w:rsidRPr="009029B6">
        <w:fldChar w:fldCharType="begin" w:fldLock="1"/>
      </w:r>
      <w:r w:rsidR="00BA4B30">
        <w:instrText>ADDIN CSL_CITATION {"citationItems":[{"id":"ITEM-1","itemData":{"DOI":"10.1016/j.colsurfb.2016.04.044","ISSN":"09277765","abstract":"Surfactants derived from the biorefinery process can present interesting surface-active properties, low cytotoxicity, high biocompatibility and biodegradability. They are therefore considered as potential sustainable substitutes to currently used petroleum-based surfactants. To better understand and anticipate their performances, structure-property relationships need to be carefully investigated. For this reason, we applied a multidisciplinary approach to systematically explore the effect of subtle structural variations on both physico-chemical properties and biological effects. Four sugar-based surfactants, each with an eight carbon alkyl chain bound to a glucose or maltose head group by an amide linkage, were synthesized and evaluated together along with two commercially available standard surfactants. Physico-chemical properties including solubility, Krafft point, surface-tension lowering and critical micellar concentration (CMC) in water and biological medium were explored. Cytotoxicity evaluation by measuring proliferation index and metabolic activity against dermal fibroblasts showed that all surfactants studied may induce cell death at low concentrations (below their CMC). Results revealed significant differences in both physico-chemical properties and cytotoxic effects depending on molecule structural features, such as the position of the linkage on the sugar head-group, or the orientation of the amide linkage. Furthermore, the cytotoxic response increased with the reduction of surfactant CMC. This study underscores the relevance of a methodical and multidisciplinary approach that enables the consideration of surfactant solution properties when applied to biological materials. Overall, our results will contribute to a better understanding of the concomitant impact of surfactant structure at physico-chemical and biological levels.","author":[{"dropping-particle":"","family":"Lu","given":"Biao","non-dropping-particle":"","parse-names":false,"suffix":""},{"dropping-particle":"","family":"Vayssade","given":"Muriel","non-dropping-particle":"","parse-names":false,"suffix":""},{"dropping-particle":"","family":"Miao","given":"Yong","non-dropping-particle":"","parse-names":false,"suffix":""},{"dropping-particle":"","family":"Chagnault","given":"Vincent","non-dropping-particle":"","parse-names":false,"suffix":""},{"dropping-particle":"","family":"Grand","given":"Eric","non-dropping-particle":"","parse-names":false,"suffix":""},{"dropping-particle":"","family":"Wadouachi","given":"Anne","non-dropping-particle":"","parse-names":false,"suffix":""},{"dropping-particle":"","family":"Postel","given":"Denis","non-dropping-particle":"","parse-names":false,"suffix":""},{"dropping-particle":"","family":"Drelich","given":"Audrey","non-dropping-particle":"","parse-names":false,"suffix":""},{"dropping-particle":"","family":"Egles","given":"Christophe","non-dropping-particle":"","parse-names":false,"suffix":""},{"dropping-particle":"","family":"Pezron","given":"Isabelle","non-dropping-particle":"","parse-names":false,"suffix":""}],"container-title":"Colloids and Surfaces B: Biointerfaces","id":"ITEM-1","issued":{"date-parts":[["2016","9","1"]]},"page":"79-86","publisher":"Elsevier","title":"Physico-chemical properties and cytotoxic effects of sugar-based surfactants: Impact of structural variations","type":"article-journal","volume":"145"},"uris":["http://www.mendeley.com/documents/?uuid=251ed741-e268-309e-9e25-6cc41647e0ef"]},{"id":"ITEM-2","itemData":{"DOI":"10.1016/j.ejpb.2016.09.015","ISSN":"09396411","abstract":"Toxicity is one of the main concerns limiting the use of surfactants. Many efforts have been devoted to the development of new amphiphilic molecules characterized by a lower toxicological profile and environmental impact. N-acyl amino acids are a class of anionic surfactants that can find applications in different technological fields as an alternative to sulphate-based surfactants (e.g., sodium dodecyl sulphate). The understanding of the relationship between chemical structure and toxicological profile is fundamental for the disclosure of the full potential of these amphiphiles. With this aim, two series of N-acyl surfactants, with different length of the hydrophobic tails and serine or alanine as polar head, were synthesized and fully characterized. The correlation between the surface and toxicological parameters allowed highlighting the role exerted by the length of the hydrocarbon chain and the polar head on cytotoxicity. The length of the hydrocarbon chain mainly influences surface properties and toxicological parameters, while the amino acid polar head may play a key role only on cellular toxicity. Overall, our data suggest that minor differences in the polar head, not significantly affecting CMC values, may have an impact on cytotoxicity.","author":[{"dropping-particle":"","family":"Perinelli","given":"Diego Romano","non-dropping-particle":"","parse-names":false,"suffix":""},{"dropping-particle":"","family":"Cespi","given":"Marco","non-dropping-particle":"","parse-names":false,"suffix":""},{"dropping-particle":"","family":"Casettari","given":"Luca","non-dropping-particle":"","parse-names":false,"suffix":""},{"dropping-particle":"","family":"Vllasaliu","given":"Driton","non-dropping-particle":"","parse-names":false,"suffix":""},{"dropping-particle":"","family":"Cangiotti","given":"Michela","non-dropping-particle":"","parse-names":false,"suffix":""},{"dropping-particle":"","family":"Ottaviani","given":"Maria Francesca","non-dropping-particle":"","parse-names":false,"suffix":""},{"dropping-particle":"","family":"Giorgioni","given":"Gianfabio","non-dropping-particle":"","parse-names":false,"suffix":""},{"dropping-particle":"","family":"Bonacucina","given":"Giulia","non-dropping-particle":"","parse-names":false,"suffix":""},{"dropping-particle":"","family":"Palmieri","given":"Giovanni Filippo","non-dropping-particle":"","parse-names":false,"suffix":""}],"container-title":"European Journal of Pharmaceutics and Biopharmaceutics","id":"ITEM-2","issued":{"date-parts":[["2016","12","1"]]},"page":"93-102","publisher":"Elsevier B.V.","title":"Correlation among chemical structure, surface properties and cytotoxicity of N-acyl alanine and serine surfactants","type":"article-journal","volume":"109"},"uris":["http://www.mendeley.com/documents/?uuid=77069dd0-2477-3fc2-a1f4-964fdfba9068"]}],"mendeley":{"formattedCitation":"&lt;sup&gt;54,55&lt;/sup&gt;","plainTextFormattedCitation":"54,55","previouslyFormattedCitation":"&lt;sup&gt;54,55&lt;/sup&gt;"},"properties":{"noteIndex":0},"schema":"https://github.com/citation-style-language/schema/raw/master/csl-citation.json"}</w:instrText>
      </w:r>
      <w:r w:rsidRPr="009029B6">
        <w:fldChar w:fldCharType="separate"/>
      </w:r>
      <w:r w:rsidR="00BA4B30" w:rsidRPr="00BA4B30">
        <w:rPr>
          <w:noProof/>
          <w:vertAlign w:val="superscript"/>
        </w:rPr>
        <w:t>54,55</w:t>
      </w:r>
      <w:r w:rsidRPr="009029B6">
        <w:fldChar w:fldCharType="end"/>
      </w:r>
      <w:r w:rsidRPr="009029B6">
        <w:t xml:space="preserve"> </w:t>
      </w:r>
      <w:proofErr w:type="gramStart"/>
      <w:r>
        <w:t>The</w:t>
      </w:r>
      <w:proofErr w:type="gramEnd"/>
      <w:r>
        <w:t xml:space="preserve"> l</w:t>
      </w:r>
      <w:r w:rsidRPr="00AA1B72">
        <w:t xml:space="preserve">actate dehydrogenase (LDH) </w:t>
      </w:r>
      <w:r>
        <w:t>c</w:t>
      </w:r>
      <w:r w:rsidRPr="00AA1B72">
        <w:t>ytotoxicity colorimetric</w:t>
      </w:r>
      <w:r>
        <w:t xml:space="preserve"> a</w:t>
      </w:r>
      <w:r w:rsidRPr="00AA1B72">
        <w:t xml:space="preserve">ssay </w:t>
      </w:r>
      <w:r>
        <w:t>was employed t</w:t>
      </w:r>
      <w:r w:rsidRPr="009029B6">
        <w:t>o</w:t>
      </w:r>
      <w:r>
        <w:t xml:space="preserve"> assess this, as </w:t>
      </w:r>
      <w:r w:rsidRPr="00AA1B72">
        <w:t xml:space="preserve">a reliable method for </w:t>
      </w:r>
      <w:r>
        <w:t xml:space="preserve">measuring release of the </w:t>
      </w:r>
      <w:r w:rsidRPr="00AA1B72">
        <w:t xml:space="preserve">cytosolic enzyme </w:t>
      </w:r>
      <w:r>
        <w:t xml:space="preserve">LDH </w:t>
      </w:r>
      <w:r w:rsidRPr="00AA1B72">
        <w:t xml:space="preserve">into the cell culture medium upon </w:t>
      </w:r>
      <w:r>
        <w:t xml:space="preserve">any </w:t>
      </w:r>
      <w:r w:rsidRPr="00AA1B72">
        <w:t xml:space="preserve">damage to the </w:t>
      </w:r>
      <w:r>
        <w:t xml:space="preserve">cell </w:t>
      </w:r>
      <w:r w:rsidRPr="00AA1B72">
        <w:t>plasma membrane</w:t>
      </w:r>
      <w:r>
        <w:t xml:space="preserve">. Surprisingly, no LDH release was observed after 48h incubation at the highest concentration of 200 </w:t>
      </w:r>
      <w:r>
        <w:rPr>
          <w:rFonts w:cs="Times"/>
        </w:rPr>
        <w:t>µ</w:t>
      </w:r>
      <w:r>
        <w:t>M in A549 cells as a representative experiment (</w:t>
      </w:r>
      <w:r w:rsidRPr="00815A2B">
        <w:rPr>
          <w:b/>
        </w:rPr>
        <w:t>Figure S109</w:t>
      </w:r>
      <w:r>
        <w:t xml:space="preserve">), indicating that no cell membrane lysis was occurring. To further verify this result, as it is reported that surfactant toxicity is significantly heightened at concentrations lower than the CMC/CAC, the propensity of compounds </w:t>
      </w:r>
      <w:r w:rsidRPr="00E322B3">
        <w:rPr>
          <w:b/>
        </w:rPr>
        <w:t>21a–e</w:t>
      </w:r>
      <w:r>
        <w:t xml:space="preserve"> to first self-assemble, and then the concentration at which this occurred, was assessed using a dynamic light scattering (DLS) method</w:t>
      </w:r>
      <w:r w:rsidRPr="009029B6">
        <w:t>.</w:t>
      </w:r>
      <w:r w:rsidRPr="009029B6">
        <w:fldChar w:fldCharType="begin" w:fldLock="1"/>
      </w:r>
      <w:r w:rsidR="00BA4B30">
        <w:instrText>ADDIN CSL_CITATION {"citationItems":[{"id":"ITEM-1","itemData":{"DOI":"10.1016/0006-2952(90)90399-6","ISSN":"00062952","abstract":"The effects of a variety of detergents (non-ionic, ionic and bile derivatives) on B16 melanoma cells have been examined. Two main effects can be clearly differentiated: loss of cell viability and cell lysis. Under our conditions, cell-surfactant interaction is highly dependent on the nature of the amphiphile (more specifically, on its critical micellar concentration). Loss of cell viability occurs at surfactant concentrations below the critical micellar concentration, i.e. the incorporation of detergent monomers into the cell membranes is enough to impair their barrier function, so that Trypan Blue is no longer actively secreted outside the cell. On the other hand, cell lysis only occurs at or near the critical micellar concentration of the detergent, i.e. when the bilayer-micelle transition may take place. Comparative studies using B16 cells and phospholipid vesicles indicate that the amount of detergent required to induce cell lysis is the same that produces disruption of the lipid bilayer. Thus, our results suggest that membranes are the primary target for the toxicologie effects of surfactants on cells. Moreover, they provide a rationale for the interpretation of other studies in this field: previous results from different laboratories are shown to fit very well our data. © 1990.","author":[{"dropping-particle":"","family":"Partearroyo","given":"M.Aránzazu","non-dropping-particle":"","parse-names":false,"suffix":""},{"dropping-particle":"","family":"Ostolaza","given":"Helena","non-dropping-particle":"","parse-names":false,"suffix":""},{"dropping-particle":"","family":"Goñi","given":"Félix M.","non-dropping-particle":"","parse-names":false,"suffix":""},{"dropping-particle":"","family":"Barberá-Guillem","given":"Emilio","non-dropping-particle":"","parse-names":false,"suffix":""}],"container-title":"Biochemical Pharmacology","id":"ITEM-1","issue":"6","issued":{"date-parts":[["1990","9","15"]]},"page":"1323-1328","title":"Surfactant-induced cell toxicity and cell lysis","type":"article-journal","volume":"40"},"uris":["http://www.mendeley.com/documents/?uuid=783b593b-1207-310f-ad8f-d30a418051e9"]}],"mendeley":{"formattedCitation":"&lt;sup&gt;56&lt;/sup&gt;","plainTextFormattedCitation":"56","previouslyFormattedCitation":"&lt;sup&gt;56&lt;/sup&gt;"},"properties":{"noteIndex":0},"schema":"https://github.com/citation-style-language/schema/raw/master/csl-citation.json"}</w:instrText>
      </w:r>
      <w:r w:rsidRPr="009029B6">
        <w:fldChar w:fldCharType="separate"/>
      </w:r>
      <w:r w:rsidR="00BA4B30" w:rsidRPr="00BA4B30">
        <w:rPr>
          <w:noProof/>
          <w:vertAlign w:val="superscript"/>
        </w:rPr>
        <w:t>56</w:t>
      </w:r>
      <w:r w:rsidRPr="009029B6">
        <w:fldChar w:fldCharType="end"/>
      </w:r>
      <w:r>
        <w:t xml:space="preserve"> In accordance with our hypothesis, all compounds were confirmed to form nanoaggregates in aqueous solution of a size range 100–120 nm (</w:t>
      </w:r>
      <w:r w:rsidRPr="00E322B3">
        <w:rPr>
          <w:b/>
        </w:rPr>
        <w:t>Figure 4C</w:t>
      </w:r>
      <w:r>
        <w:t>), and with CAC values dependent upon sidechain chemistry (</w:t>
      </w:r>
      <w:r w:rsidRPr="00E322B3">
        <w:rPr>
          <w:b/>
        </w:rPr>
        <w:t>Figure S110, Table S1</w:t>
      </w:r>
      <w:r>
        <w:t>). The calculated CAC values confirmed that the LDH assay had been performed both above and below CAC values, and therefore that there was no influence of this parameter on targeted toxicity against cell membranes.</w:t>
      </w:r>
      <w:r w:rsidR="00611E52">
        <w:t xml:space="preserve"> </w:t>
      </w:r>
      <w:r>
        <w:t xml:space="preserve">Interestingly, given the important role of surfactants for the formulation of poorly soluble </w:t>
      </w:r>
      <w:r w:rsidRPr="009029B6">
        <w:t>drugs,</w:t>
      </w:r>
      <w:r w:rsidRPr="009029B6">
        <w:fldChar w:fldCharType="begin" w:fldLock="1"/>
      </w:r>
      <w:r w:rsidR="00BA4B30">
        <w:instrText>ADDIN CSL_CITATION {"citationItems":[{"id":"ITEM-1","itemData":{"DOI":"10.1039/cs9942300417","ISSN":"0306-0012","abstract":"No abstract available","author":[{"dropping-particle":"","family":"Lawrence","given":"M. Jayne","non-dropping-particle":"","parse-names":false,"suffix":""}],"container-title":"Chemical Society Reviews","id":"ITEM-1","issue":"6","issued":{"date-parts":[["1994","1","1"]]},"page":"417","publisher":"The Royal Society of Chemistry","title":"Surfactant systems: their use in drug delivery","type":"article-journal","volume":"23"},"uris":["http://www.mendeley.com/documents/?uuid=2bebe08f-bafa-336a-8c11-373b07a6388c"]}],"mendeley":{"formattedCitation":"&lt;sup&gt;57&lt;/sup&gt;","plainTextFormattedCitation":"57","previouslyFormattedCitation":"&lt;sup&gt;57&lt;/sup&gt;"},"properties":{"noteIndex":0},"schema":"https://github.com/citation-style-language/schema/raw/master/csl-citation.json"}</w:instrText>
      </w:r>
      <w:r w:rsidRPr="009029B6">
        <w:fldChar w:fldCharType="separate"/>
      </w:r>
      <w:r w:rsidR="00BA4B30" w:rsidRPr="00BA4B30">
        <w:rPr>
          <w:noProof/>
          <w:vertAlign w:val="superscript"/>
        </w:rPr>
        <w:t>57</w:t>
      </w:r>
      <w:r w:rsidRPr="009029B6">
        <w:fldChar w:fldCharType="end"/>
      </w:r>
      <w:r>
        <w:t xml:space="preserve"> these findings crucially highlight the potential of these compounds as “active” surfactants for formulation of a second drug, in order to achieve combination therapies, target different mechanisms of action and prevent drug resistance</w:t>
      </w:r>
      <w:r w:rsidRPr="009029B6">
        <w:t>.</w:t>
      </w:r>
      <w:r w:rsidRPr="009029B6">
        <w:fldChar w:fldCharType="begin" w:fldLock="1"/>
      </w:r>
      <w:r w:rsidR="00BA4B30">
        <w:instrText>ADDIN CSL_CITATION {"citationItems":[{"id":"ITEM-1","itemData":{"DOI":"10.1021/nn405674m","ISSN":"1936-0851","abstract":"Nanoparticles have recently emerged as a promising class of carriers for the co-delivery of multiple drugs. Combination therapies of small-molecule drugs are common in clinical practice, and it is anticipated that packaging into single macromolecular carriers will enable drug release in precisely balanced ratios and rates and in selectively targeted tissues and cells. This vast level of pharmacological control is intriguing, especially from the perspective of tailoring personalized treatments with maximized therapeutic synergy for individual patients. Here, we discuss promising formulations and opportunities to employ advanced screening tools and new animal models of disease that can improve chances for successful clinical translation. © 2013 American Chemical Society.","author":[{"dropping-particle":"","family":"Ma","given":"Liang","non-dropping-particle":"","parse-names":false,"suffix":""},{"dropping-particle":"","family":"Kohli","given":"Manish","non-dropping-particle":"","parse-names":false,"suffix":""},{"dropping-particle":"","family":"Smith","given":"Andrew","non-dropping-particle":"","parse-names":false,"suffix":""}],"container-title":"ACS Nano","id":"ITEM-1","issue":"11","issued":{"date-parts":[["2013","11","26"]]},"page":"9518-9525","publisher":"American Chemical Society","title":"Nanoparticles for Combination Drug Therapy","type":"article-journal","volume":"7"},"uris":["http://www.mendeley.com/documents/?uuid=cb982df2-7db3-3965-9c7b-1bea2f8530ef"]}],"mendeley":{"formattedCitation":"&lt;sup&gt;58&lt;/sup&gt;","plainTextFormattedCitation":"58","previouslyFormattedCitation":"&lt;sup&gt;58&lt;/sup&gt;"},"properties":{"noteIndex":0},"schema":"https://github.com/citation-style-language/schema/raw/master/csl-citation.json"}</w:instrText>
      </w:r>
      <w:r w:rsidRPr="009029B6">
        <w:fldChar w:fldCharType="separate"/>
      </w:r>
      <w:r w:rsidR="00BA4B30" w:rsidRPr="00BA4B30">
        <w:rPr>
          <w:noProof/>
          <w:vertAlign w:val="superscript"/>
        </w:rPr>
        <w:t>58</w:t>
      </w:r>
      <w:r w:rsidRPr="009029B6">
        <w:fldChar w:fldCharType="end"/>
      </w:r>
      <w:r>
        <w:t xml:space="preserve">  </w:t>
      </w:r>
    </w:p>
    <w:p w:rsidR="00F55E6C" w:rsidRDefault="00F55E6C" w:rsidP="00F55E6C">
      <w:pPr>
        <w:pStyle w:val="ElsParagraph"/>
      </w:pPr>
      <w:r w:rsidRPr="002740E3">
        <w:rPr>
          <w:bCs/>
        </w:rPr>
        <w:t xml:space="preserve">Finally, on the basis of these positive observations and due to the potency of </w:t>
      </w:r>
      <w:r w:rsidRPr="002740E3">
        <w:rPr>
          <w:b/>
          <w:bCs/>
        </w:rPr>
        <w:t>21c</w:t>
      </w:r>
      <w:r w:rsidRPr="002740E3">
        <w:t xml:space="preserve">, further biological analysis </w:t>
      </w:r>
      <w:r>
        <w:t>was performed to determine the E</w:t>
      </w:r>
      <w:r w:rsidRPr="002740E3">
        <w:t>C</w:t>
      </w:r>
      <w:r w:rsidRPr="002740E3">
        <w:rPr>
          <w:vertAlign w:val="subscript"/>
        </w:rPr>
        <w:t xml:space="preserve">50 </w:t>
      </w:r>
      <w:r w:rsidRPr="002740E3">
        <w:t>concentration</w:t>
      </w:r>
      <w:r>
        <w:t xml:space="preserve"> in all the tested cell lines. E</w:t>
      </w:r>
      <w:r w:rsidRPr="002740E3">
        <w:t>C</w:t>
      </w:r>
      <w:r w:rsidRPr="002740E3">
        <w:rPr>
          <w:vertAlign w:val="subscript"/>
        </w:rPr>
        <w:t>50</w:t>
      </w:r>
      <w:r w:rsidRPr="002740E3">
        <w:t xml:space="preserve"> values were determined after 48h incubation and the results are shown in </w:t>
      </w:r>
      <w:r w:rsidRPr="002740E3">
        <w:rPr>
          <w:b/>
        </w:rPr>
        <w:t>Figure 4</w:t>
      </w:r>
      <w:r w:rsidRPr="002740E3">
        <w:t xml:space="preserve">, </w:t>
      </w:r>
      <w:r w:rsidRPr="002740E3">
        <w:rPr>
          <w:b/>
        </w:rPr>
        <w:t>Figures S111–S116</w:t>
      </w:r>
      <w:r w:rsidRPr="002740E3">
        <w:rPr>
          <w:b/>
          <w:bCs/>
        </w:rPr>
        <w:t xml:space="preserve"> </w:t>
      </w:r>
      <w:r w:rsidRPr="002740E3">
        <w:t>and</w:t>
      </w:r>
      <w:r w:rsidRPr="002740E3">
        <w:rPr>
          <w:b/>
          <w:bCs/>
        </w:rPr>
        <w:t xml:space="preserve"> </w:t>
      </w:r>
      <w:r w:rsidRPr="002740E3">
        <w:rPr>
          <w:b/>
        </w:rPr>
        <w:t>Table 2</w:t>
      </w:r>
      <w:r w:rsidRPr="002740E3">
        <w:t xml:space="preserve">. All values were less than 100 </w:t>
      </w:r>
      <w:r w:rsidRPr="002740E3">
        <w:rPr>
          <w:rFonts w:cs="Times"/>
        </w:rPr>
        <w:t>µ</w:t>
      </w:r>
      <w:r w:rsidRPr="002740E3">
        <w:t>M and followed the same trend as the initial cytotoxic</w:t>
      </w:r>
      <w:r>
        <w:t>ity assays, whereby the lowest E</w:t>
      </w:r>
      <w:r w:rsidRPr="002740E3">
        <w:t>C</w:t>
      </w:r>
      <w:r w:rsidRPr="002740E3">
        <w:rPr>
          <w:vertAlign w:val="subscript"/>
        </w:rPr>
        <w:t xml:space="preserve">50 </w:t>
      </w:r>
      <w:r w:rsidRPr="002740E3">
        <w:t>values were observed in HCT 116 cells (56</w:t>
      </w:r>
      <w:r w:rsidRPr="002740E3">
        <w:rPr>
          <w:rFonts w:cs="Times"/>
        </w:rPr>
        <w:t xml:space="preserve"> µ</w:t>
      </w:r>
      <w:r w:rsidRPr="002740E3">
        <w:t xml:space="preserve">M). Overall, the biological assays, in </w:t>
      </w:r>
      <w:r w:rsidRPr="002740E3">
        <w:t>agreement with the LLAMA predictions, confirmed that molecules based on the spirocyclic imide scaffold described here show potential as active agents or excipients for anticancer applications. W</w:t>
      </w:r>
      <w:r>
        <w:t>hile the final E</w:t>
      </w:r>
      <w:r w:rsidRPr="002740E3">
        <w:t>C</w:t>
      </w:r>
      <w:r w:rsidRPr="002740E3">
        <w:rPr>
          <w:vertAlign w:val="subscript"/>
        </w:rPr>
        <w:t>50</w:t>
      </w:r>
      <w:r w:rsidRPr="002740E3">
        <w:t xml:space="preserve"> values were modest in comparison to traditi</w:t>
      </w:r>
      <w:r>
        <w:t>onal anticancer drugs (typical E</w:t>
      </w:r>
      <w:r w:rsidRPr="002740E3">
        <w:t>C</w:t>
      </w:r>
      <w:r w:rsidRPr="002740E3">
        <w:rPr>
          <w:vertAlign w:val="subscript"/>
        </w:rPr>
        <w:t xml:space="preserve">50 </w:t>
      </w:r>
      <w:r w:rsidRPr="002740E3">
        <w:t xml:space="preserve">&lt;10 </w:t>
      </w:r>
      <w:r w:rsidRPr="002740E3">
        <w:rPr>
          <w:rFonts w:cs="Times"/>
        </w:rPr>
        <w:t>µ</w:t>
      </w:r>
      <w:r w:rsidRPr="002740E3">
        <w:t xml:space="preserve">M), the compounds assessed in this work can be considered as </w:t>
      </w:r>
      <w:proofErr w:type="spellStart"/>
      <w:r w:rsidRPr="002740E3">
        <w:t>unoptimized</w:t>
      </w:r>
      <w:proofErr w:type="spellEnd"/>
      <w:r w:rsidRPr="002740E3">
        <w:t xml:space="preserve"> and preliminary candidates in terms of their introduced functionalities.</w:t>
      </w:r>
      <w:r w:rsidRPr="002740E3">
        <w:fldChar w:fldCharType="begin" w:fldLock="1"/>
      </w:r>
      <w:r w:rsidR="00BA4B30">
        <w:instrText>ADDIN CSL_CITATION {"citationItems":[{"id":"ITEM-1","itemData":{"abstract":"chemotherapy is the main treatment modality for certain types of cancer. It is important to monitor and ensure that these chemotherapeutic drugs are potent and effective prior to patient administration. the objective of the study is to evaluate the cytotoxic activity and potency of selected commercially available generic anticancer drugs in comparison with originator using various human cancer cell lines in an in vitro cell-based assay. Half-maximal inhibitory concentration (Ic 50) of the different chemotherapeutic agents was obtained from an experimentally derived dose-response curve. relative potency of the drugs was estimated according to Parallel Line assay. this study demonstrated that the selected generic oncology products tested had similar efficacy compared with the originator. Both products showed comparable results as shown both in vitro cyto-toxicity assay and statistical analysis. In vitro cell-based cytotoxicity assay promises to be a useful, reliable and rapid method for demonstrating chemotherapeutic drug activity. (Int J Biomed Sci 2012; 8 (1): 76-80)","author":[{"dropping-particle":"","family":"Florento","given":"Leila","non-dropping-particle":"","parse-names":false,"suffix":""},{"dropping-particle":"","family":"Matias","given":"Ronald","non-dropping-particle":"","parse-names":false,"suffix":""},{"dropping-particle":"","family":"Tuaño","given":"Elena","non-dropping-particle":"","parse-names":false,"suffix":""},{"dropping-particle":"","family":"Santiago","given":"Katherine","non-dropping-particle":"","parse-names":false,"suffix":""},{"dropping-particle":"","family":"Cruz","given":"Frederick","non-dropping-particle":"dela","parse-names":false,"suffix":""},{"dropping-particle":"","family":"Tuazon","given":"Alexander","non-dropping-particle":"","parse-names":false,"suffix":""},{"dropping-particle":"","family":"Florento","given":"Leila M","non-dropping-particle":"","parse-names":false,"suffix":""}],"container-title":"Int. J. Biomed. Sci.","id":"ITEM-1","issue":"1","issued":{"date-parts":[["2012"]]},"page":"76-80","title":"Comparison of Cytotoxic Activity of Anticancer Drugs against Various Human Tumor Cell Lines Using In Vitro Cell-Based Approach","type":"article-journal","volume":"8"},"uris":["http://www.mendeley.com/documents/?uuid=7881cdcf-17e6-3797-a643-3be5f6d1bb38"]}],"mendeley":{"formattedCitation":"&lt;sup&gt;59&lt;/sup&gt;","plainTextFormattedCitation":"59","previouslyFormattedCitation":"&lt;sup&gt;59&lt;/sup&gt;"},"properties":{"noteIndex":0},"schema":"https://github.com/citation-style-language/schema/raw/master/csl-citation.json"}</w:instrText>
      </w:r>
      <w:r w:rsidRPr="002740E3">
        <w:fldChar w:fldCharType="separate"/>
      </w:r>
      <w:r w:rsidR="00BA4B30" w:rsidRPr="00BA4B30">
        <w:rPr>
          <w:noProof/>
          <w:vertAlign w:val="superscript"/>
        </w:rPr>
        <w:t>59</w:t>
      </w:r>
      <w:r w:rsidRPr="002740E3">
        <w:fldChar w:fldCharType="end"/>
      </w:r>
      <w:r w:rsidRPr="002740E3">
        <w:t xml:space="preserve"> Future work will endeavor to further explore the possibility to introduce different sidechain substituent chemistries in an effort to enhance the biological activity of these interesting compounds, assess their range of therapeutic potential such as within antimicrobial applications, as well as investigating their potential for the </w:t>
      </w:r>
      <w:proofErr w:type="spellStart"/>
      <w:r w:rsidRPr="002740E3">
        <w:t>codelivery</w:t>
      </w:r>
      <w:proofErr w:type="spellEnd"/>
      <w:r w:rsidRPr="002740E3">
        <w:t xml:space="preserve"> of other active agents by exploiting their inherent propensity to self-assemble into nanoparticles.</w:t>
      </w:r>
    </w:p>
    <w:p w:rsidR="00F55E6C" w:rsidRDefault="00F55E6C" w:rsidP="00F55E6C">
      <w:pPr>
        <w:pStyle w:val="ElsFigureCaption"/>
        <w:rPr>
          <w:bCs/>
        </w:rPr>
      </w:pPr>
      <w:r w:rsidRPr="005F2D18">
        <w:rPr>
          <w:b/>
        </w:rPr>
        <w:t>Table</w:t>
      </w:r>
      <w:r w:rsidRPr="005B08A2">
        <w:rPr>
          <w:b/>
          <w:iCs/>
        </w:rPr>
        <w:t xml:space="preserve"> </w:t>
      </w:r>
      <w:r>
        <w:rPr>
          <w:b/>
          <w:iCs/>
        </w:rPr>
        <w:t>2</w:t>
      </w:r>
      <w:r w:rsidRPr="005F2D18">
        <w:rPr>
          <w:b/>
        </w:rPr>
        <w:t>.</w:t>
      </w:r>
      <w:r>
        <w:t xml:space="preserve"> Calculated E</w:t>
      </w:r>
      <w:r w:rsidRPr="00B424E9">
        <w:t>C</w:t>
      </w:r>
      <w:r w:rsidRPr="00B424E9">
        <w:rPr>
          <w:vertAlign w:val="subscript"/>
        </w:rPr>
        <w:t>50</w:t>
      </w:r>
      <w:r w:rsidRPr="00B424E9">
        <w:t xml:space="preserve"> values of compound </w:t>
      </w:r>
      <w:r w:rsidRPr="00F822E4">
        <w:rPr>
          <w:b/>
          <w:bCs/>
        </w:rPr>
        <w:t>21c</w:t>
      </w:r>
      <w:r w:rsidRPr="00F822E4">
        <w:rPr>
          <w:bCs/>
        </w:rPr>
        <w:t>.</w:t>
      </w:r>
      <w:r w:rsidRPr="005B08A2">
        <w:rPr>
          <w:bCs/>
        </w:rPr>
        <w:t xml:space="preserve"> </w:t>
      </w:r>
    </w:p>
    <w:p w:rsidR="00F55E6C" w:rsidRDefault="00F55E6C" w:rsidP="00B31AEC">
      <w:pPr>
        <w:pStyle w:val="Els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718"/>
        <w:gridCol w:w="551"/>
        <w:gridCol w:w="533"/>
        <w:gridCol w:w="828"/>
        <w:gridCol w:w="598"/>
        <w:gridCol w:w="961"/>
      </w:tblGrid>
      <w:tr w:rsidR="00F55E6C" w:rsidTr="0066706E">
        <w:tc>
          <w:tcPr>
            <w:tcW w:w="0" w:type="auto"/>
            <w:tcBorders>
              <w:top w:val="single" w:sz="4" w:space="0" w:color="auto"/>
              <w:bottom w:val="single" w:sz="4" w:space="0" w:color="auto"/>
            </w:tcBorders>
          </w:tcPr>
          <w:p w:rsidR="00F55E6C" w:rsidRDefault="00F55E6C" w:rsidP="0066706E">
            <w:pPr>
              <w:pStyle w:val="TableBody"/>
            </w:pPr>
          </w:p>
        </w:tc>
        <w:tc>
          <w:tcPr>
            <w:tcW w:w="0" w:type="auto"/>
            <w:tcBorders>
              <w:top w:val="single" w:sz="4" w:space="0" w:color="auto"/>
              <w:bottom w:val="single" w:sz="4" w:space="0" w:color="auto"/>
            </w:tcBorders>
          </w:tcPr>
          <w:p w:rsidR="00F55E6C" w:rsidRPr="00D21D94" w:rsidRDefault="00F55E6C" w:rsidP="0066706E">
            <w:pPr>
              <w:pStyle w:val="TableBody"/>
              <w:rPr>
                <w:b/>
              </w:rPr>
            </w:pPr>
            <w:r w:rsidRPr="00D21D94">
              <w:rPr>
                <w:b/>
              </w:rPr>
              <w:t>HCT 116</w:t>
            </w:r>
          </w:p>
        </w:tc>
        <w:tc>
          <w:tcPr>
            <w:tcW w:w="0" w:type="auto"/>
            <w:tcBorders>
              <w:top w:val="single" w:sz="4" w:space="0" w:color="auto"/>
              <w:bottom w:val="single" w:sz="4" w:space="0" w:color="auto"/>
            </w:tcBorders>
          </w:tcPr>
          <w:p w:rsidR="00F55E6C" w:rsidRPr="00D21D94" w:rsidRDefault="00F55E6C" w:rsidP="0066706E">
            <w:pPr>
              <w:pStyle w:val="TableBody"/>
              <w:rPr>
                <w:b/>
              </w:rPr>
            </w:pPr>
            <w:r w:rsidRPr="00D21D94">
              <w:rPr>
                <w:b/>
              </w:rPr>
              <w:t>A549</w:t>
            </w:r>
          </w:p>
        </w:tc>
        <w:tc>
          <w:tcPr>
            <w:tcW w:w="0" w:type="auto"/>
            <w:tcBorders>
              <w:top w:val="single" w:sz="4" w:space="0" w:color="auto"/>
              <w:bottom w:val="single" w:sz="4" w:space="0" w:color="auto"/>
            </w:tcBorders>
          </w:tcPr>
          <w:p w:rsidR="00F55E6C" w:rsidRPr="00D21D94" w:rsidRDefault="00F55E6C" w:rsidP="0066706E">
            <w:pPr>
              <w:pStyle w:val="TableBody"/>
              <w:rPr>
                <w:b/>
              </w:rPr>
            </w:pPr>
            <w:r w:rsidRPr="00D21D94">
              <w:rPr>
                <w:b/>
              </w:rPr>
              <w:t>PC-3</w:t>
            </w:r>
          </w:p>
        </w:tc>
        <w:tc>
          <w:tcPr>
            <w:tcW w:w="0" w:type="auto"/>
            <w:tcBorders>
              <w:top w:val="single" w:sz="4" w:space="0" w:color="auto"/>
              <w:bottom w:val="single" w:sz="4" w:space="0" w:color="auto"/>
            </w:tcBorders>
          </w:tcPr>
          <w:p w:rsidR="00F55E6C" w:rsidRPr="00D21D94" w:rsidRDefault="00F55E6C" w:rsidP="0066706E">
            <w:pPr>
              <w:pStyle w:val="TableBody"/>
              <w:rPr>
                <w:b/>
              </w:rPr>
            </w:pPr>
            <w:r w:rsidRPr="00D21D94">
              <w:rPr>
                <w:b/>
              </w:rPr>
              <w:t>OVCAR-3</w:t>
            </w:r>
          </w:p>
        </w:tc>
        <w:tc>
          <w:tcPr>
            <w:tcW w:w="0" w:type="auto"/>
            <w:tcBorders>
              <w:top w:val="single" w:sz="4" w:space="0" w:color="auto"/>
              <w:bottom w:val="single" w:sz="4" w:space="0" w:color="auto"/>
            </w:tcBorders>
          </w:tcPr>
          <w:p w:rsidR="00F55E6C" w:rsidRPr="00D21D94" w:rsidRDefault="00F55E6C" w:rsidP="0066706E">
            <w:pPr>
              <w:pStyle w:val="TableBody"/>
              <w:rPr>
                <w:b/>
              </w:rPr>
            </w:pPr>
            <w:r w:rsidRPr="00D21D94">
              <w:rPr>
                <w:b/>
              </w:rPr>
              <w:t>MCF7</w:t>
            </w:r>
          </w:p>
        </w:tc>
        <w:tc>
          <w:tcPr>
            <w:tcW w:w="0" w:type="auto"/>
            <w:tcBorders>
              <w:top w:val="single" w:sz="4" w:space="0" w:color="auto"/>
              <w:bottom w:val="single" w:sz="4" w:space="0" w:color="auto"/>
            </w:tcBorders>
          </w:tcPr>
          <w:p w:rsidR="00F55E6C" w:rsidRPr="00D21D94" w:rsidRDefault="00F55E6C" w:rsidP="0066706E">
            <w:pPr>
              <w:pStyle w:val="TableBody"/>
              <w:rPr>
                <w:b/>
              </w:rPr>
            </w:pPr>
            <w:r w:rsidRPr="00D21D94">
              <w:rPr>
                <w:b/>
              </w:rPr>
              <w:t>MDA-MS-231</w:t>
            </w:r>
          </w:p>
        </w:tc>
      </w:tr>
      <w:tr w:rsidR="00F55E6C" w:rsidTr="0066706E">
        <w:tc>
          <w:tcPr>
            <w:tcW w:w="0" w:type="auto"/>
            <w:tcBorders>
              <w:top w:val="single" w:sz="4" w:space="0" w:color="auto"/>
              <w:bottom w:val="single" w:sz="4" w:space="0" w:color="auto"/>
            </w:tcBorders>
          </w:tcPr>
          <w:p w:rsidR="00F55E6C" w:rsidRDefault="00F55E6C" w:rsidP="0066706E">
            <w:pPr>
              <w:pStyle w:val="TableBody"/>
            </w:pPr>
            <w:r>
              <w:t>EC50 (</w:t>
            </w:r>
            <w:r>
              <w:rPr>
                <w:rFonts w:cs="Arial"/>
              </w:rPr>
              <w:t>µ</w:t>
            </w:r>
            <w:r>
              <w:t>M)</w:t>
            </w:r>
          </w:p>
        </w:tc>
        <w:tc>
          <w:tcPr>
            <w:tcW w:w="0" w:type="auto"/>
            <w:tcBorders>
              <w:top w:val="single" w:sz="4" w:space="0" w:color="auto"/>
              <w:bottom w:val="single" w:sz="4" w:space="0" w:color="auto"/>
            </w:tcBorders>
          </w:tcPr>
          <w:p w:rsidR="00F55E6C" w:rsidRDefault="00F55E6C" w:rsidP="0066706E">
            <w:pPr>
              <w:pStyle w:val="TableBody"/>
            </w:pPr>
            <w:r>
              <w:t>56</w:t>
            </w:r>
            <w:r w:rsidRPr="008E38D1">
              <w:t>±3</w:t>
            </w:r>
          </w:p>
        </w:tc>
        <w:tc>
          <w:tcPr>
            <w:tcW w:w="0" w:type="auto"/>
            <w:tcBorders>
              <w:top w:val="single" w:sz="4" w:space="0" w:color="auto"/>
              <w:bottom w:val="single" w:sz="4" w:space="0" w:color="auto"/>
            </w:tcBorders>
          </w:tcPr>
          <w:p w:rsidR="00F55E6C" w:rsidRDefault="00F55E6C" w:rsidP="0066706E">
            <w:pPr>
              <w:pStyle w:val="TableBody"/>
            </w:pPr>
            <w:r>
              <w:t>83</w:t>
            </w:r>
            <w:r w:rsidRPr="008E38D1">
              <w:t>±3</w:t>
            </w:r>
          </w:p>
        </w:tc>
        <w:tc>
          <w:tcPr>
            <w:tcW w:w="0" w:type="auto"/>
            <w:tcBorders>
              <w:top w:val="single" w:sz="4" w:space="0" w:color="auto"/>
              <w:bottom w:val="single" w:sz="4" w:space="0" w:color="auto"/>
            </w:tcBorders>
          </w:tcPr>
          <w:p w:rsidR="00F55E6C" w:rsidRDefault="00F55E6C" w:rsidP="0066706E">
            <w:pPr>
              <w:pStyle w:val="TableBody"/>
            </w:pPr>
            <w:r>
              <w:t>95</w:t>
            </w:r>
            <w:r w:rsidRPr="008E38D1">
              <w:t>±</w:t>
            </w:r>
            <w:r>
              <w:t>5</w:t>
            </w:r>
          </w:p>
        </w:tc>
        <w:tc>
          <w:tcPr>
            <w:tcW w:w="0" w:type="auto"/>
            <w:tcBorders>
              <w:top w:val="single" w:sz="4" w:space="0" w:color="auto"/>
              <w:bottom w:val="single" w:sz="4" w:space="0" w:color="auto"/>
            </w:tcBorders>
          </w:tcPr>
          <w:p w:rsidR="00F55E6C" w:rsidRDefault="00F55E6C" w:rsidP="0066706E">
            <w:pPr>
              <w:pStyle w:val="TableBody"/>
            </w:pPr>
            <w:r>
              <w:t>79</w:t>
            </w:r>
            <w:r w:rsidRPr="008E38D1">
              <w:t>±</w:t>
            </w:r>
            <w:r>
              <w:t>14</w:t>
            </w:r>
          </w:p>
        </w:tc>
        <w:tc>
          <w:tcPr>
            <w:tcW w:w="0" w:type="auto"/>
            <w:tcBorders>
              <w:top w:val="single" w:sz="4" w:space="0" w:color="auto"/>
              <w:bottom w:val="single" w:sz="4" w:space="0" w:color="auto"/>
            </w:tcBorders>
          </w:tcPr>
          <w:p w:rsidR="00F55E6C" w:rsidRDefault="00F55E6C" w:rsidP="0066706E">
            <w:pPr>
              <w:pStyle w:val="TableBody"/>
            </w:pPr>
            <w:r>
              <w:t>79</w:t>
            </w:r>
            <w:r w:rsidRPr="008E38D1">
              <w:t>±</w:t>
            </w:r>
            <w:r>
              <w:t>8</w:t>
            </w:r>
          </w:p>
        </w:tc>
        <w:tc>
          <w:tcPr>
            <w:tcW w:w="0" w:type="auto"/>
            <w:tcBorders>
              <w:top w:val="single" w:sz="4" w:space="0" w:color="auto"/>
              <w:bottom w:val="single" w:sz="4" w:space="0" w:color="auto"/>
            </w:tcBorders>
          </w:tcPr>
          <w:p w:rsidR="00F55E6C" w:rsidRDefault="00F55E6C" w:rsidP="0066706E">
            <w:pPr>
              <w:pStyle w:val="TableBody"/>
            </w:pPr>
            <w:r>
              <w:t>80</w:t>
            </w:r>
            <w:r w:rsidRPr="008E38D1">
              <w:t>±</w:t>
            </w:r>
            <w:r>
              <w:t>22</w:t>
            </w:r>
          </w:p>
        </w:tc>
      </w:tr>
    </w:tbl>
    <w:p w:rsidR="00F55E6C" w:rsidRDefault="00F55E6C" w:rsidP="00B31AEC">
      <w:pPr>
        <w:pStyle w:val="ElsParagraph"/>
      </w:pPr>
    </w:p>
    <w:p w:rsidR="00F55E6C" w:rsidRDefault="00F55E6C" w:rsidP="00F55E6C">
      <w:pPr>
        <w:pStyle w:val="ElsHeading1"/>
      </w:pPr>
      <w:r>
        <w:t>Conclusion</w:t>
      </w:r>
    </w:p>
    <w:p w:rsidR="00F55E6C" w:rsidRDefault="00F55E6C" w:rsidP="00F55E6C">
      <w:pPr>
        <w:pStyle w:val="ElsParagraph"/>
      </w:pPr>
      <w:r>
        <w:t xml:space="preserve">Functionalization of biomass derived oxanorbornene </w:t>
      </w:r>
      <w:r>
        <w:rPr>
          <w:b/>
        </w:rPr>
        <w:t>12</w:t>
      </w:r>
      <w:r>
        <w:t xml:space="preserve"> has led to a divergent strategy for the preparation of a range of new spirocyclic imides </w:t>
      </w:r>
      <w:r w:rsidRPr="00F822E4">
        <w:rPr>
          <w:b/>
        </w:rPr>
        <w:t>21a–e</w:t>
      </w:r>
      <w:r w:rsidRPr="00F822E4">
        <w:t xml:space="preserve"> and secondary amides </w:t>
      </w:r>
      <w:r w:rsidRPr="00F822E4">
        <w:rPr>
          <w:b/>
        </w:rPr>
        <w:t>19a–e</w:t>
      </w:r>
      <w:r w:rsidRPr="009B108D">
        <w:t>.</w:t>
      </w:r>
      <w:r>
        <w:t xml:space="preserve"> Computational modelling identified that these compounds represent highly novel and lead-like structures for the development of clinical candidates, with the spirocyclic imides </w:t>
      </w:r>
      <w:r w:rsidRPr="00F822E4">
        <w:rPr>
          <w:b/>
        </w:rPr>
        <w:t>21a–e</w:t>
      </w:r>
      <w:r>
        <w:t xml:space="preserve"> preferred due to their lack of reactive functionalities. Accordingly, the spirocyclic imides </w:t>
      </w:r>
      <w:r w:rsidRPr="00F822E4">
        <w:rPr>
          <w:b/>
        </w:rPr>
        <w:t>21a–e</w:t>
      </w:r>
      <w:r>
        <w:t xml:space="preserve"> were analyzed for their biological activity using cytotoxicity assays against a range of human cancer cell lines. Overall, all compounds showed some degree of antiproliferative effect, with </w:t>
      </w:r>
      <w:r w:rsidRPr="00F822E4">
        <w:rPr>
          <w:b/>
        </w:rPr>
        <w:t>21c</w:t>
      </w:r>
      <w:r>
        <w:t xml:space="preserve"> presenting the greatest potential as a potent broad spectrum anticancer agent. The compounds demonstrated a propensity to self-assemble into nanoaggregates, indicating promising application potential as “active” surfactants for formulation of a second drug. This study justifies further investigation into the therapeutic potential of these unusual species. </w:t>
      </w:r>
    </w:p>
    <w:p w:rsidR="00F55E6C" w:rsidRDefault="00D27CC8" w:rsidP="00D27CC8">
      <w:pPr>
        <w:pStyle w:val="ElsHeading1"/>
      </w:pPr>
      <w:r>
        <w:lastRenderedPageBreak/>
        <w:t xml:space="preserve">Experimental Section </w:t>
      </w:r>
    </w:p>
    <w:p w:rsidR="00D27CC8" w:rsidRDefault="00D27CC8" w:rsidP="00D27CC8">
      <w:pPr>
        <w:pStyle w:val="ElsHeading2"/>
      </w:pPr>
      <w:r>
        <w:t xml:space="preserve">General Experimental </w:t>
      </w:r>
    </w:p>
    <w:p w:rsidR="00D27CC8" w:rsidRDefault="00D27CC8" w:rsidP="00D27CC8">
      <w:pPr>
        <w:pStyle w:val="ElsParagraph"/>
      </w:pPr>
      <w:r>
        <w:t>All reagents and solvents were purchased from commercial suppliers and used as sold, excluding furfuryl alcohol which was distilled prior to use. Anhydrous CH</w:t>
      </w:r>
      <w:r>
        <w:rPr>
          <w:vertAlign w:val="subscript"/>
        </w:rPr>
        <w:t>2</w:t>
      </w:r>
      <w:r>
        <w:t>Cl</w:t>
      </w:r>
      <w:r>
        <w:rPr>
          <w:vertAlign w:val="subscript"/>
        </w:rPr>
        <w:t>2</w:t>
      </w:r>
      <w:r>
        <w:rPr>
          <w:vertAlign w:val="superscript"/>
        </w:rPr>
        <w:t xml:space="preserve"> </w:t>
      </w:r>
      <w:r>
        <w:t xml:space="preserve">was obtained from an Inert Technologies </w:t>
      </w:r>
      <w:proofErr w:type="spellStart"/>
      <w:r>
        <w:t>PureSolv</w:t>
      </w:r>
      <w:proofErr w:type="spellEnd"/>
      <w:r>
        <w:t xml:space="preserve"> EN 1-4 enclosed solvent purification system. All air- and water-sensitive reactions were carried out in oven-dried glassware under either a nitrogen or argon atmosphere. Analytical TLC was performed on aluminum backed plates pre-coated (0.25 mm) with Merck </w:t>
      </w:r>
      <w:proofErr w:type="spellStart"/>
      <w:r>
        <w:t>KGaA</w:t>
      </w:r>
      <w:proofErr w:type="spellEnd"/>
      <w:r>
        <w:t xml:space="preserve"> silica gel 60 F</w:t>
      </w:r>
      <w:r w:rsidRPr="000D77A2">
        <w:rPr>
          <w:vertAlign w:val="subscript"/>
        </w:rPr>
        <w:t>254</w:t>
      </w:r>
      <w:r>
        <w:t>. Compounds were visualized by exposure to UV-light (254 nm) and stained using KMNO</w:t>
      </w:r>
      <w:r>
        <w:rPr>
          <w:vertAlign w:val="subscript"/>
        </w:rPr>
        <w:t>4</w:t>
      </w:r>
      <w:r>
        <w:rPr>
          <w:vertAlign w:val="superscript"/>
        </w:rPr>
        <w:t xml:space="preserve"> </w:t>
      </w:r>
      <w:r>
        <w:t xml:space="preserve">or </w:t>
      </w:r>
      <w:proofErr w:type="spellStart"/>
      <w:r>
        <w:t>phosphomolybdic</w:t>
      </w:r>
      <w:proofErr w:type="spellEnd"/>
      <w:r>
        <w:t xml:space="preserve"> acid followed by heating. Flash column chromatography was performed using </w:t>
      </w:r>
      <w:proofErr w:type="spellStart"/>
      <w:r>
        <w:t>Fluorochem</w:t>
      </w:r>
      <w:proofErr w:type="spellEnd"/>
      <w:r>
        <w:t xml:space="preserve"> silica gel LC60A (40–60 µm). All mixed solvent eluents are reported as </w:t>
      </w:r>
      <w:r w:rsidRPr="000D77A2">
        <w:rPr>
          <w:i/>
        </w:rPr>
        <w:t>v</w:t>
      </w:r>
      <w:r>
        <w:t>/</w:t>
      </w:r>
      <w:r w:rsidRPr="000D77A2">
        <w:rPr>
          <w:i/>
        </w:rPr>
        <w:t>v</w:t>
      </w:r>
      <w:r>
        <w:t xml:space="preserve"> solutions. Brine refers to a saturated solution of aqueous sodium chloride.</w:t>
      </w:r>
    </w:p>
    <w:p w:rsidR="00D27CC8" w:rsidRDefault="00D27CC8" w:rsidP="00D27CC8">
      <w:pPr>
        <w:pStyle w:val="ElsParagraph"/>
      </w:pPr>
      <w:r w:rsidRPr="00911244">
        <w:rPr>
          <w:vertAlign w:val="superscript"/>
        </w:rPr>
        <w:t>1</w:t>
      </w:r>
      <w:r>
        <w:t xml:space="preserve">H and </w:t>
      </w:r>
      <w:r w:rsidRPr="00911244">
        <w:rPr>
          <w:vertAlign w:val="superscript"/>
        </w:rPr>
        <w:t>13</w:t>
      </w:r>
      <w:r>
        <w:t xml:space="preserve">C-Nuclear magnetic resonance (NMR) spectra were acquired using either a JEOL ECS 400 MHz spectrometer or a Bruker DPX-400 400 MHz spectrometer. </w:t>
      </w:r>
      <w:r w:rsidRPr="00911244">
        <w:rPr>
          <w:vertAlign w:val="superscript"/>
        </w:rPr>
        <w:t>1</w:t>
      </w:r>
      <w:r>
        <w:t xml:space="preserve">H spectra were referenced internally to the residual </w:t>
      </w:r>
      <w:proofErr w:type="spellStart"/>
      <w:r>
        <w:t>protic</w:t>
      </w:r>
      <w:proofErr w:type="spellEnd"/>
      <w:r>
        <w:t xml:space="preserve"> solvent resonance (CHCl</w:t>
      </w:r>
      <w:r>
        <w:rPr>
          <w:vertAlign w:val="subscript"/>
        </w:rPr>
        <w:t>3</w:t>
      </w:r>
      <w:r>
        <w:t xml:space="preserve"> = 7.27 ppm, DMSO-d</w:t>
      </w:r>
      <w:r w:rsidRPr="003561F1">
        <w:rPr>
          <w:vertAlign w:val="subscript"/>
        </w:rPr>
        <w:t>6</w:t>
      </w:r>
      <w:r>
        <w:t xml:space="preserve"> = 2.50 ppm and CH</w:t>
      </w:r>
      <w:r>
        <w:rPr>
          <w:vertAlign w:val="subscript"/>
        </w:rPr>
        <w:t>3</w:t>
      </w:r>
      <w:r>
        <w:t xml:space="preserve">OH = 3.31 ppm). </w:t>
      </w:r>
      <w:r w:rsidRPr="00B20A41">
        <w:rPr>
          <w:vertAlign w:val="superscript"/>
        </w:rPr>
        <w:t>13</w:t>
      </w:r>
      <w:r>
        <w:t>C-Spectra were referenced internally to the solvent resonance (CDCl</w:t>
      </w:r>
      <w:r>
        <w:rPr>
          <w:vertAlign w:val="subscript"/>
        </w:rPr>
        <w:t>3</w:t>
      </w:r>
      <w:r>
        <w:t xml:space="preserve"> = 77.16 ppm, CD</w:t>
      </w:r>
      <w:r>
        <w:rPr>
          <w:vertAlign w:val="subscript"/>
        </w:rPr>
        <w:t>3</w:t>
      </w:r>
      <w:r>
        <w:t>OD = 49.00 ppm and DMSO-d</w:t>
      </w:r>
      <w:r w:rsidRPr="00B20A41">
        <w:rPr>
          <w:vertAlign w:val="subscript"/>
        </w:rPr>
        <w:t>6</w:t>
      </w:r>
      <w:r>
        <w:t xml:space="preserve"> = 39.52 ppm). </w:t>
      </w:r>
      <w:r w:rsidRPr="00911244">
        <w:rPr>
          <w:vertAlign w:val="superscript"/>
        </w:rPr>
        <w:t>1</w:t>
      </w:r>
      <w:r>
        <w:t xml:space="preserve">H-NMR coupling constants are reported in Hertz (Hz). Coupling constants are reported using the following notation, or combination of; s = singlet, </w:t>
      </w:r>
      <w:proofErr w:type="spellStart"/>
      <w:r>
        <w:t>br</w:t>
      </w:r>
      <w:proofErr w:type="spellEnd"/>
      <w:r>
        <w:t xml:space="preserve"> = broad, d = doublet, t = triplet, q = quartet, quin = quintet, sex = sextet, sept = septet, </w:t>
      </w:r>
      <w:proofErr w:type="spellStart"/>
      <w:proofErr w:type="gramStart"/>
      <w:r>
        <w:t>oct</w:t>
      </w:r>
      <w:proofErr w:type="spellEnd"/>
      <w:proofErr w:type="gramEnd"/>
      <w:r>
        <w:t xml:space="preserve"> = octet, non = nonet and m = </w:t>
      </w:r>
      <w:proofErr w:type="spellStart"/>
      <w:r>
        <w:t>multiplet</w:t>
      </w:r>
      <w:proofErr w:type="spellEnd"/>
      <w:r>
        <w:t xml:space="preserve">. Assignment of signals in </w:t>
      </w:r>
      <w:r w:rsidRPr="00911244">
        <w:rPr>
          <w:vertAlign w:val="superscript"/>
        </w:rPr>
        <w:t>1</w:t>
      </w:r>
      <w:r>
        <w:t xml:space="preserve">H and </w:t>
      </w:r>
      <w:r w:rsidRPr="00911244">
        <w:rPr>
          <w:vertAlign w:val="superscript"/>
        </w:rPr>
        <w:t>13</w:t>
      </w:r>
      <w:r>
        <w:t xml:space="preserve">C-spectra was determined using </w:t>
      </w:r>
      <w:r w:rsidRPr="00911244">
        <w:rPr>
          <w:vertAlign w:val="superscript"/>
        </w:rPr>
        <w:t>1</w:t>
      </w:r>
      <w:r>
        <w:t>H-</w:t>
      </w:r>
      <w:r w:rsidRPr="00911244">
        <w:rPr>
          <w:vertAlign w:val="superscript"/>
        </w:rPr>
        <w:t>1</w:t>
      </w:r>
      <w:r>
        <w:t xml:space="preserve">H COSY, DEPT-135, </w:t>
      </w:r>
      <w:r w:rsidRPr="00911244">
        <w:rPr>
          <w:vertAlign w:val="superscript"/>
        </w:rPr>
        <w:t>1</w:t>
      </w:r>
      <w:r>
        <w:t>H-</w:t>
      </w:r>
      <w:r w:rsidRPr="00911244">
        <w:rPr>
          <w:vertAlign w:val="superscript"/>
        </w:rPr>
        <w:t>13</w:t>
      </w:r>
      <w:r>
        <w:t xml:space="preserve">C HMQC and HMBC experiments where appropriate. </w:t>
      </w:r>
    </w:p>
    <w:p w:rsidR="00D27CC8" w:rsidRDefault="00D27CC8" w:rsidP="00D27CC8">
      <w:pPr>
        <w:pStyle w:val="ElsParagraph"/>
      </w:pPr>
      <w:r>
        <w:t xml:space="preserve">High resolution mass spectra (HRMS) were recorded using electrospray ionization (ESI) on a Bruker </w:t>
      </w:r>
      <w:proofErr w:type="spellStart"/>
      <w:r>
        <w:t>micrOTOF</w:t>
      </w:r>
      <w:proofErr w:type="spellEnd"/>
      <w:r>
        <w:t xml:space="preserve"> mass spectrometer in tandem with an Agilent series 1200 liquid chromatography system or on a Waters </w:t>
      </w:r>
      <w:proofErr w:type="spellStart"/>
      <w:r>
        <w:t>Xevo</w:t>
      </w:r>
      <w:proofErr w:type="spellEnd"/>
      <w:r>
        <w:t xml:space="preserve"> G2-XS Quadrupole time-of-flight mass spectrometer. All Infra-Red (IR) data was obtained using a Perkin-Elmer Spectrum Two or Spectrum 400 FT-IR spectrometer or an Agilent Technologies Cary 630 FTIR spectrometer. </w:t>
      </w:r>
      <w:proofErr w:type="spellStart"/>
      <w:r>
        <w:t>Absorbances</w:t>
      </w:r>
      <w:proofErr w:type="spellEnd"/>
      <w:r>
        <w:t xml:space="preserve"> are reported using the following notation; w = weak, m = medium and s = strong. Melting points were determined using either a Stuart SMP3, SMP20 or an SRS </w:t>
      </w:r>
      <w:proofErr w:type="spellStart"/>
      <w:r>
        <w:t>OptiMelt</w:t>
      </w:r>
      <w:proofErr w:type="spellEnd"/>
      <w:r>
        <w:t xml:space="preserve"> MPA100 hot stage apparatus and were not corrected. Dynamic light scattering measurements were recorded using a Malvern </w:t>
      </w:r>
      <w:proofErr w:type="spellStart"/>
      <w:r>
        <w:t>Panalytical</w:t>
      </w:r>
      <w:proofErr w:type="spellEnd"/>
      <w:r>
        <w:t xml:space="preserve"> </w:t>
      </w:r>
      <w:proofErr w:type="spellStart"/>
      <w:r>
        <w:t>Zetasizer</w:t>
      </w:r>
      <w:proofErr w:type="spellEnd"/>
      <w:r>
        <w:t xml:space="preserve"> Nano S fitted with a 633 nm He-Ne laser operating at 4 </w:t>
      </w:r>
      <w:proofErr w:type="spellStart"/>
      <w:r>
        <w:t>mW</w:t>
      </w:r>
      <w:proofErr w:type="spellEnd"/>
      <w:r>
        <w:t xml:space="preserve">. Measurements were performed at 25 </w:t>
      </w:r>
      <w:r>
        <w:rPr>
          <w:rFonts w:cs="Times"/>
        </w:rPr>
        <w:t>°</w:t>
      </w:r>
      <w:r>
        <w:t>C using a scattering angle of 173</w:t>
      </w:r>
      <w:r>
        <w:rPr>
          <w:rFonts w:cs="Times"/>
        </w:rPr>
        <w:t>°</w:t>
      </w:r>
      <w:r>
        <w:t xml:space="preserve"> (backscattering), and the results analyzed using Malvern </w:t>
      </w:r>
      <w:proofErr w:type="spellStart"/>
      <w:r>
        <w:t>Panalytical</w:t>
      </w:r>
      <w:proofErr w:type="spellEnd"/>
      <w:r>
        <w:t xml:space="preserve"> </w:t>
      </w:r>
      <w:proofErr w:type="spellStart"/>
      <w:r>
        <w:t>Zetasizer</w:t>
      </w:r>
      <w:proofErr w:type="spellEnd"/>
      <w:r>
        <w:t xml:space="preserve"> software version 7.13. </w:t>
      </w:r>
    </w:p>
    <w:p w:rsidR="00D27CC8" w:rsidRDefault="00D27CC8" w:rsidP="00D27CC8">
      <w:pPr>
        <w:pStyle w:val="ElsParagraph"/>
      </w:pPr>
      <w:r w:rsidRPr="000F117D">
        <w:t xml:space="preserve">Diffraction data were collected at 110 K (195 K for </w:t>
      </w:r>
      <w:r w:rsidRPr="000F117D">
        <w:rPr>
          <w:b/>
        </w:rPr>
        <w:t>20a</w:t>
      </w:r>
      <w:r w:rsidRPr="000F117D">
        <w:t xml:space="preserve">) on an Oxford Diffraction </w:t>
      </w:r>
      <w:proofErr w:type="spellStart"/>
      <w:r w:rsidRPr="000F117D">
        <w:t>SuperNova</w:t>
      </w:r>
      <w:proofErr w:type="spellEnd"/>
      <w:r w:rsidRPr="000F117D">
        <w:t xml:space="preserve"> diffractometer with Cu-Kα radiation (λ = 1.54184 Å) using an EOS CCD camera. The crystal was cooled with an Oxford Instruments </w:t>
      </w:r>
      <w:proofErr w:type="spellStart"/>
      <w:r w:rsidRPr="000F117D">
        <w:t>Cryojet</w:t>
      </w:r>
      <w:proofErr w:type="spellEnd"/>
      <w:r w:rsidRPr="000F117D">
        <w:t>. Diffractometer control, data collection, initial unit cell determination, frame integration and unit-cell refinement was carried out with “</w:t>
      </w:r>
      <w:proofErr w:type="spellStart"/>
      <w:r w:rsidRPr="000F117D">
        <w:t>Crysalis</w:t>
      </w:r>
      <w:proofErr w:type="spellEnd"/>
      <w:r w:rsidRPr="000F117D">
        <w:t>”. Face-indexed absorption corrections were applied using spherical harmonics, implemented in SCALE3 ABSPACK scaling algorithm. OLEX2 was used for overall structure solution, refinement and preparation of computer graphics and publication data. Within OLEX2, the algorithm used for structure solution was SHELXT, charge-flipping. Refinement by full-matrix least-squares used the SHELXT algorithm within OLEX2. Hydrogen atoms were placed using a “riding-mode” and included in the refinement at calculated positions.</w:t>
      </w:r>
      <w:r>
        <w:t xml:space="preserve">  Structures for 22, 20a and 21d were deposited in the CCDC (CCDC 2000921-3).</w:t>
      </w:r>
      <w:r>
        <w:fldChar w:fldCharType="begin" w:fldLock="1"/>
      </w:r>
      <w:r w:rsidR="00BA4B30">
        <w:instrText>ADDIN CSL_CITATION {"citationItems":[{"id":"ITEM-1","itemData":{"DOI":"10.1107/S2052520616003954","ISSN":"2052-5206","PMID":"27048719","abstract":"The Cambridge Structural Database (CSD) contains a complete record of all published organic and metal–organic small-molecule crystal structures. The database has been in operation for over 50 years and continues to be the primary means of sharing structural chemistry data and knowledge across disciplines. As well as structures that are made public to support scientific articles, it includes many structures published directly as CSD Communications. All structures are processed both computationally and by expert structural chemistry editors prior to entering the database. A key component of this processing is the reliable association of the chemical identity of the structure studied with the experimental data. This important step helps ensure that data is widely discoverable and readily reusable. Content is further enriched through selective inclusion of additional experimental data. Entries are available to anyone through free CSD community web services. Linking services developed and maintained by the CCDC, combined with the use of standard identifiers, facilitate discovery from other resources. Data can also be accessed through CCDC and third party software applications and through an application programming interface.","author":[{"dropping-particle":"","family":"Groom","given":"Colin R.","non-dropping-particle":"","parse-names":false,"suffix":""},{"dropping-particle":"","family":"Bruno","given":"Ian J.","non-dropping-particle":"","parse-names":false,"suffix":""},{"dropping-particle":"","family":"Lightfoot","given":"Matthew P.","non-dropping-particle":"","parse-names":false,"suffix":""},{"dropping-particle":"","family":"Ward","given":"Suzanna C.","non-dropping-particle":"","parse-names":false,"suffix":""}],"container-title":"Acta. Cryst.","id":"ITEM-1","issue":"2","issued":{"date-parts":[["2016","4","1"]]},"page":"171-179","publisher":"International Union of Crystallography","title":"The Cambridge Structural Database","type":"article-journal","volume":"B72"},"uris":["http://www.mendeley.com/documents/?uuid=14621e61-849f-3620-bd16-2813c360ca47"]}],"mendeley":{"formattedCitation":"&lt;sup&gt;60&lt;/sup&gt;","plainTextFormattedCitation":"60","previouslyFormattedCitation":"&lt;sup&gt;60&lt;/sup&gt;"},"properties":{"noteIndex":0},"schema":"https://github.com/citation-style-language/schema/raw/master/csl-citation.json"}</w:instrText>
      </w:r>
      <w:r>
        <w:fldChar w:fldCharType="separate"/>
      </w:r>
      <w:r w:rsidR="00BA4B30" w:rsidRPr="00BA4B30">
        <w:rPr>
          <w:noProof/>
          <w:vertAlign w:val="superscript"/>
        </w:rPr>
        <w:t>60</w:t>
      </w:r>
      <w:r>
        <w:fldChar w:fldCharType="end"/>
      </w:r>
      <w:r w:rsidRPr="000F117D">
        <w:t xml:space="preserve"> </w:t>
      </w:r>
    </w:p>
    <w:p w:rsidR="00D27CC8" w:rsidRDefault="00D27CC8" w:rsidP="00D27CC8">
      <w:pPr>
        <w:pStyle w:val="ElsParagraph"/>
      </w:pPr>
      <w:r w:rsidRPr="00C83023">
        <w:t xml:space="preserve">LLAMA was used to determine if compounds resided in a region of chemical space within which they have a greater potential for development into clinical candidates, as defined by </w:t>
      </w:r>
      <w:proofErr w:type="spellStart"/>
      <w:r w:rsidRPr="00C83023">
        <w:t>Nadin</w:t>
      </w:r>
      <w:proofErr w:type="spellEnd"/>
      <w:r w:rsidRPr="00C83023">
        <w:t xml:space="preserve"> </w:t>
      </w:r>
      <w:r w:rsidRPr="00C83023">
        <w:rPr>
          <w:i/>
        </w:rPr>
        <w:t>et al</w:t>
      </w:r>
      <w:r w:rsidRPr="00C83023">
        <w:t>.</w:t>
      </w:r>
      <w:r w:rsidRPr="00C83023">
        <w:fldChar w:fldCharType="begin" w:fldLock="1"/>
      </w:r>
      <w:r w:rsidR="00BA4B30">
        <w:instrText>ADDIN CSL_CITATION {"citationItems":[{"id":"ITEM-1","itemData":{"DOI":"10.1002/anie.201105840","ISSN":"14337851","abstract":"The pharmaceutical industry remains solely reliant on synthetic chemistry methodology to prepare compounds for small-molecule drug discovery programmes. The importance of the physicochemical properties of these molecules in determining their success in drug development is now well understood but we present here data suggesting that much synthetic methodology is unintentionally predisposed to producing molecules with poorer drug-like properties. This bias may have ramifications to the early hit- and lead-finding phases of the drug discovery process when larger numbers of compounds from array techniques are prepared. To address this issue we describe for the first time the concept of lead-oriented synthesis and the opportunity for its adoption to increase the range and quality of molecules used to develop new medicines. Copyright © 2012 WILEY-VCH Verlag GmbH &amp; Co. KGaA, Weinheim.","author":[{"dropping-particle":"","family":"Nadin","given":"Alan","non-dropping-particle":"","parse-names":false,"suffix":""},{"dropping-particle":"","family":"Hattotuwagama","given":"Channa","non-dropping-particle":"","parse-names":false,"suffix":""},{"dropping-particle":"","family":"Churcher","given":"Ian","non-dropping-particle":"","parse-names":false,"suffix":""}],"container-title":"Angew. Chem. Int. Ed.","id":"ITEM-1","issue":"5","issued":{"date-parts":[["2012","1","27"]]},"page":"1114-1122","title":"Lead-Oriented Synthesis: A New Opportunity for Synthetic Chemistry","type":"article-journal","volume":"51"},"uris":["http://www.mendeley.com/documents/?uuid=1c8593d3-23c2-37f7-b328-073510dd961d"]}],"mendeley":{"formattedCitation":"&lt;sup&gt;61&lt;/sup&gt;","plainTextFormattedCitation":"61","previouslyFormattedCitation":"&lt;sup&gt;61&lt;/sup&gt;"},"properties":{"noteIndex":0},"schema":"https://github.com/citation-style-language/schema/raw/master/csl-citation.json"}</w:instrText>
      </w:r>
      <w:r w:rsidRPr="00C83023">
        <w:fldChar w:fldCharType="separate"/>
      </w:r>
      <w:r w:rsidR="00BA4B30" w:rsidRPr="00BA4B30">
        <w:rPr>
          <w:noProof/>
          <w:vertAlign w:val="superscript"/>
        </w:rPr>
        <w:t>61</w:t>
      </w:r>
      <w:r w:rsidRPr="00C83023">
        <w:fldChar w:fldCharType="end"/>
      </w:r>
      <w:r w:rsidRPr="00C83023">
        <w:t xml:space="preserve"> Structural novelty was then assessed against the </w:t>
      </w:r>
      <w:proofErr w:type="spellStart"/>
      <w:r w:rsidRPr="00C83023">
        <w:t>Murcko</w:t>
      </w:r>
      <w:proofErr w:type="spellEnd"/>
      <w:r w:rsidRPr="00C83023">
        <w:t xml:space="preserve"> framework, where all side chain functionality was removed reducing the molecule to its ring systems and the linkers between them, with and without the alpha atoms.</w:t>
      </w:r>
      <w:r w:rsidRPr="00C83023">
        <w:fldChar w:fldCharType="begin" w:fldLock="1"/>
      </w:r>
      <w:r w:rsidR="00BA4B30">
        <w:instrText>ADDIN CSL_CITATION {"citationItems":[{"id":"ITEM-1","itemData":{"DOI":"10.1021/jm9602928","ISSN":"0022-2623","PMID":"8709122","abstract":"In order to better understand the common features present in drug molecules, we use shape description methods to analyze a database of commercially available drugs and prepare a list of common drug shapes. A useful way of organizing this structural data is to group the atoms of each drug molecule into ring, linker, framework, and side chain atoms. On the basis of the two-dimensional molecular structures (without regard to atom type, hybridization, and bond order), there are 1179 different frameworks among the 5120 compounds analyzed. However, the shapes of half of the drugs in the database are described by the 32 most frequently occurring frameworks. This suggests that the diversity of shapes in the set of known drugs is extremely low. In our second method of analysis, in which atom type, hybridization, and bond order are considered, more diversity is seen; there are 2506 different frameworks among the 5120 compounds in the database, and the most frequently occurring 42 frameworks account for only one-fourth of the drugs. We discuss the possible interpretations of these findings and the way they may be used to guide future drug discovery research.","author":[{"dropping-particle":"","family":"Bemis","given":"Guy W.","non-dropping-particle":"","parse-names":false,"suffix":""},{"dropping-particle":"","family":"Murcko","given":"Mark A.","non-dropping-particle":"","parse-names":false,"suffix":""}],"container-title":"Journal of Medicinal Chemistry","id":"ITEM-1","issue":"15","issued":{"date-parts":[["1996","1","19"]]},"page":"2887-2893","publisher":"American Chemical Society","title":"The Properties of Known Drugs. 1. Molecular Frameworks","type":"article-journal","volume":"39"},"uris":["http://www.mendeley.com/documents/?uuid=eb5ae7a5-21c7-3530-b22c-93b7be99b9b8"]}],"mendeley":{"formattedCitation":"&lt;sup&gt;62&lt;/sup&gt;","plainTextFormattedCitation":"62","previouslyFormattedCitation":"&lt;sup&gt;62&lt;/sup&gt;"},"properties":{"noteIndex":0},"schema":"https://github.com/citation-style-language/schema/raw/master/csl-citation.json"}</w:instrText>
      </w:r>
      <w:r w:rsidRPr="00C83023">
        <w:fldChar w:fldCharType="separate"/>
      </w:r>
      <w:r w:rsidR="00BA4B30" w:rsidRPr="00BA4B30">
        <w:rPr>
          <w:noProof/>
          <w:vertAlign w:val="superscript"/>
        </w:rPr>
        <w:t>62</w:t>
      </w:r>
      <w:r w:rsidRPr="00C83023">
        <w:fldChar w:fldCharType="end"/>
      </w:r>
      <w:r w:rsidRPr="00C83023">
        <w:t xml:space="preserve"> These frameworks were then assessed against a random 2% of the ZINC database.</w:t>
      </w:r>
      <w:r w:rsidRPr="00C83023">
        <w:fldChar w:fldCharType="begin" w:fldLock="1"/>
      </w:r>
      <w:r w:rsidR="00BA4B30">
        <w:instrText>ADDIN CSL_CITATION {"citationItems":[{"id":"ITEM-1","itemData":{"DOI":"10.1021/ci3001277","ISSN":"1549-9596","PMID":"22587354","abstract":"ZINC is a free public resource for ligand discovery. The database contains over twenty million commercially available molecules in biologically relevant representations that may be downloaded in popular ready-to-dock formats and subsets. The Web site also enables searches by structure, biological activity, physical property, vendor, catalog number, name, and CAS number. Small custom subsets may be created, edited, shared, docked, downloaded, and conveyed to a vendor for purchase. The database is maintained and curated for a high purchasing success rate and is freely available at zinc.docking.org. © 2012 American Chemical Society.","author":[{"dropping-particle":"","family":"Irwin","given":"John J.","non-dropping-particle":"","parse-names":false,"suffix":""},{"dropping-particle":"","family":"Sterling","given":"Teague","non-dropping-particle":"","parse-names":false,"suffix":""},{"dropping-particle":"","family":"Mysinger","given":"Michael M.","non-dropping-particle":"","parse-names":false,"suffix":""},{"dropping-particle":"","family":"Bolstad","given":"Erin S.","non-dropping-particle":"","parse-names":false,"suffix":""},{"dropping-particle":"","family":"Coleman","given":"Ryan G.","non-dropping-particle":"","parse-names":false,"suffix":""}],"container-title":"Journal of Chemical Information and Modeling","id":"ITEM-1","issue":"7","issued":{"date-parts":[["2012","7","23"]]},"page":"1757-1768","publisher":"American Chemical Society","title":"ZINC: A Free Tool to Discover Chemistry for Biology","type":"article-journal","volume":"52"},"uris":["http://www.mendeley.com/documents/?uuid=be180f70-c58c-3054-84ab-8ddc15f68823"]}],"mendeley":{"formattedCitation":"&lt;sup&gt;51&lt;/sup&gt;","plainTextFormattedCitation":"51","previouslyFormattedCitation":"&lt;sup&gt;51&lt;/sup&gt;"},"properties":{"noteIndex":0},"schema":"https://github.com/citation-style-language/schema/raw/master/csl-citation.json"}</w:instrText>
      </w:r>
      <w:r w:rsidRPr="00C83023">
        <w:fldChar w:fldCharType="separate"/>
      </w:r>
      <w:r w:rsidR="00BA4B30" w:rsidRPr="00BA4B30">
        <w:rPr>
          <w:noProof/>
          <w:vertAlign w:val="superscript"/>
        </w:rPr>
        <w:t>51</w:t>
      </w:r>
      <w:r w:rsidRPr="00C83023">
        <w:fldChar w:fldCharType="end"/>
      </w:r>
      <w:r w:rsidRPr="00C83023">
        <w:t xml:space="preserve"> Finally, the molecules were analyzed by principal moments of inertia (PMI) analysis, in order to determine shape distribution. Thus, the system randomly generated a number of 3D conformers of each molecule and minimized their energy, selecting the lowest energy conformer for further analysis. The moments of inertia were then calculated along the X, Y, and Z-axis, with the I1 coordinates calculated by dividing inertia(X) by </w:t>
      </w:r>
      <w:proofErr w:type="gramStart"/>
      <w:r w:rsidRPr="00C83023">
        <w:t>inertia(</w:t>
      </w:r>
      <w:proofErr w:type="gramEnd"/>
      <w:r w:rsidRPr="00C83023">
        <w:t>Z) and I2 by dividing inertia(Y) by inertia(Z). The resulting PMI plot of I1 against I2 provides an indication of whether the molecule is rod (I1=1.0, I2=0.0), disc (I1=0.5, I2=0.5) or sphere (I1=1.0, I2=1.0)-like in nature (</w:t>
      </w:r>
      <w:r w:rsidRPr="00C83023">
        <w:rPr>
          <w:b/>
        </w:rPr>
        <w:t>Figure 3</w:t>
      </w:r>
      <w:r w:rsidRPr="00C83023">
        <w:t>).</w:t>
      </w:r>
      <w:r>
        <w:t xml:space="preserve"> </w:t>
      </w:r>
    </w:p>
    <w:p w:rsidR="00D27CC8" w:rsidRDefault="00D27CC8" w:rsidP="00D27CC8">
      <w:pPr>
        <w:pStyle w:val="ElsHeading2"/>
      </w:pPr>
      <w:r>
        <w:t>Compound Data</w:t>
      </w:r>
    </w:p>
    <w:p w:rsidR="00D27CC8" w:rsidRPr="00340C88" w:rsidRDefault="00D27CC8" w:rsidP="00D27CC8">
      <w:pPr>
        <w:pStyle w:val="ElsParagraph"/>
      </w:pPr>
      <w:bookmarkStart w:id="0" w:name="_Toc34234596"/>
      <w:r w:rsidRPr="00617C21">
        <w:rPr>
          <w:b/>
        </w:rPr>
        <w:t>2-[(1</w:t>
      </w:r>
      <w:r w:rsidRPr="00617C21">
        <w:rPr>
          <w:b/>
          <w:i/>
        </w:rPr>
        <w:t>S</w:t>
      </w:r>
      <w:r w:rsidRPr="00617C21">
        <w:rPr>
          <w:b/>
        </w:rPr>
        <w:t>*</w:t>
      </w:r>
      <w:proofErr w:type="gramStart"/>
      <w:r w:rsidRPr="00617C21">
        <w:rPr>
          <w:b/>
        </w:rPr>
        <w:t>,5</w:t>
      </w:r>
      <w:r w:rsidRPr="00617C21">
        <w:rPr>
          <w:b/>
          <w:i/>
        </w:rPr>
        <w:t>S</w:t>
      </w:r>
      <w:proofErr w:type="gramEnd"/>
      <w:r w:rsidRPr="00617C21">
        <w:rPr>
          <w:b/>
        </w:rPr>
        <w:t>*,7</w:t>
      </w:r>
      <w:r w:rsidRPr="00617C21">
        <w:rPr>
          <w:b/>
          <w:i/>
        </w:rPr>
        <w:t>S</w:t>
      </w:r>
      <w:r w:rsidRPr="00617C21">
        <w:rPr>
          <w:b/>
        </w:rPr>
        <w:t>*)-4-Oxo-3,10-dioxatricyclo-[5.2.1.0</w:t>
      </w:r>
      <w:r w:rsidRPr="00617C21">
        <w:rPr>
          <w:b/>
          <w:vertAlign w:val="superscript"/>
        </w:rPr>
        <w:t>1,5</w:t>
      </w:r>
      <w:r w:rsidRPr="00617C21">
        <w:rPr>
          <w:b/>
        </w:rPr>
        <w:t>]dec-8-en-5-yl]</w:t>
      </w:r>
      <w:r>
        <w:rPr>
          <w:b/>
        </w:rPr>
        <w:t xml:space="preserve"> </w:t>
      </w:r>
      <w:r w:rsidRPr="00617C21">
        <w:rPr>
          <w:b/>
        </w:rPr>
        <w:t>acetic acid</w:t>
      </w:r>
      <w:r>
        <w:t xml:space="preserve"> (</w:t>
      </w:r>
      <w:r>
        <w:rPr>
          <w:b/>
        </w:rPr>
        <w:t>12</w:t>
      </w:r>
      <w:r>
        <w:t>)</w:t>
      </w:r>
      <w:bookmarkEnd w:id="0"/>
      <w:r>
        <w:t xml:space="preserve">: Acid </w:t>
      </w:r>
      <w:r>
        <w:rPr>
          <w:b/>
        </w:rPr>
        <w:t>12</w:t>
      </w:r>
      <w:r>
        <w:t xml:space="preserve"> was prepared from itaconic anhydride </w:t>
      </w:r>
      <w:r w:rsidRPr="00340C88">
        <w:t>and furfuryl alcohol using either of the procedures described below. Solvent Free</w:t>
      </w:r>
      <w:r w:rsidR="00830BA2" w:rsidRPr="00340C88">
        <w:t>: Itaconic anhydride (3.0 g, 2</w:t>
      </w:r>
      <w:r w:rsidRPr="00340C88">
        <w:t xml:space="preserve">7 </w:t>
      </w:r>
      <w:proofErr w:type="spellStart"/>
      <w:r w:rsidRPr="00340C88">
        <w:t>mmol</w:t>
      </w:r>
      <w:proofErr w:type="spellEnd"/>
      <w:r w:rsidRPr="00340C88">
        <w:t xml:space="preserve">, 1.0 eq.) was suspended </w:t>
      </w:r>
      <w:r w:rsidR="00830BA2" w:rsidRPr="00340C88">
        <w:t>in furfuryl alcohol (2.3 mL, 2</w:t>
      </w:r>
      <w:r w:rsidRPr="00340C88">
        <w:t xml:space="preserve">7 </w:t>
      </w:r>
      <w:proofErr w:type="spellStart"/>
      <w:r w:rsidRPr="00340C88">
        <w:t>mmol</w:t>
      </w:r>
      <w:proofErr w:type="spellEnd"/>
      <w:r w:rsidRPr="00340C88">
        <w:t xml:space="preserve">, 1.0 eq.), the slurry obtained was allowed to stir at ambient temperature. After </w:t>
      </w:r>
      <w:r w:rsidRPr="00340C88">
        <w:rPr>
          <w:i/>
        </w:rPr>
        <w:t>circa</w:t>
      </w:r>
      <w:r w:rsidRPr="00340C88">
        <w:t xml:space="preserve"> 5 h, the suspension had thickened to a paste could no longer be stirred. The reaction mixture was left for a further 19 h until a tan solid had formed. The crude material was then purified by recrystallization from acetone to give the target acid </w:t>
      </w:r>
      <w:r w:rsidRPr="00340C88">
        <w:rPr>
          <w:b/>
        </w:rPr>
        <w:t>12</w:t>
      </w:r>
      <w:r w:rsidRPr="00340C88">
        <w:t xml:space="preserve"> as an o</w:t>
      </w:r>
      <w:r w:rsidR="00830BA2" w:rsidRPr="00340C88">
        <w:t>ff-white crystalline solid (3.8</w:t>
      </w:r>
      <w:r w:rsidRPr="00340C88">
        <w:t xml:space="preserve"> g, 68%). Reaction solvent: </w:t>
      </w:r>
      <w:proofErr w:type="spellStart"/>
      <w:r w:rsidRPr="00340C88">
        <w:t>Itaconic</w:t>
      </w:r>
      <w:proofErr w:type="spellEnd"/>
      <w:r w:rsidRPr="00340C88">
        <w:t xml:space="preserve"> anhydride (25</w:t>
      </w:r>
      <w:r w:rsidR="00830BA2" w:rsidRPr="00340C88">
        <w:t>.0</w:t>
      </w:r>
      <w:r w:rsidRPr="00340C88">
        <w:t xml:space="preserve"> g, 223 </w:t>
      </w:r>
      <w:proofErr w:type="spellStart"/>
      <w:r w:rsidRPr="00340C88">
        <w:t>mmol</w:t>
      </w:r>
      <w:proofErr w:type="spellEnd"/>
      <w:r w:rsidRPr="00340C88">
        <w:t xml:space="preserve">, </w:t>
      </w:r>
      <w:proofErr w:type="gramStart"/>
      <w:r w:rsidRPr="00340C88">
        <w:t>1.0</w:t>
      </w:r>
      <w:proofErr w:type="gramEnd"/>
      <w:r w:rsidRPr="00340C88">
        <w:t xml:space="preserve"> eq.) and furfuryl alcohol (19.4 mL, 223 </w:t>
      </w:r>
      <w:proofErr w:type="spellStart"/>
      <w:r w:rsidRPr="00340C88">
        <w:t>mmol</w:t>
      </w:r>
      <w:proofErr w:type="spellEnd"/>
      <w:r w:rsidRPr="00340C88">
        <w:t xml:space="preserve">, 1.0 eq.) were suspended in acetonitrile (12 mL) and the slurry allowed to stir at ambient temperature, after 24 h a white suspension had formed. The solid was removed by filtration and the filtrate was concentrated </w:t>
      </w:r>
      <w:r w:rsidRPr="00340C88">
        <w:rPr>
          <w:i/>
        </w:rPr>
        <w:t xml:space="preserve">in </w:t>
      </w:r>
      <w:proofErr w:type="spellStart"/>
      <w:r w:rsidRPr="00340C88">
        <w:rPr>
          <w:i/>
        </w:rPr>
        <w:t>vacuo</w:t>
      </w:r>
      <w:proofErr w:type="spellEnd"/>
      <w:r w:rsidRPr="00340C88">
        <w:t xml:space="preserve">. The concentrated filtrate was suspended in </w:t>
      </w:r>
      <w:proofErr w:type="spellStart"/>
      <w:r w:rsidRPr="00340C88">
        <w:t>EtOAc</w:t>
      </w:r>
      <w:proofErr w:type="spellEnd"/>
      <w:r w:rsidRPr="00340C88">
        <w:t xml:space="preserve"> (100 mL) and filtered. The obtained solids were combined and recrystallized from acetone, to give the target acid </w:t>
      </w:r>
      <w:r w:rsidRPr="00340C88">
        <w:rPr>
          <w:b/>
        </w:rPr>
        <w:t>12</w:t>
      </w:r>
      <w:r w:rsidRPr="00340C88">
        <w:t xml:space="preserve"> as an of</w:t>
      </w:r>
      <w:r w:rsidR="00830BA2" w:rsidRPr="00340C88">
        <w:t>f-white crystalline solid (20.0</w:t>
      </w:r>
      <w:r w:rsidRPr="00340C88">
        <w:t xml:space="preserve"> g, 43%). </w:t>
      </w:r>
      <w:proofErr w:type="spellStart"/>
      <w:r w:rsidRPr="00340C88">
        <w:t>m.p</w:t>
      </w:r>
      <w:proofErr w:type="spellEnd"/>
      <w:r w:rsidRPr="00340C88">
        <w:t xml:space="preserve">. 130.9–131.5 </w:t>
      </w:r>
      <w:r w:rsidRPr="00340C88">
        <w:rPr>
          <w:rFonts w:cs="Times"/>
        </w:rPr>
        <w:t>°</w:t>
      </w:r>
      <w:r w:rsidRPr="00340C88">
        <w:t>C;</w:t>
      </w:r>
      <w:r w:rsidRPr="00340C88">
        <w:rPr>
          <w:rFonts w:cstheme="minorHAnsi"/>
          <w:b/>
        </w:rPr>
        <w:t xml:space="preserve"> </w:t>
      </w:r>
      <w:r w:rsidRPr="00340C88">
        <w:rPr>
          <w:rFonts w:cstheme="minorHAnsi"/>
        </w:rPr>
        <w:t xml:space="preserve">IR (Neat) </w:t>
      </w:r>
      <w:proofErr w:type="spellStart"/>
      <w:r w:rsidRPr="00340C88">
        <w:rPr>
          <w:rFonts w:cstheme="minorHAnsi"/>
        </w:rPr>
        <w:t>υ</w:t>
      </w:r>
      <w:r w:rsidRPr="00340C88">
        <w:rPr>
          <w:rFonts w:cstheme="minorHAnsi"/>
          <w:vertAlign w:val="subscript"/>
        </w:rPr>
        <w:t>max</w:t>
      </w:r>
      <w:proofErr w:type="spellEnd"/>
      <w:r w:rsidRPr="00340C88">
        <w:rPr>
          <w:rFonts w:cstheme="minorHAnsi"/>
        </w:rPr>
        <w:t xml:space="preserve"> 3100 (m), 1776 (s) and 1733 (s) cm</w:t>
      </w:r>
      <w:r w:rsidRPr="00340C88">
        <w:rPr>
          <w:rFonts w:cstheme="minorHAnsi"/>
          <w:vertAlign w:val="superscript"/>
        </w:rPr>
        <w:t>-1</w:t>
      </w:r>
      <w:r w:rsidRPr="00340C88">
        <w:rPr>
          <w:rFonts w:cstheme="minorHAnsi"/>
        </w:rPr>
        <w:t>;</w:t>
      </w:r>
      <w:r w:rsidRPr="00340C88">
        <w:t xml:space="preserve"> </w:t>
      </w:r>
      <w:r w:rsidRPr="00340C88">
        <w:rPr>
          <w:vertAlign w:val="superscript"/>
        </w:rPr>
        <w:t>1</w:t>
      </w:r>
      <w:r w:rsidRPr="00340C88">
        <w:t>H NMR (400 MHz, CD</w:t>
      </w:r>
      <w:r w:rsidRPr="00340C88">
        <w:rPr>
          <w:vertAlign w:val="subscript"/>
        </w:rPr>
        <w:t>3</w:t>
      </w:r>
      <w:r w:rsidRPr="00340C88">
        <w:t>OD): δ = 6.59 (</w:t>
      </w:r>
      <w:proofErr w:type="spellStart"/>
      <w:r w:rsidRPr="00340C88">
        <w:t>dd</w:t>
      </w:r>
      <w:proofErr w:type="spellEnd"/>
      <w:r w:rsidRPr="00340C88">
        <w:t xml:space="preserve">, </w:t>
      </w:r>
      <w:r w:rsidRPr="00340C88">
        <w:rPr>
          <w:i/>
        </w:rPr>
        <w:t>J</w:t>
      </w:r>
      <w:r w:rsidRPr="00340C88">
        <w:t xml:space="preserve"> = 5.9, 1.7 Hz, 1H, 1-H), 6.55 (d, </w:t>
      </w:r>
      <w:r w:rsidRPr="00340C88">
        <w:rPr>
          <w:i/>
        </w:rPr>
        <w:t>J</w:t>
      </w:r>
      <w:r w:rsidRPr="00340C88">
        <w:t xml:space="preserve"> = 5.9 Hz, 1H, 2-H), 5.02 (</w:t>
      </w:r>
      <w:proofErr w:type="spellStart"/>
      <w:r w:rsidRPr="00340C88">
        <w:t>dd</w:t>
      </w:r>
      <w:proofErr w:type="spellEnd"/>
      <w:r w:rsidRPr="00340C88">
        <w:t xml:space="preserve">, </w:t>
      </w:r>
      <w:r w:rsidRPr="00340C88">
        <w:rPr>
          <w:i/>
        </w:rPr>
        <w:t>J</w:t>
      </w:r>
      <w:r w:rsidRPr="00340C88">
        <w:t xml:space="preserve"> = 4.7, 1.6 Hz, 1H, 6-H), 4.92 (d, </w:t>
      </w:r>
      <w:r w:rsidRPr="00340C88">
        <w:rPr>
          <w:i/>
        </w:rPr>
        <w:t>J</w:t>
      </w:r>
      <w:r w:rsidRPr="00340C88">
        <w:t xml:space="preserve"> = 10.8 Hz, 1H, 7-H), 4.54 (d, </w:t>
      </w:r>
      <w:r w:rsidRPr="00340C88">
        <w:rPr>
          <w:i/>
        </w:rPr>
        <w:t>J</w:t>
      </w:r>
      <w:r w:rsidRPr="00340C88">
        <w:t xml:space="preserve"> = 10.8 Hz, 1H, 7-H), 2.44–2.35 (m, 3H, 5/9-H), 1.55 (d, </w:t>
      </w:r>
      <w:r w:rsidRPr="00340C88">
        <w:rPr>
          <w:i/>
        </w:rPr>
        <w:t>J</w:t>
      </w:r>
      <w:r w:rsidRPr="00340C88">
        <w:t xml:space="preserve"> = 12.3 Hz, 1H, 5-H); </w:t>
      </w:r>
      <w:r w:rsidRPr="00340C88">
        <w:rPr>
          <w:vertAlign w:val="superscript"/>
        </w:rPr>
        <w:t>13</w:t>
      </w:r>
      <w:r w:rsidRPr="00340C88">
        <w:t>C NMR (100 MHz, CD</w:t>
      </w:r>
      <w:r w:rsidRPr="00340C88">
        <w:rPr>
          <w:vertAlign w:val="subscript"/>
        </w:rPr>
        <w:t>3</w:t>
      </w:r>
      <w:r w:rsidRPr="00340C88">
        <w:t xml:space="preserve">OD): δ = 180.0 (8), 173.0 (10), 139.3 (1), 131.5 (2), 95.6 (3), 80.1 (6), 70.0 (7), 53.3 (4), 40.7 (9), 37.7 (5); HRMS (ESI) </w:t>
      </w:r>
      <w:r w:rsidRPr="00340C88">
        <w:rPr>
          <w:i/>
        </w:rPr>
        <w:t>m</w:t>
      </w:r>
      <w:r w:rsidRPr="00340C88">
        <w:t>/</w:t>
      </w:r>
      <w:r w:rsidRPr="00340C88">
        <w:rPr>
          <w:i/>
        </w:rPr>
        <w:t>z</w:t>
      </w:r>
      <w:r w:rsidRPr="00340C88">
        <w:t xml:space="preserve"> calculated for C</w:t>
      </w:r>
      <w:r w:rsidRPr="00340C88">
        <w:rPr>
          <w:vertAlign w:val="subscript"/>
        </w:rPr>
        <w:t>10</w:t>
      </w:r>
      <w:r w:rsidRPr="00340C88">
        <w:softHyphen/>
        <w:t>H</w:t>
      </w:r>
      <w:r w:rsidRPr="00340C88">
        <w:rPr>
          <w:vertAlign w:val="subscript"/>
        </w:rPr>
        <w:t>10</w:t>
      </w:r>
      <w:r w:rsidRPr="00340C88">
        <w:softHyphen/>
        <w:t>NaO</w:t>
      </w:r>
      <w:r w:rsidRPr="00340C88">
        <w:rPr>
          <w:vertAlign w:val="subscript"/>
        </w:rPr>
        <w:t>5</w:t>
      </w:r>
      <w:r w:rsidRPr="00340C88">
        <w:t xml:space="preserve"> 233.0420 (</w:t>
      </w:r>
      <w:proofErr w:type="spellStart"/>
      <w:r w:rsidRPr="00340C88">
        <w:t>M+Na</w:t>
      </w:r>
      <w:proofErr w:type="spellEnd"/>
      <w:r w:rsidRPr="00340C88">
        <w:t>)</w:t>
      </w:r>
      <w:r w:rsidRPr="00340C88">
        <w:rPr>
          <w:vertAlign w:val="superscript"/>
        </w:rPr>
        <w:t>+</w:t>
      </w:r>
      <w:r w:rsidRPr="00340C88">
        <w:t>, found 233.0417, 1.2 ppm error. Data is consistent with previously reported characterization data.</w:t>
      </w:r>
      <w:r w:rsidRPr="00340C88">
        <w:fldChar w:fldCharType="begin" w:fldLock="1"/>
      </w:r>
      <w:r w:rsidR="00BA4B30" w:rsidRPr="00340C88">
        <w:instrText>ADDIN CSL_CITATION {"citationItems":[{"id":"ITEM-1","itemData":{"DOI":"10.1039/C6GC00623J","ISSN":"1463-9262","abstract":"A tandem Diels–Alder addition and lactonisation between bio-derivable itaconic anhydride and furfuryl alcohol can be used to prepare novel monomers for ROMP.","author":[{"dropping-particle":"","family":"Bai","given":"Yinjuan","non-dropping-particle":"","parse-names":false,"suffix":""},{"dropping-particle":"","family":"bruyn","given":"Mario","non-dropping-particle":"De","parse-names":false,"suffix":""},{"dropping-particle":"","family":"Clark","given":"James H.","non-dropping-particle":"","parse-names":false,"suffix":""},{"dropping-particle":"","family":"Dodson","given":"Jennifer R.","non-dropping-particle":"","parse-names":false,"suffix":""},{"dropping-particle":"","family":"Farmer","given":"Thomas J.","non-dropping-particle":"","parse-names":false,"suffix":""},{"dropping-particle":"","family":"Honoré","given":"Mathilde","non-dropping-particle":"","parse-names":false,"suffix":""},{"dropping-particle":"V.","family":"Ingram","given":"Ian D.","non-dropping-particle":"","parse-names":false,"suffix":""},{"dropping-particle":"","family":"Naguib","given":"Mohamed","non-dropping-particle":"","parse-names":false,"suffix":""},{"dropping-particle":"","family":"Whitwood","given":"Adrian C.","non-dropping-particle":"","parse-names":false,"suffix":""},{"dropping-particle":"","family":"North","given":"Michael","non-dropping-particle":"","parse-names":false,"suffix":""}],"container-title":"Green Chemistry","id":"ITEM-1","issue":"14","issued":{"date-parts":[["2016","7","11"]]},"page":"3945-3948","publisher":"Royal Society of Chemistry","title":"Ring opening metathesis polymerisation of a new bio-derived monomer from itaconic anhydride and furfuryl alcohol","type":"article-journal","volume":"18"},"uris":["http://www.mendeley.com/documents/?uuid=5f31e7f8-91a5-34d1-a677-4ad3478446ef"]}],"mendeley":{"formattedCitation":"&lt;sup&gt;36&lt;/sup&gt;","plainTextFormattedCitation":"36","previouslyFormattedCitation":"&lt;sup&gt;36&lt;/sup&gt;"},"properties":{"noteIndex":0},"schema":"https://github.com/citation-style-language/schema/raw/master/csl-citation.json"}</w:instrText>
      </w:r>
      <w:r w:rsidRPr="00340C88">
        <w:fldChar w:fldCharType="separate"/>
      </w:r>
      <w:r w:rsidR="00BA4B30" w:rsidRPr="00340C88">
        <w:rPr>
          <w:noProof/>
          <w:vertAlign w:val="superscript"/>
        </w:rPr>
        <w:t>36</w:t>
      </w:r>
      <w:r w:rsidRPr="00340C88">
        <w:fldChar w:fldCharType="end"/>
      </w:r>
    </w:p>
    <w:p w:rsidR="00D27CC8" w:rsidRPr="00340C88" w:rsidRDefault="00D27CC8" w:rsidP="00D27CC8">
      <w:pPr>
        <w:pStyle w:val="ElsParagraph"/>
      </w:pPr>
      <w:bookmarkStart w:id="1" w:name="_Toc34234597"/>
      <w:r w:rsidRPr="00340C88">
        <w:rPr>
          <w:b/>
        </w:rPr>
        <w:t xml:space="preserve">General procedure for the synthesis of secondary amides from </w:t>
      </w:r>
      <w:bookmarkEnd w:id="1"/>
      <w:r w:rsidRPr="00340C88">
        <w:rPr>
          <w:b/>
        </w:rPr>
        <w:t>12.</w:t>
      </w:r>
      <w:r w:rsidRPr="00340C88">
        <w:t xml:space="preserve"> Acid </w:t>
      </w:r>
      <w:r w:rsidRPr="00340C88">
        <w:rPr>
          <w:b/>
        </w:rPr>
        <w:t xml:space="preserve">12 </w:t>
      </w:r>
      <w:r w:rsidR="00830BA2" w:rsidRPr="00340C88">
        <w:t>(2.0 g, 9.5</w:t>
      </w:r>
      <w:r w:rsidRPr="00340C88">
        <w:t xml:space="preserve"> </w:t>
      </w:r>
      <w:proofErr w:type="spellStart"/>
      <w:r w:rsidRPr="00340C88">
        <w:t>mmol</w:t>
      </w:r>
      <w:proofErr w:type="spellEnd"/>
      <w:r w:rsidRPr="00340C88">
        <w:t>, 1.0 eq.) was suspended in anhydrous CH</w:t>
      </w:r>
      <w:r w:rsidRPr="00340C88">
        <w:rPr>
          <w:vertAlign w:val="subscript"/>
        </w:rPr>
        <w:t>2</w:t>
      </w:r>
      <w:r w:rsidRPr="00340C88">
        <w:t>Cl</w:t>
      </w:r>
      <w:r w:rsidRPr="00340C88">
        <w:rPr>
          <w:vertAlign w:val="subscript"/>
        </w:rPr>
        <w:t>2</w:t>
      </w:r>
      <w:r w:rsidRPr="00340C88">
        <w:rPr>
          <w:vertAlign w:val="superscript"/>
        </w:rPr>
        <w:t xml:space="preserve"> </w:t>
      </w:r>
      <w:r w:rsidRPr="00340C88">
        <w:t>(5 mL) under an atmosphere of nitrogen. The suspension was cooled to 0 °C and oxalyl chloride 2.0 M solution in CH</w:t>
      </w:r>
      <w:r w:rsidRPr="00340C88">
        <w:rPr>
          <w:vertAlign w:val="subscript"/>
        </w:rPr>
        <w:t>2</w:t>
      </w:r>
      <w:r w:rsidRPr="00340C88">
        <w:t>Cl</w:t>
      </w:r>
      <w:r w:rsidRPr="00340C88">
        <w:rPr>
          <w:vertAlign w:val="subscript"/>
        </w:rPr>
        <w:t>2</w:t>
      </w:r>
      <w:r w:rsidRPr="00340C88">
        <w:t xml:space="preserve"> (12 mL, 24 </w:t>
      </w:r>
      <w:proofErr w:type="spellStart"/>
      <w:r w:rsidRPr="00340C88">
        <w:t>mmol</w:t>
      </w:r>
      <w:proofErr w:type="spellEnd"/>
      <w:r w:rsidRPr="00340C88">
        <w:t xml:space="preserve">, 2.5 eq.) was added dropwise over 10 minutes, followed by DMF (4 drops). The suspension was stirred at ambient temperature until a solution was obtained, after which it was concentrated </w:t>
      </w:r>
      <w:r w:rsidRPr="00340C88">
        <w:rPr>
          <w:i/>
        </w:rPr>
        <w:t xml:space="preserve">in </w:t>
      </w:r>
      <w:proofErr w:type="spellStart"/>
      <w:r w:rsidRPr="00340C88">
        <w:rPr>
          <w:i/>
        </w:rPr>
        <w:t>vacuo</w:t>
      </w:r>
      <w:proofErr w:type="spellEnd"/>
      <w:r w:rsidRPr="00340C88">
        <w:t>, to yield the crude acid chloride as a light brown solid. The crude material was redissolved in fresh anhydrous CH</w:t>
      </w:r>
      <w:r w:rsidRPr="00340C88">
        <w:rPr>
          <w:vertAlign w:val="subscript"/>
        </w:rPr>
        <w:t>2</w:t>
      </w:r>
      <w:r w:rsidRPr="00340C88">
        <w:t>Cl</w:t>
      </w:r>
      <w:r w:rsidRPr="00340C88">
        <w:rPr>
          <w:vertAlign w:val="subscript"/>
        </w:rPr>
        <w:t>2</w:t>
      </w:r>
      <w:r w:rsidRPr="00340C88">
        <w:t xml:space="preserve"> (10 mL) and cooled </w:t>
      </w:r>
      <w:r w:rsidR="00830BA2" w:rsidRPr="00340C88">
        <w:t>to 0 °C. Pyridine (0.77 mL, 9.5</w:t>
      </w:r>
      <w:r w:rsidRPr="00340C88">
        <w:t xml:space="preserve"> </w:t>
      </w:r>
      <w:proofErr w:type="spellStart"/>
      <w:r w:rsidRPr="00340C88">
        <w:t>mmol</w:t>
      </w:r>
      <w:proofErr w:type="spellEnd"/>
      <w:r w:rsidRPr="00340C88">
        <w:t>, 1.0 eq.) was then added dropwise, fol</w:t>
      </w:r>
      <w:r w:rsidR="00830BA2" w:rsidRPr="00340C88">
        <w:t>lowed by the primary amine (9.5</w:t>
      </w:r>
      <w:r w:rsidRPr="00340C88">
        <w:t xml:space="preserve"> </w:t>
      </w:r>
      <w:proofErr w:type="spellStart"/>
      <w:r w:rsidRPr="00340C88">
        <w:t>mmol</w:t>
      </w:r>
      <w:proofErr w:type="spellEnd"/>
      <w:r w:rsidRPr="00340C88">
        <w:t>, 1.0 eq.) in CH</w:t>
      </w:r>
      <w:r w:rsidRPr="00340C88">
        <w:rPr>
          <w:vertAlign w:val="subscript"/>
        </w:rPr>
        <w:t>2</w:t>
      </w:r>
      <w:r w:rsidRPr="00340C88">
        <w:t>Cl</w:t>
      </w:r>
      <w:r w:rsidRPr="00340C88">
        <w:rPr>
          <w:vertAlign w:val="subscript"/>
        </w:rPr>
        <w:t>2</w:t>
      </w:r>
      <w:r w:rsidRPr="00340C88">
        <w:t xml:space="preserve"> (10 mL). The solution was allowed to stir at ambient temperature overnight before diluting with CH</w:t>
      </w:r>
      <w:r w:rsidRPr="00340C88">
        <w:rPr>
          <w:vertAlign w:val="subscript"/>
        </w:rPr>
        <w:t>2</w:t>
      </w:r>
      <w:r w:rsidRPr="00340C88">
        <w:t>Cl</w:t>
      </w:r>
      <w:r w:rsidRPr="00340C88">
        <w:rPr>
          <w:vertAlign w:val="subscript"/>
        </w:rPr>
        <w:t>2</w:t>
      </w:r>
      <w:r w:rsidRPr="00340C88">
        <w:t xml:space="preserve"> (30 mL) and H</w:t>
      </w:r>
      <w:r w:rsidRPr="00340C88">
        <w:rPr>
          <w:vertAlign w:val="subscript"/>
        </w:rPr>
        <w:t>2</w:t>
      </w:r>
      <w:r w:rsidRPr="00340C88">
        <w:t xml:space="preserve">O (50 mL). The </w:t>
      </w:r>
      <w:r w:rsidRPr="00340C88">
        <w:lastRenderedPageBreak/>
        <w:t xml:space="preserve">organic layer was separated and further washed with 1M </w:t>
      </w:r>
      <w:proofErr w:type="spellStart"/>
      <w:proofErr w:type="gramStart"/>
      <w:r w:rsidRPr="00340C88">
        <w:t>HCl</w:t>
      </w:r>
      <w:proofErr w:type="spellEnd"/>
      <w:r w:rsidRPr="00340C88">
        <w:rPr>
          <w:vertAlign w:val="subscript"/>
        </w:rPr>
        <w:t>(</w:t>
      </w:r>
      <w:proofErr w:type="spellStart"/>
      <w:proofErr w:type="gramEnd"/>
      <w:r w:rsidRPr="00340C88">
        <w:rPr>
          <w:vertAlign w:val="subscript"/>
        </w:rPr>
        <w:t>aq</w:t>
      </w:r>
      <w:proofErr w:type="spellEnd"/>
      <w:r w:rsidRPr="00340C88">
        <w:rPr>
          <w:vertAlign w:val="subscript"/>
        </w:rPr>
        <w:t>)</w:t>
      </w:r>
      <w:r w:rsidRPr="00340C88">
        <w:t xml:space="preserve"> (50 mL), H</w:t>
      </w:r>
      <w:r w:rsidRPr="00340C88">
        <w:rPr>
          <w:vertAlign w:val="subscript"/>
        </w:rPr>
        <w:t>2</w:t>
      </w:r>
      <w:r w:rsidRPr="00340C88">
        <w:t>O (50 mL) and brine (50 mL). The organic layer was then dried (MgSO</w:t>
      </w:r>
      <w:r w:rsidRPr="00340C88">
        <w:rPr>
          <w:vertAlign w:val="subscript"/>
        </w:rPr>
        <w:t>4</w:t>
      </w:r>
      <w:r w:rsidRPr="00340C88">
        <w:t xml:space="preserve">), filtered and concentrated </w:t>
      </w:r>
      <w:r w:rsidRPr="00340C88">
        <w:rPr>
          <w:i/>
        </w:rPr>
        <w:t xml:space="preserve">in </w:t>
      </w:r>
      <w:proofErr w:type="spellStart"/>
      <w:r w:rsidRPr="00340C88">
        <w:rPr>
          <w:i/>
        </w:rPr>
        <w:t>vacuo</w:t>
      </w:r>
      <w:proofErr w:type="spellEnd"/>
      <w:r w:rsidRPr="00340C88">
        <w:t xml:space="preserve">. </w:t>
      </w:r>
    </w:p>
    <w:p w:rsidR="00D27CC8" w:rsidRPr="00340C88" w:rsidRDefault="00D27CC8" w:rsidP="00D27CC8">
      <w:pPr>
        <w:pStyle w:val="ElsParagraph"/>
      </w:pPr>
      <w:bookmarkStart w:id="2" w:name="_Toc34234598"/>
      <w:r w:rsidRPr="00340C88">
        <w:rPr>
          <w:b/>
          <w:i/>
        </w:rPr>
        <w:t>N</w:t>
      </w:r>
      <w:r w:rsidRPr="00340C88">
        <w:rPr>
          <w:b/>
        </w:rPr>
        <w:t>-Butyl-2-[(1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S</w:t>
      </w:r>
      <w:r w:rsidRPr="00340C88">
        <w:rPr>
          <w:b/>
        </w:rPr>
        <w:t>*))-4-oxo-3,10-dioxatricyclo</w:t>
      </w:r>
      <w:r w:rsidR="00830BA2" w:rsidRPr="00340C88">
        <w:rPr>
          <w:b/>
        </w:rPr>
        <w:t xml:space="preserve"> </w:t>
      </w:r>
      <w:r w:rsidRPr="00340C88">
        <w:rPr>
          <w:b/>
        </w:rPr>
        <w:t>[5.2.1.0</w:t>
      </w:r>
      <w:r w:rsidRPr="00340C88">
        <w:rPr>
          <w:b/>
          <w:vertAlign w:val="superscript"/>
        </w:rPr>
        <w:t>1,5</w:t>
      </w:r>
      <w:r w:rsidRPr="00340C88">
        <w:rPr>
          <w:b/>
        </w:rPr>
        <w:t>]dec-8-en-5-yl]</w:t>
      </w:r>
      <w:proofErr w:type="spellStart"/>
      <w:r w:rsidRPr="00340C88">
        <w:rPr>
          <w:b/>
        </w:rPr>
        <w:t>acetamide</w:t>
      </w:r>
      <w:proofErr w:type="spellEnd"/>
      <w:r w:rsidRPr="00340C88">
        <w:t xml:space="preserve"> (</w:t>
      </w:r>
      <w:r w:rsidRPr="00340C88">
        <w:rPr>
          <w:b/>
        </w:rPr>
        <w:t>20a</w:t>
      </w:r>
      <w:r w:rsidRPr="00340C88">
        <w:t>)</w:t>
      </w:r>
      <w:bookmarkEnd w:id="2"/>
      <w:r w:rsidRPr="00340C88">
        <w:t xml:space="preserve">: Acid </w:t>
      </w:r>
      <w:r w:rsidRPr="00340C88">
        <w:rPr>
          <w:b/>
        </w:rPr>
        <w:t>12</w:t>
      </w:r>
      <w:r w:rsidRPr="00340C88">
        <w:t xml:space="preserve"> (2</w:t>
      </w:r>
      <w:r w:rsidR="00830BA2" w:rsidRPr="00340C88">
        <w:t>.0 g, 9.5</w:t>
      </w:r>
      <w:r w:rsidRPr="00340C88">
        <w:t xml:space="preserve"> </w:t>
      </w:r>
      <w:proofErr w:type="spellStart"/>
      <w:r w:rsidRPr="00340C88">
        <w:t>mmol</w:t>
      </w:r>
      <w:proofErr w:type="spellEnd"/>
      <w:r w:rsidRPr="00340C88">
        <w:t>, 1.0 eq</w:t>
      </w:r>
      <w:r w:rsidR="00830BA2" w:rsidRPr="00340C88">
        <w:t xml:space="preserve">.) and </w:t>
      </w:r>
      <w:proofErr w:type="spellStart"/>
      <w:r w:rsidR="00830BA2" w:rsidRPr="00340C88">
        <w:t>butylamine</w:t>
      </w:r>
      <w:proofErr w:type="spellEnd"/>
      <w:r w:rsidR="00830BA2" w:rsidRPr="00340C88">
        <w:t xml:space="preserve"> (0.94 mL, 9.5</w:t>
      </w:r>
      <w:r w:rsidRPr="00340C88">
        <w:t xml:space="preserve"> </w:t>
      </w:r>
      <w:proofErr w:type="spellStart"/>
      <w:r w:rsidRPr="00340C88">
        <w:t>mmol</w:t>
      </w:r>
      <w:proofErr w:type="spellEnd"/>
      <w:r w:rsidRPr="00340C88">
        <w:t xml:space="preserve">, 1.0 eq.) were coupled according to the general procedure for the synthesis of secondary amides. The crude material was then purified by flash column chromatography (80:20, </w:t>
      </w:r>
      <w:proofErr w:type="spellStart"/>
      <w:r w:rsidRPr="00340C88">
        <w:t>EtOAc</w:t>
      </w:r>
      <w:proofErr w:type="gramStart"/>
      <w:r w:rsidRPr="00340C88">
        <w:t>:PE</w:t>
      </w:r>
      <w:proofErr w:type="spellEnd"/>
      <w:proofErr w:type="gramEnd"/>
      <w:r w:rsidRPr="00340C88">
        <w:t xml:space="preserve">) to give the target compound </w:t>
      </w:r>
      <w:r w:rsidRPr="00340C88">
        <w:rPr>
          <w:b/>
        </w:rPr>
        <w:t>20a</w:t>
      </w:r>
      <w:r w:rsidR="00830BA2" w:rsidRPr="00340C88">
        <w:t xml:space="preserve"> as a white solid (1.7</w:t>
      </w:r>
      <w:r w:rsidRPr="00340C88">
        <w:t xml:space="preserve"> g, 86%). Crystals suitable for X-ray analysis were grown by slow evaporation of an acetone solution.  </w:t>
      </w:r>
      <w:r w:rsidRPr="00340C88">
        <w:rPr>
          <w:i/>
        </w:rPr>
        <w:t>R</w:t>
      </w:r>
      <w:r w:rsidRPr="00340C88">
        <w:rPr>
          <w:vertAlign w:val="subscript"/>
        </w:rPr>
        <w:t>F</w:t>
      </w:r>
      <w:r w:rsidRPr="00340C88">
        <w:t xml:space="preserve"> = 0.18 (80:20, </w:t>
      </w:r>
      <w:proofErr w:type="spellStart"/>
      <w:r w:rsidRPr="00340C88">
        <w:t>EtOAc:PE</w:t>
      </w:r>
      <w:proofErr w:type="spellEnd"/>
      <w:r w:rsidRPr="00340C88">
        <w:t xml:space="preserve">); </w:t>
      </w:r>
      <w:proofErr w:type="spellStart"/>
      <w:r w:rsidRPr="00340C88">
        <w:t>m.p</w:t>
      </w:r>
      <w:proofErr w:type="spellEnd"/>
      <w:r w:rsidRPr="00340C88">
        <w:t xml:space="preserve">. 83.2–83.7 °C; IR (Neat) </w:t>
      </w:r>
      <w:proofErr w:type="spellStart"/>
      <w:r w:rsidRPr="00340C88">
        <w:t>υ</w:t>
      </w:r>
      <w:r w:rsidRPr="00340C88">
        <w:rPr>
          <w:vertAlign w:val="subscript"/>
        </w:rPr>
        <w:t>max</w:t>
      </w:r>
      <w:proofErr w:type="spellEnd"/>
      <w:r w:rsidRPr="00340C88">
        <w:t xml:space="preserve"> 3240 (m), 3078 (w), 2961 (m), 2876 (w), 1768 (s), 1631 (s) and 1562 (s) cm</w:t>
      </w:r>
      <w:r w:rsidRPr="00340C88">
        <w:rPr>
          <w:vertAlign w:val="superscript"/>
        </w:rPr>
        <w:t>-1</w:t>
      </w:r>
      <w:r w:rsidRPr="00340C88">
        <w:t xml:space="preserve">; </w:t>
      </w:r>
      <w:r w:rsidRPr="00340C88">
        <w:rPr>
          <w:vertAlign w:val="superscript"/>
        </w:rPr>
        <w:t>1</w:t>
      </w:r>
      <w:r w:rsidRPr="00340C88">
        <w:t>H NMR (400 MHz, CDCl</w:t>
      </w:r>
      <w:r w:rsidRPr="00340C88">
        <w:rPr>
          <w:vertAlign w:val="subscript"/>
        </w:rPr>
        <w:t>3</w:t>
      </w:r>
      <w:r w:rsidRPr="00340C88">
        <w:t xml:space="preserve">): δ = 6.60 (d, </w:t>
      </w:r>
      <w:r w:rsidRPr="00340C88">
        <w:rPr>
          <w:i/>
        </w:rPr>
        <w:t>J</w:t>
      </w:r>
      <w:r w:rsidRPr="00340C88">
        <w:t xml:space="preserve"> = 5.9 Hz, 1H, 2-H), 6.50 (</w:t>
      </w:r>
      <w:proofErr w:type="spellStart"/>
      <w:r w:rsidRPr="00340C88">
        <w:t>dd</w:t>
      </w:r>
      <w:proofErr w:type="spellEnd"/>
      <w:r w:rsidRPr="00340C88">
        <w:t xml:space="preserve">, </w:t>
      </w:r>
      <w:r w:rsidRPr="00340C88">
        <w:rPr>
          <w:i/>
        </w:rPr>
        <w:t>J</w:t>
      </w:r>
      <w:r w:rsidRPr="00340C88">
        <w:t xml:space="preserve"> = 5.9, 1.8 Hz, 1H, 1-H), 6.34 (</w:t>
      </w:r>
      <w:proofErr w:type="spellStart"/>
      <w:r w:rsidRPr="00340C88">
        <w:t>br</w:t>
      </w:r>
      <w:proofErr w:type="spellEnd"/>
      <w:r w:rsidRPr="00340C88">
        <w:t>, 1H, N-H), 5.01 (</w:t>
      </w:r>
      <w:proofErr w:type="spellStart"/>
      <w:r w:rsidRPr="00340C88">
        <w:t>dd</w:t>
      </w:r>
      <w:proofErr w:type="spellEnd"/>
      <w:r w:rsidRPr="00340C88">
        <w:t xml:space="preserve">, </w:t>
      </w:r>
      <w:r w:rsidRPr="00340C88">
        <w:rPr>
          <w:i/>
        </w:rPr>
        <w:t>J</w:t>
      </w:r>
      <w:r w:rsidRPr="00340C88">
        <w:t xml:space="preserve"> = 4.6, 1.7 Hz, 1H, 6-H), 4.84 (d, </w:t>
      </w:r>
      <w:r w:rsidRPr="00340C88">
        <w:rPr>
          <w:i/>
        </w:rPr>
        <w:t>J</w:t>
      </w:r>
      <w:r w:rsidRPr="00340C88">
        <w:t xml:space="preserve"> = 10.7 Hz, 1H, 7-H), 4.58 (d, </w:t>
      </w:r>
      <w:r w:rsidRPr="00340C88">
        <w:rPr>
          <w:i/>
        </w:rPr>
        <w:t>J</w:t>
      </w:r>
      <w:r w:rsidRPr="00340C88">
        <w:t xml:space="preserve"> = 10.7 Hz, 1H, 7-H), 3.18 (</w:t>
      </w:r>
      <w:proofErr w:type="spellStart"/>
      <w:r w:rsidRPr="00340C88">
        <w:t>dt</w:t>
      </w:r>
      <w:proofErr w:type="spellEnd"/>
      <w:r w:rsidRPr="00340C88">
        <w:t xml:space="preserve">, </w:t>
      </w:r>
      <w:r w:rsidRPr="00340C88">
        <w:rPr>
          <w:i/>
        </w:rPr>
        <w:t>J</w:t>
      </w:r>
      <w:r w:rsidRPr="00340C88">
        <w:t xml:space="preserve"> = 7.1, 2.5 Hz, 2H, 11-H), 2.49 (</w:t>
      </w:r>
      <w:proofErr w:type="spellStart"/>
      <w:r w:rsidRPr="00340C88">
        <w:t>dd</w:t>
      </w:r>
      <w:proofErr w:type="spellEnd"/>
      <w:r w:rsidRPr="00340C88">
        <w:t xml:space="preserve">, </w:t>
      </w:r>
      <w:r w:rsidRPr="00340C88">
        <w:rPr>
          <w:i/>
        </w:rPr>
        <w:t>J</w:t>
      </w:r>
      <w:r w:rsidRPr="00340C88">
        <w:t xml:space="preserve"> = 11.9, 4.8 Hz, 1H, 5-H), 2.33 (d, </w:t>
      </w:r>
      <w:r w:rsidRPr="00340C88">
        <w:rPr>
          <w:i/>
        </w:rPr>
        <w:t>J</w:t>
      </w:r>
      <w:r w:rsidRPr="00340C88">
        <w:t xml:space="preserve"> = 14.3 Hz, 1H, 9-H), 2.25 (d, </w:t>
      </w:r>
      <w:r w:rsidRPr="00340C88">
        <w:rPr>
          <w:i/>
        </w:rPr>
        <w:t>J</w:t>
      </w:r>
      <w:r w:rsidRPr="00340C88">
        <w:t xml:space="preserve"> = 14.3 Hz, 1H, 9-H), 1.50–1.40 (m, 2H, 12-H), 1.37–1.27 (m, 2H, 1×5-H/2×13-H), 0.89 (t, </w:t>
      </w:r>
      <w:r w:rsidRPr="00340C88">
        <w:rPr>
          <w:i/>
        </w:rPr>
        <w:t>J</w:t>
      </w:r>
      <w:r w:rsidRPr="00340C88">
        <w:t xml:space="preserve"> = 7.26, 3H, 14-H); </w:t>
      </w:r>
      <w:r w:rsidRPr="00340C88">
        <w:rPr>
          <w:vertAlign w:val="superscript"/>
        </w:rPr>
        <w:t>13</w:t>
      </w:r>
      <w:r w:rsidRPr="00340C88">
        <w:t>C NMR (100 MHz, CDCl</w:t>
      </w:r>
      <w:r w:rsidRPr="00340C88">
        <w:rPr>
          <w:vertAlign w:val="subscript"/>
        </w:rPr>
        <w:t>3</w:t>
      </w:r>
      <w:r w:rsidRPr="00340C88">
        <w:t xml:space="preserve">): δ = 179.3 (8), 168.5 (10), 137.3 (1), 131.5 (2), 94.5 (3), 78.5 (6), 69.7 (7), 52.8 (4), 42.7 (9), 39.6 (11), 36.6 (5), 31.4 (12), 20.1 (13), 13.8 (14); HRMS (ESI) </w:t>
      </w:r>
      <w:r w:rsidRPr="00340C88">
        <w:rPr>
          <w:i/>
        </w:rPr>
        <w:t>m</w:t>
      </w:r>
      <w:r w:rsidRPr="00340C88">
        <w:t>/</w:t>
      </w:r>
      <w:r w:rsidRPr="00340C88">
        <w:rPr>
          <w:i/>
        </w:rPr>
        <w:t>z</w:t>
      </w:r>
      <w:r w:rsidRPr="00340C88">
        <w:t xml:space="preserve"> calculated for C</w:t>
      </w:r>
      <w:r w:rsidRPr="00340C88">
        <w:rPr>
          <w:vertAlign w:val="subscript"/>
        </w:rPr>
        <w:t>14</w:t>
      </w:r>
      <w:r w:rsidRPr="00340C88">
        <w:t>H</w:t>
      </w:r>
      <w:r w:rsidRPr="00340C88">
        <w:rPr>
          <w:vertAlign w:val="subscript"/>
        </w:rPr>
        <w:t>19</w:t>
      </w:r>
      <w:r w:rsidRPr="00340C88">
        <w:softHyphen/>
        <w:t>NNaO</w:t>
      </w:r>
      <w:r w:rsidRPr="00340C88">
        <w:rPr>
          <w:vertAlign w:val="subscript"/>
        </w:rPr>
        <w:t>4</w:t>
      </w:r>
      <w:r w:rsidRPr="00340C88">
        <w:t xml:space="preserve"> 288.1202 (</w:t>
      </w:r>
      <w:proofErr w:type="spellStart"/>
      <w:r w:rsidRPr="00340C88">
        <w:t>M+Na</w:t>
      </w:r>
      <w:proofErr w:type="spellEnd"/>
      <w:r w:rsidRPr="00340C88">
        <w:t>)</w:t>
      </w:r>
      <w:r w:rsidRPr="00340C88">
        <w:rPr>
          <w:vertAlign w:val="superscript"/>
        </w:rPr>
        <w:t>+</w:t>
      </w:r>
      <w:r w:rsidRPr="00340C88">
        <w:t xml:space="preserve">, found 288.1206, 1.5 ppm error.  </w:t>
      </w:r>
    </w:p>
    <w:p w:rsidR="00D27CC8" w:rsidRPr="00340C88" w:rsidRDefault="00D27CC8" w:rsidP="00D27CC8">
      <w:pPr>
        <w:pStyle w:val="ElsParagraph"/>
        <w:rPr>
          <w:rFonts w:cstheme="minorHAnsi"/>
        </w:rPr>
      </w:pPr>
      <w:bookmarkStart w:id="3" w:name="_Toc34234599"/>
      <w:r w:rsidRPr="00340C88">
        <w:rPr>
          <w:b/>
          <w:i/>
        </w:rPr>
        <w:t>N</w:t>
      </w:r>
      <w:r w:rsidRPr="00340C88">
        <w:rPr>
          <w:b/>
        </w:rPr>
        <w:t>-Hexyl-2-[(1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S</w:t>
      </w:r>
      <w:r w:rsidRPr="00340C88">
        <w:rPr>
          <w:b/>
        </w:rPr>
        <w:t>*))-4-oxo-3,10-dioxatricyclo</w:t>
      </w:r>
      <w:r w:rsidR="00830BA2" w:rsidRPr="00340C88">
        <w:rPr>
          <w:b/>
        </w:rPr>
        <w:t xml:space="preserve"> </w:t>
      </w:r>
      <w:r w:rsidRPr="00340C88">
        <w:rPr>
          <w:b/>
        </w:rPr>
        <w:t>[5.2.1.0</w:t>
      </w:r>
      <w:r w:rsidRPr="00340C88">
        <w:rPr>
          <w:b/>
          <w:vertAlign w:val="superscript"/>
        </w:rPr>
        <w:t>1,5</w:t>
      </w:r>
      <w:r w:rsidRPr="00340C88">
        <w:rPr>
          <w:b/>
        </w:rPr>
        <w:t>]dec-8-en-5-yl]</w:t>
      </w:r>
      <w:proofErr w:type="spellStart"/>
      <w:r w:rsidRPr="00340C88">
        <w:rPr>
          <w:b/>
        </w:rPr>
        <w:t>acetamide</w:t>
      </w:r>
      <w:proofErr w:type="spellEnd"/>
      <w:r w:rsidRPr="00340C88">
        <w:t xml:space="preserve"> (</w:t>
      </w:r>
      <w:r w:rsidRPr="00340C88">
        <w:rPr>
          <w:b/>
        </w:rPr>
        <w:t>20b</w:t>
      </w:r>
      <w:r w:rsidRPr="00340C88">
        <w:t>)</w:t>
      </w:r>
      <w:bookmarkEnd w:id="3"/>
      <w:r w:rsidRPr="00340C88">
        <w:t xml:space="preserve">: Acid </w:t>
      </w:r>
      <w:r w:rsidRPr="00340C88">
        <w:rPr>
          <w:b/>
        </w:rPr>
        <w:t>12</w:t>
      </w:r>
      <w:r w:rsidRPr="00340C88">
        <w:t xml:space="preserve"> (2</w:t>
      </w:r>
      <w:r w:rsidR="00830BA2" w:rsidRPr="00340C88">
        <w:t>.0 g, 9.5</w:t>
      </w:r>
      <w:r w:rsidRPr="00340C88">
        <w:t xml:space="preserve"> </w:t>
      </w:r>
      <w:proofErr w:type="spellStart"/>
      <w:r w:rsidRPr="00340C88">
        <w:t>mmol</w:t>
      </w:r>
      <w:proofErr w:type="spellEnd"/>
      <w:r w:rsidRPr="00340C88">
        <w:t xml:space="preserve">, 1.0 eq.) and </w:t>
      </w:r>
      <w:proofErr w:type="spellStart"/>
      <w:r w:rsidR="00830BA2" w:rsidRPr="00340C88">
        <w:t>hexylamine</w:t>
      </w:r>
      <w:proofErr w:type="spellEnd"/>
      <w:r w:rsidR="00830BA2" w:rsidRPr="00340C88">
        <w:t xml:space="preserve"> (1.3 mL, 9.5</w:t>
      </w:r>
      <w:r w:rsidRPr="00340C88">
        <w:t xml:space="preserve"> </w:t>
      </w:r>
      <w:proofErr w:type="spellStart"/>
      <w:r w:rsidRPr="00340C88">
        <w:t>mmol</w:t>
      </w:r>
      <w:proofErr w:type="spellEnd"/>
      <w:r w:rsidRPr="00340C88">
        <w:t xml:space="preserve">, 1.0 eq.) were coupled according to the general procedure for the synthesis of secondary amides. The crude material was then purified by flash column chromatography (70:30–100:0, </w:t>
      </w:r>
      <w:proofErr w:type="spellStart"/>
      <w:r w:rsidRPr="00340C88">
        <w:t>EtOAc</w:t>
      </w:r>
      <w:proofErr w:type="gramStart"/>
      <w:r w:rsidRPr="00340C88">
        <w:t>:PE</w:t>
      </w:r>
      <w:proofErr w:type="spellEnd"/>
      <w:proofErr w:type="gramEnd"/>
      <w:r w:rsidRPr="00340C88">
        <w:t xml:space="preserve">) to give the target compound </w:t>
      </w:r>
      <w:r w:rsidRPr="00340C88">
        <w:rPr>
          <w:b/>
        </w:rPr>
        <w:t>20b</w:t>
      </w:r>
      <w:r w:rsidRPr="00340C88">
        <w:t xml:space="preserve"> as a yellow crystalline solid (</w:t>
      </w:r>
      <w:r w:rsidR="00830BA2" w:rsidRPr="00340C88">
        <w:t xml:space="preserve">0.87 </w:t>
      </w:r>
      <w:r w:rsidRPr="00340C88">
        <w:t xml:space="preserve">g, 31%). </w:t>
      </w:r>
      <w:r w:rsidRPr="00340C88">
        <w:rPr>
          <w:i/>
        </w:rPr>
        <w:t>R</w:t>
      </w:r>
      <w:r w:rsidRPr="00340C88">
        <w:rPr>
          <w:vertAlign w:val="subscript"/>
        </w:rPr>
        <w:t>F</w:t>
      </w:r>
      <w:r w:rsidRPr="00340C88">
        <w:t xml:space="preserve"> = 0.19 (70:30, </w:t>
      </w:r>
      <w:proofErr w:type="spellStart"/>
      <w:r w:rsidRPr="00340C88">
        <w:t>EtOAc:PE</w:t>
      </w:r>
      <w:proofErr w:type="spellEnd"/>
      <w:r w:rsidRPr="00340C88">
        <w:t xml:space="preserve">); </w:t>
      </w:r>
      <w:proofErr w:type="spellStart"/>
      <w:r w:rsidRPr="00340C88">
        <w:t>m.p</w:t>
      </w:r>
      <w:proofErr w:type="spellEnd"/>
      <w:r w:rsidRPr="00340C88">
        <w:t xml:space="preserve">. 61.6–62.4 °C; IR (Neat) </w:t>
      </w:r>
      <w:proofErr w:type="spellStart"/>
      <w:r w:rsidRPr="00340C88">
        <w:t>υ</w:t>
      </w:r>
      <w:r w:rsidRPr="00340C88">
        <w:rPr>
          <w:vertAlign w:val="subscript"/>
        </w:rPr>
        <w:t>max</w:t>
      </w:r>
      <w:proofErr w:type="spellEnd"/>
      <w:r w:rsidRPr="00340C88">
        <w:t xml:space="preserve"> 3303 (m), 2927 (m), 2855 (m), 1767 (s), 1669 (m), 1649 (s) and 1541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6.60 (d, </w:t>
      </w:r>
      <w:r w:rsidRPr="00340C88">
        <w:rPr>
          <w:rFonts w:cstheme="minorHAnsi"/>
          <w:i/>
        </w:rPr>
        <w:t>J</w:t>
      </w:r>
      <w:r w:rsidRPr="00340C88">
        <w:rPr>
          <w:rFonts w:cstheme="minorHAnsi"/>
        </w:rPr>
        <w:t xml:space="preserve"> = 5.7 Hz, 1H, 2-H), 5.67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5.7, 1.6 Hz, 1H, 1-H), 6.39–6.32 (</w:t>
      </w:r>
      <w:proofErr w:type="spellStart"/>
      <w:r w:rsidRPr="00340C88">
        <w:rPr>
          <w:rFonts w:cstheme="minorHAnsi"/>
        </w:rPr>
        <w:t>br</w:t>
      </w:r>
      <w:proofErr w:type="spellEnd"/>
      <w:r w:rsidRPr="00340C88">
        <w:rPr>
          <w:rFonts w:cstheme="minorHAnsi"/>
        </w:rPr>
        <w:t>, 1H, N-H), 5.01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4.6, 1.6 Hz, 1H, 6-H), 4.84 (d, </w:t>
      </w:r>
      <w:r w:rsidRPr="00340C88">
        <w:rPr>
          <w:rFonts w:cstheme="minorHAnsi"/>
          <w:i/>
        </w:rPr>
        <w:t>J</w:t>
      </w:r>
      <w:r w:rsidRPr="00340C88">
        <w:rPr>
          <w:rFonts w:cstheme="minorHAnsi"/>
        </w:rPr>
        <w:t xml:space="preserve"> = 10.5 Hz, 1H, 7-H), 4.57 (d, </w:t>
      </w:r>
      <w:r w:rsidRPr="00340C88">
        <w:rPr>
          <w:rFonts w:cstheme="minorHAnsi"/>
          <w:i/>
        </w:rPr>
        <w:t>J</w:t>
      </w:r>
      <w:r w:rsidRPr="00340C88">
        <w:rPr>
          <w:rFonts w:cstheme="minorHAnsi"/>
        </w:rPr>
        <w:t xml:space="preserve"> = 10.5 Hz, 1H, 7-H), 3.18 (</w:t>
      </w:r>
      <w:proofErr w:type="spellStart"/>
      <w:r w:rsidRPr="00340C88">
        <w:rPr>
          <w:rFonts w:cstheme="minorHAnsi"/>
        </w:rPr>
        <w:t>dt</w:t>
      </w:r>
      <w:proofErr w:type="spellEnd"/>
      <w:r w:rsidRPr="00340C88">
        <w:rPr>
          <w:rFonts w:cstheme="minorHAnsi"/>
        </w:rPr>
        <w:t xml:space="preserve">, </w:t>
      </w:r>
      <w:r w:rsidRPr="00340C88">
        <w:rPr>
          <w:rFonts w:cstheme="minorHAnsi"/>
          <w:i/>
        </w:rPr>
        <w:t>J</w:t>
      </w:r>
      <w:r w:rsidRPr="00340C88">
        <w:rPr>
          <w:rFonts w:cstheme="minorHAnsi"/>
        </w:rPr>
        <w:t xml:space="preserve"> = 7.1, 6.8 Hz, 2H, 11-H), 2.49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12.1, 4.6 Hz, 1H, 5-H), 2.32 (d, </w:t>
      </w:r>
      <w:r w:rsidRPr="00340C88">
        <w:rPr>
          <w:rFonts w:cstheme="minorHAnsi"/>
          <w:i/>
        </w:rPr>
        <w:t>J</w:t>
      </w:r>
      <w:r w:rsidRPr="00340C88">
        <w:rPr>
          <w:rFonts w:cstheme="minorHAnsi"/>
        </w:rPr>
        <w:t xml:space="preserve"> = 14.6 Hz, 1H, 9-H), 2.25 (d, </w:t>
      </w:r>
      <w:r w:rsidRPr="00340C88">
        <w:rPr>
          <w:rFonts w:cstheme="minorHAnsi"/>
          <w:i/>
        </w:rPr>
        <w:t>J</w:t>
      </w:r>
      <w:r w:rsidRPr="00340C88">
        <w:rPr>
          <w:rFonts w:cstheme="minorHAnsi"/>
        </w:rPr>
        <w:t xml:space="preserve"> = 14.6, 1H, 9-H), 1.52–1.41 (m, 2H, 12-H), 1.33–1.20 (m, 7H, 5-H/13-H/14-H/15-H), 0.86 (t, </w:t>
      </w:r>
      <w:r w:rsidRPr="00340C88">
        <w:rPr>
          <w:rFonts w:cstheme="minorHAnsi"/>
          <w:i/>
        </w:rPr>
        <w:t>J</w:t>
      </w:r>
      <w:r w:rsidRPr="00340C88">
        <w:rPr>
          <w:rFonts w:cstheme="minorHAnsi"/>
        </w:rPr>
        <w:t xml:space="preserve"> = 7.2 Hz, 3H, 16-H);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179.3 (8), 168.5 (10), 137.3 (1), 131.5 (2), 94.5 (3), 78.5 (6), 69.7 (7), 52.8 (4), 42.7 (9), 39.9 (11), 36.6 (5), 31.5 (15), 29.3 (12), 26.6 (13), 22.6 (14), 14.1 (16);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16</w:t>
      </w:r>
      <w:r w:rsidRPr="00340C88">
        <w:rPr>
          <w:rFonts w:cstheme="minorHAnsi"/>
        </w:rPr>
        <w:t>H</w:t>
      </w:r>
      <w:r w:rsidRPr="00340C88">
        <w:rPr>
          <w:rFonts w:cstheme="minorHAnsi"/>
          <w:vertAlign w:val="subscript"/>
        </w:rPr>
        <w:t>23</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316.1519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316.1525, -1.9 ppm error.</w:t>
      </w:r>
    </w:p>
    <w:p w:rsidR="00D27CC8" w:rsidRPr="00340C88" w:rsidRDefault="00D27CC8" w:rsidP="00D27CC8">
      <w:pPr>
        <w:pStyle w:val="ElsParagraph"/>
        <w:rPr>
          <w:rFonts w:cstheme="minorHAnsi"/>
        </w:rPr>
      </w:pPr>
      <w:bookmarkStart w:id="4" w:name="_Toc34234600"/>
      <w:r w:rsidRPr="00340C88">
        <w:rPr>
          <w:b/>
          <w:i/>
        </w:rPr>
        <w:t>N</w:t>
      </w:r>
      <w:r w:rsidRPr="00340C88">
        <w:rPr>
          <w:b/>
        </w:rPr>
        <w:t>-Octyl-2-[(1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S</w:t>
      </w:r>
      <w:r w:rsidRPr="00340C88">
        <w:rPr>
          <w:b/>
        </w:rPr>
        <w:t>*))-4-oxo-3,10-dioxatricyclo</w:t>
      </w:r>
      <w:r w:rsidR="00830BA2" w:rsidRPr="00340C88">
        <w:rPr>
          <w:b/>
        </w:rPr>
        <w:t xml:space="preserve"> </w:t>
      </w:r>
      <w:r w:rsidRPr="00340C88">
        <w:rPr>
          <w:b/>
        </w:rPr>
        <w:t>[5.2.1.0</w:t>
      </w:r>
      <w:r w:rsidRPr="00340C88">
        <w:rPr>
          <w:b/>
          <w:vertAlign w:val="superscript"/>
        </w:rPr>
        <w:t>1,5</w:t>
      </w:r>
      <w:r w:rsidRPr="00340C88">
        <w:rPr>
          <w:b/>
        </w:rPr>
        <w:t>]dec-8-en-5-yl]</w:t>
      </w:r>
      <w:proofErr w:type="spellStart"/>
      <w:r w:rsidRPr="00340C88">
        <w:rPr>
          <w:b/>
        </w:rPr>
        <w:t>acetamide</w:t>
      </w:r>
      <w:proofErr w:type="spellEnd"/>
      <w:r w:rsidRPr="00340C88">
        <w:t xml:space="preserve"> (</w:t>
      </w:r>
      <w:r w:rsidRPr="00340C88">
        <w:rPr>
          <w:b/>
        </w:rPr>
        <w:t>20c</w:t>
      </w:r>
      <w:r w:rsidRPr="00340C88">
        <w:t>)</w:t>
      </w:r>
      <w:bookmarkEnd w:id="4"/>
      <w:r w:rsidRPr="00340C88">
        <w:t xml:space="preserve">: Acid </w:t>
      </w:r>
      <w:r w:rsidRPr="00340C88">
        <w:rPr>
          <w:b/>
        </w:rPr>
        <w:t>12</w:t>
      </w:r>
      <w:r w:rsidRPr="00340C88">
        <w:t xml:space="preserve"> (2</w:t>
      </w:r>
      <w:r w:rsidR="00830BA2" w:rsidRPr="00340C88">
        <w:t>.0 g, 9.5</w:t>
      </w:r>
      <w:r w:rsidRPr="00340C88">
        <w:t xml:space="preserve"> </w:t>
      </w:r>
      <w:proofErr w:type="spellStart"/>
      <w:r w:rsidRPr="00340C88">
        <w:t>mmol</w:t>
      </w:r>
      <w:proofErr w:type="spellEnd"/>
      <w:r w:rsidR="00830BA2" w:rsidRPr="00340C88">
        <w:t xml:space="preserve">, 1.0 eq.) and </w:t>
      </w:r>
      <w:proofErr w:type="spellStart"/>
      <w:r w:rsidR="00830BA2" w:rsidRPr="00340C88">
        <w:t>octylamine</w:t>
      </w:r>
      <w:proofErr w:type="spellEnd"/>
      <w:r w:rsidR="00830BA2" w:rsidRPr="00340C88">
        <w:t xml:space="preserve"> (1.6 mL, 9.5</w:t>
      </w:r>
      <w:r w:rsidRPr="00340C88">
        <w:t xml:space="preserve"> </w:t>
      </w:r>
      <w:proofErr w:type="spellStart"/>
      <w:r w:rsidRPr="00340C88">
        <w:t>mmol</w:t>
      </w:r>
      <w:proofErr w:type="spellEnd"/>
      <w:r w:rsidRPr="00340C88">
        <w:t xml:space="preserve">, 1.0 eq.) were coupled according to the general procedure for the synthesis of secondary amides. The crude material was then purified by flash column chromatography (90:10, </w:t>
      </w:r>
      <w:proofErr w:type="spellStart"/>
      <w:r w:rsidRPr="00340C88">
        <w:t>EtOAc</w:t>
      </w:r>
      <w:proofErr w:type="gramStart"/>
      <w:r w:rsidRPr="00340C88">
        <w:t>:PE</w:t>
      </w:r>
      <w:proofErr w:type="spellEnd"/>
      <w:proofErr w:type="gramEnd"/>
      <w:r w:rsidRPr="00340C88">
        <w:t xml:space="preserve">) to give the target compound </w:t>
      </w:r>
      <w:r w:rsidRPr="00340C88">
        <w:rPr>
          <w:b/>
        </w:rPr>
        <w:t>20c</w:t>
      </w:r>
      <w:r w:rsidRPr="00340C88">
        <w:t xml:space="preserve"> as a pal</w:t>
      </w:r>
      <w:r w:rsidR="00830BA2" w:rsidRPr="00340C88">
        <w:t>e yellow crystalline solid (2.1</w:t>
      </w:r>
      <w:r w:rsidRPr="00340C88">
        <w:t xml:space="preserve"> g, 69%).</w:t>
      </w:r>
      <w:r w:rsidRPr="00340C88">
        <w:rPr>
          <w:rFonts w:cstheme="minorHAnsi"/>
          <w:b/>
          <w:i/>
        </w:rPr>
        <w:t xml:space="preserve"> </w:t>
      </w:r>
      <w:r w:rsidRPr="00340C88">
        <w:rPr>
          <w:i/>
        </w:rPr>
        <w:t>R</w:t>
      </w:r>
      <w:r w:rsidRPr="00340C88">
        <w:rPr>
          <w:vertAlign w:val="subscript"/>
        </w:rPr>
        <w:t>F</w:t>
      </w:r>
      <w:r w:rsidRPr="00340C88">
        <w:t xml:space="preserve"> = 0.3 (90:10, </w:t>
      </w:r>
      <w:proofErr w:type="spellStart"/>
      <w:r w:rsidRPr="00340C88">
        <w:t>EtOAc:PE</w:t>
      </w:r>
      <w:proofErr w:type="spellEnd"/>
      <w:r w:rsidRPr="00340C88">
        <w:t xml:space="preserve">); </w:t>
      </w:r>
      <w:proofErr w:type="spellStart"/>
      <w:r w:rsidRPr="00340C88">
        <w:t>m.p</w:t>
      </w:r>
      <w:proofErr w:type="spellEnd"/>
      <w:r w:rsidRPr="00340C88">
        <w:t xml:space="preserve">. 75.8–76.2 °C; IR (Neat) </w:t>
      </w:r>
      <w:proofErr w:type="spellStart"/>
      <w:r w:rsidRPr="00340C88">
        <w:t>υ</w:t>
      </w:r>
      <w:r w:rsidRPr="00340C88">
        <w:rPr>
          <w:vertAlign w:val="subscript"/>
        </w:rPr>
        <w:t>max</w:t>
      </w:r>
      <w:proofErr w:type="spellEnd"/>
      <w:r w:rsidRPr="00340C88">
        <w:t xml:space="preserve"> 3302 (m), 2918 (m), 2851 (m), 1767 (s), 1669 (m), 1649 (s) and 1543 (s) cm</w:t>
      </w:r>
      <w:r w:rsidRPr="00340C88">
        <w:rPr>
          <w:vertAlign w:val="superscript"/>
        </w:rPr>
        <w:t>-1</w:t>
      </w:r>
      <w:r w:rsidRPr="00340C88">
        <w:t>;</w:t>
      </w:r>
      <w:r w:rsidRPr="00340C88">
        <w:rPr>
          <w:rFonts w:cstheme="minorHAnsi"/>
        </w:rPr>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6.60 (d, </w:t>
      </w:r>
      <w:r w:rsidRPr="00340C88">
        <w:rPr>
          <w:rFonts w:cstheme="minorHAnsi"/>
          <w:i/>
        </w:rPr>
        <w:t>J</w:t>
      </w:r>
      <w:r w:rsidRPr="00340C88">
        <w:rPr>
          <w:rFonts w:cstheme="minorHAnsi"/>
        </w:rPr>
        <w:t xml:space="preserve"> = 6.1 Hz, 1H, 2-H), 6.50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6.1, 1.9 Hz, 1H, 1-H), 6.37–6.28 (</w:t>
      </w:r>
      <w:proofErr w:type="spellStart"/>
      <w:r w:rsidRPr="00340C88">
        <w:rPr>
          <w:rFonts w:cstheme="minorHAnsi"/>
        </w:rPr>
        <w:t>br</w:t>
      </w:r>
      <w:proofErr w:type="spellEnd"/>
      <w:r w:rsidRPr="00340C88">
        <w:rPr>
          <w:rFonts w:cstheme="minorHAnsi"/>
        </w:rPr>
        <w:t>, 1H, N-H), 5.01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4.8, 1.6 Hz, 1H, 6-H), 4.84 (d, </w:t>
      </w:r>
      <w:r w:rsidRPr="00340C88">
        <w:rPr>
          <w:rFonts w:cstheme="minorHAnsi"/>
          <w:i/>
        </w:rPr>
        <w:t>J</w:t>
      </w:r>
      <w:r w:rsidRPr="00340C88">
        <w:rPr>
          <w:rFonts w:cstheme="minorHAnsi"/>
        </w:rPr>
        <w:t xml:space="preserve"> = 10.8 Hz, 1H, 7-H), 4.57 (d, </w:t>
      </w:r>
      <w:r w:rsidRPr="00340C88">
        <w:rPr>
          <w:rFonts w:cstheme="minorHAnsi"/>
          <w:i/>
        </w:rPr>
        <w:t>J</w:t>
      </w:r>
      <w:r w:rsidRPr="00340C88">
        <w:rPr>
          <w:rFonts w:cstheme="minorHAnsi"/>
        </w:rPr>
        <w:t xml:space="preserve"> = 10.8 Hz, 1H, 7-H), 3.18 (</w:t>
      </w:r>
      <w:proofErr w:type="spellStart"/>
      <w:r w:rsidRPr="00340C88">
        <w:rPr>
          <w:rFonts w:cstheme="minorHAnsi"/>
        </w:rPr>
        <w:t>dt</w:t>
      </w:r>
      <w:proofErr w:type="spellEnd"/>
      <w:r w:rsidRPr="00340C88">
        <w:rPr>
          <w:rFonts w:cstheme="minorHAnsi"/>
        </w:rPr>
        <w:t xml:space="preserve">, </w:t>
      </w:r>
      <w:r w:rsidRPr="00340C88">
        <w:rPr>
          <w:rFonts w:cstheme="minorHAnsi"/>
          <w:i/>
        </w:rPr>
        <w:t>J</w:t>
      </w:r>
      <w:r w:rsidRPr="00340C88">
        <w:rPr>
          <w:rFonts w:cstheme="minorHAnsi"/>
        </w:rPr>
        <w:t xml:space="preserve"> = 12.3, 6.3 Hz, 2H, 11-H), 2.49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12.3, 4.8 Hz, 1H, 5-H), 2.33 (d, </w:t>
      </w:r>
      <w:r w:rsidRPr="00340C88">
        <w:rPr>
          <w:rFonts w:cstheme="minorHAnsi"/>
          <w:i/>
        </w:rPr>
        <w:t>J</w:t>
      </w:r>
      <w:r w:rsidRPr="00340C88">
        <w:rPr>
          <w:rFonts w:cstheme="minorHAnsi"/>
        </w:rPr>
        <w:t xml:space="preserve"> = 14.6 Hz, 1H, 9-H), 2.24 (d, </w:t>
      </w:r>
      <w:r w:rsidRPr="00340C88">
        <w:rPr>
          <w:rFonts w:cstheme="minorHAnsi"/>
          <w:i/>
        </w:rPr>
        <w:t>J</w:t>
      </w:r>
      <w:r w:rsidRPr="00340C88">
        <w:rPr>
          <w:rFonts w:cstheme="minorHAnsi"/>
        </w:rPr>
        <w:t xml:space="preserve"> = 14.6 Hz, 1H, 9-H), 1.51–1.40 (m, 2H, 12-H), 1.34–1.17 (m, 11H, 5-H/13-H/14-H/15-H/16-H/17-H), 0.86 (t, </w:t>
      </w:r>
      <w:r w:rsidRPr="00340C88">
        <w:rPr>
          <w:rFonts w:cstheme="minorHAnsi"/>
          <w:i/>
        </w:rPr>
        <w:t>J</w:t>
      </w:r>
      <w:r w:rsidRPr="00340C88">
        <w:rPr>
          <w:rFonts w:cstheme="minorHAnsi"/>
        </w:rPr>
        <w:t xml:space="preserve"> = 7.1 Hz, 3H, 18-H);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179.3 (8), 168.5 (10), 137.3 (1), 131.6 (2), 94.5 (3), 78.5 (6), 69.7 (7), 52.8 </w:t>
      </w:r>
      <w:r w:rsidRPr="00340C88">
        <w:rPr>
          <w:rFonts w:cstheme="minorHAnsi"/>
        </w:rPr>
        <w:t xml:space="preserve">(4), 42.7 (9), 40.0 (11), 36.6 (5), 31.9 (12), 29.4 (13), 29.3 (14/15), 26.9 (16), 22.7 (17), 14.2 (18);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18</w:t>
      </w:r>
      <w:r w:rsidRPr="00340C88">
        <w:rPr>
          <w:rFonts w:cstheme="minorHAnsi"/>
        </w:rPr>
        <w:t>H</w:t>
      </w:r>
      <w:r w:rsidRPr="00340C88">
        <w:rPr>
          <w:rFonts w:cstheme="minorHAnsi"/>
          <w:vertAlign w:val="subscript"/>
        </w:rPr>
        <w:t>27</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344.1832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344.1837, -0.9 ppm error.</w:t>
      </w:r>
    </w:p>
    <w:p w:rsidR="00D27CC8" w:rsidRPr="00340C88" w:rsidRDefault="00D27CC8" w:rsidP="00D27CC8">
      <w:pPr>
        <w:pStyle w:val="ElsParagraph"/>
        <w:rPr>
          <w:rFonts w:cstheme="minorHAnsi"/>
        </w:rPr>
      </w:pPr>
      <w:bookmarkStart w:id="5" w:name="_Toc34234601"/>
      <w:r w:rsidRPr="00340C88">
        <w:rPr>
          <w:b/>
          <w:i/>
        </w:rPr>
        <w:t>N</w:t>
      </w:r>
      <w:r w:rsidRPr="00340C88">
        <w:rPr>
          <w:b/>
        </w:rPr>
        <w:t>-Benzyl-2-[(1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S</w:t>
      </w:r>
      <w:r w:rsidRPr="00340C88">
        <w:rPr>
          <w:b/>
        </w:rPr>
        <w:t>*))-4-oxo-3,10-dioxatricyclo[5.2.1.0</w:t>
      </w:r>
      <w:r w:rsidRPr="00340C88">
        <w:rPr>
          <w:b/>
          <w:vertAlign w:val="superscript"/>
        </w:rPr>
        <w:t>1,5</w:t>
      </w:r>
      <w:r w:rsidRPr="00340C88">
        <w:rPr>
          <w:b/>
        </w:rPr>
        <w:t>]dec-8-en-5-yl]acetamide</w:t>
      </w:r>
      <w:r w:rsidRPr="00340C88">
        <w:t xml:space="preserve"> (</w:t>
      </w:r>
      <w:r w:rsidRPr="00340C88">
        <w:rPr>
          <w:b/>
        </w:rPr>
        <w:t>20d</w:t>
      </w:r>
      <w:r w:rsidRPr="00340C88">
        <w:t>)</w:t>
      </w:r>
      <w:bookmarkEnd w:id="5"/>
      <w:r w:rsidRPr="00340C88">
        <w:t xml:space="preserve">: Acid </w:t>
      </w:r>
      <w:r w:rsidRPr="00340C88">
        <w:rPr>
          <w:b/>
        </w:rPr>
        <w:t>12</w:t>
      </w:r>
      <w:r w:rsidRPr="00340C88">
        <w:t xml:space="preserve"> (2 g, 9.52 </w:t>
      </w:r>
      <w:proofErr w:type="spellStart"/>
      <w:r w:rsidRPr="00340C88">
        <w:t>mmol</w:t>
      </w:r>
      <w:proofErr w:type="spellEnd"/>
      <w:r w:rsidRPr="00340C88">
        <w:t xml:space="preserve">, 1.0 eq.) and </w:t>
      </w:r>
      <w:proofErr w:type="spellStart"/>
      <w:r w:rsidRPr="00340C88">
        <w:t>benzylamine</w:t>
      </w:r>
      <w:proofErr w:type="spellEnd"/>
      <w:r w:rsidRPr="00340C88">
        <w:t xml:space="preserve"> (1.04 mL, 9.52 </w:t>
      </w:r>
      <w:proofErr w:type="spellStart"/>
      <w:r w:rsidRPr="00340C88">
        <w:t>mmol</w:t>
      </w:r>
      <w:proofErr w:type="spellEnd"/>
      <w:r w:rsidRPr="00340C88">
        <w:t xml:space="preserve">, 1.0 eq.) were coupled according to the general procedure for the synthesis of secondary amides. The crude material was then purified by flash column chromatography (70:30–90:10, </w:t>
      </w:r>
      <w:proofErr w:type="spellStart"/>
      <w:r w:rsidRPr="00340C88">
        <w:t>EtOAc</w:t>
      </w:r>
      <w:proofErr w:type="gramStart"/>
      <w:r w:rsidRPr="00340C88">
        <w:t>:PE</w:t>
      </w:r>
      <w:proofErr w:type="spellEnd"/>
      <w:proofErr w:type="gramEnd"/>
      <w:r w:rsidRPr="00340C88">
        <w:t xml:space="preserve">) to give the target compound </w:t>
      </w:r>
      <w:r w:rsidRPr="00340C88">
        <w:rPr>
          <w:b/>
        </w:rPr>
        <w:t>20d</w:t>
      </w:r>
      <w:r w:rsidRPr="00340C88">
        <w:t xml:space="preserve"> as a white crystalline solid (1.67 g, 58%). </w:t>
      </w:r>
      <w:r w:rsidRPr="00340C88">
        <w:rPr>
          <w:i/>
        </w:rPr>
        <w:t>R</w:t>
      </w:r>
      <w:r w:rsidRPr="00340C88">
        <w:rPr>
          <w:vertAlign w:val="subscript"/>
        </w:rPr>
        <w:t>F</w:t>
      </w:r>
      <w:r w:rsidRPr="00340C88">
        <w:t xml:space="preserve"> = 0.3 (80:20, </w:t>
      </w:r>
      <w:proofErr w:type="spellStart"/>
      <w:r w:rsidRPr="00340C88">
        <w:t>EtOAc:PE</w:t>
      </w:r>
      <w:proofErr w:type="spellEnd"/>
      <w:r w:rsidRPr="00340C88">
        <w:t xml:space="preserve">); </w:t>
      </w:r>
      <w:proofErr w:type="spellStart"/>
      <w:r w:rsidRPr="00340C88">
        <w:t>m.p</w:t>
      </w:r>
      <w:proofErr w:type="spellEnd"/>
      <w:r w:rsidRPr="00340C88">
        <w:t xml:space="preserve">. 106.8–107.4 °C; IR (Neat) </w:t>
      </w:r>
      <w:proofErr w:type="spellStart"/>
      <w:r w:rsidRPr="00340C88">
        <w:t>υ</w:t>
      </w:r>
      <w:r w:rsidRPr="00340C88">
        <w:rPr>
          <w:vertAlign w:val="subscript"/>
        </w:rPr>
        <w:t>max</w:t>
      </w:r>
      <w:proofErr w:type="spellEnd"/>
      <w:r w:rsidRPr="00340C88">
        <w:t xml:space="preserve"> 3286 (m), 1765 (s), 1636 (s) and 1547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7.31–7.25 (m, 2H, </w:t>
      </w:r>
      <w:proofErr w:type="spellStart"/>
      <w:r w:rsidRPr="00340C88">
        <w:rPr>
          <w:rFonts w:cstheme="minorHAnsi"/>
        </w:rPr>
        <w:t>ArH</w:t>
      </w:r>
      <w:proofErr w:type="spellEnd"/>
      <w:r w:rsidRPr="00340C88">
        <w:rPr>
          <w:rFonts w:cstheme="minorHAnsi"/>
        </w:rPr>
        <w:t xml:space="preserve">), 7.24–7.18 (m, 3H, </w:t>
      </w:r>
      <w:proofErr w:type="spellStart"/>
      <w:r w:rsidRPr="00340C88">
        <w:rPr>
          <w:rFonts w:cstheme="minorHAnsi"/>
        </w:rPr>
        <w:t>ArH</w:t>
      </w:r>
      <w:proofErr w:type="spellEnd"/>
      <w:r w:rsidRPr="00340C88">
        <w:rPr>
          <w:rFonts w:cstheme="minorHAnsi"/>
        </w:rPr>
        <w:t>), 6.75–6.66 (</w:t>
      </w:r>
      <w:proofErr w:type="spellStart"/>
      <w:r w:rsidRPr="00340C88">
        <w:rPr>
          <w:rFonts w:cstheme="minorHAnsi"/>
        </w:rPr>
        <w:t>br</w:t>
      </w:r>
      <w:proofErr w:type="spellEnd"/>
      <w:r w:rsidRPr="00340C88">
        <w:rPr>
          <w:rFonts w:cstheme="minorHAnsi"/>
        </w:rPr>
        <w:t xml:space="preserve">, 1H, N-H), 6.54 (d, </w:t>
      </w:r>
      <w:r w:rsidRPr="00340C88">
        <w:rPr>
          <w:rFonts w:cstheme="minorHAnsi"/>
          <w:i/>
        </w:rPr>
        <w:t>J</w:t>
      </w:r>
      <w:r w:rsidRPr="00340C88">
        <w:rPr>
          <w:rFonts w:cstheme="minorHAnsi"/>
        </w:rPr>
        <w:t xml:space="preserve"> = 5.8 Hz, 1H, 2-H), 6.45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5.8, 1.6 Hz, 1H, 1-H), 4.95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4.8, 1.6 Hz, 1H, 6-H), 4.75 (d, </w:t>
      </w:r>
      <w:r w:rsidRPr="00340C88">
        <w:rPr>
          <w:rFonts w:cstheme="minorHAnsi"/>
          <w:i/>
        </w:rPr>
        <w:t>J</w:t>
      </w:r>
      <w:r w:rsidRPr="00340C88">
        <w:rPr>
          <w:rFonts w:cstheme="minorHAnsi"/>
        </w:rPr>
        <w:t xml:space="preserve"> = 10.6 Hz, 1H, 7-H), 4.51 (d, </w:t>
      </w:r>
      <w:r w:rsidRPr="00340C88">
        <w:rPr>
          <w:rFonts w:cstheme="minorHAnsi"/>
          <w:i/>
        </w:rPr>
        <w:t>J</w:t>
      </w:r>
      <w:r w:rsidRPr="00340C88">
        <w:rPr>
          <w:rFonts w:cstheme="minorHAnsi"/>
        </w:rPr>
        <w:t xml:space="preserve"> = 10.6 Hz, 1H, 7-H), 4.37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14.6, 5.8 Hz, 1H, 11-H), 4.30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14.6, 5.8 Hz, 1H, 11-H), 2.41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12.0, 4.9 Hz, 1H, 5-H), 2.32 (d, </w:t>
      </w:r>
      <w:r w:rsidRPr="00340C88">
        <w:rPr>
          <w:rFonts w:cstheme="minorHAnsi"/>
          <w:i/>
        </w:rPr>
        <w:t>J</w:t>
      </w:r>
      <w:r w:rsidRPr="00340C88">
        <w:rPr>
          <w:rFonts w:cstheme="minorHAnsi"/>
        </w:rPr>
        <w:t xml:space="preserve"> = 14.8 Hz, 1H, 9-H), 2.23 (d, </w:t>
      </w:r>
      <w:r w:rsidRPr="00340C88">
        <w:rPr>
          <w:rFonts w:cstheme="minorHAnsi"/>
          <w:i/>
        </w:rPr>
        <w:t>J</w:t>
      </w:r>
      <w:r w:rsidRPr="00340C88">
        <w:rPr>
          <w:rFonts w:cstheme="minorHAnsi"/>
        </w:rPr>
        <w:t xml:space="preserve"> = 14.8 Hz, 1H, 9-H), 1.25 (d, </w:t>
      </w:r>
      <w:r w:rsidRPr="00340C88">
        <w:rPr>
          <w:rFonts w:cstheme="minorHAnsi"/>
          <w:i/>
        </w:rPr>
        <w:t>J</w:t>
      </w:r>
      <w:r w:rsidRPr="00340C88">
        <w:rPr>
          <w:rFonts w:cstheme="minorHAnsi"/>
        </w:rPr>
        <w:t xml:space="preserve"> = 12.0 Hz, 1H, 5-H);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δ = 179.2 (8), 168.6 (10), 137.8 (1), 137.4 (</w:t>
      </w:r>
      <w:proofErr w:type="spellStart"/>
      <w:r w:rsidRPr="00340C88">
        <w:rPr>
          <w:rFonts w:cstheme="minorHAnsi"/>
        </w:rPr>
        <w:t>ArC</w:t>
      </w:r>
      <w:proofErr w:type="spellEnd"/>
      <w:r w:rsidRPr="00340C88">
        <w:rPr>
          <w:rFonts w:cstheme="minorHAnsi"/>
        </w:rPr>
        <w:t>), 131.4 (2), 128.8 (</w:t>
      </w:r>
      <w:proofErr w:type="spellStart"/>
      <w:r w:rsidRPr="00340C88">
        <w:rPr>
          <w:rFonts w:cstheme="minorHAnsi"/>
        </w:rPr>
        <w:t>ArCH</w:t>
      </w:r>
      <w:proofErr w:type="spellEnd"/>
      <w:r w:rsidRPr="00340C88">
        <w:rPr>
          <w:rFonts w:cstheme="minorHAnsi"/>
        </w:rPr>
        <w:t>), 127.8 (</w:t>
      </w:r>
      <w:proofErr w:type="spellStart"/>
      <w:r w:rsidRPr="00340C88">
        <w:rPr>
          <w:rFonts w:cstheme="minorHAnsi"/>
        </w:rPr>
        <w:t>ArCH</w:t>
      </w:r>
      <w:proofErr w:type="spellEnd"/>
      <w:r w:rsidRPr="00340C88">
        <w:rPr>
          <w:rFonts w:cstheme="minorHAnsi"/>
        </w:rPr>
        <w:t xml:space="preserve">), 94.5 (3), 78.5 (6), 69.6 (7), 52.8 (4), 43.9 (11), 42.5 (9), 36.6 (5);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17</w:t>
      </w:r>
      <w:r w:rsidRPr="00340C88">
        <w:rPr>
          <w:rFonts w:cstheme="minorHAnsi"/>
        </w:rPr>
        <w:t>H</w:t>
      </w:r>
      <w:r w:rsidRPr="00340C88">
        <w:rPr>
          <w:rFonts w:cstheme="minorHAnsi"/>
          <w:vertAlign w:val="subscript"/>
        </w:rPr>
        <w:t>17</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322.1050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xml:space="preserve">, found 322.1049, 0.3 ppm error. </w:t>
      </w:r>
    </w:p>
    <w:p w:rsidR="00D27CC8" w:rsidRPr="00340C88" w:rsidRDefault="00D27CC8" w:rsidP="00D27CC8">
      <w:pPr>
        <w:pStyle w:val="ElsParagraph"/>
        <w:rPr>
          <w:rFonts w:cstheme="minorHAnsi"/>
        </w:rPr>
      </w:pPr>
      <w:bookmarkStart w:id="6" w:name="_Toc34234602"/>
      <w:r w:rsidRPr="00340C88">
        <w:rPr>
          <w:b/>
          <w:i/>
        </w:rPr>
        <w:t>N</w:t>
      </w:r>
      <w:r w:rsidRPr="00340C88">
        <w:rPr>
          <w:b/>
        </w:rPr>
        <w:t>-(4-Methoxybenzyl)-2-[(1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S</w:t>
      </w:r>
      <w:r w:rsidRPr="00340C88">
        <w:rPr>
          <w:b/>
        </w:rPr>
        <w:t xml:space="preserve">*))-4-oxo-3,10 </w:t>
      </w:r>
      <w:proofErr w:type="spellStart"/>
      <w:r w:rsidRPr="00340C88">
        <w:rPr>
          <w:b/>
        </w:rPr>
        <w:t>dioxatricyclo</w:t>
      </w:r>
      <w:proofErr w:type="spellEnd"/>
      <w:r w:rsidRPr="00340C88">
        <w:rPr>
          <w:b/>
        </w:rPr>
        <w:t>[5.2.1.0</w:t>
      </w:r>
      <w:r w:rsidRPr="00340C88">
        <w:rPr>
          <w:b/>
          <w:vertAlign w:val="superscript"/>
        </w:rPr>
        <w:t>1,5</w:t>
      </w:r>
      <w:r w:rsidRPr="00340C88">
        <w:rPr>
          <w:b/>
        </w:rPr>
        <w:t>]dec-8-en-5-yl]</w:t>
      </w:r>
      <w:proofErr w:type="spellStart"/>
      <w:r w:rsidRPr="00340C88">
        <w:rPr>
          <w:b/>
        </w:rPr>
        <w:t>acetamide</w:t>
      </w:r>
      <w:proofErr w:type="spellEnd"/>
      <w:r w:rsidRPr="00340C88">
        <w:t xml:space="preserve"> (</w:t>
      </w:r>
      <w:r w:rsidRPr="00340C88">
        <w:rPr>
          <w:b/>
        </w:rPr>
        <w:t>20e</w:t>
      </w:r>
      <w:r w:rsidRPr="00340C88">
        <w:t>)</w:t>
      </w:r>
      <w:bookmarkEnd w:id="6"/>
      <w:r w:rsidRPr="00340C88">
        <w:t xml:space="preserve">: Acid </w:t>
      </w:r>
      <w:r w:rsidRPr="00340C88">
        <w:rPr>
          <w:b/>
        </w:rPr>
        <w:t>12</w:t>
      </w:r>
      <w:r w:rsidRPr="00340C88">
        <w:t xml:space="preserve"> (0.5</w:t>
      </w:r>
      <w:r w:rsidR="00830BA2" w:rsidRPr="00340C88">
        <w:t>0 g, 2.4</w:t>
      </w:r>
      <w:r w:rsidRPr="00340C88">
        <w:t xml:space="preserve"> </w:t>
      </w:r>
      <w:proofErr w:type="spellStart"/>
      <w:r w:rsidRPr="00340C88">
        <w:t>mmol</w:t>
      </w:r>
      <w:proofErr w:type="spellEnd"/>
      <w:r w:rsidRPr="00340C88">
        <w:t>, 1.0 eq.) and 4-m</w:t>
      </w:r>
      <w:r w:rsidR="00830BA2" w:rsidRPr="00340C88">
        <w:t>ethoxybenzylamine (0.31 mL, 2.4</w:t>
      </w:r>
      <w:r w:rsidRPr="00340C88">
        <w:t xml:space="preserve"> </w:t>
      </w:r>
      <w:proofErr w:type="spellStart"/>
      <w:r w:rsidRPr="00340C88">
        <w:t>mmol</w:t>
      </w:r>
      <w:proofErr w:type="spellEnd"/>
      <w:r w:rsidRPr="00340C88">
        <w:t xml:space="preserve">, 1.0 eq.) were coupled according to the general procedure for the synthesis of secondary amides. The crude material was then purified by flash column chromatography (80:20, </w:t>
      </w:r>
      <w:proofErr w:type="spellStart"/>
      <w:r w:rsidRPr="00340C88">
        <w:t>EtOAc</w:t>
      </w:r>
      <w:proofErr w:type="gramStart"/>
      <w:r w:rsidRPr="00340C88">
        <w:t>:PE</w:t>
      </w:r>
      <w:proofErr w:type="spellEnd"/>
      <w:proofErr w:type="gramEnd"/>
      <w:r w:rsidRPr="00340C88">
        <w:t xml:space="preserve">) to give the target compound </w:t>
      </w:r>
      <w:r w:rsidRPr="00340C88">
        <w:rPr>
          <w:b/>
        </w:rPr>
        <w:t>20e</w:t>
      </w:r>
      <w:r w:rsidRPr="00340C88">
        <w:t xml:space="preserve"> as a crystalline solid (0.24 g, 31%).</w:t>
      </w:r>
      <w:r w:rsidRPr="00340C88">
        <w:rPr>
          <w:rFonts w:cstheme="minorHAnsi"/>
          <w:b/>
          <w:i/>
        </w:rPr>
        <w:t xml:space="preserve"> </w:t>
      </w:r>
      <w:r w:rsidRPr="00340C88">
        <w:rPr>
          <w:i/>
        </w:rPr>
        <w:t>R</w:t>
      </w:r>
      <w:r w:rsidRPr="00340C88">
        <w:rPr>
          <w:vertAlign w:val="subscript"/>
        </w:rPr>
        <w:t>F</w:t>
      </w:r>
      <w:r w:rsidRPr="00340C88">
        <w:t xml:space="preserve"> = 0.25 (80:20, </w:t>
      </w:r>
      <w:proofErr w:type="spellStart"/>
      <w:r w:rsidRPr="00340C88">
        <w:t>EtOAc:PE</w:t>
      </w:r>
      <w:proofErr w:type="spellEnd"/>
      <w:r w:rsidRPr="00340C88">
        <w:t xml:space="preserve">); </w:t>
      </w:r>
      <w:proofErr w:type="spellStart"/>
      <w:r w:rsidRPr="00340C88">
        <w:t>m.p</w:t>
      </w:r>
      <w:proofErr w:type="spellEnd"/>
      <w:r w:rsidRPr="00340C88">
        <w:t xml:space="preserve">. 150.3–150.9 °C; IR (Neat) </w:t>
      </w:r>
      <w:proofErr w:type="spellStart"/>
      <w:r w:rsidRPr="00340C88">
        <w:t>υ</w:t>
      </w:r>
      <w:r w:rsidRPr="00340C88">
        <w:rPr>
          <w:vertAlign w:val="subscript"/>
        </w:rPr>
        <w:t>max</w:t>
      </w:r>
      <w:proofErr w:type="spellEnd"/>
      <w:r w:rsidRPr="00340C88">
        <w:t xml:space="preserve"> 3259 (m), 3088 (w), 2954 (w), 1758 (s), 1635 (m), 1561 (m) and 1508 (m) cm</w:t>
      </w:r>
      <w:r w:rsidRPr="00340C88">
        <w:rPr>
          <w:vertAlign w:val="superscript"/>
        </w:rPr>
        <w:t>-1</w:t>
      </w:r>
      <w:r w:rsidRPr="00340C88">
        <w:t>;</w:t>
      </w:r>
      <w:r w:rsidRPr="00340C88">
        <w:rPr>
          <w:rFonts w:cstheme="minorHAnsi"/>
        </w:rPr>
        <w:t xml:space="preserve"> </w:t>
      </w:r>
      <w:r w:rsidRPr="00340C88">
        <w:rPr>
          <w:rFonts w:cstheme="minorHAnsi"/>
          <w:vertAlign w:val="superscript"/>
        </w:rPr>
        <w:t>1</w:t>
      </w:r>
      <w:r w:rsidRPr="00340C88">
        <w:rPr>
          <w:rFonts w:cstheme="minorHAnsi"/>
        </w:rPr>
        <w:t>H NMR (400 MHz, DMSO-d</w:t>
      </w:r>
      <w:r w:rsidRPr="00340C88">
        <w:rPr>
          <w:rFonts w:cstheme="minorHAnsi"/>
          <w:vertAlign w:val="subscript"/>
        </w:rPr>
        <w:t>6</w:t>
      </w:r>
      <w:r w:rsidRPr="00340C88">
        <w:rPr>
          <w:rFonts w:cstheme="minorHAnsi"/>
        </w:rPr>
        <w:t xml:space="preserve">): δ = 8.41 (t, </w:t>
      </w:r>
      <w:r w:rsidRPr="00340C88">
        <w:rPr>
          <w:rFonts w:cstheme="minorHAnsi"/>
          <w:i/>
        </w:rPr>
        <w:t>J</w:t>
      </w:r>
      <w:r w:rsidRPr="00340C88">
        <w:rPr>
          <w:rFonts w:cstheme="minorHAnsi"/>
        </w:rPr>
        <w:t xml:space="preserve"> = 5.8 Hz, 1H, N-H), 7.20–7.15 (m, 2H, </w:t>
      </w:r>
      <w:proofErr w:type="spellStart"/>
      <w:r w:rsidRPr="00340C88">
        <w:rPr>
          <w:rFonts w:cstheme="minorHAnsi"/>
        </w:rPr>
        <w:t>ArH</w:t>
      </w:r>
      <w:proofErr w:type="spellEnd"/>
      <w:r w:rsidRPr="00340C88">
        <w:rPr>
          <w:rFonts w:cstheme="minorHAnsi"/>
        </w:rPr>
        <w:t xml:space="preserve">), 6.90–6.85 (m, 2H, </w:t>
      </w:r>
      <w:proofErr w:type="spellStart"/>
      <w:r w:rsidRPr="00340C88">
        <w:rPr>
          <w:rFonts w:cstheme="minorHAnsi"/>
        </w:rPr>
        <w:t>ArH</w:t>
      </w:r>
      <w:proofErr w:type="spellEnd"/>
      <w:r w:rsidRPr="00340C88">
        <w:rPr>
          <w:rFonts w:cstheme="minorHAnsi"/>
        </w:rPr>
        <w:t>), 6.55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5.8, 1.7 Hz, 1H, 1-H), 6.52 (d, </w:t>
      </w:r>
      <w:r w:rsidRPr="00340C88">
        <w:rPr>
          <w:rFonts w:cstheme="minorHAnsi"/>
          <w:i/>
        </w:rPr>
        <w:t>J</w:t>
      </w:r>
      <w:r w:rsidRPr="00340C88">
        <w:rPr>
          <w:rFonts w:cstheme="minorHAnsi"/>
        </w:rPr>
        <w:t xml:space="preserve"> = 5.8 Hz, 1H, 2-H), 5.00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4.6, 1.7 Hz, 1H, 6-H), 4.74 (d, </w:t>
      </w:r>
      <w:r w:rsidRPr="00340C88">
        <w:rPr>
          <w:rFonts w:cstheme="minorHAnsi"/>
          <w:i/>
        </w:rPr>
        <w:t>J</w:t>
      </w:r>
      <w:r w:rsidRPr="00340C88">
        <w:rPr>
          <w:rFonts w:cstheme="minorHAnsi"/>
        </w:rPr>
        <w:t xml:space="preserve"> = 10.6 Hz, 1H, 7-H), 4.47 (d, </w:t>
      </w:r>
      <w:r w:rsidRPr="00340C88">
        <w:rPr>
          <w:rFonts w:cstheme="minorHAnsi"/>
          <w:i/>
        </w:rPr>
        <w:t>J</w:t>
      </w:r>
      <w:r w:rsidRPr="00340C88">
        <w:rPr>
          <w:rFonts w:cstheme="minorHAnsi"/>
        </w:rPr>
        <w:t xml:space="preserve"> = 10.6 Hz, 1H, 7-H), 4.15 (d, </w:t>
      </w:r>
      <w:r w:rsidRPr="00340C88">
        <w:rPr>
          <w:rFonts w:cstheme="minorHAnsi"/>
          <w:i/>
        </w:rPr>
        <w:t>J</w:t>
      </w:r>
      <w:r w:rsidRPr="00340C88">
        <w:rPr>
          <w:rFonts w:cstheme="minorHAnsi"/>
        </w:rPr>
        <w:t xml:space="preserve"> = 5.8 Hz, 2H, 11-H), 3.72 (s, 3H, 12-H), 2.21 (s, 2H, 9-H), 2.17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11.9, 4.7 Hz, 1H, 5-H), 1.51 (d, </w:t>
      </w:r>
      <w:r w:rsidRPr="00340C88">
        <w:rPr>
          <w:rFonts w:cstheme="minorHAnsi"/>
          <w:i/>
        </w:rPr>
        <w:t>J</w:t>
      </w:r>
      <w:r w:rsidRPr="00340C88">
        <w:rPr>
          <w:rFonts w:cstheme="minorHAnsi"/>
        </w:rPr>
        <w:t xml:space="preserve"> = 11.9 Hz, 1H, 5-H); </w:t>
      </w:r>
      <w:r w:rsidRPr="00340C88">
        <w:rPr>
          <w:rFonts w:cstheme="minorHAnsi"/>
          <w:vertAlign w:val="superscript"/>
        </w:rPr>
        <w:t>13</w:t>
      </w:r>
      <w:r w:rsidRPr="00340C88">
        <w:rPr>
          <w:rFonts w:cstheme="minorHAnsi"/>
        </w:rPr>
        <w:t>C NMR (100 MHz, DMSO-d</w:t>
      </w:r>
      <w:r w:rsidRPr="00340C88">
        <w:rPr>
          <w:rFonts w:cstheme="minorHAnsi"/>
          <w:vertAlign w:val="subscript"/>
        </w:rPr>
        <w:t>6</w:t>
      </w:r>
      <w:r w:rsidRPr="00340C88">
        <w:rPr>
          <w:rFonts w:cstheme="minorHAnsi"/>
        </w:rPr>
        <w:t>): δ = 177.7 (8), 168.0 (10), 158.3 (</w:t>
      </w:r>
      <w:proofErr w:type="spellStart"/>
      <w:r w:rsidRPr="00340C88">
        <w:rPr>
          <w:rFonts w:cstheme="minorHAnsi"/>
        </w:rPr>
        <w:t>ArC</w:t>
      </w:r>
      <w:proofErr w:type="spellEnd"/>
      <w:r w:rsidRPr="00340C88">
        <w:rPr>
          <w:rFonts w:cstheme="minorHAnsi"/>
        </w:rPr>
        <w:t>), 137.5 (1), 131.0 (2), 128.7 (</w:t>
      </w:r>
      <w:proofErr w:type="spellStart"/>
      <w:r w:rsidRPr="00340C88">
        <w:rPr>
          <w:rFonts w:cstheme="minorHAnsi"/>
        </w:rPr>
        <w:t>ArCH</w:t>
      </w:r>
      <w:proofErr w:type="spellEnd"/>
      <w:r w:rsidRPr="00340C88">
        <w:rPr>
          <w:rFonts w:cstheme="minorHAnsi"/>
        </w:rPr>
        <w:t>), 113.68 (</w:t>
      </w:r>
      <w:proofErr w:type="spellStart"/>
      <w:r w:rsidRPr="00340C88">
        <w:rPr>
          <w:rFonts w:cstheme="minorHAnsi"/>
        </w:rPr>
        <w:t>ArCH</w:t>
      </w:r>
      <w:proofErr w:type="spellEnd"/>
      <w:r w:rsidRPr="00340C88">
        <w:rPr>
          <w:rFonts w:cstheme="minorHAnsi"/>
        </w:rPr>
        <w:t xml:space="preserve">), 94.0 (9), 78.0 (6), 68.2 (7), 55.1 (12), 52.2 (4), 41.7 (11), 40.6 (9), 36.1 (5);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18</w:t>
      </w:r>
      <w:r w:rsidRPr="00340C88">
        <w:rPr>
          <w:rFonts w:cstheme="minorHAnsi"/>
          <w:vertAlign w:val="subscript"/>
        </w:rPr>
        <w:softHyphen/>
      </w:r>
      <w:r w:rsidRPr="00340C88">
        <w:rPr>
          <w:rFonts w:cstheme="minorHAnsi"/>
        </w:rPr>
        <w:t>H</w:t>
      </w:r>
      <w:r w:rsidRPr="00340C88">
        <w:rPr>
          <w:rFonts w:cstheme="minorHAnsi"/>
          <w:vertAlign w:val="subscript"/>
        </w:rPr>
        <w:t>20</w:t>
      </w:r>
      <w:r w:rsidRPr="00340C88">
        <w:rPr>
          <w:rFonts w:cstheme="minorHAnsi"/>
          <w:vertAlign w:val="subscript"/>
        </w:rPr>
        <w:softHyphen/>
      </w:r>
      <w:r w:rsidRPr="00340C88">
        <w:rPr>
          <w:rFonts w:cstheme="minorHAnsi"/>
        </w:rPr>
        <w:t>NO</w:t>
      </w:r>
      <w:r w:rsidRPr="00340C88">
        <w:rPr>
          <w:rFonts w:cstheme="minorHAnsi"/>
          <w:vertAlign w:val="subscript"/>
        </w:rPr>
        <w:t>5</w:t>
      </w:r>
      <w:r w:rsidRPr="00340C88">
        <w:rPr>
          <w:rFonts w:cstheme="minorHAnsi"/>
        </w:rPr>
        <w:t xml:space="preserve"> 330.1338 (M+H)</w:t>
      </w:r>
      <w:r w:rsidRPr="00340C88">
        <w:rPr>
          <w:rFonts w:cstheme="minorHAnsi"/>
          <w:vertAlign w:val="superscript"/>
        </w:rPr>
        <w:t>+</w:t>
      </w:r>
      <w:r w:rsidRPr="00340C88">
        <w:rPr>
          <w:rFonts w:cstheme="minorHAnsi"/>
        </w:rPr>
        <w:t>, found 330.1341, -0.9 ppm error.</w:t>
      </w:r>
    </w:p>
    <w:p w:rsidR="00D27CC8" w:rsidRPr="00340C88" w:rsidRDefault="00D27CC8" w:rsidP="00D27CC8">
      <w:pPr>
        <w:pStyle w:val="ElsParagraph"/>
        <w:rPr>
          <w:rFonts w:cstheme="minorHAnsi"/>
        </w:rPr>
      </w:pPr>
      <w:r w:rsidRPr="00340C88">
        <w:rPr>
          <w:b/>
        </w:rPr>
        <w:t>(1</w:t>
      </w:r>
      <w:r w:rsidRPr="00340C88">
        <w:rPr>
          <w:b/>
          <w:i/>
        </w:rPr>
        <w:t>S</w:t>
      </w:r>
      <w:r w:rsidRPr="00340C88">
        <w:rPr>
          <w:b/>
        </w:rPr>
        <w:t>*</w:t>
      </w:r>
      <w:proofErr w:type="gramStart"/>
      <w:r w:rsidRPr="00340C88">
        <w:rPr>
          <w:b/>
        </w:rPr>
        <w:t>,2</w:t>
      </w:r>
      <w:r w:rsidRPr="00340C88">
        <w:rPr>
          <w:b/>
          <w:i/>
        </w:rPr>
        <w:t>S</w:t>
      </w:r>
      <w:proofErr w:type="gramEnd"/>
      <w:r w:rsidRPr="00340C88">
        <w:rPr>
          <w:b/>
        </w:rPr>
        <w:t>*,4</w:t>
      </w:r>
      <w:r w:rsidRPr="00340C88">
        <w:rPr>
          <w:b/>
          <w:i/>
        </w:rPr>
        <w:t>R</w:t>
      </w:r>
      <w:r w:rsidRPr="00340C88">
        <w:rPr>
          <w:b/>
        </w:rPr>
        <w:t>*)-1’-Butyl-1-(hydroxymethyl</w:t>
      </w:r>
      <w:proofErr w:type="gramStart"/>
      <w:r w:rsidRPr="00340C88">
        <w:rPr>
          <w:b/>
        </w:rPr>
        <w:t>)spiro</w:t>
      </w:r>
      <w:proofErr w:type="gramEnd"/>
      <w:r w:rsidRPr="00340C88">
        <w:rPr>
          <w:b/>
        </w:rPr>
        <w:t>[7-oxabicyclo[2.2.1] hept-2-ene-6,3’-pyrrolidine]-2’,5’-dione</w:t>
      </w:r>
      <w:r w:rsidRPr="00340C88">
        <w:t xml:space="preserve"> (</w:t>
      </w:r>
      <w:r w:rsidRPr="00340C88">
        <w:rPr>
          <w:b/>
        </w:rPr>
        <w:t>22</w:t>
      </w:r>
      <w:r w:rsidRPr="00340C88">
        <w:t xml:space="preserve">): Acid </w:t>
      </w:r>
      <w:r w:rsidRPr="00340C88">
        <w:rPr>
          <w:b/>
        </w:rPr>
        <w:t xml:space="preserve">12 </w:t>
      </w:r>
      <w:r w:rsidR="00830BA2" w:rsidRPr="00340C88">
        <w:t>(2.0 g, 9.5</w:t>
      </w:r>
      <w:r w:rsidRPr="00340C88">
        <w:t xml:space="preserve"> </w:t>
      </w:r>
      <w:proofErr w:type="spellStart"/>
      <w:r w:rsidRPr="00340C88">
        <w:t>mmol</w:t>
      </w:r>
      <w:proofErr w:type="spellEnd"/>
      <w:r w:rsidRPr="00340C88">
        <w:t>, 1.0 eq.) was suspended in anhydrous CH</w:t>
      </w:r>
      <w:r w:rsidRPr="00340C88">
        <w:rPr>
          <w:vertAlign w:val="subscript"/>
        </w:rPr>
        <w:t>2</w:t>
      </w:r>
      <w:r w:rsidRPr="00340C88">
        <w:t>Cl</w:t>
      </w:r>
      <w:r w:rsidRPr="00340C88">
        <w:rPr>
          <w:vertAlign w:val="subscript"/>
        </w:rPr>
        <w:t>2</w:t>
      </w:r>
      <w:r w:rsidRPr="00340C88">
        <w:rPr>
          <w:vertAlign w:val="superscript"/>
        </w:rPr>
        <w:t xml:space="preserve"> </w:t>
      </w:r>
      <w:r w:rsidRPr="00340C88">
        <w:t>(5 mL) under an atmosphere of nitrogen. The suspension was cooled to 0 °C and oxalyl chloride 2.0 M solution in CH</w:t>
      </w:r>
      <w:r w:rsidRPr="00340C88">
        <w:rPr>
          <w:vertAlign w:val="subscript"/>
        </w:rPr>
        <w:t>2</w:t>
      </w:r>
      <w:r w:rsidRPr="00340C88">
        <w:t>Cl</w:t>
      </w:r>
      <w:r w:rsidRPr="00340C88">
        <w:rPr>
          <w:vertAlign w:val="subscript"/>
        </w:rPr>
        <w:t>2</w:t>
      </w:r>
      <w:r w:rsidRPr="00340C88">
        <w:t xml:space="preserve"> (12 mL, 24 </w:t>
      </w:r>
      <w:proofErr w:type="spellStart"/>
      <w:r w:rsidRPr="00340C88">
        <w:t>mmol</w:t>
      </w:r>
      <w:proofErr w:type="spellEnd"/>
      <w:r w:rsidRPr="00340C88">
        <w:t xml:space="preserve">, 2.5 eq.) was added dropwise over 10 minutes, followed by DMF (4 drops). The suspension was stirred at ambient temperature until a solution was obtained, after which it was concentrated </w:t>
      </w:r>
      <w:r w:rsidRPr="00340C88">
        <w:rPr>
          <w:i/>
        </w:rPr>
        <w:t xml:space="preserve">in </w:t>
      </w:r>
      <w:proofErr w:type="spellStart"/>
      <w:r w:rsidRPr="00340C88">
        <w:rPr>
          <w:i/>
        </w:rPr>
        <w:t>vacuo</w:t>
      </w:r>
      <w:proofErr w:type="spellEnd"/>
      <w:r w:rsidRPr="00340C88">
        <w:t>, to yield the crude acid chloride as a light brown solid. The crude material was redissolved in fresh anhydrous CH</w:t>
      </w:r>
      <w:r w:rsidRPr="00340C88">
        <w:rPr>
          <w:vertAlign w:val="subscript"/>
        </w:rPr>
        <w:t>2</w:t>
      </w:r>
      <w:r w:rsidRPr="00340C88">
        <w:t>Cl</w:t>
      </w:r>
      <w:r w:rsidRPr="00340C88">
        <w:rPr>
          <w:vertAlign w:val="subscript"/>
        </w:rPr>
        <w:t>2</w:t>
      </w:r>
      <w:r w:rsidRPr="00340C88">
        <w:t xml:space="preserve"> (10 mL) and cooled to 0 °C and a solution of butylamine </w:t>
      </w:r>
      <w:r w:rsidR="00830BA2" w:rsidRPr="00340C88">
        <w:t>(4.7</w:t>
      </w:r>
      <w:r w:rsidRPr="00340C88">
        <w:t xml:space="preserve"> mL, 48 </w:t>
      </w:r>
      <w:proofErr w:type="spellStart"/>
      <w:r w:rsidRPr="00340C88">
        <w:t>mmol</w:t>
      </w:r>
      <w:proofErr w:type="spellEnd"/>
      <w:r w:rsidRPr="00340C88">
        <w:t>, 5.0 eq.) in CH</w:t>
      </w:r>
      <w:r w:rsidRPr="00340C88">
        <w:rPr>
          <w:vertAlign w:val="subscript"/>
        </w:rPr>
        <w:t>2</w:t>
      </w:r>
      <w:r w:rsidRPr="00340C88">
        <w:t>Cl</w:t>
      </w:r>
      <w:r w:rsidRPr="00340C88">
        <w:rPr>
          <w:vertAlign w:val="subscript"/>
        </w:rPr>
        <w:t>2</w:t>
      </w:r>
      <w:r w:rsidRPr="00340C88">
        <w:t xml:space="preserve"> (10 mL) was added dropwise. The solution was allowed to stir at ambient temperature overnight before diluting with CH</w:t>
      </w:r>
      <w:r w:rsidRPr="00340C88">
        <w:rPr>
          <w:vertAlign w:val="subscript"/>
        </w:rPr>
        <w:t>2</w:t>
      </w:r>
      <w:r w:rsidRPr="00340C88">
        <w:t>Cl</w:t>
      </w:r>
      <w:r w:rsidRPr="00340C88">
        <w:rPr>
          <w:vertAlign w:val="subscript"/>
        </w:rPr>
        <w:t>2</w:t>
      </w:r>
      <w:r w:rsidRPr="00340C88">
        <w:t xml:space="preserve"> (30 mL) and H</w:t>
      </w:r>
      <w:r w:rsidRPr="00340C88">
        <w:rPr>
          <w:vertAlign w:val="subscript"/>
        </w:rPr>
        <w:t>2</w:t>
      </w:r>
      <w:r w:rsidRPr="00340C88">
        <w:t xml:space="preserve">O (50 mL). The organic layer was separated and further washed with 1M </w:t>
      </w:r>
      <w:proofErr w:type="spellStart"/>
      <w:proofErr w:type="gramStart"/>
      <w:r w:rsidRPr="00340C88">
        <w:t>HCl</w:t>
      </w:r>
      <w:proofErr w:type="spellEnd"/>
      <w:r w:rsidRPr="00340C88">
        <w:rPr>
          <w:vertAlign w:val="subscript"/>
        </w:rPr>
        <w:t>(</w:t>
      </w:r>
      <w:proofErr w:type="spellStart"/>
      <w:proofErr w:type="gramEnd"/>
      <w:r w:rsidRPr="00340C88">
        <w:rPr>
          <w:vertAlign w:val="subscript"/>
        </w:rPr>
        <w:t>aq</w:t>
      </w:r>
      <w:proofErr w:type="spellEnd"/>
      <w:r w:rsidRPr="00340C88">
        <w:rPr>
          <w:vertAlign w:val="subscript"/>
        </w:rPr>
        <w:t>)</w:t>
      </w:r>
      <w:r w:rsidRPr="00340C88">
        <w:t xml:space="preserve"> (50 mL), H</w:t>
      </w:r>
      <w:r w:rsidRPr="00340C88">
        <w:rPr>
          <w:vertAlign w:val="subscript"/>
        </w:rPr>
        <w:t>2</w:t>
      </w:r>
      <w:r w:rsidRPr="00340C88">
        <w:t>O (50 mL) and brine (50 mL). The organic layer was then dried (MgSO</w:t>
      </w:r>
      <w:r w:rsidRPr="00340C88">
        <w:rPr>
          <w:vertAlign w:val="subscript"/>
        </w:rPr>
        <w:t>4</w:t>
      </w:r>
      <w:r w:rsidRPr="00340C88">
        <w:t xml:space="preserve">), filtered and concentrated </w:t>
      </w:r>
      <w:r w:rsidRPr="00340C88">
        <w:rPr>
          <w:i/>
        </w:rPr>
        <w:t xml:space="preserve">in </w:t>
      </w:r>
      <w:proofErr w:type="spellStart"/>
      <w:r w:rsidRPr="00340C88">
        <w:rPr>
          <w:i/>
        </w:rPr>
        <w:t>vacuo</w:t>
      </w:r>
      <w:proofErr w:type="spellEnd"/>
      <w:r w:rsidRPr="00340C88">
        <w:t xml:space="preserve">. The crude material was purified by flash column </w:t>
      </w:r>
      <w:r w:rsidRPr="00340C88">
        <w:lastRenderedPageBreak/>
        <w:t xml:space="preserve">chromatography (80:20, </w:t>
      </w:r>
      <w:proofErr w:type="spellStart"/>
      <w:r w:rsidRPr="00340C88">
        <w:t>EtOAc</w:t>
      </w:r>
      <w:proofErr w:type="gramStart"/>
      <w:r w:rsidRPr="00340C88">
        <w:t>:PE</w:t>
      </w:r>
      <w:proofErr w:type="spellEnd"/>
      <w:proofErr w:type="gramEnd"/>
      <w:r w:rsidRPr="00340C88">
        <w:t xml:space="preserve">) to give the target spirocyclic imide </w:t>
      </w:r>
      <w:r w:rsidRPr="00340C88">
        <w:rPr>
          <w:b/>
        </w:rPr>
        <w:t>22</w:t>
      </w:r>
      <w:r w:rsidRPr="00340C88">
        <w:t xml:space="preserve"> as a white crystalline solid (839 mg, 33%). Crystals suitable for X-ray analysis were grown by slow evaporation of an acetone solution. </w:t>
      </w:r>
      <w:r w:rsidRPr="00340C88">
        <w:rPr>
          <w:i/>
        </w:rPr>
        <w:t>R</w:t>
      </w:r>
      <w:r w:rsidRPr="00340C88">
        <w:rPr>
          <w:vertAlign w:val="subscript"/>
        </w:rPr>
        <w:t>F</w:t>
      </w:r>
      <w:r w:rsidRPr="00340C88">
        <w:t xml:space="preserve"> = 0.25 (80:20, </w:t>
      </w:r>
      <w:proofErr w:type="spellStart"/>
      <w:r w:rsidRPr="00340C88">
        <w:t>EtOAc:PE</w:t>
      </w:r>
      <w:proofErr w:type="spellEnd"/>
      <w:r w:rsidRPr="00340C88">
        <w:t xml:space="preserve">); </w:t>
      </w:r>
      <w:proofErr w:type="spellStart"/>
      <w:r w:rsidRPr="00340C88">
        <w:t>m.p</w:t>
      </w:r>
      <w:proofErr w:type="spellEnd"/>
      <w:r w:rsidRPr="00340C88">
        <w:t xml:space="preserve">. 69.2–70.0 °C; IR (Neat) </w:t>
      </w:r>
      <w:proofErr w:type="spellStart"/>
      <w:r w:rsidRPr="00340C88">
        <w:t>υ</w:t>
      </w:r>
      <w:r w:rsidRPr="00340C88">
        <w:rPr>
          <w:vertAlign w:val="subscript"/>
        </w:rPr>
        <w:t>max</w:t>
      </w:r>
      <w:proofErr w:type="spellEnd"/>
      <w:r w:rsidRPr="00340C88">
        <w:t xml:space="preserve"> 3396 (m), 3024 (w), 2946 (w), 2874 (m), 1767 (m), 1674 (s) and 1685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δ = 6.65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5.7, 1.7 Hz, 1H, 1-H), 6.48 (d, </w:t>
      </w:r>
      <w:r w:rsidRPr="00340C88">
        <w:rPr>
          <w:rFonts w:cstheme="minorHAnsi"/>
          <w:i/>
        </w:rPr>
        <w:t>J</w:t>
      </w:r>
      <w:r w:rsidRPr="00340C88">
        <w:rPr>
          <w:rFonts w:cstheme="minorHAnsi"/>
        </w:rPr>
        <w:t xml:space="preserve"> = 5.7 Hz, 1H, 2-H), 5.13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4.8, 1.7 Hz, 1H, 6-H), 4.02 (d, </w:t>
      </w:r>
      <w:r w:rsidRPr="00340C88">
        <w:rPr>
          <w:rFonts w:cstheme="minorHAnsi"/>
          <w:i/>
        </w:rPr>
        <w:t>J</w:t>
      </w:r>
      <w:r w:rsidRPr="00340C88">
        <w:rPr>
          <w:rFonts w:cstheme="minorHAnsi"/>
        </w:rPr>
        <w:t xml:space="preserve"> = 11.6 Hz, 1H, 7-H), 3.90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11.6, 4.1 Hz, 1H, 7-H), 3.50 (t, </w:t>
      </w:r>
      <w:r w:rsidRPr="00340C88">
        <w:rPr>
          <w:rFonts w:cstheme="minorHAnsi"/>
          <w:i/>
        </w:rPr>
        <w:t>J</w:t>
      </w:r>
      <w:r w:rsidRPr="00340C88">
        <w:rPr>
          <w:rFonts w:cstheme="minorHAnsi"/>
        </w:rPr>
        <w:t xml:space="preserve"> = 7.4 Hz, 2H, 11-H), 2.72–2.61 (m, 2H, 5-H/9-H), 2.47–2.37 (m, 2H, OH/9-H), 1.59–1.48 (m, 3H, 12-H/5-H), 1.37–1.25 (m, 2H, 13-H), 0.91 (t, </w:t>
      </w:r>
      <w:r w:rsidRPr="00340C88">
        <w:rPr>
          <w:rFonts w:cstheme="minorHAnsi"/>
          <w:i/>
        </w:rPr>
        <w:t>J</w:t>
      </w:r>
      <w:r w:rsidRPr="00340C88">
        <w:rPr>
          <w:rFonts w:cstheme="minorHAnsi"/>
        </w:rPr>
        <w:t xml:space="preserve"> = 7.3 Hz, 3H, 14-H);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180.4 (8), 176.2 (10), 140.3 (1), 135.1 (2), 92.8 (3), 79.1 (6), 60.3 (7), 49.9 (4), 44.0 (5), 40.1 (9), 39.0 (11), 29.7 (12), 20.1 (13), 13.7 (14);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14</w:t>
      </w:r>
      <w:r w:rsidRPr="00340C88">
        <w:rPr>
          <w:rFonts w:cstheme="minorHAnsi"/>
          <w:vertAlign w:val="subscript"/>
        </w:rPr>
        <w:softHyphen/>
      </w:r>
      <w:r w:rsidRPr="00340C88">
        <w:rPr>
          <w:rFonts w:cstheme="minorHAnsi"/>
        </w:rPr>
        <w:t>H</w:t>
      </w:r>
      <w:r w:rsidRPr="00340C88">
        <w:rPr>
          <w:rFonts w:cstheme="minorHAnsi"/>
          <w:vertAlign w:val="subscript"/>
        </w:rPr>
        <w:t>19</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288.1214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288.1206, -2.7 ppm error.</w:t>
      </w:r>
    </w:p>
    <w:p w:rsidR="00D27CC8" w:rsidRPr="00340C88" w:rsidRDefault="00D27CC8" w:rsidP="00D27CC8">
      <w:pPr>
        <w:pStyle w:val="ElsParagraph"/>
      </w:pPr>
      <w:bookmarkStart w:id="7" w:name="_Toc34234603"/>
      <w:r w:rsidRPr="00340C88">
        <w:rPr>
          <w:b/>
        </w:rPr>
        <w:t>General procedure for the hydrogenation of secondary amides to imides</w:t>
      </w:r>
      <w:bookmarkEnd w:id="7"/>
      <w:r w:rsidRPr="00340C88">
        <w:rPr>
          <w:b/>
        </w:rPr>
        <w:t>.</w:t>
      </w:r>
      <w:r w:rsidRPr="00340C88">
        <w:t xml:space="preserve"> Secon</w:t>
      </w:r>
      <w:r w:rsidR="00830BA2" w:rsidRPr="00340C88">
        <w:t>dary amide (1.9</w:t>
      </w:r>
      <w:r w:rsidRPr="00340C88">
        <w:t xml:space="preserve"> </w:t>
      </w:r>
      <w:proofErr w:type="spellStart"/>
      <w:r w:rsidRPr="00340C88">
        <w:t>mmol</w:t>
      </w:r>
      <w:proofErr w:type="spellEnd"/>
      <w:r w:rsidRPr="00340C88">
        <w:t xml:space="preserve">, 1.0 eq.) was dissolved in </w:t>
      </w:r>
      <w:proofErr w:type="spellStart"/>
      <w:r w:rsidRPr="00340C88">
        <w:t>MeOH</w:t>
      </w:r>
      <w:proofErr w:type="spellEnd"/>
      <w:r w:rsidRPr="00340C88">
        <w:t xml:space="preserve"> (1 mL) under nitrogen, the addition of </w:t>
      </w:r>
      <w:proofErr w:type="spellStart"/>
      <w:r w:rsidRPr="00340C88">
        <w:t>EtOAc</w:t>
      </w:r>
      <w:proofErr w:type="spellEnd"/>
      <w:r w:rsidRPr="00340C88">
        <w:t xml:space="preserve"> (1 mL) may be necessary in some cases to obtain a solution. In a separate flask </w:t>
      </w:r>
      <w:proofErr w:type="spellStart"/>
      <w:r w:rsidRPr="00340C88">
        <w:t>Pd</w:t>
      </w:r>
      <w:proofErr w:type="spellEnd"/>
      <w:r w:rsidRPr="00340C88">
        <w:t xml:space="preserve">/C (10 </w:t>
      </w:r>
      <w:proofErr w:type="spellStart"/>
      <w:proofErr w:type="gramStart"/>
      <w:r w:rsidRPr="00340C88">
        <w:t>wt</w:t>
      </w:r>
      <w:proofErr w:type="spellEnd"/>
      <w:r w:rsidRPr="00340C88">
        <w:t>%</w:t>
      </w:r>
      <w:proofErr w:type="gramEnd"/>
      <w:r w:rsidRPr="00340C88">
        <w:t xml:space="preserve">) was suspended in </w:t>
      </w:r>
      <w:proofErr w:type="spellStart"/>
      <w:r w:rsidRPr="00340C88">
        <w:t>MeOH</w:t>
      </w:r>
      <w:proofErr w:type="spellEnd"/>
      <w:r w:rsidRPr="00340C88">
        <w:t xml:space="preserve"> (1 mL) under nitrogen. H</w:t>
      </w:r>
      <w:r w:rsidRPr="00340C88">
        <w:rPr>
          <w:vertAlign w:val="subscript"/>
        </w:rPr>
        <w:t>2</w:t>
      </w:r>
      <w:r w:rsidRPr="00340C88">
        <w:t xml:space="preserve"> was bubbled through the suspension of </w:t>
      </w:r>
      <w:proofErr w:type="spellStart"/>
      <w:r w:rsidRPr="00340C88">
        <w:t>Pd</w:t>
      </w:r>
      <w:proofErr w:type="spellEnd"/>
      <w:r w:rsidRPr="00340C88">
        <w:t xml:space="preserve">/C in </w:t>
      </w:r>
      <w:proofErr w:type="spellStart"/>
      <w:r w:rsidRPr="00340C88">
        <w:t>MeOH</w:t>
      </w:r>
      <w:proofErr w:type="spellEnd"/>
      <w:r w:rsidRPr="00340C88">
        <w:t xml:space="preserve"> for 10 minutes. The solution of secondary amide was then added to the catalyst suspension. The reaction mixture was allowed to stir at room temperature for 16 hours under H</w:t>
      </w:r>
      <w:r w:rsidRPr="00340C88">
        <w:rPr>
          <w:vertAlign w:val="subscript"/>
        </w:rPr>
        <w:t>2</w:t>
      </w:r>
      <w:r w:rsidRPr="00340C88">
        <w:t xml:space="preserve"> (1 bar). The reaction mixture was then passed through a pad of </w:t>
      </w:r>
      <w:proofErr w:type="spellStart"/>
      <w:r w:rsidRPr="00340C88">
        <w:t>celite</w:t>
      </w:r>
      <w:proofErr w:type="spellEnd"/>
      <w:r w:rsidRPr="00340C88">
        <w:t xml:space="preserve">® and concentrated </w:t>
      </w:r>
      <w:r w:rsidRPr="00340C88">
        <w:rPr>
          <w:i/>
        </w:rPr>
        <w:t xml:space="preserve">in </w:t>
      </w:r>
      <w:proofErr w:type="spellStart"/>
      <w:r w:rsidRPr="00340C88">
        <w:rPr>
          <w:i/>
        </w:rPr>
        <w:t>vacuo</w:t>
      </w:r>
      <w:proofErr w:type="spellEnd"/>
      <w:r w:rsidRPr="00340C88">
        <w:t>.</w:t>
      </w:r>
    </w:p>
    <w:p w:rsidR="00D27CC8" w:rsidRPr="00340C88" w:rsidRDefault="00D27CC8" w:rsidP="00D27CC8">
      <w:pPr>
        <w:pStyle w:val="ElsParagraph"/>
        <w:rPr>
          <w:rFonts w:cstheme="minorHAnsi"/>
        </w:rPr>
      </w:pPr>
      <w:bookmarkStart w:id="8" w:name="_Toc34234604"/>
      <w:r w:rsidRPr="00340C88">
        <w:rPr>
          <w:b/>
        </w:rPr>
        <w:t>(1</w:t>
      </w:r>
      <w:r w:rsidRPr="00340C88">
        <w:rPr>
          <w:b/>
          <w:i/>
        </w:rPr>
        <w:t>S</w:t>
      </w:r>
      <w:r w:rsidRPr="00340C88">
        <w:rPr>
          <w:b/>
        </w:rPr>
        <w:t>*</w:t>
      </w:r>
      <w:proofErr w:type="gramStart"/>
      <w:r w:rsidRPr="00340C88">
        <w:rPr>
          <w:b/>
        </w:rPr>
        <w:t>,2</w:t>
      </w:r>
      <w:r w:rsidRPr="00340C88">
        <w:rPr>
          <w:b/>
          <w:i/>
        </w:rPr>
        <w:t>S</w:t>
      </w:r>
      <w:proofErr w:type="gramEnd"/>
      <w:r w:rsidRPr="00340C88">
        <w:rPr>
          <w:b/>
        </w:rPr>
        <w:t>*,4</w:t>
      </w:r>
      <w:r w:rsidRPr="00340C88">
        <w:rPr>
          <w:b/>
          <w:i/>
        </w:rPr>
        <w:t>R</w:t>
      </w:r>
      <w:r w:rsidRPr="00340C88">
        <w:rPr>
          <w:b/>
        </w:rPr>
        <w:t>*)-1’-Butyl-1-(hydroxymethyl</w:t>
      </w:r>
      <w:proofErr w:type="gramStart"/>
      <w:r w:rsidRPr="00340C88">
        <w:rPr>
          <w:b/>
        </w:rPr>
        <w:t>)spiro</w:t>
      </w:r>
      <w:proofErr w:type="gramEnd"/>
      <w:r w:rsidRPr="00340C88">
        <w:rPr>
          <w:b/>
        </w:rPr>
        <w:t>[7-oxabicyclo[2.2.1]heptane-2,3’-pyrrolidine]-2’,5’-dione</w:t>
      </w:r>
      <w:r w:rsidRPr="00340C88">
        <w:t xml:space="preserve"> (</w:t>
      </w:r>
      <w:r w:rsidRPr="00340C88">
        <w:rPr>
          <w:b/>
        </w:rPr>
        <w:t>21a</w:t>
      </w:r>
      <w:r w:rsidRPr="00340C88">
        <w:t>)</w:t>
      </w:r>
      <w:bookmarkEnd w:id="8"/>
      <w:r w:rsidRPr="00340C88">
        <w:t xml:space="preserve">: Butyl amide </w:t>
      </w:r>
      <w:r w:rsidRPr="00340C88">
        <w:rPr>
          <w:b/>
        </w:rPr>
        <w:t>20a</w:t>
      </w:r>
      <w:r w:rsidRPr="00340C88">
        <w:t xml:space="preserve"> (</w:t>
      </w:r>
      <w:r w:rsidR="00EA0E2E" w:rsidRPr="00340C88">
        <w:t xml:space="preserve">0.10 </w:t>
      </w:r>
      <w:r w:rsidRPr="00340C88">
        <w:t xml:space="preserve">g) was hydrogenated according to the general procedure for the hydrogenation of secondary amides. The crude material was purified using flash column chromatography (80:20–90:10, </w:t>
      </w:r>
      <w:proofErr w:type="spellStart"/>
      <w:r w:rsidRPr="00340C88">
        <w:t>EtOAc</w:t>
      </w:r>
      <w:proofErr w:type="gramStart"/>
      <w:r w:rsidRPr="00340C88">
        <w:t>:PE</w:t>
      </w:r>
      <w:proofErr w:type="spellEnd"/>
      <w:proofErr w:type="gramEnd"/>
      <w:r w:rsidRPr="00340C88">
        <w:t xml:space="preserve">) to give the target compound </w:t>
      </w:r>
      <w:r w:rsidRPr="00340C88">
        <w:rPr>
          <w:b/>
        </w:rPr>
        <w:t>21a</w:t>
      </w:r>
      <w:r w:rsidRPr="00340C88">
        <w:t xml:space="preserve"> as a clear oil (</w:t>
      </w:r>
      <w:r w:rsidR="00EA0E2E" w:rsidRPr="00340C88">
        <w:t xml:space="preserve">0.77 </w:t>
      </w:r>
      <w:r w:rsidRPr="00340C88">
        <w:t xml:space="preserve">g, 76%). </w:t>
      </w:r>
      <w:r w:rsidRPr="00340C88">
        <w:rPr>
          <w:i/>
        </w:rPr>
        <w:t>R</w:t>
      </w:r>
      <w:r w:rsidRPr="00340C88">
        <w:rPr>
          <w:vertAlign w:val="subscript"/>
        </w:rPr>
        <w:t>F</w:t>
      </w:r>
      <w:r w:rsidRPr="00340C88">
        <w:t xml:space="preserve"> = 0.33 (90:10, </w:t>
      </w:r>
      <w:proofErr w:type="spellStart"/>
      <w:r w:rsidRPr="00340C88">
        <w:t>EtOAc:PE</w:t>
      </w:r>
      <w:proofErr w:type="spellEnd"/>
      <w:r w:rsidRPr="00340C88">
        <w:t xml:space="preserve">); IR (Neat) </w:t>
      </w:r>
      <w:proofErr w:type="spellStart"/>
      <w:r w:rsidRPr="00340C88">
        <w:t>υ</w:t>
      </w:r>
      <w:r w:rsidRPr="00340C88">
        <w:rPr>
          <w:vertAlign w:val="subscript"/>
        </w:rPr>
        <w:t>max</w:t>
      </w:r>
      <w:proofErr w:type="spellEnd"/>
      <w:r w:rsidRPr="00340C88">
        <w:t xml:space="preserve"> 3460 (w), 2958 (w), 2874 (w), 1771 (w) and 1685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4.72 (t, </w:t>
      </w:r>
      <w:r w:rsidRPr="00340C88">
        <w:rPr>
          <w:rFonts w:cstheme="minorHAnsi"/>
          <w:i/>
        </w:rPr>
        <w:t>J</w:t>
      </w:r>
      <w:r w:rsidRPr="00340C88">
        <w:rPr>
          <w:rFonts w:cstheme="minorHAnsi"/>
        </w:rPr>
        <w:t xml:space="preserve"> = 5.3 Hz, 1H, 6-H), 3.93 (d, </w:t>
      </w:r>
      <w:r w:rsidRPr="00340C88">
        <w:rPr>
          <w:rFonts w:cstheme="minorHAnsi"/>
          <w:i/>
        </w:rPr>
        <w:t>J</w:t>
      </w:r>
      <w:r w:rsidRPr="00340C88">
        <w:rPr>
          <w:rFonts w:cstheme="minorHAnsi"/>
        </w:rPr>
        <w:t xml:space="preserve"> = 5.3 Hz, 2H, 7-H), 3.49 (t, </w:t>
      </w:r>
      <w:r w:rsidRPr="00340C88">
        <w:rPr>
          <w:rFonts w:cstheme="minorHAnsi"/>
          <w:i/>
        </w:rPr>
        <w:t>J</w:t>
      </w:r>
      <w:r w:rsidRPr="00340C88">
        <w:rPr>
          <w:rFonts w:cstheme="minorHAnsi"/>
        </w:rPr>
        <w:t xml:space="preserve"> = 7.3 Hz, 2H, 11-H), 2.97 (d, </w:t>
      </w:r>
      <w:r w:rsidRPr="00340C88">
        <w:rPr>
          <w:rFonts w:cstheme="minorHAnsi"/>
          <w:i/>
        </w:rPr>
        <w:t>J</w:t>
      </w:r>
      <w:r w:rsidRPr="00340C88">
        <w:rPr>
          <w:rFonts w:cstheme="minorHAnsi"/>
        </w:rPr>
        <w:t xml:space="preserve"> = 17.9 Hz, 1H, 9-H), 2.71 (d, </w:t>
      </w:r>
      <w:r w:rsidRPr="00340C88">
        <w:rPr>
          <w:rFonts w:cstheme="minorHAnsi"/>
          <w:i/>
        </w:rPr>
        <w:t>J</w:t>
      </w:r>
      <w:r w:rsidRPr="00340C88">
        <w:rPr>
          <w:rFonts w:cstheme="minorHAnsi"/>
        </w:rPr>
        <w:t xml:space="preserve"> = 17.9 Hz, 1H, 9-H), 2.52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12.1, 5.5, 2.6 Hz, 1H, 5-H), 2.02–1.91 (m, 2H, 1-H), 1.78–1.62 (m, 3H, 2-H, OH), 1.59–1.49 (m, 3H, 12-H/5-H), 1.37–1.23 (m, 2H, 13-H), 0.91 (t, </w:t>
      </w:r>
      <w:r w:rsidRPr="00340C88">
        <w:rPr>
          <w:rFonts w:cstheme="minorHAnsi"/>
          <w:i/>
        </w:rPr>
        <w:t>J</w:t>
      </w:r>
      <w:r w:rsidRPr="00340C88">
        <w:rPr>
          <w:rFonts w:cstheme="minorHAnsi"/>
        </w:rPr>
        <w:t xml:space="preserve"> = 7.3 Hz, 3H, 14-H);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180.5 (8), 175.7 (10), 90.4 (3), 77.4 (6), 62.7 (7), 52.6 (4), 45.3 (5), 39.2 (9), 38.8 (11), 31.3 (2), 29.7 (12/1), 20.1 (13), 13.7 (14);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14</w:t>
      </w:r>
      <w:r w:rsidRPr="00340C88">
        <w:rPr>
          <w:rFonts w:cstheme="minorHAnsi"/>
        </w:rPr>
        <w:t>H</w:t>
      </w:r>
      <w:r w:rsidRPr="00340C88">
        <w:rPr>
          <w:rFonts w:cstheme="minorHAnsi"/>
          <w:vertAlign w:val="subscript"/>
        </w:rPr>
        <w:t>21</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290.1363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290.1368, -2.5 ppm error.</w:t>
      </w:r>
    </w:p>
    <w:p w:rsidR="00D27CC8" w:rsidRPr="00340C88" w:rsidRDefault="00D27CC8" w:rsidP="00D27CC8">
      <w:pPr>
        <w:pStyle w:val="ElsParagraph"/>
        <w:rPr>
          <w:rFonts w:cstheme="minorHAnsi"/>
        </w:rPr>
      </w:pPr>
      <w:bookmarkStart w:id="9" w:name="_Toc34234605"/>
      <w:r w:rsidRPr="00340C88">
        <w:rPr>
          <w:b/>
        </w:rPr>
        <w:t>(1</w:t>
      </w:r>
      <w:r w:rsidRPr="00340C88">
        <w:rPr>
          <w:b/>
          <w:i/>
        </w:rPr>
        <w:t>S</w:t>
      </w:r>
      <w:r w:rsidRPr="00340C88">
        <w:rPr>
          <w:b/>
        </w:rPr>
        <w:t>*</w:t>
      </w:r>
      <w:proofErr w:type="gramStart"/>
      <w:r w:rsidRPr="00340C88">
        <w:rPr>
          <w:b/>
        </w:rPr>
        <w:t>,2</w:t>
      </w:r>
      <w:r w:rsidRPr="00340C88">
        <w:rPr>
          <w:b/>
          <w:i/>
        </w:rPr>
        <w:t>S</w:t>
      </w:r>
      <w:proofErr w:type="gramEnd"/>
      <w:r w:rsidRPr="00340C88">
        <w:rPr>
          <w:b/>
        </w:rPr>
        <w:t>*,4</w:t>
      </w:r>
      <w:r w:rsidRPr="00340C88">
        <w:rPr>
          <w:b/>
          <w:i/>
        </w:rPr>
        <w:t>R</w:t>
      </w:r>
      <w:r w:rsidRPr="00340C88">
        <w:rPr>
          <w:b/>
        </w:rPr>
        <w:t>*)-1’-Hexyl-1-(hydroxymethyl</w:t>
      </w:r>
      <w:proofErr w:type="gramStart"/>
      <w:r w:rsidRPr="00340C88">
        <w:rPr>
          <w:b/>
        </w:rPr>
        <w:t>)spiro</w:t>
      </w:r>
      <w:proofErr w:type="gramEnd"/>
      <w:r w:rsidRPr="00340C88">
        <w:rPr>
          <w:b/>
        </w:rPr>
        <w:t>[7-oxabicyclo[2.2.1] heptane-2,3’-pyrrolidine]-2’,5’-dione</w:t>
      </w:r>
      <w:r w:rsidRPr="00340C88">
        <w:t xml:space="preserve"> (</w:t>
      </w:r>
      <w:r w:rsidRPr="00340C88">
        <w:rPr>
          <w:b/>
        </w:rPr>
        <w:t>21b</w:t>
      </w:r>
      <w:r w:rsidRPr="00340C88">
        <w:t>)</w:t>
      </w:r>
      <w:bookmarkEnd w:id="9"/>
      <w:r w:rsidRPr="00340C88">
        <w:t xml:space="preserve">: Hexyl amide </w:t>
      </w:r>
      <w:r w:rsidRPr="00340C88">
        <w:rPr>
          <w:b/>
        </w:rPr>
        <w:t>20b</w:t>
      </w:r>
      <w:r w:rsidRPr="00340C88">
        <w:t xml:space="preserve"> (400 mg) was hydrogenated according to the general procedure for the hydrogenation of secondary amides. The crude material was purified by flash column chromatography (70:30, </w:t>
      </w:r>
      <w:proofErr w:type="spellStart"/>
      <w:r w:rsidRPr="00340C88">
        <w:t>EtOAc</w:t>
      </w:r>
      <w:proofErr w:type="gramStart"/>
      <w:r w:rsidRPr="00340C88">
        <w:t>:PE</w:t>
      </w:r>
      <w:proofErr w:type="spellEnd"/>
      <w:proofErr w:type="gramEnd"/>
      <w:r w:rsidRPr="00340C88">
        <w:t xml:space="preserve">) to give the target compound </w:t>
      </w:r>
      <w:r w:rsidRPr="00340C88">
        <w:rPr>
          <w:b/>
        </w:rPr>
        <w:t>21b</w:t>
      </w:r>
      <w:r w:rsidRPr="00340C88">
        <w:t xml:space="preserve"> as a clear oil (378 mg, 94%). </w:t>
      </w:r>
      <w:r w:rsidRPr="00340C88">
        <w:rPr>
          <w:i/>
        </w:rPr>
        <w:t>R</w:t>
      </w:r>
      <w:r w:rsidRPr="00340C88">
        <w:rPr>
          <w:vertAlign w:val="subscript"/>
        </w:rPr>
        <w:t>F</w:t>
      </w:r>
      <w:r w:rsidRPr="00340C88">
        <w:t xml:space="preserve"> = 0.32 (80:20, </w:t>
      </w:r>
      <w:proofErr w:type="spellStart"/>
      <w:r w:rsidRPr="00340C88">
        <w:t>EtOAc:PE</w:t>
      </w:r>
      <w:proofErr w:type="spellEnd"/>
      <w:r w:rsidRPr="00340C88">
        <w:t xml:space="preserve">); IR (Neat) </w:t>
      </w:r>
      <w:proofErr w:type="spellStart"/>
      <w:r w:rsidRPr="00340C88">
        <w:t>υ</w:t>
      </w:r>
      <w:r w:rsidRPr="00340C88">
        <w:rPr>
          <w:vertAlign w:val="subscript"/>
        </w:rPr>
        <w:t>max</w:t>
      </w:r>
      <w:proofErr w:type="spellEnd"/>
      <w:r w:rsidRPr="00340C88">
        <w:t xml:space="preserve"> 3460 (w), 2931 (m), 2859 (w), 1771 (m) and 1686 (s) cm</w:t>
      </w:r>
      <w:r w:rsidRPr="00340C88">
        <w:rPr>
          <w:vertAlign w:val="superscript"/>
        </w:rPr>
        <w:t>-1</w:t>
      </w:r>
      <w:r w:rsidRPr="00340C88">
        <w:t>;</w:t>
      </w:r>
      <w:r w:rsidRPr="00340C88">
        <w:rPr>
          <w:rFonts w:cstheme="minorHAnsi"/>
        </w:rPr>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4.68 (t, </w:t>
      </w:r>
      <w:r w:rsidRPr="00340C88">
        <w:rPr>
          <w:rFonts w:cstheme="minorHAnsi"/>
          <w:i/>
        </w:rPr>
        <w:t>J =</w:t>
      </w:r>
      <w:r w:rsidRPr="00340C88">
        <w:rPr>
          <w:rFonts w:cstheme="minorHAnsi"/>
        </w:rPr>
        <w:t xml:space="preserve"> 5.2 Hz, 1H, 6-H), 3.89 (s, 2H, 7-H), 3.44 (t, </w:t>
      </w:r>
      <w:r w:rsidRPr="00340C88">
        <w:rPr>
          <w:rFonts w:cstheme="minorHAnsi"/>
          <w:i/>
        </w:rPr>
        <w:t>J</w:t>
      </w:r>
      <w:r w:rsidRPr="00340C88">
        <w:rPr>
          <w:rFonts w:cstheme="minorHAnsi"/>
        </w:rPr>
        <w:t xml:space="preserve"> = 7.5 Hz, 2H, 11-H), 2.96 (d, </w:t>
      </w:r>
      <w:r w:rsidRPr="00340C88">
        <w:rPr>
          <w:rFonts w:cstheme="minorHAnsi"/>
          <w:i/>
        </w:rPr>
        <w:t>J</w:t>
      </w:r>
      <w:r w:rsidRPr="00340C88">
        <w:rPr>
          <w:rFonts w:cstheme="minorHAnsi"/>
        </w:rPr>
        <w:t xml:space="preserve"> = 18.4 Hz, 1H, 9-H), 2.68 (d, </w:t>
      </w:r>
      <w:r w:rsidRPr="00340C88">
        <w:rPr>
          <w:rFonts w:cstheme="minorHAnsi"/>
          <w:i/>
        </w:rPr>
        <w:t>J</w:t>
      </w:r>
      <w:r w:rsidRPr="00340C88">
        <w:rPr>
          <w:rFonts w:cstheme="minorHAnsi"/>
        </w:rPr>
        <w:t xml:space="preserve"> = 18.4 Hz, 1H, 9-H), 2.48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11.9, 5.2, 2.5 Hz, 1H, 5-H), 2.34–2.18 (</w:t>
      </w:r>
      <w:proofErr w:type="spellStart"/>
      <w:r w:rsidRPr="00340C88">
        <w:rPr>
          <w:rFonts w:cstheme="minorHAnsi"/>
        </w:rPr>
        <w:t>br</w:t>
      </w:r>
      <w:proofErr w:type="spellEnd"/>
      <w:r w:rsidRPr="00340C88">
        <w:rPr>
          <w:rFonts w:cstheme="minorHAnsi"/>
        </w:rPr>
        <w:t xml:space="preserve">, 1H, OH), 2.02–1.82 (m, 2H, 1-H/2-H), 1.75–1.60 (m, 2H, 1-H/2-H), 1.58–1.47 (m, 3H, 5-H/12-H), 1.30–1.19 (m, 6H, 15-H/14-H/13-H), 0.84 (t </w:t>
      </w:r>
      <w:r w:rsidRPr="00340C88">
        <w:rPr>
          <w:rFonts w:cstheme="minorHAnsi"/>
          <w:i/>
        </w:rPr>
        <w:t>J</w:t>
      </w:r>
      <w:r w:rsidRPr="00340C88">
        <w:rPr>
          <w:rFonts w:cstheme="minorHAnsi"/>
        </w:rPr>
        <w:t xml:space="preserve"> = 7.2 Hz, 3H, 16-H);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180.5 (8), 175.8 (10), 90.4 (3), 77.1 (6), 62.6 (7), 52.6 (4), 45.2 (5), 39.2 (9), 39.0 (11), 31.4 (12), 31.2 (1), 29.6 (2), 27.5 (13), 26.5 (14), 22.6 (15), 14.1 (16);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16</w:t>
      </w:r>
      <w:r w:rsidRPr="00340C88">
        <w:rPr>
          <w:rFonts w:cstheme="minorHAnsi"/>
        </w:rPr>
        <w:t>H</w:t>
      </w:r>
      <w:r w:rsidRPr="00340C88">
        <w:rPr>
          <w:rFonts w:cstheme="minorHAnsi"/>
          <w:vertAlign w:val="subscript"/>
        </w:rPr>
        <w:t>25</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318.1676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318.1676, 0.1 ppm error.</w:t>
      </w:r>
    </w:p>
    <w:p w:rsidR="00D27CC8" w:rsidRPr="00340C88" w:rsidRDefault="00D27CC8" w:rsidP="00D27CC8">
      <w:pPr>
        <w:pStyle w:val="ElsParagraph"/>
        <w:rPr>
          <w:rFonts w:cstheme="minorHAnsi"/>
        </w:rPr>
      </w:pPr>
      <w:bookmarkStart w:id="10" w:name="_Toc34234606"/>
      <w:r w:rsidRPr="00340C88">
        <w:rPr>
          <w:b/>
        </w:rPr>
        <w:t>(1</w:t>
      </w:r>
      <w:r w:rsidRPr="00340C88">
        <w:rPr>
          <w:b/>
          <w:i/>
        </w:rPr>
        <w:t>S</w:t>
      </w:r>
      <w:r w:rsidRPr="00340C88">
        <w:rPr>
          <w:b/>
        </w:rPr>
        <w:t>*</w:t>
      </w:r>
      <w:proofErr w:type="gramStart"/>
      <w:r w:rsidRPr="00340C88">
        <w:rPr>
          <w:b/>
        </w:rPr>
        <w:t>,2</w:t>
      </w:r>
      <w:r w:rsidRPr="00340C88">
        <w:rPr>
          <w:b/>
          <w:i/>
        </w:rPr>
        <w:t>S</w:t>
      </w:r>
      <w:proofErr w:type="gramEnd"/>
      <w:r w:rsidRPr="00340C88">
        <w:rPr>
          <w:b/>
        </w:rPr>
        <w:t>*,4</w:t>
      </w:r>
      <w:r w:rsidRPr="00340C88">
        <w:rPr>
          <w:b/>
          <w:i/>
        </w:rPr>
        <w:t>R</w:t>
      </w:r>
      <w:r w:rsidRPr="00340C88">
        <w:rPr>
          <w:b/>
        </w:rPr>
        <w:t>*)-1-(Hydroxymethyl)-1’-octyl-</w:t>
      </w:r>
      <w:proofErr w:type="gramStart"/>
      <w:r w:rsidRPr="00340C88">
        <w:rPr>
          <w:b/>
        </w:rPr>
        <w:t>spiro[</w:t>
      </w:r>
      <w:proofErr w:type="gramEnd"/>
      <w:r w:rsidRPr="00340C88">
        <w:rPr>
          <w:b/>
        </w:rPr>
        <w:t>7-oxabicyclo[2.2.1] heptane-2,3’-pyrrolidine]-2’,5’-dione</w:t>
      </w:r>
      <w:r w:rsidRPr="00340C88">
        <w:t xml:space="preserve"> (</w:t>
      </w:r>
      <w:r w:rsidRPr="00340C88">
        <w:rPr>
          <w:b/>
        </w:rPr>
        <w:t>21c</w:t>
      </w:r>
      <w:r w:rsidRPr="00340C88">
        <w:t>)</w:t>
      </w:r>
      <w:bookmarkEnd w:id="10"/>
      <w:r w:rsidRPr="00340C88">
        <w:t xml:space="preserve">: </w:t>
      </w:r>
      <w:proofErr w:type="spellStart"/>
      <w:r w:rsidRPr="00340C88">
        <w:t>Octyl</w:t>
      </w:r>
      <w:proofErr w:type="spellEnd"/>
      <w:r w:rsidRPr="00340C88">
        <w:t xml:space="preserve"> amide </w:t>
      </w:r>
      <w:r w:rsidRPr="00340C88">
        <w:rPr>
          <w:b/>
        </w:rPr>
        <w:t>20c</w:t>
      </w:r>
      <w:r w:rsidRPr="00340C88">
        <w:t xml:space="preserve"> (</w:t>
      </w:r>
      <w:r w:rsidR="00EA0E2E" w:rsidRPr="00340C88">
        <w:t xml:space="preserve">0.10 </w:t>
      </w:r>
      <w:r w:rsidRPr="00340C88">
        <w:t xml:space="preserve">g) was hydrogenated according to the general procedure for the hydrogenation of secondary amides. The crude material was purified using flash column chromatography (70:30, </w:t>
      </w:r>
      <w:proofErr w:type="spellStart"/>
      <w:r w:rsidRPr="00340C88">
        <w:t>EtOAc</w:t>
      </w:r>
      <w:proofErr w:type="gramStart"/>
      <w:r w:rsidRPr="00340C88">
        <w:t>:PE</w:t>
      </w:r>
      <w:proofErr w:type="spellEnd"/>
      <w:proofErr w:type="gramEnd"/>
      <w:r w:rsidRPr="00340C88">
        <w:t xml:space="preserve">) to give the target compound </w:t>
      </w:r>
      <w:r w:rsidRPr="00340C88">
        <w:rPr>
          <w:b/>
        </w:rPr>
        <w:t>21c</w:t>
      </w:r>
      <w:r w:rsidRPr="00340C88">
        <w:t xml:space="preserve"> as a clear oil (</w:t>
      </w:r>
      <w:r w:rsidR="00EA0E2E" w:rsidRPr="00340C88">
        <w:t xml:space="preserve">0.098 </w:t>
      </w:r>
      <w:r w:rsidRPr="00340C88">
        <w:t xml:space="preserve">g, 98%). </w:t>
      </w:r>
      <w:r w:rsidRPr="00340C88">
        <w:rPr>
          <w:i/>
        </w:rPr>
        <w:t>R</w:t>
      </w:r>
      <w:r w:rsidRPr="00340C88">
        <w:rPr>
          <w:vertAlign w:val="subscript"/>
        </w:rPr>
        <w:t>F</w:t>
      </w:r>
      <w:r w:rsidRPr="00340C88">
        <w:t xml:space="preserve"> = 0.26 (70:30, </w:t>
      </w:r>
      <w:proofErr w:type="spellStart"/>
      <w:r w:rsidRPr="00340C88">
        <w:t>EtOAc:PE</w:t>
      </w:r>
      <w:proofErr w:type="spellEnd"/>
      <w:r w:rsidRPr="00340C88">
        <w:t xml:space="preserve">); IR (Neat) </w:t>
      </w:r>
      <w:proofErr w:type="spellStart"/>
      <w:r w:rsidRPr="00340C88">
        <w:t>υ</w:t>
      </w:r>
      <w:r w:rsidRPr="00340C88">
        <w:rPr>
          <w:vertAlign w:val="subscript"/>
        </w:rPr>
        <w:t>max</w:t>
      </w:r>
      <w:proofErr w:type="spellEnd"/>
      <w:r w:rsidRPr="00340C88">
        <w:t xml:space="preserve"> 3452 (w), 2926 (m), 2856 (m), 1771 (w) and 1688 (s) cm</w:t>
      </w:r>
      <w:r w:rsidRPr="00340C88">
        <w:rPr>
          <w:vertAlign w:val="superscript"/>
        </w:rPr>
        <w:t>-1</w:t>
      </w:r>
      <w:r w:rsidRPr="00340C88">
        <w:t>;</w:t>
      </w:r>
      <w:r w:rsidRPr="00340C88">
        <w:rPr>
          <w:rFonts w:cstheme="minorHAnsi"/>
        </w:rPr>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4.69 (t, </w:t>
      </w:r>
      <w:r w:rsidRPr="00340C88">
        <w:rPr>
          <w:rFonts w:cstheme="minorHAnsi"/>
          <w:i/>
        </w:rPr>
        <w:t>J</w:t>
      </w:r>
      <w:r w:rsidRPr="00340C88">
        <w:rPr>
          <w:rFonts w:cstheme="minorHAnsi"/>
        </w:rPr>
        <w:t xml:space="preserve"> = 4.9 Hz, 1H, 6-H), 3.90 (s, 2H, 7-H), 3.45 (t, </w:t>
      </w:r>
      <w:r w:rsidRPr="00340C88">
        <w:rPr>
          <w:rFonts w:cstheme="minorHAnsi"/>
          <w:i/>
        </w:rPr>
        <w:t>J</w:t>
      </w:r>
      <w:r w:rsidRPr="00340C88">
        <w:rPr>
          <w:rFonts w:cstheme="minorHAnsi"/>
        </w:rPr>
        <w:t xml:space="preserve"> = 7.3 Hz, 2H, 11-H), 2.97 (d, </w:t>
      </w:r>
      <w:r w:rsidRPr="00340C88">
        <w:rPr>
          <w:rFonts w:cstheme="minorHAnsi"/>
          <w:i/>
        </w:rPr>
        <w:t>J</w:t>
      </w:r>
      <w:r w:rsidRPr="00340C88">
        <w:rPr>
          <w:rFonts w:cstheme="minorHAnsi"/>
        </w:rPr>
        <w:t xml:space="preserve"> = 18.3 Hz, 2H, 9-H), 2.69 (d, </w:t>
      </w:r>
      <w:r w:rsidRPr="00340C88">
        <w:rPr>
          <w:rFonts w:cstheme="minorHAnsi"/>
          <w:i/>
        </w:rPr>
        <w:t>J</w:t>
      </w:r>
      <w:r w:rsidRPr="00340C88">
        <w:rPr>
          <w:rFonts w:cstheme="minorHAnsi"/>
        </w:rPr>
        <w:t xml:space="preserve"> = 18.3 Hz, 1H, 9-H), 2.52–2.45 (m, 1H, 5-H), 2.13–2.04 (</w:t>
      </w:r>
      <w:proofErr w:type="spellStart"/>
      <w:r w:rsidRPr="00340C88">
        <w:rPr>
          <w:rFonts w:cstheme="minorHAnsi"/>
        </w:rPr>
        <w:t>br</w:t>
      </w:r>
      <w:proofErr w:type="spellEnd"/>
      <w:r w:rsidRPr="00340C88">
        <w:rPr>
          <w:rFonts w:cstheme="minorHAnsi"/>
        </w:rPr>
        <w:t xml:space="preserve">, 1H, OH), 2.01–1.88 (m, 2H, 1-H), 1.77–1.61 (m, 2H, 2-H), 1.58–1.47 (m, 3H, 5-H/12-H), 1.30–1.18 (m, 10H, 13-H/14-H/15-H/16-H/17-H), 0.85 (t, </w:t>
      </w:r>
      <w:r w:rsidRPr="00340C88">
        <w:rPr>
          <w:rFonts w:cstheme="minorHAnsi"/>
          <w:i/>
        </w:rPr>
        <w:t>J</w:t>
      </w:r>
      <w:r w:rsidRPr="00340C88">
        <w:rPr>
          <w:rFonts w:cstheme="minorHAnsi"/>
        </w:rPr>
        <w:t xml:space="preserve"> = 6.3 Hz, 3H, 18-H);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180.5 (8), 175.8 (10), 90.4 (3), 77.4 (6), 62.7 (7), 52.6 (4), 45.3 (5), 39.2 (9), 39.1 (11), 31.9 (31.3), 29.6 (1), 29.3 (2), 29.2 (14), 27.6 (15), 26.9 (16), 22.7 (17), 14.2 (18);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18</w:t>
      </w:r>
      <w:r w:rsidRPr="00340C88">
        <w:rPr>
          <w:rFonts w:cstheme="minorHAnsi"/>
        </w:rPr>
        <w:t>H</w:t>
      </w:r>
      <w:r w:rsidRPr="00340C88">
        <w:rPr>
          <w:rFonts w:cstheme="minorHAnsi"/>
          <w:vertAlign w:val="subscript"/>
        </w:rPr>
        <w:t>29</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346.1989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346.1992, -0.5 ppm error.</w:t>
      </w:r>
    </w:p>
    <w:p w:rsidR="00D27CC8" w:rsidRPr="00340C88" w:rsidRDefault="00D27CC8" w:rsidP="00D27CC8">
      <w:pPr>
        <w:pStyle w:val="ElsParagraph"/>
        <w:rPr>
          <w:rFonts w:cstheme="minorHAnsi"/>
        </w:rPr>
      </w:pPr>
      <w:bookmarkStart w:id="11" w:name="_Toc34234607"/>
      <w:r w:rsidRPr="00340C88">
        <w:rPr>
          <w:b/>
        </w:rPr>
        <w:t>(1</w:t>
      </w:r>
      <w:r w:rsidRPr="00340C88">
        <w:rPr>
          <w:b/>
          <w:i/>
        </w:rPr>
        <w:t>S</w:t>
      </w:r>
      <w:r w:rsidRPr="00340C88">
        <w:rPr>
          <w:b/>
        </w:rPr>
        <w:t>*</w:t>
      </w:r>
      <w:proofErr w:type="gramStart"/>
      <w:r w:rsidRPr="00340C88">
        <w:rPr>
          <w:b/>
        </w:rPr>
        <w:t>,2</w:t>
      </w:r>
      <w:r w:rsidRPr="00340C88">
        <w:rPr>
          <w:b/>
          <w:i/>
        </w:rPr>
        <w:t>S</w:t>
      </w:r>
      <w:proofErr w:type="gramEnd"/>
      <w:r w:rsidRPr="00340C88">
        <w:rPr>
          <w:b/>
        </w:rPr>
        <w:t>*,4</w:t>
      </w:r>
      <w:r w:rsidRPr="00340C88">
        <w:rPr>
          <w:b/>
          <w:i/>
        </w:rPr>
        <w:t>R</w:t>
      </w:r>
      <w:r w:rsidRPr="00340C88">
        <w:rPr>
          <w:b/>
        </w:rPr>
        <w:t>*)-1’-Benzyl-1-(hydroxymethyl</w:t>
      </w:r>
      <w:proofErr w:type="gramStart"/>
      <w:r w:rsidRPr="00340C88">
        <w:rPr>
          <w:b/>
        </w:rPr>
        <w:t>)spiro</w:t>
      </w:r>
      <w:proofErr w:type="gramEnd"/>
      <w:r w:rsidRPr="00340C88">
        <w:rPr>
          <w:b/>
        </w:rPr>
        <w:t>[7-oxabicyclo[2.2.1] heptane-2,3’-pyrrolidine]-2’,5’-dione</w:t>
      </w:r>
      <w:r w:rsidRPr="00340C88">
        <w:t xml:space="preserve"> (</w:t>
      </w:r>
      <w:r w:rsidRPr="00340C88">
        <w:rPr>
          <w:b/>
        </w:rPr>
        <w:t>21d</w:t>
      </w:r>
      <w:r w:rsidRPr="00340C88">
        <w:t>)</w:t>
      </w:r>
      <w:bookmarkEnd w:id="11"/>
      <w:r w:rsidRPr="00340C88">
        <w:t xml:space="preserve">: Benzyl amide </w:t>
      </w:r>
      <w:r w:rsidRPr="00340C88">
        <w:rPr>
          <w:b/>
        </w:rPr>
        <w:t>20d</w:t>
      </w:r>
      <w:r w:rsidRPr="00340C88">
        <w:t xml:space="preserve"> (400 mg) was hydrogenated according to the general procedure for the hydrogenation of secondary amides. The crude material was purified using flash column chromatography (80:20–90:10, </w:t>
      </w:r>
      <w:proofErr w:type="spellStart"/>
      <w:r w:rsidRPr="00340C88">
        <w:t>EtOAc</w:t>
      </w:r>
      <w:proofErr w:type="gramStart"/>
      <w:r w:rsidRPr="00340C88">
        <w:t>:PE</w:t>
      </w:r>
      <w:proofErr w:type="spellEnd"/>
      <w:proofErr w:type="gramEnd"/>
      <w:r w:rsidRPr="00340C88">
        <w:t xml:space="preserve">) to give the target compound </w:t>
      </w:r>
      <w:r w:rsidRPr="00340C88">
        <w:rPr>
          <w:b/>
        </w:rPr>
        <w:t>21d</w:t>
      </w:r>
      <w:r w:rsidRPr="00340C88">
        <w:t xml:space="preserve"> as a clear oil (381 mg, 95%). Crystals suitable for X-ray analysis were grown by slow evaporation of an acetone solution. </w:t>
      </w:r>
      <w:r w:rsidRPr="00340C88">
        <w:rPr>
          <w:i/>
        </w:rPr>
        <w:t>R</w:t>
      </w:r>
      <w:r w:rsidRPr="00340C88">
        <w:rPr>
          <w:vertAlign w:val="subscript"/>
        </w:rPr>
        <w:t>F</w:t>
      </w:r>
      <w:r w:rsidRPr="00340C88">
        <w:t xml:space="preserve"> = 0.36 (90:10, </w:t>
      </w:r>
      <w:proofErr w:type="spellStart"/>
      <w:r w:rsidRPr="00340C88">
        <w:t>EtOAc:PE</w:t>
      </w:r>
      <w:proofErr w:type="spellEnd"/>
      <w:r w:rsidRPr="00340C88">
        <w:t xml:space="preserve">); IR (Neat) </w:t>
      </w:r>
      <w:proofErr w:type="spellStart"/>
      <w:r w:rsidRPr="00340C88">
        <w:t>υ</w:t>
      </w:r>
      <w:r w:rsidRPr="00340C88">
        <w:rPr>
          <w:vertAlign w:val="subscript"/>
        </w:rPr>
        <w:t>max</w:t>
      </w:r>
      <w:proofErr w:type="spellEnd"/>
      <w:r w:rsidRPr="00340C88">
        <w:t xml:space="preserve"> 3490 (m), 2978 (w), 1772 (m) and 1692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7.40–7.35 (m, 2H, </w:t>
      </w:r>
      <w:proofErr w:type="spellStart"/>
      <w:r w:rsidRPr="00340C88">
        <w:rPr>
          <w:rFonts w:cstheme="minorHAnsi"/>
        </w:rPr>
        <w:t>Ar</w:t>
      </w:r>
      <w:proofErr w:type="spellEnd"/>
      <w:r w:rsidRPr="00340C88">
        <w:rPr>
          <w:rFonts w:cstheme="minorHAnsi"/>
        </w:rPr>
        <w:t xml:space="preserve">-H), 7.31–7.23 (m, 3H, </w:t>
      </w:r>
      <w:proofErr w:type="spellStart"/>
      <w:r w:rsidRPr="00340C88">
        <w:rPr>
          <w:rFonts w:cstheme="minorHAnsi"/>
        </w:rPr>
        <w:t>Ar</w:t>
      </w:r>
      <w:proofErr w:type="spellEnd"/>
      <w:r w:rsidRPr="00340C88">
        <w:rPr>
          <w:rFonts w:cstheme="minorHAnsi"/>
        </w:rPr>
        <w:t xml:space="preserve">-H), 4.67 (t, </w:t>
      </w:r>
      <w:r w:rsidRPr="00340C88">
        <w:rPr>
          <w:rFonts w:cstheme="minorHAnsi"/>
          <w:i/>
        </w:rPr>
        <w:t>J</w:t>
      </w:r>
      <w:r w:rsidRPr="00340C88">
        <w:rPr>
          <w:rFonts w:cstheme="minorHAnsi"/>
        </w:rPr>
        <w:t xml:space="preserve"> = 5.7 Hz, 1H, 6-H), 4.65 (d, </w:t>
      </w:r>
      <w:r w:rsidRPr="00340C88">
        <w:rPr>
          <w:rFonts w:cstheme="minorHAnsi"/>
          <w:i/>
        </w:rPr>
        <w:t>J</w:t>
      </w:r>
      <w:r w:rsidRPr="00340C88">
        <w:rPr>
          <w:rFonts w:cstheme="minorHAnsi"/>
        </w:rPr>
        <w:t xml:space="preserve"> = 14.1 Hz, 1H, 11-H), 4.60 (d, </w:t>
      </w:r>
      <w:r w:rsidRPr="00340C88">
        <w:rPr>
          <w:rFonts w:cstheme="minorHAnsi"/>
          <w:i/>
        </w:rPr>
        <w:t>J</w:t>
      </w:r>
      <w:r w:rsidRPr="00340C88">
        <w:rPr>
          <w:rFonts w:cstheme="minorHAnsi"/>
        </w:rPr>
        <w:t xml:space="preserve"> = 14.1 Hz, 1H, 11-H), 3.80–3.67 (m, 2H, 7-H), 2.99 (d, </w:t>
      </w:r>
      <w:r w:rsidRPr="00340C88">
        <w:rPr>
          <w:rFonts w:cstheme="minorHAnsi"/>
          <w:i/>
        </w:rPr>
        <w:t>J</w:t>
      </w:r>
      <w:r w:rsidRPr="00340C88">
        <w:rPr>
          <w:rFonts w:cstheme="minorHAnsi"/>
        </w:rPr>
        <w:t xml:space="preserve"> = 18.4 Hz. 1H, 9-H), 2.70 (d, </w:t>
      </w:r>
      <w:r w:rsidRPr="00340C88">
        <w:rPr>
          <w:rFonts w:cstheme="minorHAnsi"/>
          <w:i/>
        </w:rPr>
        <w:t>J</w:t>
      </w:r>
      <w:r w:rsidRPr="00340C88">
        <w:rPr>
          <w:rFonts w:cstheme="minorHAnsi"/>
        </w:rPr>
        <w:t xml:space="preserve"> = 18.4. Hz, 1H, 9-H), 2.49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12.1 Hz, 5.7, 2.4 Hz, 1H, 5-H), 2.03–1.86 (m, 2H, 2-H/1-H), 1.77–1.57 (m, 3H, 2-H/3-H/OH), 1.53 (d, </w:t>
      </w:r>
      <w:r w:rsidRPr="00340C88">
        <w:rPr>
          <w:rFonts w:cstheme="minorHAnsi"/>
          <w:i/>
        </w:rPr>
        <w:t>J</w:t>
      </w:r>
      <w:r w:rsidRPr="00340C88">
        <w:rPr>
          <w:rFonts w:cstheme="minorHAnsi"/>
        </w:rPr>
        <w:t xml:space="preserve"> = 12.1 Hz, 1H, 5-H);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δ = 180.2 (8), 175.3 (10), 136.0 (</w:t>
      </w:r>
      <w:proofErr w:type="spellStart"/>
      <w:r w:rsidRPr="00340C88">
        <w:rPr>
          <w:rFonts w:cstheme="minorHAnsi"/>
        </w:rPr>
        <w:t>ArC</w:t>
      </w:r>
      <w:proofErr w:type="spellEnd"/>
      <w:r w:rsidRPr="00340C88">
        <w:rPr>
          <w:rFonts w:cstheme="minorHAnsi"/>
        </w:rPr>
        <w:t>), 129.0 (</w:t>
      </w:r>
      <w:proofErr w:type="spellStart"/>
      <w:r w:rsidRPr="00340C88">
        <w:rPr>
          <w:rFonts w:cstheme="minorHAnsi"/>
        </w:rPr>
        <w:t>ArCH</w:t>
      </w:r>
      <w:proofErr w:type="spellEnd"/>
      <w:r w:rsidRPr="00340C88">
        <w:rPr>
          <w:rFonts w:cstheme="minorHAnsi"/>
        </w:rPr>
        <w:t>), 128.7 (</w:t>
      </w:r>
      <w:proofErr w:type="spellStart"/>
      <w:r w:rsidRPr="00340C88">
        <w:rPr>
          <w:rFonts w:cstheme="minorHAnsi"/>
        </w:rPr>
        <w:t>ArCH</w:t>
      </w:r>
      <w:proofErr w:type="spellEnd"/>
      <w:r w:rsidRPr="00340C88">
        <w:rPr>
          <w:rFonts w:cstheme="minorHAnsi"/>
        </w:rPr>
        <w:t>), 128.1 (</w:t>
      </w:r>
      <w:proofErr w:type="spellStart"/>
      <w:r w:rsidRPr="00340C88">
        <w:rPr>
          <w:rFonts w:cstheme="minorHAnsi"/>
        </w:rPr>
        <w:t>ArCH</w:t>
      </w:r>
      <w:proofErr w:type="spellEnd"/>
      <w:r w:rsidRPr="00340C88">
        <w:rPr>
          <w:rFonts w:cstheme="minorHAnsi"/>
        </w:rPr>
        <w:t xml:space="preserve">), 90.3 (3), 77.2 (6), 62.9 (7), 52.9 (4), 44.9 (5), 42.6 (11), 39.3 (9), 31.3 (2), 29.9 (1);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17</w:t>
      </w:r>
      <w:r w:rsidRPr="00340C88">
        <w:rPr>
          <w:rFonts w:cstheme="minorHAnsi"/>
        </w:rPr>
        <w:t>H</w:t>
      </w:r>
      <w:r w:rsidRPr="00340C88">
        <w:rPr>
          <w:rFonts w:cstheme="minorHAnsi"/>
          <w:vertAlign w:val="subscript"/>
        </w:rPr>
        <w:t>19</w:t>
      </w:r>
      <w:r w:rsidRPr="00340C88">
        <w:rPr>
          <w:rFonts w:cstheme="minorHAnsi"/>
          <w:vertAlign w:val="subscript"/>
        </w:rPr>
        <w:softHyphen/>
      </w:r>
      <w:r w:rsidRPr="00340C88">
        <w:rPr>
          <w:rFonts w:cstheme="minorHAnsi"/>
        </w:rPr>
        <w:t>NNaO</w:t>
      </w:r>
      <w:r w:rsidRPr="00340C88">
        <w:rPr>
          <w:rFonts w:cstheme="minorHAnsi"/>
          <w:vertAlign w:val="subscript"/>
        </w:rPr>
        <w:t>4</w:t>
      </w:r>
      <w:r w:rsidRPr="00340C88">
        <w:rPr>
          <w:rFonts w:cstheme="minorHAnsi"/>
        </w:rPr>
        <w:t xml:space="preserve"> 324.1206 (</w:t>
      </w:r>
      <w:proofErr w:type="spellStart"/>
      <w:r w:rsidRPr="00340C88">
        <w:rPr>
          <w:rFonts w:cstheme="minorHAnsi"/>
        </w:rPr>
        <w:t>M+Na</w:t>
      </w:r>
      <w:proofErr w:type="spellEnd"/>
      <w:r w:rsidRPr="00340C88">
        <w:rPr>
          <w:rFonts w:cstheme="minorHAnsi"/>
        </w:rPr>
        <w:t>)</w:t>
      </w:r>
      <w:r w:rsidRPr="00340C88">
        <w:rPr>
          <w:rFonts w:cstheme="minorHAnsi"/>
          <w:vertAlign w:val="superscript"/>
        </w:rPr>
        <w:t>+</w:t>
      </w:r>
      <w:r w:rsidRPr="00340C88">
        <w:rPr>
          <w:rFonts w:cstheme="minorHAnsi"/>
        </w:rPr>
        <w:t>, found 324.1206, 0.2 ppm error.</w:t>
      </w:r>
    </w:p>
    <w:p w:rsidR="00D27CC8" w:rsidRPr="00340C88" w:rsidRDefault="00D27CC8" w:rsidP="00D27CC8">
      <w:pPr>
        <w:pStyle w:val="ElsParagraph"/>
        <w:rPr>
          <w:rFonts w:cstheme="minorHAnsi"/>
        </w:rPr>
      </w:pPr>
      <w:bookmarkStart w:id="12" w:name="_Toc34234608"/>
      <w:r w:rsidRPr="00340C88">
        <w:rPr>
          <w:b/>
        </w:rPr>
        <w:t>(1</w:t>
      </w:r>
      <w:r w:rsidRPr="00340C88">
        <w:rPr>
          <w:b/>
          <w:i/>
        </w:rPr>
        <w:t>S</w:t>
      </w:r>
      <w:r w:rsidRPr="00340C88">
        <w:rPr>
          <w:b/>
        </w:rPr>
        <w:t>*</w:t>
      </w:r>
      <w:proofErr w:type="gramStart"/>
      <w:r w:rsidRPr="00340C88">
        <w:rPr>
          <w:b/>
        </w:rPr>
        <w:t>,2</w:t>
      </w:r>
      <w:r w:rsidRPr="00340C88">
        <w:rPr>
          <w:b/>
          <w:i/>
        </w:rPr>
        <w:t>S</w:t>
      </w:r>
      <w:proofErr w:type="gramEnd"/>
      <w:r w:rsidRPr="00340C88">
        <w:rPr>
          <w:b/>
        </w:rPr>
        <w:t>*,4</w:t>
      </w:r>
      <w:r w:rsidRPr="00340C88">
        <w:rPr>
          <w:b/>
          <w:i/>
        </w:rPr>
        <w:t>R</w:t>
      </w:r>
      <w:r w:rsidRPr="00340C88">
        <w:rPr>
          <w:b/>
        </w:rPr>
        <w:t>*)-1’-(4-Methoxybenzyl)-1-(hydroxymethyl</w:t>
      </w:r>
      <w:proofErr w:type="gramStart"/>
      <w:r w:rsidRPr="00340C88">
        <w:rPr>
          <w:b/>
        </w:rPr>
        <w:t>)spiro</w:t>
      </w:r>
      <w:proofErr w:type="gramEnd"/>
      <w:r w:rsidRPr="00340C88">
        <w:rPr>
          <w:b/>
        </w:rPr>
        <w:t>[7-oxabicyclo[2.2.1]heptane-2,3’-pyrrolidine]-2’,5’-dione</w:t>
      </w:r>
      <w:r w:rsidRPr="00340C88">
        <w:t xml:space="preserve"> (</w:t>
      </w:r>
      <w:r w:rsidRPr="00340C88">
        <w:rPr>
          <w:b/>
        </w:rPr>
        <w:t>21e</w:t>
      </w:r>
      <w:r w:rsidRPr="00340C88">
        <w:t>)</w:t>
      </w:r>
      <w:bookmarkEnd w:id="12"/>
      <w:r w:rsidRPr="00340C88">
        <w:t xml:space="preserve">: 4-Methoxybenzyl amide </w:t>
      </w:r>
      <w:r w:rsidRPr="00340C88">
        <w:rPr>
          <w:b/>
        </w:rPr>
        <w:t>20e</w:t>
      </w:r>
      <w:r w:rsidRPr="00340C88">
        <w:t xml:space="preserve"> (</w:t>
      </w:r>
      <w:r w:rsidR="00EA0E2E" w:rsidRPr="00340C88">
        <w:t xml:space="preserve">0.10 </w:t>
      </w:r>
      <w:r w:rsidRPr="00340C88">
        <w:t xml:space="preserve">g) was hydrogenated according to the general procedure for the hydrogenation of secondary amides. The crude material was purified using flash column chromatography (80:20, </w:t>
      </w:r>
      <w:proofErr w:type="spellStart"/>
      <w:r w:rsidRPr="00340C88">
        <w:t>EtOAc</w:t>
      </w:r>
      <w:proofErr w:type="gramStart"/>
      <w:r w:rsidRPr="00340C88">
        <w:t>:PE</w:t>
      </w:r>
      <w:proofErr w:type="spellEnd"/>
      <w:proofErr w:type="gramEnd"/>
      <w:r w:rsidRPr="00340C88">
        <w:t xml:space="preserve">) to give the target compound </w:t>
      </w:r>
      <w:r w:rsidRPr="00340C88">
        <w:rPr>
          <w:b/>
        </w:rPr>
        <w:t>21e</w:t>
      </w:r>
      <w:r w:rsidRPr="00340C88">
        <w:t xml:space="preserve"> as a white crystalline solid (</w:t>
      </w:r>
      <w:r w:rsidR="00EA0E2E" w:rsidRPr="00340C88">
        <w:t xml:space="preserve">0.098 </w:t>
      </w:r>
      <w:r w:rsidRPr="00340C88">
        <w:t xml:space="preserve">g, 98%). </w:t>
      </w:r>
      <w:r w:rsidRPr="00340C88">
        <w:rPr>
          <w:i/>
        </w:rPr>
        <w:t>R</w:t>
      </w:r>
      <w:r w:rsidRPr="00340C88">
        <w:rPr>
          <w:vertAlign w:val="subscript"/>
        </w:rPr>
        <w:t>F</w:t>
      </w:r>
      <w:r w:rsidRPr="00340C88">
        <w:t xml:space="preserve"> = 0.29 (80:20, </w:t>
      </w:r>
      <w:proofErr w:type="spellStart"/>
      <w:r w:rsidRPr="00340C88">
        <w:t>EtOAc:Hexane</w:t>
      </w:r>
      <w:proofErr w:type="spellEnd"/>
      <w:r w:rsidRPr="00340C88">
        <w:t xml:space="preserve">); IR (Neat) </w:t>
      </w:r>
      <w:proofErr w:type="spellStart"/>
      <w:r w:rsidRPr="00340C88">
        <w:t>υ</w:t>
      </w:r>
      <w:r w:rsidRPr="00340C88">
        <w:rPr>
          <w:vertAlign w:val="subscript"/>
        </w:rPr>
        <w:t>max</w:t>
      </w:r>
      <w:proofErr w:type="spellEnd"/>
      <w:r w:rsidRPr="00340C88">
        <w:t xml:space="preserve"> 3416 (w), 3312 (w), 2943 (w), 2835 (w), 1758 (w), 1672 (s), 1609 (m), 1508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7.35–7.30 (m, 2H, </w:t>
      </w:r>
      <w:proofErr w:type="spellStart"/>
      <w:r w:rsidRPr="00340C88">
        <w:rPr>
          <w:rFonts w:cstheme="minorHAnsi"/>
        </w:rPr>
        <w:t>Ar</w:t>
      </w:r>
      <w:proofErr w:type="spellEnd"/>
      <w:r w:rsidRPr="00340C88">
        <w:rPr>
          <w:rFonts w:cstheme="minorHAnsi"/>
        </w:rPr>
        <w:t xml:space="preserve">-H), 6.83–6.78 (m, 2H, </w:t>
      </w:r>
      <w:proofErr w:type="spellStart"/>
      <w:r w:rsidRPr="00340C88">
        <w:rPr>
          <w:rFonts w:cstheme="minorHAnsi"/>
        </w:rPr>
        <w:t>Ar</w:t>
      </w:r>
      <w:proofErr w:type="spellEnd"/>
      <w:r w:rsidRPr="00340C88">
        <w:rPr>
          <w:rFonts w:cstheme="minorHAnsi"/>
        </w:rPr>
        <w:t xml:space="preserve">-H), 4.67 (t, </w:t>
      </w:r>
      <w:r w:rsidRPr="00340C88">
        <w:rPr>
          <w:rFonts w:cstheme="minorHAnsi"/>
          <w:i/>
        </w:rPr>
        <w:t>J</w:t>
      </w:r>
      <w:r w:rsidRPr="00340C88">
        <w:rPr>
          <w:rFonts w:cstheme="minorHAnsi"/>
        </w:rPr>
        <w:t xml:space="preserve"> = 5.3 Hz, 1H, 6-H), 4.59 (d, </w:t>
      </w:r>
      <w:r w:rsidRPr="00340C88">
        <w:rPr>
          <w:rFonts w:cstheme="minorHAnsi"/>
          <w:i/>
        </w:rPr>
        <w:t>J</w:t>
      </w:r>
      <w:r w:rsidRPr="00340C88">
        <w:rPr>
          <w:rFonts w:cstheme="minorHAnsi"/>
        </w:rPr>
        <w:t xml:space="preserve"> = 14.0 Hz, 1H, 11-H), 4.54 (d, </w:t>
      </w:r>
      <w:r w:rsidRPr="00340C88">
        <w:rPr>
          <w:rFonts w:cstheme="minorHAnsi"/>
          <w:i/>
        </w:rPr>
        <w:t>J</w:t>
      </w:r>
      <w:r w:rsidRPr="00340C88">
        <w:rPr>
          <w:rFonts w:cstheme="minorHAnsi"/>
        </w:rPr>
        <w:t xml:space="preserve"> = 14.0 Hz, 1H, 11-H), 3.79–3.68 (m, 2H, 7-H), 3.75 (s, 3H, 12-H), 2.97 (d, </w:t>
      </w:r>
      <w:r w:rsidRPr="00340C88">
        <w:rPr>
          <w:rFonts w:cstheme="minorHAnsi"/>
          <w:i/>
        </w:rPr>
        <w:t>J</w:t>
      </w:r>
      <w:r w:rsidRPr="00340C88">
        <w:rPr>
          <w:rFonts w:cstheme="minorHAnsi"/>
        </w:rPr>
        <w:t xml:space="preserve"> = 18.2 Hz, 1H, 9-H), 2.68 (d, </w:t>
      </w:r>
      <w:r w:rsidRPr="00340C88">
        <w:rPr>
          <w:rFonts w:cstheme="minorHAnsi"/>
          <w:i/>
        </w:rPr>
        <w:t>J</w:t>
      </w:r>
      <w:r w:rsidRPr="00340C88">
        <w:rPr>
          <w:rFonts w:cstheme="minorHAnsi"/>
        </w:rPr>
        <w:t xml:space="preserve"> = 18.2 Hz, 1H, 9-H), 2.48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12.0, 5.5, 2.5 Hz, 1H, 5-H), 2.02–1.93 (m, 1H, 1-H), 1.93–1.86 (m, 1H, 2-H), 1.71–1.58 (m, 1H, 1-H/2-H), 1.52 (d, </w:t>
      </w:r>
      <w:r w:rsidRPr="00340C88">
        <w:rPr>
          <w:rFonts w:cstheme="minorHAnsi"/>
          <w:i/>
        </w:rPr>
        <w:t>J</w:t>
      </w:r>
      <w:r w:rsidRPr="00340C88">
        <w:rPr>
          <w:rFonts w:cstheme="minorHAnsi"/>
        </w:rPr>
        <w:t xml:space="preserve"> = 12.0 Hz, 1H, 5-H);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δ = 180.2 (8), 175.4 (10), 159.3 (</w:t>
      </w:r>
      <w:proofErr w:type="spellStart"/>
      <w:r w:rsidRPr="00340C88">
        <w:rPr>
          <w:rFonts w:cstheme="minorHAnsi"/>
        </w:rPr>
        <w:t>ArC</w:t>
      </w:r>
      <w:proofErr w:type="spellEnd"/>
      <w:r w:rsidRPr="00340C88">
        <w:rPr>
          <w:rFonts w:cstheme="minorHAnsi"/>
        </w:rPr>
        <w:t>), 130.4 (</w:t>
      </w:r>
      <w:proofErr w:type="spellStart"/>
      <w:r w:rsidRPr="00340C88">
        <w:rPr>
          <w:rFonts w:cstheme="minorHAnsi"/>
        </w:rPr>
        <w:t>ArCH</w:t>
      </w:r>
      <w:proofErr w:type="spellEnd"/>
      <w:r w:rsidRPr="00340C88">
        <w:rPr>
          <w:rFonts w:cstheme="minorHAnsi"/>
        </w:rPr>
        <w:t>), 128.2 (</w:t>
      </w:r>
      <w:proofErr w:type="spellStart"/>
      <w:r w:rsidRPr="00340C88">
        <w:rPr>
          <w:rFonts w:cstheme="minorHAnsi"/>
        </w:rPr>
        <w:t>ArC</w:t>
      </w:r>
      <w:proofErr w:type="spellEnd"/>
      <w:r w:rsidRPr="00340C88">
        <w:rPr>
          <w:rFonts w:cstheme="minorHAnsi"/>
        </w:rPr>
        <w:t>), 113.9 (</w:t>
      </w:r>
      <w:proofErr w:type="spellStart"/>
      <w:r w:rsidRPr="00340C88">
        <w:rPr>
          <w:rFonts w:cstheme="minorHAnsi"/>
        </w:rPr>
        <w:t>ArCH</w:t>
      </w:r>
      <w:proofErr w:type="spellEnd"/>
      <w:r w:rsidRPr="00340C88">
        <w:rPr>
          <w:rFonts w:cstheme="minorHAnsi"/>
        </w:rPr>
        <w:t xml:space="preserve">), 90.3 (3), 77.2 (6), 62.8 (7), 55.3 (12), 52.9 (4), 44.8 (5), 42.0 (11), 39.2 (9), 31.2 (2), 29.9 (1);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18</w:t>
      </w:r>
      <w:r w:rsidRPr="00340C88">
        <w:rPr>
          <w:rFonts w:cstheme="minorHAnsi"/>
        </w:rPr>
        <w:t>H</w:t>
      </w:r>
      <w:r w:rsidRPr="00340C88">
        <w:rPr>
          <w:rFonts w:cstheme="minorHAnsi"/>
          <w:vertAlign w:val="subscript"/>
        </w:rPr>
        <w:t>22</w:t>
      </w:r>
      <w:r w:rsidRPr="00340C88">
        <w:rPr>
          <w:rFonts w:cstheme="minorHAnsi"/>
          <w:vertAlign w:val="subscript"/>
        </w:rPr>
        <w:softHyphen/>
      </w:r>
      <w:r w:rsidRPr="00340C88">
        <w:rPr>
          <w:rFonts w:cstheme="minorHAnsi"/>
        </w:rPr>
        <w:t>NO</w:t>
      </w:r>
      <w:r w:rsidRPr="00340C88">
        <w:rPr>
          <w:rFonts w:cstheme="minorHAnsi"/>
          <w:vertAlign w:val="subscript"/>
        </w:rPr>
        <w:t>5</w:t>
      </w:r>
      <w:r w:rsidRPr="00340C88">
        <w:rPr>
          <w:rFonts w:cstheme="minorHAnsi"/>
        </w:rPr>
        <w:t xml:space="preserve"> 332.1504 (M+H)</w:t>
      </w:r>
      <w:r w:rsidRPr="00340C88">
        <w:rPr>
          <w:rFonts w:cstheme="minorHAnsi"/>
          <w:vertAlign w:val="superscript"/>
        </w:rPr>
        <w:t>+</w:t>
      </w:r>
      <w:r w:rsidRPr="00340C88">
        <w:rPr>
          <w:rFonts w:cstheme="minorHAnsi"/>
        </w:rPr>
        <w:t>, found 332.1498, 1.8 ppm error.</w:t>
      </w:r>
    </w:p>
    <w:p w:rsidR="00D27CC8" w:rsidRPr="00340C88" w:rsidRDefault="00D27CC8" w:rsidP="00D27CC8">
      <w:pPr>
        <w:pStyle w:val="ElsParagraph"/>
        <w:rPr>
          <w:rFonts w:cstheme="minorHAnsi"/>
        </w:rPr>
      </w:pPr>
      <w:bookmarkStart w:id="13" w:name="_Toc34234609"/>
      <w:r w:rsidRPr="00340C88">
        <w:rPr>
          <w:b/>
        </w:rPr>
        <w:t>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R</w:t>
      </w:r>
      <w:r w:rsidRPr="00340C88">
        <w:rPr>
          <w:b/>
        </w:rPr>
        <w:t>*)-4-Oxo-3,10-dioxatricyclo[5.2.1.0</w:t>
      </w:r>
      <w:r w:rsidRPr="00340C88">
        <w:rPr>
          <w:b/>
          <w:vertAlign w:val="superscript"/>
        </w:rPr>
        <w:t>1,5</w:t>
      </w:r>
      <w:r w:rsidRPr="00340C88">
        <w:rPr>
          <w:b/>
        </w:rPr>
        <w:t>]decan-5-yl]acetic acid</w:t>
      </w:r>
      <w:r w:rsidRPr="00340C88">
        <w:t xml:space="preserve"> (</w:t>
      </w:r>
      <w:r w:rsidRPr="00340C88">
        <w:rPr>
          <w:b/>
        </w:rPr>
        <w:t>18</w:t>
      </w:r>
      <w:r w:rsidRPr="00340C88">
        <w:t>)</w:t>
      </w:r>
      <w:bookmarkEnd w:id="13"/>
      <w:r w:rsidRPr="00340C88">
        <w:t xml:space="preserve">: Acid </w:t>
      </w:r>
      <w:r w:rsidRPr="00340C88">
        <w:rPr>
          <w:b/>
        </w:rPr>
        <w:t>12</w:t>
      </w:r>
      <w:r w:rsidRPr="00340C88">
        <w:t xml:space="preserve"> (</w:t>
      </w:r>
      <w:r w:rsidR="00D16037" w:rsidRPr="00340C88">
        <w:t>1.0 g, 4.8</w:t>
      </w:r>
      <w:r w:rsidRPr="00340C88">
        <w:t xml:space="preserve"> </w:t>
      </w:r>
      <w:proofErr w:type="spellStart"/>
      <w:r w:rsidRPr="00340C88">
        <w:t>mmol</w:t>
      </w:r>
      <w:proofErr w:type="spellEnd"/>
      <w:r w:rsidRPr="00340C88">
        <w:t xml:space="preserve">, 1.0 eq.) was dissolved in </w:t>
      </w:r>
      <w:proofErr w:type="spellStart"/>
      <w:r w:rsidRPr="00340C88">
        <w:t>MeOH</w:t>
      </w:r>
      <w:proofErr w:type="spellEnd"/>
      <w:r w:rsidRPr="00340C88">
        <w:t xml:space="preserve"> (5 mL) under nitrogen. In a separate flask </w:t>
      </w:r>
      <w:proofErr w:type="spellStart"/>
      <w:r w:rsidRPr="00340C88">
        <w:t>Pd</w:t>
      </w:r>
      <w:proofErr w:type="spellEnd"/>
      <w:r w:rsidRPr="00340C88">
        <w:t xml:space="preserve">/C </w:t>
      </w:r>
      <w:r w:rsidRPr="00340C88">
        <w:lastRenderedPageBreak/>
        <w:t xml:space="preserve">(10 </w:t>
      </w:r>
      <w:proofErr w:type="spellStart"/>
      <w:proofErr w:type="gramStart"/>
      <w:r w:rsidRPr="00340C88">
        <w:t>wt</w:t>
      </w:r>
      <w:proofErr w:type="spellEnd"/>
      <w:r w:rsidRPr="00340C88">
        <w:t>%</w:t>
      </w:r>
      <w:proofErr w:type="gramEnd"/>
      <w:r w:rsidRPr="00340C88">
        <w:t>)</w:t>
      </w:r>
      <w:r w:rsidR="00EA0E2E" w:rsidRPr="00340C88">
        <w:t xml:space="preserve"> </w:t>
      </w:r>
      <w:r w:rsidRPr="00340C88">
        <w:t xml:space="preserve">was suspended in </w:t>
      </w:r>
      <w:proofErr w:type="spellStart"/>
      <w:r w:rsidRPr="00340C88">
        <w:t>MeOH</w:t>
      </w:r>
      <w:proofErr w:type="spellEnd"/>
      <w:r w:rsidRPr="00340C88">
        <w:t xml:space="preserve"> (1 mL) under nitrogen. H</w:t>
      </w:r>
      <w:r w:rsidRPr="00340C88">
        <w:rPr>
          <w:vertAlign w:val="subscript"/>
        </w:rPr>
        <w:t>2</w:t>
      </w:r>
      <w:r w:rsidRPr="00340C88">
        <w:t xml:space="preserve"> was bubbled through the suspension of </w:t>
      </w:r>
      <w:proofErr w:type="spellStart"/>
      <w:r w:rsidRPr="00340C88">
        <w:t>Pd</w:t>
      </w:r>
      <w:proofErr w:type="spellEnd"/>
      <w:r w:rsidRPr="00340C88">
        <w:t xml:space="preserve">/C in </w:t>
      </w:r>
      <w:proofErr w:type="spellStart"/>
      <w:r w:rsidRPr="00340C88">
        <w:t>MeOH</w:t>
      </w:r>
      <w:proofErr w:type="spellEnd"/>
      <w:r w:rsidRPr="00340C88">
        <w:t xml:space="preserve"> for 10 minutes. The solution of secondary amide was then added to the catalyst suspension. The reaction mixture was allowed to stir at room temperature for 16 hours under H</w:t>
      </w:r>
      <w:r w:rsidRPr="00340C88">
        <w:rPr>
          <w:vertAlign w:val="subscript"/>
        </w:rPr>
        <w:t>2</w:t>
      </w:r>
      <w:r w:rsidRPr="00340C88">
        <w:t xml:space="preserve"> (1 bar). The reaction mixture was then passed through a pad of </w:t>
      </w:r>
      <w:proofErr w:type="spellStart"/>
      <w:r w:rsidRPr="00340C88">
        <w:t>celite</w:t>
      </w:r>
      <w:proofErr w:type="spellEnd"/>
      <w:r w:rsidRPr="00340C88">
        <w:t xml:space="preserve">® and concentrated </w:t>
      </w:r>
      <w:r w:rsidRPr="00340C88">
        <w:rPr>
          <w:i/>
        </w:rPr>
        <w:t xml:space="preserve">in </w:t>
      </w:r>
      <w:proofErr w:type="spellStart"/>
      <w:r w:rsidRPr="00340C88">
        <w:rPr>
          <w:i/>
        </w:rPr>
        <w:t>vacuo</w:t>
      </w:r>
      <w:proofErr w:type="spellEnd"/>
      <w:r w:rsidRPr="00340C88">
        <w:t xml:space="preserve"> to give the target compound </w:t>
      </w:r>
      <w:r w:rsidRPr="00340C88">
        <w:rPr>
          <w:b/>
        </w:rPr>
        <w:t>18</w:t>
      </w:r>
      <w:r w:rsidRPr="00340C88">
        <w:t xml:space="preserve"> as a white powder (0.93 g, 93%). </w:t>
      </w:r>
      <w:proofErr w:type="spellStart"/>
      <w:r w:rsidRPr="00340C88">
        <w:t>m.p</w:t>
      </w:r>
      <w:proofErr w:type="spellEnd"/>
      <w:r w:rsidRPr="00340C88">
        <w:t xml:space="preserve">. 184.6–185.2 °C; IR (Neat) </w:t>
      </w:r>
      <w:proofErr w:type="spellStart"/>
      <w:r w:rsidRPr="00340C88">
        <w:t>υ</w:t>
      </w:r>
      <w:r w:rsidRPr="00340C88">
        <w:rPr>
          <w:vertAlign w:val="subscript"/>
        </w:rPr>
        <w:t>max</w:t>
      </w:r>
      <w:proofErr w:type="spellEnd"/>
      <w:r w:rsidRPr="00340C88">
        <w:t xml:space="preserve"> 2991 (m), 1713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w:t>
      </w:r>
      <w:r w:rsidRPr="00340C88">
        <w:rPr>
          <w:rFonts w:cstheme="minorHAnsi"/>
          <w:vertAlign w:val="subscript"/>
        </w:rPr>
        <w:t>3</w:t>
      </w:r>
      <w:r w:rsidRPr="00340C88">
        <w:rPr>
          <w:rFonts w:cstheme="minorHAnsi"/>
        </w:rPr>
        <w:t xml:space="preserve">OD): δ = 4.59 (d, </w:t>
      </w:r>
      <w:r w:rsidRPr="00340C88">
        <w:rPr>
          <w:rFonts w:cstheme="minorHAnsi"/>
          <w:i/>
        </w:rPr>
        <w:t>J</w:t>
      </w:r>
      <w:r w:rsidRPr="00340C88">
        <w:rPr>
          <w:rFonts w:cstheme="minorHAnsi"/>
        </w:rPr>
        <w:t xml:space="preserve"> = 10.6 Hz, 1H, 7-H), 4.53 (t, </w:t>
      </w:r>
      <w:r w:rsidRPr="00340C88">
        <w:rPr>
          <w:rFonts w:cstheme="minorHAnsi"/>
          <w:i/>
        </w:rPr>
        <w:t>J</w:t>
      </w:r>
      <w:r w:rsidRPr="00340C88">
        <w:rPr>
          <w:rFonts w:cstheme="minorHAnsi"/>
        </w:rPr>
        <w:t xml:space="preserve"> = 5.4 Hz, 1H, 6-H), 4.48 (d, </w:t>
      </w:r>
      <w:r w:rsidRPr="00340C88">
        <w:rPr>
          <w:rFonts w:cstheme="minorHAnsi"/>
          <w:i/>
        </w:rPr>
        <w:t>J</w:t>
      </w:r>
      <w:r w:rsidRPr="00340C88">
        <w:rPr>
          <w:rFonts w:cstheme="minorHAnsi"/>
        </w:rPr>
        <w:t xml:space="preserve"> = 10.6 Hz, 1H, 7-H), 2.88 (d, </w:t>
      </w:r>
      <w:r w:rsidRPr="00340C88">
        <w:rPr>
          <w:rFonts w:cstheme="minorHAnsi"/>
          <w:i/>
        </w:rPr>
        <w:t>J</w:t>
      </w:r>
      <w:r w:rsidRPr="00340C88">
        <w:rPr>
          <w:rFonts w:cstheme="minorHAnsi"/>
        </w:rPr>
        <w:t xml:space="preserve"> = 15.4 Hz, 1H, 9-H), 2.58 (d, </w:t>
      </w:r>
      <w:r w:rsidRPr="00340C88">
        <w:rPr>
          <w:rFonts w:cstheme="minorHAnsi"/>
          <w:i/>
        </w:rPr>
        <w:t>J</w:t>
      </w:r>
      <w:r w:rsidRPr="00340C88">
        <w:rPr>
          <w:rFonts w:cstheme="minorHAnsi"/>
        </w:rPr>
        <w:t xml:space="preserve"> = 15.4 Hz, 1H, 9-H), 2.27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12.5, 5.1, 2.3 Hz, 1H, 5-H), 2.04–1.89 (m, 2H, 1-H/2-H), 1.80 (d, J = 12.5 Hz, 1H, 5-H), 1.77–1.67 (m, 2H, 1-H/2-H); </w:t>
      </w:r>
      <w:r w:rsidRPr="00340C88">
        <w:rPr>
          <w:rFonts w:cstheme="minorHAnsi"/>
          <w:vertAlign w:val="superscript"/>
        </w:rPr>
        <w:t>13</w:t>
      </w:r>
      <w:r w:rsidRPr="00340C88">
        <w:rPr>
          <w:rFonts w:cstheme="minorHAnsi"/>
        </w:rPr>
        <w:t>C NMR (100 MHz, CD</w:t>
      </w:r>
      <w:r w:rsidRPr="00340C88">
        <w:rPr>
          <w:rFonts w:cstheme="minorHAnsi"/>
          <w:vertAlign w:val="subscript"/>
        </w:rPr>
        <w:t>3</w:t>
      </w:r>
      <w:r w:rsidRPr="00340C88">
        <w:rPr>
          <w:rFonts w:cstheme="minorHAnsi"/>
        </w:rPr>
        <w:t xml:space="preserve">OD): δ = 181.9 (8), 173.3 (10), 93.4 (3), 77.7 (6), 70.6 (7), 54.5 (4), 45.9 (5), 40.1 (9), 29.7 (1), 25.2 (2);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10</w:t>
      </w:r>
      <w:r w:rsidRPr="00340C88">
        <w:rPr>
          <w:rFonts w:cstheme="minorHAnsi"/>
          <w:vertAlign w:val="subscript"/>
        </w:rPr>
        <w:softHyphen/>
      </w:r>
      <w:r w:rsidRPr="00340C88">
        <w:rPr>
          <w:rFonts w:cstheme="minorHAnsi"/>
        </w:rPr>
        <w:t>H</w:t>
      </w:r>
      <w:r w:rsidRPr="00340C88">
        <w:rPr>
          <w:rFonts w:cstheme="minorHAnsi"/>
          <w:vertAlign w:val="subscript"/>
        </w:rPr>
        <w:t>13</w:t>
      </w:r>
      <w:r w:rsidRPr="00340C88">
        <w:rPr>
          <w:rFonts w:cstheme="minorHAnsi"/>
          <w:vertAlign w:val="subscript"/>
        </w:rPr>
        <w:softHyphen/>
      </w:r>
      <w:r w:rsidRPr="00340C88">
        <w:rPr>
          <w:rFonts w:cstheme="minorHAnsi"/>
        </w:rPr>
        <w:t>O</w:t>
      </w:r>
      <w:r w:rsidRPr="00340C88">
        <w:rPr>
          <w:rFonts w:cstheme="minorHAnsi"/>
          <w:vertAlign w:val="subscript"/>
        </w:rPr>
        <w:t>5</w:t>
      </w:r>
      <w:r w:rsidRPr="00340C88">
        <w:rPr>
          <w:rFonts w:cstheme="minorHAnsi"/>
        </w:rPr>
        <w:t xml:space="preserve"> 213.0769 (M+H)</w:t>
      </w:r>
      <w:r w:rsidRPr="00340C88">
        <w:rPr>
          <w:rFonts w:cstheme="minorHAnsi"/>
          <w:vertAlign w:val="superscript"/>
        </w:rPr>
        <w:t>+</w:t>
      </w:r>
      <w:r w:rsidRPr="00340C88">
        <w:rPr>
          <w:rFonts w:cstheme="minorHAnsi"/>
        </w:rPr>
        <w:t>, found 213.0763, 2.8 ppm error.</w:t>
      </w:r>
    </w:p>
    <w:p w:rsidR="00D27CC8" w:rsidRPr="00340C88" w:rsidRDefault="00D27CC8" w:rsidP="00D27CC8">
      <w:pPr>
        <w:pStyle w:val="ElsParagraph"/>
      </w:pPr>
      <w:bookmarkStart w:id="14" w:name="_Toc34234610"/>
      <w:r w:rsidRPr="00340C88">
        <w:rPr>
          <w:b/>
        </w:rPr>
        <w:t>General procedure for the synthesis of hydrogenated secondary amides</w:t>
      </w:r>
      <w:bookmarkEnd w:id="14"/>
      <w:r w:rsidRPr="00340C88">
        <w:rPr>
          <w:b/>
        </w:rPr>
        <w:t>.</w:t>
      </w:r>
      <w:r w:rsidRPr="00340C88">
        <w:t xml:space="preserve"> Hydrogenated acid </w:t>
      </w:r>
      <w:r w:rsidRPr="00340C88">
        <w:rPr>
          <w:b/>
        </w:rPr>
        <w:t xml:space="preserve">18 </w:t>
      </w:r>
      <w:r w:rsidR="00C4080D" w:rsidRPr="00340C88">
        <w:t>(0.5 g, 2.4</w:t>
      </w:r>
      <w:r w:rsidRPr="00340C88">
        <w:t xml:space="preserve"> </w:t>
      </w:r>
      <w:proofErr w:type="spellStart"/>
      <w:r w:rsidRPr="00340C88">
        <w:t>mmol</w:t>
      </w:r>
      <w:proofErr w:type="spellEnd"/>
      <w:r w:rsidRPr="00340C88">
        <w:t>, 1.0 eq.) was suspended in anhydrous CH</w:t>
      </w:r>
      <w:r w:rsidRPr="00340C88">
        <w:rPr>
          <w:vertAlign w:val="subscript"/>
        </w:rPr>
        <w:t>2</w:t>
      </w:r>
      <w:r w:rsidRPr="00340C88">
        <w:t>Cl</w:t>
      </w:r>
      <w:r w:rsidRPr="00340C88">
        <w:rPr>
          <w:vertAlign w:val="subscript"/>
        </w:rPr>
        <w:t>2</w:t>
      </w:r>
      <w:r w:rsidRPr="00340C88">
        <w:rPr>
          <w:vertAlign w:val="superscript"/>
        </w:rPr>
        <w:t xml:space="preserve"> </w:t>
      </w:r>
      <w:r w:rsidRPr="00340C88">
        <w:t>(5 mL) under an atmosphere of nitrogen. The suspension was cooled to 0 °C and oxalyl chloride 2.0 M solution in CH</w:t>
      </w:r>
      <w:r w:rsidRPr="00340C88">
        <w:rPr>
          <w:vertAlign w:val="subscript"/>
        </w:rPr>
        <w:t>2</w:t>
      </w:r>
      <w:r w:rsidRPr="00340C88">
        <w:t>Cl</w:t>
      </w:r>
      <w:r w:rsidRPr="00340C88">
        <w:rPr>
          <w:vertAlign w:val="subscript"/>
        </w:rPr>
        <w:t>2</w:t>
      </w:r>
      <w:r w:rsidRPr="00340C88">
        <w:t xml:space="preserve"> (3</w:t>
      </w:r>
      <w:r w:rsidR="00C4080D" w:rsidRPr="00340C88">
        <w:t>.0</w:t>
      </w:r>
      <w:r w:rsidRPr="00340C88">
        <w:t xml:space="preserve"> mL, 5.9 </w:t>
      </w:r>
      <w:proofErr w:type="spellStart"/>
      <w:r w:rsidRPr="00340C88">
        <w:t>mmol</w:t>
      </w:r>
      <w:proofErr w:type="spellEnd"/>
      <w:r w:rsidRPr="00340C88">
        <w:t xml:space="preserve">, 2.5 eq.) was added dropwise over 10 minutes, followed by DMF (2 drops). The suspension was stirred at ambient temperature until a solution was obtained, after which it was concentrated </w:t>
      </w:r>
      <w:r w:rsidRPr="00340C88">
        <w:rPr>
          <w:i/>
        </w:rPr>
        <w:t xml:space="preserve">in </w:t>
      </w:r>
      <w:proofErr w:type="spellStart"/>
      <w:r w:rsidRPr="00340C88">
        <w:rPr>
          <w:i/>
        </w:rPr>
        <w:t>vacuo</w:t>
      </w:r>
      <w:proofErr w:type="spellEnd"/>
      <w:r w:rsidRPr="00340C88">
        <w:t>, to yield the crude acid chloride as a light brown solid. The crude material was redissolved in fresh anhydrous CH</w:t>
      </w:r>
      <w:r w:rsidRPr="00340C88">
        <w:rPr>
          <w:vertAlign w:val="subscript"/>
        </w:rPr>
        <w:t>2</w:t>
      </w:r>
      <w:r w:rsidRPr="00340C88">
        <w:t>Cl</w:t>
      </w:r>
      <w:r w:rsidRPr="00340C88">
        <w:rPr>
          <w:vertAlign w:val="subscript"/>
        </w:rPr>
        <w:t>2</w:t>
      </w:r>
      <w:r w:rsidRPr="00340C88">
        <w:t xml:space="preserve"> (5 mL) and cooled </w:t>
      </w:r>
      <w:r w:rsidR="00C4080D" w:rsidRPr="00340C88">
        <w:t>to 0 °C. Pyridine (0.19 mL, 2.4</w:t>
      </w:r>
      <w:r w:rsidRPr="00340C88">
        <w:t xml:space="preserve"> </w:t>
      </w:r>
      <w:proofErr w:type="spellStart"/>
      <w:r w:rsidRPr="00340C88">
        <w:t>mmol</w:t>
      </w:r>
      <w:proofErr w:type="spellEnd"/>
      <w:r w:rsidRPr="00340C88">
        <w:t>, 1.0 eq.) was then added dropwise, fol</w:t>
      </w:r>
      <w:r w:rsidR="00C4080D" w:rsidRPr="00340C88">
        <w:t>lowed by the primary amine (2.4</w:t>
      </w:r>
      <w:r w:rsidRPr="00340C88">
        <w:t xml:space="preserve"> </w:t>
      </w:r>
      <w:proofErr w:type="spellStart"/>
      <w:r w:rsidRPr="00340C88">
        <w:t>mmol</w:t>
      </w:r>
      <w:proofErr w:type="spellEnd"/>
      <w:r w:rsidRPr="00340C88">
        <w:t>, 1.0 eq.) in CH</w:t>
      </w:r>
      <w:r w:rsidRPr="00340C88">
        <w:rPr>
          <w:vertAlign w:val="subscript"/>
        </w:rPr>
        <w:t>2</w:t>
      </w:r>
      <w:r w:rsidRPr="00340C88">
        <w:t>Cl</w:t>
      </w:r>
      <w:r w:rsidRPr="00340C88">
        <w:rPr>
          <w:vertAlign w:val="subscript"/>
        </w:rPr>
        <w:t>2</w:t>
      </w:r>
      <w:r w:rsidRPr="00340C88">
        <w:t xml:space="preserve"> (5 mL). The solution was allowed to stir at ambient temperature overnight before diluting with CH</w:t>
      </w:r>
      <w:r w:rsidRPr="00340C88">
        <w:rPr>
          <w:vertAlign w:val="subscript"/>
        </w:rPr>
        <w:t>2</w:t>
      </w:r>
      <w:r w:rsidRPr="00340C88">
        <w:t>Cl</w:t>
      </w:r>
      <w:r w:rsidRPr="00340C88">
        <w:rPr>
          <w:vertAlign w:val="subscript"/>
        </w:rPr>
        <w:t>2</w:t>
      </w:r>
      <w:r w:rsidRPr="00340C88">
        <w:t xml:space="preserve"> (30 mL) and H</w:t>
      </w:r>
      <w:r w:rsidRPr="00340C88">
        <w:rPr>
          <w:vertAlign w:val="subscript"/>
        </w:rPr>
        <w:t>2</w:t>
      </w:r>
      <w:r w:rsidRPr="00340C88">
        <w:t xml:space="preserve">O (50 mL). The organic layer was separated and further washed with 1M </w:t>
      </w:r>
      <w:proofErr w:type="spellStart"/>
      <w:proofErr w:type="gramStart"/>
      <w:r w:rsidRPr="00340C88">
        <w:t>HCl</w:t>
      </w:r>
      <w:proofErr w:type="spellEnd"/>
      <w:r w:rsidRPr="00340C88">
        <w:rPr>
          <w:vertAlign w:val="subscript"/>
        </w:rPr>
        <w:t>(</w:t>
      </w:r>
      <w:proofErr w:type="spellStart"/>
      <w:proofErr w:type="gramEnd"/>
      <w:r w:rsidRPr="00340C88">
        <w:rPr>
          <w:vertAlign w:val="subscript"/>
        </w:rPr>
        <w:t>aq</w:t>
      </w:r>
      <w:proofErr w:type="spellEnd"/>
      <w:r w:rsidRPr="00340C88">
        <w:rPr>
          <w:vertAlign w:val="subscript"/>
        </w:rPr>
        <w:t>)</w:t>
      </w:r>
      <w:r w:rsidRPr="00340C88">
        <w:t xml:space="preserve"> (50 mL), H</w:t>
      </w:r>
      <w:r w:rsidRPr="00340C88">
        <w:rPr>
          <w:vertAlign w:val="subscript"/>
        </w:rPr>
        <w:t>2</w:t>
      </w:r>
      <w:r w:rsidRPr="00340C88">
        <w:t>O (50 mL) and brine (50 mL). The organic layer was dried (MgSO</w:t>
      </w:r>
      <w:r w:rsidRPr="00340C88">
        <w:rPr>
          <w:vertAlign w:val="subscript"/>
        </w:rPr>
        <w:t>4</w:t>
      </w:r>
      <w:r w:rsidRPr="00340C88">
        <w:t xml:space="preserve">), filtered and concentrated </w:t>
      </w:r>
      <w:r w:rsidRPr="00340C88">
        <w:rPr>
          <w:i/>
        </w:rPr>
        <w:t xml:space="preserve">in </w:t>
      </w:r>
      <w:proofErr w:type="spellStart"/>
      <w:r w:rsidRPr="00340C88">
        <w:rPr>
          <w:i/>
        </w:rPr>
        <w:t>vacuo</w:t>
      </w:r>
      <w:proofErr w:type="spellEnd"/>
      <w:r w:rsidRPr="00340C88">
        <w:t>.</w:t>
      </w:r>
    </w:p>
    <w:p w:rsidR="00D27CC8" w:rsidRPr="00340C88" w:rsidRDefault="00D27CC8" w:rsidP="00D27CC8">
      <w:pPr>
        <w:pStyle w:val="ElsParagraph"/>
      </w:pPr>
      <w:bookmarkStart w:id="15" w:name="_Toc34234611"/>
      <w:r w:rsidRPr="00340C88">
        <w:rPr>
          <w:b/>
          <w:i/>
        </w:rPr>
        <w:t>N</w:t>
      </w:r>
      <w:r w:rsidRPr="00340C88">
        <w:rPr>
          <w:b/>
        </w:rPr>
        <w:t>-Butyl-2-[(1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R</w:t>
      </w:r>
      <w:r w:rsidRPr="00340C88">
        <w:rPr>
          <w:b/>
        </w:rPr>
        <w:t>*)-4-oxo-3,10-dioxatricyclo</w:t>
      </w:r>
      <w:r w:rsidR="00C4080D" w:rsidRPr="00340C88">
        <w:rPr>
          <w:b/>
        </w:rPr>
        <w:t xml:space="preserve"> </w:t>
      </w:r>
      <w:r w:rsidRPr="00340C88">
        <w:rPr>
          <w:b/>
        </w:rPr>
        <w:t>[5.2.1.0</w:t>
      </w:r>
      <w:r w:rsidRPr="00340C88">
        <w:rPr>
          <w:b/>
          <w:vertAlign w:val="superscript"/>
        </w:rPr>
        <w:t>1,5</w:t>
      </w:r>
      <w:r w:rsidRPr="00340C88">
        <w:rPr>
          <w:b/>
        </w:rPr>
        <w:t>]decan-5-yl]</w:t>
      </w:r>
      <w:proofErr w:type="spellStart"/>
      <w:r w:rsidRPr="00340C88">
        <w:rPr>
          <w:b/>
        </w:rPr>
        <w:t>acetamide</w:t>
      </w:r>
      <w:proofErr w:type="spellEnd"/>
      <w:r w:rsidRPr="00340C88">
        <w:t xml:space="preserve"> (</w:t>
      </w:r>
      <w:r w:rsidRPr="00340C88">
        <w:rPr>
          <w:b/>
        </w:rPr>
        <w:t>19a</w:t>
      </w:r>
      <w:r w:rsidRPr="00340C88">
        <w:t>)</w:t>
      </w:r>
      <w:bookmarkEnd w:id="15"/>
      <w:r w:rsidRPr="00340C88">
        <w:t xml:space="preserve">: Hydrogenated acid </w:t>
      </w:r>
      <w:r w:rsidRPr="00340C88">
        <w:rPr>
          <w:b/>
        </w:rPr>
        <w:t>18</w:t>
      </w:r>
      <w:r w:rsidRPr="00340C88">
        <w:t xml:space="preserve"> (0.5</w:t>
      </w:r>
      <w:r w:rsidR="00C4080D" w:rsidRPr="00340C88">
        <w:t>0 g, 2.4</w:t>
      </w:r>
      <w:r w:rsidRPr="00340C88">
        <w:t xml:space="preserve"> </w:t>
      </w:r>
      <w:proofErr w:type="spellStart"/>
      <w:r w:rsidRPr="00340C88">
        <w:t>mmol</w:t>
      </w:r>
      <w:proofErr w:type="spellEnd"/>
      <w:r w:rsidRPr="00340C88">
        <w:t>, 1.0 eq</w:t>
      </w:r>
      <w:r w:rsidR="00C4080D" w:rsidRPr="00340C88">
        <w:t xml:space="preserve">.) and </w:t>
      </w:r>
      <w:proofErr w:type="spellStart"/>
      <w:r w:rsidR="00C4080D" w:rsidRPr="00340C88">
        <w:t>butylamine</w:t>
      </w:r>
      <w:proofErr w:type="spellEnd"/>
      <w:r w:rsidR="00C4080D" w:rsidRPr="00340C88">
        <w:t xml:space="preserve"> (0.24 mL, 2.4</w:t>
      </w:r>
      <w:r w:rsidRPr="00340C88">
        <w:t xml:space="preserve"> </w:t>
      </w:r>
      <w:proofErr w:type="spellStart"/>
      <w:r w:rsidRPr="00340C88">
        <w:t>mmol</w:t>
      </w:r>
      <w:proofErr w:type="spellEnd"/>
      <w:r w:rsidRPr="00340C88">
        <w:t xml:space="preserve">, 1.0 eq.) were coupled according to the general procedure for the synthesis of hydrogenated secondary amides. The crude material was then purified by flash column chromatography (80:20, </w:t>
      </w:r>
      <w:proofErr w:type="spellStart"/>
      <w:r w:rsidRPr="00340C88">
        <w:t>EtOAc</w:t>
      </w:r>
      <w:proofErr w:type="gramStart"/>
      <w:r w:rsidRPr="00340C88">
        <w:t>:PE</w:t>
      </w:r>
      <w:proofErr w:type="spellEnd"/>
      <w:proofErr w:type="gramEnd"/>
      <w:r w:rsidRPr="00340C88">
        <w:t xml:space="preserve">) to give the target compound </w:t>
      </w:r>
      <w:r w:rsidRPr="00340C88">
        <w:rPr>
          <w:b/>
        </w:rPr>
        <w:t>19a</w:t>
      </w:r>
      <w:r w:rsidRPr="00340C88">
        <w:t xml:space="preserve"> as a white solid (0.21 g, 33%). </w:t>
      </w:r>
      <w:r w:rsidRPr="00340C88">
        <w:rPr>
          <w:i/>
        </w:rPr>
        <w:t>R</w:t>
      </w:r>
      <w:r w:rsidRPr="00340C88">
        <w:rPr>
          <w:vertAlign w:val="subscript"/>
        </w:rPr>
        <w:t>F</w:t>
      </w:r>
      <w:r w:rsidRPr="00340C88">
        <w:t xml:space="preserve"> = 0.27 (80:20, </w:t>
      </w:r>
      <w:proofErr w:type="spellStart"/>
      <w:r w:rsidRPr="00340C88">
        <w:t>EtOAc:PE</w:t>
      </w:r>
      <w:proofErr w:type="spellEnd"/>
      <w:r w:rsidRPr="00340C88">
        <w:t xml:space="preserve">); </w:t>
      </w:r>
      <w:proofErr w:type="spellStart"/>
      <w:r w:rsidRPr="00340C88">
        <w:t>m.p</w:t>
      </w:r>
      <w:proofErr w:type="spellEnd"/>
      <w:r w:rsidRPr="00340C88">
        <w:t xml:space="preserve">. 58.1–58.5 °C; IR (Neat) </w:t>
      </w:r>
      <w:proofErr w:type="spellStart"/>
      <w:r w:rsidRPr="00340C88">
        <w:t>υ</w:t>
      </w:r>
      <w:r w:rsidRPr="00340C88">
        <w:rPr>
          <w:vertAlign w:val="subscript"/>
        </w:rPr>
        <w:t>max</w:t>
      </w:r>
      <w:proofErr w:type="spellEnd"/>
      <w:r w:rsidRPr="00340C88">
        <w:t xml:space="preserve"> 3319 (w), 2958 (w), 2868 (w), 1765 (s), 1635 (s), 1553 (m)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6.26 (br. s, 1H, N-H), 4.55 (t, </w:t>
      </w:r>
      <w:r w:rsidRPr="00340C88">
        <w:rPr>
          <w:rFonts w:cstheme="minorHAnsi"/>
          <w:i/>
        </w:rPr>
        <w:t>J</w:t>
      </w:r>
      <w:r w:rsidRPr="00340C88">
        <w:rPr>
          <w:rFonts w:cstheme="minorHAnsi"/>
        </w:rPr>
        <w:t xml:space="preserve"> = 5.5 Hz, 1H, 6-H), 4.50 (s, 2H, 7-H), 3.25–3.12 (m, 2H, 11-H), 2.65 (d, </w:t>
      </w:r>
      <w:r w:rsidRPr="00340C88">
        <w:rPr>
          <w:rFonts w:cstheme="minorHAnsi"/>
          <w:i/>
        </w:rPr>
        <w:t>J</w:t>
      </w:r>
      <w:r w:rsidRPr="00340C88">
        <w:rPr>
          <w:rFonts w:cstheme="minorHAnsi"/>
        </w:rPr>
        <w:t xml:space="preserve"> = 15.0 Hz, 1H, 9-H), 2.41 (d, </w:t>
      </w:r>
      <w:r w:rsidRPr="00340C88">
        <w:rPr>
          <w:rFonts w:cstheme="minorHAnsi"/>
          <w:i/>
        </w:rPr>
        <w:t>J</w:t>
      </w:r>
      <w:r w:rsidRPr="00340C88">
        <w:rPr>
          <w:rFonts w:cstheme="minorHAnsi"/>
        </w:rPr>
        <w:t xml:space="preserve"> = 15.0 Hz, 1H, 9-H), 2.42–2.37 (m, 1H, 5-H), 2.24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12.2, 8.8, 3.2 Hz, 2-H), 2.02–1.92 (m, 1H, 1-H), 1.75 (t, </w:t>
      </w:r>
      <w:r w:rsidRPr="00340C88">
        <w:rPr>
          <w:rFonts w:cstheme="minorHAnsi"/>
          <w:i/>
        </w:rPr>
        <w:t>J</w:t>
      </w:r>
      <w:r w:rsidRPr="00340C88">
        <w:rPr>
          <w:rFonts w:cstheme="minorHAnsi"/>
        </w:rPr>
        <w:t xml:space="preserve"> = 12.2, 5.5 Hz, 1H, 2-H), 1.61 (d, </w:t>
      </w:r>
      <w:r w:rsidRPr="00340C88">
        <w:rPr>
          <w:rFonts w:cstheme="minorHAnsi"/>
          <w:i/>
        </w:rPr>
        <w:t>J</w:t>
      </w:r>
      <w:r w:rsidRPr="00340C88">
        <w:rPr>
          <w:rFonts w:cstheme="minorHAnsi"/>
        </w:rPr>
        <w:t xml:space="preserve"> = 12.5 Hz, 1H, 5-H), 1.61–1.55 (m, 1H, 1-H), 1.50–1.40 (m, 2H, 12-H), 1.36–1.27 (m, 2H, 13-H), 0.89 (t, J = 7.4 Hz, 3H, 14-H);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180.6 (8), 168.5 (10), 92.3 (3), 76.3 (6), 69.8 (7), 54.2 (4), 44.6 (5), 41.4 (9), 39.6 (11), 31.4 (12), 29.0 (1), 24.6 (2), 20.1 (13), 13.8 (14);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14</w:t>
      </w:r>
      <w:r w:rsidRPr="00340C88">
        <w:rPr>
          <w:rFonts w:cstheme="minorHAnsi"/>
        </w:rPr>
        <w:t>H</w:t>
      </w:r>
      <w:r w:rsidRPr="00340C88">
        <w:rPr>
          <w:rFonts w:cstheme="minorHAnsi"/>
          <w:vertAlign w:val="subscript"/>
        </w:rPr>
        <w:t>22</w:t>
      </w:r>
      <w:r w:rsidRPr="00340C88">
        <w:rPr>
          <w:rFonts w:cstheme="minorHAnsi"/>
          <w:vertAlign w:val="subscript"/>
        </w:rPr>
        <w:softHyphen/>
      </w:r>
      <w:r w:rsidRPr="00340C88">
        <w:rPr>
          <w:rFonts w:cstheme="minorHAnsi"/>
        </w:rPr>
        <w:t>NO</w:t>
      </w:r>
      <w:r w:rsidRPr="00340C88">
        <w:rPr>
          <w:rFonts w:cstheme="minorHAnsi"/>
          <w:vertAlign w:val="subscript"/>
        </w:rPr>
        <w:t>4</w:t>
      </w:r>
      <w:r w:rsidRPr="00340C88">
        <w:rPr>
          <w:rFonts w:cstheme="minorHAnsi"/>
        </w:rPr>
        <w:t xml:space="preserve"> 268.1555 (M+H)</w:t>
      </w:r>
      <w:r w:rsidRPr="00340C88">
        <w:rPr>
          <w:rFonts w:cstheme="minorHAnsi"/>
          <w:vertAlign w:val="superscript"/>
        </w:rPr>
        <w:t>+</w:t>
      </w:r>
      <w:r w:rsidRPr="00340C88">
        <w:rPr>
          <w:rFonts w:cstheme="minorHAnsi"/>
        </w:rPr>
        <w:t xml:space="preserve">, found 268.1549, 2.2 ppm error. </w:t>
      </w:r>
      <w:r w:rsidRPr="00340C88">
        <w:t xml:space="preserve">  </w:t>
      </w:r>
    </w:p>
    <w:p w:rsidR="00D27CC8" w:rsidRPr="00340C88" w:rsidRDefault="00D27CC8" w:rsidP="00D27CC8">
      <w:pPr>
        <w:pStyle w:val="ElsParagraph"/>
        <w:rPr>
          <w:rFonts w:cstheme="minorHAnsi"/>
        </w:rPr>
      </w:pPr>
      <w:bookmarkStart w:id="16" w:name="_Toc34234612"/>
      <w:r w:rsidRPr="00340C88">
        <w:rPr>
          <w:b/>
          <w:i/>
        </w:rPr>
        <w:t>N</w:t>
      </w:r>
      <w:r w:rsidRPr="00340C88">
        <w:rPr>
          <w:b/>
        </w:rPr>
        <w:t>-Hexyl-2-[(1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R</w:t>
      </w:r>
      <w:r w:rsidRPr="00340C88">
        <w:rPr>
          <w:b/>
        </w:rPr>
        <w:t>*)-4-oxo-3,10-dioxatricyclo</w:t>
      </w:r>
      <w:r w:rsidR="00C4080D" w:rsidRPr="00340C88">
        <w:rPr>
          <w:b/>
        </w:rPr>
        <w:t xml:space="preserve"> </w:t>
      </w:r>
      <w:r w:rsidRPr="00340C88">
        <w:rPr>
          <w:b/>
        </w:rPr>
        <w:t>[5.2.1.0</w:t>
      </w:r>
      <w:r w:rsidRPr="00340C88">
        <w:rPr>
          <w:b/>
          <w:vertAlign w:val="superscript"/>
        </w:rPr>
        <w:t>1,5</w:t>
      </w:r>
      <w:r w:rsidRPr="00340C88">
        <w:rPr>
          <w:b/>
        </w:rPr>
        <w:t>]decan-5-yl]</w:t>
      </w:r>
      <w:proofErr w:type="spellStart"/>
      <w:r w:rsidRPr="00340C88">
        <w:rPr>
          <w:b/>
        </w:rPr>
        <w:t>acetamide</w:t>
      </w:r>
      <w:proofErr w:type="spellEnd"/>
      <w:r w:rsidRPr="00340C88">
        <w:t xml:space="preserve"> (</w:t>
      </w:r>
      <w:r w:rsidRPr="00340C88">
        <w:rPr>
          <w:b/>
        </w:rPr>
        <w:t>19b</w:t>
      </w:r>
      <w:r w:rsidRPr="00340C88">
        <w:t>)</w:t>
      </w:r>
      <w:bookmarkEnd w:id="16"/>
      <w:r w:rsidRPr="00340C88">
        <w:t xml:space="preserve">: Hydrogenated acid </w:t>
      </w:r>
      <w:r w:rsidRPr="00340C88">
        <w:rPr>
          <w:b/>
        </w:rPr>
        <w:t>18</w:t>
      </w:r>
      <w:r w:rsidRPr="00340C88">
        <w:t xml:space="preserve"> (0.5</w:t>
      </w:r>
      <w:r w:rsidR="00C4080D" w:rsidRPr="00340C88">
        <w:t>0 g, 2.4</w:t>
      </w:r>
      <w:r w:rsidRPr="00340C88">
        <w:t xml:space="preserve"> </w:t>
      </w:r>
      <w:proofErr w:type="spellStart"/>
      <w:r w:rsidRPr="00340C88">
        <w:t>mmol</w:t>
      </w:r>
      <w:proofErr w:type="spellEnd"/>
      <w:r w:rsidRPr="00340C88">
        <w:t>, 1.0 eq</w:t>
      </w:r>
      <w:r w:rsidR="00C4080D" w:rsidRPr="00340C88">
        <w:t xml:space="preserve">.) and </w:t>
      </w:r>
      <w:proofErr w:type="spellStart"/>
      <w:r w:rsidR="00C4080D" w:rsidRPr="00340C88">
        <w:t>hexylamine</w:t>
      </w:r>
      <w:proofErr w:type="spellEnd"/>
      <w:r w:rsidR="00C4080D" w:rsidRPr="00340C88">
        <w:t xml:space="preserve"> (0.31 mL, 2.4</w:t>
      </w:r>
      <w:r w:rsidRPr="00340C88">
        <w:t xml:space="preserve"> </w:t>
      </w:r>
      <w:proofErr w:type="spellStart"/>
      <w:r w:rsidRPr="00340C88">
        <w:t>mmol</w:t>
      </w:r>
      <w:proofErr w:type="spellEnd"/>
      <w:r w:rsidRPr="00340C88">
        <w:t xml:space="preserve">, 1.0 eq.) were coupled according to the general procedure for the synthesis of hydrogenated secondary amides. The crude material was then purified by flash column chromatography (70:30, </w:t>
      </w:r>
      <w:proofErr w:type="spellStart"/>
      <w:r w:rsidRPr="00340C88">
        <w:t>EtOAc</w:t>
      </w:r>
      <w:proofErr w:type="gramStart"/>
      <w:r w:rsidRPr="00340C88">
        <w:t>:PE</w:t>
      </w:r>
      <w:proofErr w:type="spellEnd"/>
      <w:proofErr w:type="gramEnd"/>
      <w:r w:rsidRPr="00340C88">
        <w:t xml:space="preserve">) to give the target compound </w:t>
      </w:r>
      <w:r w:rsidRPr="00340C88">
        <w:rPr>
          <w:b/>
        </w:rPr>
        <w:t>19b</w:t>
      </w:r>
      <w:r w:rsidRPr="00340C88">
        <w:t xml:space="preserve"> as a yellow oil (0.43 g, 61%). </w:t>
      </w:r>
      <w:r w:rsidRPr="00340C88">
        <w:rPr>
          <w:i/>
        </w:rPr>
        <w:t>R</w:t>
      </w:r>
      <w:r w:rsidRPr="00340C88">
        <w:rPr>
          <w:vertAlign w:val="subscript"/>
        </w:rPr>
        <w:t>F</w:t>
      </w:r>
      <w:r w:rsidRPr="00340C88">
        <w:t xml:space="preserve"> = 0.27 (70:30, </w:t>
      </w:r>
      <w:proofErr w:type="spellStart"/>
      <w:r w:rsidRPr="00340C88">
        <w:t>EtOAc:PE</w:t>
      </w:r>
      <w:proofErr w:type="spellEnd"/>
      <w:r w:rsidRPr="00340C88">
        <w:t xml:space="preserve">); IR (Neat) </w:t>
      </w:r>
      <w:proofErr w:type="spellStart"/>
      <w:r w:rsidRPr="00340C88">
        <w:t>υ</w:t>
      </w:r>
      <w:r w:rsidRPr="00340C88">
        <w:rPr>
          <w:vertAlign w:val="subscript"/>
        </w:rPr>
        <w:t>max</w:t>
      </w:r>
      <w:proofErr w:type="spellEnd"/>
      <w:r w:rsidRPr="00340C88">
        <w:t xml:space="preserve"> 3312 (w), </w:t>
      </w:r>
      <w:r w:rsidRPr="00340C88">
        <w:t>2950 (m), 2924 (m), 1762 (s), 1643 (s), 1538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6.28 (br. s, 1H, N-H), 4.54 (t, </w:t>
      </w:r>
      <w:r w:rsidRPr="00340C88">
        <w:rPr>
          <w:rFonts w:cstheme="minorHAnsi"/>
          <w:i/>
        </w:rPr>
        <w:t>J</w:t>
      </w:r>
      <w:r w:rsidRPr="00340C88">
        <w:rPr>
          <w:rFonts w:cstheme="minorHAnsi"/>
        </w:rPr>
        <w:t xml:space="preserve"> = 5.3 Hz, 1H, 6-H), 4.49 (s, 2H, 7-H), 3.24–3.11 (m, 2H, 11-H), 2.65 (d, </w:t>
      </w:r>
      <w:r w:rsidRPr="00340C88">
        <w:rPr>
          <w:rFonts w:cstheme="minorHAnsi"/>
          <w:i/>
        </w:rPr>
        <w:t>J</w:t>
      </w:r>
      <w:r w:rsidRPr="00340C88">
        <w:rPr>
          <w:rFonts w:cstheme="minorHAnsi"/>
        </w:rPr>
        <w:t xml:space="preserve"> = 14.6 Hz, 1H, 9-H), 2.41 (d, </w:t>
      </w:r>
      <w:r w:rsidRPr="00340C88">
        <w:rPr>
          <w:rFonts w:cstheme="minorHAnsi"/>
          <w:i/>
        </w:rPr>
        <w:t>J</w:t>
      </w:r>
      <w:r w:rsidRPr="00340C88">
        <w:rPr>
          <w:rFonts w:cstheme="minorHAnsi"/>
        </w:rPr>
        <w:t xml:space="preserve"> = 14.6 Hz, 1H, 9-H), 2.41–2.37 (m, 1H, 5-H), 2.23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12.5, 8.9, 3.1 Hz, 1H, 2-H), 2.01–1.91 (m, 1H, 1-H), 1.79–1.70 (m, 1H, 2-H), 1.60 (d, </w:t>
      </w:r>
      <w:r w:rsidRPr="00340C88">
        <w:rPr>
          <w:rFonts w:cstheme="minorHAnsi"/>
          <w:i/>
        </w:rPr>
        <w:t>J</w:t>
      </w:r>
      <w:r w:rsidRPr="00340C88">
        <w:rPr>
          <w:rFonts w:cstheme="minorHAnsi"/>
        </w:rPr>
        <w:t xml:space="preserve"> = 12.7 Hz, 1H, 5-H), 1.60–1.55 (m, 1H, 1-H), 1.49–1.40 (m, 2H, 12-H), 1.32–1.22 (m, 6H, 13-H/14-H/15-H), 0.85 (t, </w:t>
      </w:r>
      <w:r w:rsidRPr="00340C88">
        <w:rPr>
          <w:rFonts w:cstheme="minorHAnsi"/>
          <w:i/>
        </w:rPr>
        <w:t>J</w:t>
      </w:r>
      <w:r w:rsidRPr="00340C88">
        <w:rPr>
          <w:rFonts w:cstheme="minorHAnsi"/>
        </w:rPr>
        <w:t xml:space="preserve"> = 6.7 Hz, 3H, 16-H);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180.6 (8), 168.5 (10), 92.3 (3), 76.2 (6), 69.7 (7), 54.2 (4), 44.6 (5), 41.3 (9), 39.9 (11), 31.5 (13), 29.3 (12), 29.0 (1), 26.6 (14), 24.55 (2), 22.6 (15), 14.1 (16);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16</w:t>
      </w:r>
      <w:r w:rsidRPr="00340C88">
        <w:rPr>
          <w:rFonts w:cstheme="minorHAnsi"/>
        </w:rPr>
        <w:t>H</w:t>
      </w:r>
      <w:r w:rsidRPr="00340C88">
        <w:rPr>
          <w:rFonts w:cstheme="minorHAnsi"/>
          <w:vertAlign w:val="subscript"/>
        </w:rPr>
        <w:t>26</w:t>
      </w:r>
      <w:r w:rsidRPr="00340C88">
        <w:rPr>
          <w:rFonts w:cstheme="minorHAnsi"/>
          <w:vertAlign w:val="subscript"/>
        </w:rPr>
        <w:softHyphen/>
      </w:r>
      <w:r w:rsidRPr="00340C88">
        <w:rPr>
          <w:rFonts w:cstheme="minorHAnsi"/>
        </w:rPr>
        <w:t>NO4 296.1870 (M+H)</w:t>
      </w:r>
      <w:r w:rsidRPr="00340C88">
        <w:rPr>
          <w:rFonts w:cstheme="minorHAnsi"/>
          <w:vertAlign w:val="superscript"/>
        </w:rPr>
        <w:t>+</w:t>
      </w:r>
      <w:r w:rsidRPr="00340C88">
        <w:rPr>
          <w:rFonts w:cstheme="minorHAnsi"/>
        </w:rPr>
        <w:t>, found 296.1862, 2.7 ppm error.</w:t>
      </w:r>
    </w:p>
    <w:p w:rsidR="00D27CC8" w:rsidRPr="00340C88" w:rsidRDefault="00D27CC8" w:rsidP="00D27CC8">
      <w:pPr>
        <w:pStyle w:val="ElsParagraph"/>
        <w:rPr>
          <w:rFonts w:cstheme="minorHAnsi"/>
        </w:rPr>
      </w:pPr>
      <w:bookmarkStart w:id="17" w:name="_Toc34234613"/>
      <w:r w:rsidRPr="00340C88">
        <w:rPr>
          <w:b/>
          <w:i/>
        </w:rPr>
        <w:t>N</w:t>
      </w:r>
      <w:r w:rsidRPr="00340C88">
        <w:rPr>
          <w:b/>
        </w:rPr>
        <w:t>-Octyl-2-[(1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R</w:t>
      </w:r>
      <w:r w:rsidRPr="00340C88">
        <w:rPr>
          <w:b/>
        </w:rPr>
        <w:t>*)-4-oxo-3,10-dioxatricyclo</w:t>
      </w:r>
      <w:r w:rsidR="00C4080D" w:rsidRPr="00340C88">
        <w:rPr>
          <w:b/>
        </w:rPr>
        <w:t xml:space="preserve"> </w:t>
      </w:r>
      <w:r w:rsidRPr="00340C88">
        <w:rPr>
          <w:b/>
        </w:rPr>
        <w:t>[5.2.1.0</w:t>
      </w:r>
      <w:r w:rsidRPr="00340C88">
        <w:rPr>
          <w:b/>
          <w:vertAlign w:val="superscript"/>
        </w:rPr>
        <w:t>1,5</w:t>
      </w:r>
      <w:r w:rsidRPr="00340C88">
        <w:rPr>
          <w:b/>
        </w:rPr>
        <w:t>]decan-5-yl]</w:t>
      </w:r>
      <w:proofErr w:type="spellStart"/>
      <w:r w:rsidRPr="00340C88">
        <w:rPr>
          <w:b/>
        </w:rPr>
        <w:t>acetamide</w:t>
      </w:r>
      <w:proofErr w:type="spellEnd"/>
      <w:r w:rsidRPr="00340C88">
        <w:t xml:space="preserve"> (</w:t>
      </w:r>
      <w:r w:rsidRPr="00340C88">
        <w:rPr>
          <w:b/>
        </w:rPr>
        <w:t>19c</w:t>
      </w:r>
      <w:r w:rsidRPr="00340C88">
        <w:t>)</w:t>
      </w:r>
      <w:bookmarkEnd w:id="17"/>
      <w:r w:rsidRPr="00340C88">
        <w:t xml:space="preserve">: Hydrogenated acid </w:t>
      </w:r>
      <w:r w:rsidRPr="00340C88">
        <w:rPr>
          <w:b/>
        </w:rPr>
        <w:t>18</w:t>
      </w:r>
      <w:r w:rsidRPr="00340C88">
        <w:t xml:space="preserve"> (0.5</w:t>
      </w:r>
      <w:r w:rsidR="00C4080D" w:rsidRPr="00340C88">
        <w:t>0 g, 2.4</w:t>
      </w:r>
      <w:r w:rsidRPr="00340C88">
        <w:t xml:space="preserve"> </w:t>
      </w:r>
      <w:proofErr w:type="spellStart"/>
      <w:r w:rsidRPr="00340C88">
        <w:t>mmol</w:t>
      </w:r>
      <w:proofErr w:type="spellEnd"/>
      <w:r w:rsidR="00C4080D" w:rsidRPr="00340C88">
        <w:t xml:space="preserve">, 1.0 eq.) and </w:t>
      </w:r>
      <w:proofErr w:type="spellStart"/>
      <w:r w:rsidR="00C4080D" w:rsidRPr="00340C88">
        <w:t>octylamine</w:t>
      </w:r>
      <w:proofErr w:type="spellEnd"/>
      <w:r w:rsidR="00C4080D" w:rsidRPr="00340C88">
        <w:t xml:space="preserve"> (0.39 mL, 2.4</w:t>
      </w:r>
      <w:r w:rsidRPr="00340C88">
        <w:t xml:space="preserve"> </w:t>
      </w:r>
      <w:proofErr w:type="spellStart"/>
      <w:r w:rsidRPr="00340C88">
        <w:t>mmol</w:t>
      </w:r>
      <w:proofErr w:type="spellEnd"/>
      <w:r w:rsidRPr="00340C88">
        <w:t xml:space="preserve">, 1.0 eq.) were coupled according to the general procedure for the synthesis of hydrogenated secondary amides. The crude material was then purified by flash column chromatography (70:30, </w:t>
      </w:r>
      <w:proofErr w:type="spellStart"/>
      <w:r w:rsidRPr="00340C88">
        <w:t>EtOAc</w:t>
      </w:r>
      <w:proofErr w:type="gramStart"/>
      <w:r w:rsidRPr="00340C88">
        <w:t>:PE</w:t>
      </w:r>
      <w:proofErr w:type="spellEnd"/>
      <w:proofErr w:type="gramEnd"/>
      <w:r w:rsidRPr="00340C88">
        <w:t xml:space="preserve">) to give the target compound </w:t>
      </w:r>
      <w:r w:rsidRPr="00340C88">
        <w:rPr>
          <w:b/>
        </w:rPr>
        <w:t>19c</w:t>
      </w:r>
      <w:r w:rsidRPr="00340C88">
        <w:t xml:space="preserve"> as a yellow waxy solid (0.51 g, 67%). </w:t>
      </w:r>
      <w:r w:rsidRPr="00340C88">
        <w:rPr>
          <w:i/>
        </w:rPr>
        <w:t>R</w:t>
      </w:r>
      <w:r w:rsidRPr="00340C88">
        <w:rPr>
          <w:vertAlign w:val="subscript"/>
        </w:rPr>
        <w:t>F</w:t>
      </w:r>
      <w:r w:rsidRPr="00340C88">
        <w:t xml:space="preserve"> = 0.3 (70:30, </w:t>
      </w:r>
      <w:proofErr w:type="spellStart"/>
      <w:r w:rsidRPr="00340C88">
        <w:t>EtOAc:PE</w:t>
      </w:r>
      <w:proofErr w:type="spellEnd"/>
      <w:r w:rsidRPr="00340C88">
        <w:t xml:space="preserve">); </w:t>
      </w:r>
      <w:proofErr w:type="spellStart"/>
      <w:r w:rsidRPr="00340C88">
        <w:t>m.p</w:t>
      </w:r>
      <w:proofErr w:type="spellEnd"/>
      <w:r w:rsidRPr="00340C88">
        <w:t xml:space="preserve">. 53.4–54.0 °C; IR (Neat) </w:t>
      </w:r>
      <w:proofErr w:type="spellStart"/>
      <w:r w:rsidRPr="00340C88">
        <w:t>υ</w:t>
      </w:r>
      <w:r w:rsidRPr="00340C88">
        <w:rPr>
          <w:vertAlign w:val="subscript"/>
        </w:rPr>
        <w:t>max</w:t>
      </w:r>
      <w:proofErr w:type="spellEnd"/>
      <w:r w:rsidRPr="00340C88">
        <w:t xml:space="preserve"> 3394 (w), 2917 (m), 2850 (m), 1754 (s), 1665 (s) and 1523 (m) cm</w:t>
      </w:r>
      <w:r w:rsidRPr="00340C88">
        <w:rPr>
          <w:vertAlign w:val="superscript"/>
        </w:rPr>
        <w:t>-1</w:t>
      </w:r>
      <w:r w:rsidRPr="00340C88">
        <w:t xml:space="preserve">; </w:t>
      </w:r>
      <w:r w:rsidRPr="00340C88">
        <w:rPr>
          <w:rFonts w:cstheme="minorHAnsi"/>
          <w:vertAlign w:val="superscript"/>
        </w:rPr>
        <w:t>1</w:t>
      </w:r>
      <w:r w:rsidRPr="00340C88">
        <w:rPr>
          <w:rFonts w:cstheme="minorHAnsi"/>
        </w:rPr>
        <w:t xml:space="preserve">H NMR (400 MHz, CDCl3): δ = 6.30 (br. s, 1H, N-H), 4.54 (t, </w:t>
      </w:r>
      <w:r w:rsidRPr="00340C88">
        <w:rPr>
          <w:rFonts w:cstheme="minorHAnsi"/>
          <w:i/>
        </w:rPr>
        <w:t>J</w:t>
      </w:r>
      <w:r w:rsidRPr="00340C88">
        <w:rPr>
          <w:rFonts w:cstheme="minorHAnsi"/>
        </w:rPr>
        <w:t xml:space="preserve"> = 5.2 Hz, 1H, 6-H), 4.49 (s, 2H, 7-H), 3.21–3.11 (m, 2H, 11-H), 2.65 (d, </w:t>
      </w:r>
      <w:r w:rsidRPr="00340C88">
        <w:rPr>
          <w:rFonts w:cstheme="minorHAnsi"/>
          <w:i/>
        </w:rPr>
        <w:t xml:space="preserve">J </w:t>
      </w:r>
      <w:r w:rsidRPr="00340C88">
        <w:rPr>
          <w:rFonts w:cstheme="minorHAnsi"/>
        </w:rPr>
        <w:t>= 14.5 Hz, 1H, 9-H), 2.40 (d,</w:t>
      </w:r>
      <w:r w:rsidRPr="00340C88">
        <w:rPr>
          <w:rFonts w:cstheme="minorHAnsi"/>
          <w:i/>
        </w:rPr>
        <w:t xml:space="preserve"> J</w:t>
      </w:r>
      <w:r w:rsidRPr="00340C88">
        <w:rPr>
          <w:rFonts w:cstheme="minorHAnsi"/>
        </w:rPr>
        <w:t xml:space="preserve"> = 14.5 Hz, 1H, 9-H), 2.40–2.35 (m, 1H, 5-H), 2.22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12.3, 8.6, 3.1 Hz, 1H, 2-H), 2.01–1.90 (m, 1H, 1-H), 1.79–1.69 (m, 1H, 2-H), 1.60 (d,</w:t>
      </w:r>
      <w:r w:rsidRPr="00340C88">
        <w:rPr>
          <w:rFonts w:cstheme="minorHAnsi"/>
          <w:i/>
        </w:rPr>
        <w:t xml:space="preserve"> J</w:t>
      </w:r>
      <w:r w:rsidRPr="00340C88">
        <w:rPr>
          <w:rFonts w:cstheme="minorHAnsi"/>
        </w:rPr>
        <w:t xml:space="preserve"> = 12.5 Hz, 1H, 5-H),</w:t>
      </w:r>
      <w:r w:rsidRPr="00340C88">
        <w:rPr>
          <w:rFonts w:ascii="Segoe UI Symbol" w:hAnsi="Segoe UI Symbol" w:cstheme="minorHAnsi"/>
        </w:rPr>
        <w:t xml:space="preserve"> </w:t>
      </w:r>
      <w:r w:rsidRPr="00340C88">
        <w:rPr>
          <w:rFonts w:cstheme="minorHAnsi"/>
        </w:rPr>
        <w:t xml:space="preserve">1.60–1.54 (m, 1H, 1-H), 1.49–1.39 (m, 2H, 12-H), 1.31–1.17 (m, 10H, 13-H/14-H/15-H/16-H/17-H), 0.84 (t, </w:t>
      </w:r>
      <w:r w:rsidRPr="00340C88">
        <w:rPr>
          <w:rFonts w:cstheme="minorHAnsi"/>
          <w:i/>
        </w:rPr>
        <w:t>J</w:t>
      </w:r>
      <w:r w:rsidRPr="00340C88">
        <w:rPr>
          <w:rFonts w:cstheme="minorHAnsi"/>
        </w:rPr>
        <w:t xml:space="preserve"> = 6.6 Hz, 3H, 18-H);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xml:space="preserve">): δ = 180.6 (8), 168.5 (10), 92.25 (3), 76.2 (6), 69.7 (7), 54.2 (4), 44.6 (5), 41.4 (9), 39.9 (11), 31.9 (13), 29.4 (4), 29.3 (12/15) 29.0 (1), 26.9 (16), 24.6 (2), 22.7 (17), 14.2 (18);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18</w:t>
      </w:r>
      <w:r w:rsidRPr="00340C88">
        <w:rPr>
          <w:rFonts w:cstheme="minorHAnsi"/>
          <w:vertAlign w:val="subscript"/>
        </w:rPr>
        <w:softHyphen/>
      </w:r>
      <w:r w:rsidRPr="00340C88">
        <w:rPr>
          <w:rFonts w:cstheme="minorHAnsi"/>
        </w:rPr>
        <w:t>H</w:t>
      </w:r>
      <w:r w:rsidRPr="00340C88">
        <w:rPr>
          <w:rFonts w:cstheme="minorHAnsi"/>
          <w:vertAlign w:val="subscript"/>
        </w:rPr>
        <w:t>30</w:t>
      </w:r>
      <w:r w:rsidRPr="00340C88">
        <w:rPr>
          <w:rFonts w:cstheme="minorHAnsi"/>
          <w:vertAlign w:val="subscript"/>
        </w:rPr>
        <w:softHyphen/>
      </w:r>
      <w:r w:rsidRPr="00340C88">
        <w:rPr>
          <w:rFonts w:cstheme="minorHAnsi"/>
        </w:rPr>
        <w:t>NO</w:t>
      </w:r>
      <w:r w:rsidRPr="00340C88">
        <w:rPr>
          <w:rFonts w:cstheme="minorHAnsi"/>
          <w:vertAlign w:val="subscript"/>
        </w:rPr>
        <w:t xml:space="preserve">4 </w:t>
      </w:r>
      <w:r w:rsidRPr="00340C88">
        <w:rPr>
          <w:rFonts w:cstheme="minorHAnsi"/>
        </w:rPr>
        <w:t>324.2184 (M+H)</w:t>
      </w:r>
      <w:r w:rsidRPr="00340C88">
        <w:rPr>
          <w:rFonts w:cstheme="minorHAnsi"/>
          <w:vertAlign w:val="superscript"/>
        </w:rPr>
        <w:t>+</w:t>
      </w:r>
      <w:r w:rsidRPr="00340C88">
        <w:rPr>
          <w:rFonts w:cstheme="minorHAnsi"/>
        </w:rPr>
        <w:t>, found 324.2175, 2.8 ppm error.</w:t>
      </w:r>
    </w:p>
    <w:p w:rsidR="00D27CC8" w:rsidRPr="00340C88" w:rsidRDefault="00D27CC8" w:rsidP="00D27CC8">
      <w:pPr>
        <w:pStyle w:val="ElsParagraph"/>
        <w:rPr>
          <w:rFonts w:cstheme="minorHAnsi"/>
        </w:rPr>
      </w:pPr>
      <w:bookmarkStart w:id="18" w:name="_Toc34234614"/>
      <w:r w:rsidRPr="00340C88">
        <w:rPr>
          <w:b/>
          <w:i/>
        </w:rPr>
        <w:t>N</w:t>
      </w:r>
      <w:r w:rsidRPr="00340C88">
        <w:rPr>
          <w:b/>
        </w:rPr>
        <w:t>-Benzyl-2-[(1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R</w:t>
      </w:r>
      <w:r w:rsidRPr="00340C88">
        <w:rPr>
          <w:b/>
        </w:rPr>
        <w:t>*)-4-oxo-3,10-dioxatricyclo</w:t>
      </w:r>
      <w:r w:rsidR="00C4080D" w:rsidRPr="00340C88">
        <w:rPr>
          <w:b/>
        </w:rPr>
        <w:t xml:space="preserve"> </w:t>
      </w:r>
      <w:r w:rsidRPr="00340C88">
        <w:rPr>
          <w:b/>
        </w:rPr>
        <w:t>[5.2.1.0</w:t>
      </w:r>
      <w:r w:rsidRPr="00340C88">
        <w:rPr>
          <w:b/>
          <w:vertAlign w:val="superscript"/>
        </w:rPr>
        <w:t>1,5</w:t>
      </w:r>
      <w:r w:rsidRPr="00340C88">
        <w:rPr>
          <w:b/>
        </w:rPr>
        <w:t>]decan-5-yl]</w:t>
      </w:r>
      <w:proofErr w:type="spellStart"/>
      <w:r w:rsidRPr="00340C88">
        <w:rPr>
          <w:b/>
        </w:rPr>
        <w:t>acetamide</w:t>
      </w:r>
      <w:proofErr w:type="spellEnd"/>
      <w:r w:rsidRPr="00340C88">
        <w:t xml:space="preserve"> (</w:t>
      </w:r>
      <w:r w:rsidRPr="00340C88">
        <w:rPr>
          <w:b/>
        </w:rPr>
        <w:t>19d</w:t>
      </w:r>
      <w:r w:rsidRPr="00340C88">
        <w:t>)</w:t>
      </w:r>
      <w:bookmarkEnd w:id="18"/>
      <w:r w:rsidRPr="00340C88">
        <w:t xml:space="preserve">: Hydrogenated acid </w:t>
      </w:r>
      <w:r w:rsidRPr="00340C88">
        <w:rPr>
          <w:b/>
        </w:rPr>
        <w:t>18</w:t>
      </w:r>
      <w:r w:rsidRPr="00340C88">
        <w:t xml:space="preserve"> (0.5</w:t>
      </w:r>
      <w:r w:rsidR="00C4080D" w:rsidRPr="00340C88">
        <w:t>0 g, 2.4</w:t>
      </w:r>
      <w:r w:rsidRPr="00340C88">
        <w:t xml:space="preserve"> </w:t>
      </w:r>
      <w:proofErr w:type="spellStart"/>
      <w:r w:rsidRPr="00340C88">
        <w:t>mmol</w:t>
      </w:r>
      <w:proofErr w:type="spellEnd"/>
      <w:r w:rsidRPr="00340C88">
        <w:t>,</w:t>
      </w:r>
      <w:r w:rsidR="00C4080D" w:rsidRPr="00340C88">
        <w:t xml:space="preserve"> 1.0 eq.) and </w:t>
      </w:r>
      <w:proofErr w:type="spellStart"/>
      <w:r w:rsidR="00C4080D" w:rsidRPr="00340C88">
        <w:t>benzylamine</w:t>
      </w:r>
      <w:proofErr w:type="spellEnd"/>
      <w:r w:rsidR="00C4080D" w:rsidRPr="00340C88">
        <w:t xml:space="preserve"> (0.26 mL, 2.4</w:t>
      </w:r>
      <w:r w:rsidRPr="00340C88">
        <w:t xml:space="preserve"> </w:t>
      </w:r>
      <w:proofErr w:type="spellStart"/>
      <w:r w:rsidRPr="00340C88">
        <w:t>mmol</w:t>
      </w:r>
      <w:proofErr w:type="spellEnd"/>
      <w:r w:rsidRPr="00340C88">
        <w:t xml:space="preserve">, 1.0 eq.) were coupled according to the general procedure for the synthesis of hydrogenated secondary amides. The crude material was then purified by flash column chromatography (75:25, </w:t>
      </w:r>
      <w:proofErr w:type="spellStart"/>
      <w:r w:rsidRPr="00340C88">
        <w:t>EtOAc</w:t>
      </w:r>
      <w:proofErr w:type="gramStart"/>
      <w:r w:rsidRPr="00340C88">
        <w:t>:PE</w:t>
      </w:r>
      <w:proofErr w:type="spellEnd"/>
      <w:proofErr w:type="gramEnd"/>
      <w:r w:rsidRPr="00340C88">
        <w:t xml:space="preserve">) to give the target compound </w:t>
      </w:r>
      <w:r w:rsidRPr="00340C88">
        <w:rPr>
          <w:b/>
        </w:rPr>
        <w:t>19d</w:t>
      </w:r>
      <w:r w:rsidRPr="00340C88">
        <w:t xml:space="preserve"> as a white crystalline solid (0.55 g, 77%). </w:t>
      </w:r>
      <w:r w:rsidRPr="00340C88">
        <w:rPr>
          <w:i/>
        </w:rPr>
        <w:t>R</w:t>
      </w:r>
      <w:r w:rsidRPr="00340C88">
        <w:rPr>
          <w:vertAlign w:val="subscript"/>
        </w:rPr>
        <w:t>F</w:t>
      </w:r>
      <w:r w:rsidRPr="00340C88">
        <w:t xml:space="preserve"> = 0.28 (75:25, </w:t>
      </w:r>
      <w:proofErr w:type="spellStart"/>
      <w:r w:rsidRPr="00340C88">
        <w:t>EtOAc:PE</w:t>
      </w:r>
      <w:proofErr w:type="spellEnd"/>
      <w:r w:rsidRPr="00340C88">
        <w:t xml:space="preserve">); </w:t>
      </w:r>
      <w:proofErr w:type="spellStart"/>
      <w:r w:rsidRPr="00340C88">
        <w:t>m.p</w:t>
      </w:r>
      <w:proofErr w:type="spellEnd"/>
      <w:r w:rsidRPr="00340C88">
        <w:t xml:space="preserve">. 122.2–122.7 °C; IR (Neat) </w:t>
      </w:r>
      <w:proofErr w:type="spellStart"/>
      <w:r w:rsidRPr="00340C88">
        <w:t>υ</w:t>
      </w:r>
      <w:r w:rsidRPr="00340C88">
        <w:rPr>
          <w:vertAlign w:val="subscript"/>
        </w:rPr>
        <w:t>max</w:t>
      </w:r>
      <w:proofErr w:type="spellEnd"/>
      <w:r w:rsidRPr="00340C88">
        <w:t xml:space="preserve"> 3326 (w), 2961 (w), 1765 (s), 1635 (s) and 1538 (s)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7.27–7.15 (m, 5H, </w:t>
      </w:r>
      <w:proofErr w:type="spellStart"/>
      <w:r w:rsidRPr="00340C88">
        <w:rPr>
          <w:rFonts w:cstheme="minorHAnsi"/>
        </w:rPr>
        <w:t>ArH</w:t>
      </w:r>
      <w:proofErr w:type="spellEnd"/>
      <w:r w:rsidRPr="00340C88">
        <w:rPr>
          <w:rFonts w:cstheme="minorHAnsi"/>
        </w:rPr>
        <w:t xml:space="preserve">), 6.75–6.69 (br. s, 1H, N-H), 4.45 (t, </w:t>
      </w:r>
      <w:r w:rsidRPr="00340C88">
        <w:rPr>
          <w:rFonts w:cstheme="minorHAnsi"/>
          <w:i/>
        </w:rPr>
        <w:t>J</w:t>
      </w:r>
      <w:r w:rsidRPr="00340C88">
        <w:rPr>
          <w:rFonts w:cstheme="minorHAnsi"/>
        </w:rPr>
        <w:t xml:space="preserve"> = 5.3 Hz, 1H, 6-H), 4.38 (s, 2H, 7-H), 4.31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14.9, 6.1 Hz, 1H, 11-H), 4.26 (</w:t>
      </w:r>
      <w:proofErr w:type="spellStart"/>
      <w:r w:rsidRPr="00340C88">
        <w:rPr>
          <w:rFonts w:cstheme="minorHAnsi"/>
        </w:rPr>
        <w:t>dd</w:t>
      </w:r>
      <w:proofErr w:type="spellEnd"/>
      <w:r w:rsidRPr="00340C88">
        <w:rPr>
          <w:rFonts w:cstheme="minorHAnsi"/>
        </w:rPr>
        <w:t xml:space="preserve">, </w:t>
      </w:r>
      <w:r w:rsidRPr="00340C88">
        <w:rPr>
          <w:rFonts w:cstheme="minorHAnsi"/>
          <w:i/>
        </w:rPr>
        <w:t>J</w:t>
      </w:r>
      <w:r w:rsidRPr="00340C88">
        <w:rPr>
          <w:rFonts w:cstheme="minorHAnsi"/>
        </w:rPr>
        <w:t xml:space="preserve"> = 14.9, 6.1 Hz, 1H, 11-H), 2.62 (d, </w:t>
      </w:r>
      <w:r w:rsidRPr="00340C88">
        <w:rPr>
          <w:rFonts w:cstheme="minorHAnsi"/>
          <w:i/>
        </w:rPr>
        <w:t>J</w:t>
      </w:r>
      <w:r w:rsidRPr="00340C88">
        <w:rPr>
          <w:rFonts w:cstheme="minorHAnsi"/>
        </w:rPr>
        <w:t xml:space="preserve"> = 14.0 Hz, 1H, 9-H), 2.34 (d, </w:t>
      </w:r>
      <w:r w:rsidRPr="00340C88">
        <w:rPr>
          <w:rFonts w:cstheme="minorHAnsi"/>
          <w:i/>
        </w:rPr>
        <w:t>J</w:t>
      </w:r>
      <w:r w:rsidRPr="00340C88">
        <w:rPr>
          <w:rFonts w:cstheme="minorHAnsi"/>
        </w:rPr>
        <w:t xml:space="preserve"> = 14.0 Hz, 1H, 9-H), 2.27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12.5, 5.2, 2.4 Hz, 1H, 5-H), 2.10 (</w:t>
      </w:r>
      <w:proofErr w:type="spellStart"/>
      <w:r w:rsidRPr="00340C88">
        <w:rPr>
          <w:rFonts w:cstheme="minorHAnsi"/>
        </w:rPr>
        <w:t>ddd</w:t>
      </w:r>
      <w:proofErr w:type="spellEnd"/>
      <w:r w:rsidRPr="00340C88">
        <w:rPr>
          <w:rFonts w:cstheme="minorHAnsi"/>
        </w:rPr>
        <w:t xml:space="preserve">, </w:t>
      </w:r>
      <w:r w:rsidRPr="00340C88">
        <w:rPr>
          <w:rFonts w:cstheme="minorHAnsi"/>
          <w:i/>
        </w:rPr>
        <w:t>J</w:t>
      </w:r>
      <w:r w:rsidRPr="00340C88">
        <w:rPr>
          <w:rFonts w:cstheme="minorHAnsi"/>
        </w:rPr>
        <w:t xml:space="preserve"> = 12.4, 8.7, 3.2 Hz, 1H, 1-H), 1.93–1.82 (m, 1H, 2-H), 1.70–1.60 (m, 1H, 1-H), 1.53 (d, </w:t>
      </w:r>
      <w:r w:rsidRPr="00340C88">
        <w:rPr>
          <w:rFonts w:cstheme="minorHAnsi"/>
          <w:i/>
        </w:rPr>
        <w:t>J</w:t>
      </w:r>
      <w:r w:rsidRPr="00340C88">
        <w:rPr>
          <w:rFonts w:cstheme="minorHAnsi"/>
        </w:rPr>
        <w:t xml:space="preserve"> = 12.5 Hz, 1H, 5-H), 1.53–1.47 (m, 1H, 2-H);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δ = 180.5 (8), 168.6 (10), 137.8 (</w:t>
      </w:r>
      <w:proofErr w:type="spellStart"/>
      <w:r w:rsidRPr="00340C88">
        <w:rPr>
          <w:rFonts w:cstheme="minorHAnsi"/>
        </w:rPr>
        <w:t>ArC</w:t>
      </w:r>
      <w:proofErr w:type="spellEnd"/>
      <w:r w:rsidRPr="00340C88">
        <w:rPr>
          <w:rFonts w:cstheme="minorHAnsi"/>
        </w:rPr>
        <w:t>), 128.7 (</w:t>
      </w:r>
      <w:proofErr w:type="spellStart"/>
      <w:r w:rsidRPr="00340C88">
        <w:rPr>
          <w:rFonts w:cstheme="minorHAnsi"/>
        </w:rPr>
        <w:t>ArCH</w:t>
      </w:r>
      <w:proofErr w:type="spellEnd"/>
      <w:r w:rsidRPr="00340C88">
        <w:rPr>
          <w:rFonts w:cstheme="minorHAnsi"/>
        </w:rPr>
        <w:t>), 127.8 (</w:t>
      </w:r>
      <w:proofErr w:type="spellStart"/>
      <w:r w:rsidRPr="00340C88">
        <w:rPr>
          <w:rFonts w:cstheme="minorHAnsi"/>
        </w:rPr>
        <w:t>ArCH</w:t>
      </w:r>
      <w:proofErr w:type="spellEnd"/>
      <w:r w:rsidRPr="00340C88">
        <w:rPr>
          <w:rFonts w:cstheme="minorHAnsi"/>
        </w:rPr>
        <w:t>), 127.6 (</w:t>
      </w:r>
      <w:proofErr w:type="spellStart"/>
      <w:r w:rsidRPr="00340C88">
        <w:rPr>
          <w:rFonts w:cstheme="minorHAnsi"/>
        </w:rPr>
        <w:t>ArCH</w:t>
      </w:r>
      <w:proofErr w:type="spellEnd"/>
      <w:r w:rsidRPr="00340C88">
        <w:rPr>
          <w:rFonts w:cstheme="minorHAnsi"/>
        </w:rPr>
        <w:t xml:space="preserve">), 92.2 (3), 76.2 (6), 69.6 (7), 54.0 (4), 44.6 (5), 43.8 (11), 41.1 (9), 29.0 (2), 24.5 (1);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17</w:t>
      </w:r>
      <w:r w:rsidRPr="00340C88">
        <w:rPr>
          <w:rFonts w:cstheme="minorHAnsi"/>
          <w:vertAlign w:val="subscript"/>
        </w:rPr>
        <w:softHyphen/>
      </w:r>
      <w:r w:rsidRPr="00340C88">
        <w:rPr>
          <w:rFonts w:cstheme="minorHAnsi"/>
        </w:rPr>
        <w:t>H</w:t>
      </w:r>
      <w:r w:rsidRPr="00340C88">
        <w:rPr>
          <w:rFonts w:cstheme="minorHAnsi"/>
          <w:vertAlign w:val="subscript"/>
        </w:rPr>
        <w:t>20</w:t>
      </w:r>
      <w:r w:rsidRPr="00340C88">
        <w:rPr>
          <w:rFonts w:cstheme="minorHAnsi"/>
          <w:vertAlign w:val="subscript"/>
        </w:rPr>
        <w:softHyphen/>
      </w:r>
      <w:r w:rsidRPr="00340C88">
        <w:rPr>
          <w:rFonts w:cstheme="minorHAnsi"/>
        </w:rPr>
        <w:t>NO</w:t>
      </w:r>
      <w:r w:rsidRPr="00340C88">
        <w:rPr>
          <w:rFonts w:cstheme="minorHAnsi"/>
          <w:vertAlign w:val="subscript"/>
        </w:rPr>
        <w:t>4</w:t>
      </w:r>
      <w:r w:rsidRPr="00340C88">
        <w:rPr>
          <w:rFonts w:cstheme="minorHAnsi"/>
        </w:rPr>
        <w:t xml:space="preserve"> 302.1399 (M+H)</w:t>
      </w:r>
      <w:r w:rsidRPr="00340C88">
        <w:rPr>
          <w:rFonts w:cstheme="minorHAnsi"/>
          <w:vertAlign w:val="superscript"/>
        </w:rPr>
        <w:t>+</w:t>
      </w:r>
      <w:r w:rsidRPr="00340C88">
        <w:rPr>
          <w:rFonts w:cstheme="minorHAnsi"/>
        </w:rPr>
        <w:t>, found 302.1392, 2.3 ppm error.</w:t>
      </w:r>
    </w:p>
    <w:p w:rsidR="00D27CC8" w:rsidRPr="00340C88" w:rsidRDefault="00D27CC8" w:rsidP="00D27CC8">
      <w:pPr>
        <w:pStyle w:val="ElsParagraph"/>
        <w:rPr>
          <w:rFonts w:cstheme="minorHAnsi"/>
        </w:rPr>
      </w:pPr>
      <w:bookmarkStart w:id="19" w:name="_Toc34234615"/>
      <w:r w:rsidRPr="00340C88">
        <w:rPr>
          <w:b/>
          <w:i/>
        </w:rPr>
        <w:t>N</w:t>
      </w:r>
      <w:r w:rsidRPr="00340C88">
        <w:rPr>
          <w:b/>
        </w:rPr>
        <w:t>-(4-Methoxybenzyl)-2-[(1</w:t>
      </w:r>
      <w:r w:rsidRPr="00340C88">
        <w:rPr>
          <w:b/>
          <w:i/>
        </w:rPr>
        <w:t>S</w:t>
      </w:r>
      <w:r w:rsidRPr="00340C88">
        <w:rPr>
          <w:b/>
        </w:rPr>
        <w:t>*</w:t>
      </w:r>
      <w:proofErr w:type="gramStart"/>
      <w:r w:rsidRPr="00340C88">
        <w:rPr>
          <w:b/>
        </w:rPr>
        <w:t>,5</w:t>
      </w:r>
      <w:r w:rsidRPr="00340C88">
        <w:rPr>
          <w:b/>
          <w:i/>
        </w:rPr>
        <w:t>S</w:t>
      </w:r>
      <w:proofErr w:type="gramEnd"/>
      <w:r w:rsidRPr="00340C88">
        <w:rPr>
          <w:b/>
        </w:rPr>
        <w:t>*,7</w:t>
      </w:r>
      <w:r w:rsidRPr="00340C88">
        <w:rPr>
          <w:b/>
          <w:i/>
        </w:rPr>
        <w:t>R</w:t>
      </w:r>
      <w:r w:rsidRPr="00340C88">
        <w:rPr>
          <w:b/>
        </w:rPr>
        <w:t>*)-4-oxo-3,10-dioxatricyclo[5.2.1.0</w:t>
      </w:r>
      <w:r w:rsidRPr="00340C88">
        <w:rPr>
          <w:b/>
          <w:vertAlign w:val="superscript"/>
        </w:rPr>
        <w:t>1,5</w:t>
      </w:r>
      <w:r w:rsidRPr="00340C88">
        <w:rPr>
          <w:b/>
        </w:rPr>
        <w:t>]decan-5-yl]acetamide</w:t>
      </w:r>
      <w:r w:rsidR="00C4080D" w:rsidRPr="00340C88">
        <w:t xml:space="preserve"> </w:t>
      </w:r>
      <w:r w:rsidRPr="00340C88">
        <w:t>(</w:t>
      </w:r>
      <w:r w:rsidRPr="00340C88">
        <w:rPr>
          <w:b/>
        </w:rPr>
        <w:t>19e</w:t>
      </w:r>
      <w:r w:rsidRPr="00340C88">
        <w:t>)</w:t>
      </w:r>
      <w:bookmarkEnd w:id="19"/>
      <w:r w:rsidR="00C4080D" w:rsidRPr="00340C88">
        <w:t xml:space="preserve">: </w:t>
      </w:r>
      <w:r w:rsidRPr="00340C88">
        <w:t xml:space="preserve">Hydrogenated acid </w:t>
      </w:r>
      <w:r w:rsidRPr="00340C88">
        <w:rPr>
          <w:b/>
        </w:rPr>
        <w:t>18</w:t>
      </w:r>
      <w:r w:rsidRPr="00340C88">
        <w:t xml:space="preserve"> (0.5</w:t>
      </w:r>
      <w:r w:rsidR="00C4080D" w:rsidRPr="00340C88">
        <w:t>0 g, 2.4</w:t>
      </w:r>
      <w:r w:rsidRPr="00340C88">
        <w:t xml:space="preserve"> </w:t>
      </w:r>
      <w:proofErr w:type="spellStart"/>
      <w:r w:rsidRPr="00340C88">
        <w:t>mmol</w:t>
      </w:r>
      <w:proofErr w:type="spellEnd"/>
      <w:r w:rsidRPr="00340C88">
        <w:t>, 1.0 eq.)</w:t>
      </w:r>
      <w:r w:rsidR="00C4080D" w:rsidRPr="00340C88">
        <w:t xml:space="preserve"> and 4-methoxybenzylamine (0.31 mL, 2.4</w:t>
      </w:r>
      <w:r w:rsidRPr="00340C88">
        <w:t xml:space="preserve"> </w:t>
      </w:r>
      <w:proofErr w:type="spellStart"/>
      <w:r w:rsidRPr="00340C88">
        <w:t>mmol</w:t>
      </w:r>
      <w:proofErr w:type="spellEnd"/>
      <w:r w:rsidRPr="00340C88">
        <w:t xml:space="preserve">, 1.0 eq.) were coupled according to the general procedure for the synthesis of hydrogenated secondary amides. The crude material was then purified by flash column chromatography (80:20, </w:t>
      </w:r>
      <w:proofErr w:type="spellStart"/>
      <w:r w:rsidRPr="00340C88">
        <w:t>EtOAc</w:t>
      </w:r>
      <w:proofErr w:type="gramStart"/>
      <w:r w:rsidRPr="00340C88">
        <w:t>:PE</w:t>
      </w:r>
      <w:proofErr w:type="spellEnd"/>
      <w:proofErr w:type="gramEnd"/>
      <w:r w:rsidRPr="00340C88">
        <w:t xml:space="preserve">) to give the target compound </w:t>
      </w:r>
      <w:r w:rsidRPr="00340C88">
        <w:rPr>
          <w:b/>
        </w:rPr>
        <w:t>19e</w:t>
      </w:r>
      <w:r w:rsidRPr="00340C88">
        <w:t xml:space="preserve"> as a white powder (0.45 g, 58%). </w:t>
      </w:r>
      <w:r w:rsidRPr="00340C88">
        <w:rPr>
          <w:i/>
        </w:rPr>
        <w:t>R</w:t>
      </w:r>
      <w:r w:rsidRPr="00340C88">
        <w:rPr>
          <w:vertAlign w:val="subscript"/>
        </w:rPr>
        <w:t>F</w:t>
      </w:r>
      <w:r w:rsidRPr="00340C88">
        <w:t xml:space="preserve"> </w:t>
      </w:r>
      <w:r w:rsidRPr="00340C88">
        <w:lastRenderedPageBreak/>
        <w:t xml:space="preserve">= 0.29 (80:20, </w:t>
      </w:r>
      <w:proofErr w:type="spellStart"/>
      <w:r w:rsidRPr="00340C88">
        <w:t>EtOAc:PE</w:t>
      </w:r>
      <w:proofErr w:type="spellEnd"/>
      <w:r w:rsidRPr="00340C88">
        <w:t xml:space="preserve">); </w:t>
      </w:r>
      <w:proofErr w:type="spellStart"/>
      <w:r w:rsidRPr="00340C88">
        <w:t>m.p</w:t>
      </w:r>
      <w:proofErr w:type="spellEnd"/>
      <w:r w:rsidRPr="00340C88">
        <w:t xml:space="preserve">. 160.7–161.4 °C; IR (Neat) </w:t>
      </w:r>
      <w:proofErr w:type="spellStart"/>
      <w:r w:rsidRPr="00340C88">
        <w:t>υ</w:t>
      </w:r>
      <w:r w:rsidRPr="00340C88">
        <w:rPr>
          <w:vertAlign w:val="subscript"/>
        </w:rPr>
        <w:t>max</w:t>
      </w:r>
      <w:proofErr w:type="spellEnd"/>
      <w:r w:rsidRPr="00340C88">
        <w:t xml:space="preserve"> 3259 (w), 2954 (w), 1762 (s), 1635 (m), 1568 (m) and 1508 (m) cm</w:t>
      </w:r>
      <w:r w:rsidRPr="00340C88">
        <w:rPr>
          <w:vertAlign w:val="superscript"/>
        </w:rPr>
        <w:t>-1</w:t>
      </w:r>
      <w:r w:rsidRPr="00340C88">
        <w:t xml:space="preserve">; </w:t>
      </w:r>
      <w:r w:rsidRPr="00340C88">
        <w:rPr>
          <w:rFonts w:cstheme="minorHAnsi"/>
          <w:vertAlign w:val="superscript"/>
        </w:rPr>
        <w:t>1</w:t>
      </w:r>
      <w:r w:rsidRPr="00340C88">
        <w:rPr>
          <w:rFonts w:cstheme="minorHAnsi"/>
        </w:rPr>
        <w:t>H NMR (400 MHz, CDCl</w:t>
      </w:r>
      <w:r w:rsidRPr="00340C88">
        <w:rPr>
          <w:rFonts w:cstheme="minorHAnsi"/>
          <w:vertAlign w:val="subscript"/>
        </w:rPr>
        <w:t>3</w:t>
      </w:r>
      <w:r w:rsidRPr="00340C88">
        <w:rPr>
          <w:rFonts w:cstheme="minorHAnsi"/>
        </w:rPr>
        <w:t xml:space="preserve">): δ = 8.49 (t, </w:t>
      </w:r>
      <w:r w:rsidRPr="00340C88">
        <w:rPr>
          <w:rFonts w:cstheme="minorHAnsi"/>
          <w:i/>
        </w:rPr>
        <w:t>J</w:t>
      </w:r>
      <w:r w:rsidRPr="00340C88">
        <w:rPr>
          <w:rFonts w:cstheme="minorHAnsi"/>
        </w:rPr>
        <w:t xml:space="preserve"> = 5.7 Hz, 1H, N-H), 7.21–7.14 (m, 2H, </w:t>
      </w:r>
      <w:proofErr w:type="spellStart"/>
      <w:r w:rsidRPr="00340C88">
        <w:rPr>
          <w:rFonts w:cstheme="minorHAnsi"/>
        </w:rPr>
        <w:t>ArH</w:t>
      </w:r>
      <w:proofErr w:type="spellEnd"/>
      <w:r w:rsidRPr="00340C88">
        <w:rPr>
          <w:rFonts w:cstheme="minorHAnsi"/>
        </w:rPr>
        <w:t xml:space="preserve">), 6.91–6.84 (m, 2H, </w:t>
      </w:r>
      <w:proofErr w:type="spellStart"/>
      <w:r w:rsidRPr="00340C88">
        <w:rPr>
          <w:rFonts w:cstheme="minorHAnsi"/>
        </w:rPr>
        <w:t>ArH</w:t>
      </w:r>
      <w:proofErr w:type="spellEnd"/>
      <w:r w:rsidRPr="00340C88">
        <w:rPr>
          <w:rFonts w:cstheme="minorHAnsi"/>
        </w:rPr>
        <w:t xml:space="preserve">), 4.48 (t, </w:t>
      </w:r>
      <w:r w:rsidRPr="00340C88">
        <w:rPr>
          <w:rFonts w:cstheme="minorHAnsi"/>
          <w:i/>
        </w:rPr>
        <w:t>J</w:t>
      </w:r>
      <w:r w:rsidRPr="00340C88">
        <w:rPr>
          <w:rFonts w:cstheme="minorHAnsi"/>
        </w:rPr>
        <w:t xml:space="preserve"> = 5.4 Hz, 1H, 6-H), 4.37 (d, </w:t>
      </w:r>
      <w:r w:rsidRPr="00340C88">
        <w:rPr>
          <w:rFonts w:cstheme="minorHAnsi"/>
          <w:i/>
        </w:rPr>
        <w:t>J</w:t>
      </w:r>
      <w:r w:rsidRPr="00340C88">
        <w:rPr>
          <w:rFonts w:cstheme="minorHAnsi"/>
        </w:rPr>
        <w:t xml:space="preserve"> = 10.4 Hz, 1H, 7-H), 4.33 (d, </w:t>
      </w:r>
      <w:r w:rsidRPr="00340C88">
        <w:rPr>
          <w:rFonts w:cstheme="minorHAnsi"/>
          <w:i/>
        </w:rPr>
        <w:t>J</w:t>
      </w:r>
      <w:r w:rsidRPr="00340C88">
        <w:rPr>
          <w:rFonts w:cstheme="minorHAnsi"/>
        </w:rPr>
        <w:t xml:space="preserve"> = 10.4 Hz, 1H, 7-H), 4.22–4.12 (m, 2H, 11-H), 3.73 (s, 3H, 12-H), 2.66 (d, </w:t>
      </w:r>
      <w:r w:rsidRPr="00340C88">
        <w:rPr>
          <w:rFonts w:cstheme="minorHAnsi"/>
          <w:i/>
        </w:rPr>
        <w:t>J</w:t>
      </w:r>
      <w:r w:rsidRPr="00340C88">
        <w:rPr>
          <w:rFonts w:cstheme="minorHAnsi"/>
        </w:rPr>
        <w:t xml:space="preserve"> = 14.4 Hz, 1H, 9-H), 2.46 (d, </w:t>
      </w:r>
      <w:r w:rsidRPr="00340C88">
        <w:rPr>
          <w:rFonts w:cstheme="minorHAnsi"/>
          <w:i/>
        </w:rPr>
        <w:t>J</w:t>
      </w:r>
      <w:r w:rsidRPr="00340C88">
        <w:rPr>
          <w:rFonts w:cstheme="minorHAnsi"/>
        </w:rPr>
        <w:t xml:space="preserve"> = 14.4 Hz, 1H, 9-H), 2.10–2.03 (m, 1H, 5-H), 2.02–1.94 (m, 1H, 1-H), 1.85–1.76 (m, 1H, 2-H), 1.72 (d, </w:t>
      </w:r>
      <w:r w:rsidRPr="00340C88">
        <w:rPr>
          <w:rFonts w:cstheme="minorHAnsi"/>
          <w:i/>
        </w:rPr>
        <w:t>J</w:t>
      </w:r>
      <w:r w:rsidRPr="00340C88">
        <w:rPr>
          <w:rFonts w:cstheme="minorHAnsi"/>
        </w:rPr>
        <w:t xml:space="preserve"> = 12.1 Hz, 1H, 5-H), 1.64–1.54 (m, 2H, 1-H/2-H); </w:t>
      </w:r>
      <w:r w:rsidRPr="00340C88">
        <w:rPr>
          <w:rFonts w:cstheme="minorHAnsi"/>
          <w:vertAlign w:val="superscript"/>
        </w:rPr>
        <w:t>13</w:t>
      </w:r>
      <w:r w:rsidRPr="00340C88">
        <w:rPr>
          <w:rFonts w:cstheme="minorHAnsi"/>
        </w:rPr>
        <w:t>C NMR (100 MHz, CDCl</w:t>
      </w:r>
      <w:r w:rsidRPr="00340C88">
        <w:rPr>
          <w:rFonts w:cstheme="minorHAnsi"/>
          <w:vertAlign w:val="subscript"/>
        </w:rPr>
        <w:t>3</w:t>
      </w:r>
      <w:r w:rsidRPr="00340C88">
        <w:rPr>
          <w:rFonts w:cstheme="minorHAnsi"/>
        </w:rPr>
        <w:t>): δ = 179.4 (8), 168.4 (10), 158.3 (</w:t>
      </w:r>
      <w:proofErr w:type="spellStart"/>
      <w:r w:rsidRPr="00340C88">
        <w:rPr>
          <w:rFonts w:cstheme="minorHAnsi"/>
        </w:rPr>
        <w:t>ArC</w:t>
      </w:r>
      <w:proofErr w:type="spellEnd"/>
      <w:r w:rsidRPr="00340C88">
        <w:rPr>
          <w:rFonts w:cstheme="minorHAnsi"/>
        </w:rPr>
        <w:t>), 131.0 (</w:t>
      </w:r>
      <w:proofErr w:type="spellStart"/>
      <w:r w:rsidRPr="00340C88">
        <w:rPr>
          <w:rFonts w:cstheme="minorHAnsi"/>
        </w:rPr>
        <w:t>ArC</w:t>
      </w:r>
      <w:proofErr w:type="spellEnd"/>
      <w:r w:rsidRPr="00340C88">
        <w:rPr>
          <w:rFonts w:cstheme="minorHAnsi"/>
        </w:rPr>
        <w:t>), 128.7 (</w:t>
      </w:r>
      <w:proofErr w:type="spellStart"/>
      <w:r w:rsidRPr="00340C88">
        <w:rPr>
          <w:rFonts w:cstheme="minorHAnsi"/>
        </w:rPr>
        <w:t>ArCH</w:t>
      </w:r>
      <w:proofErr w:type="spellEnd"/>
      <w:r w:rsidRPr="00340C88">
        <w:rPr>
          <w:rFonts w:cstheme="minorHAnsi"/>
        </w:rPr>
        <w:t>), 113.7 (</w:t>
      </w:r>
      <w:proofErr w:type="spellStart"/>
      <w:r w:rsidRPr="00340C88">
        <w:rPr>
          <w:rFonts w:cstheme="minorHAnsi"/>
        </w:rPr>
        <w:t>ArCH</w:t>
      </w:r>
      <w:proofErr w:type="spellEnd"/>
      <w:r w:rsidRPr="00340C88">
        <w:rPr>
          <w:rFonts w:cstheme="minorHAnsi"/>
        </w:rPr>
        <w:t xml:space="preserve">), 91.8 (3), 75.5 (6), 68.5 (7), 55.1 (12), 53.2 (4), 44.4 (5), 41.7 (11), 39.9 (9), 28.5 (2), 24.2 (1); HRMS (ESI) </w:t>
      </w:r>
      <w:r w:rsidRPr="00340C88">
        <w:rPr>
          <w:rFonts w:cstheme="minorHAnsi"/>
          <w:i/>
        </w:rPr>
        <w:t>m</w:t>
      </w:r>
      <w:r w:rsidRPr="00340C88">
        <w:rPr>
          <w:rFonts w:cstheme="minorHAnsi"/>
        </w:rPr>
        <w:t>/</w:t>
      </w:r>
      <w:r w:rsidRPr="00340C88">
        <w:rPr>
          <w:rFonts w:cstheme="minorHAnsi"/>
          <w:i/>
        </w:rPr>
        <w:t>z</w:t>
      </w:r>
      <w:r w:rsidRPr="00340C88">
        <w:rPr>
          <w:rFonts w:cstheme="minorHAnsi"/>
        </w:rPr>
        <w:t xml:space="preserve"> calculated for C</w:t>
      </w:r>
      <w:r w:rsidRPr="00340C88">
        <w:rPr>
          <w:rFonts w:cstheme="minorHAnsi"/>
          <w:vertAlign w:val="subscript"/>
        </w:rPr>
        <w:t>18</w:t>
      </w:r>
      <w:r w:rsidRPr="00340C88">
        <w:rPr>
          <w:rFonts w:cstheme="minorHAnsi"/>
          <w:vertAlign w:val="subscript"/>
        </w:rPr>
        <w:softHyphen/>
      </w:r>
      <w:r w:rsidRPr="00340C88">
        <w:rPr>
          <w:rFonts w:cstheme="minorHAnsi"/>
        </w:rPr>
        <w:t>H</w:t>
      </w:r>
      <w:r w:rsidRPr="00340C88">
        <w:rPr>
          <w:rFonts w:cstheme="minorHAnsi"/>
          <w:vertAlign w:val="subscript"/>
        </w:rPr>
        <w:t>22</w:t>
      </w:r>
      <w:r w:rsidRPr="00340C88">
        <w:rPr>
          <w:rFonts w:cstheme="minorHAnsi"/>
          <w:vertAlign w:val="subscript"/>
        </w:rPr>
        <w:softHyphen/>
      </w:r>
      <w:r w:rsidRPr="00340C88">
        <w:rPr>
          <w:rFonts w:cstheme="minorHAnsi"/>
        </w:rPr>
        <w:t>NO</w:t>
      </w:r>
      <w:r w:rsidRPr="00340C88">
        <w:rPr>
          <w:rFonts w:cstheme="minorHAnsi"/>
          <w:vertAlign w:val="subscript"/>
        </w:rPr>
        <w:t>5</w:t>
      </w:r>
      <w:r w:rsidRPr="00340C88">
        <w:rPr>
          <w:rFonts w:cstheme="minorHAnsi"/>
        </w:rPr>
        <w:t xml:space="preserve"> 332.1498 (M+H)</w:t>
      </w:r>
      <w:r w:rsidRPr="00340C88">
        <w:rPr>
          <w:rFonts w:cstheme="minorHAnsi"/>
          <w:vertAlign w:val="superscript"/>
        </w:rPr>
        <w:t>+</w:t>
      </w:r>
      <w:r w:rsidRPr="00340C88">
        <w:rPr>
          <w:rFonts w:cstheme="minorHAnsi"/>
        </w:rPr>
        <w:t>, found 332.1498, 2.7 ppm error.</w:t>
      </w:r>
    </w:p>
    <w:p w:rsidR="00D27CC8" w:rsidRPr="00340C88" w:rsidRDefault="00D27CC8" w:rsidP="00D27CC8">
      <w:pPr>
        <w:pStyle w:val="ElsHeading2"/>
      </w:pPr>
      <w:bookmarkStart w:id="20" w:name="_Toc36047375"/>
      <w:bookmarkStart w:id="21" w:name="_Toc36650530"/>
      <w:bookmarkStart w:id="22" w:name="_Toc36712734"/>
      <w:r w:rsidRPr="00340C88">
        <w:t>Cell culture</w:t>
      </w:r>
      <w:bookmarkEnd w:id="20"/>
      <w:r w:rsidRPr="00340C88">
        <w:t xml:space="preserve"> and stock solutions</w:t>
      </w:r>
      <w:bookmarkEnd w:id="21"/>
      <w:bookmarkEnd w:id="22"/>
    </w:p>
    <w:p w:rsidR="00D27CC8" w:rsidRDefault="00D27CC8" w:rsidP="00D27CC8">
      <w:pPr>
        <w:pStyle w:val="ElsParagraph"/>
      </w:pPr>
      <w:r w:rsidRPr="00340C88">
        <w:t>A549 human lung carcinoma cells were obtained from the American Type Culture Collection</w:t>
      </w:r>
      <w:bookmarkStart w:id="23" w:name="_GoBack"/>
      <w:bookmarkEnd w:id="23"/>
      <w:r w:rsidRPr="00181645">
        <w:t xml:space="preserve"> (ATCC; Middlesex UK) and used in a passage window of 25. </w:t>
      </w:r>
      <w:r>
        <w:t xml:space="preserve">HCT 116 </w:t>
      </w:r>
      <w:r w:rsidRPr="00F4581E">
        <w:t>colorectal carcinoma</w:t>
      </w:r>
      <w:r>
        <w:t xml:space="preserve"> cells, OVCAR-3 human ovarian adenocarcinoma cells, MDA-MB-231 human breast adenocarcinoma cells, MCF7 human breast adenocarcinoma cells and PC-3 human prostate adenocarcinoma cells were obtained from </w:t>
      </w:r>
      <w:r w:rsidRPr="00F4581E">
        <w:t>AMS Biotechnology (Europe) Limited</w:t>
      </w:r>
      <w:r>
        <w:t xml:space="preserve"> (Abingdon, UK) and used in a passage window of 10. </w:t>
      </w:r>
      <w:r w:rsidRPr="00181645">
        <w:t>Cells were cultured in F-12K Medium</w:t>
      </w:r>
      <w:r>
        <w:t xml:space="preserve"> (A549, PC-3), </w:t>
      </w:r>
      <w:r w:rsidRPr="00CD336D">
        <w:t>McCoy's 5A Medium</w:t>
      </w:r>
      <w:r>
        <w:t xml:space="preserve"> (HCT 116), </w:t>
      </w:r>
      <w:r w:rsidRPr="00CD336D">
        <w:t>RPMI-1640</w:t>
      </w:r>
      <w:r>
        <w:t xml:space="preserve"> Medium (MDA-MB-231, OVCAR-3) or Minimum Essential Medium (MCF7) </w:t>
      </w:r>
      <w:r w:rsidRPr="00181645">
        <w:t>(Sigm</w:t>
      </w:r>
      <w:r>
        <w:t>a-Aldrich) supplemented with 10</w:t>
      </w:r>
      <w:r w:rsidRPr="00181645">
        <w:t>% (</w:t>
      </w:r>
      <w:r w:rsidRPr="00C336DF">
        <w:rPr>
          <w:i/>
        </w:rPr>
        <w:t>v</w:t>
      </w:r>
      <w:r w:rsidRPr="00181645">
        <w:t>/</w:t>
      </w:r>
      <w:r w:rsidRPr="00C336DF">
        <w:rPr>
          <w:i/>
        </w:rPr>
        <w:t>v</w:t>
      </w:r>
      <w:r w:rsidRPr="00181645">
        <w:t>) FBS (Sig</w:t>
      </w:r>
      <w:r>
        <w:t>ma-Aldrich) and at 37 °C with 5</w:t>
      </w:r>
      <w:r w:rsidRPr="00181645">
        <w:t>% CO</w:t>
      </w:r>
      <w:r w:rsidRPr="00181645">
        <w:rPr>
          <w:vertAlign w:val="subscript"/>
        </w:rPr>
        <w:t>2</w:t>
      </w:r>
      <w:r w:rsidRPr="00181645">
        <w:t>.</w:t>
      </w:r>
      <w:r>
        <w:t xml:space="preserve"> </w:t>
      </w:r>
      <w:r w:rsidRPr="00385C9C">
        <w:t xml:space="preserve">Stock solutions </w:t>
      </w:r>
      <w:r>
        <w:t xml:space="preserve">of compounds </w:t>
      </w:r>
      <w:r w:rsidRPr="00385C9C">
        <w:t xml:space="preserve">were prepared as 40 </w:t>
      </w:r>
      <w:proofErr w:type="spellStart"/>
      <w:r w:rsidRPr="00385C9C">
        <w:t>mM</w:t>
      </w:r>
      <w:proofErr w:type="spellEnd"/>
      <w:r w:rsidRPr="00385C9C">
        <w:t xml:space="preserve"> solutions in DMSO and stored at </w:t>
      </w:r>
      <w:r>
        <w:t>4</w:t>
      </w:r>
      <w:r w:rsidRPr="00385C9C">
        <w:t xml:space="preserve"> °C</w:t>
      </w:r>
      <w:r>
        <w:t>.</w:t>
      </w:r>
    </w:p>
    <w:p w:rsidR="00E324AF" w:rsidRPr="000B4E0E" w:rsidRDefault="00E324AF" w:rsidP="00E324AF">
      <w:pPr>
        <w:pStyle w:val="ElsHeading2"/>
      </w:pPr>
      <w:bookmarkStart w:id="24" w:name="_Toc36047376"/>
      <w:bookmarkStart w:id="25" w:name="_Toc36650531"/>
      <w:bookmarkStart w:id="26" w:name="_Toc36712735"/>
      <w:proofErr w:type="spellStart"/>
      <w:r w:rsidRPr="000B4E0E">
        <w:t>Cytocompatibility</w:t>
      </w:r>
      <w:proofErr w:type="spellEnd"/>
      <w:r w:rsidRPr="000B4E0E">
        <w:t xml:space="preserve"> evaluation in cancer cell panel</w:t>
      </w:r>
      <w:bookmarkEnd w:id="24"/>
      <w:bookmarkEnd w:id="25"/>
      <w:bookmarkEnd w:id="26"/>
    </w:p>
    <w:p w:rsidR="006B2A72" w:rsidRDefault="006B2A72" w:rsidP="006B2A72">
      <w:pPr>
        <w:pStyle w:val="ElsParagraph"/>
      </w:pPr>
      <w:r w:rsidRPr="00181645">
        <w:t xml:space="preserve">The cytotoxicity of the </w:t>
      </w:r>
      <w:r>
        <w:t>compounds was</w:t>
      </w:r>
      <w:r w:rsidRPr="00181645">
        <w:t xml:space="preserve"> assessed using </w:t>
      </w:r>
      <w:r>
        <w:t xml:space="preserve">the </w:t>
      </w:r>
      <w:proofErr w:type="spellStart"/>
      <w:r w:rsidRPr="00181645">
        <w:t>PrestoBlue</w:t>
      </w:r>
      <w:proofErr w:type="spellEnd"/>
      <w:r w:rsidRPr="00181645">
        <w:t>™ Cell Viability assay</w:t>
      </w:r>
      <w:r>
        <w:t xml:space="preserve"> at two fixed concentrations of 100 </w:t>
      </w:r>
      <w:r>
        <w:rPr>
          <w:rFonts w:cstheme="minorHAnsi"/>
        </w:rPr>
        <w:t>µ</w:t>
      </w:r>
      <w:r>
        <w:t xml:space="preserve">M and 200 </w:t>
      </w:r>
      <w:r>
        <w:rPr>
          <w:rFonts w:cstheme="minorHAnsi"/>
        </w:rPr>
        <w:t>µ</w:t>
      </w:r>
      <w:r>
        <w:t>M at three time points of 24, 48 and 72 h</w:t>
      </w:r>
      <w:r w:rsidRPr="00181645">
        <w:t xml:space="preserve">. </w:t>
      </w:r>
      <w:r>
        <w:t>C</w:t>
      </w:r>
      <w:r w:rsidRPr="00181645">
        <w:t>ells were seeded into 96 well plate</w:t>
      </w:r>
      <w:r>
        <w:t>s</w:t>
      </w:r>
      <w:r w:rsidRPr="00181645">
        <w:t xml:space="preserve"> at a density of 3 x 10</w:t>
      </w:r>
      <w:r w:rsidRPr="00181645">
        <w:rPr>
          <w:vertAlign w:val="superscript"/>
        </w:rPr>
        <w:t>3</w:t>
      </w:r>
      <w:r w:rsidRPr="00181645">
        <w:t xml:space="preserve"> cells per well and allowed to adhere in growth media overnight at 37 °C and 5% CO</w:t>
      </w:r>
      <w:r w:rsidRPr="00181645">
        <w:rPr>
          <w:vertAlign w:val="subscript"/>
        </w:rPr>
        <w:t>2</w:t>
      </w:r>
      <w:r w:rsidRPr="00181645">
        <w:t xml:space="preserve">. Cell media were discarded and replaced with fresh media (100 </w:t>
      </w:r>
      <w:proofErr w:type="spellStart"/>
      <w:r w:rsidRPr="00181645">
        <w:t>μL</w:t>
      </w:r>
      <w:proofErr w:type="spellEnd"/>
      <w:r w:rsidRPr="00181645">
        <w:t xml:space="preserve">) containing </w:t>
      </w:r>
      <w:r>
        <w:t>the appropriate compound and concentration</w:t>
      </w:r>
      <w:r w:rsidRPr="00181645">
        <w:t>. Triton X-100 applied at 0.5% (</w:t>
      </w:r>
      <w:r w:rsidRPr="007B6E09">
        <w:rPr>
          <w:i/>
        </w:rPr>
        <w:t>v</w:t>
      </w:r>
      <w:r w:rsidRPr="00181645">
        <w:t>/</w:t>
      </w:r>
      <w:r w:rsidRPr="007B6E09">
        <w:rPr>
          <w:i/>
        </w:rPr>
        <w:t>v</w:t>
      </w:r>
      <w:r w:rsidRPr="00181645">
        <w:t xml:space="preserve">) in culture medium was used as a cell death (positive) control and </w:t>
      </w:r>
      <w:r>
        <w:t xml:space="preserve">culture medium containing 0.5% DMSO was </w:t>
      </w:r>
      <w:r w:rsidRPr="00181645">
        <w:t xml:space="preserve">used as a negative control. After </w:t>
      </w:r>
      <w:r>
        <w:t xml:space="preserve">24, </w:t>
      </w:r>
      <w:r w:rsidRPr="00181645">
        <w:t>48</w:t>
      </w:r>
      <w:r>
        <w:t xml:space="preserve"> or 72 </w:t>
      </w:r>
      <w:r w:rsidRPr="00181645">
        <w:t>h</w:t>
      </w:r>
      <w:r>
        <w:t xml:space="preserve"> exposure</w:t>
      </w:r>
      <w:r w:rsidRPr="00181645">
        <w:t xml:space="preserve">, </w:t>
      </w:r>
      <w:r>
        <w:t>t</w:t>
      </w:r>
      <w:r w:rsidRPr="00181645">
        <w:t>he medium was removed and replaced with 10</w:t>
      </w:r>
      <w:r>
        <w:t>0 µL fresh medium containing 10</w:t>
      </w:r>
      <w:r w:rsidRPr="00181645">
        <w:t>% (</w:t>
      </w:r>
      <w:r w:rsidRPr="007B6E09">
        <w:rPr>
          <w:i/>
        </w:rPr>
        <w:t>v</w:t>
      </w:r>
      <w:r w:rsidRPr="00181645">
        <w:t>/</w:t>
      </w:r>
      <w:r w:rsidRPr="007B6E09">
        <w:rPr>
          <w:i/>
        </w:rPr>
        <w:t>v</w:t>
      </w:r>
      <w:r w:rsidRPr="00181645">
        <w:t xml:space="preserve">) </w:t>
      </w:r>
      <w:proofErr w:type="spellStart"/>
      <w:r w:rsidRPr="00181645">
        <w:t>PrestoBlue</w:t>
      </w:r>
      <w:proofErr w:type="spellEnd"/>
      <w:r w:rsidRPr="00181645">
        <w:t xml:space="preserve"> reagent for 60 minutes. Cell viability was then assessed by measuring resultant fluorescence readings at 544/620 nm (</w:t>
      </w:r>
      <w:proofErr w:type="spellStart"/>
      <w:r w:rsidRPr="00181645">
        <w:t>λ</w:t>
      </w:r>
      <w:r w:rsidRPr="00181645">
        <w:rPr>
          <w:vertAlign w:val="subscript"/>
        </w:rPr>
        <w:t>ex</w:t>
      </w:r>
      <w:proofErr w:type="spellEnd"/>
      <w:r w:rsidRPr="00181645">
        <w:t>/</w:t>
      </w:r>
      <w:proofErr w:type="spellStart"/>
      <w:r w:rsidRPr="00181645">
        <w:t>λ</w:t>
      </w:r>
      <w:r w:rsidRPr="00181645">
        <w:rPr>
          <w:vertAlign w:val="subscript"/>
        </w:rPr>
        <w:t>em</w:t>
      </w:r>
      <w:proofErr w:type="spellEnd"/>
      <w:r w:rsidRPr="00181645">
        <w:t xml:space="preserve">). Relative metabolic activity was calculated by setting values from the negative control as 100% and positive control values as 0% metabolic activity. </w:t>
      </w:r>
    </w:p>
    <w:p w:rsidR="006B2A72" w:rsidRDefault="006B2A72" w:rsidP="006B2A72">
      <w:pPr>
        <w:pStyle w:val="ElsParagraph"/>
      </w:pPr>
      <w:r>
        <w:t xml:space="preserve">Compound </w:t>
      </w:r>
      <w:r w:rsidRPr="003F7F55">
        <w:rPr>
          <w:b/>
        </w:rPr>
        <w:t>21c</w:t>
      </w:r>
      <w:r>
        <w:t xml:space="preserve"> underwent further </w:t>
      </w:r>
      <w:r w:rsidRPr="00384A5B">
        <w:t>dose</w:t>
      </w:r>
      <w:r>
        <w:t>-</w:t>
      </w:r>
      <w:r w:rsidRPr="00384A5B">
        <w:t xml:space="preserve">response analysis </w:t>
      </w:r>
      <w:r>
        <w:t>in all cell lines to</w:t>
      </w:r>
      <w:r w:rsidRPr="00384A5B">
        <w:t xml:space="preserve"> calcula</w:t>
      </w:r>
      <w:r>
        <w:t>te the EC</w:t>
      </w:r>
      <w:r w:rsidRPr="00384A5B">
        <w:rPr>
          <w:vertAlign w:val="subscript"/>
        </w:rPr>
        <w:t>50</w:t>
      </w:r>
      <w:r w:rsidRPr="00384A5B">
        <w:t xml:space="preserve"> value.</w:t>
      </w:r>
      <w:r>
        <w:t xml:space="preserve"> C</w:t>
      </w:r>
      <w:r w:rsidRPr="00181645">
        <w:t>ells were seeded into 96 well plate</w:t>
      </w:r>
      <w:r>
        <w:t>s</w:t>
      </w:r>
      <w:r w:rsidRPr="00181645">
        <w:t xml:space="preserve"> at a density of 3 x 10</w:t>
      </w:r>
      <w:r w:rsidRPr="00181645">
        <w:rPr>
          <w:vertAlign w:val="superscript"/>
        </w:rPr>
        <w:t>3</w:t>
      </w:r>
      <w:r w:rsidRPr="00181645">
        <w:t xml:space="preserve"> cells per well and allowed to adhere in growth media overnight at 37 °C and 5% CO</w:t>
      </w:r>
      <w:r w:rsidRPr="00181645">
        <w:rPr>
          <w:vertAlign w:val="subscript"/>
        </w:rPr>
        <w:t>2</w:t>
      </w:r>
      <w:r w:rsidRPr="00181645">
        <w:t xml:space="preserve">. Cell media were discarded and replaced with fresh media (100 </w:t>
      </w:r>
      <w:proofErr w:type="spellStart"/>
      <w:r w:rsidRPr="00181645">
        <w:t>μL</w:t>
      </w:r>
      <w:proofErr w:type="spellEnd"/>
      <w:r w:rsidRPr="00181645">
        <w:t xml:space="preserve">) containing </w:t>
      </w:r>
      <w:r>
        <w:t xml:space="preserve">17c (5–250 </w:t>
      </w:r>
      <w:r>
        <w:rPr>
          <w:rFonts w:cstheme="minorHAnsi"/>
        </w:rPr>
        <w:t>µ</w:t>
      </w:r>
      <w:r>
        <w:t>M)</w:t>
      </w:r>
      <w:r w:rsidRPr="00181645">
        <w:t>. Triton X-100 applied at 0.5% (</w:t>
      </w:r>
      <w:r w:rsidRPr="007B6E09">
        <w:rPr>
          <w:i/>
        </w:rPr>
        <w:t>v</w:t>
      </w:r>
      <w:r w:rsidRPr="00181645">
        <w:t>/</w:t>
      </w:r>
      <w:r w:rsidRPr="007B6E09">
        <w:rPr>
          <w:i/>
        </w:rPr>
        <w:t>v</w:t>
      </w:r>
      <w:r w:rsidRPr="00181645">
        <w:t xml:space="preserve">) in culture medium was used as a cell death (positive) control and </w:t>
      </w:r>
      <w:r>
        <w:t xml:space="preserve">culture medium containing 0.5% DMSO was </w:t>
      </w:r>
      <w:r w:rsidRPr="00181645">
        <w:t>used as a negative control. After 48</w:t>
      </w:r>
      <w:r>
        <w:t xml:space="preserve"> </w:t>
      </w:r>
      <w:r w:rsidRPr="00181645">
        <w:t>h</w:t>
      </w:r>
      <w:r>
        <w:t xml:space="preserve"> exposure</w:t>
      </w:r>
      <w:r w:rsidRPr="00181645">
        <w:t xml:space="preserve">, </w:t>
      </w:r>
      <w:r>
        <w:t>t</w:t>
      </w:r>
      <w:r w:rsidRPr="00181645">
        <w:t>he medium was removed and replaced with 10</w:t>
      </w:r>
      <w:r>
        <w:t>0 µL fresh medium containing 10</w:t>
      </w:r>
      <w:r w:rsidRPr="00181645">
        <w:t>% (</w:t>
      </w:r>
      <w:r w:rsidRPr="007B6E09">
        <w:rPr>
          <w:i/>
        </w:rPr>
        <w:t>v</w:t>
      </w:r>
      <w:r w:rsidRPr="00181645">
        <w:t>/</w:t>
      </w:r>
      <w:r w:rsidRPr="007B6E09">
        <w:rPr>
          <w:i/>
        </w:rPr>
        <w:t>v</w:t>
      </w:r>
      <w:r w:rsidRPr="00181645">
        <w:t xml:space="preserve">) </w:t>
      </w:r>
      <w:proofErr w:type="spellStart"/>
      <w:r w:rsidRPr="00181645">
        <w:t>PrestoBlue</w:t>
      </w:r>
      <w:proofErr w:type="spellEnd"/>
      <w:r w:rsidRPr="00181645">
        <w:t xml:space="preserve"> reagent for 60 minutes. Cell viability was then assessed by measuring resultant fluorescence readings at 544/620 nm (</w:t>
      </w:r>
      <w:proofErr w:type="spellStart"/>
      <w:r w:rsidRPr="00181645">
        <w:t>λ</w:t>
      </w:r>
      <w:r w:rsidRPr="00181645">
        <w:rPr>
          <w:vertAlign w:val="subscript"/>
        </w:rPr>
        <w:t>ex</w:t>
      </w:r>
      <w:proofErr w:type="spellEnd"/>
      <w:r w:rsidRPr="00181645">
        <w:t>/</w:t>
      </w:r>
      <w:proofErr w:type="spellStart"/>
      <w:r w:rsidRPr="00181645">
        <w:t>λ</w:t>
      </w:r>
      <w:r w:rsidRPr="00181645">
        <w:rPr>
          <w:vertAlign w:val="subscript"/>
        </w:rPr>
        <w:t>em</w:t>
      </w:r>
      <w:proofErr w:type="spellEnd"/>
      <w:r w:rsidRPr="00181645">
        <w:t xml:space="preserve">). Relative metabolic activity was calculated by setting values from the negative control as 100% and positive control values as 0% metabolic activity. </w:t>
      </w:r>
      <w:r>
        <w:t>EC</w:t>
      </w:r>
      <w:r w:rsidRPr="006F4FF3">
        <w:rPr>
          <w:vertAlign w:val="subscript"/>
        </w:rPr>
        <w:t>50</w:t>
      </w:r>
      <w:r>
        <w:t xml:space="preserve"> values were calculated using the dose-response fitting function in </w:t>
      </w:r>
      <w:proofErr w:type="spellStart"/>
      <w:r>
        <w:t>OriginPro</w:t>
      </w:r>
      <w:proofErr w:type="spellEnd"/>
      <w:r>
        <w:t xml:space="preserve"> software.</w:t>
      </w:r>
    </w:p>
    <w:p w:rsidR="006B2A72" w:rsidRDefault="00DA29AA" w:rsidP="00DA29AA">
      <w:pPr>
        <w:pStyle w:val="ElsReferencesHeading"/>
      </w:pPr>
      <w:r>
        <w:t xml:space="preserve">Bibliography </w:t>
      </w:r>
    </w:p>
    <w:p w:rsidR="00BA4B30" w:rsidRPr="00BA4B30" w:rsidRDefault="00BA4B30" w:rsidP="00BC0213">
      <w:pPr>
        <w:pStyle w:val="ElsReferences"/>
        <w:rPr>
          <w:noProof/>
        </w:rPr>
      </w:pPr>
      <w:r>
        <w:fldChar w:fldCharType="begin" w:fldLock="1"/>
      </w:r>
      <w:r>
        <w:instrText xml:space="preserve">ADDIN Mendeley Bibliography CSL_BIBLIOGRAPHY </w:instrText>
      </w:r>
      <w:r>
        <w:fldChar w:fldCharType="separate"/>
      </w:r>
      <w:r w:rsidRPr="00BA4B30">
        <w:rPr>
          <w:noProof/>
        </w:rPr>
        <w:t xml:space="preserve">Hargreaves, M. K.; Pritchard, J. G.; Dave, H. R. Cyclic Carboxylic Monoimides. </w:t>
      </w:r>
      <w:r w:rsidRPr="00BA4B30">
        <w:rPr>
          <w:i/>
          <w:iCs/>
          <w:noProof/>
        </w:rPr>
        <w:t>Chem. Rev.</w:t>
      </w:r>
      <w:r w:rsidRPr="00BA4B30">
        <w:rPr>
          <w:noProof/>
        </w:rPr>
        <w:t xml:space="preserve"> </w:t>
      </w:r>
      <w:r w:rsidRPr="00BA4B30">
        <w:rPr>
          <w:b/>
          <w:bCs/>
          <w:noProof/>
        </w:rPr>
        <w:t>1970</w:t>
      </w:r>
      <w:r w:rsidRPr="00BA4B30">
        <w:rPr>
          <w:noProof/>
        </w:rPr>
        <w:t xml:space="preserve">, </w:t>
      </w:r>
      <w:r w:rsidRPr="00BA4B30">
        <w:rPr>
          <w:i/>
          <w:iCs/>
          <w:noProof/>
        </w:rPr>
        <w:t>70</w:t>
      </w:r>
      <w:r w:rsidRPr="00BA4B30">
        <w:rPr>
          <w:noProof/>
        </w:rPr>
        <w:t xml:space="preserve"> (4), 439–469. https://doi.org/10.1021/cr60266a001.</w:t>
      </w:r>
    </w:p>
    <w:p w:rsidR="00BA4B30" w:rsidRPr="00BA4B30" w:rsidRDefault="00BA4B30" w:rsidP="00BC0213">
      <w:pPr>
        <w:pStyle w:val="ElsReferences"/>
        <w:rPr>
          <w:noProof/>
        </w:rPr>
      </w:pPr>
      <w:r w:rsidRPr="00BA4B30">
        <w:rPr>
          <w:noProof/>
        </w:rPr>
        <w:t xml:space="preserve">Guo, X.; Facchetti, A.; Marks, T. J. Imide- and Amide-Functionalized Polymer Semiconductors. </w:t>
      </w:r>
      <w:r w:rsidRPr="00BA4B30">
        <w:rPr>
          <w:i/>
          <w:iCs/>
          <w:noProof/>
        </w:rPr>
        <w:t>Chem. Rev.</w:t>
      </w:r>
      <w:r w:rsidRPr="00BA4B30">
        <w:rPr>
          <w:noProof/>
        </w:rPr>
        <w:t xml:space="preserve"> </w:t>
      </w:r>
      <w:r w:rsidRPr="00BA4B30">
        <w:rPr>
          <w:b/>
          <w:bCs/>
          <w:noProof/>
        </w:rPr>
        <w:t>2014</w:t>
      </w:r>
      <w:r w:rsidRPr="00BA4B30">
        <w:rPr>
          <w:noProof/>
        </w:rPr>
        <w:t xml:space="preserve">, </w:t>
      </w:r>
      <w:r w:rsidRPr="00BA4B30">
        <w:rPr>
          <w:i/>
          <w:iCs/>
          <w:noProof/>
        </w:rPr>
        <w:t>114</w:t>
      </w:r>
      <w:r w:rsidRPr="00BA4B30">
        <w:rPr>
          <w:noProof/>
        </w:rPr>
        <w:t xml:space="preserve"> (18), 8943–9021. https://doi.org/10.1021/cr500225d.</w:t>
      </w:r>
    </w:p>
    <w:p w:rsidR="00BA4B30" w:rsidRPr="00BA4B30" w:rsidRDefault="00BA4B30" w:rsidP="00BC0213">
      <w:pPr>
        <w:pStyle w:val="ElsReferences"/>
        <w:rPr>
          <w:noProof/>
        </w:rPr>
      </w:pPr>
      <w:r w:rsidRPr="00BA4B30">
        <w:rPr>
          <w:noProof/>
        </w:rPr>
        <w:t xml:space="preserve">Franks, M. E.; Macpherson, G. R.; Figg, W. D. Thalidomide. </w:t>
      </w:r>
      <w:r w:rsidRPr="00BA4B30">
        <w:rPr>
          <w:i/>
          <w:iCs/>
          <w:noProof/>
        </w:rPr>
        <w:t>Lancet</w:t>
      </w:r>
      <w:r w:rsidRPr="00BA4B30">
        <w:rPr>
          <w:noProof/>
        </w:rPr>
        <w:t xml:space="preserve"> </w:t>
      </w:r>
      <w:r w:rsidRPr="00BA4B30">
        <w:rPr>
          <w:b/>
          <w:bCs/>
          <w:noProof/>
        </w:rPr>
        <w:t>2004</w:t>
      </w:r>
      <w:r w:rsidRPr="00BA4B30">
        <w:rPr>
          <w:noProof/>
        </w:rPr>
        <w:t xml:space="preserve">, </w:t>
      </w:r>
      <w:r w:rsidRPr="00BA4B30">
        <w:rPr>
          <w:i/>
          <w:iCs/>
          <w:noProof/>
        </w:rPr>
        <w:t>363</w:t>
      </w:r>
      <w:r w:rsidRPr="00BA4B30">
        <w:rPr>
          <w:noProof/>
        </w:rPr>
        <w:t xml:space="preserve"> (9423), 1802–1811. https://doi.org/10.1016/S0140-6736(04)16308-3.</w:t>
      </w:r>
    </w:p>
    <w:p w:rsidR="00BA4B30" w:rsidRPr="00BA4B30" w:rsidRDefault="00BA4B30" w:rsidP="00BC0213">
      <w:pPr>
        <w:pStyle w:val="ElsReferences"/>
        <w:rPr>
          <w:noProof/>
        </w:rPr>
      </w:pPr>
      <w:r w:rsidRPr="00BA4B30">
        <w:rPr>
          <w:noProof/>
        </w:rPr>
        <w:t xml:space="preserve">Espinosa-Jalapa, N. A.; Kumar, A.; Leitus, G.; Diskin-Posner, Y.; Milstein, D. Synthesis of Cyclic Imides by Acceptorless Dehydrogenative Coupling of Diols and Amines Catalyzed by a Manganese Pincer Complex. </w:t>
      </w:r>
      <w:r w:rsidRPr="00BA4B30">
        <w:rPr>
          <w:i/>
          <w:iCs/>
          <w:noProof/>
        </w:rPr>
        <w:t>J. Am. Chem. Soc.</w:t>
      </w:r>
      <w:r w:rsidRPr="00BA4B30">
        <w:rPr>
          <w:noProof/>
        </w:rPr>
        <w:t xml:space="preserve"> </w:t>
      </w:r>
      <w:r w:rsidRPr="00BA4B30">
        <w:rPr>
          <w:b/>
          <w:bCs/>
          <w:noProof/>
        </w:rPr>
        <w:t>2017</w:t>
      </w:r>
      <w:r w:rsidRPr="00BA4B30">
        <w:rPr>
          <w:noProof/>
        </w:rPr>
        <w:t xml:space="preserve">, </w:t>
      </w:r>
      <w:r w:rsidRPr="00BA4B30">
        <w:rPr>
          <w:i/>
          <w:iCs/>
          <w:noProof/>
        </w:rPr>
        <w:t>139</w:t>
      </w:r>
      <w:r w:rsidRPr="00BA4B30">
        <w:rPr>
          <w:noProof/>
        </w:rPr>
        <w:t xml:space="preserve"> (34), 11722–11725. https://doi.org/10.1021/jacs.7b08341.</w:t>
      </w:r>
    </w:p>
    <w:p w:rsidR="00BA4B30" w:rsidRPr="00BA4B30" w:rsidRDefault="00BA4B30" w:rsidP="00BC0213">
      <w:pPr>
        <w:pStyle w:val="ElsReferences"/>
        <w:rPr>
          <w:noProof/>
        </w:rPr>
      </w:pPr>
      <w:r w:rsidRPr="00BA4B30">
        <w:rPr>
          <w:noProof/>
        </w:rPr>
        <w:t xml:space="preserve">Wu, Y.-H.; Rayburn, J. W.; Allen, L. E.; Ferguson, H. C.; Kissel, J. W. Psychosedative Agents. 2. 8-(4-Substituted 1-Piperazinylalkyl)-8-Azaspiro[4.5]Decane-7,9-Diones. </w:t>
      </w:r>
      <w:r w:rsidRPr="00BA4B30">
        <w:rPr>
          <w:i/>
          <w:iCs/>
          <w:noProof/>
        </w:rPr>
        <w:t>J. Med. Chem.</w:t>
      </w:r>
      <w:r w:rsidRPr="00BA4B30">
        <w:rPr>
          <w:noProof/>
        </w:rPr>
        <w:t xml:space="preserve"> </w:t>
      </w:r>
      <w:r w:rsidRPr="00BA4B30">
        <w:rPr>
          <w:b/>
          <w:bCs/>
          <w:noProof/>
        </w:rPr>
        <w:t>1972</w:t>
      </w:r>
      <w:r w:rsidRPr="00BA4B30">
        <w:rPr>
          <w:noProof/>
        </w:rPr>
        <w:t xml:space="preserve">, </w:t>
      </w:r>
      <w:r w:rsidRPr="00BA4B30">
        <w:rPr>
          <w:i/>
          <w:iCs/>
          <w:noProof/>
        </w:rPr>
        <w:t>15</w:t>
      </w:r>
      <w:r w:rsidRPr="00BA4B30">
        <w:rPr>
          <w:noProof/>
        </w:rPr>
        <w:t xml:space="preserve"> (5), 477–479. https://doi.org/10.1021/jm00275a009.</w:t>
      </w:r>
    </w:p>
    <w:p w:rsidR="00BA4B30" w:rsidRPr="00BA4B30" w:rsidRDefault="00BA4B30" w:rsidP="00BC0213">
      <w:pPr>
        <w:pStyle w:val="ElsReferences"/>
        <w:rPr>
          <w:noProof/>
        </w:rPr>
      </w:pPr>
      <w:r w:rsidRPr="00BA4B30">
        <w:rPr>
          <w:noProof/>
        </w:rPr>
        <w:t xml:space="preserve">Abdel-Aziz, A. A.-M.; ElTahir, K. E. H.; Asiri, Y. A. Synthesis, Anti-Inflammatory Activity and COX-1/COX-2 Inhibition of Novel Substituted Cyclic Imides. Part 1: Molecular Docking Study. </w:t>
      </w:r>
      <w:r w:rsidRPr="00BA4B30">
        <w:rPr>
          <w:i/>
          <w:iCs/>
          <w:noProof/>
        </w:rPr>
        <w:t>Eur. J. Med. Chem.</w:t>
      </w:r>
      <w:r w:rsidRPr="00BA4B30">
        <w:rPr>
          <w:noProof/>
        </w:rPr>
        <w:t xml:space="preserve"> </w:t>
      </w:r>
      <w:r w:rsidRPr="00BA4B30">
        <w:rPr>
          <w:b/>
          <w:bCs/>
          <w:noProof/>
        </w:rPr>
        <w:t>2011</w:t>
      </w:r>
      <w:r w:rsidRPr="00BA4B30">
        <w:rPr>
          <w:noProof/>
        </w:rPr>
        <w:t xml:space="preserve">, </w:t>
      </w:r>
      <w:r w:rsidRPr="00BA4B30">
        <w:rPr>
          <w:i/>
          <w:iCs/>
          <w:noProof/>
        </w:rPr>
        <w:t>46</w:t>
      </w:r>
      <w:r w:rsidRPr="00BA4B30">
        <w:rPr>
          <w:noProof/>
        </w:rPr>
        <w:t xml:space="preserve"> (5), 1648–1655. https://doi.org/10.1016/j.ejmech.2011.02.013.</w:t>
      </w:r>
    </w:p>
    <w:p w:rsidR="00BA4B30" w:rsidRPr="00BA4B30" w:rsidRDefault="00BA4B30" w:rsidP="00BC0213">
      <w:pPr>
        <w:pStyle w:val="ElsReferences"/>
        <w:rPr>
          <w:noProof/>
        </w:rPr>
      </w:pPr>
      <w:r w:rsidRPr="00BA4B30">
        <w:rPr>
          <w:noProof/>
        </w:rPr>
        <w:t xml:space="preserve">Verschueren, W. G.; Dierynck, I.; Amssoms, K. I. E.; Hu, L.; Boonants, P. M. J. G.; Pille, G. M. E.; Daeyaert, F. F. D.; Hertogs, K.; Surleraux, D. L. N. G.; Wigerinck, P. B. T. P. Design and Optimization of Tricyclic Phtalimide Analogues as Novel Inhibitors of HIV-1 Integrase. </w:t>
      </w:r>
      <w:r w:rsidRPr="00BA4B30">
        <w:rPr>
          <w:i/>
          <w:iCs/>
          <w:noProof/>
        </w:rPr>
        <w:t>J. Med. Chem.</w:t>
      </w:r>
      <w:r w:rsidRPr="00BA4B30">
        <w:rPr>
          <w:noProof/>
        </w:rPr>
        <w:t xml:space="preserve"> </w:t>
      </w:r>
      <w:r w:rsidRPr="00BA4B30">
        <w:rPr>
          <w:b/>
          <w:bCs/>
          <w:noProof/>
        </w:rPr>
        <w:t>2005</w:t>
      </w:r>
      <w:r w:rsidRPr="00BA4B30">
        <w:rPr>
          <w:noProof/>
        </w:rPr>
        <w:t xml:space="preserve">, </w:t>
      </w:r>
      <w:r w:rsidRPr="00BA4B30">
        <w:rPr>
          <w:i/>
          <w:iCs/>
          <w:noProof/>
        </w:rPr>
        <w:t>48</w:t>
      </w:r>
      <w:r w:rsidRPr="00BA4B30">
        <w:rPr>
          <w:noProof/>
        </w:rPr>
        <w:t xml:space="preserve"> (6), 1930–1940. https://doi.org/10.1021/jm049559q.</w:t>
      </w:r>
    </w:p>
    <w:p w:rsidR="00BA4B30" w:rsidRPr="00BA4B30" w:rsidRDefault="00BA4B30" w:rsidP="00BC0213">
      <w:pPr>
        <w:pStyle w:val="ElsReferences"/>
        <w:rPr>
          <w:noProof/>
        </w:rPr>
      </w:pPr>
      <w:r w:rsidRPr="00BA4B30">
        <w:rPr>
          <w:noProof/>
        </w:rPr>
        <w:t xml:space="preserve">Zhang, Y.-Y.; Zhou, C.-H. Synthesis and Activities of Naphthalimide Azoles as a New Type of Antibacterial and Antifungal Agents. </w:t>
      </w:r>
      <w:r w:rsidRPr="00BA4B30">
        <w:rPr>
          <w:i/>
          <w:iCs/>
          <w:noProof/>
        </w:rPr>
        <w:t>Bioorg. Med. Chem. Lett.</w:t>
      </w:r>
      <w:r w:rsidRPr="00BA4B30">
        <w:rPr>
          <w:noProof/>
        </w:rPr>
        <w:t xml:space="preserve"> </w:t>
      </w:r>
      <w:r w:rsidRPr="00BA4B30">
        <w:rPr>
          <w:b/>
          <w:bCs/>
          <w:noProof/>
        </w:rPr>
        <w:t>2011</w:t>
      </w:r>
      <w:r w:rsidRPr="00BA4B30">
        <w:rPr>
          <w:noProof/>
        </w:rPr>
        <w:t xml:space="preserve">, </w:t>
      </w:r>
      <w:r w:rsidRPr="00BA4B30">
        <w:rPr>
          <w:i/>
          <w:iCs/>
          <w:noProof/>
        </w:rPr>
        <w:t>21</w:t>
      </w:r>
      <w:r w:rsidRPr="00BA4B30">
        <w:rPr>
          <w:noProof/>
        </w:rPr>
        <w:t xml:space="preserve"> (14), 4349–4352. https://doi.org/10.1016/j.bmcl.2011.05.042.</w:t>
      </w:r>
    </w:p>
    <w:p w:rsidR="00BA4B30" w:rsidRPr="00BA4B30" w:rsidRDefault="00BA4B30" w:rsidP="00BC0213">
      <w:pPr>
        <w:pStyle w:val="ElsReferences"/>
        <w:rPr>
          <w:noProof/>
        </w:rPr>
      </w:pPr>
      <w:r w:rsidRPr="00BA4B30">
        <w:rPr>
          <w:noProof/>
        </w:rPr>
        <w:t xml:space="preserve">Zentz, F.; Valla, A.; Le Guillou, R.; Labia, R.; Mathot, A.-G.; Sirot, D. Synthesis and Antimicrobial Activities of N-Substituted Imides. </w:t>
      </w:r>
      <w:r w:rsidRPr="00BA4B30">
        <w:rPr>
          <w:i/>
          <w:iCs/>
          <w:noProof/>
        </w:rPr>
        <w:t>Farm.</w:t>
      </w:r>
      <w:r w:rsidRPr="00BA4B30">
        <w:rPr>
          <w:noProof/>
        </w:rPr>
        <w:t xml:space="preserve"> </w:t>
      </w:r>
      <w:r w:rsidRPr="00BA4B30">
        <w:rPr>
          <w:b/>
          <w:bCs/>
          <w:noProof/>
        </w:rPr>
        <w:t>2002</w:t>
      </w:r>
      <w:r w:rsidRPr="00BA4B30">
        <w:rPr>
          <w:noProof/>
        </w:rPr>
        <w:t xml:space="preserve">, </w:t>
      </w:r>
      <w:r w:rsidRPr="00BA4B30">
        <w:rPr>
          <w:i/>
          <w:iCs/>
          <w:noProof/>
        </w:rPr>
        <w:t>57</w:t>
      </w:r>
      <w:r w:rsidRPr="00BA4B30">
        <w:rPr>
          <w:noProof/>
        </w:rPr>
        <w:t xml:space="preserve"> (5), 421–426. https://doi.org/10.1016/S0014-827X(02)01217-X.</w:t>
      </w:r>
    </w:p>
    <w:p w:rsidR="00BA4B30" w:rsidRPr="00BA4B30" w:rsidRDefault="00BA4B30" w:rsidP="00BC0213">
      <w:pPr>
        <w:pStyle w:val="ElsReferences"/>
        <w:rPr>
          <w:noProof/>
        </w:rPr>
      </w:pPr>
      <w:r w:rsidRPr="00BA4B30">
        <w:rPr>
          <w:noProof/>
        </w:rPr>
        <w:t xml:space="preserve">Machado, K. E.; Oliveira, K. N. de; Santos-Bubniak, L.; Licínio, M. A.; Nunes, R. J.; Santos-Silva, M. C. Evaluation of Apoptotic Effect of Cyclic Imide Derivatives on Murine B16F10 Melanoma Cells. </w:t>
      </w:r>
      <w:r w:rsidRPr="00BA4B30">
        <w:rPr>
          <w:i/>
          <w:iCs/>
          <w:noProof/>
        </w:rPr>
        <w:t>Bioorg. Med. Chem.</w:t>
      </w:r>
      <w:r w:rsidRPr="00BA4B30">
        <w:rPr>
          <w:noProof/>
        </w:rPr>
        <w:t xml:space="preserve"> </w:t>
      </w:r>
      <w:r w:rsidRPr="00BA4B30">
        <w:rPr>
          <w:b/>
          <w:bCs/>
          <w:noProof/>
        </w:rPr>
        <w:t>2011</w:t>
      </w:r>
      <w:r w:rsidRPr="00BA4B30">
        <w:rPr>
          <w:noProof/>
        </w:rPr>
        <w:t xml:space="preserve">, </w:t>
      </w:r>
      <w:r w:rsidRPr="00BA4B30">
        <w:rPr>
          <w:i/>
          <w:iCs/>
          <w:noProof/>
        </w:rPr>
        <w:t>19</w:t>
      </w:r>
      <w:r w:rsidRPr="00BA4B30">
        <w:rPr>
          <w:noProof/>
        </w:rPr>
        <w:t xml:space="preserve"> (21), 6285–6291. https://doi.org/10.1016/j.bmc.2011.09.008.</w:t>
      </w:r>
    </w:p>
    <w:p w:rsidR="00BA4B30" w:rsidRPr="00BA4B30" w:rsidRDefault="00BA4B30" w:rsidP="00BC0213">
      <w:pPr>
        <w:pStyle w:val="ElsReferences"/>
        <w:rPr>
          <w:noProof/>
        </w:rPr>
      </w:pPr>
      <w:r w:rsidRPr="00BA4B30">
        <w:rPr>
          <w:noProof/>
        </w:rPr>
        <w:t xml:space="preserve">Puerto Galvis, C. E.; Vargas Méndez, L. Y.; Kouznetsov, V. V. Cantharidin-Based Small Molecules as Potential Therapeutic Agents. </w:t>
      </w:r>
      <w:r w:rsidRPr="00BA4B30">
        <w:rPr>
          <w:i/>
          <w:iCs/>
          <w:noProof/>
        </w:rPr>
        <w:t>Chem. Biol. Drug Des.</w:t>
      </w:r>
      <w:r w:rsidRPr="00BA4B30">
        <w:rPr>
          <w:noProof/>
        </w:rPr>
        <w:t xml:space="preserve"> </w:t>
      </w:r>
      <w:r w:rsidRPr="00BA4B30">
        <w:rPr>
          <w:b/>
          <w:bCs/>
          <w:noProof/>
        </w:rPr>
        <w:t>2013</w:t>
      </w:r>
      <w:r w:rsidRPr="00BA4B30">
        <w:rPr>
          <w:noProof/>
        </w:rPr>
        <w:t xml:space="preserve">, </w:t>
      </w:r>
      <w:r w:rsidRPr="00BA4B30">
        <w:rPr>
          <w:i/>
          <w:iCs/>
          <w:noProof/>
        </w:rPr>
        <w:t>82</w:t>
      </w:r>
      <w:r w:rsidRPr="00BA4B30">
        <w:rPr>
          <w:noProof/>
        </w:rPr>
        <w:t xml:space="preserve"> (5), 477–499. https://doi.org/10.1111/cbdd.12180.</w:t>
      </w:r>
    </w:p>
    <w:p w:rsidR="00BA4B30" w:rsidRPr="00BA4B30" w:rsidRDefault="00BA4B30" w:rsidP="00BC0213">
      <w:pPr>
        <w:pStyle w:val="ElsReferences"/>
        <w:rPr>
          <w:noProof/>
        </w:rPr>
      </w:pPr>
      <w:r w:rsidRPr="00BA4B30">
        <w:rPr>
          <w:noProof/>
        </w:rPr>
        <w:t xml:space="preserve">Wang, G.-S. Medical Uses of Mylabris in Ancient China and Recent Studies. </w:t>
      </w:r>
      <w:r w:rsidRPr="00BA4B30">
        <w:rPr>
          <w:i/>
          <w:iCs/>
          <w:noProof/>
        </w:rPr>
        <w:t>J. Ethnopharmacol.</w:t>
      </w:r>
      <w:r w:rsidRPr="00BA4B30">
        <w:rPr>
          <w:noProof/>
        </w:rPr>
        <w:t xml:space="preserve"> </w:t>
      </w:r>
      <w:r w:rsidRPr="00BA4B30">
        <w:rPr>
          <w:b/>
          <w:bCs/>
          <w:noProof/>
        </w:rPr>
        <w:t>1989</w:t>
      </w:r>
      <w:r w:rsidRPr="00BA4B30">
        <w:rPr>
          <w:noProof/>
        </w:rPr>
        <w:t xml:space="preserve">, </w:t>
      </w:r>
      <w:r w:rsidRPr="00BA4B30">
        <w:rPr>
          <w:i/>
          <w:iCs/>
          <w:noProof/>
        </w:rPr>
        <w:t>26</w:t>
      </w:r>
      <w:r w:rsidRPr="00BA4B30">
        <w:rPr>
          <w:noProof/>
        </w:rPr>
        <w:t xml:space="preserve"> (2), 147–162. https://doi.org/10.1016/0378-8741(89)90062-7.</w:t>
      </w:r>
    </w:p>
    <w:p w:rsidR="00BA4B30" w:rsidRPr="00BA4B30" w:rsidRDefault="00BA4B30" w:rsidP="00BC0213">
      <w:pPr>
        <w:pStyle w:val="ElsReferences"/>
        <w:rPr>
          <w:noProof/>
        </w:rPr>
      </w:pPr>
      <w:r w:rsidRPr="00BA4B30">
        <w:rPr>
          <w:noProof/>
        </w:rPr>
        <w:t xml:space="preserve">Kok, S. H. L.; Chui, C. H.; Lam, W. S.; Chen, J.; Lau, F. Y.; Wong, R. S. M.; Cheng, G. Y. M.; Lai, P. B. S.; Leung, T. W. T.; Yu, M. W. Y.; Tang, J. C. O.; Chan, A. S. C. Synthesis and Structure Evaluation of a Novel Cantharimide and Its Cytotoxicity on SK-Hep-1 Hepatoma Cells. </w:t>
      </w:r>
      <w:r w:rsidRPr="00BA4B30">
        <w:rPr>
          <w:i/>
          <w:iCs/>
          <w:noProof/>
        </w:rPr>
        <w:t>Bioorg. Med. Chem. Lett.</w:t>
      </w:r>
      <w:r w:rsidRPr="00BA4B30">
        <w:rPr>
          <w:noProof/>
        </w:rPr>
        <w:t xml:space="preserve"> </w:t>
      </w:r>
      <w:r w:rsidRPr="00BA4B30">
        <w:rPr>
          <w:b/>
          <w:bCs/>
          <w:noProof/>
        </w:rPr>
        <w:t>2007</w:t>
      </w:r>
      <w:r w:rsidRPr="00BA4B30">
        <w:rPr>
          <w:noProof/>
        </w:rPr>
        <w:t xml:space="preserve">, </w:t>
      </w:r>
      <w:r w:rsidRPr="00BA4B30">
        <w:rPr>
          <w:i/>
          <w:iCs/>
          <w:noProof/>
        </w:rPr>
        <w:t>17</w:t>
      </w:r>
      <w:r w:rsidRPr="00BA4B30">
        <w:rPr>
          <w:noProof/>
        </w:rPr>
        <w:t xml:space="preserve"> (5), 1155–1159. https://doi.org/10.1016/j.bmcl.2006.12.039.</w:t>
      </w:r>
    </w:p>
    <w:p w:rsidR="00BA4B30" w:rsidRPr="00BA4B30" w:rsidRDefault="00BA4B30" w:rsidP="00BC0213">
      <w:pPr>
        <w:pStyle w:val="ElsReferences"/>
        <w:rPr>
          <w:noProof/>
        </w:rPr>
      </w:pPr>
      <w:r w:rsidRPr="00BA4B30">
        <w:rPr>
          <w:noProof/>
        </w:rPr>
        <w:t xml:space="preserve">McCluskey, A.; Walkom, C.; Bowyer, M. C.; Ackland, S. P.; Gardiner, E.; Sakoff, J. A. Cantharimides: A New Class of Modified Cantharidin Analogues Inhibiting Protein Phosphatases 1 and 2A. </w:t>
      </w:r>
      <w:r w:rsidRPr="00BA4B30">
        <w:rPr>
          <w:i/>
          <w:iCs/>
          <w:noProof/>
        </w:rPr>
        <w:t>Bioorg. Med. Chem. Lett.</w:t>
      </w:r>
      <w:r w:rsidRPr="00BA4B30">
        <w:rPr>
          <w:noProof/>
        </w:rPr>
        <w:t xml:space="preserve"> </w:t>
      </w:r>
      <w:r w:rsidRPr="00BA4B30">
        <w:rPr>
          <w:b/>
          <w:bCs/>
          <w:noProof/>
        </w:rPr>
        <w:t>2001</w:t>
      </w:r>
      <w:r w:rsidRPr="00BA4B30">
        <w:rPr>
          <w:noProof/>
        </w:rPr>
        <w:t xml:space="preserve">, </w:t>
      </w:r>
      <w:r w:rsidRPr="00BA4B30">
        <w:rPr>
          <w:i/>
          <w:iCs/>
          <w:noProof/>
        </w:rPr>
        <w:t>11</w:t>
      </w:r>
      <w:r w:rsidRPr="00BA4B30">
        <w:rPr>
          <w:noProof/>
        </w:rPr>
        <w:t xml:space="preserve"> (22), 2941–2946. https://doi.org/10.1016/S0960-894X(01)00594-7.</w:t>
      </w:r>
    </w:p>
    <w:p w:rsidR="00BA4B30" w:rsidRPr="00BA4B30" w:rsidRDefault="00BA4B30" w:rsidP="00BC0213">
      <w:pPr>
        <w:pStyle w:val="ElsReferences"/>
        <w:rPr>
          <w:noProof/>
        </w:rPr>
      </w:pPr>
      <w:r w:rsidRPr="00BA4B30">
        <w:rPr>
          <w:noProof/>
        </w:rPr>
        <w:t xml:space="preserve">Robertson, M. J.; Gordon, C. P.; Gilbert, J.; McCluskey, A.; Sakoff, J. A. Norcantharimide Analogues Possessing Terminal Phosphate Esters and Their Anti-Cancer Activity. </w:t>
      </w:r>
      <w:r w:rsidRPr="00BA4B30">
        <w:rPr>
          <w:i/>
          <w:iCs/>
          <w:noProof/>
        </w:rPr>
        <w:t>Bioorg. Med. Chem.</w:t>
      </w:r>
      <w:r w:rsidRPr="00BA4B30">
        <w:rPr>
          <w:noProof/>
        </w:rPr>
        <w:t xml:space="preserve"> </w:t>
      </w:r>
      <w:r w:rsidRPr="00BA4B30">
        <w:rPr>
          <w:b/>
          <w:bCs/>
          <w:noProof/>
        </w:rPr>
        <w:t>2011</w:t>
      </w:r>
      <w:r w:rsidRPr="00BA4B30">
        <w:rPr>
          <w:noProof/>
        </w:rPr>
        <w:t xml:space="preserve">, </w:t>
      </w:r>
      <w:r w:rsidRPr="00BA4B30">
        <w:rPr>
          <w:i/>
          <w:iCs/>
          <w:noProof/>
        </w:rPr>
        <w:t>19</w:t>
      </w:r>
      <w:r w:rsidRPr="00BA4B30">
        <w:rPr>
          <w:noProof/>
        </w:rPr>
        <w:t xml:space="preserve"> (18), 5734–5741. https://doi.org/10.1016/j.bmc.2011.01.031.</w:t>
      </w:r>
    </w:p>
    <w:p w:rsidR="00BA4B30" w:rsidRPr="00BA4B30" w:rsidRDefault="00BA4B30" w:rsidP="00BC0213">
      <w:pPr>
        <w:pStyle w:val="ElsReferences"/>
        <w:rPr>
          <w:noProof/>
        </w:rPr>
      </w:pPr>
      <w:r w:rsidRPr="00BA4B30">
        <w:rPr>
          <w:noProof/>
        </w:rPr>
        <w:t xml:space="preserve">Massicot, F.; Dutertre-Catella, H.; Pham-Huy, C.; Liu, X.-H.; Duc, H. T.; Warnet, J.-M. In Vitro Assessment of Renal Toxicity and Inflammatory Events of Two Protein Phosphatase Inhibitors Cantharidin and Nor-Cantharidin*. </w:t>
      </w:r>
      <w:r w:rsidRPr="00BA4B30">
        <w:rPr>
          <w:i/>
          <w:iCs/>
          <w:noProof/>
        </w:rPr>
        <w:t>Basic Clin. Pharmacol. Toxicol.</w:t>
      </w:r>
      <w:r w:rsidRPr="00BA4B30">
        <w:rPr>
          <w:noProof/>
        </w:rPr>
        <w:t xml:space="preserve"> </w:t>
      </w:r>
      <w:r w:rsidRPr="00BA4B30">
        <w:rPr>
          <w:b/>
          <w:bCs/>
          <w:noProof/>
        </w:rPr>
        <w:t>2005</w:t>
      </w:r>
      <w:r w:rsidRPr="00BA4B30">
        <w:rPr>
          <w:noProof/>
        </w:rPr>
        <w:t xml:space="preserve">, </w:t>
      </w:r>
      <w:r w:rsidRPr="00BA4B30">
        <w:rPr>
          <w:i/>
          <w:iCs/>
          <w:noProof/>
        </w:rPr>
        <w:t>96</w:t>
      </w:r>
      <w:r w:rsidRPr="00BA4B30">
        <w:rPr>
          <w:noProof/>
        </w:rPr>
        <w:t xml:space="preserve"> (1), 26–32. https://doi.org/10.1111/j.1742-7843.2005.pto960104.x.</w:t>
      </w:r>
    </w:p>
    <w:p w:rsidR="00BA4B30" w:rsidRPr="00BA4B30" w:rsidRDefault="00BA4B30" w:rsidP="00BC0213">
      <w:pPr>
        <w:pStyle w:val="ElsReferences"/>
        <w:rPr>
          <w:noProof/>
        </w:rPr>
      </w:pPr>
      <w:r w:rsidRPr="00BA4B30">
        <w:rPr>
          <w:noProof/>
        </w:rPr>
        <w:t xml:space="preserve">Tromovitch, T. A. Cantharadin. </w:t>
      </w:r>
      <w:r w:rsidRPr="00BA4B30">
        <w:rPr>
          <w:i/>
          <w:iCs/>
          <w:noProof/>
        </w:rPr>
        <w:t>JAMA J. Am. Med. Assoc.</w:t>
      </w:r>
      <w:r w:rsidRPr="00BA4B30">
        <w:rPr>
          <w:noProof/>
        </w:rPr>
        <w:t xml:space="preserve"> </w:t>
      </w:r>
      <w:r w:rsidRPr="00BA4B30">
        <w:rPr>
          <w:b/>
          <w:bCs/>
          <w:noProof/>
        </w:rPr>
        <w:t>1971</w:t>
      </w:r>
      <w:r w:rsidRPr="00BA4B30">
        <w:rPr>
          <w:noProof/>
        </w:rPr>
        <w:t xml:space="preserve">, </w:t>
      </w:r>
      <w:r w:rsidRPr="00BA4B30">
        <w:rPr>
          <w:i/>
          <w:iCs/>
          <w:noProof/>
        </w:rPr>
        <w:t>215</w:t>
      </w:r>
      <w:r w:rsidRPr="00BA4B30">
        <w:rPr>
          <w:noProof/>
        </w:rPr>
        <w:t xml:space="preserve"> (4), 640. https://doi.org/10.1001/jama.1971.03180170074022.</w:t>
      </w:r>
    </w:p>
    <w:p w:rsidR="00BA4B30" w:rsidRPr="00BA4B30" w:rsidRDefault="00BA4B30" w:rsidP="00BC0213">
      <w:pPr>
        <w:pStyle w:val="ElsReferences"/>
        <w:rPr>
          <w:noProof/>
        </w:rPr>
      </w:pPr>
      <w:r w:rsidRPr="00BA4B30">
        <w:rPr>
          <w:noProof/>
        </w:rPr>
        <w:lastRenderedPageBreak/>
        <w:t xml:space="preserve">Grogan, C. H.; Rice, L. M. Bicyclic Imides and Isoindolines 1. </w:t>
      </w:r>
      <w:r w:rsidRPr="00BA4B30">
        <w:rPr>
          <w:i/>
          <w:iCs/>
          <w:noProof/>
        </w:rPr>
        <w:t>J. Med. Chem.</w:t>
      </w:r>
      <w:r w:rsidRPr="00BA4B30">
        <w:rPr>
          <w:noProof/>
        </w:rPr>
        <w:t xml:space="preserve"> </w:t>
      </w:r>
      <w:r w:rsidRPr="00BA4B30">
        <w:rPr>
          <w:b/>
          <w:bCs/>
          <w:noProof/>
        </w:rPr>
        <w:t>1963</w:t>
      </w:r>
      <w:r w:rsidRPr="00BA4B30">
        <w:rPr>
          <w:noProof/>
        </w:rPr>
        <w:t xml:space="preserve">, </w:t>
      </w:r>
      <w:r w:rsidRPr="00BA4B30">
        <w:rPr>
          <w:i/>
          <w:iCs/>
          <w:noProof/>
        </w:rPr>
        <w:t>6</w:t>
      </w:r>
      <w:r w:rsidRPr="00BA4B30">
        <w:rPr>
          <w:noProof/>
        </w:rPr>
        <w:t xml:space="preserve"> (6), 802–805. https://doi.org/10.1021/jm00342a042.</w:t>
      </w:r>
    </w:p>
    <w:p w:rsidR="00BA4B30" w:rsidRPr="00BA4B30" w:rsidRDefault="00BA4B30" w:rsidP="00BC0213">
      <w:pPr>
        <w:pStyle w:val="ElsReferences"/>
        <w:rPr>
          <w:noProof/>
        </w:rPr>
      </w:pPr>
      <w:r w:rsidRPr="00BA4B30">
        <w:rPr>
          <w:noProof/>
        </w:rPr>
        <w:t xml:space="preserve">Tatlock, J. H.; Angelica Linton, M.; Hou, X. J.; Kissinger, C. R.; Pelletier, L. A.; Showalter, R. E.; Tempczyk, A.; Ernest Villafranca, J. Structure-Based Design of Novel Calcineurin (PP2B) Inhibitors. </w:t>
      </w:r>
      <w:r w:rsidRPr="00BA4B30">
        <w:rPr>
          <w:i/>
          <w:iCs/>
          <w:noProof/>
        </w:rPr>
        <w:t>Bioorg. Med. Chem. Lett.</w:t>
      </w:r>
      <w:r w:rsidRPr="00BA4B30">
        <w:rPr>
          <w:noProof/>
        </w:rPr>
        <w:t xml:space="preserve"> </w:t>
      </w:r>
      <w:r w:rsidRPr="00BA4B30">
        <w:rPr>
          <w:b/>
          <w:bCs/>
          <w:noProof/>
        </w:rPr>
        <w:t>1997</w:t>
      </w:r>
      <w:r w:rsidRPr="00BA4B30">
        <w:rPr>
          <w:noProof/>
        </w:rPr>
        <w:t xml:space="preserve">, </w:t>
      </w:r>
      <w:r w:rsidRPr="00BA4B30">
        <w:rPr>
          <w:i/>
          <w:iCs/>
          <w:noProof/>
        </w:rPr>
        <w:t>7</w:t>
      </w:r>
      <w:r w:rsidRPr="00BA4B30">
        <w:rPr>
          <w:noProof/>
        </w:rPr>
        <w:t xml:space="preserve"> (8), 1007–1012. https://doi.org/10.1016/S0960-894X(97)00141-8.</w:t>
      </w:r>
    </w:p>
    <w:p w:rsidR="00BA4B30" w:rsidRPr="00BA4B30" w:rsidRDefault="00BA4B30" w:rsidP="00BC0213">
      <w:pPr>
        <w:pStyle w:val="ElsReferences"/>
        <w:rPr>
          <w:noProof/>
        </w:rPr>
      </w:pPr>
      <w:r w:rsidRPr="00BA4B30">
        <w:rPr>
          <w:noProof/>
        </w:rPr>
        <w:t xml:space="preserve">Laidley, C. W.; Dauben, W. G.; Guo, Z. R.; Lam, J. Y. L.; Casida, J. E. 2-Carboxymethylendothal Analogues as Affinity Probes for Stabilized Protein Phosphatase 2A. </w:t>
      </w:r>
      <w:r w:rsidRPr="00BA4B30">
        <w:rPr>
          <w:i/>
          <w:iCs/>
          <w:noProof/>
        </w:rPr>
        <w:t>Bioorg. Med. Chem.</w:t>
      </w:r>
      <w:r w:rsidRPr="00BA4B30">
        <w:rPr>
          <w:noProof/>
        </w:rPr>
        <w:t xml:space="preserve"> </w:t>
      </w:r>
      <w:r w:rsidRPr="00BA4B30">
        <w:rPr>
          <w:b/>
          <w:bCs/>
          <w:noProof/>
        </w:rPr>
        <w:t>1999</w:t>
      </w:r>
      <w:r w:rsidRPr="00BA4B30">
        <w:rPr>
          <w:noProof/>
        </w:rPr>
        <w:t xml:space="preserve">, </w:t>
      </w:r>
      <w:r w:rsidRPr="00BA4B30">
        <w:rPr>
          <w:i/>
          <w:iCs/>
          <w:noProof/>
        </w:rPr>
        <w:t>7</w:t>
      </w:r>
      <w:r w:rsidRPr="00BA4B30">
        <w:rPr>
          <w:noProof/>
        </w:rPr>
        <w:t xml:space="preserve"> (12), 2937–2944. https://doi.org/10.1016/S0968-0896(99)00239-4.</w:t>
      </w:r>
    </w:p>
    <w:p w:rsidR="00BA4B30" w:rsidRPr="00BA4B30" w:rsidRDefault="00BA4B30" w:rsidP="00BC0213">
      <w:pPr>
        <w:pStyle w:val="ElsReferences"/>
        <w:rPr>
          <w:noProof/>
        </w:rPr>
      </w:pPr>
      <w:r w:rsidRPr="00BA4B30">
        <w:rPr>
          <w:noProof/>
        </w:rPr>
        <w:t xml:space="preserve">Essers, M.; Wibbeling, B.; Haufe, G. Synthesis of the First Fluorinated Cantharidin Analogues. </w:t>
      </w:r>
      <w:r w:rsidRPr="00BA4B30">
        <w:rPr>
          <w:i/>
          <w:iCs/>
          <w:noProof/>
        </w:rPr>
        <w:t>Tetrahedron Lett.</w:t>
      </w:r>
      <w:r w:rsidRPr="00BA4B30">
        <w:rPr>
          <w:noProof/>
        </w:rPr>
        <w:t xml:space="preserve"> </w:t>
      </w:r>
      <w:r w:rsidRPr="00BA4B30">
        <w:rPr>
          <w:b/>
          <w:bCs/>
          <w:noProof/>
        </w:rPr>
        <w:t>2001</w:t>
      </w:r>
      <w:r w:rsidRPr="00BA4B30">
        <w:rPr>
          <w:noProof/>
        </w:rPr>
        <w:t xml:space="preserve">, </w:t>
      </w:r>
      <w:r w:rsidRPr="00BA4B30">
        <w:rPr>
          <w:i/>
          <w:iCs/>
          <w:noProof/>
        </w:rPr>
        <w:t>42</w:t>
      </w:r>
      <w:r w:rsidRPr="00BA4B30">
        <w:rPr>
          <w:noProof/>
        </w:rPr>
        <w:t xml:space="preserve"> (32), 5429–5433. https://doi.org/10.1016/S0040-4039(01)01056-5.</w:t>
      </w:r>
    </w:p>
    <w:p w:rsidR="00BA4B30" w:rsidRPr="00BA4B30" w:rsidRDefault="00BA4B30" w:rsidP="00BC0213">
      <w:pPr>
        <w:pStyle w:val="ElsReferences"/>
        <w:rPr>
          <w:noProof/>
        </w:rPr>
      </w:pPr>
      <w:r w:rsidRPr="00BA4B30">
        <w:rPr>
          <w:noProof/>
        </w:rPr>
        <w:t xml:space="preserve">Baba, Y.; Hirukawa, N.; Tanohira, N.; Sodeoka, M. Structure-Based Design of a Highly Selective Catalytic Site-Directed Inhibitor of Ser/Thr Protein Phosphatase 2B (Calcineurin). </w:t>
      </w:r>
      <w:r w:rsidRPr="00BA4B30">
        <w:rPr>
          <w:i/>
          <w:iCs/>
          <w:noProof/>
        </w:rPr>
        <w:t>J. Am. Chem. Soc.</w:t>
      </w:r>
      <w:r w:rsidRPr="00BA4B30">
        <w:rPr>
          <w:noProof/>
        </w:rPr>
        <w:t xml:space="preserve"> </w:t>
      </w:r>
      <w:r w:rsidRPr="00BA4B30">
        <w:rPr>
          <w:b/>
          <w:bCs/>
          <w:noProof/>
        </w:rPr>
        <w:t>2003</w:t>
      </w:r>
      <w:r w:rsidRPr="00BA4B30">
        <w:rPr>
          <w:noProof/>
        </w:rPr>
        <w:t xml:space="preserve">, </w:t>
      </w:r>
      <w:r w:rsidRPr="00BA4B30">
        <w:rPr>
          <w:i/>
          <w:iCs/>
          <w:noProof/>
        </w:rPr>
        <w:t>125</w:t>
      </w:r>
      <w:r w:rsidRPr="00BA4B30">
        <w:rPr>
          <w:noProof/>
        </w:rPr>
        <w:t xml:space="preserve"> (32), 9740–9749. https://doi.org/10.1021/ja034694y.</w:t>
      </w:r>
    </w:p>
    <w:p w:rsidR="00BA4B30" w:rsidRPr="00BA4B30" w:rsidRDefault="00BA4B30" w:rsidP="00BC0213">
      <w:pPr>
        <w:pStyle w:val="ElsReferences"/>
        <w:rPr>
          <w:noProof/>
        </w:rPr>
      </w:pPr>
      <w:r w:rsidRPr="00BA4B30">
        <w:rPr>
          <w:noProof/>
        </w:rPr>
        <w:t xml:space="preserve">Thaqi, A.; Scott, J. L.; Gilbert, J.; Sakoff, J. A.; McCluskey, A. Synthesis and Biological Activity of Δ-5,6-Norcantharimides: Importance of the 5,6-Bridge. </w:t>
      </w:r>
      <w:r w:rsidRPr="00BA4B30">
        <w:rPr>
          <w:i/>
          <w:iCs/>
          <w:noProof/>
        </w:rPr>
        <w:t>Eur. J. Med. Chem.</w:t>
      </w:r>
      <w:r w:rsidRPr="00BA4B30">
        <w:rPr>
          <w:noProof/>
        </w:rPr>
        <w:t xml:space="preserve"> </w:t>
      </w:r>
      <w:r w:rsidRPr="00BA4B30">
        <w:rPr>
          <w:b/>
          <w:bCs/>
          <w:noProof/>
        </w:rPr>
        <w:t>2010</w:t>
      </w:r>
      <w:r w:rsidRPr="00BA4B30">
        <w:rPr>
          <w:noProof/>
        </w:rPr>
        <w:t xml:space="preserve">, </w:t>
      </w:r>
      <w:r w:rsidRPr="00BA4B30">
        <w:rPr>
          <w:i/>
          <w:iCs/>
          <w:noProof/>
        </w:rPr>
        <w:t>45</w:t>
      </w:r>
      <w:r w:rsidRPr="00BA4B30">
        <w:rPr>
          <w:noProof/>
        </w:rPr>
        <w:t xml:space="preserve"> (5), 1717–1723. https://doi.org/10.1016/j.ejmech.2010.01.004.</w:t>
      </w:r>
    </w:p>
    <w:p w:rsidR="00BA4B30" w:rsidRPr="00BA4B30" w:rsidRDefault="00BA4B30" w:rsidP="00BC0213">
      <w:pPr>
        <w:pStyle w:val="ElsReferences"/>
        <w:rPr>
          <w:noProof/>
        </w:rPr>
      </w:pPr>
      <w:r w:rsidRPr="00BA4B30">
        <w:rPr>
          <w:noProof/>
        </w:rPr>
        <w:t xml:space="preserve">McCluskey, A.; Taylor, C.; Quinn, R. J.; Suganuma, M.; Fujiki, H. Inhibition of Protein Phosphatase 2A by Cantharidin Analogues. </w:t>
      </w:r>
      <w:r w:rsidRPr="00BA4B30">
        <w:rPr>
          <w:i/>
          <w:iCs/>
          <w:noProof/>
        </w:rPr>
        <w:t>Bioorg. Med. Chem. Lett.</w:t>
      </w:r>
      <w:r w:rsidRPr="00BA4B30">
        <w:rPr>
          <w:noProof/>
        </w:rPr>
        <w:t xml:space="preserve"> </w:t>
      </w:r>
      <w:r w:rsidRPr="00BA4B30">
        <w:rPr>
          <w:b/>
          <w:bCs/>
          <w:noProof/>
        </w:rPr>
        <w:t>1996</w:t>
      </w:r>
      <w:r w:rsidRPr="00BA4B30">
        <w:rPr>
          <w:noProof/>
        </w:rPr>
        <w:t xml:space="preserve">, </w:t>
      </w:r>
      <w:r w:rsidRPr="00BA4B30">
        <w:rPr>
          <w:i/>
          <w:iCs/>
          <w:noProof/>
        </w:rPr>
        <w:t>6</w:t>
      </w:r>
      <w:r w:rsidRPr="00BA4B30">
        <w:rPr>
          <w:noProof/>
        </w:rPr>
        <w:t xml:space="preserve"> (9), 1025–1028. https://doi.org/10.1016/0960-894X(96)00166-7.</w:t>
      </w:r>
    </w:p>
    <w:p w:rsidR="00BA4B30" w:rsidRPr="00BA4B30" w:rsidRDefault="00BA4B30" w:rsidP="00BC0213">
      <w:pPr>
        <w:pStyle w:val="ElsReferences"/>
        <w:rPr>
          <w:noProof/>
        </w:rPr>
      </w:pPr>
      <w:r w:rsidRPr="00BA4B30">
        <w:rPr>
          <w:noProof/>
        </w:rPr>
        <w:t xml:space="preserve">Enz, A.; Zenke, G.; Pombo-Villar, E. 7-Oxa[2.2.1]Bicycloheptane-2,3-Dicarboxylic Acid Derivatives as Phosphatase Inhibitors. </w:t>
      </w:r>
      <w:r w:rsidRPr="00BA4B30">
        <w:rPr>
          <w:i/>
          <w:iCs/>
          <w:noProof/>
        </w:rPr>
        <w:t>Bioorg. Med. Chem. Lett.</w:t>
      </w:r>
      <w:r w:rsidRPr="00BA4B30">
        <w:rPr>
          <w:noProof/>
        </w:rPr>
        <w:t xml:space="preserve"> </w:t>
      </w:r>
      <w:r w:rsidRPr="00BA4B30">
        <w:rPr>
          <w:b/>
          <w:bCs/>
          <w:noProof/>
        </w:rPr>
        <w:t>1997</w:t>
      </w:r>
      <w:r w:rsidRPr="00BA4B30">
        <w:rPr>
          <w:noProof/>
        </w:rPr>
        <w:t xml:space="preserve">, </w:t>
      </w:r>
      <w:r w:rsidRPr="00BA4B30">
        <w:rPr>
          <w:i/>
          <w:iCs/>
          <w:noProof/>
        </w:rPr>
        <w:t>7</w:t>
      </w:r>
      <w:r w:rsidRPr="00BA4B30">
        <w:rPr>
          <w:noProof/>
        </w:rPr>
        <w:t xml:space="preserve"> (19), 2513–2518. https://doi.org/10.1016/S0960-894X(97)10005-1.</w:t>
      </w:r>
    </w:p>
    <w:p w:rsidR="00BA4B30" w:rsidRPr="00BA4B30" w:rsidRDefault="00BA4B30" w:rsidP="00BC0213">
      <w:pPr>
        <w:pStyle w:val="ElsReferences"/>
        <w:rPr>
          <w:noProof/>
        </w:rPr>
      </w:pPr>
      <w:r w:rsidRPr="00BA4B30">
        <w:rPr>
          <w:noProof/>
        </w:rPr>
        <w:t xml:space="preserve">Sodeoka, M.; Baba, Y.; Kobayashi, S.; Hirukawa, N. Structure-Activity Relationship of Cantharidin Derivatives to Protein Phosphatases 1, 2A1, and 2B. </w:t>
      </w:r>
      <w:r w:rsidRPr="00BA4B30">
        <w:rPr>
          <w:i/>
          <w:iCs/>
          <w:noProof/>
        </w:rPr>
        <w:t>Bioorg. Med. Chem. Lett.</w:t>
      </w:r>
      <w:r w:rsidRPr="00BA4B30">
        <w:rPr>
          <w:noProof/>
        </w:rPr>
        <w:t xml:space="preserve"> </w:t>
      </w:r>
      <w:r w:rsidRPr="00BA4B30">
        <w:rPr>
          <w:b/>
          <w:bCs/>
          <w:noProof/>
        </w:rPr>
        <w:t>1997</w:t>
      </w:r>
      <w:r w:rsidRPr="00BA4B30">
        <w:rPr>
          <w:noProof/>
        </w:rPr>
        <w:t xml:space="preserve">, </w:t>
      </w:r>
      <w:r w:rsidRPr="00BA4B30">
        <w:rPr>
          <w:i/>
          <w:iCs/>
          <w:noProof/>
        </w:rPr>
        <w:t>7</w:t>
      </w:r>
      <w:r w:rsidRPr="00BA4B30">
        <w:rPr>
          <w:noProof/>
        </w:rPr>
        <w:t xml:space="preserve"> (14), 1833–1836. https://doi.org/10.1016/S0960-894X(97)00316-8.</w:t>
      </w:r>
    </w:p>
    <w:p w:rsidR="00BA4B30" w:rsidRPr="00BA4B30" w:rsidRDefault="00BA4B30" w:rsidP="00BC0213">
      <w:pPr>
        <w:pStyle w:val="ElsReferences"/>
        <w:rPr>
          <w:noProof/>
        </w:rPr>
      </w:pPr>
      <w:r w:rsidRPr="00BA4B30">
        <w:rPr>
          <w:noProof/>
        </w:rPr>
        <w:t xml:space="preserve">McCluskey, A.; Keane, M. A.; Mudgee, L.-M.; Sim, A. T. R.; Sakoff, J.; Quinn, R. J. Anhydride Modified Cantharidin Analogues. Is Ring Opening Important in the Inhibition of Protein Phosphatase 2A? </w:t>
      </w:r>
      <w:r w:rsidRPr="00BA4B30">
        <w:rPr>
          <w:i/>
          <w:iCs/>
          <w:noProof/>
        </w:rPr>
        <w:t>Eur. J. Med. Chem.</w:t>
      </w:r>
      <w:r w:rsidRPr="00BA4B30">
        <w:rPr>
          <w:noProof/>
        </w:rPr>
        <w:t xml:space="preserve"> </w:t>
      </w:r>
      <w:r w:rsidRPr="00BA4B30">
        <w:rPr>
          <w:b/>
          <w:bCs/>
          <w:noProof/>
        </w:rPr>
        <w:t>2000</w:t>
      </w:r>
      <w:r w:rsidRPr="00BA4B30">
        <w:rPr>
          <w:noProof/>
        </w:rPr>
        <w:t xml:space="preserve">, </w:t>
      </w:r>
      <w:r w:rsidRPr="00BA4B30">
        <w:rPr>
          <w:i/>
          <w:iCs/>
          <w:noProof/>
        </w:rPr>
        <w:t>35</w:t>
      </w:r>
      <w:r w:rsidRPr="00BA4B30">
        <w:rPr>
          <w:noProof/>
        </w:rPr>
        <w:t xml:space="preserve"> (10), 957–964. https://doi.org/10.1016/S0223-5234(00)00186-0.</w:t>
      </w:r>
    </w:p>
    <w:p w:rsidR="00BA4B30" w:rsidRPr="00BA4B30" w:rsidRDefault="00BA4B30" w:rsidP="00BC0213">
      <w:pPr>
        <w:pStyle w:val="ElsReferences"/>
        <w:rPr>
          <w:noProof/>
        </w:rPr>
      </w:pPr>
      <w:r w:rsidRPr="00BA4B30">
        <w:rPr>
          <w:noProof/>
        </w:rPr>
        <w:t xml:space="preserve">Hart, M. E.; Chamberlin, A. R.; Walkom, C.; Sakoff, J. A.; McCluskey, A. Modified Norcantharidins: Synthesis, Protein Phosphatases 1 and 2A Inhibition and Anticancer Activity. </w:t>
      </w:r>
      <w:r w:rsidRPr="00BA4B30">
        <w:rPr>
          <w:i/>
          <w:iCs/>
          <w:noProof/>
        </w:rPr>
        <w:t>Bioorg. Med. Chem. Lett.</w:t>
      </w:r>
      <w:r w:rsidRPr="00BA4B30">
        <w:rPr>
          <w:noProof/>
        </w:rPr>
        <w:t xml:space="preserve"> </w:t>
      </w:r>
      <w:r w:rsidRPr="00BA4B30">
        <w:rPr>
          <w:b/>
          <w:bCs/>
          <w:noProof/>
        </w:rPr>
        <w:t>2004</w:t>
      </w:r>
      <w:r w:rsidRPr="00BA4B30">
        <w:rPr>
          <w:noProof/>
        </w:rPr>
        <w:t xml:space="preserve">, </w:t>
      </w:r>
      <w:r w:rsidRPr="00BA4B30">
        <w:rPr>
          <w:i/>
          <w:iCs/>
          <w:noProof/>
        </w:rPr>
        <w:t>14</w:t>
      </w:r>
      <w:r w:rsidRPr="00BA4B30">
        <w:rPr>
          <w:noProof/>
        </w:rPr>
        <w:t xml:space="preserve"> (8), 1969–1973. https://doi.org/10.1016/j.bmcl.2004.01.093.</w:t>
      </w:r>
    </w:p>
    <w:p w:rsidR="00BA4B30" w:rsidRPr="00BA4B30" w:rsidRDefault="00BA4B30" w:rsidP="00BC0213">
      <w:pPr>
        <w:pStyle w:val="ElsReferences"/>
        <w:rPr>
          <w:noProof/>
        </w:rPr>
      </w:pPr>
      <w:r w:rsidRPr="00BA4B30">
        <w:rPr>
          <w:noProof/>
        </w:rPr>
        <w:t xml:space="preserve">Hill, T. A.; Stewart, S. G.; Gordon, C. P.; Ackland, S. P.; Gilbert, J.; Sauer, B.; Sakoff, J. A.; McCluskey, A. Norcantharidin Analogues: Synthesis, Anticancer Activity and Protein Phosphatase 1 and 2A Inhibition. </w:t>
      </w:r>
      <w:r w:rsidRPr="00BA4B30">
        <w:rPr>
          <w:i/>
          <w:iCs/>
          <w:noProof/>
        </w:rPr>
        <w:t>ChemMedChem</w:t>
      </w:r>
      <w:r w:rsidRPr="00BA4B30">
        <w:rPr>
          <w:noProof/>
        </w:rPr>
        <w:t xml:space="preserve"> </w:t>
      </w:r>
      <w:r w:rsidRPr="00BA4B30">
        <w:rPr>
          <w:b/>
          <w:bCs/>
          <w:noProof/>
        </w:rPr>
        <w:t>2008</w:t>
      </w:r>
      <w:r w:rsidRPr="00BA4B30">
        <w:rPr>
          <w:noProof/>
        </w:rPr>
        <w:t xml:space="preserve">, </w:t>
      </w:r>
      <w:r w:rsidRPr="00BA4B30">
        <w:rPr>
          <w:i/>
          <w:iCs/>
          <w:noProof/>
        </w:rPr>
        <w:t>3</w:t>
      </w:r>
      <w:r w:rsidRPr="00BA4B30">
        <w:rPr>
          <w:noProof/>
        </w:rPr>
        <w:t xml:space="preserve"> (12), 1878–1892. https://doi.org/10.1002/cmdc.200800192.</w:t>
      </w:r>
    </w:p>
    <w:p w:rsidR="00BA4B30" w:rsidRPr="00BA4B30" w:rsidRDefault="00BA4B30" w:rsidP="00BC0213">
      <w:pPr>
        <w:pStyle w:val="ElsReferences"/>
        <w:rPr>
          <w:noProof/>
        </w:rPr>
      </w:pPr>
      <w:r w:rsidRPr="00BA4B30">
        <w:rPr>
          <w:noProof/>
        </w:rPr>
        <w:t xml:space="preserve">Pen-Yuan, L.; Sheng-Jie, S.; Hsien-Liang, S.; Hsue-Fen, C.; Chiung-Chang, L.; Pong-Chun, L.; Leng-Fang, W. A Simple Procedure for Preparation of N-Thiazolyl and N-Thiadiazolylcantharidinimides and Evaluation of Their Cytotoxicities against Human Hepatocellular Carcinoma Cells. </w:t>
      </w:r>
      <w:r w:rsidRPr="00BA4B30">
        <w:rPr>
          <w:i/>
          <w:iCs/>
          <w:noProof/>
        </w:rPr>
        <w:t>Bioorg. Chem.</w:t>
      </w:r>
      <w:r w:rsidRPr="00BA4B30">
        <w:rPr>
          <w:noProof/>
        </w:rPr>
        <w:t xml:space="preserve"> </w:t>
      </w:r>
      <w:r w:rsidRPr="00BA4B30">
        <w:rPr>
          <w:b/>
          <w:bCs/>
          <w:noProof/>
        </w:rPr>
        <w:t>2000</w:t>
      </w:r>
      <w:r w:rsidRPr="00BA4B30">
        <w:rPr>
          <w:noProof/>
        </w:rPr>
        <w:t xml:space="preserve">, </w:t>
      </w:r>
      <w:r w:rsidRPr="00BA4B30">
        <w:rPr>
          <w:i/>
          <w:iCs/>
          <w:noProof/>
        </w:rPr>
        <w:t>28</w:t>
      </w:r>
      <w:r w:rsidRPr="00BA4B30">
        <w:rPr>
          <w:noProof/>
        </w:rPr>
        <w:t xml:space="preserve"> (5), 266–272. https://doi.org/10.1006/bioo.2000.1178.</w:t>
      </w:r>
    </w:p>
    <w:p w:rsidR="00BA4B30" w:rsidRPr="00BA4B30" w:rsidRDefault="00BA4B30" w:rsidP="00BC0213">
      <w:pPr>
        <w:pStyle w:val="ElsReferences"/>
        <w:rPr>
          <w:noProof/>
        </w:rPr>
      </w:pPr>
      <w:r w:rsidRPr="00BA4B30">
        <w:rPr>
          <w:noProof/>
        </w:rPr>
        <w:t xml:space="preserve">Lin, L.-H.; Huang, H.-S.; Lin, C.-C.; Lee, L.-W.; Lin, P.-Y. Effects of Cantharidinimides on Human Carcinoma Cells. </w:t>
      </w:r>
      <w:r w:rsidRPr="00BA4B30">
        <w:rPr>
          <w:i/>
          <w:iCs/>
          <w:noProof/>
        </w:rPr>
        <w:t>Chem. Pharm. Bull. (Tokyo).</w:t>
      </w:r>
      <w:r w:rsidRPr="00BA4B30">
        <w:rPr>
          <w:noProof/>
        </w:rPr>
        <w:t xml:space="preserve"> </w:t>
      </w:r>
      <w:r w:rsidRPr="00BA4B30">
        <w:rPr>
          <w:b/>
          <w:bCs/>
          <w:noProof/>
        </w:rPr>
        <w:t>2004</w:t>
      </w:r>
      <w:r w:rsidRPr="00BA4B30">
        <w:rPr>
          <w:noProof/>
        </w:rPr>
        <w:t xml:space="preserve">, </w:t>
      </w:r>
      <w:r w:rsidRPr="00BA4B30">
        <w:rPr>
          <w:i/>
          <w:iCs/>
          <w:noProof/>
        </w:rPr>
        <w:t>52</w:t>
      </w:r>
      <w:r w:rsidRPr="00BA4B30">
        <w:rPr>
          <w:noProof/>
        </w:rPr>
        <w:t xml:space="preserve"> (7), 855–857. https://doi.org/10.1248/cpb.52.855.</w:t>
      </w:r>
    </w:p>
    <w:p w:rsidR="00BA4B30" w:rsidRPr="00BA4B30" w:rsidRDefault="00BA4B30" w:rsidP="00BC0213">
      <w:pPr>
        <w:pStyle w:val="ElsReferences"/>
        <w:rPr>
          <w:noProof/>
        </w:rPr>
      </w:pPr>
      <w:r w:rsidRPr="00BA4B30">
        <w:rPr>
          <w:noProof/>
        </w:rPr>
        <w:t xml:space="preserve">Hill, T. A.; Stewart, S. G.; Ackland, S. P.; Gilbert, J.; Sauer, B.; Sakoff, J. A.; McCluskey, A. Norcantharimides, Synthesis and Anticancer Activity: Synthesis of New Norcantharidin Analogues and Their Anticancer Evaluation. </w:t>
      </w:r>
      <w:r w:rsidRPr="00BA4B30">
        <w:rPr>
          <w:i/>
          <w:iCs/>
          <w:noProof/>
        </w:rPr>
        <w:t>Bioorg. Med. Chem.</w:t>
      </w:r>
      <w:r w:rsidRPr="00BA4B30">
        <w:rPr>
          <w:noProof/>
        </w:rPr>
        <w:t xml:space="preserve"> </w:t>
      </w:r>
      <w:r w:rsidRPr="00BA4B30">
        <w:rPr>
          <w:b/>
          <w:bCs/>
          <w:noProof/>
        </w:rPr>
        <w:t>2007</w:t>
      </w:r>
      <w:r w:rsidRPr="00BA4B30">
        <w:rPr>
          <w:noProof/>
        </w:rPr>
        <w:t xml:space="preserve">, </w:t>
      </w:r>
      <w:r w:rsidRPr="00BA4B30">
        <w:rPr>
          <w:i/>
          <w:iCs/>
          <w:noProof/>
        </w:rPr>
        <w:t>15</w:t>
      </w:r>
      <w:r w:rsidRPr="00BA4B30">
        <w:rPr>
          <w:noProof/>
        </w:rPr>
        <w:t xml:space="preserve"> (18), 6126–6134. https://doi.org/10.1016/j.bmc.2007.06.034.</w:t>
      </w:r>
    </w:p>
    <w:p w:rsidR="00BA4B30" w:rsidRPr="00BA4B30" w:rsidRDefault="00BA4B30" w:rsidP="00BC0213">
      <w:pPr>
        <w:pStyle w:val="ElsReferences"/>
        <w:rPr>
          <w:noProof/>
        </w:rPr>
      </w:pPr>
      <w:r w:rsidRPr="00BA4B30">
        <w:rPr>
          <w:noProof/>
        </w:rPr>
        <w:t xml:space="preserve">Campbell, B. E.; Tarleton, M.; Gordon, C. P.; Sakoff, J. A.; Gilbert, J.; McCluskey, A.; Gasser, R. B. Norcantharidin Analogues with Nematocidal Activity in Haemonchus Contortus. </w:t>
      </w:r>
      <w:r w:rsidRPr="00BA4B30">
        <w:rPr>
          <w:i/>
          <w:iCs/>
          <w:noProof/>
        </w:rPr>
        <w:t>Bioorg. Med. Chem. Lett.</w:t>
      </w:r>
      <w:r w:rsidRPr="00BA4B30">
        <w:rPr>
          <w:noProof/>
        </w:rPr>
        <w:t xml:space="preserve"> </w:t>
      </w:r>
      <w:r w:rsidRPr="00BA4B30">
        <w:rPr>
          <w:b/>
          <w:bCs/>
          <w:noProof/>
        </w:rPr>
        <w:t>2011</w:t>
      </w:r>
      <w:r w:rsidRPr="00BA4B30">
        <w:rPr>
          <w:noProof/>
        </w:rPr>
        <w:t xml:space="preserve">, </w:t>
      </w:r>
      <w:r w:rsidRPr="00BA4B30">
        <w:rPr>
          <w:i/>
          <w:iCs/>
          <w:noProof/>
        </w:rPr>
        <w:t>21</w:t>
      </w:r>
      <w:r w:rsidRPr="00BA4B30">
        <w:rPr>
          <w:noProof/>
        </w:rPr>
        <w:t xml:space="preserve"> (11), 3277–3281. https://doi.org/10.1016/j.bmcl.2011.04.031.</w:t>
      </w:r>
    </w:p>
    <w:p w:rsidR="00BA4B30" w:rsidRPr="00BA4B30" w:rsidRDefault="00BA4B30" w:rsidP="00BC0213">
      <w:pPr>
        <w:pStyle w:val="ElsReferences"/>
        <w:rPr>
          <w:noProof/>
        </w:rPr>
      </w:pPr>
      <w:r w:rsidRPr="00BA4B30">
        <w:rPr>
          <w:noProof/>
        </w:rPr>
        <w:t xml:space="preserve">Wu, J.-Y.; Kuo, C.-D.; Chu, C.-Y.; Chen, M.-S.; Lin, J.-H.; Chen, Y.-J.; Liao, H.-F. Synthesis of Novel Lipophilic N-Substituted Norcantharimide Derivatives and Evaluation of Their Anticancer Activities. </w:t>
      </w:r>
      <w:r w:rsidRPr="00BA4B30">
        <w:rPr>
          <w:i/>
          <w:iCs/>
          <w:noProof/>
        </w:rPr>
        <w:t>Molecules</w:t>
      </w:r>
      <w:r w:rsidRPr="00BA4B30">
        <w:rPr>
          <w:noProof/>
        </w:rPr>
        <w:t xml:space="preserve"> </w:t>
      </w:r>
      <w:r w:rsidRPr="00BA4B30">
        <w:rPr>
          <w:b/>
          <w:bCs/>
          <w:noProof/>
        </w:rPr>
        <w:t>2014</w:t>
      </w:r>
      <w:r w:rsidRPr="00BA4B30">
        <w:rPr>
          <w:noProof/>
        </w:rPr>
        <w:t xml:space="preserve">, </w:t>
      </w:r>
      <w:r w:rsidRPr="00BA4B30">
        <w:rPr>
          <w:i/>
          <w:iCs/>
          <w:noProof/>
        </w:rPr>
        <w:t>19</w:t>
      </w:r>
      <w:r w:rsidRPr="00BA4B30">
        <w:rPr>
          <w:noProof/>
        </w:rPr>
        <w:t xml:space="preserve"> (6), 6911–6928. https://doi.org/10.3390/molecules19066911.</w:t>
      </w:r>
    </w:p>
    <w:p w:rsidR="00BA4B30" w:rsidRPr="00BA4B30" w:rsidRDefault="00BA4B30" w:rsidP="00BC0213">
      <w:pPr>
        <w:pStyle w:val="ElsReferences"/>
        <w:rPr>
          <w:noProof/>
        </w:rPr>
      </w:pPr>
      <w:r w:rsidRPr="00BA4B30">
        <w:rPr>
          <w:noProof/>
        </w:rPr>
        <w:t xml:space="preserve">Foster, R. W.; Benhamou, L.; Porter, M. J.; Bučar, D.-K.; Hailes, H. C.; Tame, C. J.; Sheppard, T. D. Irreversible Endo -Selective Diels-Alder Reactions of Substituted Alkoxyfurans: A General Synthesis of Endo -Cantharimides. </w:t>
      </w:r>
      <w:r w:rsidRPr="00BA4B30">
        <w:rPr>
          <w:i/>
          <w:iCs/>
          <w:noProof/>
        </w:rPr>
        <w:t>Chem. Eur. J.</w:t>
      </w:r>
      <w:r w:rsidRPr="00BA4B30">
        <w:rPr>
          <w:noProof/>
        </w:rPr>
        <w:t xml:space="preserve"> </w:t>
      </w:r>
      <w:r w:rsidRPr="00BA4B30">
        <w:rPr>
          <w:b/>
          <w:bCs/>
          <w:noProof/>
        </w:rPr>
        <w:t>2015</w:t>
      </w:r>
      <w:r w:rsidRPr="00BA4B30">
        <w:rPr>
          <w:noProof/>
        </w:rPr>
        <w:t xml:space="preserve">, </w:t>
      </w:r>
      <w:r w:rsidRPr="00BA4B30">
        <w:rPr>
          <w:i/>
          <w:iCs/>
          <w:noProof/>
        </w:rPr>
        <w:t>21</w:t>
      </w:r>
      <w:r w:rsidRPr="00BA4B30">
        <w:rPr>
          <w:noProof/>
        </w:rPr>
        <w:t xml:space="preserve"> (16), 6107–6114. https://doi.org/10.1002/chem.201406286.</w:t>
      </w:r>
    </w:p>
    <w:p w:rsidR="00BA4B30" w:rsidRPr="00BA4B30" w:rsidRDefault="00BA4B30" w:rsidP="00BC0213">
      <w:pPr>
        <w:pStyle w:val="ElsReferences"/>
        <w:rPr>
          <w:noProof/>
        </w:rPr>
      </w:pPr>
      <w:r w:rsidRPr="00BA4B30">
        <w:rPr>
          <w:noProof/>
        </w:rPr>
        <w:t xml:space="preserve">Bai, Y.; De bruyn, M.; Clark, J. H.; Dodson, J. R.; Farmer, T. J.; Honoré, M.; Ingram, I. D. V.; Naguib, M.; Whitwood, A. C.; North, M. Ring Opening Metathesis Polymerisation of a New Bio-Derived Monomer from Itaconic Anhydride and Furfuryl Alcohol. </w:t>
      </w:r>
      <w:r w:rsidRPr="00BA4B30">
        <w:rPr>
          <w:i/>
          <w:iCs/>
          <w:noProof/>
        </w:rPr>
        <w:t>Green Chem.</w:t>
      </w:r>
      <w:r w:rsidRPr="00BA4B30">
        <w:rPr>
          <w:noProof/>
        </w:rPr>
        <w:t xml:space="preserve"> </w:t>
      </w:r>
      <w:r w:rsidRPr="00BA4B30">
        <w:rPr>
          <w:b/>
          <w:bCs/>
          <w:noProof/>
        </w:rPr>
        <w:t>2016</w:t>
      </w:r>
      <w:r w:rsidRPr="00BA4B30">
        <w:rPr>
          <w:noProof/>
        </w:rPr>
        <w:t xml:space="preserve">, </w:t>
      </w:r>
      <w:r w:rsidRPr="00BA4B30">
        <w:rPr>
          <w:i/>
          <w:iCs/>
          <w:noProof/>
        </w:rPr>
        <w:t>18</w:t>
      </w:r>
      <w:r w:rsidRPr="00BA4B30">
        <w:rPr>
          <w:noProof/>
        </w:rPr>
        <w:t xml:space="preserve"> (14), 3945–3948. https://doi.org/10.1039/C6GC00623J.</w:t>
      </w:r>
    </w:p>
    <w:p w:rsidR="00BA4B30" w:rsidRPr="00BA4B30" w:rsidRDefault="00BA4B30" w:rsidP="00BC0213">
      <w:pPr>
        <w:pStyle w:val="ElsReferences"/>
        <w:rPr>
          <w:noProof/>
        </w:rPr>
      </w:pPr>
      <w:r w:rsidRPr="00BA4B30">
        <w:rPr>
          <w:noProof/>
        </w:rPr>
        <w:t xml:space="preserve">Pehere, A. D.; Xu, S.; Thompson, S. K.; Hillmyer, M. A.; Hoye, T. R. Diels–Alder Reactions of Furans with Itaconic Anhydride: Overcoming Unfavorable Thermodynamics. </w:t>
      </w:r>
      <w:r w:rsidRPr="00BA4B30">
        <w:rPr>
          <w:i/>
          <w:iCs/>
          <w:noProof/>
        </w:rPr>
        <w:t>Org. Lett.</w:t>
      </w:r>
      <w:r w:rsidRPr="00BA4B30">
        <w:rPr>
          <w:noProof/>
        </w:rPr>
        <w:t xml:space="preserve"> </w:t>
      </w:r>
      <w:r w:rsidRPr="00BA4B30">
        <w:rPr>
          <w:b/>
          <w:bCs/>
          <w:noProof/>
        </w:rPr>
        <w:t>2016</w:t>
      </w:r>
      <w:r w:rsidRPr="00BA4B30">
        <w:rPr>
          <w:noProof/>
        </w:rPr>
        <w:t xml:space="preserve">, </w:t>
      </w:r>
      <w:r w:rsidRPr="00BA4B30">
        <w:rPr>
          <w:i/>
          <w:iCs/>
          <w:noProof/>
        </w:rPr>
        <w:t>18</w:t>
      </w:r>
      <w:r w:rsidRPr="00BA4B30">
        <w:rPr>
          <w:noProof/>
        </w:rPr>
        <w:t xml:space="preserve"> (11), 2584–2587. https://doi.org/10.1021/acs.orglett.6b00929.</w:t>
      </w:r>
    </w:p>
    <w:p w:rsidR="00BA4B30" w:rsidRPr="00BA4B30" w:rsidRDefault="00BA4B30" w:rsidP="00BC0213">
      <w:pPr>
        <w:pStyle w:val="ElsReferences"/>
        <w:rPr>
          <w:noProof/>
        </w:rPr>
      </w:pPr>
      <w:r w:rsidRPr="00BA4B30">
        <w:rPr>
          <w:noProof/>
        </w:rPr>
        <w:t xml:space="preserve">Berovic, M.; Legisa, M. Citric Acid Production. In </w:t>
      </w:r>
      <w:r w:rsidRPr="00BA4B30">
        <w:rPr>
          <w:i/>
          <w:iCs/>
          <w:noProof/>
        </w:rPr>
        <w:t>Biotechnology Annual Review</w:t>
      </w:r>
      <w:r w:rsidRPr="00BA4B30">
        <w:rPr>
          <w:noProof/>
        </w:rPr>
        <w:t>; Elsevier, 2007; Vol. 13, pp 303–343. https://doi.org/10.1016/S1387-2656(07)13011-8.</w:t>
      </w:r>
    </w:p>
    <w:p w:rsidR="00BA4B30" w:rsidRPr="00BA4B30" w:rsidRDefault="00BA4B30" w:rsidP="00BC0213">
      <w:pPr>
        <w:pStyle w:val="ElsReferences"/>
        <w:rPr>
          <w:noProof/>
        </w:rPr>
      </w:pPr>
      <w:r w:rsidRPr="00BA4B30">
        <w:rPr>
          <w:noProof/>
        </w:rPr>
        <w:t xml:space="preserve">Moreau, C.; Belgacem, M. N.; Gandini, A. Recent Catalytic Advances in the Chemistry of Substituted Furans from Carbohydrates and in the Ensuing Polymers. </w:t>
      </w:r>
      <w:r w:rsidRPr="00BA4B30">
        <w:rPr>
          <w:i/>
          <w:iCs/>
          <w:noProof/>
        </w:rPr>
        <w:t>Top. Catal.</w:t>
      </w:r>
      <w:r w:rsidRPr="00BA4B30">
        <w:rPr>
          <w:noProof/>
        </w:rPr>
        <w:t xml:space="preserve"> </w:t>
      </w:r>
      <w:r w:rsidRPr="00BA4B30">
        <w:rPr>
          <w:b/>
          <w:bCs/>
          <w:noProof/>
        </w:rPr>
        <w:t>2004</w:t>
      </w:r>
      <w:r w:rsidRPr="00BA4B30">
        <w:rPr>
          <w:noProof/>
        </w:rPr>
        <w:t xml:space="preserve">, </w:t>
      </w:r>
      <w:r w:rsidRPr="00BA4B30">
        <w:rPr>
          <w:i/>
          <w:iCs/>
          <w:noProof/>
        </w:rPr>
        <w:t>27</w:t>
      </w:r>
      <w:r w:rsidRPr="00BA4B30">
        <w:rPr>
          <w:noProof/>
        </w:rPr>
        <w:t xml:space="preserve"> (1–4), 11–30. https://doi.org/10.1023/B:TOCA.0000013537.13540.0e.</w:t>
      </w:r>
    </w:p>
    <w:p w:rsidR="00BA4B30" w:rsidRPr="00BA4B30" w:rsidRDefault="00BA4B30" w:rsidP="00BC0213">
      <w:pPr>
        <w:pStyle w:val="ElsReferences"/>
        <w:rPr>
          <w:noProof/>
        </w:rPr>
      </w:pPr>
      <w:r w:rsidRPr="00BA4B30">
        <w:rPr>
          <w:noProof/>
        </w:rPr>
        <w:t xml:space="preserve">Bai, Y.; Clark, J. H.; Farmer, T. J.; Ingram, I. D. V; North, M. Wholly Biomass Derivable Sustainable Polymers by Ring-Opening Metathesis Polymerisation of Monomers Obtained from Furfuryl Alcohol and Itaconic Anhydride. </w:t>
      </w:r>
      <w:r w:rsidRPr="00BA4B30">
        <w:rPr>
          <w:i/>
          <w:iCs/>
          <w:noProof/>
        </w:rPr>
        <w:t>Polym. Chem.</w:t>
      </w:r>
      <w:r w:rsidRPr="00BA4B30">
        <w:rPr>
          <w:noProof/>
        </w:rPr>
        <w:t xml:space="preserve"> </w:t>
      </w:r>
      <w:r w:rsidRPr="00BA4B30">
        <w:rPr>
          <w:b/>
          <w:bCs/>
          <w:noProof/>
        </w:rPr>
        <w:t>2017</w:t>
      </w:r>
      <w:r w:rsidRPr="00BA4B30">
        <w:rPr>
          <w:noProof/>
        </w:rPr>
        <w:t xml:space="preserve">, </w:t>
      </w:r>
      <w:r w:rsidRPr="00BA4B30">
        <w:rPr>
          <w:i/>
          <w:iCs/>
          <w:noProof/>
        </w:rPr>
        <w:t>8</w:t>
      </w:r>
      <w:r w:rsidRPr="00BA4B30">
        <w:rPr>
          <w:noProof/>
        </w:rPr>
        <w:t>, 3074–3081. https://doi.org/10.1039/c7py00486a.</w:t>
      </w:r>
    </w:p>
    <w:p w:rsidR="00BA4B30" w:rsidRPr="00BA4B30" w:rsidRDefault="00BA4B30" w:rsidP="00BC0213">
      <w:pPr>
        <w:pStyle w:val="ElsReferences"/>
        <w:rPr>
          <w:noProof/>
        </w:rPr>
      </w:pPr>
      <w:r w:rsidRPr="00BA4B30">
        <w:rPr>
          <w:noProof/>
        </w:rPr>
        <w:t xml:space="preserve">Lawrenson, S. B.; Hart, S.; Ingram, I. D. V; North, M.; Parker, R. R.; Whitwood, A. C. Ring-Opening Metathesis Polymerization of Tertiary Amide Monomers Derived from a Biobased Oxanorbornene. </w:t>
      </w:r>
      <w:r w:rsidRPr="00BA4B30">
        <w:rPr>
          <w:i/>
          <w:iCs/>
          <w:noProof/>
        </w:rPr>
        <w:t>ACS Sustain. Chem. Eng.</w:t>
      </w:r>
      <w:r w:rsidRPr="00BA4B30">
        <w:rPr>
          <w:noProof/>
        </w:rPr>
        <w:t xml:space="preserve"> </w:t>
      </w:r>
      <w:r w:rsidRPr="00BA4B30">
        <w:rPr>
          <w:b/>
          <w:bCs/>
          <w:noProof/>
        </w:rPr>
        <w:t>2018</w:t>
      </w:r>
      <w:r w:rsidRPr="00BA4B30">
        <w:rPr>
          <w:noProof/>
        </w:rPr>
        <w:t xml:space="preserve">, </w:t>
      </w:r>
      <w:r w:rsidRPr="00BA4B30">
        <w:rPr>
          <w:i/>
          <w:iCs/>
          <w:noProof/>
        </w:rPr>
        <w:t>6</w:t>
      </w:r>
      <w:r w:rsidRPr="00BA4B30">
        <w:rPr>
          <w:noProof/>
        </w:rPr>
        <w:t xml:space="preserve"> (8), 9744–9752. https://doi.org/10.1021/acssuschemeng.8b00779.</w:t>
      </w:r>
    </w:p>
    <w:p w:rsidR="00BA4B30" w:rsidRPr="00BA4B30" w:rsidRDefault="00BA4B30" w:rsidP="00BC0213">
      <w:pPr>
        <w:pStyle w:val="ElsReferences"/>
        <w:rPr>
          <w:noProof/>
        </w:rPr>
      </w:pPr>
      <w:r w:rsidRPr="00BA4B30">
        <w:rPr>
          <w:noProof/>
        </w:rPr>
        <w:t xml:space="preserve">Blanpain, A.; Clark, J. H.; Farmer, T. J.; Guo, Y.; Ingram, I. D. V.; Kendrick, J. E.; Lawrenson, S. B.; North, M.; Rodgers, G.; Whitwood, A. C. Rapid Ring‐Opening Metathesis Polymerization of Monomers Obtained from Biomass‐Derived Furfuryl Amines and Maleic Anhydride. </w:t>
      </w:r>
      <w:r w:rsidRPr="00BA4B30">
        <w:rPr>
          <w:i/>
          <w:iCs/>
          <w:noProof/>
        </w:rPr>
        <w:t>ChemSusChem</w:t>
      </w:r>
      <w:r w:rsidRPr="00BA4B30">
        <w:rPr>
          <w:noProof/>
        </w:rPr>
        <w:t xml:space="preserve"> </w:t>
      </w:r>
      <w:r w:rsidRPr="00BA4B30">
        <w:rPr>
          <w:b/>
          <w:bCs/>
          <w:noProof/>
        </w:rPr>
        <w:t>2019</w:t>
      </w:r>
      <w:r w:rsidRPr="00BA4B30">
        <w:rPr>
          <w:noProof/>
        </w:rPr>
        <w:t xml:space="preserve">, </w:t>
      </w:r>
      <w:r w:rsidRPr="00BA4B30">
        <w:rPr>
          <w:i/>
          <w:iCs/>
          <w:noProof/>
        </w:rPr>
        <w:t>12</w:t>
      </w:r>
      <w:r w:rsidRPr="00BA4B30">
        <w:rPr>
          <w:noProof/>
        </w:rPr>
        <w:t xml:space="preserve"> (11), 2393–2401. https://doi.org/10.1002/cssc.201900748.</w:t>
      </w:r>
    </w:p>
    <w:p w:rsidR="00BA4B30" w:rsidRPr="00BA4B30" w:rsidRDefault="00BA4B30" w:rsidP="00BC0213">
      <w:pPr>
        <w:pStyle w:val="ElsReferences"/>
        <w:rPr>
          <w:noProof/>
        </w:rPr>
      </w:pPr>
      <w:r w:rsidRPr="00BA4B30">
        <w:rPr>
          <w:noProof/>
        </w:rPr>
        <w:t xml:space="preserve">Zhang, J.; Senthilkumar, M.; Ghosh, S. C.; Hong, S. H. Synthesis of Cyclic Imides from Simple Diols. </w:t>
      </w:r>
      <w:r w:rsidRPr="00BA4B30">
        <w:rPr>
          <w:i/>
          <w:iCs/>
          <w:noProof/>
        </w:rPr>
        <w:t>Angew. Chem. Int. Ed.</w:t>
      </w:r>
      <w:r w:rsidRPr="00BA4B30">
        <w:rPr>
          <w:noProof/>
        </w:rPr>
        <w:t xml:space="preserve"> </w:t>
      </w:r>
      <w:r w:rsidRPr="00BA4B30">
        <w:rPr>
          <w:b/>
          <w:bCs/>
          <w:noProof/>
        </w:rPr>
        <w:t>2010</w:t>
      </w:r>
      <w:r w:rsidRPr="00BA4B30">
        <w:rPr>
          <w:noProof/>
        </w:rPr>
        <w:t xml:space="preserve">, </w:t>
      </w:r>
      <w:r w:rsidRPr="00BA4B30">
        <w:rPr>
          <w:i/>
          <w:iCs/>
          <w:noProof/>
        </w:rPr>
        <w:t>49</w:t>
      </w:r>
      <w:r w:rsidRPr="00BA4B30">
        <w:rPr>
          <w:noProof/>
        </w:rPr>
        <w:t xml:space="preserve"> (36), 6391–6395. https://doi.org/10.1002/anie.201002136.</w:t>
      </w:r>
    </w:p>
    <w:p w:rsidR="00BA4B30" w:rsidRPr="00BA4B30" w:rsidRDefault="00BA4B30" w:rsidP="00BC0213">
      <w:pPr>
        <w:pStyle w:val="ElsReferences"/>
        <w:rPr>
          <w:noProof/>
        </w:rPr>
      </w:pPr>
      <w:r w:rsidRPr="00BA4B30">
        <w:rPr>
          <w:noProof/>
        </w:rPr>
        <w:t xml:space="preserve">Ito, R.; Umezawa, N.; Higuchi, T. Unique Oxidation Reaction of Amides with Pyridine- N -Oxide Catalyzed by Ruthenium Porphyrin: Direct Oxidative Conversion of N -Acyl- l -Proline to N -Acyl- l -Glutamate. </w:t>
      </w:r>
      <w:r w:rsidRPr="00BA4B30">
        <w:rPr>
          <w:i/>
          <w:iCs/>
          <w:noProof/>
        </w:rPr>
        <w:t>J. Am. Chem. Soc.</w:t>
      </w:r>
      <w:r w:rsidRPr="00BA4B30">
        <w:rPr>
          <w:noProof/>
        </w:rPr>
        <w:t xml:space="preserve"> </w:t>
      </w:r>
      <w:r w:rsidRPr="00BA4B30">
        <w:rPr>
          <w:b/>
          <w:bCs/>
          <w:noProof/>
        </w:rPr>
        <w:t>2005</w:t>
      </w:r>
      <w:r w:rsidRPr="00BA4B30">
        <w:rPr>
          <w:noProof/>
        </w:rPr>
        <w:t xml:space="preserve">, </w:t>
      </w:r>
      <w:r w:rsidRPr="00BA4B30">
        <w:rPr>
          <w:i/>
          <w:iCs/>
          <w:noProof/>
        </w:rPr>
        <w:t>127</w:t>
      </w:r>
      <w:r w:rsidRPr="00BA4B30">
        <w:rPr>
          <w:noProof/>
        </w:rPr>
        <w:t xml:space="preserve"> (3), 834–835. https://doi.org/10.1021/ja045603f.</w:t>
      </w:r>
    </w:p>
    <w:p w:rsidR="00BA4B30" w:rsidRPr="00BA4B30" w:rsidRDefault="00BA4B30" w:rsidP="00BC0213">
      <w:pPr>
        <w:pStyle w:val="ElsReferences"/>
        <w:rPr>
          <w:noProof/>
        </w:rPr>
      </w:pPr>
      <w:r w:rsidRPr="00BA4B30">
        <w:rPr>
          <w:noProof/>
        </w:rPr>
        <w:t xml:space="preserve">Driller, K. M.; Klein, H.; Jackstell, R.; Beller, M. Iron-Catalyzed Carbonylation: Selective and Efficient Synthesis of Succinimides. </w:t>
      </w:r>
      <w:r w:rsidRPr="00BA4B30">
        <w:rPr>
          <w:i/>
          <w:iCs/>
          <w:noProof/>
        </w:rPr>
        <w:t>Angew. Chem. Int. Ed.</w:t>
      </w:r>
      <w:r w:rsidRPr="00BA4B30">
        <w:rPr>
          <w:noProof/>
        </w:rPr>
        <w:t xml:space="preserve"> </w:t>
      </w:r>
      <w:r w:rsidRPr="00BA4B30">
        <w:rPr>
          <w:b/>
          <w:bCs/>
          <w:noProof/>
        </w:rPr>
        <w:t>2009</w:t>
      </w:r>
      <w:r w:rsidRPr="00BA4B30">
        <w:rPr>
          <w:noProof/>
        </w:rPr>
        <w:t xml:space="preserve">, </w:t>
      </w:r>
      <w:r w:rsidRPr="00BA4B30">
        <w:rPr>
          <w:i/>
          <w:iCs/>
          <w:noProof/>
        </w:rPr>
        <w:t>48</w:t>
      </w:r>
      <w:r w:rsidRPr="00BA4B30">
        <w:rPr>
          <w:noProof/>
        </w:rPr>
        <w:t xml:space="preserve"> (33), 6041–6044. https://doi.org/10.1002/anie.200902078.</w:t>
      </w:r>
    </w:p>
    <w:p w:rsidR="00BA4B30" w:rsidRPr="00BA4B30" w:rsidRDefault="00BA4B30" w:rsidP="00BC0213">
      <w:pPr>
        <w:pStyle w:val="ElsReferences"/>
        <w:rPr>
          <w:noProof/>
        </w:rPr>
      </w:pPr>
      <w:r w:rsidRPr="00BA4B30">
        <w:rPr>
          <w:noProof/>
        </w:rPr>
        <w:t xml:space="preserve">Pal’chikov, V. A.; Tarabara, I. N.; Omel’chenko, I. V.; Shishkin, O. V.; Kas’yan, L. I. Reaction of N-Substituted Exo-2-Hydroxy-5-Oxo-4-Oxatricyclo[4.2.1.03,7]Nonane-Endo-9-Carboxamides with Acetic Acid. </w:t>
      </w:r>
      <w:r w:rsidRPr="00BA4B30">
        <w:rPr>
          <w:i/>
          <w:iCs/>
          <w:noProof/>
        </w:rPr>
        <w:t>Russ. J. Org. Chem.</w:t>
      </w:r>
      <w:r w:rsidRPr="00BA4B30">
        <w:rPr>
          <w:noProof/>
        </w:rPr>
        <w:t xml:space="preserve"> </w:t>
      </w:r>
      <w:r w:rsidRPr="00BA4B30">
        <w:rPr>
          <w:b/>
          <w:bCs/>
          <w:noProof/>
        </w:rPr>
        <w:t>2010</w:t>
      </w:r>
      <w:r w:rsidRPr="00BA4B30">
        <w:rPr>
          <w:noProof/>
        </w:rPr>
        <w:t xml:space="preserve">, </w:t>
      </w:r>
      <w:r w:rsidRPr="00BA4B30">
        <w:rPr>
          <w:i/>
          <w:iCs/>
          <w:noProof/>
        </w:rPr>
        <w:t>46</w:t>
      </w:r>
      <w:r w:rsidRPr="00BA4B30">
        <w:rPr>
          <w:noProof/>
        </w:rPr>
        <w:t xml:space="preserve"> (6), 823–829. https://doi.org/10.1134/S1070428010060096.</w:t>
      </w:r>
    </w:p>
    <w:p w:rsidR="00BA4B30" w:rsidRPr="00BA4B30" w:rsidRDefault="00BA4B30" w:rsidP="00BC0213">
      <w:pPr>
        <w:pStyle w:val="ElsReferences"/>
        <w:rPr>
          <w:noProof/>
        </w:rPr>
      </w:pPr>
      <w:r w:rsidRPr="00BA4B30">
        <w:rPr>
          <w:noProof/>
        </w:rPr>
        <w:t xml:space="preserve">Kaiser, D.; Bauer, A.; Lemmerer, M.; Maulide, N. Amide Activation: An Emerging Tool for Chemoselective Synthesis. </w:t>
      </w:r>
      <w:r w:rsidRPr="00BA4B30">
        <w:rPr>
          <w:i/>
          <w:iCs/>
          <w:noProof/>
        </w:rPr>
        <w:t>Chem. Soc. Rev.</w:t>
      </w:r>
      <w:r w:rsidRPr="00BA4B30">
        <w:rPr>
          <w:noProof/>
        </w:rPr>
        <w:t xml:space="preserve"> </w:t>
      </w:r>
      <w:r w:rsidRPr="00BA4B30">
        <w:rPr>
          <w:b/>
          <w:bCs/>
          <w:noProof/>
        </w:rPr>
        <w:t>2018</w:t>
      </w:r>
      <w:r w:rsidRPr="00BA4B30">
        <w:rPr>
          <w:noProof/>
        </w:rPr>
        <w:t xml:space="preserve">, </w:t>
      </w:r>
      <w:r w:rsidRPr="00BA4B30">
        <w:rPr>
          <w:i/>
          <w:iCs/>
          <w:noProof/>
        </w:rPr>
        <w:t>47</w:t>
      </w:r>
      <w:r w:rsidRPr="00BA4B30">
        <w:rPr>
          <w:noProof/>
        </w:rPr>
        <w:t xml:space="preserve"> (21), 7899–7925. https://doi.org/10.1039/C8CS00335A.</w:t>
      </w:r>
    </w:p>
    <w:p w:rsidR="00BA4B30" w:rsidRPr="00BA4B30" w:rsidRDefault="00BA4B30" w:rsidP="00BC0213">
      <w:pPr>
        <w:pStyle w:val="ElsReferences"/>
        <w:rPr>
          <w:noProof/>
        </w:rPr>
      </w:pPr>
      <w:r w:rsidRPr="00BA4B30">
        <w:rPr>
          <w:noProof/>
        </w:rPr>
        <w:t xml:space="preserve">Breugst, M.; Tokuyasu, T.; Mayr, H. Nucleophilic Reactivities of Imide and Amide Anions. </w:t>
      </w:r>
      <w:r w:rsidRPr="00BA4B30">
        <w:rPr>
          <w:i/>
          <w:iCs/>
          <w:noProof/>
        </w:rPr>
        <w:t>J. Org. Chem.</w:t>
      </w:r>
      <w:r w:rsidRPr="00BA4B30">
        <w:rPr>
          <w:noProof/>
        </w:rPr>
        <w:t xml:space="preserve"> </w:t>
      </w:r>
      <w:r w:rsidRPr="00BA4B30">
        <w:rPr>
          <w:b/>
          <w:bCs/>
          <w:noProof/>
        </w:rPr>
        <w:t>2010</w:t>
      </w:r>
      <w:r w:rsidRPr="00BA4B30">
        <w:rPr>
          <w:noProof/>
        </w:rPr>
        <w:t xml:space="preserve">, </w:t>
      </w:r>
      <w:r w:rsidRPr="00BA4B30">
        <w:rPr>
          <w:i/>
          <w:iCs/>
          <w:noProof/>
        </w:rPr>
        <w:t>75</w:t>
      </w:r>
      <w:r w:rsidRPr="00BA4B30">
        <w:rPr>
          <w:noProof/>
        </w:rPr>
        <w:t xml:space="preserve"> (15), 5250–5258. https://doi.org/10.1021/jo1009883.</w:t>
      </w:r>
    </w:p>
    <w:p w:rsidR="00BA4B30" w:rsidRPr="00BA4B30" w:rsidRDefault="00BA4B30" w:rsidP="00BC0213">
      <w:pPr>
        <w:pStyle w:val="ElsReferences"/>
        <w:rPr>
          <w:noProof/>
        </w:rPr>
      </w:pPr>
      <w:r w:rsidRPr="00BA4B30">
        <w:rPr>
          <w:noProof/>
        </w:rPr>
        <w:t xml:space="preserve">Tshepelevitsh, S.; Kütt, A.; Lõkov, M.; Kaljurand, I.; Saame, J.; Heering, A.; Plieger, P. G.; Vianello, R.; Leito, I. On the Basicity of Organic Bases in Different Media. </w:t>
      </w:r>
      <w:r w:rsidRPr="00BA4B30">
        <w:rPr>
          <w:i/>
          <w:iCs/>
          <w:noProof/>
        </w:rPr>
        <w:t>Eur. J. Org. Chem.</w:t>
      </w:r>
      <w:r w:rsidRPr="00BA4B30">
        <w:rPr>
          <w:noProof/>
        </w:rPr>
        <w:t xml:space="preserve"> </w:t>
      </w:r>
      <w:r w:rsidRPr="00BA4B30">
        <w:rPr>
          <w:b/>
          <w:bCs/>
          <w:noProof/>
        </w:rPr>
        <w:t>2019</w:t>
      </w:r>
      <w:r w:rsidRPr="00BA4B30">
        <w:rPr>
          <w:noProof/>
        </w:rPr>
        <w:t xml:space="preserve">, </w:t>
      </w:r>
      <w:r w:rsidRPr="00BA4B30">
        <w:rPr>
          <w:i/>
          <w:iCs/>
          <w:noProof/>
        </w:rPr>
        <w:t>2019</w:t>
      </w:r>
      <w:r w:rsidRPr="00BA4B30">
        <w:rPr>
          <w:noProof/>
        </w:rPr>
        <w:t xml:space="preserve"> (40), 6735–6748. https://doi.org/10.1002/ejoc.201900956.</w:t>
      </w:r>
    </w:p>
    <w:p w:rsidR="00BA4B30" w:rsidRPr="00BA4B30" w:rsidRDefault="00BA4B30" w:rsidP="00BC0213">
      <w:pPr>
        <w:pStyle w:val="ElsReferences"/>
        <w:rPr>
          <w:noProof/>
        </w:rPr>
      </w:pPr>
      <w:r w:rsidRPr="00BA4B30">
        <w:rPr>
          <w:noProof/>
        </w:rPr>
        <w:t xml:space="preserve">Colomer, I.; Empson, C. J.; Craven, P.; Owen, Z.; Doveston, R. G.; Churcher, I.; Marsden, S. P.; Nelson, A. A Divergent Synthetic Approach to Diverse Molecular Scaffolds: Assessment of Lead-Likeness Using LLAMA, an Open-Access Computational Tool. </w:t>
      </w:r>
      <w:r w:rsidRPr="00BA4B30">
        <w:rPr>
          <w:i/>
          <w:iCs/>
          <w:noProof/>
        </w:rPr>
        <w:t>Chem. Commun.</w:t>
      </w:r>
      <w:r w:rsidRPr="00BA4B30">
        <w:rPr>
          <w:noProof/>
        </w:rPr>
        <w:t xml:space="preserve"> </w:t>
      </w:r>
      <w:r w:rsidRPr="00BA4B30">
        <w:rPr>
          <w:b/>
          <w:bCs/>
          <w:noProof/>
        </w:rPr>
        <w:t>2016</w:t>
      </w:r>
      <w:r w:rsidRPr="00BA4B30">
        <w:rPr>
          <w:noProof/>
        </w:rPr>
        <w:t xml:space="preserve">, </w:t>
      </w:r>
      <w:r w:rsidRPr="00BA4B30">
        <w:rPr>
          <w:i/>
          <w:iCs/>
          <w:noProof/>
        </w:rPr>
        <w:t>52</w:t>
      </w:r>
      <w:r w:rsidRPr="00BA4B30">
        <w:rPr>
          <w:noProof/>
        </w:rPr>
        <w:t xml:space="preserve"> (45), 7209–7212. https://doi.org/10.1039/C6CC03244C.</w:t>
      </w:r>
    </w:p>
    <w:p w:rsidR="00BA4B30" w:rsidRPr="00BA4B30" w:rsidRDefault="00BA4B30" w:rsidP="00BC0213">
      <w:pPr>
        <w:pStyle w:val="ElsReferences"/>
        <w:rPr>
          <w:noProof/>
        </w:rPr>
      </w:pPr>
      <w:r w:rsidRPr="00BA4B30">
        <w:rPr>
          <w:noProof/>
        </w:rPr>
        <w:t xml:space="preserve">Irwin, J. J.; Sterling, T.; Mysinger, M. M.; Bolstad, E. S.; Coleman, R. G. ZINC: A Free Tool to Discover Chemistry for Biology. </w:t>
      </w:r>
      <w:r w:rsidRPr="00BA4B30">
        <w:rPr>
          <w:i/>
          <w:iCs/>
          <w:noProof/>
        </w:rPr>
        <w:t>J. Chem. Inf. Model.</w:t>
      </w:r>
      <w:r w:rsidRPr="00BA4B30">
        <w:rPr>
          <w:noProof/>
        </w:rPr>
        <w:t xml:space="preserve"> </w:t>
      </w:r>
      <w:r w:rsidRPr="00BA4B30">
        <w:rPr>
          <w:b/>
          <w:bCs/>
          <w:noProof/>
        </w:rPr>
        <w:t>2012</w:t>
      </w:r>
      <w:r w:rsidRPr="00BA4B30">
        <w:rPr>
          <w:noProof/>
        </w:rPr>
        <w:t xml:space="preserve">, </w:t>
      </w:r>
      <w:r w:rsidRPr="00BA4B30">
        <w:rPr>
          <w:i/>
          <w:iCs/>
          <w:noProof/>
        </w:rPr>
        <w:t>52</w:t>
      </w:r>
      <w:r w:rsidRPr="00BA4B30">
        <w:rPr>
          <w:noProof/>
        </w:rPr>
        <w:t xml:space="preserve"> (7), 1757–1768. https://doi.org/10.1021/ci3001277.</w:t>
      </w:r>
    </w:p>
    <w:p w:rsidR="00BA4B30" w:rsidRPr="00BA4B30" w:rsidRDefault="00BA4B30" w:rsidP="00BC0213">
      <w:pPr>
        <w:pStyle w:val="ElsReferences"/>
        <w:rPr>
          <w:noProof/>
        </w:rPr>
      </w:pPr>
      <w:r w:rsidRPr="00BA4B30">
        <w:rPr>
          <w:noProof/>
        </w:rPr>
        <w:t xml:space="preserve">Tarleton, M.; Gilbert, J.; Sakoff, J. A.; McCluskey, A. Synthesis and Anticancer Activity of a Series of Norcantharidin Analogues. </w:t>
      </w:r>
      <w:r w:rsidRPr="00BA4B30">
        <w:rPr>
          <w:i/>
          <w:iCs/>
          <w:noProof/>
        </w:rPr>
        <w:lastRenderedPageBreak/>
        <w:t>Eur. J. Med. Chem.</w:t>
      </w:r>
      <w:r w:rsidRPr="00BA4B30">
        <w:rPr>
          <w:noProof/>
        </w:rPr>
        <w:t xml:space="preserve"> </w:t>
      </w:r>
      <w:r w:rsidRPr="00BA4B30">
        <w:rPr>
          <w:b/>
          <w:bCs/>
          <w:noProof/>
        </w:rPr>
        <w:t>2012</w:t>
      </w:r>
      <w:r w:rsidRPr="00BA4B30">
        <w:rPr>
          <w:noProof/>
        </w:rPr>
        <w:t xml:space="preserve">, </w:t>
      </w:r>
      <w:r w:rsidRPr="00BA4B30">
        <w:rPr>
          <w:i/>
          <w:iCs/>
          <w:noProof/>
        </w:rPr>
        <w:t>54</w:t>
      </w:r>
      <w:r w:rsidRPr="00BA4B30">
        <w:rPr>
          <w:noProof/>
        </w:rPr>
        <w:t>, 573–581. https://doi.org/10.1016/j.ejmech.2012.06.010.</w:t>
      </w:r>
    </w:p>
    <w:p w:rsidR="00BA4B30" w:rsidRPr="00BA4B30" w:rsidRDefault="00BA4B30" w:rsidP="00BC0213">
      <w:pPr>
        <w:pStyle w:val="ElsReferences"/>
        <w:rPr>
          <w:noProof/>
        </w:rPr>
      </w:pPr>
      <w:r w:rsidRPr="00BA4B30">
        <w:rPr>
          <w:noProof/>
        </w:rPr>
        <w:t xml:space="preserve">Kok, S.; Chui, C.; Lam, W.; Chen, J.; Lau, F.; Wong, R.; Cheng, G.; Tang, W.; Cheng, C.; Tang, J.; Chan, A. Mechanistic Insight into a Novel Synthetic Cantharidin Analogue in a Leukaemia Model. </w:t>
      </w:r>
      <w:r w:rsidRPr="00BA4B30">
        <w:rPr>
          <w:i/>
          <w:iCs/>
          <w:noProof/>
        </w:rPr>
        <w:t>Int. J. Mol. Med.</w:t>
      </w:r>
      <w:r w:rsidRPr="00BA4B30">
        <w:rPr>
          <w:noProof/>
        </w:rPr>
        <w:t xml:space="preserve"> </w:t>
      </w:r>
      <w:r w:rsidRPr="00BA4B30">
        <w:rPr>
          <w:b/>
          <w:bCs/>
          <w:noProof/>
        </w:rPr>
        <w:t>2006</w:t>
      </w:r>
      <w:r w:rsidRPr="00BA4B30">
        <w:rPr>
          <w:noProof/>
        </w:rPr>
        <w:t xml:space="preserve">, </w:t>
      </w:r>
      <w:r w:rsidRPr="00BA4B30">
        <w:rPr>
          <w:i/>
          <w:iCs/>
          <w:noProof/>
        </w:rPr>
        <w:t>18</w:t>
      </w:r>
      <w:r w:rsidRPr="00BA4B30">
        <w:rPr>
          <w:noProof/>
        </w:rPr>
        <w:t xml:space="preserve"> (2), 375–379. https://doi.org/10.3892/ijmm.18.2.375.</w:t>
      </w:r>
    </w:p>
    <w:p w:rsidR="00BA4B30" w:rsidRPr="00BA4B30" w:rsidRDefault="00BA4B30" w:rsidP="00BC0213">
      <w:pPr>
        <w:pStyle w:val="ElsReferences"/>
        <w:rPr>
          <w:noProof/>
        </w:rPr>
      </w:pPr>
      <w:r w:rsidRPr="00BA4B30">
        <w:rPr>
          <w:noProof/>
        </w:rPr>
        <w:t xml:space="preserve">Lu, B.; Vayssade, M.; Miao, Y.; Chagnault, V.; Grand, E.; Wadouachi, A.; Postel, D.; Drelich, A.; Egles, C.; Pezron, I. Physico-Chemical Properties and Cytotoxic Effects of Sugar-Based Surfactants: Impact of Structural Variations. </w:t>
      </w:r>
      <w:r w:rsidRPr="00BA4B30">
        <w:rPr>
          <w:i/>
          <w:iCs/>
          <w:noProof/>
        </w:rPr>
        <w:t>Colloids Surfaces B Biointerfaces</w:t>
      </w:r>
      <w:r w:rsidRPr="00BA4B30">
        <w:rPr>
          <w:noProof/>
        </w:rPr>
        <w:t xml:space="preserve"> </w:t>
      </w:r>
      <w:r w:rsidRPr="00BA4B30">
        <w:rPr>
          <w:b/>
          <w:bCs/>
          <w:noProof/>
        </w:rPr>
        <w:t>2016</w:t>
      </w:r>
      <w:r w:rsidRPr="00BA4B30">
        <w:rPr>
          <w:noProof/>
        </w:rPr>
        <w:t xml:space="preserve">, </w:t>
      </w:r>
      <w:r w:rsidRPr="00BA4B30">
        <w:rPr>
          <w:i/>
          <w:iCs/>
          <w:noProof/>
        </w:rPr>
        <w:t>145</w:t>
      </w:r>
      <w:r w:rsidRPr="00BA4B30">
        <w:rPr>
          <w:noProof/>
        </w:rPr>
        <w:t>, 79–86. https://doi.org/10.1016/j.colsurfb.2016.04.044.</w:t>
      </w:r>
    </w:p>
    <w:p w:rsidR="00BA4B30" w:rsidRPr="00BA4B30" w:rsidRDefault="00BA4B30" w:rsidP="00BC0213">
      <w:pPr>
        <w:pStyle w:val="ElsReferences"/>
        <w:rPr>
          <w:noProof/>
        </w:rPr>
      </w:pPr>
      <w:r w:rsidRPr="00BA4B30">
        <w:rPr>
          <w:noProof/>
        </w:rPr>
        <w:t xml:space="preserve">Perinelli, D. R.; Cespi, M.; Casettari, L.; Vllasaliu, D.; Cangiotti, M.; Ottaviani, M. F.; Giorgioni, G.; Bonacucina, G.; Palmieri, G. F. Correlation among Chemical Structure, Surface Properties and Cytotoxicity of N-Acyl Alanine and Serine Surfactants. </w:t>
      </w:r>
      <w:r w:rsidRPr="00BA4B30">
        <w:rPr>
          <w:i/>
          <w:iCs/>
          <w:noProof/>
        </w:rPr>
        <w:t>Eur. J. Pharm. Biopharm.</w:t>
      </w:r>
      <w:r w:rsidRPr="00BA4B30">
        <w:rPr>
          <w:noProof/>
        </w:rPr>
        <w:t xml:space="preserve"> </w:t>
      </w:r>
      <w:r w:rsidRPr="00BA4B30">
        <w:rPr>
          <w:b/>
          <w:bCs/>
          <w:noProof/>
        </w:rPr>
        <w:t>2016</w:t>
      </w:r>
      <w:r w:rsidRPr="00BA4B30">
        <w:rPr>
          <w:noProof/>
        </w:rPr>
        <w:t xml:space="preserve">, </w:t>
      </w:r>
      <w:r w:rsidRPr="00BA4B30">
        <w:rPr>
          <w:i/>
          <w:iCs/>
          <w:noProof/>
        </w:rPr>
        <w:t>109</w:t>
      </w:r>
      <w:r w:rsidRPr="00BA4B30">
        <w:rPr>
          <w:noProof/>
        </w:rPr>
        <w:t>, 93–102. https://doi.org/10.1016/j.ejpb.2016.09.015.</w:t>
      </w:r>
    </w:p>
    <w:p w:rsidR="00BA4B30" w:rsidRPr="00BA4B30" w:rsidRDefault="00BA4B30" w:rsidP="00BC0213">
      <w:pPr>
        <w:pStyle w:val="ElsReferences"/>
        <w:rPr>
          <w:noProof/>
        </w:rPr>
      </w:pPr>
      <w:r w:rsidRPr="00BA4B30">
        <w:rPr>
          <w:noProof/>
        </w:rPr>
        <w:t xml:space="preserve">Partearroyo, M. A.; Ostolaza, H.; Goñi, F. M.; Barberá-Guillem, E. Surfactant-Induced Cell Toxicity and Cell Lysis. </w:t>
      </w:r>
      <w:r w:rsidRPr="00BA4B30">
        <w:rPr>
          <w:i/>
          <w:iCs/>
          <w:noProof/>
        </w:rPr>
        <w:t>Biochem. Pharmacol.</w:t>
      </w:r>
      <w:r w:rsidRPr="00BA4B30">
        <w:rPr>
          <w:noProof/>
        </w:rPr>
        <w:t xml:space="preserve"> </w:t>
      </w:r>
      <w:r w:rsidRPr="00BA4B30">
        <w:rPr>
          <w:b/>
          <w:bCs/>
          <w:noProof/>
        </w:rPr>
        <w:t>1990</w:t>
      </w:r>
      <w:r w:rsidRPr="00BA4B30">
        <w:rPr>
          <w:noProof/>
        </w:rPr>
        <w:t xml:space="preserve">, </w:t>
      </w:r>
      <w:r w:rsidRPr="00BA4B30">
        <w:rPr>
          <w:i/>
          <w:iCs/>
          <w:noProof/>
        </w:rPr>
        <w:t>40</w:t>
      </w:r>
      <w:r w:rsidRPr="00BA4B30">
        <w:rPr>
          <w:noProof/>
        </w:rPr>
        <w:t xml:space="preserve"> (6), 1323–1328. https://doi.org/10.1016/0006-2952(90)90399-6.</w:t>
      </w:r>
    </w:p>
    <w:p w:rsidR="00BA4B30" w:rsidRPr="00BA4B30" w:rsidRDefault="00BA4B30" w:rsidP="00BC0213">
      <w:pPr>
        <w:pStyle w:val="ElsReferences"/>
        <w:rPr>
          <w:noProof/>
        </w:rPr>
      </w:pPr>
      <w:r w:rsidRPr="00BA4B30">
        <w:rPr>
          <w:noProof/>
        </w:rPr>
        <w:t xml:space="preserve">Lawrence, M. J. Surfactant Systems: Their Use in Drug Delivery. </w:t>
      </w:r>
      <w:r w:rsidRPr="00BA4B30">
        <w:rPr>
          <w:i/>
          <w:iCs/>
          <w:noProof/>
        </w:rPr>
        <w:t>Chem. Soc. Rev.</w:t>
      </w:r>
      <w:r w:rsidRPr="00BA4B30">
        <w:rPr>
          <w:noProof/>
        </w:rPr>
        <w:t xml:space="preserve"> </w:t>
      </w:r>
      <w:r w:rsidRPr="00BA4B30">
        <w:rPr>
          <w:b/>
          <w:bCs/>
          <w:noProof/>
        </w:rPr>
        <w:t>1994</w:t>
      </w:r>
      <w:r w:rsidRPr="00BA4B30">
        <w:rPr>
          <w:noProof/>
        </w:rPr>
        <w:t xml:space="preserve">, </w:t>
      </w:r>
      <w:r w:rsidRPr="00BA4B30">
        <w:rPr>
          <w:i/>
          <w:iCs/>
          <w:noProof/>
        </w:rPr>
        <w:t>23</w:t>
      </w:r>
      <w:r w:rsidRPr="00BA4B30">
        <w:rPr>
          <w:noProof/>
        </w:rPr>
        <w:t xml:space="preserve"> (6), 417. https://doi.org/10.1039/cs9942300417.</w:t>
      </w:r>
    </w:p>
    <w:p w:rsidR="00BA4B30" w:rsidRPr="00BA4B30" w:rsidRDefault="00BA4B30" w:rsidP="00BC0213">
      <w:pPr>
        <w:pStyle w:val="ElsReferences"/>
        <w:rPr>
          <w:noProof/>
        </w:rPr>
      </w:pPr>
      <w:r w:rsidRPr="00BA4B30">
        <w:rPr>
          <w:noProof/>
        </w:rPr>
        <w:t xml:space="preserve">Ma, L.; Kohli, M.; Smith, A. Nanoparticles for Combination Drug Therapy. </w:t>
      </w:r>
      <w:r w:rsidRPr="00BA4B30">
        <w:rPr>
          <w:i/>
          <w:iCs/>
          <w:noProof/>
        </w:rPr>
        <w:t>ACS Nano</w:t>
      </w:r>
      <w:r w:rsidRPr="00BA4B30">
        <w:rPr>
          <w:noProof/>
        </w:rPr>
        <w:t xml:space="preserve"> </w:t>
      </w:r>
      <w:r w:rsidRPr="00BA4B30">
        <w:rPr>
          <w:b/>
          <w:bCs/>
          <w:noProof/>
        </w:rPr>
        <w:t>2013</w:t>
      </w:r>
      <w:r w:rsidRPr="00BA4B30">
        <w:rPr>
          <w:noProof/>
        </w:rPr>
        <w:t xml:space="preserve">, </w:t>
      </w:r>
      <w:r w:rsidRPr="00BA4B30">
        <w:rPr>
          <w:i/>
          <w:iCs/>
          <w:noProof/>
        </w:rPr>
        <w:t>7</w:t>
      </w:r>
      <w:r w:rsidRPr="00BA4B30">
        <w:rPr>
          <w:noProof/>
        </w:rPr>
        <w:t xml:space="preserve"> (11), 9518–9525. https://doi.org/10.1021/nn405674m.</w:t>
      </w:r>
    </w:p>
    <w:p w:rsidR="00BA4B30" w:rsidRPr="00BA4B30" w:rsidRDefault="00BA4B30" w:rsidP="00BC0213">
      <w:pPr>
        <w:pStyle w:val="ElsReferences"/>
        <w:rPr>
          <w:noProof/>
        </w:rPr>
      </w:pPr>
      <w:r w:rsidRPr="00BA4B30">
        <w:rPr>
          <w:noProof/>
        </w:rPr>
        <w:t xml:space="preserve">Florento, L.; Matias, R.; Tuaño, E.; Santiago, K.; dela Cruz, F.; Tuazon, A.; Florento, L. M. Comparison of Cytotoxic Activity of Anticancer Drugs against Various Human Tumor Cell Lines Using In Vitro Cell-Based Approach. </w:t>
      </w:r>
      <w:r w:rsidRPr="00BA4B30">
        <w:rPr>
          <w:i/>
          <w:iCs/>
          <w:noProof/>
        </w:rPr>
        <w:t>Int. J. Biomed. Sci.</w:t>
      </w:r>
      <w:r w:rsidRPr="00BA4B30">
        <w:rPr>
          <w:noProof/>
        </w:rPr>
        <w:t xml:space="preserve"> </w:t>
      </w:r>
      <w:r w:rsidRPr="00BA4B30">
        <w:rPr>
          <w:b/>
          <w:bCs/>
          <w:noProof/>
        </w:rPr>
        <w:t>2012</w:t>
      </w:r>
      <w:r w:rsidRPr="00BA4B30">
        <w:rPr>
          <w:noProof/>
        </w:rPr>
        <w:t xml:space="preserve">, </w:t>
      </w:r>
      <w:r w:rsidRPr="00BA4B30">
        <w:rPr>
          <w:i/>
          <w:iCs/>
          <w:noProof/>
        </w:rPr>
        <w:t>8</w:t>
      </w:r>
      <w:r w:rsidRPr="00BA4B30">
        <w:rPr>
          <w:noProof/>
        </w:rPr>
        <w:t xml:space="preserve"> (1), 76–80.</w:t>
      </w:r>
    </w:p>
    <w:p w:rsidR="00BA4B30" w:rsidRPr="00BA4B30" w:rsidRDefault="00BA4B30" w:rsidP="00BC0213">
      <w:pPr>
        <w:pStyle w:val="ElsReferences"/>
        <w:rPr>
          <w:noProof/>
        </w:rPr>
      </w:pPr>
      <w:r w:rsidRPr="00BA4B30">
        <w:rPr>
          <w:noProof/>
        </w:rPr>
        <w:t xml:space="preserve">Groom, C. R.; Bruno, I. J.; Lightfoot, M. P.; Ward, S. C. The Cambridge Structural Database. </w:t>
      </w:r>
      <w:r w:rsidRPr="00BA4B30">
        <w:rPr>
          <w:i/>
          <w:iCs/>
          <w:noProof/>
        </w:rPr>
        <w:t>Acta. Cryst.</w:t>
      </w:r>
      <w:r w:rsidRPr="00BA4B30">
        <w:rPr>
          <w:noProof/>
        </w:rPr>
        <w:t xml:space="preserve"> </w:t>
      </w:r>
      <w:r w:rsidRPr="00BA4B30">
        <w:rPr>
          <w:b/>
          <w:bCs/>
          <w:noProof/>
        </w:rPr>
        <w:t>2016</w:t>
      </w:r>
      <w:r w:rsidRPr="00BA4B30">
        <w:rPr>
          <w:noProof/>
        </w:rPr>
        <w:t xml:space="preserve">, </w:t>
      </w:r>
      <w:r w:rsidRPr="00BA4B30">
        <w:rPr>
          <w:i/>
          <w:iCs/>
          <w:noProof/>
        </w:rPr>
        <w:t>B72</w:t>
      </w:r>
      <w:r w:rsidRPr="00BA4B30">
        <w:rPr>
          <w:noProof/>
        </w:rPr>
        <w:t xml:space="preserve"> (2), 171–179. https://doi.org/10.1107/S2052520616003954.</w:t>
      </w:r>
    </w:p>
    <w:p w:rsidR="00BA4B30" w:rsidRPr="00BA4B30" w:rsidRDefault="00BA4B30" w:rsidP="00BC0213">
      <w:pPr>
        <w:pStyle w:val="ElsReferences"/>
        <w:rPr>
          <w:noProof/>
        </w:rPr>
      </w:pPr>
      <w:r w:rsidRPr="00BA4B30">
        <w:rPr>
          <w:noProof/>
        </w:rPr>
        <w:t xml:space="preserve">Nadin, A.; Hattotuwagama, C.; Churcher, I. Lead-Oriented Synthesis: A New Opportunity for Synthetic Chemistry. </w:t>
      </w:r>
      <w:r w:rsidRPr="00BA4B30">
        <w:rPr>
          <w:i/>
          <w:iCs/>
          <w:noProof/>
        </w:rPr>
        <w:t>Angew. Chem. Int. Ed.</w:t>
      </w:r>
      <w:r w:rsidRPr="00BA4B30">
        <w:rPr>
          <w:noProof/>
        </w:rPr>
        <w:t xml:space="preserve"> </w:t>
      </w:r>
      <w:r w:rsidRPr="00BA4B30">
        <w:rPr>
          <w:b/>
          <w:bCs/>
          <w:noProof/>
        </w:rPr>
        <w:t>2012</w:t>
      </w:r>
      <w:r w:rsidRPr="00BA4B30">
        <w:rPr>
          <w:noProof/>
        </w:rPr>
        <w:t xml:space="preserve">, </w:t>
      </w:r>
      <w:r w:rsidRPr="00BA4B30">
        <w:rPr>
          <w:i/>
          <w:iCs/>
          <w:noProof/>
        </w:rPr>
        <w:t>51</w:t>
      </w:r>
      <w:r w:rsidRPr="00BA4B30">
        <w:rPr>
          <w:noProof/>
        </w:rPr>
        <w:t xml:space="preserve"> (5), 1114–1122. https://doi.org/10.1002/anie.201105840.</w:t>
      </w:r>
    </w:p>
    <w:p w:rsidR="00BA4B30" w:rsidRPr="00BA4B30" w:rsidRDefault="00BA4B30" w:rsidP="00BC0213">
      <w:pPr>
        <w:pStyle w:val="ElsReferences"/>
        <w:rPr>
          <w:noProof/>
        </w:rPr>
      </w:pPr>
      <w:r w:rsidRPr="00BA4B30">
        <w:rPr>
          <w:noProof/>
        </w:rPr>
        <w:t xml:space="preserve">Bemis, G. W.; Murcko, M. A. The Properties of Known Drugs. 1. Molecular Frameworks. </w:t>
      </w:r>
      <w:r w:rsidRPr="00BA4B30">
        <w:rPr>
          <w:i/>
          <w:iCs/>
          <w:noProof/>
        </w:rPr>
        <w:t>J. Med. Chem.</w:t>
      </w:r>
      <w:r w:rsidRPr="00BA4B30">
        <w:rPr>
          <w:noProof/>
        </w:rPr>
        <w:t xml:space="preserve"> </w:t>
      </w:r>
      <w:r w:rsidRPr="00BA4B30">
        <w:rPr>
          <w:b/>
          <w:bCs/>
          <w:noProof/>
        </w:rPr>
        <w:t>1996</w:t>
      </w:r>
      <w:r w:rsidRPr="00BA4B30">
        <w:rPr>
          <w:noProof/>
        </w:rPr>
        <w:t xml:space="preserve">, </w:t>
      </w:r>
      <w:r w:rsidRPr="00BA4B30">
        <w:rPr>
          <w:i/>
          <w:iCs/>
          <w:noProof/>
        </w:rPr>
        <w:t>39</w:t>
      </w:r>
      <w:r w:rsidRPr="00BA4B30">
        <w:rPr>
          <w:noProof/>
        </w:rPr>
        <w:t xml:space="preserve"> (15), 2887–2893. https://doi.org/10.1021/jm9602928.</w:t>
      </w:r>
    </w:p>
    <w:p w:rsidR="00DA29AA" w:rsidRPr="00DA29AA" w:rsidRDefault="00BA4B30" w:rsidP="00A64104">
      <w:pPr>
        <w:pStyle w:val="ElsReferences"/>
        <w:numPr>
          <w:ilvl w:val="0"/>
          <w:numId w:val="0"/>
        </w:numPr>
      </w:pPr>
      <w:r>
        <w:fldChar w:fldCharType="end"/>
      </w:r>
    </w:p>
    <w:p w:rsidR="00DA29AA" w:rsidRPr="00DA29AA" w:rsidRDefault="00DA29AA" w:rsidP="00DA29AA">
      <w:pPr>
        <w:pStyle w:val="ElsAcknowledgementsHeading"/>
      </w:pPr>
      <w:r>
        <w:t xml:space="preserve">Acknowledgements </w:t>
      </w:r>
    </w:p>
    <w:p w:rsidR="00DA29AA" w:rsidRDefault="00DA29AA" w:rsidP="00DA29AA">
      <w:pPr>
        <w:pStyle w:val="ElsParagraph"/>
      </w:pPr>
      <w:r>
        <w:t xml:space="preserve">SL would like to thank the EPSRC (grant number EP/M506680/1) and BP plc for financial support. </w:t>
      </w:r>
      <w:r w:rsidRPr="00C30A06">
        <w:t>The authors would like to thank the European Research Council for funding (grant number 615142).</w:t>
      </w:r>
    </w:p>
    <w:p w:rsidR="00E324AF" w:rsidRDefault="00E324AF" w:rsidP="00D27CC8">
      <w:pPr>
        <w:pStyle w:val="ElsParagraph"/>
      </w:pPr>
    </w:p>
    <w:p w:rsidR="00D27CC8" w:rsidRDefault="00D27CC8" w:rsidP="00D27CC8">
      <w:pPr>
        <w:pStyle w:val="ElsParagraph"/>
        <w:rPr>
          <w:rFonts w:cstheme="minorHAnsi"/>
        </w:rPr>
      </w:pPr>
    </w:p>
    <w:p w:rsidR="00D27CC8" w:rsidRDefault="00D27CC8" w:rsidP="00D27CC8">
      <w:pPr>
        <w:pStyle w:val="ElsParagraph"/>
      </w:pPr>
    </w:p>
    <w:p w:rsidR="00D27CC8" w:rsidRDefault="00D27CC8" w:rsidP="00D27CC8">
      <w:pPr>
        <w:pStyle w:val="ElsParagraph"/>
        <w:rPr>
          <w:rFonts w:cstheme="minorHAnsi"/>
        </w:rPr>
      </w:pPr>
    </w:p>
    <w:p w:rsidR="00D27CC8" w:rsidRDefault="00D27CC8" w:rsidP="00D27CC8">
      <w:pPr>
        <w:pStyle w:val="ElsParagraph"/>
        <w:rPr>
          <w:rFonts w:cstheme="minorHAnsi"/>
        </w:rPr>
      </w:pPr>
    </w:p>
    <w:p w:rsidR="00D27CC8" w:rsidRDefault="00D27CC8" w:rsidP="00D27CC8">
      <w:pPr>
        <w:pStyle w:val="ElsParagraph"/>
      </w:pPr>
    </w:p>
    <w:p w:rsidR="00D27CC8" w:rsidRDefault="00D27CC8" w:rsidP="00D27CC8">
      <w:pPr>
        <w:pStyle w:val="ElsParagraph"/>
        <w:rPr>
          <w:rFonts w:cstheme="minorHAnsi"/>
        </w:rPr>
      </w:pPr>
    </w:p>
    <w:p w:rsidR="00D27CC8" w:rsidRDefault="00D27CC8" w:rsidP="00D27CC8">
      <w:pPr>
        <w:pStyle w:val="ElsParagraph"/>
        <w:rPr>
          <w:rFonts w:cstheme="minorHAnsi"/>
        </w:rPr>
      </w:pPr>
    </w:p>
    <w:p w:rsidR="00D27CC8" w:rsidRDefault="00D27CC8" w:rsidP="00D27CC8">
      <w:pPr>
        <w:pStyle w:val="ElsParagraph"/>
        <w:rPr>
          <w:rFonts w:cstheme="minorHAnsi"/>
        </w:rPr>
      </w:pPr>
    </w:p>
    <w:p w:rsidR="00D27CC8" w:rsidRPr="005C55AE" w:rsidRDefault="00D27CC8" w:rsidP="00D27CC8">
      <w:pPr>
        <w:pStyle w:val="ElsParagraph"/>
      </w:pPr>
    </w:p>
    <w:p w:rsidR="00D27CC8" w:rsidRDefault="00D27CC8" w:rsidP="00D27CC8">
      <w:pPr>
        <w:pStyle w:val="ElsParagraph"/>
      </w:pPr>
    </w:p>
    <w:p w:rsidR="00D27CC8" w:rsidRDefault="00D27CC8" w:rsidP="00D27CC8">
      <w:pPr>
        <w:pStyle w:val="ElsParagraph"/>
      </w:pPr>
    </w:p>
    <w:p w:rsidR="00D27CC8" w:rsidRDefault="00D27CC8" w:rsidP="00D27CC8">
      <w:pPr>
        <w:pStyle w:val="ElsParagraph"/>
      </w:pPr>
    </w:p>
    <w:p w:rsidR="00D27CC8" w:rsidRPr="00D27CC8" w:rsidRDefault="00D27CC8" w:rsidP="00D27CC8">
      <w:pPr>
        <w:pStyle w:val="ElsParagraph"/>
      </w:pPr>
    </w:p>
    <w:p w:rsidR="00B31AEC" w:rsidRDefault="00B31AEC" w:rsidP="00B31AEC">
      <w:pPr>
        <w:pStyle w:val="ElsParagraph"/>
      </w:pPr>
    </w:p>
    <w:p w:rsidR="00AA2F5D" w:rsidRDefault="00AA2F5D" w:rsidP="00AA2F5D">
      <w:pPr>
        <w:pStyle w:val="ElsParagraph"/>
      </w:pPr>
    </w:p>
    <w:p w:rsidR="00AA2F5D" w:rsidRDefault="00AA2F5D" w:rsidP="00AA2F5D">
      <w:pPr>
        <w:pStyle w:val="ElsParagraph"/>
        <w:rPr>
          <w:noProof/>
          <w:lang w:eastAsia="en-GB"/>
        </w:rPr>
      </w:pPr>
    </w:p>
    <w:p w:rsidR="00465E21" w:rsidRDefault="00465E21" w:rsidP="00F24A35">
      <w:pPr>
        <w:pStyle w:val="ElsParagraph"/>
      </w:pPr>
    </w:p>
    <w:p w:rsidR="00F24A35" w:rsidRDefault="00F24A35" w:rsidP="00F24A35">
      <w:pPr>
        <w:pStyle w:val="ElsParagraph"/>
      </w:pPr>
    </w:p>
    <w:p w:rsidR="001317BF" w:rsidRDefault="001317BF" w:rsidP="001317BF">
      <w:pPr>
        <w:pStyle w:val="ElsParagraph"/>
      </w:pPr>
    </w:p>
    <w:p w:rsidR="001317BF" w:rsidRDefault="001317BF" w:rsidP="001317BF">
      <w:pPr>
        <w:pStyle w:val="ElsParagraph"/>
      </w:pPr>
    </w:p>
    <w:p w:rsidR="001317BF" w:rsidRDefault="001317BF" w:rsidP="001317BF">
      <w:pPr>
        <w:pStyle w:val="ElsParagraph"/>
      </w:pPr>
    </w:p>
    <w:p w:rsidR="001317BF" w:rsidRDefault="001317BF" w:rsidP="001317BF">
      <w:pPr>
        <w:pStyle w:val="RSCB02ArticleText"/>
      </w:pPr>
      <w:r>
        <w:br/>
      </w:r>
      <w:r w:rsidRPr="00FF609A">
        <w:t xml:space="preserve"> </w:t>
      </w:r>
    </w:p>
    <w:p w:rsidR="00DC24A5" w:rsidRPr="00900227" w:rsidRDefault="00DC24A5" w:rsidP="00DC24A5">
      <w:pPr>
        <w:pStyle w:val="ElsFigureCaption"/>
      </w:pPr>
    </w:p>
    <w:p w:rsidR="00DC24A5" w:rsidRDefault="00DC24A5" w:rsidP="00DC24A5">
      <w:pPr>
        <w:pStyle w:val="ElsParagraph"/>
      </w:pPr>
    </w:p>
    <w:p w:rsidR="00DC24A5" w:rsidRPr="00FF609A" w:rsidRDefault="00DC24A5" w:rsidP="00DC24A5">
      <w:pPr>
        <w:pStyle w:val="ElsParagraph"/>
      </w:pPr>
    </w:p>
    <w:p w:rsidR="00F84267" w:rsidRDefault="00F84267" w:rsidP="00874FE1">
      <w:pPr>
        <w:pStyle w:val="ElsParagraph"/>
      </w:pPr>
    </w:p>
    <w:p w:rsidR="00042017" w:rsidRDefault="00042017" w:rsidP="00042017">
      <w:pPr>
        <w:pStyle w:val="ElsParagraph"/>
      </w:pPr>
      <w:r>
        <w:t xml:space="preserve">  </w:t>
      </w:r>
    </w:p>
    <w:p w:rsidR="00042017" w:rsidRDefault="00042017" w:rsidP="00042017">
      <w:pPr>
        <w:pStyle w:val="RSCB02ArticleText"/>
      </w:pPr>
    </w:p>
    <w:p w:rsidR="0052532F" w:rsidRDefault="0052532F" w:rsidP="0052532F">
      <w:pPr>
        <w:pStyle w:val="ElsParagraph"/>
      </w:pPr>
    </w:p>
    <w:p w:rsidR="0052532F" w:rsidRDefault="0052532F" w:rsidP="005D7ADD">
      <w:pPr>
        <w:pStyle w:val="ElsParagraph"/>
      </w:pPr>
    </w:p>
    <w:p w:rsidR="00393A35" w:rsidRDefault="00393A35" w:rsidP="005D7ADD">
      <w:pPr>
        <w:pStyle w:val="ElsParagraph"/>
      </w:pPr>
    </w:p>
    <w:p w:rsidR="00E97839" w:rsidRDefault="00E97839" w:rsidP="005D7ADD">
      <w:pPr>
        <w:pStyle w:val="ElsParagraph"/>
      </w:pPr>
    </w:p>
    <w:p w:rsidR="005D7ADD" w:rsidRDefault="005D7ADD" w:rsidP="005D7ADD">
      <w:pPr>
        <w:pStyle w:val="ElsParagraph"/>
      </w:pPr>
    </w:p>
    <w:p w:rsidR="005D7ADD" w:rsidRDefault="005D7ADD" w:rsidP="005D7ADD">
      <w:pPr>
        <w:pStyle w:val="ElsParagraph"/>
      </w:pPr>
    </w:p>
    <w:p w:rsidR="003E0FE7" w:rsidRPr="003E0FE7" w:rsidRDefault="003E0FE7" w:rsidP="003E0FE7">
      <w:pPr>
        <w:pStyle w:val="ElsParagraph"/>
      </w:pPr>
    </w:p>
    <w:sectPr w:rsidR="003E0FE7" w:rsidRPr="003E0FE7" w:rsidSect="00AA2F5D">
      <w:type w:val="continuous"/>
      <w:pgSz w:w="11906" w:h="16838" w:code="9"/>
      <w:pgMar w:top="964" w:right="766" w:bottom="1242" w:left="766" w:header="720" w:footer="238"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441" w:rsidRDefault="007E1441">
      <w:r>
        <w:separator/>
      </w:r>
    </w:p>
  </w:endnote>
  <w:endnote w:type="continuationSeparator" w:id="0">
    <w:p w:rsidR="007E1441" w:rsidRDefault="007E1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20007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441" w:rsidRDefault="007E1441">
      <w:r>
        <w:t>———</w:t>
      </w:r>
    </w:p>
  </w:footnote>
  <w:footnote w:type="continuationSeparator" w:id="0">
    <w:p w:rsidR="007E1441" w:rsidRDefault="007E1441">
      <w:r>
        <w:t>———</w:t>
      </w:r>
    </w:p>
  </w:footnote>
  <w:footnote w:type="continuationNotice" w:id="1">
    <w:p w:rsidR="007E1441" w:rsidRDefault="007E1441"/>
  </w:footnote>
  <w:footnote w:id="2">
    <w:p w:rsidR="00830BA2" w:rsidRDefault="00830BA2" w:rsidP="004C384D">
      <w:pPr>
        <w:pStyle w:val="ElsCorrespondingAuthor"/>
      </w:pPr>
      <w:proofErr w:type="gramStart"/>
      <w:r w:rsidRPr="00E97839">
        <w:rPr>
          <w:vertAlign w:val="superscript"/>
        </w:rPr>
        <w:t>a</w:t>
      </w:r>
      <w:proofErr w:type="gramEnd"/>
      <w:r>
        <w:sym w:font="Symbol" w:char="F02A"/>
      </w:r>
      <w:r>
        <w:t xml:space="preserve"> Michael North. Tel.: +44(0)1904 324 545; e-mail: michael.north@york.ac.uk.</w:t>
      </w:r>
    </w:p>
  </w:footnote>
  <w:footnote w:id="3">
    <w:p w:rsidR="00830BA2" w:rsidRDefault="00830BA2">
      <w:pPr>
        <w:pStyle w:val="ElsCorrespondingAuthor"/>
      </w:pPr>
      <w:proofErr w:type="gramStart"/>
      <w:r w:rsidRPr="00E97839">
        <w:rPr>
          <w:vertAlign w:val="superscript"/>
        </w:rPr>
        <w:t>b</w:t>
      </w:r>
      <w:proofErr w:type="gramEnd"/>
      <w:r>
        <w:sym w:font="Symbol" w:char="F02A"/>
      </w:r>
      <w:r>
        <w:t xml:space="preserve"> Rachel K. O’Reilly. Tel.: +44(0)1214 147 757; e-mail: r.oreilly@bham.ac.uk.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BA2" w:rsidRDefault="00830B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0BA2" w:rsidRDefault="00830BA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BA2" w:rsidRDefault="00830BA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0C88">
      <w:rPr>
        <w:rStyle w:val="PageNumber"/>
        <w:noProof/>
      </w:rPr>
      <w:t>13</w:t>
    </w:r>
    <w:r>
      <w:rPr>
        <w:rStyle w:val="PageNumber"/>
      </w:rPr>
      <w:fldChar w:fldCharType="end"/>
    </w:r>
  </w:p>
  <w:p w:rsidR="00830BA2" w:rsidRDefault="00830BA2">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BA2" w:rsidRDefault="00830BA2">
    <w:pPr>
      <w:framePr w:wrap="around" w:vAnchor="text" w:hAnchor="margin" w:xAlign="outside" w:y="1"/>
    </w:pPr>
    <w:r>
      <w:fldChar w:fldCharType="begin"/>
    </w:r>
    <w:r>
      <w:instrText xml:space="preserve">PAGE  </w:instrText>
    </w:r>
    <w:r>
      <w:fldChar w:fldCharType="separate"/>
    </w:r>
    <w:r>
      <w:rPr>
        <w:noProof/>
      </w:rPr>
      <w:t>4</w:t>
    </w:r>
    <w:r>
      <w:fldChar w:fldCharType="end"/>
    </w:r>
  </w:p>
  <w:p w:rsidR="00830BA2" w:rsidRDefault="00830BA2">
    <w:pPr>
      <w:tabs>
        <w:tab w:val="center" w:pos="4560"/>
        <w:tab w:val="right" w:pos="9120"/>
      </w:tabs>
      <w:ind w:right="360" w:firstLine="360"/>
      <w:jc w:val="center"/>
    </w:pPr>
    <w:r>
      <w:t>Tetrahedron</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0BA2" w:rsidRDefault="00830BA2">
    <w:pPr>
      <w:framePr w:wrap="around" w:vAnchor="text" w:hAnchor="margin" w:xAlign="outside" w:y="1"/>
    </w:pPr>
    <w:r>
      <w:fldChar w:fldCharType="begin"/>
    </w:r>
    <w:r>
      <w:instrText xml:space="preserve">PAGE  </w:instrText>
    </w:r>
    <w:r>
      <w:fldChar w:fldCharType="separate"/>
    </w:r>
    <w:r w:rsidR="00340C88">
      <w:rPr>
        <w:noProof/>
      </w:rPr>
      <w:t>12</w:t>
    </w:r>
    <w:r>
      <w:fldChar w:fldCharType="end"/>
    </w:r>
  </w:p>
  <w:p w:rsidR="00830BA2" w:rsidRDefault="00830BA2">
    <w:pPr>
      <w:tabs>
        <w:tab w:val="center" w:pos="4560"/>
        <w:tab w:val="right" w:pos="9120"/>
      </w:tabs>
      <w:ind w:right="360" w:firstLine="360"/>
      <w:jc w:val="center"/>
    </w:pPr>
    <w:r>
      <w:t>Tetrahedron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250C03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71A05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888C9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9A2286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4C851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15:restartNumberingAfterBreak="0">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15:restartNumberingAfterBreak="0">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6" w15:restartNumberingAfterBreak="0">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15:restartNumberingAfterBreak="0">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15:restartNumberingAfterBreak="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1" w15:restartNumberingAfterBreak="0">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15:restartNumberingAfterBreak="0">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7" w15:restartNumberingAfterBreak="0">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E3D4228"/>
    <w:multiLevelType w:val="singleLevel"/>
    <w:tmpl w:val="9430724E"/>
    <w:lvl w:ilvl="0">
      <w:start w:val="1"/>
      <w:numFmt w:val="decimal"/>
      <w:lvlText w:val="%1."/>
      <w:lvlJc w:val="left"/>
      <w:pPr>
        <w:tabs>
          <w:tab w:val="num" w:pos="360"/>
        </w:tabs>
        <w:ind w:left="312" w:hanging="312"/>
      </w:pPr>
    </w:lvl>
  </w:abstractNum>
  <w:abstractNum w:abstractNumId="32" w15:restartNumberingAfterBreak="0">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613C789C"/>
    <w:multiLevelType w:val="singleLevel"/>
    <w:tmpl w:val="0809000F"/>
    <w:lvl w:ilvl="0">
      <w:start w:val="1"/>
      <w:numFmt w:val="decimal"/>
      <w:lvlText w:val="%1."/>
      <w:lvlJc w:val="left"/>
      <w:pPr>
        <w:tabs>
          <w:tab w:val="num" w:pos="360"/>
        </w:tabs>
        <w:ind w:left="360" w:hanging="360"/>
      </w:pPr>
    </w:lvl>
  </w:abstractNum>
  <w:abstractNum w:abstractNumId="34" w15:restartNumberingAfterBreak="0">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38" w15:restartNumberingAfterBreak="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39" w15:restartNumberingAfterBreak="0">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abstractNumId w:val="13"/>
  </w:num>
  <w:num w:numId="2">
    <w:abstractNumId w:val="13"/>
  </w:num>
  <w:num w:numId="3">
    <w:abstractNumId w:val="13"/>
  </w:num>
  <w:num w:numId="4">
    <w:abstractNumId w:val="13"/>
  </w:num>
  <w:num w:numId="5">
    <w:abstractNumId w:val="38"/>
  </w:num>
  <w:num w:numId="6">
    <w:abstractNumId w:val="11"/>
  </w:num>
  <w:num w:numId="7">
    <w:abstractNumId w:val="37"/>
  </w:num>
  <w:num w:numId="8">
    <w:abstractNumId w:val="33"/>
  </w:num>
  <w:num w:numId="9">
    <w:abstractNumId w:val="15"/>
  </w:num>
  <w:num w:numId="10">
    <w:abstractNumId w:val="31"/>
  </w:num>
  <w:num w:numId="11">
    <w:abstractNumId w:val="10"/>
  </w:num>
  <w:num w:numId="12">
    <w:abstractNumId w:val="28"/>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4"/>
  </w:num>
  <w:num w:numId="24">
    <w:abstractNumId w:val="14"/>
  </w:num>
  <w:num w:numId="25">
    <w:abstractNumId w:val="22"/>
  </w:num>
  <w:num w:numId="26">
    <w:abstractNumId w:val="26"/>
  </w:num>
  <w:num w:numId="27">
    <w:abstractNumId w:val="19"/>
  </w:num>
  <w:num w:numId="28">
    <w:abstractNumId w:val="17"/>
  </w:num>
  <w:num w:numId="29">
    <w:abstractNumId w:val="21"/>
  </w:num>
  <w:num w:numId="30">
    <w:abstractNumId w:val="20"/>
  </w:num>
  <w:num w:numId="31">
    <w:abstractNumId w:val="12"/>
  </w:num>
  <w:num w:numId="32">
    <w:abstractNumId w:val="16"/>
  </w:num>
  <w:num w:numId="33">
    <w:abstractNumId w:val="35"/>
  </w:num>
  <w:num w:numId="34">
    <w:abstractNumId w:val="34"/>
  </w:num>
  <w:num w:numId="35">
    <w:abstractNumId w:val="40"/>
  </w:num>
  <w:num w:numId="36">
    <w:abstractNumId w:val="18"/>
  </w:num>
  <w:num w:numId="37">
    <w:abstractNumId w:val="39"/>
  </w:num>
  <w:num w:numId="38">
    <w:abstractNumId w:val="30"/>
  </w:num>
  <w:num w:numId="39">
    <w:abstractNumId w:val="25"/>
  </w:num>
  <w:num w:numId="40">
    <w:abstractNumId w:val="27"/>
  </w:num>
  <w:num w:numId="41">
    <w:abstractNumId w:val="29"/>
  </w:num>
  <w:num w:numId="42">
    <w:abstractNumId w:val="32"/>
  </w:num>
  <w:num w:numId="43">
    <w:abstractNumId w:val="23"/>
  </w:num>
  <w:num w:numId="44">
    <w:abstractNumId w:val="41"/>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proofState w:spelling="clean" w:grammar="clean"/>
  <w:attachedTemplate r:id="rId1"/>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inset="0,0,0,0"/>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FE7"/>
    <w:rsid w:val="00042017"/>
    <w:rsid w:val="000840CB"/>
    <w:rsid w:val="0008613A"/>
    <w:rsid w:val="000B437E"/>
    <w:rsid w:val="000D1A09"/>
    <w:rsid w:val="001317BF"/>
    <w:rsid w:val="00132EFD"/>
    <w:rsid w:val="002C29A5"/>
    <w:rsid w:val="002C47F9"/>
    <w:rsid w:val="00340C88"/>
    <w:rsid w:val="00352F01"/>
    <w:rsid w:val="00374C8F"/>
    <w:rsid w:val="00393A35"/>
    <w:rsid w:val="003A1D89"/>
    <w:rsid w:val="003E0FE7"/>
    <w:rsid w:val="004276C0"/>
    <w:rsid w:val="00465E21"/>
    <w:rsid w:val="004C384D"/>
    <w:rsid w:val="0052532F"/>
    <w:rsid w:val="005D7ADD"/>
    <w:rsid w:val="00611E52"/>
    <w:rsid w:val="0066706E"/>
    <w:rsid w:val="006B2A72"/>
    <w:rsid w:val="006F7879"/>
    <w:rsid w:val="007E1441"/>
    <w:rsid w:val="007F12CF"/>
    <w:rsid w:val="00830BA2"/>
    <w:rsid w:val="00874FE1"/>
    <w:rsid w:val="00875C01"/>
    <w:rsid w:val="008A1F6C"/>
    <w:rsid w:val="009B5F0C"/>
    <w:rsid w:val="00A64104"/>
    <w:rsid w:val="00A82E64"/>
    <w:rsid w:val="00AA2F5D"/>
    <w:rsid w:val="00B24C27"/>
    <w:rsid w:val="00B31AEC"/>
    <w:rsid w:val="00B8570C"/>
    <w:rsid w:val="00BA4B30"/>
    <w:rsid w:val="00BC0213"/>
    <w:rsid w:val="00C16A01"/>
    <w:rsid w:val="00C4080D"/>
    <w:rsid w:val="00C419C7"/>
    <w:rsid w:val="00C42DA9"/>
    <w:rsid w:val="00D1478C"/>
    <w:rsid w:val="00D16037"/>
    <w:rsid w:val="00D164E8"/>
    <w:rsid w:val="00D27CC8"/>
    <w:rsid w:val="00D32E93"/>
    <w:rsid w:val="00D9193D"/>
    <w:rsid w:val="00DA29AA"/>
    <w:rsid w:val="00DC24A5"/>
    <w:rsid w:val="00E324AF"/>
    <w:rsid w:val="00E5565D"/>
    <w:rsid w:val="00E70306"/>
    <w:rsid w:val="00E962D4"/>
    <w:rsid w:val="00E97839"/>
    <w:rsid w:val="00EA0E2E"/>
    <w:rsid w:val="00EC2DD8"/>
    <w:rsid w:val="00F24A35"/>
    <w:rsid w:val="00F30734"/>
    <w:rsid w:val="00F428E1"/>
    <w:rsid w:val="00F55E6C"/>
    <w:rsid w:val="00F84267"/>
    <w:rsid w:val="00F93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0,0,0,0"/>
    </o:shapedefaults>
    <o:shapelayout v:ext="edit">
      <o:idmap v:ext="edit" data="1"/>
    </o:shapelayout>
  </w:shapeDefaults>
  <w:decimalSymbol w:val="."/>
  <w:listSeparator w:val=","/>
  <w15:chartTrackingRefBased/>
  <w15:docId w15:val="{BAF6BC7B-8061-425C-BFFA-FAF8F8813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b/>
      <w:bCs/>
      <w:sz w:val="26"/>
    </w:rPr>
  </w:style>
  <w:style w:type="paragraph" w:styleId="Heading2">
    <w:name w:val="heading 2"/>
    <w:basedOn w:val="Normal"/>
    <w:next w:val="Normal"/>
    <w:qFormat/>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AbstractHead">
    <w:name w:val="Els_AbstractHead"/>
    <w:rPr>
      <w:smallCaps/>
      <w:spacing w:val="24"/>
      <w:lang w:val="en-US" w:eastAsia="en-US"/>
    </w:rPr>
  </w:style>
  <w:style w:type="paragraph" w:customStyle="1" w:styleId="ElsAbstractText">
    <w:name w:val="Els_AbstractText"/>
    <w:pPr>
      <w:spacing w:after="80" w:line="200" w:lineRule="exact"/>
      <w:jc w:val="both"/>
    </w:pPr>
    <w:rPr>
      <w:sz w:val="17"/>
      <w:lang w:val="en" w:eastAsia="en-US"/>
    </w:rPr>
  </w:style>
  <w:style w:type="paragraph" w:customStyle="1" w:styleId="ElsAffiliation">
    <w:name w:val="Els_Affiliation"/>
    <w:pPr>
      <w:spacing w:line="200" w:lineRule="exact"/>
    </w:pPr>
    <w:rPr>
      <w:i/>
      <w:sz w:val="16"/>
      <w:lang w:val="en-US" w:eastAsia="en-US"/>
    </w:rPr>
  </w:style>
  <w:style w:type="paragraph" w:customStyle="1" w:styleId="ElsArticlehistory">
    <w:name w:val="Els_Articlehistory"/>
    <w:pPr>
      <w:spacing w:line="200" w:lineRule="exact"/>
    </w:pPr>
    <w:rPr>
      <w:i/>
      <w:sz w:val="16"/>
      <w:lang w:val="en-US" w:eastAsia="en-US"/>
    </w:rPr>
  </w:style>
  <w:style w:type="paragraph" w:customStyle="1" w:styleId="ElsArticleinfoHead">
    <w:name w:val="Els_ArticleinfoHead"/>
    <w:rPr>
      <w:smallCaps/>
      <w:spacing w:val="24"/>
      <w:lang w:val="en-US" w:eastAsia="en-US"/>
    </w:rPr>
  </w:style>
  <w:style w:type="paragraph" w:customStyle="1" w:styleId="ElsArticleTitle">
    <w:name w:val="Els_ArticleTitle"/>
    <w:next w:val="ElsAuthor"/>
    <w:pPr>
      <w:spacing w:before="360" w:after="240" w:line="350" w:lineRule="exact"/>
    </w:pPr>
    <w:rPr>
      <w:sz w:val="30"/>
      <w:lang w:val="en-US" w:eastAsia="en-US"/>
    </w:rPr>
  </w:style>
  <w:style w:type="paragraph" w:customStyle="1" w:styleId="ElsAuthor">
    <w:name w:val="Els_Author"/>
    <w:next w:val="ElsAffiliation"/>
    <w:pPr>
      <w:spacing w:after="160" w:line="290" w:lineRule="exact"/>
    </w:pPr>
    <w:rPr>
      <w:sz w:val="24"/>
      <w:lang w:val="en-US" w:eastAsia="en-US"/>
    </w:rPr>
  </w:style>
  <w:style w:type="paragraph" w:customStyle="1" w:styleId="ElsCorrespondingAuthor">
    <w:name w:val="Els_CorrespondingAuthor"/>
    <w:next w:val="ElsFootnote"/>
    <w:pPr>
      <w:spacing w:before="120" w:line="200" w:lineRule="exact"/>
    </w:pPr>
    <w:rPr>
      <w:sz w:val="18"/>
      <w:lang w:val="en-US" w:eastAsia="en-US"/>
    </w:rPr>
  </w:style>
  <w:style w:type="paragraph" w:customStyle="1" w:styleId="ElsDocumenttitle">
    <w:name w:val="Els_Document title"/>
    <w:next w:val="ElsArticleTitle"/>
    <w:autoRedefine/>
    <w:pPr>
      <w:spacing w:after="120"/>
    </w:pPr>
    <w:rPr>
      <w:b/>
      <w:kern w:val="28"/>
      <w:sz w:val="26"/>
      <w:lang w:eastAsia="en-US"/>
    </w:rPr>
  </w:style>
  <w:style w:type="paragraph" w:customStyle="1" w:styleId="ElsDocumentHeading">
    <w:name w:val="Els_DocumentHeading"/>
    <w:next w:val="Normal"/>
    <w:pPr>
      <w:spacing w:before="190" w:after="190" w:line="210" w:lineRule="exact"/>
    </w:pPr>
    <w:rPr>
      <w:sz w:val="19"/>
      <w:lang w:val="en-US" w:eastAsia="en-US"/>
    </w:rPr>
  </w:style>
  <w:style w:type="paragraph" w:customStyle="1" w:styleId="ElsFootnote">
    <w:name w:val="Els_Footnote"/>
    <w:pPr>
      <w:spacing w:before="120" w:line="200" w:lineRule="exact"/>
    </w:pPr>
    <w:rPr>
      <w:sz w:val="18"/>
      <w:lang w:val="en-US" w:eastAsia="en-US"/>
    </w:rPr>
  </w:style>
  <w:style w:type="paragraph" w:customStyle="1" w:styleId="ElsKeyword">
    <w:name w:val="Els_Keyword"/>
    <w:pPr>
      <w:spacing w:line="200" w:lineRule="exact"/>
    </w:pPr>
    <w:rPr>
      <w:sz w:val="16"/>
      <w:lang w:val="en-US" w:eastAsia="en-US"/>
    </w:rPr>
  </w:style>
  <w:style w:type="paragraph" w:customStyle="1" w:styleId="ElsKeywordHead">
    <w:name w:val="Els_KeywordHead"/>
    <w:next w:val="ElsKeyword"/>
    <w:pPr>
      <w:spacing w:line="200" w:lineRule="exact"/>
    </w:pPr>
    <w:rPr>
      <w:i/>
      <w:noProof/>
      <w:sz w:val="16"/>
      <w:lang w:val="en-US" w:eastAsia="en-US"/>
    </w:rPr>
  </w:style>
  <w:style w:type="paragraph" w:customStyle="1" w:styleId="ElsParagraph">
    <w:name w:val="Els_Paragraph"/>
    <w:pPr>
      <w:spacing w:after="120" w:line="220" w:lineRule="exact"/>
      <w:ind w:firstLine="230"/>
      <w:jc w:val="both"/>
    </w:pPr>
    <w:rPr>
      <w:sz w:val="19"/>
      <w:lang w:val="en-US" w:eastAsia="en-US"/>
    </w:rPr>
  </w:style>
  <w:style w:type="paragraph" w:customStyle="1" w:styleId="ElsHeading1">
    <w:name w:val="Els_Heading1"/>
    <w:next w:val="ElsParagraph"/>
    <w:pPr>
      <w:keepNext/>
      <w:numPr>
        <w:numId w:val="42"/>
      </w:numPr>
      <w:spacing w:before="160" w:after="160" w:line="210" w:lineRule="exact"/>
    </w:pPr>
    <w:rPr>
      <w:b/>
      <w:bCs/>
      <w:sz w:val="19"/>
      <w:lang w:val="en-US" w:eastAsia="en-US"/>
    </w:rPr>
  </w:style>
  <w:style w:type="paragraph" w:customStyle="1" w:styleId="ElsHeading2">
    <w:name w:val="Els_Heading2"/>
    <w:next w:val="ElsParagraph"/>
    <w:pPr>
      <w:numPr>
        <w:ilvl w:val="1"/>
        <w:numId w:val="42"/>
      </w:numPr>
      <w:spacing w:after="160" w:line="210" w:lineRule="exact"/>
    </w:pPr>
    <w:rPr>
      <w:bCs/>
      <w:i/>
      <w:sz w:val="19"/>
      <w:lang w:val="en-US" w:eastAsia="en-US"/>
    </w:rPr>
  </w:style>
  <w:style w:type="paragraph" w:customStyle="1" w:styleId="ElsHeading3">
    <w:name w:val="Els_Heading3"/>
    <w:next w:val="ElsParagraph"/>
    <w:pPr>
      <w:numPr>
        <w:ilvl w:val="2"/>
        <w:numId w:val="42"/>
      </w:numPr>
      <w:spacing w:after="40" w:line="210" w:lineRule="exact"/>
      <w:outlineLvl w:val="0"/>
    </w:pPr>
    <w:rPr>
      <w:i/>
      <w:spacing w:val="20"/>
      <w:sz w:val="19"/>
      <w:lang w:val="en-US" w:eastAsia="en-US"/>
    </w:rPr>
  </w:style>
  <w:style w:type="paragraph" w:customStyle="1" w:styleId="ElsHeading4">
    <w:name w:val="Els_Heading4"/>
    <w:next w:val="ElsParagraph"/>
    <w:pPr>
      <w:numPr>
        <w:ilvl w:val="3"/>
        <w:numId w:val="42"/>
      </w:numPr>
      <w:spacing w:after="160" w:line="210" w:lineRule="exact"/>
      <w:outlineLvl w:val="0"/>
    </w:pPr>
    <w:rPr>
      <w:i/>
      <w:spacing w:val="20"/>
      <w:sz w:val="19"/>
      <w:lang w:val="en-US" w:eastAsia="en-US"/>
    </w:rPr>
  </w:style>
  <w:style w:type="paragraph" w:customStyle="1" w:styleId="ElsHeading5">
    <w:name w:val="Els_Heading5"/>
    <w:next w:val="ElsParagraph"/>
    <w:pPr>
      <w:numPr>
        <w:ilvl w:val="4"/>
        <w:numId w:val="42"/>
      </w:numPr>
      <w:spacing w:after="160" w:line="210" w:lineRule="exact"/>
      <w:outlineLvl w:val="0"/>
    </w:pPr>
    <w:rPr>
      <w:i/>
      <w:spacing w:val="20"/>
      <w:sz w:val="19"/>
      <w:lang w:val="en-US" w:eastAsia="en-US"/>
    </w:rPr>
  </w:style>
  <w:style w:type="paragraph" w:customStyle="1" w:styleId="ElsAcknowledgementsHeading">
    <w:name w:val="Els_AcknowledgementsHeading"/>
    <w:next w:val="ElsParagraph"/>
    <w:pPr>
      <w:spacing w:before="220" w:after="220" w:line="220" w:lineRule="exact"/>
    </w:pPr>
    <w:rPr>
      <w:b/>
      <w:lang w:val="en-US" w:eastAsia="en-US"/>
    </w:rPr>
  </w:style>
  <w:style w:type="paragraph" w:customStyle="1" w:styleId="ElsReferencesHeading">
    <w:name w:val="Els_ReferencesHeading"/>
    <w:next w:val="ElsReferences"/>
    <w:pPr>
      <w:keepNext/>
      <w:spacing w:before="240" w:after="240"/>
    </w:pPr>
    <w:rPr>
      <w:b/>
      <w:sz w:val="19"/>
      <w:lang w:val="en-US" w:eastAsia="en-US"/>
    </w:rPr>
  </w:style>
  <w:style w:type="paragraph" w:customStyle="1" w:styleId="ElsReferences">
    <w:name w:val="Els_References"/>
    <w:pPr>
      <w:numPr>
        <w:numId w:val="41"/>
      </w:numPr>
    </w:pPr>
    <w:rPr>
      <w:sz w:val="16"/>
      <w:lang w:val="en-US" w:eastAsia="en-US"/>
    </w:rPr>
  </w:style>
  <w:style w:type="paragraph" w:customStyle="1" w:styleId="ElsFigureCaption">
    <w:name w:val="Els_FigureCaption"/>
    <w:pPr>
      <w:spacing w:line="220" w:lineRule="exact"/>
      <w:ind w:firstLine="230"/>
    </w:pPr>
    <w:rPr>
      <w:sz w:val="16"/>
      <w:lang w:val="en-US" w:eastAsia="en-US"/>
    </w:rPr>
  </w:style>
  <w:style w:type="paragraph" w:customStyle="1" w:styleId="ElsTableCaption">
    <w:name w:val="Els_TableCaption"/>
    <w:next w:val="ElsParagraph"/>
    <w:pPr>
      <w:keepNext/>
    </w:pPr>
    <w:rPr>
      <w:lang w:val="en-US" w:eastAsia="en-US"/>
    </w:rPr>
  </w:style>
  <w:style w:type="paragraph" w:customStyle="1" w:styleId="ElsLegend">
    <w:name w:val="Els_Legend"/>
    <w:pPr>
      <w:spacing w:after="120" w:line="180" w:lineRule="exact"/>
    </w:pPr>
    <w:rPr>
      <w:sz w:val="16"/>
      <w:lang w:val="en-US" w:eastAsia="en-US"/>
    </w:rPr>
  </w:style>
  <w:style w:type="paragraph" w:customStyle="1" w:styleId="ElsDisplayMath">
    <w:name w:val="Els_DisplayMath"/>
    <w:basedOn w:val="ElsParagraph"/>
    <w:next w:val="ElsParagraph"/>
    <w:pPr>
      <w:spacing w:before="100" w:beforeAutospacing="1" w:after="100" w:afterAutospacing="1"/>
    </w:pPr>
  </w:style>
  <w:style w:type="paragraph" w:customStyle="1" w:styleId="ElsGraphAbs">
    <w:name w:val="Els_GraphAbs"/>
    <w:basedOn w:val="Heading1"/>
  </w:style>
  <w:style w:type="paragraph" w:customStyle="1" w:styleId="ElsChemEquation">
    <w:name w:val="Els_ChemEquation"/>
    <w:next w:val="ElsParagraph"/>
    <w:rPr>
      <w:lang w:val="en-US" w:eastAsia="en-US"/>
    </w:rPr>
  </w:style>
  <w:style w:type="paragraph" w:customStyle="1" w:styleId="ElsTableFootnote">
    <w:name w:val="Els_TableFootnote"/>
    <w:basedOn w:val="ElsParagraph"/>
    <w:rPr>
      <w:color w:val="0000FF"/>
    </w:rPr>
  </w:style>
  <w:style w:type="paragraph" w:customStyle="1" w:styleId="ElsSchemeCaption">
    <w:name w:val="Els_SchemeCaption"/>
    <w:basedOn w:val="ElsChemEquation"/>
  </w:style>
  <w:style w:type="paragraph" w:customStyle="1" w:styleId="ElsGraphText">
    <w:name w:val="Els_GraphText"/>
    <w:basedOn w:val="Normal"/>
    <w:pPr>
      <w:spacing w:after="440" w:line="220" w:lineRule="exact"/>
    </w:pPr>
    <w:rPr>
      <w:sz w:val="20"/>
      <w:szCs w:val="20"/>
    </w:rPr>
  </w:style>
  <w:style w:type="paragraph" w:customStyle="1" w:styleId="ElsGraphTitle">
    <w:name w:val="Els_GraphTitle"/>
    <w:basedOn w:val="Normal"/>
    <w:pPr>
      <w:keepNext/>
      <w:spacing w:after="60"/>
      <w:ind w:right="5280"/>
    </w:pPr>
    <w:rPr>
      <w:b/>
      <w:szCs w:val="20"/>
    </w:rPr>
  </w:style>
  <w:style w:type="paragraph" w:customStyle="1" w:styleId="ElsGraphAuthor">
    <w:name w:val="Els_GraphAuthor"/>
    <w:basedOn w:val="Normal"/>
    <w:pPr>
      <w:keepNext/>
    </w:pPr>
    <w:rPr>
      <w:sz w:val="22"/>
      <w:szCs w:val="20"/>
    </w:rPr>
  </w:style>
  <w:style w:type="paragraph" w:customStyle="1" w:styleId="ElsGraphAddress">
    <w:name w:val="Els_GraphAddress"/>
    <w:basedOn w:val="Normal"/>
    <w:rPr>
      <w:i/>
      <w:sz w:val="22"/>
      <w:szCs w:val="20"/>
    </w:rPr>
  </w:style>
  <w:style w:type="paragraph" w:customStyle="1" w:styleId="ElsGraphPlaceholder">
    <w:name w:val="Els_GraphPlaceholder"/>
    <w:basedOn w:val="Normal"/>
    <w:pPr>
      <w:jc w:val="center"/>
    </w:pPr>
    <w:rPr>
      <w:sz w:val="20"/>
      <w:szCs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RSCB02ArticleText">
    <w:name w:val="RSC B02 Article Text"/>
    <w:basedOn w:val="Normal"/>
    <w:link w:val="RSCB02ArticleTextChar"/>
    <w:qFormat/>
    <w:rsid w:val="005D7ADD"/>
    <w:pPr>
      <w:spacing w:line="240" w:lineRule="exact"/>
      <w:jc w:val="both"/>
    </w:pPr>
    <w:rPr>
      <w:rFonts w:asciiTheme="minorHAnsi" w:eastAsiaTheme="minorHAnsi" w:hAnsiTheme="minorHAnsi"/>
      <w:w w:val="108"/>
      <w:sz w:val="18"/>
      <w:szCs w:val="18"/>
      <w:lang w:val="en-GB"/>
    </w:rPr>
  </w:style>
  <w:style w:type="character" w:customStyle="1" w:styleId="RSCB02ArticleTextChar">
    <w:name w:val="RSC B02 Article Text Char"/>
    <w:basedOn w:val="DefaultParagraphFont"/>
    <w:link w:val="RSCB02ArticleText"/>
    <w:rsid w:val="005D7ADD"/>
    <w:rPr>
      <w:rFonts w:asciiTheme="minorHAnsi" w:eastAsiaTheme="minorHAnsi" w:hAnsiTheme="minorHAnsi"/>
      <w:w w:val="108"/>
      <w:sz w:val="18"/>
      <w:szCs w:val="18"/>
      <w:lang w:eastAsia="en-US"/>
    </w:rPr>
  </w:style>
  <w:style w:type="paragraph" w:customStyle="1" w:styleId="RSCI04CaptiontoFigureSchemeChart">
    <w:name w:val="RSC I04 Caption to Figure/Scheme/Chart"/>
    <w:link w:val="RSCI04CaptiontoFigureSchemeChartChar"/>
    <w:qFormat/>
    <w:rsid w:val="0052532F"/>
    <w:pPr>
      <w:spacing w:after="200" w:line="200" w:lineRule="exact"/>
      <w:jc w:val="both"/>
    </w:pPr>
    <w:rPr>
      <w:rFonts w:asciiTheme="minorHAnsi" w:eastAsiaTheme="minorHAnsi" w:hAnsiTheme="minorHAnsi" w:cstheme="minorBidi"/>
      <w:bCs/>
      <w:sz w:val="14"/>
      <w:szCs w:val="18"/>
      <w:lang w:eastAsia="en-US"/>
    </w:rPr>
  </w:style>
  <w:style w:type="character" w:customStyle="1" w:styleId="RSCI04CaptiontoFigureSchemeChartChar">
    <w:name w:val="RSC I04 Caption to Figure/Scheme/Chart Char"/>
    <w:basedOn w:val="DefaultParagraphFont"/>
    <w:link w:val="RSCI04CaptiontoFigureSchemeChart"/>
    <w:rsid w:val="0052532F"/>
    <w:rPr>
      <w:rFonts w:asciiTheme="minorHAnsi" w:eastAsiaTheme="minorHAnsi" w:hAnsiTheme="minorHAnsi" w:cstheme="minorBidi"/>
      <w:bCs/>
      <w:sz w:val="14"/>
      <w:szCs w:val="18"/>
      <w:lang w:eastAsia="en-US"/>
    </w:rPr>
  </w:style>
  <w:style w:type="paragraph" w:customStyle="1" w:styleId="TableBody">
    <w:name w:val="TableBody"/>
    <w:basedOn w:val="Normal"/>
    <w:rsid w:val="00AA2F5D"/>
    <w:pPr>
      <w:pBdr>
        <w:top w:val="single" w:sz="4" w:space="4" w:color="FFFFFF"/>
        <w:left w:val="single" w:sz="4" w:space="4" w:color="FFFFFF"/>
        <w:bottom w:val="single" w:sz="4" w:space="4" w:color="FFFFFF"/>
        <w:right w:val="single" w:sz="4" w:space="4" w:color="FFFFFF"/>
      </w:pBdr>
      <w:spacing w:line="180" w:lineRule="exact"/>
      <w:jc w:val="both"/>
    </w:pPr>
    <w:rPr>
      <w:rFonts w:ascii="Arial" w:eastAsia="MS Mincho" w:hAnsi="Arial"/>
      <w:sz w:val="14"/>
      <w:szCs w:val="14"/>
      <w:lang w:val="en-GB" w:eastAsia="ja-JP"/>
    </w:rPr>
  </w:style>
  <w:style w:type="paragraph" w:customStyle="1" w:styleId="TCTableBody">
    <w:name w:val="TC_Table_Body"/>
    <w:basedOn w:val="Normal"/>
    <w:rsid w:val="00AA2F5D"/>
    <w:pPr>
      <w:spacing w:after="200"/>
      <w:jc w:val="both"/>
    </w:pPr>
    <w:rPr>
      <w:rFonts w:ascii="Times" w:hAnsi="Times"/>
      <w:szCs w:val="20"/>
    </w:rPr>
  </w:style>
  <w:style w:type="paragraph" w:customStyle="1" w:styleId="SchemeCaption">
    <w:name w:val="SchemeCaption"/>
    <w:basedOn w:val="Normal"/>
    <w:rsid w:val="00AA2F5D"/>
    <w:pPr>
      <w:spacing w:before="230" w:after="460" w:line="180" w:lineRule="exact"/>
      <w:jc w:val="both"/>
    </w:pPr>
    <w:rPr>
      <w:rFonts w:ascii="Arial" w:eastAsia="MS Mincho" w:hAnsi="Arial"/>
      <w:sz w:val="14"/>
      <w:szCs w:val="14"/>
      <w:lang w:val="en-GB" w:eastAsia="ja-JP"/>
    </w:rPr>
  </w:style>
  <w:style w:type="table" w:styleId="TableGrid">
    <w:name w:val="Table Grid"/>
    <w:basedOn w:val="TableNormal"/>
    <w:uiPriority w:val="59"/>
    <w:rsid w:val="00F55E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Caption"/>
    <w:basedOn w:val="Normal"/>
    <w:qFormat/>
    <w:rsid w:val="00F55E6C"/>
    <w:pPr>
      <w:pBdr>
        <w:top w:val="single" w:sz="4" w:space="4" w:color="DDDDDD"/>
        <w:left w:val="single" w:sz="4" w:space="4" w:color="DDDDDD"/>
        <w:bottom w:val="single" w:sz="4" w:space="4" w:color="DDDDDD"/>
        <w:right w:val="single" w:sz="4" w:space="4" w:color="DDDDDD"/>
      </w:pBdr>
      <w:spacing w:line="180" w:lineRule="exact"/>
      <w:jc w:val="both"/>
    </w:pPr>
    <w:rPr>
      <w:rFonts w:ascii="Arial" w:eastAsia="MS Mincho" w:hAnsi="Arial"/>
      <w:sz w:val="14"/>
      <w:szCs w:val="14"/>
      <w:lang w:val="en-GB" w:eastAsia="ja-JP"/>
    </w:rPr>
  </w:style>
  <w:style w:type="paragraph" w:customStyle="1" w:styleId="RSCB06BHeadingSub-Section">
    <w:name w:val="RSC B06 B Heading (Sub-Section)"/>
    <w:link w:val="RSCB06BHeadingSub-SectionChar"/>
    <w:qFormat/>
    <w:rsid w:val="00D27CC8"/>
    <w:pPr>
      <w:spacing w:after="80" w:line="240" w:lineRule="exact"/>
    </w:pPr>
    <w:rPr>
      <w:rFonts w:asciiTheme="minorHAnsi" w:eastAsiaTheme="minorHAnsi" w:hAnsiTheme="minorHAnsi" w:cstheme="minorBidi"/>
      <w:b/>
      <w:sz w:val="18"/>
      <w:szCs w:val="22"/>
      <w:lang w:eastAsia="en-US"/>
    </w:rPr>
  </w:style>
  <w:style w:type="character" w:customStyle="1" w:styleId="RSCB06BHeadingSub-SectionChar">
    <w:name w:val="RSC B06 B Heading (Sub-Section) Char"/>
    <w:basedOn w:val="DefaultParagraphFont"/>
    <w:link w:val="RSCB06BHeadingSub-Section"/>
    <w:rsid w:val="00D27CC8"/>
    <w:rPr>
      <w:rFonts w:asciiTheme="minorHAnsi" w:eastAsiaTheme="minorHAnsi" w:hAnsiTheme="minorHAnsi" w:cstheme="minorBidi"/>
      <w:b/>
      <w:sz w:val="18"/>
      <w:szCs w:val="22"/>
      <w:lang w:eastAsia="en-US"/>
    </w:rPr>
  </w:style>
  <w:style w:type="paragraph" w:customStyle="1" w:styleId="Acknowledgements">
    <w:name w:val="Acknowledgements"/>
    <w:basedOn w:val="Normal"/>
    <w:qFormat/>
    <w:rsid w:val="00DA29AA"/>
    <w:pPr>
      <w:spacing w:after="240" w:line="230" w:lineRule="atLeast"/>
      <w:jc w:val="both"/>
    </w:pPr>
    <w:rPr>
      <w:rFonts w:ascii="Arial" w:eastAsia="MS Mincho" w:hAnsi="Arial"/>
      <w:sz w:val="17"/>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tif"/><Relationship Id="rId24" Type="http://schemas.openxmlformats.org/officeDocument/2006/relationships/header" Target="header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5.bin"/><Relationship Id="rId28" Type="http://schemas.openxmlformats.org/officeDocument/2006/relationships/image" Target="media/image10.emf"/><Relationship Id="rId10" Type="http://schemas.openxmlformats.org/officeDocument/2006/relationships/image" Target="media/image1.tif"/><Relationship Id="rId19" Type="http://schemas.openxmlformats.org/officeDocument/2006/relationships/oleObject" Target="embeddings/oleObject3.bin"/><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wrensb\Desktop\oreillyr-sbl\Papers\2020%20-%20Spirocycles\Tetrahedron%20Draft\Tetrahedron%20Paper%20-%20V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3056D215-3744-4EAC-BE00-AE2D07AD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Tetrahedron Paper - V1.dot</Template>
  <TotalTime>0</TotalTime>
  <Pages>14</Pages>
  <Words>39739</Words>
  <Characters>226518</Characters>
  <Application>Microsoft Office Word</Application>
  <DocSecurity>0</DocSecurity>
  <Lines>1887</Lines>
  <Paragraphs>531</Paragraphs>
  <ScaleCrop>false</ScaleCrop>
  <HeadingPairs>
    <vt:vector size="2" baseType="variant">
      <vt:variant>
        <vt:lpstr>Title</vt:lpstr>
      </vt:variant>
      <vt:variant>
        <vt:i4>1</vt:i4>
      </vt:variant>
    </vt:vector>
  </HeadingPairs>
  <TitlesOfParts>
    <vt:vector size="1" baseType="lpstr">
      <vt:lpstr>Tetrahedron template</vt:lpstr>
    </vt:vector>
  </TitlesOfParts>
  <Company>TnQ</Company>
  <LinksUpToDate>false</LinksUpToDate>
  <CharactersWithSpaces>265726</CharactersWithSpaces>
  <SharedDoc>false</SharedDoc>
  <HLinks>
    <vt:vector size="6" baseType="variant">
      <vt:variant>
        <vt:i4>4194304</vt:i4>
      </vt:variant>
      <vt:variant>
        <vt:i4>33</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Tetrahedron template</dc:title>
  <dc:subject/>
  <dc:creator>Stefan Lawrenson (School of Chemistry)</dc:creator>
  <cp:keywords/>
  <dc:description/>
  <cp:lastModifiedBy>Michael North</cp:lastModifiedBy>
  <cp:revision>2</cp:revision>
  <cp:lastPrinted>2009-09-04T11:33:00Z</cp:lastPrinted>
  <dcterms:created xsi:type="dcterms:W3CDTF">2020-11-03T14:53:00Z</dcterms:created>
  <dcterms:modified xsi:type="dcterms:W3CDTF">2020-11-03T14:53:00Z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8968cfc7-8012-3663-b4f1-2867bc93f95b</vt:lpwstr>
  </property>
  <property fmtid="{D5CDD505-2E9C-101B-9397-08002B2CF9AE}" pid="4" name="Mendeley Citation Style_1">
    <vt:lpwstr>http://www.zotero.org/styles/journal-of-medicinal-chemistry</vt:lpwstr>
  </property>
</Properties>
</file>