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D56D5" w14:textId="77777777" w:rsidR="00AE170F" w:rsidRPr="00184A40" w:rsidRDefault="00AE170F" w:rsidP="00AE170F">
      <w:pPr>
        <w:jc w:val="both"/>
        <w:rPr>
          <w:b/>
          <w:bCs/>
        </w:rPr>
      </w:pPr>
      <w:r w:rsidRPr="00184A40">
        <w:rPr>
          <w:b/>
          <w:bCs/>
        </w:rPr>
        <w:t>UNIVERSITY OF YORK</w:t>
      </w:r>
    </w:p>
    <w:p w14:paraId="79091233" w14:textId="77777777" w:rsidR="00AE170F" w:rsidRDefault="00AE170F" w:rsidP="00AE170F">
      <w:pPr>
        <w:jc w:val="both"/>
        <w:rPr>
          <w:b/>
          <w:bCs/>
        </w:rPr>
      </w:pPr>
      <w:r w:rsidRPr="00184A40">
        <w:rPr>
          <w:b/>
          <w:bCs/>
        </w:rPr>
        <w:t>Social Policy Research Unit</w:t>
      </w:r>
    </w:p>
    <w:p w14:paraId="6C0C3339" w14:textId="77777777" w:rsidR="00AE170F" w:rsidRDefault="00AE170F" w:rsidP="00AE170F">
      <w:pPr>
        <w:jc w:val="both"/>
        <w:rPr>
          <w:b/>
          <w:bCs/>
        </w:rPr>
      </w:pPr>
    </w:p>
    <w:p w14:paraId="2B1605EC" w14:textId="77777777" w:rsidR="00AE170F" w:rsidRDefault="00AE170F" w:rsidP="00AE170F">
      <w:pPr>
        <w:jc w:val="both"/>
        <w:rPr>
          <w:b/>
          <w:bCs/>
        </w:rPr>
      </w:pPr>
      <w:r>
        <w:rPr>
          <w:b/>
          <w:bCs/>
        </w:rPr>
        <w:t>EVI</w:t>
      </w:r>
      <w:r w:rsidR="00EE2395">
        <w:rPr>
          <w:b/>
          <w:bCs/>
        </w:rPr>
        <w:t>D</w:t>
      </w:r>
      <w:r>
        <w:rPr>
          <w:b/>
          <w:bCs/>
        </w:rPr>
        <w:t>ENCE TO THE CONSUMER COUNCIL FOR WATER (CCW) REVIEW OF WATER POVERTY IN ENGLAND AND WALES</w:t>
      </w:r>
    </w:p>
    <w:p w14:paraId="06EDFE16" w14:textId="77777777" w:rsidR="006034E2" w:rsidRPr="002C7B8F" w:rsidRDefault="006034E2" w:rsidP="000812C1">
      <w:pPr>
        <w:rPr>
          <w:b/>
          <w:bCs/>
        </w:rPr>
      </w:pPr>
    </w:p>
    <w:p w14:paraId="7339532D" w14:textId="77777777" w:rsidR="00E4696E" w:rsidRDefault="00AE170F" w:rsidP="006835DF">
      <w:pPr>
        <w:rPr>
          <w:b/>
          <w:bCs/>
        </w:rPr>
      </w:pPr>
      <w:r>
        <w:rPr>
          <w:b/>
          <w:bCs/>
        </w:rPr>
        <w:t>December 2020</w:t>
      </w:r>
    </w:p>
    <w:p w14:paraId="7938E699" w14:textId="77777777" w:rsidR="00AE170F" w:rsidRDefault="00AE170F" w:rsidP="006835DF">
      <w:pPr>
        <w:rPr>
          <w:b/>
          <w:bCs/>
        </w:rPr>
      </w:pPr>
    </w:p>
    <w:p w14:paraId="16F36229" w14:textId="77777777" w:rsidR="006034E2" w:rsidRPr="002C7B8F" w:rsidRDefault="006034E2" w:rsidP="006835DF">
      <w:pPr>
        <w:rPr>
          <w:b/>
          <w:bCs/>
        </w:rPr>
      </w:pPr>
      <w:r w:rsidRPr="002C7B8F">
        <w:rPr>
          <w:b/>
          <w:bCs/>
        </w:rPr>
        <w:t>WATER POVERTY IN ENGLAND</w:t>
      </w:r>
      <w:r>
        <w:rPr>
          <w:b/>
          <w:bCs/>
        </w:rPr>
        <w:t xml:space="preserve"> </w:t>
      </w:r>
      <w:smartTag w:uri="urn:schemas-microsoft-com:office:smarttags" w:element="stockticker">
        <w:r>
          <w:rPr>
            <w:b/>
            <w:bCs/>
          </w:rPr>
          <w:t>AND</w:t>
        </w:r>
      </w:smartTag>
      <w:r>
        <w:rPr>
          <w:b/>
          <w:bCs/>
        </w:rPr>
        <w:t xml:space="preserve"> WALES</w:t>
      </w:r>
      <w:r w:rsidR="00AE170F">
        <w:rPr>
          <w:rStyle w:val="FootnoteReference"/>
          <w:b/>
          <w:bCs/>
        </w:rPr>
        <w:footnoteReference w:id="1"/>
      </w:r>
    </w:p>
    <w:p w14:paraId="12098C00" w14:textId="77777777" w:rsidR="006034E2" w:rsidRDefault="006034E2" w:rsidP="006835DF">
      <w:pPr>
        <w:rPr>
          <w:b/>
          <w:bCs/>
        </w:rPr>
      </w:pPr>
    </w:p>
    <w:p w14:paraId="134C8BF5" w14:textId="77777777" w:rsidR="00E4696E" w:rsidRPr="001471CB" w:rsidRDefault="00E4696E" w:rsidP="006835DF">
      <w:r w:rsidRPr="001471CB">
        <w:t>Jonathan Bradshaw</w:t>
      </w:r>
      <w:r w:rsidRPr="001471CB">
        <w:rPr>
          <w:rStyle w:val="FootnoteReference"/>
        </w:rPr>
        <w:footnoteReference w:id="2"/>
      </w:r>
      <w:r w:rsidRPr="001471CB">
        <w:t xml:space="preserve"> and </w:t>
      </w:r>
      <w:r w:rsidR="00AE170F" w:rsidRPr="001471CB">
        <w:t>Antonia Keung</w:t>
      </w:r>
      <w:r w:rsidR="00AE170F" w:rsidRPr="001471CB">
        <w:rPr>
          <w:rStyle w:val="FootnoteReference"/>
        </w:rPr>
        <w:footnoteReference w:id="3"/>
      </w:r>
    </w:p>
    <w:p w14:paraId="7AA1F311" w14:textId="77777777" w:rsidR="000A491C" w:rsidRDefault="000A491C" w:rsidP="006835DF">
      <w:pPr>
        <w:rPr>
          <w:b/>
          <w:bCs/>
        </w:rPr>
      </w:pPr>
    </w:p>
    <w:p w14:paraId="31F6D4CE" w14:textId="315BCEA8" w:rsidR="006034E2" w:rsidRPr="00A40786" w:rsidRDefault="006034E2" w:rsidP="006835DF">
      <w:pPr>
        <w:pStyle w:val="Style1"/>
        <w:spacing w:line="240" w:lineRule="auto"/>
        <w:rPr>
          <w:b w:val="0"/>
          <w:i/>
          <w:iCs/>
        </w:rPr>
      </w:pPr>
      <w:r w:rsidRPr="00A40786">
        <w:rPr>
          <w:b w:val="0"/>
          <w:i/>
          <w:iCs/>
        </w:rPr>
        <w:t>Water poverty is conventionally defined as households spending more than 3% and 5% of their net income after housing costs on water. Water bills have risen faster than general prices and faster than earnings since privatisation. In 20</w:t>
      </w:r>
      <w:r w:rsidR="00EE2395" w:rsidRPr="00A40786">
        <w:rPr>
          <w:b w:val="0"/>
          <w:i/>
          <w:iCs/>
        </w:rPr>
        <w:t>18/19</w:t>
      </w:r>
      <w:r w:rsidRPr="00A40786">
        <w:rPr>
          <w:b w:val="0"/>
          <w:i/>
          <w:iCs/>
        </w:rPr>
        <w:t xml:space="preserve"> 2</w:t>
      </w:r>
      <w:r w:rsidR="00CA6CC2" w:rsidRPr="00A40786">
        <w:rPr>
          <w:b w:val="0"/>
          <w:i/>
          <w:iCs/>
        </w:rPr>
        <w:t>1</w:t>
      </w:r>
      <w:r w:rsidRPr="00A40786">
        <w:rPr>
          <w:b w:val="0"/>
          <w:i/>
          <w:iCs/>
        </w:rPr>
        <w:t>% of households paying for water in England and Wales were spending more than 3% of their income on water and sewerage and 1</w:t>
      </w:r>
      <w:r w:rsidR="00095F8B" w:rsidRPr="00A40786">
        <w:rPr>
          <w:b w:val="0"/>
          <w:i/>
          <w:iCs/>
        </w:rPr>
        <w:t>0.0</w:t>
      </w:r>
      <w:r w:rsidRPr="00A40786">
        <w:rPr>
          <w:b w:val="0"/>
          <w:i/>
          <w:iCs/>
        </w:rPr>
        <w:t xml:space="preserve">% were spending more than 5% of their income. </w:t>
      </w:r>
      <w:r w:rsidR="00240602" w:rsidRPr="00A40786">
        <w:rPr>
          <w:b w:val="0"/>
          <w:i/>
          <w:iCs/>
        </w:rPr>
        <w:t>If income is equivalised the water poverty rates remain the similar but the composition of water</w:t>
      </w:r>
      <w:r w:rsidR="00CA6CC2" w:rsidRPr="00A40786">
        <w:rPr>
          <w:b w:val="0"/>
          <w:i/>
          <w:iCs/>
        </w:rPr>
        <w:t>-</w:t>
      </w:r>
      <w:r w:rsidR="00240602" w:rsidRPr="00A40786">
        <w:rPr>
          <w:b w:val="0"/>
          <w:i/>
          <w:iCs/>
        </w:rPr>
        <w:t xml:space="preserve">poor households changes. </w:t>
      </w:r>
      <w:r w:rsidRPr="00A40786">
        <w:rPr>
          <w:b w:val="0"/>
          <w:i/>
          <w:iCs/>
        </w:rPr>
        <w:t xml:space="preserve">The </w:t>
      </w:r>
      <w:r w:rsidR="00EE2395" w:rsidRPr="00A40786">
        <w:rPr>
          <w:b w:val="0"/>
          <w:i/>
          <w:iCs/>
        </w:rPr>
        <w:t>paper</w:t>
      </w:r>
      <w:r w:rsidRPr="00A40786">
        <w:rPr>
          <w:b w:val="0"/>
          <w:i/>
          <w:iCs/>
        </w:rPr>
        <w:t xml:space="preserve"> explores variation in water poverty and prospects for the future. If water bills rise </w:t>
      </w:r>
      <w:r w:rsidR="00864636">
        <w:rPr>
          <w:b w:val="0"/>
          <w:i/>
          <w:iCs/>
        </w:rPr>
        <w:t>3</w:t>
      </w:r>
      <w:r w:rsidRPr="00A40786">
        <w:rPr>
          <w:b w:val="0"/>
          <w:i/>
          <w:iCs/>
        </w:rPr>
        <w:t>% per year faster than household income, water poverty will increase to 3</w:t>
      </w:r>
      <w:r w:rsidR="00864636">
        <w:rPr>
          <w:b w:val="0"/>
          <w:i/>
          <w:iCs/>
        </w:rPr>
        <w:t>4</w:t>
      </w:r>
      <w:r w:rsidRPr="00A40786">
        <w:rPr>
          <w:b w:val="0"/>
          <w:i/>
          <w:iCs/>
        </w:rPr>
        <w:t>% by 2033 based on a 3% definition. Policy options are discussed.</w:t>
      </w:r>
    </w:p>
    <w:p w14:paraId="654E9F9A" w14:textId="77777777" w:rsidR="006034E2" w:rsidRDefault="006034E2" w:rsidP="006835DF"/>
    <w:p w14:paraId="144DBCB3" w14:textId="77777777" w:rsidR="006034E2" w:rsidRPr="00987CB2" w:rsidRDefault="006034E2" w:rsidP="006835DF">
      <w:pPr>
        <w:pStyle w:val="Heading2"/>
        <w:spacing w:line="240" w:lineRule="auto"/>
      </w:pPr>
      <w:r>
        <w:t xml:space="preserve">Introduction </w:t>
      </w:r>
    </w:p>
    <w:p w14:paraId="054CEC22" w14:textId="461003A4" w:rsidR="006034E2" w:rsidRDefault="00EE2395" w:rsidP="006835DF">
      <w:r>
        <w:t>The affordability of water is a function of two factor</w:t>
      </w:r>
      <w:r w:rsidR="00095F8B">
        <w:t>s</w:t>
      </w:r>
      <w:r>
        <w:t xml:space="preserve"> – prices and incomes. </w:t>
      </w:r>
      <w:r w:rsidR="006034E2">
        <w:t xml:space="preserve">It can be seen in Figure 1 that since privatisation in </w:t>
      </w:r>
      <w:r w:rsidR="006034E2" w:rsidRPr="00A711DA">
        <w:t>1989</w:t>
      </w:r>
      <w:r w:rsidR="006034E2">
        <w:t xml:space="preserve"> water prices have risen faster tha</w:t>
      </w:r>
      <w:r>
        <w:t>n</w:t>
      </w:r>
      <w:r w:rsidR="006034E2">
        <w:t xml:space="preserve"> overall prices</w:t>
      </w:r>
      <w:r w:rsidR="00D23D5D">
        <w:t xml:space="preserve">, </w:t>
      </w:r>
      <w:r>
        <w:t>faster than fuel prices</w:t>
      </w:r>
      <w:r w:rsidR="006034E2">
        <w:t xml:space="preserve">, </w:t>
      </w:r>
      <w:r w:rsidR="00D23D5D">
        <w:t xml:space="preserve">and faster than household income - </w:t>
      </w:r>
      <w:r w:rsidR="006034E2">
        <w:t>increasing more than fourfold by 20</w:t>
      </w:r>
      <w:r>
        <w:t>20 and more than doubling in real terms</w:t>
      </w:r>
      <w:r w:rsidR="006034E2">
        <w:t xml:space="preserve">. </w:t>
      </w:r>
    </w:p>
    <w:p w14:paraId="730B844E" w14:textId="77777777" w:rsidR="007735FA" w:rsidRDefault="007735FA" w:rsidP="006835DF"/>
    <w:p w14:paraId="1BDF87C5" w14:textId="46F1D5C7" w:rsidR="007735FA" w:rsidRDefault="007735FA" w:rsidP="007735FA">
      <w:pPr>
        <w:rPr>
          <w:lang w:val="en-US"/>
        </w:rPr>
      </w:pPr>
      <w:r w:rsidRPr="001A2C4A">
        <w:rPr>
          <w:lang w:val="en-US"/>
        </w:rPr>
        <w:t xml:space="preserve">Everyone uses clean water and the </w:t>
      </w:r>
      <w:r w:rsidR="00095F8B">
        <w:rPr>
          <w:lang w:val="en-US"/>
        </w:rPr>
        <w:t xml:space="preserve">number of households in </w:t>
      </w:r>
      <w:r w:rsidRPr="001A2C4A">
        <w:rPr>
          <w:lang w:val="en-US"/>
        </w:rPr>
        <w:t>England is projected to increase by 1</w:t>
      </w:r>
      <w:r w:rsidR="00095F8B">
        <w:rPr>
          <w:lang w:val="en-US"/>
        </w:rPr>
        <w:t>5</w:t>
      </w:r>
      <w:r w:rsidRPr="001A2C4A">
        <w:rPr>
          <w:lang w:val="en-US"/>
        </w:rPr>
        <w:t xml:space="preserve">% </w:t>
      </w:r>
      <w:r w:rsidR="00240602">
        <w:rPr>
          <w:lang w:val="en-US"/>
        </w:rPr>
        <w:t>between</w:t>
      </w:r>
      <w:r w:rsidRPr="001A2C4A">
        <w:rPr>
          <w:lang w:val="en-US"/>
        </w:rPr>
        <w:t xml:space="preserve"> 20</w:t>
      </w:r>
      <w:r w:rsidR="00095F8B">
        <w:rPr>
          <w:lang w:val="en-US"/>
        </w:rPr>
        <w:t>20</w:t>
      </w:r>
      <w:r w:rsidRPr="001A2C4A">
        <w:rPr>
          <w:lang w:val="en-US"/>
        </w:rPr>
        <w:t xml:space="preserve"> to 20</w:t>
      </w:r>
      <w:r w:rsidR="00095F8B">
        <w:rPr>
          <w:lang w:val="en-US"/>
        </w:rPr>
        <w:t>43</w:t>
      </w:r>
      <w:r w:rsidR="00095F8B">
        <w:rPr>
          <w:rStyle w:val="FootnoteReference"/>
          <w:lang w:val="en-US"/>
        </w:rPr>
        <w:footnoteReference w:id="4"/>
      </w:r>
      <w:r w:rsidRPr="001A2C4A">
        <w:rPr>
          <w:lang w:val="en-US"/>
        </w:rPr>
        <w:t>,</w:t>
      </w:r>
      <w:r>
        <w:t xml:space="preserve"> </w:t>
      </w:r>
      <w:r w:rsidR="00864636" w:rsidRPr="001A2C4A">
        <w:rPr>
          <w:lang w:val="en-US"/>
        </w:rPr>
        <w:t>increasing</w:t>
      </w:r>
      <w:r w:rsidRPr="001A2C4A">
        <w:rPr>
          <w:lang w:val="en-US"/>
        </w:rPr>
        <w:t xml:space="preserve"> potential demand.</w:t>
      </w:r>
      <w:r>
        <w:t xml:space="preserve"> </w:t>
      </w:r>
      <w:r w:rsidRPr="001A2C4A">
        <w:rPr>
          <w:lang w:val="en-US"/>
        </w:rPr>
        <w:t>At the same time the cost of maintaining a steady supply of clean water is likely to rise in the context of climate change and extreme weather events,</w:t>
      </w:r>
      <w:r>
        <w:t xml:space="preserve"> </w:t>
      </w:r>
      <w:r w:rsidRPr="001A2C4A">
        <w:rPr>
          <w:lang w:val="en-US"/>
        </w:rPr>
        <w:t>an ageing infrastructure and habits of water use</w:t>
      </w:r>
      <w:r>
        <w:rPr>
          <w:lang w:val="en-US"/>
        </w:rPr>
        <w:t xml:space="preserve"> (Figure 2)</w:t>
      </w:r>
      <w:r w:rsidRPr="001A2C4A">
        <w:rPr>
          <w:lang w:val="en-US"/>
        </w:rPr>
        <w:t>.</w:t>
      </w:r>
    </w:p>
    <w:p w14:paraId="6968458A" w14:textId="77777777" w:rsidR="007735FA" w:rsidRDefault="007735FA" w:rsidP="007735FA">
      <w:pPr>
        <w:rPr>
          <w:lang w:val="en-US"/>
        </w:rPr>
      </w:pPr>
      <w:r w:rsidRPr="005B6E6C">
        <w:rPr>
          <w:lang w:val="en-US"/>
        </w:rPr>
        <w:t>Firms’ costs may also increase as a result of investments in water and sewage treatment to comply with the</w:t>
      </w:r>
      <w:r>
        <w:rPr>
          <w:lang w:val="en-US"/>
        </w:rPr>
        <w:t>ir</w:t>
      </w:r>
      <w:r w:rsidRPr="005B6E6C">
        <w:rPr>
          <w:lang w:val="en-US"/>
        </w:rPr>
        <w:t xml:space="preserve"> </w:t>
      </w:r>
      <w:r>
        <w:rPr>
          <w:lang w:val="en-US"/>
        </w:rPr>
        <w:t>regulatory framework</w:t>
      </w:r>
      <w:r w:rsidRPr="005B6E6C">
        <w:rPr>
          <w:lang w:val="en-US"/>
        </w:rPr>
        <w:t>.</w:t>
      </w:r>
      <w:r>
        <w:t xml:space="preserve"> H</w:t>
      </w:r>
      <w:r w:rsidRPr="005B6E6C">
        <w:rPr>
          <w:lang w:val="en-US"/>
        </w:rPr>
        <w:t>igher costs are like</w:t>
      </w:r>
      <w:r>
        <w:rPr>
          <w:lang w:val="en-US"/>
        </w:rPr>
        <w:t>ly to mean even higher prices.</w:t>
      </w:r>
    </w:p>
    <w:p w14:paraId="6040A914" w14:textId="77777777" w:rsidR="007735FA" w:rsidRDefault="007735FA" w:rsidP="007735FA">
      <w:pPr>
        <w:rPr>
          <w:lang w:val="en-US"/>
        </w:rPr>
      </w:pPr>
    </w:p>
    <w:p w14:paraId="35666BDF" w14:textId="4DF32745" w:rsidR="007735FA" w:rsidRDefault="007735FA" w:rsidP="007735FA">
      <w:pPr>
        <w:rPr>
          <w:lang w:val="en-US"/>
        </w:rPr>
      </w:pPr>
      <w:r>
        <w:rPr>
          <w:lang w:val="en-US"/>
        </w:rPr>
        <w:t xml:space="preserve">We already know </w:t>
      </w:r>
      <w:r w:rsidR="00864636">
        <w:rPr>
          <w:lang w:val="en-US"/>
        </w:rPr>
        <w:t xml:space="preserve">(Figure 3) </w:t>
      </w:r>
      <w:r>
        <w:rPr>
          <w:lang w:val="en-US"/>
        </w:rPr>
        <w:t>that l</w:t>
      </w:r>
      <w:r w:rsidRPr="005B6E6C">
        <w:rPr>
          <w:lang w:val="en-US"/>
        </w:rPr>
        <w:t>ower income households currently spend proportionately more of their incomes on water so will be hit harder than better off households by rising prices.</w:t>
      </w:r>
      <w:r>
        <w:rPr>
          <w:lang w:val="en-US"/>
        </w:rPr>
        <w:t xml:space="preserve"> </w:t>
      </w:r>
      <w:r w:rsidR="00FE65C0">
        <w:rPr>
          <w:lang w:val="en-US"/>
        </w:rPr>
        <w:t xml:space="preserve">Median Real </w:t>
      </w:r>
      <w:r>
        <w:rPr>
          <w:lang w:val="en-US"/>
        </w:rPr>
        <w:t>Income ha</w:t>
      </w:r>
      <w:r w:rsidR="00FE65C0">
        <w:rPr>
          <w:lang w:val="en-US"/>
        </w:rPr>
        <w:t xml:space="preserve">d only just begun to </w:t>
      </w:r>
      <w:r>
        <w:rPr>
          <w:lang w:val="en-US"/>
        </w:rPr>
        <w:t xml:space="preserve">recover from the financial crisis and </w:t>
      </w:r>
      <w:r w:rsidR="00FE65C0">
        <w:rPr>
          <w:lang w:val="en-US"/>
        </w:rPr>
        <w:t>is now</w:t>
      </w:r>
      <w:r w:rsidR="00864636">
        <w:rPr>
          <w:lang w:val="en-US"/>
        </w:rPr>
        <w:t xml:space="preserve"> </w:t>
      </w:r>
      <w:r>
        <w:rPr>
          <w:lang w:val="en-US"/>
        </w:rPr>
        <w:t xml:space="preserve">expected to fall </w:t>
      </w:r>
      <w:r w:rsidR="000737FE">
        <w:rPr>
          <w:lang w:val="en-US"/>
        </w:rPr>
        <w:t xml:space="preserve">again and </w:t>
      </w:r>
      <w:r>
        <w:rPr>
          <w:lang w:val="en-US"/>
        </w:rPr>
        <w:t>further as a result of the Covid-19 pandemic and the post</w:t>
      </w:r>
      <w:r w:rsidR="00095F8B">
        <w:rPr>
          <w:lang w:val="en-US"/>
        </w:rPr>
        <w:t>-</w:t>
      </w:r>
      <w:r>
        <w:rPr>
          <w:lang w:val="en-US"/>
        </w:rPr>
        <w:t>Covid economic crisis.</w:t>
      </w:r>
    </w:p>
    <w:p w14:paraId="5236A9C5" w14:textId="77777777" w:rsidR="006034E2" w:rsidRDefault="006034E2" w:rsidP="00EE2395">
      <w:pPr>
        <w:pStyle w:val="figtab"/>
        <w:spacing w:after="0"/>
        <w:rPr>
          <w:b w:val="0"/>
          <w:bCs w:val="0"/>
        </w:rPr>
      </w:pPr>
      <w:r>
        <w:lastRenderedPageBreak/>
        <w:t>Figure 1</w:t>
      </w:r>
      <w:r w:rsidRPr="00D73559">
        <w:t xml:space="preserve">: Movements in water prices overall </w:t>
      </w:r>
      <w:r w:rsidR="00EE2395">
        <w:t>C</w:t>
      </w:r>
      <w:r w:rsidRPr="00D73559">
        <w:t xml:space="preserve">PI and </w:t>
      </w:r>
      <w:r w:rsidR="00EE2395">
        <w:t>fuel</w:t>
      </w:r>
      <w:r w:rsidRPr="00D73559">
        <w:t xml:space="preserve"> 198</w:t>
      </w:r>
      <w:r w:rsidR="00EE2395">
        <w:t>8</w:t>
      </w:r>
      <w:r w:rsidRPr="00D73559">
        <w:t>=100</w:t>
      </w:r>
    </w:p>
    <w:p w14:paraId="161BCB4D" w14:textId="77777777" w:rsidR="00700078" w:rsidRDefault="007E1BC6" w:rsidP="00700078">
      <w:pPr>
        <w:jc w:val="both"/>
        <w:rPr>
          <w:lang w:val="en-US"/>
        </w:rPr>
      </w:pPr>
      <w:r>
        <w:rPr>
          <w:noProof/>
        </w:rPr>
        <w:drawing>
          <wp:inline distT="0" distB="0" distL="0" distR="0" wp14:anchorId="79C54952" wp14:editId="0F99100C">
            <wp:extent cx="4505325" cy="4476750"/>
            <wp:effectExtent l="0" t="0" r="9525" b="0"/>
            <wp:docPr id="1" name="Chart 1">
              <a:extLst xmlns:a="http://schemas.openxmlformats.org/drawingml/2006/main">
                <a:ext uri="{FF2B5EF4-FFF2-40B4-BE49-F238E27FC236}">
                  <a16:creationId xmlns:a16="http://schemas.microsoft.com/office/drawing/2014/main" id="{EE3FA199-E207-480B-9C5F-68FC3FD1F3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530F8E" w14:textId="77777777" w:rsidR="00700078" w:rsidRPr="001A2C4A" w:rsidRDefault="00700078" w:rsidP="00700078">
      <w:pPr>
        <w:jc w:val="both"/>
      </w:pPr>
    </w:p>
    <w:p w14:paraId="64889878" w14:textId="77777777" w:rsidR="00700078" w:rsidRDefault="00700078" w:rsidP="00700078">
      <w:pPr>
        <w:pStyle w:val="figtab"/>
        <w:spacing w:after="0"/>
      </w:pPr>
      <w:r>
        <w:t>Figure 2: Factors increasing the costs of water treatment and supply</w:t>
      </w:r>
    </w:p>
    <w:p w14:paraId="674E2449" w14:textId="77777777" w:rsidR="00700078" w:rsidRDefault="00700078" w:rsidP="00700078">
      <w:r>
        <w:rPr>
          <w:noProof/>
        </w:rPr>
        <w:drawing>
          <wp:inline distT="0" distB="0" distL="0" distR="0" wp14:anchorId="6CC4A64C" wp14:editId="4F2CAE70">
            <wp:extent cx="5490210" cy="3358814"/>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0210" cy="3358814"/>
                    </a:xfrm>
                    <a:prstGeom prst="rect">
                      <a:avLst/>
                    </a:prstGeom>
                    <a:noFill/>
                    <a:ln>
                      <a:noFill/>
                    </a:ln>
                  </pic:spPr>
                </pic:pic>
              </a:graphicData>
            </a:graphic>
          </wp:inline>
        </w:drawing>
      </w:r>
    </w:p>
    <w:p w14:paraId="3BD2E58D" w14:textId="77777777" w:rsidR="00700078" w:rsidRDefault="00700078" w:rsidP="00700078">
      <w:pPr>
        <w:rPr>
          <w:lang w:val="en-US"/>
        </w:rPr>
      </w:pPr>
    </w:p>
    <w:p w14:paraId="099AC49E" w14:textId="545C565C" w:rsidR="00700078" w:rsidRPr="00690BA4" w:rsidRDefault="00700078" w:rsidP="00700078">
      <w:pPr>
        <w:pStyle w:val="figtab"/>
        <w:rPr>
          <w:lang w:val="en-GB"/>
        </w:rPr>
      </w:pPr>
      <w:r>
        <w:lastRenderedPageBreak/>
        <w:t xml:space="preserve">Figure 3: </w:t>
      </w:r>
      <w:r w:rsidRPr="00690BA4">
        <w:t>Shares of spending on fuel and water in 2009</w:t>
      </w:r>
      <w:r w:rsidR="003A6967">
        <w:rPr>
          <w:rStyle w:val="FootnoteReference"/>
        </w:rPr>
        <w:footnoteReference w:id="5"/>
      </w:r>
      <w:r w:rsidRPr="00690BA4">
        <w:t xml:space="preserve"> (Levell &amp; Oldfield 2011)</w:t>
      </w:r>
    </w:p>
    <w:p w14:paraId="117586DE" w14:textId="77777777" w:rsidR="00700078" w:rsidRDefault="00700078" w:rsidP="00700078">
      <w:r w:rsidRPr="00690BA4">
        <w:rPr>
          <w:noProof/>
        </w:rPr>
        <w:drawing>
          <wp:inline distT="0" distB="0" distL="0" distR="0" wp14:anchorId="002CF035" wp14:editId="5707DBD9">
            <wp:extent cx="5486400" cy="3173730"/>
            <wp:effectExtent l="0" t="0" r="0" b="127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a:stretch>
                      <a:fillRect/>
                    </a:stretch>
                  </pic:blipFill>
                  <pic:spPr>
                    <a:xfrm>
                      <a:off x="0" y="0"/>
                      <a:ext cx="5486400" cy="3173730"/>
                    </a:xfrm>
                    <a:prstGeom prst="rect">
                      <a:avLst/>
                    </a:prstGeom>
                  </pic:spPr>
                </pic:pic>
              </a:graphicData>
            </a:graphic>
          </wp:inline>
        </w:drawing>
      </w:r>
    </w:p>
    <w:p w14:paraId="64C39F3B" w14:textId="77777777" w:rsidR="00700078" w:rsidRPr="00690BA4" w:rsidRDefault="00700078" w:rsidP="00700078">
      <w:pPr>
        <w:rPr>
          <w:sz w:val="20"/>
          <w:szCs w:val="20"/>
        </w:rPr>
      </w:pPr>
      <w:r w:rsidRPr="00690BA4">
        <w:rPr>
          <w:sz w:val="20"/>
          <w:szCs w:val="20"/>
          <w:lang w:val="en-US"/>
        </w:rPr>
        <w:t>(Based on ONS Living Costs and Food Survey)</w:t>
      </w:r>
    </w:p>
    <w:p w14:paraId="37564396" w14:textId="77777777" w:rsidR="00864636" w:rsidRDefault="00864636" w:rsidP="006835DF"/>
    <w:p w14:paraId="55A98E0F" w14:textId="04366F3E" w:rsidR="006034E2" w:rsidRDefault="006034E2" w:rsidP="006835DF">
      <w:pPr>
        <w:rPr>
          <w:lang w:val="en-US"/>
        </w:rPr>
      </w:pPr>
      <w:r>
        <w:t xml:space="preserve">This paper reviews the current state of and </w:t>
      </w:r>
      <w:proofErr w:type="gramStart"/>
      <w:r>
        <w:t>future prospects</w:t>
      </w:r>
      <w:proofErr w:type="gramEnd"/>
      <w:r>
        <w:t xml:space="preserve"> for water poverty in </w:t>
      </w:r>
      <w:smartTag w:uri="urn:schemas-microsoft-com:office:smarttags" w:element="stockticker">
        <w:r>
          <w:t>England</w:t>
        </w:r>
      </w:smartTag>
      <w:r>
        <w:t xml:space="preserve"> and </w:t>
      </w:r>
      <w:smartTag w:uri="urn:schemas-microsoft-com:office:smarttags" w:element="stockticker">
        <w:r>
          <w:t>Wales</w:t>
        </w:r>
      </w:smartTag>
      <w:r>
        <w:t>, based on the secondary analysis of the Family Resources Survey (</w:t>
      </w:r>
      <w:smartTag w:uri="urn:schemas-microsoft-com:office:smarttags" w:element="stockticker">
        <w:r>
          <w:t>FRS</w:t>
        </w:r>
      </w:smartTag>
      <w:r>
        <w:t>) (20</w:t>
      </w:r>
      <w:r w:rsidR="00D23D5D">
        <w:t>18</w:t>
      </w:r>
      <w:r>
        <w:t>/</w:t>
      </w:r>
      <w:r w:rsidR="00D23D5D">
        <w:t>19</w:t>
      </w:r>
      <w:r>
        <w:t>)</w:t>
      </w:r>
      <w:r w:rsidR="00D23D5D">
        <w:t>, the latest available</w:t>
      </w:r>
      <w:r>
        <w:t xml:space="preserve">. </w:t>
      </w:r>
      <w:r w:rsidR="00C908E0">
        <w:t>T</w:t>
      </w:r>
      <w:r>
        <w:t xml:space="preserve">he </w:t>
      </w:r>
      <w:smartTag w:uri="urn:schemas-microsoft-com:office:smarttags" w:element="stockticker">
        <w:r>
          <w:t>FRS</w:t>
        </w:r>
      </w:smartTag>
      <w:r>
        <w:t xml:space="preserve"> is not the only source of data on water bills but as OFWAT</w:t>
      </w:r>
      <w:r w:rsidR="000934F6">
        <w:rPr>
          <w:rStyle w:val="FootnoteReference"/>
        </w:rPr>
        <w:footnoteReference w:id="6"/>
      </w:r>
      <w:r>
        <w:t xml:space="preserve"> argued “</w:t>
      </w:r>
      <w:r w:rsidRPr="0001392C">
        <w:rPr>
          <w:lang w:val="en-US"/>
        </w:rPr>
        <w:t xml:space="preserve">We assessed several sources of information for our indicator, and concluded that the </w:t>
      </w:r>
      <w:smartTag w:uri="urn:schemas-microsoft-com:office:smarttags" w:element="stockticker">
        <w:r w:rsidRPr="0001392C">
          <w:rPr>
            <w:lang w:val="en-US"/>
          </w:rPr>
          <w:t>FRS</w:t>
        </w:r>
      </w:smartTag>
      <w:r w:rsidRPr="0001392C">
        <w:rPr>
          <w:lang w:val="en-US"/>
        </w:rPr>
        <w:t xml:space="preserve"> would be the most appropriate choice. The survey has a large sample size, and includes detailed information on benefits, water bills, metering, water debt, and household </w:t>
      </w:r>
      <w:r w:rsidR="00240602">
        <w:rPr>
          <w:lang w:val="en-US"/>
        </w:rPr>
        <w:t>d</w:t>
      </w:r>
      <w:r w:rsidRPr="0001392C">
        <w:rPr>
          <w:lang w:val="en-US"/>
        </w:rPr>
        <w:t xml:space="preserve">emographics. The survey runs every year, so we can also track changes over time. The advisory group agreed that this survey was the most appropriate choice, though they recommended examining other surveys in further work." </w:t>
      </w:r>
    </w:p>
    <w:p w14:paraId="64BBA792" w14:textId="77777777" w:rsidR="006034E2" w:rsidRDefault="006034E2" w:rsidP="006835DF">
      <w:pPr>
        <w:rPr>
          <w:lang w:val="en-US"/>
        </w:rPr>
      </w:pPr>
    </w:p>
    <w:p w14:paraId="0E1868E1" w14:textId="3CC97463" w:rsidR="00EF73B2" w:rsidRDefault="006034E2" w:rsidP="00E4696E">
      <w:pPr>
        <w:pStyle w:val="CommentText"/>
      </w:pPr>
      <w:r>
        <w:t>There is no official definition of water poverty, or how it should be measured. By convention households have been defined as water poor if they spend more than three per cent of their income on water bills. OFWAT discusses the limitations of this definition but acknowledges its usefulness in identifying trends and patterns in water affordability. The Consumer Council for Water</w:t>
      </w:r>
      <w:r w:rsidR="000934F6">
        <w:rPr>
          <w:rStyle w:val="FootnoteReference"/>
        </w:rPr>
        <w:footnoteReference w:id="7"/>
      </w:r>
      <w:r>
        <w:t xml:space="preserve"> and OFWAT also use an additional measure - the percentage of households spending more than five per cent of their income on water bills. The numerator is the household water bill and the denominator is calculated as net household income after housing costs but before water payments. </w:t>
      </w:r>
    </w:p>
    <w:p w14:paraId="5428A8DB" w14:textId="77777777" w:rsidR="000737FE" w:rsidRPr="000737FE" w:rsidRDefault="000737FE" w:rsidP="000737FE">
      <w:r w:rsidRPr="000737FE">
        <w:t>Of course, the 3% and 5% thresholds are conventions without any particular scientific merit, though 3% was endorsed by the UN in 2013 and has some support from the Minimum Income Standard estimate for water.</w:t>
      </w:r>
      <w:r w:rsidRPr="000737FE">
        <w:rPr>
          <w:vertAlign w:val="superscript"/>
        </w:rPr>
        <w:footnoteReference w:id="8"/>
      </w:r>
      <w:r w:rsidRPr="000737FE">
        <w:t xml:space="preserve"> One obvious criticism of these thresholds is that they </w:t>
      </w:r>
      <w:r w:rsidRPr="000737FE">
        <w:lastRenderedPageBreak/>
        <w:t>take no account of consumption. A household may not be spending more than 3% or 5% because they are trying to reduce their bills (if on a water meter) and may be risking their health and well-being as a result. Alternatively, a poor or non-poor household may be in water poverty unnecessarily because they are behaving wastefully. It might be possible to combine an estimate of consumption adequacy using both a share of total expenditure and an estimate of an amount needed to be spent for healthy living. This amount would of course need to vary by household size and type and, possibly, water region, to take account of price differences. Certainly, the introduction of a consumption level has been recommended for the definition of fuel poverty. The constraint in the case of water is that only half of households are metered.</w:t>
      </w:r>
    </w:p>
    <w:p w14:paraId="1EBE3C30" w14:textId="77777777" w:rsidR="00A40786" w:rsidRDefault="00A40786" w:rsidP="000737FE">
      <w:pPr>
        <w:pStyle w:val="CommentText"/>
        <w:spacing w:after="0"/>
        <w:rPr>
          <w:b/>
          <w:bCs/>
        </w:rPr>
      </w:pPr>
    </w:p>
    <w:p w14:paraId="524A190C" w14:textId="541402DA" w:rsidR="00240602" w:rsidRPr="00240602" w:rsidRDefault="00240602" w:rsidP="000737FE">
      <w:pPr>
        <w:pStyle w:val="CommentText"/>
        <w:spacing w:after="0"/>
        <w:rPr>
          <w:b/>
          <w:bCs/>
        </w:rPr>
      </w:pPr>
      <w:r w:rsidRPr="00240602">
        <w:rPr>
          <w:b/>
          <w:bCs/>
        </w:rPr>
        <w:t>Equivalisation</w:t>
      </w:r>
    </w:p>
    <w:p w14:paraId="597C353C" w14:textId="137952F7" w:rsidR="00112863" w:rsidRDefault="006034E2" w:rsidP="000737FE">
      <w:pPr>
        <w:pStyle w:val="CommentText"/>
        <w:spacing w:after="0"/>
      </w:pPr>
      <w:r>
        <w:t xml:space="preserve">There is a debate about whether </w:t>
      </w:r>
      <w:r w:rsidR="000737FE">
        <w:t xml:space="preserve">or not </w:t>
      </w:r>
      <w:r>
        <w:t>the income denominator should be equivalised to take account of household composition. The independent advisory committee to the OFWAT review concluded that it should not be</w:t>
      </w:r>
      <w:r w:rsidR="00E4696E">
        <w:t>. The Hills Review</w:t>
      </w:r>
      <w:r w:rsidR="000934F6">
        <w:rPr>
          <w:rStyle w:val="FootnoteReference"/>
        </w:rPr>
        <w:footnoteReference w:id="9"/>
      </w:r>
      <w:r w:rsidR="00E4696E">
        <w:t xml:space="preserve"> of fuel poverty</w:t>
      </w:r>
      <w:r>
        <w:t xml:space="preserve">, </w:t>
      </w:r>
      <w:r w:rsidR="00E4696E">
        <w:t>supported equivalisation of income if spend was also adjusted depending on household composition.</w:t>
      </w:r>
      <w:r w:rsidR="00EF73B2">
        <w:t xml:space="preserve"> It is an important issue because whether income is equivalised or not makes a difference to the characteristics of households defined as in water poverty, as we shall see below. On</w:t>
      </w:r>
      <w:r w:rsidR="00CA6CC2">
        <w:t>e</w:t>
      </w:r>
      <w:r w:rsidR="00EF73B2">
        <w:t xml:space="preserve"> aspect of the argument is that if we are to </w:t>
      </w:r>
      <w:r w:rsidR="00112863">
        <w:t>equivalise the denominator – income</w:t>
      </w:r>
      <w:r w:rsidR="00BE7DBA">
        <w:t>,</w:t>
      </w:r>
      <w:r w:rsidR="00112863">
        <w:t xml:space="preserve"> should we not </w:t>
      </w:r>
      <w:r w:rsidR="00BE7DBA">
        <w:t xml:space="preserve">also </w:t>
      </w:r>
      <w:r w:rsidR="00112863">
        <w:t xml:space="preserve">equivalise the numerator – spending on water? There are a number of arguments against equivalising the numerator. One is that we do not know what the equivalent needs for water of different sizes of household are. Another is that water rates already vary to some extent by house size/value, and therefore, at least to some extent, household size. </w:t>
      </w:r>
      <w:r w:rsidR="00BE7DBA">
        <w:t xml:space="preserve">This is not the case with fuel expenditure. </w:t>
      </w:r>
      <w:r w:rsidR="00112863">
        <w:t>In this analysis we compare the results using equivalised and non-equivalised household income</w:t>
      </w:r>
      <w:r w:rsidR="00B6232B">
        <w:t>. We used the standard modified OECD scale to equivalise.</w:t>
      </w:r>
      <w:r w:rsidR="00112863">
        <w:t xml:space="preserve"> </w:t>
      </w:r>
    </w:p>
    <w:p w14:paraId="30707CF0" w14:textId="77777777" w:rsidR="000737FE" w:rsidRDefault="000737FE" w:rsidP="000737FE">
      <w:pPr>
        <w:pStyle w:val="CommentText"/>
        <w:spacing w:after="0"/>
      </w:pPr>
    </w:p>
    <w:p w14:paraId="349E891B" w14:textId="1D7836ED" w:rsidR="006034E2" w:rsidRDefault="006034E2" w:rsidP="006835DF">
      <w:r>
        <w:t>The data have been adjusted to the average of 20</w:t>
      </w:r>
      <w:r w:rsidR="00D23D5D">
        <w:t>18/19</w:t>
      </w:r>
      <w:r w:rsidR="00CA6CC2">
        <w:t xml:space="preserve"> </w:t>
      </w:r>
      <w:r w:rsidR="00D51266">
        <w:t>and the sample responses are weighted to match the population</w:t>
      </w:r>
      <w:r>
        <w:t xml:space="preserve">. </w:t>
      </w:r>
    </w:p>
    <w:p w14:paraId="40FEA926" w14:textId="77777777" w:rsidR="006034E2" w:rsidRDefault="006034E2" w:rsidP="006835DF">
      <w:pPr>
        <w:rPr>
          <w:b/>
          <w:bCs/>
        </w:rPr>
      </w:pPr>
    </w:p>
    <w:p w14:paraId="04ABF691" w14:textId="77777777" w:rsidR="006034E2" w:rsidRPr="008B37C1" w:rsidRDefault="006034E2" w:rsidP="006835DF">
      <w:pPr>
        <w:rPr>
          <w:b/>
          <w:bCs/>
        </w:rPr>
      </w:pPr>
      <w:r w:rsidRPr="008B37C1">
        <w:rPr>
          <w:b/>
          <w:bCs/>
        </w:rPr>
        <w:t>Current state of water poverty</w:t>
      </w:r>
    </w:p>
    <w:p w14:paraId="541ED165" w14:textId="71C7AF7E" w:rsidR="006034E2" w:rsidRDefault="006034E2" w:rsidP="006835DF">
      <w:r>
        <w:t>In 20</w:t>
      </w:r>
      <w:r w:rsidR="00D23D5D">
        <w:t>18</w:t>
      </w:r>
      <w:r>
        <w:t>/</w:t>
      </w:r>
      <w:r w:rsidR="00D23D5D">
        <w:t>19</w:t>
      </w:r>
      <w:r>
        <w:t xml:space="preserve"> 2</w:t>
      </w:r>
      <w:r w:rsidR="00B1067D">
        <w:t>1</w:t>
      </w:r>
      <w:r w:rsidRPr="000D24F3">
        <w:t xml:space="preserve">% of households </w:t>
      </w:r>
      <w:r>
        <w:t xml:space="preserve">paying for water in </w:t>
      </w:r>
      <w:smartTag w:uri="urn:schemas-microsoft-com:office:smarttags" w:element="stockticker">
        <w:r>
          <w:t>England</w:t>
        </w:r>
      </w:smartTag>
      <w:r>
        <w:t xml:space="preserve"> and </w:t>
      </w:r>
      <w:smartTag w:uri="urn:schemas-microsoft-com:office:smarttags" w:element="stockticker">
        <w:r>
          <w:t>Wales</w:t>
        </w:r>
      </w:smartTag>
      <w:r>
        <w:t xml:space="preserve"> </w:t>
      </w:r>
      <w:r w:rsidRPr="000D24F3">
        <w:t>were spending more than 3% of their incom</w:t>
      </w:r>
      <w:r>
        <w:t xml:space="preserve">e on water and sewerage and </w:t>
      </w:r>
      <w:r w:rsidR="00B1067D">
        <w:t>10</w:t>
      </w:r>
      <w:r w:rsidRPr="000D24F3">
        <w:t xml:space="preserve">% were spending more than 5% of their income. </w:t>
      </w:r>
      <w:r w:rsidRPr="00D70639">
        <w:t xml:space="preserve">We have </w:t>
      </w:r>
      <w:r>
        <w:t xml:space="preserve">also </w:t>
      </w:r>
      <w:r w:rsidRPr="00D70639">
        <w:t xml:space="preserve">estimated an average </w:t>
      </w:r>
      <w:r w:rsidRPr="00D70639">
        <w:rPr>
          <w:i/>
          <w:iCs/>
        </w:rPr>
        <w:t>water poverty gap</w:t>
      </w:r>
      <w:r w:rsidRPr="00D70639">
        <w:t xml:space="preserve"> – that is for those spending more than 3% and 5% on water how much their bills need to fall to be lifted out of water poverty. Our best estimate is that the mean gap at the 3% threshold is </w:t>
      </w:r>
      <w:r w:rsidRPr="00FB71C2">
        <w:t>£</w:t>
      </w:r>
      <w:r w:rsidR="00353698">
        <w:t>5.</w:t>
      </w:r>
      <w:r w:rsidR="00492150">
        <w:t>43</w:t>
      </w:r>
      <w:r w:rsidR="00353698">
        <w:t xml:space="preserve"> </w:t>
      </w:r>
      <w:r w:rsidRPr="00D70639">
        <w:t xml:space="preserve">per week </w:t>
      </w:r>
      <w:r w:rsidRPr="00FB71C2">
        <w:t>(median £</w:t>
      </w:r>
      <w:r w:rsidR="00353698">
        <w:t>3.1</w:t>
      </w:r>
      <w:r w:rsidR="00492150">
        <w:t>3</w:t>
      </w:r>
      <w:r>
        <w:t>)</w:t>
      </w:r>
      <w:r w:rsidRPr="00D70639">
        <w:t xml:space="preserve"> and at the 5% threshold it is a mean of </w:t>
      </w:r>
      <w:r w:rsidRPr="00FB71C2">
        <w:t>£</w:t>
      </w:r>
      <w:r w:rsidR="00571CEE">
        <w:t>7.73</w:t>
      </w:r>
      <w:r w:rsidRPr="00FB71C2">
        <w:t xml:space="preserve"> (median £</w:t>
      </w:r>
      <w:r w:rsidR="00571CEE">
        <w:t>3.90</w:t>
      </w:r>
      <w:r w:rsidRPr="00FB71C2">
        <w:t>).</w:t>
      </w:r>
      <w:r w:rsidRPr="00D70639">
        <w:t xml:space="preserve"> </w:t>
      </w:r>
    </w:p>
    <w:p w14:paraId="3D53FCCA" w14:textId="77777777" w:rsidR="00353698" w:rsidRDefault="00353698" w:rsidP="006835DF"/>
    <w:p w14:paraId="5A1596D7" w14:textId="519773A7" w:rsidR="00353698" w:rsidRDefault="00353698" w:rsidP="006835DF">
      <w:r>
        <w:t>Table 1. shows that since 2008/9 the water poverty rates have fallen slig</w:t>
      </w:r>
      <w:r w:rsidR="004656F6">
        <w:t xml:space="preserve">htly but the water poverty gaps have increased. </w:t>
      </w:r>
      <w:r w:rsidR="00052F8B">
        <w:t>The latter is also the case for general poverty.</w:t>
      </w:r>
    </w:p>
    <w:p w14:paraId="09489E8F" w14:textId="77777777" w:rsidR="00571CEE" w:rsidRDefault="00571CEE" w:rsidP="006835DF"/>
    <w:p w14:paraId="41F78F5E" w14:textId="3C1B2B73" w:rsidR="00C53113" w:rsidRDefault="00571CEE" w:rsidP="006835DF">
      <w:r>
        <w:t>Equivalising income makes only very small differences to the overall water poverty rates and poverty gaps. However, as we shall see if makes much larger differences to the composition of those in water poverty.</w:t>
      </w:r>
    </w:p>
    <w:p w14:paraId="795EAB06" w14:textId="77777777" w:rsidR="00C53113" w:rsidRDefault="00C53113">
      <w:r>
        <w:br w:type="page"/>
      </w:r>
    </w:p>
    <w:p w14:paraId="4400F818" w14:textId="77777777" w:rsidR="00A40786" w:rsidRDefault="00A40786" w:rsidP="004C185E">
      <w:pPr>
        <w:shd w:val="clear" w:color="auto" w:fill="002395"/>
        <w:rPr>
          <w:rFonts w:eastAsia="Verdana"/>
          <w:b/>
        </w:rPr>
      </w:pPr>
    </w:p>
    <w:p w14:paraId="34A432DE" w14:textId="0317D2DC" w:rsidR="004C185E" w:rsidRPr="00184A40" w:rsidRDefault="004C185E" w:rsidP="004C185E">
      <w:pPr>
        <w:shd w:val="clear" w:color="auto" w:fill="002395"/>
        <w:rPr>
          <w:rFonts w:eastAsia="Verdana"/>
          <w:b/>
        </w:rPr>
      </w:pPr>
      <w:r w:rsidRPr="00184A40">
        <w:rPr>
          <w:rFonts w:eastAsia="Verdana"/>
          <w:b/>
        </w:rPr>
        <w:t>Table 1: Comparison of water poverty rates and water poverty gaps 2008/9</w:t>
      </w:r>
      <w:r>
        <w:rPr>
          <w:rFonts w:eastAsia="Verdana"/>
          <w:b/>
        </w:rPr>
        <w:t xml:space="preserve">, </w:t>
      </w:r>
      <w:r w:rsidRPr="00184A40">
        <w:rPr>
          <w:rFonts w:eastAsia="Verdana"/>
          <w:b/>
        </w:rPr>
        <w:t xml:space="preserve">2017/18 </w:t>
      </w:r>
      <w:r>
        <w:rPr>
          <w:rFonts w:eastAsia="Verdana"/>
          <w:b/>
        </w:rPr>
        <w:t>and 2018/19</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39"/>
        <w:gridCol w:w="1846"/>
        <w:gridCol w:w="1697"/>
        <w:gridCol w:w="1847"/>
      </w:tblGrid>
      <w:tr w:rsidR="004C185E" w:rsidRPr="00184A40" w14:paraId="69406243" w14:textId="77777777" w:rsidTr="00966BFF">
        <w:tc>
          <w:tcPr>
            <w:tcW w:w="2122" w:type="dxa"/>
            <w:shd w:val="clear" w:color="auto" w:fill="auto"/>
          </w:tcPr>
          <w:p w14:paraId="1A403E3A" w14:textId="77777777" w:rsidR="004C185E" w:rsidRPr="00184A40" w:rsidRDefault="004C185E" w:rsidP="00492150">
            <w:pPr>
              <w:rPr>
                <w:rFonts w:eastAsia="Verdana"/>
                <w:b/>
              </w:rPr>
            </w:pPr>
          </w:p>
        </w:tc>
        <w:tc>
          <w:tcPr>
            <w:tcW w:w="3685" w:type="dxa"/>
            <w:gridSpan w:val="2"/>
            <w:shd w:val="clear" w:color="auto" w:fill="auto"/>
          </w:tcPr>
          <w:p w14:paraId="2D9FE6CD" w14:textId="77777777" w:rsidR="004C185E" w:rsidRPr="00184A40" w:rsidRDefault="004C185E" w:rsidP="00492150">
            <w:pPr>
              <w:rPr>
                <w:rFonts w:eastAsia="Verdana"/>
                <w:b/>
              </w:rPr>
            </w:pPr>
            <w:r>
              <w:rPr>
                <w:rFonts w:eastAsia="Verdana"/>
                <w:b/>
              </w:rPr>
              <w:t>Income not equivalised</w:t>
            </w:r>
          </w:p>
        </w:tc>
        <w:tc>
          <w:tcPr>
            <w:tcW w:w="3544" w:type="dxa"/>
            <w:gridSpan w:val="2"/>
          </w:tcPr>
          <w:p w14:paraId="6A6614FF" w14:textId="77777777" w:rsidR="004C185E" w:rsidRPr="00184A40" w:rsidRDefault="004C185E" w:rsidP="00492150">
            <w:pPr>
              <w:rPr>
                <w:rFonts w:eastAsia="Verdana"/>
                <w:b/>
              </w:rPr>
            </w:pPr>
            <w:r>
              <w:rPr>
                <w:rFonts w:eastAsia="Verdana"/>
                <w:b/>
              </w:rPr>
              <w:t>Income equivalised</w:t>
            </w:r>
          </w:p>
        </w:tc>
      </w:tr>
      <w:tr w:rsidR="000737FE" w:rsidRPr="00184A40" w14:paraId="4A0A84BB" w14:textId="77777777" w:rsidTr="00966BFF">
        <w:tc>
          <w:tcPr>
            <w:tcW w:w="2122" w:type="dxa"/>
            <w:shd w:val="clear" w:color="auto" w:fill="auto"/>
          </w:tcPr>
          <w:p w14:paraId="66068632" w14:textId="77777777" w:rsidR="000737FE" w:rsidRPr="00184A40" w:rsidRDefault="000737FE" w:rsidP="000737FE">
            <w:pPr>
              <w:rPr>
                <w:rFonts w:eastAsia="Verdana"/>
                <w:b/>
              </w:rPr>
            </w:pPr>
          </w:p>
        </w:tc>
        <w:tc>
          <w:tcPr>
            <w:tcW w:w="1839" w:type="dxa"/>
            <w:shd w:val="clear" w:color="auto" w:fill="auto"/>
          </w:tcPr>
          <w:p w14:paraId="23570E8C" w14:textId="77777777" w:rsidR="000737FE" w:rsidRPr="00184A40" w:rsidRDefault="000737FE" w:rsidP="000737FE">
            <w:pPr>
              <w:rPr>
                <w:rFonts w:eastAsia="Verdana"/>
                <w:b/>
              </w:rPr>
            </w:pPr>
            <w:r w:rsidRPr="00184A40">
              <w:rPr>
                <w:rFonts w:eastAsia="Verdana"/>
                <w:b/>
              </w:rPr>
              <w:t>Water poverty at the &gt;3% threshold</w:t>
            </w:r>
          </w:p>
        </w:tc>
        <w:tc>
          <w:tcPr>
            <w:tcW w:w="1846" w:type="dxa"/>
            <w:shd w:val="clear" w:color="auto" w:fill="auto"/>
          </w:tcPr>
          <w:p w14:paraId="5DD5D74A" w14:textId="77777777" w:rsidR="000737FE" w:rsidRPr="00184A40" w:rsidRDefault="000737FE" w:rsidP="000737FE">
            <w:pPr>
              <w:rPr>
                <w:rFonts w:eastAsia="Verdana"/>
                <w:b/>
              </w:rPr>
            </w:pPr>
            <w:r w:rsidRPr="00184A40">
              <w:rPr>
                <w:rFonts w:eastAsia="Verdana"/>
                <w:b/>
              </w:rPr>
              <w:t>Water poverty at the &gt;5% threshold</w:t>
            </w:r>
          </w:p>
        </w:tc>
        <w:tc>
          <w:tcPr>
            <w:tcW w:w="1697" w:type="dxa"/>
            <w:shd w:val="clear" w:color="auto" w:fill="auto"/>
          </w:tcPr>
          <w:p w14:paraId="6FB12831" w14:textId="456F995F" w:rsidR="000737FE" w:rsidRPr="00184A40" w:rsidRDefault="000737FE" w:rsidP="000737FE">
            <w:pPr>
              <w:rPr>
                <w:rFonts w:eastAsia="Verdana"/>
                <w:b/>
              </w:rPr>
            </w:pPr>
            <w:r w:rsidRPr="00184A40">
              <w:rPr>
                <w:rFonts w:eastAsia="Verdana"/>
                <w:b/>
              </w:rPr>
              <w:t>Water poverty at the &gt;3% threshold</w:t>
            </w:r>
          </w:p>
        </w:tc>
        <w:tc>
          <w:tcPr>
            <w:tcW w:w="1847" w:type="dxa"/>
            <w:shd w:val="clear" w:color="auto" w:fill="auto"/>
          </w:tcPr>
          <w:p w14:paraId="7A5FD8BB" w14:textId="655BA175" w:rsidR="000737FE" w:rsidRPr="00184A40" w:rsidRDefault="000737FE" w:rsidP="000737FE">
            <w:pPr>
              <w:rPr>
                <w:rFonts w:eastAsia="Verdana"/>
                <w:b/>
              </w:rPr>
            </w:pPr>
            <w:r w:rsidRPr="00184A40">
              <w:rPr>
                <w:rFonts w:eastAsia="Verdana"/>
                <w:b/>
              </w:rPr>
              <w:t>Water poverty at the &gt;5% threshold</w:t>
            </w:r>
          </w:p>
        </w:tc>
      </w:tr>
      <w:tr w:rsidR="000737FE" w:rsidRPr="00184A40" w14:paraId="710D1A29" w14:textId="77777777" w:rsidTr="00966BFF">
        <w:tc>
          <w:tcPr>
            <w:tcW w:w="2122" w:type="dxa"/>
            <w:shd w:val="clear" w:color="auto" w:fill="auto"/>
          </w:tcPr>
          <w:p w14:paraId="1092CB16" w14:textId="77777777" w:rsidR="000737FE" w:rsidRPr="00184A40" w:rsidRDefault="000737FE" w:rsidP="00966BFF">
            <w:pPr>
              <w:rPr>
                <w:rFonts w:eastAsia="Verdana"/>
                <w:b/>
              </w:rPr>
            </w:pPr>
            <w:r w:rsidRPr="00184A40">
              <w:rPr>
                <w:rFonts w:eastAsia="Verdana"/>
                <w:b/>
              </w:rPr>
              <w:t>Rate in 2008/9</w:t>
            </w:r>
          </w:p>
        </w:tc>
        <w:tc>
          <w:tcPr>
            <w:tcW w:w="1839" w:type="dxa"/>
            <w:shd w:val="clear" w:color="auto" w:fill="auto"/>
          </w:tcPr>
          <w:p w14:paraId="6A85B39A" w14:textId="77777777" w:rsidR="000737FE" w:rsidRPr="00184A40" w:rsidRDefault="000737FE" w:rsidP="000737FE">
            <w:pPr>
              <w:ind w:right="113"/>
              <w:jc w:val="right"/>
              <w:rPr>
                <w:rFonts w:eastAsia="Arial Narrow"/>
              </w:rPr>
            </w:pPr>
            <w:r w:rsidRPr="00184A40">
              <w:rPr>
                <w:rFonts w:eastAsia="Arial Narrow"/>
              </w:rPr>
              <w:t>23.6%</w:t>
            </w:r>
          </w:p>
        </w:tc>
        <w:tc>
          <w:tcPr>
            <w:tcW w:w="1846" w:type="dxa"/>
            <w:shd w:val="clear" w:color="auto" w:fill="auto"/>
          </w:tcPr>
          <w:p w14:paraId="26480605" w14:textId="77777777" w:rsidR="000737FE" w:rsidRPr="00184A40" w:rsidRDefault="000737FE" w:rsidP="000737FE">
            <w:pPr>
              <w:ind w:right="113"/>
              <w:jc w:val="right"/>
              <w:rPr>
                <w:rFonts w:eastAsia="Arial Narrow"/>
              </w:rPr>
            </w:pPr>
            <w:r w:rsidRPr="00184A40">
              <w:rPr>
                <w:rFonts w:eastAsia="Arial Narrow"/>
              </w:rPr>
              <w:t>11.5%</w:t>
            </w:r>
          </w:p>
        </w:tc>
        <w:tc>
          <w:tcPr>
            <w:tcW w:w="1697" w:type="dxa"/>
          </w:tcPr>
          <w:p w14:paraId="341BB6F3" w14:textId="77777777" w:rsidR="000737FE" w:rsidRPr="00184A40" w:rsidRDefault="000737FE" w:rsidP="000737FE">
            <w:pPr>
              <w:ind w:right="113"/>
              <w:jc w:val="right"/>
              <w:rPr>
                <w:rFonts w:eastAsia="Arial Narrow"/>
              </w:rPr>
            </w:pPr>
          </w:p>
        </w:tc>
        <w:tc>
          <w:tcPr>
            <w:tcW w:w="1847" w:type="dxa"/>
          </w:tcPr>
          <w:p w14:paraId="2646468B" w14:textId="77777777" w:rsidR="000737FE" w:rsidRPr="00184A40" w:rsidRDefault="000737FE" w:rsidP="000737FE">
            <w:pPr>
              <w:ind w:right="113"/>
              <w:jc w:val="right"/>
              <w:rPr>
                <w:rFonts w:eastAsia="Arial Narrow"/>
              </w:rPr>
            </w:pPr>
          </w:p>
        </w:tc>
      </w:tr>
      <w:tr w:rsidR="000737FE" w:rsidRPr="00184A40" w14:paraId="3315BF89" w14:textId="77777777" w:rsidTr="00966BFF">
        <w:tc>
          <w:tcPr>
            <w:tcW w:w="2122" w:type="dxa"/>
            <w:shd w:val="clear" w:color="auto" w:fill="auto"/>
          </w:tcPr>
          <w:p w14:paraId="1EB184AB" w14:textId="77777777" w:rsidR="000737FE" w:rsidRPr="00184A40" w:rsidRDefault="000737FE" w:rsidP="00966BFF">
            <w:pPr>
              <w:rPr>
                <w:rFonts w:eastAsia="Verdana"/>
                <w:b/>
              </w:rPr>
            </w:pPr>
            <w:r w:rsidRPr="00184A40">
              <w:rPr>
                <w:rFonts w:eastAsia="Verdana"/>
                <w:b/>
              </w:rPr>
              <w:t>Rate in 2017/18</w:t>
            </w:r>
          </w:p>
        </w:tc>
        <w:tc>
          <w:tcPr>
            <w:tcW w:w="1839" w:type="dxa"/>
            <w:shd w:val="clear" w:color="auto" w:fill="auto"/>
          </w:tcPr>
          <w:p w14:paraId="1B3B4BA5" w14:textId="77777777" w:rsidR="000737FE" w:rsidRPr="00184A40" w:rsidRDefault="000737FE" w:rsidP="000737FE">
            <w:pPr>
              <w:ind w:right="113"/>
              <w:jc w:val="right"/>
              <w:rPr>
                <w:rFonts w:eastAsia="Arial Narrow"/>
              </w:rPr>
            </w:pPr>
            <w:r w:rsidRPr="00184A40">
              <w:rPr>
                <w:rFonts w:eastAsia="Arial Narrow"/>
              </w:rPr>
              <w:t>21.9%</w:t>
            </w:r>
          </w:p>
        </w:tc>
        <w:tc>
          <w:tcPr>
            <w:tcW w:w="1846" w:type="dxa"/>
            <w:shd w:val="clear" w:color="auto" w:fill="auto"/>
          </w:tcPr>
          <w:p w14:paraId="4CD1C345" w14:textId="77777777" w:rsidR="000737FE" w:rsidRPr="00184A40" w:rsidRDefault="000737FE" w:rsidP="000737FE">
            <w:pPr>
              <w:ind w:right="113"/>
              <w:jc w:val="right"/>
              <w:rPr>
                <w:rFonts w:eastAsia="Arial Narrow"/>
              </w:rPr>
            </w:pPr>
            <w:r w:rsidRPr="00184A40">
              <w:rPr>
                <w:rFonts w:eastAsia="Arial Narrow"/>
              </w:rPr>
              <w:t>10.0%</w:t>
            </w:r>
          </w:p>
        </w:tc>
        <w:tc>
          <w:tcPr>
            <w:tcW w:w="1697" w:type="dxa"/>
          </w:tcPr>
          <w:p w14:paraId="263D0F1A" w14:textId="77777777" w:rsidR="000737FE" w:rsidRPr="00184A40" w:rsidRDefault="000737FE" w:rsidP="000737FE">
            <w:pPr>
              <w:ind w:right="113"/>
              <w:jc w:val="right"/>
              <w:rPr>
                <w:rFonts w:eastAsia="Arial Narrow"/>
              </w:rPr>
            </w:pPr>
          </w:p>
        </w:tc>
        <w:tc>
          <w:tcPr>
            <w:tcW w:w="1847" w:type="dxa"/>
          </w:tcPr>
          <w:p w14:paraId="0F79148B" w14:textId="77777777" w:rsidR="000737FE" w:rsidRPr="00184A40" w:rsidRDefault="000737FE" w:rsidP="000737FE">
            <w:pPr>
              <w:ind w:right="113"/>
              <w:jc w:val="right"/>
              <w:rPr>
                <w:rFonts w:eastAsia="Arial Narrow"/>
              </w:rPr>
            </w:pPr>
          </w:p>
        </w:tc>
      </w:tr>
      <w:tr w:rsidR="000737FE" w:rsidRPr="00184A40" w14:paraId="7396A9EB" w14:textId="77777777" w:rsidTr="00966BFF">
        <w:tc>
          <w:tcPr>
            <w:tcW w:w="2122" w:type="dxa"/>
            <w:shd w:val="clear" w:color="auto" w:fill="auto"/>
          </w:tcPr>
          <w:p w14:paraId="6461B698" w14:textId="77777777" w:rsidR="000737FE" w:rsidRPr="00184A40" w:rsidRDefault="000737FE" w:rsidP="00966BFF">
            <w:pPr>
              <w:rPr>
                <w:rFonts w:eastAsia="Verdana"/>
                <w:b/>
              </w:rPr>
            </w:pPr>
            <w:r>
              <w:rPr>
                <w:rFonts w:eastAsia="Verdana"/>
                <w:b/>
              </w:rPr>
              <w:t>Rate in 2018/19</w:t>
            </w:r>
            <w:r>
              <w:rPr>
                <w:rStyle w:val="FootnoteReference"/>
                <w:rFonts w:eastAsia="Verdana"/>
                <w:b/>
              </w:rPr>
              <w:footnoteReference w:id="10"/>
            </w:r>
          </w:p>
        </w:tc>
        <w:tc>
          <w:tcPr>
            <w:tcW w:w="1839" w:type="dxa"/>
            <w:shd w:val="clear" w:color="auto" w:fill="auto"/>
          </w:tcPr>
          <w:p w14:paraId="13A6DE88" w14:textId="77777777" w:rsidR="000737FE" w:rsidRPr="00184A40" w:rsidRDefault="000737FE" w:rsidP="000737FE">
            <w:pPr>
              <w:ind w:right="113"/>
              <w:jc w:val="right"/>
              <w:rPr>
                <w:rFonts w:eastAsia="Arial Narrow"/>
              </w:rPr>
            </w:pPr>
            <w:r>
              <w:rPr>
                <w:rFonts w:eastAsia="Arial Narrow"/>
              </w:rPr>
              <w:t>21.0%</w:t>
            </w:r>
          </w:p>
        </w:tc>
        <w:tc>
          <w:tcPr>
            <w:tcW w:w="1846" w:type="dxa"/>
            <w:shd w:val="clear" w:color="auto" w:fill="auto"/>
          </w:tcPr>
          <w:p w14:paraId="03B3BDCF" w14:textId="77777777" w:rsidR="000737FE" w:rsidRPr="00184A40" w:rsidRDefault="000737FE" w:rsidP="000737FE">
            <w:pPr>
              <w:ind w:right="113"/>
              <w:jc w:val="right"/>
              <w:rPr>
                <w:rFonts w:eastAsia="Arial Narrow"/>
              </w:rPr>
            </w:pPr>
            <w:r>
              <w:rPr>
                <w:rFonts w:eastAsia="Arial Narrow"/>
              </w:rPr>
              <w:t>10.0%</w:t>
            </w:r>
          </w:p>
        </w:tc>
        <w:tc>
          <w:tcPr>
            <w:tcW w:w="1697" w:type="dxa"/>
            <w:shd w:val="clear" w:color="auto" w:fill="auto"/>
          </w:tcPr>
          <w:p w14:paraId="21855CBB" w14:textId="77777777" w:rsidR="000737FE" w:rsidRPr="00184A40" w:rsidRDefault="000737FE" w:rsidP="000737FE">
            <w:pPr>
              <w:ind w:right="113"/>
              <w:jc w:val="right"/>
              <w:rPr>
                <w:rFonts w:eastAsia="Arial Narrow"/>
              </w:rPr>
            </w:pPr>
            <w:r>
              <w:rPr>
                <w:rFonts w:eastAsia="Arial Narrow"/>
              </w:rPr>
              <w:t>20.3%</w:t>
            </w:r>
          </w:p>
        </w:tc>
        <w:tc>
          <w:tcPr>
            <w:tcW w:w="1847" w:type="dxa"/>
            <w:shd w:val="clear" w:color="auto" w:fill="auto"/>
          </w:tcPr>
          <w:p w14:paraId="1443440F" w14:textId="77777777" w:rsidR="000737FE" w:rsidRPr="00184A40" w:rsidRDefault="000737FE" w:rsidP="000737FE">
            <w:pPr>
              <w:ind w:right="113"/>
              <w:jc w:val="right"/>
              <w:rPr>
                <w:rFonts w:eastAsia="Arial Narrow"/>
              </w:rPr>
            </w:pPr>
            <w:r>
              <w:rPr>
                <w:rFonts w:eastAsia="Arial Narrow"/>
              </w:rPr>
              <w:t>9.1%</w:t>
            </w:r>
          </w:p>
        </w:tc>
      </w:tr>
      <w:tr w:rsidR="000737FE" w:rsidRPr="00184A40" w14:paraId="3E1CAA40" w14:textId="77777777" w:rsidTr="00966BFF">
        <w:tc>
          <w:tcPr>
            <w:tcW w:w="2122" w:type="dxa"/>
            <w:shd w:val="clear" w:color="auto" w:fill="auto"/>
          </w:tcPr>
          <w:p w14:paraId="76019E98" w14:textId="77777777" w:rsidR="000737FE" w:rsidRPr="00184A40" w:rsidRDefault="000737FE" w:rsidP="00966BFF">
            <w:pPr>
              <w:rPr>
                <w:rFonts w:eastAsia="Verdana"/>
                <w:b/>
              </w:rPr>
            </w:pPr>
            <w:r w:rsidRPr="00184A40">
              <w:rPr>
                <w:rFonts w:eastAsia="Verdana"/>
                <w:b/>
              </w:rPr>
              <w:t>Gap</w:t>
            </w:r>
            <w:r>
              <w:rPr>
                <w:rFonts w:eastAsia="Verdana"/>
                <w:b/>
              </w:rPr>
              <w:t xml:space="preserve"> in</w:t>
            </w:r>
            <w:r w:rsidRPr="00184A40">
              <w:rPr>
                <w:rFonts w:eastAsia="Verdana"/>
                <w:b/>
              </w:rPr>
              <w:t xml:space="preserve"> 2008/9</w:t>
            </w:r>
          </w:p>
        </w:tc>
        <w:tc>
          <w:tcPr>
            <w:tcW w:w="1839" w:type="dxa"/>
            <w:shd w:val="clear" w:color="auto" w:fill="auto"/>
          </w:tcPr>
          <w:p w14:paraId="372E21BC" w14:textId="77777777" w:rsidR="000737FE" w:rsidRPr="00184A40" w:rsidRDefault="000737FE" w:rsidP="000737FE">
            <w:pPr>
              <w:ind w:right="113"/>
              <w:jc w:val="right"/>
              <w:rPr>
                <w:rFonts w:eastAsia="Arial Narrow"/>
              </w:rPr>
            </w:pPr>
            <w:r w:rsidRPr="00184A40">
              <w:rPr>
                <w:rFonts w:eastAsia="Arial Narrow"/>
              </w:rPr>
              <w:t xml:space="preserve">£3.46 </w:t>
            </w:r>
          </w:p>
        </w:tc>
        <w:tc>
          <w:tcPr>
            <w:tcW w:w="1846" w:type="dxa"/>
            <w:shd w:val="clear" w:color="auto" w:fill="auto"/>
          </w:tcPr>
          <w:p w14:paraId="7FD0EE27" w14:textId="77777777" w:rsidR="000737FE" w:rsidRPr="00184A40" w:rsidRDefault="000737FE" w:rsidP="000737FE">
            <w:pPr>
              <w:ind w:right="113"/>
              <w:jc w:val="right"/>
              <w:rPr>
                <w:rFonts w:eastAsia="Arial Narrow"/>
              </w:rPr>
            </w:pPr>
            <w:r w:rsidRPr="00184A40">
              <w:rPr>
                <w:rFonts w:eastAsia="Arial Narrow"/>
              </w:rPr>
              <w:t xml:space="preserve">£3.62 </w:t>
            </w:r>
          </w:p>
        </w:tc>
        <w:tc>
          <w:tcPr>
            <w:tcW w:w="1697" w:type="dxa"/>
          </w:tcPr>
          <w:p w14:paraId="0D4D4B9A" w14:textId="77777777" w:rsidR="000737FE" w:rsidRPr="00184A40" w:rsidRDefault="000737FE" w:rsidP="000737FE">
            <w:pPr>
              <w:ind w:right="113"/>
              <w:jc w:val="right"/>
              <w:rPr>
                <w:rFonts w:eastAsia="Arial Narrow"/>
              </w:rPr>
            </w:pPr>
          </w:p>
        </w:tc>
        <w:tc>
          <w:tcPr>
            <w:tcW w:w="1847" w:type="dxa"/>
          </w:tcPr>
          <w:p w14:paraId="695A091E" w14:textId="77777777" w:rsidR="000737FE" w:rsidRPr="00184A40" w:rsidRDefault="000737FE" w:rsidP="000737FE">
            <w:pPr>
              <w:ind w:right="113"/>
              <w:jc w:val="right"/>
              <w:rPr>
                <w:rFonts w:eastAsia="Arial Narrow"/>
              </w:rPr>
            </w:pPr>
          </w:p>
        </w:tc>
      </w:tr>
      <w:tr w:rsidR="000737FE" w:rsidRPr="00184A40" w14:paraId="56881950" w14:textId="77777777" w:rsidTr="00966BFF">
        <w:tc>
          <w:tcPr>
            <w:tcW w:w="2122" w:type="dxa"/>
            <w:shd w:val="clear" w:color="auto" w:fill="auto"/>
          </w:tcPr>
          <w:p w14:paraId="6CBC37BB" w14:textId="77777777" w:rsidR="000737FE" w:rsidRPr="00184A40" w:rsidRDefault="000737FE" w:rsidP="00966BFF">
            <w:pPr>
              <w:rPr>
                <w:rFonts w:eastAsia="Verdana"/>
                <w:b/>
              </w:rPr>
            </w:pPr>
            <w:r w:rsidRPr="00184A40">
              <w:rPr>
                <w:rFonts w:eastAsia="Verdana"/>
                <w:b/>
              </w:rPr>
              <w:t xml:space="preserve">Gap </w:t>
            </w:r>
            <w:r>
              <w:rPr>
                <w:rFonts w:eastAsia="Verdana"/>
                <w:b/>
              </w:rPr>
              <w:t xml:space="preserve">in </w:t>
            </w:r>
            <w:r w:rsidRPr="00184A40">
              <w:rPr>
                <w:rFonts w:eastAsia="Verdana"/>
                <w:b/>
              </w:rPr>
              <w:t>2017/18</w:t>
            </w:r>
          </w:p>
        </w:tc>
        <w:tc>
          <w:tcPr>
            <w:tcW w:w="1839" w:type="dxa"/>
            <w:shd w:val="clear" w:color="auto" w:fill="auto"/>
          </w:tcPr>
          <w:p w14:paraId="0BB30303" w14:textId="77777777" w:rsidR="000737FE" w:rsidRPr="00184A40" w:rsidRDefault="000737FE" w:rsidP="000737FE">
            <w:pPr>
              <w:ind w:right="113"/>
              <w:jc w:val="right"/>
              <w:rPr>
                <w:rFonts w:eastAsia="Arial Narrow"/>
              </w:rPr>
            </w:pPr>
            <w:r w:rsidRPr="00184A40">
              <w:rPr>
                <w:rFonts w:eastAsia="Arial Narrow"/>
              </w:rPr>
              <w:t xml:space="preserve">£4.75 </w:t>
            </w:r>
          </w:p>
        </w:tc>
        <w:tc>
          <w:tcPr>
            <w:tcW w:w="1846" w:type="dxa"/>
            <w:shd w:val="clear" w:color="auto" w:fill="auto"/>
          </w:tcPr>
          <w:p w14:paraId="6D874A27" w14:textId="77777777" w:rsidR="000737FE" w:rsidRPr="00184A40" w:rsidRDefault="000737FE" w:rsidP="000737FE">
            <w:pPr>
              <w:ind w:right="113"/>
              <w:jc w:val="right"/>
              <w:rPr>
                <w:rFonts w:eastAsia="Arial Narrow"/>
              </w:rPr>
            </w:pPr>
            <w:r w:rsidRPr="00184A40">
              <w:rPr>
                <w:rFonts w:eastAsia="Arial Narrow"/>
              </w:rPr>
              <w:t xml:space="preserve">£6.48 </w:t>
            </w:r>
          </w:p>
        </w:tc>
        <w:tc>
          <w:tcPr>
            <w:tcW w:w="1697" w:type="dxa"/>
          </w:tcPr>
          <w:p w14:paraId="7A349F9E" w14:textId="77777777" w:rsidR="000737FE" w:rsidRPr="00184A40" w:rsidRDefault="000737FE" w:rsidP="000737FE">
            <w:pPr>
              <w:ind w:right="113"/>
              <w:jc w:val="right"/>
              <w:rPr>
                <w:rFonts w:eastAsia="Arial Narrow"/>
              </w:rPr>
            </w:pPr>
          </w:p>
        </w:tc>
        <w:tc>
          <w:tcPr>
            <w:tcW w:w="1847" w:type="dxa"/>
          </w:tcPr>
          <w:p w14:paraId="4FDC6E81" w14:textId="77777777" w:rsidR="000737FE" w:rsidRPr="00184A40" w:rsidRDefault="000737FE" w:rsidP="000737FE">
            <w:pPr>
              <w:ind w:right="113"/>
              <w:jc w:val="right"/>
              <w:rPr>
                <w:rFonts w:eastAsia="Arial Narrow"/>
              </w:rPr>
            </w:pPr>
          </w:p>
        </w:tc>
      </w:tr>
      <w:tr w:rsidR="000737FE" w:rsidRPr="00184A40" w14:paraId="2A22C67F" w14:textId="77777777" w:rsidTr="00966BFF">
        <w:tc>
          <w:tcPr>
            <w:tcW w:w="2122" w:type="dxa"/>
            <w:shd w:val="clear" w:color="auto" w:fill="auto"/>
          </w:tcPr>
          <w:p w14:paraId="3E3FF2B8" w14:textId="77777777" w:rsidR="000737FE" w:rsidRPr="00184A40" w:rsidRDefault="000737FE" w:rsidP="00966BFF">
            <w:pPr>
              <w:rPr>
                <w:rFonts w:eastAsia="Verdana"/>
                <w:b/>
              </w:rPr>
            </w:pPr>
            <w:r>
              <w:rPr>
                <w:rFonts w:eastAsia="Verdana"/>
                <w:b/>
              </w:rPr>
              <w:t>Gap in 2018/19</w:t>
            </w:r>
          </w:p>
        </w:tc>
        <w:tc>
          <w:tcPr>
            <w:tcW w:w="1839" w:type="dxa"/>
            <w:shd w:val="clear" w:color="auto" w:fill="auto"/>
          </w:tcPr>
          <w:p w14:paraId="364F62D2" w14:textId="77777777" w:rsidR="000737FE" w:rsidRPr="00184A40" w:rsidRDefault="000737FE" w:rsidP="000737FE">
            <w:pPr>
              <w:ind w:right="113"/>
              <w:jc w:val="right"/>
              <w:rPr>
                <w:rFonts w:eastAsia="Arial Narrow"/>
              </w:rPr>
            </w:pPr>
            <w:r>
              <w:rPr>
                <w:rFonts w:eastAsia="Arial Narrow"/>
              </w:rPr>
              <w:t>£5.43</w:t>
            </w:r>
          </w:p>
        </w:tc>
        <w:tc>
          <w:tcPr>
            <w:tcW w:w="1846" w:type="dxa"/>
            <w:shd w:val="clear" w:color="auto" w:fill="auto"/>
          </w:tcPr>
          <w:p w14:paraId="1E8EF44C" w14:textId="77777777" w:rsidR="000737FE" w:rsidRPr="00184A40" w:rsidRDefault="000737FE" w:rsidP="000737FE">
            <w:pPr>
              <w:ind w:right="113"/>
              <w:jc w:val="right"/>
              <w:rPr>
                <w:rFonts w:eastAsia="Arial Narrow"/>
              </w:rPr>
            </w:pPr>
            <w:r>
              <w:rPr>
                <w:rFonts w:eastAsia="Arial Narrow"/>
              </w:rPr>
              <w:t>£7.73</w:t>
            </w:r>
          </w:p>
        </w:tc>
        <w:tc>
          <w:tcPr>
            <w:tcW w:w="1697" w:type="dxa"/>
            <w:shd w:val="clear" w:color="auto" w:fill="auto"/>
          </w:tcPr>
          <w:p w14:paraId="6D3ED190" w14:textId="77777777" w:rsidR="000737FE" w:rsidRPr="00184A40" w:rsidRDefault="000737FE" w:rsidP="000737FE">
            <w:pPr>
              <w:ind w:right="113"/>
              <w:jc w:val="right"/>
              <w:rPr>
                <w:rFonts w:eastAsia="Arial Narrow"/>
              </w:rPr>
            </w:pPr>
            <w:r>
              <w:rPr>
                <w:rFonts w:eastAsia="Arial Narrow"/>
              </w:rPr>
              <w:t>£5.71</w:t>
            </w:r>
          </w:p>
        </w:tc>
        <w:tc>
          <w:tcPr>
            <w:tcW w:w="1847" w:type="dxa"/>
            <w:shd w:val="clear" w:color="auto" w:fill="auto"/>
          </w:tcPr>
          <w:p w14:paraId="1DFA65DE" w14:textId="77777777" w:rsidR="000737FE" w:rsidRPr="00184A40" w:rsidRDefault="000737FE" w:rsidP="000737FE">
            <w:pPr>
              <w:ind w:right="113"/>
              <w:jc w:val="right"/>
              <w:rPr>
                <w:rFonts w:eastAsia="Arial Narrow"/>
              </w:rPr>
            </w:pPr>
            <w:r>
              <w:rPr>
                <w:rFonts w:eastAsia="Arial Narrow"/>
              </w:rPr>
              <w:t>£8.79</w:t>
            </w:r>
          </w:p>
        </w:tc>
      </w:tr>
    </w:tbl>
    <w:p w14:paraId="1325CF9B" w14:textId="77777777" w:rsidR="004C185E" w:rsidRPr="00184A40" w:rsidRDefault="004C185E" w:rsidP="004C185E">
      <w:pPr>
        <w:ind w:right="113"/>
        <w:rPr>
          <w:rFonts w:eastAsia="Arial Narrow"/>
          <w:i/>
        </w:rPr>
      </w:pPr>
      <w:r w:rsidRPr="00184A40">
        <w:rPr>
          <w:rFonts w:eastAsia="Arial Narrow"/>
          <w:i/>
        </w:rPr>
        <w:t>Source: Own analysis of the Family Resources Survey</w:t>
      </w:r>
    </w:p>
    <w:p w14:paraId="2C9A1C24" w14:textId="77777777" w:rsidR="004C185E" w:rsidRPr="00D70639" w:rsidRDefault="004C185E" w:rsidP="006835DF"/>
    <w:p w14:paraId="2F3658B6" w14:textId="5B308222" w:rsidR="006034E2" w:rsidRPr="000D24F3" w:rsidRDefault="006034E2" w:rsidP="006835DF">
      <w:r>
        <w:t>We know from</w:t>
      </w:r>
      <w:r w:rsidRPr="000D24F3">
        <w:t xml:space="preserve"> previous research</w:t>
      </w:r>
      <w:r w:rsidR="003A6967">
        <w:rPr>
          <w:rStyle w:val="FootnoteReference"/>
        </w:rPr>
        <w:footnoteReference w:id="11"/>
      </w:r>
      <w:r>
        <w:t xml:space="preserve"> </w:t>
      </w:r>
      <w:r w:rsidRPr="000D24F3">
        <w:t>that water poverty rate</w:t>
      </w:r>
      <w:r>
        <w:t>s vary with</w:t>
      </w:r>
      <w:r w:rsidRPr="000D24F3">
        <w:t xml:space="preserve"> </w:t>
      </w:r>
      <w:r>
        <w:t>a number of</w:t>
      </w:r>
      <w:r w:rsidRPr="000D24F3">
        <w:t xml:space="preserve"> household characteristics. </w:t>
      </w:r>
      <w:r>
        <w:t>Here we</w:t>
      </w:r>
      <w:r w:rsidRPr="000D24F3">
        <w:t xml:space="preserve"> concentrate on t</w:t>
      </w:r>
      <w:r>
        <w:t>hree key factors that have significant</w:t>
      </w:r>
      <w:r w:rsidRPr="000D24F3">
        <w:t xml:space="preserve"> impact</w:t>
      </w:r>
      <w:r>
        <w:t>s</w:t>
      </w:r>
      <w:r w:rsidRPr="000D24F3">
        <w:t xml:space="preserve"> on water poverty </w:t>
      </w:r>
      <w:r>
        <w:t>rates</w:t>
      </w:r>
      <w:r w:rsidR="00DD759B">
        <w:t xml:space="preserve"> on the grounds that they are important and </w:t>
      </w:r>
      <w:r w:rsidR="00B1067D">
        <w:t xml:space="preserve">potentially </w:t>
      </w:r>
      <w:r w:rsidR="00DD759B">
        <w:t>policy relevant</w:t>
      </w:r>
      <w:r>
        <w:t>:</w:t>
      </w:r>
    </w:p>
    <w:p w14:paraId="52F60A78" w14:textId="77777777" w:rsidR="006034E2" w:rsidRPr="000D24F3" w:rsidRDefault="006034E2" w:rsidP="006835DF">
      <w:pPr>
        <w:pStyle w:val="ListParagraph"/>
        <w:numPr>
          <w:ilvl w:val="0"/>
          <w:numId w:val="1"/>
        </w:numPr>
      </w:pPr>
      <w:r w:rsidRPr="000D24F3">
        <w:t>Household type</w:t>
      </w:r>
    </w:p>
    <w:p w14:paraId="43FC7AF4" w14:textId="77777777" w:rsidR="006034E2" w:rsidRPr="000D24F3" w:rsidRDefault="006034E2" w:rsidP="006835DF">
      <w:pPr>
        <w:pStyle w:val="ListParagraph"/>
        <w:numPr>
          <w:ilvl w:val="0"/>
          <w:numId w:val="1"/>
        </w:numPr>
      </w:pPr>
      <w:r w:rsidRPr="000D24F3">
        <w:t>Benefit status</w:t>
      </w:r>
    </w:p>
    <w:p w14:paraId="4805C8EB" w14:textId="77777777" w:rsidR="006034E2" w:rsidRPr="000D24F3" w:rsidRDefault="006034E2" w:rsidP="006835DF">
      <w:pPr>
        <w:pStyle w:val="ListParagraph"/>
        <w:numPr>
          <w:ilvl w:val="0"/>
          <w:numId w:val="1"/>
        </w:numPr>
      </w:pPr>
      <w:r w:rsidRPr="000D24F3">
        <w:t>Water metering</w:t>
      </w:r>
    </w:p>
    <w:p w14:paraId="20F9B6E4" w14:textId="77777777" w:rsidR="006034E2" w:rsidRDefault="006034E2" w:rsidP="006835DF"/>
    <w:p w14:paraId="26EA024D" w14:textId="743A9712" w:rsidR="006034E2" w:rsidRPr="00D70639" w:rsidRDefault="006034E2" w:rsidP="006835DF">
      <w:r w:rsidRPr="00D70639">
        <w:t>Of course</w:t>
      </w:r>
      <w:r w:rsidR="00A40786">
        <w:t>,</w:t>
      </w:r>
      <w:r w:rsidRPr="00D70639">
        <w:t xml:space="preserve"> these three factors interact (Figure </w:t>
      </w:r>
      <w:r w:rsidR="00C908E0">
        <w:t>4</w:t>
      </w:r>
      <w:r w:rsidRPr="00D70639">
        <w:t xml:space="preserve">). We should expect benefit receipt and </w:t>
      </w:r>
      <w:r w:rsidR="00B1067D">
        <w:t xml:space="preserve">household type would </w:t>
      </w:r>
      <w:r w:rsidRPr="00D70639">
        <w:t xml:space="preserve">have an impact on the income denominator of water poverty, while </w:t>
      </w:r>
      <w:r w:rsidR="00B1067D">
        <w:t xml:space="preserve">household type </w:t>
      </w:r>
      <w:r>
        <w:t>and having a water meter will</w:t>
      </w:r>
      <w:r w:rsidRPr="00D70639">
        <w:t xml:space="preserve"> have an impact o</w:t>
      </w:r>
      <w:r>
        <w:t>n the numerator water payment when these factors are associated with lower water use.</w:t>
      </w:r>
    </w:p>
    <w:p w14:paraId="7A6703A9" w14:textId="77777777" w:rsidR="006034E2" w:rsidRDefault="006034E2" w:rsidP="006835DF">
      <w:pPr>
        <w:rPr>
          <w:b/>
          <w:bCs/>
          <w:lang w:val="en-US" w:eastAsia="ru-RU"/>
        </w:rPr>
      </w:pPr>
    </w:p>
    <w:p w14:paraId="09FF296C" w14:textId="0DDB3F16" w:rsidR="006034E2" w:rsidRPr="00A613EE" w:rsidRDefault="006034E2" w:rsidP="006835DF">
      <w:pPr>
        <w:pStyle w:val="figtab"/>
        <w:spacing w:after="0"/>
      </w:pPr>
      <w:r>
        <w:t xml:space="preserve">Figure </w:t>
      </w:r>
      <w:r w:rsidR="00C908E0">
        <w:t>4</w:t>
      </w:r>
      <w:r w:rsidRPr="00A613EE">
        <w:t>: Interactions between components and determinants of water poverty</w:t>
      </w:r>
      <w:r>
        <w:t xml:space="preserve"> causing lower water bills</w:t>
      </w:r>
    </w:p>
    <w:p w14:paraId="1CE4D9C5" w14:textId="77777777" w:rsidR="006034E2" w:rsidRPr="00A56E55" w:rsidRDefault="006034E2" w:rsidP="006835DF">
      <w:pPr>
        <w:pStyle w:val="ListParagraph"/>
      </w:pPr>
    </w:p>
    <w:p w14:paraId="128323A0" w14:textId="77777777" w:rsidR="006034E2" w:rsidRDefault="001A33A9" w:rsidP="006835DF">
      <w:r>
        <w:rPr>
          <w:noProof/>
        </w:rPr>
        <w:drawing>
          <wp:inline distT="0" distB="0" distL="0" distR="0" wp14:anchorId="6389EF52" wp14:editId="480F15DE">
            <wp:extent cx="3881850" cy="22574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9526" cy="2261889"/>
                    </a:xfrm>
                    <a:prstGeom prst="rect">
                      <a:avLst/>
                    </a:prstGeom>
                    <a:noFill/>
                    <a:ln>
                      <a:noFill/>
                    </a:ln>
                  </pic:spPr>
                </pic:pic>
              </a:graphicData>
            </a:graphic>
          </wp:inline>
        </w:drawing>
      </w:r>
    </w:p>
    <w:p w14:paraId="62A05436" w14:textId="77777777" w:rsidR="006034E2" w:rsidRPr="005D6BBA" w:rsidRDefault="006034E2" w:rsidP="006835DF">
      <w:pPr>
        <w:pStyle w:val="Heading2"/>
        <w:spacing w:line="240" w:lineRule="auto"/>
      </w:pPr>
      <w:r w:rsidRPr="005D6BBA">
        <w:lastRenderedPageBreak/>
        <w:t>H</w:t>
      </w:r>
      <w:r>
        <w:t>ousehold type</w:t>
      </w:r>
    </w:p>
    <w:p w14:paraId="3BCB7CF3" w14:textId="0AC73B11" w:rsidR="006034E2" w:rsidRDefault="006034E2" w:rsidP="006835DF">
      <w:r>
        <w:t xml:space="preserve">Table </w:t>
      </w:r>
      <w:r w:rsidR="006E588C">
        <w:t>2</w:t>
      </w:r>
      <w:r>
        <w:t xml:space="preserve"> shows that both 3% and 5% water poverty rates vary by the type of household, with single and lone parent households having higher </w:t>
      </w:r>
      <w:r w:rsidR="00A0515A">
        <w:t xml:space="preserve">water poverty </w:t>
      </w:r>
      <w:r>
        <w:t xml:space="preserve">rates than couples and multi-unit households in England and Wales. </w:t>
      </w:r>
      <w:r w:rsidR="004A0152">
        <w:t>The impact of equivalising income completely changes this picture. The income of singles increases and the income of couples remains the same while the income of singles and couples with children an</w:t>
      </w:r>
      <w:r w:rsidR="00CC683C">
        <w:t xml:space="preserve">d multi-unit households falls. The result is that single parent families, couples with large families and multi-unit households are </w:t>
      </w:r>
      <w:r w:rsidR="00A0515A">
        <w:t xml:space="preserve">now </w:t>
      </w:r>
      <w:r w:rsidR="00CC683C">
        <w:t xml:space="preserve">most likely to live in water poverty. </w:t>
      </w:r>
      <w:r w:rsidR="00D07E34">
        <w:t>The probability of a lone a lone parent with one child being in water poverty at the 3% threshold unequivalised income is 44.9% while that of a childless couple is only 13%.</w:t>
      </w:r>
    </w:p>
    <w:p w14:paraId="2B69A96D" w14:textId="77777777" w:rsidR="00CC683C" w:rsidRDefault="00CC683C" w:rsidP="006835DF">
      <w:pPr>
        <w:rPr>
          <w:b/>
          <w:bCs/>
          <w:lang w:val="en-US" w:eastAsia="ru-RU"/>
        </w:rPr>
      </w:pPr>
    </w:p>
    <w:p w14:paraId="7D1783CD" w14:textId="77777777" w:rsidR="006034E2" w:rsidRPr="00BA15EE" w:rsidRDefault="006034E2" w:rsidP="006835DF">
      <w:pPr>
        <w:pStyle w:val="tabfig"/>
        <w:spacing w:after="0"/>
      </w:pPr>
      <w:r w:rsidRPr="00BA15EE">
        <w:t xml:space="preserve">Table </w:t>
      </w:r>
      <w:r w:rsidR="006E588C">
        <w:t>2</w:t>
      </w:r>
      <w:r w:rsidRPr="00BA15EE">
        <w:t>: Water poverty rates by household type (</w:t>
      </w:r>
      <w:r>
        <w:t xml:space="preserve">England and Wales </w:t>
      </w:r>
      <w:r w:rsidRPr="00BA15EE">
        <w:t>20</w:t>
      </w:r>
      <w:r w:rsidR="004A0152">
        <w:t>18</w:t>
      </w:r>
      <w:r w:rsidRPr="00BA15EE">
        <w:t>-1</w:t>
      </w:r>
      <w:r w:rsidR="004A0152">
        <w:t>9</w:t>
      </w:r>
      <w:r w:rsidRPr="00BA15EE">
        <w:t>)</w:t>
      </w:r>
    </w:p>
    <w:tbl>
      <w:tblPr>
        <w:tblStyle w:val="TableGridLight"/>
        <w:tblW w:w="0" w:type="auto"/>
        <w:tblLook w:val="00A0" w:firstRow="1" w:lastRow="0" w:firstColumn="1" w:lastColumn="0" w:noHBand="0" w:noVBand="0"/>
      </w:tblPr>
      <w:tblGrid>
        <w:gridCol w:w="2711"/>
        <w:gridCol w:w="1285"/>
        <w:gridCol w:w="1286"/>
        <w:gridCol w:w="1304"/>
        <w:gridCol w:w="1187"/>
        <w:gridCol w:w="1243"/>
      </w:tblGrid>
      <w:tr w:rsidR="00C42322" w:rsidRPr="00EF01DB" w14:paraId="4F1D703C" w14:textId="77777777" w:rsidTr="00C42322">
        <w:tc>
          <w:tcPr>
            <w:tcW w:w="2711" w:type="dxa"/>
          </w:tcPr>
          <w:p w14:paraId="0A28432A" w14:textId="77777777" w:rsidR="00C42322" w:rsidRPr="00EF01DB" w:rsidRDefault="00C42322" w:rsidP="00C42322">
            <w:pPr>
              <w:rPr>
                <w:b/>
                <w:bCs/>
                <w:lang w:val="en-US" w:eastAsia="ru-RU"/>
              </w:rPr>
            </w:pPr>
            <w:r w:rsidRPr="00EF01DB">
              <w:rPr>
                <w:b/>
                <w:bCs/>
                <w:lang w:val="en-US" w:eastAsia="ru-RU"/>
              </w:rPr>
              <w:t>Household type</w:t>
            </w:r>
          </w:p>
        </w:tc>
        <w:tc>
          <w:tcPr>
            <w:tcW w:w="1285" w:type="dxa"/>
          </w:tcPr>
          <w:p w14:paraId="45A5671E" w14:textId="77777777" w:rsidR="00C42322" w:rsidRPr="00EF01DB" w:rsidRDefault="00C42322" w:rsidP="00C42322">
            <w:pPr>
              <w:jc w:val="center"/>
              <w:rPr>
                <w:lang w:val="en-US" w:eastAsia="ru-RU"/>
              </w:rPr>
            </w:pPr>
            <w:r w:rsidRPr="00EF01DB">
              <w:rPr>
                <w:lang w:val="en-US" w:eastAsia="ru-RU"/>
              </w:rPr>
              <w:t>% spending over 3% income on water</w:t>
            </w:r>
          </w:p>
        </w:tc>
        <w:tc>
          <w:tcPr>
            <w:tcW w:w="1286" w:type="dxa"/>
          </w:tcPr>
          <w:p w14:paraId="7571C0F6" w14:textId="77777777" w:rsidR="00C42322" w:rsidRPr="00EF01DB" w:rsidRDefault="00C42322" w:rsidP="00C42322">
            <w:pPr>
              <w:jc w:val="center"/>
              <w:rPr>
                <w:lang w:val="en-US" w:eastAsia="ru-RU"/>
              </w:rPr>
            </w:pPr>
            <w:r w:rsidRPr="00EF01DB">
              <w:rPr>
                <w:lang w:val="en-US" w:eastAsia="ru-RU"/>
              </w:rPr>
              <w:t>% spending over 5% income on water</w:t>
            </w:r>
          </w:p>
        </w:tc>
        <w:tc>
          <w:tcPr>
            <w:tcW w:w="1304" w:type="dxa"/>
          </w:tcPr>
          <w:p w14:paraId="2804A01E" w14:textId="77777777" w:rsidR="00C42322" w:rsidRPr="00EF01DB" w:rsidRDefault="00C42322" w:rsidP="00C42322">
            <w:pPr>
              <w:jc w:val="center"/>
              <w:rPr>
                <w:lang w:val="en-US" w:eastAsia="ru-RU"/>
              </w:rPr>
            </w:pPr>
            <w:r w:rsidRPr="00EF01DB">
              <w:rPr>
                <w:lang w:val="en-US" w:eastAsia="ru-RU"/>
              </w:rPr>
              <w:t>% spending over 3% income on water</w:t>
            </w:r>
          </w:p>
        </w:tc>
        <w:tc>
          <w:tcPr>
            <w:tcW w:w="1187" w:type="dxa"/>
          </w:tcPr>
          <w:p w14:paraId="547F7763" w14:textId="77777777" w:rsidR="00C42322" w:rsidRPr="00EF01DB" w:rsidRDefault="00C42322" w:rsidP="00C42322">
            <w:pPr>
              <w:jc w:val="center"/>
              <w:rPr>
                <w:lang w:val="en-US" w:eastAsia="ru-RU"/>
              </w:rPr>
            </w:pPr>
            <w:r w:rsidRPr="00EF01DB">
              <w:rPr>
                <w:lang w:val="en-US" w:eastAsia="ru-RU"/>
              </w:rPr>
              <w:t>% spending over 5% income on water</w:t>
            </w:r>
          </w:p>
        </w:tc>
        <w:tc>
          <w:tcPr>
            <w:tcW w:w="1243" w:type="dxa"/>
          </w:tcPr>
          <w:p w14:paraId="3913FEA9" w14:textId="77777777" w:rsidR="00C42322" w:rsidRPr="00EF01DB" w:rsidRDefault="00C42322" w:rsidP="00C42322">
            <w:pPr>
              <w:jc w:val="center"/>
              <w:rPr>
                <w:lang w:val="en-US" w:eastAsia="ru-RU"/>
              </w:rPr>
            </w:pPr>
            <w:r w:rsidRPr="00EF01DB">
              <w:rPr>
                <w:lang w:val="en-US" w:eastAsia="ru-RU"/>
              </w:rPr>
              <w:t>% of household type in population</w:t>
            </w:r>
          </w:p>
        </w:tc>
      </w:tr>
      <w:tr w:rsidR="00C42322" w:rsidRPr="00EF01DB" w14:paraId="7B0D3F4A" w14:textId="77777777" w:rsidTr="004C11A2">
        <w:tc>
          <w:tcPr>
            <w:tcW w:w="2711" w:type="dxa"/>
          </w:tcPr>
          <w:p w14:paraId="37679BA5" w14:textId="77777777" w:rsidR="00C42322" w:rsidRPr="00EF01DB" w:rsidRDefault="00C42322" w:rsidP="00C42322">
            <w:pPr>
              <w:rPr>
                <w:lang w:val="en-US" w:eastAsia="ru-RU"/>
              </w:rPr>
            </w:pPr>
          </w:p>
        </w:tc>
        <w:tc>
          <w:tcPr>
            <w:tcW w:w="2571" w:type="dxa"/>
            <w:gridSpan w:val="2"/>
          </w:tcPr>
          <w:p w14:paraId="1CCAC75C" w14:textId="77777777" w:rsidR="00C42322" w:rsidRPr="00EF01DB" w:rsidRDefault="00C42322" w:rsidP="00C42322">
            <w:pPr>
              <w:jc w:val="center"/>
              <w:rPr>
                <w:lang w:val="en-US" w:eastAsia="ru-RU"/>
              </w:rPr>
            </w:pPr>
            <w:r>
              <w:rPr>
                <w:lang w:val="en-US" w:eastAsia="ru-RU"/>
              </w:rPr>
              <w:t>Unequivalised income</w:t>
            </w:r>
          </w:p>
        </w:tc>
        <w:tc>
          <w:tcPr>
            <w:tcW w:w="2491" w:type="dxa"/>
            <w:gridSpan w:val="2"/>
          </w:tcPr>
          <w:p w14:paraId="2A4ED3AA" w14:textId="77777777" w:rsidR="00C42322" w:rsidRPr="00C42322" w:rsidRDefault="00C42322" w:rsidP="00C42322">
            <w:pPr>
              <w:jc w:val="center"/>
              <w:rPr>
                <w:lang w:eastAsia="ru-RU"/>
              </w:rPr>
            </w:pPr>
            <w:r>
              <w:rPr>
                <w:lang w:eastAsia="ru-RU"/>
              </w:rPr>
              <w:t>Equivalised income</w:t>
            </w:r>
          </w:p>
        </w:tc>
        <w:tc>
          <w:tcPr>
            <w:tcW w:w="1243" w:type="dxa"/>
          </w:tcPr>
          <w:p w14:paraId="2D1ADFED" w14:textId="77777777" w:rsidR="00C42322" w:rsidRPr="00EF01DB" w:rsidRDefault="00C42322" w:rsidP="00C42322">
            <w:pPr>
              <w:jc w:val="center"/>
              <w:rPr>
                <w:lang w:val="ru-RU" w:eastAsia="ru-RU"/>
              </w:rPr>
            </w:pPr>
          </w:p>
        </w:tc>
      </w:tr>
      <w:tr w:rsidR="00C42322" w:rsidRPr="00EF01DB" w14:paraId="1CDB299B" w14:textId="77777777" w:rsidTr="00C42322">
        <w:tc>
          <w:tcPr>
            <w:tcW w:w="2711" w:type="dxa"/>
          </w:tcPr>
          <w:p w14:paraId="464202ED" w14:textId="77777777" w:rsidR="00C42322" w:rsidRPr="00EF01DB" w:rsidRDefault="00C42322" w:rsidP="00C42322">
            <w:pPr>
              <w:rPr>
                <w:lang w:val="en-US" w:eastAsia="ru-RU"/>
              </w:rPr>
            </w:pPr>
            <w:r w:rsidRPr="00EF01DB">
              <w:rPr>
                <w:lang w:val="en-US" w:eastAsia="ru-RU"/>
              </w:rPr>
              <w:t>One adult only</w:t>
            </w:r>
          </w:p>
        </w:tc>
        <w:tc>
          <w:tcPr>
            <w:tcW w:w="1285" w:type="dxa"/>
          </w:tcPr>
          <w:p w14:paraId="6D77207A" w14:textId="77777777" w:rsidR="00C42322" w:rsidRPr="00EF01DB" w:rsidRDefault="00C42322" w:rsidP="00C42322">
            <w:pPr>
              <w:jc w:val="center"/>
              <w:rPr>
                <w:lang w:val="en-US" w:eastAsia="ru-RU"/>
              </w:rPr>
            </w:pPr>
            <w:r>
              <w:rPr>
                <w:lang w:val="en-US" w:eastAsia="ru-RU"/>
              </w:rPr>
              <w:t>37.2</w:t>
            </w:r>
          </w:p>
        </w:tc>
        <w:tc>
          <w:tcPr>
            <w:tcW w:w="1286" w:type="dxa"/>
          </w:tcPr>
          <w:p w14:paraId="0E25D51F" w14:textId="77777777" w:rsidR="00C42322" w:rsidRPr="00EF01DB" w:rsidRDefault="00554EC3" w:rsidP="00C42322">
            <w:pPr>
              <w:jc w:val="center"/>
              <w:rPr>
                <w:lang w:val="en-US" w:eastAsia="ru-RU"/>
              </w:rPr>
            </w:pPr>
            <w:r>
              <w:rPr>
                <w:lang w:val="en-US" w:eastAsia="ru-RU"/>
              </w:rPr>
              <w:t>19.5</w:t>
            </w:r>
          </w:p>
        </w:tc>
        <w:tc>
          <w:tcPr>
            <w:tcW w:w="1304" w:type="dxa"/>
          </w:tcPr>
          <w:p w14:paraId="5C6DAFD8" w14:textId="77777777" w:rsidR="00C42322" w:rsidRPr="00EF01DB" w:rsidRDefault="00554EC3" w:rsidP="00C42322">
            <w:pPr>
              <w:jc w:val="center"/>
              <w:rPr>
                <w:lang w:val="en-US" w:eastAsia="ru-RU"/>
              </w:rPr>
            </w:pPr>
            <w:r>
              <w:rPr>
                <w:lang w:val="en-US" w:eastAsia="ru-RU"/>
              </w:rPr>
              <w:t>19.2</w:t>
            </w:r>
          </w:p>
        </w:tc>
        <w:tc>
          <w:tcPr>
            <w:tcW w:w="1187" w:type="dxa"/>
          </w:tcPr>
          <w:p w14:paraId="76FFEA66" w14:textId="77777777" w:rsidR="00C42322" w:rsidRPr="00554EC3" w:rsidRDefault="00554EC3" w:rsidP="00C42322">
            <w:pPr>
              <w:jc w:val="center"/>
              <w:rPr>
                <w:lang w:eastAsia="ru-RU"/>
              </w:rPr>
            </w:pPr>
            <w:r>
              <w:rPr>
                <w:lang w:eastAsia="ru-RU"/>
              </w:rPr>
              <w:t>10.4</w:t>
            </w:r>
          </w:p>
        </w:tc>
        <w:tc>
          <w:tcPr>
            <w:tcW w:w="1243" w:type="dxa"/>
          </w:tcPr>
          <w:p w14:paraId="52D051B3" w14:textId="77777777" w:rsidR="00C42322" w:rsidRPr="004A0152" w:rsidRDefault="004A0152" w:rsidP="00C42322">
            <w:pPr>
              <w:jc w:val="center"/>
              <w:rPr>
                <w:lang w:eastAsia="ru-RU"/>
              </w:rPr>
            </w:pPr>
            <w:r>
              <w:rPr>
                <w:lang w:eastAsia="ru-RU"/>
              </w:rPr>
              <w:t>22.7</w:t>
            </w:r>
          </w:p>
        </w:tc>
      </w:tr>
      <w:tr w:rsidR="00C42322" w:rsidRPr="00EF01DB" w14:paraId="667874AE" w14:textId="77777777" w:rsidTr="00C42322">
        <w:tc>
          <w:tcPr>
            <w:tcW w:w="2711" w:type="dxa"/>
          </w:tcPr>
          <w:p w14:paraId="1ED7D02A" w14:textId="77777777" w:rsidR="00C42322" w:rsidRPr="00EF01DB" w:rsidRDefault="00C42322" w:rsidP="00C42322">
            <w:pPr>
              <w:rPr>
                <w:lang w:val="en-US" w:eastAsia="ru-RU"/>
              </w:rPr>
            </w:pPr>
            <w:r w:rsidRPr="00EF01DB">
              <w:rPr>
                <w:lang w:val="en-US" w:eastAsia="ru-RU"/>
              </w:rPr>
              <w:t>One adult with 1 child</w:t>
            </w:r>
          </w:p>
        </w:tc>
        <w:tc>
          <w:tcPr>
            <w:tcW w:w="1285" w:type="dxa"/>
          </w:tcPr>
          <w:p w14:paraId="58599F37" w14:textId="77777777" w:rsidR="00C42322" w:rsidRPr="00EF01DB" w:rsidRDefault="00C42322" w:rsidP="00C42322">
            <w:pPr>
              <w:jc w:val="center"/>
              <w:rPr>
                <w:lang w:val="en-US" w:eastAsia="ru-RU"/>
              </w:rPr>
            </w:pPr>
            <w:r>
              <w:rPr>
                <w:lang w:val="en-US" w:eastAsia="ru-RU"/>
              </w:rPr>
              <w:t>44.9</w:t>
            </w:r>
          </w:p>
        </w:tc>
        <w:tc>
          <w:tcPr>
            <w:tcW w:w="1286" w:type="dxa"/>
          </w:tcPr>
          <w:p w14:paraId="013DF785" w14:textId="77777777" w:rsidR="00C42322" w:rsidRPr="00EF01DB" w:rsidRDefault="00554EC3" w:rsidP="00C42322">
            <w:pPr>
              <w:jc w:val="center"/>
              <w:rPr>
                <w:lang w:val="en-US" w:eastAsia="ru-RU"/>
              </w:rPr>
            </w:pPr>
            <w:r>
              <w:rPr>
                <w:lang w:val="en-US" w:eastAsia="ru-RU"/>
              </w:rPr>
              <w:t>20.6</w:t>
            </w:r>
          </w:p>
        </w:tc>
        <w:tc>
          <w:tcPr>
            <w:tcW w:w="1304" w:type="dxa"/>
          </w:tcPr>
          <w:p w14:paraId="414D6A6E" w14:textId="77777777" w:rsidR="00C42322" w:rsidRPr="00EF01DB" w:rsidRDefault="00554EC3" w:rsidP="00C42322">
            <w:pPr>
              <w:jc w:val="center"/>
              <w:rPr>
                <w:lang w:val="en-US" w:eastAsia="ru-RU"/>
              </w:rPr>
            </w:pPr>
            <w:r>
              <w:rPr>
                <w:lang w:val="en-US" w:eastAsia="ru-RU"/>
              </w:rPr>
              <w:t>36.5</w:t>
            </w:r>
          </w:p>
        </w:tc>
        <w:tc>
          <w:tcPr>
            <w:tcW w:w="1187" w:type="dxa"/>
          </w:tcPr>
          <w:p w14:paraId="51F8D1E2" w14:textId="77777777" w:rsidR="00C42322" w:rsidRPr="00554EC3" w:rsidRDefault="00554EC3" w:rsidP="00C42322">
            <w:pPr>
              <w:jc w:val="center"/>
              <w:rPr>
                <w:lang w:eastAsia="ru-RU"/>
              </w:rPr>
            </w:pPr>
            <w:r>
              <w:rPr>
                <w:lang w:eastAsia="ru-RU"/>
              </w:rPr>
              <w:t>13.9</w:t>
            </w:r>
          </w:p>
        </w:tc>
        <w:tc>
          <w:tcPr>
            <w:tcW w:w="1243" w:type="dxa"/>
          </w:tcPr>
          <w:p w14:paraId="51989AD3" w14:textId="77777777" w:rsidR="00C42322" w:rsidRPr="004A0152" w:rsidRDefault="004A0152" w:rsidP="00C42322">
            <w:pPr>
              <w:jc w:val="center"/>
              <w:rPr>
                <w:lang w:eastAsia="ru-RU"/>
              </w:rPr>
            </w:pPr>
            <w:r>
              <w:rPr>
                <w:lang w:eastAsia="ru-RU"/>
              </w:rPr>
              <w:t>1.9</w:t>
            </w:r>
          </w:p>
        </w:tc>
      </w:tr>
      <w:tr w:rsidR="00C42322" w:rsidRPr="00EF01DB" w14:paraId="3801A95C" w14:textId="77777777" w:rsidTr="00C42322">
        <w:tc>
          <w:tcPr>
            <w:tcW w:w="2711" w:type="dxa"/>
          </w:tcPr>
          <w:p w14:paraId="362123DC" w14:textId="77777777" w:rsidR="00C42322" w:rsidRPr="00EF01DB" w:rsidRDefault="00C42322" w:rsidP="00C42322">
            <w:pPr>
              <w:rPr>
                <w:lang w:val="en-US" w:eastAsia="ru-RU"/>
              </w:rPr>
            </w:pPr>
            <w:r w:rsidRPr="00EF01DB">
              <w:rPr>
                <w:lang w:val="en-US" w:eastAsia="ru-RU"/>
              </w:rPr>
              <w:t>One adult with 2 children</w:t>
            </w:r>
          </w:p>
        </w:tc>
        <w:tc>
          <w:tcPr>
            <w:tcW w:w="1285" w:type="dxa"/>
          </w:tcPr>
          <w:p w14:paraId="306970EF" w14:textId="77777777" w:rsidR="00C42322" w:rsidRPr="00EF01DB" w:rsidRDefault="00C42322" w:rsidP="00C42322">
            <w:pPr>
              <w:jc w:val="center"/>
              <w:rPr>
                <w:lang w:val="en-US" w:eastAsia="ru-RU"/>
              </w:rPr>
            </w:pPr>
            <w:r>
              <w:rPr>
                <w:lang w:val="en-US" w:eastAsia="ru-RU"/>
              </w:rPr>
              <w:t>36.8</w:t>
            </w:r>
          </w:p>
        </w:tc>
        <w:tc>
          <w:tcPr>
            <w:tcW w:w="1286" w:type="dxa"/>
          </w:tcPr>
          <w:p w14:paraId="581E5BA3" w14:textId="77777777" w:rsidR="00C42322" w:rsidRPr="00EF01DB" w:rsidRDefault="00554EC3" w:rsidP="00C42322">
            <w:pPr>
              <w:jc w:val="center"/>
              <w:rPr>
                <w:lang w:val="en-US" w:eastAsia="ru-RU"/>
              </w:rPr>
            </w:pPr>
            <w:r>
              <w:rPr>
                <w:lang w:val="en-US" w:eastAsia="ru-RU"/>
              </w:rPr>
              <w:t>11.5</w:t>
            </w:r>
          </w:p>
        </w:tc>
        <w:tc>
          <w:tcPr>
            <w:tcW w:w="1304" w:type="dxa"/>
          </w:tcPr>
          <w:p w14:paraId="1FAE5BC0" w14:textId="77777777" w:rsidR="00C42322" w:rsidRPr="00EF01DB" w:rsidRDefault="00554EC3" w:rsidP="00C42322">
            <w:pPr>
              <w:jc w:val="center"/>
              <w:rPr>
                <w:lang w:val="en-US" w:eastAsia="ru-RU"/>
              </w:rPr>
            </w:pPr>
            <w:r>
              <w:rPr>
                <w:lang w:val="en-US" w:eastAsia="ru-RU"/>
              </w:rPr>
              <w:t>42.7</w:t>
            </w:r>
          </w:p>
        </w:tc>
        <w:tc>
          <w:tcPr>
            <w:tcW w:w="1187" w:type="dxa"/>
          </w:tcPr>
          <w:p w14:paraId="7F029EED" w14:textId="77777777" w:rsidR="00C42322" w:rsidRPr="004A0152" w:rsidRDefault="004A0152" w:rsidP="00C42322">
            <w:pPr>
              <w:jc w:val="center"/>
              <w:rPr>
                <w:lang w:eastAsia="ru-RU"/>
              </w:rPr>
            </w:pPr>
            <w:r>
              <w:rPr>
                <w:lang w:eastAsia="ru-RU"/>
              </w:rPr>
              <w:t>13.3</w:t>
            </w:r>
          </w:p>
        </w:tc>
        <w:tc>
          <w:tcPr>
            <w:tcW w:w="1243" w:type="dxa"/>
          </w:tcPr>
          <w:p w14:paraId="2297E38F" w14:textId="77777777" w:rsidR="00C42322" w:rsidRPr="004A0152" w:rsidRDefault="004A0152" w:rsidP="00C42322">
            <w:pPr>
              <w:jc w:val="center"/>
              <w:rPr>
                <w:lang w:eastAsia="ru-RU"/>
              </w:rPr>
            </w:pPr>
            <w:r>
              <w:rPr>
                <w:lang w:eastAsia="ru-RU"/>
              </w:rPr>
              <w:t>1.4</w:t>
            </w:r>
          </w:p>
        </w:tc>
      </w:tr>
      <w:tr w:rsidR="00C42322" w:rsidRPr="00EF01DB" w14:paraId="5F71F9F8" w14:textId="77777777" w:rsidTr="00C42322">
        <w:tc>
          <w:tcPr>
            <w:tcW w:w="2711" w:type="dxa"/>
          </w:tcPr>
          <w:p w14:paraId="32CB020B" w14:textId="77777777" w:rsidR="00C42322" w:rsidRPr="00EF01DB" w:rsidRDefault="00C42322" w:rsidP="00C42322">
            <w:pPr>
              <w:rPr>
                <w:lang w:val="en-US" w:eastAsia="ru-RU"/>
              </w:rPr>
            </w:pPr>
            <w:r w:rsidRPr="00EF01DB">
              <w:rPr>
                <w:lang w:val="en-US" w:eastAsia="ru-RU"/>
              </w:rPr>
              <w:t>One adult with 3 or more children</w:t>
            </w:r>
          </w:p>
        </w:tc>
        <w:tc>
          <w:tcPr>
            <w:tcW w:w="1285" w:type="dxa"/>
          </w:tcPr>
          <w:p w14:paraId="311A2EBF" w14:textId="77777777" w:rsidR="00C42322" w:rsidRPr="00EF01DB" w:rsidRDefault="00C42322" w:rsidP="00C42322">
            <w:pPr>
              <w:jc w:val="center"/>
              <w:rPr>
                <w:lang w:val="en-US" w:eastAsia="ru-RU"/>
              </w:rPr>
            </w:pPr>
            <w:r>
              <w:rPr>
                <w:lang w:val="en-US" w:eastAsia="ru-RU"/>
              </w:rPr>
              <w:t>27.2</w:t>
            </w:r>
          </w:p>
        </w:tc>
        <w:tc>
          <w:tcPr>
            <w:tcW w:w="1286" w:type="dxa"/>
          </w:tcPr>
          <w:p w14:paraId="54802B8E" w14:textId="77777777" w:rsidR="00C42322" w:rsidRPr="00EF01DB" w:rsidRDefault="00554EC3" w:rsidP="00C42322">
            <w:pPr>
              <w:jc w:val="center"/>
              <w:rPr>
                <w:lang w:val="en-US" w:eastAsia="ru-RU"/>
              </w:rPr>
            </w:pPr>
            <w:r>
              <w:rPr>
                <w:lang w:val="en-US" w:eastAsia="ru-RU"/>
              </w:rPr>
              <w:t>7.0</w:t>
            </w:r>
          </w:p>
        </w:tc>
        <w:tc>
          <w:tcPr>
            <w:tcW w:w="1304" w:type="dxa"/>
          </w:tcPr>
          <w:p w14:paraId="5413BC14" w14:textId="77777777" w:rsidR="00C42322" w:rsidRPr="00EF01DB" w:rsidRDefault="00554EC3" w:rsidP="00C42322">
            <w:pPr>
              <w:jc w:val="center"/>
              <w:rPr>
                <w:lang w:val="en-US" w:eastAsia="ru-RU"/>
              </w:rPr>
            </w:pPr>
            <w:r>
              <w:rPr>
                <w:lang w:val="en-US" w:eastAsia="ru-RU"/>
              </w:rPr>
              <w:t>50.2</w:t>
            </w:r>
          </w:p>
        </w:tc>
        <w:tc>
          <w:tcPr>
            <w:tcW w:w="1187" w:type="dxa"/>
          </w:tcPr>
          <w:p w14:paraId="14232EC6" w14:textId="77777777" w:rsidR="00C42322" w:rsidRPr="004A0152" w:rsidRDefault="004A0152" w:rsidP="00C42322">
            <w:pPr>
              <w:jc w:val="center"/>
              <w:rPr>
                <w:lang w:eastAsia="ru-RU"/>
              </w:rPr>
            </w:pPr>
            <w:r>
              <w:rPr>
                <w:lang w:eastAsia="ru-RU"/>
              </w:rPr>
              <w:t>16.2</w:t>
            </w:r>
          </w:p>
        </w:tc>
        <w:tc>
          <w:tcPr>
            <w:tcW w:w="1243" w:type="dxa"/>
          </w:tcPr>
          <w:p w14:paraId="24C61DCD" w14:textId="77777777" w:rsidR="00C42322" w:rsidRPr="004A0152" w:rsidRDefault="004A0152" w:rsidP="00C42322">
            <w:pPr>
              <w:jc w:val="center"/>
              <w:rPr>
                <w:lang w:eastAsia="ru-RU"/>
              </w:rPr>
            </w:pPr>
            <w:r>
              <w:rPr>
                <w:lang w:eastAsia="ru-RU"/>
              </w:rPr>
              <w:t>0.8</w:t>
            </w:r>
          </w:p>
        </w:tc>
      </w:tr>
      <w:tr w:rsidR="00C42322" w:rsidRPr="00EF01DB" w14:paraId="627A9B2E" w14:textId="77777777" w:rsidTr="00C42322">
        <w:tc>
          <w:tcPr>
            <w:tcW w:w="2711" w:type="dxa"/>
          </w:tcPr>
          <w:p w14:paraId="328F7749" w14:textId="77777777" w:rsidR="00C42322" w:rsidRPr="00EF01DB" w:rsidRDefault="00C42322" w:rsidP="00C42322">
            <w:pPr>
              <w:rPr>
                <w:lang w:val="en-US" w:eastAsia="ru-RU"/>
              </w:rPr>
            </w:pPr>
            <w:r w:rsidRPr="00EF01DB">
              <w:rPr>
                <w:lang w:val="en-US" w:eastAsia="ru-RU"/>
              </w:rPr>
              <w:t>One family couple with no children</w:t>
            </w:r>
          </w:p>
        </w:tc>
        <w:tc>
          <w:tcPr>
            <w:tcW w:w="1285" w:type="dxa"/>
          </w:tcPr>
          <w:p w14:paraId="44DFFD57" w14:textId="77777777" w:rsidR="00C42322" w:rsidRPr="00EF01DB" w:rsidRDefault="00C42322" w:rsidP="00C42322">
            <w:pPr>
              <w:jc w:val="center"/>
              <w:rPr>
                <w:lang w:val="en-US" w:eastAsia="ru-RU"/>
              </w:rPr>
            </w:pPr>
            <w:r>
              <w:rPr>
                <w:lang w:val="en-US" w:eastAsia="ru-RU"/>
              </w:rPr>
              <w:t>13.0</w:t>
            </w:r>
          </w:p>
        </w:tc>
        <w:tc>
          <w:tcPr>
            <w:tcW w:w="1286" w:type="dxa"/>
          </w:tcPr>
          <w:p w14:paraId="6006D9EE" w14:textId="77777777" w:rsidR="00C42322" w:rsidRPr="00EF01DB" w:rsidRDefault="00554EC3" w:rsidP="00C42322">
            <w:pPr>
              <w:jc w:val="center"/>
              <w:rPr>
                <w:lang w:val="en-US" w:eastAsia="ru-RU"/>
              </w:rPr>
            </w:pPr>
            <w:r>
              <w:rPr>
                <w:lang w:val="en-US" w:eastAsia="ru-RU"/>
              </w:rPr>
              <w:t>5.5</w:t>
            </w:r>
          </w:p>
        </w:tc>
        <w:tc>
          <w:tcPr>
            <w:tcW w:w="1304" w:type="dxa"/>
          </w:tcPr>
          <w:p w14:paraId="01E36BD0" w14:textId="77777777" w:rsidR="00C42322" w:rsidRPr="00EF01DB" w:rsidRDefault="00554EC3" w:rsidP="00C42322">
            <w:pPr>
              <w:jc w:val="center"/>
              <w:rPr>
                <w:lang w:val="en-US" w:eastAsia="ru-RU"/>
              </w:rPr>
            </w:pPr>
            <w:r>
              <w:rPr>
                <w:lang w:val="en-US" w:eastAsia="ru-RU"/>
              </w:rPr>
              <w:t>13.1</w:t>
            </w:r>
          </w:p>
        </w:tc>
        <w:tc>
          <w:tcPr>
            <w:tcW w:w="1187" w:type="dxa"/>
          </w:tcPr>
          <w:p w14:paraId="0CABB0B4" w14:textId="77777777" w:rsidR="00C42322" w:rsidRPr="004A0152" w:rsidRDefault="004A0152" w:rsidP="00C42322">
            <w:pPr>
              <w:jc w:val="center"/>
              <w:rPr>
                <w:lang w:eastAsia="ru-RU"/>
              </w:rPr>
            </w:pPr>
            <w:r>
              <w:rPr>
                <w:lang w:eastAsia="ru-RU"/>
              </w:rPr>
              <w:t>5.6</w:t>
            </w:r>
          </w:p>
        </w:tc>
        <w:tc>
          <w:tcPr>
            <w:tcW w:w="1243" w:type="dxa"/>
          </w:tcPr>
          <w:p w14:paraId="31A6AE54" w14:textId="77777777" w:rsidR="00C42322" w:rsidRPr="004A0152" w:rsidRDefault="004A0152" w:rsidP="00C42322">
            <w:pPr>
              <w:jc w:val="center"/>
              <w:rPr>
                <w:lang w:eastAsia="ru-RU"/>
              </w:rPr>
            </w:pPr>
            <w:r>
              <w:rPr>
                <w:lang w:eastAsia="ru-RU"/>
              </w:rPr>
              <w:t>23.3</w:t>
            </w:r>
          </w:p>
        </w:tc>
      </w:tr>
      <w:tr w:rsidR="00C42322" w:rsidRPr="00EF01DB" w14:paraId="0983C348" w14:textId="77777777" w:rsidTr="00C42322">
        <w:tc>
          <w:tcPr>
            <w:tcW w:w="2711" w:type="dxa"/>
          </w:tcPr>
          <w:p w14:paraId="14A01A07" w14:textId="77777777" w:rsidR="00C42322" w:rsidRPr="00EF01DB" w:rsidRDefault="00C42322" w:rsidP="00C42322">
            <w:pPr>
              <w:rPr>
                <w:lang w:val="en-US" w:eastAsia="ru-RU"/>
              </w:rPr>
            </w:pPr>
            <w:r w:rsidRPr="00EF01DB">
              <w:rPr>
                <w:lang w:val="en-US" w:eastAsia="ru-RU"/>
              </w:rPr>
              <w:t>One family couple with 1 child</w:t>
            </w:r>
          </w:p>
        </w:tc>
        <w:tc>
          <w:tcPr>
            <w:tcW w:w="1285" w:type="dxa"/>
          </w:tcPr>
          <w:p w14:paraId="5D134653" w14:textId="77777777" w:rsidR="00C42322" w:rsidRPr="00EF01DB" w:rsidRDefault="00C42322" w:rsidP="00C42322">
            <w:pPr>
              <w:jc w:val="center"/>
              <w:rPr>
                <w:lang w:val="en-US" w:eastAsia="ru-RU"/>
              </w:rPr>
            </w:pPr>
            <w:r>
              <w:rPr>
                <w:lang w:val="en-US" w:eastAsia="ru-RU"/>
              </w:rPr>
              <w:t>13.7</w:t>
            </w:r>
          </w:p>
        </w:tc>
        <w:tc>
          <w:tcPr>
            <w:tcW w:w="1286" w:type="dxa"/>
          </w:tcPr>
          <w:p w14:paraId="477DB871" w14:textId="77777777" w:rsidR="00C42322" w:rsidRPr="00EF01DB" w:rsidRDefault="00554EC3" w:rsidP="00C42322">
            <w:pPr>
              <w:jc w:val="center"/>
              <w:rPr>
                <w:lang w:val="en-US" w:eastAsia="ru-RU"/>
              </w:rPr>
            </w:pPr>
            <w:r>
              <w:rPr>
                <w:lang w:val="en-US" w:eastAsia="ru-RU"/>
              </w:rPr>
              <w:t>5.5</w:t>
            </w:r>
          </w:p>
        </w:tc>
        <w:tc>
          <w:tcPr>
            <w:tcW w:w="1304" w:type="dxa"/>
          </w:tcPr>
          <w:p w14:paraId="3D199C2B" w14:textId="77777777" w:rsidR="00C42322" w:rsidRPr="00EF01DB" w:rsidRDefault="00554EC3" w:rsidP="00C42322">
            <w:pPr>
              <w:jc w:val="center"/>
              <w:rPr>
                <w:lang w:val="en-US" w:eastAsia="ru-RU"/>
              </w:rPr>
            </w:pPr>
            <w:r>
              <w:rPr>
                <w:lang w:val="en-US" w:eastAsia="ru-RU"/>
              </w:rPr>
              <w:t>17.9</w:t>
            </w:r>
          </w:p>
        </w:tc>
        <w:tc>
          <w:tcPr>
            <w:tcW w:w="1187" w:type="dxa"/>
          </w:tcPr>
          <w:p w14:paraId="1A8904A6" w14:textId="77777777" w:rsidR="00C42322" w:rsidRPr="004A0152" w:rsidRDefault="004A0152" w:rsidP="00C42322">
            <w:pPr>
              <w:jc w:val="center"/>
              <w:rPr>
                <w:lang w:eastAsia="ru-RU"/>
              </w:rPr>
            </w:pPr>
            <w:r>
              <w:rPr>
                <w:lang w:eastAsia="ru-RU"/>
              </w:rPr>
              <w:t>8.1</w:t>
            </w:r>
          </w:p>
        </w:tc>
        <w:tc>
          <w:tcPr>
            <w:tcW w:w="1243" w:type="dxa"/>
          </w:tcPr>
          <w:p w14:paraId="158424C8" w14:textId="77777777" w:rsidR="00C42322" w:rsidRPr="004A0152" w:rsidRDefault="004A0152" w:rsidP="00C42322">
            <w:pPr>
              <w:jc w:val="center"/>
              <w:rPr>
                <w:lang w:eastAsia="ru-RU"/>
              </w:rPr>
            </w:pPr>
            <w:r>
              <w:rPr>
                <w:lang w:eastAsia="ru-RU"/>
              </w:rPr>
              <w:t>5.6</w:t>
            </w:r>
          </w:p>
        </w:tc>
      </w:tr>
      <w:tr w:rsidR="00C42322" w:rsidRPr="00EF01DB" w14:paraId="0BE236DC" w14:textId="77777777" w:rsidTr="00C42322">
        <w:tc>
          <w:tcPr>
            <w:tcW w:w="2711" w:type="dxa"/>
          </w:tcPr>
          <w:p w14:paraId="1EE76498" w14:textId="77777777" w:rsidR="00C42322" w:rsidRPr="00EF01DB" w:rsidRDefault="00C42322" w:rsidP="00C42322">
            <w:pPr>
              <w:rPr>
                <w:lang w:val="en-US" w:eastAsia="ru-RU"/>
              </w:rPr>
            </w:pPr>
            <w:r w:rsidRPr="00EF01DB">
              <w:rPr>
                <w:lang w:val="en-US" w:eastAsia="ru-RU"/>
              </w:rPr>
              <w:t>One family couple with 2 children</w:t>
            </w:r>
          </w:p>
        </w:tc>
        <w:tc>
          <w:tcPr>
            <w:tcW w:w="1285" w:type="dxa"/>
          </w:tcPr>
          <w:p w14:paraId="2E0AE0FA" w14:textId="77777777" w:rsidR="00C42322" w:rsidRPr="00EF01DB" w:rsidRDefault="00C42322" w:rsidP="00C42322">
            <w:pPr>
              <w:jc w:val="center"/>
              <w:rPr>
                <w:lang w:val="en-US" w:eastAsia="ru-RU"/>
              </w:rPr>
            </w:pPr>
            <w:r>
              <w:rPr>
                <w:lang w:val="en-US" w:eastAsia="ru-RU"/>
              </w:rPr>
              <w:t>12.</w:t>
            </w:r>
            <w:r w:rsidR="00554EC3">
              <w:rPr>
                <w:lang w:val="en-US" w:eastAsia="ru-RU"/>
              </w:rPr>
              <w:t>6</w:t>
            </w:r>
          </w:p>
        </w:tc>
        <w:tc>
          <w:tcPr>
            <w:tcW w:w="1286" w:type="dxa"/>
          </w:tcPr>
          <w:p w14:paraId="7265B4C7" w14:textId="77777777" w:rsidR="00C42322" w:rsidRPr="00EF01DB" w:rsidRDefault="00554EC3" w:rsidP="00C42322">
            <w:pPr>
              <w:jc w:val="center"/>
              <w:rPr>
                <w:lang w:val="en-US" w:eastAsia="ru-RU"/>
              </w:rPr>
            </w:pPr>
            <w:r>
              <w:rPr>
                <w:lang w:val="en-US" w:eastAsia="ru-RU"/>
              </w:rPr>
              <w:t>6.4</w:t>
            </w:r>
          </w:p>
        </w:tc>
        <w:tc>
          <w:tcPr>
            <w:tcW w:w="1304" w:type="dxa"/>
          </w:tcPr>
          <w:p w14:paraId="42D52DF4" w14:textId="77777777" w:rsidR="00C42322" w:rsidRPr="00EF01DB" w:rsidRDefault="00554EC3" w:rsidP="00C42322">
            <w:pPr>
              <w:jc w:val="center"/>
              <w:rPr>
                <w:lang w:val="en-US" w:eastAsia="ru-RU"/>
              </w:rPr>
            </w:pPr>
            <w:r>
              <w:rPr>
                <w:lang w:val="en-US" w:eastAsia="ru-RU"/>
              </w:rPr>
              <w:t>23.8</w:t>
            </w:r>
          </w:p>
        </w:tc>
        <w:tc>
          <w:tcPr>
            <w:tcW w:w="1187" w:type="dxa"/>
          </w:tcPr>
          <w:p w14:paraId="0750C6A1" w14:textId="77777777" w:rsidR="00C42322" w:rsidRPr="004A0152" w:rsidRDefault="004A0152" w:rsidP="00C42322">
            <w:pPr>
              <w:jc w:val="center"/>
              <w:rPr>
                <w:lang w:eastAsia="ru-RU"/>
              </w:rPr>
            </w:pPr>
            <w:r>
              <w:rPr>
                <w:lang w:eastAsia="ru-RU"/>
              </w:rPr>
              <w:t>10.3</w:t>
            </w:r>
          </w:p>
        </w:tc>
        <w:tc>
          <w:tcPr>
            <w:tcW w:w="1243" w:type="dxa"/>
          </w:tcPr>
          <w:p w14:paraId="40E0D1ED" w14:textId="77777777" w:rsidR="00C42322" w:rsidRPr="004A0152" w:rsidRDefault="004A0152" w:rsidP="00C42322">
            <w:pPr>
              <w:jc w:val="center"/>
              <w:rPr>
                <w:lang w:eastAsia="ru-RU"/>
              </w:rPr>
            </w:pPr>
            <w:r>
              <w:rPr>
                <w:lang w:eastAsia="ru-RU"/>
              </w:rPr>
              <w:t>6.3</w:t>
            </w:r>
          </w:p>
        </w:tc>
      </w:tr>
      <w:tr w:rsidR="00C42322" w:rsidRPr="00EF01DB" w14:paraId="63B9EC86" w14:textId="77777777" w:rsidTr="00C42322">
        <w:tc>
          <w:tcPr>
            <w:tcW w:w="2711" w:type="dxa"/>
          </w:tcPr>
          <w:p w14:paraId="005F4D86" w14:textId="77777777" w:rsidR="00C42322" w:rsidRPr="00EF01DB" w:rsidRDefault="00C42322" w:rsidP="00C42322">
            <w:pPr>
              <w:rPr>
                <w:lang w:val="en-US" w:eastAsia="ru-RU"/>
              </w:rPr>
            </w:pPr>
            <w:r w:rsidRPr="00EF01DB">
              <w:rPr>
                <w:lang w:val="en-US" w:eastAsia="ru-RU"/>
              </w:rPr>
              <w:t>One family couple with 3 or more children</w:t>
            </w:r>
          </w:p>
        </w:tc>
        <w:tc>
          <w:tcPr>
            <w:tcW w:w="1285" w:type="dxa"/>
          </w:tcPr>
          <w:p w14:paraId="632DB89D" w14:textId="77777777" w:rsidR="00C42322" w:rsidRPr="00EF01DB" w:rsidRDefault="00554EC3" w:rsidP="00C42322">
            <w:pPr>
              <w:jc w:val="center"/>
              <w:rPr>
                <w:lang w:val="en-US" w:eastAsia="ru-RU"/>
              </w:rPr>
            </w:pPr>
            <w:r>
              <w:rPr>
                <w:lang w:val="en-US" w:eastAsia="ru-RU"/>
              </w:rPr>
              <w:t>12.7</w:t>
            </w:r>
          </w:p>
        </w:tc>
        <w:tc>
          <w:tcPr>
            <w:tcW w:w="1286" w:type="dxa"/>
          </w:tcPr>
          <w:p w14:paraId="6C103BF2" w14:textId="77777777" w:rsidR="00C42322" w:rsidRPr="00EF01DB" w:rsidRDefault="00554EC3" w:rsidP="00C42322">
            <w:pPr>
              <w:jc w:val="center"/>
              <w:rPr>
                <w:lang w:val="en-US" w:eastAsia="ru-RU"/>
              </w:rPr>
            </w:pPr>
            <w:r>
              <w:rPr>
                <w:lang w:val="en-US" w:eastAsia="ru-RU"/>
              </w:rPr>
              <w:t>5.0</w:t>
            </w:r>
          </w:p>
        </w:tc>
        <w:tc>
          <w:tcPr>
            <w:tcW w:w="1304" w:type="dxa"/>
          </w:tcPr>
          <w:p w14:paraId="45D8A421" w14:textId="77777777" w:rsidR="00C42322" w:rsidRPr="00EF01DB" w:rsidRDefault="00554EC3" w:rsidP="00C42322">
            <w:pPr>
              <w:jc w:val="center"/>
              <w:rPr>
                <w:lang w:val="en-US" w:eastAsia="ru-RU"/>
              </w:rPr>
            </w:pPr>
            <w:r>
              <w:rPr>
                <w:lang w:val="en-US" w:eastAsia="ru-RU"/>
              </w:rPr>
              <w:t>41.8</w:t>
            </w:r>
          </w:p>
        </w:tc>
        <w:tc>
          <w:tcPr>
            <w:tcW w:w="1187" w:type="dxa"/>
          </w:tcPr>
          <w:p w14:paraId="231D7183" w14:textId="77777777" w:rsidR="00C42322" w:rsidRPr="004A0152" w:rsidRDefault="004A0152" w:rsidP="00C42322">
            <w:pPr>
              <w:jc w:val="center"/>
              <w:rPr>
                <w:lang w:eastAsia="ru-RU"/>
              </w:rPr>
            </w:pPr>
            <w:r>
              <w:rPr>
                <w:lang w:eastAsia="ru-RU"/>
              </w:rPr>
              <w:t>15.3</w:t>
            </w:r>
          </w:p>
        </w:tc>
        <w:tc>
          <w:tcPr>
            <w:tcW w:w="1243" w:type="dxa"/>
          </w:tcPr>
          <w:p w14:paraId="3B987B2B" w14:textId="77777777" w:rsidR="00C42322" w:rsidRPr="004A0152" w:rsidRDefault="004A0152" w:rsidP="00C42322">
            <w:pPr>
              <w:jc w:val="center"/>
              <w:rPr>
                <w:lang w:eastAsia="ru-RU"/>
              </w:rPr>
            </w:pPr>
            <w:r>
              <w:rPr>
                <w:lang w:eastAsia="ru-RU"/>
              </w:rPr>
              <w:t>2.6</w:t>
            </w:r>
          </w:p>
        </w:tc>
      </w:tr>
      <w:tr w:rsidR="00C42322" w:rsidRPr="00EF01DB" w14:paraId="0E05A6F7" w14:textId="77777777" w:rsidTr="00C42322">
        <w:tc>
          <w:tcPr>
            <w:tcW w:w="2711" w:type="dxa"/>
          </w:tcPr>
          <w:p w14:paraId="6EB3AA97" w14:textId="77777777" w:rsidR="00C42322" w:rsidRPr="00EF01DB" w:rsidRDefault="00C42322" w:rsidP="00C42322">
            <w:pPr>
              <w:rPr>
                <w:lang w:val="en-US" w:eastAsia="ru-RU"/>
              </w:rPr>
            </w:pPr>
            <w:r w:rsidRPr="00EF01DB">
              <w:rPr>
                <w:lang w:val="en-US" w:eastAsia="ru-RU"/>
              </w:rPr>
              <w:t>Multi-family household</w:t>
            </w:r>
          </w:p>
        </w:tc>
        <w:tc>
          <w:tcPr>
            <w:tcW w:w="1285" w:type="dxa"/>
          </w:tcPr>
          <w:p w14:paraId="7DA461DB" w14:textId="77777777" w:rsidR="00C42322" w:rsidRPr="00EF01DB" w:rsidRDefault="00554EC3" w:rsidP="00C42322">
            <w:pPr>
              <w:jc w:val="center"/>
              <w:rPr>
                <w:lang w:val="en-US" w:eastAsia="ru-RU"/>
              </w:rPr>
            </w:pPr>
            <w:r>
              <w:rPr>
                <w:lang w:val="en-US" w:eastAsia="ru-RU"/>
              </w:rPr>
              <w:t>11.2</w:t>
            </w:r>
          </w:p>
        </w:tc>
        <w:tc>
          <w:tcPr>
            <w:tcW w:w="1286" w:type="dxa"/>
          </w:tcPr>
          <w:p w14:paraId="264B0A44" w14:textId="77777777" w:rsidR="00C42322" w:rsidRPr="00EF01DB" w:rsidRDefault="00554EC3" w:rsidP="00C42322">
            <w:pPr>
              <w:jc w:val="center"/>
              <w:rPr>
                <w:lang w:val="en-US" w:eastAsia="ru-RU"/>
              </w:rPr>
            </w:pPr>
            <w:r>
              <w:rPr>
                <w:lang w:val="en-US" w:eastAsia="ru-RU"/>
              </w:rPr>
              <w:t>5.0</w:t>
            </w:r>
          </w:p>
        </w:tc>
        <w:tc>
          <w:tcPr>
            <w:tcW w:w="1304" w:type="dxa"/>
          </w:tcPr>
          <w:p w14:paraId="27D5A859" w14:textId="77777777" w:rsidR="00C42322" w:rsidRPr="00EF01DB" w:rsidRDefault="00554EC3" w:rsidP="00C42322">
            <w:pPr>
              <w:jc w:val="center"/>
              <w:rPr>
                <w:lang w:val="en-US" w:eastAsia="ru-RU"/>
              </w:rPr>
            </w:pPr>
            <w:r>
              <w:rPr>
                <w:lang w:val="en-US" w:eastAsia="ru-RU"/>
              </w:rPr>
              <w:t>24.0</w:t>
            </w:r>
          </w:p>
        </w:tc>
        <w:tc>
          <w:tcPr>
            <w:tcW w:w="1187" w:type="dxa"/>
          </w:tcPr>
          <w:p w14:paraId="4AA82969" w14:textId="77777777" w:rsidR="00C42322" w:rsidRPr="004A0152" w:rsidRDefault="004A0152" w:rsidP="00C42322">
            <w:pPr>
              <w:jc w:val="center"/>
              <w:rPr>
                <w:lang w:eastAsia="ru-RU"/>
              </w:rPr>
            </w:pPr>
            <w:r>
              <w:rPr>
                <w:lang w:eastAsia="ru-RU"/>
              </w:rPr>
              <w:t>9.4</w:t>
            </w:r>
          </w:p>
        </w:tc>
        <w:tc>
          <w:tcPr>
            <w:tcW w:w="1243" w:type="dxa"/>
          </w:tcPr>
          <w:p w14:paraId="30497B22" w14:textId="77777777" w:rsidR="00C42322" w:rsidRPr="004A0152" w:rsidRDefault="004A0152" w:rsidP="00C42322">
            <w:pPr>
              <w:jc w:val="center"/>
              <w:rPr>
                <w:lang w:eastAsia="ru-RU"/>
              </w:rPr>
            </w:pPr>
            <w:r>
              <w:rPr>
                <w:lang w:eastAsia="ru-RU"/>
              </w:rPr>
              <w:t>35.4</w:t>
            </w:r>
          </w:p>
        </w:tc>
      </w:tr>
      <w:tr w:rsidR="00C42322" w:rsidRPr="00EF01DB" w14:paraId="425B8881" w14:textId="77777777" w:rsidTr="00C42322">
        <w:tc>
          <w:tcPr>
            <w:tcW w:w="2711" w:type="dxa"/>
          </w:tcPr>
          <w:p w14:paraId="09E2FC85" w14:textId="77777777" w:rsidR="00C42322" w:rsidRPr="00EF01DB" w:rsidRDefault="00C42322" w:rsidP="00C42322">
            <w:pPr>
              <w:rPr>
                <w:lang w:val="en-US" w:eastAsia="ru-RU"/>
              </w:rPr>
            </w:pPr>
            <w:r w:rsidRPr="00EF01DB">
              <w:rPr>
                <w:lang w:val="en-US" w:eastAsia="ru-RU"/>
              </w:rPr>
              <w:t>Total</w:t>
            </w:r>
          </w:p>
        </w:tc>
        <w:tc>
          <w:tcPr>
            <w:tcW w:w="1285" w:type="dxa"/>
          </w:tcPr>
          <w:p w14:paraId="63FE22ED" w14:textId="4F084DB6" w:rsidR="00C42322" w:rsidRPr="00EF01DB" w:rsidRDefault="001471CB" w:rsidP="00C42322">
            <w:pPr>
              <w:jc w:val="center"/>
              <w:rPr>
                <w:lang w:val="en-US" w:eastAsia="ru-RU"/>
              </w:rPr>
            </w:pPr>
            <w:r>
              <w:rPr>
                <w:lang w:val="en-US" w:eastAsia="ru-RU"/>
              </w:rPr>
              <w:t>18.9</w:t>
            </w:r>
          </w:p>
        </w:tc>
        <w:tc>
          <w:tcPr>
            <w:tcW w:w="1286" w:type="dxa"/>
          </w:tcPr>
          <w:p w14:paraId="278EC92C" w14:textId="55507020" w:rsidR="00C42322" w:rsidRPr="00EF01DB" w:rsidRDefault="001471CB" w:rsidP="00C42322">
            <w:pPr>
              <w:jc w:val="center"/>
              <w:rPr>
                <w:lang w:val="en-US" w:eastAsia="ru-RU"/>
              </w:rPr>
            </w:pPr>
            <w:r>
              <w:rPr>
                <w:lang w:val="en-US" w:eastAsia="ru-RU"/>
              </w:rPr>
              <w:t>8.9</w:t>
            </w:r>
          </w:p>
        </w:tc>
        <w:tc>
          <w:tcPr>
            <w:tcW w:w="1304" w:type="dxa"/>
          </w:tcPr>
          <w:p w14:paraId="2BC8661E" w14:textId="49844854" w:rsidR="00C42322" w:rsidRPr="00EF01DB" w:rsidRDefault="001471CB" w:rsidP="00C42322">
            <w:pPr>
              <w:jc w:val="center"/>
              <w:rPr>
                <w:lang w:val="en-US" w:eastAsia="ru-RU"/>
              </w:rPr>
            </w:pPr>
            <w:r>
              <w:rPr>
                <w:lang w:val="en-US" w:eastAsia="ru-RU"/>
              </w:rPr>
              <w:t>21.2</w:t>
            </w:r>
          </w:p>
        </w:tc>
        <w:tc>
          <w:tcPr>
            <w:tcW w:w="1187" w:type="dxa"/>
          </w:tcPr>
          <w:p w14:paraId="42024B2A" w14:textId="0DC1C54B" w:rsidR="00C42322" w:rsidRPr="00EF01DB" w:rsidRDefault="001471CB" w:rsidP="00C42322">
            <w:pPr>
              <w:jc w:val="center"/>
              <w:rPr>
                <w:lang w:val="en-US" w:eastAsia="ru-RU"/>
              </w:rPr>
            </w:pPr>
            <w:r>
              <w:rPr>
                <w:lang w:val="en-US" w:eastAsia="ru-RU"/>
              </w:rPr>
              <w:t>9.1</w:t>
            </w:r>
          </w:p>
        </w:tc>
        <w:tc>
          <w:tcPr>
            <w:tcW w:w="1243" w:type="dxa"/>
          </w:tcPr>
          <w:p w14:paraId="6D0A61EC" w14:textId="77777777" w:rsidR="00C42322" w:rsidRPr="00EF01DB" w:rsidRDefault="004A0152" w:rsidP="00C42322">
            <w:pPr>
              <w:jc w:val="center"/>
              <w:rPr>
                <w:lang w:val="en-US" w:eastAsia="ru-RU"/>
              </w:rPr>
            </w:pPr>
            <w:r>
              <w:rPr>
                <w:lang w:val="en-US" w:eastAsia="ru-RU"/>
              </w:rPr>
              <w:t>100</w:t>
            </w:r>
          </w:p>
        </w:tc>
      </w:tr>
    </w:tbl>
    <w:p w14:paraId="4C909ABF" w14:textId="77777777" w:rsidR="006034E2" w:rsidRPr="000D24F3" w:rsidRDefault="006034E2" w:rsidP="006835DF"/>
    <w:p w14:paraId="7F4B69A4" w14:textId="195CE384" w:rsidR="00C53113" w:rsidRDefault="006034E2" w:rsidP="00CA0872">
      <w:pPr>
        <w:rPr>
          <w:lang w:val="en-US"/>
        </w:rPr>
      </w:pPr>
      <w:r>
        <w:t xml:space="preserve">The presence of only one adult in the household has the biggest effect on </w:t>
      </w:r>
      <w:r w:rsidR="00F36C66">
        <w:t>unequiv</w:t>
      </w:r>
      <w:r w:rsidR="00CA0872">
        <w:t>a</w:t>
      </w:r>
      <w:r w:rsidR="00F36C66">
        <w:t xml:space="preserve">lised </w:t>
      </w:r>
      <w:r>
        <w:t>water poverty so i</w:t>
      </w:r>
      <w:r w:rsidRPr="000D24F3">
        <w:t>n</w:t>
      </w:r>
      <w:r w:rsidR="00CA0872">
        <w:t xml:space="preserve"> Table 3 </w:t>
      </w:r>
      <w:r w:rsidRPr="000D24F3">
        <w:t xml:space="preserve">we distinguish between one adult </w:t>
      </w:r>
      <w:r>
        <w:t xml:space="preserve">(including lone parent households) </w:t>
      </w:r>
      <w:r w:rsidRPr="000D24F3">
        <w:t xml:space="preserve">and </w:t>
      </w:r>
      <w:r>
        <w:t xml:space="preserve">other </w:t>
      </w:r>
      <w:r w:rsidRPr="000D24F3">
        <w:t>households.</w:t>
      </w:r>
      <w:r w:rsidR="00CA0872">
        <w:t xml:space="preserve"> A </w:t>
      </w:r>
      <w:r w:rsidR="00305351">
        <w:t>single adult household</w:t>
      </w:r>
      <w:r w:rsidR="00CA0872">
        <w:t xml:space="preserve"> is more than three times more likely to be in unequivalised water poverty. </w:t>
      </w:r>
      <w:r w:rsidR="00CA0872">
        <w:rPr>
          <w:lang w:val="en-US"/>
        </w:rPr>
        <w:t>Only 1</w:t>
      </w:r>
      <w:r w:rsidR="001305F4">
        <w:rPr>
          <w:lang w:val="en-US"/>
        </w:rPr>
        <w:t>2.2</w:t>
      </w:r>
      <w:r w:rsidR="00CA0872">
        <w:rPr>
          <w:lang w:val="en-US"/>
        </w:rPr>
        <w:t>% of households without a single adult are in water poverty at the 3% threshold.</w:t>
      </w:r>
    </w:p>
    <w:p w14:paraId="1B90F37B" w14:textId="77777777" w:rsidR="00C53113" w:rsidRDefault="00C53113">
      <w:pPr>
        <w:rPr>
          <w:lang w:val="en-US"/>
        </w:rPr>
      </w:pPr>
      <w:r>
        <w:rPr>
          <w:lang w:val="en-US"/>
        </w:rPr>
        <w:br w:type="page"/>
      </w:r>
    </w:p>
    <w:p w14:paraId="2331B811" w14:textId="294414EF" w:rsidR="006034E2" w:rsidRPr="00A13DDC" w:rsidRDefault="006034E2" w:rsidP="006835DF">
      <w:pPr>
        <w:pStyle w:val="tabfig"/>
        <w:spacing w:after="0"/>
      </w:pPr>
      <w:r w:rsidRPr="00A13DDC">
        <w:lastRenderedPageBreak/>
        <w:t xml:space="preserve">Table </w:t>
      </w:r>
      <w:r w:rsidR="006E588C">
        <w:t>3</w:t>
      </w:r>
      <w:r w:rsidRPr="00A13DDC">
        <w:t>: Water poverty rates by whether single adult household (</w:t>
      </w:r>
      <w:r>
        <w:t xml:space="preserve">England and Wales </w:t>
      </w:r>
      <w:r w:rsidRPr="00A13DDC">
        <w:t>20</w:t>
      </w:r>
      <w:r w:rsidR="00F36C66">
        <w:t>18/19</w:t>
      </w:r>
      <w:r w:rsidRPr="00A13DDC">
        <w:t>)</w:t>
      </w:r>
    </w:p>
    <w:tbl>
      <w:tblPr>
        <w:tblStyle w:val="TableGrid"/>
        <w:tblW w:w="0" w:type="auto"/>
        <w:tblLook w:val="00A0" w:firstRow="1" w:lastRow="0" w:firstColumn="1" w:lastColumn="0" w:noHBand="0" w:noVBand="0"/>
      </w:tblPr>
      <w:tblGrid>
        <w:gridCol w:w="2862"/>
        <w:gridCol w:w="1341"/>
        <w:gridCol w:w="1342"/>
        <w:gridCol w:w="1420"/>
      </w:tblGrid>
      <w:tr w:rsidR="00F36C66" w:rsidRPr="00EF01DB" w14:paraId="10C2C667" w14:textId="77777777" w:rsidTr="004C11A2">
        <w:tc>
          <w:tcPr>
            <w:tcW w:w="2862" w:type="dxa"/>
          </w:tcPr>
          <w:p w14:paraId="59C80A07" w14:textId="77777777" w:rsidR="00F36C66" w:rsidRPr="00EF01DB" w:rsidRDefault="00F36C66" w:rsidP="00EF01DB">
            <w:pPr>
              <w:rPr>
                <w:b/>
                <w:bCs/>
                <w:lang w:val="en-US"/>
              </w:rPr>
            </w:pPr>
          </w:p>
        </w:tc>
        <w:tc>
          <w:tcPr>
            <w:tcW w:w="2683" w:type="dxa"/>
            <w:gridSpan w:val="2"/>
          </w:tcPr>
          <w:p w14:paraId="254D4BCA" w14:textId="799758C0" w:rsidR="00F36C66" w:rsidRPr="00EF01DB" w:rsidRDefault="00F36C66" w:rsidP="00EF01DB">
            <w:pPr>
              <w:jc w:val="center"/>
              <w:rPr>
                <w:lang w:val="en-US"/>
              </w:rPr>
            </w:pPr>
            <w:r>
              <w:rPr>
                <w:lang w:val="en-US"/>
              </w:rPr>
              <w:t>Unequivalised income</w:t>
            </w:r>
          </w:p>
        </w:tc>
        <w:tc>
          <w:tcPr>
            <w:tcW w:w="1420" w:type="dxa"/>
          </w:tcPr>
          <w:p w14:paraId="3467E4D6" w14:textId="77777777" w:rsidR="00F36C66" w:rsidRPr="00EF01DB" w:rsidRDefault="00F36C66" w:rsidP="00EF01DB">
            <w:pPr>
              <w:jc w:val="center"/>
              <w:rPr>
                <w:lang w:val="en-US"/>
              </w:rPr>
            </w:pPr>
          </w:p>
        </w:tc>
      </w:tr>
      <w:tr w:rsidR="00F36C66" w:rsidRPr="00EF01DB" w14:paraId="684DE4B5" w14:textId="77777777" w:rsidTr="00D26DF4">
        <w:tc>
          <w:tcPr>
            <w:tcW w:w="2862" w:type="dxa"/>
          </w:tcPr>
          <w:p w14:paraId="456F3194" w14:textId="77777777" w:rsidR="00F36C66" w:rsidRPr="00EF01DB" w:rsidRDefault="00F36C66" w:rsidP="00EF01DB">
            <w:pPr>
              <w:rPr>
                <w:b/>
                <w:bCs/>
                <w:lang w:val="en-US"/>
              </w:rPr>
            </w:pPr>
            <w:r w:rsidRPr="00EF01DB">
              <w:rPr>
                <w:b/>
                <w:bCs/>
                <w:lang w:val="en-US"/>
              </w:rPr>
              <w:t>Single adult household</w:t>
            </w:r>
          </w:p>
        </w:tc>
        <w:tc>
          <w:tcPr>
            <w:tcW w:w="1341" w:type="dxa"/>
          </w:tcPr>
          <w:p w14:paraId="55CDC698" w14:textId="77777777" w:rsidR="00F36C66" w:rsidRPr="00EF01DB" w:rsidRDefault="00F36C66" w:rsidP="00EF01DB">
            <w:pPr>
              <w:jc w:val="center"/>
              <w:rPr>
                <w:lang w:val="en-US"/>
              </w:rPr>
            </w:pPr>
            <w:r w:rsidRPr="00EF01DB">
              <w:rPr>
                <w:lang w:val="en-US"/>
              </w:rPr>
              <w:t>% spending over 3% income on water</w:t>
            </w:r>
          </w:p>
        </w:tc>
        <w:tc>
          <w:tcPr>
            <w:tcW w:w="1342" w:type="dxa"/>
          </w:tcPr>
          <w:p w14:paraId="5248882A" w14:textId="77777777" w:rsidR="00F36C66" w:rsidRPr="00EF01DB" w:rsidRDefault="00F36C66" w:rsidP="00EF01DB">
            <w:pPr>
              <w:jc w:val="center"/>
              <w:rPr>
                <w:lang w:val="en-US"/>
              </w:rPr>
            </w:pPr>
            <w:r w:rsidRPr="00EF01DB">
              <w:rPr>
                <w:lang w:val="en-US"/>
              </w:rPr>
              <w:t>% spending over 5% income on water</w:t>
            </w:r>
          </w:p>
        </w:tc>
        <w:tc>
          <w:tcPr>
            <w:tcW w:w="1420" w:type="dxa"/>
          </w:tcPr>
          <w:p w14:paraId="439C9005" w14:textId="6F0E574E" w:rsidR="00F36C66" w:rsidRPr="00EF01DB" w:rsidRDefault="00F36C66" w:rsidP="00EF01DB">
            <w:pPr>
              <w:jc w:val="center"/>
              <w:rPr>
                <w:lang w:val="en-US"/>
              </w:rPr>
            </w:pPr>
            <w:r w:rsidRPr="00EF01DB">
              <w:rPr>
                <w:lang w:val="en-US"/>
              </w:rPr>
              <w:t>% of households in population</w:t>
            </w:r>
          </w:p>
        </w:tc>
      </w:tr>
      <w:tr w:rsidR="00F36C66" w:rsidRPr="00EF01DB" w14:paraId="72ED2573" w14:textId="77777777" w:rsidTr="00D26DF4">
        <w:tc>
          <w:tcPr>
            <w:tcW w:w="2862" w:type="dxa"/>
          </w:tcPr>
          <w:p w14:paraId="0F4BEC3E" w14:textId="77777777" w:rsidR="00F36C66" w:rsidRPr="00EF01DB" w:rsidRDefault="00F36C66" w:rsidP="00EF01DB">
            <w:pPr>
              <w:rPr>
                <w:lang w:val="en-US"/>
              </w:rPr>
            </w:pPr>
            <w:r w:rsidRPr="00EF01DB">
              <w:rPr>
                <w:lang w:val="en-US"/>
              </w:rPr>
              <w:t>Yes</w:t>
            </w:r>
          </w:p>
        </w:tc>
        <w:tc>
          <w:tcPr>
            <w:tcW w:w="1341" w:type="dxa"/>
          </w:tcPr>
          <w:p w14:paraId="6EB2BCFE" w14:textId="2DC90818" w:rsidR="00F36C66" w:rsidRPr="00EF01DB" w:rsidRDefault="00F36C66" w:rsidP="00EF01DB">
            <w:pPr>
              <w:jc w:val="center"/>
              <w:rPr>
                <w:lang w:val="en-US"/>
              </w:rPr>
            </w:pPr>
            <w:r>
              <w:rPr>
                <w:lang w:val="en-US"/>
              </w:rPr>
              <w:t>3</w:t>
            </w:r>
            <w:r w:rsidR="001305F4">
              <w:rPr>
                <w:lang w:val="en-US"/>
              </w:rPr>
              <w:t>7.4</w:t>
            </w:r>
          </w:p>
        </w:tc>
        <w:tc>
          <w:tcPr>
            <w:tcW w:w="1342" w:type="dxa"/>
          </w:tcPr>
          <w:p w14:paraId="5A095E7F" w14:textId="01176EB4" w:rsidR="00F36C66" w:rsidRPr="00EF01DB" w:rsidRDefault="00F36C66" w:rsidP="00EF01DB">
            <w:pPr>
              <w:jc w:val="center"/>
              <w:rPr>
                <w:lang w:val="en-US"/>
              </w:rPr>
            </w:pPr>
            <w:r>
              <w:rPr>
                <w:lang w:val="en-US"/>
              </w:rPr>
              <w:t>18.8</w:t>
            </w:r>
          </w:p>
        </w:tc>
        <w:tc>
          <w:tcPr>
            <w:tcW w:w="1420" w:type="dxa"/>
          </w:tcPr>
          <w:p w14:paraId="347B22A7" w14:textId="32823DBB" w:rsidR="00F36C66" w:rsidRPr="00EF01DB" w:rsidRDefault="001305F4" w:rsidP="00EF01DB">
            <w:pPr>
              <w:jc w:val="center"/>
              <w:rPr>
                <w:lang w:val="en-US"/>
              </w:rPr>
            </w:pPr>
            <w:r>
              <w:rPr>
                <w:lang w:val="en-US"/>
              </w:rPr>
              <w:t>26.8</w:t>
            </w:r>
          </w:p>
        </w:tc>
      </w:tr>
      <w:tr w:rsidR="00F36C66" w:rsidRPr="00EF01DB" w14:paraId="4B5B76D9" w14:textId="77777777" w:rsidTr="00D26DF4">
        <w:tc>
          <w:tcPr>
            <w:tcW w:w="2862" w:type="dxa"/>
          </w:tcPr>
          <w:p w14:paraId="0EC2A33E" w14:textId="77777777" w:rsidR="00F36C66" w:rsidRPr="00EF01DB" w:rsidRDefault="00F36C66" w:rsidP="00EF01DB">
            <w:pPr>
              <w:rPr>
                <w:lang w:val="en-US"/>
              </w:rPr>
            </w:pPr>
            <w:r w:rsidRPr="00EF01DB">
              <w:rPr>
                <w:lang w:val="en-US"/>
              </w:rPr>
              <w:t>No</w:t>
            </w:r>
          </w:p>
        </w:tc>
        <w:tc>
          <w:tcPr>
            <w:tcW w:w="1341" w:type="dxa"/>
          </w:tcPr>
          <w:p w14:paraId="5BFD3BBE" w14:textId="33EFB257" w:rsidR="00F36C66" w:rsidRPr="00EF01DB" w:rsidRDefault="00F36C66" w:rsidP="00EF01DB">
            <w:pPr>
              <w:jc w:val="center"/>
              <w:rPr>
                <w:lang w:val="en-US"/>
              </w:rPr>
            </w:pPr>
            <w:r>
              <w:rPr>
                <w:lang w:val="en-US"/>
              </w:rPr>
              <w:t>12.</w:t>
            </w:r>
            <w:r w:rsidR="001305F4">
              <w:rPr>
                <w:lang w:val="en-US"/>
              </w:rPr>
              <w:t>2</w:t>
            </w:r>
          </w:p>
        </w:tc>
        <w:tc>
          <w:tcPr>
            <w:tcW w:w="1342" w:type="dxa"/>
          </w:tcPr>
          <w:p w14:paraId="1CE9C709" w14:textId="7177D99E" w:rsidR="00F36C66" w:rsidRPr="00EF01DB" w:rsidRDefault="00F36C66" w:rsidP="00EF01DB">
            <w:pPr>
              <w:jc w:val="center"/>
              <w:rPr>
                <w:lang w:val="en-US"/>
              </w:rPr>
            </w:pPr>
            <w:r w:rsidRPr="00EF01DB">
              <w:rPr>
                <w:lang w:val="en-US"/>
              </w:rPr>
              <w:t>5.</w:t>
            </w:r>
            <w:r w:rsidR="001305F4">
              <w:rPr>
                <w:lang w:val="en-US"/>
              </w:rPr>
              <w:t>3</w:t>
            </w:r>
          </w:p>
        </w:tc>
        <w:tc>
          <w:tcPr>
            <w:tcW w:w="1420" w:type="dxa"/>
          </w:tcPr>
          <w:p w14:paraId="4F856408" w14:textId="1F948DCE" w:rsidR="00F36C66" w:rsidRPr="00EF01DB" w:rsidRDefault="001305F4" w:rsidP="00EF01DB">
            <w:pPr>
              <w:jc w:val="center"/>
              <w:rPr>
                <w:lang w:val="en-US"/>
              </w:rPr>
            </w:pPr>
            <w:r>
              <w:rPr>
                <w:lang w:val="en-US"/>
              </w:rPr>
              <w:t>73.2</w:t>
            </w:r>
          </w:p>
        </w:tc>
      </w:tr>
      <w:tr w:rsidR="00F36C66" w:rsidRPr="00EF01DB" w14:paraId="6AACC319" w14:textId="77777777" w:rsidTr="00D26DF4">
        <w:tc>
          <w:tcPr>
            <w:tcW w:w="2862" w:type="dxa"/>
          </w:tcPr>
          <w:p w14:paraId="0EEB4AE9" w14:textId="1E82D610" w:rsidR="00F36C66" w:rsidRPr="00EF01DB" w:rsidRDefault="00F36C66" w:rsidP="00EF01DB">
            <w:pPr>
              <w:rPr>
                <w:lang w:val="en-US"/>
              </w:rPr>
            </w:pPr>
            <w:r w:rsidRPr="00EF01DB">
              <w:rPr>
                <w:lang w:val="en-US"/>
              </w:rPr>
              <w:t xml:space="preserve">Total </w:t>
            </w:r>
          </w:p>
        </w:tc>
        <w:tc>
          <w:tcPr>
            <w:tcW w:w="1341" w:type="dxa"/>
          </w:tcPr>
          <w:p w14:paraId="73A58B95" w14:textId="41636039" w:rsidR="00F36C66" w:rsidRPr="00EF01DB" w:rsidRDefault="001305F4" w:rsidP="00EF01DB">
            <w:pPr>
              <w:jc w:val="center"/>
              <w:rPr>
                <w:lang w:val="en-US"/>
              </w:rPr>
            </w:pPr>
            <w:r>
              <w:rPr>
                <w:lang w:val="en-US"/>
              </w:rPr>
              <w:t>18.9</w:t>
            </w:r>
          </w:p>
        </w:tc>
        <w:tc>
          <w:tcPr>
            <w:tcW w:w="1342" w:type="dxa"/>
          </w:tcPr>
          <w:p w14:paraId="30E8C326" w14:textId="5BF7CD2D" w:rsidR="00F36C66" w:rsidRPr="00EF01DB" w:rsidRDefault="001305F4" w:rsidP="00EF01DB">
            <w:pPr>
              <w:jc w:val="center"/>
              <w:rPr>
                <w:lang w:val="en-US"/>
              </w:rPr>
            </w:pPr>
            <w:r>
              <w:rPr>
                <w:lang w:val="en-US"/>
              </w:rPr>
              <w:t>8.9</w:t>
            </w:r>
          </w:p>
        </w:tc>
        <w:tc>
          <w:tcPr>
            <w:tcW w:w="1420" w:type="dxa"/>
          </w:tcPr>
          <w:p w14:paraId="6C93518F" w14:textId="62287023" w:rsidR="00F36C66" w:rsidRPr="00EF01DB" w:rsidRDefault="00F36C66" w:rsidP="00EF01DB">
            <w:pPr>
              <w:jc w:val="center"/>
              <w:rPr>
                <w:lang w:val="en-US"/>
              </w:rPr>
            </w:pPr>
            <w:r w:rsidRPr="00EF01DB">
              <w:rPr>
                <w:lang w:val="en-US"/>
              </w:rPr>
              <w:t>100.0</w:t>
            </w:r>
          </w:p>
        </w:tc>
      </w:tr>
    </w:tbl>
    <w:p w14:paraId="00C58282" w14:textId="5838B52F" w:rsidR="006034E2" w:rsidRDefault="006034E2" w:rsidP="006835DF">
      <w:pPr>
        <w:rPr>
          <w:lang w:val="en-US"/>
        </w:rPr>
      </w:pPr>
    </w:p>
    <w:p w14:paraId="128BB07B" w14:textId="69AD484E" w:rsidR="00CA0872" w:rsidRDefault="00CA0872" w:rsidP="006835DF">
      <w:pPr>
        <w:rPr>
          <w:lang w:val="en-US"/>
        </w:rPr>
      </w:pPr>
      <w:r>
        <w:rPr>
          <w:lang w:val="en-US"/>
        </w:rPr>
        <w:t xml:space="preserve">In the case of equivalized water poverty Table </w:t>
      </w:r>
      <w:r w:rsidR="00A0515A">
        <w:rPr>
          <w:lang w:val="en-US"/>
        </w:rPr>
        <w:t>2</w:t>
      </w:r>
      <w:r>
        <w:rPr>
          <w:lang w:val="en-US"/>
        </w:rPr>
        <w:t xml:space="preserve"> indicated that having dependent children was a risk factor. Table 4 shows that having children in the household nearly doubles the risk of being in equivalized water poverty. Only </w:t>
      </w:r>
      <w:r w:rsidR="00A0515A">
        <w:rPr>
          <w:lang w:val="en-US"/>
        </w:rPr>
        <w:t>17.</w:t>
      </w:r>
      <w:r w:rsidR="001305F4">
        <w:rPr>
          <w:lang w:val="en-US"/>
        </w:rPr>
        <w:t>8</w:t>
      </w:r>
      <w:r>
        <w:rPr>
          <w:lang w:val="en-US"/>
        </w:rPr>
        <w:t>% of those without children in the household are in water poverty at the 3% threshold.</w:t>
      </w:r>
    </w:p>
    <w:p w14:paraId="541BDD08" w14:textId="77777777" w:rsidR="00CA0872" w:rsidRDefault="00CA0872" w:rsidP="006835DF">
      <w:pPr>
        <w:rPr>
          <w:lang w:val="en-US"/>
        </w:rPr>
      </w:pPr>
    </w:p>
    <w:p w14:paraId="069060E7" w14:textId="068A6612" w:rsidR="00D26DF4" w:rsidRPr="00A13DDC" w:rsidRDefault="00F36C66" w:rsidP="00D26DF4">
      <w:pPr>
        <w:pStyle w:val="tabfig"/>
        <w:spacing w:after="0"/>
      </w:pPr>
      <w:r>
        <w:t>Table 4: Water poverty rates by whether dependent children in the household (England and Wales 2018/19)</w:t>
      </w:r>
    </w:p>
    <w:tbl>
      <w:tblPr>
        <w:tblStyle w:val="TableGrid"/>
        <w:tblW w:w="0" w:type="auto"/>
        <w:tblLook w:val="00A0" w:firstRow="1" w:lastRow="0" w:firstColumn="1" w:lastColumn="0" w:noHBand="0" w:noVBand="0"/>
      </w:tblPr>
      <w:tblGrid>
        <w:gridCol w:w="2862"/>
        <w:gridCol w:w="1341"/>
        <w:gridCol w:w="1342"/>
        <w:gridCol w:w="1420"/>
      </w:tblGrid>
      <w:tr w:rsidR="00F36C66" w:rsidRPr="00EF01DB" w14:paraId="3A9B7DF2" w14:textId="77777777" w:rsidTr="004C11A2">
        <w:tc>
          <w:tcPr>
            <w:tcW w:w="2862" w:type="dxa"/>
          </w:tcPr>
          <w:p w14:paraId="6BE22ADF" w14:textId="77777777" w:rsidR="00F36C66" w:rsidRPr="00EF01DB" w:rsidRDefault="00F36C66" w:rsidP="004C11A2">
            <w:pPr>
              <w:rPr>
                <w:b/>
                <w:bCs/>
                <w:lang w:val="en-US"/>
              </w:rPr>
            </w:pPr>
          </w:p>
        </w:tc>
        <w:tc>
          <w:tcPr>
            <w:tcW w:w="2683" w:type="dxa"/>
            <w:gridSpan w:val="2"/>
          </w:tcPr>
          <w:p w14:paraId="5E93AC9D" w14:textId="6734897E" w:rsidR="00F36C66" w:rsidRPr="00EF01DB" w:rsidRDefault="00F36C66" w:rsidP="004C11A2">
            <w:pPr>
              <w:jc w:val="center"/>
              <w:rPr>
                <w:lang w:val="en-US"/>
              </w:rPr>
            </w:pPr>
            <w:r>
              <w:rPr>
                <w:lang w:val="en-US"/>
              </w:rPr>
              <w:t>Equivalised income</w:t>
            </w:r>
          </w:p>
        </w:tc>
        <w:tc>
          <w:tcPr>
            <w:tcW w:w="1420" w:type="dxa"/>
          </w:tcPr>
          <w:p w14:paraId="7B81B8CD" w14:textId="77777777" w:rsidR="00F36C66" w:rsidRPr="00EF01DB" w:rsidRDefault="00F36C66" w:rsidP="004C11A2">
            <w:pPr>
              <w:jc w:val="center"/>
              <w:rPr>
                <w:lang w:val="en-US"/>
              </w:rPr>
            </w:pPr>
          </w:p>
        </w:tc>
      </w:tr>
      <w:tr w:rsidR="00F36C66" w:rsidRPr="00EF01DB" w14:paraId="639E4FF9" w14:textId="77777777" w:rsidTr="004C11A2">
        <w:tc>
          <w:tcPr>
            <w:tcW w:w="2862" w:type="dxa"/>
          </w:tcPr>
          <w:p w14:paraId="7A3B6EEC" w14:textId="3AF4CF1C" w:rsidR="00F36C66" w:rsidRPr="00EF01DB" w:rsidRDefault="00F36C66" w:rsidP="004C11A2">
            <w:pPr>
              <w:rPr>
                <w:b/>
                <w:bCs/>
                <w:lang w:val="en-US"/>
              </w:rPr>
            </w:pPr>
            <w:r>
              <w:rPr>
                <w:b/>
                <w:bCs/>
                <w:lang w:val="en-US"/>
              </w:rPr>
              <w:t>Children in household</w:t>
            </w:r>
          </w:p>
        </w:tc>
        <w:tc>
          <w:tcPr>
            <w:tcW w:w="1341" w:type="dxa"/>
          </w:tcPr>
          <w:p w14:paraId="551B54E9" w14:textId="77777777" w:rsidR="00F36C66" w:rsidRPr="00EF01DB" w:rsidRDefault="00F36C66" w:rsidP="004C11A2">
            <w:pPr>
              <w:jc w:val="center"/>
              <w:rPr>
                <w:lang w:val="en-US"/>
              </w:rPr>
            </w:pPr>
            <w:r w:rsidRPr="00EF01DB">
              <w:rPr>
                <w:lang w:val="en-US"/>
              </w:rPr>
              <w:t>% spending over 3% income on water</w:t>
            </w:r>
          </w:p>
        </w:tc>
        <w:tc>
          <w:tcPr>
            <w:tcW w:w="1342" w:type="dxa"/>
          </w:tcPr>
          <w:p w14:paraId="14954E2E" w14:textId="77777777" w:rsidR="00F36C66" w:rsidRPr="00EF01DB" w:rsidRDefault="00F36C66" w:rsidP="004C11A2">
            <w:pPr>
              <w:jc w:val="center"/>
              <w:rPr>
                <w:lang w:val="en-US"/>
              </w:rPr>
            </w:pPr>
            <w:r w:rsidRPr="00EF01DB">
              <w:rPr>
                <w:lang w:val="en-US"/>
              </w:rPr>
              <w:t>% spending over 5% income on water</w:t>
            </w:r>
          </w:p>
        </w:tc>
        <w:tc>
          <w:tcPr>
            <w:tcW w:w="1420" w:type="dxa"/>
          </w:tcPr>
          <w:p w14:paraId="6694556E" w14:textId="77777777" w:rsidR="00F36C66" w:rsidRPr="00EF01DB" w:rsidRDefault="00F36C66" w:rsidP="004C11A2">
            <w:pPr>
              <w:jc w:val="center"/>
              <w:rPr>
                <w:lang w:val="en-US"/>
              </w:rPr>
            </w:pPr>
            <w:r w:rsidRPr="00EF01DB">
              <w:rPr>
                <w:lang w:val="en-US"/>
              </w:rPr>
              <w:t>% of households in population</w:t>
            </w:r>
          </w:p>
        </w:tc>
      </w:tr>
      <w:tr w:rsidR="00F36C66" w:rsidRPr="00EF01DB" w14:paraId="072D4F48" w14:textId="77777777" w:rsidTr="004C11A2">
        <w:tc>
          <w:tcPr>
            <w:tcW w:w="2862" w:type="dxa"/>
          </w:tcPr>
          <w:p w14:paraId="4B6EFCB1" w14:textId="77777777" w:rsidR="00F36C66" w:rsidRPr="00EF01DB" w:rsidRDefault="00F36C66" w:rsidP="004C11A2">
            <w:pPr>
              <w:rPr>
                <w:lang w:val="en-US"/>
              </w:rPr>
            </w:pPr>
            <w:r w:rsidRPr="00EF01DB">
              <w:rPr>
                <w:lang w:val="en-US"/>
              </w:rPr>
              <w:t>Yes</w:t>
            </w:r>
          </w:p>
        </w:tc>
        <w:tc>
          <w:tcPr>
            <w:tcW w:w="1341" w:type="dxa"/>
          </w:tcPr>
          <w:p w14:paraId="7BE0E817" w14:textId="57AC1EE5" w:rsidR="00F36C66" w:rsidRPr="00EF01DB" w:rsidRDefault="001305F4" w:rsidP="004C11A2">
            <w:pPr>
              <w:jc w:val="center"/>
              <w:rPr>
                <w:lang w:val="en-US"/>
              </w:rPr>
            </w:pPr>
            <w:r>
              <w:rPr>
                <w:lang w:val="en-US"/>
              </w:rPr>
              <w:t>30.0</w:t>
            </w:r>
          </w:p>
        </w:tc>
        <w:tc>
          <w:tcPr>
            <w:tcW w:w="1342" w:type="dxa"/>
          </w:tcPr>
          <w:p w14:paraId="7E34B9BB" w14:textId="3B3B65A5" w:rsidR="00F36C66" w:rsidRPr="00EF01DB" w:rsidRDefault="00F36C66" w:rsidP="004C11A2">
            <w:pPr>
              <w:jc w:val="center"/>
              <w:rPr>
                <w:lang w:val="en-US"/>
              </w:rPr>
            </w:pPr>
            <w:r>
              <w:rPr>
                <w:lang w:val="en-US"/>
              </w:rPr>
              <w:t>11.</w:t>
            </w:r>
            <w:r w:rsidR="001305F4">
              <w:rPr>
                <w:lang w:val="en-US"/>
              </w:rPr>
              <w:t>6</w:t>
            </w:r>
          </w:p>
        </w:tc>
        <w:tc>
          <w:tcPr>
            <w:tcW w:w="1420" w:type="dxa"/>
          </w:tcPr>
          <w:p w14:paraId="528D0608" w14:textId="56421BB0" w:rsidR="00F36C66" w:rsidRPr="00EF01DB" w:rsidRDefault="00F36C66" w:rsidP="004C11A2">
            <w:pPr>
              <w:jc w:val="center"/>
              <w:rPr>
                <w:lang w:val="en-US"/>
              </w:rPr>
            </w:pPr>
            <w:r>
              <w:rPr>
                <w:lang w:val="en-US"/>
              </w:rPr>
              <w:t>2</w:t>
            </w:r>
            <w:r w:rsidR="001305F4">
              <w:rPr>
                <w:lang w:val="en-US"/>
              </w:rPr>
              <w:t>7.9</w:t>
            </w:r>
          </w:p>
        </w:tc>
      </w:tr>
      <w:tr w:rsidR="00F36C66" w:rsidRPr="00EF01DB" w14:paraId="3CFB2C94" w14:textId="77777777" w:rsidTr="004C11A2">
        <w:tc>
          <w:tcPr>
            <w:tcW w:w="2862" w:type="dxa"/>
          </w:tcPr>
          <w:p w14:paraId="70471F9F" w14:textId="77777777" w:rsidR="00F36C66" w:rsidRPr="00EF01DB" w:rsidRDefault="00F36C66" w:rsidP="004C11A2">
            <w:pPr>
              <w:rPr>
                <w:lang w:val="en-US"/>
              </w:rPr>
            </w:pPr>
            <w:r w:rsidRPr="00EF01DB">
              <w:rPr>
                <w:lang w:val="en-US"/>
              </w:rPr>
              <w:t>No</w:t>
            </w:r>
          </w:p>
        </w:tc>
        <w:tc>
          <w:tcPr>
            <w:tcW w:w="1341" w:type="dxa"/>
          </w:tcPr>
          <w:p w14:paraId="739505E1" w14:textId="46FE8484" w:rsidR="00F36C66" w:rsidRPr="00EF01DB" w:rsidRDefault="00F36C66" w:rsidP="004C11A2">
            <w:pPr>
              <w:jc w:val="center"/>
              <w:rPr>
                <w:lang w:val="en-US"/>
              </w:rPr>
            </w:pPr>
            <w:r>
              <w:rPr>
                <w:lang w:val="en-US"/>
              </w:rPr>
              <w:t>17.</w:t>
            </w:r>
            <w:r w:rsidR="001305F4">
              <w:rPr>
                <w:lang w:val="en-US"/>
              </w:rPr>
              <w:t>8</w:t>
            </w:r>
          </w:p>
        </w:tc>
        <w:tc>
          <w:tcPr>
            <w:tcW w:w="1342" w:type="dxa"/>
          </w:tcPr>
          <w:p w14:paraId="370F70F7" w14:textId="66EA9028" w:rsidR="00F36C66" w:rsidRPr="00EF01DB" w:rsidRDefault="001305F4" w:rsidP="004C11A2">
            <w:pPr>
              <w:jc w:val="center"/>
              <w:rPr>
                <w:lang w:val="en-US"/>
              </w:rPr>
            </w:pPr>
            <w:r>
              <w:rPr>
                <w:lang w:val="en-US"/>
              </w:rPr>
              <w:t>8.1</w:t>
            </w:r>
          </w:p>
        </w:tc>
        <w:tc>
          <w:tcPr>
            <w:tcW w:w="1420" w:type="dxa"/>
          </w:tcPr>
          <w:p w14:paraId="05FC5951" w14:textId="3C97E433" w:rsidR="00F36C66" w:rsidRPr="00EF01DB" w:rsidRDefault="00F36C66" w:rsidP="004C11A2">
            <w:pPr>
              <w:jc w:val="center"/>
              <w:rPr>
                <w:lang w:val="en-US"/>
              </w:rPr>
            </w:pPr>
            <w:r>
              <w:rPr>
                <w:lang w:val="en-US"/>
              </w:rPr>
              <w:t>7</w:t>
            </w:r>
            <w:r w:rsidR="001305F4">
              <w:rPr>
                <w:lang w:val="en-US"/>
              </w:rPr>
              <w:t>2.1</w:t>
            </w:r>
          </w:p>
        </w:tc>
      </w:tr>
      <w:tr w:rsidR="00F36C66" w:rsidRPr="00EF01DB" w14:paraId="732424A9" w14:textId="77777777" w:rsidTr="004C11A2">
        <w:tc>
          <w:tcPr>
            <w:tcW w:w="2862" w:type="dxa"/>
          </w:tcPr>
          <w:p w14:paraId="0AE9ED6E" w14:textId="36B502C4" w:rsidR="00F36C66" w:rsidRPr="00EF01DB" w:rsidRDefault="00F36C66" w:rsidP="004C11A2">
            <w:pPr>
              <w:rPr>
                <w:lang w:val="en-US"/>
              </w:rPr>
            </w:pPr>
            <w:r w:rsidRPr="00EF01DB">
              <w:rPr>
                <w:lang w:val="en-US"/>
              </w:rPr>
              <w:t xml:space="preserve">Total </w:t>
            </w:r>
          </w:p>
        </w:tc>
        <w:tc>
          <w:tcPr>
            <w:tcW w:w="1341" w:type="dxa"/>
          </w:tcPr>
          <w:p w14:paraId="4B464943" w14:textId="700180B2" w:rsidR="00F36C66" w:rsidRPr="00EF01DB" w:rsidRDefault="00F36C66" w:rsidP="004C11A2">
            <w:pPr>
              <w:jc w:val="center"/>
              <w:rPr>
                <w:lang w:val="en-US"/>
              </w:rPr>
            </w:pPr>
            <w:r w:rsidRPr="00EF01DB">
              <w:rPr>
                <w:lang w:val="en-US"/>
              </w:rPr>
              <w:t>2</w:t>
            </w:r>
            <w:r>
              <w:rPr>
                <w:lang w:val="en-US"/>
              </w:rPr>
              <w:t>1.</w:t>
            </w:r>
            <w:r w:rsidR="001305F4">
              <w:rPr>
                <w:lang w:val="en-US"/>
              </w:rPr>
              <w:t>2</w:t>
            </w:r>
          </w:p>
        </w:tc>
        <w:tc>
          <w:tcPr>
            <w:tcW w:w="1342" w:type="dxa"/>
          </w:tcPr>
          <w:p w14:paraId="627560EF" w14:textId="75567BA7" w:rsidR="00F36C66" w:rsidRPr="00EF01DB" w:rsidRDefault="001305F4" w:rsidP="004C11A2">
            <w:pPr>
              <w:jc w:val="center"/>
              <w:rPr>
                <w:lang w:val="en-US"/>
              </w:rPr>
            </w:pPr>
            <w:r>
              <w:rPr>
                <w:lang w:val="en-US"/>
              </w:rPr>
              <w:t>9.1</w:t>
            </w:r>
          </w:p>
        </w:tc>
        <w:tc>
          <w:tcPr>
            <w:tcW w:w="1420" w:type="dxa"/>
          </w:tcPr>
          <w:p w14:paraId="6AC3C331" w14:textId="77777777" w:rsidR="00F36C66" w:rsidRPr="00EF01DB" w:rsidRDefault="00F36C66" w:rsidP="004C11A2">
            <w:pPr>
              <w:jc w:val="center"/>
              <w:rPr>
                <w:lang w:val="en-US"/>
              </w:rPr>
            </w:pPr>
            <w:r w:rsidRPr="00EF01DB">
              <w:rPr>
                <w:lang w:val="en-US"/>
              </w:rPr>
              <w:t>100.0</w:t>
            </w:r>
          </w:p>
        </w:tc>
      </w:tr>
    </w:tbl>
    <w:p w14:paraId="4C9F5CE2" w14:textId="77777777" w:rsidR="00D26DF4" w:rsidRDefault="00D26DF4" w:rsidP="00D26DF4">
      <w:pPr>
        <w:rPr>
          <w:lang w:val="en-US"/>
        </w:rPr>
      </w:pPr>
    </w:p>
    <w:p w14:paraId="342C6256" w14:textId="77777777" w:rsidR="006034E2" w:rsidRDefault="006034E2" w:rsidP="006835DF">
      <w:pPr>
        <w:pStyle w:val="Heading2"/>
        <w:spacing w:line="240" w:lineRule="auto"/>
      </w:pPr>
      <w:r>
        <w:t>Benefit status</w:t>
      </w:r>
    </w:p>
    <w:p w14:paraId="32968208" w14:textId="1BF76D5A" w:rsidR="006034E2" w:rsidRPr="000D24F3" w:rsidRDefault="006034E2" w:rsidP="006835DF">
      <w:pPr>
        <w:rPr>
          <w:lang w:val="en-US"/>
        </w:rPr>
      </w:pPr>
      <w:r>
        <w:rPr>
          <w:lang w:val="en-US"/>
        </w:rPr>
        <w:t>Hous</w:t>
      </w:r>
      <w:r w:rsidRPr="00DC5F39">
        <w:rPr>
          <w:lang w:val="en-US"/>
        </w:rPr>
        <w:t xml:space="preserve">eholds </w:t>
      </w:r>
      <w:r>
        <w:rPr>
          <w:lang w:val="en-US"/>
        </w:rPr>
        <w:t>dependent on income-tested benefits are defined here as receiving Income Support, Pension Credit, income-based Job Seeker’s Allowance or income-related Employment Support Allowance (</w:t>
      </w:r>
      <w:smartTag w:uri="urn:schemas-microsoft-com:office:smarttags" w:element="stockticker">
        <w:r>
          <w:rPr>
            <w:lang w:val="en-US"/>
          </w:rPr>
          <w:t>ESA</w:t>
        </w:r>
      </w:smartTag>
      <w:r>
        <w:rPr>
          <w:lang w:val="en-US"/>
        </w:rPr>
        <w:t>)</w:t>
      </w:r>
      <w:r w:rsidR="007A2E4B">
        <w:rPr>
          <w:lang w:val="en-US"/>
        </w:rPr>
        <w:t xml:space="preserve">, </w:t>
      </w:r>
      <w:r w:rsidRPr="00DC5F39">
        <w:rPr>
          <w:lang w:val="en-US"/>
        </w:rPr>
        <w:t xml:space="preserve">Child Tax Credit </w:t>
      </w:r>
      <w:r w:rsidR="007A2E4B">
        <w:rPr>
          <w:lang w:val="en-US"/>
        </w:rPr>
        <w:t xml:space="preserve">and Universal Credit. </w:t>
      </w:r>
      <w:r w:rsidRPr="000D24F3">
        <w:rPr>
          <w:lang w:val="en-US"/>
        </w:rPr>
        <w:t xml:space="preserve">This gives us </w:t>
      </w:r>
      <w:r>
        <w:rPr>
          <w:lang w:val="en-US"/>
        </w:rPr>
        <w:t xml:space="preserve">the </w:t>
      </w:r>
      <w:r w:rsidRPr="000D24F3">
        <w:rPr>
          <w:lang w:val="en-US"/>
        </w:rPr>
        <w:t xml:space="preserve">water poverty rates shown in Table </w:t>
      </w:r>
      <w:r w:rsidR="00B262FA">
        <w:rPr>
          <w:lang w:val="en-US"/>
        </w:rPr>
        <w:t>5</w:t>
      </w:r>
      <w:r w:rsidRPr="000D24F3">
        <w:rPr>
          <w:lang w:val="en-US"/>
        </w:rPr>
        <w:t>. There is a much high</w:t>
      </w:r>
      <w:r>
        <w:rPr>
          <w:lang w:val="en-US"/>
        </w:rPr>
        <w:t>er rate of water poverty among benefit-dependent households</w:t>
      </w:r>
      <w:r w:rsidRPr="000D24F3">
        <w:rPr>
          <w:lang w:val="en-US"/>
        </w:rPr>
        <w:t>.</w:t>
      </w:r>
    </w:p>
    <w:p w14:paraId="53073181" w14:textId="77777777" w:rsidR="006034E2" w:rsidRDefault="006034E2" w:rsidP="006835DF">
      <w:pPr>
        <w:pStyle w:val="tabfig"/>
        <w:spacing w:after="0"/>
      </w:pPr>
    </w:p>
    <w:p w14:paraId="5602F3B9" w14:textId="4C4339D6" w:rsidR="006034E2" w:rsidRPr="000D24F3" w:rsidRDefault="006034E2" w:rsidP="006835DF">
      <w:pPr>
        <w:pStyle w:val="tabfig"/>
        <w:spacing w:after="0"/>
      </w:pPr>
      <w:r w:rsidRPr="000D24F3">
        <w:t xml:space="preserve">Table </w:t>
      </w:r>
      <w:r w:rsidR="00B262FA">
        <w:t>5</w:t>
      </w:r>
      <w:r w:rsidRPr="000D24F3">
        <w:t>: Water pover</w:t>
      </w:r>
      <w:r>
        <w:t>ty rates by income deprivation (England and Wales 20</w:t>
      </w:r>
      <w:r w:rsidR="007A2E4B">
        <w:t>18</w:t>
      </w:r>
      <w:r>
        <w:t>-1</w:t>
      </w:r>
      <w:r w:rsidR="007A2E4B">
        <w:t>9</w:t>
      </w:r>
      <w:r>
        <w:t>)</w:t>
      </w:r>
    </w:p>
    <w:tbl>
      <w:tblPr>
        <w:tblStyle w:val="TableGrid"/>
        <w:tblW w:w="0" w:type="auto"/>
        <w:tblLook w:val="00A0" w:firstRow="1" w:lastRow="0" w:firstColumn="1" w:lastColumn="0" w:noHBand="0" w:noVBand="0"/>
      </w:tblPr>
      <w:tblGrid>
        <w:gridCol w:w="2761"/>
        <w:gridCol w:w="1322"/>
        <w:gridCol w:w="1322"/>
        <w:gridCol w:w="1083"/>
        <w:gridCol w:w="1118"/>
        <w:gridCol w:w="1410"/>
      </w:tblGrid>
      <w:tr w:rsidR="007A2E4B" w:rsidRPr="00EF01DB" w14:paraId="5C14CC42" w14:textId="77777777" w:rsidTr="007A2E4B">
        <w:tc>
          <w:tcPr>
            <w:tcW w:w="2870" w:type="dxa"/>
          </w:tcPr>
          <w:p w14:paraId="4A4CD7DF" w14:textId="77777777" w:rsidR="007A2E4B" w:rsidRPr="00EF01DB" w:rsidRDefault="007A2E4B" w:rsidP="007A2E4B">
            <w:pPr>
              <w:rPr>
                <w:b/>
                <w:bCs/>
                <w:lang w:val="en-US"/>
              </w:rPr>
            </w:pPr>
            <w:bookmarkStart w:id="0" w:name="_Hlk57964766"/>
            <w:r w:rsidRPr="00EF01DB">
              <w:rPr>
                <w:b/>
                <w:bCs/>
                <w:lang w:val="en-US"/>
              </w:rPr>
              <w:t>Benefit-dependent</w:t>
            </w:r>
          </w:p>
        </w:tc>
        <w:tc>
          <w:tcPr>
            <w:tcW w:w="1340" w:type="dxa"/>
          </w:tcPr>
          <w:p w14:paraId="010273C9" w14:textId="77777777" w:rsidR="007A2E4B" w:rsidRPr="00EF01DB" w:rsidRDefault="007A2E4B" w:rsidP="007A2E4B">
            <w:pPr>
              <w:jc w:val="center"/>
              <w:rPr>
                <w:lang w:val="en-US"/>
              </w:rPr>
            </w:pPr>
            <w:r w:rsidRPr="00EF01DB">
              <w:rPr>
                <w:lang w:val="en-US"/>
              </w:rPr>
              <w:t>% spending over 3% income on water</w:t>
            </w:r>
          </w:p>
        </w:tc>
        <w:tc>
          <w:tcPr>
            <w:tcW w:w="1340" w:type="dxa"/>
          </w:tcPr>
          <w:p w14:paraId="56209D77" w14:textId="77777777" w:rsidR="007A2E4B" w:rsidRPr="00EF01DB" w:rsidRDefault="007A2E4B" w:rsidP="007A2E4B">
            <w:pPr>
              <w:jc w:val="center"/>
              <w:rPr>
                <w:lang w:val="en-US"/>
              </w:rPr>
            </w:pPr>
            <w:r w:rsidRPr="00EF01DB">
              <w:rPr>
                <w:lang w:val="en-US"/>
              </w:rPr>
              <w:t>% spending over 5% income on water</w:t>
            </w:r>
          </w:p>
        </w:tc>
        <w:tc>
          <w:tcPr>
            <w:tcW w:w="926" w:type="dxa"/>
          </w:tcPr>
          <w:p w14:paraId="60E6C921" w14:textId="5D7D6DE7" w:rsidR="007A2E4B" w:rsidRPr="00EF01DB" w:rsidRDefault="007A2E4B" w:rsidP="007A2E4B">
            <w:pPr>
              <w:jc w:val="center"/>
              <w:rPr>
                <w:lang w:val="en-US"/>
              </w:rPr>
            </w:pPr>
            <w:r w:rsidRPr="00EF01DB">
              <w:rPr>
                <w:lang w:val="en-US"/>
              </w:rPr>
              <w:t>% spending over 3% income on water</w:t>
            </w:r>
          </w:p>
        </w:tc>
        <w:tc>
          <w:tcPr>
            <w:tcW w:w="1121" w:type="dxa"/>
          </w:tcPr>
          <w:p w14:paraId="6ADE7905" w14:textId="2FEE2776" w:rsidR="007A2E4B" w:rsidRPr="00EF01DB" w:rsidRDefault="007A2E4B" w:rsidP="007A2E4B">
            <w:pPr>
              <w:jc w:val="center"/>
              <w:rPr>
                <w:lang w:val="en-US"/>
              </w:rPr>
            </w:pPr>
            <w:r w:rsidRPr="00EF01DB">
              <w:rPr>
                <w:lang w:val="en-US"/>
              </w:rPr>
              <w:t>% spending over 5% income on water</w:t>
            </w:r>
          </w:p>
        </w:tc>
        <w:tc>
          <w:tcPr>
            <w:tcW w:w="1419" w:type="dxa"/>
          </w:tcPr>
          <w:p w14:paraId="3C45C7F5" w14:textId="0EE46409" w:rsidR="007A2E4B" w:rsidRPr="00EF01DB" w:rsidRDefault="007A2E4B" w:rsidP="007A2E4B">
            <w:pPr>
              <w:jc w:val="center"/>
              <w:rPr>
                <w:lang w:val="en-US"/>
              </w:rPr>
            </w:pPr>
            <w:r w:rsidRPr="00EF01DB">
              <w:rPr>
                <w:lang w:val="en-US"/>
              </w:rPr>
              <w:t>% of households in population</w:t>
            </w:r>
          </w:p>
        </w:tc>
      </w:tr>
      <w:bookmarkEnd w:id="0"/>
      <w:tr w:rsidR="007A2E4B" w:rsidRPr="00EF01DB" w14:paraId="1912901C" w14:textId="77777777" w:rsidTr="004C11A2">
        <w:tc>
          <w:tcPr>
            <w:tcW w:w="2870" w:type="dxa"/>
          </w:tcPr>
          <w:p w14:paraId="313631A0" w14:textId="77777777" w:rsidR="007A2E4B" w:rsidRPr="00EF01DB" w:rsidRDefault="007A2E4B" w:rsidP="007A2E4B">
            <w:pPr>
              <w:rPr>
                <w:lang w:val="en-US"/>
              </w:rPr>
            </w:pPr>
          </w:p>
        </w:tc>
        <w:tc>
          <w:tcPr>
            <w:tcW w:w="2680" w:type="dxa"/>
            <w:gridSpan w:val="2"/>
          </w:tcPr>
          <w:p w14:paraId="201A3DE2" w14:textId="14C9692A" w:rsidR="007A2E4B" w:rsidRPr="00EF01DB" w:rsidRDefault="007A2E4B" w:rsidP="007A2E4B">
            <w:pPr>
              <w:jc w:val="center"/>
              <w:rPr>
                <w:lang w:val="en-US"/>
              </w:rPr>
            </w:pPr>
            <w:r>
              <w:rPr>
                <w:lang w:val="en-US"/>
              </w:rPr>
              <w:t>Unequivalised income</w:t>
            </w:r>
          </w:p>
        </w:tc>
        <w:tc>
          <w:tcPr>
            <w:tcW w:w="2047" w:type="dxa"/>
            <w:gridSpan w:val="2"/>
          </w:tcPr>
          <w:p w14:paraId="7EBA48F4" w14:textId="217E3C8B" w:rsidR="007A2E4B" w:rsidRPr="00EF01DB" w:rsidRDefault="007A2E4B" w:rsidP="007A2E4B">
            <w:pPr>
              <w:jc w:val="center"/>
              <w:rPr>
                <w:lang w:val="en-US"/>
              </w:rPr>
            </w:pPr>
            <w:r>
              <w:rPr>
                <w:lang w:val="en-US"/>
              </w:rPr>
              <w:t>Equivalised income</w:t>
            </w:r>
          </w:p>
        </w:tc>
        <w:tc>
          <w:tcPr>
            <w:tcW w:w="1419" w:type="dxa"/>
          </w:tcPr>
          <w:p w14:paraId="4B8DC6DB" w14:textId="77777777" w:rsidR="007A2E4B" w:rsidRPr="00EF01DB" w:rsidRDefault="007A2E4B" w:rsidP="007A2E4B">
            <w:pPr>
              <w:jc w:val="center"/>
              <w:rPr>
                <w:lang w:val="en-US"/>
              </w:rPr>
            </w:pPr>
          </w:p>
        </w:tc>
      </w:tr>
      <w:tr w:rsidR="007A2E4B" w:rsidRPr="00EF01DB" w14:paraId="5FD7BF6F" w14:textId="77777777" w:rsidTr="007A2E4B">
        <w:tc>
          <w:tcPr>
            <w:tcW w:w="2870" w:type="dxa"/>
          </w:tcPr>
          <w:p w14:paraId="24ECDA0B" w14:textId="77777777" w:rsidR="007A2E4B" w:rsidRPr="00EF01DB" w:rsidRDefault="007A2E4B" w:rsidP="007A2E4B">
            <w:pPr>
              <w:rPr>
                <w:lang w:val="en-US"/>
              </w:rPr>
            </w:pPr>
            <w:r w:rsidRPr="00EF01DB">
              <w:rPr>
                <w:lang w:val="en-US"/>
              </w:rPr>
              <w:t>Yes</w:t>
            </w:r>
          </w:p>
        </w:tc>
        <w:tc>
          <w:tcPr>
            <w:tcW w:w="1340" w:type="dxa"/>
          </w:tcPr>
          <w:p w14:paraId="2D759836" w14:textId="24CFAEAA" w:rsidR="007A2E4B" w:rsidRPr="00EF01DB" w:rsidRDefault="00D27EB9" w:rsidP="007A2E4B">
            <w:pPr>
              <w:jc w:val="center"/>
              <w:rPr>
                <w:lang w:val="en-US"/>
              </w:rPr>
            </w:pPr>
            <w:r>
              <w:rPr>
                <w:lang w:val="en-US"/>
              </w:rPr>
              <w:t>29.9</w:t>
            </w:r>
          </w:p>
        </w:tc>
        <w:tc>
          <w:tcPr>
            <w:tcW w:w="1340" w:type="dxa"/>
          </w:tcPr>
          <w:p w14:paraId="135D1CA6" w14:textId="149BCCB7" w:rsidR="007A2E4B" w:rsidRPr="00EF01DB" w:rsidRDefault="007A2E4B" w:rsidP="007A2E4B">
            <w:pPr>
              <w:jc w:val="center"/>
              <w:rPr>
                <w:lang w:val="en-US"/>
              </w:rPr>
            </w:pPr>
            <w:r>
              <w:rPr>
                <w:lang w:val="en-US"/>
              </w:rPr>
              <w:t>1</w:t>
            </w:r>
            <w:r w:rsidR="00D27EB9">
              <w:rPr>
                <w:lang w:val="en-US"/>
              </w:rPr>
              <w:t>2</w:t>
            </w:r>
            <w:r>
              <w:rPr>
                <w:lang w:val="en-US"/>
              </w:rPr>
              <w:t>.2</w:t>
            </w:r>
          </w:p>
        </w:tc>
        <w:tc>
          <w:tcPr>
            <w:tcW w:w="926" w:type="dxa"/>
          </w:tcPr>
          <w:p w14:paraId="053E3118" w14:textId="7A630C7A" w:rsidR="007A2E4B" w:rsidRPr="00EF01DB" w:rsidRDefault="007A2E4B" w:rsidP="007A2E4B">
            <w:pPr>
              <w:jc w:val="center"/>
              <w:rPr>
                <w:lang w:val="en-US"/>
              </w:rPr>
            </w:pPr>
            <w:r>
              <w:rPr>
                <w:lang w:val="en-US"/>
              </w:rPr>
              <w:t>3</w:t>
            </w:r>
            <w:r w:rsidR="00D27EB9">
              <w:rPr>
                <w:lang w:val="en-US"/>
              </w:rPr>
              <w:t>8.4</w:t>
            </w:r>
          </w:p>
        </w:tc>
        <w:tc>
          <w:tcPr>
            <w:tcW w:w="1121" w:type="dxa"/>
          </w:tcPr>
          <w:p w14:paraId="667A8A90" w14:textId="19EBCFE8" w:rsidR="007A2E4B" w:rsidRPr="00EF01DB" w:rsidRDefault="000675F7" w:rsidP="007A2E4B">
            <w:pPr>
              <w:jc w:val="center"/>
              <w:rPr>
                <w:lang w:val="en-US"/>
              </w:rPr>
            </w:pPr>
            <w:r>
              <w:rPr>
                <w:lang w:val="en-US"/>
              </w:rPr>
              <w:t>14.6</w:t>
            </w:r>
          </w:p>
        </w:tc>
        <w:tc>
          <w:tcPr>
            <w:tcW w:w="1419" w:type="dxa"/>
          </w:tcPr>
          <w:p w14:paraId="7620B54A" w14:textId="27A0ADB0" w:rsidR="007A2E4B" w:rsidRPr="00EF01DB" w:rsidRDefault="007A2E4B" w:rsidP="007A2E4B">
            <w:pPr>
              <w:jc w:val="center"/>
              <w:rPr>
                <w:lang w:val="en-US"/>
              </w:rPr>
            </w:pPr>
            <w:r>
              <w:rPr>
                <w:lang w:val="en-US"/>
              </w:rPr>
              <w:t>3</w:t>
            </w:r>
            <w:r w:rsidR="00D27EB9">
              <w:rPr>
                <w:lang w:val="en-US"/>
              </w:rPr>
              <w:t>5.6</w:t>
            </w:r>
          </w:p>
        </w:tc>
      </w:tr>
      <w:tr w:rsidR="007A2E4B" w:rsidRPr="00EF01DB" w14:paraId="6E35AFAB" w14:textId="77777777" w:rsidTr="007A2E4B">
        <w:tc>
          <w:tcPr>
            <w:tcW w:w="2870" w:type="dxa"/>
          </w:tcPr>
          <w:p w14:paraId="72D7E05C" w14:textId="77777777" w:rsidR="007A2E4B" w:rsidRPr="00EF01DB" w:rsidRDefault="007A2E4B" w:rsidP="007A2E4B">
            <w:pPr>
              <w:rPr>
                <w:lang w:val="en-US"/>
              </w:rPr>
            </w:pPr>
            <w:r w:rsidRPr="00EF01DB">
              <w:rPr>
                <w:lang w:val="en-US"/>
              </w:rPr>
              <w:t>No</w:t>
            </w:r>
          </w:p>
        </w:tc>
        <w:tc>
          <w:tcPr>
            <w:tcW w:w="1340" w:type="dxa"/>
          </w:tcPr>
          <w:p w14:paraId="5EC71DDC" w14:textId="773D630A" w:rsidR="007A2E4B" w:rsidRPr="00EF01DB" w:rsidRDefault="007A2E4B" w:rsidP="007A2E4B">
            <w:pPr>
              <w:jc w:val="center"/>
              <w:rPr>
                <w:lang w:val="en-US"/>
              </w:rPr>
            </w:pPr>
            <w:r w:rsidRPr="00EF01DB">
              <w:rPr>
                <w:lang w:val="en-US"/>
              </w:rPr>
              <w:t>1</w:t>
            </w:r>
            <w:r w:rsidR="00D27EB9">
              <w:rPr>
                <w:lang w:val="en-US"/>
              </w:rPr>
              <w:t>7.7</w:t>
            </w:r>
          </w:p>
        </w:tc>
        <w:tc>
          <w:tcPr>
            <w:tcW w:w="1340" w:type="dxa"/>
          </w:tcPr>
          <w:p w14:paraId="17D16541" w14:textId="58C90F95" w:rsidR="007A2E4B" w:rsidRPr="00EF01DB" w:rsidRDefault="007A2E4B" w:rsidP="007A2E4B">
            <w:pPr>
              <w:jc w:val="center"/>
              <w:rPr>
                <w:lang w:val="en-US"/>
              </w:rPr>
            </w:pPr>
            <w:r>
              <w:rPr>
                <w:lang w:val="en-US"/>
              </w:rPr>
              <w:t>8.</w:t>
            </w:r>
            <w:r w:rsidR="00D27EB9">
              <w:rPr>
                <w:lang w:val="en-US"/>
              </w:rPr>
              <w:t>2</w:t>
            </w:r>
          </w:p>
        </w:tc>
        <w:tc>
          <w:tcPr>
            <w:tcW w:w="926" w:type="dxa"/>
          </w:tcPr>
          <w:p w14:paraId="7291419A" w14:textId="1D8E5911" w:rsidR="007A2E4B" w:rsidRPr="00EF01DB" w:rsidRDefault="007A2E4B" w:rsidP="007A2E4B">
            <w:pPr>
              <w:jc w:val="center"/>
              <w:rPr>
                <w:lang w:val="en-US"/>
              </w:rPr>
            </w:pPr>
            <w:r>
              <w:rPr>
                <w:lang w:val="en-US"/>
              </w:rPr>
              <w:t>1</w:t>
            </w:r>
            <w:r w:rsidR="00D27EB9">
              <w:rPr>
                <w:lang w:val="en-US"/>
              </w:rPr>
              <w:t>8.3</w:t>
            </w:r>
          </w:p>
        </w:tc>
        <w:tc>
          <w:tcPr>
            <w:tcW w:w="1121" w:type="dxa"/>
          </w:tcPr>
          <w:p w14:paraId="784E6AD6" w14:textId="725D2BC6" w:rsidR="007A2E4B" w:rsidRPr="00EF01DB" w:rsidRDefault="000675F7" w:rsidP="007A2E4B">
            <w:pPr>
              <w:jc w:val="center"/>
              <w:rPr>
                <w:lang w:val="en-US"/>
              </w:rPr>
            </w:pPr>
            <w:r>
              <w:rPr>
                <w:lang w:val="en-US"/>
              </w:rPr>
              <w:t>7.6</w:t>
            </w:r>
          </w:p>
        </w:tc>
        <w:tc>
          <w:tcPr>
            <w:tcW w:w="1419" w:type="dxa"/>
          </w:tcPr>
          <w:p w14:paraId="57262A68" w14:textId="5C107499" w:rsidR="007A2E4B" w:rsidRPr="00EF01DB" w:rsidRDefault="007A2E4B" w:rsidP="007A2E4B">
            <w:pPr>
              <w:jc w:val="center"/>
              <w:rPr>
                <w:lang w:val="en-US"/>
              </w:rPr>
            </w:pPr>
            <w:r>
              <w:rPr>
                <w:lang w:val="en-US"/>
              </w:rPr>
              <w:t>6</w:t>
            </w:r>
            <w:r w:rsidR="00D27EB9">
              <w:rPr>
                <w:lang w:val="en-US"/>
              </w:rPr>
              <w:t>4.4</w:t>
            </w:r>
          </w:p>
        </w:tc>
      </w:tr>
      <w:tr w:rsidR="007A2E4B" w:rsidRPr="00EF01DB" w14:paraId="12371D75" w14:textId="77777777" w:rsidTr="007A2E4B">
        <w:tc>
          <w:tcPr>
            <w:tcW w:w="2870" w:type="dxa"/>
          </w:tcPr>
          <w:p w14:paraId="1CA135CC" w14:textId="77777777" w:rsidR="007A2E4B" w:rsidRPr="00EF01DB" w:rsidRDefault="007A2E4B" w:rsidP="007A2E4B">
            <w:pPr>
              <w:rPr>
                <w:lang w:val="en-US"/>
              </w:rPr>
            </w:pPr>
            <w:r w:rsidRPr="00EF01DB">
              <w:rPr>
                <w:lang w:val="en-US"/>
              </w:rPr>
              <w:t>Total</w:t>
            </w:r>
          </w:p>
        </w:tc>
        <w:tc>
          <w:tcPr>
            <w:tcW w:w="1340" w:type="dxa"/>
          </w:tcPr>
          <w:p w14:paraId="6F99A48E" w14:textId="6532DA73" w:rsidR="007A2E4B" w:rsidRPr="00EF01DB" w:rsidRDefault="007A2E4B" w:rsidP="007A2E4B">
            <w:pPr>
              <w:jc w:val="center"/>
              <w:rPr>
                <w:lang w:val="en-US"/>
              </w:rPr>
            </w:pPr>
            <w:r w:rsidRPr="00EF01DB">
              <w:rPr>
                <w:lang w:val="en-US"/>
              </w:rPr>
              <w:t>2</w:t>
            </w:r>
            <w:r w:rsidR="00D27EB9">
              <w:rPr>
                <w:lang w:val="en-US"/>
              </w:rPr>
              <w:t>2</w:t>
            </w:r>
            <w:r w:rsidRPr="00EF01DB">
              <w:rPr>
                <w:lang w:val="en-US"/>
              </w:rPr>
              <w:t>.</w:t>
            </w:r>
            <w:r>
              <w:rPr>
                <w:lang w:val="en-US"/>
              </w:rPr>
              <w:t>.0</w:t>
            </w:r>
          </w:p>
        </w:tc>
        <w:tc>
          <w:tcPr>
            <w:tcW w:w="1340" w:type="dxa"/>
          </w:tcPr>
          <w:p w14:paraId="744AC66E" w14:textId="7A1B76D4" w:rsidR="007A2E4B" w:rsidRPr="00EF01DB" w:rsidRDefault="00D27EB9" w:rsidP="007A2E4B">
            <w:pPr>
              <w:jc w:val="center"/>
              <w:rPr>
                <w:lang w:val="en-US"/>
              </w:rPr>
            </w:pPr>
            <w:r>
              <w:rPr>
                <w:lang w:val="en-US"/>
              </w:rPr>
              <w:t>9.6</w:t>
            </w:r>
          </w:p>
        </w:tc>
        <w:tc>
          <w:tcPr>
            <w:tcW w:w="926" w:type="dxa"/>
          </w:tcPr>
          <w:p w14:paraId="7E2C9ECB" w14:textId="7C5495D1" w:rsidR="007A2E4B" w:rsidRPr="00EF01DB" w:rsidRDefault="007A2E4B" w:rsidP="007A2E4B">
            <w:pPr>
              <w:jc w:val="center"/>
              <w:rPr>
                <w:lang w:val="en-US"/>
              </w:rPr>
            </w:pPr>
            <w:r>
              <w:rPr>
                <w:lang w:val="en-US"/>
              </w:rPr>
              <w:t>2</w:t>
            </w:r>
            <w:r w:rsidR="00D27EB9">
              <w:rPr>
                <w:lang w:val="en-US"/>
              </w:rPr>
              <w:t>5.4</w:t>
            </w:r>
          </w:p>
        </w:tc>
        <w:tc>
          <w:tcPr>
            <w:tcW w:w="1121" w:type="dxa"/>
          </w:tcPr>
          <w:p w14:paraId="1831DBF6" w14:textId="59161536" w:rsidR="007A2E4B" w:rsidRPr="00EF01DB" w:rsidRDefault="000675F7" w:rsidP="007A2E4B">
            <w:pPr>
              <w:jc w:val="center"/>
              <w:rPr>
                <w:lang w:val="en-US"/>
              </w:rPr>
            </w:pPr>
            <w:r>
              <w:rPr>
                <w:lang w:val="en-US"/>
              </w:rPr>
              <w:t>10.1</w:t>
            </w:r>
          </w:p>
        </w:tc>
        <w:tc>
          <w:tcPr>
            <w:tcW w:w="1419" w:type="dxa"/>
          </w:tcPr>
          <w:p w14:paraId="73AB6B0F" w14:textId="736581CF" w:rsidR="007A2E4B" w:rsidRPr="00EF01DB" w:rsidRDefault="007A2E4B" w:rsidP="007A2E4B">
            <w:pPr>
              <w:jc w:val="center"/>
              <w:rPr>
                <w:lang w:val="en-US"/>
              </w:rPr>
            </w:pPr>
            <w:r w:rsidRPr="00EF01DB">
              <w:rPr>
                <w:lang w:val="en-US"/>
              </w:rPr>
              <w:t>100.0</w:t>
            </w:r>
          </w:p>
        </w:tc>
      </w:tr>
    </w:tbl>
    <w:p w14:paraId="6771C07B" w14:textId="77777777" w:rsidR="006034E2" w:rsidRDefault="006034E2" w:rsidP="006835DF">
      <w:pPr>
        <w:rPr>
          <w:lang w:val="en-US"/>
        </w:rPr>
      </w:pPr>
    </w:p>
    <w:p w14:paraId="11F22A9E" w14:textId="77777777" w:rsidR="006034E2" w:rsidRPr="000D24F3" w:rsidRDefault="006034E2" w:rsidP="006835DF">
      <w:pPr>
        <w:pStyle w:val="Heading2"/>
        <w:spacing w:line="240" w:lineRule="auto"/>
      </w:pPr>
      <w:r w:rsidRPr="000D24F3">
        <w:lastRenderedPageBreak/>
        <w:t>W</w:t>
      </w:r>
      <w:r>
        <w:t>ater meters</w:t>
      </w:r>
    </w:p>
    <w:p w14:paraId="5E2386BA" w14:textId="156A8BBC" w:rsidR="00A40786" w:rsidRDefault="006034E2" w:rsidP="00A40786">
      <w:r w:rsidRPr="000D24F3">
        <w:t>Our analysis of the Family Resources Survey 20</w:t>
      </w:r>
      <w:r w:rsidR="007A2E4B">
        <w:t>18/19</w:t>
      </w:r>
      <w:r w:rsidRPr="000D24F3">
        <w:t xml:space="preserve"> found tha</w:t>
      </w:r>
      <w:r w:rsidRPr="00EA6A93">
        <w:t xml:space="preserve">t </w:t>
      </w:r>
      <w:r w:rsidR="00D560E2">
        <w:t>48.1</w:t>
      </w:r>
      <w:r w:rsidR="00B262FA">
        <w:t xml:space="preserve"> </w:t>
      </w:r>
      <w:r w:rsidRPr="00EA6A93">
        <w:t>cent</w:t>
      </w:r>
      <w:r w:rsidRPr="000D24F3">
        <w:t xml:space="preserve"> of households in </w:t>
      </w:r>
      <w:r>
        <w:t xml:space="preserve">England </w:t>
      </w:r>
      <w:r w:rsidR="00FE331F">
        <w:t xml:space="preserve">and Wales </w:t>
      </w:r>
      <w:r w:rsidR="00B262FA">
        <w:t xml:space="preserve">were </w:t>
      </w:r>
      <w:r w:rsidRPr="000D24F3">
        <w:t>metered</w:t>
      </w:r>
      <w:r w:rsidR="00FE331F">
        <w:t xml:space="preserve">, </w:t>
      </w:r>
      <w:r w:rsidR="00111622">
        <w:t>(</w:t>
      </w:r>
      <w:r w:rsidR="00FE331F">
        <w:t xml:space="preserve">though 36% of households did not respond </w:t>
      </w:r>
      <w:r w:rsidR="00111622">
        <w:t xml:space="preserve">- </w:t>
      </w:r>
      <w:r w:rsidR="00FE331F">
        <w:t>perhaps indicating that they did not know whether they were metered or not.</w:t>
      </w:r>
      <w:r w:rsidR="00111622">
        <w:t>)</w:t>
      </w:r>
      <w:r>
        <w:t xml:space="preserve"> </w:t>
      </w:r>
      <w:r w:rsidR="00B262FA">
        <w:t xml:space="preserve">This is a big increase on the 36 per cent found in 2008/9. </w:t>
      </w:r>
      <w:r>
        <w:t xml:space="preserve">Table </w:t>
      </w:r>
      <w:r w:rsidR="00B262FA">
        <w:t>6</w:t>
      </w:r>
      <w:r w:rsidRPr="000D24F3">
        <w:t xml:space="preserve"> gives the water poverty rates for metered and unmetered households in 20</w:t>
      </w:r>
      <w:r w:rsidR="00B262FA">
        <w:t>18/1</w:t>
      </w:r>
      <w:r w:rsidR="00A0515A">
        <w:t>9</w:t>
      </w:r>
      <w:r w:rsidRPr="000D24F3">
        <w:t xml:space="preserve">. Water poverty is </w:t>
      </w:r>
      <w:r w:rsidR="00D560E2">
        <w:t>higher</w:t>
      </w:r>
      <w:r w:rsidRPr="000D24F3">
        <w:t xml:space="preserve"> among metered customers</w:t>
      </w:r>
      <w:r w:rsidR="00D560E2">
        <w:t xml:space="preserve"> for non-equivalised income</w:t>
      </w:r>
      <w:r w:rsidR="000779ED">
        <w:t xml:space="preserve"> and lower among metered customers for equivalised income</w:t>
      </w:r>
      <w:r w:rsidRPr="000D24F3">
        <w:t xml:space="preserve">. </w:t>
      </w:r>
      <w:r w:rsidR="000779ED">
        <w:t>In 2008/9 metered customers bill were lower</w:t>
      </w:r>
      <w:r w:rsidR="00D560E2">
        <w:t xml:space="preserve"> </w:t>
      </w:r>
      <w:r w:rsidR="00C04CB2" w:rsidRPr="00C04CB2">
        <w:t xml:space="preserve">partly because their </w:t>
      </w:r>
      <w:r w:rsidRPr="00C04CB2">
        <w:t xml:space="preserve"> bills </w:t>
      </w:r>
      <w:r w:rsidR="00C04CB2" w:rsidRPr="00C04CB2">
        <w:t>were</w:t>
      </w:r>
      <w:r w:rsidRPr="00C04CB2">
        <w:t xml:space="preserve"> significantly lower. </w:t>
      </w:r>
      <w:r w:rsidR="00C04CB2" w:rsidRPr="00C04CB2">
        <w:t xml:space="preserve">But this is no longer the case. </w:t>
      </w:r>
      <w:r w:rsidRPr="00C04CB2">
        <w:t>The average bill is £</w:t>
      </w:r>
      <w:r w:rsidR="00C04CB2" w:rsidRPr="00C04CB2">
        <w:t>8.76</w:t>
      </w:r>
      <w:r w:rsidRPr="00C04CB2">
        <w:t xml:space="preserve"> a week for metered households compared to an average of £</w:t>
      </w:r>
      <w:r w:rsidR="00C04CB2" w:rsidRPr="00C04CB2">
        <w:t>8.19</w:t>
      </w:r>
      <w:r w:rsidRPr="00C04CB2">
        <w:t xml:space="preserve"> for unmetered consumers</w:t>
      </w:r>
      <w:r w:rsidR="00C04CB2" w:rsidRPr="00C04CB2">
        <w:t xml:space="preserve"> (t=116.09, p&lt;0.001</w:t>
      </w:r>
      <w:r w:rsidR="00C04CB2">
        <w:t xml:space="preserve"> weighted data). This is despite </w:t>
      </w:r>
      <w:r w:rsidRPr="000D24F3">
        <w:t>having a water meter for existing customers is usually a matter of choice. Households who are likely to have low</w:t>
      </w:r>
      <w:r>
        <w:t>er bills with a meter than with rates-</w:t>
      </w:r>
      <w:r w:rsidRPr="000D24F3">
        <w:t xml:space="preserve">based charges are more likely to </w:t>
      </w:r>
      <w:r>
        <w:t xml:space="preserve">have </w:t>
      </w:r>
      <w:r w:rsidRPr="000D24F3">
        <w:t>opt</w:t>
      </w:r>
      <w:r>
        <w:t>ed</w:t>
      </w:r>
      <w:r w:rsidRPr="000D24F3">
        <w:t xml:space="preserve"> for a meter. Second households with a meter may be more conscious of how they use water and may reduce their consumption </w:t>
      </w:r>
      <w:r>
        <w:t>to save costs</w:t>
      </w:r>
      <w:r w:rsidRPr="000D24F3">
        <w:t xml:space="preserve">. </w:t>
      </w:r>
      <w:r w:rsidR="00052F8B">
        <w:t xml:space="preserve">The Covid lock down is likely to have driven up the </w:t>
      </w:r>
      <w:r w:rsidR="00111622">
        <w:t>bills for</w:t>
      </w:r>
      <w:r w:rsidR="00052F8B">
        <w:t xml:space="preserve"> water for metered but not unmetered customers who have spent more time at home.</w:t>
      </w:r>
    </w:p>
    <w:p w14:paraId="2F0AD4BE" w14:textId="77777777" w:rsidR="00A40786" w:rsidRDefault="00A40786" w:rsidP="006835DF">
      <w:pPr>
        <w:pStyle w:val="tabfig"/>
        <w:spacing w:after="0"/>
      </w:pPr>
    </w:p>
    <w:p w14:paraId="71A4A279" w14:textId="2670BE2E" w:rsidR="006034E2" w:rsidRPr="00C3228C" w:rsidRDefault="00A0515A" w:rsidP="006835DF">
      <w:pPr>
        <w:pStyle w:val="tabfig"/>
        <w:spacing w:after="0"/>
      </w:pPr>
      <w:r>
        <w:t>T</w:t>
      </w:r>
      <w:r w:rsidR="006034E2">
        <w:t xml:space="preserve">able </w:t>
      </w:r>
      <w:r w:rsidR="00B262FA">
        <w:t>6</w:t>
      </w:r>
      <w:r w:rsidR="006034E2" w:rsidRPr="000D24F3">
        <w:t xml:space="preserve">: Water poverty rates by </w:t>
      </w:r>
      <w:r w:rsidR="006034E2">
        <w:t>metering</w:t>
      </w:r>
      <w:r w:rsidR="006034E2" w:rsidRPr="000D24F3">
        <w:t xml:space="preserve"> </w:t>
      </w:r>
      <w:r w:rsidR="006034E2">
        <w:t>(England and Wales 20</w:t>
      </w:r>
      <w:r w:rsidR="00B262FA">
        <w:t>18</w:t>
      </w:r>
      <w:r w:rsidR="006034E2">
        <w:t>-</w:t>
      </w:r>
      <w:r w:rsidR="006034E2" w:rsidRPr="000D24F3">
        <w:t>1</w:t>
      </w:r>
      <w:r w:rsidR="00B262FA">
        <w:t>9</w:t>
      </w:r>
      <w:r w:rsidR="006034E2">
        <w:t>)</w:t>
      </w:r>
    </w:p>
    <w:tbl>
      <w:tblPr>
        <w:tblStyle w:val="TableGrid"/>
        <w:tblW w:w="0" w:type="auto"/>
        <w:tblLook w:val="00A0" w:firstRow="1" w:lastRow="0" w:firstColumn="1" w:lastColumn="0" w:noHBand="0" w:noVBand="0"/>
      </w:tblPr>
      <w:tblGrid>
        <w:gridCol w:w="2726"/>
        <w:gridCol w:w="1331"/>
        <w:gridCol w:w="1331"/>
        <w:gridCol w:w="1083"/>
        <w:gridCol w:w="1130"/>
        <w:gridCol w:w="1415"/>
      </w:tblGrid>
      <w:tr w:rsidR="00B262FA" w:rsidRPr="00EF01DB" w14:paraId="72BE3F1D" w14:textId="77777777" w:rsidTr="00B262FA">
        <w:tc>
          <w:tcPr>
            <w:tcW w:w="2726" w:type="dxa"/>
          </w:tcPr>
          <w:p w14:paraId="53F9F6FD" w14:textId="77777777" w:rsidR="00B262FA" w:rsidRPr="00EF01DB" w:rsidRDefault="00B262FA" w:rsidP="00B262FA">
            <w:pPr>
              <w:rPr>
                <w:b/>
                <w:bCs/>
                <w:lang w:val="en-US"/>
              </w:rPr>
            </w:pPr>
            <w:r w:rsidRPr="00EF01DB">
              <w:rPr>
                <w:b/>
                <w:bCs/>
                <w:lang w:val="en-US"/>
              </w:rPr>
              <w:t>Metered system for payment</w:t>
            </w:r>
          </w:p>
        </w:tc>
        <w:tc>
          <w:tcPr>
            <w:tcW w:w="1331" w:type="dxa"/>
          </w:tcPr>
          <w:p w14:paraId="37852BA4" w14:textId="77777777" w:rsidR="00B262FA" w:rsidRPr="00EF01DB" w:rsidRDefault="00B262FA" w:rsidP="00B262FA">
            <w:pPr>
              <w:jc w:val="center"/>
              <w:rPr>
                <w:lang w:val="en-US"/>
              </w:rPr>
            </w:pPr>
            <w:r w:rsidRPr="00EF01DB">
              <w:rPr>
                <w:lang w:val="en-US"/>
              </w:rPr>
              <w:t>% spending over 3% income on water</w:t>
            </w:r>
          </w:p>
        </w:tc>
        <w:tc>
          <w:tcPr>
            <w:tcW w:w="1331" w:type="dxa"/>
          </w:tcPr>
          <w:p w14:paraId="0AE8035B" w14:textId="77777777" w:rsidR="00B262FA" w:rsidRPr="00EF01DB" w:rsidRDefault="00B262FA" w:rsidP="00B262FA">
            <w:pPr>
              <w:jc w:val="center"/>
              <w:rPr>
                <w:lang w:val="en-US"/>
              </w:rPr>
            </w:pPr>
            <w:r w:rsidRPr="00EF01DB">
              <w:rPr>
                <w:lang w:val="en-US"/>
              </w:rPr>
              <w:t>% spending over 5% income on water</w:t>
            </w:r>
          </w:p>
        </w:tc>
        <w:tc>
          <w:tcPr>
            <w:tcW w:w="1083" w:type="dxa"/>
          </w:tcPr>
          <w:p w14:paraId="389D752D" w14:textId="29D028CD" w:rsidR="00B262FA" w:rsidRPr="00EF01DB" w:rsidRDefault="00B262FA" w:rsidP="00B262FA">
            <w:pPr>
              <w:jc w:val="center"/>
              <w:rPr>
                <w:lang w:val="en-US"/>
              </w:rPr>
            </w:pPr>
            <w:r w:rsidRPr="00EF01DB">
              <w:rPr>
                <w:lang w:val="en-US"/>
              </w:rPr>
              <w:t>% spending over 3% income on water</w:t>
            </w:r>
          </w:p>
        </w:tc>
        <w:tc>
          <w:tcPr>
            <w:tcW w:w="1130" w:type="dxa"/>
          </w:tcPr>
          <w:p w14:paraId="069424C1" w14:textId="31BA003D" w:rsidR="00B262FA" w:rsidRPr="00EF01DB" w:rsidRDefault="00B262FA" w:rsidP="00B262FA">
            <w:pPr>
              <w:jc w:val="center"/>
              <w:rPr>
                <w:lang w:val="en-US"/>
              </w:rPr>
            </w:pPr>
            <w:r w:rsidRPr="00EF01DB">
              <w:rPr>
                <w:lang w:val="en-US"/>
              </w:rPr>
              <w:t>% spending over 5% income on water</w:t>
            </w:r>
          </w:p>
        </w:tc>
        <w:tc>
          <w:tcPr>
            <w:tcW w:w="1415" w:type="dxa"/>
          </w:tcPr>
          <w:p w14:paraId="01D56632" w14:textId="4436D4F2" w:rsidR="00B262FA" w:rsidRPr="00EF01DB" w:rsidRDefault="00B262FA" w:rsidP="00B262FA">
            <w:pPr>
              <w:jc w:val="center"/>
              <w:rPr>
                <w:lang w:val="en-US"/>
              </w:rPr>
            </w:pPr>
            <w:r w:rsidRPr="00EF01DB">
              <w:rPr>
                <w:lang w:val="en-US"/>
              </w:rPr>
              <w:t>% of households in population</w:t>
            </w:r>
          </w:p>
        </w:tc>
      </w:tr>
      <w:tr w:rsidR="00B262FA" w:rsidRPr="00EF01DB" w14:paraId="2B1D9948" w14:textId="77777777" w:rsidTr="004C11A2">
        <w:tc>
          <w:tcPr>
            <w:tcW w:w="2726" w:type="dxa"/>
          </w:tcPr>
          <w:p w14:paraId="4B03F4BA" w14:textId="77777777" w:rsidR="00B262FA" w:rsidRPr="00EF01DB" w:rsidRDefault="00B262FA" w:rsidP="00B262FA">
            <w:pPr>
              <w:rPr>
                <w:lang w:val="en-US"/>
              </w:rPr>
            </w:pPr>
          </w:p>
        </w:tc>
        <w:tc>
          <w:tcPr>
            <w:tcW w:w="2662" w:type="dxa"/>
            <w:gridSpan w:val="2"/>
          </w:tcPr>
          <w:p w14:paraId="6442B84B" w14:textId="07E4F247" w:rsidR="00B262FA" w:rsidRPr="00EF01DB" w:rsidRDefault="00B262FA" w:rsidP="00B262FA">
            <w:pPr>
              <w:jc w:val="center"/>
              <w:rPr>
                <w:lang w:val="en-US"/>
              </w:rPr>
            </w:pPr>
            <w:r>
              <w:rPr>
                <w:lang w:val="en-US"/>
              </w:rPr>
              <w:t>Unequivalised income</w:t>
            </w:r>
          </w:p>
        </w:tc>
        <w:tc>
          <w:tcPr>
            <w:tcW w:w="2213" w:type="dxa"/>
            <w:gridSpan w:val="2"/>
          </w:tcPr>
          <w:p w14:paraId="4C23C63F" w14:textId="752F44CA" w:rsidR="00B262FA" w:rsidRPr="00EF01DB" w:rsidRDefault="00B262FA" w:rsidP="00B262FA">
            <w:pPr>
              <w:jc w:val="center"/>
              <w:rPr>
                <w:lang w:val="en-US"/>
              </w:rPr>
            </w:pPr>
            <w:r>
              <w:rPr>
                <w:lang w:val="en-US"/>
              </w:rPr>
              <w:t>Equivalised income</w:t>
            </w:r>
          </w:p>
        </w:tc>
        <w:tc>
          <w:tcPr>
            <w:tcW w:w="1415" w:type="dxa"/>
          </w:tcPr>
          <w:p w14:paraId="13792F70" w14:textId="77777777" w:rsidR="00B262FA" w:rsidRPr="00EF01DB" w:rsidRDefault="00B262FA" w:rsidP="00B262FA">
            <w:pPr>
              <w:jc w:val="center"/>
              <w:rPr>
                <w:lang w:val="en-US"/>
              </w:rPr>
            </w:pPr>
          </w:p>
        </w:tc>
      </w:tr>
      <w:tr w:rsidR="00B262FA" w:rsidRPr="00EF01DB" w14:paraId="2D69A9BD" w14:textId="77777777" w:rsidTr="00B262FA">
        <w:tc>
          <w:tcPr>
            <w:tcW w:w="2726" w:type="dxa"/>
          </w:tcPr>
          <w:p w14:paraId="07882929" w14:textId="77777777" w:rsidR="00B262FA" w:rsidRPr="00EF01DB" w:rsidRDefault="00B262FA" w:rsidP="00B262FA">
            <w:pPr>
              <w:rPr>
                <w:lang w:val="en-US"/>
              </w:rPr>
            </w:pPr>
            <w:r w:rsidRPr="00EF01DB">
              <w:rPr>
                <w:lang w:val="en-US"/>
              </w:rPr>
              <w:t>Yes</w:t>
            </w:r>
          </w:p>
        </w:tc>
        <w:tc>
          <w:tcPr>
            <w:tcW w:w="1331" w:type="dxa"/>
          </w:tcPr>
          <w:p w14:paraId="0D9FCA69" w14:textId="55E95FAD" w:rsidR="00B262FA" w:rsidRPr="00EF01DB" w:rsidRDefault="00B262FA" w:rsidP="00B262FA">
            <w:pPr>
              <w:jc w:val="center"/>
              <w:rPr>
                <w:lang w:val="en-US"/>
              </w:rPr>
            </w:pPr>
            <w:r>
              <w:rPr>
                <w:lang w:val="en-US"/>
              </w:rPr>
              <w:t>1</w:t>
            </w:r>
            <w:r w:rsidR="00D27EB9">
              <w:rPr>
                <w:lang w:val="en-US"/>
              </w:rPr>
              <w:t>8.8</w:t>
            </w:r>
          </w:p>
        </w:tc>
        <w:tc>
          <w:tcPr>
            <w:tcW w:w="1331" w:type="dxa"/>
          </w:tcPr>
          <w:p w14:paraId="4624E0AE" w14:textId="642B6E48" w:rsidR="00B262FA" w:rsidRPr="00EF01DB" w:rsidRDefault="00B262FA" w:rsidP="00B262FA">
            <w:pPr>
              <w:jc w:val="center"/>
              <w:rPr>
                <w:lang w:val="en-US"/>
              </w:rPr>
            </w:pPr>
            <w:r>
              <w:rPr>
                <w:lang w:val="en-US"/>
              </w:rPr>
              <w:t>8.</w:t>
            </w:r>
            <w:r w:rsidR="00D27EB9">
              <w:rPr>
                <w:lang w:val="en-US"/>
              </w:rPr>
              <w:t>6</w:t>
            </w:r>
          </w:p>
        </w:tc>
        <w:tc>
          <w:tcPr>
            <w:tcW w:w="1083" w:type="dxa"/>
          </w:tcPr>
          <w:p w14:paraId="54E15958" w14:textId="2EB6EA1E" w:rsidR="00B262FA" w:rsidRPr="00EF01DB" w:rsidRDefault="000779ED" w:rsidP="00B262FA">
            <w:pPr>
              <w:jc w:val="center"/>
              <w:rPr>
                <w:lang w:val="en-US"/>
              </w:rPr>
            </w:pPr>
            <w:r>
              <w:rPr>
                <w:lang w:val="en-US"/>
              </w:rPr>
              <w:t>18.5</w:t>
            </w:r>
          </w:p>
        </w:tc>
        <w:tc>
          <w:tcPr>
            <w:tcW w:w="1130" w:type="dxa"/>
          </w:tcPr>
          <w:p w14:paraId="0C0E160A" w14:textId="5167E0F6" w:rsidR="00B262FA" w:rsidRPr="00EF01DB" w:rsidRDefault="00D27EB9" w:rsidP="00B262FA">
            <w:pPr>
              <w:jc w:val="center"/>
              <w:rPr>
                <w:lang w:val="en-US"/>
              </w:rPr>
            </w:pPr>
            <w:r>
              <w:rPr>
                <w:lang w:val="en-US"/>
              </w:rPr>
              <w:t>8.3</w:t>
            </w:r>
          </w:p>
        </w:tc>
        <w:tc>
          <w:tcPr>
            <w:tcW w:w="1415" w:type="dxa"/>
          </w:tcPr>
          <w:p w14:paraId="0FCC5871" w14:textId="6BAE1503" w:rsidR="00B262FA" w:rsidRPr="00EF01DB" w:rsidRDefault="00D27EB9" w:rsidP="00B262FA">
            <w:pPr>
              <w:jc w:val="center"/>
              <w:rPr>
                <w:lang w:val="en-US"/>
              </w:rPr>
            </w:pPr>
            <w:r>
              <w:rPr>
                <w:lang w:val="en-US"/>
              </w:rPr>
              <w:t>48.1</w:t>
            </w:r>
          </w:p>
        </w:tc>
      </w:tr>
      <w:tr w:rsidR="00B262FA" w:rsidRPr="00EF01DB" w14:paraId="2D7435FE" w14:textId="77777777" w:rsidTr="00B262FA">
        <w:tc>
          <w:tcPr>
            <w:tcW w:w="2726" w:type="dxa"/>
          </w:tcPr>
          <w:p w14:paraId="49A18476" w14:textId="77777777" w:rsidR="00B262FA" w:rsidRPr="00EF01DB" w:rsidRDefault="00B262FA" w:rsidP="00B262FA">
            <w:pPr>
              <w:rPr>
                <w:lang w:val="en-US"/>
              </w:rPr>
            </w:pPr>
            <w:r w:rsidRPr="00EF01DB">
              <w:rPr>
                <w:lang w:val="en-US"/>
              </w:rPr>
              <w:t>No</w:t>
            </w:r>
          </w:p>
        </w:tc>
        <w:tc>
          <w:tcPr>
            <w:tcW w:w="1331" w:type="dxa"/>
          </w:tcPr>
          <w:p w14:paraId="546383AC" w14:textId="543418EA" w:rsidR="00B262FA" w:rsidRPr="00EF01DB" w:rsidRDefault="00D27EB9" w:rsidP="00B262FA">
            <w:pPr>
              <w:jc w:val="center"/>
              <w:rPr>
                <w:lang w:val="en-US"/>
              </w:rPr>
            </w:pPr>
            <w:r>
              <w:rPr>
                <w:lang w:val="en-US"/>
              </w:rPr>
              <w:t>16.5</w:t>
            </w:r>
          </w:p>
        </w:tc>
        <w:tc>
          <w:tcPr>
            <w:tcW w:w="1331" w:type="dxa"/>
          </w:tcPr>
          <w:p w14:paraId="08BF5167" w14:textId="5B230162" w:rsidR="00B262FA" w:rsidRPr="00EF01DB" w:rsidRDefault="00D27EB9" w:rsidP="00B262FA">
            <w:pPr>
              <w:jc w:val="center"/>
              <w:rPr>
                <w:lang w:val="en-US"/>
              </w:rPr>
            </w:pPr>
            <w:r>
              <w:rPr>
                <w:lang w:val="en-US"/>
              </w:rPr>
              <w:t>7.7</w:t>
            </w:r>
          </w:p>
        </w:tc>
        <w:tc>
          <w:tcPr>
            <w:tcW w:w="1083" w:type="dxa"/>
          </w:tcPr>
          <w:p w14:paraId="3F07B56D" w14:textId="3F7C9018" w:rsidR="00B262FA" w:rsidRPr="00EF01DB" w:rsidRDefault="000779ED" w:rsidP="00B262FA">
            <w:pPr>
              <w:jc w:val="center"/>
              <w:rPr>
                <w:lang w:val="en-US"/>
              </w:rPr>
            </w:pPr>
            <w:r>
              <w:rPr>
                <w:lang w:val="en-US"/>
              </w:rPr>
              <w:t>21.8</w:t>
            </w:r>
          </w:p>
        </w:tc>
        <w:tc>
          <w:tcPr>
            <w:tcW w:w="1130" w:type="dxa"/>
          </w:tcPr>
          <w:p w14:paraId="529D0AE5" w14:textId="1AC9A092" w:rsidR="00B262FA" w:rsidRPr="00EF01DB" w:rsidRDefault="004179ED" w:rsidP="00B262FA">
            <w:pPr>
              <w:jc w:val="center"/>
              <w:rPr>
                <w:lang w:val="en-US"/>
              </w:rPr>
            </w:pPr>
            <w:r>
              <w:rPr>
                <w:lang w:val="en-US"/>
              </w:rPr>
              <w:t>8</w:t>
            </w:r>
            <w:r w:rsidR="00B262FA">
              <w:rPr>
                <w:lang w:val="en-US"/>
              </w:rPr>
              <w:t>.</w:t>
            </w:r>
            <w:r w:rsidR="00D27EB9">
              <w:rPr>
                <w:lang w:val="en-US"/>
              </w:rPr>
              <w:t>6</w:t>
            </w:r>
          </w:p>
        </w:tc>
        <w:tc>
          <w:tcPr>
            <w:tcW w:w="1415" w:type="dxa"/>
          </w:tcPr>
          <w:p w14:paraId="2EA28FD2" w14:textId="60F11F7F" w:rsidR="00B262FA" w:rsidRPr="00EF01DB" w:rsidRDefault="00D27EB9" w:rsidP="00B262FA">
            <w:pPr>
              <w:jc w:val="center"/>
              <w:rPr>
                <w:lang w:val="en-US"/>
              </w:rPr>
            </w:pPr>
            <w:r>
              <w:rPr>
                <w:lang w:val="en-US"/>
              </w:rPr>
              <w:t>51.9</w:t>
            </w:r>
          </w:p>
        </w:tc>
      </w:tr>
      <w:tr w:rsidR="00B262FA" w:rsidRPr="00EF01DB" w14:paraId="11816588" w14:textId="77777777" w:rsidTr="00B262FA">
        <w:tc>
          <w:tcPr>
            <w:tcW w:w="2726" w:type="dxa"/>
          </w:tcPr>
          <w:p w14:paraId="5E482EC8" w14:textId="77777777" w:rsidR="00B262FA" w:rsidRPr="00EF01DB" w:rsidRDefault="00B262FA" w:rsidP="00B262FA">
            <w:pPr>
              <w:rPr>
                <w:lang w:val="en-US"/>
              </w:rPr>
            </w:pPr>
            <w:r w:rsidRPr="00EF01DB">
              <w:rPr>
                <w:lang w:val="en-US"/>
              </w:rPr>
              <w:t>Total</w:t>
            </w:r>
          </w:p>
        </w:tc>
        <w:tc>
          <w:tcPr>
            <w:tcW w:w="1331" w:type="dxa"/>
          </w:tcPr>
          <w:p w14:paraId="1237A2E0" w14:textId="36246D68" w:rsidR="00B262FA" w:rsidRPr="00EF01DB" w:rsidRDefault="00D27EB9" w:rsidP="00B262FA">
            <w:pPr>
              <w:jc w:val="center"/>
              <w:rPr>
                <w:lang w:val="en-US"/>
              </w:rPr>
            </w:pPr>
            <w:r>
              <w:rPr>
                <w:lang w:val="en-US"/>
              </w:rPr>
              <w:t>17.7</w:t>
            </w:r>
          </w:p>
        </w:tc>
        <w:tc>
          <w:tcPr>
            <w:tcW w:w="1331" w:type="dxa"/>
          </w:tcPr>
          <w:p w14:paraId="7B701448" w14:textId="0EACD569" w:rsidR="00B262FA" w:rsidRPr="00EF01DB" w:rsidRDefault="00B262FA" w:rsidP="00B262FA">
            <w:pPr>
              <w:jc w:val="center"/>
              <w:rPr>
                <w:lang w:val="en-US"/>
              </w:rPr>
            </w:pPr>
            <w:r>
              <w:rPr>
                <w:lang w:val="en-US"/>
              </w:rPr>
              <w:t>8.9</w:t>
            </w:r>
          </w:p>
        </w:tc>
        <w:tc>
          <w:tcPr>
            <w:tcW w:w="1083" w:type="dxa"/>
          </w:tcPr>
          <w:p w14:paraId="03AA5B7E" w14:textId="4AE968DF" w:rsidR="00B262FA" w:rsidRPr="00EF01DB" w:rsidRDefault="000779ED" w:rsidP="00B262FA">
            <w:pPr>
              <w:jc w:val="center"/>
              <w:rPr>
                <w:lang w:val="en-US"/>
              </w:rPr>
            </w:pPr>
            <w:r>
              <w:rPr>
                <w:lang w:val="en-US"/>
              </w:rPr>
              <w:t>20.2</w:t>
            </w:r>
          </w:p>
        </w:tc>
        <w:tc>
          <w:tcPr>
            <w:tcW w:w="1130" w:type="dxa"/>
          </w:tcPr>
          <w:p w14:paraId="3F867A7A" w14:textId="7DD81CFF" w:rsidR="00B262FA" w:rsidRPr="00EF01DB" w:rsidRDefault="00B262FA" w:rsidP="00B262FA">
            <w:pPr>
              <w:jc w:val="center"/>
              <w:rPr>
                <w:lang w:val="en-US"/>
              </w:rPr>
            </w:pPr>
            <w:r>
              <w:rPr>
                <w:lang w:val="en-US"/>
              </w:rPr>
              <w:t>8.4</w:t>
            </w:r>
          </w:p>
        </w:tc>
        <w:tc>
          <w:tcPr>
            <w:tcW w:w="1415" w:type="dxa"/>
          </w:tcPr>
          <w:p w14:paraId="15C7151B" w14:textId="072CA848" w:rsidR="00B262FA" w:rsidRPr="00EF01DB" w:rsidRDefault="00B262FA" w:rsidP="00B262FA">
            <w:pPr>
              <w:jc w:val="center"/>
              <w:rPr>
                <w:lang w:val="en-US"/>
              </w:rPr>
            </w:pPr>
            <w:r>
              <w:rPr>
                <w:lang w:val="en-US"/>
              </w:rPr>
              <w:t>100</w:t>
            </w:r>
          </w:p>
        </w:tc>
      </w:tr>
    </w:tbl>
    <w:p w14:paraId="2C20D924" w14:textId="77777777" w:rsidR="006034E2" w:rsidRDefault="006034E2" w:rsidP="006835DF"/>
    <w:p w14:paraId="0336FF8A" w14:textId="77777777" w:rsidR="006034E2" w:rsidRPr="009E35B1" w:rsidRDefault="006034E2" w:rsidP="006835DF">
      <w:pPr>
        <w:pStyle w:val="Heading2"/>
        <w:spacing w:line="240" w:lineRule="auto"/>
      </w:pPr>
      <w:r w:rsidRPr="009E35B1">
        <w:t xml:space="preserve">Modelling the probability of water poverty </w:t>
      </w:r>
    </w:p>
    <w:p w14:paraId="6FF61338" w14:textId="23617909" w:rsidR="006034E2" w:rsidRPr="009E35B1" w:rsidRDefault="006034E2" w:rsidP="006835DF">
      <w:r w:rsidRPr="009E35B1">
        <w:t xml:space="preserve">The combined effects of household type, benefit dependency and metering are explored using a logistic regression model to predict the probability of households being in water poverty. The best fitting model parameters are shown in Table </w:t>
      </w:r>
      <w:r w:rsidR="009E35B1">
        <w:t>7</w:t>
      </w:r>
      <w:r w:rsidRPr="009E35B1">
        <w:t>. Predictor variables are all coded (1=Yes; 0=No). Each predictor is significant.</w:t>
      </w:r>
    </w:p>
    <w:p w14:paraId="4E4C2D21" w14:textId="77777777" w:rsidR="006034E2" w:rsidRPr="009E35B1" w:rsidRDefault="006034E2" w:rsidP="006835DF"/>
    <w:p w14:paraId="5B6C170A" w14:textId="107E63CC" w:rsidR="006034E2" w:rsidRPr="009E35B1" w:rsidRDefault="006034E2" w:rsidP="006835DF">
      <w:r w:rsidRPr="009E35B1">
        <w:t xml:space="preserve">The odds ratios show that, all else being equal, households with only one adult have odds of water poverty that are almost four times higher than the odds for larger households; those receiving benefits are </w:t>
      </w:r>
      <w:r w:rsidR="009E35B1">
        <w:t>one and a half</w:t>
      </w:r>
      <w:r w:rsidRPr="009E35B1">
        <w:t xml:space="preserve"> more likely to be water-poor than non-benefit households; and metered households are only </w:t>
      </w:r>
      <w:r w:rsidR="009E35B1">
        <w:t xml:space="preserve">three-quarters </w:t>
      </w:r>
      <w:r w:rsidRPr="009E35B1">
        <w:t xml:space="preserve"> as likely to be water-poor as households charged for water on the basis of rateable values.</w:t>
      </w:r>
    </w:p>
    <w:p w14:paraId="5CBCC27B" w14:textId="77777777" w:rsidR="006034E2" w:rsidRPr="009E35B1" w:rsidRDefault="006034E2" w:rsidP="006835DF">
      <w:pPr>
        <w:pStyle w:val="tabfig"/>
        <w:spacing w:after="0"/>
      </w:pPr>
    </w:p>
    <w:p w14:paraId="4643499F" w14:textId="4777DF3E" w:rsidR="006034E2" w:rsidRPr="009E35B1" w:rsidRDefault="006034E2" w:rsidP="009E35B1">
      <w:pPr>
        <w:pStyle w:val="tabfig"/>
        <w:spacing w:after="0"/>
      </w:pPr>
      <w:bookmarkStart w:id="1" w:name="_Hlk58265298"/>
      <w:r w:rsidRPr="009E35B1">
        <w:t xml:space="preserve">Table </w:t>
      </w:r>
      <w:r w:rsidR="009E35B1">
        <w:t>7</w:t>
      </w:r>
      <w:r w:rsidRPr="009E35B1">
        <w:t>: Logistic regression model to predict water poverty at the 3% threshold (England and Wales 20</w:t>
      </w:r>
      <w:r w:rsidR="009E35B1" w:rsidRPr="009E35B1">
        <w:t>18/19</w:t>
      </w:r>
      <w:r w:rsidRPr="009E35B1">
        <w:t>)</w:t>
      </w:r>
      <w:bookmarkStart w:id="2" w:name="_Hlk58264159"/>
      <w:r w:rsidR="009E35B1">
        <w:t>. Income unequivalized.</w:t>
      </w:r>
    </w:p>
    <w:tbl>
      <w:tblPr>
        <w:tblStyle w:val="TableGrid"/>
        <w:tblW w:w="8103" w:type="dxa"/>
        <w:tblLayout w:type="fixed"/>
        <w:tblLook w:val="0000" w:firstRow="0" w:lastRow="0" w:firstColumn="0" w:lastColumn="0" w:noHBand="0" w:noVBand="0"/>
      </w:tblPr>
      <w:tblGrid>
        <w:gridCol w:w="2613"/>
        <w:gridCol w:w="6"/>
        <w:gridCol w:w="1090"/>
        <w:gridCol w:w="6"/>
        <w:gridCol w:w="1091"/>
        <w:gridCol w:w="6"/>
        <w:gridCol w:w="1091"/>
        <w:gridCol w:w="6"/>
        <w:gridCol w:w="1091"/>
        <w:gridCol w:w="6"/>
        <w:gridCol w:w="1091"/>
        <w:gridCol w:w="6"/>
      </w:tblGrid>
      <w:tr w:rsidR="00EC590A" w:rsidRPr="00EC590A" w14:paraId="25CF5CE7" w14:textId="77777777" w:rsidTr="00E40792">
        <w:trPr>
          <w:gridAfter w:val="1"/>
          <w:wAfter w:w="6" w:type="dxa"/>
        </w:trPr>
        <w:tc>
          <w:tcPr>
            <w:tcW w:w="2613" w:type="dxa"/>
            <w:vMerge w:val="restart"/>
          </w:tcPr>
          <w:p w14:paraId="1015BD79" w14:textId="62896BB4" w:rsidR="00E40792" w:rsidRPr="00EC590A" w:rsidRDefault="00E40792" w:rsidP="00E40792">
            <w:pPr>
              <w:autoSpaceDE w:val="0"/>
              <w:autoSpaceDN w:val="0"/>
              <w:adjustRightInd w:val="0"/>
              <w:rPr>
                <w:lang w:eastAsia="en-GB"/>
              </w:rPr>
            </w:pPr>
            <w:bookmarkStart w:id="3" w:name="_Hlk58397370"/>
            <w:bookmarkEnd w:id="1"/>
            <w:bookmarkEnd w:id="2"/>
          </w:p>
        </w:tc>
        <w:tc>
          <w:tcPr>
            <w:tcW w:w="1096" w:type="dxa"/>
            <w:gridSpan w:val="2"/>
            <w:vMerge w:val="restart"/>
          </w:tcPr>
          <w:p w14:paraId="2D128BB2" w14:textId="77777777" w:rsidR="00E40792" w:rsidRPr="00EC590A" w:rsidRDefault="00E40792" w:rsidP="00E40792">
            <w:pPr>
              <w:autoSpaceDE w:val="0"/>
              <w:autoSpaceDN w:val="0"/>
              <w:adjustRightInd w:val="0"/>
              <w:spacing w:line="320" w:lineRule="atLeast"/>
              <w:ind w:left="60" w:right="60"/>
              <w:jc w:val="center"/>
              <w:rPr>
                <w:sz w:val="18"/>
                <w:szCs w:val="18"/>
                <w:lang w:eastAsia="en-GB"/>
              </w:rPr>
            </w:pPr>
            <w:r w:rsidRPr="00EC590A">
              <w:rPr>
                <w:sz w:val="18"/>
                <w:szCs w:val="18"/>
                <w:lang w:eastAsia="en-GB"/>
              </w:rPr>
              <w:t>B</w:t>
            </w:r>
          </w:p>
        </w:tc>
        <w:tc>
          <w:tcPr>
            <w:tcW w:w="1097" w:type="dxa"/>
            <w:gridSpan w:val="2"/>
            <w:vMerge w:val="restart"/>
          </w:tcPr>
          <w:p w14:paraId="3B86031B" w14:textId="77777777" w:rsidR="00E40792" w:rsidRPr="00EC590A" w:rsidRDefault="00E40792" w:rsidP="00E40792">
            <w:pPr>
              <w:autoSpaceDE w:val="0"/>
              <w:autoSpaceDN w:val="0"/>
              <w:adjustRightInd w:val="0"/>
              <w:spacing w:line="320" w:lineRule="atLeast"/>
              <w:ind w:left="60" w:right="60"/>
              <w:jc w:val="center"/>
              <w:rPr>
                <w:sz w:val="18"/>
                <w:szCs w:val="18"/>
                <w:lang w:eastAsia="en-GB"/>
              </w:rPr>
            </w:pPr>
            <w:r w:rsidRPr="00EC590A">
              <w:rPr>
                <w:sz w:val="18"/>
                <w:szCs w:val="18"/>
                <w:lang w:eastAsia="en-GB"/>
              </w:rPr>
              <w:t>S.E.</w:t>
            </w:r>
          </w:p>
        </w:tc>
        <w:tc>
          <w:tcPr>
            <w:tcW w:w="1097" w:type="dxa"/>
            <w:gridSpan w:val="2"/>
            <w:vMerge w:val="restart"/>
          </w:tcPr>
          <w:p w14:paraId="597AC835" w14:textId="77777777" w:rsidR="00E40792" w:rsidRPr="00EC590A" w:rsidRDefault="00E40792" w:rsidP="00E40792">
            <w:pPr>
              <w:autoSpaceDE w:val="0"/>
              <w:autoSpaceDN w:val="0"/>
              <w:adjustRightInd w:val="0"/>
              <w:spacing w:line="320" w:lineRule="atLeast"/>
              <w:ind w:left="60" w:right="60"/>
              <w:jc w:val="center"/>
              <w:rPr>
                <w:sz w:val="18"/>
                <w:szCs w:val="18"/>
                <w:lang w:eastAsia="en-GB"/>
              </w:rPr>
            </w:pPr>
            <w:r w:rsidRPr="00EC590A">
              <w:rPr>
                <w:sz w:val="18"/>
                <w:szCs w:val="18"/>
                <w:lang w:eastAsia="en-GB"/>
              </w:rPr>
              <w:t>Exp(B)</w:t>
            </w:r>
          </w:p>
        </w:tc>
        <w:tc>
          <w:tcPr>
            <w:tcW w:w="2194" w:type="dxa"/>
            <w:gridSpan w:val="4"/>
          </w:tcPr>
          <w:p w14:paraId="565F6C6C" w14:textId="77777777" w:rsidR="00E40792" w:rsidRPr="00EC590A" w:rsidRDefault="00E40792" w:rsidP="00E40792">
            <w:pPr>
              <w:autoSpaceDE w:val="0"/>
              <w:autoSpaceDN w:val="0"/>
              <w:adjustRightInd w:val="0"/>
              <w:spacing w:line="320" w:lineRule="atLeast"/>
              <w:ind w:left="60" w:right="60"/>
              <w:jc w:val="center"/>
              <w:rPr>
                <w:sz w:val="18"/>
                <w:szCs w:val="18"/>
                <w:lang w:eastAsia="en-GB"/>
              </w:rPr>
            </w:pPr>
            <w:r w:rsidRPr="00EC590A">
              <w:rPr>
                <w:sz w:val="18"/>
                <w:szCs w:val="18"/>
                <w:lang w:eastAsia="en-GB"/>
              </w:rPr>
              <w:t>95% C.I.for EXP(B)</w:t>
            </w:r>
          </w:p>
        </w:tc>
      </w:tr>
      <w:tr w:rsidR="00EC590A" w:rsidRPr="00EC590A" w14:paraId="25D7FBCD" w14:textId="77777777" w:rsidTr="00E40792">
        <w:trPr>
          <w:gridAfter w:val="1"/>
          <w:wAfter w:w="6" w:type="dxa"/>
        </w:trPr>
        <w:tc>
          <w:tcPr>
            <w:tcW w:w="2613" w:type="dxa"/>
            <w:vMerge/>
          </w:tcPr>
          <w:p w14:paraId="1F2BD273" w14:textId="600C2302" w:rsidR="00E40792" w:rsidRPr="00EC590A" w:rsidRDefault="00E40792" w:rsidP="00E40792">
            <w:pPr>
              <w:autoSpaceDE w:val="0"/>
              <w:autoSpaceDN w:val="0"/>
              <w:adjustRightInd w:val="0"/>
              <w:rPr>
                <w:sz w:val="18"/>
                <w:szCs w:val="18"/>
                <w:lang w:eastAsia="en-GB"/>
              </w:rPr>
            </w:pPr>
          </w:p>
        </w:tc>
        <w:tc>
          <w:tcPr>
            <w:tcW w:w="1096" w:type="dxa"/>
            <w:gridSpan w:val="2"/>
            <w:vMerge/>
          </w:tcPr>
          <w:p w14:paraId="6F355905" w14:textId="77777777" w:rsidR="00E40792" w:rsidRPr="00EC590A" w:rsidRDefault="00E40792" w:rsidP="00E40792">
            <w:pPr>
              <w:autoSpaceDE w:val="0"/>
              <w:autoSpaceDN w:val="0"/>
              <w:adjustRightInd w:val="0"/>
              <w:rPr>
                <w:sz w:val="18"/>
                <w:szCs w:val="18"/>
                <w:lang w:eastAsia="en-GB"/>
              </w:rPr>
            </w:pPr>
          </w:p>
        </w:tc>
        <w:tc>
          <w:tcPr>
            <w:tcW w:w="1097" w:type="dxa"/>
            <w:gridSpan w:val="2"/>
            <w:vMerge/>
          </w:tcPr>
          <w:p w14:paraId="6CA50D73" w14:textId="77777777" w:rsidR="00E40792" w:rsidRPr="00EC590A" w:rsidRDefault="00E40792" w:rsidP="00E40792">
            <w:pPr>
              <w:autoSpaceDE w:val="0"/>
              <w:autoSpaceDN w:val="0"/>
              <w:adjustRightInd w:val="0"/>
              <w:rPr>
                <w:sz w:val="18"/>
                <w:szCs w:val="18"/>
                <w:lang w:eastAsia="en-GB"/>
              </w:rPr>
            </w:pPr>
          </w:p>
        </w:tc>
        <w:tc>
          <w:tcPr>
            <w:tcW w:w="1097" w:type="dxa"/>
            <w:gridSpan w:val="2"/>
            <w:vMerge/>
          </w:tcPr>
          <w:p w14:paraId="31198CCF" w14:textId="77777777" w:rsidR="00E40792" w:rsidRPr="00EC590A" w:rsidRDefault="00E40792" w:rsidP="00E40792">
            <w:pPr>
              <w:autoSpaceDE w:val="0"/>
              <w:autoSpaceDN w:val="0"/>
              <w:adjustRightInd w:val="0"/>
              <w:rPr>
                <w:sz w:val="18"/>
                <w:szCs w:val="18"/>
                <w:lang w:eastAsia="en-GB"/>
              </w:rPr>
            </w:pPr>
          </w:p>
        </w:tc>
        <w:tc>
          <w:tcPr>
            <w:tcW w:w="1097" w:type="dxa"/>
            <w:gridSpan w:val="2"/>
          </w:tcPr>
          <w:p w14:paraId="3C3BB006" w14:textId="77777777" w:rsidR="00E40792" w:rsidRPr="00EC590A" w:rsidRDefault="00E40792" w:rsidP="00E40792">
            <w:pPr>
              <w:autoSpaceDE w:val="0"/>
              <w:autoSpaceDN w:val="0"/>
              <w:adjustRightInd w:val="0"/>
              <w:spacing w:line="320" w:lineRule="atLeast"/>
              <w:ind w:left="60" w:right="60"/>
              <w:jc w:val="center"/>
              <w:rPr>
                <w:sz w:val="18"/>
                <w:szCs w:val="18"/>
                <w:lang w:eastAsia="en-GB"/>
              </w:rPr>
            </w:pPr>
            <w:r w:rsidRPr="00EC590A">
              <w:rPr>
                <w:sz w:val="18"/>
                <w:szCs w:val="18"/>
                <w:lang w:eastAsia="en-GB"/>
              </w:rPr>
              <w:t>Lower</w:t>
            </w:r>
          </w:p>
        </w:tc>
        <w:tc>
          <w:tcPr>
            <w:tcW w:w="1097" w:type="dxa"/>
            <w:gridSpan w:val="2"/>
          </w:tcPr>
          <w:p w14:paraId="58DCB350" w14:textId="77777777" w:rsidR="00E40792" w:rsidRPr="00EC590A" w:rsidRDefault="00E40792" w:rsidP="00E40792">
            <w:pPr>
              <w:autoSpaceDE w:val="0"/>
              <w:autoSpaceDN w:val="0"/>
              <w:adjustRightInd w:val="0"/>
              <w:spacing w:line="320" w:lineRule="atLeast"/>
              <w:ind w:left="60" w:right="60"/>
              <w:jc w:val="center"/>
              <w:rPr>
                <w:sz w:val="18"/>
                <w:szCs w:val="18"/>
                <w:lang w:eastAsia="en-GB"/>
              </w:rPr>
            </w:pPr>
            <w:r w:rsidRPr="00EC590A">
              <w:rPr>
                <w:sz w:val="18"/>
                <w:szCs w:val="18"/>
                <w:lang w:eastAsia="en-GB"/>
              </w:rPr>
              <w:t>Upper</w:t>
            </w:r>
          </w:p>
        </w:tc>
      </w:tr>
      <w:tr w:rsidR="00EC590A" w:rsidRPr="00EC590A" w14:paraId="17FCC0B3" w14:textId="77777777" w:rsidTr="00E40792">
        <w:tc>
          <w:tcPr>
            <w:tcW w:w="2619" w:type="dxa"/>
            <w:gridSpan w:val="2"/>
          </w:tcPr>
          <w:p w14:paraId="5D3D5C9E" w14:textId="56B47293" w:rsidR="00E40792" w:rsidRPr="00EC590A" w:rsidRDefault="00E40792" w:rsidP="00E40792">
            <w:pPr>
              <w:autoSpaceDE w:val="0"/>
              <w:autoSpaceDN w:val="0"/>
              <w:adjustRightInd w:val="0"/>
              <w:spacing w:line="320" w:lineRule="atLeast"/>
              <w:ind w:left="60" w:right="60"/>
              <w:rPr>
                <w:sz w:val="18"/>
                <w:szCs w:val="18"/>
                <w:lang w:eastAsia="en-GB"/>
              </w:rPr>
            </w:pPr>
            <w:r w:rsidRPr="00EC590A">
              <w:rPr>
                <w:sz w:val="18"/>
                <w:szCs w:val="18"/>
                <w:lang w:eastAsia="en-GB"/>
              </w:rPr>
              <w:t>One adult in household</w:t>
            </w:r>
          </w:p>
        </w:tc>
        <w:tc>
          <w:tcPr>
            <w:tcW w:w="1096" w:type="dxa"/>
            <w:gridSpan w:val="2"/>
          </w:tcPr>
          <w:p w14:paraId="16170A05" w14:textId="77777777" w:rsidR="00E40792" w:rsidRPr="00EC590A" w:rsidRDefault="00E40792" w:rsidP="00E40792">
            <w:pPr>
              <w:autoSpaceDE w:val="0"/>
              <w:autoSpaceDN w:val="0"/>
              <w:adjustRightInd w:val="0"/>
              <w:spacing w:line="320" w:lineRule="atLeast"/>
              <w:ind w:left="60" w:right="60"/>
              <w:jc w:val="right"/>
              <w:rPr>
                <w:sz w:val="18"/>
                <w:szCs w:val="18"/>
                <w:lang w:eastAsia="en-GB"/>
              </w:rPr>
            </w:pPr>
            <w:r w:rsidRPr="00EC590A">
              <w:rPr>
                <w:sz w:val="18"/>
                <w:szCs w:val="18"/>
                <w:lang w:eastAsia="en-GB"/>
              </w:rPr>
              <w:t>1.368</w:t>
            </w:r>
          </w:p>
        </w:tc>
        <w:tc>
          <w:tcPr>
            <w:tcW w:w="1097" w:type="dxa"/>
            <w:gridSpan w:val="2"/>
          </w:tcPr>
          <w:p w14:paraId="0CE81585" w14:textId="77777777" w:rsidR="00E40792" w:rsidRPr="00EC590A" w:rsidRDefault="00E40792" w:rsidP="00E40792">
            <w:pPr>
              <w:autoSpaceDE w:val="0"/>
              <w:autoSpaceDN w:val="0"/>
              <w:adjustRightInd w:val="0"/>
              <w:spacing w:line="320" w:lineRule="atLeast"/>
              <w:ind w:left="60" w:right="60"/>
              <w:jc w:val="right"/>
              <w:rPr>
                <w:sz w:val="18"/>
                <w:szCs w:val="18"/>
                <w:lang w:eastAsia="en-GB"/>
              </w:rPr>
            </w:pPr>
            <w:r w:rsidRPr="00EC590A">
              <w:rPr>
                <w:sz w:val="18"/>
                <w:szCs w:val="18"/>
                <w:lang w:eastAsia="en-GB"/>
              </w:rPr>
              <w:t>.001</w:t>
            </w:r>
          </w:p>
        </w:tc>
        <w:tc>
          <w:tcPr>
            <w:tcW w:w="1097" w:type="dxa"/>
            <w:gridSpan w:val="2"/>
          </w:tcPr>
          <w:p w14:paraId="7521641B" w14:textId="77777777" w:rsidR="00E40792" w:rsidRPr="00EC590A" w:rsidRDefault="00E40792" w:rsidP="00E40792">
            <w:pPr>
              <w:autoSpaceDE w:val="0"/>
              <w:autoSpaceDN w:val="0"/>
              <w:adjustRightInd w:val="0"/>
              <w:spacing w:line="320" w:lineRule="atLeast"/>
              <w:ind w:left="60" w:right="60"/>
              <w:jc w:val="right"/>
              <w:rPr>
                <w:sz w:val="18"/>
                <w:szCs w:val="18"/>
                <w:lang w:eastAsia="en-GB"/>
              </w:rPr>
            </w:pPr>
            <w:r w:rsidRPr="00EC590A">
              <w:rPr>
                <w:sz w:val="18"/>
                <w:szCs w:val="18"/>
                <w:lang w:eastAsia="en-GB"/>
              </w:rPr>
              <w:t>3.928</w:t>
            </w:r>
          </w:p>
        </w:tc>
        <w:tc>
          <w:tcPr>
            <w:tcW w:w="1097" w:type="dxa"/>
            <w:gridSpan w:val="2"/>
          </w:tcPr>
          <w:p w14:paraId="1D0A6808" w14:textId="77777777" w:rsidR="00E40792" w:rsidRPr="00EC590A" w:rsidRDefault="00E40792" w:rsidP="00E40792">
            <w:pPr>
              <w:autoSpaceDE w:val="0"/>
              <w:autoSpaceDN w:val="0"/>
              <w:adjustRightInd w:val="0"/>
              <w:spacing w:line="320" w:lineRule="atLeast"/>
              <w:ind w:left="60" w:right="60"/>
              <w:jc w:val="right"/>
              <w:rPr>
                <w:sz w:val="18"/>
                <w:szCs w:val="18"/>
                <w:lang w:eastAsia="en-GB"/>
              </w:rPr>
            </w:pPr>
            <w:r w:rsidRPr="00EC590A">
              <w:rPr>
                <w:sz w:val="18"/>
                <w:szCs w:val="18"/>
                <w:lang w:eastAsia="en-GB"/>
              </w:rPr>
              <w:t>3.918</w:t>
            </w:r>
          </w:p>
        </w:tc>
        <w:tc>
          <w:tcPr>
            <w:tcW w:w="1097" w:type="dxa"/>
            <w:gridSpan w:val="2"/>
          </w:tcPr>
          <w:p w14:paraId="3345CE01" w14:textId="77777777" w:rsidR="00E40792" w:rsidRPr="00EC590A" w:rsidRDefault="00E40792" w:rsidP="00E40792">
            <w:pPr>
              <w:autoSpaceDE w:val="0"/>
              <w:autoSpaceDN w:val="0"/>
              <w:adjustRightInd w:val="0"/>
              <w:spacing w:line="320" w:lineRule="atLeast"/>
              <w:ind w:left="60" w:right="60"/>
              <w:jc w:val="right"/>
              <w:rPr>
                <w:sz w:val="18"/>
                <w:szCs w:val="18"/>
                <w:lang w:eastAsia="en-GB"/>
              </w:rPr>
            </w:pPr>
            <w:r w:rsidRPr="00EC590A">
              <w:rPr>
                <w:sz w:val="18"/>
                <w:szCs w:val="18"/>
                <w:lang w:eastAsia="en-GB"/>
              </w:rPr>
              <w:t>3.938</w:t>
            </w:r>
          </w:p>
        </w:tc>
      </w:tr>
      <w:tr w:rsidR="00EC590A" w:rsidRPr="00EC590A" w14:paraId="794A7ACF" w14:textId="77777777" w:rsidTr="00E40792">
        <w:tc>
          <w:tcPr>
            <w:tcW w:w="2619" w:type="dxa"/>
            <w:gridSpan w:val="2"/>
          </w:tcPr>
          <w:p w14:paraId="09586916" w14:textId="7302F5BB" w:rsidR="00E40792" w:rsidRPr="00EC590A" w:rsidRDefault="00E40792" w:rsidP="00E40792">
            <w:pPr>
              <w:autoSpaceDE w:val="0"/>
              <w:autoSpaceDN w:val="0"/>
              <w:adjustRightInd w:val="0"/>
              <w:spacing w:line="320" w:lineRule="atLeast"/>
              <w:ind w:left="60" w:right="60"/>
              <w:rPr>
                <w:sz w:val="18"/>
                <w:szCs w:val="18"/>
                <w:lang w:eastAsia="en-GB"/>
              </w:rPr>
            </w:pPr>
            <w:r w:rsidRPr="00EC590A">
              <w:rPr>
                <w:sz w:val="18"/>
                <w:szCs w:val="18"/>
                <w:lang w:val="en-GB" w:eastAsia="en-GB"/>
              </w:rPr>
              <w:t>Income related benefit receipt</w:t>
            </w:r>
          </w:p>
        </w:tc>
        <w:tc>
          <w:tcPr>
            <w:tcW w:w="1096" w:type="dxa"/>
            <w:gridSpan w:val="2"/>
          </w:tcPr>
          <w:p w14:paraId="1FC4206D" w14:textId="77777777" w:rsidR="00E40792" w:rsidRPr="00EC590A" w:rsidRDefault="00E40792" w:rsidP="00E40792">
            <w:pPr>
              <w:autoSpaceDE w:val="0"/>
              <w:autoSpaceDN w:val="0"/>
              <w:adjustRightInd w:val="0"/>
              <w:spacing w:line="320" w:lineRule="atLeast"/>
              <w:ind w:left="60" w:right="60"/>
              <w:jc w:val="right"/>
              <w:rPr>
                <w:sz w:val="18"/>
                <w:szCs w:val="18"/>
                <w:lang w:eastAsia="en-GB"/>
              </w:rPr>
            </w:pPr>
            <w:r w:rsidRPr="00EC590A">
              <w:rPr>
                <w:sz w:val="18"/>
                <w:szCs w:val="18"/>
                <w:lang w:eastAsia="en-GB"/>
              </w:rPr>
              <w:t>.520</w:t>
            </w:r>
          </w:p>
        </w:tc>
        <w:tc>
          <w:tcPr>
            <w:tcW w:w="1097" w:type="dxa"/>
            <w:gridSpan w:val="2"/>
          </w:tcPr>
          <w:p w14:paraId="421CA840" w14:textId="77777777" w:rsidR="00E40792" w:rsidRPr="00EC590A" w:rsidRDefault="00E40792" w:rsidP="00E40792">
            <w:pPr>
              <w:autoSpaceDE w:val="0"/>
              <w:autoSpaceDN w:val="0"/>
              <w:adjustRightInd w:val="0"/>
              <w:spacing w:line="320" w:lineRule="atLeast"/>
              <w:ind w:left="60" w:right="60"/>
              <w:jc w:val="right"/>
              <w:rPr>
                <w:sz w:val="18"/>
                <w:szCs w:val="18"/>
                <w:lang w:eastAsia="en-GB"/>
              </w:rPr>
            </w:pPr>
            <w:r w:rsidRPr="00EC590A">
              <w:rPr>
                <w:sz w:val="18"/>
                <w:szCs w:val="18"/>
                <w:lang w:eastAsia="en-GB"/>
              </w:rPr>
              <w:t>.001</w:t>
            </w:r>
          </w:p>
        </w:tc>
        <w:tc>
          <w:tcPr>
            <w:tcW w:w="1097" w:type="dxa"/>
            <w:gridSpan w:val="2"/>
          </w:tcPr>
          <w:p w14:paraId="4CB7BB26" w14:textId="77777777" w:rsidR="00E40792" w:rsidRPr="00EC590A" w:rsidRDefault="00E40792" w:rsidP="00E40792">
            <w:pPr>
              <w:autoSpaceDE w:val="0"/>
              <w:autoSpaceDN w:val="0"/>
              <w:adjustRightInd w:val="0"/>
              <w:spacing w:line="320" w:lineRule="atLeast"/>
              <w:ind w:left="60" w:right="60"/>
              <w:jc w:val="right"/>
              <w:rPr>
                <w:sz w:val="18"/>
                <w:szCs w:val="18"/>
                <w:lang w:eastAsia="en-GB"/>
              </w:rPr>
            </w:pPr>
            <w:r w:rsidRPr="00EC590A">
              <w:rPr>
                <w:sz w:val="18"/>
                <w:szCs w:val="18"/>
                <w:lang w:eastAsia="en-GB"/>
              </w:rPr>
              <w:t>1.682</w:t>
            </w:r>
          </w:p>
        </w:tc>
        <w:tc>
          <w:tcPr>
            <w:tcW w:w="1097" w:type="dxa"/>
            <w:gridSpan w:val="2"/>
          </w:tcPr>
          <w:p w14:paraId="3F938FA0" w14:textId="77777777" w:rsidR="00E40792" w:rsidRPr="00EC590A" w:rsidRDefault="00E40792" w:rsidP="00E40792">
            <w:pPr>
              <w:autoSpaceDE w:val="0"/>
              <w:autoSpaceDN w:val="0"/>
              <w:adjustRightInd w:val="0"/>
              <w:spacing w:line="320" w:lineRule="atLeast"/>
              <w:ind w:left="60" w:right="60"/>
              <w:jc w:val="right"/>
              <w:rPr>
                <w:sz w:val="18"/>
                <w:szCs w:val="18"/>
                <w:lang w:eastAsia="en-GB"/>
              </w:rPr>
            </w:pPr>
            <w:r w:rsidRPr="00EC590A">
              <w:rPr>
                <w:sz w:val="18"/>
                <w:szCs w:val="18"/>
                <w:lang w:eastAsia="en-GB"/>
              </w:rPr>
              <w:t>1.678</w:t>
            </w:r>
          </w:p>
        </w:tc>
        <w:tc>
          <w:tcPr>
            <w:tcW w:w="1097" w:type="dxa"/>
            <w:gridSpan w:val="2"/>
          </w:tcPr>
          <w:p w14:paraId="1AF9B968" w14:textId="77777777" w:rsidR="00E40792" w:rsidRPr="00EC590A" w:rsidRDefault="00E40792" w:rsidP="00E40792">
            <w:pPr>
              <w:autoSpaceDE w:val="0"/>
              <w:autoSpaceDN w:val="0"/>
              <w:adjustRightInd w:val="0"/>
              <w:spacing w:line="320" w:lineRule="atLeast"/>
              <w:ind w:left="60" w:right="60"/>
              <w:jc w:val="right"/>
              <w:rPr>
                <w:sz w:val="18"/>
                <w:szCs w:val="18"/>
                <w:lang w:eastAsia="en-GB"/>
              </w:rPr>
            </w:pPr>
            <w:r w:rsidRPr="00EC590A">
              <w:rPr>
                <w:sz w:val="18"/>
                <w:szCs w:val="18"/>
                <w:lang w:eastAsia="en-GB"/>
              </w:rPr>
              <w:t>1.687</w:t>
            </w:r>
          </w:p>
        </w:tc>
      </w:tr>
      <w:tr w:rsidR="00EC590A" w:rsidRPr="00EC590A" w14:paraId="246F503C" w14:textId="77777777" w:rsidTr="00E40792">
        <w:tc>
          <w:tcPr>
            <w:tcW w:w="2619" w:type="dxa"/>
            <w:gridSpan w:val="2"/>
          </w:tcPr>
          <w:p w14:paraId="3D1F61B9" w14:textId="3358299A" w:rsidR="00E40792" w:rsidRPr="00EC590A" w:rsidRDefault="00E40792" w:rsidP="00E40792">
            <w:pPr>
              <w:autoSpaceDE w:val="0"/>
              <w:autoSpaceDN w:val="0"/>
              <w:adjustRightInd w:val="0"/>
              <w:spacing w:line="320" w:lineRule="atLeast"/>
              <w:ind w:left="60" w:right="60"/>
              <w:rPr>
                <w:sz w:val="18"/>
                <w:szCs w:val="18"/>
                <w:lang w:eastAsia="en-GB"/>
              </w:rPr>
            </w:pPr>
            <w:r w:rsidRPr="00EC590A">
              <w:rPr>
                <w:sz w:val="18"/>
                <w:szCs w:val="18"/>
                <w:lang w:val="en-GB" w:eastAsia="en-GB"/>
              </w:rPr>
              <w:t>water</w:t>
            </w:r>
          </w:p>
        </w:tc>
        <w:tc>
          <w:tcPr>
            <w:tcW w:w="1096" w:type="dxa"/>
            <w:gridSpan w:val="2"/>
          </w:tcPr>
          <w:p w14:paraId="77F4D98F" w14:textId="77777777" w:rsidR="00E40792" w:rsidRPr="00EC590A" w:rsidRDefault="00E40792" w:rsidP="00E40792">
            <w:pPr>
              <w:autoSpaceDE w:val="0"/>
              <w:autoSpaceDN w:val="0"/>
              <w:adjustRightInd w:val="0"/>
              <w:spacing w:line="320" w:lineRule="atLeast"/>
              <w:ind w:left="60" w:right="60"/>
              <w:jc w:val="right"/>
              <w:rPr>
                <w:sz w:val="18"/>
                <w:szCs w:val="18"/>
                <w:lang w:eastAsia="en-GB"/>
              </w:rPr>
            </w:pPr>
            <w:r w:rsidRPr="00EC590A">
              <w:rPr>
                <w:sz w:val="18"/>
                <w:szCs w:val="18"/>
                <w:lang w:eastAsia="en-GB"/>
              </w:rPr>
              <w:t>-.335</w:t>
            </w:r>
          </w:p>
        </w:tc>
        <w:tc>
          <w:tcPr>
            <w:tcW w:w="1097" w:type="dxa"/>
            <w:gridSpan w:val="2"/>
          </w:tcPr>
          <w:p w14:paraId="074B3D9C" w14:textId="77777777" w:rsidR="00E40792" w:rsidRPr="00EC590A" w:rsidRDefault="00E40792" w:rsidP="00E40792">
            <w:pPr>
              <w:autoSpaceDE w:val="0"/>
              <w:autoSpaceDN w:val="0"/>
              <w:adjustRightInd w:val="0"/>
              <w:spacing w:line="320" w:lineRule="atLeast"/>
              <w:ind w:left="60" w:right="60"/>
              <w:jc w:val="right"/>
              <w:rPr>
                <w:sz w:val="18"/>
                <w:szCs w:val="18"/>
                <w:lang w:eastAsia="en-GB"/>
              </w:rPr>
            </w:pPr>
            <w:r w:rsidRPr="00EC590A">
              <w:rPr>
                <w:sz w:val="18"/>
                <w:szCs w:val="18"/>
                <w:lang w:eastAsia="en-GB"/>
              </w:rPr>
              <w:t>.001</w:t>
            </w:r>
          </w:p>
        </w:tc>
        <w:tc>
          <w:tcPr>
            <w:tcW w:w="1097" w:type="dxa"/>
            <w:gridSpan w:val="2"/>
          </w:tcPr>
          <w:p w14:paraId="15F8E170" w14:textId="77777777" w:rsidR="00E40792" w:rsidRPr="00EC590A" w:rsidRDefault="00E40792" w:rsidP="00E40792">
            <w:pPr>
              <w:autoSpaceDE w:val="0"/>
              <w:autoSpaceDN w:val="0"/>
              <w:adjustRightInd w:val="0"/>
              <w:spacing w:line="320" w:lineRule="atLeast"/>
              <w:ind w:left="60" w:right="60"/>
              <w:jc w:val="right"/>
              <w:rPr>
                <w:sz w:val="18"/>
                <w:szCs w:val="18"/>
                <w:lang w:eastAsia="en-GB"/>
              </w:rPr>
            </w:pPr>
            <w:r w:rsidRPr="00EC590A">
              <w:rPr>
                <w:sz w:val="18"/>
                <w:szCs w:val="18"/>
                <w:lang w:eastAsia="en-GB"/>
              </w:rPr>
              <w:t>.715</w:t>
            </w:r>
          </w:p>
        </w:tc>
        <w:tc>
          <w:tcPr>
            <w:tcW w:w="1097" w:type="dxa"/>
            <w:gridSpan w:val="2"/>
          </w:tcPr>
          <w:p w14:paraId="07ED448E" w14:textId="77777777" w:rsidR="00E40792" w:rsidRPr="00EC590A" w:rsidRDefault="00E40792" w:rsidP="00E40792">
            <w:pPr>
              <w:autoSpaceDE w:val="0"/>
              <w:autoSpaceDN w:val="0"/>
              <w:adjustRightInd w:val="0"/>
              <w:spacing w:line="320" w:lineRule="atLeast"/>
              <w:ind w:left="60" w:right="60"/>
              <w:jc w:val="right"/>
              <w:rPr>
                <w:sz w:val="18"/>
                <w:szCs w:val="18"/>
                <w:lang w:eastAsia="en-GB"/>
              </w:rPr>
            </w:pPr>
            <w:r w:rsidRPr="00EC590A">
              <w:rPr>
                <w:sz w:val="18"/>
                <w:szCs w:val="18"/>
                <w:lang w:eastAsia="en-GB"/>
              </w:rPr>
              <w:t>.714</w:t>
            </w:r>
          </w:p>
        </w:tc>
        <w:tc>
          <w:tcPr>
            <w:tcW w:w="1097" w:type="dxa"/>
            <w:gridSpan w:val="2"/>
          </w:tcPr>
          <w:p w14:paraId="346BBE46" w14:textId="77777777" w:rsidR="00E40792" w:rsidRPr="00EC590A" w:rsidRDefault="00E40792" w:rsidP="00E40792">
            <w:pPr>
              <w:autoSpaceDE w:val="0"/>
              <w:autoSpaceDN w:val="0"/>
              <w:adjustRightInd w:val="0"/>
              <w:spacing w:line="320" w:lineRule="atLeast"/>
              <w:ind w:left="60" w:right="60"/>
              <w:jc w:val="right"/>
              <w:rPr>
                <w:sz w:val="18"/>
                <w:szCs w:val="18"/>
                <w:lang w:eastAsia="en-GB"/>
              </w:rPr>
            </w:pPr>
            <w:r w:rsidRPr="00EC590A">
              <w:rPr>
                <w:sz w:val="18"/>
                <w:szCs w:val="18"/>
                <w:lang w:eastAsia="en-GB"/>
              </w:rPr>
              <w:t>.717</w:t>
            </w:r>
          </w:p>
        </w:tc>
      </w:tr>
      <w:tr w:rsidR="00EC590A" w:rsidRPr="00EC590A" w14:paraId="0E8D1AED" w14:textId="77777777" w:rsidTr="00E40792">
        <w:tc>
          <w:tcPr>
            <w:tcW w:w="2619" w:type="dxa"/>
            <w:gridSpan w:val="2"/>
          </w:tcPr>
          <w:p w14:paraId="24BFC014" w14:textId="77777777" w:rsidR="00E40792" w:rsidRPr="00EC590A" w:rsidRDefault="00E40792" w:rsidP="00E40792">
            <w:pPr>
              <w:autoSpaceDE w:val="0"/>
              <w:autoSpaceDN w:val="0"/>
              <w:adjustRightInd w:val="0"/>
              <w:spacing w:line="320" w:lineRule="atLeast"/>
              <w:ind w:left="60" w:right="60"/>
              <w:rPr>
                <w:sz w:val="18"/>
                <w:szCs w:val="18"/>
                <w:lang w:eastAsia="en-GB"/>
              </w:rPr>
            </w:pPr>
            <w:r w:rsidRPr="00EC590A">
              <w:rPr>
                <w:sz w:val="18"/>
                <w:szCs w:val="18"/>
                <w:lang w:eastAsia="en-GB"/>
              </w:rPr>
              <w:t>Constant</w:t>
            </w:r>
          </w:p>
        </w:tc>
        <w:tc>
          <w:tcPr>
            <w:tcW w:w="1096" w:type="dxa"/>
            <w:gridSpan w:val="2"/>
          </w:tcPr>
          <w:p w14:paraId="6B3872AA" w14:textId="77777777" w:rsidR="00E40792" w:rsidRPr="00EC590A" w:rsidRDefault="00E40792" w:rsidP="00E40792">
            <w:pPr>
              <w:autoSpaceDE w:val="0"/>
              <w:autoSpaceDN w:val="0"/>
              <w:adjustRightInd w:val="0"/>
              <w:spacing w:line="320" w:lineRule="atLeast"/>
              <w:ind w:left="60" w:right="60"/>
              <w:jc w:val="right"/>
              <w:rPr>
                <w:sz w:val="18"/>
                <w:szCs w:val="18"/>
                <w:lang w:eastAsia="en-GB"/>
              </w:rPr>
            </w:pPr>
            <w:r w:rsidRPr="00EC590A">
              <w:rPr>
                <w:sz w:val="18"/>
                <w:szCs w:val="18"/>
                <w:lang w:eastAsia="en-GB"/>
              </w:rPr>
              <w:t>-1.857</w:t>
            </w:r>
          </w:p>
        </w:tc>
        <w:tc>
          <w:tcPr>
            <w:tcW w:w="1097" w:type="dxa"/>
            <w:gridSpan w:val="2"/>
          </w:tcPr>
          <w:p w14:paraId="6F93D4D2" w14:textId="77777777" w:rsidR="00E40792" w:rsidRPr="00EC590A" w:rsidRDefault="00E40792" w:rsidP="00E40792">
            <w:pPr>
              <w:autoSpaceDE w:val="0"/>
              <w:autoSpaceDN w:val="0"/>
              <w:adjustRightInd w:val="0"/>
              <w:spacing w:line="320" w:lineRule="atLeast"/>
              <w:ind w:left="60" w:right="60"/>
              <w:jc w:val="right"/>
              <w:rPr>
                <w:sz w:val="18"/>
                <w:szCs w:val="18"/>
                <w:lang w:eastAsia="en-GB"/>
              </w:rPr>
            </w:pPr>
            <w:r w:rsidRPr="00EC590A">
              <w:rPr>
                <w:sz w:val="18"/>
                <w:szCs w:val="18"/>
                <w:lang w:eastAsia="en-GB"/>
              </w:rPr>
              <w:t>.001</w:t>
            </w:r>
          </w:p>
        </w:tc>
        <w:tc>
          <w:tcPr>
            <w:tcW w:w="1097" w:type="dxa"/>
            <w:gridSpan w:val="2"/>
          </w:tcPr>
          <w:p w14:paraId="79322E16" w14:textId="77777777" w:rsidR="00E40792" w:rsidRPr="00EC590A" w:rsidRDefault="00E40792" w:rsidP="00E40792">
            <w:pPr>
              <w:autoSpaceDE w:val="0"/>
              <w:autoSpaceDN w:val="0"/>
              <w:adjustRightInd w:val="0"/>
              <w:spacing w:line="320" w:lineRule="atLeast"/>
              <w:ind w:left="60" w:right="60"/>
              <w:jc w:val="right"/>
              <w:rPr>
                <w:sz w:val="18"/>
                <w:szCs w:val="18"/>
                <w:lang w:eastAsia="en-GB"/>
              </w:rPr>
            </w:pPr>
            <w:r w:rsidRPr="00EC590A">
              <w:rPr>
                <w:sz w:val="18"/>
                <w:szCs w:val="18"/>
                <w:lang w:eastAsia="en-GB"/>
              </w:rPr>
              <w:t>.156</w:t>
            </w:r>
          </w:p>
        </w:tc>
        <w:tc>
          <w:tcPr>
            <w:tcW w:w="1097" w:type="dxa"/>
            <w:gridSpan w:val="2"/>
          </w:tcPr>
          <w:p w14:paraId="151F0438" w14:textId="77777777" w:rsidR="00E40792" w:rsidRPr="00EC590A" w:rsidRDefault="00E40792" w:rsidP="00E40792">
            <w:pPr>
              <w:autoSpaceDE w:val="0"/>
              <w:autoSpaceDN w:val="0"/>
              <w:adjustRightInd w:val="0"/>
              <w:rPr>
                <w:lang w:eastAsia="en-GB"/>
              </w:rPr>
            </w:pPr>
          </w:p>
        </w:tc>
        <w:tc>
          <w:tcPr>
            <w:tcW w:w="1097" w:type="dxa"/>
            <w:gridSpan w:val="2"/>
          </w:tcPr>
          <w:p w14:paraId="61F1A67E" w14:textId="77777777" w:rsidR="00E40792" w:rsidRPr="00EC590A" w:rsidRDefault="00E40792" w:rsidP="00E40792">
            <w:pPr>
              <w:autoSpaceDE w:val="0"/>
              <w:autoSpaceDN w:val="0"/>
              <w:adjustRightInd w:val="0"/>
              <w:rPr>
                <w:lang w:eastAsia="en-GB"/>
              </w:rPr>
            </w:pPr>
          </w:p>
        </w:tc>
      </w:tr>
    </w:tbl>
    <w:p w14:paraId="6E24644F" w14:textId="0F289B67" w:rsidR="009E35B1" w:rsidRPr="009E35B1" w:rsidRDefault="009E35B1" w:rsidP="009E35B1">
      <w:bookmarkStart w:id="4" w:name="_Hlk58265184"/>
      <w:bookmarkEnd w:id="3"/>
      <w:r w:rsidRPr="009E35B1">
        <w:t>Cox &amp; Snell R</w:t>
      </w:r>
      <w:r w:rsidRPr="009E35B1">
        <w:rPr>
          <w:vertAlign w:val="superscript"/>
        </w:rPr>
        <w:t>2</w:t>
      </w:r>
      <w:r w:rsidRPr="009E35B1">
        <w:t xml:space="preserve"> = 0.083; Nagelkerke R</w:t>
      </w:r>
      <w:r w:rsidRPr="009E35B1">
        <w:rPr>
          <w:vertAlign w:val="superscript"/>
        </w:rPr>
        <w:t>2</w:t>
      </w:r>
      <w:r w:rsidRPr="009E35B1">
        <w:t xml:space="preserve"> = 0.130</w:t>
      </w:r>
    </w:p>
    <w:bookmarkEnd w:id="4"/>
    <w:p w14:paraId="1EFE0C7A" w14:textId="35B00203" w:rsidR="00E770A1" w:rsidRPr="00EC590A" w:rsidRDefault="00E770A1" w:rsidP="00E770A1">
      <w:r w:rsidRPr="00EC590A">
        <w:lastRenderedPageBreak/>
        <w:t>The models can be used to estimate the probability of different household types being in water poverty in 2018/19. For example t</w:t>
      </w:r>
      <w:r w:rsidRPr="00EC590A">
        <w:rPr>
          <w:sz w:val="22"/>
          <w:szCs w:val="22"/>
        </w:rPr>
        <w:t>he model equation for is P(water poverty) = 1/(1 + e</w:t>
      </w:r>
      <w:r w:rsidRPr="00EC590A">
        <w:rPr>
          <w:sz w:val="22"/>
          <w:szCs w:val="22"/>
          <w:vertAlign w:val="superscript"/>
        </w:rPr>
        <w:t>-z</w:t>
      </w:r>
      <w:r w:rsidRPr="00EC590A">
        <w:rPr>
          <w:sz w:val="22"/>
          <w:szCs w:val="22"/>
        </w:rPr>
        <w:t xml:space="preserve">) where Z = (-1.86 + 1.37 (one adult) + 0.52 (benefit receipt) – 0.335 (metered)). </w:t>
      </w:r>
    </w:p>
    <w:p w14:paraId="27454673" w14:textId="77777777" w:rsidR="00EC590A" w:rsidRDefault="00EC590A" w:rsidP="006835DF"/>
    <w:p w14:paraId="1E6C26D7" w14:textId="7AFF17E9" w:rsidR="006034E2" w:rsidRPr="00165BFD" w:rsidRDefault="009E35B1" w:rsidP="006835DF">
      <w:r w:rsidRPr="00165BFD">
        <w:t xml:space="preserve">Table 8 presents the same results at the 5% threshold and Tables 9 and 10 present the same results but using equivalised income and households with dependent children instead of </w:t>
      </w:r>
      <w:r w:rsidR="00D54634" w:rsidRPr="00165BFD">
        <w:t>one adult households.</w:t>
      </w:r>
    </w:p>
    <w:p w14:paraId="03447528" w14:textId="77777777" w:rsidR="004C7BCF" w:rsidRDefault="004C7BCF" w:rsidP="004C7BCF">
      <w:pPr>
        <w:pStyle w:val="tabfig"/>
        <w:spacing w:after="0"/>
      </w:pPr>
    </w:p>
    <w:p w14:paraId="50741E97" w14:textId="06DB059F" w:rsidR="004C7BCF" w:rsidRDefault="004C7BCF" w:rsidP="004C7BCF">
      <w:pPr>
        <w:pStyle w:val="tabfig"/>
        <w:spacing w:after="0"/>
      </w:pPr>
      <w:bookmarkStart w:id="5" w:name="_Hlk58265872"/>
      <w:r w:rsidRPr="009E35B1">
        <w:t xml:space="preserve">Table </w:t>
      </w:r>
      <w:r>
        <w:t>8</w:t>
      </w:r>
      <w:r w:rsidRPr="009E35B1">
        <w:t xml:space="preserve">: Logistic regression model to predict water poverty at the </w:t>
      </w:r>
      <w:r>
        <w:t>5</w:t>
      </w:r>
      <w:r w:rsidRPr="009E35B1">
        <w:t>% threshold (England and Wales 2018/19)</w:t>
      </w:r>
      <w:r>
        <w:t>. Income unequivalized.</w:t>
      </w:r>
    </w:p>
    <w:tbl>
      <w:tblPr>
        <w:tblStyle w:val="TableGrid"/>
        <w:tblW w:w="8103" w:type="dxa"/>
        <w:tblLayout w:type="fixed"/>
        <w:tblLook w:val="0000" w:firstRow="0" w:lastRow="0" w:firstColumn="0" w:lastColumn="0" w:noHBand="0" w:noVBand="0"/>
      </w:tblPr>
      <w:tblGrid>
        <w:gridCol w:w="2613"/>
        <w:gridCol w:w="6"/>
        <w:gridCol w:w="1090"/>
        <w:gridCol w:w="6"/>
        <w:gridCol w:w="1091"/>
        <w:gridCol w:w="6"/>
        <w:gridCol w:w="1091"/>
        <w:gridCol w:w="6"/>
        <w:gridCol w:w="1091"/>
        <w:gridCol w:w="6"/>
        <w:gridCol w:w="1091"/>
        <w:gridCol w:w="6"/>
      </w:tblGrid>
      <w:tr w:rsidR="00FE331F" w:rsidRPr="00EC590A" w14:paraId="6D62D9F2" w14:textId="77777777" w:rsidTr="00613B51">
        <w:trPr>
          <w:gridAfter w:val="1"/>
          <w:wAfter w:w="6" w:type="dxa"/>
        </w:trPr>
        <w:tc>
          <w:tcPr>
            <w:tcW w:w="2613" w:type="dxa"/>
            <w:vMerge w:val="restart"/>
          </w:tcPr>
          <w:p w14:paraId="1BE0C39F" w14:textId="77777777" w:rsidR="00FE331F" w:rsidRPr="00EC590A" w:rsidRDefault="00FE331F" w:rsidP="00613B51">
            <w:pPr>
              <w:autoSpaceDE w:val="0"/>
              <w:autoSpaceDN w:val="0"/>
              <w:adjustRightInd w:val="0"/>
              <w:rPr>
                <w:lang w:eastAsia="en-GB"/>
              </w:rPr>
            </w:pPr>
          </w:p>
        </w:tc>
        <w:tc>
          <w:tcPr>
            <w:tcW w:w="1096" w:type="dxa"/>
            <w:gridSpan w:val="2"/>
            <w:vMerge w:val="restart"/>
          </w:tcPr>
          <w:p w14:paraId="18BD61FD" w14:textId="77777777" w:rsidR="00FE331F" w:rsidRPr="00EC590A" w:rsidRDefault="00FE331F" w:rsidP="00613B51">
            <w:pPr>
              <w:autoSpaceDE w:val="0"/>
              <w:autoSpaceDN w:val="0"/>
              <w:adjustRightInd w:val="0"/>
              <w:spacing w:line="320" w:lineRule="atLeast"/>
              <w:ind w:left="60" w:right="60"/>
              <w:jc w:val="center"/>
              <w:rPr>
                <w:sz w:val="18"/>
                <w:szCs w:val="18"/>
                <w:lang w:eastAsia="en-GB"/>
              </w:rPr>
            </w:pPr>
            <w:r w:rsidRPr="00EC590A">
              <w:rPr>
                <w:sz w:val="18"/>
                <w:szCs w:val="18"/>
                <w:lang w:eastAsia="en-GB"/>
              </w:rPr>
              <w:t>B</w:t>
            </w:r>
          </w:p>
        </w:tc>
        <w:tc>
          <w:tcPr>
            <w:tcW w:w="1097" w:type="dxa"/>
            <w:gridSpan w:val="2"/>
            <w:vMerge w:val="restart"/>
          </w:tcPr>
          <w:p w14:paraId="3464D55E" w14:textId="77777777" w:rsidR="00FE331F" w:rsidRPr="00EC590A" w:rsidRDefault="00FE331F" w:rsidP="00613B51">
            <w:pPr>
              <w:autoSpaceDE w:val="0"/>
              <w:autoSpaceDN w:val="0"/>
              <w:adjustRightInd w:val="0"/>
              <w:spacing w:line="320" w:lineRule="atLeast"/>
              <w:ind w:left="60" w:right="60"/>
              <w:jc w:val="center"/>
              <w:rPr>
                <w:sz w:val="18"/>
                <w:szCs w:val="18"/>
                <w:lang w:eastAsia="en-GB"/>
              </w:rPr>
            </w:pPr>
            <w:r w:rsidRPr="00EC590A">
              <w:rPr>
                <w:sz w:val="18"/>
                <w:szCs w:val="18"/>
                <w:lang w:eastAsia="en-GB"/>
              </w:rPr>
              <w:t>S.E.</w:t>
            </w:r>
          </w:p>
        </w:tc>
        <w:tc>
          <w:tcPr>
            <w:tcW w:w="1097" w:type="dxa"/>
            <w:gridSpan w:val="2"/>
            <w:vMerge w:val="restart"/>
          </w:tcPr>
          <w:p w14:paraId="1B5A424E" w14:textId="77777777" w:rsidR="00FE331F" w:rsidRPr="00EC590A" w:rsidRDefault="00FE331F" w:rsidP="00613B51">
            <w:pPr>
              <w:autoSpaceDE w:val="0"/>
              <w:autoSpaceDN w:val="0"/>
              <w:adjustRightInd w:val="0"/>
              <w:spacing w:line="320" w:lineRule="atLeast"/>
              <w:ind w:left="60" w:right="60"/>
              <w:jc w:val="center"/>
              <w:rPr>
                <w:sz w:val="18"/>
                <w:szCs w:val="18"/>
                <w:lang w:eastAsia="en-GB"/>
              </w:rPr>
            </w:pPr>
            <w:r w:rsidRPr="00EC590A">
              <w:rPr>
                <w:sz w:val="18"/>
                <w:szCs w:val="18"/>
                <w:lang w:eastAsia="en-GB"/>
              </w:rPr>
              <w:t>Exp(B)</w:t>
            </w:r>
          </w:p>
        </w:tc>
        <w:tc>
          <w:tcPr>
            <w:tcW w:w="2194" w:type="dxa"/>
            <w:gridSpan w:val="4"/>
          </w:tcPr>
          <w:p w14:paraId="70AE64ED" w14:textId="77777777" w:rsidR="00FE331F" w:rsidRPr="00EC590A" w:rsidRDefault="00FE331F" w:rsidP="00613B51">
            <w:pPr>
              <w:autoSpaceDE w:val="0"/>
              <w:autoSpaceDN w:val="0"/>
              <w:adjustRightInd w:val="0"/>
              <w:spacing w:line="320" w:lineRule="atLeast"/>
              <w:ind w:left="60" w:right="60"/>
              <w:jc w:val="center"/>
              <w:rPr>
                <w:sz w:val="18"/>
                <w:szCs w:val="18"/>
                <w:lang w:eastAsia="en-GB"/>
              </w:rPr>
            </w:pPr>
            <w:r w:rsidRPr="00EC590A">
              <w:rPr>
                <w:sz w:val="18"/>
                <w:szCs w:val="18"/>
                <w:lang w:eastAsia="en-GB"/>
              </w:rPr>
              <w:t>95% C.I.for EXP(B)</w:t>
            </w:r>
          </w:p>
        </w:tc>
      </w:tr>
      <w:tr w:rsidR="00FE331F" w:rsidRPr="00EC590A" w14:paraId="061F8E18" w14:textId="77777777" w:rsidTr="00613B51">
        <w:trPr>
          <w:gridAfter w:val="1"/>
          <w:wAfter w:w="6" w:type="dxa"/>
        </w:trPr>
        <w:tc>
          <w:tcPr>
            <w:tcW w:w="2613" w:type="dxa"/>
            <w:vMerge/>
          </w:tcPr>
          <w:p w14:paraId="045010E1" w14:textId="77777777" w:rsidR="00FE331F" w:rsidRPr="00EC590A" w:rsidRDefault="00FE331F" w:rsidP="00613B51">
            <w:pPr>
              <w:autoSpaceDE w:val="0"/>
              <w:autoSpaceDN w:val="0"/>
              <w:adjustRightInd w:val="0"/>
              <w:rPr>
                <w:sz w:val="18"/>
                <w:szCs w:val="18"/>
                <w:lang w:eastAsia="en-GB"/>
              </w:rPr>
            </w:pPr>
          </w:p>
        </w:tc>
        <w:tc>
          <w:tcPr>
            <w:tcW w:w="1096" w:type="dxa"/>
            <w:gridSpan w:val="2"/>
            <w:vMerge/>
          </w:tcPr>
          <w:p w14:paraId="0EA433E0" w14:textId="77777777" w:rsidR="00FE331F" w:rsidRPr="00EC590A" w:rsidRDefault="00FE331F" w:rsidP="00613B51">
            <w:pPr>
              <w:autoSpaceDE w:val="0"/>
              <w:autoSpaceDN w:val="0"/>
              <w:adjustRightInd w:val="0"/>
              <w:rPr>
                <w:sz w:val="18"/>
                <w:szCs w:val="18"/>
                <w:lang w:eastAsia="en-GB"/>
              </w:rPr>
            </w:pPr>
          </w:p>
        </w:tc>
        <w:tc>
          <w:tcPr>
            <w:tcW w:w="1097" w:type="dxa"/>
            <w:gridSpan w:val="2"/>
            <w:vMerge/>
          </w:tcPr>
          <w:p w14:paraId="4C66CB53" w14:textId="77777777" w:rsidR="00FE331F" w:rsidRPr="00EC590A" w:rsidRDefault="00FE331F" w:rsidP="00613B51">
            <w:pPr>
              <w:autoSpaceDE w:val="0"/>
              <w:autoSpaceDN w:val="0"/>
              <w:adjustRightInd w:val="0"/>
              <w:rPr>
                <w:sz w:val="18"/>
                <w:szCs w:val="18"/>
                <w:lang w:eastAsia="en-GB"/>
              </w:rPr>
            </w:pPr>
          </w:p>
        </w:tc>
        <w:tc>
          <w:tcPr>
            <w:tcW w:w="1097" w:type="dxa"/>
            <w:gridSpan w:val="2"/>
            <w:vMerge/>
          </w:tcPr>
          <w:p w14:paraId="1E931CC6" w14:textId="77777777" w:rsidR="00FE331F" w:rsidRPr="00EC590A" w:rsidRDefault="00FE331F" w:rsidP="00613B51">
            <w:pPr>
              <w:autoSpaceDE w:val="0"/>
              <w:autoSpaceDN w:val="0"/>
              <w:adjustRightInd w:val="0"/>
              <w:rPr>
                <w:sz w:val="18"/>
                <w:szCs w:val="18"/>
                <w:lang w:eastAsia="en-GB"/>
              </w:rPr>
            </w:pPr>
          </w:p>
        </w:tc>
        <w:tc>
          <w:tcPr>
            <w:tcW w:w="1097" w:type="dxa"/>
            <w:gridSpan w:val="2"/>
          </w:tcPr>
          <w:p w14:paraId="0CC3A7CF" w14:textId="77777777" w:rsidR="00FE331F" w:rsidRPr="00EC590A" w:rsidRDefault="00FE331F" w:rsidP="00613B51">
            <w:pPr>
              <w:autoSpaceDE w:val="0"/>
              <w:autoSpaceDN w:val="0"/>
              <w:adjustRightInd w:val="0"/>
              <w:spacing w:line="320" w:lineRule="atLeast"/>
              <w:ind w:left="60" w:right="60"/>
              <w:jc w:val="center"/>
              <w:rPr>
                <w:sz w:val="18"/>
                <w:szCs w:val="18"/>
                <w:lang w:eastAsia="en-GB"/>
              </w:rPr>
            </w:pPr>
            <w:r w:rsidRPr="00EC590A">
              <w:rPr>
                <w:sz w:val="18"/>
                <w:szCs w:val="18"/>
                <w:lang w:eastAsia="en-GB"/>
              </w:rPr>
              <w:t>Lower</w:t>
            </w:r>
          </w:p>
        </w:tc>
        <w:tc>
          <w:tcPr>
            <w:tcW w:w="1097" w:type="dxa"/>
            <w:gridSpan w:val="2"/>
          </w:tcPr>
          <w:p w14:paraId="49095570" w14:textId="77777777" w:rsidR="00FE331F" w:rsidRPr="00EC590A" w:rsidRDefault="00FE331F" w:rsidP="00613B51">
            <w:pPr>
              <w:autoSpaceDE w:val="0"/>
              <w:autoSpaceDN w:val="0"/>
              <w:adjustRightInd w:val="0"/>
              <w:spacing w:line="320" w:lineRule="atLeast"/>
              <w:ind w:left="60" w:right="60"/>
              <w:jc w:val="center"/>
              <w:rPr>
                <w:sz w:val="18"/>
                <w:szCs w:val="18"/>
                <w:lang w:eastAsia="en-GB"/>
              </w:rPr>
            </w:pPr>
            <w:r w:rsidRPr="00EC590A">
              <w:rPr>
                <w:sz w:val="18"/>
                <w:szCs w:val="18"/>
                <w:lang w:eastAsia="en-GB"/>
              </w:rPr>
              <w:t>Upper</w:t>
            </w:r>
          </w:p>
        </w:tc>
      </w:tr>
      <w:tr w:rsidR="00FE331F" w:rsidRPr="00EC590A" w14:paraId="4E3EDEA3" w14:textId="77777777" w:rsidTr="00613B51">
        <w:tc>
          <w:tcPr>
            <w:tcW w:w="2619" w:type="dxa"/>
            <w:gridSpan w:val="2"/>
          </w:tcPr>
          <w:p w14:paraId="039AF17C" w14:textId="77777777" w:rsidR="00FE331F" w:rsidRPr="00EC590A" w:rsidRDefault="00FE331F" w:rsidP="00FE331F">
            <w:pPr>
              <w:autoSpaceDE w:val="0"/>
              <w:autoSpaceDN w:val="0"/>
              <w:adjustRightInd w:val="0"/>
              <w:spacing w:line="320" w:lineRule="atLeast"/>
              <w:ind w:left="60" w:right="60"/>
              <w:rPr>
                <w:sz w:val="18"/>
                <w:szCs w:val="18"/>
                <w:lang w:eastAsia="en-GB"/>
              </w:rPr>
            </w:pPr>
            <w:r w:rsidRPr="00EC590A">
              <w:rPr>
                <w:sz w:val="18"/>
                <w:szCs w:val="18"/>
                <w:lang w:eastAsia="en-GB"/>
              </w:rPr>
              <w:t>One adult in household</w:t>
            </w:r>
          </w:p>
        </w:tc>
        <w:tc>
          <w:tcPr>
            <w:tcW w:w="1096" w:type="dxa"/>
            <w:gridSpan w:val="2"/>
          </w:tcPr>
          <w:p w14:paraId="6A2ECF74" w14:textId="50F8EA37" w:rsidR="00FE331F" w:rsidRPr="00EC590A" w:rsidRDefault="00FE331F" w:rsidP="00FE331F">
            <w:pPr>
              <w:autoSpaceDE w:val="0"/>
              <w:autoSpaceDN w:val="0"/>
              <w:adjustRightInd w:val="0"/>
              <w:spacing w:line="320" w:lineRule="atLeast"/>
              <w:ind w:left="60" w:right="60"/>
              <w:jc w:val="right"/>
              <w:rPr>
                <w:sz w:val="18"/>
                <w:szCs w:val="18"/>
                <w:lang w:eastAsia="en-GB"/>
              </w:rPr>
            </w:pPr>
            <w:r w:rsidRPr="00FE331F">
              <w:rPr>
                <w:sz w:val="18"/>
                <w:szCs w:val="18"/>
              </w:rPr>
              <w:t>1.413</w:t>
            </w:r>
          </w:p>
        </w:tc>
        <w:tc>
          <w:tcPr>
            <w:tcW w:w="1097" w:type="dxa"/>
            <w:gridSpan w:val="2"/>
          </w:tcPr>
          <w:p w14:paraId="20D971D4" w14:textId="783E1C24" w:rsidR="00FE331F" w:rsidRPr="00EC590A" w:rsidRDefault="00FE331F" w:rsidP="00FE331F">
            <w:pPr>
              <w:autoSpaceDE w:val="0"/>
              <w:autoSpaceDN w:val="0"/>
              <w:adjustRightInd w:val="0"/>
              <w:spacing w:line="320" w:lineRule="atLeast"/>
              <w:ind w:left="60" w:right="60"/>
              <w:jc w:val="right"/>
              <w:rPr>
                <w:sz w:val="18"/>
                <w:szCs w:val="18"/>
                <w:lang w:eastAsia="en-GB"/>
              </w:rPr>
            </w:pPr>
            <w:r w:rsidRPr="00FE331F">
              <w:rPr>
                <w:sz w:val="18"/>
                <w:szCs w:val="18"/>
              </w:rPr>
              <w:t>0.002</w:t>
            </w:r>
          </w:p>
        </w:tc>
        <w:tc>
          <w:tcPr>
            <w:tcW w:w="1097" w:type="dxa"/>
            <w:gridSpan w:val="2"/>
          </w:tcPr>
          <w:p w14:paraId="50F09FF1" w14:textId="01CA7AF5" w:rsidR="00FE331F" w:rsidRPr="00EC590A" w:rsidRDefault="00FE331F" w:rsidP="00FE331F">
            <w:pPr>
              <w:autoSpaceDE w:val="0"/>
              <w:autoSpaceDN w:val="0"/>
              <w:adjustRightInd w:val="0"/>
              <w:spacing w:line="320" w:lineRule="atLeast"/>
              <w:ind w:left="60" w:right="60"/>
              <w:jc w:val="right"/>
              <w:rPr>
                <w:sz w:val="18"/>
                <w:szCs w:val="18"/>
                <w:lang w:eastAsia="en-GB"/>
              </w:rPr>
            </w:pPr>
            <w:r w:rsidRPr="00FE331F">
              <w:rPr>
                <w:sz w:val="18"/>
                <w:szCs w:val="18"/>
              </w:rPr>
              <w:t>4.108</w:t>
            </w:r>
          </w:p>
        </w:tc>
        <w:tc>
          <w:tcPr>
            <w:tcW w:w="1097" w:type="dxa"/>
            <w:gridSpan w:val="2"/>
          </w:tcPr>
          <w:p w14:paraId="3A34B6CB" w14:textId="4FDBAF71" w:rsidR="00FE331F" w:rsidRPr="00EC590A" w:rsidRDefault="00FE331F" w:rsidP="00FE331F">
            <w:pPr>
              <w:autoSpaceDE w:val="0"/>
              <w:autoSpaceDN w:val="0"/>
              <w:adjustRightInd w:val="0"/>
              <w:spacing w:line="320" w:lineRule="atLeast"/>
              <w:ind w:left="60" w:right="60"/>
              <w:jc w:val="right"/>
              <w:rPr>
                <w:sz w:val="18"/>
                <w:szCs w:val="18"/>
                <w:lang w:eastAsia="en-GB"/>
              </w:rPr>
            </w:pPr>
            <w:r w:rsidRPr="00FE331F">
              <w:rPr>
                <w:sz w:val="18"/>
                <w:szCs w:val="18"/>
              </w:rPr>
              <w:t>4.094</w:t>
            </w:r>
          </w:p>
        </w:tc>
        <w:tc>
          <w:tcPr>
            <w:tcW w:w="1097" w:type="dxa"/>
            <w:gridSpan w:val="2"/>
          </w:tcPr>
          <w:p w14:paraId="13556636" w14:textId="39E662DC" w:rsidR="00FE331F" w:rsidRPr="00EC590A" w:rsidRDefault="00FE331F" w:rsidP="00FE331F">
            <w:pPr>
              <w:autoSpaceDE w:val="0"/>
              <w:autoSpaceDN w:val="0"/>
              <w:adjustRightInd w:val="0"/>
              <w:spacing w:line="320" w:lineRule="atLeast"/>
              <w:ind w:left="60" w:right="60"/>
              <w:jc w:val="right"/>
              <w:rPr>
                <w:sz w:val="18"/>
                <w:szCs w:val="18"/>
                <w:lang w:eastAsia="en-GB"/>
              </w:rPr>
            </w:pPr>
            <w:r w:rsidRPr="00FE331F">
              <w:rPr>
                <w:sz w:val="18"/>
                <w:szCs w:val="18"/>
              </w:rPr>
              <w:t>4.122</w:t>
            </w:r>
          </w:p>
        </w:tc>
      </w:tr>
      <w:tr w:rsidR="00FE331F" w:rsidRPr="00EC590A" w14:paraId="357D6AFB" w14:textId="77777777" w:rsidTr="00613B51">
        <w:tc>
          <w:tcPr>
            <w:tcW w:w="2619" w:type="dxa"/>
            <w:gridSpan w:val="2"/>
          </w:tcPr>
          <w:p w14:paraId="5CEFF5D2" w14:textId="77777777" w:rsidR="00FE331F" w:rsidRPr="00EC590A" w:rsidRDefault="00FE331F" w:rsidP="00FE331F">
            <w:pPr>
              <w:autoSpaceDE w:val="0"/>
              <w:autoSpaceDN w:val="0"/>
              <w:adjustRightInd w:val="0"/>
              <w:spacing w:line="320" w:lineRule="atLeast"/>
              <w:ind w:left="60" w:right="60"/>
              <w:rPr>
                <w:sz w:val="18"/>
                <w:szCs w:val="18"/>
                <w:lang w:eastAsia="en-GB"/>
              </w:rPr>
            </w:pPr>
            <w:r w:rsidRPr="00EC590A">
              <w:rPr>
                <w:sz w:val="18"/>
                <w:szCs w:val="18"/>
                <w:lang w:val="en-GB" w:eastAsia="en-GB"/>
              </w:rPr>
              <w:t>Income related benefit receipt</w:t>
            </w:r>
          </w:p>
        </w:tc>
        <w:tc>
          <w:tcPr>
            <w:tcW w:w="1096" w:type="dxa"/>
            <w:gridSpan w:val="2"/>
          </w:tcPr>
          <w:p w14:paraId="7CB654A0" w14:textId="566B7679" w:rsidR="00FE331F" w:rsidRPr="00EC590A" w:rsidRDefault="00FE331F" w:rsidP="00FE331F">
            <w:pPr>
              <w:autoSpaceDE w:val="0"/>
              <w:autoSpaceDN w:val="0"/>
              <w:adjustRightInd w:val="0"/>
              <w:spacing w:line="320" w:lineRule="atLeast"/>
              <w:ind w:left="60" w:right="60"/>
              <w:jc w:val="right"/>
              <w:rPr>
                <w:sz w:val="18"/>
                <w:szCs w:val="18"/>
                <w:lang w:eastAsia="en-GB"/>
              </w:rPr>
            </w:pPr>
            <w:r w:rsidRPr="00FE331F">
              <w:rPr>
                <w:sz w:val="18"/>
                <w:szCs w:val="18"/>
              </w:rPr>
              <w:t>0.240</w:t>
            </w:r>
          </w:p>
        </w:tc>
        <w:tc>
          <w:tcPr>
            <w:tcW w:w="1097" w:type="dxa"/>
            <w:gridSpan w:val="2"/>
          </w:tcPr>
          <w:p w14:paraId="79D96812" w14:textId="73ACF704" w:rsidR="00FE331F" w:rsidRPr="00EC590A" w:rsidRDefault="00FE331F" w:rsidP="00FE331F">
            <w:pPr>
              <w:autoSpaceDE w:val="0"/>
              <w:autoSpaceDN w:val="0"/>
              <w:adjustRightInd w:val="0"/>
              <w:spacing w:line="320" w:lineRule="atLeast"/>
              <w:ind w:left="60" w:right="60"/>
              <w:jc w:val="right"/>
              <w:rPr>
                <w:sz w:val="18"/>
                <w:szCs w:val="18"/>
                <w:lang w:eastAsia="en-GB"/>
              </w:rPr>
            </w:pPr>
            <w:r w:rsidRPr="00FE331F">
              <w:rPr>
                <w:sz w:val="18"/>
                <w:szCs w:val="18"/>
              </w:rPr>
              <w:t>0.002</w:t>
            </w:r>
          </w:p>
        </w:tc>
        <w:tc>
          <w:tcPr>
            <w:tcW w:w="1097" w:type="dxa"/>
            <w:gridSpan w:val="2"/>
          </w:tcPr>
          <w:p w14:paraId="247A74C0" w14:textId="4D8D4658" w:rsidR="00FE331F" w:rsidRPr="00EC590A" w:rsidRDefault="00FE331F" w:rsidP="00FE331F">
            <w:pPr>
              <w:autoSpaceDE w:val="0"/>
              <w:autoSpaceDN w:val="0"/>
              <w:adjustRightInd w:val="0"/>
              <w:spacing w:line="320" w:lineRule="atLeast"/>
              <w:ind w:left="60" w:right="60"/>
              <w:jc w:val="right"/>
              <w:rPr>
                <w:sz w:val="18"/>
                <w:szCs w:val="18"/>
                <w:lang w:eastAsia="en-GB"/>
              </w:rPr>
            </w:pPr>
            <w:r w:rsidRPr="00FE331F">
              <w:rPr>
                <w:sz w:val="18"/>
                <w:szCs w:val="18"/>
              </w:rPr>
              <w:t>1.272</w:t>
            </w:r>
          </w:p>
        </w:tc>
        <w:tc>
          <w:tcPr>
            <w:tcW w:w="1097" w:type="dxa"/>
            <w:gridSpan w:val="2"/>
          </w:tcPr>
          <w:p w14:paraId="08DDA71F" w14:textId="3FD07B68" w:rsidR="00FE331F" w:rsidRPr="00EC590A" w:rsidRDefault="00FE331F" w:rsidP="00FE331F">
            <w:pPr>
              <w:autoSpaceDE w:val="0"/>
              <w:autoSpaceDN w:val="0"/>
              <w:adjustRightInd w:val="0"/>
              <w:spacing w:line="320" w:lineRule="atLeast"/>
              <w:ind w:left="60" w:right="60"/>
              <w:jc w:val="right"/>
              <w:rPr>
                <w:sz w:val="18"/>
                <w:szCs w:val="18"/>
                <w:lang w:eastAsia="en-GB"/>
              </w:rPr>
            </w:pPr>
            <w:r w:rsidRPr="00FE331F">
              <w:rPr>
                <w:sz w:val="18"/>
                <w:szCs w:val="18"/>
              </w:rPr>
              <w:t>1.267</w:t>
            </w:r>
          </w:p>
        </w:tc>
        <w:tc>
          <w:tcPr>
            <w:tcW w:w="1097" w:type="dxa"/>
            <w:gridSpan w:val="2"/>
          </w:tcPr>
          <w:p w14:paraId="3A60FAAC" w14:textId="3C1B0BAA" w:rsidR="00FE331F" w:rsidRPr="00EC590A" w:rsidRDefault="00FE331F" w:rsidP="00FE331F">
            <w:pPr>
              <w:autoSpaceDE w:val="0"/>
              <w:autoSpaceDN w:val="0"/>
              <w:adjustRightInd w:val="0"/>
              <w:spacing w:line="320" w:lineRule="atLeast"/>
              <w:ind w:left="60" w:right="60"/>
              <w:jc w:val="right"/>
              <w:rPr>
                <w:sz w:val="18"/>
                <w:szCs w:val="18"/>
                <w:lang w:eastAsia="en-GB"/>
              </w:rPr>
            </w:pPr>
            <w:r w:rsidRPr="00FE331F">
              <w:rPr>
                <w:sz w:val="18"/>
                <w:szCs w:val="18"/>
              </w:rPr>
              <w:t>1.276</w:t>
            </w:r>
          </w:p>
        </w:tc>
      </w:tr>
      <w:tr w:rsidR="00FE331F" w:rsidRPr="00EC590A" w14:paraId="2C01F8C0" w14:textId="77777777" w:rsidTr="00613B51">
        <w:tc>
          <w:tcPr>
            <w:tcW w:w="2619" w:type="dxa"/>
            <w:gridSpan w:val="2"/>
          </w:tcPr>
          <w:p w14:paraId="277DF880" w14:textId="77777777" w:rsidR="00FE331F" w:rsidRPr="00EC590A" w:rsidRDefault="00FE331F" w:rsidP="00FE331F">
            <w:pPr>
              <w:autoSpaceDE w:val="0"/>
              <w:autoSpaceDN w:val="0"/>
              <w:adjustRightInd w:val="0"/>
              <w:spacing w:line="320" w:lineRule="atLeast"/>
              <w:ind w:left="60" w:right="60"/>
              <w:rPr>
                <w:sz w:val="18"/>
                <w:szCs w:val="18"/>
                <w:lang w:eastAsia="en-GB"/>
              </w:rPr>
            </w:pPr>
            <w:r w:rsidRPr="00EC590A">
              <w:rPr>
                <w:sz w:val="18"/>
                <w:szCs w:val="18"/>
                <w:lang w:val="en-GB" w:eastAsia="en-GB"/>
              </w:rPr>
              <w:t>water</w:t>
            </w:r>
          </w:p>
        </w:tc>
        <w:tc>
          <w:tcPr>
            <w:tcW w:w="1096" w:type="dxa"/>
            <w:gridSpan w:val="2"/>
          </w:tcPr>
          <w:p w14:paraId="26B30DC2" w14:textId="749B4C26" w:rsidR="00FE331F" w:rsidRPr="00EC590A" w:rsidRDefault="00FE331F" w:rsidP="00FE331F">
            <w:pPr>
              <w:autoSpaceDE w:val="0"/>
              <w:autoSpaceDN w:val="0"/>
              <w:adjustRightInd w:val="0"/>
              <w:spacing w:line="320" w:lineRule="atLeast"/>
              <w:ind w:left="60" w:right="60"/>
              <w:jc w:val="right"/>
              <w:rPr>
                <w:sz w:val="18"/>
                <w:szCs w:val="18"/>
                <w:lang w:eastAsia="en-GB"/>
              </w:rPr>
            </w:pPr>
            <w:r w:rsidRPr="00FE331F">
              <w:rPr>
                <w:sz w:val="18"/>
                <w:szCs w:val="18"/>
              </w:rPr>
              <w:t>-0.359</w:t>
            </w:r>
          </w:p>
        </w:tc>
        <w:tc>
          <w:tcPr>
            <w:tcW w:w="1097" w:type="dxa"/>
            <w:gridSpan w:val="2"/>
          </w:tcPr>
          <w:p w14:paraId="3E239B5A" w14:textId="04C55461" w:rsidR="00FE331F" w:rsidRPr="00EC590A" w:rsidRDefault="00FE331F" w:rsidP="00FE331F">
            <w:pPr>
              <w:autoSpaceDE w:val="0"/>
              <w:autoSpaceDN w:val="0"/>
              <w:adjustRightInd w:val="0"/>
              <w:spacing w:line="320" w:lineRule="atLeast"/>
              <w:ind w:left="60" w:right="60"/>
              <w:jc w:val="right"/>
              <w:rPr>
                <w:sz w:val="18"/>
                <w:szCs w:val="18"/>
                <w:lang w:eastAsia="en-GB"/>
              </w:rPr>
            </w:pPr>
            <w:r w:rsidRPr="00FE331F">
              <w:rPr>
                <w:sz w:val="18"/>
                <w:szCs w:val="18"/>
              </w:rPr>
              <w:t>0.002</w:t>
            </w:r>
          </w:p>
        </w:tc>
        <w:tc>
          <w:tcPr>
            <w:tcW w:w="1097" w:type="dxa"/>
            <w:gridSpan w:val="2"/>
          </w:tcPr>
          <w:p w14:paraId="770B974C" w14:textId="2142C968" w:rsidR="00FE331F" w:rsidRPr="00EC590A" w:rsidRDefault="00FE331F" w:rsidP="00FE331F">
            <w:pPr>
              <w:autoSpaceDE w:val="0"/>
              <w:autoSpaceDN w:val="0"/>
              <w:adjustRightInd w:val="0"/>
              <w:spacing w:line="320" w:lineRule="atLeast"/>
              <w:ind w:left="60" w:right="60"/>
              <w:jc w:val="right"/>
              <w:rPr>
                <w:sz w:val="18"/>
                <w:szCs w:val="18"/>
                <w:lang w:eastAsia="en-GB"/>
              </w:rPr>
            </w:pPr>
            <w:r w:rsidRPr="00FE331F">
              <w:rPr>
                <w:sz w:val="18"/>
                <w:szCs w:val="18"/>
              </w:rPr>
              <w:t>0.698</w:t>
            </w:r>
          </w:p>
        </w:tc>
        <w:tc>
          <w:tcPr>
            <w:tcW w:w="1097" w:type="dxa"/>
            <w:gridSpan w:val="2"/>
          </w:tcPr>
          <w:p w14:paraId="12B82304" w14:textId="1A356F27" w:rsidR="00FE331F" w:rsidRPr="00EC590A" w:rsidRDefault="00FE331F" w:rsidP="00FE331F">
            <w:pPr>
              <w:autoSpaceDE w:val="0"/>
              <w:autoSpaceDN w:val="0"/>
              <w:adjustRightInd w:val="0"/>
              <w:spacing w:line="320" w:lineRule="atLeast"/>
              <w:ind w:left="60" w:right="60"/>
              <w:jc w:val="right"/>
              <w:rPr>
                <w:sz w:val="18"/>
                <w:szCs w:val="18"/>
                <w:lang w:eastAsia="en-GB"/>
              </w:rPr>
            </w:pPr>
            <w:r w:rsidRPr="00FE331F">
              <w:rPr>
                <w:sz w:val="18"/>
                <w:szCs w:val="18"/>
              </w:rPr>
              <w:t>0.696</w:t>
            </w:r>
          </w:p>
        </w:tc>
        <w:tc>
          <w:tcPr>
            <w:tcW w:w="1097" w:type="dxa"/>
            <w:gridSpan w:val="2"/>
          </w:tcPr>
          <w:p w14:paraId="3D241337" w14:textId="0EF5F2E1" w:rsidR="00FE331F" w:rsidRPr="00EC590A" w:rsidRDefault="00FE331F" w:rsidP="00FE331F">
            <w:pPr>
              <w:autoSpaceDE w:val="0"/>
              <w:autoSpaceDN w:val="0"/>
              <w:adjustRightInd w:val="0"/>
              <w:spacing w:line="320" w:lineRule="atLeast"/>
              <w:ind w:left="60" w:right="60"/>
              <w:jc w:val="right"/>
              <w:rPr>
                <w:sz w:val="18"/>
                <w:szCs w:val="18"/>
                <w:lang w:eastAsia="en-GB"/>
              </w:rPr>
            </w:pPr>
            <w:r w:rsidRPr="00FE331F">
              <w:rPr>
                <w:sz w:val="18"/>
                <w:szCs w:val="18"/>
              </w:rPr>
              <w:t>0.701</w:t>
            </w:r>
          </w:p>
        </w:tc>
      </w:tr>
      <w:tr w:rsidR="00FE331F" w:rsidRPr="00EC590A" w14:paraId="5EC72BDC" w14:textId="77777777" w:rsidTr="00613B51">
        <w:tc>
          <w:tcPr>
            <w:tcW w:w="2619" w:type="dxa"/>
            <w:gridSpan w:val="2"/>
          </w:tcPr>
          <w:p w14:paraId="62B0BA6F" w14:textId="77777777" w:rsidR="00FE331F" w:rsidRPr="00EC590A" w:rsidRDefault="00FE331F" w:rsidP="00FE331F">
            <w:pPr>
              <w:autoSpaceDE w:val="0"/>
              <w:autoSpaceDN w:val="0"/>
              <w:adjustRightInd w:val="0"/>
              <w:spacing w:line="320" w:lineRule="atLeast"/>
              <w:ind w:left="60" w:right="60"/>
              <w:rPr>
                <w:sz w:val="18"/>
                <w:szCs w:val="18"/>
                <w:lang w:eastAsia="en-GB"/>
              </w:rPr>
            </w:pPr>
            <w:r w:rsidRPr="00EC590A">
              <w:rPr>
                <w:sz w:val="18"/>
                <w:szCs w:val="18"/>
                <w:lang w:eastAsia="en-GB"/>
              </w:rPr>
              <w:t>Constant</w:t>
            </w:r>
          </w:p>
        </w:tc>
        <w:tc>
          <w:tcPr>
            <w:tcW w:w="1096" w:type="dxa"/>
            <w:gridSpan w:val="2"/>
          </w:tcPr>
          <w:p w14:paraId="30ED289D" w14:textId="0C734EB3" w:rsidR="00FE331F" w:rsidRPr="00EC590A" w:rsidRDefault="00FE331F" w:rsidP="00FE331F">
            <w:pPr>
              <w:autoSpaceDE w:val="0"/>
              <w:autoSpaceDN w:val="0"/>
              <w:adjustRightInd w:val="0"/>
              <w:spacing w:line="320" w:lineRule="atLeast"/>
              <w:ind w:left="60" w:right="60"/>
              <w:jc w:val="right"/>
              <w:rPr>
                <w:sz w:val="18"/>
                <w:szCs w:val="18"/>
                <w:lang w:eastAsia="en-GB"/>
              </w:rPr>
            </w:pPr>
            <w:r w:rsidRPr="00FE331F">
              <w:rPr>
                <w:sz w:val="18"/>
                <w:szCs w:val="18"/>
              </w:rPr>
              <w:t>-2.827</w:t>
            </w:r>
          </w:p>
        </w:tc>
        <w:tc>
          <w:tcPr>
            <w:tcW w:w="1097" w:type="dxa"/>
            <w:gridSpan w:val="2"/>
          </w:tcPr>
          <w:p w14:paraId="153BE548" w14:textId="3E9EDBE7" w:rsidR="00FE331F" w:rsidRPr="00EC590A" w:rsidRDefault="00FE331F" w:rsidP="00FE331F">
            <w:pPr>
              <w:autoSpaceDE w:val="0"/>
              <w:autoSpaceDN w:val="0"/>
              <w:adjustRightInd w:val="0"/>
              <w:spacing w:line="320" w:lineRule="atLeast"/>
              <w:ind w:left="60" w:right="60"/>
              <w:jc w:val="right"/>
              <w:rPr>
                <w:sz w:val="18"/>
                <w:szCs w:val="18"/>
                <w:lang w:eastAsia="en-GB"/>
              </w:rPr>
            </w:pPr>
            <w:r w:rsidRPr="00FE331F">
              <w:rPr>
                <w:sz w:val="18"/>
                <w:szCs w:val="18"/>
              </w:rPr>
              <w:t>0.002</w:t>
            </w:r>
          </w:p>
        </w:tc>
        <w:tc>
          <w:tcPr>
            <w:tcW w:w="1097" w:type="dxa"/>
            <w:gridSpan w:val="2"/>
          </w:tcPr>
          <w:p w14:paraId="35D7B141" w14:textId="6F671391" w:rsidR="00FE331F" w:rsidRPr="00EC590A" w:rsidRDefault="00FE331F" w:rsidP="00FE331F">
            <w:pPr>
              <w:autoSpaceDE w:val="0"/>
              <w:autoSpaceDN w:val="0"/>
              <w:adjustRightInd w:val="0"/>
              <w:spacing w:line="320" w:lineRule="atLeast"/>
              <w:ind w:left="60" w:right="60"/>
              <w:jc w:val="right"/>
              <w:rPr>
                <w:sz w:val="18"/>
                <w:szCs w:val="18"/>
                <w:lang w:eastAsia="en-GB"/>
              </w:rPr>
            </w:pPr>
            <w:r w:rsidRPr="00FE331F">
              <w:rPr>
                <w:sz w:val="18"/>
                <w:szCs w:val="18"/>
              </w:rPr>
              <w:t>0.059</w:t>
            </w:r>
          </w:p>
        </w:tc>
        <w:tc>
          <w:tcPr>
            <w:tcW w:w="1097" w:type="dxa"/>
            <w:gridSpan w:val="2"/>
          </w:tcPr>
          <w:p w14:paraId="2EB7EA00" w14:textId="60669C08" w:rsidR="00FE331F" w:rsidRPr="00EC590A" w:rsidRDefault="00FE331F" w:rsidP="00FE331F">
            <w:pPr>
              <w:autoSpaceDE w:val="0"/>
              <w:autoSpaceDN w:val="0"/>
              <w:adjustRightInd w:val="0"/>
              <w:rPr>
                <w:lang w:eastAsia="en-GB"/>
              </w:rPr>
            </w:pPr>
            <w:r w:rsidRPr="00FE331F">
              <w:rPr>
                <w:sz w:val="18"/>
                <w:szCs w:val="18"/>
              </w:rPr>
              <w:t> </w:t>
            </w:r>
          </w:p>
        </w:tc>
        <w:tc>
          <w:tcPr>
            <w:tcW w:w="1097" w:type="dxa"/>
            <w:gridSpan w:val="2"/>
          </w:tcPr>
          <w:p w14:paraId="6098BE3E" w14:textId="5B7CD092" w:rsidR="00FE331F" w:rsidRPr="00EC590A" w:rsidRDefault="00FE331F" w:rsidP="00FE331F">
            <w:pPr>
              <w:autoSpaceDE w:val="0"/>
              <w:autoSpaceDN w:val="0"/>
              <w:adjustRightInd w:val="0"/>
              <w:rPr>
                <w:lang w:eastAsia="en-GB"/>
              </w:rPr>
            </w:pPr>
            <w:r w:rsidRPr="00FE331F">
              <w:rPr>
                <w:sz w:val="18"/>
                <w:szCs w:val="18"/>
              </w:rPr>
              <w:t> </w:t>
            </w:r>
          </w:p>
        </w:tc>
      </w:tr>
    </w:tbl>
    <w:p w14:paraId="6F793A9D" w14:textId="7C2AE7A3" w:rsidR="00D54634" w:rsidRDefault="00D54634" w:rsidP="00D54634">
      <w:bookmarkStart w:id="6" w:name="_Hlk58338136"/>
      <w:bookmarkEnd w:id="5"/>
      <w:r w:rsidRPr="009E35B1">
        <w:t>Cox &amp; Snell R</w:t>
      </w:r>
      <w:r w:rsidRPr="009E35B1">
        <w:rPr>
          <w:vertAlign w:val="superscript"/>
        </w:rPr>
        <w:t>2</w:t>
      </w:r>
      <w:r w:rsidRPr="009E35B1">
        <w:t xml:space="preserve"> = 0.0</w:t>
      </w:r>
      <w:r>
        <w:t>41</w:t>
      </w:r>
      <w:r w:rsidRPr="009E35B1">
        <w:t>; Nagelkerke R</w:t>
      </w:r>
      <w:r w:rsidRPr="009E35B1">
        <w:rPr>
          <w:vertAlign w:val="superscript"/>
        </w:rPr>
        <w:t>2</w:t>
      </w:r>
      <w:r w:rsidRPr="009E35B1">
        <w:t xml:space="preserve"> = 0.</w:t>
      </w:r>
      <w:r w:rsidR="004C7BCF">
        <w:t>09</w:t>
      </w:r>
    </w:p>
    <w:bookmarkEnd w:id="6"/>
    <w:p w14:paraId="150564C9" w14:textId="0AF81D35" w:rsidR="004C7BCF" w:rsidRDefault="004C7BCF" w:rsidP="00D54634"/>
    <w:p w14:paraId="55446E9D" w14:textId="015D7C9F" w:rsidR="00165BFD" w:rsidRPr="009E35B1" w:rsidRDefault="00165BFD" w:rsidP="00165BFD">
      <w:pPr>
        <w:pStyle w:val="tabfig"/>
        <w:spacing w:after="0"/>
      </w:pPr>
      <w:r w:rsidRPr="009E35B1">
        <w:t xml:space="preserve">Table </w:t>
      </w:r>
      <w:r w:rsidR="00361286">
        <w:t>9</w:t>
      </w:r>
      <w:r w:rsidRPr="009E35B1">
        <w:t xml:space="preserve">: Logistic regression model to predict water poverty at the </w:t>
      </w:r>
      <w:r>
        <w:t>3</w:t>
      </w:r>
      <w:r w:rsidRPr="009E35B1">
        <w:t>% threshold (England and Wales 2018/19)</w:t>
      </w:r>
      <w:r>
        <w:t>. Income equivalized.</w:t>
      </w:r>
    </w:p>
    <w:tbl>
      <w:tblPr>
        <w:tblStyle w:val="TableGrid"/>
        <w:tblW w:w="8103" w:type="dxa"/>
        <w:tblLayout w:type="fixed"/>
        <w:tblLook w:val="0000" w:firstRow="0" w:lastRow="0" w:firstColumn="0" w:lastColumn="0" w:noHBand="0" w:noVBand="0"/>
      </w:tblPr>
      <w:tblGrid>
        <w:gridCol w:w="2613"/>
        <w:gridCol w:w="6"/>
        <w:gridCol w:w="1090"/>
        <w:gridCol w:w="6"/>
        <w:gridCol w:w="1091"/>
        <w:gridCol w:w="6"/>
        <w:gridCol w:w="1091"/>
        <w:gridCol w:w="6"/>
        <w:gridCol w:w="1091"/>
        <w:gridCol w:w="6"/>
        <w:gridCol w:w="1091"/>
        <w:gridCol w:w="6"/>
      </w:tblGrid>
      <w:tr w:rsidR="003C20B9" w:rsidRPr="003C20B9" w14:paraId="77B1434D" w14:textId="77777777" w:rsidTr="003C20B9">
        <w:trPr>
          <w:gridAfter w:val="1"/>
          <w:wAfter w:w="6" w:type="dxa"/>
        </w:trPr>
        <w:tc>
          <w:tcPr>
            <w:tcW w:w="2613" w:type="dxa"/>
            <w:vMerge w:val="restart"/>
          </w:tcPr>
          <w:p w14:paraId="38202363" w14:textId="77777777" w:rsidR="004C7BCF" w:rsidRPr="00E40792" w:rsidRDefault="004C7BCF" w:rsidP="00EC590A">
            <w:pPr>
              <w:autoSpaceDE w:val="0"/>
              <w:autoSpaceDN w:val="0"/>
              <w:adjustRightInd w:val="0"/>
              <w:rPr>
                <w:lang w:eastAsia="en-GB"/>
              </w:rPr>
            </w:pPr>
            <w:bookmarkStart w:id="7" w:name="_Hlk58265824"/>
          </w:p>
        </w:tc>
        <w:tc>
          <w:tcPr>
            <w:tcW w:w="1096" w:type="dxa"/>
            <w:gridSpan w:val="2"/>
            <w:vMerge w:val="restart"/>
          </w:tcPr>
          <w:p w14:paraId="43FA5CC3" w14:textId="77777777" w:rsidR="004C7BCF" w:rsidRPr="00E40792" w:rsidRDefault="004C7BCF" w:rsidP="00EC590A">
            <w:pPr>
              <w:autoSpaceDE w:val="0"/>
              <w:autoSpaceDN w:val="0"/>
              <w:adjustRightInd w:val="0"/>
              <w:spacing w:line="320" w:lineRule="atLeast"/>
              <w:ind w:left="60" w:right="60"/>
              <w:jc w:val="center"/>
              <w:rPr>
                <w:sz w:val="18"/>
                <w:szCs w:val="18"/>
                <w:lang w:eastAsia="en-GB"/>
              </w:rPr>
            </w:pPr>
            <w:r w:rsidRPr="00E40792">
              <w:rPr>
                <w:sz w:val="18"/>
                <w:szCs w:val="18"/>
                <w:lang w:eastAsia="en-GB"/>
              </w:rPr>
              <w:t>B</w:t>
            </w:r>
          </w:p>
        </w:tc>
        <w:tc>
          <w:tcPr>
            <w:tcW w:w="1097" w:type="dxa"/>
            <w:gridSpan w:val="2"/>
            <w:vMerge w:val="restart"/>
          </w:tcPr>
          <w:p w14:paraId="76C58FD6" w14:textId="77777777" w:rsidR="004C7BCF" w:rsidRPr="00E40792" w:rsidRDefault="004C7BCF" w:rsidP="00EC590A">
            <w:pPr>
              <w:autoSpaceDE w:val="0"/>
              <w:autoSpaceDN w:val="0"/>
              <w:adjustRightInd w:val="0"/>
              <w:spacing w:line="320" w:lineRule="atLeast"/>
              <w:ind w:left="60" w:right="60"/>
              <w:jc w:val="center"/>
              <w:rPr>
                <w:sz w:val="18"/>
                <w:szCs w:val="18"/>
                <w:lang w:eastAsia="en-GB"/>
              </w:rPr>
            </w:pPr>
            <w:r w:rsidRPr="00E40792">
              <w:rPr>
                <w:sz w:val="18"/>
                <w:szCs w:val="18"/>
                <w:lang w:eastAsia="en-GB"/>
              </w:rPr>
              <w:t>S.E.</w:t>
            </w:r>
          </w:p>
        </w:tc>
        <w:tc>
          <w:tcPr>
            <w:tcW w:w="1097" w:type="dxa"/>
            <w:gridSpan w:val="2"/>
            <w:vMerge w:val="restart"/>
          </w:tcPr>
          <w:p w14:paraId="142BED45" w14:textId="77777777" w:rsidR="004C7BCF" w:rsidRPr="00E40792" w:rsidRDefault="004C7BCF" w:rsidP="00EC590A">
            <w:pPr>
              <w:autoSpaceDE w:val="0"/>
              <w:autoSpaceDN w:val="0"/>
              <w:adjustRightInd w:val="0"/>
              <w:spacing w:line="320" w:lineRule="atLeast"/>
              <w:ind w:left="60" w:right="60"/>
              <w:jc w:val="center"/>
              <w:rPr>
                <w:sz w:val="18"/>
                <w:szCs w:val="18"/>
                <w:lang w:eastAsia="en-GB"/>
              </w:rPr>
            </w:pPr>
            <w:r w:rsidRPr="00E40792">
              <w:rPr>
                <w:sz w:val="18"/>
                <w:szCs w:val="18"/>
                <w:lang w:eastAsia="en-GB"/>
              </w:rPr>
              <w:t>Exp(B)</w:t>
            </w:r>
          </w:p>
        </w:tc>
        <w:tc>
          <w:tcPr>
            <w:tcW w:w="2194" w:type="dxa"/>
            <w:gridSpan w:val="4"/>
          </w:tcPr>
          <w:p w14:paraId="743A3286" w14:textId="77777777" w:rsidR="004C7BCF" w:rsidRPr="00E40792" w:rsidRDefault="004C7BCF" w:rsidP="00EC590A">
            <w:pPr>
              <w:autoSpaceDE w:val="0"/>
              <w:autoSpaceDN w:val="0"/>
              <w:adjustRightInd w:val="0"/>
              <w:spacing w:line="320" w:lineRule="atLeast"/>
              <w:ind w:left="60" w:right="60"/>
              <w:jc w:val="center"/>
              <w:rPr>
                <w:sz w:val="18"/>
                <w:szCs w:val="18"/>
                <w:lang w:eastAsia="en-GB"/>
              </w:rPr>
            </w:pPr>
            <w:r w:rsidRPr="00E40792">
              <w:rPr>
                <w:sz w:val="18"/>
                <w:szCs w:val="18"/>
                <w:lang w:eastAsia="en-GB"/>
              </w:rPr>
              <w:t>95% C.I.for EXP(B)</w:t>
            </w:r>
          </w:p>
        </w:tc>
      </w:tr>
      <w:tr w:rsidR="003C20B9" w:rsidRPr="003C20B9" w14:paraId="0C0EB1A0" w14:textId="77777777" w:rsidTr="003C20B9">
        <w:trPr>
          <w:gridAfter w:val="1"/>
          <w:wAfter w:w="6" w:type="dxa"/>
        </w:trPr>
        <w:tc>
          <w:tcPr>
            <w:tcW w:w="2613" w:type="dxa"/>
            <w:vMerge/>
          </w:tcPr>
          <w:p w14:paraId="666FCE4B" w14:textId="77777777" w:rsidR="004C7BCF" w:rsidRPr="00E40792" w:rsidRDefault="004C7BCF" w:rsidP="00EC590A">
            <w:pPr>
              <w:autoSpaceDE w:val="0"/>
              <w:autoSpaceDN w:val="0"/>
              <w:adjustRightInd w:val="0"/>
              <w:rPr>
                <w:sz w:val="18"/>
                <w:szCs w:val="18"/>
                <w:lang w:eastAsia="en-GB"/>
              </w:rPr>
            </w:pPr>
          </w:p>
        </w:tc>
        <w:tc>
          <w:tcPr>
            <w:tcW w:w="1096" w:type="dxa"/>
            <w:gridSpan w:val="2"/>
            <w:vMerge/>
          </w:tcPr>
          <w:p w14:paraId="6A49EDAF" w14:textId="77777777" w:rsidR="004C7BCF" w:rsidRPr="00E40792" w:rsidRDefault="004C7BCF" w:rsidP="00EC590A">
            <w:pPr>
              <w:autoSpaceDE w:val="0"/>
              <w:autoSpaceDN w:val="0"/>
              <w:adjustRightInd w:val="0"/>
              <w:rPr>
                <w:sz w:val="18"/>
                <w:szCs w:val="18"/>
                <w:lang w:eastAsia="en-GB"/>
              </w:rPr>
            </w:pPr>
          </w:p>
        </w:tc>
        <w:tc>
          <w:tcPr>
            <w:tcW w:w="1097" w:type="dxa"/>
            <w:gridSpan w:val="2"/>
            <w:vMerge/>
          </w:tcPr>
          <w:p w14:paraId="313035A1" w14:textId="77777777" w:rsidR="004C7BCF" w:rsidRPr="00E40792" w:rsidRDefault="004C7BCF" w:rsidP="00EC590A">
            <w:pPr>
              <w:autoSpaceDE w:val="0"/>
              <w:autoSpaceDN w:val="0"/>
              <w:adjustRightInd w:val="0"/>
              <w:rPr>
                <w:sz w:val="18"/>
                <w:szCs w:val="18"/>
                <w:lang w:eastAsia="en-GB"/>
              </w:rPr>
            </w:pPr>
          </w:p>
        </w:tc>
        <w:tc>
          <w:tcPr>
            <w:tcW w:w="1097" w:type="dxa"/>
            <w:gridSpan w:val="2"/>
            <w:vMerge/>
          </w:tcPr>
          <w:p w14:paraId="21864046" w14:textId="77777777" w:rsidR="004C7BCF" w:rsidRPr="00E40792" w:rsidRDefault="004C7BCF" w:rsidP="00EC590A">
            <w:pPr>
              <w:autoSpaceDE w:val="0"/>
              <w:autoSpaceDN w:val="0"/>
              <w:adjustRightInd w:val="0"/>
              <w:rPr>
                <w:sz w:val="18"/>
                <w:szCs w:val="18"/>
                <w:lang w:eastAsia="en-GB"/>
              </w:rPr>
            </w:pPr>
          </w:p>
        </w:tc>
        <w:tc>
          <w:tcPr>
            <w:tcW w:w="1097" w:type="dxa"/>
            <w:gridSpan w:val="2"/>
          </w:tcPr>
          <w:p w14:paraId="365C8EA7" w14:textId="77777777" w:rsidR="004C7BCF" w:rsidRPr="00E40792" w:rsidRDefault="004C7BCF" w:rsidP="00EC590A">
            <w:pPr>
              <w:autoSpaceDE w:val="0"/>
              <w:autoSpaceDN w:val="0"/>
              <w:adjustRightInd w:val="0"/>
              <w:spacing w:line="320" w:lineRule="atLeast"/>
              <w:ind w:left="60" w:right="60"/>
              <w:jc w:val="center"/>
              <w:rPr>
                <w:sz w:val="18"/>
                <w:szCs w:val="18"/>
                <w:lang w:eastAsia="en-GB"/>
              </w:rPr>
            </w:pPr>
            <w:r w:rsidRPr="00E40792">
              <w:rPr>
                <w:sz w:val="18"/>
                <w:szCs w:val="18"/>
                <w:lang w:eastAsia="en-GB"/>
              </w:rPr>
              <w:t>Lower</w:t>
            </w:r>
          </w:p>
        </w:tc>
        <w:tc>
          <w:tcPr>
            <w:tcW w:w="1097" w:type="dxa"/>
            <w:gridSpan w:val="2"/>
          </w:tcPr>
          <w:p w14:paraId="17D9729D" w14:textId="77777777" w:rsidR="004C7BCF" w:rsidRPr="00E40792" w:rsidRDefault="004C7BCF" w:rsidP="00EC590A">
            <w:pPr>
              <w:autoSpaceDE w:val="0"/>
              <w:autoSpaceDN w:val="0"/>
              <w:adjustRightInd w:val="0"/>
              <w:spacing w:line="320" w:lineRule="atLeast"/>
              <w:ind w:left="60" w:right="60"/>
              <w:jc w:val="center"/>
              <w:rPr>
                <w:sz w:val="18"/>
                <w:szCs w:val="18"/>
                <w:lang w:eastAsia="en-GB"/>
              </w:rPr>
            </w:pPr>
            <w:r w:rsidRPr="00E40792">
              <w:rPr>
                <w:sz w:val="18"/>
                <w:szCs w:val="18"/>
                <w:lang w:eastAsia="en-GB"/>
              </w:rPr>
              <w:t>Upper</w:t>
            </w:r>
          </w:p>
        </w:tc>
      </w:tr>
      <w:bookmarkEnd w:id="7"/>
      <w:tr w:rsidR="003C20B9" w:rsidRPr="003C20B9" w14:paraId="6A4A15BC" w14:textId="77777777" w:rsidTr="00EC590A">
        <w:tc>
          <w:tcPr>
            <w:tcW w:w="2619" w:type="dxa"/>
            <w:gridSpan w:val="2"/>
          </w:tcPr>
          <w:p w14:paraId="2AC110A2" w14:textId="427B65F2" w:rsidR="003C20B9" w:rsidRPr="00E40792" w:rsidRDefault="003C20B9" w:rsidP="003C20B9">
            <w:pPr>
              <w:autoSpaceDE w:val="0"/>
              <w:autoSpaceDN w:val="0"/>
              <w:adjustRightInd w:val="0"/>
              <w:spacing w:line="320" w:lineRule="atLeast"/>
              <w:ind w:left="60" w:right="60"/>
              <w:rPr>
                <w:sz w:val="18"/>
                <w:szCs w:val="18"/>
                <w:lang w:eastAsia="en-GB"/>
              </w:rPr>
            </w:pPr>
            <w:r w:rsidRPr="003C20B9">
              <w:rPr>
                <w:sz w:val="18"/>
                <w:szCs w:val="18"/>
                <w:lang w:val="en-GB" w:eastAsia="en-GB"/>
              </w:rPr>
              <w:t>Dependent children in household</w:t>
            </w:r>
          </w:p>
        </w:tc>
        <w:tc>
          <w:tcPr>
            <w:tcW w:w="1096" w:type="dxa"/>
            <w:gridSpan w:val="2"/>
          </w:tcPr>
          <w:p w14:paraId="4BA7D198" w14:textId="0ED3C385"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0.501</w:t>
            </w:r>
          </w:p>
        </w:tc>
        <w:tc>
          <w:tcPr>
            <w:tcW w:w="1097" w:type="dxa"/>
            <w:gridSpan w:val="2"/>
          </w:tcPr>
          <w:p w14:paraId="00209DA6" w14:textId="6D00715F"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0.001</w:t>
            </w:r>
          </w:p>
        </w:tc>
        <w:tc>
          <w:tcPr>
            <w:tcW w:w="1097" w:type="dxa"/>
            <w:gridSpan w:val="2"/>
          </w:tcPr>
          <w:p w14:paraId="7E4C8C38" w14:textId="450A4239"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1.650</w:t>
            </w:r>
          </w:p>
        </w:tc>
        <w:tc>
          <w:tcPr>
            <w:tcW w:w="1097" w:type="dxa"/>
            <w:gridSpan w:val="2"/>
          </w:tcPr>
          <w:p w14:paraId="59AC32E9" w14:textId="359B5029"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1.646</w:t>
            </w:r>
          </w:p>
        </w:tc>
        <w:tc>
          <w:tcPr>
            <w:tcW w:w="1097" w:type="dxa"/>
            <w:gridSpan w:val="2"/>
          </w:tcPr>
          <w:p w14:paraId="3E29F288" w14:textId="225F0B5D"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1.654</w:t>
            </w:r>
          </w:p>
        </w:tc>
      </w:tr>
      <w:tr w:rsidR="003C20B9" w:rsidRPr="003C20B9" w14:paraId="7856D9A3" w14:textId="77777777" w:rsidTr="00EC590A">
        <w:tc>
          <w:tcPr>
            <w:tcW w:w="2619" w:type="dxa"/>
            <w:gridSpan w:val="2"/>
          </w:tcPr>
          <w:p w14:paraId="3730AE54" w14:textId="77777777" w:rsidR="003C20B9" w:rsidRPr="00E40792" w:rsidRDefault="003C20B9" w:rsidP="003C20B9">
            <w:pPr>
              <w:autoSpaceDE w:val="0"/>
              <w:autoSpaceDN w:val="0"/>
              <w:adjustRightInd w:val="0"/>
              <w:spacing w:line="320" w:lineRule="atLeast"/>
              <w:ind w:left="60" w:right="60"/>
              <w:rPr>
                <w:sz w:val="18"/>
                <w:szCs w:val="18"/>
                <w:lang w:eastAsia="en-GB"/>
              </w:rPr>
            </w:pPr>
            <w:r w:rsidRPr="003C20B9">
              <w:rPr>
                <w:sz w:val="18"/>
                <w:szCs w:val="18"/>
                <w:lang w:val="en-GB" w:eastAsia="en-GB"/>
              </w:rPr>
              <w:t>Income related benefit receipt</w:t>
            </w:r>
          </w:p>
        </w:tc>
        <w:tc>
          <w:tcPr>
            <w:tcW w:w="1096" w:type="dxa"/>
            <w:gridSpan w:val="2"/>
          </w:tcPr>
          <w:p w14:paraId="619CAEF8" w14:textId="3343B9CA"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0.917</w:t>
            </w:r>
          </w:p>
        </w:tc>
        <w:tc>
          <w:tcPr>
            <w:tcW w:w="1097" w:type="dxa"/>
            <w:gridSpan w:val="2"/>
          </w:tcPr>
          <w:p w14:paraId="52F153DB" w14:textId="483B4D67"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0.001</w:t>
            </w:r>
          </w:p>
        </w:tc>
        <w:tc>
          <w:tcPr>
            <w:tcW w:w="1097" w:type="dxa"/>
            <w:gridSpan w:val="2"/>
          </w:tcPr>
          <w:p w14:paraId="0F2AEAC1" w14:textId="26154C26"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2.502</w:t>
            </w:r>
          </w:p>
        </w:tc>
        <w:tc>
          <w:tcPr>
            <w:tcW w:w="1097" w:type="dxa"/>
            <w:gridSpan w:val="2"/>
          </w:tcPr>
          <w:p w14:paraId="7C7C9AB1" w14:textId="1A171E94"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2.496</w:t>
            </w:r>
          </w:p>
        </w:tc>
        <w:tc>
          <w:tcPr>
            <w:tcW w:w="1097" w:type="dxa"/>
            <w:gridSpan w:val="2"/>
          </w:tcPr>
          <w:p w14:paraId="53477B6D" w14:textId="03FCE644"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2.508</w:t>
            </w:r>
          </w:p>
        </w:tc>
      </w:tr>
      <w:tr w:rsidR="003C20B9" w:rsidRPr="003C20B9" w14:paraId="7C964753" w14:textId="77777777" w:rsidTr="00EC590A">
        <w:tc>
          <w:tcPr>
            <w:tcW w:w="2619" w:type="dxa"/>
            <w:gridSpan w:val="2"/>
          </w:tcPr>
          <w:p w14:paraId="36E848A3" w14:textId="77777777" w:rsidR="003C20B9" w:rsidRPr="00E40792" w:rsidRDefault="003C20B9" w:rsidP="003C20B9">
            <w:pPr>
              <w:autoSpaceDE w:val="0"/>
              <w:autoSpaceDN w:val="0"/>
              <w:adjustRightInd w:val="0"/>
              <w:spacing w:line="320" w:lineRule="atLeast"/>
              <w:ind w:left="60" w:right="60"/>
              <w:rPr>
                <w:sz w:val="18"/>
                <w:szCs w:val="18"/>
                <w:lang w:eastAsia="en-GB"/>
              </w:rPr>
            </w:pPr>
            <w:r w:rsidRPr="003C20B9">
              <w:rPr>
                <w:sz w:val="18"/>
                <w:szCs w:val="18"/>
                <w:lang w:val="en-GB" w:eastAsia="en-GB"/>
              </w:rPr>
              <w:t>Metered water</w:t>
            </w:r>
          </w:p>
        </w:tc>
        <w:tc>
          <w:tcPr>
            <w:tcW w:w="1096" w:type="dxa"/>
            <w:gridSpan w:val="2"/>
          </w:tcPr>
          <w:p w14:paraId="083769F6" w14:textId="181A71A8"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-0.218</w:t>
            </w:r>
          </w:p>
        </w:tc>
        <w:tc>
          <w:tcPr>
            <w:tcW w:w="1097" w:type="dxa"/>
            <w:gridSpan w:val="2"/>
          </w:tcPr>
          <w:p w14:paraId="50E8C68D" w14:textId="4987014A"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0.001</w:t>
            </w:r>
          </w:p>
        </w:tc>
        <w:tc>
          <w:tcPr>
            <w:tcW w:w="1097" w:type="dxa"/>
            <w:gridSpan w:val="2"/>
          </w:tcPr>
          <w:p w14:paraId="0D15F44E" w14:textId="5B4943C1"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0.804</w:t>
            </w:r>
          </w:p>
        </w:tc>
        <w:tc>
          <w:tcPr>
            <w:tcW w:w="1097" w:type="dxa"/>
            <w:gridSpan w:val="2"/>
          </w:tcPr>
          <w:p w14:paraId="1E4A0916" w14:textId="24B93515"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0.802</w:t>
            </w:r>
          </w:p>
        </w:tc>
        <w:tc>
          <w:tcPr>
            <w:tcW w:w="1097" w:type="dxa"/>
            <w:gridSpan w:val="2"/>
          </w:tcPr>
          <w:p w14:paraId="194B660A" w14:textId="703624AB"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0.806</w:t>
            </w:r>
          </w:p>
        </w:tc>
      </w:tr>
      <w:tr w:rsidR="003C20B9" w:rsidRPr="003C20B9" w14:paraId="18D67C3B" w14:textId="77777777" w:rsidTr="00EC590A">
        <w:tc>
          <w:tcPr>
            <w:tcW w:w="2619" w:type="dxa"/>
            <w:gridSpan w:val="2"/>
          </w:tcPr>
          <w:p w14:paraId="2C3B361C" w14:textId="77777777" w:rsidR="003C20B9" w:rsidRPr="00E40792" w:rsidRDefault="003C20B9" w:rsidP="003C20B9">
            <w:pPr>
              <w:autoSpaceDE w:val="0"/>
              <w:autoSpaceDN w:val="0"/>
              <w:adjustRightInd w:val="0"/>
              <w:spacing w:line="320" w:lineRule="atLeast"/>
              <w:ind w:left="60" w:right="60"/>
              <w:rPr>
                <w:sz w:val="18"/>
                <w:szCs w:val="18"/>
                <w:lang w:eastAsia="en-GB"/>
              </w:rPr>
            </w:pPr>
            <w:r w:rsidRPr="00E40792">
              <w:rPr>
                <w:sz w:val="18"/>
                <w:szCs w:val="18"/>
                <w:lang w:eastAsia="en-GB"/>
              </w:rPr>
              <w:t>Constant</w:t>
            </w:r>
          </w:p>
        </w:tc>
        <w:tc>
          <w:tcPr>
            <w:tcW w:w="1096" w:type="dxa"/>
            <w:gridSpan w:val="2"/>
          </w:tcPr>
          <w:p w14:paraId="7697ACDB" w14:textId="4572439C"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-1.580</w:t>
            </w:r>
          </w:p>
        </w:tc>
        <w:tc>
          <w:tcPr>
            <w:tcW w:w="1097" w:type="dxa"/>
            <w:gridSpan w:val="2"/>
          </w:tcPr>
          <w:p w14:paraId="33CF41D9" w14:textId="4B987FE7"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0.001</w:t>
            </w:r>
          </w:p>
        </w:tc>
        <w:tc>
          <w:tcPr>
            <w:tcW w:w="1097" w:type="dxa"/>
            <w:gridSpan w:val="2"/>
          </w:tcPr>
          <w:p w14:paraId="311DF813" w14:textId="346F9EA7"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0.206</w:t>
            </w:r>
          </w:p>
        </w:tc>
        <w:tc>
          <w:tcPr>
            <w:tcW w:w="1097" w:type="dxa"/>
            <w:gridSpan w:val="2"/>
          </w:tcPr>
          <w:p w14:paraId="65C2CD5D" w14:textId="77777777" w:rsidR="003C20B9" w:rsidRPr="00E40792" w:rsidRDefault="003C20B9" w:rsidP="003C20B9">
            <w:pPr>
              <w:autoSpaceDE w:val="0"/>
              <w:autoSpaceDN w:val="0"/>
              <w:adjustRightInd w:val="0"/>
              <w:rPr>
                <w:lang w:eastAsia="en-GB"/>
              </w:rPr>
            </w:pPr>
          </w:p>
        </w:tc>
        <w:tc>
          <w:tcPr>
            <w:tcW w:w="1097" w:type="dxa"/>
            <w:gridSpan w:val="2"/>
          </w:tcPr>
          <w:p w14:paraId="7D4D482A" w14:textId="77777777" w:rsidR="003C20B9" w:rsidRPr="00E40792" w:rsidRDefault="003C20B9" w:rsidP="003C20B9">
            <w:pPr>
              <w:autoSpaceDE w:val="0"/>
              <w:autoSpaceDN w:val="0"/>
              <w:adjustRightInd w:val="0"/>
              <w:rPr>
                <w:lang w:eastAsia="en-GB"/>
              </w:rPr>
            </w:pPr>
          </w:p>
        </w:tc>
      </w:tr>
    </w:tbl>
    <w:p w14:paraId="55EDFEBA" w14:textId="4E18023D" w:rsidR="003C20B9" w:rsidRDefault="003C20B9" w:rsidP="003C20B9">
      <w:bookmarkStart w:id="8" w:name="_Hlk58338328"/>
      <w:r w:rsidRPr="009E35B1">
        <w:t>Cox &amp; Snell R</w:t>
      </w:r>
      <w:r w:rsidRPr="009E35B1">
        <w:rPr>
          <w:vertAlign w:val="superscript"/>
        </w:rPr>
        <w:t>2</w:t>
      </w:r>
      <w:r w:rsidRPr="009E35B1">
        <w:t xml:space="preserve"> = 0.0</w:t>
      </w:r>
      <w:r>
        <w:t>59</w:t>
      </w:r>
      <w:r w:rsidRPr="009E35B1">
        <w:t>; Nagelkerke R</w:t>
      </w:r>
      <w:r w:rsidRPr="009E35B1">
        <w:rPr>
          <w:vertAlign w:val="superscript"/>
        </w:rPr>
        <w:t>2</w:t>
      </w:r>
      <w:r w:rsidRPr="009E35B1">
        <w:t xml:space="preserve"> = 0.</w:t>
      </w:r>
      <w:r>
        <w:t>087</w:t>
      </w:r>
      <w:bookmarkEnd w:id="8"/>
    </w:p>
    <w:p w14:paraId="7758E566" w14:textId="77777777" w:rsidR="004C7BCF" w:rsidRDefault="004C7BCF" w:rsidP="006835DF">
      <w:pPr>
        <w:rPr>
          <w:highlight w:val="yellow"/>
        </w:rPr>
      </w:pPr>
    </w:p>
    <w:p w14:paraId="472124ED" w14:textId="3988FAC6" w:rsidR="00165BFD" w:rsidRPr="009E35B1" w:rsidRDefault="00165BFD" w:rsidP="00165BFD">
      <w:pPr>
        <w:pStyle w:val="tabfig"/>
        <w:spacing w:after="0"/>
      </w:pPr>
      <w:r w:rsidRPr="009E35B1">
        <w:t>Table</w:t>
      </w:r>
      <w:r w:rsidR="00361286">
        <w:t xml:space="preserve"> 10</w:t>
      </w:r>
      <w:r w:rsidRPr="009E35B1">
        <w:t xml:space="preserve">: Logistic regression model to predict water poverty at the </w:t>
      </w:r>
      <w:r>
        <w:t>5</w:t>
      </w:r>
      <w:r w:rsidRPr="009E35B1">
        <w:t>% threshold (England and Wales 2018/19)</w:t>
      </w:r>
      <w:r>
        <w:t>. Income equivalized.</w:t>
      </w:r>
    </w:p>
    <w:tbl>
      <w:tblPr>
        <w:tblStyle w:val="TableGrid"/>
        <w:tblW w:w="8103" w:type="dxa"/>
        <w:tblLayout w:type="fixed"/>
        <w:tblLook w:val="0000" w:firstRow="0" w:lastRow="0" w:firstColumn="0" w:lastColumn="0" w:noHBand="0" w:noVBand="0"/>
      </w:tblPr>
      <w:tblGrid>
        <w:gridCol w:w="2613"/>
        <w:gridCol w:w="6"/>
        <w:gridCol w:w="1090"/>
        <w:gridCol w:w="6"/>
        <w:gridCol w:w="1091"/>
        <w:gridCol w:w="6"/>
        <w:gridCol w:w="1091"/>
        <w:gridCol w:w="6"/>
        <w:gridCol w:w="1091"/>
        <w:gridCol w:w="6"/>
        <w:gridCol w:w="1091"/>
        <w:gridCol w:w="6"/>
      </w:tblGrid>
      <w:tr w:rsidR="003C20B9" w:rsidRPr="003C20B9" w14:paraId="07F58B20" w14:textId="77777777" w:rsidTr="00EC590A">
        <w:trPr>
          <w:gridAfter w:val="1"/>
          <w:wAfter w:w="6" w:type="dxa"/>
        </w:trPr>
        <w:tc>
          <w:tcPr>
            <w:tcW w:w="2613" w:type="dxa"/>
            <w:vMerge w:val="restart"/>
          </w:tcPr>
          <w:p w14:paraId="5C9E98E4" w14:textId="77777777" w:rsidR="004C7BCF" w:rsidRPr="00E40792" w:rsidRDefault="004C7BCF" w:rsidP="00EC590A">
            <w:pPr>
              <w:autoSpaceDE w:val="0"/>
              <w:autoSpaceDN w:val="0"/>
              <w:adjustRightInd w:val="0"/>
              <w:rPr>
                <w:lang w:eastAsia="en-GB"/>
              </w:rPr>
            </w:pPr>
          </w:p>
        </w:tc>
        <w:tc>
          <w:tcPr>
            <w:tcW w:w="1096" w:type="dxa"/>
            <w:gridSpan w:val="2"/>
            <w:vMerge w:val="restart"/>
          </w:tcPr>
          <w:p w14:paraId="4B5C407D" w14:textId="77777777" w:rsidR="004C7BCF" w:rsidRPr="00E40792" w:rsidRDefault="004C7BCF" w:rsidP="00EC590A">
            <w:pPr>
              <w:autoSpaceDE w:val="0"/>
              <w:autoSpaceDN w:val="0"/>
              <w:adjustRightInd w:val="0"/>
              <w:spacing w:line="320" w:lineRule="atLeast"/>
              <w:ind w:left="60" w:right="60"/>
              <w:jc w:val="center"/>
              <w:rPr>
                <w:sz w:val="18"/>
                <w:szCs w:val="18"/>
                <w:lang w:eastAsia="en-GB"/>
              </w:rPr>
            </w:pPr>
            <w:r w:rsidRPr="00E40792">
              <w:rPr>
                <w:sz w:val="18"/>
                <w:szCs w:val="18"/>
                <w:lang w:eastAsia="en-GB"/>
              </w:rPr>
              <w:t>B</w:t>
            </w:r>
          </w:p>
        </w:tc>
        <w:tc>
          <w:tcPr>
            <w:tcW w:w="1097" w:type="dxa"/>
            <w:gridSpan w:val="2"/>
            <w:vMerge w:val="restart"/>
          </w:tcPr>
          <w:p w14:paraId="2D22D733" w14:textId="77777777" w:rsidR="004C7BCF" w:rsidRPr="00E40792" w:rsidRDefault="004C7BCF" w:rsidP="00EC590A">
            <w:pPr>
              <w:autoSpaceDE w:val="0"/>
              <w:autoSpaceDN w:val="0"/>
              <w:adjustRightInd w:val="0"/>
              <w:spacing w:line="320" w:lineRule="atLeast"/>
              <w:ind w:left="60" w:right="60"/>
              <w:jc w:val="center"/>
              <w:rPr>
                <w:sz w:val="18"/>
                <w:szCs w:val="18"/>
                <w:lang w:eastAsia="en-GB"/>
              </w:rPr>
            </w:pPr>
            <w:r w:rsidRPr="00E40792">
              <w:rPr>
                <w:sz w:val="18"/>
                <w:szCs w:val="18"/>
                <w:lang w:eastAsia="en-GB"/>
              </w:rPr>
              <w:t>S.E.</w:t>
            </w:r>
          </w:p>
        </w:tc>
        <w:tc>
          <w:tcPr>
            <w:tcW w:w="1097" w:type="dxa"/>
            <w:gridSpan w:val="2"/>
            <w:vMerge w:val="restart"/>
          </w:tcPr>
          <w:p w14:paraId="2CA68690" w14:textId="77777777" w:rsidR="004C7BCF" w:rsidRPr="00E40792" w:rsidRDefault="004C7BCF" w:rsidP="00EC590A">
            <w:pPr>
              <w:autoSpaceDE w:val="0"/>
              <w:autoSpaceDN w:val="0"/>
              <w:adjustRightInd w:val="0"/>
              <w:spacing w:line="320" w:lineRule="atLeast"/>
              <w:ind w:left="60" w:right="60"/>
              <w:jc w:val="center"/>
              <w:rPr>
                <w:sz w:val="18"/>
                <w:szCs w:val="18"/>
                <w:lang w:eastAsia="en-GB"/>
              </w:rPr>
            </w:pPr>
            <w:r w:rsidRPr="00E40792">
              <w:rPr>
                <w:sz w:val="18"/>
                <w:szCs w:val="18"/>
                <w:lang w:eastAsia="en-GB"/>
              </w:rPr>
              <w:t>Exp(B)</w:t>
            </w:r>
          </w:p>
        </w:tc>
        <w:tc>
          <w:tcPr>
            <w:tcW w:w="2194" w:type="dxa"/>
            <w:gridSpan w:val="4"/>
          </w:tcPr>
          <w:p w14:paraId="0B84FD49" w14:textId="77777777" w:rsidR="004C7BCF" w:rsidRPr="00E40792" w:rsidRDefault="004C7BCF" w:rsidP="00EC590A">
            <w:pPr>
              <w:autoSpaceDE w:val="0"/>
              <w:autoSpaceDN w:val="0"/>
              <w:adjustRightInd w:val="0"/>
              <w:spacing w:line="320" w:lineRule="atLeast"/>
              <w:ind w:left="60" w:right="60"/>
              <w:jc w:val="center"/>
              <w:rPr>
                <w:sz w:val="18"/>
                <w:szCs w:val="18"/>
                <w:lang w:eastAsia="en-GB"/>
              </w:rPr>
            </w:pPr>
            <w:r w:rsidRPr="00E40792">
              <w:rPr>
                <w:sz w:val="18"/>
                <w:szCs w:val="18"/>
                <w:lang w:eastAsia="en-GB"/>
              </w:rPr>
              <w:t>95% C.I.for EXP(B)</w:t>
            </w:r>
          </w:p>
        </w:tc>
      </w:tr>
      <w:tr w:rsidR="003C20B9" w:rsidRPr="003C20B9" w14:paraId="498F8C3F" w14:textId="77777777" w:rsidTr="00EC590A">
        <w:trPr>
          <w:gridAfter w:val="1"/>
          <w:wAfter w:w="6" w:type="dxa"/>
        </w:trPr>
        <w:tc>
          <w:tcPr>
            <w:tcW w:w="2613" w:type="dxa"/>
            <w:vMerge/>
          </w:tcPr>
          <w:p w14:paraId="71E7078A" w14:textId="77777777" w:rsidR="004C7BCF" w:rsidRPr="00E40792" w:rsidRDefault="004C7BCF" w:rsidP="00EC590A">
            <w:pPr>
              <w:autoSpaceDE w:val="0"/>
              <w:autoSpaceDN w:val="0"/>
              <w:adjustRightInd w:val="0"/>
              <w:rPr>
                <w:sz w:val="18"/>
                <w:szCs w:val="18"/>
                <w:lang w:eastAsia="en-GB"/>
              </w:rPr>
            </w:pPr>
          </w:p>
        </w:tc>
        <w:tc>
          <w:tcPr>
            <w:tcW w:w="1096" w:type="dxa"/>
            <w:gridSpan w:val="2"/>
            <w:vMerge/>
          </w:tcPr>
          <w:p w14:paraId="47192CD2" w14:textId="77777777" w:rsidR="004C7BCF" w:rsidRPr="00E40792" w:rsidRDefault="004C7BCF" w:rsidP="00EC590A">
            <w:pPr>
              <w:autoSpaceDE w:val="0"/>
              <w:autoSpaceDN w:val="0"/>
              <w:adjustRightInd w:val="0"/>
              <w:rPr>
                <w:sz w:val="18"/>
                <w:szCs w:val="18"/>
                <w:lang w:eastAsia="en-GB"/>
              </w:rPr>
            </w:pPr>
          </w:p>
        </w:tc>
        <w:tc>
          <w:tcPr>
            <w:tcW w:w="1097" w:type="dxa"/>
            <w:gridSpan w:val="2"/>
            <w:vMerge/>
          </w:tcPr>
          <w:p w14:paraId="2BD95F83" w14:textId="77777777" w:rsidR="004C7BCF" w:rsidRPr="00E40792" w:rsidRDefault="004C7BCF" w:rsidP="00EC590A">
            <w:pPr>
              <w:autoSpaceDE w:val="0"/>
              <w:autoSpaceDN w:val="0"/>
              <w:adjustRightInd w:val="0"/>
              <w:rPr>
                <w:sz w:val="18"/>
                <w:szCs w:val="18"/>
                <w:lang w:eastAsia="en-GB"/>
              </w:rPr>
            </w:pPr>
          </w:p>
        </w:tc>
        <w:tc>
          <w:tcPr>
            <w:tcW w:w="1097" w:type="dxa"/>
            <w:gridSpan w:val="2"/>
            <w:vMerge/>
          </w:tcPr>
          <w:p w14:paraId="4D31FBA8" w14:textId="77777777" w:rsidR="004C7BCF" w:rsidRPr="00E40792" w:rsidRDefault="004C7BCF" w:rsidP="00EC590A">
            <w:pPr>
              <w:autoSpaceDE w:val="0"/>
              <w:autoSpaceDN w:val="0"/>
              <w:adjustRightInd w:val="0"/>
              <w:rPr>
                <w:sz w:val="18"/>
                <w:szCs w:val="18"/>
                <w:lang w:eastAsia="en-GB"/>
              </w:rPr>
            </w:pPr>
          </w:p>
        </w:tc>
        <w:tc>
          <w:tcPr>
            <w:tcW w:w="1097" w:type="dxa"/>
            <w:gridSpan w:val="2"/>
          </w:tcPr>
          <w:p w14:paraId="1190386C" w14:textId="77777777" w:rsidR="004C7BCF" w:rsidRPr="00E40792" w:rsidRDefault="004C7BCF" w:rsidP="00EC590A">
            <w:pPr>
              <w:autoSpaceDE w:val="0"/>
              <w:autoSpaceDN w:val="0"/>
              <w:adjustRightInd w:val="0"/>
              <w:spacing w:line="320" w:lineRule="atLeast"/>
              <w:ind w:left="60" w:right="60"/>
              <w:jc w:val="center"/>
              <w:rPr>
                <w:sz w:val="18"/>
                <w:szCs w:val="18"/>
                <w:lang w:eastAsia="en-GB"/>
              </w:rPr>
            </w:pPr>
            <w:r w:rsidRPr="00E40792">
              <w:rPr>
                <w:sz w:val="18"/>
                <w:szCs w:val="18"/>
                <w:lang w:eastAsia="en-GB"/>
              </w:rPr>
              <w:t>Lower</w:t>
            </w:r>
          </w:p>
        </w:tc>
        <w:tc>
          <w:tcPr>
            <w:tcW w:w="1097" w:type="dxa"/>
            <w:gridSpan w:val="2"/>
          </w:tcPr>
          <w:p w14:paraId="64D13949" w14:textId="77777777" w:rsidR="004C7BCF" w:rsidRPr="00E40792" w:rsidRDefault="004C7BCF" w:rsidP="00EC590A">
            <w:pPr>
              <w:autoSpaceDE w:val="0"/>
              <w:autoSpaceDN w:val="0"/>
              <w:adjustRightInd w:val="0"/>
              <w:spacing w:line="320" w:lineRule="atLeast"/>
              <w:ind w:left="60" w:right="60"/>
              <w:jc w:val="center"/>
              <w:rPr>
                <w:sz w:val="18"/>
                <w:szCs w:val="18"/>
                <w:lang w:eastAsia="en-GB"/>
              </w:rPr>
            </w:pPr>
            <w:r w:rsidRPr="00E40792">
              <w:rPr>
                <w:sz w:val="18"/>
                <w:szCs w:val="18"/>
                <w:lang w:eastAsia="en-GB"/>
              </w:rPr>
              <w:t>Upper</w:t>
            </w:r>
          </w:p>
        </w:tc>
      </w:tr>
      <w:tr w:rsidR="003C20B9" w:rsidRPr="003C20B9" w14:paraId="038B32BB" w14:textId="77777777" w:rsidTr="00EC590A">
        <w:tc>
          <w:tcPr>
            <w:tcW w:w="2619" w:type="dxa"/>
            <w:gridSpan w:val="2"/>
          </w:tcPr>
          <w:p w14:paraId="230427DA" w14:textId="77777777" w:rsidR="003C20B9" w:rsidRPr="00E40792" w:rsidRDefault="003C20B9" w:rsidP="003C20B9">
            <w:pPr>
              <w:autoSpaceDE w:val="0"/>
              <w:autoSpaceDN w:val="0"/>
              <w:adjustRightInd w:val="0"/>
              <w:spacing w:line="320" w:lineRule="atLeast"/>
              <w:ind w:left="60" w:right="60"/>
              <w:rPr>
                <w:sz w:val="18"/>
                <w:szCs w:val="18"/>
                <w:lang w:eastAsia="en-GB"/>
              </w:rPr>
            </w:pPr>
            <w:r w:rsidRPr="003C20B9">
              <w:rPr>
                <w:sz w:val="18"/>
                <w:szCs w:val="18"/>
                <w:lang w:val="en-GB" w:eastAsia="en-GB"/>
              </w:rPr>
              <w:t>Dependent children in household</w:t>
            </w:r>
          </w:p>
        </w:tc>
        <w:tc>
          <w:tcPr>
            <w:tcW w:w="1096" w:type="dxa"/>
            <w:gridSpan w:val="2"/>
            <w:tcBorders>
              <w:top w:val="nil"/>
              <w:left w:val="nil"/>
              <w:bottom w:val="single" w:sz="4" w:space="0" w:color="C0C0C0"/>
              <w:right w:val="single" w:sz="4" w:space="0" w:color="333333"/>
            </w:tcBorders>
            <w:shd w:val="clear" w:color="auto" w:fill="auto"/>
          </w:tcPr>
          <w:p w14:paraId="71799D4D" w14:textId="300DC421"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0.422</w:t>
            </w:r>
          </w:p>
        </w:tc>
        <w:tc>
          <w:tcPr>
            <w:tcW w:w="1097" w:type="dxa"/>
            <w:gridSpan w:val="2"/>
            <w:tcBorders>
              <w:top w:val="nil"/>
              <w:left w:val="nil"/>
              <w:bottom w:val="single" w:sz="4" w:space="0" w:color="C0C0C0"/>
              <w:right w:val="single" w:sz="4" w:space="0" w:color="333333"/>
            </w:tcBorders>
            <w:shd w:val="clear" w:color="auto" w:fill="auto"/>
          </w:tcPr>
          <w:p w14:paraId="61947B45" w14:textId="1B29EF1F"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0.002</w:t>
            </w:r>
          </w:p>
        </w:tc>
        <w:tc>
          <w:tcPr>
            <w:tcW w:w="1097" w:type="dxa"/>
            <w:gridSpan w:val="2"/>
            <w:tcBorders>
              <w:top w:val="nil"/>
              <w:left w:val="nil"/>
              <w:bottom w:val="single" w:sz="4" w:space="0" w:color="C0C0C0"/>
              <w:right w:val="single" w:sz="4" w:space="0" w:color="333333"/>
            </w:tcBorders>
            <w:shd w:val="clear" w:color="auto" w:fill="auto"/>
          </w:tcPr>
          <w:p w14:paraId="184A0047" w14:textId="32C73687"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1.525</w:t>
            </w:r>
          </w:p>
        </w:tc>
        <w:tc>
          <w:tcPr>
            <w:tcW w:w="1097" w:type="dxa"/>
            <w:gridSpan w:val="2"/>
            <w:tcBorders>
              <w:top w:val="nil"/>
              <w:left w:val="nil"/>
              <w:bottom w:val="single" w:sz="4" w:space="0" w:color="C0C0C0"/>
              <w:right w:val="single" w:sz="4" w:space="0" w:color="333333"/>
            </w:tcBorders>
            <w:shd w:val="clear" w:color="auto" w:fill="auto"/>
          </w:tcPr>
          <w:p w14:paraId="69F96115" w14:textId="1F83B0B6"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1.520</w:t>
            </w:r>
          </w:p>
        </w:tc>
        <w:tc>
          <w:tcPr>
            <w:tcW w:w="1097" w:type="dxa"/>
            <w:gridSpan w:val="2"/>
            <w:tcBorders>
              <w:top w:val="nil"/>
              <w:left w:val="nil"/>
              <w:bottom w:val="single" w:sz="4" w:space="0" w:color="C0C0C0"/>
              <w:right w:val="nil"/>
            </w:tcBorders>
            <w:shd w:val="clear" w:color="auto" w:fill="auto"/>
          </w:tcPr>
          <w:p w14:paraId="1F0E52CD" w14:textId="1A1EFD87"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1.531</w:t>
            </w:r>
          </w:p>
        </w:tc>
      </w:tr>
      <w:tr w:rsidR="003C20B9" w:rsidRPr="003C20B9" w14:paraId="62DF8BA5" w14:textId="77777777" w:rsidTr="00EC590A">
        <w:tc>
          <w:tcPr>
            <w:tcW w:w="2619" w:type="dxa"/>
            <w:gridSpan w:val="2"/>
          </w:tcPr>
          <w:p w14:paraId="0E25E283" w14:textId="77777777" w:rsidR="003C20B9" w:rsidRPr="00E40792" w:rsidRDefault="003C20B9" w:rsidP="003C20B9">
            <w:pPr>
              <w:autoSpaceDE w:val="0"/>
              <w:autoSpaceDN w:val="0"/>
              <w:adjustRightInd w:val="0"/>
              <w:spacing w:line="320" w:lineRule="atLeast"/>
              <w:ind w:left="60" w:right="60"/>
              <w:rPr>
                <w:sz w:val="18"/>
                <w:szCs w:val="18"/>
                <w:lang w:eastAsia="en-GB"/>
              </w:rPr>
            </w:pPr>
            <w:r w:rsidRPr="003C20B9">
              <w:rPr>
                <w:sz w:val="18"/>
                <w:szCs w:val="18"/>
                <w:lang w:val="en-GB" w:eastAsia="en-GB"/>
              </w:rPr>
              <w:t>Income related benefit receipt</w:t>
            </w:r>
          </w:p>
        </w:tc>
        <w:tc>
          <w:tcPr>
            <w:tcW w:w="1096" w:type="dxa"/>
            <w:gridSpan w:val="2"/>
            <w:tcBorders>
              <w:top w:val="nil"/>
              <w:left w:val="nil"/>
              <w:bottom w:val="single" w:sz="4" w:space="0" w:color="C0C0C0"/>
              <w:right w:val="single" w:sz="4" w:space="0" w:color="333333"/>
            </w:tcBorders>
            <w:shd w:val="clear" w:color="auto" w:fill="auto"/>
          </w:tcPr>
          <w:p w14:paraId="5E6F865E" w14:textId="31F0DB7E"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0.634</w:t>
            </w:r>
          </w:p>
        </w:tc>
        <w:tc>
          <w:tcPr>
            <w:tcW w:w="1097" w:type="dxa"/>
            <w:gridSpan w:val="2"/>
            <w:tcBorders>
              <w:top w:val="nil"/>
              <w:left w:val="nil"/>
              <w:bottom w:val="single" w:sz="4" w:space="0" w:color="C0C0C0"/>
              <w:right w:val="single" w:sz="4" w:space="0" w:color="333333"/>
            </w:tcBorders>
            <w:shd w:val="clear" w:color="auto" w:fill="auto"/>
          </w:tcPr>
          <w:p w14:paraId="7782A8A0" w14:textId="00213423"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0.002</w:t>
            </w:r>
          </w:p>
        </w:tc>
        <w:tc>
          <w:tcPr>
            <w:tcW w:w="1097" w:type="dxa"/>
            <w:gridSpan w:val="2"/>
            <w:tcBorders>
              <w:top w:val="nil"/>
              <w:left w:val="nil"/>
              <w:bottom w:val="single" w:sz="4" w:space="0" w:color="C0C0C0"/>
              <w:right w:val="single" w:sz="4" w:space="0" w:color="333333"/>
            </w:tcBorders>
            <w:shd w:val="clear" w:color="auto" w:fill="auto"/>
          </w:tcPr>
          <w:p w14:paraId="6A8BF237" w14:textId="14D9E182"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1.886</w:t>
            </w:r>
          </w:p>
        </w:tc>
        <w:tc>
          <w:tcPr>
            <w:tcW w:w="1097" w:type="dxa"/>
            <w:gridSpan w:val="2"/>
            <w:tcBorders>
              <w:top w:val="nil"/>
              <w:left w:val="nil"/>
              <w:bottom w:val="single" w:sz="4" w:space="0" w:color="C0C0C0"/>
              <w:right w:val="single" w:sz="4" w:space="0" w:color="333333"/>
            </w:tcBorders>
            <w:shd w:val="clear" w:color="auto" w:fill="auto"/>
          </w:tcPr>
          <w:p w14:paraId="15D81DFF" w14:textId="05ACF3F3"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1.880</w:t>
            </w:r>
          </w:p>
        </w:tc>
        <w:tc>
          <w:tcPr>
            <w:tcW w:w="1097" w:type="dxa"/>
            <w:gridSpan w:val="2"/>
            <w:tcBorders>
              <w:top w:val="nil"/>
              <w:left w:val="nil"/>
              <w:bottom w:val="single" w:sz="4" w:space="0" w:color="C0C0C0"/>
              <w:right w:val="nil"/>
            </w:tcBorders>
            <w:shd w:val="clear" w:color="auto" w:fill="auto"/>
          </w:tcPr>
          <w:p w14:paraId="1F037656" w14:textId="57176A34"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1.892</w:t>
            </w:r>
          </w:p>
        </w:tc>
      </w:tr>
      <w:tr w:rsidR="003C20B9" w:rsidRPr="003C20B9" w14:paraId="7E9EDB5F" w14:textId="77777777" w:rsidTr="00EC590A">
        <w:tc>
          <w:tcPr>
            <w:tcW w:w="2619" w:type="dxa"/>
            <w:gridSpan w:val="2"/>
          </w:tcPr>
          <w:p w14:paraId="34FD20F1" w14:textId="77777777" w:rsidR="003C20B9" w:rsidRPr="00E40792" w:rsidRDefault="003C20B9" w:rsidP="003C20B9">
            <w:pPr>
              <w:autoSpaceDE w:val="0"/>
              <w:autoSpaceDN w:val="0"/>
              <w:adjustRightInd w:val="0"/>
              <w:spacing w:line="320" w:lineRule="atLeast"/>
              <w:ind w:left="60" w:right="60"/>
              <w:rPr>
                <w:sz w:val="18"/>
                <w:szCs w:val="18"/>
                <w:lang w:eastAsia="en-GB"/>
              </w:rPr>
            </w:pPr>
            <w:r w:rsidRPr="003C20B9">
              <w:rPr>
                <w:sz w:val="18"/>
                <w:szCs w:val="18"/>
                <w:lang w:val="en-GB" w:eastAsia="en-GB"/>
              </w:rPr>
              <w:t>Metered water</w:t>
            </w:r>
          </w:p>
        </w:tc>
        <w:tc>
          <w:tcPr>
            <w:tcW w:w="1096" w:type="dxa"/>
            <w:gridSpan w:val="2"/>
            <w:tcBorders>
              <w:top w:val="nil"/>
              <w:left w:val="nil"/>
              <w:bottom w:val="single" w:sz="4" w:space="0" w:color="C0C0C0"/>
              <w:right w:val="single" w:sz="4" w:space="0" w:color="333333"/>
            </w:tcBorders>
            <w:shd w:val="clear" w:color="auto" w:fill="auto"/>
          </w:tcPr>
          <w:p w14:paraId="6DE59BE2" w14:textId="38523061"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0.052</w:t>
            </w:r>
          </w:p>
        </w:tc>
        <w:tc>
          <w:tcPr>
            <w:tcW w:w="1097" w:type="dxa"/>
            <w:gridSpan w:val="2"/>
            <w:tcBorders>
              <w:top w:val="nil"/>
              <w:left w:val="nil"/>
              <w:bottom w:val="single" w:sz="4" w:space="0" w:color="C0C0C0"/>
              <w:right w:val="single" w:sz="4" w:space="0" w:color="333333"/>
            </w:tcBorders>
            <w:shd w:val="clear" w:color="auto" w:fill="auto"/>
          </w:tcPr>
          <w:p w14:paraId="1C9A213E" w14:textId="4416BCF9"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0.002</w:t>
            </w:r>
          </w:p>
        </w:tc>
        <w:tc>
          <w:tcPr>
            <w:tcW w:w="1097" w:type="dxa"/>
            <w:gridSpan w:val="2"/>
            <w:tcBorders>
              <w:top w:val="nil"/>
              <w:left w:val="nil"/>
              <w:bottom w:val="single" w:sz="4" w:space="0" w:color="C0C0C0"/>
              <w:right w:val="single" w:sz="4" w:space="0" w:color="333333"/>
            </w:tcBorders>
            <w:shd w:val="clear" w:color="auto" w:fill="auto"/>
          </w:tcPr>
          <w:p w14:paraId="5FFA0FFA" w14:textId="375C7E17"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1.053</w:t>
            </w:r>
          </w:p>
        </w:tc>
        <w:tc>
          <w:tcPr>
            <w:tcW w:w="1097" w:type="dxa"/>
            <w:gridSpan w:val="2"/>
            <w:tcBorders>
              <w:top w:val="nil"/>
              <w:left w:val="nil"/>
              <w:bottom w:val="single" w:sz="4" w:space="0" w:color="C0C0C0"/>
              <w:right w:val="single" w:sz="4" w:space="0" w:color="333333"/>
            </w:tcBorders>
            <w:shd w:val="clear" w:color="auto" w:fill="auto"/>
          </w:tcPr>
          <w:p w14:paraId="1743DC77" w14:textId="725E05D4"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1.050</w:t>
            </w:r>
          </w:p>
        </w:tc>
        <w:tc>
          <w:tcPr>
            <w:tcW w:w="1097" w:type="dxa"/>
            <w:gridSpan w:val="2"/>
            <w:tcBorders>
              <w:top w:val="nil"/>
              <w:left w:val="nil"/>
              <w:bottom w:val="single" w:sz="4" w:space="0" w:color="C0C0C0"/>
              <w:right w:val="nil"/>
            </w:tcBorders>
            <w:shd w:val="clear" w:color="auto" w:fill="auto"/>
          </w:tcPr>
          <w:p w14:paraId="216D7143" w14:textId="1C128F2D"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1.057</w:t>
            </w:r>
          </w:p>
        </w:tc>
      </w:tr>
      <w:tr w:rsidR="003C20B9" w:rsidRPr="003C20B9" w14:paraId="33FBDA77" w14:textId="77777777" w:rsidTr="00EC590A">
        <w:tc>
          <w:tcPr>
            <w:tcW w:w="2619" w:type="dxa"/>
            <w:gridSpan w:val="2"/>
          </w:tcPr>
          <w:p w14:paraId="2F52C905" w14:textId="77777777" w:rsidR="003C20B9" w:rsidRPr="00E40792" w:rsidRDefault="003C20B9" w:rsidP="003C20B9">
            <w:pPr>
              <w:autoSpaceDE w:val="0"/>
              <w:autoSpaceDN w:val="0"/>
              <w:adjustRightInd w:val="0"/>
              <w:spacing w:line="320" w:lineRule="atLeast"/>
              <w:ind w:left="60" w:right="60"/>
              <w:rPr>
                <w:sz w:val="18"/>
                <w:szCs w:val="18"/>
                <w:lang w:eastAsia="en-GB"/>
              </w:rPr>
            </w:pPr>
            <w:r w:rsidRPr="00E40792">
              <w:rPr>
                <w:sz w:val="18"/>
                <w:szCs w:val="18"/>
                <w:lang w:eastAsia="en-GB"/>
              </w:rPr>
              <w:t>Constant</w:t>
            </w:r>
          </w:p>
        </w:tc>
        <w:tc>
          <w:tcPr>
            <w:tcW w:w="1096" w:type="dxa"/>
            <w:gridSpan w:val="2"/>
            <w:tcBorders>
              <w:top w:val="nil"/>
              <w:left w:val="nil"/>
              <w:bottom w:val="single" w:sz="4" w:space="0" w:color="993366"/>
              <w:right w:val="single" w:sz="4" w:space="0" w:color="333333"/>
            </w:tcBorders>
            <w:shd w:val="clear" w:color="auto" w:fill="auto"/>
          </w:tcPr>
          <w:p w14:paraId="15F681E3" w14:textId="0F0B8040"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-2.718</w:t>
            </w:r>
          </w:p>
        </w:tc>
        <w:tc>
          <w:tcPr>
            <w:tcW w:w="1097" w:type="dxa"/>
            <w:gridSpan w:val="2"/>
            <w:tcBorders>
              <w:top w:val="nil"/>
              <w:left w:val="nil"/>
              <w:bottom w:val="single" w:sz="4" w:space="0" w:color="993366"/>
              <w:right w:val="single" w:sz="4" w:space="0" w:color="333333"/>
            </w:tcBorders>
            <w:shd w:val="clear" w:color="auto" w:fill="auto"/>
          </w:tcPr>
          <w:p w14:paraId="2CE1965E" w14:textId="4743D4FE"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0.002</w:t>
            </w:r>
          </w:p>
        </w:tc>
        <w:tc>
          <w:tcPr>
            <w:tcW w:w="1097" w:type="dxa"/>
            <w:gridSpan w:val="2"/>
            <w:tcBorders>
              <w:top w:val="nil"/>
              <w:left w:val="nil"/>
              <w:bottom w:val="single" w:sz="4" w:space="0" w:color="993366"/>
              <w:right w:val="single" w:sz="4" w:space="0" w:color="333333"/>
            </w:tcBorders>
            <w:shd w:val="clear" w:color="auto" w:fill="auto"/>
          </w:tcPr>
          <w:p w14:paraId="655250C3" w14:textId="104EE187" w:rsidR="003C20B9" w:rsidRPr="00E40792" w:rsidRDefault="003C20B9" w:rsidP="003C20B9">
            <w:pPr>
              <w:autoSpaceDE w:val="0"/>
              <w:autoSpaceDN w:val="0"/>
              <w:adjustRightInd w:val="0"/>
              <w:spacing w:line="320" w:lineRule="atLeast"/>
              <w:ind w:left="60" w:right="60"/>
              <w:jc w:val="right"/>
              <w:rPr>
                <w:sz w:val="18"/>
                <w:szCs w:val="18"/>
                <w:lang w:eastAsia="en-GB"/>
              </w:rPr>
            </w:pPr>
            <w:r w:rsidRPr="003C20B9">
              <w:rPr>
                <w:sz w:val="18"/>
                <w:szCs w:val="18"/>
              </w:rPr>
              <w:t>0.066</w:t>
            </w:r>
          </w:p>
        </w:tc>
        <w:tc>
          <w:tcPr>
            <w:tcW w:w="1097" w:type="dxa"/>
            <w:gridSpan w:val="2"/>
            <w:tcBorders>
              <w:top w:val="nil"/>
              <w:left w:val="nil"/>
              <w:bottom w:val="single" w:sz="4" w:space="0" w:color="993366"/>
              <w:right w:val="single" w:sz="4" w:space="0" w:color="333333"/>
            </w:tcBorders>
            <w:shd w:val="clear" w:color="auto" w:fill="auto"/>
          </w:tcPr>
          <w:p w14:paraId="21F14705" w14:textId="3D2EB5EF" w:rsidR="003C20B9" w:rsidRPr="00E40792" w:rsidRDefault="003C20B9" w:rsidP="003C20B9">
            <w:pPr>
              <w:autoSpaceDE w:val="0"/>
              <w:autoSpaceDN w:val="0"/>
              <w:adjustRightInd w:val="0"/>
              <w:rPr>
                <w:lang w:eastAsia="en-GB"/>
              </w:rPr>
            </w:pPr>
            <w:r w:rsidRPr="003C20B9">
              <w:rPr>
                <w:sz w:val="18"/>
                <w:szCs w:val="18"/>
              </w:rPr>
              <w:t> </w:t>
            </w:r>
          </w:p>
        </w:tc>
        <w:tc>
          <w:tcPr>
            <w:tcW w:w="1097" w:type="dxa"/>
            <w:gridSpan w:val="2"/>
            <w:tcBorders>
              <w:top w:val="nil"/>
              <w:left w:val="nil"/>
              <w:bottom w:val="single" w:sz="4" w:space="0" w:color="993366"/>
              <w:right w:val="nil"/>
            </w:tcBorders>
            <w:shd w:val="clear" w:color="auto" w:fill="auto"/>
          </w:tcPr>
          <w:p w14:paraId="403E6029" w14:textId="44066D03" w:rsidR="003C20B9" w:rsidRPr="00E40792" w:rsidRDefault="003C20B9" w:rsidP="003C20B9">
            <w:pPr>
              <w:autoSpaceDE w:val="0"/>
              <w:autoSpaceDN w:val="0"/>
              <w:adjustRightInd w:val="0"/>
              <w:rPr>
                <w:lang w:eastAsia="en-GB"/>
              </w:rPr>
            </w:pPr>
            <w:r w:rsidRPr="003C20B9">
              <w:rPr>
                <w:sz w:val="18"/>
                <w:szCs w:val="18"/>
              </w:rPr>
              <w:t> </w:t>
            </w:r>
          </w:p>
        </w:tc>
      </w:tr>
    </w:tbl>
    <w:p w14:paraId="5B5398F8" w14:textId="6F7CC3FB" w:rsidR="004C7BCF" w:rsidRDefault="003C20B9" w:rsidP="006835DF">
      <w:pPr>
        <w:rPr>
          <w:highlight w:val="yellow"/>
        </w:rPr>
      </w:pPr>
      <w:r w:rsidRPr="009E35B1">
        <w:t>Cox &amp; Snell R</w:t>
      </w:r>
      <w:r w:rsidRPr="009E35B1">
        <w:rPr>
          <w:vertAlign w:val="superscript"/>
        </w:rPr>
        <w:t>2</w:t>
      </w:r>
      <w:r w:rsidRPr="009E35B1">
        <w:t xml:space="preserve"> = 0.0</w:t>
      </w:r>
      <w:r>
        <w:t>14</w:t>
      </w:r>
      <w:r w:rsidRPr="009E35B1">
        <w:t>; Nagelkerke R</w:t>
      </w:r>
      <w:r w:rsidRPr="009E35B1">
        <w:rPr>
          <w:vertAlign w:val="superscript"/>
        </w:rPr>
        <w:t>2</w:t>
      </w:r>
      <w:r w:rsidRPr="009E35B1">
        <w:t xml:space="preserve"> = 0.</w:t>
      </w:r>
      <w:r>
        <w:t>030</w:t>
      </w:r>
    </w:p>
    <w:p w14:paraId="16E9FCD8" w14:textId="77777777" w:rsidR="004C7BCF" w:rsidRDefault="004C7BCF" w:rsidP="006835DF">
      <w:pPr>
        <w:rPr>
          <w:highlight w:val="yellow"/>
        </w:rPr>
      </w:pPr>
    </w:p>
    <w:p w14:paraId="30BD1BED" w14:textId="6FADBD26" w:rsidR="00EC590A" w:rsidRPr="00EC590A" w:rsidRDefault="00EC590A" w:rsidP="00EC590A">
      <w:r w:rsidRPr="00EC590A">
        <w:t>Table 11 shows that unmetered, one-adult households in receipt of benefits have the highest probability of being in water poverty (0.51). Larger households not on benefits and paying for water on a metered basis have the lowest probability of being water poor (0.10).</w:t>
      </w:r>
    </w:p>
    <w:p w14:paraId="0B113023" w14:textId="77777777" w:rsidR="004C7BCF" w:rsidRPr="00EC590A" w:rsidRDefault="004C7BCF" w:rsidP="006835DF"/>
    <w:p w14:paraId="49547BEA" w14:textId="77777777" w:rsidR="004C7BCF" w:rsidRDefault="004C7BCF" w:rsidP="006835DF">
      <w:pPr>
        <w:rPr>
          <w:highlight w:val="yellow"/>
        </w:rPr>
      </w:pPr>
    </w:p>
    <w:p w14:paraId="5A710E84" w14:textId="15663D6C" w:rsidR="00361286" w:rsidRPr="00EC590A" w:rsidRDefault="00EC590A" w:rsidP="00361286">
      <w:pPr>
        <w:rPr>
          <w:b/>
          <w:bCs/>
          <w:highlight w:val="yellow"/>
          <w:lang w:val="en-US" w:eastAsia="ru-RU"/>
        </w:rPr>
      </w:pPr>
      <w:r w:rsidRPr="00EC590A">
        <w:rPr>
          <w:b/>
          <w:bCs/>
          <w:noProof/>
        </w:rPr>
        <w:lastRenderedPageBreak/>
        <w:t>Table 11: Probability of different types of household being in water poverty in Enagland and Wales in 2018/19. 3% threshold unequivalised income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7" w:type="dxa"/>
          <w:left w:w="0" w:type="dxa"/>
          <w:bottom w:w="57" w:type="dxa"/>
          <w:right w:w="0" w:type="dxa"/>
        </w:tblCellMar>
        <w:tblLook w:val="0000" w:firstRow="0" w:lastRow="0" w:firstColumn="0" w:lastColumn="0" w:noHBand="0" w:noVBand="0"/>
      </w:tblPr>
      <w:tblGrid>
        <w:gridCol w:w="1591"/>
        <w:gridCol w:w="1377"/>
        <w:gridCol w:w="1950"/>
        <w:gridCol w:w="2139"/>
        <w:gridCol w:w="1969"/>
      </w:tblGrid>
      <w:tr w:rsidR="006034E2" w:rsidRPr="00EC590A" w14:paraId="289F7B68" w14:textId="77777777" w:rsidTr="00EC590A">
        <w:trPr>
          <w:cantSplit/>
          <w:tblHeader/>
        </w:trPr>
        <w:tc>
          <w:tcPr>
            <w:tcW w:w="881" w:type="pct"/>
            <w:tcBorders>
              <w:top w:val="double" w:sz="4" w:space="0" w:color="auto"/>
              <w:left w:val="nil"/>
              <w:bottom w:val="single" w:sz="4" w:space="0" w:color="000000"/>
              <w:right w:val="nil"/>
            </w:tcBorders>
            <w:shd w:val="clear" w:color="auto" w:fill="FFFFFF"/>
            <w:vAlign w:val="center"/>
          </w:tcPr>
          <w:p w14:paraId="14A4DD44"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Metered water bills</w:t>
            </w:r>
          </w:p>
        </w:tc>
        <w:tc>
          <w:tcPr>
            <w:tcW w:w="763" w:type="pct"/>
            <w:tcBorders>
              <w:top w:val="double" w:sz="4" w:space="0" w:color="auto"/>
              <w:left w:val="nil"/>
              <w:bottom w:val="single" w:sz="4" w:space="0" w:color="000000"/>
              <w:right w:val="nil"/>
            </w:tcBorders>
            <w:shd w:val="clear" w:color="auto" w:fill="FFFFFF"/>
            <w:vAlign w:val="center"/>
          </w:tcPr>
          <w:p w14:paraId="13C9411D"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Benefit receipt</w:t>
            </w:r>
          </w:p>
        </w:tc>
        <w:tc>
          <w:tcPr>
            <w:tcW w:w="1080" w:type="pct"/>
            <w:tcBorders>
              <w:top w:val="double" w:sz="4" w:space="0" w:color="auto"/>
              <w:left w:val="nil"/>
              <w:bottom w:val="single" w:sz="4" w:space="0" w:color="000000"/>
              <w:right w:val="nil"/>
            </w:tcBorders>
            <w:shd w:val="clear" w:color="auto" w:fill="FFFFFF"/>
            <w:vAlign w:val="center"/>
          </w:tcPr>
          <w:p w14:paraId="2AD3ACFC"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One adult in household</w:t>
            </w:r>
          </w:p>
        </w:tc>
        <w:tc>
          <w:tcPr>
            <w:tcW w:w="1185" w:type="pct"/>
            <w:tcBorders>
              <w:top w:val="double" w:sz="4" w:space="0" w:color="auto"/>
              <w:left w:val="nil"/>
              <w:bottom w:val="single" w:sz="4" w:space="0" w:color="000000"/>
              <w:right w:val="nil"/>
            </w:tcBorders>
            <w:shd w:val="clear" w:color="auto" w:fill="FFFFFF"/>
            <w:vAlign w:val="center"/>
          </w:tcPr>
          <w:p w14:paraId="15A002E9"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 of total households</w:t>
            </w:r>
          </w:p>
        </w:tc>
        <w:tc>
          <w:tcPr>
            <w:tcW w:w="1091" w:type="pct"/>
            <w:tcBorders>
              <w:top w:val="double" w:sz="4" w:space="0" w:color="auto"/>
              <w:left w:val="nil"/>
              <w:bottom w:val="single" w:sz="4" w:space="0" w:color="000000"/>
              <w:right w:val="nil"/>
            </w:tcBorders>
            <w:shd w:val="clear" w:color="auto" w:fill="FFFFFF"/>
            <w:vAlign w:val="center"/>
          </w:tcPr>
          <w:p w14:paraId="369C636F"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Probability of water poverty</w:t>
            </w:r>
          </w:p>
        </w:tc>
      </w:tr>
      <w:tr w:rsidR="006034E2" w:rsidRPr="00EC590A" w14:paraId="60B40F57" w14:textId="77777777" w:rsidTr="00EC590A">
        <w:trPr>
          <w:cantSplit/>
          <w:tblHeader/>
        </w:trPr>
        <w:tc>
          <w:tcPr>
            <w:tcW w:w="881" w:type="pct"/>
            <w:tcBorders>
              <w:top w:val="single" w:sz="4" w:space="0" w:color="000000"/>
              <w:left w:val="nil"/>
              <w:bottom w:val="nil"/>
              <w:right w:val="nil"/>
            </w:tcBorders>
            <w:shd w:val="clear" w:color="auto" w:fill="FFFFFF"/>
            <w:vAlign w:val="center"/>
          </w:tcPr>
          <w:p w14:paraId="094E15B5"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0</w:t>
            </w:r>
          </w:p>
        </w:tc>
        <w:tc>
          <w:tcPr>
            <w:tcW w:w="763" w:type="pct"/>
            <w:tcBorders>
              <w:top w:val="single" w:sz="4" w:space="0" w:color="000000"/>
              <w:left w:val="nil"/>
              <w:bottom w:val="nil"/>
              <w:right w:val="nil"/>
            </w:tcBorders>
            <w:shd w:val="clear" w:color="auto" w:fill="FFFFFF"/>
            <w:vAlign w:val="center"/>
          </w:tcPr>
          <w:p w14:paraId="13A37AD4"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0</w:t>
            </w:r>
          </w:p>
        </w:tc>
        <w:tc>
          <w:tcPr>
            <w:tcW w:w="1080" w:type="pct"/>
            <w:tcBorders>
              <w:top w:val="single" w:sz="4" w:space="0" w:color="000000"/>
              <w:left w:val="nil"/>
              <w:bottom w:val="nil"/>
              <w:right w:val="nil"/>
            </w:tcBorders>
            <w:shd w:val="clear" w:color="auto" w:fill="FFFFFF"/>
            <w:vAlign w:val="center"/>
          </w:tcPr>
          <w:p w14:paraId="01ABC1BB"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0</w:t>
            </w:r>
          </w:p>
        </w:tc>
        <w:tc>
          <w:tcPr>
            <w:tcW w:w="1185" w:type="pct"/>
            <w:tcBorders>
              <w:top w:val="single" w:sz="4" w:space="0" w:color="000000"/>
              <w:left w:val="nil"/>
              <w:bottom w:val="nil"/>
              <w:right w:val="nil"/>
            </w:tcBorders>
            <w:shd w:val="clear" w:color="auto" w:fill="FFFFFF"/>
            <w:vAlign w:val="center"/>
          </w:tcPr>
          <w:p w14:paraId="3533C494" w14:textId="38978513" w:rsidR="006034E2" w:rsidRPr="00EC590A" w:rsidRDefault="00EC590A" w:rsidP="006835DF">
            <w:pPr>
              <w:widowControl w:val="0"/>
              <w:autoSpaceDE w:val="0"/>
              <w:autoSpaceDN w:val="0"/>
              <w:adjustRightInd w:val="0"/>
              <w:ind w:left="60" w:right="60"/>
              <w:jc w:val="center"/>
              <w:rPr>
                <w:color w:val="000000"/>
                <w:lang w:val="en-US"/>
              </w:rPr>
            </w:pPr>
            <w:r w:rsidRPr="00EC590A">
              <w:rPr>
                <w:color w:val="000000"/>
                <w:lang w:val="en-US"/>
              </w:rPr>
              <w:t>25.1</w:t>
            </w:r>
          </w:p>
        </w:tc>
        <w:tc>
          <w:tcPr>
            <w:tcW w:w="1091" w:type="pct"/>
            <w:tcBorders>
              <w:top w:val="single" w:sz="4" w:space="0" w:color="000000"/>
              <w:left w:val="nil"/>
              <w:bottom w:val="nil"/>
              <w:right w:val="nil"/>
            </w:tcBorders>
            <w:shd w:val="clear" w:color="auto" w:fill="FFFFFF"/>
            <w:vAlign w:val="center"/>
          </w:tcPr>
          <w:p w14:paraId="1E092A9A" w14:textId="77777777" w:rsidR="006034E2" w:rsidRPr="00EC590A" w:rsidRDefault="006034E2" w:rsidP="006835DF">
            <w:pPr>
              <w:widowControl w:val="0"/>
              <w:autoSpaceDE w:val="0"/>
              <w:autoSpaceDN w:val="0"/>
              <w:adjustRightInd w:val="0"/>
              <w:ind w:left="60" w:right="60"/>
              <w:jc w:val="center"/>
              <w:rPr>
                <w:lang w:val="en-US"/>
              </w:rPr>
            </w:pPr>
            <w:r w:rsidRPr="00EC590A">
              <w:rPr>
                <w:lang w:val="en-US"/>
              </w:rPr>
              <w:t>0.13</w:t>
            </w:r>
          </w:p>
        </w:tc>
      </w:tr>
      <w:tr w:rsidR="006034E2" w:rsidRPr="00EC590A" w14:paraId="5592FFFE" w14:textId="77777777" w:rsidTr="00EC590A">
        <w:trPr>
          <w:cantSplit/>
          <w:tblHeader/>
        </w:trPr>
        <w:tc>
          <w:tcPr>
            <w:tcW w:w="881" w:type="pct"/>
            <w:tcBorders>
              <w:top w:val="nil"/>
              <w:left w:val="nil"/>
              <w:bottom w:val="nil"/>
              <w:right w:val="nil"/>
            </w:tcBorders>
            <w:shd w:val="clear" w:color="auto" w:fill="FFFFFF"/>
            <w:vAlign w:val="center"/>
          </w:tcPr>
          <w:p w14:paraId="76BD5BB0"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0</w:t>
            </w:r>
          </w:p>
        </w:tc>
        <w:tc>
          <w:tcPr>
            <w:tcW w:w="763" w:type="pct"/>
            <w:tcBorders>
              <w:top w:val="nil"/>
              <w:left w:val="nil"/>
              <w:bottom w:val="nil"/>
              <w:right w:val="nil"/>
            </w:tcBorders>
            <w:shd w:val="clear" w:color="auto" w:fill="FFFFFF"/>
            <w:vAlign w:val="center"/>
          </w:tcPr>
          <w:p w14:paraId="59735C08"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0</w:t>
            </w:r>
          </w:p>
        </w:tc>
        <w:tc>
          <w:tcPr>
            <w:tcW w:w="1080" w:type="pct"/>
            <w:tcBorders>
              <w:top w:val="nil"/>
              <w:left w:val="nil"/>
              <w:bottom w:val="nil"/>
              <w:right w:val="nil"/>
            </w:tcBorders>
            <w:shd w:val="clear" w:color="auto" w:fill="FFFFFF"/>
            <w:vAlign w:val="center"/>
          </w:tcPr>
          <w:p w14:paraId="399E8ABB"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1</w:t>
            </w:r>
          </w:p>
        </w:tc>
        <w:tc>
          <w:tcPr>
            <w:tcW w:w="1185" w:type="pct"/>
            <w:tcBorders>
              <w:top w:val="nil"/>
              <w:left w:val="nil"/>
              <w:bottom w:val="nil"/>
              <w:right w:val="nil"/>
            </w:tcBorders>
            <w:shd w:val="clear" w:color="auto" w:fill="FFFFFF"/>
            <w:vAlign w:val="center"/>
          </w:tcPr>
          <w:p w14:paraId="123CEA06" w14:textId="1D39ABDB" w:rsidR="006034E2" w:rsidRPr="00EC590A" w:rsidRDefault="00EC590A" w:rsidP="006835DF">
            <w:pPr>
              <w:widowControl w:val="0"/>
              <w:autoSpaceDE w:val="0"/>
              <w:autoSpaceDN w:val="0"/>
              <w:adjustRightInd w:val="0"/>
              <w:ind w:left="60" w:right="60"/>
              <w:jc w:val="center"/>
              <w:rPr>
                <w:color w:val="000000"/>
                <w:lang w:val="en-US"/>
              </w:rPr>
            </w:pPr>
            <w:r w:rsidRPr="00EC590A">
              <w:rPr>
                <w:color w:val="000000"/>
                <w:lang w:val="en-US"/>
              </w:rPr>
              <w:t>6.4</w:t>
            </w:r>
          </w:p>
        </w:tc>
        <w:tc>
          <w:tcPr>
            <w:tcW w:w="1091" w:type="pct"/>
            <w:tcBorders>
              <w:top w:val="nil"/>
              <w:left w:val="nil"/>
              <w:bottom w:val="nil"/>
              <w:right w:val="nil"/>
            </w:tcBorders>
            <w:shd w:val="clear" w:color="auto" w:fill="FFFFFF"/>
            <w:vAlign w:val="center"/>
          </w:tcPr>
          <w:p w14:paraId="45EAA399" w14:textId="4622D7B3" w:rsidR="006034E2" w:rsidRPr="00EC590A" w:rsidRDefault="006034E2" w:rsidP="006835DF">
            <w:pPr>
              <w:widowControl w:val="0"/>
              <w:autoSpaceDE w:val="0"/>
              <w:autoSpaceDN w:val="0"/>
              <w:adjustRightInd w:val="0"/>
              <w:ind w:left="60" w:right="60"/>
              <w:jc w:val="center"/>
              <w:rPr>
                <w:lang w:val="en-US"/>
              </w:rPr>
            </w:pPr>
            <w:r w:rsidRPr="00EC590A">
              <w:rPr>
                <w:lang w:val="en-US"/>
              </w:rPr>
              <w:t>0.3</w:t>
            </w:r>
            <w:r w:rsidR="00EC590A" w:rsidRPr="00EC590A">
              <w:rPr>
                <w:lang w:val="en-US"/>
              </w:rPr>
              <w:t>8</w:t>
            </w:r>
          </w:p>
        </w:tc>
      </w:tr>
      <w:tr w:rsidR="006034E2" w:rsidRPr="00EC590A" w14:paraId="4CB56409" w14:textId="77777777" w:rsidTr="00EC590A">
        <w:trPr>
          <w:cantSplit/>
          <w:tblHeader/>
        </w:trPr>
        <w:tc>
          <w:tcPr>
            <w:tcW w:w="881" w:type="pct"/>
            <w:tcBorders>
              <w:top w:val="nil"/>
              <w:left w:val="nil"/>
              <w:bottom w:val="nil"/>
              <w:right w:val="nil"/>
            </w:tcBorders>
            <w:shd w:val="clear" w:color="auto" w:fill="FFFFFF"/>
            <w:vAlign w:val="center"/>
          </w:tcPr>
          <w:p w14:paraId="0373A432"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0</w:t>
            </w:r>
          </w:p>
        </w:tc>
        <w:tc>
          <w:tcPr>
            <w:tcW w:w="763" w:type="pct"/>
            <w:tcBorders>
              <w:top w:val="nil"/>
              <w:left w:val="nil"/>
              <w:bottom w:val="nil"/>
              <w:right w:val="nil"/>
            </w:tcBorders>
            <w:shd w:val="clear" w:color="auto" w:fill="FFFFFF"/>
            <w:vAlign w:val="center"/>
          </w:tcPr>
          <w:p w14:paraId="066EBB61"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1</w:t>
            </w:r>
          </w:p>
        </w:tc>
        <w:tc>
          <w:tcPr>
            <w:tcW w:w="1080" w:type="pct"/>
            <w:tcBorders>
              <w:top w:val="nil"/>
              <w:left w:val="nil"/>
              <w:bottom w:val="nil"/>
              <w:right w:val="nil"/>
            </w:tcBorders>
            <w:shd w:val="clear" w:color="auto" w:fill="FFFFFF"/>
            <w:vAlign w:val="center"/>
          </w:tcPr>
          <w:p w14:paraId="611727F7"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0</w:t>
            </w:r>
          </w:p>
        </w:tc>
        <w:tc>
          <w:tcPr>
            <w:tcW w:w="1185" w:type="pct"/>
            <w:tcBorders>
              <w:top w:val="nil"/>
              <w:left w:val="nil"/>
              <w:bottom w:val="nil"/>
              <w:right w:val="nil"/>
            </w:tcBorders>
            <w:shd w:val="clear" w:color="auto" w:fill="FFFFFF"/>
            <w:vAlign w:val="center"/>
          </w:tcPr>
          <w:p w14:paraId="5065239E" w14:textId="00739778" w:rsidR="006034E2" w:rsidRPr="00EC590A" w:rsidRDefault="00EC590A" w:rsidP="006835DF">
            <w:pPr>
              <w:widowControl w:val="0"/>
              <w:autoSpaceDE w:val="0"/>
              <w:autoSpaceDN w:val="0"/>
              <w:adjustRightInd w:val="0"/>
              <w:ind w:left="60" w:right="60"/>
              <w:jc w:val="center"/>
              <w:rPr>
                <w:color w:val="000000"/>
                <w:lang w:val="en-US"/>
              </w:rPr>
            </w:pPr>
            <w:r w:rsidRPr="00EC590A">
              <w:rPr>
                <w:color w:val="000000"/>
                <w:lang w:val="en-US"/>
              </w:rPr>
              <w:t>14.0</w:t>
            </w:r>
          </w:p>
        </w:tc>
        <w:tc>
          <w:tcPr>
            <w:tcW w:w="1091" w:type="pct"/>
            <w:tcBorders>
              <w:top w:val="nil"/>
              <w:left w:val="nil"/>
              <w:bottom w:val="nil"/>
              <w:right w:val="nil"/>
            </w:tcBorders>
            <w:shd w:val="clear" w:color="auto" w:fill="FFFFFF"/>
            <w:vAlign w:val="center"/>
          </w:tcPr>
          <w:p w14:paraId="53144C06" w14:textId="1E89E724" w:rsidR="006034E2" w:rsidRPr="00EC590A" w:rsidRDefault="006034E2" w:rsidP="006835DF">
            <w:pPr>
              <w:widowControl w:val="0"/>
              <w:autoSpaceDE w:val="0"/>
              <w:autoSpaceDN w:val="0"/>
              <w:adjustRightInd w:val="0"/>
              <w:ind w:left="60" w:right="60"/>
              <w:jc w:val="center"/>
              <w:rPr>
                <w:lang w:val="en-US"/>
              </w:rPr>
            </w:pPr>
            <w:r w:rsidRPr="00EC590A">
              <w:rPr>
                <w:lang w:val="en-US"/>
              </w:rPr>
              <w:t>0.</w:t>
            </w:r>
            <w:r w:rsidR="00EC590A" w:rsidRPr="00EC590A">
              <w:rPr>
                <w:lang w:val="en-US"/>
              </w:rPr>
              <w:t>21</w:t>
            </w:r>
          </w:p>
        </w:tc>
      </w:tr>
      <w:tr w:rsidR="006034E2" w:rsidRPr="00EC590A" w14:paraId="40982514" w14:textId="77777777" w:rsidTr="00EC590A">
        <w:trPr>
          <w:cantSplit/>
          <w:tblHeader/>
        </w:trPr>
        <w:tc>
          <w:tcPr>
            <w:tcW w:w="881" w:type="pct"/>
            <w:tcBorders>
              <w:top w:val="nil"/>
              <w:left w:val="nil"/>
              <w:bottom w:val="nil"/>
              <w:right w:val="nil"/>
            </w:tcBorders>
            <w:shd w:val="clear" w:color="auto" w:fill="E6E6E6"/>
            <w:vAlign w:val="center"/>
          </w:tcPr>
          <w:p w14:paraId="65CB8FA6"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0</w:t>
            </w:r>
          </w:p>
        </w:tc>
        <w:tc>
          <w:tcPr>
            <w:tcW w:w="763" w:type="pct"/>
            <w:tcBorders>
              <w:top w:val="nil"/>
              <w:left w:val="nil"/>
              <w:bottom w:val="nil"/>
              <w:right w:val="nil"/>
            </w:tcBorders>
            <w:shd w:val="clear" w:color="auto" w:fill="E6E6E6"/>
            <w:vAlign w:val="center"/>
          </w:tcPr>
          <w:p w14:paraId="4D52C01A"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1</w:t>
            </w:r>
          </w:p>
        </w:tc>
        <w:tc>
          <w:tcPr>
            <w:tcW w:w="1080" w:type="pct"/>
            <w:tcBorders>
              <w:top w:val="nil"/>
              <w:left w:val="nil"/>
              <w:bottom w:val="nil"/>
              <w:right w:val="nil"/>
            </w:tcBorders>
            <w:shd w:val="clear" w:color="auto" w:fill="E6E6E6"/>
            <w:vAlign w:val="center"/>
          </w:tcPr>
          <w:p w14:paraId="7AA07564"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1</w:t>
            </w:r>
          </w:p>
        </w:tc>
        <w:tc>
          <w:tcPr>
            <w:tcW w:w="1185" w:type="pct"/>
            <w:tcBorders>
              <w:top w:val="nil"/>
              <w:left w:val="nil"/>
              <w:bottom w:val="nil"/>
              <w:right w:val="nil"/>
            </w:tcBorders>
            <w:shd w:val="clear" w:color="auto" w:fill="E6E6E6"/>
            <w:vAlign w:val="center"/>
          </w:tcPr>
          <w:p w14:paraId="78C47642" w14:textId="3D646571" w:rsidR="006034E2" w:rsidRPr="00EC590A" w:rsidRDefault="00EC590A" w:rsidP="006835DF">
            <w:pPr>
              <w:widowControl w:val="0"/>
              <w:autoSpaceDE w:val="0"/>
              <w:autoSpaceDN w:val="0"/>
              <w:adjustRightInd w:val="0"/>
              <w:ind w:left="60" w:right="60"/>
              <w:jc w:val="center"/>
              <w:rPr>
                <w:color w:val="000000"/>
                <w:lang w:val="en-US"/>
              </w:rPr>
            </w:pPr>
            <w:r w:rsidRPr="00EC590A">
              <w:rPr>
                <w:color w:val="000000"/>
                <w:lang w:val="en-US"/>
              </w:rPr>
              <w:t>6.8</w:t>
            </w:r>
          </w:p>
        </w:tc>
        <w:tc>
          <w:tcPr>
            <w:tcW w:w="1091" w:type="pct"/>
            <w:tcBorders>
              <w:top w:val="nil"/>
              <w:left w:val="nil"/>
              <w:bottom w:val="nil"/>
              <w:right w:val="nil"/>
            </w:tcBorders>
            <w:shd w:val="clear" w:color="auto" w:fill="E6E6E6"/>
            <w:vAlign w:val="center"/>
          </w:tcPr>
          <w:p w14:paraId="23F9C8C6" w14:textId="791229A8" w:rsidR="006034E2" w:rsidRPr="00EC590A" w:rsidRDefault="006034E2" w:rsidP="006835DF">
            <w:pPr>
              <w:widowControl w:val="0"/>
              <w:autoSpaceDE w:val="0"/>
              <w:autoSpaceDN w:val="0"/>
              <w:adjustRightInd w:val="0"/>
              <w:ind w:left="60" w:right="60"/>
              <w:jc w:val="center"/>
              <w:rPr>
                <w:lang w:val="en-US"/>
              </w:rPr>
            </w:pPr>
            <w:r w:rsidRPr="00EC590A">
              <w:rPr>
                <w:lang w:val="en-US"/>
              </w:rPr>
              <w:t>0.</w:t>
            </w:r>
            <w:r w:rsidR="00EC590A" w:rsidRPr="00EC590A">
              <w:rPr>
                <w:lang w:val="en-US"/>
              </w:rPr>
              <w:t>51</w:t>
            </w:r>
          </w:p>
        </w:tc>
      </w:tr>
      <w:tr w:rsidR="006034E2" w:rsidRPr="00EC590A" w14:paraId="1DD45E71" w14:textId="77777777" w:rsidTr="00EC590A">
        <w:trPr>
          <w:cantSplit/>
          <w:tblHeader/>
        </w:trPr>
        <w:tc>
          <w:tcPr>
            <w:tcW w:w="881" w:type="pct"/>
            <w:tcBorders>
              <w:top w:val="nil"/>
              <w:left w:val="nil"/>
              <w:bottom w:val="nil"/>
              <w:right w:val="nil"/>
            </w:tcBorders>
            <w:shd w:val="clear" w:color="auto" w:fill="E6E6E6"/>
            <w:vAlign w:val="center"/>
          </w:tcPr>
          <w:p w14:paraId="27D33F3E"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1</w:t>
            </w:r>
          </w:p>
        </w:tc>
        <w:tc>
          <w:tcPr>
            <w:tcW w:w="763" w:type="pct"/>
            <w:tcBorders>
              <w:top w:val="nil"/>
              <w:left w:val="nil"/>
              <w:bottom w:val="nil"/>
              <w:right w:val="nil"/>
            </w:tcBorders>
            <w:shd w:val="clear" w:color="auto" w:fill="E6E6E6"/>
            <w:vAlign w:val="center"/>
          </w:tcPr>
          <w:p w14:paraId="6E2DF23B"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0</w:t>
            </w:r>
          </w:p>
        </w:tc>
        <w:tc>
          <w:tcPr>
            <w:tcW w:w="1080" w:type="pct"/>
            <w:tcBorders>
              <w:top w:val="nil"/>
              <w:left w:val="nil"/>
              <w:bottom w:val="nil"/>
              <w:right w:val="nil"/>
            </w:tcBorders>
            <w:shd w:val="clear" w:color="auto" w:fill="E6E6E6"/>
            <w:vAlign w:val="center"/>
          </w:tcPr>
          <w:p w14:paraId="73B2B0ED"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0</w:t>
            </w:r>
          </w:p>
        </w:tc>
        <w:tc>
          <w:tcPr>
            <w:tcW w:w="1185" w:type="pct"/>
            <w:tcBorders>
              <w:top w:val="nil"/>
              <w:left w:val="nil"/>
              <w:bottom w:val="nil"/>
              <w:right w:val="nil"/>
            </w:tcBorders>
            <w:shd w:val="clear" w:color="auto" w:fill="E6E6E6"/>
            <w:vAlign w:val="center"/>
          </w:tcPr>
          <w:p w14:paraId="293A58BA" w14:textId="217B2723" w:rsidR="006034E2" w:rsidRPr="00EC590A" w:rsidRDefault="00EC590A" w:rsidP="006835DF">
            <w:pPr>
              <w:widowControl w:val="0"/>
              <w:autoSpaceDE w:val="0"/>
              <w:autoSpaceDN w:val="0"/>
              <w:adjustRightInd w:val="0"/>
              <w:ind w:left="60" w:right="60"/>
              <w:jc w:val="center"/>
              <w:rPr>
                <w:color w:val="000000"/>
                <w:lang w:val="en-US"/>
              </w:rPr>
            </w:pPr>
            <w:r w:rsidRPr="00EC590A">
              <w:rPr>
                <w:color w:val="000000"/>
                <w:lang w:val="en-US"/>
              </w:rPr>
              <w:t>24.7</w:t>
            </w:r>
          </w:p>
        </w:tc>
        <w:tc>
          <w:tcPr>
            <w:tcW w:w="1091" w:type="pct"/>
            <w:tcBorders>
              <w:top w:val="nil"/>
              <w:left w:val="nil"/>
              <w:bottom w:val="nil"/>
              <w:right w:val="nil"/>
            </w:tcBorders>
            <w:shd w:val="clear" w:color="auto" w:fill="E6E6E6"/>
            <w:vAlign w:val="center"/>
          </w:tcPr>
          <w:p w14:paraId="3E6AAF50" w14:textId="498ADD6B" w:rsidR="006034E2" w:rsidRPr="00EC590A" w:rsidRDefault="006034E2" w:rsidP="006835DF">
            <w:pPr>
              <w:widowControl w:val="0"/>
              <w:autoSpaceDE w:val="0"/>
              <w:autoSpaceDN w:val="0"/>
              <w:adjustRightInd w:val="0"/>
              <w:ind w:left="60" w:right="60"/>
              <w:jc w:val="center"/>
              <w:rPr>
                <w:lang w:val="en-US"/>
              </w:rPr>
            </w:pPr>
            <w:r w:rsidRPr="00EC590A">
              <w:rPr>
                <w:lang w:val="en-US"/>
              </w:rPr>
              <w:t>0.</w:t>
            </w:r>
            <w:r w:rsidR="00EC590A" w:rsidRPr="00EC590A">
              <w:rPr>
                <w:lang w:val="en-US"/>
              </w:rPr>
              <w:t>10</w:t>
            </w:r>
          </w:p>
        </w:tc>
      </w:tr>
      <w:tr w:rsidR="006034E2" w:rsidRPr="00EC590A" w14:paraId="35394F2D" w14:textId="77777777" w:rsidTr="00EC590A">
        <w:trPr>
          <w:cantSplit/>
          <w:tblHeader/>
        </w:trPr>
        <w:tc>
          <w:tcPr>
            <w:tcW w:w="881" w:type="pct"/>
            <w:tcBorders>
              <w:top w:val="nil"/>
              <w:left w:val="nil"/>
              <w:bottom w:val="nil"/>
              <w:right w:val="nil"/>
            </w:tcBorders>
            <w:shd w:val="clear" w:color="auto" w:fill="FFFFFF"/>
            <w:vAlign w:val="center"/>
          </w:tcPr>
          <w:p w14:paraId="7737C860"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1</w:t>
            </w:r>
          </w:p>
        </w:tc>
        <w:tc>
          <w:tcPr>
            <w:tcW w:w="763" w:type="pct"/>
            <w:tcBorders>
              <w:top w:val="nil"/>
              <w:left w:val="nil"/>
              <w:bottom w:val="nil"/>
              <w:right w:val="nil"/>
            </w:tcBorders>
            <w:shd w:val="clear" w:color="auto" w:fill="FFFFFF"/>
            <w:vAlign w:val="center"/>
          </w:tcPr>
          <w:p w14:paraId="320EF4FA"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0</w:t>
            </w:r>
          </w:p>
        </w:tc>
        <w:tc>
          <w:tcPr>
            <w:tcW w:w="1080" w:type="pct"/>
            <w:tcBorders>
              <w:top w:val="nil"/>
              <w:left w:val="nil"/>
              <w:bottom w:val="nil"/>
              <w:right w:val="nil"/>
            </w:tcBorders>
            <w:shd w:val="clear" w:color="auto" w:fill="FFFFFF"/>
            <w:vAlign w:val="center"/>
          </w:tcPr>
          <w:p w14:paraId="02D8D618"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1</w:t>
            </w:r>
          </w:p>
        </w:tc>
        <w:tc>
          <w:tcPr>
            <w:tcW w:w="1185" w:type="pct"/>
            <w:tcBorders>
              <w:top w:val="nil"/>
              <w:left w:val="nil"/>
              <w:bottom w:val="nil"/>
              <w:right w:val="nil"/>
            </w:tcBorders>
            <w:shd w:val="clear" w:color="auto" w:fill="FFFFFF"/>
            <w:vAlign w:val="center"/>
          </w:tcPr>
          <w:p w14:paraId="5399FDD5" w14:textId="544838A3" w:rsidR="006034E2" w:rsidRPr="00EC590A" w:rsidRDefault="00EC590A" w:rsidP="006835DF">
            <w:pPr>
              <w:widowControl w:val="0"/>
              <w:autoSpaceDE w:val="0"/>
              <w:autoSpaceDN w:val="0"/>
              <w:adjustRightInd w:val="0"/>
              <w:ind w:left="60" w:right="60"/>
              <w:jc w:val="center"/>
              <w:rPr>
                <w:color w:val="000000"/>
                <w:lang w:val="en-US"/>
              </w:rPr>
            </w:pPr>
            <w:r w:rsidRPr="00EC590A">
              <w:rPr>
                <w:color w:val="000000"/>
                <w:lang w:val="en-US"/>
              </w:rPr>
              <w:t>10.4</w:t>
            </w:r>
          </w:p>
        </w:tc>
        <w:tc>
          <w:tcPr>
            <w:tcW w:w="1091" w:type="pct"/>
            <w:tcBorders>
              <w:top w:val="nil"/>
              <w:left w:val="nil"/>
              <w:bottom w:val="nil"/>
              <w:right w:val="nil"/>
            </w:tcBorders>
            <w:shd w:val="clear" w:color="auto" w:fill="FFFFFF"/>
            <w:vAlign w:val="center"/>
          </w:tcPr>
          <w:p w14:paraId="55ABA72D" w14:textId="18280196" w:rsidR="006034E2" w:rsidRPr="00EC590A" w:rsidRDefault="006034E2" w:rsidP="006835DF">
            <w:pPr>
              <w:widowControl w:val="0"/>
              <w:autoSpaceDE w:val="0"/>
              <w:autoSpaceDN w:val="0"/>
              <w:adjustRightInd w:val="0"/>
              <w:ind w:left="60" w:right="60"/>
              <w:jc w:val="center"/>
              <w:rPr>
                <w:lang w:val="en-US"/>
              </w:rPr>
            </w:pPr>
            <w:r w:rsidRPr="00EC590A">
              <w:rPr>
                <w:lang w:val="en-US"/>
              </w:rPr>
              <w:t>0.</w:t>
            </w:r>
            <w:r w:rsidR="00EC590A" w:rsidRPr="00EC590A">
              <w:rPr>
                <w:lang w:val="en-US"/>
              </w:rPr>
              <w:t>30</w:t>
            </w:r>
          </w:p>
        </w:tc>
      </w:tr>
      <w:tr w:rsidR="006034E2" w:rsidRPr="00EC590A" w14:paraId="7D3600D8" w14:textId="77777777" w:rsidTr="00EC590A">
        <w:trPr>
          <w:cantSplit/>
          <w:tblHeader/>
        </w:trPr>
        <w:tc>
          <w:tcPr>
            <w:tcW w:w="881" w:type="pct"/>
            <w:tcBorders>
              <w:top w:val="nil"/>
              <w:left w:val="nil"/>
              <w:bottom w:val="nil"/>
              <w:right w:val="nil"/>
            </w:tcBorders>
            <w:shd w:val="clear" w:color="auto" w:fill="FFFFFF"/>
            <w:vAlign w:val="center"/>
          </w:tcPr>
          <w:p w14:paraId="729F456A"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1</w:t>
            </w:r>
          </w:p>
        </w:tc>
        <w:tc>
          <w:tcPr>
            <w:tcW w:w="763" w:type="pct"/>
            <w:tcBorders>
              <w:top w:val="nil"/>
              <w:left w:val="nil"/>
              <w:bottom w:val="nil"/>
              <w:right w:val="nil"/>
            </w:tcBorders>
            <w:shd w:val="clear" w:color="auto" w:fill="FFFFFF"/>
            <w:vAlign w:val="center"/>
          </w:tcPr>
          <w:p w14:paraId="6336EC11"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1</w:t>
            </w:r>
          </w:p>
        </w:tc>
        <w:tc>
          <w:tcPr>
            <w:tcW w:w="1080" w:type="pct"/>
            <w:tcBorders>
              <w:top w:val="nil"/>
              <w:left w:val="nil"/>
              <w:bottom w:val="nil"/>
              <w:right w:val="nil"/>
            </w:tcBorders>
            <w:shd w:val="clear" w:color="auto" w:fill="FFFFFF"/>
            <w:vAlign w:val="center"/>
          </w:tcPr>
          <w:p w14:paraId="4D0B2C0E"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0</w:t>
            </w:r>
          </w:p>
        </w:tc>
        <w:tc>
          <w:tcPr>
            <w:tcW w:w="1185" w:type="pct"/>
            <w:tcBorders>
              <w:top w:val="nil"/>
              <w:left w:val="nil"/>
              <w:bottom w:val="nil"/>
              <w:right w:val="nil"/>
            </w:tcBorders>
            <w:shd w:val="clear" w:color="auto" w:fill="FFFFFF"/>
            <w:vAlign w:val="center"/>
          </w:tcPr>
          <w:p w14:paraId="40A5F3CC" w14:textId="2FB351AF" w:rsidR="006034E2" w:rsidRPr="00EC590A" w:rsidRDefault="00EC590A" w:rsidP="006835DF">
            <w:pPr>
              <w:widowControl w:val="0"/>
              <w:autoSpaceDE w:val="0"/>
              <w:autoSpaceDN w:val="0"/>
              <w:adjustRightInd w:val="0"/>
              <w:ind w:left="60" w:right="60"/>
              <w:jc w:val="center"/>
              <w:rPr>
                <w:color w:val="000000"/>
                <w:lang w:val="en-US"/>
              </w:rPr>
            </w:pPr>
            <w:r w:rsidRPr="00EC590A">
              <w:rPr>
                <w:color w:val="000000"/>
                <w:lang w:val="en-US"/>
              </w:rPr>
              <w:t>7.5</w:t>
            </w:r>
          </w:p>
        </w:tc>
        <w:tc>
          <w:tcPr>
            <w:tcW w:w="1091" w:type="pct"/>
            <w:tcBorders>
              <w:top w:val="nil"/>
              <w:left w:val="nil"/>
              <w:bottom w:val="nil"/>
              <w:right w:val="nil"/>
            </w:tcBorders>
            <w:shd w:val="clear" w:color="auto" w:fill="FFFFFF"/>
            <w:vAlign w:val="center"/>
          </w:tcPr>
          <w:p w14:paraId="3986A35D" w14:textId="3CF5B0EF" w:rsidR="006034E2" w:rsidRPr="00EC590A" w:rsidRDefault="006034E2" w:rsidP="006835DF">
            <w:pPr>
              <w:widowControl w:val="0"/>
              <w:autoSpaceDE w:val="0"/>
              <w:autoSpaceDN w:val="0"/>
              <w:adjustRightInd w:val="0"/>
              <w:ind w:left="60" w:right="60"/>
              <w:jc w:val="center"/>
              <w:rPr>
                <w:lang w:val="en-US"/>
              </w:rPr>
            </w:pPr>
            <w:r w:rsidRPr="00EC590A">
              <w:rPr>
                <w:lang w:val="en-US"/>
              </w:rPr>
              <w:t>0.</w:t>
            </w:r>
            <w:r w:rsidR="00EC590A" w:rsidRPr="00EC590A">
              <w:rPr>
                <w:lang w:val="en-US"/>
              </w:rPr>
              <w:t>16</w:t>
            </w:r>
          </w:p>
        </w:tc>
      </w:tr>
      <w:tr w:rsidR="006034E2" w:rsidRPr="00A0515A" w14:paraId="119A2FDB" w14:textId="77777777" w:rsidTr="00EC590A">
        <w:trPr>
          <w:cantSplit/>
        </w:trPr>
        <w:tc>
          <w:tcPr>
            <w:tcW w:w="881" w:type="pct"/>
            <w:tcBorders>
              <w:top w:val="nil"/>
              <w:left w:val="nil"/>
              <w:bottom w:val="double" w:sz="4" w:space="0" w:color="auto"/>
              <w:right w:val="nil"/>
            </w:tcBorders>
            <w:shd w:val="clear" w:color="auto" w:fill="FFFFFF"/>
            <w:vAlign w:val="center"/>
          </w:tcPr>
          <w:p w14:paraId="1BCB6B69"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1</w:t>
            </w:r>
          </w:p>
        </w:tc>
        <w:tc>
          <w:tcPr>
            <w:tcW w:w="763" w:type="pct"/>
            <w:tcBorders>
              <w:top w:val="nil"/>
              <w:left w:val="nil"/>
              <w:bottom w:val="double" w:sz="4" w:space="0" w:color="auto"/>
              <w:right w:val="nil"/>
            </w:tcBorders>
            <w:shd w:val="clear" w:color="auto" w:fill="FFFFFF"/>
            <w:vAlign w:val="center"/>
          </w:tcPr>
          <w:p w14:paraId="65E4683E"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1</w:t>
            </w:r>
          </w:p>
        </w:tc>
        <w:tc>
          <w:tcPr>
            <w:tcW w:w="1080" w:type="pct"/>
            <w:tcBorders>
              <w:top w:val="nil"/>
              <w:left w:val="nil"/>
              <w:bottom w:val="double" w:sz="4" w:space="0" w:color="auto"/>
              <w:right w:val="nil"/>
            </w:tcBorders>
            <w:shd w:val="clear" w:color="auto" w:fill="FFFFFF"/>
            <w:vAlign w:val="center"/>
          </w:tcPr>
          <w:p w14:paraId="06800F35" w14:textId="77777777" w:rsidR="006034E2" w:rsidRPr="00EC590A" w:rsidRDefault="006034E2" w:rsidP="006835DF">
            <w:pPr>
              <w:widowControl w:val="0"/>
              <w:autoSpaceDE w:val="0"/>
              <w:autoSpaceDN w:val="0"/>
              <w:adjustRightInd w:val="0"/>
              <w:ind w:left="60" w:right="60"/>
              <w:jc w:val="center"/>
              <w:rPr>
                <w:color w:val="000000"/>
                <w:lang w:val="en-US"/>
              </w:rPr>
            </w:pPr>
            <w:r w:rsidRPr="00EC590A">
              <w:rPr>
                <w:color w:val="000000"/>
                <w:lang w:val="en-US"/>
              </w:rPr>
              <w:t>1</w:t>
            </w:r>
          </w:p>
        </w:tc>
        <w:tc>
          <w:tcPr>
            <w:tcW w:w="1185" w:type="pct"/>
            <w:tcBorders>
              <w:top w:val="nil"/>
              <w:left w:val="nil"/>
              <w:bottom w:val="double" w:sz="4" w:space="0" w:color="auto"/>
              <w:right w:val="nil"/>
            </w:tcBorders>
            <w:shd w:val="clear" w:color="auto" w:fill="FFFFFF"/>
            <w:vAlign w:val="center"/>
          </w:tcPr>
          <w:p w14:paraId="79D42151" w14:textId="10B12C8F" w:rsidR="006034E2" w:rsidRPr="00EC590A" w:rsidRDefault="00EC590A" w:rsidP="006835DF">
            <w:pPr>
              <w:widowControl w:val="0"/>
              <w:autoSpaceDE w:val="0"/>
              <w:autoSpaceDN w:val="0"/>
              <w:adjustRightInd w:val="0"/>
              <w:ind w:left="60" w:right="60"/>
              <w:jc w:val="center"/>
              <w:rPr>
                <w:color w:val="000000"/>
                <w:lang w:val="en-US"/>
              </w:rPr>
            </w:pPr>
            <w:r w:rsidRPr="00EC590A">
              <w:rPr>
                <w:color w:val="000000"/>
                <w:lang w:val="en-US"/>
              </w:rPr>
              <w:t>5.1</w:t>
            </w:r>
          </w:p>
        </w:tc>
        <w:tc>
          <w:tcPr>
            <w:tcW w:w="1091" w:type="pct"/>
            <w:tcBorders>
              <w:top w:val="nil"/>
              <w:left w:val="nil"/>
              <w:bottom w:val="double" w:sz="4" w:space="0" w:color="auto"/>
              <w:right w:val="nil"/>
            </w:tcBorders>
            <w:shd w:val="clear" w:color="auto" w:fill="FFFFFF"/>
            <w:vAlign w:val="center"/>
          </w:tcPr>
          <w:p w14:paraId="5A0F220D" w14:textId="452C3A53" w:rsidR="006034E2" w:rsidRPr="00EC590A" w:rsidRDefault="006034E2" w:rsidP="006835DF">
            <w:pPr>
              <w:widowControl w:val="0"/>
              <w:autoSpaceDE w:val="0"/>
              <w:autoSpaceDN w:val="0"/>
              <w:adjustRightInd w:val="0"/>
              <w:ind w:left="60" w:right="60"/>
              <w:jc w:val="center"/>
              <w:rPr>
                <w:lang w:val="en-US"/>
              </w:rPr>
            </w:pPr>
            <w:r w:rsidRPr="00EC590A">
              <w:rPr>
                <w:lang w:val="en-US"/>
              </w:rPr>
              <w:t>0.</w:t>
            </w:r>
            <w:r w:rsidR="00EC590A" w:rsidRPr="00EC590A">
              <w:rPr>
                <w:lang w:val="en-US"/>
              </w:rPr>
              <w:t>4</w:t>
            </w:r>
            <w:r w:rsidRPr="00EC590A">
              <w:rPr>
                <w:lang w:val="en-US"/>
              </w:rPr>
              <w:t>2</w:t>
            </w:r>
          </w:p>
        </w:tc>
      </w:tr>
    </w:tbl>
    <w:p w14:paraId="632AA3F2" w14:textId="77777777" w:rsidR="006034E2" w:rsidRPr="00A0515A" w:rsidRDefault="006034E2" w:rsidP="006835DF">
      <w:pPr>
        <w:pStyle w:val="Heading2"/>
        <w:spacing w:line="240" w:lineRule="auto"/>
        <w:rPr>
          <w:highlight w:val="yellow"/>
        </w:rPr>
      </w:pPr>
    </w:p>
    <w:p w14:paraId="75E06E60" w14:textId="77777777" w:rsidR="006034E2" w:rsidRPr="000934F6" w:rsidRDefault="006034E2" w:rsidP="006835DF">
      <w:pPr>
        <w:pStyle w:val="Heading2"/>
        <w:spacing w:line="240" w:lineRule="auto"/>
      </w:pPr>
      <w:r w:rsidRPr="000934F6">
        <w:t>Predicting future water poverty in England and Wales</w:t>
      </w:r>
    </w:p>
    <w:p w14:paraId="111389B0" w14:textId="2DC8FC8C" w:rsidR="006034E2" w:rsidRPr="000934F6" w:rsidRDefault="006034E2" w:rsidP="006835DF">
      <w:r w:rsidRPr="000934F6">
        <w:t xml:space="preserve">Low income </w:t>
      </w:r>
      <w:r w:rsidR="003A23B8" w:rsidRPr="000934F6">
        <w:t>working</w:t>
      </w:r>
      <w:r w:rsidR="00111622">
        <w:t>-a</w:t>
      </w:r>
      <w:r w:rsidR="003A23B8" w:rsidRPr="000934F6">
        <w:t xml:space="preserve">ge </w:t>
      </w:r>
      <w:r w:rsidRPr="000934F6">
        <w:t xml:space="preserve">households (with a high risk of water poverty) depend on cash benefits which </w:t>
      </w:r>
      <w:r w:rsidR="003A23B8" w:rsidRPr="000934F6">
        <w:t xml:space="preserve">were frozen for four years from 2016. We do not know yet whether the £20 </w:t>
      </w:r>
      <w:r w:rsidR="004179ED" w:rsidRPr="000934F6">
        <w:t xml:space="preserve">per week </w:t>
      </w:r>
      <w:r w:rsidR="003A23B8" w:rsidRPr="000934F6">
        <w:t>Covid uplift in Universal Credit will continue beyond April 2021. Pensioners have been protected by the triple lock. But for other households it is highly likely that real incomes will fall, especially with rising unemployment.</w:t>
      </w:r>
      <w:r w:rsidR="00C53113">
        <w:t xml:space="preserve"> </w:t>
      </w:r>
    </w:p>
    <w:p w14:paraId="3595D3EB" w14:textId="77777777" w:rsidR="006034E2" w:rsidRPr="00A0515A" w:rsidRDefault="006034E2" w:rsidP="006835DF">
      <w:pPr>
        <w:rPr>
          <w:highlight w:val="yellow"/>
        </w:rPr>
      </w:pPr>
    </w:p>
    <w:p w14:paraId="4FEFB3F0" w14:textId="797045D4" w:rsidR="006034E2" w:rsidRPr="000934F6" w:rsidRDefault="006034E2" w:rsidP="006835DF">
      <w:r w:rsidRPr="000934F6">
        <w:t xml:space="preserve">Turning to focus on water, we have already seen </w:t>
      </w:r>
      <w:r w:rsidR="003A23B8" w:rsidRPr="000934F6">
        <w:t xml:space="preserve">in Figure 1 </w:t>
      </w:r>
      <w:r w:rsidRPr="000934F6">
        <w:t xml:space="preserve">that prices since privatisation have increased at a faster rate than overall prices and earnings. If this continues, even if the CPI uprating of benefits continues, water charges are going to place an increased burden on low income households. </w:t>
      </w:r>
      <w:r w:rsidR="00175DAE" w:rsidRPr="00175DAE">
        <w:t>Also</w:t>
      </w:r>
      <w:r w:rsidR="00175DAE">
        <w:t>,</w:t>
      </w:r>
      <w:r w:rsidR="00175DAE" w:rsidRPr="00175DAE">
        <w:t xml:space="preserve"> maybe bills will increase for metered customers as a result of increased water use at home during lock-down.</w:t>
      </w:r>
    </w:p>
    <w:p w14:paraId="1A9637A4" w14:textId="77777777" w:rsidR="003A23B8" w:rsidRPr="00A0515A" w:rsidRDefault="003A23B8" w:rsidP="006835DF">
      <w:pPr>
        <w:rPr>
          <w:highlight w:val="yellow"/>
        </w:rPr>
      </w:pPr>
    </w:p>
    <w:p w14:paraId="6CF57337" w14:textId="338E4803" w:rsidR="006034E2" w:rsidRPr="000934F6" w:rsidRDefault="006034E2" w:rsidP="006835DF">
      <w:r w:rsidRPr="000934F6">
        <w:t>The rate of water poverty is a function of the size of the water bill and the income of the household. So</w:t>
      </w:r>
      <w:r w:rsidR="00A40786">
        <w:t>,</w:t>
      </w:r>
      <w:r w:rsidRPr="000934F6">
        <w:t xml:space="preserve"> in order to predict what is going to happen to water poverty in the future we need to predict what is going to happen to the level of water bills and to household incomes over the next 20 or so years. In almost any period in the last 60 years it would have been difficult to do this successfully, but at this time it is particularly challenging.</w:t>
      </w:r>
      <w:r w:rsidR="003A23B8" w:rsidRPr="000934F6">
        <w:t xml:space="preserve"> </w:t>
      </w:r>
      <w:r w:rsidRPr="000934F6">
        <w:t>Clearly the relationship between water charges and incomes can be very complex and may well differ for consumers with different sources of income.</w:t>
      </w:r>
    </w:p>
    <w:p w14:paraId="1F5203E9" w14:textId="77777777" w:rsidR="006034E2" w:rsidRPr="00A0515A" w:rsidRDefault="006034E2" w:rsidP="006835DF">
      <w:pPr>
        <w:rPr>
          <w:highlight w:val="yellow"/>
        </w:rPr>
      </w:pPr>
    </w:p>
    <w:p w14:paraId="286CD019" w14:textId="55C21CFA" w:rsidR="006034E2" w:rsidRPr="000934F6" w:rsidRDefault="006034E2" w:rsidP="006835DF">
      <w:r w:rsidRPr="000934F6">
        <w:t>We decided to model a range of simple scenarios of the possible relationship between bills and income between 20</w:t>
      </w:r>
      <w:r w:rsidR="003A23B8" w:rsidRPr="000934F6">
        <w:t>18</w:t>
      </w:r>
      <w:r w:rsidRPr="000934F6">
        <w:t>-</w:t>
      </w:r>
      <w:r w:rsidR="003A23B8" w:rsidRPr="000934F6">
        <w:t>19</w:t>
      </w:r>
      <w:r w:rsidRPr="000934F6">
        <w:t xml:space="preserve"> and 2033. They are:</w:t>
      </w:r>
    </w:p>
    <w:p w14:paraId="71780960" w14:textId="77777777" w:rsidR="006034E2" w:rsidRPr="000934F6" w:rsidRDefault="006034E2" w:rsidP="006835DF">
      <w:pPr>
        <w:pStyle w:val="ListParagraph"/>
        <w:numPr>
          <w:ilvl w:val="0"/>
          <w:numId w:val="3"/>
        </w:numPr>
      </w:pPr>
      <w:r w:rsidRPr="000934F6">
        <w:t>Water bills will fall by 1% per year faster than average household income</w:t>
      </w:r>
    </w:p>
    <w:p w14:paraId="250C8DDB" w14:textId="77777777" w:rsidR="006034E2" w:rsidRPr="000934F6" w:rsidRDefault="006034E2" w:rsidP="006835DF">
      <w:pPr>
        <w:pStyle w:val="ListParagraph"/>
        <w:numPr>
          <w:ilvl w:val="0"/>
          <w:numId w:val="3"/>
        </w:numPr>
      </w:pPr>
      <w:r w:rsidRPr="000934F6">
        <w:t>Water bills will rise by 0% per year faster than average household income</w:t>
      </w:r>
    </w:p>
    <w:p w14:paraId="6DAAC646" w14:textId="77777777" w:rsidR="006034E2" w:rsidRPr="000934F6" w:rsidRDefault="006034E2" w:rsidP="006835DF">
      <w:pPr>
        <w:pStyle w:val="ListParagraph"/>
        <w:numPr>
          <w:ilvl w:val="0"/>
          <w:numId w:val="3"/>
        </w:numPr>
      </w:pPr>
      <w:r w:rsidRPr="000934F6">
        <w:t>Water bills will rise by 1% per year faster than average household income</w:t>
      </w:r>
    </w:p>
    <w:p w14:paraId="4B8562B7" w14:textId="77777777" w:rsidR="006034E2" w:rsidRPr="000934F6" w:rsidRDefault="006034E2" w:rsidP="006835DF">
      <w:pPr>
        <w:pStyle w:val="ListParagraph"/>
        <w:numPr>
          <w:ilvl w:val="0"/>
          <w:numId w:val="3"/>
        </w:numPr>
      </w:pPr>
      <w:r w:rsidRPr="000934F6">
        <w:t>Water bills will rise by 2% per year faster than average household income</w:t>
      </w:r>
    </w:p>
    <w:p w14:paraId="5728E6E9" w14:textId="77777777" w:rsidR="006034E2" w:rsidRPr="000934F6" w:rsidRDefault="006034E2" w:rsidP="006835DF">
      <w:pPr>
        <w:pStyle w:val="ListParagraph"/>
        <w:numPr>
          <w:ilvl w:val="0"/>
          <w:numId w:val="3"/>
        </w:numPr>
      </w:pPr>
      <w:r w:rsidRPr="000934F6">
        <w:t>Water bills will rise by 3% per year faster than average household income</w:t>
      </w:r>
    </w:p>
    <w:p w14:paraId="572F7014" w14:textId="77777777" w:rsidR="006034E2" w:rsidRPr="00A0515A" w:rsidRDefault="006034E2" w:rsidP="006835DF">
      <w:pPr>
        <w:rPr>
          <w:highlight w:val="yellow"/>
        </w:rPr>
      </w:pPr>
    </w:p>
    <w:p w14:paraId="51EB9DA2" w14:textId="38541508" w:rsidR="006034E2" w:rsidRPr="00C53113" w:rsidRDefault="006034E2" w:rsidP="006835DF">
      <w:pPr>
        <w:rPr>
          <w:b/>
          <w:bCs/>
        </w:rPr>
      </w:pPr>
      <w:r w:rsidRPr="00C53113">
        <w:t>The results for water poverty in 2033 are shown in Table 7. If there were no increase in water bills from 20</w:t>
      </w:r>
      <w:r w:rsidR="00277D80" w:rsidRPr="00C53113">
        <w:t>18/19</w:t>
      </w:r>
      <w:r w:rsidRPr="00C53113">
        <w:t xml:space="preserve"> </w:t>
      </w:r>
      <w:r w:rsidR="00305351" w:rsidRPr="00C53113">
        <w:t>levels,</w:t>
      </w:r>
      <w:r w:rsidRPr="00C53113">
        <w:t xml:space="preserve"> then the water poverty rate would remain at </w:t>
      </w:r>
      <w:r w:rsidR="00175DAE">
        <w:t>19.3%</w:t>
      </w:r>
      <w:r w:rsidRPr="00C53113">
        <w:t xml:space="preserve"> using the 3% water poverty threshold </w:t>
      </w:r>
      <w:r w:rsidR="00175DAE">
        <w:t xml:space="preserve">and unequivalised income </w:t>
      </w:r>
      <w:r w:rsidRPr="00C53113">
        <w:t xml:space="preserve">and </w:t>
      </w:r>
      <w:r w:rsidR="00175DAE">
        <w:t>9.1%</w:t>
      </w:r>
      <w:r w:rsidRPr="00C53113">
        <w:t xml:space="preserve"> using the 5% threshold. If water bills increased by 3 per cent per year more than income</w:t>
      </w:r>
      <w:r w:rsidR="00864636">
        <w:t>,</w:t>
      </w:r>
      <w:r w:rsidRPr="00C53113">
        <w:t xml:space="preserve"> then by 2033 the water poverty rate </w:t>
      </w:r>
      <w:r w:rsidRPr="00C53113">
        <w:lastRenderedPageBreak/>
        <w:t xml:space="preserve">would affect more than </w:t>
      </w:r>
      <w:r w:rsidR="00175DAE">
        <w:t>a third</w:t>
      </w:r>
      <w:r w:rsidRPr="00C53113">
        <w:t xml:space="preserve"> of all households (</w:t>
      </w:r>
      <w:r w:rsidR="00424CD8">
        <w:t>34.2</w:t>
      </w:r>
      <w:r w:rsidRPr="00C53113">
        <w:t xml:space="preserve">%) at the 3% threshold and nearly </w:t>
      </w:r>
      <w:r w:rsidR="00175DAE">
        <w:t>17</w:t>
      </w:r>
      <w:r w:rsidRPr="00C53113">
        <w:t xml:space="preserve">% at the 5% threshold. </w:t>
      </w:r>
      <w:r w:rsidRPr="00C53113">
        <w:rPr>
          <w:b/>
          <w:bCs/>
        </w:rPr>
        <w:t>This is holding all other factors constant.</w:t>
      </w:r>
    </w:p>
    <w:p w14:paraId="570B3F0B" w14:textId="77777777" w:rsidR="006034E2" w:rsidRPr="00C53113" w:rsidRDefault="006034E2">
      <w:pPr>
        <w:spacing w:line="276" w:lineRule="auto"/>
        <w:rPr>
          <w:b/>
          <w:bCs/>
          <w:lang w:val="en-US" w:eastAsia="ru-RU"/>
        </w:rPr>
      </w:pPr>
    </w:p>
    <w:p w14:paraId="657E781D" w14:textId="12C057C7" w:rsidR="006034E2" w:rsidRPr="00C53113" w:rsidRDefault="006034E2" w:rsidP="006835DF">
      <w:pPr>
        <w:pStyle w:val="tabfig"/>
        <w:spacing w:after="0"/>
      </w:pPr>
      <w:r w:rsidRPr="00C53113">
        <w:t>Table 7: Water poverty rates in 2033 given various year on year changes in bills relative to income from 20</w:t>
      </w:r>
      <w:r w:rsidR="00277D80" w:rsidRPr="00C53113">
        <w:t>18/19</w:t>
      </w:r>
      <w:r w:rsidRPr="00C53113">
        <w:t>. Percentage of households spending more than the threshold of income on water bills: England and Wales</w:t>
      </w:r>
    </w:p>
    <w:tbl>
      <w:tblPr>
        <w:tblStyle w:val="TableGrid"/>
        <w:tblW w:w="0" w:type="auto"/>
        <w:tblLook w:val="00A0" w:firstRow="1" w:lastRow="0" w:firstColumn="1" w:lastColumn="0" w:noHBand="0" w:noVBand="0"/>
      </w:tblPr>
      <w:tblGrid>
        <w:gridCol w:w="2472"/>
        <w:gridCol w:w="1308"/>
        <w:gridCol w:w="1309"/>
        <w:gridCol w:w="1309"/>
        <w:gridCol w:w="1309"/>
        <w:gridCol w:w="1309"/>
      </w:tblGrid>
      <w:tr w:rsidR="006034E2" w:rsidRPr="00C53113" w14:paraId="35E7535E" w14:textId="77777777" w:rsidTr="00C53113">
        <w:tc>
          <w:tcPr>
            <w:tcW w:w="2518" w:type="dxa"/>
          </w:tcPr>
          <w:p w14:paraId="3FD2D8B0" w14:textId="77777777" w:rsidR="006034E2" w:rsidRPr="00C53113" w:rsidRDefault="006034E2" w:rsidP="00EF01DB">
            <w:r w:rsidRPr="00C53113">
              <w:t>Water poverty threshold (% of income spent on water)</w:t>
            </w:r>
          </w:p>
        </w:tc>
        <w:tc>
          <w:tcPr>
            <w:tcW w:w="6724" w:type="dxa"/>
            <w:gridSpan w:val="5"/>
          </w:tcPr>
          <w:p w14:paraId="16CF9DD9" w14:textId="77777777" w:rsidR="006034E2" w:rsidRPr="00C53113" w:rsidRDefault="006034E2" w:rsidP="00EF01DB">
            <w:pPr>
              <w:jc w:val="center"/>
            </w:pPr>
            <w:r w:rsidRPr="00C53113">
              <w:t>Water bills rise faster than average income by:</w:t>
            </w:r>
          </w:p>
        </w:tc>
      </w:tr>
      <w:tr w:rsidR="006034E2" w:rsidRPr="00C53113" w14:paraId="1E9E048F" w14:textId="77777777" w:rsidTr="00C53113">
        <w:tc>
          <w:tcPr>
            <w:tcW w:w="2518" w:type="dxa"/>
          </w:tcPr>
          <w:p w14:paraId="06760635" w14:textId="249E3BEB" w:rsidR="006034E2" w:rsidRPr="00175DAE" w:rsidRDefault="00C53113" w:rsidP="00EF01DB">
            <w:pPr>
              <w:rPr>
                <w:lang w:val="en-GB"/>
              </w:rPr>
            </w:pPr>
            <w:r w:rsidRPr="00175DAE">
              <w:rPr>
                <w:lang w:val="en-GB"/>
              </w:rPr>
              <w:t>Unequivalised income</w:t>
            </w:r>
          </w:p>
        </w:tc>
        <w:tc>
          <w:tcPr>
            <w:tcW w:w="1344" w:type="dxa"/>
          </w:tcPr>
          <w:p w14:paraId="78D8D68C" w14:textId="77777777" w:rsidR="006034E2" w:rsidRPr="00175DAE" w:rsidRDefault="006034E2" w:rsidP="00EF01DB">
            <w:pPr>
              <w:jc w:val="center"/>
            </w:pPr>
            <w:r w:rsidRPr="00175DAE">
              <w:t>-1% pa</w:t>
            </w:r>
          </w:p>
        </w:tc>
        <w:tc>
          <w:tcPr>
            <w:tcW w:w="1345" w:type="dxa"/>
          </w:tcPr>
          <w:p w14:paraId="31ABBB03" w14:textId="77777777" w:rsidR="006034E2" w:rsidRPr="00175DAE" w:rsidRDefault="006034E2" w:rsidP="00EF01DB">
            <w:pPr>
              <w:jc w:val="center"/>
            </w:pPr>
            <w:r w:rsidRPr="00175DAE">
              <w:t>0% pa</w:t>
            </w:r>
          </w:p>
        </w:tc>
        <w:tc>
          <w:tcPr>
            <w:tcW w:w="1345" w:type="dxa"/>
          </w:tcPr>
          <w:p w14:paraId="24322933" w14:textId="77777777" w:rsidR="006034E2" w:rsidRPr="00175DAE" w:rsidRDefault="006034E2" w:rsidP="00EF01DB">
            <w:pPr>
              <w:jc w:val="center"/>
            </w:pPr>
            <w:r w:rsidRPr="00175DAE">
              <w:t>1% pa</w:t>
            </w:r>
          </w:p>
        </w:tc>
        <w:tc>
          <w:tcPr>
            <w:tcW w:w="1345" w:type="dxa"/>
          </w:tcPr>
          <w:p w14:paraId="33634B77" w14:textId="77777777" w:rsidR="006034E2" w:rsidRPr="00175DAE" w:rsidRDefault="006034E2" w:rsidP="00EF01DB">
            <w:pPr>
              <w:jc w:val="center"/>
            </w:pPr>
            <w:r w:rsidRPr="00175DAE">
              <w:t>2% pa</w:t>
            </w:r>
          </w:p>
        </w:tc>
        <w:tc>
          <w:tcPr>
            <w:tcW w:w="1345" w:type="dxa"/>
          </w:tcPr>
          <w:p w14:paraId="0352E814" w14:textId="77777777" w:rsidR="006034E2" w:rsidRPr="00175DAE" w:rsidRDefault="006034E2" w:rsidP="00EF01DB">
            <w:pPr>
              <w:jc w:val="center"/>
            </w:pPr>
            <w:r w:rsidRPr="00175DAE">
              <w:t>3% pa</w:t>
            </w:r>
          </w:p>
        </w:tc>
      </w:tr>
      <w:tr w:rsidR="006034E2" w:rsidRPr="00C53113" w14:paraId="25EE1A33" w14:textId="77777777" w:rsidTr="00C53113">
        <w:tc>
          <w:tcPr>
            <w:tcW w:w="2518" w:type="dxa"/>
          </w:tcPr>
          <w:p w14:paraId="2F21ABC2" w14:textId="77777777" w:rsidR="006034E2" w:rsidRPr="00C53113" w:rsidRDefault="006034E2" w:rsidP="00EF01DB">
            <w:r w:rsidRPr="00C53113">
              <w:t>3% threshold</w:t>
            </w:r>
          </w:p>
        </w:tc>
        <w:tc>
          <w:tcPr>
            <w:tcW w:w="1344" w:type="dxa"/>
          </w:tcPr>
          <w:p w14:paraId="39C6F8BC" w14:textId="0230A6F6" w:rsidR="006034E2" w:rsidRPr="00C53113" w:rsidRDefault="00C53113" w:rsidP="00EF01DB">
            <w:pPr>
              <w:jc w:val="center"/>
              <w:rPr>
                <w:lang w:val="en-GB"/>
              </w:rPr>
            </w:pPr>
            <w:r w:rsidRPr="00C53113">
              <w:rPr>
                <w:lang w:val="en-GB"/>
              </w:rPr>
              <w:t>15.6</w:t>
            </w:r>
          </w:p>
        </w:tc>
        <w:tc>
          <w:tcPr>
            <w:tcW w:w="1345" w:type="dxa"/>
          </w:tcPr>
          <w:p w14:paraId="2141142C" w14:textId="369DB5D2" w:rsidR="006034E2" w:rsidRPr="00C53113" w:rsidRDefault="00C53113" w:rsidP="00EF01DB">
            <w:pPr>
              <w:jc w:val="center"/>
              <w:rPr>
                <w:lang w:val="en-GB"/>
              </w:rPr>
            </w:pPr>
            <w:r w:rsidRPr="00C53113">
              <w:rPr>
                <w:lang w:val="en-GB"/>
              </w:rPr>
              <w:t>19.3</w:t>
            </w:r>
          </w:p>
        </w:tc>
        <w:tc>
          <w:tcPr>
            <w:tcW w:w="1345" w:type="dxa"/>
          </w:tcPr>
          <w:p w14:paraId="58AFA796" w14:textId="7E52047A" w:rsidR="006034E2" w:rsidRPr="00C53113" w:rsidRDefault="00C53113" w:rsidP="00EF01DB">
            <w:pPr>
              <w:jc w:val="center"/>
              <w:rPr>
                <w:lang w:val="en-GB"/>
              </w:rPr>
            </w:pPr>
            <w:r w:rsidRPr="00C53113">
              <w:rPr>
                <w:lang w:val="en-GB"/>
              </w:rPr>
              <w:t>23.7</w:t>
            </w:r>
          </w:p>
        </w:tc>
        <w:tc>
          <w:tcPr>
            <w:tcW w:w="1345" w:type="dxa"/>
          </w:tcPr>
          <w:p w14:paraId="65BD09E5" w14:textId="5E865893" w:rsidR="006034E2" w:rsidRPr="00C53113" w:rsidRDefault="00C53113" w:rsidP="00EF01DB">
            <w:pPr>
              <w:jc w:val="center"/>
              <w:rPr>
                <w:lang w:val="en-GB"/>
              </w:rPr>
            </w:pPr>
            <w:r w:rsidRPr="00C53113">
              <w:rPr>
                <w:lang w:val="en-GB"/>
              </w:rPr>
              <w:t>28.8</w:t>
            </w:r>
          </w:p>
        </w:tc>
        <w:tc>
          <w:tcPr>
            <w:tcW w:w="1345" w:type="dxa"/>
          </w:tcPr>
          <w:p w14:paraId="20317F51" w14:textId="7A833A16" w:rsidR="006034E2" w:rsidRPr="00C53113" w:rsidRDefault="00C53113" w:rsidP="00EF01DB">
            <w:pPr>
              <w:jc w:val="center"/>
              <w:rPr>
                <w:lang w:val="en-GB"/>
              </w:rPr>
            </w:pPr>
            <w:r w:rsidRPr="00C53113">
              <w:rPr>
                <w:lang w:val="en-GB"/>
              </w:rPr>
              <w:t>34.2</w:t>
            </w:r>
          </w:p>
        </w:tc>
      </w:tr>
      <w:tr w:rsidR="006034E2" w:rsidRPr="00C53113" w14:paraId="3BC4686A" w14:textId="77777777" w:rsidTr="00C53113">
        <w:tc>
          <w:tcPr>
            <w:tcW w:w="2518" w:type="dxa"/>
          </w:tcPr>
          <w:p w14:paraId="3A6FCCDA" w14:textId="77777777" w:rsidR="006034E2" w:rsidRPr="00C53113" w:rsidRDefault="006034E2" w:rsidP="00EF01DB">
            <w:r w:rsidRPr="00C53113">
              <w:t>5% threshold</w:t>
            </w:r>
          </w:p>
        </w:tc>
        <w:tc>
          <w:tcPr>
            <w:tcW w:w="1344" w:type="dxa"/>
          </w:tcPr>
          <w:p w14:paraId="6E12951E" w14:textId="35529044" w:rsidR="006034E2" w:rsidRPr="00C53113" w:rsidRDefault="00C53113" w:rsidP="00EF01DB">
            <w:pPr>
              <w:jc w:val="center"/>
              <w:rPr>
                <w:lang w:val="en-GB"/>
              </w:rPr>
            </w:pPr>
            <w:r w:rsidRPr="00C53113">
              <w:rPr>
                <w:lang w:val="en-GB"/>
              </w:rPr>
              <w:t>7.5</w:t>
            </w:r>
          </w:p>
        </w:tc>
        <w:tc>
          <w:tcPr>
            <w:tcW w:w="1345" w:type="dxa"/>
          </w:tcPr>
          <w:p w14:paraId="59EF9C81" w14:textId="7FDB6AA7" w:rsidR="006034E2" w:rsidRPr="00C53113" w:rsidRDefault="00C53113" w:rsidP="00EF01DB">
            <w:pPr>
              <w:jc w:val="center"/>
              <w:rPr>
                <w:lang w:val="en-GB"/>
              </w:rPr>
            </w:pPr>
            <w:r w:rsidRPr="00C53113">
              <w:rPr>
                <w:lang w:val="en-GB"/>
              </w:rPr>
              <w:t>9.1</w:t>
            </w:r>
          </w:p>
        </w:tc>
        <w:tc>
          <w:tcPr>
            <w:tcW w:w="1345" w:type="dxa"/>
          </w:tcPr>
          <w:p w14:paraId="5853DD66" w14:textId="4230F140" w:rsidR="006034E2" w:rsidRPr="00C53113" w:rsidRDefault="00C53113" w:rsidP="00EF01DB">
            <w:pPr>
              <w:jc w:val="center"/>
              <w:rPr>
                <w:lang w:val="en-GB"/>
              </w:rPr>
            </w:pPr>
            <w:r w:rsidRPr="00C53113">
              <w:rPr>
                <w:lang w:val="en-GB"/>
              </w:rPr>
              <w:t>11.0</w:t>
            </w:r>
          </w:p>
        </w:tc>
        <w:tc>
          <w:tcPr>
            <w:tcW w:w="1345" w:type="dxa"/>
          </w:tcPr>
          <w:p w14:paraId="24617869" w14:textId="4F058728" w:rsidR="006034E2" w:rsidRPr="00C53113" w:rsidRDefault="00C53113" w:rsidP="00EF01DB">
            <w:pPr>
              <w:jc w:val="center"/>
              <w:rPr>
                <w:lang w:val="en-GB"/>
              </w:rPr>
            </w:pPr>
            <w:r w:rsidRPr="00C53113">
              <w:rPr>
                <w:lang w:val="en-GB"/>
              </w:rPr>
              <w:t>13.7</w:t>
            </w:r>
          </w:p>
        </w:tc>
        <w:tc>
          <w:tcPr>
            <w:tcW w:w="1345" w:type="dxa"/>
          </w:tcPr>
          <w:p w14:paraId="4A550C44" w14:textId="56EE9298" w:rsidR="006034E2" w:rsidRPr="00C53113" w:rsidRDefault="00C53113" w:rsidP="00EF01DB">
            <w:pPr>
              <w:jc w:val="center"/>
              <w:rPr>
                <w:lang w:val="en-GB"/>
              </w:rPr>
            </w:pPr>
            <w:r w:rsidRPr="00C53113">
              <w:rPr>
                <w:lang w:val="en-GB"/>
              </w:rPr>
              <w:t>16.6</w:t>
            </w:r>
          </w:p>
        </w:tc>
      </w:tr>
      <w:tr w:rsidR="00C53113" w:rsidRPr="00C53113" w14:paraId="70F3F39A" w14:textId="77777777" w:rsidTr="00C53113">
        <w:tc>
          <w:tcPr>
            <w:tcW w:w="2518" w:type="dxa"/>
          </w:tcPr>
          <w:p w14:paraId="6DA33CFE" w14:textId="57010E97" w:rsidR="00C53113" w:rsidRPr="00C53113" w:rsidRDefault="00C53113" w:rsidP="00EF01DB">
            <w:pPr>
              <w:rPr>
                <w:lang w:val="en-GB"/>
              </w:rPr>
            </w:pPr>
            <w:r w:rsidRPr="00C53113">
              <w:rPr>
                <w:lang w:val="en-GB"/>
              </w:rPr>
              <w:t>Equivalised income</w:t>
            </w:r>
          </w:p>
        </w:tc>
        <w:tc>
          <w:tcPr>
            <w:tcW w:w="1344" w:type="dxa"/>
          </w:tcPr>
          <w:p w14:paraId="2A67C7B9" w14:textId="77777777" w:rsidR="00C53113" w:rsidRPr="00C53113" w:rsidRDefault="00C53113" w:rsidP="00EF01DB">
            <w:pPr>
              <w:jc w:val="center"/>
            </w:pPr>
          </w:p>
        </w:tc>
        <w:tc>
          <w:tcPr>
            <w:tcW w:w="1345" w:type="dxa"/>
          </w:tcPr>
          <w:p w14:paraId="6A65C9F7" w14:textId="77777777" w:rsidR="00C53113" w:rsidRPr="00C53113" w:rsidRDefault="00C53113" w:rsidP="00EF01DB">
            <w:pPr>
              <w:jc w:val="center"/>
            </w:pPr>
          </w:p>
        </w:tc>
        <w:tc>
          <w:tcPr>
            <w:tcW w:w="1345" w:type="dxa"/>
          </w:tcPr>
          <w:p w14:paraId="5E01E6B0" w14:textId="77777777" w:rsidR="00C53113" w:rsidRPr="00C53113" w:rsidRDefault="00C53113" w:rsidP="00EF01DB">
            <w:pPr>
              <w:jc w:val="center"/>
            </w:pPr>
          </w:p>
        </w:tc>
        <w:tc>
          <w:tcPr>
            <w:tcW w:w="1345" w:type="dxa"/>
          </w:tcPr>
          <w:p w14:paraId="09FBE59A" w14:textId="77777777" w:rsidR="00C53113" w:rsidRPr="00C53113" w:rsidRDefault="00C53113" w:rsidP="00EF01DB">
            <w:pPr>
              <w:jc w:val="center"/>
            </w:pPr>
          </w:p>
        </w:tc>
        <w:tc>
          <w:tcPr>
            <w:tcW w:w="1345" w:type="dxa"/>
          </w:tcPr>
          <w:p w14:paraId="1FA3FB7F" w14:textId="77777777" w:rsidR="00C53113" w:rsidRPr="00C53113" w:rsidRDefault="00C53113" w:rsidP="00EF01DB">
            <w:pPr>
              <w:jc w:val="center"/>
            </w:pPr>
          </w:p>
        </w:tc>
      </w:tr>
      <w:tr w:rsidR="00C53113" w:rsidRPr="00C53113" w14:paraId="53628EDC" w14:textId="77777777" w:rsidTr="00C53113">
        <w:tc>
          <w:tcPr>
            <w:tcW w:w="2518" w:type="dxa"/>
          </w:tcPr>
          <w:p w14:paraId="7C9EA6C6" w14:textId="296F3DBD" w:rsidR="00C53113" w:rsidRPr="00C53113" w:rsidRDefault="00C53113" w:rsidP="00EF01DB">
            <w:pPr>
              <w:rPr>
                <w:lang w:val="en-GB"/>
              </w:rPr>
            </w:pPr>
            <w:r w:rsidRPr="00C53113">
              <w:rPr>
                <w:lang w:val="en-GB"/>
              </w:rPr>
              <w:t>3% thr</w:t>
            </w:r>
            <w:r w:rsidR="00175DAE">
              <w:rPr>
                <w:lang w:val="en-GB"/>
              </w:rPr>
              <w:t>e</w:t>
            </w:r>
            <w:r w:rsidRPr="00C53113">
              <w:rPr>
                <w:lang w:val="en-GB"/>
              </w:rPr>
              <w:t>shold</w:t>
            </w:r>
          </w:p>
        </w:tc>
        <w:tc>
          <w:tcPr>
            <w:tcW w:w="1344" w:type="dxa"/>
          </w:tcPr>
          <w:p w14:paraId="6D70FD0E" w14:textId="2135A73F" w:rsidR="00C53113" w:rsidRPr="00C53113" w:rsidRDefault="00C53113" w:rsidP="00EF01DB">
            <w:pPr>
              <w:jc w:val="center"/>
              <w:rPr>
                <w:lang w:val="en-GB"/>
              </w:rPr>
            </w:pPr>
            <w:r w:rsidRPr="00C53113">
              <w:rPr>
                <w:lang w:val="en-GB"/>
              </w:rPr>
              <w:t>16.7</w:t>
            </w:r>
          </w:p>
        </w:tc>
        <w:tc>
          <w:tcPr>
            <w:tcW w:w="1345" w:type="dxa"/>
          </w:tcPr>
          <w:p w14:paraId="22A8E285" w14:textId="732FAE05" w:rsidR="00C53113" w:rsidRPr="00C53113" w:rsidRDefault="00C53113" w:rsidP="00EF01DB">
            <w:pPr>
              <w:jc w:val="center"/>
              <w:rPr>
                <w:lang w:val="en-GB"/>
              </w:rPr>
            </w:pPr>
            <w:r w:rsidRPr="00C53113">
              <w:rPr>
                <w:lang w:val="en-GB"/>
              </w:rPr>
              <w:t>21.6</w:t>
            </w:r>
          </w:p>
        </w:tc>
        <w:tc>
          <w:tcPr>
            <w:tcW w:w="1345" w:type="dxa"/>
          </w:tcPr>
          <w:p w14:paraId="4406D977" w14:textId="75EF8C40" w:rsidR="00C53113" w:rsidRPr="00C53113" w:rsidRDefault="00C53113" w:rsidP="00EF01DB">
            <w:pPr>
              <w:jc w:val="center"/>
              <w:rPr>
                <w:lang w:val="en-GB"/>
              </w:rPr>
            </w:pPr>
            <w:r w:rsidRPr="00C53113">
              <w:rPr>
                <w:lang w:val="en-GB"/>
              </w:rPr>
              <w:t>27.0</w:t>
            </w:r>
          </w:p>
        </w:tc>
        <w:tc>
          <w:tcPr>
            <w:tcW w:w="1345" w:type="dxa"/>
          </w:tcPr>
          <w:p w14:paraId="55D17934" w14:textId="3E8176A3" w:rsidR="00C53113" w:rsidRPr="00C53113" w:rsidRDefault="00C53113" w:rsidP="00EF01DB">
            <w:pPr>
              <w:jc w:val="center"/>
              <w:rPr>
                <w:lang w:val="en-GB"/>
              </w:rPr>
            </w:pPr>
            <w:r w:rsidRPr="00C53113">
              <w:rPr>
                <w:lang w:val="en-GB"/>
              </w:rPr>
              <w:t>32.9</w:t>
            </w:r>
          </w:p>
        </w:tc>
        <w:tc>
          <w:tcPr>
            <w:tcW w:w="1345" w:type="dxa"/>
          </w:tcPr>
          <w:p w14:paraId="6023AAF6" w14:textId="410BD7E6" w:rsidR="00C53113" w:rsidRPr="00C53113" w:rsidRDefault="00C53113" w:rsidP="00EF01DB">
            <w:pPr>
              <w:jc w:val="center"/>
              <w:rPr>
                <w:lang w:val="en-GB"/>
              </w:rPr>
            </w:pPr>
            <w:r w:rsidRPr="00C53113">
              <w:rPr>
                <w:lang w:val="en-GB"/>
              </w:rPr>
              <w:t>39.8</w:t>
            </w:r>
          </w:p>
        </w:tc>
      </w:tr>
      <w:tr w:rsidR="00C53113" w:rsidRPr="00EF01DB" w14:paraId="3A7DE91C" w14:textId="77777777" w:rsidTr="00C53113">
        <w:tc>
          <w:tcPr>
            <w:tcW w:w="2518" w:type="dxa"/>
          </w:tcPr>
          <w:p w14:paraId="16FE73DF" w14:textId="41D0B87F" w:rsidR="00C53113" w:rsidRPr="00C53113" w:rsidRDefault="00C53113" w:rsidP="00EF01DB">
            <w:pPr>
              <w:rPr>
                <w:lang w:val="en-GB"/>
              </w:rPr>
            </w:pPr>
            <w:r w:rsidRPr="00C53113">
              <w:rPr>
                <w:lang w:val="en-GB"/>
              </w:rPr>
              <w:t>5% threshold</w:t>
            </w:r>
          </w:p>
        </w:tc>
        <w:tc>
          <w:tcPr>
            <w:tcW w:w="1344" w:type="dxa"/>
          </w:tcPr>
          <w:p w14:paraId="3AB00136" w14:textId="00C3751B" w:rsidR="00C53113" w:rsidRPr="00C53113" w:rsidRDefault="00C53113" w:rsidP="00EF01DB">
            <w:pPr>
              <w:jc w:val="center"/>
              <w:rPr>
                <w:lang w:val="en-GB"/>
              </w:rPr>
            </w:pPr>
            <w:r w:rsidRPr="00C53113">
              <w:rPr>
                <w:lang w:val="en-GB"/>
              </w:rPr>
              <w:t>7.2</w:t>
            </w:r>
          </w:p>
        </w:tc>
        <w:tc>
          <w:tcPr>
            <w:tcW w:w="1345" w:type="dxa"/>
          </w:tcPr>
          <w:p w14:paraId="0D2B4E3C" w14:textId="2276BA1F" w:rsidR="00C53113" w:rsidRPr="00C53113" w:rsidRDefault="00C53113" w:rsidP="00EF01DB">
            <w:pPr>
              <w:jc w:val="center"/>
              <w:rPr>
                <w:lang w:val="en-GB"/>
              </w:rPr>
            </w:pPr>
            <w:r w:rsidRPr="00C53113">
              <w:rPr>
                <w:lang w:val="en-GB"/>
              </w:rPr>
              <w:t>9</w:t>
            </w:r>
            <w:r w:rsidR="00175DAE">
              <w:rPr>
                <w:lang w:val="en-GB"/>
              </w:rPr>
              <w:t>.</w:t>
            </w:r>
            <w:r w:rsidRPr="00C53113">
              <w:rPr>
                <w:lang w:val="en-GB"/>
              </w:rPr>
              <w:t>2</w:t>
            </w:r>
          </w:p>
        </w:tc>
        <w:tc>
          <w:tcPr>
            <w:tcW w:w="1345" w:type="dxa"/>
          </w:tcPr>
          <w:p w14:paraId="51651090" w14:textId="3E120176" w:rsidR="00C53113" w:rsidRPr="00C53113" w:rsidRDefault="00C53113" w:rsidP="00EF01DB">
            <w:pPr>
              <w:jc w:val="center"/>
              <w:rPr>
                <w:lang w:val="en-GB"/>
              </w:rPr>
            </w:pPr>
            <w:r w:rsidRPr="00C53113">
              <w:rPr>
                <w:lang w:val="en-GB"/>
              </w:rPr>
              <w:t>11.3</w:t>
            </w:r>
          </w:p>
        </w:tc>
        <w:tc>
          <w:tcPr>
            <w:tcW w:w="1345" w:type="dxa"/>
          </w:tcPr>
          <w:p w14:paraId="2D394A11" w14:textId="3FF02D1D" w:rsidR="00C53113" w:rsidRPr="00C53113" w:rsidRDefault="00C53113" w:rsidP="00EF01DB">
            <w:pPr>
              <w:jc w:val="center"/>
              <w:rPr>
                <w:lang w:val="en-GB"/>
              </w:rPr>
            </w:pPr>
            <w:r w:rsidRPr="00C53113">
              <w:rPr>
                <w:lang w:val="en-GB"/>
              </w:rPr>
              <w:t>14.3</w:t>
            </w:r>
          </w:p>
        </w:tc>
        <w:tc>
          <w:tcPr>
            <w:tcW w:w="1345" w:type="dxa"/>
          </w:tcPr>
          <w:p w14:paraId="09DB3B48" w14:textId="2E3CDB13" w:rsidR="00C53113" w:rsidRPr="00C53113" w:rsidRDefault="00C53113" w:rsidP="00EF01DB">
            <w:pPr>
              <w:jc w:val="center"/>
              <w:rPr>
                <w:lang w:val="en-GB"/>
              </w:rPr>
            </w:pPr>
            <w:r w:rsidRPr="00C53113">
              <w:rPr>
                <w:lang w:val="en-GB"/>
              </w:rPr>
              <w:t>18.1</w:t>
            </w:r>
          </w:p>
        </w:tc>
      </w:tr>
    </w:tbl>
    <w:p w14:paraId="78E690EE" w14:textId="77777777" w:rsidR="006034E2" w:rsidRDefault="006034E2" w:rsidP="006835DF">
      <w:pPr>
        <w:rPr>
          <w:b/>
          <w:bCs/>
        </w:rPr>
      </w:pPr>
    </w:p>
    <w:p w14:paraId="40530647" w14:textId="77777777" w:rsidR="006034E2" w:rsidRPr="00F00E55" w:rsidRDefault="006034E2" w:rsidP="006835DF">
      <w:pPr>
        <w:rPr>
          <w:b/>
          <w:bCs/>
        </w:rPr>
      </w:pPr>
      <w:r>
        <w:rPr>
          <w:b/>
          <w:bCs/>
        </w:rPr>
        <w:t>Future c</w:t>
      </w:r>
      <w:r w:rsidRPr="00F00E55">
        <w:rPr>
          <w:b/>
          <w:bCs/>
        </w:rPr>
        <w:t>hanges in household structure</w:t>
      </w:r>
      <w:r>
        <w:rPr>
          <w:b/>
          <w:bCs/>
        </w:rPr>
        <w:t xml:space="preserve"> and metering</w:t>
      </w:r>
    </w:p>
    <w:p w14:paraId="4C24A989" w14:textId="2C289395" w:rsidR="006034E2" w:rsidRDefault="006034E2" w:rsidP="006835DF">
      <w:r>
        <w:t xml:space="preserve">Table 2 has shown that an important factor associated with water poverty is household structure. The </w:t>
      </w:r>
      <w:r w:rsidR="00291727">
        <w:t xml:space="preserve">Office for National Statistics </w:t>
      </w:r>
      <w:r>
        <w:t>publish</w:t>
      </w:r>
      <w:r w:rsidR="00291727">
        <w:t>es</w:t>
      </w:r>
      <w:r>
        <w:t xml:space="preserve"> Household Projections for England </w:t>
      </w:r>
      <w:r w:rsidR="00291727">
        <w:t>to 2043</w:t>
      </w:r>
      <w:r w:rsidR="00291727">
        <w:rPr>
          <w:rStyle w:val="FootnoteReference"/>
        </w:rPr>
        <w:footnoteReference w:id="12"/>
      </w:r>
      <w:r>
        <w:t xml:space="preserve">. The percentage of single adult households in England is projected to rise </w:t>
      </w:r>
      <w:r w:rsidR="00291727">
        <w:t>fastest but the number of households with children will also increase.</w:t>
      </w:r>
      <w:r>
        <w:t xml:space="preserve"> These changes in household size will increase the water poverty rate, given single person households have a higher rate of water poverty</w:t>
      </w:r>
      <w:r w:rsidR="00082480">
        <w:t>, at least using unequivalised income</w:t>
      </w:r>
      <w:r>
        <w:t>. However</w:t>
      </w:r>
      <w:r w:rsidR="00A0515A">
        <w:t>,</w:t>
      </w:r>
      <w:r>
        <w:t xml:space="preserve"> th</w:t>
      </w:r>
      <w:r w:rsidR="005575CA">
        <w:t>is</w:t>
      </w:r>
      <w:r>
        <w:t xml:space="preserve"> will interact with changes in water metering.</w:t>
      </w:r>
    </w:p>
    <w:p w14:paraId="3588BB25" w14:textId="77777777" w:rsidR="006034E2" w:rsidRDefault="006034E2" w:rsidP="006835DF"/>
    <w:p w14:paraId="59805421" w14:textId="76D4C080" w:rsidR="006034E2" w:rsidRPr="002C537E" w:rsidRDefault="006034E2" w:rsidP="007B75FF">
      <w:pPr>
        <w:rPr>
          <w:lang w:val="en-US"/>
        </w:rPr>
      </w:pPr>
      <w:r>
        <w:t xml:space="preserve">All water companies have </w:t>
      </w:r>
      <w:r w:rsidR="005575CA">
        <w:t>been increasing water metering. The Environment Agency claimed that water metering had reached 50% in 2017 with subst</w:t>
      </w:r>
      <w:r w:rsidR="007B75FF">
        <w:t>antial variations in that proportion between water Companies</w:t>
      </w:r>
      <w:r w:rsidR="007B75FF">
        <w:rPr>
          <w:rStyle w:val="FootnoteReference"/>
        </w:rPr>
        <w:footnoteReference w:id="13"/>
      </w:r>
      <w:r w:rsidR="00A0515A">
        <w:t xml:space="preserve"> and that is </w:t>
      </w:r>
      <w:r w:rsidR="000779ED">
        <w:t xml:space="preserve">roughly </w:t>
      </w:r>
      <w:r w:rsidR="00A0515A">
        <w:t xml:space="preserve">what we found. </w:t>
      </w:r>
      <w:r w:rsidR="007B75FF">
        <w:t xml:space="preserve"> OFWAT claims “You may save money if you switch to a water meter. The amount you may save depends on: how much you pay now, the number of people living in the property and how much water you use”.</w:t>
      </w:r>
      <w:r w:rsidR="007B75FF">
        <w:rPr>
          <w:rStyle w:val="FootnoteReference"/>
        </w:rPr>
        <w:footnoteReference w:id="14"/>
      </w:r>
      <w:r>
        <w:rPr>
          <w:lang w:val="en-US"/>
        </w:rPr>
        <w:t xml:space="preserve"> Even if metered households reduced their consumption, the extent to which their bills would decrease depends on the charging tariffs in place and how these compare to local charges based on rateable values. In general, households with low usage and high rateable values would have lower water bills if they paid on a metered basis. Larger families with higher usage would seem to be less likely to benefit from a switch. </w:t>
      </w:r>
      <w:r>
        <w:t>But although we know how much unmetered households pay now in rates-based water bills we do not know how much those same households would pay if their bills were metered.</w:t>
      </w:r>
    </w:p>
    <w:p w14:paraId="2B286017" w14:textId="77777777" w:rsidR="006034E2" w:rsidRDefault="006034E2" w:rsidP="006835DF">
      <w:pPr>
        <w:rPr>
          <w:lang w:val="en-US"/>
        </w:rPr>
      </w:pPr>
    </w:p>
    <w:p w14:paraId="46FB0DA0" w14:textId="73796061" w:rsidR="006034E2" w:rsidRDefault="006034E2" w:rsidP="006835DF">
      <w:r>
        <w:rPr>
          <w:lang w:val="en-US"/>
        </w:rPr>
        <w:t>P</w:t>
      </w:r>
      <w:r>
        <w:t>art of the variation in the bills of metered and unmetered consumers is due to differences in their characteristics and behaviour. One-adult households in England and Wales in 20</w:t>
      </w:r>
      <w:r w:rsidR="00277D80">
        <w:t>18</w:t>
      </w:r>
      <w:r>
        <w:t>-1</w:t>
      </w:r>
      <w:r w:rsidR="00277D80">
        <w:t>9</w:t>
      </w:r>
      <w:r>
        <w:t xml:space="preserve"> were more likely to have a water met</w:t>
      </w:r>
      <w:r w:rsidRPr="007467D7">
        <w:t>er (</w:t>
      </w:r>
      <w:r w:rsidR="00C34A41">
        <w:t>45.0</w:t>
      </w:r>
      <w:r w:rsidRPr="007467D7">
        <w:t xml:space="preserve">%) than </w:t>
      </w:r>
      <w:r w:rsidR="00DB621B">
        <w:t xml:space="preserve">say </w:t>
      </w:r>
      <w:r w:rsidR="00C34A41">
        <w:t>multi-unit households (38.6</w:t>
      </w:r>
      <w:r w:rsidR="00DB621B">
        <w:t>%)</w:t>
      </w:r>
      <w:r>
        <w:t>. OFWAT</w:t>
      </w:r>
      <w:r w:rsidR="000934F6">
        <w:rPr>
          <w:rStyle w:val="FootnoteReference"/>
        </w:rPr>
        <w:footnoteReference w:id="15"/>
      </w:r>
      <w:r>
        <w:t xml:space="preserve"> reports that customers living on their own were more likely to have asked for a water meter, suggesting those who opted to switch to meters did so to save money. </w:t>
      </w:r>
      <w:r w:rsidR="00B21BE6">
        <w:lastRenderedPageBreak/>
        <w:t>Households receiving income related benefits are less likely to be metered (26.4%) than those not receiving income related benefits (38.9%).</w:t>
      </w:r>
      <w:r w:rsidR="00DB621B">
        <w:t xml:space="preserve">  </w:t>
      </w:r>
    </w:p>
    <w:p w14:paraId="2846809A" w14:textId="77777777" w:rsidR="006034E2" w:rsidRDefault="006034E2" w:rsidP="006835DF">
      <w:pPr>
        <w:rPr>
          <w:b/>
          <w:bCs/>
        </w:rPr>
      </w:pPr>
    </w:p>
    <w:p w14:paraId="33C066BE" w14:textId="77777777" w:rsidR="006034E2" w:rsidRPr="00905F16" w:rsidRDefault="006034E2" w:rsidP="006835DF">
      <w:pPr>
        <w:rPr>
          <w:b/>
          <w:bCs/>
        </w:rPr>
      </w:pPr>
      <w:r w:rsidRPr="00905F16">
        <w:rPr>
          <w:b/>
          <w:bCs/>
        </w:rPr>
        <w:t>I</w:t>
      </w:r>
      <w:r>
        <w:rPr>
          <w:b/>
          <w:bCs/>
        </w:rPr>
        <w:t>mplications for policy</w:t>
      </w:r>
    </w:p>
    <w:p w14:paraId="773255D8" w14:textId="1E47C9F0" w:rsidR="006034E2" w:rsidRPr="00905F16" w:rsidRDefault="006034E2" w:rsidP="006835DF">
      <w:r w:rsidRPr="00905F16">
        <w:t xml:space="preserve">What could be done to mitigate water poverty and the expected increase in water poverty? </w:t>
      </w:r>
      <w:r w:rsidR="000974D3">
        <w:t>Water poverty can be mitigated by increasing income or reducing bills. There is really nothing that the water industry can do about increasing income. We have to look to employment, earnings and benefits to do that and for all three the immediate outlook is pretty bleak. So</w:t>
      </w:r>
      <w:r w:rsidR="003F19E1">
        <w:t>,</w:t>
      </w:r>
      <w:r w:rsidR="000974D3">
        <w:t xml:space="preserve"> reducing prices and bills looks to be the best hope. There is one extant example of government action to reduce bills in the tax funded reduction in bills to water consumers in the South West Region. The only other methods are control of prices</w:t>
      </w:r>
      <w:r w:rsidR="007319AE">
        <w:t xml:space="preserve"> by regulation (or state subsidy) or measures by the industry such as WaterSure or social tariffs. </w:t>
      </w:r>
      <w:r w:rsidR="002376AC">
        <w:t xml:space="preserve">WaterSure is already quite well targeted </w:t>
      </w:r>
      <w:r w:rsidR="00B21BE6">
        <w:t>if you have a meter</w:t>
      </w:r>
      <w:r w:rsidR="00424CD8">
        <w:t>,</w:t>
      </w:r>
      <w:r w:rsidR="00B21BE6">
        <w:t xml:space="preserve"> </w:t>
      </w:r>
      <w:r w:rsidR="002376AC">
        <w:t xml:space="preserve">in that it restricts bills to the average for the region for people on income tested benefits or who have three or more children or a medical condition.  </w:t>
      </w:r>
      <w:r w:rsidR="003F19E1">
        <w:t xml:space="preserve">Social tariffs vary by water company and it would be worth assessing the extent to which they are well targeted. </w:t>
      </w:r>
      <w:r w:rsidR="007319AE">
        <w:t>These are inevitabl</w:t>
      </w:r>
      <w:r w:rsidR="00424CD8">
        <w:t>y</w:t>
      </w:r>
      <w:r w:rsidR="007319AE">
        <w:t xml:space="preserve"> constrained by the fact that they involve cross subsidy between consumers. </w:t>
      </w:r>
      <w:r w:rsidR="002376AC">
        <w:t>Also</w:t>
      </w:r>
      <w:r w:rsidR="00305351">
        <w:t>,</w:t>
      </w:r>
      <w:r w:rsidR="002376AC">
        <w:t xml:space="preserve"> t</w:t>
      </w:r>
      <w:r w:rsidR="00001BF9">
        <w:t xml:space="preserve">o benefit from </w:t>
      </w:r>
      <w:r w:rsidR="003F19E1">
        <w:t>WaterSure</w:t>
      </w:r>
      <w:r w:rsidR="00001BF9">
        <w:t xml:space="preserve"> consumers need to possess a water meter.</w:t>
      </w:r>
    </w:p>
    <w:p w14:paraId="611442F7" w14:textId="77777777" w:rsidR="00194745" w:rsidRDefault="00194745" w:rsidP="006835DF">
      <w:pPr>
        <w:rPr>
          <w:b/>
          <w:bCs/>
        </w:rPr>
      </w:pPr>
    </w:p>
    <w:p w14:paraId="6159F58A" w14:textId="767CE25C" w:rsidR="006034E2" w:rsidRPr="00905F16" w:rsidRDefault="006034E2" w:rsidP="006835DF">
      <w:r w:rsidRPr="00905F16">
        <w:rPr>
          <w:b/>
          <w:bCs/>
        </w:rPr>
        <w:t>Metering</w:t>
      </w:r>
      <w:r w:rsidRPr="00905F16">
        <w:t>: extending metering can be expected to reduce bills. The majority of unmetered households are single adult households</w:t>
      </w:r>
      <w:r w:rsidR="00B86E93">
        <w:t xml:space="preserve"> or childless couples</w:t>
      </w:r>
      <w:r w:rsidRPr="00905F16">
        <w:t>, wh</w:t>
      </w:r>
      <w:r w:rsidR="00B86E93">
        <w:t>o</w:t>
      </w:r>
      <w:r w:rsidRPr="00905F16">
        <w:t xml:space="preserve"> might be expected to use less water than their rateable value</w:t>
      </w:r>
      <w:r w:rsidR="00305351">
        <w:t>-</w:t>
      </w:r>
      <w:r w:rsidRPr="00905F16">
        <w:t>based bills has them paying f</w:t>
      </w:r>
      <w:r w:rsidR="00B86E93">
        <w:t>or.</w:t>
      </w:r>
      <w:r w:rsidRPr="00905F16">
        <w:t xml:space="preserve"> Also</w:t>
      </w:r>
      <w:r w:rsidR="00B86E93">
        <w:t>,</w:t>
      </w:r>
      <w:r w:rsidRPr="00905F16">
        <w:t xml:space="preserve"> there is evidence that households reduce their consumption after having a meter installed. Single adult households are also at higher risk of water poverty</w:t>
      </w:r>
      <w:r w:rsidR="00001BF9">
        <w:t xml:space="preserve"> (using unequivalised income)</w:t>
      </w:r>
      <w:r w:rsidRPr="00905F16">
        <w:t>. An offsetting factor however is that those already metered are more likely to be those who would save as a result of having a meter and the consumers still to be metered are likely to be larger consumers with higher bills. However</w:t>
      </w:r>
      <w:r w:rsidR="007C300F">
        <w:t>,</w:t>
      </w:r>
      <w:r w:rsidRPr="00905F16">
        <w:t xml:space="preserve"> they are also less likely to be at risk of water poverty.</w:t>
      </w:r>
      <w:r>
        <w:t xml:space="preserve"> </w:t>
      </w:r>
      <w:r w:rsidRPr="00905F16">
        <w:t>Of course</w:t>
      </w:r>
      <w:r w:rsidR="007C300F">
        <w:t>,</w:t>
      </w:r>
      <w:r w:rsidRPr="00905F16">
        <w:t xml:space="preserve"> extending metering will cost </w:t>
      </w:r>
      <w:r>
        <w:t>the water companies</w:t>
      </w:r>
      <w:r w:rsidRPr="00905F16">
        <w:t xml:space="preserve">– from lost revenue of reduced charges/consumption and the costs of installing and reading meters. </w:t>
      </w:r>
      <w:r w:rsidR="00052F8B">
        <w:t>But they could also save by identifying leaks.</w:t>
      </w:r>
    </w:p>
    <w:p w14:paraId="532D99FB" w14:textId="77777777" w:rsidR="006034E2" w:rsidRDefault="006034E2" w:rsidP="006835DF">
      <w:pPr>
        <w:rPr>
          <w:b/>
          <w:bCs/>
        </w:rPr>
      </w:pPr>
    </w:p>
    <w:p w14:paraId="2EDC49BF" w14:textId="33F4A6B6" w:rsidR="005C5618" w:rsidRDefault="006034E2" w:rsidP="005C5618">
      <w:r w:rsidRPr="00905F16">
        <w:rPr>
          <w:b/>
          <w:bCs/>
        </w:rPr>
        <w:t>Tariffs</w:t>
      </w:r>
      <w:r w:rsidRPr="00905F16">
        <w:t xml:space="preserve">: </w:t>
      </w:r>
      <w:r w:rsidR="002376AC">
        <w:t>If more consumers had meters it would be possible to reform water</w:t>
      </w:r>
      <w:r w:rsidRPr="00905F16">
        <w:t xml:space="preserve"> tariffs</w:t>
      </w:r>
      <w:r w:rsidR="00B86E93">
        <w:t xml:space="preserve"> further</w:t>
      </w:r>
      <w:r w:rsidR="002376AC">
        <w:t xml:space="preserve">. At present water tariffs </w:t>
      </w:r>
      <w:r w:rsidRPr="00905F16">
        <w:t xml:space="preserve">are regressive due to the standing charge. Small consumers pay more per unit. Standing charges are justified by arguments about fixed costs and the need for charges to reflect marginal economic costs. We </w:t>
      </w:r>
      <w:r>
        <w:t>are not</w:t>
      </w:r>
      <w:r w:rsidRPr="00905F16">
        <w:t xml:space="preserve"> convinced by these arguments. Social and environmental arguments would support the abolition of standing charges.</w:t>
      </w:r>
      <w:r w:rsidR="003A6967">
        <w:rPr>
          <w:rStyle w:val="FootnoteReference"/>
        </w:rPr>
        <w:footnoteReference w:id="16"/>
      </w:r>
      <w:r w:rsidRPr="00905F16">
        <w:t xml:space="preserve"> Indeed</w:t>
      </w:r>
      <w:r w:rsidR="00B86E93">
        <w:t>,</w:t>
      </w:r>
      <w:r w:rsidRPr="00905F16">
        <w:t xml:space="preserve"> it might mitigate water poverty if there were lower charges for the first x% of water consumed each quarter. </w:t>
      </w:r>
      <w:r w:rsidR="005C5618" w:rsidRPr="00905F16">
        <w:t xml:space="preserve">In an ideal world we would provide a tranche of clean water free of charge, the next tranche would be charged at a basic rate and </w:t>
      </w:r>
      <w:r w:rsidR="005C5618">
        <w:t xml:space="preserve">then </w:t>
      </w:r>
      <w:r w:rsidR="005C5618" w:rsidRPr="00905F16">
        <w:t>we would charge a really high tariff for water use above a certain level</w:t>
      </w:r>
      <w:r w:rsidR="00F015D1">
        <w:t>, penalising those who use drinking water to clean cars or water their gardens.</w:t>
      </w:r>
      <w:r w:rsidR="005C5618" w:rsidRPr="00905F16">
        <w:t xml:space="preserve"> The problem of course is how to establish the cut-off points.</w:t>
      </w:r>
      <w:r w:rsidR="005C5618">
        <w:t xml:space="preserve"> The tranches would need to vary by household size and ideally also by </w:t>
      </w:r>
      <w:r w:rsidR="00F015D1">
        <w:t xml:space="preserve">household </w:t>
      </w:r>
      <w:r w:rsidR="005C5618">
        <w:t xml:space="preserve">resources. Water companies don’t know the household size or resources of their customers. Not indeed do they know how much non metered customers, </w:t>
      </w:r>
      <w:r w:rsidR="00B21BE6">
        <w:t xml:space="preserve">about </w:t>
      </w:r>
      <w:r w:rsidR="00B86E93">
        <w:t>half</w:t>
      </w:r>
      <w:r w:rsidR="005C5618">
        <w:t>, consume.</w:t>
      </w:r>
    </w:p>
    <w:p w14:paraId="5405F349" w14:textId="77777777" w:rsidR="005C5618" w:rsidRPr="00905F16" w:rsidRDefault="005C5618" w:rsidP="006835DF"/>
    <w:p w14:paraId="754F708A" w14:textId="49E2C7B7" w:rsidR="006034E2" w:rsidRPr="00A0515A" w:rsidRDefault="006034E2" w:rsidP="006835DF">
      <w:pPr>
        <w:autoSpaceDE w:val="0"/>
        <w:autoSpaceDN w:val="0"/>
        <w:adjustRightInd w:val="0"/>
        <w:rPr>
          <w:highlight w:val="yellow"/>
        </w:rPr>
      </w:pPr>
    </w:p>
    <w:p w14:paraId="4868DBCE" w14:textId="77777777" w:rsidR="006034E2" w:rsidRDefault="006034E2" w:rsidP="006835DF">
      <w:bookmarkStart w:id="9" w:name="_GoBack"/>
      <w:bookmarkEnd w:id="9"/>
    </w:p>
    <w:sectPr w:rsidR="006034E2" w:rsidSect="00D438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BB952" w14:textId="77777777" w:rsidR="00FC620F" w:rsidRDefault="00FC620F" w:rsidP="000812C1">
      <w:r>
        <w:separator/>
      </w:r>
    </w:p>
  </w:endnote>
  <w:endnote w:type="continuationSeparator" w:id="0">
    <w:p w14:paraId="01C62A5E" w14:textId="77777777" w:rsidR="00FC620F" w:rsidRDefault="00FC620F" w:rsidP="0008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44D49" w14:textId="77777777" w:rsidR="00FC620F" w:rsidRDefault="00FC620F" w:rsidP="000812C1">
      <w:r>
        <w:separator/>
      </w:r>
    </w:p>
  </w:footnote>
  <w:footnote w:type="continuationSeparator" w:id="0">
    <w:p w14:paraId="1B632878" w14:textId="77777777" w:rsidR="00FC620F" w:rsidRDefault="00FC620F" w:rsidP="000812C1">
      <w:r>
        <w:continuationSeparator/>
      </w:r>
    </w:p>
  </w:footnote>
  <w:footnote w:id="1">
    <w:p w14:paraId="081B584C" w14:textId="79842CFC" w:rsidR="00613B51" w:rsidRDefault="00613B51" w:rsidP="00AE170F">
      <w:pPr>
        <w:pStyle w:val="FootnoteText"/>
      </w:pPr>
      <w:r>
        <w:rPr>
          <w:rStyle w:val="FootnoteReference"/>
        </w:rPr>
        <w:footnoteRef/>
      </w:r>
      <w:r>
        <w:t xml:space="preserve"> This is an update of an article </w:t>
      </w:r>
      <w:r w:rsidRPr="00AE170F">
        <w:t xml:space="preserve">Bradshaw, J. and Huby, M. (2013) Water poverty in England and Wales, </w:t>
      </w:r>
      <w:r w:rsidRPr="00AE170F">
        <w:rPr>
          <w:i/>
          <w:iCs/>
        </w:rPr>
        <w:t>Journal of Poverty and Social Justice</w:t>
      </w:r>
      <w:r w:rsidRPr="00AE170F">
        <w:t>, 21, 2, 137-148</w:t>
      </w:r>
      <w:r>
        <w:t xml:space="preserve"> and </w:t>
      </w:r>
      <w:r w:rsidRPr="00AE170F">
        <w:t xml:space="preserve">Bradshaw, J. and Main, G. (2014) Water Poverty in England and Wales: an update </w:t>
      </w:r>
      <w:hyperlink r:id="rId1" w:history="1">
        <w:r w:rsidRPr="00F17842">
          <w:rPr>
            <w:rStyle w:val="Hyperlink"/>
          </w:rPr>
          <w:t>http://spruyork.blogspot.co.uk/2014/09/water-poverty-in-england-and-wales.html</w:t>
        </w:r>
      </w:hyperlink>
      <w:r>
        <w:t xml:space="preserve"> and </w:t>
      </w:r>
      <w:r w:rsidRPr="00BF4B4C">
        <w:t>NEA Discussion Paper (2019). Water Poverty: A Common Measurement.</w:t>
      </w:r>
      <w:r>
        <w:t xml:space="preserve"> </w:t>
      </w:r>
      <w:hyperlink r:id="rId2" w:history="1">
        <w:r w:rsidRPr="00F17842">
          <w:rPr>
            <w:rStyle w:val="Hyperlink"/>
          </w:rPr>
          <w:t>https://www.nea.org.uk/wp-content/uploads/2020/10/Water-poverty-a-common-measurement-PRINT-VERSION.pdf</w:t>
        </w:r>
      </w:hyperlink>
    </w:p>
  </w:footnote>
  <w:footnote w:id="2">
    <w:p w14:paraId="0BA69D95" w14:textId="77777777" w:rsidR="00613B51" w:rsidRDefault="00613B51">
      <w:pPr>
        <w:pStyle w:val="FootnoteText"/>
      </w:pPr>
      <w:r>
        <w:rPr>
          <w:rStyle w:val="FootnoteReference"/>
        </w:rPr>
        <w:footnoteRef/>
      </w:r>
      <w:r>
        <w:t xml:space="preserve"> Jonathan Bradshaw CBE FBA is Professor of Social Policy at the University of York.</w:t>
      </w:r>
    </w:p>
  </w:footnote>
  <w:footnote w:id="3">
    <w:p w14:paraId="11F822BE" w14:textId="77777777" w:rsidR="00613B51" w:rsidRDefault="00613B51">
      <w:pPr>
        <w:pStyle w:val="FootnoteText"/>
      </w:pPr>
      <w:r>
        <w:rPr>
          <w:rStyle w:val="FootnoteReference"/>
        </w:rPr>
        <w:footnoteRef/>
      </w:r>
      <w:r>
        <w:t xml:space="preserve"> Dr Antonia Keung is a Teaching/Research Fellow at the University of York.</w:t>
      </w:r>
    </w:p>
  </w:footnote>
  <w:footnote w:id="4">
    <w:p w14:paraId="59A1CC30" w14:textId="22355C18" w:rsidR="00613B51" w:rsidRDefault="00613B51">
      <w:pPr>
        <w:pStyle w:val="FootnoteText"/>
      </w:pPr>
      <w:r>
        <w:rPr>
          <w:rStyle w:val="FootnoteReference"/>
        </w:rPr>
        <w:footnoteRef/>
      </w:r>
      <w:r>
        <w:t xml:space="preserve"> h</w:t>
      </w:r>
      <w:r w:rsidRPr="00095F8B">
        <w:t>ttps://www.ons.gov.uk/peoplepopulationandcommunity/populationandmigration/populationprojections/datasets/householdprojectionsforengland</w:t>
      </w:r>
    </w:p>
  </w:footnote>
  <w:footnote w:id="5">
    <w:p w14:paraId="7569DB57" w14:textId="740D225A" w:rsidR="00613B51" w:rsidRDefault="00613B51">
      <w:pPr>
        <w:pStyle w:val="FootnoteText"/>
      </w:pPr>
      <w:r>
        <w:rPr>
          <w:rStyle w:val="FootnoteReference"/>
        </w:rPr>
        <w:footnoteRef/>
      </w:r>
      <w:r>
        <w:t xml:space="preserve"> </w:t>
      </w:r>
      <w:r w:rsidRPr="003A6967">
        <w:t>Levell, P. and Oldfield, Z. (2011) The Spending Patterns and Inflation Experience of Low-Income Households Over the Past Decade, Commentary 119, London: Institute for Fiscal Studies.</w:t>
      </w:r>
    </w:p>
  </w:footnote>
  <w:footnote w:id="6">
    <w:p w14:paraId="1B41FCD4" w14:textId="38B547A2" w:rsidR="00613B51" w:rsidRDefault="00613B51" w:rsidP="000934F6">
      <w:pPr>
        <w:pStyle w:val="FootnoteText"/>
      </w:pPr>
      <w:r>
        <w:rPr>
          <w:rStyle w:val="FootnoteReference"/>
        </w:rPr>
        <w:footnoteRef/>
      </w:r>
      <w:r>
        <w:t xml:space="preserve"> OFWAT (2011) Affordability and Debt 2009/10 Current evidence</w:t>
      </w:r>
    </w:p>
    <w:p w14:paraId="1ECF66F8" w14:textId="4D8D16EC" w:rsidR="00613B51" w:rsidRDefault="00613B51" w:rsidP="000934F6">
      <w:pPr>
        <w:pStyle w:val="FootnoteText"/>
      </w:pPr>
      <w:r>
        <w:t>http://www.ofwat.gov.uk/future/customers/metering/affordability/pap_tec201105affevid.pdf</w:t>
      </w:r>
    </w:p>
  </w:footnote>
  <w:footnote w:id="7">
    <w:p w14:paraId="60566F89" w14:textId="63B9D8E3" w:rsidR="00613B51" w:rsidRDefault="00613B51">
      <w:pPr>
        <w:pStyle w:val="FootnoteText"/>
      </w:pPr>
      <w:r>
        <w:rPr>
          <w:rStyle w:val="FootnoteReference"/>
        </w:rPr>
        <w:footnoteRef/>
      </w:r>
      <w:r>
        <w:t xml:space="preserve"> </w:t>
      </w:r>
      <w:r w:rsidRPr="000934F6">
        <w:t>Snell, C. and Bradshaw, J. (2009) Water Affordability in England and Wales: A report prepared for CCWater http://www.ccwater.org.uk/server.php?show=nav.444</w:t>
      </w:r>
    </w:p>
  </w:footnote>
  <w:footnote w:id="8">
    <w:p w14:paraId="36E2B5DF" w14:textId="77777777" w:rsidR="00613B51" w:rsidRPr="00BF4B4C" w:rsidRDefault="00613B51" w:rsidP="000737FE">
      <w:pPr>
        <w:pStyle w:val="FootnoteText"/>
      </w:pPr>
      <w:r w:rsidRPr="00BF4B4C">
        <w:rPr>
          <w:rStyle w:val="FootnoteReference"/>
        </w:rPr>
        <w:footnoteRef/>
      </w:r>
      <w:r w:rsidRPr="00BF4B4C">
        <w:t xml:space="preserve"> NEA Discussion Paper (2019). Water Poverty: A Common Measurement.</w:t>
      </w:r>
    </w:p>
  </w:footnote>
  <w:footnote w:id="9">
    <w:p w14:paraId="6B9598CE" w14:textId="19A2AD26" w:rsidR="00613B51" w:rsidRDefault="00613B51">
      <w:pPr>
        <w:pStyle w:val="FootnoteText"/>
      </w:pPr>
      <w:r>
        <w:rPr>
          <w:rStyle w:val="FootnoteReference"/>
        </w:rPr>
        <w:footnoteRef/>
      </w:r>
      <w:r>
        <w:t xml:space="preserve"> </w:t>
      </w:r>
      <w:r w:rsidRPr="003A6967">
        <w:t>Hills, J. (2011) Fuel poverty: the problem and its measurement, CASE Report 69.</w:t>
      </w:r>
    </w:p>
  </w:footnote>
  <w:footnote w:id="10">
    <w:p w14:paraId="3F111F1D" w14:textId="77777777" w:rsidR="00613B51" w:rsidRDefault="00613B51">
      <w:pPr>
        <w:pStyle w:val="FootnoteText"/>
      </w:pPr>
      <w:r>
        <w:rPr>
          <w:rStyle w:val="FootnoteReference"/>
        </w:rPr>
        <w:footnoteRef/>
      </w:r>
      <w:r>
        <w:t xml:space="preserve"> This is for single unit households if we include multi-unit households the rates are: unequivalised @3%=18.9%; @5%=8.9%. Equivalised @3%=21.2%;@5%=9.1%.</w:t>
      </w:r>
    </w:p>
  </w:footnote>
  <w:footnote w:id="11">
    <w:p w14:paraId="49B929BA" w14:textId="77777777" w:rsidR="00613B51" w:rsidRDefault="00613B51" w:rsidP="003A6967">
      <w:pPr>
        <w:pStyle w:val="FootnoteText"/>
      </w:pPr>
      <w:r>
        <w:rPr>
          <w:rStyle w:val="FootnoteReference"/>
        </w:rPr>
        <w:footnoteRef/>
      </w:r>
      <w:r>
        <w:t xml:space="preserve"> Huby, M. (1998) Social Policy and the Environment, Buckingham, Open University Press.</w:t>
      </w:r>
    </w:p>
    <w:p w14:paraId="6109DDA2" w14:textId="5F829A23" w:rsidR="00613B51" w:rsidRDefault="00613B51" w:rsidP="003A6967">
      <w:pPr>
        <w:pStyle w:val="FootnoteText"/>
      </w:pPr>
      <w:r>
        <w:t>Huby, M. (1995) Water poverty and social policy: a review of the issues for research. Journal of Social Policy, 24, 219-236</w:t>
      </w:r>
    </w:p>
  </w:footnote>
  <w:footnote w:id="12">
    <w:p w14:paraId="4DA7C7BA" w14:textId="3E1E9376" w:rsidR="00613B51" w:rsidRDefault="00613B51">
      <w:pPr>
        <w:pStyle w:val="FootnoteText"/>
      </w:pPr>
      <w:r>
        <w:rPr>
          <w:rStyle w:val="FootnoteReference"/>
        </w:rPr>
        <w:footnoteRef/>
      </w:r>
      <w:r>
        <w:t xml:space="preserve"> </w:t>
      </w:r>
      <w:r w:rsidRPr="00291727">
        <w:t>https://www.ons.gov.uk/peoplepopulationandcommunity/populationandmigration/populationprojections/datasets/householdprojectionsforengland</w:t>
      </w:r>
    </w:p>
  </w:footnote>
  <w:footnote w:id="13">
    <w:p w14:paraId="2BA21DA4" w14:textId="3994795D" w:rsidR="00613B51" w:rsidRDefault="00613B51">
      <w:pPr>
        <w:pStyle w:val="FootnoteText"/>
      </w:pPr>
      <w:r>
        <w:rPr>
          <w:rStyle w:val="FootnoteReference"/>
        </w:rPr>
        <w:footnoteRef/>
      </w:r>
      <w:r>
        <w:t xml:space="preserve"> </w:t>
      </w:r>
      <w:r w:rsidRPr="007B75FF">
        <w:t>https://questions-statements.parliament.uk/written-questions/detail/2017-12-21/121058</w:t>
      </w:r>
    </w:p>
  </w:footnote>
  <w:footnote w:id="14">
    <w:p w14:paraId="36AFEA3B" w14:textId="7E8256F7" w:rsidR="00613B51" w:rsidRDefault="00613B51">
      <w:pPr>
        <w:pStyle w:val="FootnoteText"/>
      </w:pPr>
      <w:r>
        <w:rPr>
          <w:rStyle w:val="FootnoteReference"/>
        </w:rPr>
        <w:footnoteRef/>
      </w:r>
      <w:r>
        <w:t xml:space="preserve"> </w:t>
      </w:r>
      <w:r w:rsidRPr="007B75FF">
        <w:t>https://www.ofwat.gov.uk/households/your-water-bill/metering/</w:t>
      </w:r>
    </w:p>
  </w:footnote>
  <w:footnote w:id="15">
    <w:p w14:paraId="624BC767" w14:textId="1273670C" w:rsidR="00613B51" w:rsidRDefault="00613B51">
      <w:pPr>
        <w:pStyle w:val="FootnoteText"/>
      </w:pPr>
      <w:r>
        <w:rPr>
          <w:rStyle w:val="FootnoteReference"/>
        </w:rPr>
        <w:footnoteRef/>
      </w:r>
      <w:r>
        <w:t xml:space="preserve"> </w:t>
      </w:r>
      <w:r w:rsidRPr="000934F6">
        <w:t>Ofwat (2011) Exploring the costs and benefits of faster, more systematic water metering in England and Wales. Birmingham, Office of Water Services.</w:t>
      </w:r>
    </w:p>
  </w:footnote>
  <w:footnote w:id="16">
    <w:p w14:paraId="4BAC67F6" w14:textId="2660384B" w:rsidR="00613B51" w:rsidRDefault="00613B51">
      <w:pPr>
        <w:pStyle w:val="FootnoteText"/>
      </w:pPr>
      <w:r>
        <w:rPr>
          <w:rStyle w:val="FootnoteReference"/>
        </w:rPr>
        <w:footnoteRef/>
      </w:r>
      <w:r>
        <w:t xml:space="preserve"> </w:t>
      </w:r>
      <w:r w:rsidRPr="003A6967">
        <w:t>Hills, B., Huby, M.and Kenway, P. (1997) Fair and Sustainable: Paying for Water. London, New Policy Institute.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C00ED"/>
    <w:multiLevelType w:val="hybridMultilevel"/>
    <w:tmpl w:val="516AE2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4E9479E"/>
    <w:multiLevelType w:val="hybridMultilevel"/>
    <w:tmpl w:val="87BA5AE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B8E0679"/>
    <w:multiLevelType w:val="hybridMultilevel"/>
    <w:tmpl w:val="25721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01833"/>
    <w:multiLevelType w:val="hybridMultilevel"/>
    <w:tmpl w:val="030C553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7C1065F"/>
    <w:multiLevelType w:val="hybridMultilevel"/>
    <w:tmpl w:val="321A9C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C1"/>
    <w:rsid w:val="00001BF9"/>
    <w:rsid w:val="0001392C"/>
    <w:rsid w:val="00013D2C"/>
    <w:rsid w:val="00040F8C"/>
    <w:rsid w:val="00052F8B"/>
    <w:rsid w:val="000675F7"/>
    <w:rsid w:val="000709ED"/>
    <w:rsid w:val="000737FE"/>
    <w:rsid w:val="000779ED"/>
    <w:rsid w:val="000812C1"/>
    <w:rsid w:val="00082480"/>
    <w:rsid w:val="000934F6"/>
    <w:rsid w:val="00095F8B"/>
    <w:rsid w:val="000974D3"/>
    <w:rsid w:val="000A491C"/>
    <w:rsid w:val="000D24F3"/>
    <w:rsid w:val="00111622"/>
    <w:rsid w:val="00112863"/>
    <w:rsid w:val="00114AFA"/>
    <w:rsid w:val="001305F4"/>
    <w:rsid w:val="00142B36"/>
    <w:rsid w:val="001471CB"/>
    <w:rsid w:val="00160D93"/>
    <w:rsid w:val="00165BFD"/>
    <w:rsid w:val="00175DAE"/>
    <w:rsid w:val="00176908"/>
    <w:rsid w:val="00181CAF"/>
    <w:rsid w:val="00194745"/>
    <w:rsid w:val="00197B5A"/>
    <w:rsid w:val="001A33A9"/>
    <w:rsid w:val="001A61F7"/>
    <w:rsid w:val="001E1BE9"/>
    <w:rsid w:val="0020538B"/>
    <w:rsid w:val="00206D46"/>
    <w:rsid w:val="002376AC"/>
    <w:rsid w:val="00240602"/>
    <w:rsid w:val="00272072"/>
    <w:rsid w:val="00277D80"/>
    <w:rsid w:val="00286CAB"/>
    <w:rsid w:val="00291727"/>
    <w:rsid w:val="002A6E83"/>
    <w:rsid w:val="002B1F29"/>
    <w:rsid w:val="002C537E"/>
    <w:rsid w:val="002C7B8F"/>
    <w:rsid w:val="002E6E14"/>
    <w:rsid w:val="00305351"/>
    <w:rsid w:val="0032273B"/>
    <w:rsid w:val="003324C8"/>
    <w:rsid w:val="0033402F"/>
    <w:rsid w:val="00353698"/>
    <w:rsid w:val="00361286"/>
    <w:rsid w:val="00361DDE"/>
    <w:rsid w:val="003659DD"/>
    <w:rsid w:val="003A23B8"/>
    <w:rsid w:val="003A6967"/>
    <w:rsid w:val="003B52B8"/>
    <w:rsid w:val="003B706D"/>
    <w:rsid w:val="003C20B9"/>
    <w:rsid w:val="003E5859"/>
    <w:rsid w:val="003F19E1"/>
    <w:rsid w:val="003F2406"/>
    <w:rsid w:val="003F309B"/>
    <w:rsid w:val="0040416F"/>
    <w:rsid w:val="004179ED"/>
    <w:rsid w:val="00424CD8"/>
    <w:rsid w:val="004656F6"/>
    <w:rsid w:val="00486FC4"/>
    <w:rsid w:val="00492150"/>
    <w:rsid w:val="004A0152"/>
    <w:rsid w:val="004C11A2"/>
    <w:rsid w:val="004C185E"/>
    <w:rsid w:val="004C1FF6"/>
    <w:rsid w:val="004C4138"/>
    <w:rsid w:val="004C76C7"/>
    <w:rsid w:val="004C7BCF"/>
    <w:rsid w:val="0052301A"/>
    <w:rsid w:val="005375E0"/>
    <w:rsid w:val="00542E3C"/>
    <w:rsid w:val="00543F12"/>
    <w:rsid w:val="00554EC3"/>
    <w:rsid w:val="005575CA"/>
    <w:rsid w:val="00571CEE"/>
    <w:rsid w:val="00574056"/>
    <w:rsid w:val="005853DA"/>
    <w:rsid w:val="005A628C"/>
    <w:rsid w:val="005B2C72"/>
    <w:rsid w:val="005C5618"/>
    <w:rsid w:val="005D6BBA"/>
    <w:rsid w:val="006034E2"/>
    <w:rsid w:val="00613B51"/>
    <w:rsid w:val="00631EA6"/>
    <w:rsid w:val="0063418B"/>
    <w:rsid w:val="006413D8"/>
    <w:rsid w:val="00650517"/>
    <w:rsid w:val="006835DF"/>
    <w:rsid w:val="006D20DC"/>
    <w:rsid w:val="006E07F9"/>
    <w:rsid w:val="006E588C"/>
    <w:rsid w:val="00700078"/>
    <w:rsid w:val="007319AE"/>
    <w:rsid w:val="00734190"/>
    <w:rsid w:val="0074204F"/>
    <w:rsid w:val="007467D7"/>
    <w:rsid w:val="00750E88"/>
    <w:rsid w:val="007730E8"/>
    <w:rsid w:val="007735FA"/>
    <w:rsid w:val="00774738"/>
    <w:rsid w:val="0078394E"/>
    <w:rsid w:val="00787642"/>
    <w:rsid w:val="00796601"/>
    <w:rsid w:val="007A1379"/>
    <w:rsid w:val="007A2E4B"/>
    <w:rsid w:val="007B75FF"/>
    <w:rsid w:val="007C300F"/>
    <w:rsid w:val="007C444A"/>
    <w:rsid w:val="007E1BC6"/>
    <w:rsid w:val="00837B43"/>
    <w:rsid w:val="00842541"/>
    <w:rsid w:val="00843A39"/>
    <w:rsid w:val="00864636"/>
    <w:rsid w:val="00892B1A"/>
    <w:rsid w:val="00894F99"/>
    <w:rsid w:val="008B37C1"/>
    <w:rsid w:val="008B783C"/>
    <w:rsid w:val="008C2C02"/>
    <w:rsid w:val="008C593C"/>
    <w:rsid w:val="00904808"/>
    <w:rsid w:val="00905F16"/>
    <w:rsid w:val="0092397E"/>
    <w:rsid w:val="00940B26"/>
    <w:rsid w:val="009468B5"/>
    <w:rsid w:val="009503C5"/>
    <w:rsid w:val="00954E22"/>
    <w:rsid w:val="00966BFF"/>
    <w:rsid w:val="00987CB2"/>
    <w:rsid w:val="009E35B1"/>
    <w:rsid w:val="009F46FA"/>
    <w:rsid w:val="009F66B1"/>
    <w:rsid w:val="00A0515A"/>
    <w:rsid w:val="00A13DDC"/>
    <w:rsid w:val="00A23A9E"/>
    <w:rsid w:val="00A40786"/>
    <w:rsid w:val="00A56E55"/>
    <w:rsid w:val="00A613EE"/>
    <w:rsid w:val="00A711DA"/>
    <w:rsid w:val="00A7629F"/>
    <w:rsid w:val="00A973CC"/>
    <w:rsid w:val="00AE170F"/>
    <w:rsid w:val="00AE1CA5"/>
    <w:rsid w:val="00B1067D"/>
    <w:rsid w:val="00B21BE6"/>
    <w:rsid w:val="00B262FA"/>
    <w:rsid w:val="00B352CF"/>
    <w:rsid w:val="00B4218B"/>
    <w:rsid w:val="00B51825"/>
    <w:rsid w:val="00B6232B"/>
    <w:rsid w:val="00B7485D"/>
    <w:rsid w:val="00B86E93"/>
    <w:rsid w:val="00BA15EE"/>
    <w:rsid w:val="00BA3926"/>
    <w:rsid w:val="00BB150F"/>
    <w:rsid w:val="00BC3514"/>
    <w:rsid w:val="00BD0D57"/>
    <w:rsid w:val="00BE7DBA"/>
    <w:rsid w:val="00C04CB2"/>
    <w:rsid w:val="00C16E55"/>
    <w:rsid w:val="00C26631"/>
    <w:rsid w:val="00C3228C"/>
    <w:rsid w:val="00C34A41"/>
    <w:rsid w:val="00C42322"/>
    <w:rsid w:val="00C53113"/>
    <w:rsid w:val="00C66EA6"/>
    <w:rsid w:val="00C7389E"/>
    <w:rsid w:val="00C87B7E"/>
    <w:rsid w:val="00C908E0"/>
    <w:rsid w:val="00CA0872"/>
    <w:rsid w:val="00CA6CC2"/>
    <w:rsid w:val="00CC683C"/>
    <w:rsid w:val="00D07E34"/>
    <w:rsid w:val="00D23D5D"/>
    <w:rsid w:val="00D26DF4"/>
    <w:rsid w:val="00D27EB9"/>
    <w:rsid w:val="00D4380A"/>
    <w:rsid w:val="00D51266"/>
    <w:rsid w:val="00D54634"/>
    <w:rsid w:val="00D560E2"/>
    <w:rsid w:val="00D609B7"/>
    <w:rsid w:val="00D70639"/>
    <w:rsid w:val="00D73559"/>
    <w:rsid w:val="00DA5477"/>
    <w:rsid w:val="00DB621B"/>
    <w:rsid w:val="00DC0DCE"/>
    <w:rsid w:val="00DC5F39"/>
    <w:rsid w:val="00DD759B"/>
    <w:rsid w:val="00DD78EA"/>
    <w:rsid w:val="00E17248"/>
    <w:rsid w:val="00E2716B"/>
    <w:rsid w:val="00E40792"/>
    <w:rsid w:val="00E4696E"/>
    <w:rsid w:val="00E55B5B"/>
    <w:rsid w:val="00E67E3D"/>
    <w:rsid w:val="00E770A1"/>
    <w:rsid w:val="00E86313"/>
    <w:rsid w:val="00EA6A93"/>
    <w:rsid w:val="00EB1C9B"/>
    <w:rsid w:val="00EB6F37"/>
    <w:rsid w:val="00EC590A"/>
    <w:rsid w:val="00EE2395"/>
    <w:rsid w:val="00EF01DB"/>
    <w:rsid w:val="00EF73B2"/>
    <w:rsid w:val="00F00E55"/>
    <w:rsid w:val="00F015D1"/>
    <w:rsid w:val="00F13785"/>
    <w:rsid w:val="00F1396E"/>
    <w:rsid w:val="00F31EB3"/>
    <w:rsid w:val="00F36C66"/>
    <w:rsid w:val="00F541AE"/>
    <w:rsid w:val="00F81154"/>
    <w:rsid w:val="00FA028A"/>
    <w:rsid w:val="00FB3B03"/>
    <w:rsid w:val="00FB71C2"/>
    <w:rsid w:val="00FC620F"/>
    <w:rsid w:val="00FE331F"/>
    <w:rsid w:val="00FE65C0"/>
    <w:rsid w:val="00FF6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279AEDBC"/>
  <w15:docId w15:val="{CC3C3366-F97A-4D98-A650-5806E04A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0B9"/>
    <w:rPr>
      <w:rFonts w:ascii="Times New Roman" w:eastAsia="Times New Roman" w:hAnsi="Times New Roman"/>
      <w:sz w:val="24"/>
      <w:szCs w:val="24"/>
    </w:rPr>
  </w:style>
  <w:style w:type="paragraph" w:styleId="Heading1">
    <w:name w:val="heading 1"/>
    <w:basedOn w:val="Normal"/>
    <w:next w:val="Normal"/>
    <w:link w:val="Heading1Char"/>
    <w:uiPriority w:val="99"/>
    <w:qFormat/>
    <w:rsid w:val="003B52B8"/>
    <w:pPr>
      <w:keepNext/>
      <w:keepLines/>
      <w:spacing w:before="480" w:line="360" w:lineRule="auto"/>
      <w:outlineLvl w:val="0"/>
    </w:pPr>
    <w:rPr>
      <w:rFonts w:ascii="Cambria" w:hAnsi="Cambria" w:cs="Cambria"/>
      <w:b/>
      <w:bCs/>
      <w:color w:val="365F91"/>
      <w:sz w:val="28"/>
      <w:szCs w:val="28"/>
      <w:lang w:eastAsia="en-US"/>
    </w:rPr>
  </w:style>
  <w:style w:type="paragraph" w:styleId="Heading2">
    <w:name w:val="heading 2"/>
    <w:basedOn w:val="Normal"/>
    <w:next w:val="Normal"/>
    <w:link w:val="Heading2Char"/>
    <w:autoRedefine/>
    <w:uiPriority w:val="99"/>
    <w:qFormat/>
    <w:rsid w:val="00837B43"/>
    <w:pPr>
      <w:keepNext/>
      <w:keepLines/>
      <w:spacing w:line="360" w:lineRule="auto"/>
      <w:jc w:val="both"/>
      <w:outlineLvl w:val="1"/>
    </w:pPr>
    <w:rPr>
      <w:b/>
      <w:bCs/>
      <w:lang w:eastAsia="en-US"/>
    </w:rPr>
  </w:style>
  <w:style w:type="paragraph" w:styleId="Heading3">
    <w:name w:val="heading 3"/>
    <w:basedOn w:val="Normal"/>
    <w:next w:val="Normal"/>
    <w:link w:val="Heading3Char"/>
    <w:uiPriority w:val="99"/>
    <w:qFormat/>
    <w:rsid w:val="000812C1"/>
    <w:pPr>
      <w:keepNext/>
      <w:keepLines/>
      <w:spacing w:before="200"/>
      <w:outlineLvl w:val="2"/>
    </w:pPr>
    <w:rPr>
      <w:rFonts w:ascii="Cambria" w:hAnsi="Cambria" w:cs="Cambria"/>
      <w:b/>
      <w:bCs/>
      <w:color w:val="4F81B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B52B8"/>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837B43"/>
    <w:rPr>
      <w:rFonts w:ascii="Times New Roman" w:hAnsi="Times New Roman" w:cs="Times New Roman"/>
      <w:b/>
      <w:bCs/>
      <w:sz w:val="24"/>
      <w:szCs w:val="24"/>
    </w:rPr>
  </w:style>
  <w:style w:type="character" w:customStyle="1" w:styleId="Heading3Char">
    <w:name w:val="Heading 3 Char"/>
    <w:basedOn w:val="DefaultParagraphFont"/>
    <w:link w:val="Heading3"/>
    <w:uiPriority w:val="99"/>
    <w:semiHidden/>
    <w:rsid w:val="000812C1"/>
    <w:rPr>
      <w:rFonts w:ascii="Cambria" w:hAnsi="Cambria" w:cs="Cambria"/>
      <w:b/>
      <w:bCs/>
      <w:color w:val="4F81BD"/>
    </w:rPr>
  </w:style>
  <w:style w:type="paragraph" w:styleId="FootnoteText">
    <w:name w:val="footnote text"/>
    <w:basedOn w:val="Normal"/>
    <w:link w:val="FootnoteTextChar"/>
    <w:uiPriority w:val="99"/>
    <w:semiHidden/>
    <w:rsid w:val="000812C1"/>
    <w:rPr>
      <w:rFonts w:eastAsia="Calibri"/>
      <w:sz w:val="20"/>
      <w:szCs w:val="20"/>
      <w:lang w:eastAsia="en-US"/>
    </w:rPr>
  </w:style>
  <w:style w:type="character" w:customStyle="1" w:styleId="FootnoteTextChar">
    <w:name w:val="Footnote Text Char"/>
    <w:basedOn w:val="DefaultParagraphFont"/>
    <w:link w:val="FootnoteText"/>
    <w:uiPriority w:val="99"/>
    <w:rsid w:val="000812C1"/>
    <w:rPr>
      <w:sz w:val="20"/>
      <w:szCs w:val="20"/>
    </w:rPr>
  </w:style>
  <w:style w:type="character" w:styleId="FootnoteReference">
    <w:name w:val="footnote reference"/>
    <w:aliases w:val=" BVI fnr,-E Fußnotenzeichen,BVI fnr,E FNZ,EN Footnote Reference,Exposant 3 Point,Footnote,Footnote Reference Number,Footnote Reference Superscript,Footnote reference number,Footnote symbol,Footnote#,Ref,Times 10 Point,note TESI,SUPERS"/>
    <w:basedOn w:val="DefaultParagraphFont"/>
    <w:link w:val="FootnoteReferneceCarcter"/>
    <w:uiPriority w:val="99"/>
    <w:qFormat/>
    <w:rsid w:val="000812C1"/>
    <w:rPr>
      <w:vertAlign w:val="superscript"/>
    </w:rPr>
  </w:style>
  <w:style w:type="paragraph" w:styleId="ListParagraph">
    <w:name w:val="List Paragraph"/>
    <w:basedOn w:val="Normal"/>
    <w:uiPriority w:val="99"/>
    <w:qFormat/>
    <w:rsid w:val="000812C1"/>
    <w:pPr>
      <w:ind w:left="720"/>
      <w:contextualSpacing/>
    </w:pPr>
    <w:rPr>
      <w:rFonts w:eastAsia="Calibri"/>
      <w:lang w:eastAsia="en-US"/>
    </w:rPr>
  </w:style>
  <w:style w:type="table" w:styleId="TableGrid">
    <w:name w:val="Table Grid"/>
    <w:basedOn w:val="TableNormal"/>
    <w:uiPriority w:val="99"/>
    <w:rsid w:val="000812C1"/>
    <w:rPr>
      <w:rFonts w:ascii="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fig">
    <w:name w:val="tabfig"/>
    <w:basedOn w:val="Normal"/>
    <w:next w:val="Normal"/>
    <w:autoRedefine/>
    <w:uiPriority w:val="99"/>
    <w:rsid w:val="00C3228C"/>
    <w:pPr>
      <w:keepNext/>
      <w:spacing w:after="120"/>
    </w:pPr>
    <w:rPr>
      <w:b/>
      <w:bCs/>
      <w:lang w:val="en-US" w:eastAsia="ru-RU"/>
    </w:rPr>
  </w:style>
  <w:style w:type="paragraph" w:customStyle="1" w:styleId="figtab">
    <w:name w:val="figtab"/>
    <w:basedOn w:val="tabfig"/>
    <w:autoRedefine/>
    <w:qFormat/>
    <w:rsid w:val="000812C1"/>
  </w:style>
  <w:style w:type="paragraph" w:styleId="BalloonText">
    <w:name w:val="Balloon Text"/>
    <w:basedOn w:val="Normal"/>
    <w:link w:val="BalloonTextChar"/>
    <w:uiPriority w:val="99"/>
    <w:semiHidden/>
    <w:rsid w:val="002C7B8F"/>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2C7B8F"/>
    <w:rPr>
      <w:rFonts w:ascii="Tahoma" w:hAnsi="Tahoma" w:cs="Tahoma"/>
      <w:sz w:val="16"/>
      <w:szCs w:val="16"/>
    </w:rPr>
  </w:style>
  <w:style w:type="paragraph" w:customStyle="1" w:styleId="Style1">
    <w:name w:val="Style1"/>
    <w:basedOn w:val="Normal"/>
    <w:uiPriority w:val="99"/>
    <w:rsid w:val="002C7B8F"/>
    <w:pPr>
      <w:spacing w:line="360" w:lineRule="auto"/>
    </w:pPr>
    <w:rPr>
      <w:rFonts w:eastAsia="Calibri"/>
      <w:b/>
      <w:bCs/>
      <w:lang w:eastAsia="en-US"/>
    </w:rPr>
  </w:style>
  <w:style w:type="character" w:styleId="CommentReference">
    <w:name w:val="annotation reference"/>
    <w:basedOn w:val="DefaultParagraphFont"/>
    <w:uiPriority w:val="99"/>
    <w:semiHidden/>
    <w:rsid w:val="00206D46"/>
    <w:rPr>
      <w:sz w:val="18"/>
      <w:szCs w:val="18"/>
    </w:rPr>
  </w:style>
  <w:style w:type="paragraph" w:styleId="CommentText">
    <w:name w:val="annotation text"/>
    <w:basedOn w:val="Normal"/>
    <w:link w:val="CommentTextChar"/>
    <w:uiPriority w:val="99"/>
    <w:semiHidden/>
    <w:rsid w:val="00206D46"/>
    <w:pPr>
      <w:spacing w:after="200"/>
    </w:pPr>
    <w:rPr>
      <w:rFonts w:eastAsia="Calibri"/>
      <w:lang w:eastAsia="en-US"/>
    </w:rPr>
  </w:style>
  <w:style w:type="character" w:customStyle="1" w:styleId="CommentTextChar">
    <w:name w:val="Comment Text Char"/>
    <w:basedOn w:val="DefaultParagraphFont"/>
    <w:link w:val="CommentText"/>
    <w:uiPriority w:val="99"/>
    <w:semiHidden/>
    <w:rsid w:val="00206D46"/>
    <w:rPr>
      <w:sz w:val="24"/>
      <w:szCs w:val="24"/>
    </w:rPr>
  </w:style>
  <w:style w:type="paragraph" w:styleId="CommentSubject">
    <w:name w:val="annotation subject"/>
    <w:basedOn w:val="CommentText"/>
    <w:next w:val="CommentText"/>
    <w:link w:val="CommentSubjectChar"/>
    <w:uiPriority w:val="99"/>
    <w:semiHidden/>
    <w:rsid w:val="00206D46"/>
    <w:rPr>
      <w:b/>
      <w:bCs/>
      <w:sz w:val="20"/>
      <w:szCs w:val="20"/>
    </w:rPr>
  </w:style>
  <w:style w:type="character" w:customStyle="1" w:styleId="CommentSubjectChar">
    <w:name w:val="Comment Subject Char"/>
    <w:basedOn w:val="CommentTextChar"/>
    <w:link w:val="CommentSubject"/>
    <w:uiPriority w:val="99"/>
    <w:semiHidden/>
    <w:rsid w:val="00206D46"/>
    <w:rPr>
      <w:b/>
      <w:bCs/>
      <w:sz w:val="20"/>
      <w:szCs w:val="20"/>
    </w:rPr>
  </w:style>
  <w:style w:type="paragraph" w:styleId="Header">
    <w:name w:val="header"/>
    <w:basedOn w:val="Normal"/>
    <w:link w:val="HeaderChar"/>
    <w:uiPriority w:val="99"/>
    <w:rsid w:val="007730E8"/>
    <w:pPr>
      <w:tabs>
        <w:tab w:val="center" w:pos="4320"/>
        <w:tab w:val="right" w:pos="8640"/>
      </w:tabs>
    </w:pPr>
    <w:rPr>
      <w:rFonts w:eastAsia="Calibri"/>
      <w:lang w:eastAsia="en-US"/>
    </w:rPr>
  </w:style>
  <w:style w:type="character" w:customStyle="1" w:styleId="HeaderChar">
    <w:name w:val="Header Char"/>
    <w:basedOn w:val="DefaultParagraphFont"/>
    <w:link w:val="Header"/>
    <w:uiPriority w:val="99"/>
    <w:rsid w:val="007730E8"/>
    <w:rPr>
      <w:rFonts w:ascii="Times New Roman" w:hAnsi="Times New Roman" w:cs="Times New Roman"/>
      <w:sz w:val="24"/>
      <w:szCs w:val="24"/>
    </w:rPr>
  </w:style>
  <w:style w:type="paragraph" w:styleId="Footer">
    <w:name w:val="footer"/>
    <w:basedOn w:val="Normal"/>
    <w:link w:val="FooterChar"/>
    <w:uiPriority w:val="99"/>
    <w:rsid w:val="007730E8"/>
    <w:pPr>
      <w:tabs>
        <w:tab w:val="center" w:pos="4320"/>
        <w:tab w:val="right" w:pos="8640"/>
      </w:tabs>
    </w:pPr>
    <w:rPr>
      <w:rFonts w:eastAsia="Calibri"/>
      <w:lang w:eastAsia="en-US"/>
    </w:rPr>
  </w:style>
  <w:style w:type="character" w:customStyle="1" w:styleId="FooterChar">
    <w:name w:val="Footer Char"/>
    <w:basedOn w:val="DefaultParagraphFont"/>
    <w:link w:val="Footer"/>
    <w:uiPriority w:val="99"/>
    <w:rsid w:val="007730E8"/>
    <w:rPr>
      <w:rFonts w:ascii="Times New Roman" w:hAnsi="Times New Roman" w:cs="Times New Roman"/>
      <w:sz w:val="24"/>
      <w:szCs w:val="24"/>
    </w:rPr>
  </w:style>
  <w:style w:type="paragraph" w:customStyle="1" w:styleId="Default">
    <w:name w:val="Default"/>
    <w:uiPriority w:val="99"/>
    <w:rsid w:val="009468B5"/>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5A628C"/>
    <w:rPr>
      <w:color w:val="0000FF"/>
      <w:u w:val="single"/>
    </w:rPr>
  </w:style>
  <w:style w:type="paragraph" w:customStyle="1" w:styleId="FootnoteReferneceCarcter">
    <w:name w:val="Footnote Refernece Carácter"/>
    <w:aliases w:val="ftref Carácter,4_G Carácter"/>
    <w:basedOn w:val="Normal"/>
    <w:link w:val="FootnoteReference"/>
    <w:uiPriority w:val="99"/>
    <w:rsid w:val="00AE170F"/>
    <w:pPr>
      <w:spacing w:after="160" w:line="240" w:lineRule="exact"/>
      <w:jc w:val="both"/>
    </w:pPr>
    <w:rPr>
      <w:rFonts w:ascii="Calibri" w:eastAsia="Calibri" w:hAnsi="Calibri"/>
      <w:sz w:val="22"/>
      <w:szCs w:val="22"/>
      <w:vertAlign w:val="superscript"/>
    </w:rPr>
  </w:style>
  <w:style w:type="character" w:styleId="UnresolvedMention">
    <w:name w:val="Unresolved Mention"/>
    <w:basedOn w:val="DefaultParagraphFont"/>
    <w:uiPriority w:val="99"/>
    <w:semiHidden/>
    <w:unhideWhenUsed/>
    <w:rsid w:val="00D23D5D"/>
    <w:rPr>
      <w:color w:val="605E5C"/>
      <w:shd w:val="clear" w:color="auto" w:fill="E1DFDD"/>
    </w:rPr>
  </w:style>
  <w:style w:type="table" w:styleId="TableGridLight">
    <w:name w:val="Grid Table Light"/>
    <w:basedOn w:val="TableNormal"/>
    <w:uiPriority w:val="40"/>
    <w:rsid w:val="00D512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51554">
      <w:bodyDiv w:val="1"/>
      <w:marLeft w:val="0"/>
      <w:marRight w:val="0"/>
      <w:marTop w:val="0"/>
      <w:marBottom w:val="0"/>
      <w:divBdr>
        <w:top w:val="none" w:sz="0" w:space="0" w:color="auto"/>
        <w:left w:val="none" w:sz="0" w:space="0" w:color="auto"/>
        <w:bottom w:val="none" w:sz="0" w:space="0" w:color="auto"/>
        <w:right w:val="none" w:sz="0" w:space="0" w:color="auto"/>
      </w:divBdr>
    </w:div>
    <w:div w:id="439379414">
      <w:marLeft w:val="0"/>
      <w:marRight w:val="0"/>
      <w:marTop w:val="0"/>
      <w:marBottom w:val="0"/>
      <w:divBdr>
        <w:top w:val="none" w:sz="0" w:space="0" w:color="auto"/>
        <w:left w:val="none" w:sz="0" w:space="0" w:color="auto"/>
        <w:bottom w:val="none" w:sz="0" w:space="0" w:color="auto"/>
        <w:right w:val="none" w:sz="0" w:space="0" w:color="auto"/>
      </w:divBdr>
      <w:divsChild>
        <w:div w:id="439379417">
          <w:marLeft w:val="0"/>
          <w:marRight w:val="0"/>
          <w:marTop w:val="0"/>
          <w:marBottom w:val="0"/>
          <w:divBdr>
            <w:top w:val="none" w:sz="0" w:space="0" w:color="auto"/>
            <w:left w:val="none" w:sz="0" w:space="0" w:color="auto"/>
            <w:bottom w:val="none" w:sz="0" w:space="0" w:color="auto"/>
            <w:right w:val="none" w:sz="0" w:space="0" w:color="auto"/>
          </w:divBdr>
          <w:divsChild>
            <w:div w:id="439379416">
              <w:marLeft w:val="0"/>
              <w:marRight w:val="0"/>
              <w:marTop w:val="0"/>
              <w:marBottom w:val="0"/>
              <w:divBdr>
                <w:top w:val="none" w:sz="0" w:space="0" w:color="auto"/>
                <w:left w:val="none" w:sz="0" w:space="0" w:color="auto"/>
                <w:bottom w:val="none" w:sz="0" w:space="0" w:color="auto"/>
                <w:right w:val="none" w:sz="0" w:space="0" w:color="auto"/>
              </w:divBdr>
              <w:divsChild>
                <w:div w:id="4393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5063">
      <w:bodyDiv w:val="1"/>
      <w:marLeft w:val="0"/>
      <w:marRight w:val="0"/>
      <w:marTop w:val="0"/>
      <w:marBottom w:val="0"/>
      <w:divBdr>
        <w:top w:val="none" w:sz="0" w:space="0" w:color="auto"/>
        <w:left w:val="none" w:sz="0" w:space="0" w:color="auto"/>
        <w:bottom w:val="none" w:sz="0" w:space="0" w:color="auto"/>
        <w:right w:val="none" w:sz="0" w:space="0" w:color="auto"/>
      </w:divBdr>
    </w:div>
    <w:div w:id="111922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nea.org.uk/wp-content/uploads/2020/10/Water-poverty-a-common-measurement-PRINT-VERSION.pdf" TargetMode="External"/><Relationship Id="rId1" Type="http://schemas.openxmlformats.org/officeDocument/2006/relationships/hyperlink" Target="http://spruyork.blogspot.co.uk/2014/09/water-poverty-in-england-and-wales.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Sheet1!$H$1</c:f>
              <c:strCache>
                <c:ptCount val="1"/>
                <c:pt idx="0">
                  <c:v>CPI INDEX 04.5 : ELECTRICITY, GAS AND OTHER FUELS 2015=100</c:v>
                </c:pt>
              </c:strCache>
            </c:strRef>
          </c:tx>
          <c:spPr>
            <a:ln w="28575" cap="rnd">
              <a:solidFill>
                <a:schemeClr val="accent1"/>
              </a:solidFill>
              <a:round/>
            </a:ln>
            <a:effectLst/>
          </c:spPr>
          <c:marker>
            <c:symbol val="none"/>
          </c:marker>
          <c:cat>
            <c:strRef>
              <c:f>Sheet1!$G$2:$G$34</c:f>
              <c:strCache>
                <c:ptCount val="33"/>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pt idx="26">
                  <c:v>2014</c:v>
                </c:pt>
                <c:pt idx="27">
                  <c:v>2015</c:v>
                </c:pt>
                <c:pt idx="28">
                  <c:v>2016</c:v>
                </c:pt>
                <c:pt idx="29">
                  <c:v>2017</c:v>
                </c:pt>
                <c:pt idx="30">
                  <c:v>2018</c:v>
                </c:pt>
                <c:pt idx="31">
                  <c:v>2019</c:v>
                </c:pt>
                <c:pt idx="32">
                  <c:v>Sep-20</c:v>
                </c:pt>
              </c:strCache>
            </c:strRef>
          </c:cat>
          <c:val>
            <c:numRef>
              <c:f>Sheet1!$H$2:$H$34</c:f>
              <c:numCache>
                <c:formatCode>General</c:formatCode>
                <c:ptCount val="33"/>
                <c:pt idx="0">
                  <c:v>100</c:v>
                </c:pt>
                <c:pt idx="1">
                  <c:v>105.62913907284768</c:v>
                </c:pt>
                <c:pt idx="2">
                  <c:v>114.2384105960265</c:v>
                </c:pt>
                <c:pt idx="3">
                  <c:v>123.17880794701989</c:v>
                </c:pt>
                <c:pt idx="4">
                  <c:v>126.158940397351</c:v>
                </c:pt>
                <c:pt idx="5">
                  <c:v>124.50331125827815</c:v>
                </c:pt>
                <c:pt idx="6">
                  <c:v>129.80132450331126</c:v>
                </c:pt>
                <c:pt idx="7">
                  <c:v>132.45033112582783</c:v>
                </c:pt>
                <c:pt idx="8">
                  <c:v>133.11258278145698</c:v>
                </c:pt>
                <c:pt idx="9">
                  <c:v>129.13907284768212</c:v>
                </c:pt>
                <c:pt idx="10">
                  <c:v>123.84105960264901</c:v>
                </c:pt>
                <c:pt idx="11">
                  <c:v>123.84105960264901</c:v>
                </c:pt>
                <c:pt idx="12">
                  <c:v>123.84105960264901</c:v>
                </c:pt>
                <c:pt idx="13">
                  <c:v>124.50331125827815</c:v>
                </c:pt>
                <c:pt idx="14">
                  <c:v>127.15231788079471</c:v>
                </c:pt>
                <c:pt idx="15">
                  <c:v>129.4701986754967</c:v>
                </c:pt>
                <c:pt idx="16">
                  <c:v>138.41059602649008</c:v>
                </c:pt>
                <c:pt idx="17">
                  <c:v>156.6225165562914</c:v>
                </c:pt>
                <c:pt idx="18">
                  <c:v>195.36423841059604</c:v>
                </c:pt>
                <c:pt idx="19">
                  <c:v>209.27152317880794</c:v>
                </c:pt>
                <c:pt idx="20">
                  <c:v>248.01324503311261</c:v>
                </c:pt>
                <c:pt idx="21">
                  <c:v>265.56291390728478</c:v>
                </c:pt>
                <c:pt idx="22">
                  <c:v>257.94701986754973</c:v>
                </c:pt>
                <c:pt idx="23">
                  <c:v>283.7748344370861</c:v>
                </c:pt>
                <c:pt idx="24">
                  <c:v>306.29139072847681</c:v>
                </c:pt>
                <c:pt idx="25">
                  <c:v>328.14569536423841</c:v>
                </c:pt>
                <c:pt idx="26">
                  <c:v>342.38410596026489</c:v>
                </c:pt>
                <c:pt idx="27">
                  <c:v>331.12582781456956</c:v>
                </c:pt>
                <c:pt idx="28">
                  <c:v>321.19205298013247</c:v>
                </c:pt>
                <c:pt idx="29">
                  <c:v>333.44370860927154</c:v>
                </c:pt>
                <c:pt idx="30">
                  <c:v>355.96026490066225</c:v>
                </c:pt>
                <c:pt idx="31">
                  <c:v>369.53642384105962</c:v>
                </c:pt>
                <c:pt idx="32">
                  <c:v>356.29139072847681</c:v>
                </c:pt>
              </c:numCache>
            </c:numRef>
          </c:val>
          <c:smooth val="0"/>
          <c:extLst>
            <c:ext xmlns:c16="http://schemas.microsoft.com/office/drawing/2014/chart" uri="{C3380CC4-5D6E-409C-BE32-E72D297353CC}">
              <c16:uniqueId val="{00000000-1AB0-45A8-867B-3BCBC70E55D6}"/>
            </c:ext>
          </c:extLst>
        </c:ser>
        <c:ser>
          <c:idx val="1"/>
          <c:order val="1"/>
          <c:tx>
            <c:strRef>
              <c:f>Sheet1!$I$1</c:f>
              <c:strCache>
                <c:ptCount val="1"/>
                <c:pt idx="0">
                  <c:v>CPI INDEX 04.4 : Water supply and misc. services for the dwelling 2015=100</c:v>
                </c:pt>
              </c:strCache>
            </c:strRef>
          </c:tx>
          <c:spPr>
            <a:ln w="28575" cap="rnd">
              <a:solidFill>
                <a:schemeClr val="accent2"/>
              </a:solidFill>
              <a:round/>
            </a:ln>
            <a:effectLst/>
          </c:spPr>
          <c:marker>
            <c:symbol val="none"/>
          </c:marker>
          <c:cat>
            <c:strRef>
              <c:f>Sheet1!$G$2:$G$34</c:f>
              <c:strCache>
                <c:ptCount val="33"/>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pt idx="26">
                  <c:v>2014</c:v>
                </c:pt>
                <c:pt idx="27">
                  <c:v>2015</c:v>
                </c:pt>
                <c:pt idx="28">
                  <c:v>2016</c:v>
                </c:pt>
                <c:pt idx="29">
                  <c:v>2017</c:v>
                </c:pt>
                <c:pt idx="30">
                  <c:v>2018</c:v>
                </c:pt>
                <c:pt idx="31">
                  <c:v>2019</c:v>
                </c:pt>
                <c:pt idx="32">
                  <c:v>Sep-20</c:v>
                </c:pt>
              </c:strCache>
            </c:strRef>
          </c:cat>
          <c:val>
            <c:numRef>
              <c:f>Sheet1!$I$2:$I$34</c:f>
              <c:numCache>
                <c:formatCode>General</c:formatCode>
                <c:ptCount val="33"/>
                <c:pt idx="0">
                  <c:v>100</c:v>
                </c:pt>
                <c:pt idx="1">
                  <c:v>111.84210526315789</c:v>
                </c:pt>
                <c:pt idx="2">
                  <c:v>126.75438596491227</c:v>
                </c:pt>
                <c:pt idx="3">
                  <c:v>147.80701754385967</c:v>
                </c:pt>
                <c:pt idx="4">
                  <c:v>165.35087719298247</c:v>
                </c:pt>
                <c:pt idx="5">
                  <c:v>179.82456140350877</c:v>
                </c:pt>
                <c:pt idx="6">
                  <c:v>193.85964912280701</c:v>
                </c:pt>
                <c:pt idx="7">
                  <c:v>206.14035087719299</c:v>
                </c:pt>
                <c:pt idx="8">
                  <c:v>216.2280701754386</c:v>
                </c:pt>
                <c:pt idx="9">
                  <c:v>225.87719298245614</c:v>
                </c:pt>
                <c:pt idx="10">
                  <c:v>238.59649122807016</c:v>
                </c:pt>
                <c:pt idx="11">
                  <c:v>249.56140350877192</c:v>
                </c:pt>
                <c:pt idx="12">
                  <c:v>234.21052631578948</c:v>
                </c:pt>
                <c:pt idx="13">
                  <c:v>235.52631578947367</c:v>
                </c:pt>
                <c:pt idx="14">
                  <c:v>241.2280701754386</c:v>
                </c:pt>
                <c:pt idx="15">
                  <c:v>250.43859649122805</c:v>
                </c:pt>
                <c:pt idx="16">
                  <c:v>263.59649122807019</c:v>
                </c:pt>
                <c:pt idx="17">
                  <c:v>289.91228070175436</c:v>
                </c:pt>
                <c:pt idx="18">
                  <c:v>310.08771929824559</c:v>
                </c:pt>
                <c:pt idx="19">
                  <c:v>329.38596491228066</c:v>
                </c:pt>
                <c:pt idx="20">
                  <c:v>350.87719298245611</c:v>
                </c:pt>
                <c:pt idx="21">
                  <c:v>368.85964912280701</c:v>
                </c:pt>
                <c:pt idx="22">
                  <c:v>372.80701754385962</c:v>
                </c:pt>
                <c:pt idx="23">
                  <c:v>385.5263157894737</c:v>
                </c:pt>
                <c:pt idx="24">
                  <c:v>407.01754385964909</c:v>
                </c:pt>
                <c:pt idx="25">
                  <c:v>425.87719298245611</c:v>
                </c:pt>
                <c:pt idx="26">
                  <c:v>438.15789473684208</c:v>
                </c:pt>
                <c:pt idx="27">
                  <c:v>438.59649122807014</c:v>
                </c:pt>
                <c:pt idx="28">
                  <c:v>442.10526315789474</c:v>
                </c:pt>
                <c:pt idx="29">
                  <c:v>449.56140350877189</c:v>
                </c:pt>
                <c:pt idx="30">
                  <c:v>460.52631578947364</c:v>
                </c:pt>
                <c:pt idx="31">
                  <c:v>474.12280701754383</c:v>
                </c:pt>
                <c:pt idx="32">
                  <c:v>462.28070175438597</c:v>
                </c:pt>
              </c:numCache>
            </c:numRef>
          </c:val>
          <c:smooth val="0"/>
          <c:extLst>
            <c:ext xmlns:c16="http://schemas.microsoft.com/office/drawing/2014/chart" uri="{C3380CC4-5D6E-409C-BE32-E72D297353CC}">
              <c16:uniqueId val="{00000001-1AB0-45A8-867B-3BCBC70E55D6}"/>
            </c:ext>
          </c:extLst>
        </c:ser>
        <c:ser>
          <c:idx val="2"/>
          <c:order val="2"/>
          <c:tx>
            <c:strRef>
              <c:f>Sheet1!$J$1</c:f>
              <c:strCache>
                <c:ptCount val="1"/>
                <c:pt idx="0">
                  <c:v>CPI INDEX 00: ALL ITEMS 2015=100</c:v>
                </c:pt>
              </c:strCache>
            </c:strRef>
          </c:tx>
          <c:spPr>
            <a:ln w="28575" cap="rnd">
              <a:solidFill>
                <a:schemeClr val="accent3"/>
              </a:solidFill>
              <a:round/>
            </a:ln>
            <a:effectLst/>
          </c:spPr>
          <c:marker>
            <c:symbol val="none"/>
          </c:marker>
          <c:cat>
            <c:strRef>
              <c:f>Sheet1!$G$2:$G$34</c:f>
              <c:strCache>
                <c:ptCount val="33"/>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pt idx="26">
                  <c:v>2014</c:v>
                </c:pt>
                <c:pt idx="27">
                  <c:v>2015</c:v>
                </c:pt>
                <c:pt idx="28">
                  <c:v>2016</c:v>
                </c:pt>
                <c:pt idx="29">
                  <c:v>2017</c:v>
                </c:pt>
                <c:pt idx="30">
                  <c:v>2018</c:v>
                </c:pt>
                <c:pt idx="31">
                  <c:v>2019</c:v>
                </c:pt>
                <c:pt idx="32">
                  <c:v>Sep-20</c:v>
                </c:pt>
              </c:strCache>
            </c:strRef>
          </c:cat>
          <c:val>
            <c:numRef>
              <c:f>Sheet1!$J$2:$J$34</c:f>
              <c:numCache>
                <c:formatCode>General</c:formatCode>
                <c:ptCount val="33"/>
                <c:pt idx="0">
                  <c:v>100</c:v>
                </c:pt>
                <c:pt idx="1">
                  <c:v>105.24193548387096</c:v>
                </c:pt>
                <c:pt idx="2">
                  <c:v>112.70161290322581</c:v>
                </c:pt>
                <c:pt idx="3">
                  <c:v>121.16935483870968</c:v>
                </c:pt>
                <c:pt idx="4">
                  <c:v>126.20967741935483</c:v>
                </c:pt>
                <c:pt idx="5">
                  <c:v>129.43548387096774</c:v>
                </c:pt>
                <c:pt idx="6">
                  <c:v>132.05645161290323</c:v>
                </c:pt>
                <c:pt idx="7">
                  <c:v>135.48387096774192</c:v>
                </c:pt>
                <c:pt idx="8">
                  <c:v>138.70967741935485</c:v>
                </c:pt>
                <c:pt idx="9">
                  <c:v>141.33064516129031</c:v>
                </c:pt>
                <c:pt idx="10">
                  <c:v>143.54838709677418</c:v>
                </c:pt>
                <c:pt idx="11">
                  <c:v>145.36290322580643</c:v>
                </c:pt>
                <c:pt idx="12">
                  <c:v>146.57258064516128</c:v>
                </c:pt>
                <c:pt idx="13">
                  <c:v>148.38709677419354</c:v>
                </c:pt>
                <c:pt idx="14">
                  <c:v>150.20161290322579</c:v>
                </c:pt>
                <c:pt idx="15">
                  <c:v>152.21774193548387</c:v>
                </c:pt>
                <c:pt idx="16">
                  <c:v>154.23387096774192</c:v>
                </c:pt>
                <c:pt idx="17">
                  <c:v>157.45967741935482</c:v>
                </c:pt>
                <c:pt idx="18">
                  <c:v>161.08870967741936</c:v>
                </c:pt>
                <c:pt idx="19">
                  <c:v>164.91935483870967</c:v>
                </c:pt>
                <c:pt idx="20">
                  <c:v>170.76612903225805</c:v>
                </c:pt>
                <c:pt idx="21">
                  <c:v>174.59677419354838</c:v>
                </c:pt>
                <c:pt idx="22">
                  <c:v>180.24193548387098</c:v>
                </c:pt>
                <c:pt idx="23">
                  <c:v>188.30645161290323</c:v>
                </c:pt>
                <c:pt idx="24">
                  <c:v>193.75</c:v>
                </c:pt>
                <c:pt idx="25">
                  <c:v>198.58870967741936</c:v>
                </c:pt>
                <c:pt idx="26">
                  <c:v>201.61290322580643</c:v>
                </c:pt>
                <c:pt idx="27">
                  <c:v>201.61290322580643</c:v>
                </c:pt>
                <c:pt idx="28">
                  <c:v>203.0241935483871</c:v>
                </c:pt>
                <c:pt idx="29">
                  <c:v>208.46774193548387</c:v>
                </c:pt>
                <c:pt idx="30">
                  <c:v>213.50806451612902</c:v>
                </c:pt>
                <c:pt idx="31">
                  <c:v>217.33870967741936</c:v>
                </c:pt>
                <c:pt idx="32">
                  <c:v>219.95967741935482</c:v>
                </c:pt>
              </c:numCache>
            </c:numRef>
          </c:val>
          <c:smooth val="0"/>
          <c:extLst>
            <c:ext xmlns:c16="http://schemas.microsoft.com/office/drawing/2014/chart" uri="{C3380CC4-5D6E-409C-BE32-E72D297353CC}">
              <c16:uniqueId val="{00000002-1AB0-45A8-867B-3BCBC70E55D6}"/>
            </c:ext>
          </c:extLst>
        </c:ser>
        <c:ser>
          <c:idx val="3"/>
          <c:order val="3"/>
          <c:tx>
            <c:strRef>
              <c:f>Sheet1!$K$1</c:f>
              <c:strCache>
                <c:ptCount val="1"/>
                <c:pt idx="0">
                  <c:v>Household income</c:v>
                </c:pt>
              </c:strCache>
            </c:strRef>
          </c:tx>
          <c:spPr>
            <a:ln w="28575" cap="rnd">
              <a:solidFill>
                <a:schemeClr val="accent4"/>
              </a:solidFill>
              <a:round/>
            </a:ln>
            <a:effectLst/>
          </c:spPr>
          <c:marker>
            <c:symbol val="none"/>
          </c:marker>
          <c:cat>
            <c:strRef>
              <c:f>Sheet1!$G$2:$G$34</c:f>
              <c:strCache>
                <c:ptCount val="33"/>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pt idx="22">
                  <c:v>2010</c:v>
                </c:pt>
                <c:pt idx="23">
                  <c:v>2011</c:v>
                </c:pt>
                <c:pt idx="24">
                  <c:v>2012</c:v>
                </c:pt>
                <c:pt idx="25">
                  <c:v>2013</c:v>
                </c:pt>
                <c:pt idx="26">
                  <c:v>2014</c:v>
                </c:pt>
                <c:pt idx="27">
                  <c:v>2015</c:v>
                </c:pt>
                <c:pt idx="28">
                  <c:v>2016</c:v>
                </c:pt>
                <c:pt idx="29">
                  <c:v>2017</c:v>
                </c:pt>
                <c:pt idx="30">
                  <c:v>2018</c:v>
                </c:pt>
                <c:pt idx="31">
                  <c:v>2019</c:v>
                </c:pt>
                <c:pt idx="32">
                  <c:v>Sep-20</c:v>
                </c:pt>
              </c:strCache>
            </c:strRef>
          </c:cat>
          <c:val>
            <c:numRef>
              <c:f>Sheet1!$K$2:$K$34</c:f>
              <c:numCache>
                <c:formatCode>General</c:formatCode>
                <c:ptCount val="33"/>
                <c:pt idx="0">
                  <c:v>100</c:v>
                </c:pt>
                <c:pt idx="1">
                  <c:v>111.10885841310298</c:v>
                </c:pt>
                <c:pt idx="2">
                  <c:v>124.26831564160862</c:v>
                </c:pt>
                <c:pt idx="3">
                  <c:v>136.10820673975061</c:v>
                </c:pt>
                <c:pt idx="4">
                  <c:v>145.45754710150175</c:v>
                </c:pt>
                <c:pt idx="5">
                  <c:v>154.37996900931168</c:v>
                </c:pt>
                <c:pt idx="6">
                  <c:v>160.04112782934848</c:v>
                </c:pt>
                <c:pt idx="7">
                  <c:v>169.58944578801791</c:v>
                </c:pt>
                <c:pt idx="8">
                  <c:v>180.17204176502108</c:v>
                </c:pt>
                <c:pt idx="9">
                  <c:v>188.49811014727817</c:v>
                </c:pt>
                <c:pt idx="10">
                  <c:v>193.13223176400734</c:v>
                </c:pt>
                <c:pt idx="11">
                  <c:v>203.22563827784455</c:v>
                </c:pt>
                <c:pt idx="12">
                  <c:v>217.18882597425167</c:v>
                </c:pt>
                <c:pt idx="13">
                  <c:v>225.64783572038868</c:v>
                </c:pt>
                <c:pt idx="14">
                  <c:v>234.07122065659712</c:v>
                </c:pt>
                <c:pt idx="15">
                  <c:v>241.56951906506598</c:v>
                </c:pt>
                <c:pt idx="16">
                  <c:v>252.6132101429337</c:v>
                </c:pt>
                <c:pt idx="17">
                  <c:v>264.74186494431814</c:v>
                </c:pt>
                <c:pt idx="18">
                  <c:v>277.02576281986302</c:v>
                </c:pt>
                <c:pt idx="19">
                  <c:v>292.48345473766528</c:v>
                </c:pt>
                <c:pt idx="20">
                  <c:v>303.12281870447339</c:v>
                </c:pt>
                <c:pt idx="21">
                  <c:v>309.96104441515939</c:v>
                </c:pt>
                <c:pt idx="22">
                  <c:v>316.7123803455317</c:v>
                </c:pt>
                <c:pt idx="23">
                  <c:v>322.71183004358971</c:v>
                </c:pt>
                <c:pt idx="24">
                  <c:v>336.62606983042014</c:v>
                </c:pt>
                <c:pt idx="25">
                  <c:v>349.3536848507668</c:v>
                </c:pt>
                <c:pt idx="26">
                  <c:v>361.40326995206578</c:v>
                </c:pt>
                <c:pt idx="27">
                  <c:v>382.93137155518224</c:v>
                </c:pt>
                <c:pt idx="28">
                  <c:v>390.31381692323288</c:v>
                </c:pt>
                <c:pt idx="29">
                  <c:v>398.60483976076347</c:v>
                </c:pt>
                <c:pt idx="30">
                  <c:v>417.40952601624838</c:v>
                </c:pt>
                <c:pt idx="31">
                  <c:v>429.5063212315178</c:v>
                </c:pt>
              </c:numCache>
            </c:numRef>
          </c:val>
          <c:smooth val="0"/>
          <c:extLst>
            <c:ext xmlns:c16="http://schemas.microsoft.com/office/drawing/2014/chart" uri="{C3380CC4-5D6E-409C-BE32-E72D297353CC}">
              <c16:uniqueId val="{00000003-1AB0-45A8-867B-3BCBC70E55D6}"/>
            </c:ext>
          </c:extLst>
        </c:ser>
        <c:dLbls>
          <c:showLegendKey val="0"/>
          <c:showVal val="0"/>
          <c:showCatName val="0"/>
          <c:showSerName val="0"/>
          <c:showPercent val="0"/>
          <c:showBubbleSize val="0"/>
        </c:dLbls>
        <c:smooth val="0"/>
        <c:axId val="1995356144"/>
        <c:axId val="1992940544"/>
      </c:lineChart>
      <c:catAx>
        <c:axId val="199535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2940544"/>
        <c:crosses val="autoZero"/>
        <c:auto val="1"/>
        <c:lblAlgn val="ctr"/>
        <c:lblOffset val="100"/>
        <c:noMultiLvlLbl val="0"/>
      </c:catAx>
      <c:valAx>
        <c:axId val="199294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5356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52A87-F65D-46DE-B437-C4A877323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Pages>12</Pages>
  <Words>3917</Words>
  <Characters>22331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xxxxx</vt:lpstr>
    </vt:vector>
  </TitlesOfParts>
  <Company>The University of York</Company>
  <LinksUpToDate>false</LinksUpToDate>
  <CharactersWithSpaces>26196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dc:title>
  <dc:subject>xxxxx</dc:subject>
  <dc:creator>xxxxx</dc:creator>
  <cp:keywords>xxxxx</cp:keywords>
  <dc:description>xxxxx</dc:description>
  <cp:lastModifiedBy>Jonathan Bradshaw</cp:lastModifiedBy>
  <cp:revision>10</cp:revision>
  <dcterms:created xsi:type="dcterms:W3CDTF">2020-12-08T09:10:00Z</dcterms:created>
  <dcterms:modified xsi:type="dcterms:W3CDTF">2020-12-10T09:54:00Z</dcterms:modified>
  <cp:category>xxxxx</cp:category>
</cp:coreProperties>
</file>