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958F33" w14:textId="7BA19659" w:rsidR="00885B1C" w:rsidRPr="00885B1C" w:rsidRDefault="006A4A6A" w:rsidP="00DE4ED4">
      <w:pPr>
        <w:spacing w:line="480" w:lineRule="auto"/>
        <w:rPr>
          <w:rFonts w:ascii="Arial" w:hAnsi="Arial" w:cs="Arial"/>
          <w:sz w:val="28"/>
          <w:szCs w:val="28"/>
        </w:rPr>
      </w:pPr>
      <w:r w:rsidRPr="001073A1">
        <w:rPr>
          <w:rFonts w:ascii="Arial" w:hAnsi="Arial" w:cs="Arial"/>
          <w:b/>
          <w:sz w:val="28"/>
          <w:szCs w:val="28"/>
        </w:rPr>
        <w:t>Why do Approved Mental Health Professionals think detentions under the Mental Health Act are rising and what do they think should be done about it?</w:t>
      </w:r>
    </w:p>
    <w:p w14:paraId="200A54D2" w14:textId="65BEFDF7" w:rsidR="00943CE5" w:rsidRPr="0093672D" w:rsidRDefault="00943CE5" w:rsidP="00943CE5">
      <w:pPr>
        <w:shd w:val="clear" w:color="auto" w:fill="FFFFFF"/>
        <w:spacing w:after="0" w:line="240" w:lineRule="auto"/>
        <w:rPr>
          <w:rFonts w:ascii="Arial" w:eastAsia="Times New Roman" w:hAnsi="Arial" w:cs="Arial"/>
          <w:color w:val="222222"/>
          <w:lang w:eastAsia="en-GB"/>
        </w:rPr>
      </w:pPr>
      <w:r w:rsidRPr="0093672D">
        <w:rPr>
          <w:rFonts w:ascii="Arial" w:hAnsi="Arial" w:cs="Arial"/>
          <w:color w:val="222222"/>
          <w:shd w:val="clear" w:color="auto" w:fill="FFFFFF"/>
        </w:rPr>
        <w:t>¹*Michael Bonnet, ¹Dr Nicola Moran</w:t>
      </w:r>
      <w:r w:rsidRPr="0093672D">
        <w:rPr>
          <w:rFonts w:ascii="Arial" w:hAnsi="Arial" w:cs="Arial"/>
          <w:color w:val="222222"/>
        </w:rPr>
        <w:br/>
      </w:r>
      <w:r w:rsidRPr="0093672D">
        <w:rPr>
          <w:rFonts w:ascii="Arial" w:hAnsi="Arial" w:cs="Arial"/>
          <w:color w:val="222222"/>
        </w:rPr>
        <w:br/>
      </w:r>
      <w:r w:rsidRPr="0093672D">
        <w:rPr>
          <w:rFonts w:ascii="Arial" w:hAnsi="Arial" w:cs="Arial"/>
          <w:color w:val="222222"/>
          <w:shd w:val="clear" w:color="auto" w:fill="FFFFFF"/>
        </w:rPr>
        <w:t xml:space="preserve">¹ </w:t>
      </w:r>
      <w:r w:rsidRPr="0093672D">
        <w:rPr>
          <w:rFonts w:ascii="Arial" w:eastAsia="Times New Roman" w:hAnsi="Arial" w:cs="Arial"/>
          <w:color w:val="222222"/>
          <w:lang w:eastAsia="en-GB"/>
        </w:rPr>
        <w:t>International Centre for Mental Health Social Research, Dept. of Social Policy and Social Work, University of York, York, YO10 5DD</w:t>
      </w:r>
      <w:r w:rsidR="00883244">
        <w:rPr>
          <w:rFonts w:ascii="Arial" w:eastAsia="Times New Roman" w:hAnsi="Arial" w:cs="Arial"/>
          <w:color w:val="222222"/>
          <w:lang w:eastAsia="en-GB"/>
        </w:rPr>
        <w:t>, UK</w:t>
      </w:r>
      <w:r w:rsidRPr="0093672D">
        <w:rPr>
          <w:rFonts w:ascii="Arial" w:eastAsia="Times New Roman" w:hAnsi="Arial" w:cs="Arial"/>
          <w:color w:val="222222"/>
          <w:lang w:eastAsia="en-GB"/>
        </w:rPr>
        <w:t>.</w:t>
      </w:r>
    </w:p>
    <w:p w14:paraId="373A5062" w14:textId="77777777" w:rsidR="00943CE5" w:rsidRDefault="00943CE5" w:rsidP="00943CE5">
      <w:pPr>
        <w:pStyle w:val="NoSpacing"/>
        <w:rPr>
          <w:rFonts w:cs="Arial"/>
          <w:color w:val="222222"/>
          <w:sz w:val="22"/>
          <w:szCs w:val="22"/>
        </w:rPr>
      </w:pPr>
      <w:r w:rsidRPr="0093672D">
        <w:rPr>
          <w:rFonts w:cs="Arial"/>
          <w:color w:val="222222"/>
          <w:sz w:val="22"/>
          <w:szCs w:val="22"/>
        </w:rPr>
        <w:br/>
      </w:r>
      <w:r w:rsidRPr="0093672D">
        <w:rPr>
          <w:rFonts w:cs="Arial"/>
          <w:color w:val="222222"/>
          <w:sz w:val="22"/>
          <w:szCs w:val="22"/>
          <w:shd w:val="clear" w:color="auto" w:fill="FFFFFF"/>
        </w:rPr>
        <w:t>*Correspondence to be sent to: Michael Bonnet</w:t>
      </w:r>
      <w:r>
        <w:rPr>
          <w:rFonts w:cs="Arial"/>
          <w:color w:val="222222"/>
          <w:sz w:val="22"/>
          <w:szCs w:val="22"/>
          <w:shd w:val="clear" w:color="auto" w:fill="FFFFFF"/>
        </w:rPr>
        <w:t xml:space="preserve">, </w:t>
      </w:r>
      <w:hyperlink r:id="rId8" w:history="1">
        <w:r w:rsidRPr="0093672D">
          <w:rPr>
            <w:rStyle w:val="Hyperlink"/>
            <w:rFonts w:cs="Arial"/>
            <w:sz w:val="22"/>
            <w:szCs w:val="22"/>
            <w:shd w:val="clear" w:color="auto" w:fill="FFFFFF"/>
          </w:rPr>
          <w:t>m.bonnet85@gmail.com</w:t>
        </w:r>
      </w:hyperlink>
      <w:r w:rsidRPr="0093672D">
        <w:rPr>
          <w:rFonts w:cs="Arial"/>
          <w:color w:val="222222"/>
          <w:sz w:val="22"/>
          <w:szCs w:val="22"/>
          <w:shd w:val="clear" w:color="auto" w:fill="FFFFFF"/>
        </w:rPr>
        <w:t xml:space="preserve"> </w:t>
      </w:r>
      <w:r w:rsidRPr="0093672D">
        <w:rPr>
          <w:rFonts w:cs="Arial"/>
          <w:color w:val="222222"/>
          <w:sz w:val="22"/>
          <w:szCs w:val="22"/>
        </w:rPr>
        <w:br/>
      </w:r>
    </w:p>
    <w:p w14:paraId="76BA62CF" w14:textId="2FD8C91B" w:rsidR="006A4A6A" w:rsidRDefault="00943CE5" w:rsidP="008E76F9">
      <w:pPr>
        <w:pStyle w:val="NoSpacing"/>
        <w:rPr>
          <w:rFonts w:ascii="Calibri" w:eastAsia="Times New Roman" w:hAnsi="Calibri" w:cs="Segoe UI"/>
          <w:b/>
          <w:u w:val="single"/>
          <w:lang w:eastAsia="en-GB"/>
        </w:rPr>
      </w:pPr>
      <w:r w:rsidRPr="0093672D">
        <w:rPr>
          <w:rFonts w:cs="Arial"/>
          <w:color w:val="222222"/>
          <w:sz w:val="22"/>
          <w:szCs w:val="22"/>
        </w:rPr>
        <w:br/>
      </w:r>
      <w:r w:rsidRPr="0093672D">
        <w:rPr>
          <w:rFonts w:cs="Arial"/>
          <w:b/>
          <w:bCs/>
          <w:color w:val="222222"/>
          <w:sz w:val="22"/>
          <w:szCs w:val="22"/>
          <w:shd w:val="clear" w:color="auto" w:fill="FFFFFF"/>
        </w:rPr>
        <w:t>Funding statement</w:t>
      </w:r>
      <w:r w:rsidRPr="0093672D">
        <w:rPr>
          <w:rFonts w:cs="Arial"/>
          <w:color w:val="222222"/>
          <w:sz w:val="22"/>
          <w:szCs w:val="22"/>
          <w:shd w:val="clear" w:color="auto" w:fill="FFFFFF"/>
        </w:rPr>
        <w:t xml:space="preserve">: This paper was unfunded. </w:t>
      </w:r>
      <w:r w:rsidRPr="0093672D">
        <w:rPr>
          <w:rFonts w:cs="Arial"/>
          <w:color w:val="222222"/>
          <w:sz w:val="22"/>
          <w:szCs w:val="22"/>
        </w:rPr>
        <w:br/>
      </w:r>
      <w:r w:rsidRPr="0093672D">
        <w:rPr>
          <w:rFonts w:cs="Arial"/>
          <w:color w:val="222222"/>
          <w:sz w:val="22"/>
          <w:szCs w:val="22"/>
        </w:rPr>
        <w:br/>
      </w:r>
    </w:p>
    <w:p w14:paraId="2AA7D1C6" w14:textId="77777777" w:rsidR="008E76F9" w:rsidRDefault="008E76F9" w:rsidP="008E76F9">
      <w:pPr>
        <w:pStyle w:val="NoSpacing"/>
        <w:rPr>
          <w:rFonts w:ascii="Calibri" w:eastAsia="Times New Roman" w:hAnsi="Calibri" w:cs="Segoe UI"/>
          <w:b/>
          <w:u w:val="single"/>
          <w:lang w:eastAsia="en-GB"/>
        </w:rPr>
      </w:pPr>
    </w:p>
    <w:p w14:paraId="1930CCF0" w14:textId="3E3872C7" w:rsidR="00FF0BCA" w:rsidRPr="00B80107" w:rsidRDefault="00072C12" w:rsidP="00DE4ED4">
      <w:pPr>
        <w:spacing w:after="0" w:line="480" w:lineRule="auto"/>
        <w:textAlignment w:val="baseline"/>
        <w:rPr>
          <w:rFonts w:ascii="Arial" w:eastAsia="Times New Roman" w:hAnsi="Arial" w:cs="Arial"/>
          <w:b/>
          <w:u w:val="single"/>
          <w:lang w:eastAsia="en-GB"/>
        </w:rPr>
      </w:pPr>
      <w:r w:rsidRPr="00B80107">
        <w:rPr>
          <w:rFonts w:ascii="Arial" w:eastAsia="Times New Roman" w:hAnsi="Arial" w:cs="Arial"/>
          <w:b/>
          <w:u w:val="single"/>
          <w:lang w:eastAsia="en-GB"/>
        </w:rPr>
        <w:t>Abstract</w:t>
      </w:r>
    </w:p>
    <w:p w14:paraId="379A5251" w14:textId="77777777" w:rsidR="00FF0BCA" w:rsidRPr="00B80107" w:rsidRDefault="00FF0BCA" w:rsidP="00DE4ED4">
      <w:pPr>
        <w:spacing w:after="0" w:line="480" w:lineRule="auto"/>
        <w:ind w:left="360"/>
        <w:textAlignment w:val="baseline"/>
        <w:rPr>
          <w:rFonts w:ascii="Arial" w:eastAsia="Times New Roman" w:hAnsi="Arial" w:cs="Arial"/>
          <w:lang w:eastAsia="en-GB"/>
        </w:rPr>
      </w:pPr>
    </w:p>
    <w:p w14:paraId="352BE918" w14:textId="5B7C6046" w:rsidR="00B57638" w:rsidRPr="00755AB7" w:rsidRDefault="00FF0BCA" w:rsidP="009F70C3">
      <w:pPr>
        <w:spacing w:line="480" w:lineRule="auto"/>
        <w:rPr>
          <w:rFonts w:ascii="Arial" w:eastAsia="Times New Roman" w:hAnsi="Arial" w:cs="Arial"/>
          <w:color w:val="000000" w:themeColor="text1"/>
          <w:lang w:eastAsia="en-GB"/>
        </w:rPr>
      </w:pPr>
      <w:r w:rsidRPr="00755AB7">
        <w:rPr>
          <w:rFonts w:ascii="Arial" w:eastAsia="Times New Roman" w:hAnsi="Arial" w:cs="Arial"/>
          <w:color w:val="000000" w:themeColor="text1"/>
          <w:lang w:eastAsia="en-GB"/>
        </w:rPr>
        <w:t xml:space="preserve">The number of people detained </w:t>
      </w:r>
      <w:r w:rsidR="00B54648" w:rsidRPr="00755AB7">
        <w:rPr>
          <w:rFonts w:ascii="Arial" w:eastAsia="Times New Roman" w:hAnsi="Arial" w:cs="Arial"/>
          <w:color w:val="000000" w:themeColor="text1"/>
          <w:lang w:eastAsia="en-GB"/>
        </w:rPr>
        <w:t xml:space="preserve">in England </w:t>
      </w:r>
      <w:r w:rsidRPr="00755AB7">
        <w:rPr>
          <w:rFonts w:ascii="Arial" w:eastAsia="Times New Roman" w:hAnsi="Arial" w:cs="Arial"/>
          <w:color w:val="000000" w:themeColor="text1"/>
          <w:lang w:eastAsia="en-GB"/>
        </w:rPr>
        <w:t>under the Mental Health Act 1983</w:t>
      </w:r>
      <w:r w:rsidR="00072C12" w:rsidRPr="00755AB7">
        <w:rPr>
          <w:rFonts w:ascii="Arial" w:eastAsia="Times New Roman" w:hAnsi="Arial" w:cs="Arial"/>
          <w:color w:val="000000" w:themeColor="text1"/>
          <w:lang w:eastAsia="en-GB"/>
        </w:rPr>
        <w:t xml:space="preserve"> </w:t>
      </w:r>
      <w:r w:rsidRPr="00755AB7">
        <w:rPr>
          <w:rFonts w:ascii="Arial" w:eastAsia="Times New Roman" w:hAnsi="Arial" w:cs="Arial"/>
          <w:color w:val="000000" w:themeColor="text1"/>
          <w:lang w:eastAsia="en-GB"/>
        </w:rPr>
        <w:t>has risen significantly in recent years</w:t>
      </w:r>
      <w:r w:rsidR="00E95B9B" w:rsidRPr="00755AB7">
        <w:rPr>
          <w:rFonts w:ascii="Arial" w:eastAsia="Times New Roman" w:hAnsi="Arial" w:cs="Arial"/>
          <w:color w:val="000000" w:themeColor="text1"/>
          <w:lang w:eastAsia="en-GB"/>
        </w:rPr>
        <w:t xml:space="preserve"> and has recently been the subject of an Independent Review</w:t>
      </w:r>
      <w:r w:rsidRPr="00755AB7">
        <w:rPr>
          <w:rFonts w:ascii="Arial" w:eastAsia="Times New Roman" w:hAnsi="Arial" w:cs="Arial"/>
          <w:color w:val="000000" w:themeColor="text1"/>
          <w:lang w:eastAsia="en-GB"/>
        </w:rPr>
        <w:t xml:space="preserve">. </w:t>
      </w:r>
      <w:r w:rsidR="00E42D3B" w:rsidRPr="00755AB7">
        <w:rPr>
          <w:rStyle w:val="normaltextrun"/>
          <w:rFonts w:ascii="Arial" w:hAnsi="Arial" w:cs="Arial"/>
          <w:color w:val="000000" w:themeColor="text1"/>
        </w:rPr>
        <w:t>Most existing research into the rise in detentions has tended to prioritise the perspectives of psychiatrists and failed to consider the views of Approved Mental Health Professionals (AMHPs), usually social workers, who ultimately determine whether detention is appropriate</w:t>
      </w:r>
      <w:r w:rsidR="00F24C19" w:rsidRPr="00755AB7">
        <w:rPr>
          <w:rStyle w:val="normaltextrun"/>
          <w:rFonts w:ascii="Arial" w:hAnsi="Arial" w:cs="Arial"/>
          <w:color w:val="000000" w:themeColor="text1"/>
        </w:rPr>
        <w:t>.</w:t>
      </w:r>
      <w:r w:rsidR="00E42D3B" w:rsidRPr="00755AB7">
        <w:rPr>
          <w:rStyle w:val="normaltextrun"/>
          <w:rFonts w:ascii="Arial" w:hAnsi="Arial" w:cs="Arial"/>
          <w:color w:val="000000" w:themeColor="text1"/>
        </w:rPr>
        <w:t xml:space="preserve"> </w:t>
      </w:r>
      <w:r w:rsidR="00B57638" w:rsidRPr="00755AB7">
        <w:rPr>
          <w:rFonts w:ascii="Arial" w:eastAsia="Times New Roman" w:hAnsi="Arial" w:cs="Arial"/>
          <w:color w:val="000000" w:themeColor="text1"/>
          <w:lang w:eastAsia="en-GB"/>
        </w:rPr>
        <w:t>Th</w:t>
      </w:r>
      <w:r w:rsidR="00C13973" w:rsidRPr="00755AB7">
        <w:rPr>
          <w:rFonts w:ascii="Arial" w:eastAsia="Times New Roman" w:hAnsi="Arial" w:cs="Arial"/>
          <w:color w:val="000000" w:themeColor="text1"/>
          <w:lang w:eastAsia="en-GB"/>
        </w:rPr>
        <w:t>is</w:t>
      </w:r>
      <w:r w:rsidR="00B57638" w:rsidRPr="00755AB7">
        <w:rPr>
          <w:rFonts w:ascii="Arial" w:eastAsia="Times New Roman" w:hAnsi="Arial" w:cs="Arial"/>
          <w:color w:val="000000" w:themeColor="text1"/>
          <w:lang w:eastAsia="en-GB"/>
        </w:rPr>
        <w:t xml:space="preserve"> </w:t>
      </w:r>
      <w:r w:rsidR="00967258" w:rsidRPr="00755AB7">
        <w:rPr>
          <w:rFonts w:ascii="Arial" w:eastAsia="Times New Roman" w:hAnsi="Arial" w:cs="Arial"/>
          <w:color w:val="000000" w:themeColor="text1"/>
          <w:lang w:eastAsia="en-GB"/>
        </w:rPr>
        <w:t xml:space="preserve">mixed-methods </w:t>
      </w:r>
      <w:r w:rsidR="00B57638" w:rsidRPr="00755AB7">
        <w:rPr>
          <w:rFonts w:ascii="Arial" w:eastAsia="Times New Roman" w:hAnsi="Arial" w:cs="Arial"/>
          <w:color w:val="000000" w:themeColor="text1"/>
          <w:lang w:eastAsia="en-GB"/>
        </w:rPr>
        <w:t>study focused on AMHPs</w:t>
      </w:r>
      <w:r w:rsidR="00C13973" w:rsidRPr="00755AB7">
        <w:rPr>
          <w:rFonts w:ascii="Arial" w:eastAsia="Times New Roman" w:hAnsi="Arial" w:cs="Arial"/>
          <w:color w:val="000000" w:themeColor="text1"/>
          <w:lang w:eastAsia="en-GB"/>
        </w:rPr>
        <w:t>’</w:t>
      </w:r>
      <w:r w:rsidR="00B57638" w:rsidRPr="00755AB7">
        <w:rPr>
          <w:rFonts w:ascii="Arial" w:eastAsia="Times New Roman" w:hAnsi="Arial" w:cs="Arial"/>
          <w:color w:val="000000" w:themeColor="text1"/>
          <w:lang w:eastAsia="en-GB"/>
        </w:rPr>
        <w:t xml:space="preserve"> views on </w:t>
      </w:r>
      <w:r w:rsidR="00C13973" w:rsidRPr="00755AB7">
        <w:rPr>
          <w:rFonts w:ascii="Arial" w:eastAsia="Times New Roman" w:hAnsi="Arial" w:cs="Arial"/>
          <w:color w:val="000000" w:themeColor="text1"/>
          <w:lang w:eastAsia="en-GB"/>
        </w:rPr>
        <w:t>the reasons behind the rise in detentions and potential solutions.</w:t>
      </w:r>
      <w:r w:rsidR="00072C12" w:rsidRPr="00755AB7">
        <w:rPr>
          <w:rFonts w:ascii="Arial" w:eastAsia="Times New Roman" w:hAnsi="Arial" w:cs="Arial"/>
          <w:color w:val="000000" w:themeColor="text1"/>
          <w:lang w:eastAsia="en-GB"/>
        </w:rPr>
        <w:t xml:space="preserve"> </w:t>
      </w:r>
      <w:r w:rsidR="00967258" w:rsidRPr="00755AB7">
        <w:rPr>
          <w:rFonts w:ascii="Arial" w:eastAsia="Times New Roman" w:hAnsi="Arial" w:cs="Arial"/>
          <w:color w:val="000000" w:themeColor="text1"/>
          <w:lang w:eastAsia="en-GB"/>
        </w:rPr>
        <w:t>It</w:t>
      </w:r>
      <w:r w:rsidR="00B57638" w:rsidRPr="00755AB7">
        <w:rPr>
          <w:rFonts w:ascii="Arial" w:eastAsia="Times New Roman" w:hAnsi="Arial" w:cs="Arial"/>
          <w:color w:val="000000" w:themeColor="text1"/>
          <w:lang w:eastAsia="en-GB"/>
        </w:rPr>
        <w:t xml:space="preserve"> included a national online survey </w:t>
      </w:r>
      <w:r w:rsidR="00C0661E" w:rsidRPr="00755AB7">
        <w:rPr>
          <w:rFonts w:ascii="Arial" w:eastAsia="Times New Roman" w:hAnsi="Arial" w:cs="Arial"/>
          <w:color w:val="000000" w:themeColor="text1"/>
          <w:lang w:eastAsia="en-GB"/>
        </w:rPr>
        <w:t xml:space="preserve">of </w:t>
      </w:r>
      <w:r w:rsidR="00B57638" w:rsidRPr="00755AB7">
        <w:rPr>
          <w:rFonts w:ascii="Arial" w:eastAsia="Times New Roman" w:hAnsi="Arial" w:cs="Arial"/>
          <w:color w:val="000000" w:themeColor="text1"/>
          <w:lang w:eastAsia="en-GB"/>
        </w:rPr>
        <w:t xml:space="preserve">AMHPs </w:t>
      </w:r>
      <w:r w:rsidR="009D3459" w:rsidRPr="00755AB7">
        <w:rPr>
          <w:rFonts w:ascii="Arial" w:eastAsia="Times New Roman" w:hAnsi="Arial" w:cs="Arial"/>
          <w:color w:val="000000" w:themeColor="text1"/>
          <w:lang w:eastAsia="en-GB"/>
        </w:rPr>
        <w:t xml:space="preserve">(n=160) </w:t>
      </w:r>
      <w:r w:rsidR="00B57638" w:rsidRPr="00755AB7">
        <w:rPr>
          <w:rFonts w:ascii="Arial" w:eastAsia="Times New Roman" w:hAnsi="Arial" w:cs="Arial"/>
          <w:color w:val="000000" w:themeColor="text1"/>
          <w:lang w:eastAsia="en-GB"/>
        </w:rPr>
        <w:t xml:space="preserve">and </w:t>
      </w:r>
      <w:r w:rsidR="0054054E" w:rsidRPr="00755AB7">
        <w:rPr>
          <w:rFonts w:ascii="Arial" w:eastAsia="Times New Roman" w:hAnsi="Arial" w:cs="Arial"/>
          <w:color w:val="000000" w:themeColor="text1"/>
          <w:lang w:eastAsia="en-GB"/>
        </w:rPr>
        <w:t xml:space="preserve">semi-structured interviews with </w:t>
      </w:r>
      <w:r w:rsidR="00856713" w:rsidRPr="00755AB7">
        <w:rPr>
          <w:rFonts w:ascii="Arial" w:eastAsia="Times New Roman" w:hAnsi="Arial" w:cs="Arial"/>
          <w:color w:val="000000" w:themeColor="text1"/>
          <w:lang w:eastAsia="en-GB"/>
        </w:rPr>
        <w:t xml:space="preserve">six </w:t>
      </w:r>
      <w:r w:rsidR="0054054E" w:rsidRPr="00755AB7">
        <w:rPr>
          <w:rFonts w:ascii="Arial" w:eastAsia="Times New Roman" w:hAnsi="Arial" w:cs="Arial"/>
          <w:color w:val="000000" w:themeColor="text1"/>
          <w:lang w:eastAsia="en-GB"/>
        </w:rPr>
        <w:t>AMHPs within a Community Mental Health Team</w:t>
      </w:r>
      <w:r w:rsidR="00D652E4" w:rsidRPr="00755AB7">
        <w:rPr>
          <w:rFonts w:ascii="Arial" w:eastAsia="Times New Roman" w:hAnsi="Arial" w:cs="Arial"/>
          <w:color w:val="000000" w:themeColor="text1"/>
          <w:lang w:eastAsia="en-GB"/>
        </w:rPr>
        <w:t xml:space="preserve"> in England</w:t>
      </w:r>
      <w:r w:rsidR="00B57638" w:rsidRPr="00755AB7">
        <w:rPr>
          <w:rFonts w:ascii="Arial" w:eastAsia="Times New Roman" w:hAnsi="Arial" w:cs="Arial"/>
          <w:color w:val="000000" w:themeColor="text1"/>
          <w:lang w:eastAsia="en-GB"/>
        </w:rPr>
        <w:t xml:space="preserve">.  </w:t>
      </w:r>
      <w:r w:rsidR="0054054E" w:rsidRPr="00755AB7">
        <w:rPr>
          <w:rFonts w:ascii="Arial" w:eastAsia="Times New Roman" w:hAnsi="Arial" w:cs="Arial"/>
          <w:color w:val="000000" w:themeColor="text1"/>
          <w:lang w:eastAsia="en-GB"/>
        </w:rPr>
        <w:t>AMHPs reported that demand for mental health services vastly exceeded supply and</w:t>
      </w:r>
      <w:r w:rsidR="00967258" w:rsidRPr="00755AB7">
        <w:rPr>
          <w:rFonts w:ascii="Arial" w:eastAsia="Times New Roman" w:hAnsi="Arial" w:cs="Arial"/>
          <w:color w:val="000000" w:themeColor="text1"/>
          <w:lang w:eastAsia="en-GB"/>
        </w:rPr>
        <w:t>,</w:t>
      </w:r>
      <w:r w:rsidR="0054054E" w:rsidRPr="00755AB7">
        <w:rPr>
          <w:rFonts w:ascii="Arial" w:eastAsia="Times New Roman" w:hAnsi="Arial" w:cs="Arial"/>
          <w:color w:val="000000" w:themeColor="text1"/>
          <w:lang w:eastAsia="en-GB"/>
        </w:rPr>
        <w:t xml:space="preserve"> due to inadequate resources</w:t>
      </w:r>
      <w:r w:rsidR="00970065" w:rsidRPr="00755AB7">
        <w:rPr>
          <w:rFonts w:ascii="Arial" w:eastAsia="Times New Roman" w:hAnsi="Arial" w:cs="Arial"/>
          <w:color w:val="000000" w:themeColor="text1"/>
          <w:lang w:eastAsia="en-GB"/>
        </w:rPr>
        <w:t>,</w:t>
      </w:r>
      <w:r w:rsidR="0054054E" w:rsidRPr="00755AB7">
        <w:rPr>
          <w:rFonts w:ascii="Arial" w:eastAsia="Times New Roman" w:hAnsi="Arial" w:cs="Arial"/>
          <w:color w:val="000000" w:themeColor="text1"/>
          <w:lang w:eastAsia="en-GB"/>
        </w:rPr>
        <w:t xml:space="preserve"> more people were being detained in hospital. AMHPs </w:t>
      </w:r>
      <w:r w:rsidR="00C13973" w:rsidRPr="00755AB7">
        <w:rPr>
          <w:rFonts w:ascii="Arial" w:eastAsia="Times New Roman" w:hAnsi="Arial" w:cs="Arial"/>
          <w:color w:val="000000" w:themeColor="text1"/>
          <w:lang w:eastAsia="en-GB"/>
        </w:rPr>
        <w:t xml:space="preserve">argued </w:t>
      </w:r>
      <w:r w:rsidR="0054054E" w:rsidRPr="00755AB7">
        <w:rPr>
          <w:rFonts w:ascii="Arial" w:eastAsia="Times New Roman" w:hAnsi="Arial" w:cs="Arial"/>
          <w:color w:val="000000" w:themeColor="text1"/>
          <w:lang w:eastAsia="en-GB"/>
        </w:rPr>
        <w:t>that greater investment in preventative mental health services</w:t>
      </w:r>
      <w:r w:rsidR="00C13973" w:rsidRPr="00755AB7">
        <w:rPr>
          <w:rFonts w:ascii="Arial" w:eastAsia="Times New Roman" w:hAnsi="Arial" w:cs="Arial"/>
          <w:color w:val="000000" w:themeColor="text1"/>
          <w:lang w:eastAsia="en-GB"/>
        </w:rPr>
        <w:t xml:space="preserve"> and </w:t>
      </w:r>
      <w:r w:rsidR="00C13973" w:rsidRPr="00755AB7">
        <w:rPr>
          <w:rFonts w:ascii="Arial" w:hAnsi="Arial" w:cs="Arial"/>
          <w:color w:val="000000" w:themeColor="text1"/>
        </w:rPr>
        <w:t>‘low intensity’ support</w:t>
      </w:r>
      <w:r w:rsidR="00C13973" w:rsidRPr="00755AB7">
        <w:rPr>
          <w:rFonts w:ascii="Arial" w:eastAsia="Times New Roman" w:hAnsi="Arial" w:cs="Arial"/>
          <w:color w:val="000000" w:themeColor="text1"/>
          <w:lang w:eastAsia="en-GB"/>
        </w:rPr>
        <w:t xml:space="preserve"> </w:t>
      </w:r>
      <w:r w:rsidR="000B274A" w:rsidRPr="00755AB7">
        <w:rPr>
          <w:rFonts w:ascii="Arial" w:hAnsi="Arial" w:cs="Arial"/>
          <w:color w:val="000000" w:themeColor="text1"/>
        </w:rPr>
        <w:t xml:space="preserve">would help to mitigate the impact of social risk factors </w:t>
      </w:r>
      <w:r w:rsidR="009D3459" w:rsidRPr="00755AB7">
        <w:rPr>
          <w:rFonts w:ascii="Arial" w:hAnsi="Arial" w:cs="Arial"/>
          <w:color w:val="000000" w:themeColor="text1"/>
        </w:rPr>
        <w:t xml:space="preserve">on </w:t>
      </w:r>
      <w:r w:rsidR="000B274A" w:rsidRPr="00755AB7">
        <w:rPr>
          <w:rFonts w:ascii="Arial" w:hAnsi="Arial" w:cs="Arial"/>
          <w:color w:val="000000" w:themeColor="text1"/>
        </w:rPr>
        <w:t>mental health</w:t>
      </w:r>
      <w:r w:rsidR="00C13973" w:rsidRPr="00755AB7">
        <w:rPr>
          <w:rFonts w:ascii="Arial" w:hAnsi="Arial" w:cs="Arial"/>
          <w:color w:val="000000" w:themeColor="text1"/>
        </w:rPr>
        <w:t xml:space="preserve">; and </w:t>
      </w:r>
      <w:r w:rsidR="009D3459" w:rsidRPr="00755AB7">
        <w:rPr>
          <w:rFonts w:ascii="Arial" w:hAnsi="Arial" w:cs="Arial"/>
          <w:color w:val="000000" w:themeColor="text1"/>
        </w:rPr>
        <w:t xml:space="preserve">greater </w:t>
      </w:r>
      <w:r w:rsidR="000B274A" w:rsidRPr="00755AB7">
        <w:rPr>
          <w:rFonts w:ascii="Arial" w:hAnsi="Arial" w:cs="Arial"/>
          <w:color w:val="000000" w:themeColor="text1"/>
        </w:rPr>
        <w:t>invest</w:t>
      </w:r>
      <w:r w:rsidR="009D3459" w:rsidRPr="00755AB7">
        <w:rPr>
          <w:rFonts w:ascii="Arial" w:hAnsi="Arial" w:cs="Arial"/>
          <w:color w:val="000000" w:themeColor="text1"/>
        </w:rPr>
        <w:t>ment</w:t>
      </w:r>
      <w:r w:rsidR="000B274A" w:rsidRPr="00755AB7">
        <w:rPr>
          <w:rFonts w:ascii="Arial" w:hAnsi="Arial" w:cs="Arial"/>
          <w:color w:val="000000" w:themeColor="text1"/>
        </w:rPr>
        <w:t xml:space="preserve"> in crisis services</w:t>
      </w:r>
      <w:r w:rsidR="009D3459" w:rsidRPr="00755AB7">
        <w:rPr>
          <w:rFonts w:ascii="Arial" w:hAnsi="Arial" w:cs="Arial"/>
          <w:color w:val="000000" w:themeColor="text1"/>
        </w:rPr>
        <w:t xml:space="preserve">, including </w:t>
      </w:r>
      <w:r w:rsidR="009D3459" w:rsidRPr="00755AB7">
        <w:rPr>
          <w:rFonts w:ascii="Arial" w:eastAsia="Times New Roman" w:hAnsi="Arial" w:cs="Arial"/>
          <w:color w:val="000000" w:themeColor="text1"/>
          <w:lang w:eastAsia="en-GB"/>
        </w:rPr>
        <w:t>non-medical alternatives to hospital, was required</w:t>
      </w:r>
      <w:r w:rsidR="000B274A" w:rsidRPr="00755AB7">
        <w:rPr>
          <w:rFonts w:ascii="Arial" w:eastAsia="Times New Roman" w:hAnsi="Arial" w:cs="Arial"/>
          <w:color w:val="000000" w:themeColor="text1"/>
          <w:lang w:eastAsia="en-GB"/>
        </w:rPr>
        <w:t xml:space="preserve">.  Such investment at either end of the spectrum was expected to </w:t>
      </w:r>
      <w:r w:rsidR="0054054E" w:rsidRPr="00755AB7">
        <w:rPr>
          <w:rFonts w:ascii="Arial" w:eastAsia="Times New Roman" w:hAnsi="Arial" w:cs="Arial"/>
          <w:color w:val="000000" w:themeColor="text1"/>
          <w:lang w:eastAsia="en-GB"/>
        </w:rPr>
        <w:t xml:space="preserve">be more </w:t>
      </w:r>
      <w:r w:rsidR="00232DAC" w:rsidRPr="00755AB7">
        <w:rPr>
          <w:rFonts w:ascii="Arial" w:eastAsia="Times New Roman" w:hAnsi="Arial" w:cs="Arial"/>
          <w:color w:val="000000" w:themeColor="text1"/>
          <w:lang w:eastAsia="en-GB"/>
        </w:rPr>
        <w:t xml:space="preserve">effective </w:t>
      </w:r>
      <w:r w:rsidR="0054054E" w:rsidRPr="00755AB7">
        <w:rPr>
          <w:rFonts w:ascii="Arial" w:eastAsia="Times New Roman" w:hAnsi="Arial" w:cs="Arial"/>
          <w:color w:val="000000" w:themeColor="text1"/>
          <w:lang w:eastAsia="en-GB"/>
        </w:rPr>
        <w:t xml:space="preserve">than changes to the law and lead to better outcomes for mental health service users. </w:t>
      </w:r>
    </w:p>
    <w:p w14:paraId="20D66FC9" w14:textId="77777777" w:rsidR="00367698" w:rsidRPr="00755AB7" w:rsidRDefault="00367698">
      <w:pPr>
        <w:spacing w:line="480" w:lineRule="auto"/>
        <w:rPr>
          <w:rFonts w:ascii="Arial" w:hAnsi="Arial" w:cs="Arial"/>
          <w:b/>
          <w:color w:val="000000" w:themeColor="text1"/>
          <w:u w:val="single"/>
        </w:rPr>
      </w:pPr>
    </w:p>
    <w:p w14:paraId="40CAEC8C" w14:textId="7A3946F2" w:rsidR="00367698" w:rsidRPr="00755AB7" w:rsidRDefault="009A5376">
      <w:pPr>
        <w:spacing w:line="480" w:lineRule="auto"/>
        <w:rPr>
          <w:rFonts w:ascii="Arial" w:hAnsi="Arial" w:cs="Arial"/>
          <w:b/>
          <w:color w:val="000000" w:themeColor="text1"/>
          <w:u w:val="single"/>
        </w:rPr>
      </w:pPr>
      <w:r w:rsidRPr="00755AB7">
        <w:rPr>
          <w:rFonts w:ascii="Arial" w:hAnsi="Arial" w:cs="Arial"/>
          <w:b/>
          <w:color w:val="000000" w:themeColor="text1"/>
          <w:u w:val="single"/>
        </w:rPr>
        <w:t>Keywords</w:t>
      </w:r>
    </w:p>
    <w:p w14:paraId="0263A2AF" w14:textId="5B2FF8E5" w:rsidR="009A5376" w:rsidRPr="00755AB7" w:rsidRDefault="009A5376">
      <w:pPr>
        <w:spacing w:line="480" w:lineRule="auto"/>
        <w:rPr>
          <w:rFonts w:ascii="Arial" w:hAnsi="Arial" w:cs="Arial"/>
          <w:color w:val="000000" w:themeColor="text1"/>
        </w:rPr>
      </w:pPr>
      <w:r w:rsidRPr="00755AB7">
        <w:rPr>
          <w:rFonts w:ascii="Arial" w:hAnsi="Arial" w:cs="Arial"/>
          <w:color w:val="000000" w:themeColor="text1"/>
        </w:rPr>
        <w:t>AMHPs, detentions, MHA, Independent Review, England.</w:t>
      </w:r>
    </w:p>
    <w:p w14:paraId="56052FD5" w14:textId="77777777" w:rsidR="00C33A9B" w:rsidRPr="00755AB7" w:rsidRDefault="00C33A9B">
      <w:pPr>
        <w:spacing w:line="480" w:lineRule="auto"/>
        <w:rPr>
          <w:rFonts w:ascii="Arial" w:hAnsi="Arial" w:cs="Arial"/>
          <w:b/>
          <w:color w:val="000000" w:themeColor="text1"/>
          <w:u w:val="single"/>
        </w:rPr>
      </w:pPr>
    </w:p>
    <w:p w14:paraId="67AA9547" w14:textId="0A5ABCAF" w:rsidR="004E7D8D" w:rsidRPr="00755AB7" w:rsidRDefault="004E7D8D">
      <w:pPr>
        <w:spacing w:line="480" w:lineRule="auto"/>
        <w:rPr>
          <w:rFonts w:ascii="Arial" w:hAnsi="Arial" w:cs="Arial"/>
          <w:b/>
          <w:color w:val="000000" w:themeColor="text1"/>
        </w:rPr>
      </w:pPr>
      <w:r w:rsidRPr="00755AB7">
        <w:rPr>
          <w:rFonts w:ascii="Arial" w:hAnsi="Arial" w:cs="Arial"/>
          <w:b/>
          <w:color w:val="000000" w:themeColor="text1"/>
          <w:u w:val="single"/>
        </w:rPr>
        <w:t>Introduction</w:t>
      </w:r>
      <w:r w:rsidRPr="00755AB7">
        <w:rPr>
          <w:rFonts w:ascii="Arial" w:hAnsi="Arial" w:cs="Arial"/>
          <w:b/>
          <w:color w:val="000000" w:themeColor="text1"/>
        </w:rPr>
        <w:t> </w:t>
      </w:r>
    </w:p>
    <w:p w14:paraId="74FF5B66" w14:textId="4684DBC9" w:rsidR="004E7D8D" w:rsidRDefault="004E7D8D">
      <w:pPr>
        <w:spacing w:line="480" w:lineRule="auto"/>
        <w:rPr>
          <w:rFonts w:ascii="Arial" w:hAnsi="Arial" w:cs="Arial"/>
          <w:color w:val="000000" w:themeColor="text1"/>
        </w:rPr>
      </w:pPr>
      <w:r w:rsidRPr="00755AB7">
        <w:rPr>
          <w:rFonts w:ascii="Arial" w:hAnsi="Arial" w:cs="Arial"/>
          <w:color w:val="000000" w:themeColor="text1"/>
        </w:rPr>
        <w:t>The number of compulsory</w:t>
      </w:r>
      <w:r w:rsidR="00CB62FA" w:rsidRPr="00755AB7">
        <w:rPr>
          <w:rFonts w:ascii="Arial" w:hAnsi="Arial" w:cs="Arial"/>
          <w:color w:val="000000" w:themeColor="text1"/>
        </w:rPr>
        <w:t xml:space="preserve"> </w:t>
      </w:r>
      <w:r w:rsidRPr="00755AB7">
        <w:rPr>
          <w:rFonts w:ascii="Arial" w:hAnsi="Arial" w:cs="Arial"/>
          <w:color w:val="000000" w:themeColor="text1"/>
        </w:rPr>
        <w:t>admissions</w:t>
      </w:r>
      <w:r w:rsidR="00CB36E3" w:rsidRPr="00755AB7">
        <w:rPr>
          <w:rFonts w:ascii="Arial" w:hAnsi="Arial" w:cs="Arial"/>
          <w:color w:val="000000" w:themeColor="text1"/>
        </w:rPr>
        <w:t>,</w:t>
      </w:r>
      <w:r w:rsidRPr="00755AB7">
        <w:rPr>
          <w:rFonts w:ascii="Arial" w:hAnsi="Arial" w:cs="Arial"/>
          <w:color w:val="000000" w:themeColor="text1"/>
        </w:rPr>
        <w:t xml:space="preserve"> the process by which someone is detained </w:t>
      </w:r>
      <w:r w:rsidR="00CB36E3" w:rsidRPr="00755AB7">
        <w:rPr>
          <w:rFonts w:ascii="Arial" w:hAnsi="Arial" w:cs="Arial"/>
          <w:color w:val="000000" w:themeColor="text1"/>
        </w:rPr>
        <w:t xml:space="preserve">in hospital under the Mental Health Act </w:t>
      </w:r>
      <w:r w:rsidR="00793190" w:rsidRPr="00755AB7">
        <w:rPr>
          <w:rFonts w:ascii="Arial" w:hAnsi="Arial" w:cs="Arial"/>
          <w:color w:val="000000" w:themeColor="text1"/>
        </w:rPr>
        <w:t>(MHA) (</w:t>
      </w:r>
      <w:r w:rsidR="00CB36E3" w:rsidRPr="00755AB7">
        <w:rPr>
          <w:rFonts w:ascii="Arial" w:hAnsi="Arial" w:cs="Arial"/>
          <w:color w:val="000000" w:themeColor="text1"/>
        </w:rPr>
        <w:t>1983</w:t>
      </w:r>
      <w:r w:rsidR="00793190" w:rsidRPr="00755AB7">
        <w:rPr>
          <w:rFonts w:ascii="Arial" w:hAnsi="Arial" w:cs="Arial"/>
          <w:color w:val="000000" w:themeColor="text1"/>
        </w:rPr>
        <w:t>)</w:t>
      </w:r>
      <w:r w:rsidR="00CB36E3" w:rsidRPr="00755AB7">
        <w:rPr>
          <w:rFonts w:ascii="Arial" w:hAnsi="Arial" w:cs="Arial"/>
          <w:color w:val="000000" w:themeColor="text1"/>
        </w:rPr>
        <w:t xml:space="preserve"> due to the risk their mental state is perceived to pose to themselves or others, is rising</w:t>
      </w:r>
      <w:r w:rsidRPr="00755AB7">
        <w:rPr>
          <w:rFonts w:ascii="Arial" w:hAnsi="Arial" w:cs="Arial"/>
          <w:color w:val="000000" w:themeColor="text1"/>
        </w:rPr>
        <w:t>. Between 2014 and 2016</w:t>
      </w:r>
      <w:r w:rsidR="009574B1" w:rsidRPr="00755AB7">
        <w:rPr>
          <w:rFonts w:ascii="Arial" w:hAnsi="Arial" w:cs="Arial"/>
          <w:color w:val="000000" w:themeColor="text1"/>
        </w:rPr>
        <w:t xml:space="preserve">, </w:t>
      </w:r>
      <w:r w:rsidRPr="00755AB7">
        <w:rPr>
          <w:rFonts w:ascii="Arial" w:hAnsi="Arial" w:cs="Arial"/>
          <w:color w:val="000000" w:themeColor="text1"/>
        </w:rPr>
        <w:t>detentions increased by close to 20 percent (CQC, 2018). Official figures show that not only are more detentions taking place than ever before, but that</w:t>
      </w:r>
      <w:r w:rsidR="009574B1" w:rsidRPr="00755AB7">
        <w:rPr>
          <w:rFonts w:ascii="Arial" w:hAnsi="Arial" w:cs="Arial"/>
          <w:color w:val="000000" w:themeColor="text1"/>
        </w:rPr>
        <w:t xml:space="preserve"> the rate of this increase has also risen rapidly in recent years (NHS Digital, 2016). </w:t>
      </w:r>
      <w:r w:rsidR="004B79B2" w:rsidRPr="00755AB7">
        <w:rPr>
          <w:rFonts w:ascii="Arial" w:hAnsi="Arial" w:cs="Arial"/>
          <w:color w:val="000000" w:themeColor="text1"/>
        </w:rPr>
        <w:t>In response, t</w:t>
      </w:r>
      <w:r w:rsidRPr="00755AB7">
        <w:rPr>
          <w:rFonts w:ascii="Arial" w:hAnsi="Arial" w:cs="Arial"/>
          <w:color w:val="000000" w:themeColor="text1"/>
        </w:rPr>
        <w:t xml:space="preserve">he </w:t>
      </w:r>
      <w:r w:rsidR="00793190" w:rsidRPr="00755AB7">
        <w:rPr>
          <w:rFonts w:ascii="Arial" w:hAnsi="Arial" w:cs="Arial"/>
          <w:color w:val="000000" w:themeColor="text1"/>
        </w:rPr>
        <w:t xml:space="preserve">UK </w:t>
      </w:r>
      <w:r w:rsidRPr="00755AB7">
        <w:rPr>
          <w:rFonts w:ascii="Arial" w:hAnsi="Arial" w:cs="Arial"/>
          <w:color w:val="000000" w:themeColor="text1"/>
        </w:rPr>
        <w:t xml:space="preserve">Government commissioned an Independent Review of the MHA </w:t>
      </w:r>
      <w:r w:rsidR="004B79B2" w:rsidRPr="00755AB7">
        <w:rPr>
          <w:rFonts w:ascii="Arial" w:hAnsi="Arial" w:cs="Arial"/>
          <w:color w:val="000000" w:themeColor="text1"/>
        </w:rPr>
        <w:t xml:space="preserve">in 2017 </w:t>
      </w:r>
      <w:r w:rsidRPr="00755AB7">
        <w:rPr>
          <w:rFonts w:ascii="Arial" w:hAnsi="Arial" w:cs="Arial"/>
          <w:color w:val="000000" w:themeColor="text1"/>
        </w:rPr>
        <w:t xml:space="preserve">to, among other things, </w:t>
      </w:r>
      <w:r w:rsidR="004B79B2" w:rsidRPr="00755AB7">
        <w:rPr>
          <w:rFonts w:ascii="Arial" w:hAnsi="Arial" w:cs="Arial"/>
          <w:color w:val="000000" w:themeColor="text1"/>
        </w:rPr>
        <w:t>‘</w:t>
      </w:r>
      <w:r w:rsidRPr="00755AB7">
        <w:rPr>
          <w:rFonts w:ascii="Arial" w:hAnsi="Arial" w:cs="Arial"/>
          <w:color w:val="000000" w:themeColor="text1"/>
        </w:rPr>
        <w:t>understand the causes</w:t>
      </w:r>
      <w:r w:rsidR="004B79B2" w:rsidRPr="00755AB7">
        <w:rPr>
          <w:rFonts w:ascii="Arial" w:hAnsi="Arial" w:cs="Arial"/>
          <w:color w:val="000000" w:themeColor="text1"/>
        </w:rPr>
        <w:t>’</w:t>
      </w:r>
      <w:r w:rsidRPr="00755AB7">
        <w:rPr>
          <w:rFonts w:ascii="Arial" w:hAnsi="Arial" w:cs="Arial"/>
          <w:color w:val="000000" w:themeColor="text1"/>
        </w:rPr>
        <w:t xml:space="preserve"> of this phenomenon and to recommend changes to legislation and practice as a result </w:t>
      </w:r>
      <w:r w:rsidR="009574B1" w:rsidRPr="00755AB7">
        <w:rPr>
          <w:rFonts w:ascii="Arial" w:hAnsi="Arial" w:cs="Arial"/>
          <w:color w:val="000000" w:themeColor="text1"/>
        </w:rPr>
        <w:t>(</w:t>
      </w:r>
      <w:proofErr w:type="spellStart"/>
      <w:r w:rsidR="009574B1" w:rsidRPr="00755AB7">
        <w:rPr>
          <w:rFonts w:ascii="Arial" w:hAnsi="Arial" w:cs="Arial"/>
          <w:color w:val="000000" w:themeColor="text1"/>
        </w:rPr>
        <w:t>Wessely</w:t>
      </w:r>
      <w:proofErr w:type="spellEnd"/>
      <w:r w:rsidR="009574B1" w:rsidRPr="00755AB7">
        <w:rPr>
          <w:rFonts w:ascii="Arial" w:hAnsi="Arial" w:cs="Arial"/>
          <w:color w:val="000000" w:themeColor="text1"/>
        </w:rPr>
        <w:t xml:space="preserve"> </w:t>
      </w:r>
      <w:r w:rsidR="009574B1" w:rsidRPr="00755AB7">
        <w:rPr>
          <w:rFonts w:ascii="Arial" w:hAnsi="Arial" w:cs="Arial"/>
          <w:i/>
          <w:color w:val="000000" w:themeColor="text1"/>
        </w:rPr>
        <w:t>et al</w:t>
      </w:r>
      <w:r w:rsidR="009574B1" w:rsidRPr="00755AB7">
        <w:rPr>
          <w:rFonts w:ascii="Arial" w:hAnsi="Arial" w:cs="Arial"/>
          <w:color w:val="000000" w:themeColor="text1"/>
        </w:rPr>
        <w:t>., 2018</w:t>
      </w:r>
      <w:r w:rsidR="0005249C" w:rsidRPr="00755AB7">
        <w:rPr>
          <w:rFonts w:ascii="Arial" w:hAnsi="Arial" w:cs="Arial"/>
          <w:color w:val="000000" w:themeColor="text1"/>
        </w:rPr>
        <w:t>a</w:t>
      </w:r>
      <w:r w:rsidR="009574B1" w:rsidRPr="00755AB7">
        <w:rPr>
          <w:rFonts w:ascii="Arial" w:hAnsi="Arial" w:cs="Arial"/>
          <w:color w:val="000000" w:themeColor="text1"/>
        </w:rPr>
        <w:t>).</w:t>
      </w:r>
    </w:p>
    <w:p w14:paraId="1EE57A96" w14:textId="5366AFE1" w:rsidR="00DE026B" w:rsidRPr="00755AB7" w:rsidRDefault="00DE026B">
      <w:pPr>
        <w:spacing w:line="480" w:lineRule="auto"/>
        <w:rPr>
          <w:rFonts w:ascii="Arial" w:hAnsi="Arial" w:cs="Arial"/>
          <w:color w:val="000000" w:themeColor="text1"/>
        </w:rPr>
      </w:pPr>
      <w:r w:rsidRPr="00BF2269">
        <w:rPr>
          <w:rFonts w:ascii="Arial" w:hAnsi="Arial" w:cs="Arial"/>
          <w:color w:val="000000" w:themeColor="text1"/>
        </w:rPr>
        <w:t>Most people admitted to hospital under the Mental Health Act are detained under either Section 2 of the Act, “admission for assessment”, or Section 3 “admission for treatment”. Each of these sections carries different powers. Both stipulate that those detained must be suffering from “a mental disorder” of a nature or degree which requires the patient to be in hospital for either the patient’s own health and safety or in the interest of public protection. In the case of Section 2</w:t>
      </w:r>
      <w:r w:rsidR="00C32D10">
        <w:rPr>
          <w:rFonts w:ascii="Arial" w:hAnsi="Arial" w:cs="Arial"/>
          <w:color w:val="000000" w:themeColor="text1"/>
        </w:rPr>
        <w:t>,</w:t>
      </w:r>
      <w:r w:rsidRPr="00BF2269">
        <w:rPr>
          <w:rFonts w:ascii="Arial" w:hAnsi="Arial" w:cs="Arial"/>
          <w:color w:val="000000" w:themeColor="text1"/>
        </w:rPr>
        <w:t xml:space="preserve"> an application is made for the assessment of the patient with the possibility of subsequent treatment. If the application is successful the patient can be detained for up to 28 days. With Section 3</w:t>
      </w:r>
      <w:r w:rsidR="00C32D10">
        <w:rPr>
          <w:rFonts w:ascii="Arial" w:hAnsi="Arial" w:cs="Arial"/>
          <w:color w:val="000000" w:themeColor="text1"/>
        </w:rPr>
        <w:t>,</w:t>
      </w:r>
      <w:r w:rsidRPr="00BF2269">
        <w:rPr>
          <w:rFonts w:ascii="Arial" w:hAnsi="Arial" w:cs="Arial"/>
          <w:color w:val="000000" w:themeColor="text1"/>
        </w:rPr>
        <w:t xml:space="preserve"> applications are made on the grounds that it is appropriate for the patient to receive medical treatment in hospital, suitable treatment is available and such treatment cannot be provided unless the patient is detained in hospital. If the application is successful the patient can be detained for up to 6 months.</w:t>
      </w:r>
    </w:p>
    <w:p w14:paraId="703C7DFF" w14:textId="7F787FBB" w:rsidR="004E7D8D" w:rsidRPr="00755AB7" w:rsidRDefault="004E7D8D">
      <w:pPr>
        <w:spacing w:line="480" w:lineRule="auto"/>
        <w:rPr>
          <w:rFonts w:ascii="Arial" w:hAnsi="Arial" w:cs="Arial"/>
          <w:color w:val="000000" w:themeColor="text1"/>
        </w:rPr>
      </w:pPr>
      <w:r w:rsidRPr="00755AB7">
        <w:rPr>
          <w:rFonts w:ascii="Arial" w:hAnsi="Arial" w:cs="Arial"/>
          <w:color w:val="000000" w:themeColor="text1"/>
        </w:rPr>
        <w:lastRenderedPageBreak/>
        <w:t>The Care Quality Commission (CQC), the independent regulator of health and social care services</w:t>
      </w:r>
      <w:r w:rsidR="00793190" w:rsidRPr="00755AB7">
        <w:rPr>
          <w:rFonts w:ascii="Arial" w:hAnsi="Arial" w:cs="Arial"/>
          <w:color w:val="000000" w:themeColor="text1"/>
        </w:rPr>
        <w:t xml:space="preserve"> in England</w:t>
      </w:r>
      <w:r w:rsidRPr="00755AB7">
        <w:rPr>
          <w:rFonts w:ascii="Arial" w:hAnsi="Arial" w:cs="Arial"/>
          <w:color w:val="000000" w:themeColor="text1"/>
        </w:rPr>
        <w:t>, point out that a rise in detentions isn’t necessarily ‘bad’ and could indicate that more people are getting the support they require in times of crisis and benefitting from the legal protection the MHA affords</w:t>
      </w:r>
      <w:r w:rsidR="00A0223C" w:rsidRPr="00755AB7">
        <w:rPr>
          <w:rFonts w:ascii="Arial" w:hAnsi="Arial" w:cs="Arial"/>
          <w:color w:val="000000" w:themeColor="text1"/>
        </w:rPr>
        <w:t xml:space="preserve"> (CQC, 2018)</w:t>
      </w:r>
      <w:r w:rsidR="00561FCE" w:rsidRPr="00755AB7">
        <w:rPr>
          <w:rFonts w:ascii="Arial" w:hAnsi="Arial" w:cs="Arial"/>
          <w:color w:val="000000" w:themeColor="text1"/>
        </w:rPr>
        <w:t xml:space="preserve">. </w:t>
      </w:r>
      <w:r w:rsidR="004B79B2" w:rsidRPr="00755AB7">
        <w:rPr>
          <w:rFonts w:ascii="Arial" w:hAnsi="Arial" w:cs="Arial"/>
          <w:color w:val="000000" w:themeColor="text1"/>
        </w:rPr>
        <w:t xml:space="preserve">However, </w:t>
      </w:r>
      <w:r w:rsidRPr="00755AB7">
        <w:rPr>
          <w:rFonts w:ascii="Arial" w:hAnsi="Arial" w:cs="Arial"/>
          <w:color w:val="000000" w:themeColor="text1"/>
        </w:rPr>
        <w:t xml:space="preserve">extensive evidence </w:t>
      </w:r>
      <w:r w:rsidR="002B0E52" w:rsidRPr="00755AB7">
        <w:rPr>
          <w:rFonts w:ascii="Arial" w:hAnsi="Arial" w:cs="Arial"/>
          <w:color w:val="000000" w:themeColor="text1"/>
        </w:rPr>
        <w:t xml:space="preserve">exists </w:t>
      </w:r>
      <w:r w:rsidRPr="00755AB7">
        <w:rPr>
          <w:rFonts w:ascii="Arial" w:hAnsi="Arial" w:cs="Arial"/>
          <w:color w:val="000000" w:themeColor="text1"/>
        </w:rPr>
        <w:t>documenting the </w:t>
      </w:r>
      <w:r w:rsidR="004B79B2" w:rsidRPr="00755AB7">
        <w:rPr>
          <w:rFonts w:ascii="Arial" w:hAnsi="Arial" w:cs="Arial"/>
          <w:color w:val="000000" w:themeColor="text1"/>
        </w:rPr>
        <w:t>‘</w:t>
      </w:r>
      <w:r w:rsidRPr="00755AB7">
        <w:rPr>
          <w:rFonts w:ascii="Arial" w:hAnsi="Arial" w:cs="Arial"/>
          <w:color w:val="000000" w:themeColor="text1"/>
        </w:rPr>
        <w:t>negative inpatient experiences</w:t>
      </w:r>
      <w:r w:rsidR="004B79B2" w:rsidRPr="00755AB7">
        <w:rPr>
          <w:rFonts w:ascii="Arial" w:hAnsi="Arial" w:cs="Arial"/>
          <w:color w:val="000000" w:themeColor="text1"/>
        </w:rPr>
        <w:t>’</w:t>
      </w:r>
      <w:r w:rsidRPr="00755AB7">
        <w:rPr>
          <w:rFonts w:ascii="Arial" w:hAnsi="Arial" w:cs="Arial"/>
          <w:color w:val="000000" w:themeColor="text1"/>
        </w:rPr>
        <w:t xml:space="preserve"> of those who have been detained</w:t>
      </w:r>
      <w:r w:rsidR="002E0308" w:rsidRPr="00755AB7">
        <w:rPr>
          <w:rFonts w:ascii="Arial" w:hAnsi="Arial" w:cs="Arial"/>
          <w:color w:val="000000" w:themeColor="text1"/>
        </w:rPr>
        <w:t xml:space="preserve"> (Glasby and Tew, 2015: 97)</w:t>
      </w:r>
      <w:r w:rsidRPr="00755AB7">
        <w:rPr>
          <w:rFonts w:ascii="Arial" w:hAnsi="Arial" w:cs="Arial"/>
          <w:color w:val="000000" w:themeColor="text1"/>
        </w:rPr>
        <w:t xml:space="preserve">. </w:t>
      </w:r>
      <w:r w:rsidR="004F0C07" w:rsidRPr="00755AB7">
        <w:rPr>
          <w:rFonts w:ascii="Arial" w:hAnsi="Arial" w:cs="Arial"/>
          <w:color w:val="000000" w:themeColor="text1"/>
        </w:rPr>
        <w:t>The</w:t>
      </w:r>
      <w:r w:rsidRPr="00755AB7">
        <w:rPr>
          <w:rFonts w:ascii="Arial" w:hAnsi="Arial" w:cs="Arial"/>
          <w:color w:val="000000" w:themeColor="text1"/>
        </w:rPr>
        <w:t xml:space="preserve"> N</w:t>
      </w:r>
      <w:r w:rsidR="002D09C7" w:rsidRPr="00755AB7">
        <w:rPr>
          <w:rFonts w:ascii="Arial" w:hAnsi="Arial" w:cs="Arial"/>
          <w:color w:val="000000" w:themeColor="text1"/>
        </w:rPr>
        <w:t xml:space="preserve">ational Institute for Clinical </w:t>
      </w:r>
      <w:r w:rsidRPr="00755AB7">
        <w:rPr>
          <w:rFonts w:ascii="Arial" w:hAnsi="Arial" w:cs="Arial"/>
          <w:color w:val="000000" w:themeColor="text1"/>
        </w:rPr>
        <w:t>E</w:t>
      </w:r>
      <w:r w:rsidR="002D09C7" w:rsidRPr="00755AB7">
        <w:rPr>
          <w:rFonts w:ascii="Arial" w:hAnsi="Arial" w:cs="Arial"/>
          <w:color w:val="000000" w:themeColor="text1"/>
        </w:rPr>
        <w:t>xcellence</w:t>
      </w:r>
      <w:r w:rsidRPr="00755AB7">
        <w:rPr>
          <w:rFonts w:ascii="Arial" w:hAnsi="Arial" w:cs="Arial"/>
          <w:color w:val="000000" w:themeColor="text1"/>
        </w:rPr>
        <w:t xml:space="preserve"> for example, </w:t>
      </w:r>
      <w:r w:rsidR="00232DAC" w:rsidRPr="00755AB7">
        <w:rPr>
          <w:rFonts w:ascii="Arial" w:hAnsi="Arial" w:cs="Arial"/>
          <w:color w:val="000000" w:themeColor="text1"/>
        </w:rPr>
        <w:t xml:space="preserve">state </w:t>
      </w:r>
      <w:r w:rsidRPr="00755AB7">
        <w:rPr>
          <w:rFonts w:ascii="Arial" w:hAnsi="Arial" w:cs="Arial"/>
          <w:color w:val="000000" w:themeColor="text1"/>
        </w:rPr>
        <w:t xml:space="preserve">that </w:t>
      </w:r>
      <w:r w:rsidR="002E0308" w:rsidRPr="00755AB7">
        <w:rPr>
          <w:rFonts w:ascii="Arial" w:hAnsi="Arial" w:cs="Arial"/>
          <w:color w:val="000000" w:themeColor="text1"/>
        </w:rPr>
        <w:t>‘</w:t>
      </w:r>
      <w:r w:rsidRPr="00755AB7">
        <w:rPr>
          <w:rFonts w:ascii="Arial" w:hAnsi="Arial" w:cs="Arial"/>
          <w:color w:val="000000" w:themeColor="text1"/>
        </w:rPr>
        <w:t>being detained is, at least for some, traumatic, with a loss of dignity and respect and a feeling of not being cared for</w:t>
      </w:r>
      <w:r w:rsidR="002E0308" w:rsidRPr="00755AB7">
        <w:rPr>
          <w:rFonts w:ascii="Arial" w:hAnsi="Arial" w:cs="Arial"/>
          <w:color w:val="000000" w:themeColor="text1"/>
        </w:rPr>
        <w:t>’</w:t>
      </w:r>
      <w:r w:rsidRPr="00755AB7">
        <w:rPr>
          <w:rFonts w:ascii="Arial" w:hAnsi="Arial" w:cs="Arial"/>
          <w:color w:val="000000" w:themeColor="text1"/>
        </w:rPr>
        <w:t> (</w:t>
      </w:r>
      <w:r w:rsidR="002D09C7" w:rsidRPr="00755AB7">
        <w:rPr>
          <w:rFonts w:ascii="Arial" w:hAnsi="Arial" w:cs="Arial"/>
          <w:color w:val="000000" w:themeColor="text1"/>
        </w:rPr>
        <w:t>NICE, 2011</w:t>
      </w:r>
      <w:r w:rsidR="00344122" w:rsidRPr="00755AB7">
        <w:rPr>
          <w:rFonts w:ascii="Arial" w:hAnsi="Arial" w:cs="Arial"/>
          <w:color w:val="000000" w:themeColor="text1"/>
        </w:rPr>
        <w:t>:</w:t>
      </w:r>
      <w:r w:rsidR="00DE4ED4" w:rsidRPr="00755AB7">
        <w:rPr>
          <w:rFonts w:ascii="Arial" w:hAnsi="Arial" w:cs="Arial"/>
          <w:color w:val="000000" w:themeColor="text1"/>
        </w:rPr>
        <w:t xml:space="preserve"> 139</w:t>
      </w:r>
      <w:r w:rsidRPr="00755AB7">
        <w:rPr>
          <w:rFonts w:ascii="Arial" w:hAnsi="Arial" w:cs="Arial"/>
          <w:color w:val="000000" w:themeColor="text1"/>
        </w:rPr>
        <w:t xml:space="preserve">). </w:t>
      </w:r>
      <w:r w:rsidR="005D6373" w:rsidRPr="00755AB7">
        <w:rPr>
          <w:rStyle w:val="normaltextrun"/>
          <w:rFonts w:ascii="Arial" w:hAnsi="Arial" w:cs="Arial"/>
          <w:color w:val="000000" w:themeColor="text1"/>
        </w:rPr>
        <w:t>Moreover, in the Code of Practice for the Act itself, the principle of 'least restriction' explicitly states “Where it is possible to treat a patient safely and lawfully without detaining them under the Act, the patient should not be detained” (</w:t>
      </w:r>
      <w:r w:rsidR="00E977BA" w:rsidRPr="00755AB7">
        <w:rPr>
          <w:rStyle w:val="normaltextrun"/>
          <w:rFonts w:ascii="Arial" w:hAnsi="Arial" w:cs="Arial"/>
          <w:color w:val="000000" w:themeColor="text1"/>
        </w:rPr>
        <w:t xml:space="preserve">Department of Health, 2015, </w:t>
      </w:r>
      <w:r w:rsidR="00D3702E" w:rsidRPr="00755AB7">
        <w:rPr>
          <w:rStyle w:val="normaltextrun"/>
          <w:rFonts w:ascii="Arial" w:hAnsi="Arial" w:cs="Arial"/>
          <w:color w:val="000000" w:themeColor="text1"/>
        </w:rPr>
        <w:t>1.2</w:t>
      </w:r>
      <w:r w:rsidR="005D6373" w:rsidRPr="00755AB7">
        <w:rPr>
          <w:rStyle w:val="normaltextrun"/>
          <w:rFonts w:ascii="Arial" w:hAnsi="Arial" w:cs="Arial"/>
          <w:color w:val="000000" w:themeColor="text1"/>
        </w:rPr>
        <w:t>).</w:t>
      </w:r>
    </w:p>
    <w:p w14:paraId="5BBA9F77" w14:textId="11142EFA" w:rsidR="004E7D8D" w:rsidRPr="00755AB7" w:rsidRDefault="004E7D8D">
      <w:pPr>
        <w:spacing w:line="480" w:lineRule="auto"/>
        <w:rPr>
          <w:rFonts w:ascii="Arial" w:hAnsi="Arial" w:cs="Arial"/>
          <w:color w:val="000000" w:themeColor="text1"/>
        </w:rPr>
      </w:pPr>
      <w:r w:rsidRPr="00755AB7">
        <w:rPr>
          <w:rFonts w:ascii="Arial" w:hAnsi="Arial" w:cs="Arial"/>
          <w:color w:val="000000" w:themeColor="text1"/>
        </w:rPr>
        <w:t xml:space="preserve">Detention </w:t>
      </w:r>
      <w:r w:rsidR="00232DAC" w:rsidRPr="00755AB7">
        <w:rPr>
          <w:rFonts w:ascii="Arial" w:hAnsi="Arial" w:cs="Arial"/>
          <w:color w:val="000000" w:themeColor="text1"/>
        </w:rPr>
        <w:t xml:space="preserve">then </w:t>
      </w:r>
      <w:r w:rsidRPr="00755AB7">
        <w:rPr>
          <w:rFonts w:ascii="Arial" w:hAnsi="Arial" w:cs="Arial"/>
          <w:color w:val="000000" w:themeColor="text1"/>
        </w:rPr>
        <w:t>is clearly</w:t>
      </w:r>
      <w:r w:rsidR="005D6373" w:rsidRPr="00755AB7">
        <w:rPr>
          <w:rFonts w:ascii="Arial" w:hAnsi="Arial" w:cs="Arial"/>
          <w:color w:val="000000" w:themeColor="text1"/>
        </w:rPr>
        <w:t xml:space="preserve"> intended to be</w:t>
      </w:r>
      <w:r w:rsidRPr="00755AB7">
        <w:rPr>
          <w:rFonts w:ascii="Arial" w:hAnsi="Arial" w:cs="Arial"/>
          <w:color w:val="000000" w:themeColor="text1"/>
        </w:rPr>
        <w:t xml:space="preserve"> the treatment option of last resort</w:t>
      </w:r>
      <w:r w:rsidR="00232DAC" w:rsidRPr="00755AB7">
        <w:rPr>
          <w:rFonts w:ascii="Arial" w:hAnsi="Arial" w:cs="Arial"/>
          <w:color w:val="000000" w:themeColor="text1"/>
        </w:rPr>
        <w:t>, s</w:t>
      </w:r>
      <w:r w:rsidRPr="00755AB7">
        <w:rPr>
          <w:rFonts w:ascii="Arial" w:hAnsi="Arial" w:cs="Arial"/>
          <w:color w:val="000000" w:themeColor="text1"/>
        </w:rPr>
        <w:t>o why is it being used more frequently than previously? In their investigation into the causes behind the rise, the CQC cite</w:t>
      </w:r>
      <w:r w:rsidR="00B44182" w:rsidRPr="00755AB7">
        <w:rPr>
          <w:rFonts w:ascii="Arial" w:hAnsi="Arial" w:cs="Arial"/>
          <w:color w:val="000000" w:themeColor="text1"/>
        </w:rPr>
        <w:t>d</w:t>
      </w:r>
      <w:r w:rsidRPr="00755AB7">
        <w:rPr>
          <w:rFonts w:ascii="Arial" w:hAnsi="Arial" w:cs="Arial"/>
          <w:color w:val="000000" w:themeColor="text1"/>
        </w:rPr>
        <w:t xml:space="preserve"> eight possible hypotheses</w:t>
      </w:r>
      <w:r w:rsidR="00B44182" w:rsidRPr="00755AB7">
        <w:rPr>
          <w:rFonts w:ascii="Arial" w:hAnsi="Arial" w:cs="Arial"/>
          <w:color w:val="000000" w:themeColor="text1"/>
        </w:rPr>
        <w:t xml:space="preserve">, including </w:t>
      </w:r>
      <w:r w:rsidRPr="00755AB7">
        <w:rPr>
          <w:rFonts w:ascii="Arial" w:hAnsi="Arial" w:cs="Arial"/>
          <w:color w:val="000000" w:themeColor="text1"/>
        </w:rPr>
        <w:t>data discrepancies, an increase in so-called 'revolving door' patients, a deficit of community services able to prevent admission, wider interpretations of mental disorder amongst clinicians, the effect of a reduction of inpatient beds, and an increase in social factors which can </w:t>
      </w:r>
      <w:r w:rsidR="00D251C2" w:rsidRPr="00755AB7">
        <w:rPr>
          <w:rFonts w:ascii="Arial" w:hAnsi="Arial" w:cs="Arial"/>
          <w:color w:val="000000" w:themeColor="text1"/>
        </w:rPr>
        <w:t xml:space="preserve">contribute to </w:t>
      </w:r>
      <w:r w:rsidRPr="00755AB7">
        <w:rPr>
          <w:rFonts w:ascii="Arial" w:hAnsi="Arial" w:cs="Arial"/>
          <w:color w:val="000000" w:themeColor="text1"/>
        </w:rPr>
        <w:t>mental ill health</w:t>
      </w:r>
      <w:r w:rsidR="00A0223C" w:rsidRPr="00755AB7">
        <w:rPr>
          <w:rFonts w:ascii="Arial" w:hAnsi="Arial" w:cs="Arial"/>
          <w:color w:val="000000" w:themeColor="text1"/>
        </w:rPr>
        <w:t xml:space="preserve"> (CQC, 2018)</w:t>
      </w:r>
      <w:r w:rsidRPr="00755AB7">
        <w:rPr>
          <w:rFonts w:ascii="Arial" w:hAnsi="Arial" w:cs="Arial"/>
          <w:color w:val="000000" w:themeColor="text1"/>
        </w:rPr>
        <w:t>.  </w:t>
      </w:r>
    </w:p>
    <w:p w14:paraId="0BF69592" w14:textId="11E7410A" w:rsidR="004E7D8D" w:rsidRPr="00755AB7" w:rsidRDefault="00804C71">
      <w:pPr>
        <w:spacing w:line="480" w:lineRule="auto"/>
        <w:rPr>
          <w:rFonts w:ascii="Arial" w:hAnsi="Arial" w:cs="Arial"/>
          <w:color w:val="000000" w:themeColor="text1"/>
        </w:rPr>
      </w:pPr>
      <w:r w:rsidRPr="00755AB7">
        <w:rPr>
          <w:rFonts w:ascii="Arial" w:hAnsi="Arial" w:cs="Arial"/>
          <w:color w:val="000000" w:themeColor="text1"/>
        </w:rPr>
        <w:t>Whilst d</w:t>
      </w:r>
      <w:r w:rsidR="00D251C2" w:rsidRPr="00755AB7">
        <w:rPr>
          <w:rFonts w:ascii="Arial" w:hAnsi="Arial" w:cs="Arial"/>
          <w:color w:val="000000" w:themeColor="text1"/>
        </w:rPr>
        <w:t xml:space="preserve">einstitutionalisation and the shift </w:t>
      </w:r>
      <w:r w:rsidR="00FD5C70">
        <w:rPr>
          <w:rFonts w:ascii="Arial" w:hAnsi="Arial" w:cs="Arial"/>
          <w:color w:val="000000" w:themeColor="text1"/>
        </w:rPr>
        <w:t xml:space="preserve">from inpatient care </w:t>
      </w:r>
      <w:r w:rsidR="00D251C2" w:rsidRPr="00755AB7">
        <w:rPr>
          <w:rFonts w:ascii="Arial" w:hAnsi="Arial" w:cs="Arial"/>
          <w:color w:val="000000" w:themeColor="text1"/>
        </w:rPr>
        <w:t xml:space="preserve">to care in the community </w:t>
      </w:r>
      <w:r w:rsidR="004E7D8D" w:rsidRPr="00755AB7">
        <w:rPr>
          <w:rFonts w:ascii="Arial" w:hAnsi="Arial" w:cs="Arial"/>
          <w:color w:val="000000" w:themeColor="text1"/>
        </w:rPr>
        <w:t>(Glasby and Tew, 2015</w:t>
      </w:r>
      <w:r w:rsidR="00C850B7" w:rsidRPr="00755AB7">
        <w:rPr>
          <w:rFonts w:ascii="Arial" w:hAnsi="Arial" w:cs="Arial"/>
          <w:color w:val="000000" w:themeColor="text1"/>
        </w:rPr>
        <w:t xml:space="preserve">; </w:t>
      </w:r>
      <w:proofErr w:type="spellStart"/>
      <w:r w:rsidR="004E7D8D" w:rsidRPr="00755AB7">
        <w:rPr>
          <w:rFonts w:ascii="Arial" w:hAnsi="Arial" w:cs="Arial"/>
          <w:color w:val="000000" w:themeColor="text1"/>
        </w:rPr>
        <w:t>Ewbank</w:t>
      </w:r>
      <w:proofErr w:type="spellEnd"/>
      <w:r w:rsidR="002E5B7E" w:rsidRPr="00755AB7">
        <w:rPr>
          <w:rFonts w:ascii="Arial" w:hAnsi="Arial" w:cs="Arial"/>
          <w:color w:val="000000" w:themeColor="text1"/>
        </w:rPr>
        <w:t xml:space="preserve"> </w:t>
      </w:r>
      <w:r w:rsidR="002E5B7E" w:rsidRPr="00755AB7">
        <w:rPr>
          <w:rFonts w:ascii="Arial" w:hAnsi="Arial" w:cs="Arial"/>
          <w:i/>
          <w:color w:val="000000" w:themeColor="text1"/>
        </w:rPr>
        <w:t>et al</w:t>
      </w:r>
      <w:r w:rsidR="002E5B7E" w:rsidRPr="00755AB7">
        <w:rPr>
          <w:rFonts w:ascii="Arial" w:hAnsi="Arial" w:cs="Arial"/>
          <w:color w:val="000000" w:themeColor="text1"/>
        </w:rPr>
        <w:t>.</w:t>
      </w:r>
      <w:r w:rsidR="004E7D8D" w:rsidRPr="00755AB7">
        <w:rPr>
          <w:rFonts w:ascii="Arial" w:hAnsi="Arial" w:cs="Arial"/>
          <w:color w:val="000000" w:themeColor="text1"/>
        </w:rPr>
        <w:t>, 2017)</w:t>
      </w:r>
      <w:r w:rsidRPr="00755AB7">
        <w:rPr>
          <w:rFonts w:ascii="Arial" w:hAnsi="Arial" w:cs="Arial"/>
          <w:color w:val="000000" w:themeColor="text1"/>
        </w:rPr>
        <w:t xml:space="preserve"> </w:t>
      </w:r>
      <w:r w:rsidR="004E7D8D" w:rsidRPr="00755AB7">
        <w:rPr>
          <w:rFonts w:ascii="Arial" w:hAnsi="Arial" w:cs="Arial"/>
          <w:color w:val="000000" w:themeColor="text1"/>
        </w:rPr>
        <w:t>was seen optimistically as a means of facilitating greater social integration and participation among </w:t>
      </w:r>
      <w:r w:rsidR="00447F1A" w:rsidRPr="00755AB7">
        <w:rPr>
          <w:rFonts w:ascii="Arial" w:hAnsi="Arial" w:cs="Arial"/>
          <w:color w:val="000000" w:themeColor="text1"/>
        </w:rPr>
        <w:t>‘</w:t>
      </w:r>
      <w:r w:rsidR="004E7D8D" w:rsidRPr="00755AB7">
        <w:rPr>
          <w:rFonts w:ascii="Arial" w:hAnsi="Arial" w:cs="Arial"/>
          <w:color w:val="000000" w:themeColor="text1"/>
        </w:rPr>
        <w:t>one of the most marginali</w:t>
      </w:r>
      <w:r w:rsidR="00447F1A" w:rsidRPr="00755AB7">
        <w:rPr>
          <w:rFonts w:ascii="Arial" w:hAnsi="Arial" w:cs="Arial"/>
          <w:color w:val="000000" w:themeColor="text1"/>
        </w:rPr>
        <w:t>s</w:t>
      </w:r>
      <w:r w:rsidR="004E7D8D" w:rsidRPr="00755AB7">
        <w:rPr>
          <w:rFonts w:ascii="Arial" w:hAnsi="Arial" w:cs="Arial"/>
          <w:color w:val="000000" w:themeColor="text1"/>
        </w:rPr>
        <w:t>ed groups in society</w:t>
      </w:r>
      <w:r w:rsidR="00447F1A" w:rsidRPr="00755AB7">
        <w:rPr>
          <w:rFonts w:ascii="Arial" w:hAnsi="Arial" w:cs="Arial"/>
          <w:color w:val="000000" w:themeColor="text1"/>
        </w:rPr>
        <w:t>’</w:t>
      </w:r>
      <w:r w:rsidR="004E7D8D" w:rsidRPr="00755AB7">
        <w:rPr>
          <w:rFonts w:ascii="Arial" w:hAnsi="Arial" w:cs="Arial"/>
          <w:color w:val="000000" w:themeColor="text1"/>
        </w:rPr>
        <w:t xml:space="preserve"> (Cummins, 2013</w:t>
      </w:r>
      <w:r w:rsidRPr="00755AB7">
        <w:rPr>
          <w:rFonts w:ascii="Arial" w:hAnsi="Arial" w:cs="Arial"/>
          <w:color w:val="000000" w:themeColor="text1"/>
        </w:rPr>
        <w:t>: 93; Pillay, 2017</w:t>
      </w:r>
      <w:r w:rsidR="004E7D8D" w:rsidRPr="00755AB7">
        <w:rPr>
          <w:rFonts w:ascii="Arial" w:hAnsi="Arial" w:cs="Arial"/>
          <w:color w:val="000000" w:themeColor="text1"/>
        </w:rPr>
        <w:t>)</w:t>
      </w:r>
      <w:r w:rsidRPr="00755AB7">
        <w:rPr>
          <w:rFonts w:ascii="Arial" w:hAnsi="Arial" w:cs="Arial"/>
          <w:color w:val="000000" w:themeColor="text1"/>
        </w:rPr>
        <w:t xml:space="preserve">, </w:t>
      </w:r>
      <w:r w:rsidR="004E7D8D" w:rsidRPr="00755AB7">
        <w:rPr>
          <w:rFonts w:ascii="Arial" w:hAnsi="Arial" w:cs="Arial"/>
          <w:color w:val="000000" w:themeColor="text1"/>
        </w:rPr>
        <w:t>the cost of delivering care in the community of a standard that enabled people to achieve the goal of more independent living was more expensive than anticipated</w:t>
      </w:r>
      <w:r w:rsidRPr="00755AB7">
        <w:rPr>
          <w:rFonts w:ascii="Arial" w:hAnsi="Arial" w:cs="Arial"/>
          <w:color w:val="000000" w:themeColor="text1"/>
        </w:rPr>
        <w:t xml:space="preserve"> </w:t>
      </w:r>
      <w:r w:rsidR="004E7D8D" w:rsidRPr="00755AB7">
        <w:rPr>
          <w:rFonts w:ascii="Arial" w:hAnsi="Arial" w:cs="Arial"/>
          <w:color w:val="000000" w:themeColor="text1"/>
        </w:rPr>
        <w:t xml:space="preserve">(Knapp </w:t>
      </w:r>
      <w:r w:rsidR="004E7D8D" w:rsidRPr="00755AB7">
        <w:rPr>
          <w:rFonts w:ascii="Arial" w:hAnsi="Arial" w:cs="Arial"/>
          <w:i/>
          <w:color w:val="000000" w:themeColor="text1"/>
        </w:rPr>
        <w:t>et al</w:t>
      </w:r>
      <w:r w:rsidR="002E5B7E" w:rsidRPr="00755AB7">
        <w:rPr>
          <w:rFonts w:ascii="Arial" w:hAnsi="Arial" w:cs="Arial"/>
          <w:i/>
          <w:color w:val="000000" w:themeColor="text1"/>
        </w:rPr>
        <w:t>.</w:t>
      </w:r>
      <w:r w:rsidR="004E7D8D" w:rsidRPr="00755AB7">
        <w:rPr>
          <w:rFonts w:ascii="Arial" w:hAnsi="Arial" w:cs="Arial"/>
          <w:color w:val="000000" w:themeColor="text1"/>
        </w:rPr>
        <w:t>, 2011)</w:t>
      </w:r>
      <w:r w:rsidR="00232DAC" w:rsidRPr="00755AB7">
        <w:rPr>
          <w:rFonts w:ascii="Arial" w:hAnsi="Arial" w:cs="Arial"/>
          <w:color w:val="000000" w:themeColor="text1"/>
        </w:rPr>
        <w:t xml:space="preserve">. </w:t>
      </w:r>
      <w:r w:rsidR="001F6EDF" w:rsidRPr="00755AB7">
        <w:rPr>
          <w:rFonts w:ascii="Arial" w:hAnsi="Arial" w:cs="Arial"/>
          <w:color w:val="000000" w:themeColor="text1"/>
        </w:rPr>
        <w:t xml:space="preserve">Subsequently, it has been argued that </w:t>
      </w:r>
      <w:r w:rsidR="004E7D8D" w:rsidRPr="00755AB7">
        <w:rPr>
          <w:rFonts w:ascii="Arial" w:hAnsi="Arial" w:cs="Arial"/>
          <w:color w:val="000000" w:themeColor="text1"/>
        </w:rPr>
        <w:t xml:space="preserve">poor outcomes for patients in the community have led to an era of </w:t>
      </w:r>
      <w:r w:rsidR="00447F1A" w:rsidRPr="00755AB7">
        <w:rPr>
          <w:rFonts w:ascii="Arial" w:hAnsi="Arial" w:cs="Arial"/>
          <w:color w:val="000000" w:themeColor="text1"/>
        </w:rPr>
        <w:t>‘</w:t>
      </w:r>
      <w:r w:rsidR="004E7D8D" w:rsidRPr="00755AB7">
        <w:rPr>
          <w:rFonts w:ascii="Arial" w:hAnsi="Arial" w:cs="Arial"/>
          <w:color w:val="000000" w:themeColor="text1"/>
        </w:rPr>
        <w:t>re-institutionalisation</w:t>
      </w:r>
      <w:r w:rsidR="00447F1A" w:rsidRPr="00755AB7">
        <w:rPr>
          <w:rFonts w:ascii="Arial" w:hAnsi="Arial" w:cs="Arial"/>
          <w:color w:val="000000" w:themeColor="text1"/>
        </w:rPr>
        <w:t>’</w:t>
      </w:r>
      <w:r w:rsidR="004E7D8D" w:rsidRPr="00755AB7">
        <w:rPr>
          <w:rFonts w:ascii="Arial" w:hAnsi="Arial" w:cs="Arial"/>
          <w:color w:val="000000" w:themeColor="text1"/>
        </w:rPr>
        <w:t xml:space="preserve">, whereby services are becoming increasingly reliant on </w:t>
      </w:r>
      <w:r w:rsidR="00447F1A" w:rsidRPr="00755AB7">
        <w:rPr>
          <w:rFonts w:ascii="Arial" w:hAnsi="Arial" w:cs="Arial"/>
          <w:color w:val="000000" w:themeColor="text1"/>
        </w:rPr>
        <w:t>‘</w:t>
      </w:r>
      <w:r w:rsidR="004E7D8D" w:rsidRPr="00755AB7">
        <w:rPr>
          <w:rFonts w:ascii="Arial" w:hAnsi="Arial" w:cs="Arial"/>
          <w:color w:val="000000" w:themeColor="text1"/>
        </w:rPr>
        <w:t>reproductions of the asylum</w:t>
      </w:r>
      <w:r w:rsidR="00447F1A" w:rsidRPr="00755AB7">
        <w:rPr>
          <w:rFonts w:ascii="Arial" w:hAnsi="Arial" w:cs="Arial"/>
          <w:color w:val="000000" w:themeColor="text1"/>
        </w:rPr>
        <w:t>’</w:t>
      </w:r>
      <w:r w:rsidR="004E7D8D" w:rsidRPr="00755AB7">
        <w:rPr>
          <w:rFonts w:ascii="Arial" w:hAnsi="Arial" w:cs="Arial"/>
          <w:color w:val="000000" w:themeColor="text1"/>
        </w:rPr>
        <w:t xml:space="preserve">, in the form of 24-hour staffed supported housing, rehabilitation units and </w:t>
      </w:r>
      <w:r w:rsidR="004E7D8D" w:rsidRPr="00755AB7">
        <w:rPr>
          <w:rFonts w:ascii="Arial" w:hAnsi="Arial" w:cs="Arial"/>
          <w:color w:val="000000" w:themeColor="text1"/>
        </w:rPr>
        <w:lastRenderedPageBreak/>
        <w:t>psychiatric beds obtained through use of the MHA, often for short periods at a time</w:t>
      </w:r>
      <w:r w:rsidR="001F6EDF" w:rsidRPr="00755AB7">
        <w:rPr>
          <w:rFonts w:ascii="Arial" w:hAnsi="Arial" w:cs="Arial"/>
          <w:color w:val="000000" w:themeColor="text1"/>
        </w:rPr>
        <w:t xml:space="preserve"> (Priebe</w:t>
      </w:r>
      <w:r w:rsidR="002E5B7E" w:rsidRPr="00755AB7">
        <w:rPr>
          <w:rFonts w:ascii="Arial" w:hAnsi="Arial" w:cs="Arial"/>
          <w:color w:val="000000" w:themeColor="text1"/>
        </w:rPr>
        <w:t xml:space="preserve"> </w:t>
      </w:r>
      <w:r w:rsidR="001F6EDF" w:rsidRPr="00755AB7">
        <w:rPr>
          <w:rFonts w:ascii="Arial" w:hAnsi="Arial" w:cs="Arial"/>
          <w:i/>
          <w:iCs/>
          <w:color w:val="000000" w:themeColor="text1"/>
        </w:rPr>
        <w:t>et al</w:t>
      </w:r>
      <w:r w:rsidR="002E5B7E" w:rsidRPr="00755AB7">
        <w:rPr>
          <w:rFonts w:ascii="Arial" w:hAnsi="Arial" w:cs="Arial"/>
          <w:i/>
          <w:iCs/>
          <w:color w:val="000000" w:themeColor="text1"/>
        </w:rPr>
        <w:t>.</w:t>
      </w:r>
      <w:r w:rsidR="001F6EDF" w:rsidRPr="00755AB7">
        <w:rPr>
          <w:rFonts w:ascii="Arial" w:hAnsi="Arial" w:cs="Arial"/>
          <w:color w:val="000000" w:themeColor="text1"/>
        </w:rPr>
        <w:t>, 2004)</w:t>
      </w:r>
      <w:r w:rsidR="004E7D8D" w:rsidRPr="00755AB7">
        <w:rPr>
          <w:rFonts w:ascii="Arial" w:hAnsi="Arial" w:cs="Arial"/>
          <w:color w:val="000000" w:themeColor="text1"/>
        </w:rPr>
        <w:t xml:space="preserve">. </w:t>
      </w:r>
    </w:p>
    <w:p w14:paraId="16C4A3ED" w14:textId="7319A56E" w:rsidR="00E96EC1" w:rsidRPr="00755AB7" w:rsidRDefault="004E7D8D" w:rsidP="00967258">
      <w:pPr>
        <w:spacing w:line="480" w:lineRule="auto"/>
        <w:rPr>
          <w:rFonts w:ascii="Arial" w:hAnsi="Arial" w:cs="Arial"/>
          <w:color w:val="000000" w:themeColor="text1"/>
        </w:rPr>
      </w:pPr>
      <w:r w:rsidRPr="00755AB7">
        <w:rPr>
          <w:rFonts w:ascii="Arial" w:hAnsi="Arial" w:cs="Arial"/>
          <w:color w:val="000000" w:themeColor="text1"/>
        </w:rPr>
        <w:t>Though seem</w:t>
      </w:r>
      <w:r w:rsidR="001F6EDF" w:rsidRPr="00755AB7">
        <w:rPr>
          <w:rFonts w:ascii="Arial" w:hAnsi="Arial" w:cs="Arial"/>
          <w:color w:val="000000" w:themeColor="text1"/>
        </w:rPr>
        <w:t>ingly</w:t>
      </w:r>
      <w:r w:rsidRPr="00755AB7">
        <w:rPr>
          <w:rFonts w:ascii="Arial" w:hAnsi="Arial" w:cs="Arial"/>
          <w:color w:val="000000" w:themeColor="text1"/>
        </w:rPr>
        <w:t xml:space="preserve"> counterintuitive, there is evidence of a causal link between the reduction of psychiatric beds and an increase in the number of MHA detentions</w:t>
      </w:r>
      <w:r w:rsidR="001F6EDF" w:rsidRPr="00755AB7">
        <w:rPr>
          <w:rFonts w:ascii="Arial" w:hAnsi="Arial" w:cs="Arial"/>
          <w:color w:val="000000" w:themeColor="text1"/>
        </w:rPr>
        <w:t xml:space="preserve"> (</w:t>
      </w:r>
      <w:r w:rsidRPr="00755AB7">
        <w:rPr>
          <w:rFonts w:ascii="Arial" w:hAnsi="Arial" w:cs="Arial"/>
          <w:color w:val="000000" w:themeColor="text1"/>
        </w:rPr>
        <w:t>Keown </w:t>
      </w:r>
      <w:r w:rsidRPr="00755AB7">
        <w:rPr>
          <w:rFonts w:ascii="Arial" w:hAnsi="Arial" w:cs="Arial"/>
          <w:i/>
          <w:color w:val="000000" w:themeColor="text1"/>
        </w:rPr>
        <w:t>et al</w:t>
      </w:r>
      <w:r w:rsidR="002E5B7E" w:rsidRPr="00755AB7">
        <w:rPr>
          <w:rFonts w:ascii="Arial" w:hAnsi="Arial" w:cs="Arial"/>
          <w:i/>
          <w:color w:val="000000" w:themeColor="text1"/>
        </w:rPr>
        <w:t>.</w:t>
      </w:r>
      <w:r w:rsidR="001F6EDF" w:rsidRPr="00755AB7">
        <w:rPr>
          <w:rFonts w:ascii="Arial" w:hAnsi="Arial" w:cs="Arial"/>
          <w:color w:val="000000" w:themeColor="text1"/>
        </w:rPr>
        <w:t>, 2011).</w:t>
      </w:r>
      <w:r w:rsidRPr="00755AB7">
        <w:rPr>
          <w:rFonts w:ascii="Arial" w:hAnsi="Arial" w:cs="Arial"/>
          <w:color w:val="000000" w:themeColor="text1"/>
        </w:rPr>
        <w:t xml:space="preserve"> Accordingly, a far higher proportion of people in psychiatric wards are </w:t>
      </w:r>
      <w:r w:rsidR="00447F1A" w:rsidRPr="00755AB7">
        <w:rPr>
          <w:rFonts w:ascii="Arial" w:hAnsi="Arial" w:cs="Arial"/>
          <w:color w:val="000000" w:themeColor="text1"/>
        </w:rPr>
        <w:t xml:space="preserve">compulsorily </w:t>
      </w:r>
      <w:r w:rsidRPr="00755AB7">
        <w:rPr>
          <w:rFonts w:ascii="Arial" w:hAnsi="Arial" w:cs="Arial"/>
          <w:color w:val="000000" w:themeColor="text1"/>
        </w:rPr>
        <w:t xml:space="preserve">detained </w:t>
      </w:r>
      <w:r w:rsidR="00447F1A" w:rsidRPr="00755AB7">
        <w:rPr>
          <w:rFonts w:ascii="Arial" w:hAnsi="Arial" w:cs="Arial"/>
          <w:color w:val="000000" w:themeColor="text1"/>
        </w:rPr>
        <w:t xml:space="preserve">(rather than </w:t>
      </w:r>
      <w:r w:rsidR="00E96EC1" w:rsidRPr="00755AB7">
        <w:rPr>
          <w:rFonts w:ascii="Arial" w:hAnsi="Arial" w:cs="Arial"/>
          <w:color w:val="000000" w:themeColor="text1"/>
        </w:rPr>
        <w:t>admitted voluntarily</w:t>
      </w:r>
      <w:r w:rsidR="00447F1A" w:rsidRPr="00755AB7">
        <w:rPr>
          <w:rFonts w:ascii="Arial" w:hAnsi="Arial" w:cs="Arial"/>
          <w:color w:val="000000" w:themeColor="text1"/>
        </w:rPr>
        <w:t xml:space="preserve">) </w:t>
      </w:r>
      <w:r w:rsidRPr="00755AB7">
        <w:rPr>
          <w:rFonts w:ascii="Arial" w:hAnsi="Arial" w:cs="Arial"/>
          <w:color w:val="000000" w:themeColor="text1"/>
        </w:rPr>
        <w:t xml:space="preserve">under the MHA than </w:t>
      </w:r>
      <w:r w:rsidR="001F6EDF" w:rsidRPr="00755AB7">
        <w:rPr>
          <w:rFonts w:ascii="Arial" w:hAnsi="Arial" w:cs="Arial"/>
          <w:color w:val="000000" w:themeColor="text1"/>
        </w:rPr>
        <w:t xml:space="preserve">previously </w:t>
      </w:r>
      <w:r w:rsidRPr="00755AB7">
        <w:rPr>
          <w:rFonts w:ascii="Arial" w:hAnsi="Arial" w:cs="Arial"/>
          <w:color w:val="000000" w:themeColor="text1"/>
        </w:rPr>
        <w:t>(CQC, 2018)</w:t>
      </w:r>
      <w:r w:rsidR="001F6EDF" w:rsidRPr="00755AB7">
        <w:rPr>
          <w:rFonts w:ascii="Arial" w:hAnsi="Arial" w:cs="Arial"/>
          <w:color w:val="000000" w:themeColor="text1"/>
        </w:rPr>
        <w:t xml:space="preserve">, potentially caused by </w:t>
      </w:r>
      <w:r w:rsidR="00447F1A" w:rsidRPr="00755AB7">
        <w:rPr>
          <w:rFonts w:ascii="Arial" w:hAnsi="Arial" w:cs="Arial"/>
          <w:color w:val="000000" w:themeColor="text1"/>
        </w:rPr>
        <w:t>‘</w:t>
      </w:r>
      <w:r w:rsidRPr="00755AB7">
        <w:rPr>
          <w:rFonts w:ascii="Arial" w:hAnsi="Arial" w:cs="Arial"/>
          <w:color w:val="000000" w:themeColor="text1"/>
        </w:rPr>
        <w:t>a 'concentrating' effect whereby the threshold for admission has increased</w:t>
      </w:r>
      <w:r w:rsidR="00447F1A" w:rsidRPr="00755AB7">
        <w:rPr>
          <w:rFonts w:ascii="Arial" w:hAnsi="Arial" w:cs="Arial"/>
          <w:color w:val="000000" w:themeColor="text1"/>
        </w:rPr>
        <w:t>’</w:t>
      </w:r>
      <w:r w:rsidRPr="00755AB7">
        <w:rPr>
          <w:rFonts w:ascii="Arial" w:hAnsi="Arial" w:cs="Arial"/>
          <w:color w:val="000000" w:themeColor="text1"/>
        </w:rPr>
        <w:t xml:space="preserve"> (Glasby and Tew, 2015</w:t>
      </w:r>
      <w:r w:rsidR="001F6EDF" w:rsidRPr="00755AB7">
        <w:rPr>
          <w:rFonts w:ascii="Arial" w:hAnsi="Arial" w:cs="Arial"/>
          <w:color w:val="000000" w:themeColor="text1"/>
        </w:rPr>
        <w:t>:</w:t>
      </w:r>
      <w:r w:rsidRPr="00755AB7">
        <w:rPr>
          <w:rFonts w:ascii="Arial" w:hAnsi="Arial" w:cs="Arial"/>
          <w:color w:val="000000" w:themeColor="text1"/>
        </w:rPr>
        <w:t xml:space="preserve"> 107). </w:t>
      </w:r>
    </w:p>
    <w:p w14:paraId="52F566DD" w14:textId="00E243E1" w:rsidR="004E7D8D" w:rsidRPr="00755AB7" w:rsidRDefault="009959C8">
      <w:pPr>
        <w:spacing w:line="480" w:lineRule="auto"/>
        <w:rPr>
          <w:rFonts w:ascii="Arial" w:hAnsi="Arial" w:cs="Arial"/>
          <w:color w:val="000000" w:themeColor="text1"/>
        </w:rPr>
      </w:pPr>
      <w:r w:rsidRPr="00755AB7">
        <w:rPr>
          <w:rFonts w:ascii="Arial" w:hAnsi="Arial" w:cs="Arial"/>
          <w:color w:val="000000" w:themeColor="text1"/>
        </w:rPr>
        <w:t>A</w:t>
      </w:r>
      <w:r w:rsidR="004E7D8D" w:rsidRPr="00755AB7">
        <w:rPr>
          <w:rFonts w:ascii="Arial" w:hAnsi="Arial" w:cs="Arial"/>
          <w:color w:val="000000" w:themeColor="text1"/>
        </w:rPr>
        <w:t xml:space="preserve"> significant disparity exists in increases in funding for mental health services compared to other areas of the NHS</w:t>
      </w:r>
      <w:r w:rsidRPr="00755AB7">
        <w:rPr>
          <w:rFonts w:ascii="Arial" w:hAnsi="Arial" w:cs="Arial"/>
          <w:color w:val="000000" w:themeColor="text1"/>
        </w:rPr>
        <w:t xml:space="preserve"> </w:t>
      </w:r>
      <w:r w:rsidR="004E7D8D" w:rsidRPr="00755AB7">
        <w:rPr>
          <w:rFonts w:ascii="Arial" w:hAnsi="Arial" w:cs="Arial"/>
          <w:color w:val="000000" w:themeColor="text1"/>
        </w:rPr>
        <w:t>(</w:t>
      </w:r>
      <w:proofErr w:type="spellStart"/>
      <w:r w:rsidR="004E7D8D" w:rsidRPr="00755AB7">
        <w:rPr>
          <w:rFonts w:ascii="Arial" w:hAnsi="Arial" w:cs="Arial"/>
          <w:color w:val="000000" w:themeColor="text1"/>
        </w:rPr>
        <w:t>Gilburt</w:t>
      </w:r>
      <w:proofErr w:type="spellEnd"/>
      <w:r w:rsidR="004E7D8D" w:rsidRPr="00755AB7">
        <w:rPr>
          <w:rFonts w:ascii="Arial" w:hAnsi="Arial" w:cs="Arial"/>
          <w:color w:val="000000" w:themeColor="text1"/>
        </w:rPr>
        <w:t>, 2018). It has been estimated that although mental health accounts for 23 percent of total NHS activity, the budget it receives is equivalent to just half of this (Mental Health Taskforce, 2016). Meanwhile demand for mental health services has increased significantly</w:t>
      </w:r>
      <w:r w:rsidR="00D22064" w:rsidRPr="00755AB7">
        <w:rPr>
          <w:rFonts w:ascii="Arial" w:hAnsi="Arial" w:cs="Arial"/>
          <w:color w:val="000000" w:themeColor="text1"/>
        </w:rPr>
        <w:t xml:space="preserve"> </w:t>
      </w:r>
      <w:r w:rsidR="004E7D8D" w:rsidRPr="00755AB7">
        <w:rPr>
          <w:rFonts w:ascii="Arial" w:hAnsi="Arial" w:cs="Arial"/>
          <w:color w:val="000000" w:themeColor="text1"/>
        </w:rPr>
        <w:t>(</w:t>
      </w:r>
      <w:proofErr w:type="spellStart"/>
      <w:r w:rsidR="004E7D8D" w:rsidRPr="00755AB7">
        <w:rPr>
          <w:rFonts w:ascii="Arial" w:hAnsi="Arial" w:cs="Arial"/>
          <w:color w:val="000000" w:themeColor="text1"/>
        </w:rPr>
        <w:t>Gilburt</w:t>
      </w:r>
      <w:proofErr w:type="spellEnd"/>
      <w:r w:rsidR="004E7D8D" w:rsidRPr="00755AB7">
        <w:rPr>
          <w:rFonts w:ascii="Arial" w:hAnsi="Arial" w:cs="Arial"/>
          <w:color w:val="000000" w:themeColor="text1"/>
        </w:rPr>
        <w:t>, 2015). NHS Providers, the membership organisation representing NHS Trusts, has stated that </w:t>
      </w:r>
      <w:r w:rsidR="00447F1A" w:rsidRPr="00755AB7">
        <w:rPr>
          <w:rFonts w:ascii="Arial" w:hAnsi="Arial" w:cs="Arial"/>
          <w:color w:val="000000" w:themeColor="text1"/>
        </w:rPr>
        <w:t>‘</w:t>
      </w:r>
      <w:r w:rsidR="004E7D8D" w:rsidRPr="00755AB7">
        <w:rPr>
          <w:rFonts w:ascii="Arial" w:hAnsi="Arial" w:cs="Arial"/>
          <w:color w:val="000000" w:themeColor="text1"/>
        </w:rPr>
        <w:t>rapidly rising demand is overwhelming...core services; extra funding is not reaching the NHS trust frontline</w:t>
      </w:r>
      <w:r w:rsidR="00447F1A" w:rsidRPr="00755AB7">
        <w:rPr>
          <w:rFonts w:ascii="Arial" w:hAnsi="Arial" w:cs="Arial"/>
          <w:color w:val="000000" w:themeColor="text1"/>
        </w:rPr>
        <w:t>’</w:t>
      </w:r>
      <w:r w:rsidR="004E7D8D" w:rsidRPr="00755AB7">
        <w:rPr>
          <w:rFonts w:ascii="Arial" w:hAnsi="Arial" w:cs="Arial"/>
          <w:color w:val="000000" w:themeColor="text1"/>
        </w:rPr>
        <w:t xml:space="preserve"> (NHS Providers, 2017). </w:t>
      </w:r>
      <w:r w:rsidR="00D22064" w:rsidRPr="00755AB7" w:rsidDel="00D22064">
        <w:rPr>
          <w:rFonts w:ascii="Arial" w:hAnsi="Arial" w:cs="Arial"/>
          <w:color w:val="000000" w:themeColor="text1"/>
        </w:rPr>
        <w:t xml:space="preserve"> </w:t>
      </w:r>
      <w:r w:rsidR="004E7D8D" w:rsidRPr="00755AB7">
        <w:rPr>
          <w:rFonts w:ascii="Arial" w:hAnsi="Arial" w:cs="Arial"/>
          <w:color w:val="000000" w:themeColor="text1"/>
        </w:rPr>
        <w:t xml:space="preserve">As Quirk </w:t>
      </w:r>
      <w:r w:rsidR="00B44182" w:rsidRPr="00755AB7">
        <w:rPr>
          <w:rFonts w:ascii="Arial" w:hAnsi="Arial" w:cs="Arial"/>
          <w:i/>
          <w:color w:val="000000" w:themeColor="text1"/>
        </w:rPr>
        <w:t>et al</w:t>
      </w:r>
      <w:r w:rsidR="00B44182" w:rsidRPr="00755AB7">
        <w:rPr>
          <w:rFonts w:ascii="Arial" w:hAnsi="Arial" w:cs="Arial"/>
          <w:color w:val="000000" w:themeColor="text1"/>
        </w:rPr>
        <w:t xml:space="preserve"> </w:t>
      </w:r>
      <w:r w:rsidR="004E7D8D" w:rsidRPr="00755AB7">
        <w:rPr>
          <w:rFonts w:ascii="Arial" w:hAnsi="Arial" w:cs="Arial"/>
          <w:color w:val="000000" w:themeColor="text1"/>
        </w:rPr>
        <w:t>make clear: </w:t>
      </w:r>
      <w:r w:rsidR="00447F1A" w:rsidRPr="00755AB7">
        <w:rPr>
          <w:rFonts w:ascii="Arial" w:hAnsi="Arial" w:cs="Arial"/>
          <w:color w:val="000000" w:themeColor="text1"/>
        </w:rPr>
        <w:t>‘</w:t>
      </w:r>
      <w:r w:rsidR="004E7D8D" w:rsidRPr="00755AB7">
        <w:rPr>
          <w:rFonts w:ascii="Arial" w:hAnsi="Arial" w:cs="Arial"/>
          <w:color w:val="000000" w:themeColor="text1"/>
        </w:rPr>
        <w:t>a patient's chance of being sectioned is likely to increase when there are no realistic alternatives to in-patient care</w:t>
      </w:r>
      <w:r w:rsidR="00447F1A" w:rsidRPr="00755AB7">
        <w:rPr>
          <w:rFonts w:ascii="Arial" w:hAnsi="Arial" w:cs="Arial"/>
          <w:color w:val="000000" w:themeColor="text1"/>
        </w:rPr>
        <w:t>’</w:t>
      </w:r>
      <w:r w:rsidR="004E7D8D" w:rsidRPr="00755AB7">
        <w:rPr>
          <w:rFonts w:ascii="Arial" w:hAnsi="Arial" w:cs="Arial"/>
          <w:color w:val="000000" w:themeColor="text1"/>
        </w:rPr>
        <w:t xml:space="preserve"> (2003</w:t>
      </w:r>
      <w:r w:rsidR="00D22064" w:rsidRPr="00755AB7">
        <w:rPr>
          <w:rFonts w:ascii="Arial" w:hAnsi="Arial" w:cs="Arial"/>
          <w:color w:val="000000" w:themeColor="text1"/>
        </w:rPr>
        <w:t>:</w:t>
      </w:r>
      <w:r w:rsidR="004E7D8D" w:rsidRPr="00755AB7">
        <w:rPr>
          <w:rFonts w:ascii="Arial" w:hAnsi="Arial" w:cs="Arial"/>
          <w:color w:val="000000" w:themeColor="text1"/>
        </w:rPr>
        <w:t xml:space="preserve"> 119). The converse is also true </w:t>
      </w:r>
      <w:r w:rsidR="00C01FB2" w:rsidRPr="00755AB7">
        <w:rPr>
          <w:rFonts w:ascii="Arial" w:hAnsi="Arial" w:cs="Arial"/>
          <w:color w:val="000000" w:themeColor="text1"/>
        </w:rPr>
        <w:t xml:space="preserve">and </w:t>
      </w:r>
      <w:r w:rsidR="008A663E" w:rsidRPr="00755AB7">
        <w:rPr>
          <w:rFonts w:ascii="Arial" w:hAnsi="Arial" w:cs="Arial"/>
          <w:color w:val="000000" w:themeColor="text1"/>
        </w:rPr>
        <w:t>it has been</w:t>
      </w:r>
      <w:r w:rsidR="00170973" w:rsidRPr="00755AB7">
        <w:rPr>
          <w:rFonts w:ascii="Arial" w:hAnsi="Arial" w:cs="Arial"/>
          <w:color w:val="000000" w:themeColor="text1"/>
        </w:rPr>
        <w:t xml:space="preserve"> </w:t>
      </w:r>
      <w:r w:rsidR="004E7D8D" w:rsidRPr="00755AB7">
        <w:rPr>
          <w:rFonts w:ascii="Arial" w:hAnsi="Arial" w:cs="Arial"/>
          <w:color w:val="000000" w:themeColor="text1"/>
        </w:rPr>
        <w:t xml:space="preserve">proposed that the </w:t>
      </w:r>
      <w:r w:rsidR="00D22064" w:rsidRPr="00755AB7">
        <w:rPr>
          <w:rFonts w:ascii="Arial" w:hAnsi="Arial" w:cs="Arial"/>
          <w:color w:val="000000" w:themeColor="text1"/>
        </w:rPr>
        <w:t xml:space="preserve">steady reduction in detentions </w:t>
      </w:r>
      <w:r w:rsidR="004E7D8D" w:rsidRPr="00755AB7">
        <w:rPr>
          <w:rFonts w:ascii="Arial" w:hAnsi="Arial" w:cs="Arial"/>
          <w:color w:val="000000" w:themeColor="text1"/>
        </w:rPr>
        <w:t xml:space="preserve">between 2000–2009 may be </w:t>
      </w:r>
      <w:r w:rsidR="00447F1A" w:rsidRPr="00755AB7">
        <w:rPr>
          <w:rFonts w:ascii="Arial" w:hAnsi="Arial" w:cs="Arial"/>
          <w:color w:val="000000" w:themeColor="text1"/>
        </w:rPr>
        <w:t>‘</w:t>
      </w:r>
      <w:r w:rsidR="004E7D8D" w:rsidRPr="00755AB7">
        <w:rPr>
          <w:rFonts w:ascii="Arial" w:hAnsi="Arial" w:cs="Arial"/>
          <w:color w:val="000000" w:themeColor="text1"/>
        </w:rPr>
        <w:t>due to the introduction of specialist community mental health teams following publication of the National Service Framework for Mental Health in 1999</w:t>
      </w:r>
      <w:r w:rsidR="00447F1A" w:rsidRPr="00755AB7">
        <w:rPr>
          <w:rFonts w:ascii="Arial" w:hAnsi="Arial" w:cs="Arial"/>
          <w:color w:val="000000" w:themeColor="text1"/>
        </w:rPr>
        <w:t>’</w:t>
      </w:r>
      <w:r w:rsidR="004E7D8D" w:rsidRPr="00755AB7">
        <w:rPr>
          <w:rFonts w:ascii="Arial" w:hAnsi="Arial" w:cs="Arial"/>
          <w:color w:val="000000" w:themeColor="text1"/>
        </w:rPr>
        <w:t> (CQC, 2018</w:t>
      </w:r>
      <w:r w:rsidR="00A0223C" w:rsidRPr="00755AB7">
        <w:rPr>
          <w:rFonts w:ascii="Arial" w:hAnsi="Arial" w:cs="Arial"/>
          <w:color w:val="000000" w:themeColor="text1"/>
        </w:rPr>
        <w:t>:</w:t>
      </w:r>
      <w:r w:rsidR="007F7B3F" w:rsidRPr="00755AB7">
        <w:rPr>
          <w:rFonts w:ascii="Arial" w:hAnsi="Arial" w:cs="Arial"/>
          <w:color w:val="000000" w:themeColor="text1"/>
        </w:rPr>
        <w:t xml:space="preserve"> 5</w:t>
      </w:r>
      <w:r w:rsidR="004E7D8D" w:rsidRPr="00755AB7">
        <w:rPr>
          <w:rFonts w:ascii="Arial" w:hAnsi="Arial" w:cs="Arial"/>
          <w:color w:val="000000" w:themeColor="text1"/>
        </w:rPr>
        <w:t xml:space="preserve">). This </w:t>
      </w:r>
      <w:r w:rsidR="008A663E" w:rsidRPr="00755AB7">
        <w:rPr>
          <w:rFonts w:ascii="Arial" w:hAnsi="Arial" w:cs="Arial"/>
          <w:color w:val="000000" w:themeColor="text1"/>
        </w:rPr>
        <w:t>would suggest</w:t>
      </w:r>
      <w:r w:rsidR="004E7D8D" w:rsidRPr="00755AB7">
        <w:rPr>
          <w:rFonts w:ascii="Arial" w:hAnsi="Arial" w:cs="Arial"/>
          <w:color w:val="000000" w:themeColor="text1"/>
        </w:rPr>
        <w:t xml:space="preserve"> that far from being inevitable, rising detention rates can be ameliorated, but only under certain conditions.  </w:t>
      </w:r>
    </w:p>
    <w:p w14:paraId="395B8B18" w14:textId="77777777" w:rsidR="00C53E8F" w:rsidRPr="00755AB7" w:rsidRDefault="00C53E8F">
      <w:pPr>
        <w:spacing w:line="480" w:lineRule="auto"/>
        <w:rPr>
          <w:rFonts w:ascii="Arial" w:hAnsi="Arial" w:cs="Arial"/>
          <w:color w:val="000000" w:themeColor="text1"/>
          <w:u w:val="single"/>
        </w:rPr>
      </w:pPr>
      <w:r w:rsidRPr="00755AB7">
        <w:rPr>
          <w:rFonts w:ascii="Arial" w:hAnsi="Arial" w:cs="Arial"/>
          <w:color w:val="000000" w:themeColor="text1"/>
          <w:u w:val="single"/>
        </w:rPr>
        <w:t xml:space="preserve">The role of AMHPs </w:t>
      </w:r>
    </w:p>
    <w:p w14:paraId="3409782E" w14:textId="7D032268" w:rsidR="00F03A68" w:rsidRPr="00755AB7" w:rsidRDefault="002D1C94">
      <w:pPr>
        <w:spacing w:line="480" w:lineRule="auto"/>
        <w:rPr>
          <w:rFonts w:ascii="Arial" w:hAnsi="Arial" w:cs="Arial"/>
          <w:color w:val="000000" w:themeColor="text1"/>
        </w:rPr>
      </w:pPr>
      <w:r w:rsidRPr="00755AB7">
        <w:rPr>
          <w:rFonts w:ascii="Arial" w:hAnsi="Arial" w:cs="Arial"/>
          <w:color w:val="000000" w:themeColor="text1"/>
        </w:rPr>
        <w:t>Approved Mental Health Professionals (AMHPs), 95 percent of whom are estimated to be social workers (Carson, 2018), are the professional group with overall responsibility for coordinating and conducting a MHA assessment (</w:t>
      </w:r>
      <w:proofErr w:type="spellStart"/>
      <w:r w:rsidRPr="00755AB7">
        <w:rPr>
          <w:rFonts w:ascii="Arial" w:hAnsi="Arial" w:cs="Arial"/>
          <w:color w:val="000000" w:themeColor="text1"/>
        </w:rPr>
        <w:t>Morriss</w:t>
      </w:r>
      <w:proofErr w:type="spellEnd"/>
      <w:r w:rsidRPr="00755AB7">
        <w:rPr>
          <w:rFonts w:ascii="Arial" w:hAnsi="Arial" w:cs="Arial"/>
          <w:color w:val="000000" w:themeColor="text1"/>
        </w:rPr>
        <w:t xml:space="preserve">, 2016) and thus ultimately </w:t>
      </w:r>
      <w:r w:rsidRPr="00755AB7">
        <w:rPr>
          <w:rFonts w:ascii="Arial" w:hAnsi="Arial" w:cs="Arial"/>
          <w:color w:val="000000" w:themeColor="text1"/>
        </w:rPr>
        <w:lastRenderedPageBreak/>
        <w:t xml:space="preserve">determining whether someone requires compulsory admission to hospital. Indeed, the allocation of this task to AMHPs is a deliberate attempt to </w:t>
      </w:r>
      <w:r w:rsidR="00447F1A" w:rsidRPr="00755AB7">
        <w:rPr>
          <w:rFonts w:ascii="Arial" w:hAnsi="Arial" w:cs="Arial"/>
          <w:color w:val="000000" w:themeColor="text1"/>
        </w:rPr>
        <w:t>‘</w:t>
      </w:r>
      <w:r w:rsidRPr="00755AB7">
        <w:rPr>
          <w:rFonts w:ascii="Arial" w:hAnsi="Arial" w:cs="Arial"/>
          <w:color w:val="000000" w:themeColor="text1"/>
        </w:rPr>
        <w:t>counteract the more restrictive view of the dominant medical model</w:t>
      </w:r>
      <w:r w:rsidR="00447F1A" w:rsidRPr="00755AB7">
        <w:rPr>
          <w:rFonts w:ascii="Arial" w:hAnsi="Arial" w:cs="Arial"/>
          <w:color w:val="000000" w:themeColor="text1"/>
        </w:rPr>
        <w:t>’</w:t>
      </w:r>
      <w:r w:rsidRPr="00755AB7">
        <w:rPr>
          <w:rFonts w:ascii="Arial" w:hAnsi="Arial" w:cs="Arial"/>
          <w:color w:val="000000" w:themeColor="text1"/>
        </w:rPr>
        <w:t xml:space="preserve"> (Hall, 2017</w:t>
      </w:r>
      <w:r w:rsidR="00A0223C" w:rsidRPr="00755AB7">
        <w:rPr>
          <w:rFonts w:ascii="Arial" w:hAnsi="Arial" w:cs="Arial"/>
          <w:color w:val="000000" w:themeColor="text1"/>
        </w:rPr>
        <w:t>:</w:t>
      </w:r>
      <w:r w:rsidRPr="00755AB7">
        <w:rPr>
          <w:rFonts w:ascii="Arial" w:hAnsi="Arial" w:cs="Arial"/>
          <w:color w:val="000000" w:themeColor="text1"/>
        </w:rPr>
        <w:t xml:space="preserve"> 447); </w:t>
      </w:r>
      <w:r w:rsidR="009E68CB" w:rsidRPr="00755AB7">
        <w:rPr>
          <w:rFonts w:ascii="Arial" w:hAnsi="Arial" w:cs="Arial"/>
          <w:color w:val="000000" w:themeColor="text1"/>
        </w:rPr>
        <w:t>AMHPs “must exercise their own judgement, based on social and medical evidence, when deciding whether to apply for a patient to be detained under the Act” (</w:t>
      </w:r>
      <w:r w:rsidR="00E977BA" w:rsidRPr="00755AB7">
        <w:rPr>
          <w:rFonts w:ascii="Arial" w:hAnsi="Arial" w:cs="Arial"/>
          <w:color w:val="000000" w:themeColor="text1"/>
        </w:rPr>
        <w:t xml:space="preserve">Department of Health, 2015, </w:t>
      </w:r>
      <w:r w:rsidR="00D3702E" w:rsidRPr="00755AB7">
        <w:rPr>
          <w:rFonts w:ascii="Arial" w:hAnsi="Arial" w:cs="Arial"/>
          <w:color w:val="000000" w:themeColor="text1"/>
        </w:rPr>
        <w:t>14.52</w:t>
      </w:r>
      <w:r w:rsidR="009E68CB" w:rsidRPr="00755AB7">
        <w:rPr>
          <w:rFonts w:ascii="Arial" w:hAnsi="Arial" w:cs="Arial"/>
          <w:color w:val="000000" w:themeColor="text1"/>
        </w:rPr>
        <w:t>).</w:t>
      </w:r>
      <w:r w:rsidR="00F03A68" w:rsidRPr="00755AB7">
        <w:rPr>
          <w:rFonts w:ascii="Arial" w:hAnsi="Arial" w:cs="Arial"/>
          <w:color w:val="000000" w:themeColor="text1"/>
        </w:rPr>
        <w:t xml:space="preserve"> This decision making process however, is not unilateral. AMHPs work collaboratively with two Section 12 approved doctors during the assessment and all parties are required to agree in order for a detention to take place.  </w:t>
      </w:r>
    </w:p>
    <w:p w14:paraId="533580E5" w14:textId="557735C3" w:rsidR="002925C5" w:rsidRPr="00755AB7" w:rsidRDefault="2AE96EE9">
      <w:pPr>
        <w:spacing w:line="480" w:lineRule="auto"/>
        <w:rPr>
          <w:rFonts w:ascii="Arial" w:hAnsi="Arial" w:cs="Arial"/>
          <w:color w:val="000000" w:themeColor="text1"/>
        </w:rPr>
      </w:pPr>
      <w:r w:rsidRPr="00755AB7">
        <w:rPr>
          <w:rFonts w:ascii="Arial" w:hAnsi="Arial" w:cs="Arial"/>
          <w:color w:val="000000" w:themeColor="text1"/>
        </w:rPr>
        <w:t xml:space="preserve">It is clear that in seeking to understand why detentions are rising and what might be done in response, AMHPs, in comparison to doctors, are an under-consulted resource. </w:t>
      </w:r>
      <w:r w:rsidR="002D1C94" w:rsidRPr="00755AB7">
        <w:rPr>
          <w:rFonts w:ascii="Arial" w:hAnsi="Arial" w:cs="Arial"/>
          <w:color w:val="000000" w:themeColor="text1"/>
        </w:rPr>
        <w:t xml:space="preserve">Most </w:t>
      </w:r>
      <w:r w:rsidRPr="00755AB7">
        <w:rPr>
          <w:rFonts w:ascii="Arial" w:hAnsi="Arial" w:cs="Arial"/>
          <w:color w:val="000000" w:themeColor="text1"/>
        </w:rPr>
        <w:t xml:space="preserve">research </w:t>
      </w:r>
      <w:r w:rsidR="002D1C94" w:rsidRPr="00755AB7">
        <w:rPr>
          <w:rFonts w:ascii="Arial" w:hAnsi="Arial" w:cs="Arial"/>
          <w:color w:val="000000" w:themeColor="text1"/>
        </w:rPr>
        <w:t>o</w:t>
      </w:r>
      <w:r w:rsidR="00682E40" w:rsidRPr="00755AB7">
        <w:rPr>
          <w:rFonts w:ascii="Arial" w:hAnsi="Arial" w:cs="Arial"/>
          <w:color w:val="000000" w:themeColor="text1"/>
        </w:rPr>
        <w:t xml:space="preserve">n </w:t>
      </w:r>
      <w:r w:rsidRPr="00755AB7">
        <w:rPr>
          <w:rFonts w:ascii="Arial" w:hAnsi="Arial" w:cs="Arial"/>
          <w:color w:val="000000" w:themeColor="text1"/>
        </w:rPr>
        <w:t>compulsory admissions under the MHA is psychiatric in both origin and focus (</w:t>
      </w:r>
      <w:r w:rsidR="002E5B7E" w:rsidRPr="00755AB7">
        <w:rPr>
          <w:rFonts w:ascii="Arial" w:hAnsi="Arial" w:cs="Arial"/>
          <w:color w:val="000000" w:themeColor="text1"/>
        </w:rPr>
        <w:t>Campbell, 2009; Keown </w:t>
      </w:r>
      <w:r w:rsidR="002E5B7E" w:rsidRPr="00755AB7">
        <w:rPr>
          <w:rFonts w:ascii="Arial" w:hAnsi="Arial" w:cs="Arial"/>
          <w:i/>
          <w:color w:val="000000" w:themeColor="text1"/>
        </w:rPr>
        <w:t>et al</w:t>
      </w:r>
      <w:r w:rsidR="002E5B7E" w:rsidRPr="00755AB7">
        <w:rPr>
          <w:rFonts w:ascii="Arial" w:hAnsi="Arial" w:cs="Arial"/>
          <w:color w:val="000000" w:themeColor="text1"/>
        </w:rPr>
        <w:t xml:space="preserve">., 2011; </w:t>
      </w:r>
      <w:proofErr w:type="spellStart"/>
      <w:r w:rsidR="002E5B7E" w:rsidRPr="00755AB7">
        <w:rPr>
          <w:rFonts w:ascii="Arial" w:hAnsi="Arial" w:cs="Arial"/>
          <w:color w:val="000000" w:themeColor="text1"/>
        </w:rPr>
        <w:t>Fistein</w:t>
      </w:r>
      <w:proofErr w:type="spellEnd"/>
      <w:r w:rsidR="002E5B7E" w:rsidRPr="00755AB7">
        <w:rPr>
          <w:rFonts w:ascii="Arial" w:hAnsi="Arial" w:cs="Arial"/>
          <w:color w:val="000000" w:themeColor="text1"/>
        </w:rPr>
        <w:t> </w:t>
      </w:r>
      <w:r w:rsidR="002E5B7E" w:rsidRPr="00755AB7">
        <w:rPr>
          <w:rFonts w:ascii="Arial" w:hAnsi="Arial" w:cs="Arial"/>
          <w:i/>
          <w:color w:val="000000" w:themeColor="text1"/>
        </w:rPr>
        <w:t>et al</w:t>
      </w:r>
      <w:r w:rsidR="002E5B7E" w:rsidRPr="00755AB7">
        <w:rPr>
          <w:rFonts w:ascii="Arial" w:hAnsi="Arial" w:cs="Arial"/>
          <w:color w:val="000000" w:themeColor="text1"/>
        </w:rPr>
        <w:t xml:space="preserve">., 2016; </w:t>
      </w:r>
      <w:r w:rsidRPr="00755AB7">
        <w:rPr>
          <w:rFonts w:ascii="Arial" w:hAnsi="Arial" w:cs="Arial"/>
          <w:color w:val="000000" w:themeColor="text1"/>
        </w:rPr>
        <w:t xml:space="preserve">Singh </w:t>
      </w:r>
      <w:r w:rsidRPr="00755AB7">
        <w:rPr>
          <w:rFonts w:ascii="Arial" w:hAnsi="Arial" w:cs="Arial"/>
          <w:i/>
          <w:color w:val="000000" w:themeColor="text1"/>
        </w:rPr>
        <w:t>et al</w:t>
      </w:r>
      <w:r w:rsidRPr="00755AB7">
        <w:rPr>
          <w:rFonts w:ascii="Arial" w:hAnsi="Arial" w:cs="Arial"/>
          <w:color w:val="000000" w:themeColor="text1"/>
        </w:rPr>
        <w:t>., 2017). Within existing research there is minimal analysis on the role played by AMHPs as part of this process of detention</w:t>
      </w:r>
      <w:r w:rsidR="00682E40" w:rsidRPr="00755AB7">
        <w:rPr>
          <w:rFonts w:ascii="Arial" w:hAnsi="Arial" w:cs="Arial"/>
          <w:color w:val="000000" w:themeColor="text1"/>
        </w:rPr>
        <w:t xml:space="preserve">.  For example, Buckland’s (2014) analysis of AMHPs’ use of compulsory powers, whilst clearly stating that </w:t>
      </w:r>
      <w:r w:rsidR="00EB2354" w:rsidRPr="00755AB7">
        <w:rPr>
          <w:rFonts w:ascii="Arial" w:hAnsi="Arial" w:cs="Arial"/>
          <w:color w:val="000000" w:themeColor="text1"/>
        </w:rPr>
        <w:t>‘</w:t>
      </w:r>
      <w:r w:rsidR="00682E40" w:rsidRPr="00755AB7">
        <w:rPr>
          <w:rFonts w:ascii="Arial" w:hAnsi="Arial" w:cs="Arial"/>
          <w:color w:val="000000" w:themeColor="text1"/>
        </w:rPr>
        <w:t>alternatives to compulsory admission to hospital are urgently needed</w:t>
      </w:r>
      <w:r w:rsidR="00EB2354" w:rsidRPr="00755AB7">
        <w:rPr>
          <w:rFonts w:ascii="Arial" w:hAnsi="Arial" w:cs="Arial"/>
          <w:color w:val="000000" w:themeColor="text1"/>
        </w:rPr>
        <w:t>’</w:t>
      </w:r>
      <w:r w:rsidR="00682E40" w:rsidRPr="00755AB7">
        <w:rPr>
          <w:rFonts w:ascii="Arial" w:hAnsi="Arial" w:cs="Arial"/>
          <w:color w:val="000000" w:themeColor="text1"/>
        </w:rPr>
        <w:t xml:space="preserve"> (p60), focused on the theoretical and ethical dilemmas concerning the role of the AMHP.  </w:t>
      </w:r>
      <w:r w:rsidR="002925C5" w:rsidRPr="00755AB7">
        <w:rPr>
          <w:rFonts w:ascii="Arial" w:hAnsi="Arial" w:cs="Arial"/>
          <w:color w:val="000000" w:themeColor="text1"/>
        </w:rPr>
        <w:t xml:space="preserve">Hall </w:t>
      </w:r>
      <w:r w:rsidR="00682E40" w:rsidRPr="00755AB7">
        <w:rPr>
          <w:rFonts w:ascii="Arial" w:hAnsi="Arial" w:cs="Arial"/>
          <w:color w:val="000000" w:themeColor="text1"/>
        </w:rPr>
        <w:t xml:space="preserve">(2017) </w:t>
      </w:r>
      <w:r w:rsidR="002925C5" w:rsidRPr="00755AB7">
        <w:rPr>
          <w:rFonts w:ascii="Arial" w:hAnsi="Arial" w:cs="Arial"/>
          <w:color w:val="000000" w:themeColor="text1"/>
        </w:rPr>
        <w:t>meanwhile focused on the alternatives to compulsory powers available for AMHPs to consider when conducting Mental Health Act Assessments</w:t>
      </w:r>
      <w:r w:rsidR="009014CF" w:rsidRPr="00755AB7">
        <w:rPr>
          <w:rFonts w:ascii="Arial" w:hAnsi="Arial" w:cs="Arial"/>
          <w:color w:val="000000" w:themeColor="text1"/>
        </w:rPr>
        <w:t xml:space="preserve">; </w:t>
      </w:r>
      <w:r w:rsidR="002925C5" w:rsidRPr="00755AB7">
        <w:rPr>
          <w:rFonts w:ascii="Arial" w:hAnsi="Arial" w:cs="Arial"/>
          <w:color w:val="000000" w:themeColor="text1"/>
        </w:rPr>
        <w:t>highlighted the challenge AMHPs face in d</w:t>
      </w:r>
      <w:r w:rsidR="001F262A" w:rsidRPr="00755AB7">
        <w:rPr>
          <w:rFonts w:ascii="Arial" w:hAnsi="Arial" w:cs="Arial"/>
          <w:color w:val="000000" w:themeColor="text1"/>
        </w:rPr>
        <w:t>istinguishing</w:t>
      </w:r>
      <w:r w:rsidR="002925C5" w:rsidRPr="00755AB7">
        <w:rPr>
          <w:rFonts w:ascii="Arial" w:hAnsi="Arial" w:cs="Arial"/>
          <w:color w:val="000000" w:themeColor="text1"/>
        </w:rPr>
        <w:t xml:space="preserve"> social problems from medical ones and stressed the relative dominance the medical narrative currently holds in this dynamic, which in turn increases the likelihood of </w:t>
      </w:r>
      <w:r w:rsidR="00EB2354" w:rsidRPr="00755AB7">
        <w:rPr>
          <w:rFonts w:ascii="Arial" w:hAnsi="Arial" w:cs="Arial"/>
          <w:color w:val="000000" w:themeColor="text1"/>
        </w:rPr>
        <w:t>‘</w:t>
      </w:r>
      <w:r w:rsidR="002925C5" w:rsidRPr="00755AB7">
        <w:rPr>
          <w:rFonts w:ascii="Arial" w:hAnsi="Arial" w:cs="Arial"/>
          <w:color w:val="000000" w:themeColor="text1"/>
        </w:rPr>
        <w:t>negative risk</w:t>
      </w:r>
      <w:r w:rsidR="009014CF" w:rsidRPr="00755AB7">
        <w:rPr>
          <w:rFonts w:ascii="Arial" w:hAnsi="Arial" w:cs="Arial"/>
          <w:color w:val="000000" w:themeColor="text1"/>
        </w:rPr>
        <w:t>-</w:t>
      </w:r>
      <w:r w:rsidR="002925C5" w:rsidRPr="00755AB7">
        <w:rPr>
          <w:rFonts w:ascii="Arial" w:hAnsi="Arial" w:cs="Arial"/>
          <w:color w:val="000000" w:themeColor="text1"/>
        </w:rPr>
        <w:t>taking</w:t>
      </w:r>
      <w:r w:rsidR="009014CF" w:rsidRPr="00755AB7">
        <w:rPr>
          <w:rFonts w:ascii="Arial" w:hAnsi="Arial" w:cs="Arial"/>
          <w:color w:val="000000" w:themeColor="text1"/>
        </w:rPr>
        <w:t>’</w:t>
      </w:r>
      <w:r w:rsidR="002925C5" w:rsidRPr="00755AB7">
        <w:rPr>
          <w:rFonts w:ascii="Arial" w:hAnsi="Arial" w:cs="Arial"/>
          <w:color w:val="000000" w:themeColor="text1"/>
        </w:rPr>
        <w:t>.  Hall’s study focuse</w:t>
      </w:r>
      <w:r w:rsidR="00682E40" w:rsidRPr="00755AB7">
        <w:rPr>
          <w:rFonts w:ascii="Arial" w:hAnsi="Arial" w:cs="Arial"/>
          <w:color w:val="000000" w:themeColor="text1"/>
        </w:rPr>
        <w:t>d</w:t>
      </w:r>
      <w:r w:rsidR="002925C5" w:rsidRPr="00755AB7">
        <w:rPr>
          <w:rFonts w:ascii="Arial" w:hAnsi="Arial" w:cs="Arial"/>
          <w:color w:val="000000" w:themeColor="text1"/>
        </w:rPr>
        <w:t xml:space="preserve"> predominantly on the system </w:t>
      </w:r>
      <w:r w:rsidR="002925C5" w:rsidRPr="00755AB7">
        <w:rPr>
          <w:rFonts w:ascii="Arial" w:hAnsi="Arial" w:cs="Arial"/>
          <w:i/>
          <w:iCs/>
          <w:color w:val="000000" w:themeColor="text1"/>
        </w:rPr>
        <w:t>as-is – </w:t>
      </w:r>
      <w:r w:rsidR="002925C5" w:rsidRPr="00755AB7">
        <w:rPr>
          <w:rFonts w:ascii="Arial" w:hAnsi="Arial" w:cs="Arial"/>
          <w:color w:val="000000" w:themeColor="text1"/>
        </w:rPr>
        <w:t xml:space="preserve">effectively highlighting its strengths and weaknesses – </w:t>
      </w:r>
      <w:r w:rsidR="00682E40" w:rsidRPr="00755AB7">
        <w:rPr>
          <w:rFonts w:ascii="Arial" w:hAnsi="Arial" w:cs="Arial"/>
          <w:color w:val="000000" w:themeColor="text1"/>
        </w:rPr>
        <w:t xml:space="preserve">unlike the current </w:t>
      </w:r>
      <w:r w:rsidR="002925C5" w:rsidRPr="00755AB7">
        <w:rPr>
          <w:rFonts w:ascii="Arial" w:hAnsi="Arial" w:cs="Arial"/>
          <w:color w:val="000000" w:themeColor="text1"/>
        </w:rPr>
        <w:t xml:space="preserve">study </w:t>
      </w:r>
      <w:r w:rsidR="00682E40" w:rsidRPr="00755AB7">
        <w:rPr>
          <w:rFonts w:ascii="Arial" w:hAnsi="Arial" w:cs="Arial"/>
          <w:color w:val="000000" w:themeColor="text1"/>
        </w:rPr>
        <w:t xml:space="preserve">which sought to explore AMHPs’ views on </w:t>
      </w:r>
      <w:r w:rsidR="002925C5" w:rsidRPr="00755AB7">
        <w:rPr>
          <w:rFonts w:ascii="Arial" w:hAnsi="Arial" w:cs="Arial"/>
          <w:color w:val="000000" w:themeColor="text1"/>
        </w:rPr>
        <w:t xml:space="preserve">what provisions would need to be in place to </w:t>
      </w:r>
      <w:r w:rsidR="001F262A" w:rsidRPr="00755AB7">
        <w:rPr>
          <w:rFonts w:ascii="Arial" w:hAnsi="Arial" w:cs="Arial"/>
          <w:color w:val="000000" w:themeColor="text1"/>
        </w:rPr>
        <w:t xml:space="preserve">fully </w:t>
      </w:r>
      <w:r w:rsidR="002925C5" w:rsidRPr="00755AB7">
        <w:rPr>
          <w:rFonts w:ascii="Arial" w:hAnsi="Arial" w:cs="Arial"/>
          <w:color w:val="000000" w:themeColor="text1"/>
        </w:rPr>
        <w:t xml:space="preserve">realise the principle of least restriction enshrined in the Act and </w:t>
      </w:r>
      <w:r w:rsidR="00682E40" w:rsidRPr="00755AB7">
        <w:rPr>
          <w:rFonts w:ascii="Arial" w:hAnsi="Arial" w:cs="Arial"/>
          <w:color w:val="000000" w:themeColor="text1"/>
        </w:rPr>
        <w:t xml:space="preserve">to </w:t>
      </w:r>
      <w:r w:rsidR="002925C5" w:rsidRPr="00755AB7">
        <w:rPr>
          <w:rFonts w:ascii="Arial" w:hAnsi="Arial" w:cs="Arial"/>
          <w:color w:val="000000" w:themeColor="text1"/>
        </w:rPr>
        <w:t>safely reduce hospital admissions.   </w:t>
      </w:r>
    </w:p>
    <w:p w14:paraId="76BC85B7" w14:textId="4926CF20" w:rsidR="002D1C94" w:rsidRPr="00755AB7" w:rsidRDefault="00704F4F">
      <w:pPr>
        <w:spacing w:line="480" w:lineRule="auto"/>
        <w:rPr>
          <w:rFonts w:ascii="Arial" w:hAnsi="Arial" w:cs="Arial"/>
          <w:color w:val="000000" w:themeColor="text1"/>
        </w:rPr>
      </w:pPr>
      <w:r w:rsidRPr="00755AB7">
        <w:rPr>
          <w:rFonts w:ascii="Arial" w:hAnsi="Arial" w:cs="Arial"/>
          <w:color w:val="000000" w:themeColor="text1"/>
        </w:rPr>
        <w:t xml:space="preserve">Previous research has not sought </w:t>
      </w:r>
      <w:r w:rsidR="2AE96EE9" w:rsidRPr="00755AB7">
        <w:rPr>
          <w:rFonts w:ascii="Arial" w:hAnsi="Arial" w:cs="Arial"/>
          <w:color w:val="000000" w:themeColor="text1"/>
        </w:rPr>
        <w:t xml:space="preserve">the views of AMHPs into the rise in detentions. Given the unique and fundamental role played by AMHPs in conducting MHA assessments, this </w:t>
      </w:r>
      <w:r w:rsidR="2AE96EE9" w:rsidRPr="00755AB7">
        <w:rPr>
          <w:rFonts w:ascii="Arial" w:hAnsi="Arial" w:cs="Arial"/>
          <w:color w:val="000000" w:themeColor="text1"/>
        </w:rPr>
        <w:lastRenderedPageBreak/>
        <w:t>underrepresentation is both surprising and short-sighted. It is also perhaps reflective of the perceived marginalisation AMHPs have felt within mental health services (Cooper and </w:t>
      </w:r>
      <w:proofErr w:type="spellStart"/>
      <w:r w:rsidR="2AE96EE9" w:rsidRPr="00755AB7">
        <w:rPr>
          <w:rFonts w:ascii="Arial" w:hAnsi="Arial" w:cs="Arial"/>
          <w:color w:val="000000" w:themeColor="text1"/>
        </w:rPr>
        <w:t>Lousada</w:t>
      </w:r>
      <w:proofErr w:type="spellEnd"/>
      <w:r w:rsidR="2AE96EE9" w:rsidRPr="00755AB7">
        <w:rPr>
          <w:rFonts w:ascii="Arial" w:hAnsi="Arial" w:cs="Arial"/>
          <w:color w:val="000000" w:themeColor="text1"/>
        </w:rPr>
        <w:t>, 2005; Taylor, Lawton</w:t>
      </w:r>
      <w:r w:rsidR="2AE96EE9" w:rsidRPr="00755AB7">
        <w:rPr>
          <w:rFonts w:ascii="Cambria Math" w:hAnsi="Cambria Math" w:cs="Cambria Math"/>
          <w:color w:val="000000" w:themeColor="text1"/>
        </w:rPr>
        <w:t>‐</w:t>
      </w:r>
      <w:r w:rsidR="2AE96EE9" w:rsidRPr="00755AB7">
        <w:rPr>
          <w:rFonts w:ascii="Arial" w:hAnsi="Arial" w:cs="Arial"/>
          <w:color w:val="000000" w:themeColor="text1"/>
        </w:rPr>
        <w:t xml:space="preserve">Smith and </w:t>
      </w:r>
      <w:proofErr w:type="spellStart"/>
      <w:r w:rsidR="2AE96EE9" w:rsidRPr="00755AB7">
        <w:rPr>
          <w:rFonts w:ascii="Arial" w:hAnsi="Arial" w:cs="Arial"/>
          <w:color w:val="000000" w:themeColor="text1"/>
        </w:rPr>
        <w:t>Bullmore</w:t>
      </w:r>
      <w:proofErr w:type="spellEnd"/>
      <w:r w:rsidR="2AE96EE9" w:rsidRPr="00755AB7">
        <w:rPr>
          <w:rFonts w:ascii="Arial" w:hAnsi="Arial" w:cs="Arial"/>
          <w:color w:val="000000" w:themeColor="text1"/>
        </w:rPr>
        <w:t>, 2013).  </w:t>
      </w:r>
      <w:r w:rsidR="002D1C94" w:rsidRPr="00755AB7">
        <w:rPr>
          <w:rFonts w:ascii="Arial" w:hAnsi="Arial" w:cs="Arial"/>
          <w:color w:val="000000" w:themeColor="text1"/>
        </w:rPr>
        <w:t>Th</w:t>
      </w:r>
      <w:r w:rsidR="009014CF" w:rsidRPr="00755AB7">
        <w:rPr>
          <w:rFonts w:ascii="Arial" w:hAnsi="Arial" w:cs="Arial"/>
          <w:color w:val="000000" w:themeColor="text1"/>
        </w:rPr>
        <w:t>is</w:t>
      </w:r>
      <w:r w:rsidR="00C1019E" w:rsidRPr="00755AB7">
        <w:rPr>
          <w:rFonts w:ascii="Arial" w:hAnsi="Arial" w:cs="Arial"/>
          <w:color w:val="000000" w:themeColor="text1"/>
        </w:rPr>
        <w:t xml:space="preserve"> </w:t>
      </w:r>
      <w:r w:rsidR="002D1C94" w:rsidRPr="00755AB7">
        <w:rPr>
          <w:rFonts w:ascii="Arial" w:hAnsi="Arial" w:cs="Arial"/>
          <w:color w:val="000000" w:themeColor="text1"/>
        </w:rPr>
        <w:t xml:space="preserve">research </w:t>
      </w:r>
      <w:r w:rsidR="00C1019E" w:rsidRPr="00755AB7">
        <w:rPr>
          <w:rFonts w:ascii="Arial" w:hAnsi="Arial" w:cs="Arial"/>
          <w:color w:val="000000" w:themeColor="text1"/>
        </w:rPr>
        <w:t xml:space="preserve">explored </w:t>
      </w:r>
      <w:r w:rsidR="002D1C94" w:rsidRPr="00755AB7">
        <w:rPr>
          <w:rFonts w:ascii="Arial" w:hAnsi="Arial" w:cs="Arial"/>
          <w:color w:val="000000" w:themeColor="text1"/>
        </w:rPr>
        <w:t xml:space="preserve">the views of AMHPs on why they think detentions are increasing, and what they believe would help to counter this rise. </w:t>
      </w:r>
    </w:p>
    <w:p w14:paraId="100EE4CE" w14:textId="77777777" w:rsidR="00E51B14" w:rsidRPr="00755AB7" w:rsidRDefault="00E51B14">
      <w:pPr>
        <w:spacing w:line="480" w:lineRule="auto"/>
        <w:rPr>
          <w:rFonts w:ascii="Arial" w:hAnsi="Arial" w:cs="Arial"/>
          <w:b/>
          <w:color w:val="000000" w:themeColor="text1"/>
          <w:u w:val="single"/>
        </w:rPr>
      </w:pPr>
    </w:p>
    <w:p w14:paraId="2E39A9B4" w14:textId="13052148" w:rsidR="00270B22" w:rsidRPr="00755AB7" w:rsidRDefault="00270B22">
      <w:pPr>
        <w:spacing w:line="480" w:lineRule="auto"/>
        <w:rPr>
          <w:rFonts w:ascii="Arial" w:hAnsi="Arial" w:cs="Arial"/>
          <w:b/>
          <w:color w:val="000000" w:themeColor="text1"/>
        </w:rPr>
      </w:pPr>
      <w:r w:rsidRPr="00755AB7">
        <w:rPr>
          <w:rFonts w:ascii="Arial" w:hAnsi="Arial" w:cs="Arial"/>
          <w:b/>
          <w:color w:val="000000" w:themeColor="text1"/>
          <w:u w:val="single"/>
        </w:rPr>
        <w:t>Method</w:t>
      </w:r>
      <w:r w:rsidR="00AB5A4C" w:rsidRPr="00755AB7">
        <w:rPr>
          <w:rFonts w:ascii="Arial" w:hAnsi="Arial" w:cs="Arial"/>
          <w:b/>
          <w:color w:val="000000" w:themeColor="text1"/>
          <w:u w:val="single"/>
        </w:rPr>
        <w:t>s</w:t>
      </w:r>
      <w:r w:rsidRPr="00755AB7">
        <w:rPr>
          <w:rFonts w:ascii="Arial" w:hAnsi="Arial" w:cs="Arial"/>
          <w:b/>
          <w:color w:val="000000" w:themeColor="text1"/>
        </w:rPr>
        <w:t>  </w:t>
      </w:r>
    </w:p>
    <w:p w14:paraId="76A0E458" w14:textId="77777777" w:rsidR="004C18F4" w:rsidRPr="00755AB7" w:rsidRDefault="004C18F4">
      <w:pPr>
        <w:spacing w:line="480" w:lineRule="auto"/>
        <w:rPr>
          <w:rFonts w:ascii="Arial" w:hAnsi="Arial" w:cs="Arial"/>
          <w:color w:val="000000" w:themeColor="text1"/>
          <w:u w:val="single"/>
        </w:rPr>
      </w:pPr>
      <w:r w:rsidRPr="00755AB7">
        <w:rPr>
          <w:rFonts w:ascii="Arial" w:hAnsi="Arial" w:cs="Arial"/>
          <w:color w:val="000000" w:themeColor="text1"/>
          <w:u w:val="single"/>
        </w:rPr>
        <w:t>Study design</w:t>
      </w:r>
    </w:p>
    <w:p w14:paraId="27F7640F" w14:textId="7663A6F3" w:rsidR="00983B0E" w:rsidRPr="00755AB7" w:rsidRDefault="00270B22">
      <w:pPr>
        <w:spacing w:line="480" w:lineRule="auto"/>
        <w:rPr>
          <w:rFonts w:ascii="Arial" w:hAnsi="Arial" w:cs="Arial"/>
          <w:color w:val="000000" w:themeColor="text1"/>
        </w:rPr>
      </w:pPr>
      <w:r w:rsidRPr="00755AB7">
        <w:rPr>
          <w:rFonts w:ascii="Arial" w:hAnsi="Arial" w:cs="Arial"/>
          <w:color w:val="000000" w:themeColor="text1"/>
        </w:rPr>
        <w:t>This</w:t>
      </w:r>
      <w:r w:rsidR="00983B0E" w:rsidRPr="00755AB7">
        <w:rPr>
          <w:rFonts w:ascii="Arial" w:hAnsi="Arial" w:cs="Arial"/>
          <w:color w:val="000000" w:themeColor="text1"/>
        </w:rPr>
        <w:t xml:space="preserve"> </w:t>
      </w:r>
      <w:r w:rsidR="00E51B14" w:rsidRPr="00755AB7">
        <w:rPr>
          <w:rFonts w:ascii="Arial" w:hAnsi="Arial" w:cs="Arial"/>
          <w:color w:val="000000" w:themeColor="text1"/>
        </w:rPr>
        <w:t xml:space="preserve">mixed-methods </w:t>
      </w:r>
      <w:r w:rsidRPr="00755AB7">
        <w:rPr>
          <w:rFonts w:ascii="Arial" w:hAnsi="Arial" w:cs="Arial"/>
          <w:color w:val="000000" w:themeColor="text1"/>
        </w:rPr>
        <w:t xml:space="preserve">study </w:t>
      </w:r>
      <w:r w:rsidR="00983B0E" w:rsidRPr="00755AB7">
        <w:rPr>
          <w:rFonts w:ascii="Arial" w:hAnsi="Arial" w:cs="Arial"/>
          <w:color w:val="000000" w:themeColor="text1"/>
        </w:rPr>
        <w:t>incorporat</w:t>
      </w:r>
      <w:r w:rsidR="00707609" w:rsidRPr="00755AB7">
        <w:rPr>
          <w:rFonts w:ascii="Arial" w:hAnsi="Arial" w:cs="Arial"/>
          <w:color w:val="000000" w:themeColor="text1"/>
        </w:rPr>
        <w:t>ed</w:t>
      </w:r>
      <w:r w:rsidR="00983B0E" w:rsidRPr="00755AB7">
        <w:rPr>
          <w:rFonts w:ascii="Arial" w:hAnsi="Arial" w:cs="Arial"/>
          <w:color w:val="000000" w:themeColor="text1"/>
        </w:rPr>
        <w:t xml:space="preserve"> qualitative interviews with a small sample of AMHPs (n=6) and an online survey of AMHPs across England (n=160)</w:t>
      </w:r>
      <w:r w:rsidR="00902410" w:rsidRPr="00755AB7">
        <w:rPr>
          <w:rFonts w:ascii="Arial" w:hAnsi="Arial" w:cs="Arial"/>
          <w:color w:val="000000" w:themeColor="text1"/>
        </w:rPr>
        <w:t xml:space="preserve">. This design aimed to marry </w:t>
      </w:r>
      <w:r w:rsidR="00AB5A4C" w:rsidRPr="00755AB7">
        <w:rPr>
          <w:rFonts w:ascii="Arial" w:hAnsi="Arial" w:cs="Arial"/>
          <w:color w:val="000000" w:themeColor="text1"/>
        </w:rPr>
        <w:t>an in-depth exploration of views around the rise in detentions with a broader snapshot of opinion amongst AMHPs</w:t>
      </w:r>
      <w:r w:rsidR="00CB4B42" w:rsidRPr="00755AB7">
        <w:rPr>
          <w:rFonts w:ascii="Arial" w:hAnsi="Arial" w:cs="Arial"/>
          <w:color w:val="000000" w:themeColor="text1"/>
        </w:rPr>
        <w:t xml:space="preserve"> (</w:t>
      </w:r>
      <w:proofErr w:type="spellStart"/>
      <w:r w:rsidR="00CB4B42" w:rsidRPr="00755AB7">
        <w:rPr>
          <w:rFonts w:ascii="Arial" w:hAnsi="Arial" w:cs="Arial"/>
          <w:color w:val="000000" w:themeColor="text1"/>
        </w:rPr>
        <w:t>Cresswell</w:t>
      </w:r>
      <w:proofErr w:type="spellEnd"/>
      <w:r w:rsidR="00CB4B42" w:rsidRPr="00755AB7">
        <w:rPr>
          <w:rFonts w:ascii="Arial" w:hAnsi="Arial" w:cs="Arial"/>
          <w:color w:val="000000" w:themeColor="text1"/>
        </w:rPr>
        <w:t xml:space="preserve"> and Plano Clark, 2011)</w:t>
      </w:r>
      <w:r w:rsidR="00AB5A4C" w:rsidRPr="00755AB7">
        <w:rPr>
          <w:rFonts w:ascii="Arial" w:hAnsi="Arial" w:cs="Arial"/>
          <w:color w:val="000000" w:themeColor="text1"/>
        </w:rPr>
        <w:t>.</w:t>
      </w:r>
      <w:r w:rsidR="00B81330" w:rsidRPr="00755AB7">
        <w:rPr>
          <w:rFonts w:ascii="Arial" w:hAnsi="Arial" w:cs="Arial"/>
          <w:color w:val="000000" w:themeColor="text1"/>
        </w:rPr>
        <w:t xml:space="preserve">  The research was conducted prior to publication of the findings of the Independent Review.</w:t>
      </w:r>
    </w:p>
    <w:p w14:paraId="75303455" w14:textId="6ECA01C0" w:rsidR="00270B22" w:rsidRPr="00755AB7" w:rsidRDefault="00270B22">
      <w:pPr>
        <w:spacing w:line="480" w:lineRule="auto"/>
        <w:rPr>
          <w:rFonts w:ascii="Arial" w:hAnsi="Arial" w:cs="Arial"/>
          <w:color w:val="000000" w:themeColor="text1"/>
        </w:rPr>
      </w:pPr>
      <w:r w:rsidRPr="00755AB7">
        <w:rPr>
          <w:rFonts w:ascii="Arial" w:hAnsi="Arial" w:cs="Arial"/>
          <w:color w:val="000000" w:themeColor="text1"/>
        </w:rPr>
        <w:t xml:space="preserve">The first </w:t>
      </w:r>
      <w:r w:rsidR="009938B2" w:rsidRPr="00755AB7">
        <w:rPr>
          <w:rFonts w:ascii="Arial" w:hAnsi="Arial" w:cs="Arial"/>
          <w:color w:val="000000" w:themeColor="text1"/>
        </w:rPr>
        <w:t>stage</w:t>
      </w:r>
      <w:r w:rsidRPr="00755AB7">
        <w:rPr>
          <w:rFonts w:ascii="Arial" w:hAnsi="Arial" w:cs="Arial"/>
          <w:color w:val="000000" w:themeColor="text1"/>
        </w:rPr>
        <w:t xml:space="preserve"> of the study consisted of six semi-structured</w:t>
      </w:r>
      <w:r w:rsidR="005E2E0D" w:rsidRPr="00755AB7">
        <w:rPr>
          <w:rFonts w:ascii="Arial" w:hAnsi="Arial" w:cs="Arial"/>
          <w:color w:val="000000" w:themeColor="text1"/>
        </w:rPr>
        <w:t xml:space="preserve"> qualitative</w:t>
      </w:r>
      <w:r w:rsidRPr="00755AB7">
        <w:rPr>
          <w:rFonts w:ascii="Arial" w:hAnsi="Arial" w:cs="Arial"/>
          <w:color w:val="000000" w:themeColor="text1"/>
        </w:rPr>
        <w:t xml:space="preserve"> interviews with AMHPs working in the </w:t>
      </w:r>
      <w:r w:rsidR="00CB4B42" w:rsidRPr="00755AB7">
        <w:rPr>
          <w:rFonts w:ascii="Arial" w:hAnsi="Arial" w:cs="Arial"/>
          <w:color w:val="000000" w:themeColor="text1"/>
        </w:rPr>
        <w:t xml:space="preserve">Community Mental Health Team </w:t>
      </w:r>
      <w:r w:rsidR="00B81330" w:rsidRPr="00755AB7">
        <w:rPr>
          <w:rFonts w:ascii="Arial" w:hAnsi="Arial" w:cs="Arial"/>
          <w:color w:val="000000" w:themeColor="text1"/>
        </w:rPr>
        <w:t xml:space="preserve">in an NHS Trust in England </w:t>
      </w:r>
      <w:r w:rsidRPr="00755AB7">
        <w:rPr>
          <w:rFonts w:ascii="Arial" w:hAnsi="Arial" w:cs="Arial"/>
          <w:color w:val="000000" w:themeColor="text1"/>
        </w:rPr>
        <w:t xml:space="preserve">where the </w:t>
      </w:r>
      <w:r w:rsidR="00707609" w:rsidRPr="00755AB7">
        <w:rPr>
          <w:rFonts w:ascii="Arial" w:hAnsi="Arial" w:cs="Arial"/>
          <w:color w:val="000000" w:themeColor="text1"/>
        </w:rPr>
        <w:t xml:space="preserve">first author </w:t>
      </w:r>
      <w:r w:rsidR="00CB4B42" w:rsidRPr="00755AB7">
        <w:rPr>
          <w:rFonts w:ascii="Arial" w:hAnsi="Arial" w:cs="Arial"/>
          <w:color w:val="000000" w:themeColor="text1"/>
        </w:rPr>
        <w:t>worked as a care coordinator whilst undertaking a Master’s degree</w:t>
      </w:r>
      <w:r w:rsidRPr="00755AB7">
        <w:rPr>
          <w:rFonts w:ascii="Arial" w:hAnsi="Arial" w:cs="Arial"/>
          <w:color w:val="000000" w:themeColor="text1"/>
        </w:rPr>
        <w:t xml:space="preserve">. </w:t>
      </w:r>
      <w:r w:rsidR="00CB4B42" w:rsidRPr="00755AB7">
        <w:rPr>
          <w:rFonts w:ascii="Arial" w:hAnsi="Arial" w:cs="Arial"/>
          <w:color w:val="000000" w:themeColor="text1"/>
        </w:rPr>
        <w:t xml:space="preserve"> Participation in the research was voluntary; during the recruitment process AMHPs were informed that participation would be kept confidential, their data would be anonymised, and nobody in the Trust would be made aware of who had taken part or what any individual had said.  It was emphasised that the research was undertaken for the purposes of a Master’s research project and not on behalf of the Trust; all correspondence was with the first author using their University email address. </w:t>
      </w:r>
      <w:r w:rsidR="00564E39" w:rsidRPr="00755AB7">
        <w:rPr>
          <w:rFonts w:ascii="Arial" w:hAnsi="Arial" w:cs="Arial"/>
          <w:color w:val="000000" w:themeColor="text1"/>
        </w:rPr>
        <w:t xml:space="preserve">The circumstances in which confidentiality may be broken, for example if there was a disclosure of harm, were clearly set out in the information sheet.  </w:t>
      </w:r>
      <w:r w:rsidRPr="00755AB7">
        <w:rPr>
          <w:rFonts w:ascii="Arial" w:hAnsi="Arial" w:cs="Arial"/>
          <w:color w:val="000000" w:themeColor="text1"/>
        </w:rPr>
        <w:t xml:space="preserve">During these interviews AMHPs were asked about their experiences of implementing the </w:t>
      </w:r>
      <w:r w:rsidR="009938B2" w:rsidRPr="00755AB7">
        <w:rPr>
          <w:rFonts w:ascii="Arial" w:hAnsi="Arial" w:cs="Arial"/>
          <w:color w:val="000000" w:themeColor="text1"/>
        </w:rPr>
        <w:t>MHA</w:t>
      </w:r>
      <w:r w:rsidRPr="00755AB7">
        <w:rPr>
          <w:rFonts w:ascii="Arial" w:hAnsi="Arial" w:cs="Arial"/>
          <w:color w:val="000000" w:themeColor="text1"/>
        </w:rPr>
        <w:t xml:space="preserve"> in practice with a specific focus given to the rise </w:t>
      </w:r>
      <w:r w:rsidR="00AB5A4C" w:rsidRPr="00755AB7">
        <w:rPr>
          <w:rFonts w:ascii="Arial" w:hAnsi="Arial" w:cs="Arial"/>
          <w:color w:val="000000" w:themeColor="text1"/>
        </w:rPr>
        <w:t>in</w:t>
      </w:r>
      <w:r w:rsidRPr="00755AB7">
        <w:rPr>
          <w:rFonts w:ascii="Arial" w:hAnsi="Arial" w:cs="Arial"/>
          <w:color w:val="000000" w:themeColor="text1"/>
        </w:rPr>
        <w:t xml:space="preserve"> detentions. AMHPs were </w:t>
      </w:r>
      <w:r w:rsidR="0018156D" w:rsidRPr="00755AB7">
        <w:rPr>
          <w:rFonts w:ascii="Arial" w:hAnsi="Arial" w:cs="Arial"/>
          <w:color w:val="000000" w:themeColor="text1"/>
        </w:rPr>
        <w:t xml:space="preserve">also </w:t>
      </w:r>
      <w:r w:rsidRPr="00755AB7">
        <w:rPr>
          <w:rFonts w:ascii="Arial" w:hAnsi="Arial" w:cs="Arial"/>
          <w:color w:val="000000" w:themeColor="text1"/>
        </w:rPr>
        <w:t xml:space="preserve">encouraged to share any opinions or ideas that they had in relation to changes in policy or </w:t>
      </w:r>
      <w:r w:rsidRPr="00755AB7">
        <w:rPr>
          <w:rFonts w:ascii="Arial" w:hAnsi="Arial" w:cs="Arial"/>
          <w:color w:val="000000" w:themeColor="text1"/>
        </w:rPr>
        <w:lastRenderedPageBreak/>
        <w:t>practice which they felt may help to reduce the numbers of people being detained</w:t>
      </w:r>
      <w:r w:rsidR="00C01FB2" w:rsidRPr="00755AB7">
        <w:rPr>
          <w:rFonts w:ascii="Arial" w:hAnsi="Arial" w:cs="Arial"/>
          <w:color w:val="000000" w:themeColor="text1"/>
        </w:rPr>
        <w:t xml:space="preserve">, </w:t>
      </w:r>
      <w:r w:rsidR="00A12454" w:rsidRPr="00755AB7">
        <w:rPr>
          <w:rFonts w:ascii="Arial" w:hAnsi="Arial" w:cs="Arial"/>
          <w:color w:val="000000" w:themeColor="text1"/>
        </w:rPr>
        <w:t>alongside their thoughts on whether reform of the MHA was the appropriate vehicle for reducing detentions.</w:t>
      </w:r>
    </w:p>
    <w:p w14:paraId="555487D4" w14:textId="505B158F" w:rsidR="00270B22" w:rsidRPr="00755AB7" w:rsidRDefault="00AB5A4C">
      <w:pPr>
        <w:spacing w:line="480" w:lineRule="auto"/>
        <w:rPr>
          <w:rFonts w:ascii="Arial" w:hAnsi="Arial" w:cs="Arial"/>
          <w:color w:val="000000" w:themeColor="text1"/>
        </w:rPr>
      </w:pPr>
      <w:r w:rsidRPr="00755AB7">
        <w:rPr>
          <w:rFonts w:ascii="Arial" w:hAnsi="Arial" w:cs="Arial"/>
          <w:color w:val="000000" w:themeColor="text1"/>
        </w:rPr>
        <w:t xml:space="preserve">Stage two </w:t>
      </w:r>
      <w:r w:rsidR="005E2E0D" w:rsidRPr="00755AB7">
        <w:rPr>
          <w:rFonts w:ascii="Arial" w:hAnsi="Arial" w:cs="Arial"/>
          <w:color w:val="000000" w:themeColor="text1"/>
        </w:rPr>
        <w:t xml:space="preserve">consisted of </w:t>
      </w:r>
      <w:r w:rsidR="00270B22" w:rsidRPr="00755AB7">
        <w:rPr>
          <w:rFonts w:ascii="Arial" w:hAnsi="Arial" w:cs="Arial"/>
          <w:color w:val="000000" w:themeColor="text1"/>
        </w:rPr>
        <w:t xml:space="preserve">an electronic survey distributed to AMHPs working in </w:t>
      </w:r>
      <w:r w:rsidR="005E2E0D" w:rsidRPr="00755AB7">
        <w:rPr>
          <w:rFonts w:ascii="Arial" w:hAnsi="Arial" w:cs="Arial"/>
          <w:color w:val="000000" w:themeColor="text1"/>
        </w:rPr>
        <w:t>England</w:t>
      </w:r>
      <w:r w:rsidR="00270B22" w:rsidRPr="00755AB7">
        <w:rPr>
          <w:rFonts w:ascii="Arial" w:hAnsi="Arial" w:cs="Arial"/>
          <w:color w:val="000000" w:themeColor="text1"/>
        </w:rPr>
        <w:t>. Th</w:t>
      </w:r>
      <w:r w:rsidR="0018156D" w:rsidRPr="00755AB7">
        <w:rPr>
          <w:rFonts w:ascii="Arial" w:hAnsi="Arial" w:cs="Arial"/>
          <w:color w:val="000000" w:themeColor="text1"/>
        </w:rPr>
        <w:t>e</w:t>
      </w:r>
      <w:r w:rsidR="00270B22" w:rsidRPr="00755AB7">
        <w:rPr>
          <w:rFonts w:ascii="Arial" w:hAnsi="Arial" w:cs="Arial"/>
          <w:color w:val="000000" w:themeColor="text1"/>
        </w:rPr>
        <w:t xml:space="preserve"> survey was designed using Qualtrics software and asked a series of scaling questions. The purpose of the survey was to broaden the focus of the study from a local </w:t>
      </w:r>
      <w:r w:rsidR="005E2E0D" w:rsidRPr="00755AB7">
        <w:rPr>
          <w:rFonts w:ascii="Arial" w:hAnsi="Arial" w:cs="Arial"/>
          <w:color w:val="000000" w:themeColor="text1"/>
        </w:rPr>
        <w:t xml:space="preserve">to a national </w:t>
      </w:r>
      <w:r w:rsidR="00270B22" w:rsidRPr="00755AB7">
        <w:rPr>
          <w:rFonts w:ascii="Arial" w:hAnsi="Arial" w:cs="Arial"/>
          <w:color w:val="000000" w:themeColor="text1"/>
        </w:rPr>
        <w:t xml:space="preserve">setting. </w:t>
      </w:r>
      <w:r w:rsidR="005E2E0D" w:rsidRPr="00755AB7">
        <w:rPr>
          <w:rFonts w:ascii="Arial" w:hAnsi="Arial" w:cs="Arial"/>
          <w:color w:val="000000" w:themeColor="text1"/>
        </w:rPr>
        <w:t>R</w:t>
      </w:r>
      <w:r w:rsidR="00270B22" w:rsidRPr="00755AB7">
        <w:rPr>
          <w:rFonts w:ascii="Arial" w:hAnsi="Arial" w:cs="Arial"/>
          <w:color w:val="000000" w:themeColor="text1"/>
        </w:rPr>
        <w:t xml:space="preserve">espondents </w:t>
      </w:r>
      <w:r w:rsidR="005E2E0D" w:rsidRPr="00755AB7">
        <w:rPr>
          <w:rFonts w:ascii="Arial" w:hAnsi="Arial" w:cs="Arial"/>
          <w:color w:val="000000" w:themeColor="text1"/>
        </w:rPr>
        <w:t xml:space="preserve">were asked </w:t>
      </w:r>
      <w:r w:rsidR="00270B22" w:rsidRPr="00755AB7">
        <w:rPr>
          <w:rFonts w:ascii="Arial" w:hAnsi="Arial" w:cs="Arial"/>
          <w:color w:val="000000" w:themeColor="text1"/>
        </w:rPr>
        <w:t xml:space="preserve">about recurrent themes that arose in </w:t>
      </w:r>
      <w:r w:rsidR="005E2E0D" w:rsidRPr="00755AB7">
        <w:rPr>
          <w:rFonts w:ascii="Arial" w:hAnsi="Arial" w:cs="Arial"/>
          <w:color w:val="000000" w:themeColor="text1"/>
        </w:rPr>
        <w:t xml:space="preserve">the </w:t>
      </w:r>
      <w:r w:rsidR="00270B22" w:rsidRPr="00755AB7">
        <w:rPr>
          <w:rFonts w:ascii="Arial" w:hAnsi="Arial" w:cs="Arial"/>
          <w:color w:val="000000" w:themeColor="text1"/>
        </w:rPr>
        <w:t xml:space="preserve">face-to-face interviews in order to determine the extent to which AMHPs outside of the research site corroborated or contradicted local findings. </w:t>
      </w:r>
    </w:p>
    <w:p w14:paraId="26EBC009" w14:textId="56B20FB2" w:rsidR="00270B22" w:rsidRPr="00755AB7" w:rsidRDefault="00270B22">
      <w:pPr>
        <w:spacing w:line="480" w:lineRule="auto"/>
        <w:rPr>
          <w:rFonts w:ascii="Arial" w:hAnsi="Arial" w:cs="Arial"/>
          <w:color w:val="000000" w:themeColor="text1"/>
        </w:rPr>
      </w:pPr>
      <w:r w:rsidRPr="00755AB7">
        <w:rPr>
          <w:rFonts w:ascii="Arial" w:hAnsi="Arial" w:cs="Arial"/>
          <w:color w:val="000000" w:themeColor="text1"/>
        </w:rPr>
        <w:t xml:space="preserve">This </w:t>
      </w:r>
      <w:r w:rsidR="00367698" w:rsidRPr="00755AB7">
        <w:rPr>
          <w:rFonts w:ascii="Arial" w:hAnsi="Arial" w:cs="Arial"/>
          <w:color w:val="000000" w:themeColor="text1"/>
        </w:rPr>
        <w:t>research</w:t>
      </w:r>
      <w:r w:rsidRPr="00755AB7">
        <w:rPr>
          <w:rFonts w:ascii="Arial" w:hAnsi="Arial" w:cs="Arial"/>
          <w:color w:val="000000" w:themeColor="text1"/>
        </w:rPr>
        <w:t xml:space="preserve"> </w:t>
      </w:r>
      <w:r w:rsidR="00367698" w:rsidRPr="00755AB7">
        <w:rPr>
          <w:rFonts w:ascii="Arial" w:hAnsi="Arial" w:cs="Arial"/>
          <w:color w:val="000000" w:themeColor="text1"/>
        </w:rPr>
        <w:t>was</w:t>
      </w:r>
      <w:r w:rsidRPr="00755AB7">
        <w:rPr>
          <w:rFonts w:ascii="Arial" w:hAnsi="Arial" w:cs="Arial"/>
          <w:color w:val="000000" w:themeColor="text1"/>
        </w:rPr>
        <w:t xml:space="preserve"> granted approval from the NHS Health Research Authority</w:t>
      </w:r>
      <w:r w:rsidR="00B43644" w:rsidRPr="00755AB7">
        <w:rPr>
          <w:rFonts w:ascii="Arial" w:hAnsi="Arial" w:cs="Arial"/>
          <w:color w:val="000000" w:themeColor="text1"/>
        </w:rPr>
        <w:t xml:space="preserve"> (239441)</w:t>
      </w:r>
      <w:r w:rsidR="0018156D" w:rsidRPr="00755AB7">
        <w:rPr>
          <w:rFonts w:ascii="Arial" w:hAnsi="Arial" w:cs="Arial"/>
          <w:color w:val="000000" w:themeColor="text1"/>
        </w:rPr>
        <w:t xml:space="preserve"> </w:t>
      </w:r>
      <w:r w:rsidRPr="00755AB7">
        <w:rPr>
          <w:rFonts w:ascii="Arial" w:hAnsi="Arial" w:cs="Arial"/>
          <w:color w:val="000000" w:themeColor="text1"/>
        </w:rPr>
        <w:t>and ethical approval from the University of York</w:t>
      </w:r>
      <w:r w:rsidR="00B43644" w:rsidRPr="00755AB7">
        <w:rPr>
          <w:rFonts w:ascii="Arial" w:hAnsi="Arial" w:cs="Arial"/>
          <w:color w:val="000000" w:themeColor="text1"/>
        </w:rPr>
        <w:t xml:space="preserve"> </w:t>
      </w:r>
      <w:r w:rsidR="0018156D" w:rsidRPr="00755AB7">
        <w:rPr>
          <w:rFonts w:ascii="Arial" w:hAnsi="Arial" w:cs="Arial"/>
          <w:color w:val="000000" w:themeColor="text1"/>
        </w:rPr>
        <w:t xml:space="preserve">Social Policy and Social Work Departmental Ethics Committee </w:t>
      </w:r>
      <w:r w:rsidR="00B43644" w:rsidRPr="00755AB7">
        <w:rPr>
          <w:rFonts w:ascii="Arial" w:hAnsi="Arial" w:cs="Arial"/>
          <w:color w:val="000000" w:themeColor="text1"/>
        </w:rPr>
        <w:t>(SPSW/MTA/2017/4)</w:t>
      </w:r>
      <w:r w:rsidRPr="00755AB7">
        <w:rPr>
          <w:rFonts w:ascii="Arial" w:hAnsi="Arial" w:cs="Arial"/>
          <w:color w:val="000000" w:themeColor="text1"/>
        </w:rPr>
        <w:t xml:space="preserve">.  </w:t>
      </w:r>
    </w:p>
    <w:p w14:paraId="3D32E1F3" w14:textId="430912F9" w:rsidR="00270B22" w:rsidRPr="00755AB7" w:rsidRDefault="00270B22">
      <w:pPr>
        <w:spacing w:line="480" w:lineRule="auto"/>
        <w:rPr>
          <w:rFonts w:ascii="Arial" w:hAnsi="Arial" w:cs="Arial"/>
          <w:color w:val="000000" w:themeColor="text1"/>
        </w:rPr>
      </w:pPr>
      <w:r w:rsidRPr="00755AB7">
        <w:rPr>
          <w:rFonts w:ascii="Arial" w:hAnsi="Arial" w:cs="Arial"/>
          <w:color w:val="000000" w:themeColor="text1"/>
          <w:u w:val="single"/>
        </w:rPr>
        <w:t>Recruitment</w:t>
      </w:r>
      <w:r w:rsidR="004C18F4" w:rsidRPr="00755AB7">
        <w:rPr>
          <w:rFonts w:ascii="Arial" w:hAnsi="Arial" w:cs="Arial"/>
          <w:color w:val="000000" w:themeColor="text1"/>
          <w:u w:val="single"/>
        </w:rPr>
        <w:t xml:space="preserve"> and procedure</w:t>
      </w:r>
      <w:r w:rsidRPr="00755AB7">
        <w:rPr>
          <w:rFonts w:ascii="Arial" w:hAnsi="Arial" w:cs="Arial"/>
          <w:color w:val="000000" w:themeColor="text1"/>
        </w:rPr>
        <w:t>  </w:t>
      </w:r>
    </w:p>
    <w:p w14:paraId="232C4B3D" w14:textId="3BBFAB1E" w:rsidR="00A12454" w:rsidRPr="00755AB7" w:rsidRDefault="00270B22">
      <w:pPr>
        <w:spacing w:line="480" w:lineRule="auto"/>
        <w:rPr>
          <w:rFonts w:ascii="Arial" w:hAnsi="Arial" w:cs="Arial"/>
          <w:color w:val="000000" w:themeColor="text1"/>
        </w:rPr>
      </w:pPr>
      <w:r w:rsidRPr="00755AB7">
        <w:rPr>
          <w:rFonts w:ascii="Arial" w:hAnsi="Arial" w:cs="Arial"/>
          <w:color w:val="000000" w:themeColor="text1"/>
        </w:rPr>
        <w:t>Th</w:t>
      </w:r>
      <w:r w:rsidR="0018156D" w:rsidRPr="00755AB7">
        <w:rPr>
          <w:rFonts w:ascii="Arial" w:hAnsi="Arial" w:cs="Arial"/>
          <w:color w:val="000000" w:themeColor="text1"/>
        </w:rPr>
        <w:t>e</w:t>
      </w:r>
      <w:r w:rsidRPr="00755AB7">
        <w:rPr>
          <w:rFonts w:ascii="Arial" w:hAnsi="Arial" w:cs="Arial"/>
          <w:color w:val="000000" w:themeColor="text1"/>
        </w:rPr>
        <w:t xml:space="preserve"> study used purposive sampling</w:t>
      </w:r>
      <w:r w:rsidR="004C18F4" w:rsidRPr="00755AB7">
        <w:rPr>
          <w:rFonts w:ascii="Arial" w:hAnsi="Arial" w:cs="Arial"/>
          <w:color w:val="000000" w:themeColor="text1"/>
        </w:rPr>
        <w:t xml:space="preserve"> (Padgett, 2008)</w:t>
      </w:r>
      <w:r w:rsidRPr="00755AB7">
        <w:rPr>
          <w:rFonts w:ascii="Arial" w:hAnsi="Arial" w:cs="Arial"/>
          <w:color w:val="000000" w:themeColor="text1"/>
        </w:rPr>
        <w:t>, with all participants being qualified and practicing AMHPs. AMHPs working in the local service were sent </w:t>
      </w:r>
      <w:r w:rsidR="00753F52" w:rsidRPr="00755AB7">
        <w:rPr>
          <w:rFonts w:ascii="Arial" w:hAnsi="Arial" w:cs="Arial"/>
          <w:color w:val="000000" w:themeColor="text1"/>
        </w:rPr>
        <w:t xml:space="preserve">an email, with the study information sheet attached, explaining the purpose of the study and </w:t>
      </w:r>
      <w:r w:rsidRPr="00755AB7">
        <w:rPr>
          <w:rFonts w:ascii="Arial" w:hAnsi="Arial" w:cs="Arial"/>
          <w:color w:val="000000" w:themeColor="text1"/>
        </w:rPr>
        <w:t xml:space="preserve">requesting </w:t>
      </w:r>
      <w:r w:rsidR="00753F52" w:rsidRPr="00755AB7">
        <w:rPr>
          <w:rFonts w:ascii="Arial" w:hAnsi="Arial" w:cs="Arial"/>
          <w:color w:val="000000" w:themeColor="text1"/>
        </w:rPr>
        <w:t xml:space="preserve">those </w:t>
      </w:r>
      <w:r w:rsidRPr="00755AB7">
        <w:rPr>
          <w:rFonts w:ascii="Arial" w:hAnsi="Arial" w:cs="Arial"/>
          <w:color w:val="000000" w:themeColor="text1"/>
        </w:rPr>
        <w:t>interested to contact the researcher directly</w:t>
      </w:r>
      <w:r w:rsidR="00753F52" w:rsidRPr="00755AB7">
        <w:rPr>
          <w:rFonts w:ascii="Arial" w:hAnsi="Arial" w:cs="Arial"/>
          <w:color w:val="000000" w:themeColor="text1"/>
        </w:rPr>
        <w:t xml:space="preserve"> on their University email address</w:t>
      </w:r>
      <w:r w:rsidRPr="00755AB7">
        <w:rPr>
          <w:rFonts w:ascii="Arial" w:hAnsi="Arial" w:cs="Arial"/>
          <w:color w:val="000000" w:themeColor="text1"/>
        </w:rPr>
        <w:t>.</w:t>
      </w:r>
      <w:r w:rsidR="00753F52" w:rsidRPr="00755AB7">
        <w:rPr>
          <w:rFonts w:ascii="Arial" w:hAnsi="Arial" w:cs="Arial"/>
          <w:color w:val="000000" w:themeColor="text1"/>
        </w:rPr>
        <w:t xml:space="preserve">  </w:t>
      </w:r>
      <w:r w:rsidR="007913D4" w:rsidRPr="00755AB7">
        <w:rPr>
          <w:rFonts w:ascii="Arial" w:hAnsi="Arial" w:cs="Arial"/>
          <w:color w:val="000000" w:themeColor="text1"/>
        </w:rPr>
        <w:t>Those who volunteered were contacted to discuss the study, raise any questions about the research, and arrange a time and date for interview if they remained happy to take part.  I</w:t>
      </w:r>
      <w:r w:rsidR="00A12454" w:rsidRPr="00755AB7">
        <w:rPr>
          <w:rFonts w:ascii="Arial" w:hAnsi="Arial" w:cs="Arial"/>
          <w:color w:val="000000" w:themeColor="text1"/>
        </w:rPr>
        <w:t xml:space="preserve">nterviews </w:t>
      </w:r>
      <w:r w:rsidR="007913D4" w:rsidRPr="00755AB7">
        <w:rPr>
          <w:rFonts w:ascii="Arial" w:hAnsi="Arial" w:cs="Arial"/>
          <w:color w:val="000000" w:themeColor="text1"/>
        </w:rPr>
        <w:t xml:space="preserve">lasting up to one hour </w:t>
      </w:r>
      <w:r w:rsidR="00A12454" w:rsidRPr="00755AB7">
        <w:rPr>
          <w:rFonts w:ascii="Arial" w:hAnsi="Arial" w:cs="Arial"/>
          <w:color w:val="000000" w:themeColor="text1"/>
        </w:rPr>
        <w:t>were conducted in a private room at the NHS research site</w:t>
      </w:r>
      <w:r w:rsidR="00B81330" w:rsidRPr="00755AB7">
        <w:rPr>
          <w:rFonts w:ascii="Arial" w:hAnsi="Arial" w:cs="Arial"/>
          <w:color w:val="000000" w:themeColor="text1"/>
        </w:rPr>
        <w:t xml:space="preserve"> in Spring 2018</w:t>
      </w:r>
      <w:r w:rsidR="00A12454" w:rsidRPr="00755AB7">
        <w:rPr>
          <w:rFonts w:ascii="Arial" w:hAnsi="Arial" w:cs="Arial"/>
          <w:color w:val="000000" w:themeColor="text1"/>
        </w:rPr>
        <w:t xml:space="preserve">. </w:t>
      </w:r>
      <w:r w:rsidR="007913D4" w:rsidRPr="00755AB7">
        <w:rPr>
          <w:rFonts w:ascii="Arial" w:hAnsi="Arial" w:cs="Arial"/>
          <w:color w:val="000000" w:themeColor="text1"/>
        </w:rPr>
        <w:t xml:space="preserve">A topic guide for the semi-structured interviews had been informed by the literature review.  </w:t>
      </w:r>
      <w:r w:rsidR="00A12454" w:rsidRPr="00755AB7">
        <w:rPr>
          <w:rFonts w:ascii="Arial" w:hAnsi="Arial" w:cs="Arial"/>
          <w:color w:val="000000" w:themeColor="text1"/>
        </w:rPr>
        <w:t xml:space="preserve">Each interview was audio-recorded, with permission, using an encrypted digital device and transcribed </w:t>
      </w:r>
      <w:r w:rsidR="0018156D" w:rsidRPr="00755AB7">
        <w:rPr>
          <w:rFonts w:ascii="Arial" w:hAnsi="Arial" w:cs="Arial"/>
          <w:color w:val="000000" w:themeColor="text1"/>
        </w:rPr>
        <w:t xml:space="preserve">verbatim </w:t>
      </w:r>
      <w:r w:rsidR="00A12454" w:rsidRPr="00755AB7">
        <w:rPr>
          <w:rFonts w:ascii="Arial" w:hAnsi="Arial" w:cs="Arial"/>
          <w:color w:val="000000" w:themeColor="text1"/>
        </w:rPr>
        <w:t>by the researcher.  </w:t>
      </w:r>
    </w:p>
    <w:p w14:paraId="458F3D37" w14:textId="7C61A6DC" w:rsidR="00A12454" w:rsidRPr="00755AB7" w:rsidRDefault="00A12454">
      <w:pPr>
        <w:spacing w:line="480" w:lineRule="auto"/>
        <w:rPr>
          <w:rFonts w:ascii="Arial" w:hAnsi="Arial" w:cs="Arial"/>
          <w:color w:val="000000" w:themeColor="text1"/>
        </w:rPr>
      </w:pPr>
      <w:r w:rsidRPr="00755AB7">
        <w:rPr>
          <w:rFonts w:ascii="Arial" w:hAnsi="Arial" w:cs="Arial"/>
          <w:color w:val="000000" w:themeColor="text1"/>
        </w:rPr>
        <w:t>Data gathered and analysed from these interviews helped to inform an online survey comprising a series of 17 scaling questions</w:t>
      </w:r>
      <w:r w:rsidR="000D5ED3" w:rsidRPr="00755AB7">
        <w:rPr>
          <w:rFonts w:ascii="Arial" w:hAnsi="Arial" w:cs="Arial"/>
          <w:color w:val="000000" w:themeColor="text1"/>
        </w:rPr>
        <w:t xml:space="preserve"> using the five</w:t>
      </w:r>
      <w:r w:rsidR="0018156D" w:rsidRPr="00755AB7">
        <w:rPr>
          <w:rFonts w:ascii="Arial" w:hAnsi="Arial" w:cs="Arial"/>
          <w:color w:val="000000" w:themeColor="text1"/>
        </w:rPr>
        <w:t>-</w:t>
      </w:r>
      <w:r w:rsidR="000D5ED3" w:rsidRPr="00755AB7">
        <w:rPr>
          <w:rFonts w:ascii="Arial" w:hAnsi="Arial" w:cs="Arial"/>
          <w:color w:val="000000" w:themeColor="text1"/>
        </w:rPr>
        <w:t>point Likert scale</w:t>
      </w:r>
      <w:r w:rsidRPr="00755AB7">
        <w:rPr>
          <w:rFonts w:ascii="Arial" w:hAnsi="Arial" w:cs="Arial"/>
          <w:color w:val="000000" w:themeColor="text1"/>
        </w:rPr>
        <w:t xml:space="preserve">. </w:t>
      </w:r>
      <w:r w:rsidR="0018156D" w:rsidRPr="00755AB7">
        <w:rPr>
          <w:rFonts w:ascii="Arial" w:hAnsi="Arial" w:cs="Arial"/>
          <w:color w:val="000000" w:themeColor="text1"/>
        </w:rPr>
        <w:t xml:space="preserve">The </w:t>
      </w:r>
      <w:r w:rsidRPr="00755AB7">
        <w:rPr>
          <w:rFonts w:ascii="Arial" w:hAnsi="Arial" w:cs="Arial"/>
          <w:color w:val="000000" w:themeColor="text1"/>
        </w:rPr>
        <w:t xml:space="preserve">survey was </w:t>
      </w:r>
      <w:r w:rsidRPr="00755AB7">
        <w:rPr>
          <w:rFonts w:ascii="Arial" w:hAnsi="Arial" w:cs="Arial"/>
          <w:color w:val="000000" w:themeColor="text1"/>
        </w:rPr>
        <w:lastRenderedPageBreak/>
        <w:t xml:space="preserve">piloted </w:t>
      </w:r>
      <w:r w:rsidR="007913D4" w:rsidRPr="00755AB7">
        <w:rPr>
          <w:rFonts w:ascii="Arial" w:hAnsi="Arial" w:cs="Arial"/>
          <w:color w:val="000000" w:themeColor="text1"/>
        </w:rPr>
        <w:t>with</w:t>
      </w:r>
      <w:r w:rsidRPr="00755AB7">
        <w:rPr>
          <w:rFonts w:ascii="Arial" w:hAnsi="Arial" w:cs="Arial"/>
          <w:color w:val="000000" w:themeColor="text1"/>
        </w:rPr>
        <w:t xml:space="preserve"> an AMHP who did not participate in the study</w:t>
      </w:r>
      <w:r w:rsidR="0018156D" w:rsidRPr="00755AB7">
        <w:rPr>
          <w:rFonts w:ascii="Arial" w:hAnsi="Arial" w:cs="Arial"/>
          <w:color w:val="000000" w:themeColor="text1"/>
        </w:rPr>
        <w:t xml:space="preserve">; </w:t>
      </w:r>
      <w:r w:rsidRPr="00755AB7">
        <w:rPr>
          <w:rFonts w:ascii="Arial" w:hAnsi="Arial" w:cs="Arial"/>
          <w:color w:val="000000" w:themeColor="text1"/>
        </w:rPr>
        <w:t>feedback from th</w:t>
      </w:r>
      <w:r w:rsidR="0018156D" w:rsidRPr="00755AB7">
        <w:rPr>
          <w:rFonts w:ascii="Arial" w:hAnsi="Arial" w:cs="Arial"/>
          <w:color w:val="000000" w:themeColor="text1"/>
        </w:rPr>
        <w:t>e</w:t>
      </w:r>
      <w:r w:rsidRPr="00755AB7">
        <w:rPr>
          <w:rFonts w:ascii="Arial" w:hAnsi="Arial" w:cs="Arial"/>
          <w:color w:val="000000" w:themeColor="text1"/>
        </w:rPr>
        <w:t xml:space="preserve"> pilot was used to refine questions with the intention of making them more intuitive for respondents. </w:t>
      </w:r>
    </w:p>
    <w:p w14:paraId="493860E5" w14:textId="795A5030" w:rsidR="00270B22" w:rsidRPr="00755AB7" w:rsidRDefault="006F329C">
      <w:pPr>
        <w:spacing w:line="480" w:lineRule="auto"/>
        <w:rPr>
          <w:rFonts w:ascii="Arial" w:hAnsi="Arial" w:cs="Arial"/>
          <w:color w:val="000000" w:themeColor="text1"/>
        </w:rPr>
      </w:pPr>
      <w:r w:rsidRPr="00755AB7">
        <w:rPr>
          <w:rFonts w:ascii="Arial" w:hAnsi="Arial" w:cs="Arial"/>
          <w:color w:val="000000" w:themeColor="text1"/>
        </w:rPr>
        <w:t>S</w:t>
      </w:r>
      <w:r w:rsidR="00270B22" w:rsidRPr="00755AB7">
        <w:rPr>
          <w:rFonts w:ascii="Arial" w:hAnsi="Arial" w:cs="Arial"/>
          <w:color w:val="000000" w:themeColor="text1"/>
        </w:rPr>
        <w:t xml:space="preserve">urvey recruitment took place over a </w:t>
      </w:r>
      <w:r w:rsidR="00856713" w:rsidRPr="00755AB7">
        <w:rPr>
          <w:rFonts w:ascii="Arial" w:hAnsi="Arial" w:cs="Arial"/>
          <w:color w:val="000000" w:themeColor="text1"/>
        </w:rPr>
        <w:t>five-week</w:t>
      </w:r>
      <w:r w:rsidR="00270B22" w:rsidRPr="00755AB7">
        <w:rPr>
          <w:rFonts w:ascii="Arial" w:hAnsi="Arial" w:cs="Arial"/>
          <w:color w:val="000000" w:themeColor="text1"/>
        </w:rPr>
        <w:t xml:space="preserve"> period</w:t>
      </w:r>
      <w:r w:rsidR="00B81330" w:rsidRPr="00755AB7">
        <w:rPr>
          <w:rFonts w:ascii="Arial" w:hAnsi="Arial" w:cs="Arial"/>
          <w:color w:val="000000" w:themeColor="text1"/>
        </w:rPr>
        <w:t xml:space="preserve"> in early summer 2018</w:t>
      </w:r>
      <w:r w:rsidR="00270B22" w:rsidRPr="00755AB7">
        <w:rPr>
          <w:rFonts w:ascii="Arial" w:hAnsi="Arial" w:cs="Arial"/>
          <w:color w:val="000000" w:themeColor="text1"/>
        </w:rPr>
        <w:t xml:space="preserve">. The recruitment email containing a link to the </w:t>
      </w:r>
      <w:r w:rsidRPr="00755AB7">
        <w:rPr>
          <w:rFonts w:ascii="Arial" w:hAnsi="Arial" w:cs="Arial"/>
          <w:color w:val="000000" w:themeColor="text1"/>
        </w:rPr>
        <w:t xml:space="preserve">anonymous </w:t>
      </w:r>
      <w:r w:rsidR="00270B22" w:rsidRPr="00755AB7">
        <w:rPr>
          <w:rFonts w:ascii="Arial" w:hAnsi="Arial" w:cs="Arial"/>
          <w:color w:val="000000" w:themeColor="text1"/>
        </w:rPr>
        <w:t>online survey</w:t>
      </w:r>
      <w:r w:rsidR="0018156D" w:rsidRPr="00755AB7">
        <w:rPr>
          <w:rFonts w:ascii="Arial" w:hAnsi="Arial" w:cs="Arial"/>
          <w:color w:val="000000" w:themeColor="text1"/>
        </w:rPr>
        <w:t xml:space="preserve"> and an attached survey-specific information sheet</w:t>
      </w:r>
      <w:r w:rsidR="00270B22" w:rsidRPr="00755AB7">
        <w:rPr>
          <w:rFonts w:ascii="Arial" w:hAnsi="Arial" w:cs="Arial"/>
          <w:color w:val="000000" w:themeColor="text1"/>
        </w:rPr>
        <w:t xml:space="preserve"> was </w:t>
      </w:r>
      <w:r w:rsidR="00A12454" w:rsidRPr="00755AB7">
        <w:rPr>
          <w:rFonts w:ascii="Arial" w:hAnsi="Arial" w:cs="Arial"/>
          <w:color w:val="000000" w:themeColor="text1"/>
        </w:rPr>
        <w:t>distributed, at the request of the researcher,</w:t>
      </w:r>
      <w:r w:rsidR="00270B22" w:rsidRPr="00755AB7">
        <w:rPr>
          <w:rFonts w:ascii="Arial" w:hAnsi="Arial" w:cs="Arial"/>
          <w:color w:val="000000" w:themeColor="text1"/>
        </w:rPr>
        <w:t xml:space="preserve"> by the National AMHP Leads Network, a group of operational and training leads for AMHPs across 153 Local Social Service Authorities, to the respective AMHP leads</w:t>
      </w:r>
      <w:r w:rsidR="00A97685" w:rsidRPr="00755AB7">
        <w:rPr>
          <w:rFonts w:ascii="Arial" w:hAnsi="Arial" w:cs="Arial"/>
          <w:color w:val="000000" w:themeColor="text1"/>
        </w:rPr>
        <w:t xml:space="preserve">.  The AMHP leads </w:t>
      </w:r>
      <w:r w:rsidR="007913D4" w:rsidRPr="00755AB7">
        <w:rPr>
          <w:rFonts w:ascii="Arial" w:hAnsi="Arial" w:cs="Arial"/>
          <w:color w:val="000000" w:themeColor="text1"/>
        </w:rPr>
        <w:t>were asked to circulate the email to the AMHPs in their network</w:t>
      </w:r>
      <w:r w:rsidR="00270B22" w:rsidRPr="00755AB7">
        <w:rPr>
          <w:rFonts w:ascii="Arial" w:hAnsi="Arial" w:cs="Arial"/>
          <w:color w:val="000000" w:themeColor="text1"/>
        </w:rPr>
        <w:t xml:space="preserve">. No upper limit was placed on potential respondents to the online survey and in total 160 were completed within the permitted time frame and </w:t>
      </w:r>
      <w:r w:rsidR="00A97685" w:rsidRPr="00755AB7">
        <w:rPr>
          <w:rFonts w:ascii="Arial" w:hAnsi="Arial" w:cs="Arial"/>
          <w:color w:val="000000" w:themeColor="text1"/>
        </w:rPr>
        <w:t xml:space="preserve">analysed for </w:t>
      </w:r>
      <w:r w:rsidR="00270B22" w:rsidRPr="00755AB7">
        <w:rPr>
          <w:rFonts w:ascii="Arial" w:hAnsi="Arial" w:cs="Arial"/>
          <w:color w:val="000000" w:themeColor="text1"/>
        </w:rPr>
        <w:t>this study. It was not possible to ascertain precisely how many AMHPs</w:t>
      </w:r>
      <w:r w:rsidR="0018156D" w:rsidRPr="00755AB7">
        <w:rPr>
          <w:rFonts w:ascii="Arial" w:hAnsi="Arial" w:cs="Arial"/>
          <w:color w:val="000000" w:themeColor="text1"/>
        </w:rPr>
        <w:t xml:space="preserve"> received the survey link and thus</w:t>
      </w:r>
      <w:r w:rsidR="005D6373" w:rsidRPr="00755AB7">
        <w:rPr>
          <w:rFonts w:ascii="Arial" w:hAnsi="Arial" w:cs="Arial"/>
          <w:color w:val="000000" w:themeColor="text1"/>
        </w:rPr>
        <w:t xml:space="preserve"> calculate</w:t>
      </w:r>
      <w:r w:rsidR="0018156D" w:rsidRPr="00755AB7">
        <w:rPr>
          <w:rFonts w:ascii="Arial" w:hAnsi="Arial" w:cs="Arial"/>
          <w:color w:val="000000" w:themeColor="text1"/>
        </w:rPr>
        <w:t xml:space="preserve"> the response rate.</w:t>
      </w:r>
      <w:r w:rsidR="00A12454" w:rsidRPr="00755AB7" w:rsidDel="00A12454">
        <w:rPr>
          <w:rFonts w:ascii="Arial" w:hAnsi="Arial" w:cs="Arial"/>
          <w:color w:val="000000" w:themeColor="text1"/>
        </w:rPr>
        <w:t xml:space="preserve"> </w:t>
      </w:r>
    </w:p>
    <w:p w14:paraId="1F03B6A8" w14:textId="7F7F41EA" w:rsidR="00270B22" w:rsidRPr="00755AB7" w:rsidRDefault="00270B22">
      <w:pPr>
        <w:spacing w:line="480" w:lineRule="auto"/>
        <w:rPr>
          <w:rFonts w:ascii="Arial" w:hAnsi="Arial" w:cs="Arial"/>
          <w:color w:val="000000" w:themeColor="text1"/>
          <w:u w:val="single"/>
        </w:rPr>
      </w:pPr>
      <w:r w:rsidRPr="00755AB7">
        <w:rPr>
          <w:rFonts w:ascii="Arial" w:hAnsi="Arial" w:cs="Arial"/>
          <w:color w:val="000000" w:themeColor="text1"/>
          <w:u w:val="single"/>
        </w:rPr>
        <w:t>Confidentiality </w:t>
      </w:r>
      <w:r w:rsidR="00DC7688" w:rsidRPr="00755AB7">
        <w:rPr>
          <w:rFonts w:ascii="Arial" w:hAnsi="Arial" w:cs="Arial"/>
          <w:color w:val="000000" w:themeColor="text1"/>
          <w:u w:val="single"/>
        </w:rPr>
        <w:t>and consent</w:t>
      </w:r>
    </w:p>
    <w:p w14:paraId="6C832086" w14:textId="71F08529" w:rsidR="00270B22" w:rsidRPr="00755AB7" w:rsidRDefault="00DC7688">
      <w:pPr>
        <w:spacing w:line="480" w:lineRule="auto"/>
        <w:rPr>
          <w:rFonts w:ascii="Arial" w:hAnsi="Arial" w:cs="Arial"/>
          <w:color w:val="000000" w:themeColor="text1"/>
        </w:rPr>
      </w:pPr>
      <w:r w:rsidRPr="00755AB7">
        <w:rPr>
          <w:rFonts w:ascii="Arial" w:hAnsi="Arial" w:cs="Arial"/>
          <w:color w:val="000000" w:themeColor="text1"/>
        </w:rPr>
        <w:t xml:space="preserve">Informed consent was obtained from all interviewees via a signed consent </w:t>
      </w:r>
      <w:r w:rsidR="008A5801">
        <w:rPr>
          <w:rFonts w:ascii="Arial" w:hAnsi="Arial" w:cs="Arial"/>
          <w:color w:val="000000" w:themeColor="text1"/>
        </w:rPr>
        <w:t xml:space="preserve">form </w:t>
      </w:r>
      <w:r w:rsidRPr="00755AB7">
        <w:rPr>
          <w:rFonts w:ascii="Arial" w:hAnsi="Arial" w:cs="Arial"/>
          <w:color w:val="000000" w:themeColor="text1"/>
        </w:rPr>
        <w:t xml:space="preserve">completed prior to commencement of the interview, following discussion of the study and information sheet.  Interview data was anonymised at the point of transcription, </w:t>
      </w:r>
      <w:r w:rsidR="00270B22" w:rsidRPr="00755AB7">
        <w:rPr>
          <w:rFonts w:ascii="Arial" w:hAnsi="Arial" w:cs="Arial"/>
          <w:color w:val="000000" w:themeColor="text1"/>
        </w:rPr>
        <w:t>with interviewees only identified by ID numbers.</w:t>
      </w:r>
      <w:r w:rsidR="009938B2" w:rsidRPr="00755AB7">
        <w:rPr>
          <w:rFonts w:ascii="Arial" w:hAnsi="Arial" w:cs="Arial"/>
          <w:color w:val="000000" w:themeColor="text1"/>
        </w:rPr>
        <w:t xml:space="preserve"> </w:t>
      </w:r>
      <w:r w:rsidRPr="00755AB7">
        <w:rPr>
          <w:rFonts w:ascii="Arial" w:hAnsi="Arial" w:cs="Arial"/>
          <w:color w:val="000000" w:themeColor="text1"/>
        </w:rPr>
        <w:t xml:space="preserve">For survey respondents consent was assumed, given the voluntary completion and submission of the survey itself. </w:t>
      </w:r>
      <w:r w:rsidR="009938B2" w:rsidRPr="00755AB7">
        <w:rPr>
          <w:rFonts w:ascii="Arial" w:hAnsi="Arial" w:cs="Arial"/>
          <w:color w:val="000000" w:themeColor="text1"/>
        </w:rPr>
        <w:t xml:space="preserve">No </w:t>
      </w:r>
      <w:r w:rsidR="00270B22" w:rsidRPr="00755AB7">
        <w:rPr>
          <w:rFonts w:ascii="Arial" w:hAnsi="Arial" w:cs="Arial"/>
          <w:color w:val="000000" w:themeColor="text1"/>
        </w:rPr>
        <w:t>identifying information</w:t>
      </w:r>
      <w:r w:rsidR="009938B2" w:rsidRPr="00755AB7">
        <w:rPr>
          <w:rFonts w:ascii="Arial" w:hAnsi="Arial" w:cs="Arial"/>
          <w:color w:val="000000" w:themeColor="text1"/>
        </w:rPr>
        <w:t xml:space="preserve"> was either</w:t>
      </w:r>
      <w:r w:rsidR="00270B22" w:rsidRPr="00755AB7">
        <w:rPr>
          <w:rFonts w:ascii="Arial" w:hAnsi="Arial" w:cs="Arial"/>
          <w:color w:val="000000" w:themeColor="text1"/>
        </w:rPr>
        <w:t xml:space="preserve"> requested or obtained from </w:t>
      </w:r>
      <w:r w:rsidR="009938B2" w:rsidRPr="00755AB7">
        <w:rPr>
          <w:rFonts w:ascii="Arial" w:hAnsi="Arial" w:cs="Arial"/>
          <w:color w:val="000000" w:themeColor="text1"/>
        </w:rPr>
        <w:t xml:space="preserve">survey </w:t>
      </w:r>
      <w:r w:rsidR="00270B22" w:rsidRPr="00755AB7">
        <w:rPr>
          <w:rFonts w:ascii="Arial" w:hAnsi="Arial" w:cs="Arial"/>
          <w:color w:val="000000" w:themeColor="text1"/>
        </w:rPr>
        <w:t xml:space="preserve">respondents. </w:t>
      </w:r>
      <w:r w:rsidR="00A12454" w:rsidRPr="00755AB7">
        <w:rPr>
          <w:rFonts w:ascii="Arial" w:hAnsi="Arial" w:cs="Arial"/>
          <w:color w:val="000000" w:themeColor="text1"/>
        </w:rPr>
        <w:t xml:space="preserve">All data was stored securely </w:t>
      </w:r>
      <w:r w:rsidR="00A97685" w:rsidRPr="00755AB7">
        <w:rPr>
          <w:rFonts w:ascii="Arial" w:hAnsi="Arial" w:cs="Arial"/>
          <w:color w:val="000000" w:themeColor="text1"/>
        </w:rPr>
        <w:t>on an encrypted University server</w:t>
      </w:r>
      <w:r w:rsidR="00A12454" w:rsidRPr="00755AB7">
        <w:rPr>
          <w:rFonts w:ascii="Arial" w:hAnsi="Arial" w:cs="Arial"/>
          <w:color w:val="000000" w:themeColor="text1"/>
        </w:rPr>
        <w:t xml:space="preserve">. </w:t>
      </w:r>
    </w:p>
    <w:p w14:paraId="6E2D3639" w14:textId="142B7578" w:rsidR="00270B22" w:rsidRPr="00755AB7" w:rsidRDefault="00270B22">
      <w:pPr>
        <w:spacing w:line="480" w:lineRule="auto"/>
        <w:rPr>
          <w:rFonts w:ascii="Arial" w:hAnsi="Arial" w:cs="Arial"/>
          <w:color w:val="000000" w:themeColor="text1"/>
        </w:rPr>
      </w:pPr>
      <w:r w:rsidRPr="00755AB7">
        <w:rPr>
          <w:rFonts w:ascii="Arial" w:hAnsi="Arial" w:cs="Arial"/>
          <w:color w:val="000000" w:themeColor="text1"/>
          <w:u w:val="single"/>
        </w:rPr>
        <w:t>Analysis</w:t>
      </w:r>
      <w:r w:rsidRPr="00755AB7">
        <w:rPr>
          <w:rFonts w:ascii="Arial" w:hAnsi="Arial" w:cs="Arial"/>
          <w:color w:val="000000" w:themeColor="text1"/>
        </w:rPr>
        <w:t>  </w:t>
      </w:r>
    </w:p>
    <w:p w14:paraId="5194B2DC" w14:textId="615BFA4B" w:rsidR="00A97685" w:rsidRPr="00755AB7" w:rsidRDefault="00270B22">
      <w:pPr>
        <w:spacing w:line="480" w:lineRule="auto"/>
        <w:rPr>
          <w:rFonts w:ascii="Arial" w:hAnsi="Arial" w:cs="Arial"/>
          <w:color w:val="000000" w:themeColor="text1"/>
        </w:rPr>
      </w:pPr>
      <w:r w:rsidRPr="00755AB7">
        <w:rPr>
          <w:rFonts w:ascii="Arial" w:hAnsi="Arial" w:cs="Arial"/>
          <w:color w:val="000000" w:themeColor="text1"/>
        </w:rPr>
        <w:t xml:space="preserve">Qualitative data obtained through face-to-face interviews </w:t>
      </w:r>
      <w:r w:rsidR="00782268" w:rsidRPr="00755AB7">
        <w:rPr>
          <w:rFonts w:ascii="Arial" w:hAnsi="Arial" w:cs="Arial"/>
          <w:color w:val="000000" w:themeColor="text1"/>
        </w:rPr>
        <w:t xml:space="preserve">was </w:t>
      </w:r>
      <w:r w:rsidRPr="00755AB7">
        <w:rPr>
          <w:rFonts w:ascii="Arial" w:hAnsi="Arial" w:cs="Arial"/>
          <w:color w:val="000000" w:themeColor="text1"/>
        </w:rPr>
        <w:t xml:space="preserve">analysed thematically using Framework Analysis (Ritchie </w:t>
      </w:r>
      <w:r w:rsidR="00C96122" w:rsidRPr="00755AB7">
        <w:rPr>
          <w:rFonts w:ascii="Arial" w:hAnsi="Arial" w:cs="Arial"/>
          <w:color w:val="000000" w:themeColor="text1"/>
        </w:rPr>
        <w:t>and</w:t>
      </w:r>
      <w:r w:rsidRPr="00755AB7">
        <w:rPr>
          <w:rFonts w:ascii="Arial" w:hAnsi="Arial" w:cs="Arial"/>
          <w:color w:val="000000" w:themeColor="text1"/>
        </w:rPr>
        <w:t xml:space="preserve"> Spencer, 1994). This approach</w:t>
      </w:r>
      <w:r w:rsidR="000948F4" w:rsidRPr="00755AB7">
        <w:rPr>
          <w:rFonts w:ascii="Arial" w:hAnsi="Arial" w:cs="Arial"/>
          <w:color w:val="000000" w:themeColor="text1"/>
        </w:rPr>
        <w:t xml:space="preserve"> was chosen as it is well</w:t>
      </w:r>
      <w:r w:rsidRPr="00755AB7">
        <w:rPr>
          <w:rFonts w:ascii="Arial" w:hAnsi="Arial" w:cs="Arial"/>
          <w:color w:val="000000" w:themeColor="text1"/>
        </w:rPr>
        <w:t xml:space="preserve"> </w:t>
      </w:r>
      <w:r w:rsidR="00A97685" w:rsidRPr="00755AB7">
        <w:rPr>
          <w:rFonts w:ascii="Arial" w:hAnsi="Arial" w:cs="Arial"/>
          <w:color w:val="000000" w:themeColor="text1"/>
        </w:rPr>
        <w:t>‘</w:t>
      </w:r>
      <w:r w:rsidRPr="00755AB7">
        <w:rPr>
          <w:rFonts w:ascii="Arial" w:hAnsi="Arial" w:cs="Arial"/>
          <w:color w:val="000000" w:themeColor="text1"/>
        </w:rPr>
        <w:t xml:space="preserve">adapted to research that has specific questions, a limited time frame, a pre-designed sample (e.g. professional participants) and </w:t>
      </w:r>
      <w:r w:rsidRPr="00755AB7">
        <w:rPr>
          <w:rFonts w:ascii="Arial" w:hAnsi="Arial" w:cs="Arial"/>
          <w:i/>
          <w:color w:val="000000" w:themeColor="text1"/>
        </w:rPr>
        <w:t>a priori</w:t>
      </w:r>
      <w:r w:rsidRPr="00755AB7">
        <w:rPr>
          <w:rFonts w:ascii="Arial" w:hAnsi="Arial" w:cs="Arial"/>
          <w:color w:val="000000" w:themeColor="text1"/>
        </w:rPr>
        <w:t xml:space="preserve"> issues (e.g. organi</w:t>
      </w:r>
      <w:r w:rsidR="00711D74" w:rsidRPr="00755AB7">
        <w:rPr>
          <w:rFonts w:ascii="Arial" w:hAnsi="Arial" w:cs="Arial"/>
          <w:color w:val="000000" w:themeColor="text1"/>
        </w:rPr>
        <w:t>s</w:t>
      </w:r>
      <w:r w:rsidRPr="00755AB7">
        <w:rPr>
          <w:rFonts w:ascii="Arial" w:hAnsi="Arial" w:cs="Arial"/>
          <w:color w:val="000000" w:themeColor="text1"/>
        </w:rPr>
        <w:t>ational and integration issues) that need to be dealt with</w:t>
      </w:r>
      <w:r w:rsidR="00A97685" w:rsidRPr="00755AB7">
        <w:rPr>
          <w:rFonts w:ascii="Arial" w:hAnsi="Arial" w:cs="Arial"/>
          <w:color w:val="000000" w:themeColor="text1"/>
        </w:rPr>
        <w:t>’</w:t>
      </w:r>
      <w:r w:rsidRPr="00755AB7">
        <w:rPr>
          <w:rFonts w:ascii="Arial" w:hAnsi="Arial" w:cs="Arial"/>
          <w:color w:val="000000" w:themeColor="text1"/>
        </w:rPr>
        <w:t xml:space="preserve"> (Srivastava and Thomson, 2009</w:t>
      </w:r>
      <w:r w:rsidR="00711D74" w:rsidRPr="00755AB7">
        <w:rPr>
          <w:rFonts w:ascii="Arial" w:hAnsi="Arial" w:cs="Arial"/>
          <w:color w:val="000000" w:themeColor="text1"/>
        </w:rPr>
        <w:t>:</w:t>
      </w:r>
      <w:r w:rsidR="00730FFC" w:rsidRPr="00755AB7">
        <w:rPr>
          <w:rFonts w:ascii="Arial" w:hAnsi="Arial" w:cs="Arial"/>
          <w:color w:val="000000" w:themeColor="text1"/>
        </w:rPr>
        <w:t xml:space="preserve"> 73)</w:t>
      </w:r>
      <w:r w:rsidR="000948F4" w:rsidRPr="00755AB7">
        <w:rPr>
          <w:rFonts w:ascii="Arial" w:hAnsi="Arial" w:cs="Arial"/>
          <w:color w:val="000000" w:themeColor="text1"/>
        </w:rPr>
        <w:t xml:space="preserve">. </w:t>
      </w:r>
      <w:r w:rsidR="00711D74" w:rsidRPr="00755AB7">
        <w:rPr>
          <w:rFonts w:ascii="Arial" w:hAnsi="Arial" w:cs="Arial"/>
          <w:color w:val="000000" w:themeColor="text1"/>
        </w:rPr>
        <w:t>T</w:t>
      </w:r>
      <w:r w:rsidRPr="00755AB7">
        <w:rPr>
          <w:rFonts w:ascii="Arial" w:hAnsi="Arial" w:cs="Arial"/>
          <w:color w:val="000000" w:themeColor="text1"/>
        </w:rPr>
        <w:t xml:space="preserve">hough theories may arise out of data analysed using this approach, the primary objective </w:t>
      </w:r>
      <w:r w:rsidR="00711D74" w:rsidRPr="00755AB7">
        <w:rPr>
          <w:rFonts w:ascii="Arial" w:hAnsi="Arial" w:cs="Arial"/>
          <w:color w:val="000000" w:themeColor="text1"/>
        </w:rPr>
        <w:t>wa</w:t>
      </w:r>
      <w:r w:rsidRPr="00755AB7">
        <w:rPr>
          <w:rFonts w:ascii="Arial" w:hAnsi="Arial" w:cs="Arial"/>
          <w:color w:val="000000" w:themeColor="text1"/>
        </w:rPr>
        <w:t xml:space="preserve">s to describe </w:t>
      </w:r>
      <w:r w:rsidRPr="00755AB7">
        <w:rPr>
          <w:rFonts w:ascii="Arial" w:hAnsi="Arial" w:cs="Arial"/>
          <w:color w:val="000000" w:themeColor="text1"/>
        </w:rPr>
        <w:lastRenderedPageBreak/>
        <w:t xml:space="preserve">and understand what is happening in a particular setting </w:t>
      </w:r>
      <w:r w:rsidR="00CD0050" w:rsidRPr="00755AB7">
        <w:rPr>
          <w:rFonts w:ascii="Arial" w:hAnsi="Arial" w:cs="Arial"/>
          <w:color w:val="000000" w:themeColor="text1"/>
        </w:rPr>
        <w:t xml:space="preserve">(Ritchie </w:t>
      </w:r>
      <w:r w:rsidR="00C96122" w:rsidRPr="00755AB7">
        <w:rPr>
          <w:rFonts w:ascii="Arial" w:hAnsi="Arial" w:cs="Arial"/>
          <w:color w:val="000000" w:themeColor="text1"/>
        </w:rPr>
        <w:t xml:space="preserve">and </w:t>
      </w:r>
      <w:r w:rsidR="00CD0050" w:rsidRPr="00755AB7">
        <w:rPr>
          <w:rFonts w:ascii="Arial" w:hAnsi="Arial" w:cs="Arial"/>
          <w:color w:val="000000" w:themeColor="text1"/>
        </w:rPr>
        <w:t xml:space="preserve">Spencer, 1994) </w:t>
      </w:r>
      <w:r w:rsidRPr="00755AB7">
        <w:rPr>
          <w:rFonts w:ascii="Arial" w:hAnsi="Arial" w:cs="Arial"/>
          <w:color w:val="000000" w:themeColor="text1"/>
        </w:rPr>
        <w:t xml:space="preserve">– in this case rising detentions under the MHA. </w:t>
      </w:r>
      <w:r w:rsidR="00835A75" w:rsidRPr="00755AB7">
        <w:rPr>
          <w:rFonts w:ascii="Arial" w:hAnsi="Arial" w:cs="Arial"/>
          <w:color w:val="000000" w:themeColor="text1"/>
        </w:rPr>
        <w:t xml:space="preserve">Interview transcripts </w:t>
      </w:r>
      <w:r w:rsidRPr="00755AB7">
        <w:rPr>
          <w:rFonts w:ascii="Arial" w:hAnsi="Arial" w:cs="Arial"/>
          <w:color w:val="000000" w:themeColor="text1"/>
        </w:rPr>
        <w:t xml:space="preserve">were coded using </w:t>
      </w:r>
      <w:r w:rsidRPr="00755AB7">
        <w:rPr>
          <w:rFonts w:ascii="Arial" w:hAnsi="Arial" w:cs="Arial"/>
          <w:i/>
          <w:color w:val="000000" w:themeColor="text1"/>
        </w:rPr>
        <w:t>a priori</w:t>
      </w:r>
      <w:r w:rsidRPr="00755AB7">
        <w:rPr>
          <w:rFonts w:ascii="Arial" w:hAnsi="Arial" w:cs="Arial"/>
          <w:color w:val="000000" w:themeColor="text1"/>
        </w:rPr>
        <w:t xml:space="preserve"> and emergent codes</w:t>
      </w:r>
      <w:r w:rsidR="00835A75" w:rsidRPr="00755AB7">
        <w:rPr>
          <w:rFonts w:ascii="Arial" w:hAnsi="Arial" w:cs="Arial"/>
          <w:color w:val="000000" w:themeColor="text1"/>
        </w:rPr>
        <w:t>; a sample of the transcripts were coded by the second author, discrepancies discussed and the coding frame refined.  There was a high degree of congruence between the coding of each researcher.  Coded data was then</w:t>
      </w:r>
      <w:r w:rsidR="00782268" w:rsidRPr="00755AB7">
        <w:rPr>
          <w:rFonts w:ascii="Arial" w:hAnsi="Arial" w:cs="Arial"/>
          <w:color w:val="000000" w:themeColor="text1"/>
        </w:rPr>
        <w:t xml:space="preserve"> </w:t>
      </w:r>
      <w:r w:rsidR="00CD0050" w:rsidRPr="00755AB7">
        <w:rPr>
          <w:rFonts w:ascii="Arial" w:hAnsi="Arial" w:cs="Arial"/>
          <w:color w:val="000000" w:themeColor="text1"/>
        </w:rPr>
        <w:t xml:space="preserve">summarised and </w:t>
      </w:r>
      <w:r w:rsidR="00782268" w:rsidRPr="00755AB7">
        <w:rPr>
          <w:rFonts w:ascii="Arial" w:hAnsi="Arial" w:cs="Arial"/>
          <w:color w:val="000000" w:themeColor="text1"/>
        </w:rPr>
        <w:t>charted</w:t>
      </w:r>
      <w:r w:rsidR="00B43644" w:rsidRPr="00755AB7">
        <w:rPr>
          <w:rFonts w:ascii="Arial" w:hAnsi="Arial" w:cs="Arial"/>
          <w:color w:val="000000" w:themeColor="text1"/>
        </w:rPr>
        <w:t xml:space="preserve"> in Word</w:t>
      </w:r>
      <w:r w:rsidR="00774606" w:rsidRPr="00755AB7">
        <w:rPr>
          <w:rFonts w:ascii="Arial" w:hAnsi="Arial" w:cs="Arial"/>
          <w:color w:val="000000" w:themeColor="text1"/>
        </w:rPr>
        <w:t>, with themes identified</w:t>
      </w:r>
      <w:r w:rsidRPr="00755AB7">
        <w:rPr>
          <w:rFonts w:ascii="Arial" w:hAnsi="Arial" w:cs="Arial"/>
          <w:color w:val="000000" w:themeColor="text1"/>
        </w:rPr>
        <w:t xml:space="preserve"> and systematically analysed. </w:t>
      </w:r>
    </w:p>
    <w:p w14:paraId="20AF5B70" w14:textId="52C102C9" w:rsidR="00367698" w:rsidRPr="00755AB7" w:rsidRDefault="00270B22">
      <w:pPr>
        <w:spacing w:line="480" w:lineRule="auto"/>
        <w:rPr>
          <w:rFonts w:ascii="Arial" w:hAnsi="Arial" w:cs="Arial"/>
          <w:color w:val="000000" w:themeColor="text1"/>
        </w:rPr>
      </w:pPr>
      <w:r w:rsidRPr="00755AB7">
        <w:rPr>
          <w:rFonts w:ascii="Arial" w:hAnsi="Arial" w:cs="Arial"/>
          <w:color w:val="000000" w:themeColor="text1"/>
        </w:rPr>
        <w:t xml:space="preserve">Quantitative </w:t>
      </w:r>
      <w:r w:rsidR="00782268" w:rsidRPr="00755AB7">
        <w:rPr>
          <w:rFonts w:ascii="Arial" w:hAnsi="Arial" w:cs="Arial"/>
          <w:color w:val="000000" w:themeColor="text1"/>
        </w:rPr>
        <w:t xml:space="preserve">survey </w:t>
      </w:r>
      <w:r w:rsidRPr="00755AB7">
        <w:rPr>
          <w:rFonts w:ascii="Arial" w:hAnsi="Arial" w:cs="Arial"/>
          <w:color w:val="000000" w:themeColor="text1"/>
        </w:rPr>
        <w:t>data was compiled into simple, descriptive statistics, which were in turn compared and contrasted with the recurrent themes emerging from face-to-face interviews.   </w:t>
      </w:r>
    </w:p>
    <w:p w14:paraId="4F0AB045" w14:textId="271D0E03" w:rsidR="00270B22" w:rsidRPr="00755AB7" w:rsidRDefault="00270B22">
      <w:pPr>
        <w:spacing w:line="480" w:lineRule="auto"/>
        <w:rPr>
          <w:rFonts w:ascii="Arial" w:hAnsi="Arial" w:cs="Arial"/>
          <w:color w:val="000000" w:themeColor="text1"/>
        </w:rPr>
      </w:pPr>
      <w:r w:rsidRPr="00755AB7">
        <w:rPr>
          <w:rFonts w:ascii="Arial" w:hAnsi="Arial" w:cs="Arial"/>
          <w:color w:val="000000" w:themeColor="text1"/>
          <w:u w:val="single"/>
        </w:rPr>
        <w:t>Characteristics of respondents </w:t>
      </w:r>
      <w:r w:rsidRPr="00755AB7">
        <w:rPr>
          <w:rFonts w:ascii="Arial" w:hAnsi="Arial" w:cs="Arial"/>
          <w:color w:val="000000" w:themeColor="text1"/>
        </w:rPr>
        <w:t> </w:t>
      </w:r>
    </w:p>
    <w:p w14:paraId="0F246670" w14:textId="554360AD" w:rsidR="00835A75" w:rsidRPr="00755AB7" w:rsidRDefault="00835A75">
      <w:pPr>
        <w:spacing w:line="480" w:lineRule="auto"/>
        <w:rPr>
          <w:rFonts w:ascii="Arial" w:hAnsi="Arial" w:cs="Arial"/>
          <w:color w:val="000000" w:themeColor="text1"/>
        </w:rPr>
      </w:pPr>
      <w:r w:rsidRPr="00755AB7">
        <w:rPr>
          <w:rFonts w:ascii="Arial" w:hAnsi="Arial" w:cs="Arial"/>
          <w:color w:val="000000" w:themeColor="text1"/>
        </w:rPr>
        <w:t>In total, six AMHPs took part in interviews, and 160 AMHPs completed the online survey</w:t>
      </w:r>
      <w:r w:rsidR="008F6D58" w:rsidRPr="00755AB7">
        <w:rPr>
          <w:rFonts w:ascii="Arial" w:hAnsi="Arial" w:cs="Arial"/>
          <w:color w:val="000000" w:themeColor="text1"/>
        </w:rPr>
        <w:t xml:space="preserve">; </w:t>
      </w:r>
      <w:r w:rsidR="00064499">
        <w:rPr>
          <w:rFonts w:ascii="Arial" w:hAnsi="Arial" w:cs="Arial"/>
          <w:color w:val="000000" w:themeColor="text1"/>
        </w:rPr>
        <w:t xml:space="preserve">Table </w:t>
      </w:r>
      <w:r w:rsidR="008F6D58" w:rsidRPr="00755AB7">
        <w:rPr>
          <w:rFonts w:ascii="Arial" w:hAnsi="Arial" w:cs="Arial"/>
          <w:color w:val="000000" w:themeColor="text1"/>
        </w:rPr>
        <w:t xml:space="preserve">1, below, shows the </w:t>
      </w:r>
      <w:r w:rsidR="00E34588" w:rsidRPr="00755AB7">
        <w:rPr>
          <w:rFonts w:ascii="Arial" w:hAnsi="Arial" w:cs="Arial"/>
          <w:color w:val="000000" w:themeColor="text1"/>
        </w:rPr>
        <w:t xml:space="preserve">respective </w:t>
      </w:r>
      <w:r w:rsidR="00344122" w:rsidRPr="00755AB7">
        <w:rPr>
          <w:rFonts w:ascii="Arial" w:hAnsi="Arial" w:cs="Arial"/>
          <w:color w:val="000000" w:themeColor="text1"/>
        </w:rPr>
        <w:t xml:space="preserve">length of time since qualification </w:t>
      </w:r>
      <w:r w:rsidR="008F6D58" w:rsidRPr="00755AB7">
        <w:rPr>
          <w:rFonts w:ascii="Arial" w:hAnsi="Arial" w:cs="Arial"/>
          <w:color w:val="000000" w:themeColor="text1"/>
        </w:rPr>
        <w:t>of AMHP</w:t>
      </w:r>
      <w:r w:rsidR="00344122" w:rsidRPr="00755AB7">
        <w:rPr>
          <w:rFonts w:ascii="Arial" w:hAnsi="Arial" w:cs="Arial"/>
          <w:color w:val="000000" w:themeColor="text1"/>
        </w:rPr>
        <w:t>s</w:t>
      </w:r>
      <w:r w:rsidR="008F6D58" w:rsidRPr="00755AB7">
        <w:rPr>
          <w:rFonts w:ascii="Arial" w:hAnsi="Arial" w:cs="Arial"/>
          <w:color w:val="000000" w:themeColor="text1"/>
        </w:rPr>
        <w:t xml:space="preserve"> in th</w:t>
      </w:r>
      <w:r w:rsidR="00344122" w:rsidRPr="00755AB7">
        <w:rPr>
          <w:rFonts w:ascii="Arial" w:hAnsi="Arial" w:cs="Arial"/>
          <w:color w:val="000000" w:themeColor="text1"/>
        </w:rPr>
        <w:t>e</w:t>
      </w:r>
      <w:r w:rsidR="008F6D58" w:rsidRPr="00755AB7">
        <w:rPr>
          <w:rFonts w:ascii="Arial" w:hAnsi="Arial" w:cs="Arial"/>
          <w:color w:val="000000" w:themeColor="text1"/>
        </w:rPr>
        <w:t xml:space="preserve"> study. </w:t>
      </w:r>
    </w:p>
    <w:p w14:paraId="62463BFB" w14:textId="1C69AF68" w:rsidR="00F95004" w:rsidRPr="00755AB7" w:rsidRDefault="00064499" w:rsidP="00F95004">
      <w:pPr>
        <w:spacing w:line="480" w:lineRule="auto"/>
        <w:rPr>
          <w:rFonts w:ascii="Arial" w:hAnsi="Arial" w:cs="Arial"/>
          <w:color w:val="000000" w:themeColor="text1"/>
        </w:rPr>
      </w:pPr>
      <w:r>
        <w:rPr>
          <w:rFonts w:ascii="Arial" w:hAnsi="Arial" w:cs="Arial"/>
          <w:color w:val="000000" w:themeColor="text1"/>
        </w:rPr>
        <w:t xml:space="preserve">Table </w:t>
      </w:r>
      <w:r w:rsidR="00F95004" w:rsidRPr="00755AB7">
        <w:rPr>
          <w:rFonts w:ascii="Arial" w:hAnsi="Arial" w:cs="Arial"/>
          <w:color w:val="000000" w:themeColor="text1"/>
        </w:rPr>
        <w:t>1: </w:t>
      </w:r>
      <w:r w:rsidR="00F95004">
        <w:rPr>
          <w:rFonts w:ascii="Arial" w:hAnsi="Arial" w:cs="Arial"/>
          <w:color w:val="000000" w:themeColor="text1"/>
        </w:rPr>
        <w:t>Number of r</w:t>
      </w:r>
      <w:r w:rsidR="00F95004" w:rsidRPr="00755AB7">
        <w:rPr>
          <w:rFonts w:ascii="Arial" w:hAnsi="Arial" w:cs="Arial"/>
          <w:color w:val="000000" w:themeColor="text1"/>
        </w:rPr>
        <w:t xml:space="preserve">esearch participants </w:t>
      </w:r>
      <w:r w:rsidR="00F95004">
        <w:rPr>
          <w:rFonts w:ascii="Arial" w:hAnsi="Arial" w:cs="Arial"/>
          <w:color w:val="000000" w:themeColor="text1"/>
        </w:rPr>
        <w:t xml:space="preserve">taking part in the interviews and survey </w:t>
      </w:r>
      <w:r w:rsidR="00F95004" w:rsidRPr="00755AB7">
        <w:rPr>
          <w:rFonts w:ascii="Arial" w:hAnsi="Arial" w:cs="Arial"/>
          <w:color w:val="000000" w:themeColor="text1"/>
        </w:rPr>
        <w:t xml:space="preserve">by length of time since qualification as an AMHP </w:t>
      </w:r>
    </w:p>
    <w:tbl>
      <w:tblPr>
        <w:tblStyle w:val="TableGrid"/>
        <w:tblW w:w="0" w:type="auto"/>
        <w:tblLook w:val="04A0" w:firstRow="1" w:lastRow="0" w:firstColumn="1" w:lastColumn="0" w:noHBand="0" w:noVBand="1"/>
      </w:tblPr>
      <w:tblGrid>
        <w:gridCol w:w="3008"/>
        <w:gridCol w:w="3007"/>
        <w:gridCol w:w="3001"/>
      </w:tblGrid>
      <w:tr w:rsidR="00F95004" w:rsidRPr="009F60AA" w14:paraId="721E8F10" w14:textId="77777777" w:rsidTr="00F33D04">
        <w:tc>
          <w:tcPr>
            <w:tcW w:w="3008" w:type="dxa"/>
          </w:tcPr>
          <w:p w14:paraId="3B77FFA6" w14:textId="77777777" w:rsidR="00F95004" w:rsidRPr="009F60AA" w:rsidRDefault="00F95004" w:rsidP="00F33D04">
            <w:pPr>
              <w:spacing w:line="480" w:lineRule="auto"/>
              <w:rPr>
                <w:rFonts w:ascii="Arial" w:eastAsia="Calibri" w:hAnsi="Arial" w:cs="Arial"/>
                <w:color w:val="000000"/>
              </w:rPr>
            </w:pPr>
            <w:r w:rsidRPr="009F60AA">
              <w:rPr>
                <w:rFonts w:ascii="Arial" w:eastAsia="Calibri" w:hAnsi="Arial" w:cs="Arial"/>
                <w:color w:val="000000"/>
              </w:rPr>
              <w:t>Number of years since qualification as an AMHP</w:t>
            </w:r>
          </w:p>
        </w:tc>
        <w:tc>
          <w:tcPr>
            <w:tcW w:w="3007" w:type="dxa"/>
          </w:tcPr>
          <w:p w14:paraId="059759A0" w14:textId="77777777" w:rsidR="00F95004" w:rsidRPr="009F60AA" w:rsidRDefault="00F95004" w:rsidP="00F33D04">
            <w:pPr>
              <w:spacing w:line="480" w:lineRule="auto"/>
              <w:rPr>
                <w:rFonts w:ascii="Arial" w:eastAsia="Calibri" w:hAnsi="Arial" w:cs="Arial"/>
                <w:color w:val="000000"/>
              </w:rPr>
            </w:pPr>
            <w:r w:rsidRPr="009F60AA">
              <w:rPr>
                <w:rFonts w:ascii="Arial" w:eastAsia="Calibri" w:hAnsi="Arial" w:cs="Arial"/>
                <w:color w:val="000000"/>
              </w:rPr>
              <w:t xml:space="preserve">Interviewed AMHPs </w:t>
            </w:r>
          </w:p>
        </w:tc>
        <w:tc>
          <w:tcPr>
            <w:tcW w:w="3001" w:type="dxa"/>
          </w:tcPr>
          <w:p w14:paraId="1A560C32" w14:textId="77777777" w:rsidR="00F95004" w:rsidRPr="009F60AA" w:rsidRDefault="00F95004" w:rsidP="00F33D04">
            <w:pPr>
              <w:spacing w:line="480" w:lineRule="auto"/>
              <w:rPr>
                <w:rFonts w:ascii="Arial" w:eastAsia="Calibri" w:hAnsi="Arial" w:cs="Arial"/>
                <w:color w:val="000000"/>
              </w:rPr>
            </w:pPr>
            <w:r w:rsidRPr="009F60AA">
              <w:rPr>
                <w:rFonts w:ascii="Arial" w:eastAsia="Calibri" w:hAnsi="Arial" w:cs="Arial"/>
                <w:color w:val="000000"/>
              </w:rPr>
              <w:t xml:space="preserve">Surveyed AMHPs* </w:t>
            </w:r>
          </w:p>
        </w:tc>
      </w:tr>
      <w:tr w:rsidR="00F95004" w:rsidRPr="009F60AA" w14:paraId="68F9537D" w14:textId="77777777" w:rsidTr="00F33D04">
        <w:tc>
          <w:tcPr>
            <w:tcW w:w="3008" w:type="dxa"/>
          </w:tcPr>
          <w:p w14:paraId="19633BCC" w14:textId="77777777" w:rsidR="00F95004" w:rsidRPr="009F60AA" w:rsidRDefault="00F95004" w:rsidP="00F33D04">
            <w:pPr>
              <w:spacing w:line="480" w:lineRule="auto"/>
              <w:rPr>
                <w:rFonts w:ascii="Arial" w:eastAsia="Calibri" w:hAnsi="Arial" w:cs="Arial"/>
                <w:color w:val="000000"/>
              </w:rPr>
            </w:pPr>
            <w:r w:rsidRPr="009F60AA">
              <w:rPr>
                <w:rFonts w:ascii="Arial" w:eastAsia="Calibri" w:hAnsi="Arial" w:cs="Arial"/>
                <w:color w:val="000000"/>
              </w:rPr>
              <w:t>0-</w:t>
            </w:r>
            <w:r>
              <w:rPr>
                <w:rFonts w:ascii="Arial" w:eastAsia="Calibri" w:hAnsi="Arial" w:cs="Arial"/>
                <w:color w:val="000000"/>
              </w:rPr>
              <w:t>2</w:t>
            </w:r>
            <w:r w:rsidRPr="009F60AA">
              <w:rPr>
                <w:rFonts w:ascii="Arial" w:eastAsia="Calibri" w:hAnsi="Arial" w:cs="Arial"/>
                <w:color w:val="000000"/>
              </w:rPr>
              <w:t xml:space="preserve"> years</w:t>
            </w:r>
          </w:p>
        </w:tc>
        <w:tc>
          <w:tcPr>
            <w:tcW w:w="3007" w:type="dxa"/>
          </w:tcPr>
          <w:p w14:paraId="0EF9B2A4" w14:textId="77777777" w:rsidR="00F95004" w:rsidRPr="009F60AA" w:rsidRDefault="00F95004" w:rsidP="00F33D04">
            <w:pPr>
              <w:spacing w:line="480" w:lineRule="auto"/>
              <w:rPr>
                <w:rFonts w:ascii="Arial" w:eastAsia="Calibri" w:hAnsi="Arial" w:cs="Arial"/>
                <w:color w:val="000000"/>
              </w:rPr>
            </w:pPr>
            <w:r w:rsidRPr="009F60AA">
              <w:rPr>
                <w:rFonts w:ascii="Arial" w:eastAsia="Calibri" w:hAnsi="Arial" w:cs="Arial"/>
                <w:color w:val="000000"/>
              </w:rPr>
              <w:t>1</w:t>
            </w:r>
          </w:p>
        </w:tc>
        <w:tc>
          <w:tcPr>
            <w:tcW w:w="3001" w:type="dxa"/>
          </w:tcPr>
          <w:p w14:paraId="1C46F387" w14:textId="77777777" w:rsidR="00F95004" w:rsidRPr="009F60AA" w:rsidRDefault="00F95004" w:rsidP="00F33D04">
            <w:pPr>
              <w:spacing w:line="480" w:lineRule="auto"/>
              <w:rPr>
                <w:rFonts w:ascii="Arial" w:eastAsia="Calibri" w:hAnsi="Arial" w:cs="Arial"/>
                <w:color w:val="000000"/>
              </w:rPr>
            </w:pPr>
            <w:r w:rsidRPr="009F60AA">
              <w:rPr>
                <w:rFonts w:ascii="Arial" w:eastAsia="Calibri" w:hAnsi="Arial" w:cs="Arial"/>
                <w:color w:val="000000"/>
              </w:rPr>
              <w:t>32 (21 percent of those surveyed)</w:t>
            </w:r>
          </w:p>
        </w:tc>
      </w:tr>
      <w:tr w:rsidR="00F95004" w:rsidRPr="009F60AA" w14:paraId="5EC206E0" w14:textId="77777777" w:rsidTr="00F33D04">
        <w:tc>
          <w:tcPr>
            <w:tcW w:w="3008" w:type="dxa"/>
          </w:tcPr>
          <w:p w14:paraId="4004CD42" w14:textId="77777777" w:rsidR="00F95004" w:rsidRPr="009F60AA" w:rsidRDefault="00F95004" w:rsidP="00F33D04">
            <w:pPr>
              <w:spacing w:line="480" w:lineRule="auto"/>
              <w:rPr>
                <w:rFonts w:ascii="Arial" w:eastAsia="Calibri" w:hAnsi="Arial" w:cs="Arial"/>
                <w:color w:val="000000"/>
              </w:rPr>
            </w:pPr>
            <w:r w:rsidRPr="009F60AA">
              <w:rPr>
                <w:rFonts w:ascii="Arial" w:eastAsia="Calibri" w:hAnsi="Arial" w:cs="Arial"/>
                <w:color w:val="000000"/>
              </w:rPr>
              <w:t>3-5 years</w:t>
            </w:r>
          </w:p>
        </w:tc>
        <w:tc>
          <w:tcPr>
            <w:tcW w:w="3007" w:type="dxa"/>
          </w:tcPr>
          <w:p w14:paraId="13433791" w14:textId="77777777" w:rsidR="00F95004" w:rsidRPr="009F60AA" w:rsidRDefault="00F95004" w:rsidP="00F33D04">
            <w:pPr>
              <w:spacing w:line="480" w:lineRule="auto"/>
              <w:rPr>
                <w:rFonts w:ascii="Arial" w:eastAsia="Calibri" w:hAnsi="Arial" w:cs="Arial"/>
                <w:color w:val="000000"/>
              </w:rPr>
            </w:pPr>
            <w:r w:rsidRPr="009F60AA">
              <w:rPr>
                <w:rFonts w:ascii="Arial" w:eastAsia="Calibri" w:hAnsi="Arial" w:cs="Arial"/>
                <w:color w:val="000000"/>
              </w:rPr>
              <w:t>2</w:t>
            </w:r>
          </w:p>
        </w:tc>
        <w:tc>
          <w:tcPr>
            <w:tcW w:w="3001" w:type="dxa"/>
          </w:tcPr>
          <w:p w14:paraId="14B7804F" w14:textId="77777777" w:rsidR="00F95004" w:rsidRPr="009F60AA" w:rsidRDefault="00F95004" w:rsidP="00F33D04">
            <w:pPr>
              <w:spacing w:line="480" w:lineRule="auto"/>
              <w:rPr>
                <w:rFonts w:ascii="Arial" w:eastAsia="Calibri" w:hAnsi="Arial" w:cs="Arial"/>
                <w:color w:val="000000"/>
              </w:rPr>
            </w:pPr>
            <w:r w:rsidRPr="009F60AA">
              <w:rPr>
                <w:rFonts w:ascii="Arial" w:eastAsia="Calibri" w:hAnsi="Arial" w:cs="Arial"/>
                <w:color w:val="000000"/>
              </w:rPr>
              <w:t>22 (14 percent)</w:t>
            </w:r>
          </w:p>
        </w:tc>
      </w:tr>
      <w:tr w:rsidR="00F95004" w:rsidRPr="009F60AA" w14:paraId="7F51B433" w14:textId="77777777" w:rsidTr="00F33D04">
        <w:tc>
          <w:tcPr>
            <w:tcW w:w="3008" w:type="dxa"/>
          </w:tcPr>
          <w:p w14:paraId="548EB7B5" w14:textId="77777777" w:rsidR="00F95004" w:rsidRPr="009F60AA" w:rsidRDefault="00F95004" w:rsidP="00F33D04">
            <w:pPr>
              <w:spacing w:line="480" w:lineRule="auto"/>
              <w:rPr>
                <w:rFonts w:ascii="Arial" w:eastAsia="Calibri" w:hAnsi="Arial" w:cs="Arial"/>
                <w:color w:val="000000"/>
              </w:rPr>
            </w:pPr>
            <w:r>
              <w:rPr>
                <w:rFonts w:ascii="Arial" w:eastAsia="Calibri" w:hAnsi="Arial" w:cs="Arial"/>
                <w:color w:val="000000"/>
              </w:rPr>
              <w:t>6</w:t>
            </w:r>
            <w:r w:rsidRPr="009F60AA">
              <w:rPr>
                <w:rFonts w:ascii="Arial" w:eastAsia="Calibri" w:hAnsi="Arial" w:cs="Arial"/>
                <w:color w:val="000000"/>
              </w:rPr>
              <w:t>-10 years</w:t>
            </w:r>
          </w:p>
        </w:tc>
        <w:tc>
          <w:tcPr>
            <w:tcW w:w="3007" w:type="dxa"/>
          </w:tcPr>
          <w:p w14:paraId="022A9005" w14:textId="77777777" w:rsidR="00F95004" w:rsidRPr="009F60AA" w:rsidRDefault="00F95004" w:rsidP="00F33D04">
            <w:pPr>
              <w:spacing w:line="480" w:lineRule="auto"/>
              <w:rPr>
                <w:rFonts w:ascii="Arial" w:eastAsia="Calibri" w:hAnsi="Arial" w:cs="Arial"/>
                <w:color w:val="000000"/>
              </w:rPr>
            </w:pPr>
            <w:r w:rsidRPr="009F60AA">
              <w:rPr>
                <w:rFonts w:ascii="Arial" w:eastAsia="Calibri" w:hAnsi="Arial" w:cs="Arial"/>
                <w:color w:val="000000"/>
              </w:rPr>
              <w:t>2</w:t>
            </w:r>
          </w:p>
        </w:tc>
        <w:tc>
          <w:tcPr>
            <w:tcW w:w="3001" w:type="dxa"/>
          </w:tcPr>
          <w:p w14:paraId="35E3CD8F" w14:textId="77777777" w:rsidR="00F95004" w:rsidRPr="009F60AA" w:rsidRDefault="00F95004" w:rsidP="00F33D04">
            <w:pPr>
              <w:spacing w:line="480" w:lineRule="auto"/>
              <w:rPr>
                <w:rFonts w:ascii="Arial" w:eastAsia="Calibri" w:hAnsi="Arial" w:cs="Arial"/>
                <w:color w:val="000000"/>
              </w:rPr>
            </w:pPr>
            <w:r w:rsidRPr="009F60AA">
              <w:rPr>
                <w:rFonts w:ascii="Arial" w:eastAsia="Calibri" w:hAnsi="Arial" w:cs="Arial"/>
                <w:color w:val="000000"/>
              </w:rPr>
              <w:t xml:space="preserve">26 (17 percent) </w:t>
            </w:r>
          </w:p>
        </w:tc>
      </w:tr>
      <w:tr w:rsidR="00F95004" w:rsidRPr="009F60AA" w14:paraId="6E241BA1" w14:textId="77777777" w:rsidTr="00F33D04">
        <w:tc>
          <w:tcPr>
            <w:tcW w:w="3008" w:type="dxa"/>
          </w:tcPr>
          <w:p w14:paraId="7C7B03C8" w14:textId="77777777" w:rsidR="00F95004" w:rsidRPr="009F60AA" w:rsidRDefault="00F95004" w:rsidP="00F33D04">
            <w:pPr>
              <w:spacing w:line="480" w:lineRule="auto"/>
              <w:rPr>
                <w:rFonts w:ascii="Arial" w:eastAsia="Calibri" w:hAnsi="Arial" w:cs="Arial"/>
                <w:color w:val="000000"/>
              </w:rPr>
            </w:pPr>
            <w:r w:rsidRPr="009F60AA">
              <w:rPr>
                <w:rFonts w:ascii="Arial" w:eastAsia="Calibri" w:hAnsi="Arial" w:cs="Arial"/>
                <w:color w:val="000000"/>
              </w:rPr>
              <w:t>1</w:t>
            </w:r>
            <w:r>
              <w:rPr>
                <w:rFonts w:ascii="Arial" w:eastAsia="Calibri" w:hAnsi="Arial" w:cs="Arial"/>
                <w:color w:val="000000"/>
              </w:rPr>
              <w:t>1+</w:t>
            </w:r>
            <w:r w:rsidRPr="009F60AA">
              <w:rPr>
                <w:rFonts w:ascii="Arial" w:eastAsia="Calibri" w:hAnsi="Arial" w:cs="Arial"/>
                <w:color w:val="000000"/>
              </w:rPr>
              <w:t xml:space="preserve"> years</w:t>
            </w:r>
          </w:p>
        </w:tc>
        <w:tc>
          <w:tcPr>
            <w:tcW w:w="3007" w:type="dxa"/>
          </w:tcPr>
          <w:p w14:paraId="164D0838" w14:textId="77777777" w:rsidR="00F95004" w:rsidRPr="009F60AA" w:rsidRDefault="00F95004" w:rsidP="00F33D04">
            <w:pPr>
              <w:spacing w:line="480" w:lineRule="auto"/>
              <w:rPr>
                <w:rFonts w:ascii="Arial" w:eastAsia="Calibri" w:hAnsi="Arial" w:cs="Arial"/>
                <w:color w:val="000000"/>
              </w:rPr>
            </w:pPr>
            <w:r w:rsidRPr="009F60AA">
              <w:rPr>
                <w:rFonts w:ascii="Arial" w:eastAsia="Calibri" w:hAnsi="Arial" w:cs="Arial"/>
                <w:color w:val="000000"/>
              </w:rPr>
              <w:t>1</w:t>
            </w:r>
          </w:p>
        </w:tc>
        <w:tc>
          <w:tcPr>
            <w:tcW w:w="3001" w:type="dxa"/>
          </w:tcPr>
          <w:p w14:paraId="244109DD" w14:textId="77777777" w:rsidR="00F95004" w:rsidRPr="009F60AA" w:rsidRDefault="00F95004" w:rsidP="00F33D04">
            <w:pPr>
              <w:spacing w:line="480" w:lineRule="auto"/>
              <w:rPr>
                <w:rFonts w:ascii="Arial" w:eastAsia="Calibri" w:hAnsi="Arial" w:cs="Arial"/>
                <w:color w:val="000000"/>
              </w:rPr>
            </w:pPr>
            <w:r w:rsidRPr="009F60AA">
              <w:rPr>
                <w:rFonts w:ascii="Arial" w:eastAsia="Calibri" w:hAnsi="Arial" w:cs="Arial"/>
                <w:color w:val="000000"/>
              </w:rPr>
              <w:t xml:space="preserve">76 (49 percent) </w:t>
            </w:r>
          </w:p>
        </w:tc>
      </w:tr>
    </w:tbl>
    <w:p w14:paraId="7A44E01A" w14:textId="77777777" w:rsidR="00F95004" w:rsidRDefault="00F95004" w:rsidP="00F95004">
      <w:pPr>
        <w:spacing w:line="480" w:lineRule="auto"/>
      </w:pPr>
      <w:r w:rsidRPr="009F60AA">
        <w:rPr>
          <w:rFonts w:ascii="Arial" w:eastAsia="Calibri" w:hAnsi="Arial" w:cs="Arial"/>
          <w:color w:val="000000"/>
        </w:rPr>
        <w:t>*n=156 for this specific question.</w:t>
      </w:r>
    </w:p>
    <w:p w14:paraId="73450909" w14:textId="77777777" w:rsidR="007C2BE0" w:rsidRPr="00755AB7" w:rsidRDefault="007C2BE0">
      <w:pPr>
        <w:spacing w:line="480" w:lineRule="auto"/>
        <w:rPr>
          <w:rFonts w:ascii="Arial" w:hAnsi="Arial" w:cs="Arial"/>
          <w:b/>
          <w:color w:val="000000" w:themeColor="text1"/>
        </w:rPr>
      </w:pPr>
      <w:r w:rsidRPr="00755AB7">
        <w:rPr>
          <w:rFonts w:ascii="Arial" w:hAnsi="Arial" w:cs="Arial"/>
          <w:b/>
          <w:color w:val="000000" w:themeColor="text1"/>
          <w:u w:val="single"/>
        </w:rPr>
        <w:t>Results </w:t>
      </w:r>
      <w:r w:rsidRPr="00755AB7">
        <w:rPr>
          <w:rFonts w:ascii="Arial" w:hAnsi="Arial" w:cs="Arial"/>
          <w:b/>
          <w:color w:val="000000" w:themeColor="text1"/>
        </w:rPr>
        <w:t>  </w:t>
      </w:r>
    </w:p>
    <w:p w14:paraId="3A78A285" w14:textId="7BC81B95" w:rsidR="007C2BE0" w:rsidRPr="00755AB7" w:rsidRDefault="007C2BE0">
      <w:pPr>
        <w:spacing w:line="480" w:lineRule="auto"/>
        <w:rPr>
          <w:rFonts w:ascii="Arial" w:hAnsi="Arial" w:cs="Arial"/>
          <w:color w:val="000000" w:themeColor="text1"/>
        </w:rPr>
      </w:pPr>
      <w:r w:rsidRPr="00755AB7">
        <w:rPr>
          <w:rFonts w:ascii="Arial" w:hAnsi="Arial" w:cs="Arial"/>
          <w:color w:val="000000" w:themeColor="text1"/>
        </w:rPr>
        <w:t>A</w:t>
      </w:r>
      <w:r w:rsidR="000D5ED3" w:rsidRPr="00755AB7">
        <w:rPr>
          <w:rFonts w:ascii="Arial" w:hAnsi="Arial" w:cs="Arial"/>
          <w:color w:val="000000" w:themeColor="text1"/>
        </w:rPr>
        <w:t xml:space="preserve"> considerable</w:t>
      </w:r>
      <w:r w:rsidRPr="00755AB7">
        <w:rPr>
          <w:rFonts w:ascii="Arial" w:hAnsi="Arial" w:cs="Arial"/>
          <w:color w:val="000000" w:themeColor="text1"/>
        </w:rPr>
        <w:t xml:space="preserve"> majority of AMHPs who took part in the study felt that the trend of rising detentions was a worrying phenomenon</w:t>
      </w:r>
      <w:r w:rsidR="00B81330" w:rsidRPr="00755AB7">
        <w:rPr>
          <w:rFonts w:ascii="Arial" w:hAnsi="Arial" w:cs="Arial"/>
          <w:color w:val="000000" w:themeColor="text1"/>
        </w:rPr>
        <w:t>:</w:t>
      </w:r>
      <w:r w:rsidRPr="00755AB7">
        <w:rPr>
          <w:rFonts w:ascii="Arial" w:hAnsi="Arial" w:cs="Arial"/>
          <w:color w:val="000000" w:themeColor="text1"/>
        </w:rPr>
        <w:t xml:space="preserve"> 76 percent (n=112</w:t>
      </w:r>
      <w:r w:rsidR="006E1CDE" w:rsidRPr="00755AB7">
        <w:rPr>
          <w:rFonts w:ascii="Arial" w:hAnsi="Arial" w:cs="Arial"/>
          <w:color w:val="000000" w:themeColor="text1"/>
        </w:rPr>
        <w:t>/</w:t>
      </w:r>
      <w:r w:rsidR="00382E7A" w:rsidRPr="00755AB7">
        <w:rPr>
          <w:rFonts w:ascii="Arial" w:hAnsi="Arial" w:cs="Arial"/>
          <w:color w:val="000000" w:themeColor="text1"/>
        </w:rPr>
        <w:t>148)</w:t>
      </w:r>
      <w:r w:rsidRPr="00755AB7">
        <w:rPr>
          <w:rFonts w:ascii="Arial" w:hAnsi="Arial" w:cs="Arial"/>
          <w:color w:val="000000" w:themeColor="text1"/>
        </w:rPr>
        <w:t> of</w:t>
      </w:r>
      <w:r w:rsidR="00BE3AD9" w:rsidRPr="00755AB7">
        <w:rPr>
          <w:rFonts w:ascii="Arial" w:hAnsi="Arial" w:cs="Arial"/>
          <w:color w:val="000000" w:themeColor="text1"/>
        </w:rPr>
        <w:t xml:space="preserve"> </w:t>
      </w:r>
      <w:r w:rsidRPr="00755AB7">
        <w:rPr>
          <w:rFonts w:ascii="Arial" w:hAnsi="Arial" w:cs="Arial"/>
          <w:color w:val="000000" w:themeColor="text1"/>
        </w:rPr>
        <w:t xml:space="preserve">AMHPs who responded </w:t>
      </w:r>
      <w:r w:rsidRPr="00755AB7">
        <w:rPr>
          <w:rFonts w:ascii="Arial" w:hAnsi="Arial" w:cs="Arial"/>
          <w:color w:val="000000" w:themeColor="text1"/>
        </w:rPr>
        <w:lastRenderedPageBreak/>
        <w:t>to th</w:t>
      </w:r>
      <w:r w:rsidR="001F4D65" w:rsidRPr="00755AB7">
        <w:rPr>
          <w:rFonts w:ascii="Arial" w:hAnsi="Arial" w:cs="Arial"/>
          <w:color w:val="000000" w:themeColor="text1"/>
        </w:rPr>
        <w:t>is</w:t>
      </w:r>
      <w:r w:rsidRPr="00755AB7">
        <w:rPr>
          <w:rFonts w:ascii="Arial" w:hAnsi="Arial" w:cs="Arial"/>
          <w:color w:val="000000" w:themeColor="text1"/>
        </w:rPr>
        <w:t xml:space="preserve"> survey </w:t>
      </w:r>
      <w:r w:rsidR="001F4D65" w:rsidRPr="00755AB7">
        <w:rPr>
          <w:rFonts w:ascii="Arial" w:hAnsi="Arial" w:cs="Arial"/>
          <w:color w:val="000000" w:themeColor="text1"/>
        </w:rPr>
        <w:t xml:space="preserve">question </w:t>
      </w:r>
      <w:r w:rsidRPr="00755AB7">
        <w:rPr>
          <w:rFonts w:ascii="Arial" w:hAnsi="Arial" w:cs="Arial"/>
          <w:color w:val="000000" w:themeColor="text1"/>
        </w:rPr>
        <w:t xml:space="preserve">recognised the trend of rising detentions under the MHA from their own practice, </w:t>
      </w:r>
      <w:r w:rsidR="001F4D65" w:rsidRPr="00755AB7">
        <w:rPr>
          <w:rFonts w:ascii="Arial" w:hAnsi="Arial" w:cs="Arial"/>
          <w:color w:val="000000" w:themeColor="text1"/>
        </w:rPr>
        <w:t>and</w:t>
      </w:r>
      <w:r w:rsidRPr="00755AB7">
        <w:rPr>
          <w:rFonts w:ascii="Arial" w:hAnsi="Arial" w:cs="Arial"/>
          <w:color w:val="000000" w:themeColor="text1"/>
        </w:rPr>
        <w:t> 75 percent (n=115</w:t>
      </w:r>
      <w:r w:rsidR="006E1CDE" w:rsidRPr="00755AB7">
        <w:rPr>
          <w:rFonts w:ascii="Arial" w:hAnsi="Arial" w:cs="Arial"/>
          <w:color w:val="000000" w:themeColor="text1"/>
        </w:rPr>
        <w:t>/</w:t>
      </w:r>
      <w:r w:rsidR="00382E7A" w:rsidRPr="00755AB7">
        <w:rPr>
          <w:rFonts w:ascii="Arial" w:hAnsi="Arial" w:cs="Arial"/>
          <w:color w:val="000000" w:themeColor="text1"/>
        </w:rPr>
        <w:t>153</w:t>
      </w:r>
      <w:r w:rsidRPr="00755AB7">
        <w:rPr>
          <w:rFonts w:ascii="Arial" w:hAnsi="Arial" w:cs="Arial"/>
          <w:color w:val="000000" w:themeColor="text1"/>
        </w:rPr>
        <w:t>) believ</w:t>
      </w:r>
      <w:r w:rsidR="001F4D65" w:rsidRPr="00755AB7">
        <w:rPr>
          <w:rFonts w:ascii="Arial" w:hAnsi="Arial" w:cs="Arial"/>
          <w:color w:val="000000" w:themeColor="text1"/>
        </w:rPr>
        <w:t>ed</w:t>
      </w:r>
      <w:r w:rsidRPr="00755AB7">
        <w:rPr>
          <w:rFonts w:ascii="Arial" w:hAnsi="Arial" w:cs="Arial"/>
          <w:color w:val="000000" w:themeColor="text1"/>
        </w:rPr>
        <w:t xml:space="preserve"> this </w:t>
      </w:r>
      <w:r w:rsidR="00BE3AD9" w:rsidRPr="00755AB7">
        <w:rPr>
          <w:rFonts w:ascii="Arial" w:hAnsi="Arial" w:cs="Arial"/>
          <w:color w:val="000000" w:themeColor="text1"/>
        </w:rPr>
        <w:t xml:space="preserve">to be </w:t>
      </w:r>
      <w:r w:rsidRPr="00755AB7">
        <w:rPr>
          <w:rFonts w:ascii="Arial" w:hAnsi="Arial" w:cs="Arial"/>
          <w:color w:val="000000" w:themeColor="text1"/>
        </w:rPr>
        <w:t>a cause for concern. Of surveyed AMHPs, 71 percent (n=106</w:t>
      </w:r>
      <w:r w:rsidR="006E1CDE" w:rsidRPr="00755AB7">
        <w:rPr>
          <w:rFonts w:ascii="Arial" w:hAnsi="Arial" w:cs="Arial"/>
          <w:color w:val="000000" w:themeColor="text1"/>
        </w:rPr>
        <w:t>/</w:t>
      </w:r>
      <w:r w:rsidR="0086641F" w:rsidRPr="00755AB7">
        <w:rPr>
          <w:rFonts w:ascii="Arial" w:hAnsi="Arial" w:cs="Arial"/>
          <w:color w:val="000000" w:themeColor="text1"/>
        </w:rPr>
        <w:t>149</w:t>
      </w:r>
      <w:r w:rsidRPr="00755AB7">
        <w:rPr>
          <w:rFonts w:ascii="Arial" w:hAnsi="Arial" w:cs="Arial"/>
          <w:color w:val="000000" w:themeColor="text1"/>
        </w:rPr>
        <w:t>) believe</w:t>
      </w:r>
      <w:r w:rsidR="00B43644" w:rsidRPr="00755AB7">
        <w:rPr>
          <w:rFonts w:ascii="Arial" w:hAnsi="Arial" w:cs="Arial"/>
          <w:color w:val="000000" w:themeColor="text1"/>
        </w:rPr>
        <w:t>d</w:t>
      </w:r>
      <w:r w:rsidRPr="00755AB7">
        <w:rPr>
          <w:rFonts w:ascii="Arial" w:hAnsi="Arial" w:cs="Arial"/>
          <w:color w:val="000000" w:themeColor="text1"/>
        </w:rPr>
        <w:t xml:space="preserve"> that the Government </w:t>
      </w:r>
      <w:r w:rsidR="001F4D65" w:rsidRPr="00755AB7">
        <w:rPr>
          <w:rFonts w:ascii="Arial" w:hAnsi="Arial" w:cs="Arial"/>
          <w:color w:val="000000" w:themeColor="text1"/>
        </w:rPr>
        <w:t>wa</w:t>
      </w:r>
      <w:r w:rsidRPr="00755AB7">
        <w:rPr>
          <w:rFonts w:ascii="Arial" w:hAnsi="Arial" w:cs="Arial"/>
          <w:color w:val="000000" w:themeColor="text1"/>
        </w:rPr>
        <w:t xml:space="preserve">s right to seek to reduce the number of detentions made under the MHA. </w:t>
      </w:r>
      <w:r w:rsidR="001F4D65" w:rsidRPr="00755AB7">
        <w:rPr>
          <w:rFonts w:ascii="Arial" w:hAnsi="Arial" w:cs="Arial"/>
          <w:color w:val="000000" w:themeColor="text1"/>
        </w:rPr>
        <w:t>All</w:t>
      </w:r>
      <w:r w:rsidR="00BE3AD9" w:rsidRPr="00755AB7">
        <w:rPr>
          <w:rFonts w:ascii="Arial" w:hAnsi="Arial" w:cs="Arial"/>
          <w:color w:val="000000" w:themeColor="text1"/>
        </w:rPr>
        <w:t xml:space="preserve"> six AMHPs </w:t>
      </w:r>
      <w:r w:rsidRPr="00755AB7">
        <w:rPr>
          <w:rFonts w:ascii="Arial" w:hAnsi="Arial" w:cs="Arial"/>
          <w:color w:val="000000" w:themeColor="text1"/>
        </w:rPr>
        <w:t>interviewed also agree</w:t>
      </w:r>
      <w:r w:rsidR="005E0A73" w:rsidRPr="00755AB7">
        <w:rPr>
          <w:rFonts w:ascii="Arial" w:hAnsi="Arial" w:cs="Arial"/>
          <w:color w:val="000000" w:themeColor="text1"/>
        </w:rPr>
        <w:t>d</w:t>
      </w:r>
      <w:r w:rsidRPr="00755AB7">
        <w:rPr>
          <w:rFonts w:ascii="Arial" w:hAnsi="Arial" w:cs="Arial"/>
          <w:color w:val="000000" w:themeColor="text1"/>
        </w:rPr>
        <w:t>, pointing out that an increase in the use of co</w:t>
      </w:r>
      <w:r w:rsidR="00012B73" w:rsidRPr="00755AB7">
        <w:rPr>
          <w:rFonts w:ascii="Arial" w:hAnsi="Arial" w:cs="Arial"/>
          <w:color w:val="000000" w:themeColor="text1"/>
        </w:rPr>
        <w:t xml:space="preserve">mpulsory </w:t>
      </w:r>
      <w:r w:rsidRPr="00755AB7">
        <w:rPr>
          <w:rFonts w:ascii="Arial" w:hAnsi="Arial" w:cs="Arial"/>
          <w:color w:val="000000" w:themeColor="text1"/>
        </w:rPr>
        <w:t xml:space="preserve">powers should be a cause for concern for professionals. </w:t>
      </w:r>
    </w:p>
    <w:p w14:paraId="10B47081" w14:textId="77777777" w:rsidR="003463AF" w:rsidRPr="00755AB7" w:rsidRDefault="003463AF">
      <w:pPr>
        <w:spacing w:line="480" w:lineRule="auto"/>
        <w:rPr>
          <w:rFonts w:ascii="Arial" w:hAnsi="Arial" w:cs="Arial"/>
          <w:color w:val="000000" w:themeColor="text1"/>
          <w:u w:val="single"/>
        </w:rPr>
      </w:pPr>
      <w:r w:rsidRPr="00755AB7">
        <w:rPr>
          <w:rFonts w:ascii="Arial" w:hAnsi="Arial" w:cs="Arial"/>
          <w:color w:val="000000" w:themeColor="text1"/>
          <w:u w:val="single"/>
        </w:rPr>
        <w:t xml:space="preserve">Greater number of social stressors </w:t>
      </w:r>
    </w:p>
    <w:p w14:paraId="20E36A6A" w14:textId="16DDE123" w:rsidR="003463AF" w:rsidRPr="00755AB7" w:rsidRDefault="003463AF">
      <w:pPr>
        <w:spacing w:line="480" w:lineRule="auto"/>
        <w:rPr>
          <w:rFonts w:ascii="Arial" w:hAnsi="Arial" w:cs="Arial"/>
          <w:color w:val="000000" w:themeColor="text1"/>
        </w:rPr>
      </w:pPr>
      <w:r w:rsidRPr="00755AB7">
        <w:rPr>
          <w:rFonts w:ascii="Arial" w:hAnsi="Arial" w:cs="Arial"/>
          <w:color w:val="000000" w:themeColor="text1"/>
        </w:rPr>
        <w:t>There was widespread belief among AMHPs that social problems and challenges were negatively impacting people’s mental health to a greater extent than had previously been the case. 69 percent (n=102/148) of survey respondents “strongly agreed” with the assertion that wider social issues had led to an increase in mental health problems among the general population. Within interviews AMHPs expressed their concern that many people were subject to increased social stressors such as experience of trauma, difficulty accessing benefits, problems associated with housing, addiction and social isolation, and were thus more reliant on services at precisely the time they seemed less able to meet people's needs. One interviewee described the local AMHP service as the "</w:t>
      </w:r>
      <w:r w:rsidRPr="00755AB7">
        <w:rPr>
          <w:rFonts w:ascii="Arial" w:hAnsi="Arial" w:cs="Arial"/>
          <w:i/>
          <w:iCs/>
          <w:color w:val="000000" w:themeColor="text1"/>
        </w:rPr>
        <w:t>last stop</w:t>
      </w:r>
      <w:r w:rsidRPr="00755AB7">
        <w:rPr>
          <w:rFonts w:ascii="Arial" w:hAnsi="Arial" w:cs="Arial"/>
          <w:color w:val="000000" w:themeColor="text1"/>
        </w:rPr>
        <w:t>" (Interviewee 1) for people unable to cope in this climate. Another AMHP questioned whether people experiencing difficulties as a result of pressures related to housing, immigration or the benefits system actually "</w:t>
      </w:r>
      <w:r w:rsidRPr="00755AB7">
        <w:rPr>
          <w:rFonts w:ascii="Arial" w:hAnsi="Arial" w:cs="Arial"/>
          <w:i/>
          <w:color w:val="000000" w:themeColor="text1"/>
        </w:rPr>
        <w:t>belong</w:t>
      </w:r>
      <w:r w:rsidRPr="00755AB7">
        <w:rPr>
          <w:rFonts w:ascii="Arial" w:hAnsi="Arial" w:cs="Arial"/>
          <w:color w:val="000000" w:themeColor="text1"/>
        </w:rPr>
        <w:t>" (Interviewee 2) in mental health services, raising concerns that socio-economic disadvantage is being </w:t>
      </w:r>
      <w:proofErr w:type="spellStart"/>
      <w:r w:rsidRPr="00755AB7">
        <w:rPr>
          <w:rFonts w:ascii="Arial" w:hAnsi="Arial" w:cs="Arial"/>
          <w:color w:val="000000" w:themeColor="text1"/>
        </w:rPr>
        <w:t>pathologised</w:t>
      </w:r>
      <w:proofErr w:type="spellEnd"/>
      <w:r w:rsidRPr="00755AB7">
        <w:rPr>
          <w:rFonts w:ascii="Arial" w:hAnsi="Arial" w:cs="Arial"/>
          <w:color w:val="000000" w:themeColor="text1"/>
        </w:rPr>
        <w:t> in a way which was neither appropriate nor effective. AMHPs that subscribed to this view felt that the solution to increased demand on services lay, at least in part, outside of mental health services in wider social policy.  </w:t>
      </w:r>
    </w:p>
    <w:p w14:paraId="21BB2F69" w14:textId="77777777" w:rsidR="003463AF" w:rsidRPr="00755AB7" w:rsidRDefault="003463AF">
      <w:pPr>
        <w:spacing w:line="480" w:lineRule="auto"/>
        <w:rPr>
          <w:rFonts w:ascii="Arial" w:hAnsi="Arial" w:cs="Arial"/>
          <w:color w:val="000000" w:themeColor="text1"/>
          <w:u w:val="single"/>
        </w:rPr>
      </w:pPr>
      <w:r w:rsidRPr="00755AB7">
        <w:rPr>
          <w:rFonts w:ascii="Arial" w:hAnsi="Arial" w:cs="Arial"/>
          <w:color w:val="000000" w:themeColor="text1"/>
          <w:u w:val="single"/>
        </w:rPr>
        <w:t xml:space="preserve">Overreliance on hospitalisation </w:t>
      </w:r>
    </w:p>
    <w:p w14:paraId="25169B80" w14:textId="77777777" w:rsidR="003463AF" w:rsidRPr="00755AB7" w:rsidRDefault="003463AF">
      <w:pPr>
        <w:spacing w:line="480" w:lineRule="auto"/>
        <w:rPr>
          <w:rFonts w:ascii="Arial" w:hAnsi="Arial" w:cs="Arial"/>
          <w:color w:val="000000" w:themeColor="text1"/>
        </w:rPr>
      </w:pPr>
      <w:r w:rsidRPr="00755AB7">
        <w:rPr>
          <w:rFonts w:ascii="Arial" w:hAnsi="Arial" w:cs="Arial"/>
          <w:color w:val="000000" w:themeColor="text1"/>
        </w:rPr>
        <w:t xml:space="preserve">There was agreement among AMHPs in both elements of the study that there is an overreliance on hospitalisation as a place of safety for people experiencing mental health </w:t>
      </w:r>
      <w:r w:rsidRPr="00755AB7">
        <w:rPr>
          <w:rFonts w:ascii="Arial" w:hAnsi="Arial" w:cs="Arial"/>
          <w:color w:val="000000" w:themeColor="text1"/>
        </w:rPr>
        <w:lastRenderedPageBreak/>
        <w:t>crises. Ninety percent (n=132/146) of surveyed AMHPs felt that there were not enough viable alternatives to hospital admission for them to consider during MHA assessments. This point was echoed equally strongly among AMHPs interviewed in the local service. They felt that there was a lack of “</w:t>
      </w:r>
      <w:r w:rsidRPr="00755AB7">
        <w:rPr>
          <w:rFonts w:ascii="Arial" w:hAnsi="Arial" w:cs="Arial"/>
          <w:i/>
          <w:color w:val="000000" w:themeColor="text1"/>
        </w:rPr>
        <w:t>intermediary measures between the community and hospital</w:t>
      </w:r>
      <w:r w:rsidRPr="00755AB7">
        <w:rPr>
          <w:rFonts w:ascii="Arial" w:hAnsi="Arial" w:cs="Arial"/>
          <w:color w:val="000000" w:themeColor="text1"/>
        </w:rPr>
        <w:t>” (Interviewee 2) and that the level of risk crisis teams were able to manage in the community was relatively low. This was attributed to insufficient resources which prevented crisis services from more assertive and frequent follow-up of patients. In addition, AMHPs felt that at the point at which patients could no longer be managed in the community, the only realistic option for them to consider was hospital admission (either via the MHA or 'informally'), irrespective of whether hospital was the most appropriate setting to address the crisis.  A majority of interviewed AMHPs commented that a lack of a "</w:t>
      </w:r>
      <w:r w:rsidRPr="00755AB7">
        <w:rPr>
          <w:rFonts w:ascii="Arial" w:hAnsi="Arial" w:cs="Arial"/>
          <w:i/>
          <w:color w:val="000000" w:themeColor="text1"/>
        </w:rPr>
        <w:t>third place</w:t>
      </w:r>
      <w:r w:rsidRPr="00755AB7">
        <w:rPr>
          <w:rFonts w:ascii="Arial" w:hAnsi="Arial" w:cs="Arial"/>
          <w:color w:val="000000" w:themeColor="text1"/>
        </w:rPr>
        <w:t xml:space="preserve">" (Interviewee 6) sitting between hospital and the community - such as a well-resourced crisis house - meant that hospital was often used as a 'last resort' for those posing a risk to themselves. In these circumstances it was felt that though successful in preventing further harm coming to the patient, hospital did not address the underlying cause of the crisis; but in lieu of alternatives, inpatient teams were tasked with responding regardless and consequently pressures on inpatient teams increased. </w:t>
      </w:r>
    </w:p>
    <w:p w14:paraId="6F58347F" w14:textId="77777777" w:rsidR="003463AF" w:rsidRPr="00755AB7" w:rsidRDefault="003463AF">
      <w:pPr>
        <w:spacing w:line="480" w:lineRule="auto"/>
        <w:rPr>
          <w:rFonts w:ascii="Arial" w:hAnsi="Arial" w:cs="Arial"/>
          <w:color w:val="000000" w:themeColor="text1"/>
          <w:u w:val="single"/>
        </w:rPr>
      </w:pPr>
      <w:r w:rsidRPr="00755AB7">
        <w:rPr>
          <w:rFonts w:ascii="Arial" w:hAnsi="Arial" w:cs="Arial"/>
          <w:color w:val="000000" w:themeColor="text1"/>
          <w:u w:val="single"/>
        </w:rPr>
        <w:t xml:space="preserve">Reduction in efficacy of hospital admission </w:t>
      </w:r>
    </w:p>
    <w:p w14:paraId="25E2D26A" w14:textId="46D71552" w:rsidR="003463AF" w:rsidRPr="00755AB7" w:rsidRDefault="003463AF">
      <w:pPr>
        <w:spacing w:line="480" w:lineRule="auto"/>
        <w:rPr>
          <w:rFonts w:ascii="Arial" w:hAnsi="Arial" w:cs="Arial"/>
          <w:color w:val="000000" w:themeColor="text1"/>
        </w:rPr>
      </w:pPr>
      <w:r w:rsidRPr="00755AB7">
        <w:rPr>
          <w:rFonts w:ascii="Arial" w:hAnsi="Arial" w:cs="Arial"/>
          <w:color w:val="000000" w:themeColor="text1"/>
        </w:rPr>
        <w:t>In addition to the system being over-reliant on hospitalisation, AMHPs also felt that the effectiveness of a hospital admission to support those in mental health crisis could be insufficient and had diminished over time. 79 percent (n=116/147) of AMHPs who responded to this survey question thought that those admitted to hospital under the MHA were </w:t>
      </w:r>
      <w:r w:rsidRPr="00755AB7">
        <w:rPr>
          <w:rFonts w:ascii="Arial" w:hAnsi="Arial" w:cs="Arial"/>
          <w:i/>
          <w:iCs/>
          <w:color w:val="000000" w:themeColor="text1"/>
        </w:rPr>
        <w:t>not</w:t>
      </w:r>
      <w:r w:rsidRPr="00755AB7">
        <w:rPr>
          <w:rFonts w:ascii="Arial" w:hAnsi="Arial" w:cs="Arial"/>
          <w:color w:val="000000" w:themeColor="text1"/>
        </w:rPr>
        <w:t xml:space="preserve"> given adequate time for treatment in hospital before being discharged, while 65 percent (n=95/147) observed that over the course of their careers a hospital admission had become less helpful to those in crisis than it once was. Among AMHPs in the local service a perceived paradox emerged in which admission to a psychiatric ward had become harder to obtain, whilst discharge was happening much more quickly than in the past: </w:t>
      </w:r>
    </w:p>
    <w:p w14:paraId="09AF041A" w14:textId="77777777" w:rsidR="003463AF" w:rsidRPr="00755AB7" w:rsidRDefault="003463AF">
      <w:pPr>
        <w:spacing w:line="480" w:lineRule="auto"/>
        <w:ind w:left="720"/>
        <w:rPr>
          <w:rFonts w:ascii="Arial" w:hAnsi="Arial" w:cs="Arial"/>
          <w:color w:val="000000" w:themeColor="text1"/>
        </w:rPr>
      </w:pPr>
      <w:r w:rsidRPr="00755AB7">
        <w:rPr>
          <w:rFonts w:ascii="Arial" w:hAnsi="Arial" w:cs="Arial"/>
          <w:color w:val="000000" w:themeColor="text1"/>
        </w:rPr>
        <w:lastRenderedPageBreak/>
        <w:t>"</w:t>
      </w:r>
      <w:r w:rsidRPr="00755AB7">
        <w:rPr>
          <w:rFonts w:ascii="Arial" w:hAnsi="Arial" w:cs="Arial"/>
          <w:i/>
          <w:iCs/>
          <w:color w:val="000000" w:themeColor="text1"/>
        </w:rPr>
        <w:t>It's a vicious cycle with rates of detention increasing, but then a shorter admission</w:t>
      </w:r>
      <w:r w:rsidRPr="00755AB7">
        <w:rPr>
          <w:rFonts w:ascii="Arial" w:hAnsi="Arial" w:cs="Arial"/>
          <w:color w:val="000000" w:themeColor="text1"/>
        </w:rPr>
        <w:t>. </w:t>
      </w:r>
      <w:r w:rsidRPr="00755AB7">
        <w:rPr>
          <w:rFonts w:ascii="Arial" w:hAnsi="Arial" w:cs="Arial"/>
          <w:i/>
          <w:iCs/>
          <w:color w:val="000000" w:themeColor="text1"/>
        </w:rPr>
        <w:t>People are being discharged when they're not even fully well”</w:t>
      </w:r>
      <w:r w:rsidRPr="00755AB7">
        <w:rPr>
          <w:rFonts w:ascii="Arial" w:hAnsi="Arial" w:cs="Arial"/>
          <w:color w:val="000000" w:themeColor="text1"/>
        </w:rPr>
        <w:t xml:space="preserve"> (Interviewee 1). </w:t>
      </w:r>
    </w:p>
    <w:p w14:paraId="1A3D19E3" w14:textId="0AA0ADC6" w:rsidR="003463AF" w:rsidRPr="00755AB7" w:rsidRDefault="003463AF">
      <w:pPr>
        <w:spacing w:line="480" w:lineRule="auto"/>
        <w:rPr>
          <w:rFonts w:ascii="Arial" w:hAnsi="Arial" w:cs="Arial"/>
          <w:color w:val="000000" w:themeColor="text1"/>
        </w:rPr>
      </w:pPr>
      <w:r w:rsidRPr="00755AB7">
        <w:rPr>
          <w:rFonts w:ascii="Arial" w:hAnsi="Arial" w:cs="Arial"/>
          <w:color w:val="000000" w:themeColor="text1"/>
        </w:rPr>
        <w:t>This comment was indicative of a belief among many AMHPs interviewed that due to bed pressures, inpatient teams were discharging patients prematurely, whilst their mental state was still unstable, and consequently many of these patients required readmission using the MHA just a short period after discharge –</w:t>
      </w:r>
      <w:r w:rsidR="005D6373" w:rsidRPr="00755AB7">
        <w:rPr>
          <w:rStyle w:val="normaltextrun"/>
          <w:rFonts w:ascii="Arial" w:hAnsi="Arial" w:cs="Arial"/>
          <w:color w:val="000000" w:themeColor="text1"/>
        </w:rPr>
        <w:t xml:space="preserve">thus contributing to an overall increase in recorded rates of compulsory admission. </w:t>
      </w:r>
      <w:r w:rsidRPr="00755AB7">
        <w:rPr>
          <w:rFonts w:ascii="Arial" w:hAnsi="Arial" w:cs="Arial"/>
          <w:color w:val="000000" w:themeColor="text1"/>
        </w:rPr>
        <w:t xml:space="preserve">Interviewed AMHPs also felt that the demands on their service was exacerbated by pressures in community teams which meant follow-up of patients post-discharge was not as effective as it otherwise could be. One AMHP suggested that a disproportionate amount of scrutiny was being placed on the number of people being detained and not enough on what happened to these people after their MHA Assessment: </w:t>
      </w:r>
    </w:p>
    <w:p w14:paraId="3516D509" w14:textId="77777777" w:rsidR="003463AF" w:rsidRPr="00755AB7" w:rsidRDefault="003463AF">
      <w:pPr>
        <w:spacing w:line="480" w:lineRule="auto"/>
        <w:ind w:left="720"/>
        <w:rPr>
          <w:rFonts w:ascii="Arial" w:hAnsi="Arial" w:cs="Arial"/>
          <w:color w:val="000000" w:themeColor="text1"/>
        </w:rPr>
      </w:pPr>
      <w:r w:rsidRPr="00755AB7">
        <w:rPr>
          <w:rFonts w:ascii="Arial" w:hAnsi="Arial" w:cs="Arial"/>
          <w:color w:val="000000" w:themeColor="text1"/>
        </w:rPr>
        <w:t>"</w:t>
      </w:r>
      <w:r w:rsidRPr="00755AB7">
        <w:rPr>
          <w:rFonts w:ascii="Arial" w:hAnsi="Arial" w:cs="Arial"/>
          <w:i/>
          <w:iCs/>
          <w:color w:val="000000" w:themeColor="text1"/>
        </w:rPr>
        <w:t>They can't refuse me a bed if I say I need one... Whereas once they're in there they've got pressure of discharging, because they've probably got targets...I think the threshold for keeping them in has lowered, rather than my threshold [for detaining them]"</w:t>
      </w:r>
      <w:r w:rsidRPr="00755AB7">
        <w:rPr>
          <w:rFonts w:ascii="Arial" w:hAnsi="Arial" w:cs="Arial"/>
          <w:color w:val="000000" w:themeColor="text1"/>
        </w:rPr>
        <w:t> (Interviewee 5).     </w:t>
      </w:r>
    </w:p>
    <w:p w14:paraId="47F77D41" w14:textId="77777777" w:rsidR="003463AF" w:rsidRPr="00755AB7" w:rsidRDefault="003463AF">
      <w:pPr>
        <w:spacing w:line="480" w:lineRule="auto"/>
        <w:rPr>
          <w:rFonts w:ascii="Arial" w:hAnsi="Arial" w:cs="Arial"/>
          <w:color w:val="000000" w:themeColor="text1"/>
        </w:rPr>
      </w:pPr>
      <w:r w:rsidRPr="00755AB7">
        <w:rPr>
          <w:rFonts w:ascii="Arial" w:hAnsi="Arial" w:cs="Arial"/>
          <w:color w:val="000000" w:themeColor="text1"/>
        </w:rPr>
        <w:t xml:space="preserve">This quote is also representative of AMHPs’ rejection of the notion that system pressures have led them to change their threshold for detaining patients, or indeed to practice under the assumption that detention is now a prerequisite to obtaining a psychiatric bed: </w:t>
      </w:r>
    </w:p>
    <w:p w14:paraId="7C8D0F49" w14:textId="77777777" w:rsidR="003463AF" w:rsidRPr="00755AB7" w:rsidRDefault="003463AF">
      <w:pPr>
        <w:spacing w:line="480" w:lineRule="auto"/>
        <w:ind w:firstLine="720"/>
        <w:rPr>
          <w:rFonts w:ascii="Arial" w:hAnsi="Arial" w:cs="Arial"/>
          <w:color w:val="000000" w:themeColor="text1"/>
        </w:rPr>
      </w:pPr>
      <w:r w:rsidRPr="00755AB7">
        <w:rPr>
          <w:rFonts w:ascii="Arial" w:hAnsi="Arial" w:cs="Arial"/>
          <w:color w:val="000000" w:themeColor="text1"/>
        </w:rPr>
        <w:t>“</w:t>
      </w:r>
      <w:r w:rsidRPr="00755AB7">
        <w:rPr>
          <w:rFonts w:ascii="Arial" w:hAnsi="Arial" w:cs="Arial"/>
          <w:i/>
          <w:iCs/>
          <w:color w:val="000000" w:themeColor="text1"/>
        </w:rPr>
        <w:t>The law remains the same. We only detain if the person needs it</w:t>
      </w:r>
      <w:r w:rsidRPr="00755AB7">
        <w:rPr>
          <w:rFonts w:ascii="Arial" w:hAnsi="Arial" w:cs="Arial"/>
          <w:color w:val="000000" w:themeColor="text1"/>
        </w:rPr>
        <w:t xml:space="preserve">” (Interviewee 3). </w:t>
      </w:r>
    </w:p>
    <w:p w14:paraId="4A905A35" w14:textId="5E3EF9AD" w:rsidR="003463AF" w:rsidRPr="00755AB7" w:rsidRDefault="003463AF">
      <w:pPr>
        <w:spacing w:line="480" w:lineRule="auto"/>
        <w:rPr>
          <w:rFonts w:ascii="Arial" w:hAnsi="Arial" w:cs="Arial"/>
          <w:color w:val="000000" w:themeColor="text1"/>
        </w:rPr>
      </w:pPr>
      <w:r w:rsidRPr="00755AB7">
        <w:rPr>
          <w:rFonts w:ascii="Arial" w:hAnsi="Arial" w:cs="Arial"/>
          <w:color w:val="000000" w:themeColor="text1"/>
        </w:rPr>
        <w:t xml:space="preserve">However, although AMHPs </w:t>
      </w:r>
      <w:r w:rsidR="00C95C12">
        <w:rPr>
          <w:rFonts w:ascii="Arial" w:hAnsi="Arial" w:cs="Arial"/>
          <w:color w:val="000000" w:themeColor="text1"/>
        </w:rPr>
        <w:t xml:space="preserve">felt </w:t>
      </w:r>
      <w:r w:rsidRPr="00755AB7">
        <w:rPr>
          <w:rFonts w:ascii="Arial" w:hAnsi="Arial" w:cs="Arial"/>
          <w:color w:val="000000" w:themeColor="text1"/>
        </w:rPr>
        <w:t>their own practice ha</w:t>
      </w:r>
      <w:r w:rsidR="00C95C12">
        <w:rPr>
          <w:rFonts w:ascii="Arial" w:hAnsi="Arial" w:cs="Arial"/>
          <w:color w:val="000000" w:themeColor="text1"/>
        </w:rPr>
        <w:t>d</w:t>
      </w:r>
      <w:r w:rsidRPr="00755AB7">
        <w:rPr>
          <w:rFonts w:ascii="Arial" w:hAnsi="Arial" w:cs="Arial"/>
          <w:color w:val="000000" w:themeColor="text1"/>
        </w:rPr>
        <w:t xml:space="preserve"> remained consistent in the face of growing demand, they </w:t>
      </w:r>
      <w:r w:rsidR="00C95C12">
        <w:rPr>
          <w:rFonts w:ascii="Arial" w:hAnsi="Arial" w:cs="Arial"/>
          <w:color w:val="000000" w:themeColor="text1"/>
        </w:rPr>
        <w:t xml:space="preserve">did </w:t>
      </w:r>
      <w:r w:rsidRPr="00755AB7">
        <w:rPr>
          <w:rFonts w:ascii="Arial" w:hAnsi="Arial" w:cs="Arial"/>
          <w:color w:val="000000" w:themeColor="text1"/>
        </w:rPr>
        <w:t>acknowledge, tacitly, that this might not be the case for all of their colleagues.   </w:t>
      </w:r>
    </w:p>
    <w:p w14:paraId="5912B21D" w14:textId="77777777" w:rsidR="003463AF" w:rsidRPr="00755AB7" w:rsidRDefault="003463AF">
      <w:pPr>
        <w:spacing w:line="480" w:lineRule="auto"/>
        <w:rPr>
          <w:rFonts w:ascii="Arial" w:hAnsi="Arial" w:cs="Arial"/>
          <w:color w:val="000000" w:themeColor="text1"/>
        </w:rPr>
      </w:pPr>
    </w:p>
    <w:p w14:paraId="40FF92B8" w14:textId="1C0A56BD" w:rsidR="007C2BE0" w:rsidRPr="00755AB7" w:rsidRDefault="007C2BE0">
      <w:pPr>
        <w:spacing w:line="480" w:lineRule="auto"/>
        <w:rPr>
          <w:rFonts w:ascii="Arial" w:hAnsi="Arial" w:cs="Arial"/>
          <w:color w:val="000000" w:themeColor="text1"/>
          <w:u w:val="single"/>
        </w:rPr>
      </w:pPr>
      <w:r w:rsidRPr="00755AB7">
        <w:rPr>
          <w:rFonts w:ascii="Arial" w:hAnsi="Arial" w:cs="Arial"/>
          <w:color w:val="000000" w:themeColor="text1"/>
          <w:u w:val="single"/>
        </w:rPr>
        <w:t>Attitudes towards potential reform of the MHA</w:t>
      </w:r>
    </w:p>
    <w:p w14:paraId="27AC84D9" w14:textId="20355607" w:rsidR="007C2BE0" w:rsidRPr="00755AB7" w:rsidRDefault="007C2BE0">
      <w:pPr>
        <w:spacing w:line="480" w:lineRule="auto"/>
        <w:rPr>
          <w:rFonts w:ascii="Arial" w:hAnsi="Arial" w:cs="Arial"/>
          <w:color w:val="000000" w:themeColor="text1"/>
        </w:rPr>
      </w:pPr>
      <w:r w:rsidRPr="00755AB7">
        <w:rPr>
          <w:rFonts w:ascii="Arial" w:hAnsi="Arial" w:cs="Arial"/>
          <w:color w:val="000000" w:themeColor="text1"/>
        </w:rPr>
        <w:lastRenderedPageBreak/>
        <w:t>Views on whether reforming the MHA would be an effective</w:t>
      </w:r>
      <w:r w:rsidR="004662F4" w:rsidRPr="00755AB7">
        <w:rPr>
          <w:rFonts w:ascii="Arial" w:hAnsi="Arial" w:cs="Arial"/>
          <w:color w:val="000000" w:themeColor="text1"/>
        </w:rPr>
        <w:t xml:space="preserve"> </w:t>
      </w:r>
      <w:r w:rsidRPr="00755AB7">
        <w:rPr>
          <w:rFonts w:ascii="Arial" w:hAnsi="Arial" w:cs="Arial"/>
          <w:color w:val="000000" w:themeColor="text1"/>
        </w:rPr>
        <w:t>or desirable</w:t>
      </w:r>
      <w:r w:rsidR="004662F4" w:rsidRPr="00755AB7">
        <w:rPr>
          <w:rFonts w:ascii="Arial" w:hAnsi="Arial" w:cs="Arial"/>
          <w:color w:val="000000" w:themeColor="text1"/>
        </w:rPr>
        <w:t xml:space="preserve"> </w:t>
      </w:r>
      <w:r w:rsidRPr="00755AB7">
        <w:rPr>
          <w:rFonts w:ascii="Arial" w:hAnsi="Arial" w:cs="Arial"/>
          <w:color w:val="000000" w:themeColor="text1"/>
        </w:rPr>
        <w:t>way to reduce detentions were mixed. Surveyed AMHPs were largely undecided on this question</w:t>
      </w:r>
      <w:r w:rsidR="001F4D65" w:rsidRPr="00755AB7">
        <w:rPr>
          <w:rFonts w:ascii="Arial" w:hAnsi="Arial" w:cs="Arial"/>
          <w:color w:val="000000" w:themeColor="text1"/>
        </w:rPr>
        <w:t>:</w:t>
      </w:r>
      <w:r w:rsidRPr="00755AB7">
        <w:rPr>
          <w:rFonts w:ascii="Arial" w:hAnsi="Arial" w:cs="Arial"/>
          <w:color w:val="000000" w:themeColor="text1"/>
        </w:rPr>
        <w:t xml:space="preserve"> 30 percent (n=45</w:t>
      </w:r>
      <w:r w:rsidR="006E1CDE" w:rsidRPr="00755AB7">
        <w:rPr>
          <w:rFonts w:ascii="Arial" w:hAnsi="Arial" w:cs="Arial"/>
          <w:color w:val="000000" w:themeColor="text1"/>
        </w:rPr>
        <w:t>/</w:t>
      </w:r>
      <w:r w:rsidR="0086641F" w:rsidRPr="00755AB7">
        <w:rPr>
          <w:rFonts w:ascii="Arial" w:hAnsi="Arial" w:cs="Arial"/>
          <w:color w:val="000000" w:themeColor="text1"/>
        </w:rPr>
        <w:t>149</w:t>
      </w:r>
      <w:r w:rsidRPr="00755AB7">
        <w:rPr>
          <w:rFonts w:ascii="Arial" w:hAnsi="Arial" w:cs="Arial"/>
          <w:color w:val="000000" w:themeColor="text1"/>
        </w:rPr>
        <w:t>) of respondents, the highest number in any</w:t>
      </w:r>
      <w:r w:rsidR="00C4490B" w:rsidRPr="00755AB7">
        <w:rPr>
          <w:rFonts w:ascii="Arial" w:hAnsi="Arial" w:cs="Arial"/>
          <w:color w:val="000000" w:themeColor="text1"/>
        </w:rPr>
        <w:t xml:space="preserve"> single</w:t>
      </w:r>
      <w:r w:rsidRPr="00755AB7">
        <w:rPr>
          <w:rFonts w:ascii="Arial" w:hAnsi="Arial" w:cs="Arial"/>
          <w:color w:val="000000" w:themeColor="text1"/>
        </w:rPr>
        <w:t xml:space="preserve"> category, stated they neither agreed </w:t>
      </w:r>
      <w:r w:rsidR="001F4D65" w:rsidRPr="00755AB7">
        <w:rPr>
          <w:rFonts w:ascii="Arial" w:hAnsi="Arial" w:cs="Arial"/>
          <w:color w:val="000000" w:themeColor="text1"/>
        </w:rPr>
        <w:t>n</w:t>
      </w:r>
      <w:r w:rsidRPr="00755AB7">
        <w:rPr>
          <w:rFonts w:ascii="Arial" w:hAnsi="Arial" w:cs="Arial"/>
          <w:color w:val="000000" w:themeColor="text1"/>
        </w:rPr>
        <w:t>or disagreed with the notion that reforming the MHA would be an effective way of reducing detentions</w:t>
      </w:r>
      <w:r w:rsidR="00736DDB" w:rsidRPr="00755AB7">
        <w:rPr>
          <w:rFonts w:ascii="Arial" w:hAnsi="Arial" w:cs="Arial"/>
          <w:color w:val="000000" w:themeColor="text1"/>
        </w:rPr>
        <w:t>, 29 percent (n=43/149) either strongly or somewhat agreed</w:t>
      </w:r>
      <w:r w:rsidR="00622A3C" w:rsidRPr="00755AB7">
        <w:rPr>
          <w:rFonts w:ascii="Arial" w:hAnsi="Arial" w:cs="Arial"/>
          <w:color w:val="000000" w:themeColor="text1"/>
        </w:rPr>
        <w:t xml:space="preserve"> (combined)</w:t>
      </w:r>
      <w:r w:rsidR="00736DDB" w:rsidRPr="00755AB7">
        <w:rPr>
          <w:rFonts w:ascii="Arial" w:hAnsi="Arial" w:cs="Arial"/>
          <w:color w:val="000000" w:themeColor="text1"/>
        </w:rPr>
        <w:t xml:space="preserve"> and 41 percent (n=51/149) either strongly or somewhat disagreed. </w:t>
      </w:r>
      <w:r w:rsidRPr="00755AB7">
        <w:rPr>
          <w:rFonts w:ascii="Arial" w:hAnsi="Arial" w:cs="Arial"/>
          <w:color w:val="000000" w:themeColor="text1"/>
        </w:rPr>
        <w:t>27 percent</w:t>
      </w:r>
      <w:r w:rsidR="00736DDB" w:rsidRPr="00755AB7">
        <w:rPr>
          <w:rFonts w:ascii="Arial" w:hAnsi="Arial" w:cs="Arial"/>
          <w:color w:val="000000" w:themeColor="text1"/>
        </w:rPr>
        <w:t xml:space="preserve"> meanwhile</w:t>
      </w:r>
      <w:r w:rsidRPr="00755AB7">
        <w:rPr>
          <w:rFonts w:ascii="Arial" w:hAnsi="Arial" w:cs="Arial"/>
          <w:color w:val="000000" w:themeColor="text1"/>
        </w:rPr>
        <w:t xml:space="preserve"> (n=40</w:t>
      </w:r>
      <w:r w:rsidR="006E1CDE" w:rsidRPr="00755AB7">
        <w:rPr>
          <w:rFonts w:ascii="Arial" w:hAnsi="Arial" w:cs="Arial"/>
          <w:color w:val="000000" w:themeColor="text1"/>
        </w:rPr>
        <w:t>/</w:t>
      </w:r>
      <w:r w:rsidR="0086641F" w:rsidRPr="00755AB7">
        <w:rPr>
          <w:rFonts w:ascii="Arial" w:hAnsi="Arial" w:cs="Arial"/>
          <w:color w:val="000000" w:themeColor="text1"/>
        </w:rPr>
        <w:t>148</w:t>
      </w:r>
      <w:r w:rsidRPr="00755AB7">
        <w:rPr>
          <w:rFonts w:ascii="Arial" w:hAnsi="Arial" w:cs="Arial"/>
          <w:color w:val="000000" w:themeColor="text1"/>
        </w:rPr>
        <w:t xml:space="preserve">) </w:t>
      </w:r>
      <w:r w:rsidR="00736DDB" w:rsidRPr="00755AB7">
        <w:rPr>
          <w:rFonts w:ascii="Arial" w:hAnsi="Arial" w:cs="Arial"/>
          <w:color w:val="000000" w:themeColor="text1"/>
        </w:rPr>
        <w:t>neither agreed nor disagreed with the notion that reforming the MHA was desirable, whilst 34 percent (n=50/148) strongly or somewhat agreed and 39 percent (n=58/148) strongly or somewhat disagreed with this premise</w:t>
      </w:r>
      <w:r w:rsidRPr="00755AB7">
        <w:rPr>
          <w:rFonts w:ascii="Arial" w:hAnsi="Arial" w:cs="Arial"/>
          <w:color w:val="000000" w:themeColor="text1"/>
        </w:rPr>
        <w:t xml:space="preserve">. Among AMHPs in the local service however, there was </w:t>
      </w:r>
      <w:r w:rsidR="001F4D65" w:rsidRPr="00755AB7">
        <w:rPr>
          <w:rFonts w:ascii="Arial" w:hAnsi="Arial" w:cs="Arial"/>
          <w:color w:val="000000" w:themeColor="text1"/>
        </w:rPr>
        <w:t xml:space="preserve">a </w:t>
      </w:r>
      <w:r w:rsidRPr="00755AB7">
        <w:rPr>
          <w:rFonts w:ascii="Arial" w:hAnsi="Arial" w:cs="Arial"/>
          <w:color w:val="000000" w:themeColor="text1"/>
        </w:rPr>
        <w:t xml:space="preserve">clear consensus against </w:t>
      </w:r>
      <w:r w:rsidR="005E0A73" w:rsidRPr="00755AB7">
        <w:rPr>
          <w:rFonts w:ascii="Arial" w:hAnsi="Arial" w:cs="Arial"/>
          <w:color w:val="000000" w:themeColor="text1"/>
        </w:rPr>
        <w:t>reforming legislation</w:t>
      </w:r>
      <w:r w:rsidR="001F4D65" w:rsidRPr="00755AB7">
        <w:rPr>
          <w:rFonts w:ascii="Arial" w:hAnsi="Arial" w:cs="Arial"/>
          <w:color w:val="000000" w:themeColor="text1"/>
        </w:rPr>
        <w:t xml:space="preserve"> with most </w:t>
      </w:r>
      <w:r w:rsidRPr="00755AB7">
        <w:rPr>
          <w:rFonts w:ascii="Arial" w:hAnsi="Arial" w:cs="Arial"/>
          <w:color w:val="000000" w:themeColor="text1"/>
        </w:rPr>
        <w:t xml:space="preserve">AMHPs </w:t>
      </w:r>
      <w:r w:rsidR="001F4D65" w:rsidRPr="00755AB7">
        <w:rPr>
          <w:rFonts w:ascii="Arial" w:hAnsi="Arial" w:cs="Arial"/>
          <w:color w:val="000000" w:themeColor="text1"/>
        </w:rPr>
        <w:t xml:space="preserve">arguing that </w:t>
      </w:r>
      <w:r w:rsidRPr="00755AB7">
        <w:rPr>
          <w:rFonts w:ascii="Arial" w:hAnsi="Arial" w:cs="Arial"/>
          <w:color w:val="000000" w:themeColor="text1"/>
        </w:rPr>
        <w:t>the MHA worked well and was not in need of change. Rather than reform of the Act most of these AMHPs stated they would rather see more resources allocated to mental health services and more efficient working between the different agencies involved in delivering these services. AMHPs of this view acknowledged that minor improvements could be made</w:t>
      </w:r>
      <w:r w:rsidR="00AC46B5">
        <w:rPr>
          <w:rFonts w:ascii="Arial" w:hAnsi="Arial" w:cs="Arial"/>
          <w:color w:val="000000" w:themeColor="text1"/>
        </w:rPr>
        <w:t xml:space="preserve"> to the Act</w:t>
      </w:r>
      <w:r w:rsidRPr="00755AB7">
        <w:rPr>
          <w:rFonts w:ascii="Arial" w:hAnsi="Arial" w:cs="Arial"/>
          <w:color w:val="000000" w:themeColor="text1"/>
        </w:rPr>
        <w:t xml:space="preserve"> (such as modernisation of the Nearest Relative rule</w:t>
      </w:r>
      <w:r w:rsidR="005E0A73" w:rsidRPr="00755AB7">
        <w:rPr>
          <w:rFonts w:ascii="Arial" w:hAnsi="Arial" w:cs="Arial"/>
          <w:color w:val="000000" w:themeColor="text1"/>
        </w:rPr>
        <w:t xml:space="preserve"> that </w:t>
      </w:r>
      <w:r w:rsidRPr="00755AB7">
        <w:rPr>
          <w:rFonts w:ascii="Arial" w:hAnsi="Arial" w:cs="Arial"/>
          <w:color w:val="000000" w:themeColor="text1"/>
        </w:rPr>
        <w:t>determines which of a patient’s relatives holds certain rights under the MHA), but they d</w:t>
      </w:r>
      <w:r w:rsidR="005E0A73" w:rsidRPr="00755AB7">
        <w:rPr>
          <w:rFonts w:ascii="Arial" w:hAnsi="Arial" w:cs="Arial"/>
          <w:color w:val="000000" w:themeColor="text1"/>
        </w:rPr>
        <w:t>id</w:t>
      </w:r>
      <w:r w:rsidRPr="00755AB7">
        <w:rPr>
          <w:rFonts w:ascii="Arial" w:hAnsi="Arial" w:cs="Arial"/>
          <w:color w:val="000000" w:themeColor="text1"/>
        </w:rPr>
        <w:t xml:space="preserve"> not envisage that these changes would have a substantial effect on detention rates. </w:t>
      </w:r>
    </w:p>
    <w:p w14:paraId="207130CE" w14:textId="77777777" w:rsidR="007C2BE0" w:rsidRPr="00755AB7" w:rsidRDefault="007C2BE0">
      <w:pPr>
        <w:spacing w:line="480" w:lineRule="auto"/>
        <w:rPr>
          <w:rFonts w:ascii="Arial" w:hAnsi="Arial" w:cs="Arial"/>
          <w:color w:val="000000" w:themeColor="text1"/>
        </w:rPr>
      </w:pPr>
      <w:r w:rsidRPr="00755AB7">
        <w:rPr>
          <w:rFonts w:ascii="Arial" w:hAnsi="Arial" w:cs="Arial"/>
          <w:color w:val="000000" w:themeColor="text1"/>
        </w:rPr>
        <w:t xml:space="preserve">A small number of interviewees were suspicious of the Government's motivations for reform of the MHA. These AMHPs feared that focusing on the MHA as a cause of rising detention rates, rather than mental health service provision more broadly, could be used as a cynical justification for not increasing spending on mental health and even as a means of removing clinical judgement as the primary means in determining whether detention is required from the legislation entirely. There were also fears among interviewed AMHPs that reform of the MHA could raise the bar for admissions still further - meaning that some patients who now meet the detention threshold, would not in future. Generally, interviewees felt the MHA worked reasonably well, but that services were not properly resourced and that inter-agency </w:t>
      </w:r>
      <w:r w:rsidRPr="00755AB7">
        <w:rPr>
          <w:rFonts w:ascii="Arial" w:hAnsi="Arial" w:cs="Arial"/>
          <w:color w:val="000000" w:themeColor="text1"/>
        </w:rPr>
        <w:lastRenderedPageBreak/>
        <w:t>working – particularly between mental health services and the police – was poor and inefficient.    </w:t>
      </w:r>
    </w:p>
    <w:p w14:paraId="6250A557" w14:textId="2D7BB818" w:rsidR="00B6375F" w:rsidRPr="00755AB7" w:rsidRDefault="007C2BE0">
      <w:pPr>
        <w:spacing w:line="480" w:lineRule="auto"/>
        <w:rPr>
          <w:rFonts w:ascii="Arial" w:hAnsi="Arial" w:cs="Arial"/>
          <w:color w:val="000000" w:themeColor="text1"/>
        </w:rPr>
      </w:pPr>
      <w:r w:rsidRPr="00755AB7">
        <w:rPr>
          <w:rFonts w:ascii="Arial" w:hAnsi="Arial" w:cs="Arial"/>
          <w:color w:val="000000" w:themeColor="text1"/>
        </w:rPr>
        <w:t>Though opposed to reform</w:t>
      </w:r>
      <w:r w:rsidR="00D00569" w:rsidRPr="00755AB7">
        <w:rPr>
          <w:rFonts w:ascii="Arial" w:hAnsi="Arial" w:cs="Arial"/>
          <w:color w:val="000000" w:themeColor="text1"/>
        </w:rPr>
        <w:t>,</w:t>
      </w:r>
      <w:r w:rsidRPr="00755AB7">
        <w:rPr>
          <w:rFonts w:ascii="Arial" w:hAnsi="Arial" w:cs="Arial"/>
          <w:color w:val="000000" w:themeColor="text1"/>
        </w:rPr>
        <w:t xml:space="preserve"> interviewed AMHPs felt that if legislative changes were to happen they would have to be radical to have the required impact.  One interviewee was in favour of such reform. Their </w:t>
      </w:r>
      <w:r w:rsidR="00BE77B8" w:rsidRPr="00755AB7">
        <w:rPr>
          <w:rFonts w:ascii="Arial" w:hAnsi="Arial" w:cs="Arial"/>
          <w:color w:val="000000" w:themeColor="text1"/>
        </w:rPr>
        <w:t xml:space="preserve">argument </w:t>
      </w:r>
      <w:r w:rsidRPr="00755AB7">
        <w:rPr>
          <w:rFonts w:ascii="Arial" w:hAnsi="Arial" w:cs="Arial"/>
          <w:color w:val="000000" w:themeColor="text1"/>
        </w:rPr>
        <w:t xml:space="preserve">was that currently the MHA is too prescriptive and creates too much bureaucracy and in order to address these issues and alter the way services </w:t>
      </w:r>
      <w:r w:rsidR="005E0A73" w:rsidRPr="00755AB7">
        <w:rPr>
          <w:rFonts w:ascii="Arial" w:hAnsi="Arial" w:cs="Arial"/>
          <w:color w:val="000000" w:themeColor="text1"/>
        </w:rPr>
        <w:t>work</w:t>
      </w:r>
      <w:r w:rsidRPr="00755AB7">
        <w:rPr>
          <w:rFonts w:ascii="Arial" w:hAnsi="Arial" w:cs="Arial"/>
          <w:color w:val="000000" w:themeColor="text1"/>
        </w:rPr>
        <w:t xml:space="preserve"> in practice, change would have to be mandated: </w:t>
      </w:r>
    </w:p>
    <w:p w14:paraId="316A1C9D" w14:textId="0BD76BD6" w:rsidR="007C2BE0" w:rsidRPr="00755AB7" w:rsidRDefault="007C2BE0">
      <w:pPr>
        <w:spacing w:line="480" w:lineRule="auto"/>
        <w:ind w:left="720"/>
        <w:rPr>
          <w:rFonts w:ascii="Arial" w:hAnsi="Arial" w:cs="Arial"/>
          <w:color w:val="000000" w:themeColor="text1"/>
        </w:rPr>
      </w:pPr>
      <w:r w:rsidRPr="00755AB7">
        <w:rPr>
          <w:rFonts w:ascii="Arial" w:hAnsi="Arial" w:cs="Arial"/>
          <w:color w:val="000000" w:themeColor="text1"/>
        </w:rPr>
        <w:t>"</w:t>
      </w:r>
      <w:r w:rsidRPr="00755AB7">
        <w:rPr>
          <w:rFonts w:ascii="Arial" w:hAnsi="Arial" w:cs="Arial"/>
          <w:i/>
          <w:iCs/>
          <w:color w:val="000000" w:themeColor="text1"/>
        </w:rPr>
        <w:t>I think where we're at, to reduce detentions</w:t>
      </w:r>
      <w:r w:rsidR="005E0A73" w:rsidRPr="00755AB7">
        <w:rPr>
          <w:rFonts w:ascii="Arial" w:hAnsi="Arial" w:cs="Arial"/>
          <w:i/>
          <w:iCs/>
          <w:color w:val="000000" w:themeColor="text1"/>
        </w:rPr>
        <w:t>,</w:t>
      </w:r>
      <w:r w:rsidRPr="00755AB7">
        <w:rPr>
          <w:rFonts w:ascii="Arial" w:hAnsi="Arial" w:cs="Arial"/>
          <w:i/>
          <w:iCs/>
          <w:color w:val="000000" w:themeColor="text1"/>
        </w:rPr>
        <w:t xml:space="preserve"> you have to change the legislation</w:t>
      </w:r>
      <w:r w:rsidRPr="00755AB7">
        <w:rPr>
          <w:rFonts w:ascii="Arial" w:hAnsi="Arial" w:cs="Arial"/>
          <w:color w:val="000000" w:themeColor="text1"/>
        </w:rPr>
        <w:t>" (Interviewee 6).     </w:t>
      </w:r>
    </w:p>
    <w:p w14:paraId="4ED87B57" w14:textId="41D0B20F" w:rsidR="007C2BE0" w:rsidRPr="00755AB7" w:rsidRDefault="007C2BE0">
      <w:pPr>
        <w:spacing w:line="480" w:lineRule="auto"/>
        <w:rPr>
          <w:rFonts w:ascii="Arial" w:hAnsi="Arial" w:cs="Arial"/>
          <w:color w:val="000000" w:themeColor="text1"/>
        </w:rPr>
      </w:pPr>
      <w:r w:rsidRPr="00755AB7">
        <w:rPr>
          <w:rFonts w:ascii="Arial" w:hAnsi="Arial" w:cs="Arial"/>
          <w:color w:val="000000" w:themeColor="text1"/>
        </w:rPr>
        <w:t>Despite differing opinions on the wisdom of reform, a significant majority of AMHPs involved in this study - 92 percent (n=135</w:t>
      </w:r>
      <w:r w:rsidR="006E1CDE" w:rsidRPr="00755AB7">
        <w:rPr>
          <w:rFonts w:ascii="Arial" w:hAnsi="Arial" w:cs="Arial"/>
          <w:color w:val="000000" w:themeColor="text1"/>
        </w:rPr>
        <w:t>/</w:t>
      </w:r>
      <w:r w:rsidR="0086641F" w:rsidRPr="00755AB7">
        <w:rPr>
          <w:rFonts w:ascii="Arial" w:hAnsi="Arial" w:cs="Arial"/>
          <w:color w:val="000000" w:themeColor="text1"/>
        </w:rPr>
        <w:t>147</w:t>
      </w:r>
      <w:r w:rsidRPr="00755AB7">
        <w:rPr>
          <w:rFonts w:ascii="Arial" w:hAnsi="Arial" w:cs="Arial"/>
          <w:color w:val="000000" w:themeColor="text1"/>
        </w:rPr>
        <w:t xml:space="preserve">) of survey respondents and 5 out of 6 interviewed AMHPs - agreed that greater investment in community and preventative mental health services would be </w:t>
      </w:r>
      <w:r w:rsidRPr="00755AB7">
        <w:rPr>
          <w:rFonts w:ascii="Arial" w:hAnsi="Arial" w:cs="Arial"/>
          <w:i/>
          <w:color w:val="000000" w:themeColor="text1"/>
        </w:rPr>
        <w:t>as effective</w:t>
      </w:r>
      <w:r w:rsidRPr="00755AB7">
        <w:rPr>
          <w:rFonts w:ascii="Arial" w:hAnsi="Arial" w:cs="Arial"/>
          <w:color w:val="000000" w:themeColor="text1"/>
        </w:rPr>
        <w:t xml:space="preserve"> in reducing detentions as reforming the MHA. This opinion is likely informed by the belief held by 94 percent of survey respondents (n=139</w:t>
      </w:r>
      <w:r w:rsidR="006E1CDE" w:rsidRPr="00755AB7">
        <w:rPr>
          <w:rFonts w:ascii="Arial" w:hAnsi="Arial" w:cs="Arial"/>
          <w:color w:val="000000" w:themeColor="text1"/>
        </w:rPr>
        <w:t>/</w:t>
      </w:r>
      <w:r w:rsidR="0086641F" w:rsidRPr="00755AB7">
        <w:rPr>
          <w:rFonts w:ascii="Arial" w:hAnsi="Arial" w:cs="Arial"/>
          <w:color w:val="000000" w:themeColor="text1"/>
        </w:rPr>
        <w:t>148</w:t>
      </w:r>
      <w:r w:rsidRPr="00755AB7">
        <w:rPr>
          <w:rFonts w:ascii="Arial" w:hAnsi="Arial" w:cs="Arial"/>
          <w:color w:val="000000" w:themeColor="text1"/>
        </w:rPr>
        <w:t xml:space="preserve">) that the provision of mental health services has not kept pace with an increase in demand. In interviews AMHPs lamented a lack of resources at both ends of the spectrum, citing reductions in 'upstream' preventative services such as day centres and support workers, alongside inadequate provision at the acute-end – such as better-resourced crisis services and more non-medical ‘places of safety’. The implication from the AMHP perspective </w:t>
      </w:r>
      <w:r w:rsidR="001D3522" w:rsidRPr="00755AB7">
        <w:rPr>
          <w:rFonts w:ascii="Arial" w:hAnsi="Arial" w:cs="Arial"/>
          <w:color w:val="000000" w:themeColor="text1"/>
        </w:rPr>
        <w:t>wa</w:t>
      </w:r>
      <w:r w:rsidRPr="00755AB7">
        <w:rPr>
          <w:rFonts w:ascii="Arial" w:hAnsi="Arial" w:cs="Arial"/>
          <w:color w:val="000000" w:themeColor="text1"/>
        </w:rPr>
        <w:t xml:space="preserve">s clear: cuts to the former have directly contributed to increased demand on the latter and, as a result, acute-services, including AMHP teams, are struggling to cope. Interviewees recalled many instances where referrals for MHA assessments, though wholly appropriate at the time they were made, may have been avoidable </w:t>
      </w:r>
      <w:r w:rsidR="005D6373" w:rsidRPr="0013659D">
        <w:rPr>
          <w:rFonts w:ascii="Arial" w:hAnsi="Arial" w:cs="Arial"/>
          <w:color w:val="000000" w:themeColor="text1"/>
        </w:rPr>
        <w:t>had</w:t>
      </w:r>
      <w:r w:rsidR="005D6373" w:rsidRPr="00755AB7">
        <w:rPr>
          <w:rFonts w:ascii="Arial" w:hAnsi="Arial" w:cs="Arial"/>
          <w:color w:val="000000" w:themeColor="text1"/>
        </w:rPr>
        <w:t xml:space="preserve"> </w:t>
      </w:r>
      <w:r w:rsidR="00D3702E" w:rsidRPr="00755AB7">
        <w:rPr>
          <w:rFonts w:ascii="Arial" w:hAnsi="Arial" w:cs="Arial"/>
          <w:color w:val="000000" w:themeColor="text1"/>
        </w:rPr>
        <w:t xml:space="preserve">there been </w:t>
      </w:r>
      <w:r w:rsidRPr="00755AB7">
        <w:rPr>
          <w:rFonts w:ascii="Arial" w:hAnsi="Arial" w:cs="Arial"/>
          <w:color w:val="000000" w:themeColor="text1"/>
        </w:rPr>
        <w:t>earlier intervention. They felt that these experiences and the rise in people being detained under the MHA more generally "</w:t>
      </w:r>
      <w:r w:rsidRPr="00755AB7">
        <w:rPr>
          <w:rFonts w:ascii="Arial" w:hAnsi="Arial" w:cs="Arial"/>
          <w:i/>
          <w:iCs/>
          <w:color w:val="000000" w:themeColor="text1"/>
        </w:rPr>
        <w:t>poses lots of questions about whether we have the balance of services right</w:t>
      </w:r>
      <w:r w:rsidRPr="00755AB7">
        <w:rPr>
          <w:rFonts w:ascii="Arial" w:hAnsi="Arial" w:cs="Arial"/>
          <w:color w:val="000000" w:themeColor="text1"/>
        </w:rPr>
        <w:t>" (Interviewee 4).     </w:t>
      </w:r>
    </w:p>
    <w:p w14:paraId="100E509D" w14:textId="1353057E" w:rsidR="007C2BE0" w:rsidRPr="00755AB7" w:rsidRDefault="007C2BE0">
      <w:pPr>
        <w:spacing w:line="480" w:lineRule="auto"/>
        <w:rPr>
          <w:rFonts w:ascii="Arial" w:hAnsi="Arial" w:cs="Arial"/>
          <w:color w:val="000000" w:themeColor="text1"/>
        </w:rPr>
      </w:pPr>
      <w:r w:rsidRPr="00755AB7">
        <w:rPr>
          <w:rFonts w:ascii="Arial" w:hAnsi="Arial" w:cs="Arial"/>
          <w:color w:val="000000" w:themeColor="text1"/>
        </w:rPr>
        <w:lastRenderedPageBreak/>
        <w:t>  </w:t>
      </w:r>
    </w:p>
    <w:p w14:paraId="10374246" w14:textId="77777777" w:rsidR="007C2BE0" w:rsidRPr="00755AB7" w:rsidRDefault="007C2BE0">
      <w:pPr>
        <w:spacing w:line="480" w:lineRule="auto"/>
        <w:rPr>
          <w:rFonts w:ascii="Arial" w:hAnsi="Arial" w:cs="Arial"/>
          <w:b/>
          <w:color w:val="000000" w:themeColor="text1"/>
        </w:rPr>
      </w:pPr>
      <w:r w:rsidRPr="00755AB7">
        <w:rPr>
          <w:rFonts w:ascii="Arial" w:hAnsi="Arial" w:cs="Arial"/>
          <w:b/>
          <w:color w:val="000000" w:themeColor="text1"/>
          <w:u w:val="single"/>
        </w:rPr>
        <w:t>Discussion</w:t>
      </w:r>
      <w:bookmarkStart w:id="0" w:name="m_-4896109933297448681__msoanchor_1"/>
      <w:bookmarkEnd w:id="0"/>
    </w:p>
    <w:p w14:paraId="32F6237D" w14:textId="7679B81F" w:rsidR="007C2BE0" w:rsidRPr="00755AB7" w:rsidRDefault="0005339E">
      <w:pPr>
        <w:spacing w:line="480" w:lineRule="auto"/>
        <w:rPr>
          <w:rFonts w:ascii="Arial" w:hAnsi="Arial" w:cs="Arial"/>
          <w:color w:val="000000" w:themeColor="text1"/>
        </w:rPr>
      </w:pPr>
      <w:r w:rsidRPr="00755AB7">
        <w:rPr>
          <w:rFonts w:ascii="Arial" w:hAnsi="Arial" w:cs="Arial"/>
          <w:color w:val="000000" w:themeColor="text1"/>
        </w:rPr>
        <w:t>Th</w:t>
      </w:r>
      <w:r w:rsidR="004C45C2" w:rsidRPr="00755AB7">
        <w:rPr>
          <w:rFonts w:ascii="Arial" w:hAnsi="Arial" w:cs="Arial"/>
          <w:color w:val="000000" w:themeColor="text1"/>
        </w:rPr>
        <w:t xml:space="preserve">e </w:t>
      </w:r>
      <w:r w:rsidR="007C2BE0" w:rsidRPr="00755AB7">
        <w:rPr>
          <w:rFonts w:ascii="Arial" w:hAnsi="Arial" w:cs="Arial"/>
          <w:color w:val="000000" w:themeColor="text1"/>
        </w:rPr>
        <w:t>majority of AMHPs</w:t>
      </w:r>
      <w:r w:rsidR="004C45C2" w:rsidRPr="00755AB7">
        <w:rPr>
          <w:rFonts w:ascii="Arial" w:hAnsi="Arial" w:cs="Arial"/>
          <w:color w:val="000000" w:themeColor="text1"/>
        </w:rPr>
        <w:t xml:space="preserve"> in this study </w:t>
      </w:r>
      <w:r w:rsidR="007C2BE0" w:rsidRPr="00755AB7">
        <w:rPr>
          <w:rFonts w:ascii="Arial" w:hAnsi="Arial" w:cs="Arial"/>
          <w:color w:val="000000" w:themeColor="text1"/>
        </w:rPr>
        <w:t>recognise</w:t>
      </w:r>
      <w:r w:rsidR="004C45C2" w:rsidRPr="00755AB7">
        <w:rPr>
          <w:rFonts w:ascii="Arial" w:hAnsi="Arial" w:cs="Arial"/>
          <w:color w:val="000000" w:themeColor="text1"/>
        </w:rPr>
        <w:t>d</w:t>
      </w:r>
      <w:r w:rsidR="007C2BE0" w:rsidRPr="00755AB7">
        <w:rPr>
          <w:rFonts w:ascii="Arial" w:hAnsi="Arial" w:cs="Arial"/>
          <w:color w:val="000000" w:themeColor="text1"/>
        </w:rPr>
        <w:t xml:space="preserve"> the trend of increasing detentions under the MHA from their own practice; </w:t>
      </w:r>
      <w:r w:rsidR="004C45C2" w:rsidRPr="00755AB7">
        <w:rPr>
          <w:rFonts w:ascii="Arial" w:hAnsi="Arial" w:cs="Arial"/>
          <w:color w:val="000000" w:themeColor="text1"/>
        </w:rPr>
        <w:t>we</w:t>
      </w:r>
      <w:r w:rsidR="007C2BE0" w:rsidRPr="00755AB7">
        <w:rPr>
          <w:rFonts w:ascii="Arial" w:hAnsi="Arial" w:cs="Arial"/>
          <w:color w:val="000000" w:themeColor="text1"/>
        </w:rPr>
        <w:t xml:space="preserve">re worried about this development; and </w:t>
      </w:r>
      <w:r w:rsidR="004C45C2" w:rsidRPr="00755AB7">
        <w:rPr>
          <w:rFonts w:ascii="Arial" w:hAnsi="Arial" w:cs="Arial"/>
          <w:color w:val="000000" w:themeColor="text1"/>
        </w:rPr>
        <w:t xml:space="preserve">thought </w:t>
      </w:r>
      <w:r w:rsidR="007C2BE0" w:rsidRPr="00755AB7">
        <w:rPr>
          <w:rFonts w:ascii="Arial" w:hAnsi="Arial" w:cs="Arial"/>
          <w:color w:val="000000" w:themeColor="text1"/>
        </w:rPr>
        <w:t xml:space="preserve">that the Government </w:t>
      </w:r>
      <w:r w:rsidR="004C45C2" w:rsidRPr="00755AB7">
        <w:rPr>
          <w:rFonts w:ascii="Arial" w:hAnsi="Arial" w:cs="Arial"/>
          <w:color w:val="000000" w:themeColor="text1"/>
        </w:rPr>
        <w:t>wa</w:t>
      </w:r>
      <w:r w:rsidR="007C2BE0" w:rsidRPr="00755AB7">
        <w:rPr>
          <w:rFonts w:ascii="Arial" w:hAnsi="Arial" w:cs="Arial"/>
          <w:color w:val="000000" w:themeColor="text1"/>
        </w:rPr>
        <w:t xml:space="preserve">s right to try </w:t>
      </w:r>
      <w:r w:rsidR="004C45C2" w:rsidRPr="00755AB7">
        <w:rPr>
          <w:rFonts w:ascii="Arial" w:hAnsi="Arial" w:cs="Arial"/>
          <w:color w:val="000000" w:themeColor="text1"/>
        </w:rPr>
        <w:t xml:space="preserve">to </w:t>
      </w:r>
      <w:r w:rsidR="007C2BE0" w:rsidRPr="00755AB7">
        <w:rPr>
          <w:rFonts w:ascii="Arial" w:hAnsi="Arial" w:cs="Arial"/>
          <w:color w:val="000000" w:themeColor="text1"/>
        </w:rPr>
        <w:t xml:space="preserve">do something about </w:t>
      </w:r>
      <w:r w:rsidR="00193202" w:rsidRPr="00755AB7">
        <w:rPr>
          <w:rFonts w:ascii="Arial" w:hAnsi="Arial" w:cs="Arial"/>
          <w:color w:val="000000" w:themeColor="text1"/>
        </w:rPr>
        <w:t>it</w:t>
      </w:r>
      <w:r w:rsidR="007C2BE0" w:rsidRPr="00755AB7">
        <w:rPr>
          <w:rFonts w:ascii="Arial" w:hAnsi="Arial" w:cs="Arial"/>
          <w:color w:val="000000" w:themeColor="text1"/>
        </w:rPr>
        <w:t>. AMHPs were predominantly unsure whether changes to the MHA would be effective in reducing detentions</w:t>
      </w:r>
      <w:r w:rsidR="00193202" w:rsidRPr="00755AB7">
        <w:rPr>
          <w:rFonts w:ascii="Arial" w:hAnsi="Arial" w:cs="Arial"/>
          <w:color w:val="000000" w:themeColor="text1"/>
        </w:rPr>
        <w:t xml:space="preserve"> and </w:t>
      </w:r>
      <w:r w:rsidR="007C2BE0" w:rsidRPr="00755AB7">
        <w:rPr>
          <w:rFonts w:ascii="Arial" w:hAnsi="Arial" w:cs="Arial"/>
          <w:color w:val="000000" w:themeColor="text1"/>
        </w:rPr>
        <w:t xml:space="preserve">whether a reformed MHA that sought to reduce detentions would be an improvement on the </w:t>
      </w:r>
      <w:r w:rsidR="00193202" w:rsidRPr="00755AB7">
        <w:rPr>
          <w:rFonts w:ascii="Arial" w:hAnsi="Arial" w:cs="Arial"/>
          <w:color w:val="000000" w:themeColor="text1"/>
        </w:rPr>
        <w:t>existing Act</w:t>
      </w:r>
      <w:r w:rsidR="007C2BE0" w:rsidRPr="00755AB7">
        <w:rPr>
          <w:rFonts w:ascii="Arial" w:hAnsi="Arial" w:cs="Arial"/>
          <w:color w:val="000000" w:themeColor="text1"/>
        </w:rPr>
        <w:t xml:space="preserve">. </w:t>
      </w:r>
      <w:r w:rsidR="00193202" w:rsidRPr="00755AB7">
        <w:rPr>
          <w:rFonts w:ascii="Arial" w:hAnsi="Arial" w:cs="Arial"/>
          <w:color w:val="000000" w:themeColor="text1"/>
        </w:rPr>
        <w:t xml:space="preserve"> T</w:t>
      </w:r>
      <w:r w:rsidR="007C2BE0" w:rsidRPr="00755AB7">
        <w:rPr>
          <w:rFonts w:ascii="Arial" w:hAnsi="Arial" w:cs="Arial"/>
          <w:color w:val="000000" w:themeColor="text1"/>
        </w:rPr>
        <w:t>here was professional agreement on the problems that the AMHP service face –</w:t>
      </w:r>
      <w:r w:rsidR="00193202" w:rsidRPr="00755AB7">
        <w:rPr>
          <w:rFonts w:ascii="Arial" w:hAnsi="Arial" w:cs="Arial"/>
          <w:color w:val="000000" w:themeColor="text1"/>
        </w:rPr>
        <w:t xml:space="preserve"> </w:t>
      </w:r>
      <w:r w:rsidR="007C2BE0" w:rsidRPr="00755AB7">
        <w:rPr>
          <w:rFonts w:ascii="Arial" w:hAnsi="Arial" w:cs="Arial"/>
          <w:color w:val="000000" w:themeColor="text1"/>
        </w:rPr>
        <w:t xml:space="preserve">a rise in detentions </w:t>
      </w:r>
      <w:r w:rsidR="00193202" w:rsidRPr="00755AB7">
        <w:rPr>
          <w:rFonts w:ascii="Arial" w:hAnsi="Arial" w:cs="Arial"/>
          <w:color w:val="000000" w:themeColor="text1"/>
        </w:rPr>
        <w:t xml:space="preserve">being </w:t>
      </w:r>
      <w:r w:rsidR="007C2BE0" w:rsidRPr="00755AB7">
        <w:rPr>
          <w:rFonts w:ascii="Arial" w:hAnsi="Arial" w:cs="Arial"/>
          <w:color w:val="000000" w:themeColor="text1"/>
        </w:rPr>
        <w:t xml:space="preserve">just one </w:t>
      </w:r>
      <w:r w:rsidR="00193202" w:rsidRPr="00755AB7">
        <w:rPr>
          <w:rFonts w:ascii="Arial" w:hAnsi="Arial" w:cs="Arial"/>
          <w:color w:val="000000" w:themeColor="text1"/>
        </w:rPr>
        <w:t xml:space="preserve">of many </w:t>
      </w:r>
      <w:r w:rsidR="007C2BE0" w:rsidRPr="00755AB7">
        <w:rPr>
          <w:rFonts w:ascii="Arial" w:hAnsi="Arial" w:cs="Arial"/>
          <w:color w:val="000000" w:themeColor="text1"/>
        </w:rPr>
        <w:t>challenge</w:t>
      </w:r>
      <w:r w:rsidR="00193202" w:rsidRPr="00755AB7">
        <w:rPr>
          <w:rFonts w:ascii="Arial" w:hAnsi="Arial" w:cs="Arial"/>
          <w:color w:val="000000" w:themeColor="text1"/>
        </w:rPr>
        <w:t>s</w:t>
      </w:r>
      <w:r w:rsidR="007C2BE0" w:rsidRPr="00755AB7">
        <w:rPr>
          <w:rFonts w:ascii="Arial" w:hAnsi="Arial" w:cs="Arial"/>
          <w:color w:val="000000" w:themeColor="text1"/>
        </w:rPr>
        <w:t xml:space="preserve"> affecting AMHPs – but there was less consensus on the best way to address these problems. This is</w:t>
      </w:r>
      <w:r w:rsidR="0016488C" w:rsidRPr="00755AB7">
        <w:rPr>
          <w:rFonts w:ascii="Arial" w:hAnsi="Arial" w:cs="Arial"/>
          <w:color w:val="000000" w:themeColor="text1"/>
        </w:rPr>
        <w:t xml:space="preserve"> </w:t>
      </w:r>
      <w:r w:rsidR="007C2BE0" w:rsidRPr="00755AB7">
        <w:rPr>
          <w:rFonts w:ascii="Arial" w:hAnsi="Arial" w:cs="Arial"/>
          <w:color w:val="000000" w:themeColor="text1"/>
        </w:rPr>
        <w:t xml:space="preserve">to be expected. There is no silver-bullet solution that can </w:t>
      </w:r>
      <w:r w:rsidR="005D6373" w:rsidRPr="0013659D">
        <w:rPr>
          <w:rFonts w:ascii="Arial" w:hAnsi="Arial" w:cs="Arial"/>
          <w:color w:val="000000" w:themeColor="text1"/>
        </w:rPr>
        <w:t>solve all the problems</w:t>
      </w:r>
      <w:r w:rsidR="007C2BE0" w:rsidRPr="00755AB7">
        <w:rPr>
          <w:rFonts w:ascii="Arial" w:hAnsi="Arial" w:cs="Arial"/>
          <w:color w:val="000000" w:themeColor="text1"/>
        </w:rPr>
        <w:t xml:space="preserve"> of mental health services and we should be wary of suggestions to the contrary. </w:t>
      </w:r>
      <w:r w:rsidR="00C10053" w:rsidRPr="00755AB7">
        <w:rPr>
          <w:rFonts w:ascii="Arial" w:hAnsi="Arial" w:cs="Arial"/>
          <w:color w:val="000000" w:themeColor="text1"/>
        </w:rPr>
        <w:t xml:space="preserve">The </w:t>
      </w:r>
      <w:r w:rsidR="007C2BE0" w:rsidRPr="00755AB7">
        <w:rPr>
          <w:rFonts w:ascii="Arial" w:hAnsi="Arial" w:cs="Arial"/>
          <w:color w:val="000000" w:themeColor="text1"/>
        </w:rPr>
        <w:t xml:space="preserve">interim report </w:t>
      </w:r>
      <w:r w:rsidR="00C10053" w:rsidRPr="00755AB7">
        <w:rPr>
          <w:rFonts w:ascii="Arial" w:hAnsi="Arial" w:cs="Arial"/>
          <w:color w:val="000000" w:themeColor="text1"/>
        </w:rPr>
        <w:t xml:space="preserve">on </w:t>
      </w:r>
      <w:r w:rsidR="007C2BE0" w:rsidRPr="00755AB7">
        <w:rPr>
          <w:rFonts w:ascii="Arial" w:hAnsi="Arial" w:cs="Arial"/>
          <w:color w:val="000000" w:themeColor="text1"/>
        </w:rPr>
        <w:t>the Independent Review into the MHA</w:t>
      </w:r>
      <w:r w:rsidR="00193202" w:rsidRPr="00755AB7">
        <w:rPr>
          <w:rFonts w:ascii="Arial" w:hAnsi="Arial" w:cs="Arial"/>
          <w:color w:val="000000" w:themeColor="text1"/>
        </w:rPr>
        <w:t>, published after this study was concluded,</w:t>
      </w:r>
      <w:r w:rsidR="007C2BE0" w:rsidRPr="00755AB7">
        <w:rPr>
          <w:rFonts w:ascii="Arial" w:hAnsi="Arial" w:cs="Arial"/>
          <w:color w:val="000000" w:themeColor="text1"/>
        </w:rPr>
        <w:t xml:space="preserve"> ma</w:t>
      </w:r>
      <w:r w:rsidR="00193202" w:rsidRPr="00755AB7">
        <w:rPr>
          <w:rFonts w:ascii="Arial" w:hAnsi="Arial" w:cs="Arial"/>
          <w:color w:val="000000" w:themeColor="text1"/>
        </w:rPr>
        <w:t>d</w:t>
      </w:r>
      <w:r w:rsidR="007C2BE0" w:rsidRPr="00755AB7">
        <w:rPr>
          <w:rFonts w:ascii="Arial" w:hAnsi="Arial" w:cs="Arial"/>
          <w:color w:val="000000" w:themeColor="text1"/>
        </w:rPr>
        <w:t xml:space="preserve">e clear that </w:t>
      </w:r>
      <w:r w:rsidR="00193202" w:rsidRPr="00755AB7">
        <w:rPr>
          <w:rFonts w:ascii="Arial" w:hAnsi="Arial" w:cs="Arial"/>
          <w:color w:val="000000" w:themeColor="text1"/>
        </w:rPr>
        <w:t>‘t</w:t>
      </w:r>
      <w:r w:rsidR="007C2BE0" w:rsidRPr="00755AB7">
        <w:rPr>
          <w:rFonts w:ascii="Arial" w:hAnsi="Arial" w:cs="Arial"/>
          <w:color w:val="000000" w:themeColor="text1"/>
        </w:rPr>
        <w:t>he MHA cannot be viewed in isolation from the practical and legislative context in which it operates</w:t>
      </w:r>
      <w:r w:rsidR="00193202" w:rsidRPr="00755AB7">
        <w:rPr>
          <w:rFonts w:ascii="Arial" w:hAnsi="Arial" w:cs="Arial"/>
          <w:color w:val="000000" w:themeColor="text1"/>
        </w:rPr>
        <w:t>’</w:t>
      </w:r>
      <w:r w:rsidR="007C2BE0" w:rsidRPr="00755AB7">
        <w:rPr>
          <w:rFonts w:ascii="Arial" w:hAnsi="Arial" w:cs="Arial"/>
          <w:color w:val="000000" w:themeColor="text1"/>
        </w:rPr>
        <w:t xml:space="preserve"> and therefore improvements to services </w:t>
      </w:r>
      <w:r w:rsidR="00193202" w:rsidRPr="00755AB7">
        <w:rPr>
          <w:rFonts w:ascii="Arial" w:hAnsi="Arial" w:cs="Arial"/>
          <w:color w:val="000000" w:themeColor="text1"/>
        </w:rPr>
        <w:t>we</w:t>
      </w:r>
      <w:r w:rsidR="007C2BE0" w:rsidRPr="00755AB7">
        <w:rPr>
          <w:rFonts w:ascii="Arial" w:hAnsi="Arial" w:cs="Arial"/>
          <w:color w:val="000000" w:themeColor="text1"/>
        </w:rPr>
        <w:t xml:space="preserve">re </w:t>
      </w:r>
      <w:r w:rsidR="00193202" w:rsidRPr="00755AB7">
        <w:rPr>
          <w:rFonts w:ascii="Arial" w:hAnsi="Arial" w:cs="Arial"/>
          <w:color w:val="000000" w:themeColor="text1"/>
        </w:rPr>
        <w:t>‘</w:t>
      </w:r>
      <w:r w:rsidR="007C2BE0" w:rsidRPr="00755AB7">
        <w:rPr>
          <w:rFonts w:ascii="Arial" w:hAnsi="Arial" w:cs="Arial"/>
          <w:color w:val="000000" w:themeColor="text1"/>
        </w:rPr>
        <w:t>not going to be achieved by legislative means alone</w:t>
      </w:r>
      <w:r w:rsidR="00193202" w:rsidRPr="00755AB7">
        <w:rPr>
          <w:rFonts w:ascii="Arial" w:hAnsi="Arial" w:cs="Arial"/>
          <w:color w:val="000000" w:themeColor="text1"/>
        </w:rPr>
        <w:t>’</w:t>
      </w:r>
      <w:r w:rsidR="007C2BE0" w:rsidRPr="00755AB7">
        <w:rPr>
          <w:rFonts w:ascii="Arial" w:hAnsi="Arial" w:cs="Arial"/>
          <w:color w:val="000000" w:themeColor="text1"/>
        </w:rPr>
        <w:t xml:space="preserve"> (</w:t>
      </w:r>
      <w:proofErr w:type="spellStart"/>
      <w:r w:rsidRPr="00755AB7">
        <w:rPr>
          <w:rFonts w:ascii="Arial" w:hAnsi="Arial" w:cs="Arial"/>
          <w:color w:val="000000" w:themeColor="text1"/>
        </w:rPr>
        <w:t>Wessley</w:t>
      </w:r>
      <w:proofErr w:type="spellEnd"/>
      <w:r w:rsidRPr="00755AB7">
        <w:rPr>
          <w:rFonts w:ascii="Arial" w:hAnsi="Arial" w:cs="Arial"/>
          <w:color w:val="000000" w:themeColor="text1"/>
        </w:rPr>
        <w:t xml:space="preserve"> </w:t>
      </w:r>
      <w:r w:rsidRPr="00755AB7">
        <w:rPr>
          <w:rFonts w:ascii="Arial" w:hAnsi="Arial" w:cs="Arial"/>
          <w:i/>
          <w:color w:val="000000" w:themeColor="text1"/>
        </w:rPr>
        <w:t>et al</w:t>
      </w:r>
      <w:r w:rsidRPr="00755AB7">
        <w:rPr>
          <w:rFonts w:ascii="Arial" w:hAnsi="Arial" w:cs="Arial"/>
          <w:color w:val="000000" w:themeColor="text1"/>
        </w:rPr>
        <w:t>., 2018</w:t>
      </w:r>
      <w:r w:rsidR="00AA3D67" w:rsidRPr="00755AB7">
        <w:rPr>
          <w:rFonts w:ascii="Arial" w:hAnsi="Arial" w:cs="Arial"/>
          <w:color w:val="000000" w:themeColor="text1"/>
        </w:rPr>
        <w:t>a</w:t>
      </w:r>
      <w:r w:rsidR="00193202" w:rsidRPr="00755AB7">
        <w:rPr>
          <w:rFonts w:ascii="Arial" w:hAnsi="Arial" w:cs="Arial"/>
          <w:color w:val="000000" w:themeColor="text1"/>
        </w:rPr>
        <w:t>:</w:t>
      </w:r>
      <w:r w:rsidR="007C2BE0" w:rsidRPr="00755AB7">
        <w:rPr>
          <w:rFonts w:ascii="Arial" w:hAnsi="Arial" w:cs="Arial"/>
          <w:color w:val="000000" w:themeColor="text1"/>
        </w:rPr>
        <w:t> 7</w:t>
      </w:r>
      <w:r w:rsidRPr="00755AB7">
        <w:rPr>
          <w:rFonts w:ascii="Arial" w:hAnsi="Arial" w:cs="Arial"/>
          <w:color w:val="000000" w:themeColor="text1"/>
        </w:rPr>
        <w:t>-</w:t>
      </w:r>
      <w:r w:rsidR="007C2BE0" w:rsidRPr="00755AB7">
        <w:rPr>
          <w:rFonts w:ascii="Arial" w:hAnsi="Arial" w:cs="Arial"/>
          <w:color w:val="000000" w:themeColor="text1"/>
        </w:rPr>
        <w:t>8). </w:t>
      </w:r>
    </w:p>
    <w:p w14:paraId="27BC44C2" w14:textId="02206FFD" w:rsidR="007C2BE0" w:rsidRPr="00755AB7" w:rsidRDefault="007C2BE0">
      <w:pPr>
        <w:spacing w:line="480" w:lineRule="auto"/>
        <w:rPr>
          <w:rFonts w:ascii="Arial" w:hAnsi="Arial" w:cs="Arial"/>
          <w:color w:val="000000" w:themeColor="text1"/>
        </w:rPr>
      </w:pPr>
      <w:r w:rsidRPr="00755AB7">
        <w:rPr>
          <w:rFonts w:ascii="Arial" w:hAnsi="Arial" w:cs="Arial"/>
          <w:color w:val="000000" w:themeColor="text1"/>
        </w:rPr>
        <w:t xml:space="preserve">Many of the issues highlighted </w:t>
      </w:r>
      <w:r w:rsidR="00235795" w:rsidRPr="00755AB7">
        <w:rPr>
          <w:rFonts w:ascii="Arial" w:hAnsi="Arial" w:cs="Arial"/>
          <w:color w:val="000000" w:themeColor="text1"/>
        </w:rPr>
        <w:t xml:space="preserve">by AMHPs </w:t>
      </w:r>
      <w:r w:rsidRPr="00755AB7">
        <w:rPr>
          <w:rFonts w:ascii="Arial" w:hAnsi="Arial" w:cs="Arial"/>
          <w:color w:val="000000" w:themeColor="text1"/>
        </w:rPr>
        <w:t>as contributing to high detention rates</w:t>
      </w:r>
      <w:r w:rsidR="00235795" w:rsidRPr="00755AB7">
        <w:rPr>
          <w:rFonts w:ascii="Arial" w:hAnsi="Arial" w:cs="Arial"/>
          <w:color w:val="000000" w:themeColor="text1"/>
        </w:rPr>
        <w:t xml:space="preserve"> echoed</w:t>
      </w:r>
      <w:r w:rsidRPr="00755AB7">
        <w:rPr>
          <w:rFonts w:ascii="Arial" w:hAnsi="Arial" w:cs="Arial"/>
          <w:color w:val="000000" w:themeColor="text1"/>
        </w:rPr>
        <w:t xml:space="preserve"> the CQC’s own (2018) hypothes</w:t>
      </w:r>
      <w:r w:rsidR="00235795" w:rsidRPr="00755AB7">
        <w:rPr>
          <w:rFonts w:ascii="Arial" w:hAnsi="Arial" w:cs="Arial"/>
          <w:color w:val="000000" w:themeColor="text1"/>
        </w:rPr>
        <w:t>e</w:t>
      </w:r>
      <w:r w:rsidRPr="00755AB7">
        <w:rPr>
          <w:rFonts w:ascii="Arial" w:hAnsi="Arial" w:cs="Arial"/>
          <w:color w:val="000000" w:themeColor="text1"/>
        </w:rPr>
        <w:t>s: greater demand for services; inadequate provision of resources; an increase in social stressors and mental ill-health ‘risk factors’; and a lack of viable community alternatives to hospital admission. But, whilst AMHPs directly connected many of these phenomena to increased use of the MHA, they also identified some of these trends as problems in their own right and suggested that these are perhaps receiving less attention than they should because the focus of public and political attention seems to be on rising detention rates and little else. For example, AMHPs pointed out what they felt was a contradiction: high levels of scrutiny placed on how many people are detained before going into hospital, but less attention on what happen</w:t>
      </w:r>
      <w:r w:rsidR="00AC46B5">
        <w:rPr>
          <w:rFonts w:ascii="Arial" w:hAnsi="Arial" w:cs="Arial"/>
          <w:color w:val="000000" w:themeColor="text1"/>
        </w:rPr>
        <w:t>ed</w:t>
      </w:r>
      <w:r w:rsidRPr="00755AB7">
        <w:rPr>
          <w:rFonts w:ascii="Arial" w:hAnsi="Arial" w:cs="Arial"/>
          <w:color w:val="000000" w:themeColor="text1"/>
        </w:rPr>
        <w:t xml:space="preserve"> to them once they </w:t>
      </w:r>
      <w:r w:rsidR="00AC46B5">
        <w:rPr>
          <w:rFonts w:ascii="Arial" w:hAnsi="Arial" w:cs="Arial"/>
          <w:color w:val="000000" w:themeColor="text1"/>
        </w:rPr>
        <w:t>we</w:t>
      </w:r>
      <w:r w:rsidRPr="00755AB7">
        <w:rPr>
          <w:rFonts w:ascii="Arial" w:hAnsi="Arial" w:cs="Arial"/>
          <w:color w:val="000000" w:themeColor="text1"/>
        </w:rPr>
        <w:t>re admitted.</w:t>
      </w:r>
    </w:p>
    <w:p w14:paraId="7CA691DA" w14:textId="38EDB5DF" w:rsidR="007C2BE0" w:rsidRPr="00755AB7" w:rsidRDefault="007C2BE0">
      <w:pPr>
        <w:spacing w:line="480" w:lineRule="auto"/>
        <w:rPr>
          <w:rFonts w:ascii="Arial" w:hAnsi="Arial" w:cs="Arial"/>
          <w:color w:val="000000" w:themeColor="text1"/>
        </w:rPr>
      </w:pPr>
      <w:r w:rsidRPr="00755AB7">
        <w:rPr>
          <w:rFonts w:ascii="Arial" w:hAnsi="Arial" w:cs="Arial"/>
          <w:color w:val="000000" w:themeColor="text1"/>
        </w:rPr>
        <w:lastRenderedPageBreak/>
        <w:t>This research also touched on another possible contributing factor to rising detention rates not considered by the CQC: the efficacy of hospital admission for people experiencing mental health crises.</w:t>
      </w:r>
      <w:r w:rsidR="0005339E" w:rsidRPr="00755AB7">
        <w:rPr>
          <w:rFonts w:ascii="Arial" w:hAnsi="Arial" w:cs="Arial"/>
          <w:color w:val="000000" w:themeColor="text1"/>
        </w:rPr>
        <w:t xml:space="preserve"> </w:t>
      </w:r>
      <w:r w:rsidR="00B43644" w:rsidRPr="00755AB7">
        <w:rPr>
          <w:rFonts w:ascii="Arial" w:hAnsi="Arial" w:cs="Arial"/>
          <w:color w:val="000000" w:themeColor="text1"/>
        </w:rPr>
        <w:t xml:space="preserve">Four </w:t>
      </w:r>
      <w:r w:rsidRPr="00755AB7">
        <w:rPr>
          <w:rFonts w:ascii="Arial" w:hAnsi="Arial" w:cs="Arial"/>
          <w:color w:val="000000" w:themeColor="text1"/>
        </w:rPr>
        <w:t xml:space="preserve">out of </w:t>
      </w:r>
      <w:r w:rsidR="00B43644" w:rsidRPr="00755AB7">
        <w:rPr>
          <w:rFonts w:ascii="Arial" w:hAnsi="Arial" w:cs="Arial"/>
          <w:color w:val="000000" w:themeColor="text1"/>
        </w:rPr>
        <w:t xml:space="preserve">five </w:t>
      </w:r>
      <w:r w:rsidRPr="00755AB7">
        <w:rPr>
          <w:rFonts w:ascii="Arial" w:hAnsi="Arial" w:cs="Arial"/>
          <w:color w:val="000000" w:themeColor="text1"/>
        </w:rPr>
        <w:t>survey</w:t>
      </w:r>
      <w:r w:rsidR="0005339E" w:rsidRPr="00755AB7">
        <w:rPr>
          <w:rFonts w:ascii="Arial" w:hAnsi="Arial" w:cs="Arial"/>
          <w:color w:val="000000" w:themeColor="text1"/>
        </w:rPr>
        <w:t xml:space="preserve"> respondents</w:t>
      </w:r>
      <w:r w:rsidRPr="00755AB7">
        <w:rPr>
          <w:rFonts w:ascii="Arial" w:hAnsi="Arial" w:cs="Arial"/>
          <w:color w:val="000000" w:themeColor="text1"/>
        </w:rPr>
        <w:t xml:space="preserve"> felt that people detained on psychiatric wards </w:t>
      </w:r>
      <w:r w:rsidR="00235795" w:rsidRPr="00755AB7">
        <w:rPr>
          <w:rFonts w:ascii="Arial" w:hAnsi="Arial" w:cs="Arial"/>
          <w:color w:val="000000" w:themeColor="text1"/>
        </w:rPr>
        <w:t>we</w:t>
      </w:r>
      <w:r w:rsidRPr="00755AB7">
        <w:rPr>
          <w:rFonts w:ascii="Arial" w:hAnsi="Arial" w:cs="Arial"/>
          <w:color w:val="000000" w:themeColor="text1"/>
        </w:rPr>
        <w:t>re not given sufficient time to recover during their admission before being discharged.</w:t>
      </w:r>
      <w:r w:rsidR="0005339E" w:rsidRPr="00755AB7">
        <w:rPr>
          <w:rFonts w:ascii="Arial" w:hAnsi="Arial" w:cs="Arial"/>
          <w:color w:val="000000" w:themeColor="text1"/>
        </w:rPr>
        <w:t xml:space="preserve"> </w:t>
      </w:r>
      <w:r w:rsidRPr="00755AB7">
        <w:rPr>
          <w:rFonts w:ascii="Arial" w:hAnsi="Arial" w:cs="Arial"/>
          <w:color w:val="000000" w:themeColor="text1"/>
        </w:rPr>
        <w:t xml:space="preserve">AMHPs also expressed doubts about the suitability and effectiveness of hospitalisation for patients in certain situations. This observation is worrying, as it suggests that a system which is largely predicated on admitting the most unwell to hospital for treatment may not </w:t>
      </w:r>
      <w:r w:rsidR="00C10053" w:rsidRPr="00755AB7">
        <w:rPr>
          <w:rFonts w:ascii="Arial" w:hAnsi="Arial" w:cs="Arial"/>
          <w:color w:val="000000" w:themeColor="text1"/>
        </w:rPr>
        <w:t xml:space="preserve">be </w:t>
      </w:r>
      <w:r w:rsidRPr="00755AB7">
        <w:rPr>
          <w:rFonts w:ascii="Arial" w:hAnsi="Arial" w:cs="Arial"/>
          <w:color w:val="000000" w:themeColor="text1"/>
        </w:rPr>
        <w:t xml:space="preserve">operating as intended. If this were the case, we may expect to see significant numbers of </w:t>
      </w:r>
      <w:r w:rsidR="0005339E" w:rsidRPr="00755AB7">
        <w:rPr>
          <w:rFonts w:ascii="Arial" w:hAnsi="Arial" w:cs="Arial"/>
          <w:color w:val="000000" w:themeColor="text1"/>
        </w:rPr>
        <w:t>people</w:t>
      </w:r>
      <w:r w:rsidRPr="00755AB7">
        <w:rPr>
          <w:rFonts w:ascii="Arial" w:hAnsi="Arial" w:cs="Arial"/>
          <w:color w:val="000000" w:themeColor="text1"/>
        </w:rPr>
        <w:t xml:space="preserve"> being re-admitted to hospital shortly after</w:t>
      </w:r>
      <w:r w:rsidR="0005339E" w:rsidRPr="00755AB7">
        <w:rPr>
          <w:rFonts w:ascii="Arial" w:hAnsi="Arial" w:cs="Arial"/>
          <w:color w:val="000000" w:themeColor="text1"/>
        </w:rPr>
        <w:t xml:space="preserve"> discharge</w:t>
      </w:r>
      <w:r w:rsidRPr="00755AB7">
        <w:rPr>
          <w:rFonts w:ascii="Arial" w:hAnsi="Arial" w:cs="Arial"/>
          <w:color w:val="000000" w:themeColor="text1"/>
        </w:rPr>
        <w:t>, many under the MHA.  However it should be noted that the initial findings of the Independent Review d</w:t>
      </w:r>
      <w:r w:rsidR="00AA3D67" w:rsidRPr="00755AB7">
        <w:rPr>
          <w:rFonts w:ascii="Arial" w:hAnsi="Arial" w:cs="Arial"/>
          <w:color w:val="000000" w:themeColor="text1"/>
        </w:rPr>
        <w:t>id</w:t>
      </w:r>
      <w:r w:rsidRPr="00755AB7">
        <w:rPr>
          <w:rFonts w:ascii="Arial" w:hAnsi="Arial" w:cs="Arial"/>
          <w:color w:val="000000" w:themeColor="text1"/>
        </w:rPr>
        <w:t xml:space="preserve"> not support this view, noting instead that </w:t>
      </w:r>
      <w:r w:rsidR="00235795" w:rsidRPr="00755AB7">
        <w:rPr>
          <w:rFonts w:ascii="Arial" w:hAnsi="Arial" w:cs="Arial"/>
          <w:color w:val="000000" w:themeColor="text1"/>
        </w:rPr>
        <w:t>‘</w:t>
      </w:r>
      <w:r w:rsidRPr="00755AB7">
        <w:rPr>
          <w:rFonts w:ascii="Arial" w:hAnsi="Arial" w:cs="Arial"/>
          <w:color w:val="000000" w:themeColor="text1"/>
        </w:rPr>
        <w:t>the rise reflects more individuals being detained overall, rather than some people being detained more often</w:t>
      </w:r>
      <w:r w:rsidR="00235795" w:rsidRPr="00755AB7">
        <w:rPr>
          <w:rFonts w:ascii="Arial" w:hAnsi="Arial" w:cs="Arial"/>
          <w:color w:val="000000" w:themeColor="text1"/>
        </w:rPr>
        <w:t>’</w:t>
      </w:r>
      <w:r w:rsidRPr="00755AB7">
        <w:rPr>
          <w:rFonts w:ascii="Arial" w:hAnsi="Arial" w:cs="Arial"/>
          <w:color w:val="000000" w:themeColor="text1"/>
        </w:rPr>
        <w:t xml:space="preserve"> (</w:t>
      </w:r>
      <w:proofErr w:type="spellStart"/>
      <w:r w:rsidR="00D015A5" w:rsidRPr="00755AB7">
        <w:rPr>
          <w:rFonts w:ascii="Arial" w:hAnsi="Arial" w:cs="Arial"/>
          <w:color w:val="000000" w:themeColor="text1"/>
        </w:rPr>
        <w:t>Wess</w:t>
      </w:r>
      <w:r w:rsidR="00B51050" w:rsidRPr="00755AB7">
        <w:rPr>
          <w:rFonts w:ascii="Arial" w:hAnsi="Arial" w:cs="Arial"/>
          <w:color w:val="000000" w:themeColor="text1"/>
        </w:rPr>
        <w:t>ely</w:t>
      </w:r>
      <w:proofErr w:type="spellEnd"/>
      <w:r w:rsidR="00D015A5" w:rsidRPr="00755AB7">
        <w:rPr>
          <w:rFonts w:ascii="Arial" w:hAnsi="Arial" w:cs="Arial"/>
          <w:color w:val="000000" w:themeColor="text1"/>
        </w:rPr>
        <w:t xml:space="preserve"> </w:t>
      </w:r>
      <w:r w:rsidR="00D015A5" w:rsidRPr="00755AB7">
        <w:rPr>
          <w:rFonts w:ascii="Arial" w:hAnsi="Arial" w:cs="Arial"/>
          <w:i/>
          <w:color w:val="000000" w:themeColor="text1"/>
        </w:rPr>
        <w:t>et al</w:t>
      </w:r>
      <w:r w:rsidR="00D015A5" w:rsidRPr="00755AB7">
        <w:rPr>
          <w:rFonts w:ascii="Arial" w:hAnsi="Arial" w:cs="Arial"/>
          <w:color w:val="000000" w:themeColor="text1"/>
        </w:rPr>
        <w:t>., 2018</w:t>
      </w:r>
      <w:r w:rsidR="0005249C" w:rsidRPr="00755AB7">
        <w:rPr>
          <w:rFonts w:ascii="Arial" w:hAnsi="Arial" w:cs="Arial"/>
          <w:color w:val="000000" w:themeColor="text1"/>
        </w:rPr>
        <w:t>a</w:t>
      </w:r>
      <w:r w:rsidR="00235795" w:rsidRPr="00755AB7">
        <w:rPr>
          <w:rFonts w:ascii="Arial" w:hAnsi="Arial" w:cs="Arial"/>
          <w:color w:val="000000" w:themeColor="text1"/>
        </w:rPr>
        <w:t>:</w:t>
      </w:r>
      <w:r w:rsidRPr="00755AB7">
        <w:rPr>
          <w:rFonts w:ascii="Arial" w:hAnsi="Arial" w:cs="Arial"/>
          <w:color w:val="000000" w:themeColor="text1"/>
        </w:rPr>
        <w:t xml:space="preserve"> 12).  </w:t>
      </w:r>
    </w:p>
    <w:p w14:paraId="1D364E0F" w14:textId="12670CF9" w:rsidR="007C2BE0" w:rsidRPr="00755AB7" w:rsidRDefault="007C2BE0">
      <w:pPr>
        <w:spacing w:line="480" w:lineRule="auto"/>
        <w:rPr>
          <w:rFonts w:ascii="Arial" w:hAnsi="Arial" w:cs="Arial"/>
          <w:color w:val="000000" w:themeColor="text1"/>
        </w:rPr>
      </w:pPr>
      <w:r w:rsidRPr="00755AB7">
        <w:rPr>
          <w:rFonts w:ascii="Arial" w:hAnsi="Arial" w:cs="Arial"/>
          <w:color w:val="000000" w:themeColor="text1"/>
        </w:rPr>
        <w:t>AMHPs</w:t>
      </w:r>
      <w:r w:rsidR="001D49A2" w:rsidRPr="00755AB7">
        <w:rPr>
          <w:rFonts w:ascii="Arial" w:hAnsi="Arial" w:cs="Arial"/>
          <w:color w:val="000000" w:themeColor="text1"/>
        </w:rPr>
        <w:t>’</w:t>
      </w:r>
      <w:r w:rsidRPr="00755AB7">
        <w:rPr>
          <w:rFonts w:ascii="Arial" w:hAnsi="Arial" w:cs="Arial"/>
          <w:color w:val="000000" w:themeColor="text1"/>
        </w:rPr>
        <w:t xml:space="preserve"> depiction of an increase in the numbers of challenges faced by their profession supports the view put forward by NHS Providers (2017), that </w:t>
      </w:r>
      <w:r w:rsidR="009A31F5" w:rsidRPr="00755AB7">
        <w:rPr>
          <w:rFonts w:ascii="Arial" w:hAnsi="Arial" w:cs="Arial"/>
          <w:color w:val="000000" w:themeColor="text1"/>
        </w:rPr>
        <w:t>‘</w:t>
      </w:r>
      <w:r w:rsidRPr="00755AB7">
        <w:rPr>
          <w:rFonts w:ascii="Arial" w:hAnsi="Arial" w:cs="Arial"/>
          <w:color w:val="000000" w:themeColor="text1"/>
        </w:rPr>
        <w:t>rapidly rising demand is overwhelming…core services</w:t>
      </w:r>
      <w:r w:rsidR="009A31F5" w:rsidRPr="00755AB7">
        <w:rPr>
          <w:rFonts w:ascii="Arial" w:hAnsi="Arial" w:cs="Arial"/>
          <w:color w:val="000000" w:themeColor="text1"/>
        </w:rPr>
        <w:t>’</w:t>
      </w:r>
      <w:r w:rsidRPr="00755AB7">
        <w:rPr>
          <w:rFonts w:ascii="Arial" w:hAnsi="Arial" w:cs="Arial"/>
          <w:color w:val="000000" w:themeColor="text1"/>
        </w:rPr>
        <w:t xml:space="preserve">. </w:t>
      </w:r>
      <w:r w:rsidR="009A31F5" w:rsidRPr="00755AB7">
        <w:rPr>
          <w:rFonts w:ascii="Arial" w:hAnsi="Arial" w:cs="Arial"/>
          <w:color w:val="000000" w:themeColor="text1"/>
        </w:rPr>
        <w:t xml:space="preserve">AMHPs in </w:t>
      </w:r>
      <w:r w:rsidRPr="00755AB7">
        <w:rPr>
          <w:rFonts w:ascii="Arial" w:hAnsi="Arial" w:cs="Arial"/>
          <w:color w:val="000000" w:themeColor="text1"/>
        </w:rPr>
        <w:t>this study identified many significant and negative changes to frontline services in recent years, including: an increase in the threshold for Community Mental Health Teams to offer patients support; an increase in premature discharge of patients from psychiatric wards, sometimes before the crisis that precipitated their admission ha</w:t>
      </w:r>
      <w:r w:rsidR="009A31F5" w:rsidRPr="00755AB7">
        <w:rPr>
          <w:rFonts w:ascii="Arial" w:hAnsi="Arial" w:cs="Arial"/>
          <w:color w:val="000000" w:themeColor="text1"/>
        </w:rPr>
        <w:t>d</w:t>
      </w:r>
      <w:r w:rsidRPr="00755AB7">
        <w:rPr>
          <w:rFonts w:ascii="Arial" w:hAnsi="Arial" w:cs="Arial"/>
          <w:color w:val="000000" w:themeColor="text1"/>
        </w:rPr>
        <w:t xml:space="preserve"> fully </w:t>
      </w:r>
      <w:r w:rsidR="008C7220" w:rsidRPr="0013659D">
        <w:rPr>
          <w:rFonts w:ascii="Arial" w:hAnsi="Arial" w:cs="Arial"/>
          <w:color w:val="000000" w:themeColor="text1"/>
        </w:rPr>
        <w:t>abated</w:t>
      </w:r>
      <w:r w:rsidRPr="00755AB7">
        <w:rPr>
          <w:rFonts w:ascii="Arial" w:hAnsi="Arial" w:cs="Arial"/>
          <w:color w:val="000000" w:themeColor="text1"/>
        </w:rPr>
        <w:t>; and a reduction in the amount of preventative work taking place that can delay or divert people from reaching the point of mental health crisis.</w:t>
      </w:r>
    </w:p>
    <w:p w14:paraId="475D64A6" w14:textId="3F178E64" w:rsidR="007C2BE0" w:rsidRPr="00755AB7" w:rsidRDefault="007C2BE0">
      <w:pPr>
        <w:spacing w:line="480" w:lineRule="auto"/>
        <w:rPr>
          <w:rFonts w:ascii="Arial" w:hAnsi="Arial" w:cs="Arial"/>
          <w:color w:val="000000" w:themeColor="text1"/>
        </w:rPr>
      </w:pPr>
      <w:r w:rsidRPr="00755AB7">
        <w:rPr>
          <w:rFonts w:ascii="Arial" w:hAnsi="Arial" w:cs="Arial"/>
          <w:color w:val="000000" w:themeColor="text1"/>
        </w:rPr>
        <w:t xml:space="preserve">Together, these changes are seen by AMHPs to have led to the current situation in which there is felt to be an overreliance on the MHA. They are also indicative of a </w:t>
      </w:r>
      <w:r w:rsidR="009A31F5" w:rsidRPr="00755AB7">
        <w:rPr>
          <w:rFonts w:ascii="Arial" w:hAnsi="Arial" w:cs="Arial"/>
          <w:color w:val="000000" w:themeColor="text1"/>
        </w:rPr>
        <w:t>‘</w:t>
      </w:r>
      <w:r w:rsidRPr="00755AB7">
        <w:rPr>
          <w:rFonts w:ascii="Arial" w:hAnsi="Arial" w:cs="Arial"/>
          <w:color w:val="000000" w:themeColor="text1"/>
        </w:rPr>
        <w:t>concentrating effect</w:t>
      </w:r>
      <w:r w:rsidR="009A31F5" w:rsidRPr="00755AB7">
        <w:rPr>
          <w:rFonts w:ascii="Arial" w:hAnsi="Arial" w:cs="Arial"/>
          <w:color w:val="000000" w:themeColor="text1"/>
        </w:rPr>
        <w:t>’</w:t>
      </w:r>
      <w:r w:rsidRPr="00755AB7">
        <w:rPr>
          <w:rFonts w:ascii="Arial" w:hAnsi="Arial" w:cs="Arial"/>
          <w:color w:val="000000" w:themeColor="text1"/>
        </w:rPr>
        <w:t>, similar to that described by Glasby and Tew</w:t>
      </w:r>
      <w:r w:rsidR="00B43644" w:rsidRPr="00755AB7">
        <w:rPr>
          <w:rFonts w:ascii="Arial" w:hAnsi="Arial" w:cs="Arial"/>
          <w:color w:val="000000" w:themeColor="text1"/>
        </w:rPr>
        <w:t xml:space="preserve"> (2015)</w:t>
      </w:r>
      <w:r w:rsidRPr="00755AB7">
        <w:rPr>
          <w:rFonts w:ascii="Arial" w:hAnsi="Arial" w:cs="Arial"/>
          <w:color w:val="000000" w:themeColor="text1"/>
        </w:rPr>
        <w:t>, but one which isn’t confined to an increase in the criteria necessary for admission to hospital and rather refers to a raised threshold for intervention across all aspects of the mental health system. </w:t>
      </w:r>
    </w:p>
    <w:p w14:paraId="49FC6625" w14:textId="77777777" w:rsidR="00AA3D67" w:rsidRPr="00755AB7" w:rsidRDefault="00AA3D67">
      <w:pPr>
        <w:spacing w:line="480" w:lineRule="auto"/>
        <w:rPr>
          <w:rFonts w:ascii="Arial" w:hAnsi="Arial" w:cs="Arial"/>
          <w:color w:val="000000" w:themeColor="text1"/>
          <w:u w:val="single"/>
        </w:rPr>
      </w:pPr>
      <w:r w:rsidRPr="00755AB7">
        <w:rPr>
          <w:rFonts w:ascii="Arial" w:hAnsi="Arial" w:cs="Arial"/>
          <w:color w:val="000000" w:themeColor="text1"/>
          <w:u w:val="single"/>
        </w:rPr>
        <w:lastRenderedPageBreak/>
        <w:t>Final report from the Independent Review</w:t>
      </w:r>
    </w:p>
    <w:p w14:paraId="72E76DCF" w14:textId="39F6FE3F" w:rsidR="00AA3D67" w:rsidRPr="00755AB7" w:rsidRDefault="00AA3D67">
      <w:pPr>
        <w:spacing w:line="480" w:lineRule="auto"/>
        <w:rPr>
          <w:rFonts w:ascii="Arial" w:hAnsi="Arial" w:cs="Arial"/>
          <w:color w:val="000000" w:themeColor="text1"/>
        </w:rPr>
      </w:pPr>
      <w:r w:rsidRPr="00755AB7">
        <w:rPr>
          <w:rFonts w:ascii="Arial" w:hAnsi="Arial" w:cs="Arial"/>
          <w:color w:val="000000" w:themeColor="text1"/>
        </w:rPr>
        <w:t>The final report from the Independent Review of the Mental Health Act suggested a number of ideas to prevent inappropriate or prolonged detentions (</w:t>
      </w:r>
      <w:proofErr w:type="spellStart"/>
      <w:r w:rsidRPr="00755AB7">
        <w:rPr>
          <w:rFonts w:ascii="Arial" w:hAnsi="Arial" w:cs="Arial"/>
          <w:color w:val="000000" w:themeColor="text1"/>
        </w:rPr>
        <w:t>Wessely</w:t>
      </w:r>
      <w:proofErr w:type="spellEnd"/>
      <w:r w:rsidRPr="00755AB7">
        <w:rPr>
          <w:rFonts w:ascii="Arial" w:hAnsi="Arial" w:cs="Arial"/>
          <w:color w:val="000000" w:themeColor="text1"/>
        </w:rPr>
        <w:t xml:space="preserve"> </w:t>
      </w:r>
      <w:r w:rsidRPr="00755AB7">
        <w:rPr>
          <w:rFonts w:ascii="Arial" w:hAnsi="Arial" w:cs="Arial"/>
          <w:i/>
          <w:color w:val="000000" w:themeColor="text1"/>
        </w:rPr>
        <w:t>et al</w:t>
      </w:r>
      <w:r w:rsidR="002E5B7E" w:rsidRPr="00755AB7">
        <w:rPr>
          <w:rFonts w:ascii="Arial" w:hAnsi="Arial" w:cs="Arial"/>
          <w:i/>
          <w:color w:val="000000" w:themeColor="text1"/>
        </w:rPr>
        <w:t>.</w:t>
      </w:r>
      <w:r w:rsidRPr="00755AB7">
        <w:rPr>
          <w:rFonts w:ascii="Arial" w:hAnsi="Arial" w:cs="Arial"/>
          <w:color w:val="000000" w:themeColor="text1"/>
        </w:rPr>
        <w:t>, 2018b). Recommendations included: expanding opportunities for tribunals; increasing the provision of independent advocacy; replacing the Nearest Relative rule; raising the threshold for compulsory admission and reviewing rules around the permitted length of detention under the Act.  </w:t>
      </w:r>
    </w:p>
    <w:p w14:paraId="336C8C45" w14:textId="462F3D53" w:rsidR="00AA3D67" w:rsidRPr="00755AB7" w:rsidRDefault="00AA3D67">
      <w:pPr>
        <w:spacing w:line="480" w:lineRule="auto"/>
        <w:rPr>
          <w:rFonts w:ascii="Arial" w:hAnsi="Arial" w:cs="Arial"/>
          <w:color w:val="000000" w:themeColor="text1"/>
        </w:rPr>
      </w:pPr>
      <w:r w:rsidRPr="00755AB7">
        <w:rPr>
          <w:rFonts w:ascii="Arial" w:hAnsi="Arial" w:cs="Arial"/>
          <w:color w:val="000000" w:themeColor="text1"/>
        </w:rPr>
        <w:t>However despite ‘rising detention rates’ being mentioned first and explicitly in the review’s terms of reference as something the Government noted ‘with concern’, the most significant changes proposed in the final report were instead focused on enhancing and protecting patient rights. Whilst this is both laudable and important, comparatively it does appear that reducing the overall rate of detentions is, at best, a secondary focus. Only four of the 154 recommendations in the review directly linked to a desire to reduce the overall detention rate and even those appear conspicuous in their lack of detail and specificity. Recommendation 35 for example, states that: ‘There should be more accessible and responsive mental health crisis services and community-based mental health services that respond to people’s needs and keep them well.’ Whilst this reflects the views of AMHPs in the current study, further information pertaining to </w:t>
      </w:r>
      <w:r w:rsidRPr="00755AB7">
        <w:rPr>
          <w:rFonts w:ascii="Arial" w:hAnsi="Arial" w:cs="Arial"/>
          <w:i/>
          <w:iCs/>
          <w:color w:val="000000" w:themeColor="text1"/>
        </w:rPr>
        <w:t>what</w:t>
      </w:r>
      <w:r w:rsidRPr="00755AB7">
        <w:rPr>
          <w:rFonts w:ascii="Arial" w:hAnsi="Arial" w:cs="Arial"/>
          <w:color w:val="000000" w:themeColor="text1"/>
        </w:rPr>
        <w:t> would make crisis and community services more accessible and responsive, or indeed how current services fall down in this respect is absent from the final report of the Independent Review. Likewise, the review recommends ‘introducing a new time limit by which a bed must be found following an order for detention’ (</w:t>
      </w:r>
      <w:proofErr w:type="spellStart"/>
      <w:r w:rsidRPr="00755AB7">
        <w:rPr>
          <w:rFonts w:ascii="Arial" w:hAnsi="Arial" w:cs="Arial"/>
          <w:color w:val="000000" w:themeColor="text1"/>
        </w:rPr>
        <w:t>Wessely</w:t>
      </w:r>
      <w:proofErr w:type="spellEnd"/>
      <w:r w:rsidRPr="00755AB7">
        <w:rPr>
          <w:rFonts w:ascii="Arial" w:hAnsi="Arial" w:cs="Arial"/>
          <w:color w:val="000000" w:themeColor="text1"/>
        </w:rPr>
        <w:t xml:space="preserve"> </w:t>
      </w:r>
      <w:r w:rsidRPr="00755AB7">
        <w:rPr>
          <w:rFonts w:ascii="Arial" w:hAnsi="Arial" w:cs="Arial"/>
          <w:i/>
          <w:color w:val="000000" w:themeColor="text1"/>
        </w:rPr>
        <w:t>et al</w:t>
      </w:r>
      <w:r w:rsidR="002E5B7E" w:rsidRPr="00755AB7">
        <w:rPr>
          <w:rFonts w:ascii="Arial" w:hAnsi="Arial" w:cs="Arial"/>
          <w:i/>
          <w:color w:val="000000" w:themeColor="text1"/>
        </w:rPr>
        <w:t>.</w:t>
      </w:r>
      <w:r w:rsidRPr="00755AB7">
        <w:rPr>
          <w:rFonts w:ascii="Arial" w:hAnsi="Arial" w:cs="Arial"/>
          <w:color w:val="000000" w:themeColor="text1"/>
        </w:rPr>
        <w:t xml:space="preserve">, 2018b: 118), however no guidance is given as to what this time limit should be, what should happen if it is breached, or indeed, what additional resources would be required to ensure beds are found within this timescale. To this end the extent that such recommendations are readily implementable is limited. </w:t>
      </w:r>
    </w:p>
    <w:p w14:paraId="64EB0DEB" w14:textId="77777777" w:rsidR="007C2BE0" w:rsidRPr="00755AB7" w:rsidRDefault="007C2BE0">
      <w:pPr>
        <w:spacing w:line="480" w:lineRule="auto"/>
        <w:rPr>
          <w:rFonts w:ascii="Arial" w:hAnsi="Arial" w:cs="Arial"/>
          <w:color w:val="000000" w:themeColor="text1"/>
        </w:rPr>
      </w:pPr>
      <w:bookmarkStart w:id="1" w:name="_Hlk522522389"/>
      <w:r w:rsidRPr="00755AB7">
        <w:rPr>
          <w:rFonts w:ascii="Arial" w:hAnsi="Arial" w:cs="Arial"/>
          <w:color w:val="000000" w:themeColor="text1"/>
          <w:u w:val="single"/>
        </w:rPr>
        <w:t>Implications for policy and practice</w:t>
      </w:r>
    </w:p>
    <w:p w14:paraId="09502028" w14:textId="20271249" w:rsidR="000B7BBE" w:rsidRPr="00755AB7" w:rsidRDefault="000B7BBE">
      <w:pPr>
        <w:tabs>
          <w:tab w:val="left" w:pos="3050"/>
        </w:tabs>
        <w:spacing w:line="480" w:lineRule="auto"/>
        <w:rPr>
          <w:rFonts w:ascii="Arial" w:hAnsi="Arial" w:cs="Arial"/>
          <w:color w:val="000000" w:themeColor="text1"/>
        </w:rPr>
      </w:pPr>
      <w:r w:rsidRPr="00755AB7">
        <w:rPr>
          <w:rFonts w:ascii="Arial" w:hAnsi="Arial" w:cs="Arial"/>
          <w:color w:val="000000" w:themeColor="text1"/>
        </w:rPr>
        <w:lastRenderedPageBreak/>
        <w:t>Despite acknowledging that a lack of psychiatric beds has made it more likely for hospital admission to be delayed and for discharge to be accelerated, AMHPs d</w:t>
      </w:r>
      <w:r w:rsidR="00E42CBC" w:rsidRPr="00755AB7">
        <w:rPr>
          <w:rFonts w:ascii="Arial" w:hAnsi="Arial" w:cs="Arial"/>
          <w:color w:val="000000" w:themeColor="text1"/>
        </w:rPr>
        <w:t>id</w:t>
      </w:r>
      <w:r w:rsidRPr="00755AB7">
        <w:rPr>
          <w:rFonts w:ascii="Arial" w:hAnsi="Arial" w:cs="Arial"/>
          <w:color w:val="000000" w:themeColor="text1"/>
        </w:rPr>
        <w:t xml:space="preserve"> not strongly advocate for more beds to be made available. This </w:t>
      </w:r>
      <w:r w:rsidR="00FC27DD" w:rsidRPr="00755AB7">
        <w:rPr>
          <w:rFonts w:ascii="Arial" w:hAnsi="Arial" w:cs="Arial"/>
          <w:color w:val="000000" w:themeColor="text1"/>
        </w:rPr>
        <w:t xml:space="preserve">is </w:t>
      </w:r>
      <w:r w:rsidRPr="00755AB7">
        <w:rPr>
          <w:rFonts w:ascii="Arial" w:hAnsi="Arial" w:cs="Arial"/>
          <w:color w:val="000000" w:themeColor="text1"/>
        </w:rPr>
        <w:t xml:space="preserve">due to recognition that the current mental health system is already overly-reliant on hospitalisation and therefore increasing hospital capacity </w:t>
      </w:r>
      <w:r w:rsidR="00E42CBC" w:rsidRPr="00755AB7">
        <w:rPr>
          <w:rFonts w:ascii="Arial" w:hAnsi="Arial" w:cs="Arial"/>
          <w:color w:val="000000" w:themeColor="text1"/>
        </w:rPr>
        <w:t xml:space="preserve">would </w:t>
      </w:r>
      <w:r w:rsidRPr="00755AB7">
        <w:rPr>
          <w:rFonts w:ascii="Arial" w:hAnsi="Arial" w:cs="Arial"/>
          <w:color w:val="000000" w:themeColor="text1"/>
        </w:rPr>
        <w:t>not address underlying problems. Instead AMHPs want</w:t>
      </w:r>
      <w:r w:rsidR="00E42CBC" w:rsidRPr="00755AB7">
        <w:rPr>
          <w:rFonts w:ascii="Arial" w:hAnsi="Arial" w:cs="Arial"/>
          <w:color w:val="000000" w:themeColor="text1"/>
        </w:rPr>
        <w:t>ed</w:t>
      </w:r>
      <w:r w:rsidRPr="00755AB7">
        <w:rPr>
          <w:rFonts w:ascii="Arial" w:hAnsi="Arial" w:cs="Arial"/>
          <w:color w:val="000000" w:themeColor="text1"/>
        </w:rPr>
        <w:t xml:space="preserve"> to see greater investment at both ends of the mental health service spectrum. </w:t>
      </w:r>
    </w:p>
    <w:p w14:paraId="61EE5D2B" w14:textId="16696196" w:rsidR="000B7BBE" w:rsidRPr="00755AB7" w:rsidRDefault="000B7BBE">
      <w:pPr>
        <w:tabs>
          <w:tab w:val="left" w:pos="3050"/>
        </w:tabs>
        <w:spacing w:line="480" w:lineRule="auto"/>
        <w:rPr>
          <w:rFonts w:ascii="Arial" w:hAnsi="Arial" w:cs="Arial"/>
          <w:color w:val="000000" w:themeColor="text1"/>
        </w:rPr>
      </w:pPr>
      <w:r w:rsidRPr="00755AB7">
        <w:rPr>
          <w:rFonts w:ascii="Arial" w:hAnsi="Arial" w:cs="Arial"/>
          <w:color w:val="000000" w:themeColor="text1"/>
        </w:rPr>
        <w:t>AMHPs believe that more preventative services, such as day centres, ‘floating’ support staff, or ‘befriending’ opportunities, would help to mitigate the impact of social ‘risk factors’ which lead many people’s mental health to deteriorate. These services would provide people with structured activities, combatting social isolation and loneliness and help people to develop their own support networks and grow their social capital</w:t>
      </w:r>
      <w:r w:rsidR="00E42CBC" w:rsidRPr="00755AB7">
        <w:rPr>
          <w:rFonts w:ascii="Arial" w:hAnsi="Arial" w:cs="Arial"/>
          <w:color w:val="000000" w:themeColor="text1"/>
        </w:rPr>
        <w:t xml:space="preserve"> (Webber, 2008)</w:t>
      </w:r>
      <w:r w:rsidRPr="00755AB7">
        <w:rPr>
          <w:rFonts w:ascii="Arial" w:hAnsi="Arial" w:cs="Arial"/>
          <w:color w:val="000000" w:themeColor="text1"/>
        </w:rPr>
        <w:t xml:space="preserve">. Where possible such services would enable people to pursue more educational, recreational, or employment related opportunities, which evidence has shown to be effective in supporting people with mental health problems to stay well (Harris, 2001; Catty </w:t>
      </w:r>
      <w:r w:rsidRPr="00755AB7">
        <w:rPr>
          <w:rFonts w:ascii="Arial" w:hAnsi="Arial" w:cs="Arial"/>
          <w:i/>
          <w:color w:val="000000" w:themeColor="text1"/>
        </w:rPr>
        <w:t>et al</w:t>
      </w:r>
      <w:r w:rsidRPr="00755AB7">
        <w:rPr>
          <w:rFonts w:ascii="Arial" w:hAnsi="Arial" w:cs="Arial"/>
          <w:color w:val="000000" w:themeColor="text1"/>
        </w:rPr>
        <w:t>., 2005). Additional ‘low intensity’ support could also provide people with more practical assistance and advice related to common social stressors – such as debt, housing and benefits. The combined effect of such interventions, would,</w:t>
      </w:r>
      <w:r w:rsidR="005D6373" w:rsidRPr="00755AB7">
        <w:rPr>
          <w:rFonts w:ascii="Arial" w:hAnsi="Arial" w:cs="Arial"/>
          <w:color w:val="000000" w:themeColor="text1"/>
        </w:rPr>
        <w:t xml:space="preserve"> </w:t>
      </w:r>
      <w:r w:rsidR="005D6373" w:rsidRPr="0013659D">
        <w:rPr>
          <w:rFonts w:ascii="Arial" w:hAnsi="Arial" w:cs="Arial"/>
          <w:color w:val="000000" w:themeColor="text1"/>
        </w:rPr>
        <w:t>some</w:t>
      </w:r>
      <w:r w:rsidRPr="0013659D">
        <w:rPr>
          <w:rFonts w:ascii="Arial" w:hAnsi="Arial" w:cs="Arial"/>
          <w:color w:val="000000" w:themeColor="text1"/>
        </w:rPr>
        <w:t xml:space="preserve"> AMHPs </w:t>
      </w:r>
      <w:r w:rsidR="00D3702E" w:rsidRPr="0013659D">
        <w:rPr>
          <w:rFonts w:ascii="Arial" w:hAnsi="Arial" w:cs="Arial"/>
          <w:color w:val="000000" w:themeColor="text1"/>
        </w:rPr>
        <w:t>suggested</w:t>
      </w:r>
      <w:r w:rsidRPr="00755AB7">
        <w:rPr>
          <w:rFonts w:ascii="Arial" w:hAnsi="Arial" w:cs="Arial"/>
          <w:color w:val="000000" w:themeColor="text1"/>
        </w:rPr>
        <w:t xml:space="preserve">, reduce the numbers of people presenting to mental health services in crisis. </w:t>
      </w:r>
    </w:p>
    <w:p w14:paraId="14F80C28" w14:textId="40A1219C" w:rsidR="000B7BBE" w:rsidRPr="00755AB7" w:rsidRDefault="000B7BBE">
      <w:pPr>
        <w:spacing w:line="480" w:lineRule="auto"/>
        <w:rPr>
          <w:rFonts w:ascii="Arial" w:hAnsi="Arial" w:cs="Arial"/>
          <w:color w:val="000000" w:themeColor="text1"/>
        </w:rPr>
      </w:pPr>
      <w:r w:rsidRPr="00755AB7">
        <w:rPr>
          <w:rFonts w:ascii="Arial" w:hAnsi="Arial" w:cs="Arial"/>
          <w:color w:val="000000" w:themeColor="text1"/>
        </w:rPr>
        <w:t>At the same time AMHPs also felt that there was a significant need to invest in crisis services for those who are experiencing acute distress. AMHPs stressed that there are insufficient amounts of non-medical ‘places of safety’</w:t>
      </w:r>
      <w:r w:rsidR="00FC27DD" w:rsidRPr="00755AB7">
        <w:rPr>
          <w:rFonts w:ascii="Arial" w:hAnsi="Arial" w:cs="Arial"/>
          <w:color w:val="000000" w:themeColor="text1"/>
        </w:rPr>
        <w:t>,</w:t>
      </w:r>
      <w:r w:rsidRPr="00755AB7">
        <w:rPr>
          <w:rFonts w:ascii="Arial" w:hAnsi="Arial" w:cs="Arial"/>
          <w:color w:val="000000" w:themeColor="text1"/>
        </w:rPr>
        <w:t xml:space="preserve"> such as crisis houses, which in certain circumstances would be more appropriate and beneficial for patients than a hospital admission. More investment in these resources would not only enable AMHPs to better align their practice with the MHA principle of least restriction and the duty to maximise patients’ independence</w:t>
      </w:r>
      <w:r w:rsidR="00830263" w:rsidRPr="00755AB7">
        <w:rPr>
          <w:rFonts w:ascii="Arial" w:hAnsi="Arial" w:cs="Arial"/>
          <w:color w:val="000000" w:themeColor="text1"/>
        </w:rPr>
        <w:t>,</w:t>
      </w:r>
      <w:r w:rsidRPr="00755AB7">
        <w:rPr>
          <w:rFonts w:ascii="Arial" w:hAnsi="Arial" w:cs="Arial"/>
          <w:color w:val="000000" w:themeColor="text1"/>
        </w:rPr>
        <w:t xml:space="preserve"> but would also give AMHPs more viable options other than a hospital admission to consider during MHA assessments. </w:t>
      </w:r>
      <w:r w:rsidR="008E6BAC" w:rsidRPr="00755AB7">
        <w:rPr>
          <w:rFonts w:ascii="Arial" w:hAnsi="Arial" w:cs="Arial"/>
          <w:color w:val="000000" w:themeColor="text1"/>
        </w:rPr>
        <w:t xml:space="preserve">Such investment </w:t>
      </w:r>
      <w:r w:rsidRPr="00755AB7">
        <w:rPr>
          <w:rFonts w:ascii="Arial" w:hAnsi="Arial" w:cs="Arial"/>
          <w:color w:val="000000" w:themeColor="text1"/>
        </w:rPr>
        <w:t xml:space="preserve">would reduce </w:t>
      </w:r>
      <w:r w:rsidR="008E6BAC" w:rsidRPr="00755AB7">
        <w:rPr>
          <w:rFonts w:ascii="Arial" w:hAnsi="Arial" w:cs="Arial"/>
          <w:color w:val="000000" w:themeColor="text1"/>
        </w:rPr>
        <w:t xml:space="preserve">the </w:t>
      </w:r>
      <w:r w:rsidRPr="00755AB7">
        <w:rPr>
          <w:rFonts w:ascii="Arial" w:hAnsi="Arial" w:cs="Arial"/>
          <w:color w:val="000000" w:themeColor="text1"/>
        </w:rPr>
        <w:t xml:space="preserve">chance of being detained.  </w:t>
      </w:r>
    </w:p>
    <w:p w14:paraId="350CDD73" w14:textId="26F0C0B8" w:rsidR="00370F19" w:rsidRPr="00755AB7" w:rsidRDefault="000B7BBE">
      <w:pPr>
        <w:spacing w:line="480" w:lineRule="auto"/>
        <w:rPr>
          <w:rFonts w:ascii="Arial" w:hAnsi="Arial" w:cs="Arial"/>
          <w:color w:val="000000" w:themeColor="text1"/>
        </w:rPr>
      </w:pPr>
      <w:r w:rsidRPr="00755AB7">
        <w:rPr>
          <w:rFonts w:ascii="Arial" w:hAnsi="Arial" w:cs="Arial"/>
          <w:color w:val="000000" w:themeColor="text1"/>
        </w:rPr>
        <w:lastRenderedPageBreak/>
        <w:t>AMHPs concluded that if the suggestions above were implemented, outcomes for patients would improve and numbers of detentions would reduce and accordingly</w:t>
      </w:r>
      <w:r w:rsidR="00FC27DD" w:rsidRPr="00755AB7">
        <w:rPr>
          <w:rFonts w:ascii="Arial" w:hAnsi="Arial" w:cs="Arial"/>
          <w:color w:val="000000" w:themeColor="text1"/>
        </w:rPr>
        <w:t>,</w:t>
      </w:r>
      <w:r w:rsidRPr="00755AB7">
        <w:rPr>
          <w:rFonts w:ascii="Arial" w:hAnsi="Arial" w:cs="Arial"/>
          <w:color w:val="000000" w:themeColor="text1"/>
        </w:rPr>
        <w:t xml:space="preserve"> reform of the MHA would not be required or advisable. </w:t>
      </w:r>
    </w:p>
    <w:bookmarkEnd w:id="1"/>
    <w:p w14:paraId="66403965" w14:textId="77777777" w:rsidR="007C2BE0" w:rsidRPr="00755AB7" w:rsidRDefault="007C2BE0">
      <w:pPr>
        <w:spacing w:line="480" w:lineRule="auto"/>
        <w:rPr>
          <w:rFonts w:ascii="Arial" w:hAnsi="Arial" w:cs="Arial"/>
          <w:color w:val="000000" w:themeColor="text1"/>
        </w:rPr>
      </w:pPr>
      <w:r w:rsidRPr="00755AB7">
        <w:rPr>
          <w:rFonts w:ascii="Arial" w:hAnsi="Arial" w:cs="Arial"/>
          <w:color w:val="000000" w:themeColor="text1"/>
          <w:u w:val="single"/>
        </w:rPr>
        <w:t>Study limitations </w:t>
      </w:r>
      <w:r w:rsidRPr="00755AB7">
        <w:rPr>
          <w:rFonts w:ascii="Arial" w:hAnsi="Arial" w:cs="Arial"/>
          <w:color w:val="000000" w:themeColor="text1"/>
        </w:rPr>
        <w:t>  </w:t>
      </w:r>
    </w:p>
    <w:p w14:paraId="48E6BAAC" w14:textId="40E3B159" w:rsidR="007C2BE0" w:rsidRPr="00755AB7" w:rsidRDefault="00CB3C8E">
      <w:pPr>
        <w:spacing w:line="480" w:lineRule="auto"/>
        <w:rPr>
          <w:rFonts w:ascii="Arial" w:hAnsi="Arial" w:cs="Arial"/>
          <w:color w:val="000000" w:themeColor="text1"/>
        </w:rPr>
      </w:pPr>
      <w:r w:rsidRPr="00755AB7">
        <w:rPr>
          <w:rFonts w:ascii="Arial" w:hAnsi="Arial" w:cs="Arial"/>
          <w:color w:val="000000" w:themeColor="text1"/>
        </w:rPr>
        <w:t>The qualitative element of this study was small-scale and conducted in only one NHS Trust in an urban area in England.  I</w:t>
      </w:r>
      <w:r w:rsidR="007C2BE0" w:rsidRPr="00755AB7">
        <w:rPr>
          <w:rFonts w:ascii="Arial" w:hAnsi="Arial" w:cs="Arial"/>
          <w:color w:val="000000" w:themeColor="text1"/>
        </w:rPr>
        <w:t>nterviews with AMHPs in a contrasting setting</w:t>
      </w:r>
      <w:r w:rsidRPr="00755AB7">
        <w:rPr>
          <w:rFonts w:ascii="Arial" w:hAnsi="Arial" w:cs="Arial"/>
          <w:color w:val="000000" w:themeColor="text1"/>
        </w:rPr>
        <w:t xml:space="preserve">, </w:t>
      </w:r>
      <w:r w:rsidR="007C2BE0" w:rsidRPr="00755AB7">
        <w:rPr>
          <w:rFonts w:ascii="Arial" w:hAnsi="Arial" w:cs="Arial"/>
          <w:color w:val="000000" w:themeColor="text1"/>
        </w:rPr>
        <w:t xml:space="preserve">for example AMHPs working in a rural </w:t>
      </w:r>
      <w:r w:rsidRPr="00755AB7">
        <w:rPr>
          <w:rFonts w:ascii="Arial" w:hAnsi="Arial" w:cs="Arial"/>
          <w:color w:val="000000" w:themeColor="text1"/>
        </w:rPr>
        <w:t>setting,</w:t>
      </w:r>
      <w:r w:rsidR="007C2BE0" w:rsidRPr="00755AB7">
        <w:rPr>
          <w:rFonts w:ascii="Arial" w:hAnsi="Arial" w:cs="Arial"/>
          <w:color w:val="000000" w:themeColor="text1"/>
        </w:rPr>
        <w:t xml:space="preserve"> </w:t>
      </w:r>
      <w:r w:rsidRPr="00755AB7">
        <w:rPr>
          <w:rFonts w:ascii="Arial" w:hAnsi="Arial" w:cs="Arial"/>
          <w:color w:val="000000" w:themeColor="text1"/>
        </w:rPr>
        <w:t>might have raised different issues or nuanced differences to the same issues</w:t>
      </w:r>
      <w:r w:rsidR="007C2BE0" w:rsidRPr="00755AB7">
        <w:rPr>
          <w:rFonts w:ascii="Arial" w:hAnsi="Arial" w:cs="Arial"/>
          <w:color w:val="000000" w:themeColor="text1"/>
        </w:rPr>
        <w:t>. This would help to guard against a potential locality bias in which results are actually representative of a unique local situation</w:t>
      </w:r>
      <w:r w:rsidRPr="00755AB7">
        <w:rPr>
          <w:rFonts w:ascii="Arial" w:hAnsi="Arial" w:cs="Arial"/>
          <w:color w:val="000000" w:themeColor="text1"/>
        </w:rPr>
        <w:t xml:space="preserve">.  However, </w:t>
      </w:r>
      <w:r w:rsidR="00576B80" w:rsidRPr="00755AB7">
        <w:rPr>
          <w:rFonts w:ascii="Arial" w:hAnsi="Arial" w:cs="Arial"/>
          <w:color w:val="000000" w:themeColor="text1"/>
        </w:rPr>
        <w:t xml:space="preserve">the national </w:t>
      </w:r>
      <w:r w:rsidR="00FC27DD" w:rsidRPr="00755AB7">
        <w:rPr>
          <w:rFonts w:ascii="Arial" w:hAnsi="Arial" w:cs="Arial"/>
          <w:color w:val="000000" w:themeColor="text1"/>
        </w:rPr>
        <w:t xml:space="preserve">survey findings largely corroborated themes that emerged in </w:t>
      </w:r>
      <w:r w:rsidRPr="00755AB7">
        <w:rPr>
          <w:rFonts w:ascii="Arial" w:hAnsi="Arial" w:cs="Arial"/>
          <w:color w:val="000000" w:themeColor="text1"/>
        </w:rPr>
        <w:t xml:space="preserve">the </w:t>
      </w:r>
      <w:r w:rsidR="00FC27DD" w:rsidRPr="00755AB7">
        <w:rPr>
          <w:rFonts w:ascii="Arial" w:hAnsi="Arial" w:cs="Arial"/>
          <w:color w:val="000000" w:themeColor="text1"/>
        </w:rPr>
        <w:t>interviews</w:t>
      </w:r>
      <w:r w:rsidRPr="00755AB7">
        <w:rPr>
          <w:rFonts w:ascii="Arial" w:hAnsi="Arial" w:cs="Arial"/>
          <w:color w:val="000000" w:themeColor="text1"/>
        </w:rPr>
        <w:t xml:space="preserve"> suggesting a consensus amongst AMHPs</w:t>
      </w:r>
      <w:r w:rsidR="007C2BE0" w:rsidRPr="00755AB7">
        <w:rPr>
          <w:rFonts w:ascii="Arial" w:hAnsi="Arial" w:cs="Arial"/>
          <w:color w:val="000000" w:themeColor="text1"/>
        </w:rPr>
        <w:t xml:space="preserve">. The above could also have been achieved if survey respondents were asked to provide qualitative data in relation to certain questions. </w:t>
      </w:r>
      <w:r w:rsidRPr="00755AB7">
        <w:rPr>
          <w:rFonts w:ascii="Arial" w:hAnsi="Arial" w:cs="Arial"/>
          <w:color w:val="000000" w:themeColor="text1"/>
        </w:rPr>
        <w:t xml:space="preserve">However, this was a research project for a Master’s degree and as such </w:t>
      </w:r>
      <w:r w:rsidR="007C2BE0" w:rsidRPr="00755AB7">
        <w:rPr>
          <w:rFonts w:ascii="Arial" w:hAnsi="Arial" w:cs="Arial"/>
          <w:color w:val="000000" w:themeColor="text1"/>
        </w:rPr>
        <w:t>was unable to accommodate either more research sites or analysis of qualitative data from survey respondents due to time restraints.</w:t>
      </w:r>
    </w:p>
    <w:p w14:paraId="0DA8757B" w14:textId="0D5CBC7F" w:rsidR="00E42CBC" w:rsidRPr="00755AB7" w:rsidRDefault="00E42CBC">
      <w:pPr>
        <w:spacing w:line="480" w:lineRule="auto"/>
        <w:rPr>
          <w:rFonts w:ascii="Arial" w:hAnsi="Arial" w:cs="Arial"/>
          <w:color w:val="000000" w:themeColor="text1"/>
        </w:rPr>
      </w:pPr>
      <w:r w:rsidRPr="00755AB7">
        <w:rPr>
          <w:rFonts w:ascii="Arial" w:hAnsi="Arial" w:cs="Arial"/>
          <w:color w:val="000000" w:themeColor="text1"/>
        </w:rPr>
        <w:t>This study has touched on, but been unable to fully explore, a number of topics which may warrant further investigation. In particular, AMHPs have expressed their preference for more non-medical ‘places of safety’, such as crisis houses. Research which examines whether areas with more of these resources detain fewer people than other areas would therefore be instructive. AMHPs also reported that they felt the length of time someone is admitted to hospital in a mental health crisis has reduced over time. Further study which investigated whether the duration of hospital admissions has reduced and whether there is any connection between reduction in length of admission and likelihood of readmission would also help to build the evidence base around the rise in detention rates.  </w:t>
      </w:r>
    </w:p>
    <w:p w14:paraId="6C17FD96" w14:textId="16087F96" w:rsidR="00E42CBC" w:rsidRPr="00755AB7" w:rsidRDefault="00085473">
      <w:pPr>
        <w:spacing w:line="480" w:lineRule="auto"/>
        <w:rPr>
          <w:rFonts w:ascii="Arial" w:hAnsi="Arial" w:cs="Arial"/>
          <w:color w:val="000000" w:themeColor="text1"/>
        </w:rPr>
      </w:pPr>
      <w:r w:rsidRPr="00755AB7">
        <w:rPr>
          <w:rStyle w:val="normaltextrun"/>
          <w:rFonts w:ascii="Arial" w:hAnsi="Arial" w:cs="Arial"/>
          <w:color w:val="000000" w:themeColor="text1"/>
        </w:rPr>
        <w:t xml:space="preserve">AMHPs involved in this study </w:t>
      </w:r>
      <w:r w:rsidR="004E4012">
        <w:rPr>
          <w:rStyle w:val="normaltextrun"/>
          <w:rFonts w:ascii="Arial" w:hAnsi="Arial" w:cs="Arial"/>
          <w:color w:val="000000" w:themeColor="text1"/>
        </w:rPr>
        <w:t xml:space="preserve">were </w:t>
      </w:r>
      <w:r w:rsidRPr="00755AB7">
        <w:rPr>
          <w:rStyle w:val="normaltextrun"/>
          <w:rFonts w:ascii="Arial" w:hAnsi="Arial" w:cs="Arial"/>
          <w:color w:val="000000" w:themeColor="text1"/>
        </w:rPr>
        <w:t xml:space="preserve">not asked to consider the possible reasons why those from Black or Minority Ethnic backgrounds are more likely to be detained under the Mental Health Act. Clearly the issue of over representation of certain ethnic groups in inpatient </w:t>
      </w:r>
      <w:r w:rsidRPr="00755AB7">
        <w:rPr>
          <w:rStyle w:val="normaltextrun"/>
          <w:rFonts w:ascii="Arial" w:hAnsi="Arial" w:cs="Arial"/>
          <w:color w:val="000000" w:themeColor="text1"/>
        </w:rPr>
        <w:lastRenderedPageBreak/>
        <w:t>settings is a major cause of concern, raising questions about both the legitimacy and application of the Mental Health Act in practice. However, this topic was felt to be too large to address in any meaningful way within the constraints of this project – which instead consider</w:t>
      </w:r>
      <w:r w:rsidR="004E4012">
        <w:rPr>
          <w:rStyle w:val="normaltextrun"/>
          <w:rFonts w:ascii="Arial" w:hAnsi="Arial" w:cs="Arial"/>
          <w:color w:val="000000" w:themeColor="text1"/>
        </w:rPr>
        <w:t>ed</w:t>
      </w:r>
      <w:r w:rsidRPr="00755AB7">
        <w:rPr>
          <w:rStyle w:val="normaltextrun"/>
          <w:rFonts w:ascii="Arial" w:hAnsi="Arial" w:cs="Arial"/>
          <w:color w:val="000000" w:themeColor="text1"/>
        </w:rPr>
        <w:t xml:space="preserve"> the reasons for rising detention rates in general and not the disparity that exits between detention rates among different sections of the population. </w:t>
      </w:r>
    </w:p>
    <w:p w14:paraId="0E0DCF52" w14:textId="4F95DC59" w:rsidR="00D30786" w:rsidRPr="00755AB7" w:rsidRDefault="00D30786">
      <w:pPr>
        <w:spacing w:line="480" w:lineRule="auto"/>
        <w:rPr>
          <w:rFonts w:ascii="Arial" w:hAnsi="Arial" w:cs="Arial"/>
          <w:b/>
          <w:color w:val="000000" w:themeColor="text1"/>
          <w:u w:val="single"/>
        </w:rPr>
      </w:pPr>
      <w:r w:rsidRPr="00755AB7">
        <w:rPr>
          <w:rFonts w:ascii="Arial" w:hAnsi="Arial" w:cs="Arial"/>
          <w:b/>
          <w:color w:val="000000" w:themeColor="text1"/>
          <w:u w:val="single"/>
        </w:rPr>
        <w:t xml:space="preserve">Conclusion </w:t>
      </w:r>
    </w:p>
    <w:p w14:paraId="567981F0" w14:textId="03275EEB" w:rsidR="00A14E08" w:rsidRDefault="00081C4E">
      <w:pPr>
        <w:spacing w:line="480" w:lineRule="auto"/>
        <w:rPr>
          <w:rStyle w:val="normaltextrun"/>
          <w:rFonts w:ascii="Arial" w:hAnsi="Arial" w:cs="Arial"/>
          <w:color w:val="000000" w:themeColor="text1"/>
        </w:rPr>
      </w:pPr>
      <w:r w:rsidRPr="00755AB7">
        <w:rPr>
          <w:rFonts w:ascii="Arial" w:hAnsi="Arial" w:cs="Arial"/>
          <w:color w:val="000000" w:themeColor="text1"/>
        </w:rPr>
        <w:t xml:space="preserve">AMHPs share the Government’s concerns about </w:t>
      </w:r>
      <w:r w:rsidR="00C07D31" w:rsidRPr="00755AB7">
        <w:rPr>
          <w:rFonts w:ascii="Arial" w:hAnsi="Arial" w:cs="Arial"/>
          <w:color w:val="000000" w:themeColor="text1"/>
        </w:rPr>
        <w:t>growing numbers of people being detained under the MHA. They do not however believe that the best way to address this problem is to change mental health legislation. Instead they view the problem of rising detention rates as symptomatic of a bigger issue: an unprecedented and unsustainable demand for mental health services</w:t>
      </w:r>
      <w:r w:rsidR="00E76F3E" w:rsidRPr="00755AB7">
        <w:rPr>
          <w:rFonts w:ascii="Arial" w:hAnsi="Arial" w:cs="Arial"/>
          <w:color w:val="000000" w:themeColor="text1"/>
        </w:rPr>
        <w:t xml:space="preserve">, </w:t>
      </w:r>
      <w:r w:rsidR="00C07D31" w:rsidRPr="00755AB7">
        <w:rPr>
          <w:rFonts w:ascii="Arial" w:hAnsi="Arial" w:cs="Arial"/>
          <w:color w:val="000000" w:themeColor="text1"/>
        </w:rPr>
        <w:t xml:space="preserve">caused in part by </w:t>
      </w:r>
      <w:r w:rsidR="00747BFD" w:rsidRPr="00755AB7">
        <w:rPr>
          <w:rFonts w:ascii="Arial" w:hAnsi="Arial" w:cs="Arial"/>
          <w:color w:val="000000" w:themeColor="text1"/>
        </w:rPr>
        <w:t>a deterioration in the social structures that help people to stay well</w:t>
      </w:r>
      <w:r w:rsidR="00E76F3E" w:rsidRPr="00755AB7">
        <w:rPr>
          <w:rFonts w:ascii="Arial" w:hAnsi="Arial" w:cs="Arial"/>
          <w:color w:val="000000" w:themeColor="text1"/>
        </w:rPr>
        <w:t xml:space="preserve">, leaving </w:t>
      </w:r>
      <w:r w:rsidR="00747BFD" w:rsidRPr="00755AB7">
        <w:rPr>
          <w:rFonts w:ascii="Arial" w:hAnsi="Arial" w:cs="Arial"/>
          <w:color w:val="000000" w:themeColor="text1"/>
        </w:rPr>
        <w:t xml:space="preserve">services perilously stretched at precisely the point they are most needed. </w:t>
      </w:r>
      <w:r w:rsidR="00A22241" w:rsidRPr="00755AB7">
        <w:rPr>
          <w:rFonts w:ascii="Arial" w:hAnsi="Arial" w:cs="Arial"/>
          <w:color w:val="000000" w:themeColor="text1"/>
        </w:rPr>
        <w:t>Within this context</w:t>
      </w:r>
      <w:r w:rsidR="00CB3C8E" w:rsidRPr="00755AB7">
        <w:rPr>
          <w:rFonts w:ascii="Arial" w:hAnsi="Arial" w:cs="Arial"/>
          <w:color w:val="000000" w:themeColor="text1"/>
        </w:rPr>
        <w:t>,</w:t>
      </w:r>
      <w:r w:rsidR="00A22241" w:rsidRPr="00755AB7">
        <w:rPr>
          <w:rFonts w:ascii="Arial" w:hAnsi="Arial" w:cs="Arial"/>
          <w:color w:val="000000" w:themeColor="text1"/>
        </w:rPr>
        <w:t xml:space="preserve"> use of the MHA has become an overused last resort, not by design, but by </w:t>
      </w:r>
      <w:r w:rsidR="005D6373" w:rsidRPr="00755AB7">
        <w:rPr>
          <w:rFonts w:ascii="Arial" w:hAnsi="Arial" w:cs="Arial"/>
          <w:color w:val="000000" w:themeColor="text1"/>
        </w:rPr>
        <w:t>necessity.</w:t>
      </w:r>
      <w:r w:rsidR="005D6373" w:rsidRPr="00755AB7">
        <w:rPr>
          <w:rStyle w:val="normaltextrun"/>
          <w:rFonts w:ascii="Arial" w:hAnsi="Arial" w:cs="Arial"/>
          <w:color w:val="000000" w:themeColor="text1"/>
        </w:rPr>
        <w:t xml:space="preserve"> Rather than make changes to the law, AMHPs favour investment in resources. This investment should </w:t>
      </w:r>
      <w:r w:rsidR="00E76F3E" w:rsidRPr="00755AB7">
        <w:rPr>
          <w:rStyle w:val="normaltextrun"/>
          <w:rFonts w:ascii="Arial" w:hAnsi="Arial" w:cs="Arial"/>
          <w:color w:val="000000" w:themeColor="text1"/>
        </w:rPr>
        <w:t>directed at both</w:t>
      </w:r>
      <w:r w:rsidR="005D6373" w:rsidRPr="00755AB7">
        <w:rPr>
          <w:rStyle w:val="normaltextrun"/>
          <w:rFonts w:ascii="Arial" w:hAnsi="Arial" w:cs="Arial"/>
          <w:color w:val="000000" w:themeColor="text1"/>
        </w:rPr>
        <w:t xml:space="preserve"> preventative services, such as promoting greater social inclusion and interaction to help reduce the number of people experiencing mental health crises; and acute services, such as increasing the numbers of non-medical and crisis houses, to</w:t>
      </w:r>
      <w:r w:rsidR="00D3702E" w:rsidRPr="00755AB7">
        <w:rPr>
          <w:rStyle w:val="normaltextrun"/>
          <w:rFonts w:ascii="Arial" w:hAnsi="Arial" w:cs="Arial"/>
          <w:color w:val="000000" w:themeColor="text1"/>
        </w:rPr>
        <w:t xml:space="preserve"> </w:t>
      </w:r>
      <w:r w:rsidR="00D3702E" w:rsidRPr="00755AB7">
        <w:rPr>
          <w:rFonts w:ascii="Arial" w:hAnsi="Arial" w:cs="Arial"/>
          <w:color w:val="000000" w:themeColor="text1"/>
        </w:rPr>
        <w:t>offer an alternative to hospital admission for those in crisis</w:t>
      </w:r>
      <w:r w:rsidR="005D6373" w:rsidRPr="00755AB7">
        <w:rPr>
          <w:rStyle w:val="normaltextrun"/>
          <w:rFonts w:ascii="Arial" w:hAnsi="Arial" w:cs="Arial"/>
          <w:color w:val="000000" w:themeColor="text1"/>
        </w:rPr>
        <w:t xml:space="preserve">. It is hoped the combined impact of these changes would lead to a reduction in detentions under the MHA. </w:t>
      </w:r>
    </w:p>
    <w:p w14:paraId="42A07D87" w14:textId="77777777" w:rsidR="008E76F9" w:rsidRPr="008E76F9" w:rsidRDefault="008E76F9" w:rsidP="008E76F9">
      <w:pPr>
        <w:pStyle w:val="NoSpacing"/>
        <w:spacing w:line="360" w:lineRule="auto"/>
        <w:rPr>
          <w:rFonts w:cs="Arial"/>
          <w:color w:val="222222"/>
          <w:sz w:val="22"/>
          <w:szCs w:val="22"/>
          <w:shd w:val="clear" w:color="auto" w:fill="FFFFFF"/>
        </w:rPr>
      </w:pPr>
      <w:r w:rsidRPr="0093672D">
        <w:rPr>
          <w:rFonts w:cs="Arial"/>
          <w:b/>
          <w:bCs/>
          <w:color w:val="222222"/>
          <w:sz w:val="22"/>
          <w:szCs w:val="22"/>
          <w:shd w:val="clear" w:color="auto" w:fill="FFFFFF"/>
        </w:rPr>
        <w:t>Acknowledgements</w:t>
      </w:r>
      <w:r w:rsidRPr="008E76F9">
        <w:rPr>
          <w:rFonts w:cs="Arial"/>
          <w:color w:val="222222"/>
          <w:sz w:val="22"/>
          <w:szCs w:val="22"/>
          <w:shd w:val="clear" w:color="auto" w:fill="FFFFFF"/>
        </w:rPr>
        <w:t>:  The authors would like to thank all those who took part in the research and those who supported the research, in particular the AMHP leads network and AMHP leads who distributed the survey, and all those AMHPs who completed the survey or took part in an interview.</w:t>
      </w:r>
    </w:p>
    <w:p w14:paraId="18710383" w14:textId="77777777" w:rsidR="008E76F9" w:rsidRPr="00755AB7" w:rsidRDefault="008E76F9">
      <w:pPr>
        <w:spacing w:line="480" w:lineRule="auto"/>
        <w:rPr>
          <w:rFonts w:ascii="Arial" w:hAnsi="Arial" w:cs="Arial"/>
          <w:color w:val="000000" w:themeColor="text1"/>
        </w:rPr>
      </w:pPr>
    </w:p>
    <w:p w14:paraId="42D72BFE" w14:textId="39F79FE1" w:rsidR="00C63D36" w:rsidRPr="00B80107" w:rsidRDefault="00367698" w:rsidP="00DE4ED4">
      <w:pPr>
        <w:spacing w:line="480" w:lineRule="auto"/>
        <w:rPr>
          <w:rFonts w:ascii="Arial" w:hAnsi="Arial" w:cs="Arial"/>
          <w:b/>
          <w:u w:val="single"/>
        </w:rPr>
      </w:pPr>
      <w:r>
        <w:rPr>
          <w:rFonts w:ascii="Arial" w:hAnsi="Arial" w:cs="Arial"/>
          <w:b/>
          <w:u w:val="single"/>
        </w:rPr>
        <w:t>References</w:t>
      </w:r>
    </w:p>
    <w:p w14:paraId="784675E6" w14:textId="5C1165B3" w:rsidR="00B80107" w:rsidRPr="00B80107" w:rsidRDefault="00B80107" w:rsidP="00DE4ED4">
      <w:pPr>
        <w:spacing w:line="480" w:lineRule="auto"/>
        <w:rPr>
          <w:rFonts w:ascii="Arial" w:hAnsi="Arial" w:cs="Arial"/>
        </w:rPr>
      </w:pPr>
      <w:r w:rsidRPr="00B80107">
        <w:rPr>
          <w:rFonts w:ascii="Arial" w:hAnsi="Arial" w:cs="Arial"/>
        </w:rPr>
        <w:lastRenderedPageBreak/>
        <w:t xml:space="preserve">Buckland, R. (2014) </w:t>
      </w:r>
      <w:r w:rsidR="00554626">
        <w:rPr>
          <w:rFonts w:ascii="Arial" w:hAnsi="Arial" w:cs="Arial"/>
        </w:rPr>
        <w:t>‘</w:t>
      </w:r>
      <w:r w:rsidRPr="00B80107">
        <w:rPr>
          <w:rFonts w:ascii="Arial" w:hAnsi="Arial" w:cs="Arial"/>
        </w:rPr>
        <w:t>The Decision by Approved Mental Health Professionals to Use Compulsory Powers under the Mental Health Act 1983: A Foucauldian Discourse Analysis</w:t>
      </w:r>
      <w:r w:rsidR="00554626">
        <w:rPr>
          <w:rFonts w:ascii="Arial" w:hAnsi="Arial" w:cs="Arial"/>
        </w:rPr>
        <w:t>’,</w:t>
      </w:r>
      <w:r w:rsidRPr="00B80107">
        <w:rPr>
          <w:rFonts w:ascii="Arial" w:hAnsi="Arial" w:cs="Arial"/>
        </w:rPr>
        <w:t> </w:t>
      </w:r>
      <w:r w:rsidRPr="00B80107">
        <w:rPr>
          <w:rFonts w:ascii="Arial" w:hAnsi="Arial" w:cs="Arial"/>
          <w:i/>
          <w:iCs/>
        </w:rPr>
        <w:t>British Journal of Social Work</w:t>
      </w:r>
      <w:r w:rsidRPr="00B80107">
        <w:rPr>
          <w:rFonts w:ascii="Arial" w:hAnsi="Arial" w:cs="Arial"/>
        </w:rPr>
        <w:t>, 46</w:t>
      </w:r>
      <w:r w:rsidR="00554626">
        <w:rPr>
          <w:rFonts w:ascii="Arial" w:hAnsi="Arial" w:cs="Arial"/>
        </w:rPr>
        <w:t xml:space="preserve"> </w:t>
      </w:r>
      <w:r w:rsidRPr="00B80107">
        <w:rPr>
          <w:rFonts w:ascii="Arial" w:hAnsi="Arial" w:cs="Arial"/>
        </w:rPr>
        <w:t>(1), pp.46-62. </w:t>
      </w:r>
    </w:p>
    <w:p w14:paraId="787A127E" w14:textId="59BD4F48" w:rsidR="00C63D36" w:rsidRDefault="00C63D36" w:rsidP="00DE4ED4">
      <w:pPr>
        <w:spacing w:line="480" w:lineRule="auto"/>
        <w:rPr>
          <w:rFonts w:ascii="Arial" w:hAnsi="Arial" w:cs="Arial"/>
        </w:rPr>
      </w:pPr>
      <w:r w:rsidRPr="00B80107">
        <w:rPr>
          <w:rFonts w:ascii="Arial" w:hAnsi="Arial" w:cs="Arial"/>
        </w:rPr>
        <w:t xml:space="preserve">Campbell, J. (2009) </w:t>
      </w:r>
      <w:r w:rsidR="00554626">
        <w:rPr>
          <w:rFonts w:ascii="Arial" w:hAnsi="Arial" w:cs="Arial"/>
        </w:rPr>
        <w:t>‘</w:t>
      </w:r>
      <w:r w:rsidRPr="00B80107">
        <w:rPr>
          <w:rFonts w:ascii="Arial" w:hAnsi="Arial" w:cs="Arial"/>
        </w:rPr>
        <w:t>Deciding to Detain: The Use of Compulsory Mental Health Law by UK Social Workers</w:t>
      </w:r>
      <w:r w:rsidR="00554626">
        <w:rPr>
          <w:rFonts w:ascii="Arial" w:hAnsi="Arial" w:cs="Arial"/>
        </w:rPr>
        <w:t>’,</w:t>
      </w:r>
      <w:r w:rsidRPr="00B80107">
        <w:rPr>
          <w:rFonts w:ascii="Arial" w:hAnsi="Arial" w:cs="Arial"/>
        </w:rPr>
        <w:t> </w:t>
      </w:r>
      <w:r w:rsidRPr="00B80107">
        <w:rPr>
          <w:rFonts w:ascii="Arial" w:hAnsi="Arial" w:cs="Arial"/>
          <w:i/>
          <w:iCs/>
        </w:rPr>
        <w:t>British Journal of Social Work</w:t>
      </w:r>
      <w:r w:rsidRPr="00B80107">
        <w:rPr>
          <w:rFonts w:ascii="Arial" w:hAnsi="Arial" w:cs="Arial"/>
        </w:rPr>
        <w:t>, 40</w:t>
      </w:r>
      <w:r w:rsidR="00554626">
        <w:rPr>
          <w:rFonts w:ascii="Arial" w:hAnsi="Arial" w:cs="Arial"/>
        </w:rPr>
        <w:t xml:space="preserve"> </w:t>
      </w:r>
      <w:r w:rsidRPr="00B80107">
        <w:rPr>
          <w:rFonts w:ascii="Arial" w:hAnsi="Arial" w:cs="Arial"/>
        </w:rPr>
        <w:t>(1), pp.328-334. </w:t>
      </w:r>
    </w:p>
    <w:p w14:paraId="1BAB4F3F" w14:textId="7B3494B1" w:rsidR="009C4DD3" w:rsidRPr="00B80107" w:rsidRDefault="009C4DD3" w:rsidP="00DE4ED4">
      <w:pPr>
        <w:spacing w:line="480" w:lineRule="auto"/>
        <w:rPr>
          <w:rFonts w:ascii="Arial" w:hAnsi="Arial" w:cs="Arial"/>
        </w:rPr>
      </w:pPr>
      <w:r w:rsidRPr="00B80107">
        <w:rPr>
          <w:rFonts w:ascii="Arial" w:hAnsi="Arial" w:cs="Arial"/>
        </w:rPr>
        <w:t>Care Quality Commission (2018) </w:t>
      </w:r>
      <w:r w:rsidRPr="00B80107">
        <w:rPr>
          <w:rFonts w:ascii="Arial" w:hAnsi="Arial" w:cs="Arial"/>
          <w:i/>
          <w:iCs/>
        </w:rPr>
        <w:t>The rise in the use of the Mental Health Act to detain people</w:t>
      </w:r>
      <w:r w:rsidR="00554626">
        <w:rPr>
          <w:rFonts w:ascii="Arial" w:hAnsi="Arial" w:cs="Arial"/>
          <w:i/>
          <w:iCs/>
        </w:rPr>
        <w:t>,</w:t>
      </w:r>
      <w:r w:rsidRPr="00B80107">
        <w:rPr>
          <w:rFonts w:ascii="Arial" w:hAnsi="Arial" w:cs="Arial"/>
          <w:i/>
          <w:iCs/>
        </w:rPr>
        <w:t> </w:t>
      </w:r>
      <w:r w:rsidRPr="00B80107">
        <w:rPr>
          <w:rFonts w:ascii="Arial" w:hAnsi="Arial" w:cs="Arial"/>
        </w:rPr>
        <w:t>Newcastle</w:t>
      </w:r>
      <w:r w:rsidR="00554626">
        <w:rPr>
          <w:rFonts w:ascii="Arial" w:hAnsi="Arial" w:cs="Arial"/>
        </w:rPr>
        <w:t>,</w:t>
      </w:r>
      <w:r w:rsidRPr="00B80107">
        <w:rPr>
          <w:rFonts w:ascii="Arial" w:hAnsi="Arial" w:cs="Arial"/>
        </w:rPr>
        <w:t xml:space="preserve"> Care Quality Commission.  </w:t>
      </w:r>
    </w:p>
    <w:p w14:paraId="51457F44" w14:textId="000A3FC2" w:rsidR="00C70E46" w:rsidRDefault="00C70E46" w:rsidP="00DE4ED4">
      <w:pPr>
        <w:spacing w:line="480" w:lineRule="auto"/>
        <w:rPr>
          <w:rFonts w:ascii="Arial" w:hAnsi="Arial" w:cs="Arial"/>
        </w:rPr>
      </w:pPr>
      <w:r w:rsidRPr="00B80107">
        <w:rPr>
          <w:rFonts w:ascii="Arial" w:hAnsi="Arial" w:cs="Arial"/>
        </w:rPr>
        <w:t xml:space="preserve">Carson, G. (2018) </w:t>
      </w:r>
      <w:r w:rsidR="00554626">
        <w:rPr>
          <w:rFonts w:ascii="Arial" w:hAnsi="Arial" w:cs="Arial"/>
        </w:rPr>
        <w:t>‘</w:t>
      </w:r>
      <w:r w:rsidRPr="00B80107">
        <w:rPr>
          <w:rFonts w:ascii="Arial" w:hAnsi="Arial" w:cs="Arial"/>
        </w:rPr>
        <w:t>Approved mental health professional numbers continue decline</w:t>
      </w:r>
      <w:r w:rsidR="00554626">
        <w:rPr>
          <w:rFonts w:ascii="Arial" w:hAnsi="Arial" w:cs="Arial"/>
        </w:rPr>
        <w:t>’,</w:t>
      </w:r>
      <w:r w:rsidRPr="00B80107">
        <w:rPr>
          <w:rFonts w:ascii="Arial" w:hAnsi="Arial" w:cs="Arial"/>
        </w:rPr>
        <w:t xml:space="preserve"> </w:t>
      </w:r>
      <w:r w:rsidRPr="00B80107">
        <w:rPr>
          <w:rFonts w:ascii="Arial" w:hAnsi="Arial" w:cs="Arial"/>
          <w:i/>
        </w:rPr>
        <w:t>Community Care</w:t>
      </w:r>
      <w:r w:rsidRPr="00B80107">
        <w:rPr>
          <w:rFonts w:ascii="Arial" w:hAnsi="Arial" w:cs="Arial"/>
        </w:rPr>
        <w:t xml:space="preserve"> [online]</w:t>
      </w:r>
      <w:r w:rsidR="00824D78">
        <w:rPr>
          <w:rFonts w:ascii="Arial" w:hAnsi="Arial" w:cs="Arial"/>
        </w:rPr>
        <w:t xml:space="preserve">, 14 February 2018. </w:t>
      </w:r>
      <w:r w:rsidRPr="00B80107">
        <w:rPr>
          <w:rFonts w:ascii="Arial" w:hAnsi="Arial" w:cs="Arial"/>
        </w:rPr>
        <w:t xml:space="preserve">Available at </w:t>
      </w:r>
      <w:hyperlink r:id="rId9" w:tgtFrame="_blank" w:history="1">
        <w:r w:rsidRPr="00B80107">
          <w:rPr>
            <w:rStyle w:val="Hyperlink"/>
            <w:rFonts w:ascii="Arial" w:hAnsi="Arial" w:cs="Arial"/>
          </w:rPr>
          <w:t>http://www.communitycare.co.uk/2018/02/14/approved-mental-health-professional-numbers-continue-decline-community-care-finds/</w:t>
        </w:r>
      </w:hyperlink>
    </w:p>
    <w:p w14:paraId="5CAAABBE" w14:textId="45A35064" w:rsidR="00C70E46" w:rsidRPr="00B80107" w:rsidRDefault="00C70E46" w:rsidP="00DE4ED4">
      <w:pPr>
        <w:spacing w:line="480" w:lineRule="auto"/>
        <w:rPr>
          <w:rFonts w:ascii="Arial" w:hAnsi="Arial" w:cs="Arial"/>
        </w:rPr>
      </w:pPr>
      <w:r w:rsidRPr="00B80107">
        <w:rPr>
          <w:rFonts w:ascii="Arial" w:hAnsi="Arial" w:cs="Arial"/>
        </w:rPr>
        <w:t xml:space="preserve">Catty, J., Goddard, K., White, S. and Burns, T. (2005) </w:t>
      </w:r>
      <w:r w:rsidR="00824D78">
        <w:rPr>
          <w:rFonts w:ascii="Arial" w:hAnsi="Arial" w:cs="Arial"/>
        </w:rPr>
        <w:t>‘</w:t>
      </w:r>
      <w:r w:rsidRPr="00B80107">
        <w:rPr>
          <w:rFonts w:ascii="Arial" w:hAnsi="Arial" w:cs="Arial"/>
        </w:rPr>
        <w:t>Social networks among users of mental health day care</w:t>
      </w:r>
      <w:r w:rsidR="00824D78">
        <w:rPr>
          <w:rFonts w:ascii="Arial" w:hAnsi="Arial" w:cs="Arial"/>
        </w:rPr>
        <w:t>’,</w:t>
      </w:r>
      <w:r w:rsidRPr="00B80107">
        <w:rPr>
          <w:rFonts w:ascii="Arial" w:hAnsi="Arial" w:cs="Arial"/>
        </w:rPr>
        <w:t xml:space="preserve"> </w:t>
      </w:r>
      <w:r w:rsidRPr="00B80107">
        <w:rPr>
          <w:rFonts w:ascii="Arial" w:hAnsi="Arial" w:cs="Arial"/>
          <w:i/>
          <w:iCs/>
        </w:rPr>
        <w:t>Social Psychiatry and Psychiatric Epidemiology</w:t>
      </w:r>
      <w:r w:rsidRPr="00B80107">
        <w:rPr>
          <w:rFonts w:ascii="Arial" w:hAnsi="Arial" w:cs="Arial"/>
        </w:rPr>
        <w:t>, 40</w:t>
      </w:r>
      <w:r w:rsidR="00824D78">
        <w:rPr>
          <w:rFonts w:ascii="Arial" w:hAnsi="Arial" w:cs="Arial"/>
        </w:rPr>
        <w:t xml:space="preserve"> </w:t>
      </w:r>
      <w:r w:rsidRPr="00B80107">
        <w:rPr>
          <w:rFonts w:ascii="Arial" w:hAnsi="Arial" w:cs="Arial"/>
        </w:rPr>
        <w:t>(6), pp.467-474.</w:t>
      </w:r>
    </w:p>
    <w:p w14:paraId="7E24715E" w14:textId="53539DF8" w:rsidR="00C63D36" w:rsidRDefault="00C63D36" w:rsidP="00DE4ED4">
      <w:pPr>
        <w:spacing w:line="480" w:lineRule="auto"/>
        <w:rPr>
          <w:rFonts w:ascii="Arial" w:hAnsi="Arial" w:cs="Arial"/>
        </w:rPr>
      </w:pPr>
      <w:r w:rsidRPr="00B80107">
        <w:rPr>
          <w:rFonts w:ascii="Arial" w:hAnsi="Arial" w:cs="Arial"/>
        </w:rPr>
        <w:t>Cooper, A</w:t>
      </w:r>
      <w:r w:rsidR="00824D78">
        <w:rPr>
          <w:rFonts w:ascii="Arial" w:hAnsi="Arial" w:cs="Arial"/>
        </w:rPr>
        <w:t>.</w:t>
      </w:r>
      <w:r w:rsidRPr="00B80107">
        <w:rPr>
          <w:rFonts w:ascii="Arial" w:hAnsi="Arial" w:cs="Arial"/>
        </w:rPr>
        <w:t xml:space="preserve"> and </w:t>
      </w:r>
      <w:proofErr w:type="spellStart"/>
      <w:r w:rsidRPr="00B80107">
        <w:rPr>
          <w:rFonts w:ascii="Arial" w:hAnsi="Arial" w:cs="Arial"/>
        </w:rPr>
        <w:t>Lousada</w:t>
      </w:r>
      <w:proofErr w:type="spellEnd"/>
      <w:r w:rsidR="00824D78">
        <w:rPr>
          <w:rFonts w:ascii="Arial" w:hAnsi="Arial" w:cs="Arial"/>
        </w:rPr>
        <w:t>, J.</w:t>
      </w:r>
      <w:r w:rsidRPr="00B80107">
        <w:rPr>
          <w:rFonts w:ascii="Arial" w:hAnsi="Arial" w:cs="Arial"/>
        </w:rPr>
        <w:t> (2011) </w:t>
      </w:r>
      <w:r w:rsidRPr="00B80107">
        <w:rPr>
          <w:rFonts w:ascii="Arial" w:hAnsi="Arial" w:cs="Arial"/>
          <w:i/>
          <w:iCs/>
        </w:rPr>
        <w:t>Borderline Welfare Feeling and Fear of Feeling in Modern Welfare</w:t>
      </w:r>
      <w:r w:rsidR="00824D78">
        <w:rPr>
          <w:rFonts w:ascii="Arial" w:hAnsi="Arial" w:cs="Arial"/>
          <w:i/>
          <w:iCs/>
        </w:rPr>
        <w:t>,</w:t>
      </w:r>
      <w:r w:rsidRPr="00B80107">
        <w:rPr>
          <w:rFonts w:ascii="Arial" w:hAnsi="Arial" w:cs="Arial"/>
        </w:rPr>
        <w:t xml:space="preserve"> London</w:t>
      </w:r>
      <w:r w:rsidR="00824D78">
        <w:rPr>
          <w:rFonts w:ascii="Arial" w:hAnsi="Arial" w:cs="Arial"/>
        </w:rPr>
        <w:t>,</w:t>
      </w:r>
      <w:r w:rsidRPr="00B80107">
        <w:rPr>
          <w:rFonts w:ascii="Arial" w:hAnsi="Arial" w:cs="Arial"/>
        </w:rPr>
        <w:t> </w:t>
      </w:r>
      <w:proofErr w:type="spellStart"/>
      <w:r w:rsidRPr="00B80107">
        <w:rPr>
          <w:rFonts w:ascii="Arial" w:hAnsi="Arial" w:cs="Arial"/>
        </w:rPr>
        <w:t>Karnac</w:t>
      </w:r>
      <w:proofErr w:type="spellEnd"/>
      <w:r w:rsidRPr="00B80107">
        <w:rPr>
          <w:rFonts w:ascii="Arial" w:hAnsi="Arial" w:cs="Arial"/>
        </w:rPr>
        <w:t> Books. </w:t>
      </w:r>
    </w:p>
    <w:p w14:paraId="08303D5D" w14:textId="6996B156" w:rsidR="009C4DD3" w:rsidRPr="000D5ED3" w:rsidRDefault="009C4DD3" w:rsidP="00DE4ED4">
      <w:pPr>
        <w:spacing w:line="480" w:lineRule="auto"/>
        <w:rPr>
          <w:rStyle w:val="element-citation"/>
          <w:rFonts w:ascii="Arial" w:hAnsi="Arial" w:cs="Arial"/>
          <w:lang w:val="en"/>
        </w:rPr>
      </w:pPr>
      <w:proofErr w:type="spellStart"/>
      <w:r w:rsidRPr="000D5ED3">
        <w:rPr>
          <w:rStyle w:val="element-citation"/>
          <w:rFonts w:ascii="Arial" w:hAnsi="Arial" w:cs="Arial"/>
          <w:lang w:val="en"/>
        </w:rPr>
        <w:t>Cresswell</w:t>
      </w:r>
      <w:proofErr w:type="spellEnd"/>
      <w:r w:rsidRPr="000D5ED3">
        <w:rPr>
          <w:rStyle w:val="element-citation"/>
          <w:rFonts w:ascii="Arial" w:hAnsi="Arial" w:cs="Arial"/>
          <w:lang w:val="en"/>
        </w:rPr>
        <w:t>, J.W.</w:t>
      </w:r>
      <w:r w:rsidR="00824D78">
        <w:rPr>
          <w:rStyle w:val="element-citation"/>
          <w:rFonts w:ascii="Arial" w:hAnsi="Arial" w:cs="Arial"/>
          <w:lang w:val="en"/>
        </w:rPr>
        <w:t xml:space="preserve"> and</w:t>
      </w:r>
      <w:r w:rsidRPr="000D5ED3">
        <w:rPr>
          <w:rStyle w:val="element-citation"/>
          <w:rFonts w:ascii="Arial" w:hAnsi="Arial" w:cs="Arial"/>
          <w:lang w:val="en"/>
        </w:rPr>
        <w:t xml:space="preserve"> Plano Clark, V.L. (2011) </w:t>
      </w:r>
      <w:r w:rsidRPr="00F44D03">
        <w:rPr>
          <w:rStyle w:val="ref-journal"/>
          <w:rFonts w:ascii="Arial" w:hAnsi="Arial" w:cs="Arial"/>
          <w:i/>
          <w:lang w:val="en"/>
        </w:rPr>
        <w:t>Designing and conducting mixed method research</w:t>
      </w:r>
      <w:r w:rsidR="00824D78">
        <w:rPr>
          <w:rStyle w:val="ref-journal"/>
          <w:rFonts w:ascii="Arial" w:hAnsi="Arial" w:cs="Arial"/>
          <w:i/>
          <w:lang w:val="en"/>
        </w:rPr>
        <w:t xml:space="preserve">, </w:t>
      </w:r>
      <w:r w:rsidR="00824D78">
        <w:rPr>
          <w:rStyle w:val="ref-journal"/>
          <w:rFonts w:ascii="Arial" w:hAnsi="Arial" w:cs="Arial"/>
          <w:lang w:val="en"/>
        </w:rPr>
        <w:t>(</w:t>
      </w:r>
      <w:r w:rsidRPr="000D5ED3">
        <w:rPr>
          <w:rStyle w:val="element-citation"/>
          <w:rFonts w:ascii="Arial" w:hAnsi="Arial" w:cs="Arial"/>
          <w:lang w:val="en"/>
        </w:rPr>
        <w:t>2</w:t>
      </w:r>
      <w:r w:rsidRPr="000D5ED3">
        <w:rPr>
          <w:rStyle w:val="element-citation"/>
          <w:rFonts w:ascii="Arial" w:hAnsi="Arial" w:cs="Arial"/>
          <w:vertAlign w:val="superscript"/>
          <w:lang w:val="en"/>
        </w:rPr>
        <w:t>nd</w:t>
      </w:r>
      <w:r w:rsidRPr="000D5ED3">
        <w:rPr>
          <w:rStyle w:val="element-citation"/>
          <w:rFonts w:ascii="Arial" w:hAnsi="Arial" w:cs="Arial"/>
          <w:lang w:val="en"/>
        </w:rPr>
        <w:t xml:space="preserve"> Ed.</w:t>
      </w:r>
      <w:r w:rsidR="00824D78">
        <w:rPr>
          <w:rStyle w:val="element-citation"/>
          <w:rFonts w:ascii="Arial" w:hAnsi="Arial" w:cs="Arial"/>
          <w:lang w:val="en"/>
        </w:rPr>
        <w:t>),</w:t>
      </w:r>
      <w:r w:rsidRPr="000D5ED3">
        <w:rPr>
          <w:rStyle w:val="element-citation"/>
          <w:rFonts w:ascii="Arial" w:hAnsi="Arial" w:cs="Arial"/>
          <w:lang w:val="en"/>
        </w:rPr>
        <w:t xml:space="preserve"> </w:t>
      </w:r>
      <w:r w:rsidR="00824D78" w:rsidRPr="000D5ED3">
        <w:rPr>
          <w:rStyle w:val="element-citation"/>
          <w:rFonts w:ascii="Arial" w:hAnsi="Arial" w:cs="Arial"/>
          <w:lang w:val="en"/>
        </w:rPr>
        <w:t>Thousand Oaks</w:t>
      </w:r>
      <w:r w:rsidR="00824D78">
        <w:rPr>
          <w:rStyle w:val="element-citation"/>
          <w:rFonts w:ascii="Arial" w:hAnsi="Arial" w:cs="Arial"/>
          <w:lang w:val="en"/>
        </w:rPr>
        <w:t>,</w:t>
      </w:r>
      <w:r w:rsidR="00824D78" w:rsidRPr="000D5ED3">
        <w:rPr>
          <w:rStyle w:val="element-citation"/>
          <w:rFonts w:ascii="Arial" w:hAnsi="Arial" w:cs="Arial"/>
          <w:lang w:val="en"/>
        </w:rPr>
        <w:t xml:space="preserve"> </w:t>
      </w:r>
      <w:r w:rsidRPr="000D5ED3">
        <w:rPr>
          <w:rStyle w:val="element-citation"/>
          <w:rFonts w:ascii="Arial" w:hAnsi="Arial" w:cs="Arial"/>
          <w:lang w:val="en"/>
        </w:rPr>
        <w:t>Sage.</w:t>
      </w:r>
    </w:p>
    <w:p w14:paraId="3D7D44D6" w14:textId="4268C91F" w:rsidR="00B80107" w:rsidRDefault="00B80107" w:rsidP="00DE4ED4">
      <w:pPr>
        <w:spacing w:line="480" w:lineRule="auto"/>
        <w:rPr>
          <w:rFonts w:ascii="Arial" w:hAnsi="Arial" w:cs="Arial"/>
        </w:rPr>
      </w:pPr>
      <w:r w:rsidRPr="00B80107">
        <w:rPr>
          <w:rFonts w:ascii="Arial" w:hAnsi="Arial" w:cs="Arial"/>
        </w:rPr>
        <w:t xml:space="preserve">Cummins, I. (2013) </w:t>
      </w:r>
      <w:r w:rsidR="00824D78">
        <w:rPr>
          <w:rFonts w:ascii="Arial" w:hAnsi="Arial" w:cs="Arial"/>
        </w:rPr>
        <w:t>‘</w:t>
      </w:r>
      <w:r w:rsidRPr="00B80107">
        <w:rPr>
          <w:rFonts w:ascii="Arial" w:hAnsi="Arial" w:cs="Arial"/>
        </w:rPr>
        <w:t>Policing and mental illness in the era of deinst</w:t>
      </w:r>
      <w:r w:rsidR="000431D7">
        <w:rPr>
          <w:rFonts w:ascii="Arial" w:hAnsi="Arial" w:cs="Arial"/>
        </w:rPr>
        <w:t>it</w:t>
      </w:r>
      <w:r w:rsidRPr="00B80107">
        <w:rPr>
          <w:rFonts w:ascii="Arial" w:hAnsi="Arial" w:cs="Arial"/>
        </w:rPr>
        <w:t>utionalisation and mass incarceration: a UK perspective</w:t>
      </w:r>
      <w:r w:rsidR="00824D78">
        <w:rPr>
          <w:rFonts w:ascii="Arial" w:hAnsi="Arial" w:cs="Arial"/>
        </w:rPr>
        <w:t>’,</w:t>
      </w:r>
      <w:r w:rsidRPr="00B80107">
        <w:rPr>
          <w:rFonts w:ascii="Arial" w:hAnsi="Arial" w:cs="Arial"/>
        </w:rPr>
        <w:t xml:space="preserve"> </w:t>
      </w:r>
      <w:r w:rsidRPr="000D5ED3">
        <w:rPr>
          <w:rFonts w:ascii="Arial" w:hAnsi="Arial" w:cs="Arial"/>
          <w:i/>
        </w:rPr>
        <w:t>International Journal of Criminology and Sociological Theory</w:t>
      </w:r>
      <w:r w:rsidRPr="00B80107">
        <w:rPr>
          <w:rFonts w:ascii="Arial" w:hAnsi="Arial" w:cs="Arial"/>
        </w:rPr>
        <w:t xml:space="preserve">, 6 </w:t>
      </w:r>
      <w:r w:rsidR="00824D78">
        <w:rPr>
          <w:rFonts w:ascii="Arial" w:hAnsi="Arial" w:cs="Arial"/>
        </w:rPr>
        <w:t>(</w:t>
      </w:r>
      <w:r w:rsidRPr="00B80107">
        <w:rPr>
          <w:rFonts w:ascii="Arial" w:hAnsi="Arial" w:cs="Arial"/>
        </w:rPr>
        <w:t>4</w:t>
      </w:r>
      <w:r w:rsidR="00824D78">
        <w:rPr>
          <w:rFonts w:ascii="Arial" w:hAnsi="Arial" w:cs="Arial"/>
        </w:rPr>
        <w:t>)</w:t>
      </w:r>
      <w:r w:rsidRPr="00B80107">
        <w:rPr>
          <w:rFonts w:ascii="Arial" w:hAnsi="Arial" w:cs="Arial"/>
        </w:rPr>
        <w:t>, pp.92-104. </w:t>
      </w:r>
    </w:p>
    <w:p w14:paraId="6393839E" w14:textId="77777777" w:rsidR="00E977BA" w:rsidRPr="00D029AE" w:rsidRDefault="00E977BA" w:rsidP="00E977BA">
      <w:pPr>
        <w:spacing w:line="480" w:lineRule="auto"/>
        <w:rPr>
          <w:rFonts w:ascii="Arial" w:hAnsi="Arial" w:cs="Arial"/>
          <w:lang w:val="fr-FR"/>
        </w:rPr>
      </w:pPr>
      <w:r>
        <w:rPr>
          <w:rFonts w:ascii="Arial" w:hAnsi="Arial" w:cs="Arial"/>
        </w:rPr>
        <w:t xml:space="preserve">Department of Health (2015) </w:t>
      </w:r>
      <w:r w:rsidRPr="007D43A2">
        <w:rPr>
          <w:rFonts w:ascii="Arial" w:hAnsi="Arial" w:cs="Arial"/>
          <w:i/>
        </w:rPr>
        <w:t>Mental Health Act 1983: Code of Practice</w:t>
      </w:r>
      <w:r>
        <w:rPr>
          <w:rFonts w:ascii="Arial" w:hAnsi="Arial" w:cs="Arial"/>
        </w:rPr>
        <w:t>,</w:t>
      </w:r>
      <w:r w:rsidRPr="00B80107">
        <w:rPr>
          <w:rFonts w:ascii="Arial" w:hAnsi="Arial" w:cs="Arial"/>
        </w:rPr>
        <w:t xml:space="preserve"> </w:t>
      </w:r>
      <w:r>
        <w:rPr>
          <w:rFonts w:ascii="Arial" w:hAnsi="Arial" w:cs="Arial"/>
        </w:rPr>
        <w:t>Norwich,</w:t>
      </w:r>
      <w:r w:rsidRPr="00B80107">
        <w:rPr>
          <w:rFonts w:ascii="Arial" w:hAnsi="Arial" w:cs="Arial"/>
        </w:rPr>
        <w:t xml:space="preserve"> </w:t>
      </w:r>
      <w:r>
        <w:rPr>
          <w:rFonts w:ascii="Arial" w:hAnsi="Arial" w:cs="Arial"/>
        </w:rPr>
        <w:t>The Stationery Office</w:t>
      </w:r>
      <w:r w:rsidRPr="00B80107">
        <w:rPr>
          <w:rFonts w:ascii="Arial" w:hAnsi="Arial" w:cs="Arial"/>
        </w:rPr>
        <w:t xml:space="preserve">. </w:t>
      </w:r>
      <w:proofErr w:type="spellStart"/>
      <w:r w:rsidRPr="00D029AE">
        <w:rPr>
          <w:rFonts w:ascii="Arial" w:hAnsi="Arial" w:cs="Arial"/>
          <w:lang w:val="fr-FR"/>
        </w:rPr>
        <w:t>Available</w:t>
      </w:r>
      <w:proofErr w:type="spellEnd"/>
      <w:r w:rsidRPr="00D029AE">
        <w:rPr>
          <w:rFonts w:ascii="Arial" w:hAnsi="Arial" w:cs="Arial"/>
          <w:lang w:val="fr-FR"/>
        </w:rPr>
        <w:t xml:space="preserve"> at </w:t>
      </w:r>
      <w:hyperlink r:id="rId10" w:tgtFrame="_blank" w:history="1">
        <w:r w:rsidRPr="00D029AE">
          <w:rPr>
            <w:rStyle w:val="Hyperlink"/>
            <w:rFonts w:ascii="Arial" w:hAnsi="Arial" w:cs="Arial"/>
            <w:lang w:val="fr-FR"/>
          </w:rPr>
          <w:t>https://www.gov.uk/government/uploads/system/uploads/attachment_data/file/435512/MHA_Code_of_Practice.PDF</w:t>
        </w:r>
      </w:hyperlink>
      <w:r w:rsidRPr="00D029AE">
        <w:rPr>
          <w:rFonts w:ascii="Arial" w:hAnsi="Arial" w:cs="Arial"/>
          <w:lang w:val="fr-FR"/>
        </w:rPr>
        <w:t>  </w:t>
      </w:r>
    </w:p>
    <w:p w14:paraId="47990C23" w14:textId="2E61E77F" w:rsidR="00C70E46" w:rsidRPr="007913D4" w:rsidRDefault="00C70E46" w:rsidP="00DE4ED4">
      <w:pPr>
        <w:spacing w:line="480" w:lineRule="auto"/>
        <w:rPr>
          <w:rFonts w:ascii="Arial" w:hAnsi="Arial" w:cs="Arial"/>
        </w:rPr>
      </w:pPr>
      <w:r w:rsidRPr="007913D4">
        <w:rPr>
          <w:rFonts w:ascii="Arial" w:hAnsi="Arial" w:cs="Arial"/>
        </w:rPr>
        <w:lastRenderedPageBreak/>
        <w:t xml:space="preserve">Directors of Adult Social Services (ADASS) (2017) </w:t>
      </w:r>
      <w:r w:rsidRPr="000D5ED3">
        <w:rPr>
          <w:rFonts w:ascii="Arial" w:hAnsi="Arial" w:cs="Arial"/>
          <w:i/>
        </w:rPr>
        <w:t>ADASS Budget Survey</w:t>
      </w:r>
      <w:r w:rsidRPr="007913D4">
        <w:rPr>
          <w:rFonts w:ascii="Arial" w:hAnsi="Arial" w:cs="Arial"/>
        </w:rPr>
        <w:t xml:space="preserve"> [online]</w:t>
      </w:r>
      <w:r w:rsidR="00824D78">
        <w:rPr>
          <w:rFonts w:ascii="Arial" w:hAnsi="Arial" w:cs="Arial"/>
        </w:rPr>
        <w:t>,</w:t>
      </w:r>
      <w:r w:rsidRPr="007913D4">
        <w:rPr>
          <w:rFonts w:ascii="Arial" w:hAnsi="Arial" w:cs="Arial"/>
        </w:rPr>
        <w:t xml:space="preserve"> Available at </w:t>
      </w:r>
      <w:hyperlink r:id="rId11" w:tgtFrame="_blank" w:history="1">
        <w:r w:rsidRPr="007913D4">
          <w:rPr>
            <w:rStyle w:val="Hyperlink"/>
            <w:rFonts w:ascii="Arial" w:hAnsi="Arial" w:cs="Arial"/>
          </w:rPr>
          <w:t>https://www.adass.org.uk/media/5994/adass-budget-survey-report-2017.pdf</w:t>
        </w:r>
      </w:hyperlink>
      <w:r w:rsidRPr="007913D4">
        <w:rPr>
          <w:rFonts w:ascii="Arial" w:hAnsi="Arial" w:cs="Arial"/>
        </w:rPr>
        <w:t> </w:t>
      </w:r>
    </w:p>
    <w:p w14:paraId="1A123572" w14:textId="4401C605" w:rsidR="00C70E46" w:rsidRPr="007913D4" w:rsidRDefault="00C70E46" w:rsidP="00DE4ED4">
      <w:pPr>
        <w:spacing w:line="480" w:lineRule="auto"/>
        <w:rPr>
          <w:rFonts w:ascii="Arial" w:hAnsi="Arial" w:cs="Arial"/>
        </w:rPr>
      </w:pPr>
      <w:r w:rsidRPr="007913D4">
        <w:rPr>
          <w:rFonts w:ascii="Arial" w:hAnsi="Arial" w:cs="Arial"/>
        </w:rPr>
        <w:t xml:space="preserve">Directors of Adult Social Services (ADASS) (2018) </w:t>
      </w:r>
      <w:r w:rsidR="00824D78">
        <w:rPr>
          <w:rFonts w:ascii="Arial" w:hAnsi="Arial" w:cs="Arial"/>
          <w:i/>
        </w:rPr>
        <w:t xml:space="preserve">National Findings - </w:t>
      </w:r>
      <w:r w:rsidRPr="000D5ED3">
        <w:rPr>
          <w:rFonts w:ascii="Arial" w:hAnsi="Arial" w:cs="Arial"/>
          <w:i/>
        </w:rPr>
        <w:t>AMHPs, Mental Health Act Assessments &amp; the Mental Health Social Care workforce</w:t>
      </w:r>
      <w:r w:rsidRPr="007913D4">
        <w:rPr>
          <w:rFonts w:ascii="Arial" w:hAnsi="Arial" w:cs="Arial"/>
        </w:rPr>
        <w:t xml:space="preserve"> [online]</w:t>
      </w:r>
      <w:r w:rsidR="00824D78">
        <w:rPr>
          <w:rFonts w:ascii="Arial" w:hAnsi="Arial" w:cs="Arial"/>
        </w:rPr>
        <w:t>,</w:t>
      </w:r>
      <w:r w:rsidRPr="007913D4">
        <w:rPr>
          <w:rFonts w:ascii="Arial" w:hAnsi="Arial" w:cs="Arial"/>
        </w:rPr>
        <w:t xml:space="preserve"> Available at </w:t>
      </w:r>
      <w:hyperlink r:id="rId12" w:history="1">
        <w:r w:rsidRPr="007913D4">
          <w:rPr>
            <w:rStyle w:val="Hyperlink"/>
            <w:rFonts w:ascii="Arial" w:hAnsi="Arial" w:cs="Arial"/>
          </w:rPr>
          <w:t>https://www.adass.org.uk/national-findings-amhps-mental-health-act-assessments-the-mental-health-social-care-workforce</w:t>
        </w:r>
      </w:hyperlink>
      <w:r w:rsidRPr="007913D4">
        <w:rPr>
          <w:rFonts w:ascii="Arial" w:hAnsi="Arial" w:cs="Arial"/>
        </w:rPr>
        <w:t xml:space="preserve"> </w:t>
      </w:r>
    </w:p>
    <w:p w14:paraId="35C84BE0" w14:textId="0E230A6B" w:rsidR="00C70E46" w:rsidRDefault="00C70E46" w:rsidP="00DE4ED4">
      <w:pPr>
        <w:spacing w:line="480" w:lineRule="auto"/>
        <w:rPr>
          <w:rFonts w:ascii="Arial" w:hAnsi="Arial" w:cs="Arial"/>
        </w:rPr>
      </w:pPr>
      <w:proofErr w:type="spellStart"/>
      <w:r w:rsidRPr="00B80107">
        <w:rPr>
          <w:rFonts w:ascii="Arial" w:hAnsi="Arial" w:cs="Arial"/>
        </w:rPr>
        <w:t>Ewbank</w:t>
      </w:r>
      <w:proofErr w:type="spellEnd"/>
      <w:r w:rsidRPr="00B80107">
        <w:rPr>
          <w:rFonts w:ascii="Arial" w:hAnsi="Arial" w:cs="Arial"/>
        </w:rPr>
        <w:t xml:space="preserve">, L., Thompson, J. </w:t>
      </w:r>
      <w:r w:rsidR="00824D78">
        <w:rPr>
          <w:rFonts w:ascii="Arial" w:hAnsi="Arial" w:cs="Arial"/>
        </w:rPr>
        <w:t xml:space="preserve">and </w:t>
      </w:r>
      <w:r w:rsidRPr="00B80107">
        <w:rPr>
          <w:rFonts w:ascii="Arial" w:hAnsi="Arial" w:cs="Arial"/>
        </w:rPr>
        <w:t xml:space="preserve">McKenna, H. (2017) </w:t>
      </w:r>
      <w:r w:rsidRPr="000D5ED3">
        <w:rPr>
          <w:rFonts w:ascii="Arial" w:hAnsi="Arial" w:cs="Arial"/>
          <w:i/>
        </w:rPr>
        <w:t>NHS hospital bed numbers, past present and future</w:t>
      </w:r>
      <w:r w:rsidR="00824D78">
        <w:rPr>
          <w:rFonts w:ascii="Arial" w:hAnsi="Arial" w:cs="Arial"/>
          <w:i/>
        </w:rPr>
        <w:t>,</w:t>
      </w:r>
      <w:r w:rsidRPr="00B80107">
        <w:rPr>
          <w:rFonts w:ascii="Arial" w:hAnsi="Arial" w:cs="Arial"/>
        </w:rPr>
        <w:t xml:space="preserve"> London</w:t>
      </w:r>
      <w:r w:rsidR="00824D78">
        <w:rPr>
          <w:rFonts w:ascii="Arial" w:hAnsi="Arial" w:cs="Arial"/>
        </w:rPr>
        <w:t>,</w:t>
      </w:r>
      <w:r w:rsidRPr="00B80107">
        <w:rPr>
          <w:rFonts w:ascii="Arial" w:hAnsi="Arial" w:cs="Arial"/>
        </w:rPr>
        <w:t xml:space="preserve"> The Kings Fund</w:t>
      </w:r>
      <w:r w:rsidR="000431D7">
        <w:rPr>
          <w:rFonts w:ascii="Arial" w:hAnsi="Arial" w:cs="Arial"/>
        </w:rPr>
        <w:t>.</w:t>
      </w:r>
      <w:r w:rsidRPr="00B80107">
        <w:rPr>
          <w:rFonts w:ascii="Arial" w:hAnsi="Arial" w:cs="Arial"/>
        </w:rPr>
        <w:t>  </w:t>
      </w:r>
    </w:p>
    <w:p w14:paraId="07FE071C" w14:textId="295C8B38" w:rsidR="00B80107" w:rsidRDefault="00B80107" w:rsidP="00DE4ED4">
      <w:pPr>
        <w:spacing w:line="480" w:lineRule="auto"/>
        <w:rPr>
          <w:rFonts w:ascii="Arial" w:hAnsi="Arial" w:cs="Arial"/>
        </w:rPr>
      </w:pPr>
      <w:proofErr w:type="spellStart"/>
      <w:r w:rsidRPr="00B80107">
        <w:rPr>
          <w:rFonts w:ascii="Arial" w:hAnsi="Arial" w:cs="Arial"/>
        </w:rPr>
        <w:t>Fistein</w:t>
      </w:r>
      <w:proofErr w:type="spellEnd"/>
      <w:r w:rsidRPr="00B80107">
        <w:rPr>
          <w:rFonts w:ascii="Arial" w:hAnsi="Arial" w:cs="Arial"/>
        </w:rPr>
        <w:t>, E., Clare, I., </w:t>
      </w:r>
      <w:proofErr w:type="spellStart"/>
      <w:r w:rsidRPr="00B80107">
        <w:rPr>
          <w:rFonts w:ascii="Arial" w:hAnsi="Arial" w:cs="Arial"/>
        </w:rPr>
        <w:t>Redley</w:t>
      </w:r>
      <w:proofErr w:type="spellEnd"/>
      <w:r w:rsidRPr="00B80107">
        <w:rPr>
          <w:rFonts w:ascii="Arial" w:hAnsi="Arial" w:cs="Arial"/>
        </w:rPr>
        <w:t xml:space="preserve">, M. and Holland, A. (2016) </w:t>
      </w:r>
      <w:r w:rsidR="00824D78">
        <w:rPr>
          <w:rFonts w:ascii="Arial" w:hAnsi="Arial" w:cs="Arial"/>
        </w:rPr>
        <w:t>‘</w:t>
      </w:r>
      <w:r w:rsidRPr="00B80107">
        <w:rPr>
          <w:rFonts w:ascii="Arial" w:hAnsi="Arial" w:cs="Arial"/>
        </w:rPr>
        <w:t>Tensions between policy and practice: A qualitative analysis of decisions regarding compulsory admission to psychiatric hospital</w:t>
      </w:r>
      <w:r w:rsidR="00824D78">
        <w:rPr>
          <w:rFonts w:ascii="Arial" w:hAnsi="Arial" w:cs="Arial"/>
        </w:rPr>
        <w:t>’,</w:t>
      </w:r>
      <w:r w:rsidRPr="00B80107">
        <w:rPr>
          <w:rFonts w:ascii="Arial" w:hAnsi="Arial" w:cs="Arial"/>
        </w:rPr>
        <w:t> </w:t>
      </w:r>
      <w:r w:rsidRPr="00B80107">
        <w:rPr>
          <w:rFonts w:ascii="Arial" w:hAnsi="Arial" w:cs="Arial"/>
          <w:i/>
          <w:iCs/>
        </w:rPr>
        <w:t>International Journal of Law and Psychiatry</w:t>
      </w:r>
      <w:r w:rsidRPr="00B80107">
        <w:rPr>
          <w:rFonts w:ascii="Arial" w:hAnsi="Arial" w:cs="Arial"/>
        </w:rPr>
        <w:t>, 46, pp.50-57. </w:t>
      </w:r>
    </w:p>
    <w:p w14:paraId="7515C819" w14:textId="5112476F" w:rsidR="00C70E46" w:rsidRDefault="00C70E46" w:rsidP="00DE4ED4">
      <w:pPr>
        <w:spacing w:line="480" w:lineRule="auto"/>
        <w:rPr>
          <w:rFonts w:ascii="Arial" w:hAnsi="Arial" w:cs="Arial"/>
        </w:rPr>
      </w:pPr>
      <w:r w:rsidRPr="00B80107">
        <w:rPr>
          <w:rFonts w:ascii="Arial" w:hAnsi="Arial" w:cs="Arial"/>
        </w:rPr>
        <w:t xml:space="preserve">Full Fact (2017) </w:t>
      </w:r>
      <w:r w:rsidRPr="00DE4ED4">
        <w:rPr>
          <w:rFonts w:ascii="Arial" w:hAnsi="Arial" w:cs="Arial"/>
          <w:i/>
        </w:rPr>
        <w:t>NHS spending on mental health</w:t>
      </w:r>
      <w:r w:rsidRPr="00B80107">
        <w:rPr>
          <w:rFonts w:ascii="Arial" w:hAnsi="Arial" w:cs="Arial"/>
        </w:rPr>
        <w:t xml:space="preserve"> [online]</w:t>
      </w:r>
      <w:r w:rsidR="00824D78">
        <w:rPr>
          <w:rFonts w:ascii="Arial" w:hAnsi="Arial" w:cs="Arial"/>
        </w:rPr>
        <w:t>,</w:t>
      </w:r>
      <w:r w:rsidRPr="00B80107">
        <w:rPr>
          <w:rFonts w:ascii="Arial" w:hAnsi="Arial" w:cs="Arial"/>
        </w:rPr>
        <w:t xml:space="preserve"> Available at </w:t>
      </w:r>
      <w:hyperlink r:id="rId13" w:tgtFrame="_blank" w:history="1">
        <w:r w:rsidRPr="00B80107">
          <w:rPr>
            <w:rStyle w:val="Hyperlink"/>
            <w:rFonts w:ascii="Arial" w:hAnsi="Arial" w:cs="Arial"/>
          </w:rPr>
          <w:t>https://fullfact.org/health/nhs-spending-mental-health/</w:t>
        </w:r>
      </w:hyperlink>
      <w:r w:rsidRPr="00B80107">
        <w:rPr>
          <w:rFonts w:ascii="Arial" w:hAnsi="Arial" w:cs="Arial"/>
        </w:rPr>
        <w:t> </w:t>
      </w:r>
    </w:p>
    <w:p w14:paraId="1EB41742" w14:textId="33B76A2B" w:rsidR="009C4DD3" w:rsidRPr="00B80107" w:rsidRDefault="009C4DD3" w:rsidP="00DE4ED4">
      <w:pPr>
        <w:spacing w:line="480" w:lineRule="auto"/>
        <w:rPr>
          <w:rFonts w:ascii="Arial" w:hAnsi="Arial" w:cs="Arial"/>
        </w:rPr>
      </w:pPr>
      <w:proofErr w:type="spellStart"/>
      <w:r w:rsidRPr="00B80107">
        <w:rPr>
          <w:rFonts w:ascii="Arial" w:hAnsi="Arial" w:cs="Arial"/>
        </w:rPr>
        <w:t>Gilburt</w:t>
      </w:r>
      <w:proofErr w:type="spellEnd"/>
      <w:r w:rsidRPr="00B80107">
        <w:rPr>
          <w:rFonts w:ascii="Arial" w:hAnsi="Arial" w:cs="Arial"/>
        </w:rPr>
        <w:t xml:space="preserve">, H. </w:t>
      </w:r>
      <w:r>
        <w:rPr>
          <w:rFonts w:ascii="Arial" w:hAnsi="Arial" w:cs="Arial"/>
        </w:rPr>
        <w:t>(</w:t>
      </w:r>
      <w:r w:rsidRPr="00B80107">
        <w:rPr>
          <w:rFonts w:ascii="Arial" w:hAnsi="Arial" w:cs="Arial"/>
        </w:rPr>
        <w:t>2015</w:t>
      </w:r>
      <w:r>
        <w:rPr>
          <w:rFonts w:ascii="Arial" w:hAnsi="Arial" w:cs="Arial"/>
        </w:rPr>
        <w:t>)</w:t>
      </w:r>
      <w:r w:rsidRPr="00B80107">
        <w:rPr>
          <w:rFonts w:ascii="Arial" w:hAnsi="Arial" w:cs="Arial"/>
        </w:rPr>
        <w:t> </w:t>
      </w:r>
      <w:r w:rsidRPr="00B80107">
        <w:rPr>
          <w:rFonts w:ascii="Arial" w:hAnsi="Arial" w:cs="Arial"/>
          <w:i/>
          <w:iCs/>
        </w:rPr>
        <w:t>Mental Health Under Pressure</w:t>
      </w:r>
      <w:r w:rsidR="00824D78">
        <w:rPr>
          <w:rFonts w:ascii="Arial" w:hAnsi="Arial" w:cs="Arial"/>
          <w:i/>
          <w:iCs/>
        </w:rPr>
        <w:t>,</w:t>
      </w:r>
      <w:r w:rsidRPr="00B80107">
        <w:rPr>
          <w:rFonts w:ascii="Arial" w:hAnsi="Arial" w:cs="Arial"/>
        </w:rPr>
        <w:t xml:space="preserve"> London</w:t>
      </w:r>
      <w:r w:rsidR="00824D78">
        <w:rPr>
          <w:rFonts w:ascii="Arial" w:hAnsi="Arial" w:cs="Arial"/>
        </w:rPr>
        <w:t>,</w:t>
      </w:r>
      <w:r w:rsidRPr="00B80107">
        <w:rPr>
          <w:rFonts w:ascii="Arial" w:hAnsi="Arial" w:cs="Arial"/>
        </w:rPr>
        <w:t xml:space="preserve"> The Kings Fund</w:t>
      </w:r>
      <w:r>
        <w:rPr>
          <w:rFonts w:ascii="Arial" w:hAnsi="Arial" w:cs="Arial"/>
        </w:rPr>
        <w:t>.</w:t>
      </w:r>
      <w:r w:rsidRPr="00B80107">
        <w:rPr>
          <w:rFonts w:ascii="Arial" w:hAnsi="Arial" w:cs="Arial"/>
        </w:rPr>
        <w:t> </w:t>
      </w:r>
    </w:p>
    <w:p w14:paraId="7DECF778" w14:textId="1CCE2C4D" w:rsidR="009C4DD3" w:rsidRPr="00D029AE" w:rsidRDefault="009C4DD3" w:rsidP="00DE4ED4">
      <w:pPr>
        <w:spacing w:line="480" w:lineRule="auto"/>
        <w:rPr>
          <w:rFonts w:ascii="Arial" w:hAnsi="Arial" w:cs="Arial"/>
          <w:lang w:val="fr-FR"/>
        </w:rPr>
      </w:pPr>
      <w:proofErr w:type="spellStart"/>
      <w:r w:rsidRPr="00B80107">
        <w:rPr>
          <w:rFonts w:ascii="Arial" w:hAnsi="Arial" w:cs="Arial"/>
        </w:rPr>
        <w:t>Gilburt</w:t>
      </w:r>
      <w:proofErr w:type="spellEnd"/>
      <w:r w:rsidRPr="00B80107">
        <w:rPr>
          <w:rFonts w:ascii="Arial" w:hAnsi="Arial" w:cs="Arial"/>
        </w:rPr>
        <w:t xml:space="preserve">, H. </w:t>
      </w:r>
      <w:r>
        <w:rPr>
          <w:rFonts w:ascii="Arial" w:hAnsi="Arial" w:cs="Arial"/>
        </w:rPr>
        <w:t>(</w:t>
      </w:r>
      <w:r w:rsidRPr="00B80107">
        <w:rPr>
          <w:rFonts w:ascii="Arial" w:hAnsi="Arial" w:cs="Arial"/>
        </w:rPr>
        <w:t>2018</w:t>
      </w:r>
      <w:r>
        <w:rPr>
          <w:rFonts w:ascii="Arial" w:hAnsi="Arial" w:cs="Arial"/>
        </w:rPr>
        <w:t>)</w:t>
      </w:r>
      <w:r w:rsidRPr="00B80107">
        <w:rPr>
          <w:rFonts w:ascii="Arial" w:hAnsi="Arial" w:cs="Arial"/>
        </w:rPr>
        <w:t> </w:t>
      </w:r>
      <w:r w:rsidRPr="00F44D03">
        <w:rPr>
          <w:rFonts w:ascii="Arial" w:hAnsi="Arial" w:cs="Arial"/>
          <w:i/>
        </w:rPr>
        <w:t>Funding and staffing of NHS mental health providers: still waiting for parity</w:t>
      </w:r>
      <w:r w:rsidR="00824D78">
        <w:rPr>
          <w:rFonts w:ascii="Arial" w:hAnsi="Arial" w:cs="Arial"/>
          <w:i/>
        </w:rPr>
        <w:t>,</w:t>
      </w:r>
      <w:r w:rsidRPr="00B80107">
        <w:rPr>
          <w:rFonts w:ascii="Arial" w:hAnsi="Arial" w:cs="Arial"/>
        </w:rPr>
        <w:t xml:space="preserve"> London</w:t>
      </w:r>
      <w:r w:rsidR="00824D78">
        <w:rPr>
          <w:rFonts w:ascii="Arial" w:hAnsi="Arial" w:cs="Arial"/>
        </w:rPr>
        <w:t>,</w:t>
      </w:r>
      <w:r w:rsidRPr="00B80107">
        <w:rPr>
          <w:rFonts w:ascii="Arial" w:hAnsi="Arial" w:cs="Arial"/>
        </w:rPr>
        <w:t xml:space="preserve"> The Kings Fund</w:t>
      </w:r>
      <w:r>
        <w:rPr>
          <w:rFonts w:ascii="Arial" w:hAnsi="Arial" w:cs="Arial"/>
        </w:rPr>
        <w:t>.</w:t>
      </w:r>
      <w:r w:rsidRPr="00B80107">
        <w:rPr>
          <w:rFonts w:ascii="Arial" w:hAnsi="Arial" w:cs="Arial"/>
        </w:rPr>
        <w:t> </w:t>
      </w:r>
      <w:proofErr w:type="spellStart"/>
      <w:r w:rsidRPr="00D029AE">
        <w:rPr>
          <w:rFonts w:ascii="Arial" w:hAnsi="Arial" w:cs="Arial"/>
          <w:lang w:val="fr-FR"/>
        </w:rPr>
        <w:t>Available</w:t>
      </w:r>
      <w:proofErr w:type="spellEnd"/>
      <w:r w:rsidRPr="00D029AE">
        <w:rPr>
          <w:rFonts w:ascii="Arial" w:hAnsi="Arial" w:cs="Arial"/>
          <w:lang w:val="fr-FR"/>
        </w:rPr>
        <w:t xml:space="preserve"> at </w:t>
      </w:r>
      <w:hyperlink r:id="rId14" w:tgtFrame="_blank" w:history="1">
        <w:r w:rsidRPr="00D029AE">
          <w:rPr>
            <w:rStyle w:val="Hyperlink"/>
            <w:rFonts w:ascii="Arial" w:hAnsi="Arial" w:cs="Arial"/>
            <w:lang w:val="fr-FR"/>
          </w:rPr>
          <w:t>https://www.kingsfund.org.uk/publications/funding-staffing-mental-health-providers</w:t>
        </w:r>
      </w:hyperlink>
      <w:r w:rsidRPr="00D029AE">
        <w:rPr>
          <w:rFonts w:ascii="Arial" w:hAnsi="Arial" w:cs="Arial"/>
          <w:lang w:val="fr-FR"/>
        </w:rPr>
        <w:t> </w:t>
      </w:r>
    </w:p>
    <w:p w14:paraId="51308947" w14:textId="2BEC0669" w:rsidR="00B80107" w:rsidRDefault="00B80107" w:rsidP="00DE4ED4">
      <w:pPr>
        <w:spacing w:line="480" w:lineRule="auto"/>
        <w:rPr>
          <w:rFonts w:ascii="Arial" w:hAnsi="Arial" w:cs="Arial"/>
        </w:rPr>
      </w:pPr>
      <w:r w:rsidRPr="00B80107">
        <w:rPr>
          <w:rFonts w:ascii="Arial" w:hAnsi="Arial" w:cs="Arial"/>
        </w:rPr>
        <w:t>Glasby, J</w:t>
      </w:r>
      <w:r w:rsidR="00824D78">
        <w:rPr>
          <w:rFonts w:ascii="Arial" w:hAnsi="Arial" w:cs="Arial"/>
        </w:rPr>
        <w:t>.</w:t>
      </w:r>
      <w:r w:rsidRPr="00B80107">
        <w:rPr>
          <w:rFonts w:ascii="Arial" w:hAnsi="Arial" w:cs="Arial"/>
        </w:rPr>
        <w:t xml:space="preserve"> and Tew, J</w:t>
      </w:r>
      <w:r w:rsidR="00824D78">
        <w:rPr>
          <w:rFonts w:ascii="Arial" w:hAnsi="Arial" w:cs="Arial"/>
        </w:rPr>
        <w:t>.</w:t>
      </w:r>
      <w:r w:rsidRPr="00B80107">
        <w:rPr>
          <w:rFonts w:ascii="Arial" w:hAnsi="Arial" w:cs="Arial"/>
        </w:rPr>
        <w:t xml:space="preserve"> (2015) </w:t>
      </w:r>
      <w:r w:rsidRPr="00B80107">
        <w:rPr>
          <w:rFonts w:ascii="Arial" w:hAnsi="Arial" w:cs="Arial"/>
          <w:i/>
          <w:iCs/>
        </w:rPr>
        <w:t>Mental Health Policy and Practice</w:t>
      </w:r>
      <w:r w:rsidR="00824D78">
        <w:rPr>
          <w:rFonts w:ascii="Arial" w:hAnsi="Arial" w:cs="Arial"/>
        </w:rPr>
        <w:t>,</w:t>
      </w:r>
      <w:r w:rsidRPr="00B80107">
        <w:rPr>
          <w:rFonts w:ascii="Arial" w:hAnsi="Arial" w:cs="Arial"/>
        </w:rPr>
        <w:t xml:space="preserve"> </w:t>
      </w:r>
      <w:r w:rsidR="00824D78">
        <w:rPr>
          <w:rFonts w:ascii="Arial" w:hAnsi="Arial" w:cs="Arial"/>
        </w:rPr>
        <w:t>(</w:t>
      </w:r>
      <w:r w:rsidRPr="00B80107">
        <w:rPr>
          <w:rFonts w:ascii="Arial" w:hAnsi="Arial" w:cs="Arial"/>
        </w:rPr>
        <w:t>3</w:t>
      </w:r>
      <w:r w:rsidRPr="00B80107">
        <w:rPr>
          <w:rFonts w:ascii="Arial" w:hAnsi="Arial" w:cs="Arial"/>
          <w:vertAlign w:val="superscript"/>
        </w:rPr>
        <w:t>rd</w:t>
      </w:r>
      <w:r w:rsidRPr="00B80107">
        <w:rPr>
          <w:rFonts w:ascii="Arial" w:hAnsi="Arial" w:cs="Arial"/>
        </w:rPr>
        <w:t> </w:t>
      </w:r>
      <w:r w:rsidR="00824D78">
        <w:rPr>
          <w:rFonts w:ascii="Arial" w:hAnsi="Arial" w:cs="Arial"/>
        </w:rPr>
        <w:t>E</w:t>
      </w:r>
      <w:r w:rsidRPr="00B80107">
        <w:rPr>
          <w:rFonts w:ascii="Arial" w:hAnsi="Arial" w:cs="Arial"/>
        </w:rPr>
        <w:t>d.</w:t>
      </w:r>
      <w:r w:rsidR="00824D78">
        <w:rPr>
          <w:rFonts w:ascii="Arial" w:hAnsi="Arial" w:cs="Arial"/>
        </w:rPr>
        <w:t xml:space="preserve">), </w:t>
      </w:r>
      <w:r w:rsidRPr="00B80107">
        <w:rPr>
          <w:rFonts w:ascii="Arial" w:hAnsi="Arial" w:cs="Arial"/>
        </w:rPr>
        <w:t>London</w:t>
      </w:r>
      <w:r w:rsidR="00824D78">
        <w:rPr>
          <w:rFonts w:ascii="Arial" w:hAnsi="Arial" w:cs="Arial"/>
        </w:rPr>
        <w:t>,</w:t>
      </w:r>
      <w:r w:rsidRPr="00B80107">
        <w:rPr>
          <w:rFonts w:ascii="Arial" w:hAnsi="Arial" w:cs="Arial"/>
        </w:rPr>
        <w:t xml:space="preserve"> Palgrave.  </w:t>
      </w:r>
    </w:p>
    <w:p w14:paraId="546F0281" w14:textId="07226DD4" w:rsidR="00F55BAD" w:rsidRDefault="00F55BAD" w:rsidP="00DE4ED4">
      <w:pPr>
        <w:spacing w:line="480" w:lineRule="auto"/>
        <w:rPr>
          <w:rFonts w:ascii="Arial" w:hAnsi="Arial" w:cs="Arial"/>
        </w:rPr>
      </w:pPr>
      <w:r w:rsidRPr="00F55BAD">
        <w:rPr>
          <w:rFonts w:ascii="Arial" w:hAnsi="Arial" w:cs="Arial"/>
        </w:rPr>
        <w:t>Glover-Thomas, N.</w:t>
      </w:r>
      <w:r>
        <w:rPr>
          <w:rFonts w:ascii="Arial" w:hAnsi="Arial" w:cs="Arial"/>
        </w:rPr>
        <w:t xml:space="preserve"> (2010) </w:t>
      </w:r>
      <w:r w:rsidR="00824D78">
        <w:rPr>
          <w:rFonts w:ascii="Arial" w:hAnsi="Arial" w:cs="Arial"/>
        </w:rPr>
        <w:t>‘</w:t>
      </w:r>
      <w:r w:rsidRPr="00F55BAD">
        <w:rPr>
          <w:rFonts w:ascii="Arial" w:hAnsi="Arial" w:cs="Arial"/>
        </w:rPr>
        <w:t xml:space="preserve">The Mental Health Act 2007 in England and Wales: the Impact on </w:t>
      </w:r>
      <w:r>
        <w:rPr>
          <w:rFonts w:ascii="Arial" w:hAnsi="Arial" w:cs="Arial"/>
        </w:rPr>
        <w:t>Perceived Patient Risk Profiles</w:t>
      </w:r>
      <w:r w:rsidR="0060492D">
        <w:rPr>
          <w:rFonts w:ascii="Arial" w:hAnsi="Arial" w:cs="Arial"/>
        </w:rPr>
        <w:t>’,</w:t>
      </w:r>
      <w:r w:rsidRPr="00F55BAD">
        <w:rPr>
          <w:rFonts w:ascii="Arial" w:hAnsi="Arial" w:cs="Arial"/>
        </w:rPr>
        <w:t xml:space="preserve"> </w:t>
      </w:r>
      <w:r w:rsidRPr="00DE4ED4">
        <w:rPr>
          <w:rFonts w:ascii="Arial" w:hAnsi="Arial" w:cs="Arial"/>
          <w:i/>
        </w:rPr>
        <w:t>Medicine and Law</w:t>
      </w:r>
      <w:r w:rsidR="0060492D">
        <w:rPr>
          <w:rFonts w:ascii="Arial" w:hAnsi="Arial" w:cs="Arial"/>
          <w:i/>
        </w:rPr>
        <w:t xml:space="preserve">, </w:t>
      </w:r>
      <w:r w:rsidR="0060492D" w:rsidRPr="00F55BAD">
        <w:rPr>
          <w:rFonts w:ascii="Arial" w:hAnsi="Arial" w:cs="Arial"/>
        </w:rPr>
        <w:t>29</w:t>
      </w:r>
      <w:r w:rsidR="0060492D">
        <w:rPr>
          <w:rFonts w:ascii="Arial" w:hAnsi="Arial" w:cs="Arial"/>
        </w:rPr>
        <w:t xml:space="preserve"> </w:t>
      </w:r>
      <w:r w:rsidR="0060492D" w:rsidRPr="00F55BAD">
        <w:rPr>
          <w:rFonts w:ascii="Arial" w:hAnsi="Arial" w:cs="Arial"/>
        </w:rPr>
        <w:t>(4)</w:t>
      </w:r>
      <w:r w:rsidR="0060492D">
        <w:rPr>
          <w:rFonts w:ascii="Arial" w:hAnsi="Arial" w:cs="Arial"/>
        </w:rPr>
        <w:t>,</w:t>
      </w:r>
      <w:r w:rsidR="0060492D" w:rsidRPr="00F55BAD">
        <w:rPr>
          <w:rFonts w:ascii="Arial" w:hAnsi="Arial" w:cs="Arial"/>
        </w:rPr>
        <w:t xml:space="preserve"> </w:t>
      </w:r>
      <w:r w:rsidR="0060492D">
        <w:rPr>
          <w:rFonts w:ascii="Arial" w:hAnsi="Arial" w:cs="Arial"/>
        </w:rPr>
        <w:t>pp.</w:t>
      </w:r>
      <w:r w:rsidRPr="00F55BAD">
        <w:rPr>
          <w:rFonts w:ascii="Arial" w:hAnsi="Arial" w:cs="Arial"/>
        </w:rPr>
        <w:t>593</w:t>
      </w:r>
      <w:r w:rsidR="0060492D">
        <w:rPr>
          <w:rFonts w:ascii="Arial" w:hAnsi="Arial" w:cs="Arial"/>
        </w:rPr>
        <w:t>-607</w:t>
      </w:r>
      <w:r w:rsidRPr="00F55BAD">
        <w:rPr>
          <w:rFonts w:ascii="Arial" w:hAnsi="Arial" w:cs="Arial"/>
        </w:rPr>
        <w:t>.</w:t>
      </w:r>
    </w:p>
    <w:p w14:paraId="7CE0A540" w14:textId="6DBFC79D" w:rsidR="00B80107" w:rsidRDefault="00B80107" w:rsidP="00DE4ED4">
      <w:pPr>
        <w:spacing w:line="480" w:lineRule="auto"/>
        <w:rPr>
          <w:rFonts w:ascii="Arial" w:hAnsi="Arial" w:cs="Arial"/>
        </w:rPr>
      </w:pPr>
      <w:r w:rsidRPr="00B80107">
        <w:rPr>
          <w:rFonts w:ascii="Arial" w:hAnsi="Arial" w:cs="Arial"/>
        </w:rPr>
        <w:t xml:space="preserve">Hall, P. (2017) </w:t>
      </w:r>
      <w:r w:rsidR="0060492D">
        <w:rPr>
          <w:rFonts w:ascii="Arial" w:hAnsi="Arial" w:cs="Arial"/>
        </w:rPr>
        <w:t>‘</w:t>
      </w:r>
      <w:r w:rsidRPr="00B80107">
        <w:rPr>
          <w:rFonts w:ascii="Arial" w:hAnsi="Arial" w:cs="Arial"/>
        </w:rPr>
        <w:t>Mental Health Act Assessments – Professional Narratives on Alternatives to Hospital Admission</w:t>
      </w:r>
      <w:r w:rsidR="0060492D">
        <w:rPr>
          <w:rFonts w:ascii="Arial" w:hAnsi="Arial" w:cs="Arial"/>
        </w:rPr>
        <w:t>’,</w:t>
      </w:r>
      <w:r w:rsidRPr="00B80107">
        <w:rPr>
          <w:rFonts w:ascii="Arial" w:hAnsi="Arial" w:cs="Arial"/>
        </w:rPr>
        <w:t> </w:t>
      </w:r>
      <w:r w:rsidRPr="00B80107">
        <w:rPr>
          <w:rFonts w:ascii="Arial" w:hAnsi="Arial" w:cs="Arial"/>
          <w:i/>
          <w:iCs/>
        </w:rPr>
        <w:t>Journal of Social Work Practice</w:t>
      </w:r>
      <w:r w:rsidRPr="00B80107">
        <w:rPr>
          <w:rFonts w:ascii="Arial" w:hAnsi="Arial" w:cs="Arial"/>
        </w:rPr>
        <w:t>, 31</w:t>
      </w:r>
      <w:r w:rsidR="0060492D">
        <w:rPr>
          <w:rFonts w:ascii="Arial" w:hAnsi="Arial" w:cs="Arial"/>
        </w:rPr>
        <w:t xml:space="preserve"> </w:t>
      </w:r>
      <w:r w:rsidRPr="00B80107">
        <w:rPr>
          <w:rFonts w:ascii="Arial" w:hAnsi="Arial" w:cs="Arial"/>
        </w:rPr>
        <w:t>(4), pp.445-459. </w:t>
      </w:r>
    </w:p>
    <w:p w14:paraId="1D880758" w14:textId="1A3A2A12" w:rsidR="00C70E46" w:rsidRDefault="00C70E46" w:rsidP="00DE4ED4">
      <w:pPr>
        <w:spacing w:line="480" w:lineRule="auto"/>
        <w:rPr>
          <w:rFonts w:ascii="Arial" w:hAnsi="Arial" w:cs="Arial"/>
        </w:rPr>
      </w:pPr>
      <w:r w:rsidRPr="00B80107">
        <w:rPr>
          <w:rFonts w:ascii="Arial" w:hAnsi="Arial" w:cs="Arial"/>
        </w:rPr>
        <w:lastRenderedPageBreak/>
        <w:t xml:space="preserve">Harris, T. (2001) </w:t>
      </w:r>
      <w:r w:rsidR="0060492D">
        <w:rPr>
          <w:rFonts w:ascii="Arial" w:hAnsi="Arial" w:cs="Arial"/>
        </w:rPr>
        <w:t>‘</w:t>
      </w:r>
      <w:r w:rsidRPr="00B80107">
        <w:rPr>
          <w:rFonts w:ascii="Arial" w:hAnsi="Arial" w:cs="Arial"/>
        </w:rPr>
        <w:t>Recent developments in understanding the psychosocial aspects of depression</w:t>
      </w:r>
      <w:r w:rsidR="0060492D">
        <w:rPr>
          <w:rFonts w:ascii="Arial" w:hAnsi="Arial" w:cs="Arial"/>
        </w:rPr>
        <w:t>’,</w:t>
      </w:r>
      <w:r w:rsidRPr="00B80107">
        <w:rPr>
          <w:rFonts w:ascii="Arial" w:hAnsi="Arial" w:cs="Arial"/>
        </w:rPr>
        <w:t xml:space="preserve"> </w:t>
      </w:r>
      <w:r w:rsidRPr="00B80107">
        <w:rPr>
          <w:rFonts w:ascii="Arial" w:hAnsi="Arial" w:cs="Arial"/>
          <w:i/>
        </w:rPr>
        <w:t>British Medical Bulletin</w:t>
      </w:r>
      <w:r w:rsidR="0060492D">
        <w:rPr>
          <w:rFonts w:ascii="Arial" w:hAnsi="Arial" w:cs="Arial"/>
          <w:i/>
        </w:rPr>
        <w:t>,</w:t>
      </w:r>
      <w:r w:rsidRPr="00B80107">
        <w:rPr>
          <w:rFonts w:ascii="Arial" w:hAnsi="Arial" w:cs="Arial"/>
        </w:rPr>
        <w:t xml:space="preserve"> 57</w:t>
      </w:r>
      <w:r w:rsidR="0060492D">
        <w:rPr>
          <w:rFonts w:ascii="Arial" w:hAnsi="Arial" w:cs="Arial"/>
        </w:rPr>
        <w:t xml:space="preserve"> </w:t>
      </w:r>
      <w:r w:rsidRPr="00B80107">
        <w:rPr>
          <w:rFonts w:ascii="Arial" w:hAnsi="Arial" w:cs="Arial"/>
        </w:rPr>
        <w:t>(1)</w:t>
      </w:r>
      <w:r w:rsidR="0060492D">
        <w:rPr>
          <w:rFonts w:ascii="Arial" w:hAnsi="Arial" w:cs="Arial"/>
        </w:rPr>
        <w:t>,</w:t>
      </w:r>
      <w:r w:rsidRPr="00B80107">
        <w:rPr>
          <w:rFonts w:ascii="Arial" w:hAnsi="Arial" w:cs="Arial"/>
        </w:rPr>
        <w:t xml:space="preserve"> pp.17-32.</w:t>
      </w:r>
    </w:p>
    <w:p w14:paraId="3990D4AD" w14:textId="6D1FF54C" w:rsidR="00C70E46" w:rsidRDefault="00C70E46" w:rsidP="00DE4ED4">
      <w:pPr>
        <w:spacing w:line="480" w:lineRule="auto"/>
        <w:rPr>
          <w:rFonts w:ascii="Arial" w:hAnsi="Arial" w:cs="Arial"/>
        </w:rPr>
      </w:pPr>
      <w:r w:rsidRPr="00B80107">
        <w:rPr>
          <w:rFonts w:ascii="Arial" w:hAnsi="Arial" w:cs="Arial"/>
        </w:rPr>
        <w:t xml:space="preserve">Independent Review of the Mental Health Act (2017) </w:t>
      </w:r>
      <w:r w:rsidRPr="002B0E52">
        <w:rPr>
          <w:rFonts w:ascii="Arial" w:hAnsi="Arial" w:cs="Arial"/>
          <w:i/>
        </w:rPr>
        <w:t>Terms of Reference</w:t>
      </w:r>
      <w:r w:rsidRPr="00B80107">
        <w:rPr>
          <w:rFonts w:ascii="Arial" w:hAnsi="Arial" w:cs="Arial"/>
        </w:rPr>
        <w:t xml:space="preserve"> [online]</w:t>
      </w:r>
      <w:r w:rsidR="0060492D">
        <w:rPr>
          <w:rFonts w:ascii="Arial" w:hAnsi="Arial" w:cs="Arial"/>
        </w:rPr>
        <w:t>,</w:t>
      </w:r>
      <w:r w:rsidRPr="00B80107">
        <w:rPr>
          <w:rFonts w:ascii="Arial" w:hAnsi="Arial" w:cs="Arial"/>
        </w:rPr>
        <w:t xml:space="preserve"> Available at: </w:t>
      </w:r>
      <w:hyperlink r:id="rId15" w:tgtFrame="_blank" w:history="1">
        <w:r w:rsidRPr="00B80107">
          <w:rPr>
            <w:rStyle w:val="Hyperlink"/>
            <w:rFonts w:ascii="Arial" w:hAnsi="Arial" w:cs="Arial"/>
          </w:rPr>
          <w:t>https://www.gov.uk/government/groups/independent-review-of-the-mental-health-act</w:t>
        </w:r>
      </w:hyperlink>
      <w:r w:rsidRPr="00B80107">
        <w:rPr>
          <w:rFonts w:ascii="Arial" w:hAnsi="Arial" w:cs="Arial"/>
        </w:rPr>
        <w:t>  </w:t>
      </w:r>
    </w:p>
    <w:p w14:paraId="629C5AAF" w14:textId="6DAB85CF" w:rsidR="009C4DD3" w:rsidRDefault="009C4DD3" w:rsidP="00DE4ED4">
      <w:pPr>
        <w:spacing w:line="480" w:lineRule="auto"/>
        <w:rPr>
          <w:rFonts w:ascii="Arial" w:hAnsi="Arial" w:cs="Arial"/>
        </w:rPr>
      </w:pPr>
      <w:r w:rsidRPr="00B80107">
        <w:rPr>
          <w:rFonts w:ascii="Arial" w:hAnsi="Arial" w:cs="Arial"/>
        </w:rPr>
        <w:t xml:space="preserve">Keown, P., </w:t>
      </w:r>
      <w:proofErr w:type="spellStart"/>
      <w:r w:rsidRPr="00B80107">
        <w:rPr>
          <w:rFonts w:ascii="Arial" w:hAnsi="Arial" w:cs="Arial"/>
        </w:rPr>
        <w:t>Weich</w:t>
      </w:r>
      <w:proofErr w:type="spellEnd"/>
      <w:r w:rsidRPr="00B80107">
        <w:rPr>
          <w:rFonts w:ascii="Arial" w:hAnsi="Arial" w:cs="Arial"/>
        </w:rPr>
        <w:t>, S., </w:t>
      </w:r>
      <w:proofErr w:type="spellStart"/>
      <w:r w:rsidRPr="00B80107">
        <w:rPr>
          <w:rFonts w:ascii="Arial" w:hAnsi="Arial" w:cs="Arial"/>
        </w:rPr>
        <w:t>Bhui</w:t>
      </w:r>
      <w:proofErr w:type="spellEnd"/>
      <w:r w:rsidRPr="00B80107">
        <w:rPr>
          <w:rFonts w:ascii="Arial" w:hAnsi="Arial" w:cs="Arial"/>
        </w:rPr>
        <w:t>, K.</w:t>
      </w:r>
      <w:r w:rsidR="0060492D">
        <w:rPr>
          <w:rFonts w:ascii="Arial" w:hAnsi="Arial" w:cs="Arial"/>
        </w:rPr>
        <w:t>S.</w:t>
      </w:r>
      <w:r w:rsidRPr="00B80107">
        <w:rPr>
          <w:rFonts w:ascii="Arial" w:hAnsi="Arial" w:cs="Arial"/>
        </w:rPr>
        <w:t xml:space="preserve"> and Scott, J. </w:t>
      </w:r>
      <w:r w:rsidR="0060492D">
        <w:rPr>
          <w:rFonts w:ascii="Arial" w:hAnsi="Arial" w:cs="Arial"/>
        </w:rPr>
        <w:t>‘</w:t>
      </w:r>
      <w:r w:rsidRPr="00B80107">
        <w:rPr>
          <w:rFonts w:ascii="Arial" w:hAnsi="Arial" w:cs="Arial"/>
        </w:rPr>
        <w:t>Association between provision of mental illness beds and rate of involuntary admissions in the NHS in England 1988-2008: ecological study</w:t>
      </w:r>
      <w:r w:rsidR="0060492D">
        <w:rPr>
          <w:rFonts w:ascii="Arial" w:hAnsi="Arial" w:cs="Arial"/>
        </w:rPr>
        <w:t>’,</w:t>
      </w:r>
      <w:r w:rsidRPr="00B80107">
        <w:rPr>
          <w:rFonts w:ascii="Arial" w:hAnsi="Arial" w:cs="Arial"/>
        </w:rPr>
        <w:t> </w:t>
      </w:r>
      <w:r w:rsidRPr="00B80107">
        <w:rPr>
          <w:rFonts w:ascii="Arial" w:hAnsi="Arial" w:cs="Arial"/>
          <w:i/>
          <w:iCs/>
        </w:rPr>
        <w:t>B</w:t>
      </w:r>
      <w:r>
        <w:rPr>
          <w:rFonts w:ascii="Arial" w:hAnsi="Arial" w:cs="Arial"/>
          <w:i/>
          <w:iCs/>
        </w:rPr>
        <w:t xml:space="preserve">ritish </w:t>
      </w:r>
      <w:r w:rsidRPr="00B80107">
        <w:rPr>
          <w:rFonts w:ascii="Arial" w:hAnsi="Arial" w:cs="Arial"/>
          <w:i/>
          <w:iCs/>
        </w:rPr>
        <w:t>M</w:t>
      </w:r>
      <w:r>
        <w:rPr>
          <w:rFonts w:ascii="Arial" w:hAnsi="Arial" w:cs="Arial"/>
          <w:i/>
          <w:iCs/>
        </w:rPr>
        <w:t xml:space="preserve">edical </w:t>
      </w:r>
      <w:r w:rsidRPr="00B80107">
        <w:rPr>
          <w:rFonts w:ascii="Arial" w:hAnsi="Arial" w:cs="Arial"/>
          <w:i/>
          <w:iCs/>
        </w:rPr>
        <w:t>J</w:t>
      </w:r>
      <w:r>
        <w:rPr>
          <w:rFonts w:ascii="Arial" w:hAnsi="Arial" w:cs="Arial"/>
          <w:i/>
          <w:iCs/>
        </w:rPr>
        <w:t>ournal</w:t>
      </w:r>
      <w:r w:rsidRPr="00B80107">
        <w:rPr>
          <w:rFonts w:ascii="Arial" w:hAnsi="Arial" w:cs="Arial"/>
        </w:rPr>
        <w:t>, 343.</w:t>
      </w:r>
      <w:r w:rsidR="0060492D">
        <w:rPr>
          <w:rFonts w:ascii="Arial" w:hAnsi="Arial" w:cs="Arial"/>
        </w:rPr>
        <w:t xml:space="preserve"> First published July 5, 2011, </w:t>
      </w:r>
      <w:proofErr w:type="spellStart"/>
      <w:r w:rsidR="0060492D" w:rsidRPr="002B0E52">
        <w:rPr>
          <w:rFonts w:ascii="Arial" w:hAnsi="Arial" w:cs="Arial"/>
        </w:rPr>
        <w:t>doi</w:t>
      </w:r>
      <w:proofErr w:type="spellEnd"/>
      <w:r w:rsidR="0060492D" w:rsidRPr="002B0E52">
        <w:rPr>
          <w:rFonts w:ascii="Arial" w:hAnsi="Arial" w:cs="Arial"/>
        </w:rPr>
        <w:t>: 10.1136/bmj.d3736.</w:t>
      </w:r>
      <w:r w:rsidRPr="00B80107">
        <w:rPr>
          <w:rFonts w:ascii="Arial" w:hAnsi="Arial" w:cs="Arial"/>
        </w:rPr>
        <w:t> </w:t>
      </w:r>
    </w:p>
    <w:p w14:paraId="27904A67" w14:textId="75E076C6" w:rsidR="00B80107" w:rsidRDefault="00B80107" w:rsidP="00DE4ED4">
      <w:pPr>
        <w:spacing w:line="480" w:lineRule="auto"/>
        <w:rPr>
          <w:rFonts w:ascii="Arial" w:hAnsi="Arial" w:cs="Arial"/>
        </w:rPr>
      </w:pPr>
      <w:r w:rsidRPr="00B80107">
        <w:rPr>
          <w:rFonts w:ascii="Arial" w:hAnsi="Arial" w:cs="Arial"/>
        </w:rPr>
        <w:t>Knapp, M., Beecham, J., McDaid, D., </w:t>
      </w:r>
      <w:proofErr w:type="spellStart"/>
      <w:r w:rsidRPr="00B80107">
        <w:rPr>
          <w:rFonts w:ascii="Arial" w:hAnsi="Arial" w:cs="Arial"/>
        </w:rPr>
        <w:t>Matosevic</w:t>
      </w:r>
      <w:proofErr w:type="spellEnd"/>
      <w:r w:rsidRPr="00B80107">
        <w:rPr>
          <w:rFonts w:ascii="Arial" w:hAnsi="Arial" w:cs="Arial"/>
        </w:rPr>
        <w:t xml:space="preserve">, T. and Smith, M. (2010) </w:t>
      </w:r>
      <w:r w:rsidR="0007415E">
        <w:rPr>
          <w:rFonts w:ascii="Arial" w:hAnsi="Arial" w:cs="Arial"/>
        </w:rPr>
        <w:t>‘</w:t>
      </w:r>
      <w:r w:rsidRPr="00B80107">
        <w:rPr>
          <w:rFonts w:ascii="Arial" w:hAnsi="Arial" w:cs="Arial"/>
        </w:rPr>
        <w:t>The economic consequences of deinstitutionalisation of mental health services: lessons from a systematic review of European experience</w:t>
      </w:r>
      <w:r w:rsidR="0007415E">
        <w:rPr>
          <w:rFonts w:ascii="Arial" w:hAnsi="Arial" w:cs="Arial"/>
        </w:rPr>
        <w:t>’,</w:t>
      </w:r>
      <w:r w:rsidRPr="00B80107">
        <w:rPr>
          <w:rFonts w:ascii="Arial" w:hAnsi="Arial" w:cs="Arial"/>
        </w:rPr>
        <w:t> </w:t>
      </w:r>
      <w:r w:rsidRPr="00B80107">
        <w:rPr>
          <w:rFonts w:ascii="Arial" w:hAnsi="Arial" w:cs="Arial"/>
          <w:i/>
          <w:iCs/>
        </w:rPr>
        <w:t>Health &amp; Social Care in the Community</w:t>
      </w:r>
      <w:r w:rsidRPr="00B80107">
        <w:rPr>
          <w:rFonts w:ascii="Arial" w:hAnsi="Arial" w:cs="Arial"/>
        </w:rPr>
        <w:t xml:space="preserve">, </w:t>
      </w:r>
      <w:r w:rsidR="0007415E">
        <w:rPr>
          <w:rFonts w:ascii="Arial" w:hAnsi="Arial" w:cs="Arial"/>
        </w:rPr>
        <w:t xml:space="preserve">19 (2), </w:t>
      </w:r>
      <w:r w:rsidR="00DD2C75">
        <w:rPr>
          <w:rFonts w:ascii="Arial" w:hAnsi="Arial" w:cs="Arial"/>
        </w:rPr>
        <w:t>pp.113-125</w:t>
      </w:r>
      <w:r w:rsidRPr="00B80107">
        <w:rPr>
          <w:rFonts w:ascii="Arial" w:hAnsi="Arial" w:cs="Arial"/>
        </w:rPr>
        <w:t>. </w:t>
      </w:r>
    </w:p>
    <w:p w14:paraId="6A950BC5" w14:textId="4C4DAA86" w:rsidR="00C70E46" w:rsidRPr="00D029AE" w:rsidRDefault="00C70E46" w:rsidP="00DE4ED4">
      <w:pPr>
        <w:spacing w:line="480" w:lineRule="auto"/>
        <w:rPr>
          <w:rFonts w:ascii="Arial" w:hAnsi="Arial" w:cs="Arial"/>
          <w:lang w:val="fr-FR"/>
        </w:rPr>
      </w:pPr>
      <w:r w:rsidRPr="00B80107">
        <w:rPr>
          <w:rFonts w:ascii="Arial" w:hAnsi="Arial" w:cs="Arial"/>
        </w:rPr>
        <w:t xml:space="preserve">Mental Health Taskforce (2016) </w:t>
      </w:r>
      <w:r w:rsidRPr="00DE4ED4">
        <w:rPr>
          <w:rFonts w:ascii="Arial" w:hAnsi="Arial" w:cs="Arial"/>
          <w:i/>
        </w:rPr>
        <w:t>The Five Year Forward View for Mental Health</w:t>
      </w:r>
      <w:r w:rsidRPr="00B80107">
        <w:rPr>
          <w:rFonts w:ascii="Arial" w:hAnsi="Arial" w:cs="Arial"/>
        </w:rPr>
        <w:t xml:space="preserve">. </w:t>
      </w:r>
      <w:proofErr w:type="spellStart"/>
      <w:r w:rsidRPr="00D029AE">
        <w:rPr>
          <w:rFonts w:ascii="Arial" w:hAnsi="Arial" w:cs="Arial"/>
          <w:lang w:val="fr-FR"/>
        </w:rPr>
        <w:t>Available</w:t>
      </w:r>
      <w:proofErr w:type="spellEnd"/>
      <w:r w:rsidRPr="00D029AE">
        <w:rPr>
          <w:rFonts w:ascii="Arial" w:hAnsi="Arial" w:cs="Arial"/>
          <w:lang w:val="fr-FR"/>
        </w:rPr>
        <w:t xml:space="preserve"> at </w:t>
      </w:r>
      <w:hyperlink r:id="rId16" w:tgtFrame="_blank" w:history="1">
        <w:r w:rsidRPr="00D029AE">
          <w:rPr>
            <w:rStyle w:val="Hyperlink"/>
            <w:rFonts w:ascii="Arial" w:hAnsi="Arial" w:cs="Arial"/>
            <w:lang w:val="fr-FR"/>
          </w:rPr>
          <w:t>https://www.england.nhs.uk/wp-content/uploads/2016/02/Mental-Health-Taskforce-FYFV-final.pdf</w:t>
        </w:r>
      </w:hyperlink>
      <w:r w:rsidRPr="00D029AE">
        <w:rPr>
          <w:rFonts w:ascii="Arial" w:hAnsi="Arial" w:cs="Arial"/>
          <w:lang w:val="fr-FR"/>
        </w:rPr>
        <w:t> </w:t>
      </w:r>
    </w:p>
    <w:p w14:paraId="5D2A5A9F" w14:textId="00B26167" w:rsidR="00C70E46" w:rsidRDefault="00C70E46" w:rsidP="00DE4ED4">
      <w:pPr>
        <w:spacing w:line="480" w:lineRule="auto"/>
        <w:rPr>
          <w:rFonts w:ascii="Arial" w:hAnsi="Arial" w:cs="Arial"/>
        </w:rPr>
      </w:pPr>
      <w:proofErr w:type="spellStart"/>
      <w:r w:rsidRPr="00B80107">
        <w:rPr>
          <w:rFonts w:ascii="Arial" w:hAnsi="Arial" w:cs="Arial"/>
        </w:rPr>
        <w:t>Morriss</w:t>
      </w:r>
      <w:proofErr w:type="spellEnd"/>
      <w:r w:rsidRPr="00B80107">
        <w:rPr>
          <w:rFonts w:ascii="Arial" w:hAnsi="Arial" w:cs="Arial"/>
        </w:rPr>
        <w:t>, L. (2016) </w:t>
      </w:r>
      <w:r w:rsidR="00E977BA">
        <w:rPr>
          <w:rFonts w:ascii="Arial" w:hAnsi="Arial" w:cs="Arial"/>
        </w:rPr>
        <w:t>‘</w:t>
      </w:r>
      <w:r w:rsidRPr="00B80107">
        <w:rPr>
          <w:rFonts w:ascii="Arial" w:hAnsi="Arial" w:cs="Arial"/>
        </w:rPr>
        <w:t>AMHP Work: Dirty or Prestigious? Dirty Work Designations and the Approved Mental Health Professional</w:t>
      </w:r>
      <w:r w:rsidR="00E977BA">
        <w:rPr>
          <w:rFonts w:ascii="Arial" w:hAnsi="Arial" w:cs="Arial"/>
        </w:rPr>
        <w:t>’</w:t>
      </w:r>
      <w:r w:rsidRPr="00B80107">
        <w:rPr>
          <w:rFonts w:ascii="Arial" w:hAnsi="Arial" w:cs="Arial"/>
        </w:rPr>
        <w:t>, </w:t>
      </w:r>
      <w:r w:rsidRPr="00B80107">
        <w:rPr>
          <w:rFonts w:ascii="Arial" w:hAnsi="Arial" w:cs="Arial"/>
          <w:i/>
          <w:iCs/>
        </w:rPr>
        <w:t>The British Journal of Social Work</w:t>
      </w:r>
      <w:r w:rsidRPr="00B80107">
        <w:rPr>
          <w:rFonts w:ascii="Arial" w:hAnsi="Arial" w:cs="Arial"/>
        </w:rPr>
        <w:t>, 46</w:t>
      </w:r>
      <w:r w:rsidR="00E977BA">
        <w:rPr>
          <w:rFonts w:ascii="Arial" w:hAnsi="Arial" w:cs="Arial"/>
        </w:rPr>
        <w:t xml:space="preserve"> </w:t>
      </w:r>
      <w:r w:rsidRPr="00B80107">
        <w:rPr>
          <w:rFonts w:ascii="Arial" w:hAnsi="Arial" w:cs="Arial"/>
        </w:rPr>
        <w:t>(3)</w:t>
      </w:r>
      <w:r w:rsidR="00E977BA">
        <w:rPr>
          <w:rFonts w:ascii="Arial" w:hAnsi="Arial" w:cs="Arial"/>
        </w:rPr>
        <w:t>,</w:t>
      </w:r>
      <w:r w:rsidRPr="00B80107">
        <w:rPr>
          <w:rFonts w:ascii="Arial" w:hAnsi="Arial" w:cs="Arial"/>
        </w:rPr>
        <w:t xml:space="preserve"> pp</w:t>
      </w:r>
      <w:r w:rsidR="00E977BA">
        <w:rPr>
          <w:rFonts w:ascii="Arial" w:hAnsi="Arial" w:cs="Arial"/>
        </w:rPr>
        <w:t>.7</w:t>
      </w:r>
      <w:r w:rsidRPr="00B80107">
        <w:rPr>
          <w:rFonts w:ascii="Arial" w:hAnsi="Arial" w:cs="Arial"/>
        </w:rPr>
        <w:t>03–718</w:t>
      </w:r>
      <w:r w:rsidR="000431D7">
        <w:rPr>
          <w:rFonts w:ascii="Arial" w:hAnsi="Arial" w:cs="Arial"/>
        </w:rPr>
        <w:t>.</w:t>
      </w:r>
      <w:r w:rsidRPr="00B80107">
        <w:rPr>
          <w:rFonts w:ascii="Arial" w:hAnsi="Arial" w:cs="Arial"/>
        </w:rPr>
        <w:t> </w:t>
      </w:r>
    </w:p>
    <w:p w14:paraId="701F8BF6" w14:textId="4BA0E74E" w:rsidR="00C70E46" w:rsidRDefault="00C70E46" w:rsidP="00DE4ED4">
      <w:pPr>
        <w:spacing w:line="480" w:lineRule="auto"/>
        <w:rPr>
          <w:rFonts w:ascii="Arial" w:hAnsi="Arial" w:cs="Arial"/>
        </w:rPr>
      </w:pPr>
      <w:r w:rsidRPr="00B80107">
        <w:rPr>
          <w:rFonts w:ascii="Arial" w:hAnsi="Arial" w:cs="Arial"/>
        </w:rPr>
        <w:t>National Institute for Health and Care Excellence</w:t>
      </w:r>
      <w:r w:rsidR="000431D7">
        <w:rPr>
          <w:rFonts w:ascii="Arial" w:hAnsi="Arial" w:cs="Arial"/>
        </w:rPr>
        <w:t xml:space="preserve"> (2011)</w:t>
      </w:r>
      <w:r w:rsidRPr="00B80107">
        <w:rPr>
          <w:rFonts w:ascii="Arial" w:hAnsi="Arial" w:cs="Arial"/>
        </w:rPr>
        <w:t xml:space="preserve"> </w:t>
      </w:r>
      <w:r w:rsidRPr="000D5ED3">
        <w:rPr>
          <w:rFonts w:ascii="Arial" w:hAnsi="Arial" w:cs="Arial"/>
          <w:i/>
        </w:rPr>
        <w:t>Quality Standard for Service User Experience in Adult Mental Health</w:t>
      </w:r>
      <w:r w:rsidR="00E977BA">
        <w:rPr>
          <w:rFonts w:ascii="Arial" w:hAnsi="Arial" w:cs="Arial"/>
          <w:i/>
        </w:rPr>
        <w:t>,</w:t>
      </w:r>
      <w:r w:rsidRPr="00B80107">
        <w:rPr>
          <w:rFonts w:ascii="Arial" w:hAnsi="Arial" w:cs="Arial"/>
        </w:rPr>
        <w:t xml:space="preserve"> London</w:t>
      </w:r>
      <w:r w:rsidR="00E977BA">
        <w:rPr>
          <w:rFonts w:ascii="Arial" w:hAnsi="Arial" w:cs="Arial"/>
        </w:rPr>
        <w:t>,</w:t>
      </w:r>
      <w:r w:rsidRPr="00B80107">
        <w:rPr>
          <w:rFonts w:ascii="Arial" w:hAnsi="Arial" w:cs="Arial"/>
        </w:rPr>
        <w:t xml:space="preserve"> National Institute for Health and Care Excellence</w:t>
      </w:r>
      <w:r w:rsidR="000431D7">
        <w:rPr>
          <w:rFonts w:ascii="Arial" w:hAnsi="Arial" w:cs="Arial"/>
        </w:rPr>
        <w:t>.</w:t>
      </w:r>
    </w:p>
    <w:p w14:paraId="6FD1C003" w14:textId="1618986E" w:rsidR="00C70E46" w:rsidRPr="00B80107" w:rsidRDefault="00C70E46" w:rsidP="00DE4ED4">
      <w:pPr>
        <w:spacing w:line="480" w:lineRule="auto"/>
        <w:rPr>
          <w:rFonts w:ascii="Arial" w:hAnsi="Arial" w:cs="Arial"/>
        </w:rPr>
      </w:pPr>
      <w:r w:rsidRPr="00B80107">
        <w:rPr>
          <w:rFonts w:ascii="Arial" w:hAnsi="Arial" w:cs="Arial"/>
        </w:rPr>
        <w:t>NHS Digital (2017) </w:t>
      </w:r>
      <w:r w:rsidRPr="000D5ED3">
        <w:rPr>
          <w:rFonts w:ascii="Arial" w:hAnsi="Arial" w:cs="Arial"/>
          <w:i/>
        </w:rPr>
        <w:t>Mental Health Act Statistics, Annual Figures: 2016-17, Experimental statistics</w:t>
      </w:r>
      <w:r w:rsidR="00E977BA">
        <w:rPr>
          <w:rFonts w:ascii="Arial" w:hAnsi="Arial" w:cs="Arial"/>
          <w:i/>
        </w:rPr>
        <w:t>,</w:t>
      </w:r>
      <w:r w:rsidRPr="00B80107">
        <w:rPr>
          <w:rFonts w:ascii="Arial" w:hAnsi="Arial" w:cs="Arial"/>
        </w:rPr>
        <w:t xml:space="preserve"> Available at </w:t>
      </w:r>
      <w:hyperlink r:id="rId17" w:tgtFrame="_blank" w:history="1">
        <w:r w:rsidRPr="00B80107">
          <w:rPr>
            <w:rStyle w:val="Hyperlink"/>
            <w:rFonts w:ascii="Arial" w:hAnsi="Arial" w:cs="Arial"/>
          </w:rPr>
          <w:t>http://digital.nhs.uk/catalogue/PUB30105</w:t>
        </w:r>
      </w:hyperlink>
      <w:r w:rsidRPr="00B80107">
        <w:rPr>
          <w:rFonts w:ascii="Arial" w:hAnsi="Arial" w:cs="Arial"/>
        </w:rPr>
        <w:t>  </w:t>
      </w:r>
    </w:p>
    <w:p w14:paraId="5CC02966" w14:textId="38BA91FB" w:rsidR="00C70E46" w:rsidRDefault="00C70E46" w:rsidP="00DE4ED4">
      <w:pPr>
        <w:spacing w:line="480" w:lineRule="auto"/>
        <w:rPr>
          <w:rFonts w:ascii="Arial" w:hAnsi="Arial" w:cs="Arial"/>
        </w:rPr>
      </w:pPr>
      <w:r w:rsidRPr="00B80107">
        <w:rPr>
          <w:rFonts w:ascii="Arial" w:hAnsi="Arial" w:cs="Arial"/>
        </w:rPr>
        <w:t xml:space="preserve">NHS Digital (2016) </w:t>
      </w:r>
      <w:r w:rsidRPr="000D5ED3">
        <w:rPr>
          <w:rFonts w:ascii="Arial" w:hAnsi="Arial" w:cs="Arial"/>
          <w:bCs/>
          <w:i/>
        </w:rPr>
        <w:t>Inpatients formally detained in hospitals under the Mental Health Act 1983 and patients subject to Supervised Community Treatment: 2015/16, Annual figures</w:t>
      </w:r>
      <w:r w:rsidR="00E977BA">
        <w:rPr>
          <w:rFonts w:ascii="Arial" w:hAnsi="Arial" w:cs="Arial"/>
          <w:bCs/>
          <w:i/>
        </w:rPr>
        <w:t>,</w:t>
      </w:r>
      <w:r w:rsidRPr="00B80107">
        <w:rPr>
          <w:rFonts w:ascii="Arial" w:hAnsi="Arial" w:cs="Arial"/>
          <w:bCs/>
        </w:rPr>
        <w:t xml:space="preserve"> </w:t>
      </w:r>
      <w:r w:rsidRPr="00B80107">
        <w:rPr>
          <w:rFonts w:ascii="Arial" w:hAnsi="Arial" w:cs="Arial"/>
          <w:bCs/>
        </w:rPr>
        <w:lastRenderedPageBreak/>
        <w:t xml:space="preserve">Available at </w:t>
      </w:r>
      <w:hyperlink r:id="rId18" w:history="1">
        <w:r w:rsidRPr="00B80107">
          <w:rPr>
            <w:rStyle w:val="Hyperlink"/>
            <w:rFonts w:ascii="Arial" w:hAnsi="Arial" w:cs="Arial"/>
          </w:rPr>
          <w:t>http://webarchive.nationalarchives.gov.uk/20180328135613/http://digital.nhs.uk/catalogue/PUB22571</w:t>
        </w:r>
      </w:hyperlink>
      <w:r w:rsidRPr="00B80107">
        <w:rPr>
          <w:rFonts w:ascii="Arial" w:hAnsi="Arial" w:cs="Arial"/>
        </w:rPr>
        <w:t xml:space="preserve"> </w:t>
      </w:r>
    </w:p>
    <w:p w14:paraId="30ED017A" w14:textId="2E5FD7A0" w:rsidR="00C70E46" w:rsidRPr="007913D4" w:rsidRDefault="00C70E46" w:rsidP="00DE4ED4">
      <w:pPr>
        <w:spacing w:line="480" w:lineRule="auto"/>
        <w:rPr>
          <w:rFonts w:ascii="Arial" w:hAnsi="Arial" w:cs="Arial"/>
        </w:rPr>
      </w:pPr>
      <w:r w:rsidRPr="007913D4">
        <w:rPr>
          <w:rFonts w:ascii="Arial" w:hAnsi="Arial" w:cs="Arial"/>
        </w:rPr>
        <w:t xml:space="preserve">NHS Providers (2017) </w:t>
      </w:r>
      <w:r w:rsidRPr="000D5ED3">
        <w:rPr>
          <w:rFonts w:ascii="Arial" w:hAnsi="Arial" w:cs="Arial"/>
          <w:i/>
        </w:rPr>
        <w:t>The state of the NHS Provider sector</w:t>
      </w:r>
      <w:r w:rsidR="00E977BA">
        <w:rPr>
          <w:rFonts w:ascii="Arial" w:hAnsi="Arial" w:cs="Arial"/>
          <w:i/>
        </w:rPr>
        <w:t>,</w:t>
      </w:r>
      <w:r w:rsidRPr="007913D4">
        <w:rPr>
          <w:rFonts w:ascii="Arial" w:hAnsi="Arial" w:cs="Arial"/>
        </w:rPr>
        <w:t xml:space="preserve"> July 2017</w:t>
      </w:r>
      <w:r w:rsidR="00E977BA">
        <w:rPr>
          <w:rFonts w:ascii="Arial" w:hAnsi="Arial" w:cs="Arial"/>
        </w:rPr>
        <w:t>,</w:t>
      </w:r>
      <w:r w:rsidRPr="007913D4">
        <w:rPr>
          <w:rFonts w:ascii="Arial" w:hAnsi="Arial" w:cs="Arial"/>
        </w:rPr>
        <w:t xml:space="preserve"> London</w:t>
      </w:r>
      <w:r w:rsidR="00E977BA">
        <w:rPr>
          <w:rFonts w:ascii="Arial" w:hAnsi="Arial" w:cs="Arial"/>
        </w:rPr>
        <w:t>,</w:t>
      </w:r>
      <w:r w:rsidRPr="007913D4">
        <w:rPr>
          <w:rFonts w:ascii="Arial" w:hAnsi="Arial" w:cs="Arial"/>
        </w:rPr>
        <w:t xml:space="preserve"> NHS Providers</w:t>
      </w:r>
      <w:r w:rsidR="0005249C">
        <w:rPr>
          <w:rFonts w:ascii="Arial" w:hAnsi="Arial" w:cs="Arial"/>
        </w:rPr>
        <w:t>.</w:t>
      </w:r>
      <w:r w:rsidRPr="007913D4">
        <w:rPr>
          <w:rFonts w:ascii="Arial" w:hAnsi="Arial" w:cs="Arial"/>
        </w:rPr>
        <w:t>  </w:t>
      </w:r>
    </w:p>
    <w:p w14:paraId="18C11AF5" w14:textId="6CC9B2DA" w:rsidR="004C18F4" w:rsidRPr="000D5ED3" w:rsidRDefault="004C18F4" w:rsidP="00DE4ED4">
      <w:pPr>
        <w:spacing w:line="480" w:lineRule="auto"/>
        <w:rPr>
          <w:rStyle w:val="nowrap"/>
          <w:rFonts w:ascii="Arial" w:hAnsi="Arial" w:cs="Arial"/>
          <w:lang w:val="en"/>
        </w:rPr>
      </w:pPr>
      <w:r w:rsidRPr="000D5ED3">
        <w:rPr>
          <w:rStyle w:val="element-citation"/>
          <w:rFonts w:ascii="Arial" w:hAnsi="Arial" w:cs="Arial"/>
          <w:lang w:val="en"/>
        </w:rPr>
        <w:t xml:space="preserve">Padgett, D.K. (2008) </w:t>
      </w:r>
      <w:r w:rsidRPr="00DE4ED4">
        <w:rPr>
          <w:rStyle w:val="ref-journal"/>
          <w:rFonts w:ascii="Arial" w:hAnsi="Arial" w:cs="Arial"/>
          <w:i/>
          <w:lang w:val="en"/>
        </w:rPr>
        <w:t>Qualitative methods in social work research</w:t>
      </w:r>
      <w:r w:rsidR="00E977BA">
        <w:rPr>
          <w:rStyle w:val="ref-journal"/>
          <w:rFonts w:ascii="Arial" w:hAnsi="Arial" w:cs="Arial"/>
          <w:i/>
          <w:lang w:val="en"/>
        </w:rPr>
        <w:t>,</w:t>
      </w:r>
      <w:r w:rsidRPr="000D5ED3">
        <w:rPr>
          <w:rStyle w:val="element-citation"/>
          <w:rFonts w:ascii="Arial" w:hAnsi="Arial" w:cs="Arial"/>
          <w:lang w:val="en"/>
        </w:rPr>
        <w:t xml:space="preserve"> </w:t>
      </w:r>
      <w:r w:rsidR="00E977BA">
        <w:rPr>
          <w:rStyle w:val="element-citation"/>
          <w:rFonts w:ascii="Arial" w:hAnsi="Arial" w:cs="Arial"/>
          <w:lang w:val="en"/>
        </w:rPr>
        <w:t>(</w:t>
      </w:r>
      <w:r w:rsidRPr="000D5ED3">
        <w:rPr>
          <w:rStyle w:val="element-citation"/>
          <w:rFonts w:ascii="Arial" w:hAnsi="Arial" w:cs="Arial"/>
          <w:lang w:val="en"/>
        </w:rPr>
        <w:t>2</w:t>
      </w:r>
      <w:r w:rsidRPr="000D5ED3">
        <w:rPr>
          <w:rStyle w:val="element-citation"/>
          <w:rFonts w:ascii="Arial" w:hAnsi="Arial" w:cs="Arial"/>
          <w:vertAlign w:val="superscript"/>
          <w:lang w:val="en"/>
        </w:rPr>
        <w:t>nd</w:t>
      </w:r>
      <w:r w:rsidRPr="000D5ED3">
        <w:rPr>
          <w:rStyle w:val="element-citation"/>
          <w:rFonts w:ascii="Arial" w:hAnsi="Arial" w:cs="Arial"/>
          <w:lang w:val="en"/>
        </w:rPr>
        <w:t xml:space="preserve"> Ed.</w:t>
      </w:r>
      <w:r w:rsidR="00E977BA">
        <w:rPr>
          <w:rStyle w:val="element-citation"/>
          <w:rFonts w:ascii="Arial" w:hAnsi="Arial" w:cs="Arial"/>
          <w:lang w:val="en"/>
        </w:rPr>
        <w:t>),</w:t>
      </w:r>
      <w:r w:rsidRPr="000D5ED3">
        <w:rPr>
          <w:rStyle w:val="element-citation"/>
          <w:rFonts w:ascii="Arial" w:hAnsi="Arial" w:cs="Arial"/>
          <w:lang w:val="en"/>
        </w:rPr>
        <w:t xml:space="preserve"> Los Angeles</w:t>
      </w:r>
      <w:r w:rsidR="00E977BA">
        <w:rPr>
          <w:rStyle w:val="element-citation"/>
          <w:rFonts w:ascii="Arial" w:hAnsi="Arial" w:cs="Arial"/>
          <w:lang w:val="en"/>
        </w:rPr>
        <w:t xml:space="preserve">, </w:t>
      </w:r>
      <w:r w:rsidR="00E977BA" w:rsidRPr="000D5ED3">
        <w:rPr>
          <w:rStyle w:val="element-citation"/>
          <w:rFonts w:ascii="Arial" w:hAnsi="Arial" w:cs="Arial"/>
          <w:lang w:val="en"/>
        </w:rPr>
        <w:t>Sage</w:t>
      </w:r>
      <w:r w:rsidR="0005249C">
        <w:rPr>
          <w:rStyle w:val="element-citation"/>
          <w:rFonts w:ascii="Arial" w:hAnsi="Arial" w:cs="Arial"/>
          <w:lang w:val="en"/>
        </w:rPr>
        <w:t>.</w:t>
      </w:r>
    </w:p>
    <w:p w14:paraId="5215BA87" w14:textId="10DF53E8" w:rsidR="00C70E46" w:rsidRPr="007913D4" w:rsidRDefault="00C70E46" w:rsidP="00DE4ED4">
      <w:pPr>
        <w:spacing w:line="480" w:lineRule="auto"/>
        <w:rPr>
          <w:rFonts w:ascii="Arial" w:hAnsi="Arial" w:cs="Arial"/>
        </w:rPr>
      </w:pPr>
      <w:r w:rsidRPr="007913D4">
        <w:rPr>
          <w:rFonts w:ascii="Arial" w:hAnsi="Arial" w:cs="Arial"/>
        </w:rPr>
        <w:t xml:space="preserve">Pillay, A. (2017) </w:t>
      </w:r>
      <w:r w:rsidR="00E977BA">
        <w:rPr>
          <w:rFonts w:ascii="Arial" w:hAnsi="Arial" w:cs="Arial"/>
        </w:rPr>
        <w:t>‘</w:t>
      </w:r>
      <w:r w:rsidRPr="007913D4">
        <w:rPr>
          <w:rFonts w:ascii="Arial" w:hAnsi="Arial" w:cs="Arial"/>
        </w:rPr>
        <w:t>Is deinstitutionalisation a cheap alternative to chronic mental health care?</w:t>
      </w:r>
      <w:r w:rsidR="00E977BA">
        <w:rPr>
          <w:rFonts w:ascii="Arial" w:hAnsi="Arial" w:cs="Arial"/>
        </w:rPr>
        <w:t>’</w:t>
      </w:r>
      <w:r w:rsidRPr="007913D4">
        <w:rPr>
          <w:rFonts w:ascii="Arial" w:hAnsi="Arial" w:cs="Arial"/>
        </w:rPr>
        <w:t xml:space="preserve"> </w:t>
      </w:r>
      <w:r w:rsidRPr="007913D4">
        <w:rPr>
          <w:rFonts w:ascii="Arial" w:hAnsi="Arial" w:cs="Arial"/>
          <w:i/>
          <w:iCs/>
        </w:rPr>
        <w:t>South African Journal of Psychology</w:t>
      </w:r>
      <w:r w:rsidRPr="007913D4">
        <w:rPr>
          <w:rFonts w:ascii="Arial" w:hAnsi="Arial" w:cs="Arial"/>
        </w:rPr>
        <w:t>, 47</w:t>
      </w:r>
      <w:r w:rsidR="00E977BA">
        <w:rPr>
          <w:rFonts w:ascii="Arial" w:hAnsi="Arial" w:cs="Arial"/>
        </w:rPr>
        <w:t xml:space="preserve"> </w:t>
      </w:r>
      <w:r w:rsidRPr="007913D4">
        <w:rPr>
          <w:rFonts w:ascii="Arial" w:hAnsi="Arial" w:cs="Arial"/>
        </w:rPr>
        <w:t>(2), pp.141-147.</w:t>
      </w:r>
    </w:p>
    <w:p w14:paraId="7AF0EC05" w14:textId="4CCE4EF8" w:rsidR="00C70E46" w:rsidRPr="00B80107" w:rsidRDefault="00C70E46" w:rsidP="00DE4ED4">
      <w:pPr>
        <w:spacing w:line="480" w:lineRule="auto"/>
        <w:rPr>
          <w:rFonts w:ascii="Arial" w:hAnsi="Arial" w:cs="Arial"/>
        </w:rPr>
      </w:pPr>
      <w:r w:rsidRPr="00B80107">
        <w:rPr>
          <w:rFonts w:ascii="Arial" w:hAnsi="Arial" w:cs="Arial"/>
        </w:rPr>
        <w:t>Priebe, S., </w:t>
      </w:r>
      <w:proofErr w:type="spellStart"/>
      <w:r w:rsidRPr="00B80107">
        <w:rPr>
          <w:rFonts w:ascii="Arial" w:hAnsi="Arial" w:cs="Arial"/>
        </w:rPr>
        <w:t>Badesconyi</w:t>
      </w:r>
      <w:proofErr w:type="spellEnd"/>
      <w:r w:rsidRPr="00B80107">
        <w:rPr>
          <w:rFonts w:ascii="Arial" w:hAnsi="Arial" w:cs="Arial"/>
        </w:rPr>
        <w:t>, A., </w:t>
      </w:r>
      <w:proofErr w:type="spellStart"/>
      <w:r w:rsidRPr="00B80107">
        <w:rPr>
          <w:rFonts w:ascii="Arial" w:hAnsi="Arial" w:cs="Arial"/>
        </w:rPr>
        <w:t>Fioritti</w:t>
      </w:r>
      <w:proofErr w:type="spellEnd"/>
      <w:r w:rsidRPr="00B80107">
        <w:rPr>
          <w:rFonts w:ascii="Arial" w:hAnsi="Arial" w:cs="Arial"/>
        </w:rPr>
        <w:t>, A., Hansson, L., Kilian, R., Torres-Gonzales, F., Turner, T. and Wiersma, D. (2004) </w:t>
      </w:r>
      <w:r w:rsidR="00E977BA">
        <w:rPr>
          <w:rFonts w:ascii="Arial" w:hAnsi="Arial" w:cs="Arial"/>
        </w:rPr>
        <w:t>‘</w:t>
      </w:r>
      <w:proofErr w:type="spellStart"/>
      <w:r w:rsidRPr="00B80107">
        <w:rPr>
          <w:rFonts w:ascii="Arial" w:hAnsi="Arial" w:cs="Arial"/>
        </w:rPr>
        <w:t>Reinstitutionalisation</w:t>
      </w:r>
      <w:proofErr w:type="spellEnd"/>
      <w:r w:rsidRPr="00B80107">
        <w:rPr>
          <w:rFonts w:ascii="Arial" w:hAnsi="Arial" w:cs="Arial"/>
        </w:rPr>
        <w:t> in mental health care: comparison of data on service provision from six European countries</w:t>
      </w:r>
      <w:r w:rsidR="00E977BA">
        <w:rPr>
          <w:rFonts w:ascii="Arial" w:hAnsi="Arial" w:cs="Arial"/>
        </w:rPr>
        <w:t>’,</w:t>
      </w:r>
      <w:r w:rsidRPr="00B80107">
        <w:rPr>
          <w:rFonts w:ascii="Arial" w:hAnsi="Arial" w:cs="Arial"/>
        </w:rPr>
        <w:t> </w:t>
      </w:r>
      <w:r w:rsidRPr="00B80107">
        <w:rPr>
          <w:rFonts w:ascii="Arial" w:hAnsi="Arial" w:cs="Arial"/>
          <w:i/>
          <w:iCs/>
        </w:rPr>
        <w:t>B</w:t>
      </w:r>
      <w:r w:rsidR="000431D7">
        <w:rPr>
          <w:rFonts w:ascii="Arial" w:hAnsi="Arial" w:cs="Arial"/>
          <w:i/>
          <w:iCs/>
        </w:rPr>
        <w:t xml:space="preserve">ritish </w:t>
      </w:r>
      <w:r w:rsidRPr="00B80107">
        <w:rPr>
          <w:rFonts w:ascii="Arial" w:hAnsi="Arial" w:cs="Arial"/>
          <w:i/>
          <w:iCs/>
        </w:rPr>
        <w:t>M</w:t>
      </w:r>
      <w:r w:rsidR="000431D7">
        <w:rPr>
          <w:rFonts w:ascii="Arial" w:hAnsi="Arial" w:cs="Arial"/>
          <w:i/>
          <w:iCs/>
        </w:rPr>
        <w:t xml:space="preserve">edical </w:t>
      </w:r>
      <w:r w:rsidRPr="00B80107">
        <w:rPr>
          <w:rFonts w:ascii="Arial" w:hAnsi="Arial" w:cs="Arial"/>
          <w:i/>
          <w:iCs/>
        </w:rPr>
        <w:t>J</w:t>
      </w:r>
      <w:r w:rsidR="000431D7">
        <w:rPr>
          <w:rFonts w:ascii="Arial" w:hAnsi="Arial" w:cs="Arial"/>
          <w:i/>
          <w:iCs/>
        </w:rPr>
        <w:t>ournal</w:t>
      </w:r>
      <w:r w:rsidRPr="00B80107">
        <w:rPr>
          <w:rFonts w:ascii="Arial" w:hAnsi="Arial" w:cs="Arial"/>
        </w:rPr>
        <w:t>, 330</w:t>
      </w:r>
      <w:r w:rsidR="00E977BA">
        <w:rPr>
          <w:rFonts w:ascii="Arial" w:hAnsi="Arial" w:cs="Arial"/>
        </w:rPr>
        <w:t xml:space="preserve">, </w:t>
      </w:r>
      <w:r w:rsidRPr="00B80107">
        <w:rPr>
          <w:rFonts w:ascii="Arial" w:hAnsi="Arial" w:cs="Arial"/>
        </w:rPr>
        <w:t>pp.123-126. </w:t>
      </w:r>
    </w:p>
    <w:p w14:paraId="06639FC9" w14:textId="3B0DF896" w:rsidR="00C70E46" w:rsidRPr="00B80107" w:rsidRDefault="00C70E46" w:rsidP="00DE4ED4">
      <w:pPr>
        <w:spacing w:line="480" w:lineRule="auto"/>
        <w:rPr>
          <w:rFonts w:ascii="Arial" w:hAnsi="Arial" w:cs="Arial"/>
        </w:rPr>
      </w:pPr>
      <w:r w:rsidRPr="00B80107">
        <w:rPr>
          <w:rFonts w:ascii="Arial" w:hAnsi="Arial" w:cs="Arial"/>
        </w:rPr>
        <w:t>Quirk, A., </w:t>
      </w:r>
      <w:proofErr w:type="spellStart"/>
      <w:r w:rsidRPr="00B80107">
        <w:rPr>
          <w:rFonts w:ascii="Arial" w:hAnsi="Arial" w:cs="Arial"/>
        </w:rPr>
        <w:t>Lelliott</w:t>
      </w:r>
      <w:proofErr w:type="spellEnd"/>
      <w:r w:rsidRPr="00B80107">
        <w:rPr>
          <w:rFonts w:ascii="Arial" w:hAnsi="Arial" w:cs="Arial"/>
        </w:rPr>
        <w:t>, P., </w:t>
      </w:r>
      <w:proofErr w:type="spellStart"/>
      <w:r w:rsidRPr="00B80107">
        <w:rPr>
          <w:rFonts w:ascii="Arial" w:hAnsi="Arial" w:cs="Arial"/>
        </w:rPr>
        <w:t>Audini</w:t>
      </w:r>
      <w:proofErr w:type="spellEnd"/>
      <w:r w:rsidRPr="00B80107">
        <w:rPr>
          <w:rFonts w:ascii="Arial" w:hAnsi="Arial" w:cs="Arial"/>
        </w:rPr>
        <w:t>, B. and </w:t>
      </w:r>
      <w:proofErr w:type="spellStart"/>
      <w:r w:rsidRPr="00B80107">
        <w:rPr>
          <w:rFonts w:ascii="Arial" w:hAnsi="Arial" w:cs="Arial"/>
        </w:rPr>
        <w:t>Buston</w:t>
      </w:r>
      <w:proofErr w:type="spellEnd"/>
      <w:r w:rsidRPr="00B80107">
        <w:rPr>
          <w:rFonts w:ascii="Arial" w:hAnsi="Arial" w:cs="Arial"/>
        </w:rPr>
        <w:t xml:space="preserve">, K. (2003) </w:t>
      </w:r>
      <w:r w:rsidR="00E977BA">
        <w:rPr>
          <w:rFonts w:ascii="Arial" w:hAnsi="Arial" w:cs="Arial"/>
        </w:rPr>
        <w:t>‘</w:t>
      </w:r>
      <w:r w:rsidRPr="00B80107">
        <w:rPr>
          <w:rFonts w:ascii="Arial" w:hAnsi="Arial" w:cs="Arial"/>
        </w:rPr>
        <w:t>Non-clinical and extra-legal influences on decisions about compulsory admission to psychiatric hospital</w:t>
      </w:r>
      <w:r w:rsidR="00E977BA">
        <w:rPr>
          <w:rFonts w:ascii="Arial" w:hAnsi="Arial" w:cs="Arial"/>
        </w:rPr>
        <w:t>’,</w:t>
      </w:r>
      <w:r w:rsidRPr="00B80107">
        <w:rPr>
          <w:rFonts w:ascii="Arial" w:hAnsi="Arial" w:cs="Arial"/>
        </w:rPr>
        <w:t> </w:t>
      </w:r>
      <w:r w:rsidRPr="00B80107">
        <w:rPr>
          <w:rFonts w:ascii="Arial" w:hAnsi="Arial" w:cs="Arial"/>
          <w:i/>
          <w:iCs/>
        </w:rPr>
        <w:t>Journal of Mental Health</w:t>
      </w:r>
      <w:r w:rsidRPr="00B80107">
        <w:rPr>
          <w:rFonts w:ascii="Arial" w:hAnsi="Arial" w:cs="Arial"/>
        </w:rPr>
        <w:t>, 12</w:t>
      </w:r>
      <w:r w:rsidR="00E977BA">
        <w:rPr>
          <w:rFonts w:ascii="Arial" w:hAnsi="Arial" w:cs="Arial"/>
        </w:rPr>
        <w:t xml:space="preserve"> </w:t>
      </w:r>
      <w:r w:rsidRPr="00B80107">
        <w:rPr>
          <w:rFonts w:ascii="Arial" w:hAnsi="Arial" w:cs="Arial"/>
        </w:rPr>
        <w:t>(2), pp.119-130. </w:t>
      </w:r>
    </w:p>
    <w:p w14:paraId="62343DE1" w14:textId="36B3F44D" w:rsidR="00C70E46" w:rsidRDefault="00C70E46" w:rsidP="00DE4ED4">
      <w:pPr>
        <w:spacing w:line="480" w:lineRule="auto"/>
        <w:rPr>
          <w:rFonts w:ascii="Arial" w:hAnsi="Arial" w:cs="Arial"/>
        </w:rPr>
      </w:pPr>
      <w:r w:rsidRPr="00B80107">
        <w:rPr>
          <w:rFonts w:ascii="Arial" w:hAnsi="Arial" w:cs="Arial"/>
        </w:rPr>
        <w:t xml:space="preserve">Ritchie, J. </w:t>
      </w:r>
      <w:r w:rsidR="0005249C">
        <w:rPr>
          <w:rFonts w:ascii="Arial" w:hAnsi="Arial" w:cs="Arial"/>
        </w:rPr>
        <w:t>and</w:t>
      </w:r>
      <w:r w:rsidRPr="00B80107">
        <w:rPr>
          <w:rFonts w:ascii="Arial" w:hAnsi="Arial" w:cs="Arial"/>
        </w:rPr>
        <w:t xml:space="preserve"> Spencer, L. </w:t>
      </w:r>
      <w:r w:rsidR="003A070F">
        <w:rPr>
          <w:rFonts w:ascii="Arial" w:hAnsi="Arial" w:cs="Arial"/>
        </w:rPr>
        <w:t>(</w:t>
      </w:r>
      <w:r w:rsidRPr="00B80107">
        <w:rPr>
          <w:rFonts w:ascii="Arial" w:hAnsi="Arial" w:cs="Arial"/>
        </w:rPr>
        <w:t>1994</w:t>
      </w:r>
      <w:r w:rsidR="003A070F">
        <w:rPr>
          <w:rFonts w:ascii="Arial" w:hAnsi="Arial" w:cs="Arial"/>
        </w:rPr>
        <w:t>)</w:t>
      </w:r>
      <w:r w:rsidRPr="00B80107">
        <w:rPr>
          <w:rFonts w:ascii="Arial" w:hAnsi="Arial" w:cs="Arial"/>
        </w:rPr>
        <w:t xml:space="preserve"> </w:t>
      </w:r>
      <w:r w:rsidR="00E977BA">
        <w:rPr>
          <w:rFonts w:ascii="Arial" w:hAnsi="Arial" w:cs="Arial"/>
        </w:rPr>
        <w:t>‘</w:t>
      </w:r>
      <w:r w:rsidRPr="00B80107">
        <w:rPr>
          <w:rFonts w:ascii="Arial" w:hAnsi="Arial" w:cs="Arial"/>
        </w:rPr>
        <w:t>Qualitative data analysis for applied policy research</w:t>
      </w:r>
      <w:r w:rsidR="00E977BA">
        <w:rPr>
          <w:rFonts w:ascii="Arial" w:hAnsi="Arial" w:cs="Arial"/>
        </w:rPr>
        <w:t>’</w:t>
      </w:r>
      <w:r w:rsidR="00D212A1">
        <w:rPr>
          <w:rFonts w:ascii="Arial" w:hAnsi="Arial" w:cs="Arial"/>
        </w:rPr>
        <w:t xml:space="preserve">, in </w:t>
      </w:r>
      <w:r w:rsidRPr="00B80107">
        <w:rPr>
          <w:rFonts w:ascii="Arial" w:hAnsi="Arial" w:cs="Arial"/>
        </w:rPr>
        <w:t>Bryman</w:t>
      </w:r>
      <w:r w:rsidR="00D212A1">
        <w:rPr>
          <w:rFonts w:ascii="Arial" w:hAnsi="Arial" w:cs="Arial"/>
        </w:rPr>
        <w:t>, A.</w:t>
      </w:r>
      <w:r w:rsidRPr="00B80107">
        <w:rPr>
          <w:rFonts w:ascii="Arial" w:hAnsi="Arial" w:cs="Arial"/>
        </w:rPr>
        <w:t xml:space="preserve"> and Burgess</w:t>
      </w:r>
      <w:r w:rsidR="00D212A1">
        <w:rPr>
          <w:rFonts w:ascii="Arial" w:hAnsi="Arial" w:cs="Arial"/>
        </w:rPr>
        <w:t xml:space="preserve">, </w:t>
      </w:r>
      <w:r w:rsidR="00D212A1" w:rsidRPr="00B80107">
        <w:rPr>
          <w:rFonts w:ascii="Arial" w:hAnsi="Arial" w:cs="Arial"/>
        </w:rPr>
        <w:t xml:space="preserve">R. G. </w:t>
      </w:r>
      <w:r w:rsidRPr="00B80107">
        <w:rPr>
          <w:rFonts w:ascii="Arial" w:hAnsi="Arial" w:cs="Arial"/>
        </w:rPr>
        <w:t>[</w:t>
      </w:r>
      <w:r w:rsidR="00D212A1">
        <w:rPr>
          <w:rFonts w:ascii="Arial" w:hAnsi="Arial" w:cs="Arial"/>
        </w:rPr>
        <w:t>E</w:t>
      </w:r>
      <w:r w:rsidRPr="00B80107">
        <w:rPr>
          <w:rFonts w:ascii="Arial" w:hAnsi="Arial" w:cs="Arial"/>
        </w:rPr>
        <w:t xml:space="preserve">ds.] </w:t>
      </w:r>
      <w:proofErr w:type="spellStart"/>
      <w:r w:rsidRPr="000D5ED3">
        <w:rPr>
          <w:rFonts w:ascii="Arial" w:hAnsi="Arial" w:cs="Arial"/>
          <w:i/>
        </w:rPr>
        <w:t>Analyzing</w:t>
      </w:r>
      <w:proofErr w:type="spellEnd"/>
      <w:r w:rsidRPr="000D5ED3">
        <w:rPr>
          <w:rFonts w:ascii="Arial" w:hAnsi="Arial" w:cs="Arial"/>
          <w:i/>
        </w:rPr>
        <w:t xml:space="preserve"> qualitative data</w:t>
      </w:r>
      <w:r w:rsidRPr="00B80107">
        <w:rPr>
          <w:rFonts w:ascii="Arial" w:hAnsi="Arial" w:cs="Arial"/>
        </w:rPr>
        <w:t xml:space="preserve">, </w:t>
      </w:r>
      <w:r w:rsidR="00F55BAD">
        <w:rPr>
          <w:rFonts w:ascii="Arial" w:hAnsi="Arial" w:cs="Arial"/>
        </w:rPr>
        <w:t>London</w:t>
      </w:r>
      <w:r w:rsidR="00800907">
        <w:rPr>
          <w:rFonts w:ascii="Arial" w:hAnsi="Arial" w:cs="Arial"/>
        </w:rPr>
        <w:t>,</w:t>
      </w:r>
      <w:r w:rsidR="00F55BAD">
        <w:rPr>
          <w:rFonts w:ascii="Arial" w:hAnsi="Arial" w:cs="Arial"/>
        </w:rPr>
        <w:t xml:space="preserve"> Routledge</w:t>
      </w:r>
      <w:r w:rsidR="00800907">
        <w:rPr>
          <w:rFonts w:ascii="Arial" w:hAnsi="Arial" w:cs="Arial"/>
        </w:rPr>
        <w:t>.</w:t>
      </w:r>
    </w:p>
    <w:p w14:paraId="70450DEA" w14:textId="13FF094E" w:rsidR="00B80107" w:rsidRDefault="00C70E46" w:rsidP="00DE4ED4">
      <w:pPr>
        <w:spacing w:line="480" w:lineRule="auto"/>
        <w:rPr>
          <w:rFonts w:ascii="Arial" w:hAnsi="Arial" w:cs="Arial"/>
        </w:rPr>
      </w:pPr>
      <w:r w:rsidRPr="00B80107">
        <w:rPr>
          <w:rFonts w:ascii="Arial" w:hAnsi="Arial" w:cs="Arial"/>
        </w:rPr>
        <w:t xml:space="preserve">Singh, S., Paul, M., Parsons, H., Burns, T., </w:t>
      </w:r>
      <w:proofErr w:type="spellStart"/>
      <w:r w:rsidRPr="00B80107">
        <w:rPr>
          <w:rFonts w:ascii="Arial" w:hAnsi="Arial" w:cs="Arial"/>
        </w:rPr>
        <w:t>Tyrer</w:t>
      </w:r>
      <w:proofErr w:type="spellEnd"/>
      <w:r w:rsidRPr="00B80107">
        <w:rPr>
          <w:rFonts w:ascii="Arial" w:hAnsi="Arial" w:cs="Arial"/>
        </w:rPr>
        <w:t>, P., Fazel, S., Deb, S., Islam, Z., </w:t>
      </w:r>
      <w:proofErr w:type="spellStart"/>
      <w:r w:rsidRPr="00B80107">
        <w:rPr>
          <w:rFonts w:ascii="Arial" w:hAnsi="Arial" w:cs="Arial"/>
        </w:rPr>
        <w:t>Rugkåsa</w:t>
      </w:r>
      <w:proofErr w:type="spellEnd"/>
      <w:r w:rsidRPr="00B80107">
        <w:rPr>
          <w:rFonts w:ascii="Arial" w:hAnsi="Arial" w:cs="Arial"/>
        </w:rPr>
        <w:t>, J., </w:t>
      </w:r>
      <w:proofErr w:type="spellStart"/>
      <w:r w:rsidRPr="00B80107">
        <w:rPr>
          <w:rFonts w:ascii="Arial" w:hAnsi="Arial" w:cs="Arial"/>
        </w:rPr>
        <w:t>Gajwani</w:t>
      </w:r>
      <w:proofErr w:type="spellEnd"/>
      <w:r w:rsidRPr="00B80107">
        <w:rPr>
          <w:rFonts w:ascii="Arial" w:hAnsi="Arial" w:cs="Arial"/>
        </w:rPr>
        <w:t xml:space="preserve">, R., Thana, L. and Crawford, M. </w:t>
      </w:r>
      <w:r w:rsidR="00800907">
        <w:rPr>
          <w:rFonts w:ascii="Arial" w:hAnsi="Arial" w:cs="Arial"/>
        </w:rPr>
        <w:t>‘</w:t>
      </w:r>
      <w:r w:rsidRPr="00B80107">
        <w:rPr>
          <w:rFonts w:ascii="Arial" w:hAnsi="Arial" w:cs="Arial"/>
        </w:rPr>
        <w:t>A prospective, quantitative study of mental health act assessments in England following the 2007 amendments to the 1983 act: did the changes </w:t>
      </w:r>
      <w:proofErr w:type="spellStart"/>
      <w:r w:rsidRPr="00B80107">
        <w:rPr>
          <w:rFonts w:ascii="Arial" w:hAnsi="Arial" w:cs="Arial"/>
        </w:rPr>
        <w:t>fulfill</w:t>
      </w:r>
      <w:proofErr w:type="spellEnd"/>
      <w:r w:rsidRPr="00B80107">
        <w:rPr>
          <w:rFonts w:ascii="Arial" w:hAnsi="Arial" w:cs="Arial"/>
        </w:rPr>
        <w:t> their promise?</w:t>
      </w:r>
      <w:r w:rsidR="00800907">
        <w:rPr>
          <w:rFonts w:ascii="Arial" w:hAnsi="Arial" w:cs="Arial"/>
        </w:rPr>
        <w:t>’</w:t>
      </w:r>
      <w:r w:rsidRPr="00B80107">
        <w:rPr>
          <w:rFonts w:ascii="Arial" w:hAnsi="Arial" w:cs="Arial"/>
        </w:rPr>
        <w:t> </w:t>
      </w:r>
      <w:r w:rsidRPr="00B80107">
        <w:rPr>
          <w:rFonts w:ascii="Arial" w:hAnsi="Arial" w:cs="Arial"/>
          <w:i/>
          <w:iCs/>
        </w:rPr>
        <w:t>BMC Psychiatry</w:t>
      </w:r>
      <w:r w:rsidRPr="00B80107">
        <w:rPr>
          <w:rFonts w:ascii="Arial" w:hAnsi="Arial" w:cs="Arial"/>
        </w:rPr>
        <w:t>, 17</w:t>
      </w:r>
      <w:r w:rsidR="00800907">
        <w:rPr>
          <w:rFonts w:ascii="Arial" w:hAnsi="Arial" w:cs="Arial"/>
        </w:rPr>
        <w:t xml:space="preserve"> </w:t>
      </w:r>
      <w:r w:rsidRPr="00B80107">
        <w:rPr>
          <w:rFonts w:ascii="Arial" w:hAnsi="Arial" w:cs="Arial"/>
        </w:rPr>
        <w:t>(</w:t>
      </w:r>
      <w:r w:rsidR="00800907">
        <w:rPr>
          <w:rFonts w:ascii="Arial" w:hAnsi="Arial" w:cs="Arial"/>
        </w:rPr>
        <w:t>246</w:t>
      </w:r>
      <w:r w:rsidRPr="00B80107">
        <w:rPr>
          <w:rFonts w:ascii="Arial" w:hAnsi="Arial" w:cs="Arial"/>
        </w:rPr>
        <w:t>).</w:t>
      </w:r>
      <w:r w:rsidR="00F55BAD">
        <w:rPr>
          <w:rFonts w:ascii="Arial" w:hAnsi="Arial" w:cs="Arial"/>
        </w:rPr>
        <w:t xml:space="preserve"> </w:t>
      </w:r>
      <w:r w:rsidR="00800907">
        <w:rPr>
          <w:rFonts w:ascii="Arial" w:hAnsi="Arial" w:cs="Arial"/>
        </w:rPr>
        <w:t>Advance Access published July 10, 2017</w:t>
      </w:r>
      <w:r w:rsidR="00800907" w:rsidRPr="00800907">
        <w:rPr>
          <w:rFonts w:ascii="Arial" w:hAnsi="Arial" w:cs="Arial"/>
        </w:rPr>
        <w:t xml:space="preserve">, </w:t>
      </w:r>
      <w:r w:rsidR="00800907" w:rsidRPr="002B0E52">
        <w:rPr>
          <w:rFonts w:ascii="Arial" w:hAnsi="Arial" w:cs="Arial"/>
        </w:rPr>
        <w:t>DOI 10.1186/s12888-017-1391-2.</w:t>
      </w:r>
    </w:p>
    <w:p w14:paraId="2A9C9AA2" w14:textId="29FEDC8C" w:rsidR="00C70E46" w:rsidRPr="00B80107" w:rsidRDefault="00C70E46" w:rsidP="00DE4ED4">
      <w:pPr>
        <w:spacing w:line="480" w:lineRule="auto"/>
        <w:rPr>
          <w:rFonts w:ascii="Arial" w:hAnsi="Arial" w:cs="Arial"/>
        </w:rPr>
      </w:pPr>
      <w:r w:rsidRPr="00B80107">
        <w:rPr>
          <w:rFonts w:ascii="Arial" w:hAnsi="Arial" w:cs="Arial"/>
        </w:rPr>
        <w:lastRenderedPageBreak/>
        <w:t xml:space="preserve">Srivastava, A. </w:t>
      </w:r>
      <w:r w:rsidR="0005249C">
        <w:rPr>
          <w:rFonts w:ascii="Arial" w:hAnsi="Arial" w:cs="Arial"/>
        </w:rPr>
        <w:t>and</w:t>
      </w:r>
      <w:r w:rsidRPr="00B80107">
        <w:rPr>
          <w:rFonts w:ascii="Arial" w:hAnsi="Arial" w:cs="Arial"/>
        </w:rPr>
        <w:t xml:space="preserve"> Thomson, S. B. (2009) </w:t>
      </w:r>
      <w:r w:rsidR="00800907">
        <w:rPr>
          <w:rFonts w:ascii="Arial" w:hAnsi="Arial" w:cs="Arial"/>
        </w:rPr>
        <w:t>‘</w:t>
      </w:r>
      <w:r w:rsidRPr="00B80107">
        <w:rPr>
          <w:rFonts w:ascii="Arial" w:hAnsi="Arial" w:cs="Arial"/>
        </w:rPr>
        <w:t>Framework Analysis: A Qualitative Methodology for Applied Research Note Policy Research</w:t>
      </w:r>
      <w:r w:rsidR="00800907">
        <w:rPr>
          <w:rFonts w:ascii="Arial" w:hAnsi="Arial" w:cs="Arial"/>
        </w:rPr>
        <w:t>’,</w:t>
      </w:r>
      <w:r w:rsidR="00F55BAD">
        <w:rPr>
          <w:rFonts w:ascii="Arial" w:hAnsi="Arial" w:cs="Arial"/>
        </w:rPr>
        <w:t xml:space="preserve"> </w:t>
      </w:r>
      <w:r w:rsidR="00F55BAD" w:rsidRPr="00DE4ED4">
        <w:rPr>
          <w:rFonts w:ascii="Arial" w:hAnsi="Arial" w:cs="Arial"/>
          <w:i/>
        </w:rPr>
        <w:t>Journal of Administration and Governance</w:t>
      </w:r>
      <w:r w:rsidR="001E4D3B">
        <w:rPr>
          <w:rFonts w:ascii="Arial" w:hAnsi="Arial" w:cs="Arial"/>
        </w:rPr>
        <w:t>, 4</w:t>
      </w:r>
      <w:r w:rsidR="00800907">
        <w:rPr>
          <w:rFonts w:ascii="Arial" w:hAnsi="Arial" w:cs="Arial"/>
        </w:rPr>
        <w:t xml:space="preserve"> </w:t>
      </w:r>
      <w:r w:rsidR="001E4D3B">
        <w:rPr>
          <w:rFonts w:ascii="Arial" w:hAnsi="Arial" w:cs="Arial"/>
        </w:rPr>
        <w:t>(2), pp</w:t>
      </w:r>
      <w:r w:rsidR="00800907">
        <w:rPr>
          <w:rFonts w:ascii="Arial" w:hAnsi="Arial" w:cs="Arial"/>
        </w:rPr>
        <w:t>.</w:t>
      </w:r>
      <w:r w:rsidR="001E4D3B">
        <w:rPr>
          <w:rFonts w:ascii="Arial" w:hAnsi="Arial" w:cs="Arial"/>
        </w:rPr>
        <w:t>72-79</w:t>
      </w:r>
      <w:r w:rsidR="00800907">
        <w:rPr>
          <w:rFonts w:ascii="Arial" w:hAnsi="Arial" w:cs="Arial"/>
        </w:rPr>
        <w:t>.</w:t>
      </w:r>
      <w:r w:rsidR="00F55BAD">
        <w:rPr>
          <w:rFonts w:ascii="Arial" w:hAnsi="Arial" w:cs="Arial"/>
        </w:rPr>
        <w:t xml:space="preserve"> </w:t>
      </w:r>
    </w:p>
    <w:p w14:paraId="571E1E41" w14:textId="408A6F0C" w:rsidR="00C63D36" w:rsidRDefault="00C63D36" w:rsidP="00DE4ED4">
      <w:pPr>
        <w:spacing w:line="480" w:lineRule="auto"/>
        <w:rPr>
          <w:rFonts w:ascii="Arial" w:hAnsi="Arial" w:cs="Arial"/>
        </w:rPr>
      </w:pPr>
      <w:r w:rsidRPr="00B80107">
        <w:rPr>
          <w:rFonts w:ascii="Arial" w:hAnsi="Arial" w:cs="Arial"/>
        </w:rPr>
        <w:t>Taylor, J., Lawton</w:t>
      </w:r>
      <w:r w:rsidRPr="00B80107">
        <w:rPr>
          <w:rFonts w:ascii="Cambria Math" w:hAnsi="Cambria Math" w:cs="Cambria Math"/>
        </w:rPr>
        <w:t>‐</w:t>
      </w:r>
      <w:r w:rsidRPr="00B80107">
        <w:rPr>
          <w:rFonts w:ascii="Arial" w:hAnsi="Arial" w:cs="Arial"/>
        </w:rPr>
        <w:t xml:space="preserve">Smith, S. and </w:t>
      </w:r>
      <w:proofErr w:type="spellStart"/>
      <w:r w:rsidRPr="00B80107">
        <w:rPr>
          <w:rFonts w:ascii="Arial" w:hAnsi="Arial" w:cs="Arial"/>
        </w:rPr>
        <w:t>Bullmore</w:t>
      </w:r>
      <w:proofErr w:type="spellEnd"/>
      <w:r w:rsidRPr="00B80107">
        <w:rPr>
          <w:rFonts w:ascii="Arial" w:hAnsi="Arial" w:cs="Arial"/>
        </w:rPr>
        <w:t xml:space="preserve">, H. (2013) </w:t>
      </w:r>
      <w:r w:rsidR="00800907">
        <w:rPr>
          <w:rFonts w:ascii="Arial" w:hAnsi="Arial" w:cs="Arial"/>
        </w:rPr>
        <w:t>‘</w:t>
      </w:r>
      <w:r w:rsidRPr="00B80107">
        <w:rPr>
          <w:rFonts w:ascii="Arial" w:hAnsi="Arial" w:cs="Arial"/>
        </w:rPr>
        <w:t>Supervised community treatment: does it facilitate social inclusion? A perspective from approved mental health professionals (AMHPs)</w:t>
      </w:r>
      <w:r w:rsidR="00800907">
        <w:rPr>
          <w:rFonts w:ascii="Arial" w:hAnsi="Arial" w:cs="Arial"/>
        </w:rPr>
        <w:t>’,</w:t>
      </w:r>
      <w:r w:rsidRPr="00B80107">
        <w:rPr>
          <w:rFonts w:ascii="Arial" w:hAnsi="Arial" w:cs="Arial"/>
        </w:rPr>
        <w:t> </w:t>
      </w:r>
      <w:r w:rsidRPr="00B80107">
        <w:rPr>
          <w:rFonts w:ascii="Arial" w:hAnsi="Arial" w:cs="Arial"/>
          <w:i/>
          <w:iCs/>
        </w:rPr>
        <w:t>Mental Health and Social Inclusion</w:t>
      </w:r>
      <w:r w:rsidRPr="00B80107">
        <w:rPr>
          <w:rFonts w:ascii="Arial" w:hAnsi="Arial" w:cs="Arial"/>
        </w:rPr>
        <w:t>, 17</w:t>
      </w:r>
      <w:r w:rsidR="00800907">
        <w:rPr>
          <w:rFonts w:ascii="Arial" w:hAnsi="Arial" w:cs="Arial"/>
        </w:rPr>
        <w:t xml:space="preserve"> </w:t>
      </w:r>
      <w:r w:rsidRPr="00B80107">
        <w:rPr>
          <w:rFonts w:ascii="Arial" w:hAnsi="Arial" w:cs="Arial"/>
        </w:rPr>
        <w:t>(1), pp.43-48. </w:t>
      </w:r>
    </w:p>
    <w:p w14:paraId="1AAE0662" w14:textId="1BA55851" w:rsidR="00C70E46" w:rsidRPr="00B80107" w:rsidRDefault="00C70E46" w:rsidP="00DE4ED4">
      <w:pPr>
        <w:spacing w:line="480" w:lineRule="auto"/>
        <w:rPr>
          <w:rFonts w:ascii="Arial" w:hAnsi="Arial" w:cs="Arial"/>
        </w:rPr>
      </w:pPr>
      <w:r w:rsidRPr="00B80107">
        <w:rPr>
          <w:rFonts w:ascii="Arial" w:hAnsi="Arial" w:cs="Arial"/>
        </w:rPr>
        <w:t xml:space="preserve">Webber, M. (2008) </w:t>
      </w:r>
      <w:r w:rsidRPr="000D5ED3">
        <w:rPr>
          <w:rFonts w:ascii="Arial" w:hAnsi="Arial" w:cs="Arial"/>
          <w:i/>
        </w:rPr>
        <w:t>Access to Social Capital and the Course of Depression: A Prospective Study</w:t>
      </w:r>
      <w:r w:rsidR="00800907">
        <w:rPr>
          <w:rFonts w:ascii="Arial" w:hAnsi="Arial" w:cs="Arial"/>
          <w:i/>
        </w:rPr>
        <w:t>,</w:t>
      </w:r>
      <w:r w:rsidRPr="00B80107">
        <w:rPr>
          <w:rFonts w:ascii="Arial" w:hAnsi="Arial" w:cs="Arial"/>
        </w:rPr>
        <w:t xml:space="preserve"> PhD thesis</w:t>
      </w:r>
      <w:r w:rsidR="00800907">
        <w:rPr>
          <w:rFonts w:ascii="Arial" w:hAnsi="Arial" w:cs="Arial"/>
        </w:rPr>
        <w:t>,</w:t>
      </w:r>
      <w:r w:rsidRPr="00B80107">
        <w:rPr>
          <w:rFonts w:ascii="Arial" w:hAnsi="Arial" w:cs="Arial"/>
        </w:rPr>
        <w:t xml:space="preserve"> London</w:t>
      </w:r>
      <w:r w:rsidR="00800907">
        <w:rPr>
          <w:rFonts w:ascii="Arial" w:hAnsi="Arial" w:cs="Arial"/>
        </w:rPr>
        <w:t>,</w:t>
      </w:r>
      <w:r w:rsidRPr="00B80107">
        <w:rPr>
          <w:rFonts w:ascii="Arial" w:hAnsi="Arial" w:cs="Arial"/>
        </w:rPr>
        <w:t xml:space="preserve"> Institute of Psychiatry, King’s College London. </w:t>
      </w:r>
    </w:p>
    <w:p w14:paraId="4DFF61C6" w14:textId="540D2D2C" w:rsidR="009574B1" w:rsidRPr="00D029AE" w:rsidRDefault="009574B1" w:rsidP="00DE4ED4">
      <w:pPr>
        <w:spacing w:line="480" w:lineRule="auto"/>
        <w:rPr>
          <w:rFonts w:ascii="Arial" w:hAnsi="Arial" w:cs="Arial"/>
          <w:lang w:val="fr-FR"/>
        </w:rPr>
      </w:pPr>
      <w:proofErr w:type="spellStart"/>
      <w:r w:rsidRPr="00B80107">
        <w:rPr>
          <w:rFonts w:ascii="Arial" w:hAnsi="Arial" w:cs="Arial"/>
        </w:rPr>
        <w:t>Wessely</w:t>
      </w:r>
      <w:proofErr w:type="spellEnd"/>
      <w:r w:rsidRPr="00B80107">
        <w:rPr>
          <w:rFonts w:ascii="Arial" w:hAnsi="Arial" w:cs="Arial"/>
        </w:rPr>
        <w:t>, S., Gilbert, S., Hedley, M. and Neuberger, J. (2018</w:t>
      </w:r>
      <w:r w:rsidR="0005249C">
        <w:rPr>
          <w:rFonts w:ascii="Arial" w:hAnsi="Arial" w:cs="Arial"/>
        </w:rPr>
        <w:t>a</w:t>
      </w:r>
      <w:r w:rsidRPr="00B80107">
        <w:rPr>
          <w:rFonts w:ascii="Arial" w:hAnsi="Arial" w:cs="Arial"/>
        </w:rPr>
        <w:t xml:space="preserve">) </w:t>
      </w:r>
      <w:r w:rsidRPr="000D5ED3">
        <w:rPr>
          <w:rFonts w:ascii="Arial" w:hAnsi="Arial" w:cs="Arial"/>
          <w:i/>
        </w:rPr>
        <w:t>The independent review of the Mental Health Act: interim report</w:t>
      </w:r>
      <w:r w:rsidR="00800907">
        <w:rPr>
          <w:rFonts w:ascii="Arial" w:hAnsi="Arial" w:cs="Arial"/>
          <w:i/>
        </w:rPr>
        <w:t>,</w:t>
      </w:r>
      <w:r w:rsidRPr="00B80107">
        <w:rPr>
          <w:rFonts w:ascii="Arial" w:hAnsi="Arial" w:cs="Arial"/>
        </w:rPr>
        <w:t xml:space="preserve"> London</w:t>
      </w:r>
      <w:r w:rsidR="00800907">
        <w:rPr>
          <w:rFonts w:ascii="Arial" w:hAnsi="Arial" w:cs="Arial"/>
        </w:rPr>
        <w:t>,</w:t>
      </w:r>
      <w:r w:rsidRPr="00B80107">
        <w:rPr>
          <w:rFonts w:ascii="Arial" w:hAnsi="Arial" w:cs="Arial"/>
        </w:rPr>
        <w:t xml:space="preserve"> Department of Health and Social Care</w:t>
      </w:r>
      <w:r w:rsidR="00F77575" w:rsidRPr="00B80107">
        <w:rPr>
          <w:rFonts w:ascii="Arial" w:hAnsi="Arial" w:cs="Arial"/>
        </w:rPr>
        <w:t xml:space="preserve">. </w:t>
      </w:r>
      <w:proofErr w:type="spellStart"/>
      <w:r w:rsidRPr="00D029AE">
        <w:rPr>
          <w:rFonts w:ascii="Arial" w:hAnsi="Arial" w:cs="Arial"/>
          <w:lang w:val="fr-FR"/>
        </w:rPr>
        <w:t>Available</w:t>
      </w:r>
      <w:proofErr w:type="spellEnd"/>
      <w:r w:rsidRPr="00D029AE">
        <w:rPr>
          <w:rFonts w:ascii="Arial" w:hAnsi="Arial" w:cs="Arial"/>
          <w:lang w:val="fr-FR"/>
        </w:rPr>
        <w:t xml:space="preserve"> at: </w:t>
      </w:r>
      <w:hyperlink r:id="rId19" w:tgtFrame="_blank" w:history="1">
        <w:r w:rsidRPr="00D029AE">
          <w:rPr>
            <w:rStyle w:val="Hyperlink"/>
            <w:rFonts w:ascii="Arial" w:hAnsi="Arial" w:cs="Arial"/>
            <w:lang w:val="fr-FR"/>
          </w:rPr>
          <w:t>https://www.gov.uk/government/publications/independent-review-of-the-mental-health-act-interim-report</w:t>
        </w:r>
      </w:hyperlink>
      <w:r w:rsidR="00F77575" w:rsidRPr="00D029AE">
        <w:rPr>
          <w:rFonts w:ascii="Arial" w:hAnsi="Arial" w:cs="Arial"/>
          <w:lang w:val="fr-FR"/>
        </w:rPr>
        <w:t xml:space="preserve"> </w:t>
      </w:r>
    </w:p>
    <w:p w14:paraId="6FE778E9" w14:textId="20AADEF9" w:rsidR="00E628F5" w:rsidRDefault="00AE5404" w:rsidP="00DE4ED4">
      <w:pPr>
        <w:spacing w:line="480" w:lineRule="auto"/>
        <w:rPr>
          <w:rStyle w:val="Hyperlink"/>
          <w:rFonts w:ascii="Arial" w:hAnsi="Arial" w:cs="Arial"/>
        </w:rPr>
      </w:pPr>
      <w:proofErr w:type="spellStart"/>
      <w:r w:rsidRPr="00B80107">
        <w:rPr>
          <w:rFonts w:ascii="Arial" w:hAnsi="Arial" w:cs="Arial"/>
        </w:rPr>
        <w:t>Wessely</w:t>
      </w:r>
      <w:proofErr w:type="spellEnd"/>
      <w:r w:rsidRPr="00B80107">
        <w:rPr>
          <w:rFonts w:ascii="Arial" w:hAnsi="Arial" w:cs="Arial"/>
        </w:rPr>
        <w:t>, S., Gilbert, S., Hedley, M. and Neuberger, J</w:t>
      </w:r>
      <w:r>
        <w:rPr>
          <w:rFonts w:ascii="Arial" w:hAnsi="Arial" w:cs="Arial"/>
        </w:rPr>
        <w:t>. (2018</w:t>
      </w:r>
      <w:r w:rsidR="0005249C">
        <w:rPr>
          <w:rFonts w:ascii="Arial" w:hAnsi="Arial" w:cs="Arial"/>
        </w:rPr>
        <w:t>b</w:t>
      </w:r>
      <w:r>
        <w:rPr>
          <w:rFonts w:ascii="Arial" w:hAnsi="Arial" w:cs="Arial"/>
        </w:rPr>
        <w:t xml:space="preserve">) </w:t>
      </w:r>
      <w:r w:rsidRPr="000D5ED3">
        <w:rPr>
          <w:rFonts w:ascii="Arial" w:hAnsi="Arial" w:cs="Arial"/>
          <w:i/>
        </w:rPr>
        <w:t>Modernising the Mental Health Act</w:t>
      </w:r>
      <w:r w:rsidR="00794464">
        <w:rPr>
          <w:rFonts w:ascii="Arial" w:hAnsi="Arial" w:cs="Arial"/>
          <w:i/>
        </w:rPr>
        <w:t>:</w:t>
      </w:r>
      <w:r w:rsidRPr="000D5ED3">
        <w:rPr>
          <w:rFonts w:ascii="Arial" w:hAnsi="Arial" w:cs="Arial"/>
          <w:i/>
        </w:rPr>
        <w:t xml:space="preserve"> Increasing choice, reducing compulsion</w:t>
      </w:r>
      <w:r w:rsidR="00800907">
        <w:rPr>
          <w:rFonts w:ascii="Arial" w:hAnsi="Arial" w:cs="Arial"/>
          <w:i/>
        </w:rPr>
        <w:t>,</w:t>
      </w:r>
      <w:r>
        <w:rPr>
          <w:rFonts w:ascii="Arial" w:hAnsi="Arial" w:cs="Arial"/>
        </w:rPr>
        <w:t xml:space="preserve"> Available at </w:t>
      </w:r>
      <w:hyperlink r:id="rId20" w:history="1">
        <w:r w:rsidRPr="00AE5404">
          <w:rPr>
            <w:rStyle w:val="Hyperlink"/>
            <w:rFonts w:ascii="Arial" w:hAnsi="Arial" w:cs="Arial"/>
          </w:rPr>
          <w:t>https://www.gov.uk/government/publications/modernising-the-mental-health-act-final-report-from-the-independent-review</w:t>
        </w:r>
      </w:hyperlink>
    </w:p>
    <w:sectPr w:rsidR="00E628F5" w:rsidSect="00CD24D7">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D15194" w14:textId="77777777" w:rsidR="001A783B" w:rsidRDefault="001A783B" w:rsidP="00072C12">
      <w:pPr>
        <w:spacing w:after="0" w:line="240" w:lineRule="auto"/>
      </w:pPr>
      <w:r>
        <w:separator/>
      </w:r>
    </w:p>
  </w:endnote>
  <w:endnote w:type="continuationSeparator" w:id="0">
    <w:p w14:paraId="517E4FFF" w14:textId="77777777" w:rsidR="001A783B" w:rsidRDefault="001A783B" w:rsidP="00072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9142229"/>
      <w:docPartObj>
        <w:docPartGallery w:val="Page Numbers (Bottom of Page)"/>
        <w:docPartUnique/>
      </w:docPartObj>
    </w:sdtPr>
    <w:sdtEndPr>
      <w:rPr>
        <w:noProof/>
      </w:rPr>
    </w:sdtEndPr>
    <w:sdtContent>
      <w:p w14:paraId="3C04FD43" w14:textId="00BCC9B0" w:rsidR="00F55BAD" w:rsidRDefault="00F55BAD">
        <w:pPr>
          <w:pStyle w:val="Footer"/>
        </w:pPr>
        <w:r>
          <w:fldChar w:fldCharType="begin"/>
        </w:r>
        <w:r>
          <w:instrText xml:space="preserve"> PAGE   \* MERGEFORMAT </w:instrText>
        </w:r>
        <w:r>
          <w:fldChar w:fldCharType="separate"/>
        </w:r>
        <w:r w:rsidR="0013659D">
          <w:rPr>
            <w:noProof/>
          </w:rPr>
          <w:t>1</w:t>
        </w:r>
        <w:r>
          <w:rPr>
            <w:noProof/>
          </w:rPr>
          <w:fldChar w:fldCharType="end"/>
        </w:r>
      </w:p>
    </w:sdtContent>
  </w:sdt>
  <w:p w14:paraId="5FBE4967" w14:textId="77777777" w:rsidR="00F55BAD" w:rsidRDefault="00F55B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EE9B06" w14:textId="77777777" w:rsidR="001A783B" w:rsidRDefault="001A783B" w:rsidP="00072C12">
      <w:pPr>
        <w:spacing w:after="0" w:line="240" w:lineRule="auto"/>
      </w:pPr>
      <w:r>
        <w:separator/>
      </w:r>
    </w:p>
  </w:footnote>
  <w:footnote w:type="continuationSeparator" w:id="0">
    <w:p w14:paraId="76B5171C" w14:textId="77777777" w:rsidR="001A783B" w:rsidRDefault="001A783B" w:rsidP="00072C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13EBD" w14:textId="706D4463" w:rsidR="00F55BAD" w:rsidRDefault="00F55BAD">
    <w:pPr>
      <w:pStyle w:val="Header"/>
    </w:pPr>
  </w:p>
  <w:p w14:paraId="0871E22E" w14:textId="77777777" w:rsidR="00F55BAD" w:rsidRDefault="00F55B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F23A1"/>
    <w:multiLevelType w:val="multilevel"/>
    <w:tmpl w:val="2898C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D61785"/>
    <w:multiLevelType w:val="hybridMultilevel"/>
    <w:tmpl w:val="E8A0F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0D74E3"/>
    <w:multiLevelType w:val="hybridMultilevel"/>
    <w:tmpl w:val="9BBACBD8"/>
    <w:lvl w:ilvl="0" w:tplc="E13C3A5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FC126F"/>
    <w:multiLevelType w:val="multilevel"/>
    <w:tmpl w:val="B6741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9E1D6F"/>
    <w:multiLevelType w:val="multilevel"/>
    <w:tmpl w:val="DB7EF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23179F0"/>
    <w:multiLevelType w:val="multilevel"/>
    <w:tmpl w:val="73560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D8D"/>
    <w:rsid w:val="00012B73"/>
    <w:rsid w:val="000431D7"/>
    <w:rsid w:val="0004798A"/>
    <w:rsid w:val="0005249C"/>
    <w:rsid w:val="0005339E"/>
    <w:rsid w:val="00064499"/>
    <w:rsid w:val="00070C56"/>
    <w:rsid w:val="00072C12"/>
    <w:rsid w:val="0007415E"/>
    <w:rsid w:val="00074BB9"/>
    <w:rsid w:val="00081C4E"/>
    <w:rsid w:val="00084527"/>
    <w:rsid w:val="00085473"/>
    <w:rsid w:val="000864F0"/>
    <w:rsid w:val="00087700"/>
    <w:rsid w:val="000948F4"/>
    <w:rsid w:val="000B274A"/>
    <w:rsid w:val="000B7BBE"/>
    <w:rsid w:val="000C526E"/>
    <w:rsid w:val="000D5ED3"/>
    <w:rsid w:val="000E68A7"/>
    <w:rsid w:val="000F2157"/>
    <w:rsid w:val="001001CD"/>
    <w:rsid w:val="001073A1"/>
    <w:rsid w:val="00120ADD"/>
    <w:rsid w:val="00132009"/>
    <w:rsid w:val="001358AD"/>
    <w:rsid w:val="0013659D"/>
    <w:rsid w:val="00156CBB"/>
    <w:rsid w:val="0016488C"/>
    <w:rsid w:val="00170973"/>
    <w:rsid w:val="0018156D"/>
    <w:rsid w:val="00186616"/>
    <w:rsid w:val="00193202"/>
    <w:rsid w:val="001A783B"/>
    <w:rsid w:val="001D3522"/>
    <w:rsid w:val="001D49A2"/>
    <w:rsid w:val="001E4D3B"/>
    <w:rsid w:val="001F262A"/>
    <w:rsid w:val="001F4D65"/>
    <w:rsid w:val="001F6EDF"/>
    <w:rsid w:val="002114AC"/>
    <w:rsid w:val="00226682"/>
    <w:rsid w:val="00232DAC"/>
    <w:rsid w:val="00235795"/>
    <w:rsid w:val="00240C34"/>
    <w:rsid w:val="00270B22"/>
    <w:rsid w:val="002719B4"/>
    <w:rsid w:val="002925C5"/>
    <w:rsid w:val="002B0E52"/>
    <w:rsid w:val="002D09C7"/>
    <w:rsid w:val="002D1C94"/>
    <w:rsid w:val="002E0308"/>
    <w:rsid w:val="002E5B7E"/>
    <w:rsid w:val="002F0233"/>
    <w:rsid w:val="002F58E5"/>
    <w:rsid w:val="00344122"/>
    <w:rsid w:val="003463AF"/>
    <w:rsid w:val="00352CD4"/>
    <w:rsid w:val="003606CD"/>
    <w:rsid w:val="00361723"/>
    <w:rsid w:val="00367698"/>
    <w:rsid w:val="00370F19"/>
    <w:rsid w:val="00382E7A"/>
    <w:rsid w:val="003A070F"/>
    <w:rsid w:val="003A4222"/>
    <w:rsid w:val="00424043"/>
    <w:rsid w:val="00447F1A"/>
    <w:rsid w:val="00451D4C"/>
    <w:rsid w:val="0046110C"/>
    <w:rsid w:val="004662F4"/>
    <w:rsid w:val="004A165C"/>
    <w:rsid w:val="004A21B6"/>
    <w:rsid w:val="004B79B2"/>
    <w:rsid w:val="004C18F4"/>
    <w:rsid w:val="004C45C2"/>
    <w:rsid w:val="004D3DCF"/>
    <w:rsid w:val="004E4012"/>
    <w:rsid w:val="004E7D8D"/>
    <w:rsid w:val="004F0C07"/>
    <w:rsid w:val="004F3911"/>
    <w:rsid w:val="00511699"/>
    <w:rsid w:val="00513E7F"/>
    <w:rsid w:val="0054054E"/>
    <w:rsid w:val="00554626"/>
    <w:rsid w:val="00561FCE"/>
    <w:rsid w:val="00564E39"/>
    <w:rsid w:val="00572A03"/>
    <w:rsid w:val="00576B80"/>
    <w:rsid w:val="00583679"/>
    <w:rsid w:val="00596868"/>
    <w:rsid w:val="00597A98"/>
    <w:rsid w:val="005A5FE5"/>
    <w:rsid w:val="005D1D5C"/>
    <w:rsid w:val="005D4713"/>
    <w:rsid w:val="005D6373"/>
    <w:rsid w:val="005E0A73"/>
    <w:rsid w:val="005E265F"/>
    <w:rsid w:val="005E2E0D"/>
    <w:rsid w:val="0060492D"/>
    <w:rsid w:val="006158CF"/>
    <w:rsid w:val="00622A3C"/>
    <w:rsid w:val="006255AF"/>
    <w:rsid w:val="00632ADE"/>
    <w:rsid w:val="006410E7"/>
    <w:rsid w:val="006455BC"/>
    <w:rsid w:val="006564F0"/>
    <w:rsid w:val="00672F1B"/>
    <w:rsid w:val="0067346B"/>
    <w:rsid w:val="00682E40"/>
    <w:rsid w:val="00683A5F"/>
    <w:rsid w:val="00690AE4"/>
    <w:rsid w:val="006A4A6A"/>
    <w:rsid w:val="006C7F5A"/>
    <w:rsid w:val="006D1153"/>
    <w:rsid w:val="006E1CDE"/>
    <w:rsid w:val="006F329C"/>
    <w:rsid w:val="00701060"/>
    <w:rsid w:val="00701105"/>
    <w:rsid w:val="00702323"/>
    <w:rsid w:val="00704F4F"/>
    <w:rsid w:val="00707609"/>
    <w:rsid w:val="00711D74"/>
    <w:rsid w:val="00730FFC"/>
    <w:rsid w:val="0073295D"/>
    <w:rsid w:val="00736DDB"/>
    <w:rsid w:val="00747BFD"/>
    <w:rsid w:val="00753F52"/>
    <w:rsid w:val="00755AB7"/>
    <w:rsid w:val="00771A2E"/>
    <w:rsid w:val="00774606"/>
    <w:rsid w:val="00782268"/>
    <w:rsid w:val="00784BEA"/>
    <w:rsid w:val="007913D4"/>
    <w:rsid w:val="00793190"/>
    <w:rsid w:val="00794464"/>
    <w:rsid w:val="007979CB"/>
    <w:rsid w:val="007B4068"/>
    <w:rsid w:val="007C2BE0"/>
    <w:rsid w:val="007C6630"/>
    <w:rsid w:val="007E05AB"/>
    <w:rsid w:val="007F7B3F"/>
    <w:rsid w:val="00800907"/>
    <w:rsid w:val="00804C71"/>
    <w:rsid w:val="00810672"/>
    <w:rsid w:val="00824D78"/>
    <w:rsid w:val="00830263"/>
    <w:rsid w:val="008308D8"/>
    <w:rsid w:val="008325D9"/>
    <w:rsid w:val="00833996"/>
    <w:rsid w:val="00833D8E"/>
    <w:rsid w:val="00835A75"/>
    <w:rsid w:val="00856713"/>
    <w:rsid w:val="0086641F"/>
    <w:rsid w:val="00882428"/>
    <w:rsid w:val="00883244"/>
    <w:rsid w:val="00885B1C"/>
    <w:rsid w:val="008A5801"/>
    <w:rsid w:val="008A598C"/>
    <w:rsid w:val="008A663E"/>
    <w:rsid w:val="008C7220"/>
    <w:rsid w:val="008E3DC8"/>
    <w:rsid w:val="008E6BAC"/>
    <w:rsid w:val="008E76F9"/>
    <w:rsid w:val="008F6D58"/>
    <w:rsid w:val="008F7E06"/>
    <w:rsid w:val="009014CF"/>
    <w:rsid w:val="00902410"/>
    <w:rsid w:val="0093672D"/>
    <w:rsid w:val="00943CE5"/>
    <w:rsid w:val="00944C8C"/>
    <w:rsid w:val="009574B1"/>
    <w:rsid w:val="00957EC8"/>
    <w:rsid w:val="00967258"/>
    <w:rsid w:val="00970065"/>
    <w:rsid w:val="00983B0E"/>
    <w:rsid w:val="009938B2"/>
    <w:rsid w:val="009959C8"/>
    <w:rsid w:val="009A31F5"/>
    <w:rsid w:val="009A5376"/>
    <w:rsid w:val="009C0905"/>
    <w:rsid w:val="009C4DD3"/>
    <w:rsid w:val="009D3459"/>
    <w:rsid w:val="009E5914"/>
    <w:rsid w:val="009E68CB"/>
    <w:rsid w:val="009F70C3"/>
    <w:rsid w:val="00A0223C"/>
    <w:rsid w:val="00A0755E"/>
    <w:rsid w:val="00A12403"/>
    <w:rsid w:val="00A12454"/>
    <w:rsid w:val="00A14E08"/>
    <w:rsid w:val="00A17505"/>
    <w:rsid w:val="00A22241"/>
    <w:rsid w:val="00A43FD0"/>
    <w:rsid w:val="00A60510"/>
    <w:rsid w:val="00A810B3"/>
    <w:rsid w:val="00A97685"/>
    <w:rsid w:val="00AA3D67"/>
    <w:rsid w:val="00AA6C91"/>
    <w:rsid w:val="00AB5A4C"/>
    <w:rsid w:val="00AC46B5"/>
    <w:rsid w:val="00AE5404"/>
    <w:rsid w:val="00AF343F"/>
    <w:rsid w:val="00B150C2"/>
    <w:rsid w:val="00B43644"/>
    <w:rsid w:val="00B44182"/>
    <w:rsid w:val="00B51050"/>
    <w:rsid w:val="00B54648"/>
    <w:rsid w:val="00B574FD"/>
    <w:rsid w:val="00B57638"/>
    <w:rsid w:val="00B6375F"/>
    <w:rsid w:val="00B80107"/>
    <w:rsid w:val="00B81330"/>
    <w:rsid w:val="00B910CD"/>
    <w:rsid w:val="00BE3AD9"/>
    <w:rsid w:val="00BE77B8"/>
    <w:rsid w:val="00BF2269"/>
    <w:rsid w:val="00C01FB2"/>
    <w:rsid w:val="00C0661E"/>
    <w:rsid w:val="00C07D31"/>
    <w:rsid w:val="00C10053"/>
    <w:rsid w:val="00C1019E"/>
    <w:rsid w:val="00C11C47"/>
    <w:rsid w:val="00C13973"/>
    <w:rsid w:val="00C32D10"/>
    <w:rsid w:val="00C33A9B"/>
    <w:rsid w:val="00C4490B"/>
    <w:rsid w:val="00C53E8F"/>
    <w:rsid w:val="00C63D36"/>
    <w:rsid w:val="00C70E46"/>
    <w:rsid w:val="00C8121F"/>
    <w:rsid w:val="00C850B7"/>
    <w:rsid w:val="00C95C12"/>
    <w:rsid w:val="00C96122"/>
    <w:rsid w:val="00CA4449"/>
    <w:rsid w:val="00CB244F"/>
    <w:rsid w:val="00CB36E3"/>
    <w:rsid w:val="00CB3C8E"/>
    <w:rsid w:val="00CB4B42"/>
    <w:rsid w:val="00CB62FA"/>
    <w:rsid w:val="00CD0050"/>
    <w:rsid w:val="00CD24D7"/>
    <w:rsid w:val="00CD51AE"/>
    <w:rsid w:val="00D00569"/>
    <w:rsid w:val="00D015A5"/>
    <w:rsid w:val="00D029AE"/>
    <w:rsid w:val="00D212A1"/>
    <w:rsid w:val="00D22064"/>
    <w:rsid w:val="00D251C2"/>
    <w:rsid w:val="00D30786"/>
    <w:rsid w:val="00D3702E"/>
    <w:rsid w:val="00D6527B"/>
    <w:rsid w:val="00D652E4"/>
    <w:rsid w:val="00DB405B"/>
    <w:rsid w:val="00DC5CFF"/>
    <w:rsid w:val="00DC7688"/>
    <w:rsid w:val="00DD221C"/>
    <w:rsid w:val="00DD2C75"/>
    <w:rsid w:val="00DE026B"/>
    <w:rsid w:val="00DE4ED4"/>
    <w:rsid w:val="00E007D1"/>
    <w:rsid w:val="00E34588"/>
    <w:rsid w:val="00E428DA"/>
    <w:rsid w:val="00E42CBC"/>
    <w:rsid w:val="00E42D3B"/>
    <w:rsid w:val="00E437A2"/>
    <w:rsid w:val="00E51B14"/>
    <w:rsid w:val="00E628F5"/>
    <w:rsid w:val="00E67AA4"/>
    <w:rsid w:val="00E76F3E"/>
    <w:rsid w:val="00E95B9B"/>
    <w:rsid w:val="00E96EC1"/>
    <w:rsid w:val="00E977BA"/>
    <w:rsid w:val="00EA4872"/>
    <w:rsid w:val="00EB19C0"/>
    <w:rsid w:val="00EB2354"/>
    <w:rsid w:val="00F03A68"/>
    <w:rsid w:val="00F20D4C"/>
    <w:rsid w:val="00F23654"/>
    <w:rsid w:val="00F24C19"/>
    <w:rsid w:val="00F55BAD"/>
    <w:rsid w:val="00F77575"/>
    <w:rsid w:val="00F95004"/>
    <w:rsid w:val="00FC27DD"/>
    <w:rsid w:val="00FD5C70"/>
    <w:rsid w:val="00FF01C9"/>
    <w:rsid w:val="00FF0BCA"/>
    <w:rsid w:val="0C6B3EE2"/>
    <w:rsid w:val="2AE96EE9"/>
    <w:rsid w:val="6F8FC3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41517"/>
  <w15:docId w15:val="{69A8AEA6-64E1-49DB-97F8-CCF3A4FD8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D8D"/>
  </w:style>
  <w:style w:type="paragraph" w:styleId="Heading1">
    <w:name w:val="heading 1"/>
    <w:basedOn w:val="Normal"/>
    <w:next w:val="Normal"/>
    <w:link w:val="Heading1Char"/>
    <w:uiPriority w:val="9"/>
    <w:qFormat/>
    <w:rsid w:val="00513E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E7D8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E7D8D"/>
  </w:style>
  <w:style w:type="character" w:customStyle="1" w:styleId="eop">
    <w:name w:val="eop"/>
    <w:basedOn w:val="DefaultParagraphFont"/>
    <w:rsid w:val="004E7D8D"/>
  </w:style>
  <w:style w:type="character" w:styleId="CommentReference">
    <w:name w:val="annotation reference"/>
    <w:basedOn w:val="DefaultParagraphFont"/>
    <w:uiPriority w:val="99"/>
    <w:semiHidden/>
    <w:unhideWhenUsed/>
    <w:rsid w:val="004E7D8D"/>
    <w:rPr>
      <w:sz w:val="16"/>
      <w:szCs w:val="16"/>
    </w:rPr>
  </w:style>
  <w:style w:type="paragraph" w:styleId="CommentText">
    <w:name w:val="annotation text"/>
    <w:basedOn w:val="Normal"/>
    <w:link w:val="CommentTextChar"/>
    <w:uiPriority w:val="99"/>
    <w:semiHidden/>
    <w:unhideWhenUsed/>
    <w:rsid w:val="004E7D8D"/>
    <w:pPr>
      <w:spacing w:line="240" w:lineRule="auto"/>
    </w:pPr>
    <w:rPr>
      <w:sz w:val="20"/>
      <w:szCs w:val="20"/>
    </w:rPr>
  </w:style>
  <w:style w:type="character" w:customStyle="1" w:styleId="CommentTextChar">
    <w:name w:val="Comment Text Char"/>
    <w:basedOn w:val="DefaultParagraphFont"/>
    <w:link w:val="CommentText"/>
    <w:uiPriority w:val="99"/>
    <w:semiHidden/>
    <w:rsid w:val="004E7D8D"/>
    <w:rPr>
      <w:sz w:val="20"/>
      <w:szCs w:val="20"/>
    </w:rPr>
  </w:style>
  <w:style w:type="character" w:styleId="Hyperlink">
    <w:name w:val="Hyperlink"/>
    <w:basedOn w:val="DefaultParagraphFont"/>
    <w:uiPriority w:val="99"/>
    <w:unhideWhenUsed/>
    <w:rsid w:val="004E7D8D"/>
    <w:rPr>
      <w:color w:val="0000FF" w:themeColor="hyperlink"/>
      <w:u w:val="single"/>
    </w:rPr>
  </w:style>
  <w:style w:type="paragraph" w:styleId="BalloonText">
    <w:name w:val="Balloon Text"/>
    <w:basedOn w:val="Normal"/>
    <w:link w:val="BalloonTextChar"/>
    <w:uiPriority w:val="99"/>
    <w:semiHidden/>
    <w:unhideWhenUsed/>
    <w:rsid w:val="004E7D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D8D"/>
    <w:rPr>
      <w:rFonts w:ascii="Tahoma" w:hAnsi="Tahoma" w:cs="Tahoma"/>
      <w:sz w:val="16"/>
      <w:szCs w:val="16"/>
    </w:rPr>
  </w:style>
  <w:style w:type="table" w:styleId="TableGrid">
    <w:name w:val="Table Grid"/>
    <w:basedOn w:val="TableNormal"/>
    <w:uiPriority w:val="59"/>
    <w:rsid w:val="00270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13E7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53E8F"/>
    <w:pPr>
      <w:ind w:left="720"/>
      <w:contextualSpacing/>
    </w:pPr>
  </w:style>
  <w:style w:type="paragraph" w:styleId="Header">
    <w:name w:val="header"/>
    <w:basedOn w:val="Normal"/>
    <w:link w:val="HeaderChar"/>
    <w:uiPriority w:val="99"/>
    <w:unhideWhenUsed/>
    <w:rsid w:val="00072C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2C12"/>
  </w:style>
  <w:style w:type="paragraph" w:styleId="Footer">
    <w:name w:val="footer"/>
    <w:basedOn w:val="Normal"/>
    <w:link w:val="FooterChar"/>
    <w:uiPriority w:val="99"/>
    <w:unhideWhenUsed/>
    <w:rsid w:val="00072C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2C12"/>
  </w:style>
  <w:style w:type="paragraph" w:styleId="CommentSubject">
    <w:name w:val="annotation subject"/>
    <w:basedOn w:val="CommentText"/>
    <w:next w:val="CommentText"/>
    <w:link w:val="CommentSubjectChar"/>
    <w:uiPriority w:val="99"/>
    <w:semiHidden/>
    <w:unhideWhenUsed/>
    <w:rsid w:val="00D652E4"/>
    <w:rPr>
      <w:b/>
      <w:bCs/>
    </w:rPr>
  </w:style>
  <w:style w:type="character" w:customStyle="1" w:styleId="CommentSubjectChar">
    <w:name w:val="Comment Subject Char"/>
    <w:basedOn w:val="CommentTextChar"/>
    <w:link w:val="CommentSubject"/>
    <w:uiPriority w:val="99"/>
    <w:semiHidden/>
    <w:rsid w:val="00D652E4"/>
    <w:rPr>
      <w:b/>
      <w:bCs/>
      <w:sz w:val="20"/>
      <w:szCs w:val="20"/>
    </w:rPr>
  </w:style>
  <w:style w:type="paragraph" w:styleId="Revision">
    <w:name w:val="Revision"/>
    <w:hidden/>
    <w:uiPriority w:val="99"/>
    <w:semiHidden/>
    <w:rsid w:val="001F4D65"/>
    <w:pPr>
      <w:spacing w:after="0" w:line="240" w:lineRule="auto"/>
    </w:pPr>
  </w:style>
  <w:style w:type="character" w:customStyle="1" w:styleId="element-citation">
    <w:name w:val="element-citation"/>
    <w:basedOn w:val="DefaultParagraphFont"/>
    <w:rsid w:val="00CB4B42"/>
  </w:style>
  <w:style w:type="character" w:customStyle="1" w:styleId="ref-journal">
    <w:name w:val="ref-journal"/>
    <w:basedOn w:val="DefaultParagraphFont"/>
    <w:rsid w:val="00CB4B42"/>
  </w:style>
  <w:style w:type="character" w:customStyle="1" w:styleId="nowrap">
    <w:name w:val="nowrap"/>
    <w:basedOn w:val="DefaultParagraphFont"/>
    <w:rsid w:val="004C18F4"/>
  </w:style>
  <w:style w:type="paragraph" w:styleId="FootnoteText">
    <w:name w:val="footnote text"/>
    <w:basedOn w:val="Normal"/>
    <w:link w:val="FootnoteTextChar"/>
    <w:uiPriority w:val="99"/>
    <w:semiHidden/>
    <w:unhideWhenUsed/>
    <w:rsid w:val="005D63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6373"/>
    <w:rPr>
      <w:sz w:val="20"/>
      <w:szCs w:val="20"/>
    </w:rPr>
  </w:style>
  <w:style w:type="character" w:styleId="FootnoteReference">
    <w:name w:val="footnote reference"/>
    <w:basedOn w:val="DefaultParagraphFont"/>
    <w:uiPriority w:val="99"/>
    <w:semiHidden/>
    <w:unhideWhenUsed/>
    <w:rsid w:val="005D6373"/>
    <w:rPr>
      <w:vertAlign w:val="superscript"/>
    </w:rPr>
  </w:style>
  <w:style w:type="character" w:customStyle="1" w:styleId="contextualspellingandgrammarerror">
    <w:name w:val="contextualspellingandgrammarerror"/>
    <w:basedOn w:val="DefaultParagraphFont"/>
    <w:rsid w:val="005D6373"/>
  </w:style>
  <w:style w:type="paragraph" w:styleId="NoSpacing">
    <w:name w:val="No Spacing"/>
    <w:uiPriority w:val="1"/>
    <w:qFormat/>
    <w:rsid w:val="00943CE5"/>
    <w:pPr>
      <w:spacing w:after="0" w:line="240" w:lineRule="auto"/>
    </w:pPr>
    <w:rPr>
      <w:rFonts w:ascii="Arial" w:eastAsia="Calibri" w:hAnsi="Arial" w:cs="Times New Roman"/>
      <w:sz w:val="24"/>
      <w:szCs w:val="24"/>
    </w:rPr>
  </w:style>
  <w:style w:type="character" w:styleId="UnresolvedMention">
    <w:name w:val="Unresolved Mention"/>
    <w:basedOn w:val="DefaultParagraphFont"/>
    <w:uiPriority w:val="99"/>
    <w:semiHidden/>
    <w:unhideWhenUsed/>
    <w:rsid w:val="00943C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642519">
      <w:bodyDiv w:val="1"/>
      <w:marLeft w:val="0"/>
      <w:marRight w:val="0"/>
      <w:marTop w:val="0"/>
      <w:marBottom w:val="0"/>
      <w:divBdr>
        <w:top w:val="none" w:sz="0" w:space="0" w:color="auto"/>
        <w:left w:val="none" w:sz="0" w:space="0" w:color="auto"/>
        <w:bottom w:val="none" w:sz="0" w:space="0" w:color="auto"/>
        <w:right w:val="none" w:sz="0" w:space="0" w:color="auto"/>
      </w:divBdr>
      <w:divsChild>
        <w:div w:id="1022903711">
          <w:marLeft w:val="0"/>
          <w:marRight w:val="0"/>
          <w:marTop w:val="0"/>
          <w:marBottom w:val="0"/>
          <w:divBdr>
            <w:top w:val="none" w:sz="0" w:space="0" w:color="auto"/>
            <w:left w:val="none" w:sz="0" w:space="0" w:color="auto"/>
            <w:bottom w:val="none" w:sz="0" w:space="0" w:color="auto"/>
            <w:right w:val="none" w:sz="0" w:space="0" w:color="auto"/>
          </w:divBdr>
        </w:div>
      </w:divsChild>
    </w:div>
    <w:div w:id="162478674">
      <w:bodyDiv w:val="1"/>
      <w:marLeft w:val="0"/>
      <w:marRight w:val="0"/>
      <w:marTop w:val="0"/>
      <w:marBottom w:val="0"/>
      <w:divBdr>
        <w:top w:val="none" w:sz="0" w:space="0" w:color="auto"/>
        <w:left w:val="none" w:sz="0" w:space="0" w:color="auto"/>
        <w:bottom w:val="none" w:sz="0" w:space="0" w:color="auto"/>
        <w:right w:val="none" w:sz="0" w:space="0" w:color="auto"/>
      </w:divBdr>
    </w:div>
    <w:div w:id="314140085">
      <w:bodyDiv w:val="1"/>
      <w:marLeft w:val="0"/>
      <w:marRight w:val="0"/>
      <w:marTop w:val="0"/>
      <w:marBottom w:val="0"/>
      <w:divBdr>
        <w:top w:val="none" w:sz="0" w:space="0" w:color="auto"/>
        <w:left w:val="none" w:sz="0" w:space="0" w:color="auto"/>
        <w:bottom w:val="none" w:sz="0" w:space="0" w:color="auto"/>
        <w:right w:val="none" w:sz="0" w:space="0" w:color="auto"/>
      </w:divBdr>
    </w:div>
    <w:div w:id="594048099">
      <w:bodyDiv w:val="1"/>
      <w:marLeft w:val="0"/>
      <w:marRight w:val="0"/>
      <w:marTop w:val="0"/>
      <w:marBottom w:val="0"/>
      <w:divBdr>
        <w:top w:val="none" w:sz="0" w:space="0" w:color="auto"/>
        <w:left w:val="none" w:sz="0" w:space="0" w:color="auto"/>
        <w:bottom w:val="none" w:sz="0" w:space="0" w:color="auto"/>
        <w:right w:val="none" w:sz="0" w:space="0" w:color="auto"/>
      </w:divBdr>
    </w:div>
    <w:div w:id="684015557">
      <w:bodyDiv w:val="1"/>
      <w:marLeft w:val="0"/>
      <w:marRight w:val="0"/>
      <w:marTop w:val="0"/>
      <w:marBottom w:val="0"/>
      <w:divBdr>
        <w:top w:val="none" w:sz="0" w:space="0" w:color="auto"/>
        <w:left w:val="none" w:sz="0" w:space="0" w:color="auto"/>
        <w:bottom w:val="none" w:sz="0" w:space="0" w:color="auto"/>
        <w:right w:val="none" w:sz="0" w:space="0" w:color="auto"/>
      </w:divBdr>
      <w:divsChild>
        <w:div w:id="1290432670">
          <w:marLeft w:val="0"/>
          <w:marRight w:val="0"/>
          <w:marTop w:val="0"/>
          <w:marBottom w:val="0"/>
          <w:divBdr>
            <w:top w:val="none" w:sz="0" w:space="0" w:color="auto"/>
            <w:left w:val="none" w:sz="0" w:space="0" w:color="auto"/>
            <w:bottom w:val="none" w:sz="0" w:space="0" w:color="auto"/>
            <w:right w:val="none" w:sz="0" w:space="0" w:color="auto"/>
          </w:divBdr>
        </w:div>
        <w:div w:id="186063709">
          <w:marLeft w:val="0"/>
          <w:marRight w:val="0"/>
          <w:marTop w:val="0"/>
          <w:marBottom w:val="0"/>
          <w:divBdr>
            <w:top w:val="none" w:sz="0" w:space="0" w:color="auto"/>
            <w:left w:val="none" w:sz="0" w:space="0" w:color="auto"/>
            <w:bottom w:val="none" w:sz="0" w:space="0" w:color="auto"/>
            <w:right w:val="none" w:sz="0" w:space="0" w:color="auto"/>
          </w:divBdr>
        </w:div>
        <w:div w:id="1018434495">
          <w:marLeft w:val="0"/>
          <w:marRight w:val="0"/>
          <w:marTop w:val="0"/>
          <w:marBottom w:val="0"/>
          <w:divBdr>
            <w:top w:val="none" w:sz="0" w:space="0" w:color="auto"/>
            <w:left w:val="none" w:sz="0" w:space="0" w:color="auto"/>
            <w:bottom w:val="none" w:sz="0" w:space="0" w:color="auto"/>
            <w:right w:val="none" w:sz="0" w:space="0" w:color="auto"/>
          </w:divBdr>
        </w:div>
        <w:div w:id="337468814">
          <w:marLeft w:val="0"/>
          <w:marRight w:val="0"/>
          <w:marTop w:val="0"/>
          <w:marBottom w:val="0"/>
          <w:divBdr>
            <w:top w:val="none" w:sz="0" w:space="0" w:color="auto"/>
            <w:left w:val="none" w:sz="0" w:space="0" w:color="auto"/>
            <w:bottom w:val="none" w:sz="0" w:space="0" w:color="auto"/>
            <w:right w:val="none" w:sz="0" w:space="0" w:color="auto"/>
          </w:divBdr>
        </w:div>
        <w:div w:id="667485728">
          <w:marLeft w:val="0"/>
          <w:marRight w:val="0"/>
          <w:marTop w:val="0"/>
          <w:marBottom w:val="0"/>
          <w:divBdr>
            <w:top w:val="none" w:sz="0" w:space="0" w:color="auto"/>
            <w:left w:val="none" w:sz="0" w:space="0" w:color="auto"/>
            <w:bottom w:val="none" w:sz="0" w:space="0" w:color="auto"/>
            <w:right w:val="none" w:sz="0" w:space="0" w:color="auto"/>
          </w:divBdr>
        </w:div>
        <w:div w:id="2064450918">
          <w:marLeft w:val="0"/>
          <w:marRight w:val="0"/>
          <w:marTop w:val="0"/>
          <w:marBottom w:val="0"/>
          <w:divBdr>
            <w:top w:val="none" w:sz="0" w:space="0" w:color="auto"/>
            <w:left w:val="none" w:sz="0" w:space="0" w:color="auto"/>
            <w:bottom w:val="none" w:sz="0" w:space="0" w:color="auto"/>
            <w:right w:val="none" w:sz="0" w:space="0" w:color="auto"/>
          </w:divBdr>
        </w:div>
        <w:div w:id="890731228">
          <w:marLeft w:val="0"/>
          <w:marRight w:val="0"/>
          <w:marTop w:val="0"/>
          <w:marBottom w:val="0"/>
          <w:divBdr>
            <w:top w:val="none" w:sz="0" w:space="0" w:color="auto"/>
            <w:left w:val="none" w:sz="0" w:space="0" w:color="auto"/>
            <w:bottom w:val="none" w:sz="0" w:space="0" w:color="auto"/>
            <w:right w:val="none" w:sz="0" w:space="0" w:color="auto"/>
          </w:divBdr>
        </w:div>
        <w:div w:id="1865710126">
          <w:marLeft w:val="0"/>
          <w:marRight w:val="0"/>
          <w:marTop w:val="0"/>
          <w:marBottom w:val="0"/>
          <w:divBdr>
            <w:top w:val="none" w:sz="0" w:space="0" w:color="auto"/>
            <w:left w:val="none" w:sz="0" w:space="0" w:color="auto"/>
            <w:bottom w:val="none" w:sz="0" w:space="0" w:color="auto"/>
            <w:right w:val="none" w:sz="0" w:space="0" w:color="auto"/>
          </w:divBdr>
        </w:div>
        <w:div w:id="1884097125">
          <w:marLeft w:val="0"/>
          <w:marRight w:val="0"/>
          <w:marTop w:val="0"/>
          <w:marBottom w:val="0"/>
          <w:divBdr>
            <w:top w:val="none" w:sz="0" w:space="0" w:color="auto"/>
            <w:left w:val="none" w:sz="0" w:space="0" w:color="auto"/>
            <w:bottom w:val="none" w:sz="0" w:space="0" w:color="auto"/>
            <w:right w:val="none" w:sz="0" w:space="0" w:color="auto"/>
          </w:divBdr>
        </w:div>
        <w:div w:id="1529373660">
          <w:marLeft w:val="0"/>
          <w:marRight w:val="0"/>
          <w:marTop w:val="0"/>
          <w:marBottom w:val="0"/>
          <w:divBdr>
            <w:top w:val="none" w:sz="0" w:space="0" w:color="auto"/>
            <w:left w:val="none" w:sz="0" w:space="0" w:color="auto"/>
            <w:bottom w:val="none" w:sz="0" w:space="0" w:color="auto"/>
            <w:right w:val="none" w:sz="0" w:space="0" w:color="auto"/>
          </w:divBdr>
        </w:div>
        <w:div w:id="659231787">
          <w:marLeft w:val="0"/>
          <w:marRight w:val="0"/>
          <w:marTop w:val="0"/>
          <w:marBottom w:val="0"/>
          <w:divBdr>
            <w:top w:val="none" w:sz="0" w:space="0" w:color="auto"/>
            <w:left w:val="none" w:sz="0" w:space="0" w:color="auto"/>
            <w:bottom w:val="none" w:sz="0" w:space="0" w:color="auto"/>
            <w:right w:val="none" w:sz="0" w:space="0" w:color="auto"/>
          </w:divBdr>
        </w:div>
        <w:div w:id="1213736052">
          <w:marLeft w:val="0"/>
          <w:marRight w:val="0"/>
          <w:marTop w:val="0"/>
          <w:marBottom w:val="0"/>
          <w:divBdr>
            <w:top w:val="none" w:sz="0" w:space="0" w:color="auto"/>
            <w:left w:val="none" w:sz="0" w:space="0" w:color="auto"/>
            <w:bottom w:val="none" w:sz="0" w:space="0" w:color="auto"/>
            <w:right w:val="none" w:sz="0" w:space="0" w:color="auto"/>
          </w:divBdr>
        </w:div>
        <w:div w:id="424108881">
          <w:marLeft w:val="0"/>
          <w:marRight w:val="0"/>
          <w:marTop w:val="0"/>
          <w:marBottom w:val="0"/>
          <w:divBdr>
            <w:top w:val="none" w:sz="0" w:space="0" w:color="auto"/>
            <w:left w:val="none" w:sz="0" w:space="0" w:color="auto"/>
            <w:bottom w:val="none" w:sz="0" w:space="0" w:color="auto"/>
            <w:right w:val="none" w:sz="0" w:space="0" w:color="auto"/>
          </w:divBdr>
        </w:div>
        <w:div w:id="804810224">
          <w:marLeft w:val="0"/>
          <w:marRight w:val="0"/>
          <w:marTop w:val="0"/>
          <w:marBottom w:val="0"/>
          <w:divBdr>
            <w:top w:val="none" w:sz="0" w:space="0" w:color="auto"/>
            <w:left w:val="none" w:sz="0" w:space="0" w:color="auto"/>
            <w:bottom w:val="none" w:sz="0" w:space="0" w:color="auto"/>
            <w:right w:val="none" w:sz="0" w:space="0" w:color="auto"/>
          </w:divBdr>
        </w:div>
        <w:div w:id="1231039324">
          <w:marLeft w:val="0"/>
          <w:marRight w:val="0"/>
          <w:marTop w:val="0"/>
          <w:marBottom w:val="0"/>
          <w:divBdr>
            <w:top w:val="none" w:sz="0" w:space="0" w:color="auto"/>
            <w:left w:val="none" w:sz="0" w:space="0" w:color="auto"/>
            <w:bottom w:val="none" w:sz="0" w:space="0" w:color="auto"/>
            <w:right w:val="none" w:sz="0" w:space="0" w:color="auto"/>
          </w:divBdr>
        </w:div>
        <w:div w:id="51929568">
          <w:marLeft w:val="0"/>
          <w:marRight w:val="0"/>
          <w:marTop w:val="0"/>
          <w:marBottom w:val="0"/>
          <w:divBdr>
            <w:top w:val="none" w:sz="0" w:space="0" w:color="auto"/>
            <w:left w:val="none" w:sz="0" w:space="0" w:color="auto"/>
            <w:bottom w:val="none" w:sz="0" w:space="0" w:color="auto"/>
            <w:right w:val="none" w:sz="0" w:space="0" w:color="auto"/>
          </w:divBdr>
        </w:div>
        <w:div w:id="2006738234">
          <w:marLeft w:val="0"/>
          <w:marRight w:val="0"/>
          <w:marTop w:val="0"/>
          <w:marBottom w:val="0"/>
          <w:divBdr>
            <w:top w:val="none" w:sz="0" w:space="0" w:color="auto"/>
            <w:left w:val="none" w:sz="0" w:space="0" w:color="auto"/>
            <w:bottom w:val="none" w:sz="0" w:space="0" w:color="auto"/>
            <w:right w:val="none" w:sz="0" w:space="0" w:color="auto"/>
          </w:divBdr>
        </w:div>
        <w:div w:id="367723185">
          <w:marLeft w:val="0"/>
          <w:marRight w:val="0"/>
          <w:marTop w:val="0"/>
          <w:marBottom w:val="0"/>
          <w:divBdr>
            <w:top w:val="none" w:sz="0" w:space="0" w:color="auto"/>
            <w:left w:val="none" w:sz="0" w:space="0" w:color="auto"/>
            <w:bottom w:val="none" w:sz="0" w:space="0" w:color="auto"/>
            <w:right w:val="none" w:sz="0" w:space="0" w:color="auto"/>
          </w:divBdr>
        </w:div>
        <w:div w:id="1087068833">
          <w:marLeft w:val="0"/>
          <w:marRight w:val="0"/>
          <w:marTop w:val="0"/>
          <w:marBottom w:val="0"/>
          <w:divBdr>
            <w:top w:val="none" w:sz="0" w:space="0" w:color="auto"/>
            <w:left w:val="none" w:sz="0" w:space="0" w:color="auto"/>
            <w:bottom w:val="none" w:sz="0" w:space="0" w:color="auto"/>
            <w:right w:val="none" w:sz="0" w:space="0" w:color="auto"/>
          </w:divBdr>
        </w:div>
        <w:div w:id="20280671">
          <w:marLeft w:val="0"/>
          <w:marRight w:val="0"/>
          <w:marTop w:val="0"/>
          <w:marBottom w:val="0"/>
          <w:divBdr>
            <w:top w:val="none" w:sz="0" w:space="0" w:color="auto"/>
            <w:left w:val="none" w:sz="0" w:space="0" w:color="auto"/>
            <w:bottom w:val="none" w:sz="0" w:space="0" w:color="auto"/>
            <w:right w:val="none" w:sz="0" w:space="0" w:color="auto"/>
          </w:divBdr>
        </w:div>
        <w:div w:id="2006089408">
          <w:marLeft w:val="0"/>
          <w:marRight w:val="0"/>
          <w:marTop w:val="0"/>
          <w:marBottom w:val="0"/>
          <w:divBdr>
            <w:top w:val="none" w:sz="0" w:space="0" w:color="auto"/>
            <w:left w:val="none" w:sz="0" w:space="0" w:color="auto"/>
            <w:bottom w:val="none" w:sz="0" w:space="0" w:color="auto"/>
            <w:right w:val="none" w:sz="0" w:space="0" w:color="auto"/>
          </w:divBdr>
        </w:div>
        <w:div w:id="881333421">
          <w:marLeft w:val="0"/>
          <w:marRight w:val="0"/>
          <w:marTop w:val="0"/>
          <w:marBottom w:val="0"/>
          <w:divBdr>
            <w:top w:val="none" w:sz="0" w:space="0" w:color="auto"/>
            <w:left w:val="none" w:sz="0" w:space="0" w:color="auto"/>
            <w:bottom w:val="none" w:sz="0" w:space="0" w:color="auto"/>
            <w:right w:val="none" w:sz="0" w:space="0" w:color="auto"/>
          </w:divBdr>
        </w:div>
        <w:div w:id="1041826260">
          <w:marLeft w:val="0"/>
          <w:marRight w:val="0"/>
          <w:marTop w:val="0"/>
          <w:marBottom w:val="0"/>
          <w:divBdr>
            <w:top w:val="none" w:sz="0" w:space="0" w:color="auto"/>
            <w:left w:val="none" w:sz="0" w:space="0" w:color="auto"/>
            <w:bottom w:val="none" w:sz="0" w:space="0" w:color="auto"/>
            <w:right w:val="none" w:sz="0" w:space="0" w:color="auto"/>
          </w:divBdr>
        </w:div>
        <w:div w:id="646977490">
          <w:marLeft w:val="0"/>
          <w:marRight w:val="0"/>
          <w:marTop w:val="0"/>
          <w:marBottom w:val="0"/>
          <w:divBdr>
            <w:top w:val="none" w:sz="0" w:space="0" w:color="auto"/>
            <w:left w:val="none" w:sz="0" w:space="0" w:color="auto"/>
            <w:bottom w:val="none" w:sz="0" w:space="0" w:color="auto"/>
            <w:right w:val="none" w:sz="0" w:space="0" w:color="auto"/>
          </w:divBdr>
        </w:div>
        <w:div w:id="1855344548">
          <w:marLeft w:val="0"/>
          <w:marRight w:val="0"/>
          <w:marTop w:val="0"/>
          <w:marBottom w:val="0"/>
          <w:divBdr>
            <w:top w:val="none" w:sz="0" w:space="0" w:color="auto"/>
            <w:left w:val="none" w:sz="0" w:space="0" w:color="auto"/>
            <w:bottom w:val="none" w:sz="0" w:space="0" w:color="auto"/>
            <w:right w:val="none" w:sz="0" w:space="0" w:color="auto"/>
          </w:divBdr>
        </w:div>
        <w:div w:id="1838299281">
          <w:marLeft w:val="0"/>
          <w:marRight w:val="0"/>
          <w:marTop w:val="0"/>
          <w:marBottom w:val="0"/>
          <w:divBdr>
            <w:top w:val="none" w:sz="0" w:space="0" w:color="auto"/>
            <w:left w:val="none" w:sz="0" w:space="0" w:color="auto"/>
            <w:bottom w:val="none" w:sz="0" w:space="0" w:color="auto"/>
            <w:right w:val="none" w:sz="0" w:space="0" w:color="auto"/>
          </w:divBdr>
        </w:div>
        <w:div w:id="541358427">
          <w:marLeft w:val="0"/>
          <w:marRight w:val="0"/>
          <w:marTop w:val="0"/>
          <w:marBottom w:val="0"/>
          <w:divBdr>
            <w:top w:val="none" w:sz="0" w:space="0" w:color="auto"/>
            <w:left w:val="none" w:sz="0" w:space="0" w:color="auto"/>
            <w:bottom w:val="none" w:sz="0" w:space="0" w:color="auto"/>
            <w:right w:val="none" w:sz="0" w:space="0" w:color="auto"/>
          </w:divBdr>
        </w:div>
        <w:div w:id="1038092478">
          <w:marLeft w:val="0"/>
          <w:marRight w:val="0"/>
          <w:marTop w:val="0"/>
          <w:marBottom w:val="0"/>
          <w:divBdr>
            <w:top w:val="none" w:sz="0" w:space="0" w:color="auto"/>
            <w:left w:val="none" w:sz="0" w:space="0" w:color="auto"/>
            <w:bottom w:val="none" w:sz="0" w:space="0" w:color="auto"/>
            <w:right w:val="none" w:sz="0" w:space="0" w:color="auto"/>
          </w:divBdr>
        </w:div>
        <w:div w:id="1895774648">
          <w:marLeft w:val="0"/>
          <w:marRight w:val="0"/>
          <w:marTop w:val="0"/>
          <w:marBottom w:val="0"/>
          <w:divBdr>
            <w:top w:val="none" w:sz="0" w:space="0" w:color="auto"/>
            <w:left w:val="none" w:sz="0" w:space="0" w:color="auto"/>
            <w:bottom w:val="none" w:sz="0" w:space="0" w:color="auto"/>
            <w:right w:val="none" w:sz="0" w:space="0" w:color="auto"/>
          </w:divBdr>
        </w:div>
        <w:div w:id="1909882229">
          <w:marLeft w:val="0"/>
          <w:marRight w:val="0"/>
          <w:marTop w:val="0"/>
          <w:marBottom w:val="0"/>
          <w:divBdr>
            <w:top w:val="none" w:sz="0" w:space="0" w:color="auto"/>
            <w:left w:val="none" w:sz="0" w:space="0" w:color="auto"/>
            <w:bottom w:val="none" w:sz="0" w:space="0" w:color="auto"/>
            <w:right w:val="none" w:sz="0" w:space="0" w:color="auto"/>
          </w:divBdr>
        </w:div>
        <w:div w:id="620259936">
          <w:marLeft w:val="0"/>
          <w:marRight w:val="0"/>
          <w:marTop w:val="0"/>
          <w:marBottom w:val="0"/>
          <w:divBdr>
            <w:top w:val="none" w:sz="0" w:space="0" w:color="auto"/>
            <w:left w:val="none" w:sz="0" w:space="0" w:color="auto"/>
            <w:bottom w:val="none" w:sz="0" w:space="0" w:color="auto"/>
            <w:right w:val="none" w:sz="0" w:space="0" w:color="auto"/>
          </w:divBdr>
        </w:div>
        <w:div w:id="2060741303">
          <w:marLeft w:val="0"/>
          <w:marRight w:val="0"/>
          <w:marTop w:val="0"/>
          <w:marBottom w:val="0"/>
          <w:divBdr>
            <w:top w:val="none" w:sz="0" w:space="0" w:color="auto"/>
            <w:left w:val="none" w:sz="0" w:space="0" w:color="auto"/>
            <w:bottom w:val="none" w:sz="0" w:space="0" w:color="auto"/>
            <w:right w:val="none" w:sz="0" w:space="0" w:color="auto"/>
          </w:divBdr>
        </w:div>
        <w:div w:id="232666822">
          <w:marLeft w:val="0"/>
          <w:marRight w:val="0"/>
          <w:marTop w:val="0"/>
          <w:marBottom w:val="0"/>
          <w:divBdr>
            <w:top w:val="none" w:sz="0" w:space="0" w:color="auto"/>
            <w:left w:val="none" w:sz="0" w:space="0" w:color="auto"/>
            <w:bottom w:val="none" w:sz="0" w:space="0" w:color="auto"/>
            <w:right w:val="none" w:sz="0" w:space="0" w:color="auto"/>
          </w:divBdr>
        </w:div>
        <w:div w:id="1472097841">
          <w:marLeft w:val="0"/>
          <w:marRight w:val="0"/>
          <w:marTop w:val="0"/>
          <w:marBottom w:val="0"/>
          <w:divBdr>
            <w:top w:val="none" w:sz="0" w:space="0" w:color="auto"/>
            <w:left w:val="none" w:sz="0" w:space="0" w:color="auto"/>
            <w:bottom w:val="none" w:sz="0" w:space="0" w:color="auto"/>
            <w:right w:val="none" w:sz="0" w:space="0" w:color="auto"/>
          </w:divBdr>
        </w:div>
        <w:div w:id="1869293869">
          <w:marLeft w:val="0"/>
          <w:marRight w:val="0"/>
          <w:marTop w:val="0"/>
          <w:marBottom w:val="0"/>
          <w:divBdr>
            <w:top w:val="none" w:sz="0" w:space="0" w:color="auto"/>
            <w:left w:val="none" w:sz="0" w:space="0" w:color="auto"/>
            <w:bottom w:val="none" w:sz="0" w:space="0" w:color="auto"/>
            <w:right w:val="none" w:sz="0" w:space="0" w:color="auto"/>
          </w:divBdr>
        </w:div>
        <w:div w:id="856457074">
          <w:marLeft w:val="0"/>
          <w:marRight w:val="0"/>
          <w:marTop w:val="0"/>
          <w:marBottom w:val="0"/>
          <w:divBdr>
            <w:top w:val="none" w:sz="0" w:space="0" w:color="auto"/>
            <w:left w:val="none" w:sz="0" w:space="0" w:color="auto"/>
            <w:bottom w:val="none" w:sz="0" w:space="0" w:color="auto"/>
            <w:right w:val="none" w:sz="0" w:space="0" w:color="auto"/>
          </w:divBdr>
        </w:div>
        <w:div w:id="1618294494">
          <w:marLeft w:val="0"/>
          <w:marRight w:val="0"/>
          <w:marTop w:val="0"/>
          <w:marBottom w:val="0"/>
          <w:divBdr>
            <w:top w:val="none" w:sz="0" w:space="0" w:color="auto"/>
            <w:left w:val="none" w:sz="0" w:space="0" w:color="auto"/>
            <w:bottom w:val="none" w:sz="0" w:space="0" w:color="auto"/>
            <w:right w:val="none" w:sz="0" w:space="0" w:color="auto"/>
          </w:divBdr>
        </w:div>
        <w:div w:id="54164883">
          <w:marLeft w:val="0"/>
          <w:marRight w:val="0"/>
          <w:marTop w:val="0"/>
          <w:marBottom w:val="0"/>
          <w:divBdr>
            <w:top w:val="none" w:sz="0" w:space="0" w:color="auto"/>
            <w:left w:val="none" w:sz="0" w:space="0" w:color="auto"/>
            <w:bottom w:val="none" w:sz="0" w:space="0" w:color="auto"/>
            <w:right w:val="none" w:sz="0" w:space="0" w:color="auto"/>
          </w:divBdr>
        </w:div>
      </w:divsChild>
    </w:div>
    <w:div w:id="729960077">
      <w:bodyDiv w:val="1"/>
      <w:marLeft w:val="0"/>
      <w:marRight w:val="0"/>
      <w:marTop w:val="0"/>
      <w:marBottom w:val="0"/>
      <w:divBdr>
        <w:top w:val="none" w:sz="0" w:space="0" w:color="auto"/>
        <w:left w:val="none" w:sz="0" w:space="0" w:color="auto"/>
        <w:bottom w:val="none" w:sz="0" w:space="0" w:color="auto"/>
        <w:right w:val="none" w:sz="0" w:space="0" w:color="auto"/>
      </w:divBdr>
      <w:divsChild>
        <w:div w:id="1739090462">
          <w:marLeft w:val="0"/>
          <w:marRight w:val="0"/>
          <w:marTop w:val="0"/>
          <w:marBottom w:val="0"/>
          <w:divBdr>
            <w:top w:val="none" w:sz="0" w:space="0" w:color="auto"/>
            <w:left w:val="none" w:sz="0" w:space="0" w:color="auto"/>
            <w:bottom w:val="none" w:sz="0" w:space="0" w:color="auto"/>
            <w:right w:val="none" w:sz="0" w:space="0" w:color="auto"/>
          </w:divBdr>
        </w:div>
        <w:div w:id="709305380">
          <w:marLeft w:val="0"/>
          <w:marRight w:val="0"/>
          <w:marTop w:val="0"/>
          <w:marBottom w:val="0"/>
          <w:divBdr>
            <w:top w:val="none" w:sz="0" w:space="0" w:color="auto"/>
            <w:left w:val="none" w:sz="0" w:space="0" w:color="auto"/>
            <w:bottom w:val="none" w:sz="0" w:space="0" w:color="auto"/>
            <w:right w:val="none" w:sz="0" w:space="0" w:color="auto"/>
          </w:divBdr>
        </w:div>
        <w:div w:id="465777465">
          <w:marLeft w:val="0"/>
          <w:marRight w:val="0"/>
          <w:marTop w:val="0"/>
          <w:marBottom w:val="0"/>
          <w:divBdr>
            <w:top w:val="none" w:sz="0" w:space="0" w:color="auto"/>
            <w:left w:val="none" w:sz="0" w:space="0" w:color="auto"/>
            <w:bottom w:val="none" w:sz="0" w:space="0" w:color="auto"/>
            <w:right w:val="none" w:sz="0" w:space="0" w:color="auto"/>
          </w:divBdr>
        </w:div>
        <w:div w:id="852691016">
          <w:marLeft w:val="0"/>
          <w:marRight w:val="0"/>
          <w:marTop w:val="0"/>
          <w:marBottom w:val="0"/>
          <w:divBdr>
            <w:top w:val="none" w:sz="0" w:space="0" w:color="auto"/>
            <w:left w:val="none" w:sz="0" w:space="0" w:color="auto"/>
            <w:bottom w:val="none" w:sz="0" w:space="0" w:color="auto"/>
            <w:right w:val="none" w:sz="0" w:space="0" w:color="auto"/>
          </w:divBdr>
        </w:div>
      </w:divsChild>
    </w:div>
    <w:div w:id="817721266">
      <w:bodyDiv w:val="1"/>
      <w:marLeft w:val="0"/>
      <w:marRight w:val="0"/>
      <w:marTop w:val="0"/>
      <w:marBottom w:val="0"/>
      <w:divBdr>
        <w:top w:val="none" w:sz="0" w:space="0" w:color="auto"/>
        <w:left w:val="none" w:sz="0" w:space="0" w:color="auto"/>
        <w:bottom w:val="none" w:sz="0" w:space="0" w:color="auto"/>
        <w:right w:val="none" w:sz="0" w:space="0" w:color="auto"/>
      </w:divBdr>
      <w:divsChild>
        <w:div w:id="89738628">
          <w:marLeft w:val="0"/>
          <w:marRight w:val="0"/>
          <w:marTop w:val="0"/>
          <w:marBottom w:val="0"/>
          <w:divBdr>
            <w:top w:val="none" w:sz="0" w:space="0" w:color="auto"/>
            <w:left w:val="none" w:sz="0" w:space="0" w:color="auto"/>
            <w:bottom w:val="none" w:sz="0" w:space="0" w:color="auto"/>
            <w:right w:val="none" w:sz="0" w:space="0" w:color="auto"/>
          </w:divBdr>
          <w:divsChild>
            <w:div w:id="850872831">
              <w:marLeft w:val="0"/>
              <w:marRight w:val="0"/>
              <w:marTop w:val="0"/>
              <w:marBottom w:val="0"/>
              <w:divBdr>
                <w:top w:val="none" w:sz="0" w:space="0" w:color="auto"/>
                <w:left w:val="none" w:sz="0" w:space="0" w:color="auto"/>
                <w:bottom w:val="none" w:sz="0" w:space="0" w:color="auto"/>
                <w:right w:val="none" w:sz="0" w:space="0" w:color="auto"/>
              </w:divBdr>
            </w:div>
            <w:div w:id="1574271713">
              <w:marLeft w:val="0"/>
              <w:marRight w:val="0"/>
              <w:marTop w:val="0"/>
              <w:marBottom w:val="0"/>
              <w:divBdr>
                <w:top w:val="none" w:sz="0" w:space="0" w:color="auto"/>
                <w:left w:val="none" w:sz="0" w:space="0" w:color="auto"/>
                <w:bottom w:val="none" w:sz="0" w:space="0" w:color="auto"/>
                <w:right w:val="none" w:sz="0" w:space="0" w:color="auto"/>
              </w:divBdr>
            </w:div>
            <w:div w:id="2006932503">
              <w:marLeft w:val="0"/>
              <w:marRight w:val="0"/>
              <w:marTop w:val="0"/>
              <w:marBottom w:val="0"/>
              <w:divBdr>
                <w:top w:val="none" w:sz="0" w:space="0" w:color="auto"/>
                <w:left w:val="none" w:sz="0" w:space="0" w:color="auto"/>
                <w:bottom w:val="none" w:sz="0" w:space="0" w:color="auto"/>
                <w:right w:val="none" w:sz="0" w:space="0" w:color="auto"/>
              </w:divBdr>
            </w:div>
          </w:divsChild>
        </w:div>
        <w:div w:id="85687826">
          <w:marLeft w:val="0"/>
          <w:marRight w:val="0"/>
          <w:marTop w:val="0"/>
          <w:marBottom w:val="0"/>
          <w:divBdr>
            <w:top w:val="none" w:sz="0" w:space="0" w:color="auto"/>
            <w:left w:val="none" w:sz="0" w:space="0" w:color="auto"/>
            <w:bottom w:val="none" w:sz="0" w:space="0" w:color="auto"/>
            <w:right w:val="none" w:sz="0" w:space="0" w:color="auto"/>
          </w:divBdr>
          <w:divsChild>
            <w:div w:id="24237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546722">
      <w:bodyDiv w:val="1"/>
      <w:marLeft w:val="0"/>
      <w:marRight w:val="0"/>
      <w:marTop w:val="0"/>
      <w:marBottom w:val="0"/>
      <w:divBdr>
        <w:top w:val="none" w:sz="0" w:space="0" w:color="auto"/>
        <w:left w:val="none" w:sz="0" w:space="0" w:color="auto"/>
        <w:bottom w:val="none" w:sz="0" w:space="0" w:color="auto"/>
        <w:right w:val="none" w:sz="0" w:space="0" w:color="auto"/>
      </w:divBdr>
    </w:div>
    <w:div w:id="1053315111">
      <w:bodyDiv w:val="1"/>
      <w:marLeft w:val="0"/>
      <w:marRight w:val="0"/>
      <w:marTop w:val="0"/>
      <w:marBottom w:val="0"/>
      <w:divBdr>
        <w:top w:val="none" w:sz="0" w:space="0" w:color="auto"/>
        <w:left w:val="none" w:sz="0" w:space="0" w:color="auto"/>
        <w:bottom w:val="none" w:sz="0" w:space="0" w:color="auto"/>
        <w:right w:val="none" w:sz="0" w:space="0" w:color="auto"/>
      </w:divBdr>
    </w:div>
    <w:div w:id="1099448519">
      <w:bodyDiv w:val="1"/>
      <w:marLeft w:val="0"/>
      <w:marRight w:val="0"/>
      <w:marTop w:val="0"/>
      <w:marBottom w:val="0"/>
      <w:divBdr>
        <w:top w:val="none" w:sz="0" w:space="0" w:color="auto"/>
        <w:left w:val="none" w:sz="0" w:space="0" w:color="auto"/>
        <w:bottom w:val="none" w:sz="0" w:space="0" w:color="auto"/>
        <w:right w:val="none" w:sz="0" w:space="0" w:color="auto"/>
      </w:divBdr>
      <w:divsChild>
        <w:div w:id="295181436">
          <w:marLeft w:val="0"/>
          <w:marRight w:val="0"/>
          <w:marTop w:val="0"/>
          <w:marBottom w:val="0"/>
          <w:divBdr>
            <w:top w:val="none" w:sz="0" w:space="0" w:color="auto"/>
            <w:left w:val="none" w:sz="0" w:space="0" w:color="auto"/>
            <w:bottom w:val="none" w:sz="0" w:space="0" w:color="auto"/>
            <w:right w:val="none" w:sz="0" w:space="0" w:color="auto"/>
          </w:divBdr>
        </w:div>
        <w:div w:id="1401513190">
          <w:marLeft w:val="0"/>
          <w:marRight w:val="0"/>
          <w:marTop w:val="0"/>
          <w:marBottom w:val="0"/>
          <w:divBdr>
            <w:top w:val="none" w:sz="0" w:space="0" w:color="auto"/>
            <w:left w:val="none" w:sz="0" w:space="0" w:color="auto"/>
            <w:bottom w:val="none" w:sz="0" w:space="0" w:color="auto"/>
            <w:right w:val="none" w:sz="0" w:space="0" w:color="auto"/>
          </w:divBdr>
        </w:div>
        <w:div w:id="1818762463">
          <w:marLeft w:val="0"/>
          <w:marRight w:val="0"/>
          <w:marTop w:val="0"/>
          <w:marBottom w:val="0"/>
          <w:divBdr>
            <w:top w:val="none" w:sz="0" w:space="0" w:color="auto"/>
            <w:left w:val="none" w:sz="0" w:space="0" w:color="auto"/>
            <w:bottom w:val="none" w:sz="0" w:space="0" w:color="auto"/>
            <w:right w:val="none" w:sz="0" w:space="0" w:color="auto"/>
          </w:divBdr>
        </w:div>
        <w:div w:id="501119785">
          <w:marLeft w:val="0"/>
          <w:marRight w:val="0"/>
          <w:marTop w:val="0"/>
          <w:marBottom w:val="0"/>
          <w:divBdr>
            <w:top w:val="none" w:sz="0" w:space="0" w:color="auto"/>
            <w:left w:val="none" w:sz="0" w:space="0" w:color="auto"/>
            <w:bottom w:val="none" w:sz="0" w:space="0" w:color="auto"/>
            <w:right w:val="none" w:sz="0" w:space="0" w:color="auto"/>
          </w:divBdr>
        </w:div>
        <w:div w:id="311101005">
          <w:marLeft w:val="0"/>
          <w:marRight w:val="0"/>
          <w:marTop w:val="0"/>
          <w:marBottom w:val="0"/>
          <w:divBdr>
            <w:top w:val="none" w:sz="0" w:space="0" w:color="auto"/>
            <w:left w:val="none" w:sz="0" w:space="0" w:color="auto"/>
            <w:bottom w:val="none" w:sz="0" w:space="0" w:color="auto"/>
            <w:right w:val="none" w:sz="0" w:space="0" w:color="auto"/>
          </w:divBdr>
        </w:div>
      </w:divsChild>
    </w:div>
    <w:div w:id="1439446493">
      <w:bodyDiv w:val="1"/>
      <w:marLeft w:val="0"/>
      <w:marRight w:val="0"/>
      <w:marTop w:val="0"/>
      <w:marBottom w:val="0"/>
      <w:divBdr>
        <w:top w:val="none" w:sz="0" w:space="0" w:color="auto"/>
        <w:left w:val="none" w:sz="0" w:space="0" w:color="auto"/>
        <w:bottom w:val="none" w:sz="0" w:space="0" w:color="auto"/>
        <w:right w:val="none" w:sz="0" w:space="0" w:color="auto"/>
      </w:divBdr>
    </w:div>
    <w:div w:id="1451315599">
      <w:bodyDiv w:val="1"/>
      <w:marLeft w:val="0"/>
      <w:marRight w:val="0"/>
      <w:marTop w:val="0"/>
      <w:marBottom w:val="0"/>
      <w:divBdr>
        <w:top w:val="none" w:sz="0" w:space="0" w:color="auto"/>
        <w:left w:val="none" w:sz="0" w:space="0" w:color="auto"/>
        <w:bottom w:val="none" w:sz="0" w:space="0" w:color="auto"/>
        <w:right w:val="none" w:sz="0" w:space="0" w:color="auto"/>
      </w:divBdr>
      <w:divsChild>
        <w:div w:id="1678539433">
          <w:marLeft w:val="0"/>
          <w:marRight w:val="0"/>
          <w:marTop w:val="0"/>
          <w:marBottom w:val="0"/>
          <w:divBdr>
            <w:top w:val="none" w:sz="0" w:space="0" w:color="auto"/>
            <w:left w:val="none" w:sz="0" w:space="0" w:color="auto"/>
            <w:bottom w:val="none" w:sz="0" w:space="0" w:color="auto"/>
            <w:right w:val="none" w:sz="0" w:space="0" w:color="auto"/>
          </w:divBdr>
        </w:div>
      </w:divsChild>
    </w:div>
    <w:div w:id="1484128817">
      <w:bodyDiv w:val="1"/>
      <w:marLeft w:val="0"/>
      <w:marRight w:val="0"/>
      <w:marTop w:val="0"/>
      <w:marBottom w:val="0"/>
      <w:divBdr>
        <w:top w:val="none" w:sz="0" w:space="0" w:color="auto"/>
        <w:left w:val="none" w:sz="0" w:space="0" w:color="auto"/>
        <w:bottom w:val="none" w:sz="0" w:space="0" w:color="auto"/>
        <w:right w:val="none" w:sz="0" w:space="0" w:color="auto"/>
      </w:divBdr>
    </w:div>
    <w:div w:id="1680499665">
      <w:bodyDiv w:val="1"/>
      <w:marLeft w:val="0"/>
      <w:marRight w:val="0"/>
      <w:marTop w:val="0"/>
      <w:marBottom w:val="0"/>
      <w:divBdr>
        <w:top w:val="none" w:sz="0" w:space="0" w:color="auto"/>
        <w:left w:val="none" w:sz="0" w:space="0" w:color="auto"/>
        <w:bottom w:val="none" w:sz="0" w:space="0" w:color="auto"/>
        <w:right w:val="none" w:sz="0" w:space="0" w:color="auto"/>
      </w:divBdr>
      <w:divsChild>
        <w:div w:id="1993556335">
          <w:marLeft w:val="0"/>
          <w:marRight w:val="0"/>
          <w:marTop w:val="0"/>
          <w:marBottom w:val="0"/>
          <w:divBdr>
            <w:top w:val="none" w:sz="0" w:space="0" w:color="auto"/>
            <w:left w:val="none" w:sz="0" w:space="0" w:color="auto"/>
            <w:bottom w:val="none" w:sz="0" w:space="0" w:color="auto"/>
            <w:right w:val="none" w:sz="0" w:space="0" w:color="auto"/>
          </w:divBdr>
        </w:div>
        <w:div w:id="1685202215">
          <w:marLeft w:val="0"/>
          <w:marRight w:val="0"/>
          <w:marTop w:val="0"/>
          <w:marBottom w:val="0"/>
          <w:divBdr>
            <w:top w:val="none" w:sz="0" w:space="0" w:color="auto"/>
            <w:left w:val="none" w:sz="0" w:space="0" w:color="auto"/>
            <w:bottom w:val="none" w:sz="0" w:space="0" w:color="auto"/>
            <w:right w:val="none" w:sz="0" w:space="0" w:color="auto"/>
          </w:divBdr>
        </w:div>
        <w:div w:id="1376539892">
          <w:marLeft w:val="0"/>
          <w:marRight w:val="0"/>
          <w:marTop w:val="0"/>
          <w:marBottom w:val="0"/>
          <w:divBdr>
            <w:top w:val="none" w:sz="0" w:space="0" w:color="auto"/>
            <w:left w:val="none" w:sz="0" w:space="0" w:color="auto"/>
            <w:bottom w:val="none" w:sz="0" w:space="0" w:color="auto"/>
            <w:right w:val="none" w:sz="0" w:space="0" w:color="auto"/>
          </w:divBdr>
        </w:div>
        <w:div w:id="860554609">
          <w:marLeft w:val="0"/>
          <w:marRight w:val="0"/>
          <w:marTop w:val="0"/>
          <w:marBottom w:val="0"/>
          <w:divBdr>
            <w:top w:val="none" w:sz="0" w:space="0" w:color="auto"/>
            <w:left w:val="none" w:sz="0" w:space="0" w:color="auto"/>
            <w:bottom w:val="none" w:sz="0" w:space="0" w:color="auto"/>
            <w:right w:val="none" w:sz="0" w:space="0" w:color="auto"/>
          </w:divBdr>
        </w:div>
        <w:div w:id="1547063861">
          <w:marLeft w:val="0"/>
          <w:marRight w:val="0"/>
          <w:marTop w:val="0"/>
          <w:marBottom w:val="0"/>
          <w:divBdr>
            <w:top w:val="none" w:sz="0" w:space="0" w:color="auto"/>
            <w:left w:val="none" w:sz="0" w:space="0" w:color="auto"/>
            <w:bottom w:val="none" w:sz="0" w:space="0" w:color="auto"/>
            <w:right w:val="none" w:sz="0" w:space="0" w:color="auto"/>
          </w:divBdr>
        </w:div>
      </w:divsChild>
    </w:div>
    <w:div w:id="1823810407">
      <w:bodyDiv w:val="1"/>
      <w:marLeft w:val="0"/>
      <w:marRight w:val="0"/>
      <w:marTop w:val="0"/>
      <w:marBottom w:val="0"/>
      <w:divBdr>
        <w:top w:val="none" w:sz="0" w:space="0" w:color="auto"/>
        <w:left w:val="none" w:sz="0" w:space="0" w:color="auto"/>
        <w:bottom w:val="none" w:sz="0" w:space="0" w:color="auto"/>
        <w:right w:val="none" w:sz="0" w:space="0" w:color="auto"/>
      </w:divBdr>
      <w:divsChild>
        <w:div w:id="1040131057">
          <w:marLeft w:val="0"/>
          <w:marRight w:val="0"/>
          <w:marTop w:val="0"/>
          <w:marBottom w:val="0"/>
          <w:divBdr>
            <w:top w:val="none" w:sz="0" w:space="0" w:color="auto"/>
            <w:left w:val="none" w:sz="0" w:space="0" w:color="auto"/>
            <w:bottom w:val="none" w:sz="0" w:space="0" w:color="auto"/>
            <w:right w:val="none" w:sz="0" w:space="0" w:color="auto"/>
          </w:divBdr>
        </w:div>
        <w:div w:id="1716004072">
          <w:marLeft w:val="0"/>
          <w:marRight w:val="0"/>
          <w:marTop w:val="0"/>
          <w:marBottom w:val="0"/>
          <w:divBdr>
            <w:top w:val="none" w:sz="0" w:space="0" w:color="auto"/>
            <w:left w:val="none" w:sz="0" w:space="0" w:color="auto"/>
            <w:bottom w:val="none" w:sz="0" w:space="0" w:color="auto"/>
            <w:right w:val="none" w:sz="0" w:space="0" w:color="auto"/>
          </w:divBdr>
        </w:div>
        <w:div w:id="1759017706">
          <w:marLeft w:val="0"/>
          <w:marRight w:val="0"/>
          <w:marTop w:val="0"/>
          <w:marBottom w:val="0"/>
          <w:divBdr>
            <w:top w:val="none" w:sz="0" w:space="0" w:color="auto"/>
            <w:left w:val="none" w:sz="0" w:space="0" w:color="auto"/>
            <w:bottom w:val="none" w:sz="0" w:space="0" w:color="auto"/>
            <w:right w:val="none" w:sz="0" w:space="0" w:color="auto"/>
          </w:divBdr>
        </w:div>
        <w:div w:id="98138384">
          <w:marLeft w:val="0"/>
          <w:marRight w:val="0"/>
          <w:marTop w:val="0"/>
          <w:marBottom w:val="0"/>
          <w:divBdr>
            <w:top w:val="none" w:sz="0" w:space="0" w:color="auto"/>
            <w:left w:val="none" w:sz="0" w:space="0" w:color="auto"/>
            <w:bottom w:val="none" w:sz="0" w:space="0" w:color="auto"/>
            <w:right w:val="none" w:sz="0" w:space="0" w:color="auto"/>
          </w:divBdr>
        </w:div>
        <w:div w:id="2129082222">
          <w:marLeft w:val="0"/>
          <w:marRight w:val="0"/>
          <w:marTop w:val="0"/>
          <w:marBottom w:val="0"/>
          <w:divBdr>
            <w:top w:val="none" w:sz="0" w:space="0" w:color="auto"/>
            <w:left w:val="none" w:sz="0" w:space="0" w:color="auto"/>
            <w:bottom w:val="none" w:sz="0" w:space="0" w:color="auto"/>
            <w:right w:val="none" w:sz="0" w:space="0" w:color="auto"/>
          </w:divBdr>
        </w:div>
        <w:div w:id="459882312">
          <w:marLeft w:val="0"/>
          <w:marRight w:val="0"/>
          <w:marTop w:val="0"/>
          <w:marBottom w:val="0"/>
          <w:divBdr>
            <w:top w:val="none" w:sz="0" w:space="0" w:color="auto"/>
            <w:left w:val="none" w:sz="0" w:space="0" w:color="auto"/>
            <w:bottom w:val="none" w:sz="0" w:space="0" w:color="auto"/>
            <w:right w:val="none" w:sz="0" w:space="0" w:color="auto"/>
          </w:divBdr>
        </w:div>
        <w:div w:id="1365518868">
          <w:marLeft w:val="0"/>
          <w:marRight w:val="0"/>
          <w:marTop w:val="0"/>
          <w:marBottom w:val="0"/>
          <w:divBdr>
            <w:top w:val="none" w:sz="0" w:space="0" w:color="auto"/>
            <w:left w:val="none" w:sz="0" w:space="0" w:color="auto"/>
            <w:bottom w:val="none" w:sz="0" w:space="0" w:color="auto"/>
            <w:right w:val="none" w:sz="0" w:space="0" w:color="auto"/>
          </w:divBdr>
        </w:div>
        <w:div w:id="1131631917">
          <w:marLeft w:val="0"/>
          <w:marRight w:val="0"/>
          <w:marTop w:val="0"/>
          <w:marBottom w:val="0"/>
          <w:divBdr>
            <w:top w:val="none" w:sz="0" w:space="0" w:color="auto"/>
            <w:left w:val="none" w:sz="0" w:space="0" w:color="auto"/>
            <w:bottom w:val="none" w:sz="0" w:space="0" w:color="auto"/>
            <w:right w:val="none" w:sz="0" w:space="0" w:color="auto"/>
          </w:divBdr>
        </w:div>
        <w:div w:id="1319965346">
          <w:marLeft w:val="0"/>
          <w:marRight w:val="0"/>
          <w:marTop w:val="0"/>
          <w:marBottom w:val="0"/>
          <w:divBdr>
            <w:top w:val="none" w:sz="0" w:space="0" w:color="auto"/>
            <w:left w:val="none" w:sz="0" w:space="0" w:color="auto"/>
            <w:bottom w:val="none" w:sz="0" w:space="0" w:color="auto"/>
            <w:right w:val="none" w:sz="0" w:space="0" w:color="auto"/>
          </w:divBdr>
        </w:div>
        <w:div w:id="1391076133">
          <w:marLeft w:val="0"/>
          <w:marRight w:val="0"/>
          <w:marTop w:val="0"/>
          <w:marBottom w:val="0"/>
          <w:divBdr>
            <w:top w:val="none" w:sz="0" w:space="0" w:color="auto"/>
            <w:left w:val="none" w:sz="0" w:space="0" w:color="auto"/>
            <w:bottom w:val="none" w:sz="0" w:space="0" w:color="auto"/>
            <w:right w:val="none" w:sz="0" w:space="0" w:color="auto"/>
          </w:divBdr>
        </w:div>
        <w:div w:id="1102913473">
          <w:marLeft w:val="0"/>
          <w:marRight w:val="0"/>
          <w:marTop w:val="0"/>
          <w:marBottom w:val="0"/>
          <w:divBdr>
            <w:top w:val="none" w:sz="0" w:space="0" w:color="auto"/>
            <w:left w:val="none" w:sz="0" w:space="0" w:color="auto"/>
            <w:bottom w:val="none" w:sz="0" w:space="0" w:color="auto"/>
            <w:right w:val="none" w:sz="0" w:space="0" w:color="auto"/>
          </w:divBdr>
        </w:div>
        <w:div w:id="1316839550">
          <w:marLeft w:val="0"/>
          <w:marRight w:val="0"/>
          <w:marTop w:val="0"/>
          <w:marBottom w:val="0"/>
          <w:divBdr>
            <w:top w:val="none" w:sz="0" w:space="0" w:color="auto"/>
            <w:left w:val="none" w:sz="0" w:space="0" w:color="auto"/>
            <w:bottom w:val="none" w:sz="0" w:space="0" w:color="auto"/>
            <w:right w:val="none" w:sz="0" w:space="0" w:color="auto"/>
          </w:divBdr>
        </w:div>
        <w:div w:id="1940285164">
          <w:marLeft w:val="0"/>
          <w:marRight w:val="0"/>
          <w:marTop w:val="0"/>
          <w:marBottom w:val="0"/>
          <w:divBdr>
            <w:top w:val="none" w:sz="0" w:space="0" w:color="auto"/>
            <w:left w:val="none" w:sz="0" w:space="0" w:color="auto"/>
            <w:bottom w:val="none" w:sz="0" w:space="0" w:color="auto"/>
            <w:right w:val="none" w:sz="0" w:space="0" w:color="auto"/>
          </w:divBdr>
        </w:div>
        <w:div w:id="581719563">
          <w:marLeft w:val="0"/>
          <w:marRight w:val="0"/>
          <w:marTop w:val="0"/>
          <w:marBottom w:val="0"/>
          <w:divBdr>
            <w:top w:val="none" w:sz="0" w:space="0" w:color="auto"/>
            <w:left w:val="none" w:sz="0" w:space="0" w:color="auto"/>
            <w:bottom w:val="none" w:sz="0" w:space="0" w:color="auto"/>
            <w:right w:val="none" w:sz="0" w:space="0" w:color="auto"/>
          </w:divBdr>
        </w:div>
        <w:div w:id="9600662">
          <w:marLeft w:val="0"/>
          <w:marRight w:val="0"/>
          <w:marTop w:val="0"/>
          <w:marBottom w:val="0"/>
          <w:divBdr>
            <w:top w:val="none" w:sz="0" w:space="0" w:color="auto"/>
            <w:left w:val="none" w:sz="0" w:space="0" w:color="auto"/>
            <w:bottom w:val="none" w:sz="0" w:space="0" w:color="auto"/>
            <w:right w:val="none" w:sz="0" w:space="0" w:color="auto"/>
          </w:divBdr>
        </w:div>
        <w:div w:id="1929849065">
          <w:marLeft w:val="0"/>
          <w:marRight w:val="0"/>
          <w:marTop w:val="0"/>
          <w:marBottom w:val="0"/>
          <w:divBdr>
            <w:top w:val="none" w:sz="0" w:space="0" w:color="auto"/>
            <w:left w:val="none" w:sz="0" w:space="0" w:color="auto"/>
            <w:bottom w:val="none" w:sz="0" w:space="0" w:color="auto"/>
            <w:right w:val="none" w:sz="0" w:space="0" w:color="auto"/>
          </w:divBdr>
        </w:div>
        <w:div w:id="1959336816">
          <w:marLeft w:val="0"/>
          <w:marRight w:val="0"/>
          <w:marTop w:val="0"/>
          <w:marBottom w:val="0"/>
          <w:divBdr>
            <w:top w:val="none" w:sz="0" w:space="0" w:color="auto"/>
            <w:left w:val="none" w:sz="0" w:space="0" w:color="auto"/>
            <w:bottom w:val="none" w:sz="0" w:space="0" w:color="auto"/>
            <w:right w:val="none" w:sz="0" w:space="0" w:color="auto"/>
          </w:divBdr>
        </w:div>
        <w:div w:id="384066726">
          <w:marLeft w:val="0"/>
          <w:marRight w:val="0"/>
          <w:marTop w:val="0"/>
          <w:marBottom w:val="0"/>
          <w:divBdr>
            <w:top w:val="none" w:sz="0" w:space="0" w:color="auto"/>
            <w:left w:val="none" w:sz="0" w:space="0" w:color="auto"/>
            <w:bottom w:val="none" w:sz="0" w:space="0" w:color="auto"/>
            <w:right w:val="none" w:sz="0" w:space="0" w:color="auto"/>
          </w:divBdr>
        </w:div>
        <w:div w:id="1498108015">
          <w:marLeft w:val="0"/>
          <w:marRight w:val="0"/>
          <w:marTop w:val="0"/>
          <w:marBottom w:val="0"/>
          <w:divBdr>
            <w:top w:val="none" w:sz="0" w:space="0" w:color="auto"/>
            <w:left w:val="none" w:sz="0" w:space="0" w:color="auto"/>
            <w:bottom w:val="none" w:sz="0" w:space="0" w:color="auto"/>
            <w:right w:val="none" w:sz="0" w:space="0" w:color="auto"/>
          </w:divBdr>
        </w:div>
        <w:div w:id="1523283070">
          <w:marLeft w:val="0"/>
          <w:marRight w:val="0"/>
          <w:marTop w:val="0"/>
          <w:marBottom w:val="0"/>
          <w:divBdr>
            <w:top w:val="none" w:sz="0" w:space="0" w:color="auto"/>
            <w:left w:val="none" w:sz="0" w:space="0" w:color="auto"/>
            <w:bottom w:val="none" w:sz="0" w:space="0" w:color="auto"/>
            <w:right w:val="none" w:sz="0" w:space="0" w:color="auto"/>
          </w:divBdr>
        </w:div>
        <w:div w:id="636447285">
          <w:marLeft w:val="0"/>
          <w:marRight w:val="0"/>
          <w:marTop w:val="0"/>
          <w:marBottom w:val="0"/>
          <w:divBdr>
            <w:top w:val="none" w:sz="0" w:space="0" w:color="auto"/>
            <w:left w:val="none" w:sz="0" w:space="0" w:color="auto"/>
            <w:bottom w:val="none" w:sz="0" w:space="0" w:color="auto"/>
            <w:right w:val="none" w:sz="0" w:space="0" w:color="auto"/>
          </w:divBdr>
        </w:div>
        <w:div w:id="343868526">
          <w:marLeft w:val="0"/>
          <w:marRight w:val="0"/>
          <w:marTop w:val="0"/>
          <w:marBottom w:val="0"/>
          <w:divBdr>
            <w:top w:val="none" w:sz="0" w:space="0" w:color="auto"/>
            <w:left w:val="none" w:sz="0" w:space="0" w:color="auto"/>
            <w:bottom w:val="none" w:sz="0" w:space="0" w:color="auto"/>
            <w:right w:val="none" w:sz="0" w:space="0" w:color="auto"/>
          </w:divBdr>
        </w:div>
        <w:div w:id="1990866193">
          <w:marLeft w:val="0"/>
          <w:marRight w:val="0"/>
          <w:marTop w:val="0"/>
          <w:marBottom w:val="0"/>
          <w:divBdr>
            <w:top w:val="none" w:sz="0" w:space="0" w:color="auto"/>
            <w:left w:val="none" w:sz="0" w:space="0" w:color="auto"/>
            <w:bottom w:val="none" w:sz="0" w:space="0" w:color="auto"/>
            <w:right w:val="none" w:sz="0" w:space="0" w:color="auto"/>
          </w:divBdr>
        </w:div>
        <w:div w:id="1727023614">
          <w:marLeft w:val="0"/>
          <w:marRight w:val="0"/>
          <w:marTop w:val="0"/>
          <w:marBottom w:val="0"/>
          <w:divBdr>
            <w:top w:val="none" w:sz="0" w:space="0" w:color="auto"/>
            <w:left w:val="none" w:sz="0" w:space="0" w:color="auto"/>
            <w:bottom w:val="none" w:sz="0" w:space="0" w:color="auto"/>
            <w:right w:val="none" w:sz="0" w:space="0" w:color="auto"/>
          </w:divBdr>
        </w:div>
        <w:div w:id="1172841530">
          <w:marLeft w:val="0"/>
          <w:marRight w:val="0"/>
          <w:marTop w:val="0"/>
          <w:marBottom w:val="0"/>
          <w:divBdr>
            <w:top w:val="none" w:sz="0" w:space="0" w:color="auto"/>
            <w:left w:val="none" w:sz="0" w:space="0" w:color="auto"/>
            <w:bottom w:val="none" w:sz="0" w:space="0" w:color="auto"/>
            <w:right w:val="none" w:sz="0" w:space="0" w:color="auto"/>
          </w:divBdr>
        </w:div>
        <w:div w:id="1711684189">
          <w:marLeft w:val="0"/>
          <w:marRight w:val="0"/>
          <w:marTop w:val="0"/>
          <w:marBottom w:val="0"/>
          <w:divBdr>
            <w:top w:val="none" w:sz="0" w:space="0" w:color="auto"/>
            <w:left w:val="none" w:sz="0" w:space="0" w:color="auto"/>
            <w:bottom w:val="none" w:sz="0" w:space="0" w:color="auto"/>
            <w:right w:val="none" w:sz="0" w:space="0" w:color="auto"/>
          </w:divBdr>
        </w:div>
        <w:div w:id="769083948">
          <w:marLeft w:val="0"/>
          <w:marRight w:val="0"/>
          <w:marTop w:val="0"/>
          <w:marBottom w:val="0"/>
          <w:divBdr>
            <w:top w:val="none" w:sz="0" w:space="0" w:color="auto"/>
            <w:left w:val="none" w:sz="0" w:space="0" w:color="auto"/>
            <w:bottom w:val="none" w:sz="0" w:space="0" w:color="auto"/>
            <w:right w:val="none" w:sz="0" w:space="0" w:color="auto"/>
          </w:divBdr>
        </w:div>
        <w:div w:id="677804116">
          <w:marLeft w:val="0"/>
          <w:marRight w:val="0"/>
          <w:marTop w:val="0"/>
          <w:marBottom w:val="0"/>
          <w:divBdr>
            <w:top w:val="none" w:sz="0" w:space="0" w:color="auto"/>
            <w:left w:val="none" w:sz="0" w:space="0" w:color="auto"/>
            <w:bottom w:val="none" w:sz="0" w:space="0" w:color="auto"/>
            <w:right w:val="none" w:sz="0" w:space="0" w:color="auto"/>
          </w:divBdr>
        </w:div>
        <w:div w:id="1590844305">
          <w:marLeft w:val="0"/>
          <w:marRight w:val="0"/>
          <w:marTop w:val="0"/>
          <w:marBottom w:val="0"/>
          <w:divBdr>
            <w:top w:val="none" w:sz="0" w:space="0" w:color="auto"/>
            <w:left w:val="none" w:sz="0" w:space="0" w:color="auto"/>
            <w:bottom w:val="none" w:sz="0" w:space="0" w:color="auto"/>
            <w:right w:val="none" w:sz="0" w:space="0" w:color="auto"/>
          </w:divBdr>
        </w:div>
        <w:div w:id="1646618899">
          <w:marLeft w:val="0"/>
          <w:marRight w:val="0"/>
          <w:marTop w:val="0"/>
          <w:marBottom w:val="0"/>
          <w:divBdr>
            <w:top w:val="none" w:sz="0" w:space="0" w:color="auto"/>
            <w:left w:val="none" w:sz="0" w:space="0" w:color="auto"/>
            <w:bottom w:val="none" w:sz="0" w:space="0" w:color="auto"/>
            <w:right w:val="none" w:sz="0" w:space="0" w:color="auto"/>
          </w:divBdr>
        </w:div>
        <w:div w:id="930164809">
          <w:marLeft w:val="0"/>
          <w:marRight w:val="0"/>
          <w:marTop w:val="0"/>
          <w:marBottom w:val="0"/>
          <w:divBdr>
            <w:top w:val="none" w:sz="0" w:space="0" w:color="auto"/>
            <w:left w:val="none" w:sz="0" w:space="0" w:color="auto"/>
            <w:bottom w:val="none" w:sz="0" w:space="0" w:color="auto"/>
            <w:right w:val="none" w:sz="0" w:space="0" w:color="auto"/>
          </w:divBdr>
        </w:div>
        <w:div w:id="23214541">
          <w:marLeft w:val="0"/>
          <w:marRight w:val="0"/>
          <w:marTop w:val="0"/>
          <w:marBottom w:val="0"/>
          <w:divBdr>
            <w:top w:val="none" w:sz="0" w:space="0" w:color="auto"/>
            <w:left w:val="none" w:sz="0" w:space="0" w:color="auto"/>
            <w:bottom w:val="none" w:sz="0" w:space="0" w:color="auto"/>
            <w:right w:val="none" w:sz="0" w:space="0" w:color="auto"/>
          </w:divBdr>
        </w:div>
        <w:div w:id="233315828">
          <w:marLeft w:val="0"/>
          <w:marRight w:val="0"/>
          <w:marTop w:val="0"/>
          <w:marBottom w:val="0"/>
          <w:divBdr>
            <w:top w:val="none" w:sz="0" w:space="0" w:color="auto"/>
            <w:left w:val="none" w:sz="0" w:space="0" w:color="auto"/>
            <w:bottom w:val="none" w:sz="0" w:space="0" w:color="auto"/>
            <w:right w:val="none" w:sz="0" w:space="0" w:color="auto"/>
          </w:divBdr>
        </w:div>
        <w:div w:id="471019224">
          <w:marLeft w:val="0"/>
          <w:marRight w:val="0"/>
          <w:marTop w:val="0"/>
          <w:marBottom w:val="0"/>
          <w:divBdr>
            <w:top w:val="none" w:sz="0" w:space="0" w:color="auto"/>
            <w:left w:val="none" w:sz="0" w:space="0" w:color="auto"/>
            <w:bottom w:val="none" w:sz="0" w:space="0" w:color="auto"/>
            <w:right w:val="none" w:sz="0" w:space="0" w:color="auto"/>
          </w:divBdr>
        </w:div>
        <w:div w:id="581914144">
          <w:marLeft w:val="0"/>
          <w:marRight w:val="0"/>
          <w:marTop w:val="0"/>
          <w:marBottom w:val="0"/>
          <w:divBdr>
            <w:top w:val="none" w:sz="0" w:space="0" w:color="auto"/>
            <w:left w:val="none" w:sz="0" w:space="0" w:color="auto"/>
            <w:bottom w:val="none" w:sz="0" w:space="0" w:color="auto"/>
            <w:right w:val="none" w:sz="0" w:space="0" w:color="auto"/>
          </w:divBdr>
        </w:div>
        <w:div w:id="1060593759">
          <w:marLeft w:val="0"/>
          <w:marRight w:val="0"/>
          <w:marTop w:val="0"/>
          <w:marBottom w:val="0"/>
          <w:divBdr>
            <w:top w:val="none" w:sz="0" w:space="0" w:color="auto"/>
            <w:left w:val="none" w:sz="0" w:space="0" w:color="auto"/>
            <w:bottom w:val="none" w:sz="0" w:space="0" w:color="auto"/>
            <w:right w:val="none" w:sz="0" w:space="0" w:color="auto"/>
          </w:divBdr>
        </w:div>
        <w:div w:id="984241012">
          <w:marLeft w:val="0"/>
          <w:marRight w:val="0"/>
          <w:marTop w:val="0"/>
          <w:marBottom w:val="0"/>
          <w:divBdr>
            <w:top w:val="none" w:sz="0" w:space="0" w:color="auto"/>
            <w:left w:val="none" w:sz="0" w:space="0" w:color="auto"/>
            <w:bottom w:val="none" w:sz="0" w:space="0" w:color="auto"/>
            <w:right w:val="none" w:sz="0" w:space="0" w:color="auto"/>
          </w:divBdr>
        </w:div>
        <w:div w:id="551813660">
          <w:marLeft w:val="0"/>
          <w:marRight w:val="0"/>
          <w:marTop w:val="0"/>
          <w:marBottom w:val="0"/>
          <w:divBdr>
            <w:top w:val="none" w:sz="0" w:space="0" w:color="auto"/>
            <w:left w:val="none" w:sz="0" w:space="0" w:color="auto"/>
            <w:bottom w:val="none" w:sz="0" w:space="0" w:color="auto"/>
            <w:right w:val="none" w:sz="0" w:space="0" w:color="auto"/>
          </w:divBdr>
        </w:div>
      </w:divsChild>
    </w:div>
    <w:div w:id="1884251416">
      <w:bodyDiv w:val="1"/>
      <w:marLeft w:val="0"/>
      <w:marRight w:val="0"/>
      <w:marTop w:val="0"/>
      <w:marBottom w:val="0"/>
      <w:divBdr>
        <w:top w:val="none" w:sz="0" w:space="0" w:color="auto"/>
        <w:left w:val="none" w:sz="0" w:space="0" w:color="auto"/>
        <w:bottom w:val="none" w:sz="0" w:space="0" w:color="auto"/>
        <w:right w:val="none" w:sz="0" w:space="0" w:color="auto"/>
      </w:divBdr>
    </w:div>
    <w:div w:id="1973291800">
      <w:bodyDiv w:val="1"/>
      <w:marLeft w:val="0"/>
      <w:marRight w:val="0"/>
      <w:marTop w:val="0"/>
      <w:marBottom w:val="0"/>
      <w:divBdr>
        <w:top w:val="none" w:sz="0" w:space="0" w:color="auto"/>
        <w:left w:val="none" w:sz="0" w:space="0" w:color="auto"/>
        <w:bottom w:val="none" w:sz="0" w:space="0" w:color="auto"/>
        <w:right w:val="none" w:sz="0" w:space="0" w:color="auto"/>
      </w:divBdr>
      <w:divsChild>
        <w:div w:id="1059208962">
          <w:marLeft w:val="0"/>
          <w:marRight w:val="0"/>
          <w:marTop w:val="0"/>
          <w:marBottom w:val="0"/>
          <w:divBdr>
            <w:top w:val="none" w:sz="0" w:space="0" w:color="auto"/>
            <w:left w:val="none" w:sz="0" w:space="0" w:color="auto"/>
            <w:bottom w:val="none" w:sz="0" w:space="0" w:color="auto"/>
            <w:right w:val="none" w:sz="0" w:space="0" w:color="auto"/>
          </w:divBdr>
        </w:div>
        <w:div w:id="1559702109">
          <w:marLeft w:val="0"/>
          <w:marRight w:val="0"/>
          <w:marTop w:val="0"/>
          <w:marBottom w:val="0"/>
          <w:divBdr>
            <w:top w:val="none" w:sz="0" w:space="0" w:color="auto"/>
            <w:left w:val="none" w:sz="0" w:space="0" w:color="auto"/>
            <w:bottom w:val="none" w:sz="0" w:space="0" w:color="auto"/>
            <w:right w:val="none" w:sz="0" w:space="0" w:color="auto"/>
          </w:divBdr>
        </w:div>
        <w:div w:id="859702091">
          <w:marLeft w:val="0"/>
          <w:marRight w:val="0"/>
          <w:marTop w:val="0"/>
          <w:marBottom w:val="0"/>
          <w:divBdr>
            <w:top w:val="none" w:sz="0" w:space="0" w:color="auto"/>
            <w:left w:val="none" w:sz="0" w:space="0" w:color="auto"/>
            <w:bottom w:val="none" w:sz="0" w:space="0" w:color="auto"/>
            <w:right w:val="none" w:sz="0" w:space="0" w:color="auto"/>
          </w:divBdr>
        </w:div>
        <w:div w:id="1504934537">
          <w:marLeft w:val="0"/>
          <w:marRight w:val="0"/>
          <w:marTop w:val="0"/>
          <w:marBottom w:val="0"/>
          <w:divBdr>
            <w:top w:val="none" w:sz="0" w:space="0" w:color="auto"/>
            <w:left w:val="none" w:sz="0" w:space="0" w:color="auto"/>
            <w:bottom w:val="none" w:sz="0" w:space="0" w:color="auto"/>
            <w:right w:val="none" w:sz="0" w:space="0" w:color="auto"/>
          </w:divBdr>
        </w:div>
      </w:divsChild>
    </w:div>
    <w:div w:id="2052992039">
      <w:bodyDiv w:val="1"/>
      <w:marLeft w:val="0"/>
      <w:marRight w:val="0"/>
      <w:marTop w:val="0"/>
      <w:marBottom w:val="0"/>
      <w:divBdr>
        <w:top w:val="none" w:sz="0" w:space="0" w:color="auto"/>
        <w:left w:val="none" w:sz="0" w:space="0" w:color="auto"/>
        <w:bottom w:val="none" w:sz="0" w:space="0" w:color="auto"/>
        <w:right w:val="none" w:sz="0" w:space="0" w:color="auto"/>
      </w:divBdr>
      <w:divsChild>
        <w:div w:id="2063090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onnet85@gmail.com" TargetMode="External"/><Relationship Id="rId13" Type="http://schemas.openxmlformats.org/officeDocument/2006/relationships/hyperlink" Target="https://fullfact.org/health/nhs-spending-mental-health/" TargetMode="External"/><Relationship Id="rId18" Type="http://schemas.openxmlformats.org/officeDocument/2006/relationships/hyperlink" Target="http://webarchive.nationalarchives.gov.uk/20180328135613/http://digital.nhs.uk/catalogue/PUB22571"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adass.org.uk/national-findings-amhps-mental-health-act-assessments-the-mental-health-social-care-workforce" TargetMode="External"/><Relationship Id="rId17" Type="http://schemas.openxmlformats.org/officeDocument/2006/relationships/hyperlink" Target="http://digital.nhs.uk/catalogue/PUB30105" TargetMode="External"/><Relationship Id="rId2" Type="http://schemas.openxmlformats.org/officeDocument/2006/relationships/numbering" Target="numbering.xml"/><Relationship Id="rId16" Type="http://schemas.openxmlformats.org/officeDocument/2006/relationships/hyperlink" Target="https://www.england.nhs.uk/wp-content/uploads/2016/02/Mental-Health-Taskforce-FYFV-final.pdf" TargetMode="External"/><Relationship Id="rId20" Type="http://schemas.openxmlformats.org/officeDocument/2006/relationships/hyperlink" Target="https://www.gov.uk/government/publications/modernising-the-mental-health-act-final-report-from-the-independent-re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ass.org.uk/media/5994/adass-budget-survey-report-2017.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government/groups/independent-review-of-the-mental-health-act" TargetMode="External"/><Relationship Id="rId23" Type="http://schemas.openxmlformats.org/officeDocument/2006/relationships/fontTable" Target="fontTable.xml"/><Relationship Id="rId10" Type="http://schemas.openxmlformats.org/officeDocument/2006/relationships/hyperlink" Target="https://www.gov.uk/government/uploads/system/uploads/attachment_data/file/435512/MHA_Code_of_Practice.PDF" TargetMode="External"/><Relationship Id="rId19" Type="http://schemas.openxmlformats.org/officeDocument/2006/relationships/hyperlink" Target="https://www.gov.uk/government/publications/independent-review-of-the-mental-health-act-interim-report" TargetMode="External"/><Relationship Id="rId4" Type="http://schemas.openxmlformats.org/officeDocument/2006/relationships/settings" Target="settings.xml"/><Relationship Id="rId9" Type="http://schemas.openxmlformats.org/officeDocument/2006/relationships/hyperlink" Target="http://www.communitycare.co.uk/2018/02/14/approved-mental-health-professional-numbers-continue-decline-community-care-finds/" TargetMode="External"/><Relationship Id="rId14" Type="http://schemas.openxmlformats.org/officeDocument/2006/relationships/hyperlink" Target="https://www.kingsfund.org.uk/publications/funding-staffing-mental-health-provider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D6D40-48B3-4428-BCC4-1E25D7C4C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7508</Words>
  <Characters>42796</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NHS CNWL</Company>
  <LinksUpToDate>false</LinksUpToDate>
  <CharactersWithSpaces>50204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Bonnet, Michael</dc:creator>
  <cp:lastModifiedBy>Nicola Moran</cp:lastModifiedBy>
  <cp:revision>10</cp:revision>
  <cp:lastPrinted>2019-04-01T11:18:00Z</cp:lastPrinted>
  <dcterms:created xsi:type="dcterms:W3CDTF">2020-11-27T13:31:00Z</dcterms:created>
  <dcterms:modified xsi:type="dcterms:W3CDTF">2020-11-27T13:42:00Z</dcterms:modified>
</cp:coreProperties>
</file>