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7821" w14:textId="3BE562B6" w:rsidR="00CA4488" w:rsidRDefault="00CA4488" w:rsidP="00CA4488">
      <w:pPr>
        <w:spacing w:after="0" w:line="360" w:lineRule="auto"/>
        <w:rPr>
          <w:rFonts w:cs="Arial"/>
          <w:b/>
          <w:sz w:val="24"/>
          <w:szCs w:val="28"/>
        </w:rPr>
      </w:pPr>
      <w:r>
        <w:rPr>
          <w:rFonts w:cs="Arial"/>
          <w:b/>
          <w:sz w:val="24"/>
          <w:szCs w:val="28"/>
        </w:rPr>
        <w:t>S</w:t>
      </w:r>
      <w:r w:rsidRPr="006F6522">
        <w:rPr>
          <w:rFonts w:cs="Arial"/>
          <w:b/>
          <w:sz w:val="24"/>
          <w:szCs w:val="28"/>
        </w:rPr>
        <w:t>lip-resistant footwear reduce</w:t>
      </w:r>
      <w:r>
        <w:rPr>
          <w:rFonts w:cs="Arial"/>
          <w:b/>
          <w:sz w:val="24"/>
          <w:szCs w:val="28"/>
        </w:rPr>
        <w:t>s</w:t>
      </w:r>
      <w:r w:rsidRPr="006F6522">
        <w:rPr>
          <w:rFonts w:cs="Arial"/>
          <w:b/>
          <w:sz w:val="24"/>
          <w:szCs w:val="28"/>
        </w:rPr>
        <w:t xml:space="preserve"> slips among </w:t>
      </w:r>
      <w:r w:rsidR="0061702D">
        <w:rPr>
          <w:rFonts w:cs="Arial"/>
          <w:b/>
          <w:sz w:val="24"/>
          <w:szCs w:val="28"/>
        </w:rPr>
        <w:t>N</w:t>
      </w:r>
      <w:r w:rsidR="007101A9">
        <w:rPr>
          <w:rFonts w:cs="Arial"/>
          <w:b/>
          <w:sz w:val="24"/>
          <w:szCs w:val="28"/>
        </w:rPr>
        <w:t xml:space="preserve">ational </w:t>
      </w:r>
      <w:r w:rsidR="0061702D">
        <w:rPr>
          <w:rFonts w:cs="Arial"/>
          <w:b/>
          <w:sz w:val="24"/>
          <w:szCs w:val="28"/>
        </w:rPr>
        <w:t>H</w:t>
      </w:r>
      <w:r w:rsidR="007101A9">
        <w:rPr>
          <w:rFonts w:cs="Arial"/>
          <w:b/>
          <w:sz w:val="24"/>
          <w:szCs w:val="28"/>
        </w:rPr>
        <w:t xml:space="preserve">ealth </w:t>
      </w:r>
      <w:r w:rsidR="0061702D">
        <w:rPr>
          <w:rFonts w:cs="Arial"/>
          <w:b/>
          <w:sz w:val="24"/>
          <w:szCs w:val="28"/>
        </w:rPr>
        <w:t>S</w:t>
      </w:r>
      <w:r w:rsidR="007101A9">
        <w:rPr>
          <w:rFonts w:cs="Arial"/>
          <w:b/>
          <w:sz w:val="24"/>
          <w:szCs w:val="28"/>
        </w:rPr>
        <w:t xml:space="preserve">ervice </w:t>
      </w:r>
      <w:r w:rsidRPr="006F6522">
        <w:rPr>
          <w:rFonts w:cs="Arial"/>
          <w:b/>
          <w:sz w:val="24"/>
          <w:szCs w:val="28"/>
        </w:rPr>
        <w:t>workers</w:t>
      </w:r>
      <w:r w:rsidR="0033223A">
        <w:rPr>
          <w:rFonts w:cs="Arial"/>
          <w:b/>
          <w:sz w:val="24"/>
          <w:szCs w:val="28"/>
        </w:rPr>
        <w:t xml:space="preserve"> in </w:t>
      </w:r>
      <w:r w:rsidR="006674AC">
        <w:rPr>
          <w:rFonts w:cs="Arial"/>
          <w:b/>
          <w:sz w:val="24"/>
          <w:szCs w:val="28"/>
        </w:rPr>
        <w:t>England</w:t>
      </w:r>
      <w:r>
        <w:rPr>
          <w:rFonts w:cs="Arial"/>
          <w:b/>
          <w:sz w:val="24"/>
          <w:szCs w:val="28"/>
        </w:rPr>
        <w:t>:</w:t>
      </w:r>
      <w:r w:rsidRPr="006F6522">
        <w:rPr>
          <w:rFonts w:cs="Arial"/>
          <w:b/>
          <w:sz w:val="24"/>
          <w:szCs w:val="28"/>
        </w:rPr>
        <w:t xml:space="preserve"> A randomi</w:t>
      </w:r>
      <w:r>
        <w:rPr>
          <w:rFonts w:cs="Arial"/>
          <w:b/>
          <w:sz w:val="24"/>
          <w:szCs w:val="28"/>
        </w:rPr>
        <w:t>s</w:t>
      </w:r>
      <w:r w:rsidRPr="006F6522">
        <w:rPr>
          <w:rFonts w:cs="Arial"/>
          <w:b/>
          <w:sz w:val="24"/>
          <w:szCs w:val="28"/>
        </w:rPr>
        <w:t>ed controlled trial.</w:t>
      </w:r>
    </w:p>
    <w:p w14:paraId="16FB57B0" w14:textId="77777777" w:rsidR="00A526F5" w:rsidRDefault="00A526F5" w:rsidP="00CA4488">
      <w:pPr>
        <w:spacing w:after="0" w:line="360" w:lineRule="auto"/>
        <w:rPr>
          <w:rFonts w:cs="Arial"/>
          <w:b/>
          <w:sz w:val="24"/>
          <w:szCs w:val="28"/>
        </w:rPr>
      </w:pPr>
    </w:p>
    <w:p w14:paraId="63CC833B" w14:textId="03636617" w:rsidR="00A526F5" w:rsidRDefault="00A526F5" w:rsidP="00A526F5">
      <w:pPr>
        <w:spacing w:after="0" w:line="360" w:lineRule="auto"/>
        <w:rPr>
          <w:rFonts w:cstheme="minorHAnsi"/>
          <w:sz w:val="24"/>
          <w:szCs w:val="24"/>
          <w:vertAlign w:val="superscript"/>
        </w:rPr>
      </w:pPr>
      <w:r>
        <w:rPr>
          <w:rFonts w:cstheme="minorHAnsi"/>
          <w:sz w:val="24"/>
          <w:szCs w:val="24"/>
        </w:rPr>
        <w:t>Sarah Cockayne</w:t>
      </w:r>
      <w:r>
        <w:rPr>
          <w:rFonts w:cstheme="minorHAnsi"/>
          <w:sz w:val="24"/>
          <w:szCs w:val="24"/>
          <w:vertAlign w:val="superscript"/>
        </w:rPr>
        <w:t>$</w:t>
      </w:r>
      <w:r>
        <w:rPr>
          <w:rFonts w:cstheme="minorHAnsi"/>
          <w:sz w:val="24"/>
          <w:szCs w:val="24"/>
        </w:rPr>
        <w:t xml:space="preserve">, Caroline Fairhurst, Gillian Frost, Mark Liddle, Rachel Cunningham-Burley, Michael </w:t>
      </w:r>
      <w:proofErr w:type="spellStart"/>
      <w:r>
        <w:rPr>
          <w:rFonts w:cstheme="minorHAnsi"/>
          <w:sz w:val="24"/>
          <w:szCs w:val="24"/>
        </w:rPr>
        <w:t>Zand</w:t>
      </w:r>
      <w:proofErr w:type="spellEnd"/>
      <w:r>
        <w:rPr>
          <w:rFonts w:cstheme="minorHAnsi"/>
          <w:sz w:val="24"/>
          <w:szCs w:val="24"/>
        </w:rPr>
        <w:t>, Catherine Hewitt, Heather Iles-Smith, Lorraine Green, and David J Torgerson</w:t>
      </w:r>
    </w:p>
    <w:p w14:paraId="37D34DAB" w14:textId="2A9BD954" w:rsidR="00A526F5" w:rsidRDefault="00A526F5" w:rsidP="00A526F5">
      <w:pPr>
        <w:spacing w:after="0" w:line="360" w:lineRule="auto"/>
        <w:rPr>
          <w:rFonts w:cstheme="minorHAnsi"/>
          <w:sz w:val="24"/>
          <w:szCs w:val="24"/>
        </w:rPr>
      </w:pPr>
    </w:p>
    <w:p w14:paraId="24B2C3EC" w14:textId="77777777" w:rsidR="00F26C4B" w:rsidRDefault="00F26C4B" w:rsidP="00F26C4B">
      <w:pPr>
        <w:spacing w:after="0" w:line="360" w:lineRule="auto"/>
        <w:ind w:right="-330"/>
        <w:rPr>
          <w:rStyle w:val="Hyperlink"/>
          <w:color w:val="auto"/>
          <w:sz w:val="24"/>
        </w:rPr>
      </w:pPr>
      <w:r>
        <w:rPr>
          <w:rFonts w:cstheme="minorHAnsi"/>
          <w:sz w:val="24"/>
        </w:rPr>
        <w:t xml:space="preserve">$ Corresponding author Mrs Sarah Cockayne, University of York, Department Health Sciences, ARRC Building – Lower </w:t>
      </w:r>
      <w:r w:rsidRPr="008B19E0">
        <w:rPr>
          <w:rFonts w:cstheme="minorHAnsi"/>
          <w:sz w:val="24"/>
        </w:rPr>
        <w:t xml:space="preserve">Ground Floor, York YO10 5DD; email: </w:t>
      </w:r>
      <w:hyperlink r:id="rId8" w:history="1">
        <w:r w:rsidRPr="00214A83">
          <w:rPr>
            <w:rStyle w:val="Hyperlink"/>
            <w:color w:val="auto"/>
            <w:sz w:val="24"/>
          </w:rPr>
          <w:t>sarah.cockayne@york.ac.uk</w:t>
        </w:r>
      </w:hyperlink>
    </w:p>
    <w:p w14:paraId="37ED4668" w14:textId="77777777" w:rsidR="00F26C4B" w:rsidRDefault="00F26C4B" w:rsidP="00A526F5">
      <w:pPr>
        <w:spacing w:after="0" w:line="360" w:lineRule="auto"/>
        <w:rPr>
          <w:rFonts w:cstheme="minorHAnsi"/>
          <w:sz w:val="24"/>
          <w:szCs w:val="24"/>
        </w:rPr>
      </w:pPr>
    </w:p>
    <w:p w14:paraId="7F437F54" w14:textId="77777777" w:rsidR="00A526F5" w:rsidRPr="008C7131" w:rsidRDefault="00A526F5" w:rsidP="00A526F5">
      <w:pPr>
        <w:spacing w:after="0" w:line="240" w:lineRule="auto"/>
        <w:rPr>
          <w:b/>
          <w:sz w:val="24"/>
        </w:rPr>
      </w:pPr>
      <w:r w:rsidRPr="008C7131">
        <w:rPr>
          <w:b/>
          <w:sz w:val="24"/>
        </w:rPr>
        <w:t xml:space="preserve">Author details </w:t>
      </w:r>
    </w:p>
    <w:p w14:paraId="5B78AFFA" w14:textId="77777777" w:rsidR="00A526F5" w:rsidRPr="00C0104F" w:rsidRDefault="00A526F5" w:rsidP="00A526F5">
      <w:pPr>
        <w:spacing w:after="0" w:line="240" w:lineRule="auto"/>
        <w:rPr>
          <w:sz w:val="24"/>
        </w:rPr>
      </w:pPr>
    </w:p>
    <w:p w14:paraId="4003F5F1" w14:textId="6D226D33" w:rsidR="00A526F5" w:rsidRDefault="00923238" w:rsidP="00A526F5">
      <w:pPr>
        <w:spacing w:after="0" w:line="360" w:lineRule="auto"/>
        <w:rPr>
          <w:rFonts w:cstheme="minorHAnsi"/>
          <w:sz w:val="24"/>
          <w:szCs w:val="24"/>
        </w:rPr>
      </w:pPr>
      <w:r>
        <w:rPr>
          <w:rFonts w:cstheme="minorHAnsi"/>
          <w:sz w:val="24"/>
          <w:szCs w:val="24"/>
          <w:vertAlign w:val="superscript"/>
        </w:rPr>
        <w:t>$</w:t>
      </w:r>
      <w:r w:rsidR="00A526F5">
        <w:rPr>
          <w:rFonts w:cstheme="minorHAnsi"/>
          <w:sz w:val="24"/>
          <w:szCs w:val="24"/>
        </w:rPr>
        <w:t xml:space="preserve">Sarah Cockayne, </w:t>
      </w:r>
      <w:r w:rsidR="00A526F5">
        <w:rPr>
          <w:rFonts w:cstheme="minorHAnsi"/>
          <w:sz w:val="24"/>
        </w:rPr>
        <w:t>Department of Health Sciences, University of York, York, UK</w:t>
      </w:r>
    </w:p>
    <w:p w14:paraId="3F05600A" w14:textId="32ADF1EA" w:rsidR="00A526F5" w:rsidRDefault="00A526F5" w:rsidP="00A526F5">
      <w:pPr>
        <w:spacing w:after="0" w:line="360" w:lineRule="auto"/>
        <w:rPr>
          <w:rFonts w:cstheme="minorHAnsi"/>
          <w:sz w:val="24"/>
          <w:szCs w:val="24"/>
        </w:rPr>
      </w:pPr>
      <w:r>
        <w:rPr>
          <w:rFonts w:cstheme="minorHAnsi"/>
          <w:sz w:val="24"/>
          <w:szCs w:val="24"/>
        </w:rPr>
        <w:t xml:space="preserve">Caroline Fairhurst, </w:t>
      </w:r>
      <w:r>
        <w:rPr>
          <w:rFonts w:cstheme="minorHAnsi"/>
          <w:sz w:val="24"/>
        </w:rPr>
        <w:t>Department of Health Sciences, University of York, York, UK</w:t>
      </w:r>
    </w:p>
    <w:p w14:paraId="767EA4DF" w14:textId="67BB6432" w:rsidR="00405D68" w:rsidRDefault="00A526F5" w:rsidP="00A526F5">
      <w:pPr>
        <w:spacing w:after="0" w:line="360" w:lineRule="auto"/>
        <w:rPr>
          <w:rFonts w:cstheme="minorHAnsi"/>
          <w:sz w:val="24"/>
          <w:szCs w:val="24"/>
        </w:rPr>
      </w:pPr>
      <w:r>
        <w:rPr>
          <w:rFonts w:cstheme="minorHAnsi"/>
          <w:sz w:val="24"/>
          <w:szCs w:val="24"/>
        </w:rPr>
        <w:t>Gillian Frost</w:t>
      </w:r>
      <w:r w:rsidR="00405D68">
        <w:rPr>
          <w:rFonts w:cstheme="minorHAnsi"/>
          <w:sz w:val="24"/>
          <w:szCs w:val="24"/>
        </w:rPr>
        <w:t xml:space="preserve">, </w:t>
      </w:r>
      <w:r w:rsidR="00405D68" w:rsidRPr="00405D68">
        <w:rPr>
          <w:rFonts w:cstheme="minorHAnsi"/>
          <w:sz w:val="24"/>
        </w:rPr>
        <w:t>Science and Research Centre</w:t>
      </w:r>
      <w:r w:rsidR="00405D68">
        <w:rPr>
          <w:rFonts w:cstheme="minorHAnsi"/>
          <w:sz w:val="24"/>
        </w:rPr>
        <w:t>, Health and Safety Executive, Buxton, UK</w:t>
      </w:r>
    </w:p>
    <w:p w14:paraId="55242773" w14:textId="721E9E18" w:rsidR="00A526F5" w:rsidRDefault="00A526F5" w:rsidP="00A526F5">
      <w:pPr>
        <w:spacing w:after="0" w:line="360" w:lineRule="auto"/>
        <w:rPr>
          <w:rFonts w:cstheme="minorHAnsi"/>
          <w:sz w:val="24"/>
          <w:szCs w:val="24"/>
        </w:rPr>
      </w:pPr>
      <w:r>
        <w:rPr>
          <w:rFonts w:cstheme="minorHAnsi"/>
          <w:sz w:val="24"/>
          <w:szCs w:val="24"/>
        </w:rPr>
        <w:t>Mark Liddle</w:t>
      </w:r>
      <w:r w:rsidR="00405D68">
        <w:rPr>
          <w:rFonts w:cstheme="minorHAnsi"/>
          <w:sz w:val="24"/>
          <w:szCs w:val="24"/>
        </w:rPr>
        <w:t xml:space="preserve">, </w:t>
      </w:r>
      <w:r w:rsidR="00405D68" w:rsidRPr="00405D68">
        <w:rPr>
          <w:rFonts w:cstheme="minorHAnsi"/>
          <w:sz w:val="24"/>
        </w:rPr>
        <w:t>Science and Research Centre</w:t>
      </w:r>
      <w:r w:rsidR="00405D68">
        <w:rPr>
          <w:rFonts w:cstheme="minorHAnsi"/>
          <w:sz w:val="24"/>
        </w:rPr>
        <w:t>, Health and Safety Executive, Buxton, UK</w:t>
      </w:r>
    </w:p>
    <w:p w14:paraId="670A5093" w14:textId="481ED746" w:rsidR="00A526F5" w:rsidRDefault="00A526F5" w:rsidP="00A526F5">
      <w:pPr>
        <w:spacing w:after="0" w:line="360" w:lineRule="auto"/>
        <w:rPr>
          <w:rFonts w:cstheme="minorHAnsi"/>
          <w:sz w:val="24"/>
          <w:szCs w:val="24"/>
        </w:rPr>
      </w:pPr>
      <w:r>
        <w:rPr>
          <w:rFonts w:cstheme="minorHAnsi"/>
          <w:sz w:val="24"/>
          <w:szCs w:val="24"/>
        </w:rPr>
        <w:t xml:space="preserve">Rachel Cunningham-Burley, </w:t>
      </w:r>
      <w:r>
        <w:rPr>
          <w:rFonts w:cstheme="minorHAnsi"/>
          <w:sz w:val="24"/>
        </w:rPr>
        <w:t>Department of Health Sciences, University of York, York, UK</w:t>
      </w:r>
    </w:p>
    <w:p w14:paraId="11C20387" w14:textId="56586E9F" w:rsidR="00A526F5" w:rsidRDefault="00A526F5" w:rsidP="00A526F5">
      <w:pPr>
        <w:spacing w:after="0" w:line="360" w:lineRule="auto"/>
        <w:rPr>
          <w:rFonts w:cstheme="minorHAnsi"/>
          <w:sz w:val="24"/>
          <w:szCs w:val="24"/>
        </w:rPr>
      </w:pPr>
      <w:r>
        <w:rPr>
          <w:rFonts w:cstheme="minorHAnsi"/>
          <w:sz w:val="24"/>
          <w:szCs w:val="24"/>
        </w:rPr>
        <w:t xml:space="preserve">Michael </w:t>
      </w:r>
      <w:proofErr w:type="spellStart"/>
      <w:r>
        <w:rPr>
          <w:rFonts w:cstheme="minorHAnsi"/>
          <w:sz w:val="24"/>
          <w:szCs w:val="24"/>
        </w:rPr>
        <w:t>Zand</w:t>
      </w:r>
      <w:proofErr w:type="spellEnd"/>
      <w:r w:rsidR="00A819B8">
        <w:rPr>
          <w:rFonts w:cstheme="minorHAnsi"/>
          <w:sz w:val="24"/>
          <w:szCs w:val="24"/>
        </w:rPr>
        <w:t>,</w:t>
      </w:r>
      <w:r w:rsidR="00A07F6B">
        <w:rPr>
          <w:rFonts w:cstheme="minorHAnsi"/>
          <w:sz w:val="24"/>
          <w:szCs w:val="24"/>
        </w:rPr>
        <w:t xml:space="preserve"> Science Division – Economic and Social Analysis, </w:t>
      </w:r>
      <w:r w:rsidR="00A819B8">
        <w:rPr>
          <w:rFonts w:cstheme="minorHAnsi"/>
          <w:sz w:val="24"/>
        </w:rPr>
        <w:t>Health and Safety Executive, Bootle, UK</w:t>
      </w:r>
    </w:p>
    <w:p w14:paraId="5B0E09A3" w14:textId="3FB9863B" w:rsidR="00A526F5" w:rsidRDefault="00A526F5" w:rsidP="00A526F5">
      <w:pPr>
        <w:spacing w:after="0" w:line="360" w:lineRule="auto"/>
        <w:rPr>
          <w:rFonts w:cstheme="minorHAnsi"/>
          <w:sz w:val="24"/>
          <w:szCs w:val="24"/>
        </w:rPr>
      </w:pPr>
      <w:r>
        <w:rPr>
          <w:rFonts w:cstheme="minorHAnsi"/>
          <w:sz w:val="24"/>
          <w:szCs w:val="24"/>
        </w:rPr>
        <w:t>Catherine Hewitt</w:t>
      </w:r>
      <w:r w:rsidR="00E4315E">
        <w:rPr>
          <w:rFonts w:cstheme="minorHAnsi"/>
          <w:sz w:val="24"/>
          <w:szCs w:val="24"/>
        </w:rPr>
        <w:t>,</w:t>
      </w:r>
      <w:r>
        <w:rPr>
          <w:rFonts w:cstheme="minorHAnsi"/>
          <w:sz w:val="24"/>
          <w:szCs w:val="24"/>
        </w:rPr>
        <w:t xml:space="preserve"> </w:t>
      </w:r>
      <w:r w:rsidR="00E4315E">
        <w:rPr>
          <w:rFonts w:cstheme="minorHAnsi"/>
          <w:sz w:val="24"/>
        </w:rPr>
        <w:t xml:space="preserve">Department of Health Sciences, University of York, </w:t>
      </w:r>
      <w:r w:rsidR="00752871">
        <w:rPr>
          <w:rFonts w:cstheme="minorHAnsi"/>
          <w:sz w:val="24"/>
        </w:rPr>
        <w:t>York,</w:t>
      </w:r>
      <w:r w:rsidR="00E4315E">
        <w:rPr>
          <w:rFonts w:cstheme="minorHAnsi"/>
          <w:sz w:val="24"/>
        </w:rPr>
        <w:t xml:space="preserve"> UK</w:t>
      </w:r>
    </w:p>
    <w:p w14:paraId="4494A9E0" w14:textId="0E6FAC23" w:rsidR="00A526F5" w:rsidRDefault="00A07F6B" w:rsidP="00A526F5">
      <w:pPr>
        <w:spacing w:after="0" w:line="360" w:lineRule="auto"/>
        <w:rPr>
          <w:rFonts w:cstheme="minorHAnsi"/>
          <w:sz w:val="24"/>
          <w:szCs w:val="24"/>
        </w:rPr>
      </w:pPr>
      <w:r>
        <w:rPr>
          <w:rFonts w:cstheme="minorHAnsi"/>
          <w:sz w:val="24"/>
          <w:szCs w:val="24"/>
        </w:rPr>
        <w:t xml:space="preserve">Heather Iles-Smith, Nursing Research and Innovation, Leeds Teaching Hospitals NHS Trust, Leeds, UK </w:t>
      </w:r>
    </w:p>
    <w:p w14:paraId="238AC963" w14:textId="1A617955" w:rsidR="00FB1C40" w:rsidRDefault="00A526F5" w:rsidP="00A526F5">
      <w:pPr>
        <w:spacing w:after="0" w:line="360" w:lineRule="auto"/>
        <w:rPr>
          <w:rFonts w:cstheme="minorHAnsi"/>
          <w:sz w:val="24"/>
          <w:szCs w:val="24"/>
        </w:rPr>
      </w:pPr>
      <w:r>
        <w:rPr>
          <w:rFonts w:cstheme="minorHAnsi"/>
          <w:sz w:val="24"/>
          <w:szCs w:val="24"/>
        </w:rPr>
        <w:t>Lorraine Green</w:t>
      </w:r>
      <w:r w:rsidR="00FB1C40">
        <w:rPr>
          <w:rFonts w:cstheme="minorHAnsi"/>
          <w:sz w:val="24"/>
          <w:szCs w:val="24"/>
        </w:rPr>
        <w:t xml:space="preserve">, </w:t>
      </w:r>
      <w:r w:rsidR="00B308CE">
        <w:rPr>
          <w:rFonts w:cstheme="minorHAnsi"/>
          <w:sz w:val="24"/>
        </w:rPr>
        <w:t xml:space="preserve">National Institute for Health Research (NIHR) Leeds Musculoskeletal Biomedical Research Unit, </w:t>
      </w:r>
      <w:r w:rsidR="00FB1C40">
        <w:rPr>
          <w:rFonts w:cstheme="minorHAnsi"/>
          <w:sz w:val="24"/>
          <w:szCs w:val="24"/>
        </w:rPr>
        <w:t>Leeds, UK</w:t>
      </w:r>
    </w:p>
    <w:p w14:paraId="0FC77A5A" w14:textId="2B20C666" w:rsidR="00A526F5" w:rsidRDefault="00FB1C40" w:rsidP="00A526F5">
      <w:pPr>
        <w:spacing w:after="0" w:line="360" w:lineRule="auto"/>
        <w:rPr>
          <w:rFonts w:cstheme="minorHAnsi"/>
          <w:sz w:val="24"/>
          <w:szCs w:val="24"/>
          <w:vertAlign w:val="superscript"/>
        </w:rPr>
      </w:pPr>
      <w:r>
        <w:rPr>
          <w:rFonts w:cstheme="minorHAnsi"/>
          <w:sz w:val="24"/>
          <w:szCs w:val="24"/>
        </w:rPr>
        <w:t>D</w:t>
      </w:r>
      <w:r w:rsidR="00A526F5">
        <w:rPr>
          <w:rFonts w:cstheme="minorHAnsi"/>
          <w:sz w:val="24"/>
          <w:szCs w:val="24"/>
        </w:rPr>
        <w:t>avid J Torgerson</w:t>
      </w:r>
      <w:r w:rsidR="00E4315E">
        <w:rPr>
          <w:rFonts w:cstheme="minorHAnsi"/>
          <w:sz w:val="24"/>
          <w:szCs w:val="24"/>
        </w:rPr>
        <w:t xml:space="preserve">, </w:t>
      </w:r>
      <w:r w:rsidR="00E4315E">
        <w:rPr>
          <w:rFonts w:cstheme="minorHAnsi"/>
          <w:sz w:val="24"/>
        </w:rPr>
        <w:t xml:space="preserve">Department of Health Sciences, University of York, </w:t>
      </w:r>
      <w:r w:rsidR="00752871">
        <w:rPr>
          <w:rFonts w:cstheme="minorHAnsi"/>
          <w:sz w:val="24"/>
        </w:rPr>
        <w:t>York</w:t>
      </w:r>
      <w:r w:rsidR="00E4315E">
        <w:rPr>
          <w:rFonts w:cstheme="minorHAnsi"/>
          <w:sz w:val="24"/>
        </w:rPr>
        <w:t>, UK</w:t>
      </w:r>
    </w:p>
    <w:p w14:paraId="08C31CFE" w14:textId="77777777" w:rsidR="00A526F5" w:rsidRDefault="00A526F5">
      <w:pPr>
        <w:rPr>
          <w:rFonts w:cs="Arial"/>
          <w:b/>
          <w:sz w:val="24"/>
          <w:szCs w:val="28"/>
        </w:rPr>
      </w:pPr>
    </w:p>
    <w:p w14:paraId="3B84FCD6" w14:textId="77E47F12" w:rsidR="00D974A9" w:rsidRDefault="00D974A9" w:rsidP="00D974A9">
      <w:pPr>
        <w:spacing w:after="0" w:line="360" w:lineRule="auto"/>
        <w:ind w:right="-330"/>
        <w:rPr>
          <w:rStyle w:val="Hyperlink"/>
          <w:color w:val="auto"/>
          <w:sz w:val="24"/>
        </w:rPr>
      </w:pPr>
    </w:p>
    <w:p w14:paraId="3EA2E221" w14:textId="7B1E348C" w:rsidR="00A526F5" w:rsidRDefault="00A526F5" w:rsidP="00D974A9">
      <w:pPr>
        <w:spacing w:after="0" w:line="360" w:lineRule="auto"/>
        <w:ind w:right="-330"/>
        <w:rPr>
          <w:rFonts w:cstheme="minorHAnsi"/>
          <w:sz w:val="24"/>
        </w:rPr>
      </w:pPr>
      <w:r>
        <w:rPr>
          <w:rFonts w:cstheme="minorHAnsi"/>
          <w:sz w:val="24"/>
        </w:rPr>
        <w:t>Key words</w:t>
      </w:r>
      <w:r w:rsidR="00A07F6B">
        <w:rPr>
          <w:rFonts w:cstheme="minorHAnsi"/>
          <w:sz w:val="24"/>
        </w:rPr>
        <w:t xml:space="preserve">: </w:t>
      </w:r>
      <w:r w:rsidR="00A07F6B" w:rsidRPr="00A07F6B">
        <w:rPr>
          <w:rFonts w:cstheme="minorHAnsi"/>
          <w:sz w:val="24"/>
        </w:rPr>
        <w:t>Slip-resistant shoes, randomised controlled trial, slip prevention</w:t>
      </w:r>
      <w:r w:rsidR="00A07F6B">
        <w:rPr>
          <w:rFonts w:cstheme="minorHAnsi"/>
          <w:sz w:val="24"/>
        </w:rPr>
        <w:t>.</w:t>
      </w:r>
    </w:p>
    <w:p w14:paraId="06A4DE5B" w14:textId="78403A2B" w:rsidR="00923238" w:rsidRDefault="00923238" w:rsidP="00923238">
      <w:pPr>
        <w:spacing w:after="0" w:line="360" w:lineRule="auto"/>
        <w:ind w:right="-330"/>
        <w:rPr>
          <w:rStyle w:val="Hyperlink"/>
          <w:color w:val="auto"/>
          <w:sz w:val="24"/>
        </w:rPr>
      </w:pPr>
      <w:r>
        <w:rPr>
          <w:rStyle w:val="Hyperlink"/>
          <w:color w:val="auto"/>
          <w:sz w:val="24"/>
        </w:rPr>
        <w:t xml:space="preserve">Word count: </w:t>
      </w:r>
      <w:r w:rsidR="005E0B63">
        <w:rPr>
          <w:rStyle w:val="Hyperlink"/>
          <w:color w:val="auto"/>
          <w:sz w:val="24"/>
        </w:rPr>
        <w:t>3470</w:t>
      </w:r>
    </w:p>
    <w:p w14:paraId="50BF4A90" w14:textId="5D308B15" w:rsidR="007101A9" w:rsidRDefault="007101A9">
      <w:pPr>
        <w:rPr>
          <w:b/>
          <w:sz w:val="24"/>
        </w:rPr>
      </w:pPr>
    </w:p>
    <w:p w14:paraId="2A548DAE" w14:textId="115088D2" w:rsidR="007101A9" w:rsidRDefault="007101A9">
      <w:pPr>
        <w:rPr>
          <w:b/>
          <w:sz w:val="24"/>
        </w:rPr>
      </w:pPr>
    </w:p>
    <w:p w14:paraId="599D9364" w14:textId="5885DFC5" w:rsidR="007101A9" w:rsidRDefault="007101A9">
      <w:pPr>
        <w:rPr>
          <w:b/>
          <w:sz w:val="24"/>
        </w:rPr>
      </w:pPr>
    </w:p>
    <w:p w14:paraId="22E66003" w14:textId="77777777" w:rsidR="007101A9" w:rsidRDefault="007101A9">
      <w:pPr>
        <w:rPr>
          <w:b/>
          <w:sz w:val="24"/>
        </w:rPr>
      </w:pPr>
    </w:p>
    <w:p w14:paraId="18A0B9A7" w14:textId="4BA659B8" w:rsidR="007101A9" w:rsidRDefault="007101A9" w:rsidP="007101A9">
      <w:pPr>
        <w:rPr>
          <w:rFonts w:cs="Times New Roman"/>
          <w:b/>
          <w:sz w:val="24"/>
          <w:szCs w:val="24"/>
        </w:rPr>
      </w:pPr>
      <w:r w:rsidRPr="007101A9">
        <w:rPr>
          <w:rFonts w:cs="Times New Roman"/>
          <w:b/>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4AA48D42" wp14:editId="0994F65B">
                <wp:simplePos x="0" y="0"/>
                <wp:positionH relativeFrom="column">
                  <wp:posOffset>222250</wp:posOffset>
                </wp:positionH>
                <wp:positionV relativeFrom="paragraph">
                  <wp:posOffset>0</wp:posOffset>
                </wp:positionV>
                <wp:extent cx="5585460" cy="51282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5128260"/>
                        </a:xfrm>
                        <a:prstGeom prst="rect">
                          <a:avLst/>
                        </a:prstGeom>
                        <a:solidFill>
                          <a:srgbClr val="FFFFFF"/>
                        </a:solidFill>
                        <a:ln w="9525">
                          <a:solidFill>
                            <a:srgbClr val="000000"/>
                          </a:solidFill>
                          <a:miter lim="800000"/>
                          <a:headEnd/>
                          <a:tailEnd/>
                        </a:ln>
                      </wps:spPr>
                      <wps:txbx>
                        <w:txbxContent>
                          <w:p w14:paraId="68D46CDA" w14:textId="77777777" w:rsidR="00C657EF" w:rsidRPr="00305D2F" w:rsidRDefault="00C657EF" w:rsidP="007101A9">
                            <w:pPr>
                              <w:rPr>
                                <w:rFonts w:cstheme="minorHAnsi"/>
                                <w:b/>
                                <w:sz w:val="24"/>
                                <w:szCs w:val="24"/>
                              </w:rPr>
                            </w:pPr>
                            <w:r w:rsidRPr="00305D2F">
                              <w:rPr>
                                <w:rFonts w:cstheme="minorHAnsi"/>
                                <w:b/>
                                <w:sz w:val="24"/>
                                <w:szCs w:val="24"/>
                              </w:rPr>
                              <w:t xml:space="preserve">Key messages </w:t>
                            </w:r>
                          </w:p>
                          <w:p w14:paraId="3860E7FF" w14:textId="77777777" w:rsidR="00C657EF" w:rsidRPr="00305D2F" w:rsidRDefault="00C657EF" w:rsidP="007101A9">
                            <w:pPr>
                              <w:rPr>
                                <w:rFonts w:cstheme="minorHAnsi"/>
                                <w:sz w:val="24"/>
                                <w:szCs w:val="24"/>
                              </w:rPr>
                            </w:pPr>
                            <w:r w:rsidRPr="00305D2F">
                              <w:rPr>
                                <w:rFonts w:cstheme="minorHAnsi"/>
                                <w:sz w:val="24"/>
                                <w:szCs w:val="24"/>
                              </w:rPr>
                              <w:t>What is already known about this study?</w:t>
                            </w:r>
                          </w:p>
                          <w:p w14:paraId="78B104B0"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 xml:space="preserve">There is some evidence from previous studies to suggest that slip-resistant footwear can prevent slips, but only one was a randomised controlled trial, which is the gold standard method to evaluate the effectiveness of an intervention. </w:t>
                            </w:r>
                          </w:p>
                          <w:p w14:paraId="3A0DD916"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Selecting appropriate slip-resistant footwear can be challenging due to the lack of robust testing and reliable information on which to base a decision.</w:t>
                            </w:r>
                          </w:p>
                          <w:p w14:paraId="404DF24A"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The Health and Safety Executive in Great Britain developed the GRIP-rating scheme to measure and grade the slip resistance of footwear.</w:t>
                            </w:r>
                          </w:p>
                          <w:p w14:paraId="0954DDCC" w14:textId="77777777" w:rsidR="00C657EF" w:rsidRPr="00305D2F" w:rsidRDefault="00C657EF" w:rsidP="007101A9">
                            <w:pPr>
                              <w:rPr>
                                <w:rFonts w:cstheme="minorHAnsi"/>
                                <w:sz w:val="24"/>
                                <w:szCs w:val="24"/>
                              </w:rPr>
                            </w:pPr>
                            <w:r w:rsidRPr="00305D2F">
                              <w:rPr>
                                <w:rFonts w:cstheme="minorHAnsi"/>
                                <w:sz w:val="24"/>
                                <w:szCs w:val="24"/>
                              </w:rPr>
                              <w:t>What are the new findings?</w:t>
                            </w:r>
                          </w:p>
                          <w:p w14:paraId="17CD9794"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This trial demonstrated that 5* GRIP-rated slip-resistant footwear reduced the rate of slips by 37% among NHS employees.</w:t>
                            </w:r>
                          </w:p>
                          <w:p w14:paraId="453CD2A5"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 xml:space="preserve">5* GRIP-rated slip-resistant footwear also reduced the rate of falls resulting from a slip by 49%.  </w:t>
                            </w:r>
                          </w:p>
                          <w:p w14:paraId="4969E187"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 xml:space="preserve">The intervention group had a statistically significantly lower risk of slipping compared to the control group.  </w:t>
                            </w:r>
                          </w:p>
                          <w:p w14:paraId="7DFDCCDC" w14:textId="77777777" w:rsidR="00C657EF" w:rsidRPr="00305D2F" w:rsidRDefault="00C657EF" w:rsidP="007101A9">
                            <w:pPr>
                              <w:rPr>
                                <w:rFonts w:cstheme="minorHAnsi"/>
                                <w:sz w:val="24"/>
                                <w:szCs w:val="24"/>
                              </w:rPr>
                            </w:pPr>
                            <w:r w:rsidRPr="00305D2F">
                              <w:rPr>
                                <w:rFonts w:cstheme="minorHAnsi"/>
                                <w:sz w:val="24"/>
                                <w:szCs w:val="24"/>
                              </w:rPr>
                              <w:t>How might this impact on policy or clinical practice in the foreseeable future.</w:t>
                            </w:r>
                          </w:p>
                          <w:p w14:paraId="31329116" w14:textId="0CA90571" w:rsidR="00C657EF" w:rsidRPr="00305D2F" w:rsidRDefault="00C657EF" w:rsidP="009418BC">
                            <w:pPr>
                              <w:pStyle w:val="ListParagraph"/>
                              <w:numPr>
                                <w:ilvl w:val="0"/>
                                <w:numId w:val="6"/>
                              </w:numPr>
                              <w:rPr>
                                <w:rFonts w:asciiTheme="minorHAnsi" w:hAnsiTheme="minorHAnsi" w:cstheme="minorHAnsi"/>
                              </w:rPr>
                            </w:pPr>
                            <w:r w:rsidRPr="00305D2F">
                              <w:rPr>
                                <w:rFonts w:asciiTheme="minorHAnsi" w:hAnsiTheme="minorHAnsi" w:cstheme="minorHAnsi"/>
                                <w:szCs w:val="24"/>
                              </w:rPr>
                              <w:t>Slip-resistant footwear should be considered in areas where it is not possible to minimise or adequately control a potential slip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48D42" id="_x0000_t202" coordsize="21600,21600" o:spt="202" path="m,l,21600r21600,l21600,xe">
                <v:stroke joinstyle="miter"/>
                <v:path gradientshapeok="t" o:connecttype="rect"/>
              </v:shapetype>
              <v:shape id="Text Box 2" o:spid="_x0000_s1026" type="#_x0000_t202" style="position:absolute;margin-left:17.5pt;margin-top:0;width:439.8pt;height:40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">
                <v:textbox>
                  <w:txbxContent>
                    <w:p w14:paraId="68D46CDA" w14:textId="77777777" w:rsidR="00C657EF" w:rsidRPr="00305D2F" w:rsidRDefault="00C657EF" w:rsidP="007101A9">
                      <w:pPr>
                        <w:rPr>
                          <w:rFonts w:cstheme="minorHAnsi"/>
                          <w:b/>
                          <w:sz w:val="24"/>
                          <w:szCs w:val="24"/>
                        </w:rPr>
                      </w:pPr>
                      <w:r w:rsidRPr="00305D2F">
                        <w:rPr>
                          <w:rFonts w:cstheme="minorHAnsi"/>
                          <w:b/>
                          <w:sz w:val="24"/>
                          <w:szCs w:val="24"/>
                        </w:rPr>
                        <w:t xml:space="preserve">Key messages </w:t>
                      </w:r>
                    </w:p>
                    <w:p w14:paraId="3860E7FF" w14:textId="77777777" w:rsidR="00C657EF" w:rsidRPr="00305D2F" w:rsidRDefault="00C657EF" w:rsidP="007101A9">
                      <w:pPr>
                        <w:rPr>
                          <w:rFonts w:cstheme="minorHAnsi"/>
                          <w:sz w:val="24"/>
                          <w:szCs w:val="24"/>
                        </w:rPr>
                      </w:pPr>
                      <w:r w:rsidRPr="00305D2F">
                        <w:rPr>
                          <w:rFonts w:cstheme="minorHAnsi"/>
                          <w:sz w:val="24"/>
                          <w:szCs w:val="24"/>
                        </w:rPr>
                        <w:t>What is already known about this study?</w:t>
                      </w:r>
                    </w:p>
                    <w:p w14:paraId="78B104B0"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 xml:space="preserve">There is some evidence from previous studies to suggest that slip-resistant footwear can prevent slips, but only one was a randomised controlled trial, which is the gold standard method to evaluate the effectiveness of an intervention. </w:t>
                      </w:r>
                    </w:p>
                    <w:p w14:paraId="3A0DD916"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Selecting appropriate slip-resistant footwear can be challenging due to the lack of robust testing and reliable information on which to base a decision.</w:t>
                      </w:r>
                    </w:p>
                    <w:p w14:paraId="404DF24A" w14:textId="77777777" w:rsidR="00C657EF" w:rsidRPr="00305D2F" w:rsidRDefault="00C657EF" w:rsidP="007101A9">
                      <w:pPr>
                        <w:pStyle w:val="ListParagraph"/>
                        <w:numPr>
                          <w:ilvl w:val="0"/>
                          <w:numId w:val="4"/>
                        </w:numPr>
                        <w:rPr>
                          <w:rFonts w:asciiTheme="minorHAnsi" w:hAnsiTheme="minorHAnsi" w:cstheme="minorHAnsi"/>
                          <w:szCs w:val="24"/>
                        </w:rPr>
                      </w:pPr>
                      <w:r w:rsidRPr="00305D2F">
                        <w:rPr>
                          <w:rFonts w:asciiTheme="minorHAnsi" w:hAnsiTheme="minorHAnsi" w:cstheme="minorHAnsi"/>
                          <w:szCs w:val="24"/>
                        </w:rPr>
                        <w:t>The Health and Safety Executive in Great Britain developed the GRIP-rating scheme to measure and grade the slip resistance of footwear.</w:t>
                      </w:r>
                    </w:p>
                    <w:p w14:paraId="0954DDCC" w14:textId="77777777" w:rsidR="00C657EF" w:rsidRPr="00305D2F" w:rsidRDefault="00C657EF" w:rsidP="007101A9">
                      <w:pPr>
                        <w:rPr>
                          <w:rFonts w:cstheme="minorHAnsi"/>
                          <w:sz w:val="24"/>
                          <w:szCs w:val="24"/>
                        </w:rPr>
                      </w:pPr>
                      <w:r w:rsidRPr="00305D2F">
                        <w:rPr>
                          <w:rFonts w:cstheme="minorHAnsi"/>
                          <w:sz w:val="24"/>
                          <w:szCs w:val="24"/>
                        </w:rPr>
                        <w:t>What are the new findings?</w:t>
                      </w:r>
                    </w:p>
                    <w:p w14:paraId="17CD9794"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This trial demonstrated that 5* GRIP-rated slip-resistant footwear reduced the rate of slips by 37% among NHS employees.</w:t>
                      </w:r>
                    </w:p>
                    <w:p w14:paraId="453CD2A5"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 xml:space="preserve">5* GRIP-rated slip-resistant footwear also reduced the rate of falls resulting from a slip by 49%.  </w:t>
                      </w:r>
                    </w:p>
                    <w:p w14:paraId="4969E187" w14:textId="77777777" w:rsidR="00C657EF" w:rsidRPr="00305D2F" w:rsidRDefault="00C657EF" w:rsidP="007101A9">
                      <w:pPr>
                        <w:pStyle w:val="ListParagraph"/>
                        <w:numPr>
                          <w:ilvl w:val="0"/>
                          <w:numId w:val="3"/>
                        </w:numPr>
                        <w:rPr>
                          <w:rFonts w:asciiTheme="minorHAnsi" w:hAnsiTheme="minorHAnsi" w:cstheme="minorHAnsi"/>
                          <w:szCs w:val="24"/>
                        </w:rPr>
                      </w:pPr>
                      <w:r w:rsidRPr="00305D2F">
                        <w:rPr>
                          <w:rFonts w:asciiTheme="minorHAnsi" w:hAnsiTheme="minorHAnsi" w:cstheme="minorHAnsi"/>
                          <w:szCs w:val="24"/>
                        </w:rPr>
                        <w:t xml:space="preserve">The intervention group had a statistically significantly lower risk of slipping compared to the control group.  </w:t>
                      </w:r>
                    </w:p>
                    <w:p w14:paraId="7DFDCCDC" w14:textId="77777777" w:rsidR="00C657EF" w:rsidRPr="00305D2F" w:rsidRDefault="00C657EF" w:rsidP="007101A9">
                      <w:pPr>
                        <w:rPr>
                          <w:rFonts w:cstheme="minorHAnsi"/>
                          <w:sz w:val="24"/>
                          <w:szCs w:val="24"/>
                        </w:rPr>
                      </w:pPr>
                      <w:r w:rsidRPr="00305D2F">
                        <w:rPr>
                          <w:rFonts w:cstheme="minorHAnsi"/>
                          <w:sz w:val="24"/>
                          <w:szCs w:val="24"/>
                        </w:rPr>
                        <w:t>How might this impact on policy or clinical practice in the foreseeable future.</w:t>
                      </w:r>
                    </w:p>
                    <w:p w14:paraId="31329116" w14:textId="0CA90571" w:rsidR="00C657EF" w:rsidRPr="00305D2F" w:rsidRDefault="00C657EF" w:rsidP="009418BC">
                      <w:pPr>
                        <w:pStyle w:val="ListParagraph"/>
                        <w:numPr>
                          <w:ilvl w:val="0"/>
                          <w:numId w:val="6"/>
                        </w:numPr>
                        <w:rPr>
                          <w:rFonts w:asciiTheme="minorHAnsi" w:hAnsiTheme="minorHAnsi" w:cstheme="minorHAnsi"/>
                        </w:rPr>
                      </w:pPr>
                      <w:r w:rsidRPr="00305D2F">
                        <w:rPr>
                          <w:rFonts w:asciiTheme="minorHAnsi" w:hAnsiTheme="minorHAnsi" w:cstheme="minorHAnsi"/>
                          <w:szCs w:val="24"/>
                        </w:rPr>
                        <w:t>Slip-resistant footwear should be considered in areas where it is not possible to minimise or adequately control a potential slip risk.</w:t>
                      </w:r>
                    </w:p>
                  </w:txbxContent>
                </v:textbox>
                <w10:wrap type="square"/>
              </v:shape>
            </w:pict>
          </mc:Fallback>
        </mc:AlternateContent>
      </w:r>
    </w:p>
    <w:p w14:paraId="1E6C22E8" w14:textId="44C43A8F" w:rsidR="00E26822" w:rsidRPr="00CA4488" w:rsidRDefault="00E26822" w:rsidP="00E26822">
      <w:pPr>
        <w:spacing w:after="0" w:line="240" w:lineRule="auto"/>
        <w:rPr>
          <w:b/>
          <w:sz w:val="24"/>
        </w:rPr>
      </w:pPr>
      <w:r w:rsidRPr="00CA4488">
        <w:rPr>
          <w:b/>
          <w:sz w:val="24"/>
        </w:rPr>
        <w:t xml:space="preserve">Abstract </w:t>
      </w:r>
    </w:p>
    <w:p w14:paraId="3583E58A" w14:textId="77777777" w:rsidR="00E26822" w:rsidRDefault="00E26822" w:rsidP="00E26822">
      <w:pPr>
        <w:spacing w:after="0" w:line="240" w:lineRule="auto"/>
        <w:rPr>
          <w:sz w:val="24"/>
        </w:rPr>
      </w:pPr>
    </w:p>
    <w:p w14:paraId="2009AF02" w14:textId="77777777" w:rsidR="00E26822" w:rsidRDefault="00E26822" w:rsidP="00E26822">
      <w:pPr>
        <w:spacing w:after="0" w:line="240" w:lineRule="auto"/>
        <w:rPr>
          <w:sz w:val="24"/>
        </w:rPr>
      </w:pPr>
      <w:bookmarkStart w:id="0" w:name="_GoBack"/>
      <w:r>
        <w:rPr>
          <w:sz w:val="24"/>
        </w:rPr>
        <w:t>Objectives</w:t>
      </w:r>
    </w:p>
    <w:p w14:paraId="2E8BAB55" w14:textId="356BC2DB" w:rsidR="00E26822" w:rsidRDefault="008A3594" w:rsidP="00E26822">
      <w:pPr>
        <w:spacing w:after="0" w:line="240" w:lineRule="auto"/>
        <w:rPr>
          <w:b/>
          <w:sz w:val="24"/>
        </w:rPr>
      </w:pPr>
      <w:r>
        <w:rPr>
          <w:sz w:val="24"/>
        </w:rPr>
        <w:t>A</w:t>
      </w:r>
      <w:r w:rsidR="00E26822">
        <w:rPr>
          <w:sz w:val="24"/>
        </w:rPr>
        <w:t>ssess the effectiveness of 5* GRIP-rated slip-resistant footwear in preventing slips in the workplace compared to usual footwear</w:t>
      </w:r>
      <w:r w:rsidR="00287B66">
        <w:rPr>
          <w:sz w:val="24"/>
        </w:rPr>
        <w:t xml:space="preserve"> (control group)</w:t>
      </w:r>
      <w:r w:rsidR="00E26822">
        <w:rPr>
          <w:sz w:val="24"/>
        </w:rPr>
        <w:t>.</w:t>
      </w:r>
    </w:p>
    <w:p w14:paraId="3F3899EB" w14:textId="77777777" w:rsidR="00E26822" w:rsidRDefault="00E26822" w:rsidP="00E26822">
      <w:pPr>
        <w:spacing w:after="0" w:line="240" w:lineRule="auto"/>
        <w:rPr>
          <w:sz w:val="24"/>
        </w:rPr>
      </w:pPr>
    </w:p>
    <w:p w14:paraId="114C4D26" w14:textId="4702A28D" w:rsidR="00226693" w:rsidRDefault="008F2270" w:rsidP="00E26822">
      <w:pPr>
        <w:spacing w:after="0" w:line="240" w:lineRule="auto"/>
        <w:rPr>
          <w:sz w:val="24"/>
        </w:rPr>
      </w:pPr>
      <w:r>
        <w:rPr>
          <w:sz w:val="24"/>
        </w:rPr>
        <w:t>Methods</w:t>
      </w:r>
    </w:p>
    <w:p w14:paraId="33F141BA" w14:textId="0F52FCDC" w:rsidR="00735BB7" w:rsidRDefault="00E26822" w:rsidP="00735BB7">
      <w:pPr>
        <w:spacing w:after="0" w:line="240" w:lineRule="auto"/>
        <w:rPr>
          <w:b/>
          <w:sz w:val="24"/>
        </w:rPr>
      </w:pPr>
      <w:r>
        <w:rPr>
          <w:sz w:val="24"/>
        </w:rPr>
        <w:t>A multicentre, randomised controlled trial</w:t>
      </w:r>
      <w:r w:rsidR="008A3594">
        <w:rPr>
          <w:sz w:val="24"/>
        </w:rPr>
        <w:t>;</w:t>
      </w:r>
      <w:r w:rsidR="00735BB7">
        <w:rPr>
          <w:sz w:val="24"/>
        </w:rPr>
        <w:t xml:space="preserve"> 4553 NHS staff were randomised </w:t>
      </w:r>
      <w:r w:rsidR="00BE54E8">
        <w:rPr>
          <w:sz w:val="24"/>
        </w:rPr>
        <w:t xml:space="preserve">1:1 </w:t>
      </w:r>
      <w:r w:rsidR="00735BB7">
        <w:rPr>
          <w:sz w:val="24"/>
        </w:rPr>
        <w:t xml:space="preserve">to the intervention group </w:t>
      </w:r>
      <w:r w:rsidR="008A3594">
        <w:rPr>
          <w:sz w:val="24"/>
        </w:rPr>
        <w:t>(</w:t>
      </w:r>
      <w:r w:rsidR="00735BB7">
        <w:rPr>
          <w:sz w:val="24"/>
        </w:rPr>
        <w:t>provided with 5* GRIP-rated slip-resistant footwear</w:t>
      </w:r>
      <w:r w:rsidR="008A3594">
        <w:rPr>
          <w:sz w:val="24"/>
        </w:rPr>
        <w:t>)</w:t>
      </w:r>
      <w:r w:rsidR="00735BB7">
        <w:rPr>
          <w:sz w:val="24"/>
        </w:rPr>
        <w:t xml:space="preserve"> or the control group. </w:t>
      </w:r>
      <w:r w:rsidR="00735BB7">
        <w:rPr>
          <w:b/>
          <w:sz w:val="24"/>
        </w:rPr>
        <w:t xml:space="preserve"> </w:t>
      </w:r>
      <w:r w:rsidR="00735BB7">
        <w:rPr>
          <w:sz w:val="24"/>
        </w:rPr>
        <w:t xml:space="preserve">The primary outcome </w:t>
      </w:r>
      <w:r w:rsidR="008A3594">
        <w:rPr>
          <w:sz w:val="24"/>
        </w:rPr>
        <w:t>of</w:t>
      </w:r>
      <w:r w:rsidR="00735BB7">
        <w:rPr>
          <w:sz w:val="24"/>
        </w:rPr>
        <w:t xml:space="preserve"> incidence rate of self-reported slips in the workplace over 14 weeks</w:t>
      </w:r>
      <w:r w:rsidR="008A3594">
        <w:rPr>
          <w:sz w:val="24"/>
        </w:rPr>
        <w:t xml:space="preserve"> was analysed using a mixed-effects negative binomial model</w:t>
      </w:r>
      <w:r w:rsidR="00735BB7">
        <w:rPr>
          <w:sz w:val="24"/>
        </w:rPr>
        <w:t>.  Secondary outcome measures included incidence rate of falls from a slip</w:t>
      </w:r>
      <w:r w:rsidR="008A3594">
        <w:rPr>
          <w:sz w:val="24"/>
        </w:rPr>
        <w:t>, falls not from a slip</w:t>
      </w:r>
      <w:r w:rsidR="00735BB7">
        <w:rPr>
          <w:sz w:val="24"/>
        </w:rPr>
        <w:t>, proportion of participants reporting a slip, fall or fracture, and time to first slip and fall.</w:t>
      </w:r>
      <w:r w:rsidR="00735BB7">
        <w:rPr>
          <w:rFonts w:ascii="Calibri" w:hAnsi="Calibri" w:cs="Calibri"/>
          <w:sz w:val="24"/>
        </w:rPr>
        <w:t xml:space="preserve">  </w:t>
      </w:r>
      <w:r w:rsidR="00735BB7">
        <w:rPr>
          <w:b/>
          <w:sz w:val="24"/>
        </w:rPr>
        <w:t xml:space="preserve"> </w:t>
      </w:r>
    </w:p>
    <w:p w14:paraId="7561E03E" w14:textId="77777777" w:rsidR="00E26822" w:rsidRDefault="00E26822" w:rsidP="00E26822">
      <w:pPr>
        <w:spacing w:after="0" w:line="240" w:lineRule="auto"/>
        <w:rPr>
          <w:sz w:val="24"/>
        </w:rPr>
      </w:pPr>
    </w:p>
    <w:p w14:paraId="46E4A601" w14:textId="77777777" w:rsidR="00E26822" w:rsidRDefault="00E26822" w:rsidP="00E26822">
      <w:pPr>
        <w:spacing w:after="0" w:line="240" w:lineRule="auto"/>
        <w:rPr>
          <w:sz w:val="24"/>
        </w:rPr>
      </w:pPr>
      <w:r>
        <w:rPr>
          <w:sz w:val="24"/>
        </w:rPr>
        <w:t>Results</w:t>
      </w:r>
    </w:p>
    <w:p w14:paraId="4CC15B64" w14:textId="5024CA50" w:rsidR="00E26822" w:rsidRDefault="00E26822" w:rsidP="00E26822">
      <w:pPr>
        <w:spacing w:after="0" w:line="240" w:lineRule="auto"/>
        <w:rPr>
          <w:sz w:val="24"/>
        </w:rPr>
      </w:pPr>
      <w:r>
        <w:rPr>
          <w:rFonts w:cstheme="minorHAnsi"/>
          <w:color w:val="000000"/>
          <w:sz w:val="24"/>
          <w:szCs w:val="20"/>
        </w:rPr>
        <w:t>6743 slips were reported: 2633 in the intervention group (mean 1.16 per participant, range 0 to 36) and 4110 in the control group (mean 1.80 per participant, range 0 to 83).  There was a</w:t>
      </w:r>
      <w:r>
        <w:rPr>
          <w:sz w:val="24"/>
        </w:rPr>
        <w:t xml:space="preserve"> statistically significant reduction in slip rate in the intervention group relative to the </w:t>
      </w:r>
      <w:r>
        <w:rPr>
          <w:sz w:val="24"/>
        </w:rPr>
        <w:lastRenderedPageBreak/>
        <w:t xml:space="preserve">control group (incidence rate ratio (IRR) 0.63, 95% CI 0.57 to 0.70, p&lt;0.001). Statistically significant differences, in favour of the intervention group, were observed in falls from a slip (IRR 0.51, 95% CI 0.28 to 0.92, p=0.03), the proportion of participants who reported a slip (odds ratio (OR) 0.58, 95% CI 0.50 to 0.66, p&lt;0.001) or fall (OR 0.73, 95% CI 0.54 to 0.99, p=0.04) and time to first slip (hazard ratio 0.73, 95% CI 0.67 to 0.80, p&lt;0.001). </w:t>
      </w:r>
    </w:p>
    <w:p w14:paraId="30DBDBCD" w14:textId="77777777" w:rsidR="00E26822" w:rsidRDefault="00E26822" w:rsidP="00E26822">
      <w:pPr>
        <w:spacing w:after="0" w:line="240" w:lineRule="auto"/>
        <w:rPr>
          <w:b/>
          <w:sz w:val="24"/>
        </w:rPr>
      </w:pPr>
    </w:p>
    <w:p w14:paraId="7D8C2475" w14:textId="77777777" w:rsidR="00E26822" w:rsidRDefault="00E26822" w:rsidP="00E26822">
      <w:pPr>
        <w:spacing w:after="0" w:line="240" w:lineRule="auto"/>
        <w:rPr>
          <w:sz w:val="24"/>
        </w:rPr>
      </w:pPr>
      <w:r>
        <w:rPr>
          <w:sz w:val="24"/>
        </w:rPr>
        <w:t xml:space="preserve">Conclusions </w:t>
      </w:r>
    </w:p>
    <w:p w14:paraId="045F864E" w14:textId="6A0B4765" w:rsidR="00E26822" w:rsidRDefault="00E26822" w:rsidP="00E26822">
      <w:pPr>
        <w:spacing w:after="0" w:line="240" w:lineRule="auto"/>
        <w:rPr>
          <w:sz w:val="24"/>
        </w:rPr>
      </w:pPr>
      <w:r>
        <w:rPr>
          <w:sz w:val="24"/>
        </w:rPr>
        <w:t xml:space="preserve">The offer and provision of 5* GRIP-rated footwear reduced slips in </w:t>
      </w:r>
      <w:r w:rsidR="000B7F0A">
        <w:rPr>
          <w:sz w:val="24"/>
        </w:rPr>
        <w:t xml:space="preserve">NHS staff in </w:t>
      </w:r>
      <w:r>
        <w:rPr>
          <w:sz w:val="24"/>
        </w:rPr>
        <w:t xml:space="preserve">the workplace.  </w:t>
      </w:r>
    </w:p>
    <w:p w14:paraId="5FB02418" w14:textId="77777777" w:rsidR="00E26822" w:rsidRDefault="00E26822" w:rsidP="00E26822">
      <w:pPr>
        <w:spacing w:after="0" w:line="240" w:lineRule="auto"/>
        <w:rPr>
          <w:b/>
          <w:sz w:val="24"/>
        </w:rPr>
      </w:pPr>
    </w:p>
    <w:p w14:paraId="03658AAF" w14:textId="77777777" w:rsidR="00E26822" w:rsidRDefault="00E26822" w:rsidP="00E26822">
      <w:pPr>
        <w:spacing w:after="0" w:line="240" w:lineRule="auto"/>
        <w:rPr>
          <w:sz w:val="24"/>
        </w:rPr>
      </w:pPr>
      <w:r>
        <w:rPr>
          <w:sz w:val="24"/>
        </w:rPr>
        <w:t xml:space="preserve">Trial registration  </w:t>
      </w:r>
    </w:p>
    <w:p w14:paraId="69860682" w14:textId="77777777" w:rsidR="00E26822" w:rsidRDefault="00E26822" w:rsidP="00E26822">
      <w:pPr>
        <w:spacing w:after="0" w:line="240" w:lineRule="auto"/>
        <w:rPr>
          <w:sz w:val="24"/>
        </w:rPr>
      </w:pPr>
      <w:r>
        <w:rPr>
          <w:sz w:val="24"/>
        </w:rPr>
        <w:t>ISRCTN33051393</w:t>
      </w:r>
    </w:p>
    <w:p w14:paraId="55B48623" w14:textId="0B29366E" w:rsidR="00E26822" w:rsidRDefault="00E26822" w:rsidP="00E26822"/>
    <w:p w14:paraId="7214FED8" w14:textId="7E8CD11A" w:rsidR="00005211" w:rsidRPr="001553F4" w:rsidRDefault="00005211" w:rsidP="00E26822">
      <w:pPr>
        <w:rPr>
          <w:sz w:val="24"/>
        </w:rPr>
      </w:pPr>
      <w:r w:rsidRPr="001553F4">
        <w:rPr>
          <w:sz w:val="24"/>
        </w:rPr>
        <w:t>Key words: slip-resistant footwear, randomised controlled trial</w:t>
      </w:r>
      <w:r w:rsidR="00287B66">
        <w:rPr>
          <w:sz w:val="24"/>
        </w:rPr>
        <w:t>, National Health Service</w:t>
      </w:r>
    </w:p>
    <w:p w14:paraId="3A052815" w14:textId="25A09BDB" w:rsidR="00822DB1" w:rsidRDefault="00822DB1" w:rsidP="00E26822"/>
    <w:bookmarkEnd w:id="0"/>
    <w:p w14:paraId="33910E52" w14:textId="19D977AE" w:rsidR="00424A87" w:rsidRPr="00AE30C8" w:rsidRDefault="00424A87" w:rsidP="008B0A24">
      <w:pPr>
        <w:rPr>
          <w:b/>
          <w:sz w:val="24"/>
          <w:szCs w:val="24"/>
        </w:rPr>
      </w:pPr>
      <w:r w:rsidRPr="00AE30C8">
        <w:rPr>
          <w:b/>
          <w:sz w:val="24"/>
          <w:szCs w:val="24"/>
        </w:rPr>
        <w:t xml:space="preserve">Introduction </w:t>
      </w:r>
    </w:p>
    <w:p w14:paraId="091F6026" w14:textId="6AA68FE7" w:rsidR="00865FA5" w:rsidRPr="00AE30C8" w:rsidRDefault="00865FA5" w:rsidP="00F17D15">
      <w:pPr>
        <w:tabs>
          <w:tab w:val="left" w:pos="3825"/>
        </w:tabs>
        <w:spacing w:after="0" w:line="240" w:lineRule="auto"/>
        <w:rPr>
          <w:sz w:val="24"/>
          <w:szCs w:val="24"/>
        </w:rPr>
      </w:pPr>
      <w:r w:rsidRPr="00AE30C8">
        <w:rPr>
          <w:sz w:val="24"/>
          <w:szCs w:val="24"/>
        </w:rPr>
        <w:t>Slips, trips and falls on the same level are a major cause of injury in the workplace.</w:t>
      </w:r>
      <w:r w:rsidR="0031245A" w:rsidRPr="00AE30C8">
        <w:rPr>
          <w:sz w:val="24"/>
          <w:szCs w:val="24"/>
        </w:rPr>
        <w:t xml:space="preserve">  In Great Britain, they are a common cause o</w:t>
      </w:r>
      <w:r w:rsidR="00CB5D23">
        <w:rPr>
          <w:sz w:val="24"/>
          <w:szCs w:val="24"/>
        </w:rPr>
        <w:t>f non-fatal injury to employees, accounting for around 30% of those reported to the Health and Safety Executive (HSE)</w:t>
      </w:r>
      <w:r w:rsidR="00143809">
        <w:rPr>
          <w:sz w:val="24"/>
          <w:szCs w:val="24"/>
        </w:rPr>
        <w:t xml:space="preserve"> </w:t>
      </w:r>
      <w:r w:rsidR="00E6137B">
        <w:rPr>
          <w:sz w:val="24"/>
          <w:szCs w:val="24"/>
        </w:rPr>
        <w:fldChar w:fldCharType="begin"/>
      </w:r>
      <w:r w:rsidR="00E6137B">
        <w:rPr>
          <w:sz w:val="24"/>
          <w:szCs w:val="24"/>
        </w:rPr>
        <w:instrText xml:space="preserve"> ADDIN EN.CITE &lt;EndNote&gt;&lt;Cite&gt;&lt;Author&gt;Health and Safety Executive&lt;/Author&gt;&lt;Year&gt;2018&lt;/Year&gt;&lt;RecNum&gt;4&lt;/RecNum&gt;&lt;DisplayText&gt;(1)&lt;/DisplayText&gt;&lt;record&gt;&lt;rec-number&gt;4&lt;/rec-number&gt;&lt;foreign-keys&gt;&lt;key app="EN" db-id="2d5fx2wtk9w5akepszcp5t2dwrfp5rd2f5zd" timestamp="0"&gt;4&lt;/key&gt;&lt;/foreign-keys&gt;&lt;ref-type name="Web Page"&gt;12&lt;/ref-type&gt;&lt;contributors&gt;&lt;authors&gt;&lt;author&gt;Health and Safety Executive,&lt;/author&gt;&lt;/authors&gt;&lt;/contributors&gt;&lt;titles&gt;&lt;title&gt;RIDKIND: RIDDOR reported injuries by kind of accident and broad industry group&lt;/title&gt;&lt;/titles&gt;&lt;volume&gt;2019&lt;/volume&gt;&lt;number&gt;12 Feb&lt;/number&gt;&lt;dates&gt;&lt;year&gt;2018&lt;/year&gt;&lt;/dates&gt;&lt;urls&gt;&lt;related-urls&gt;&lt;url&gt;www.hse.gov.uk/statistics/tables/ridkind.xlsx&lt;/url&gt;&lt;/related-urls&gt;&lt;/urls&gt;&lt;/record&gt;&lt;/Cite&gt;&lt;/EndNote&gt;</w:instrText>
      </w:r>
      <w:r w:rsidR="00E6137B">
        <w:rPr>
          <w:sz w:val="24"/>
          <w:szCs w:val="24"/>
        </w:rPr>
        <w:fldChar w:fldCharType="separate"/>
      </w:r>
      <w:r w:rsidR="00E6137B">
        <w:rPr>
          <w:noProof/>
          <w:sz w:val="24"/>
          <w:szCs w:val="24"/>
        </w:rPr>
        <w:t>(1)</w:t>
      </w:r>
      <w:r w:rsidR="00E6137B">
        <w:rPr>
          <w:sz w:val="24"/>
          <w:szCs w:val="24"/>
        </w:rPr>
        <w:fldChar w:fldCharType="end"/>
      </w:r>
      <w:r w:rsidR="00CB5D23">
        <w:rPr>
          <w:sz w:val="24"/>
          <w:szCs w:val="24"/>
        </w:rPr>
        <w:t xml:space="preserve">.  </w:t>
      </w:r>
      <w:r w:rsidR="00A81279">
        <w:rPr>
          <w:sz w:val="24"/>
          <w:szCs w:val="24"/>
        </w:rPr>
        <w:t>An estimated</w:t>
      </w:r>
      <w:r w:rsidR="0031245A" w:rsidRPr="00AE30C8">
        <w:rPr>
          <w:sz w:val="24"/>
          <w:szCs w:val="24"/>
        </w:rPr>
        <w:t xml:space="preserve"> 100,000 non-fat</w:t>
      </w:r>
      <w:r w:rsidR="00CB5D23">
        <w:rPr>
          <w:sz w:val="24"/>
          <w:szCs w:val="24"/>
        </w:rPr>
        <w:t xml:space="preserve">al workplace injuries occur </w:t>
      </w:r>
      <w:r w:rsidR="0031245A" w:rsidRPr="00AE30C8">
        <w:rPr>
          <w:sz w:val="24"/>
          <w:szCs w:val="24"/>
        </w:rPr>
        <w:t>each year</w:t>
      </w:r>
      <w:r w:rsidR="00CB5D23">
        <w:rPr>
          <w:sz w:val="24"/>
          <w:szCs w:val="24"/>
        </w:rPr>
        <w:t xml:space="preserve"> due to a slip</w:t>
      </w:r>
      <w:r w:rsidR="00A81279">
        <w:rPr>
          <w:sz w:val="24"/>
          <w:szCs w:val="24"/>
        </w:rPr>
        <w:t>,</w:t>
      </w:r>
      <w:r w:rsidR="00CB5D23">
        <w:rPr>
          <w:sz w:val="24"/>
          <w:szCs w:val="24"/>
        </w:rPr>
        <w:t xml:space="preserve"> trip or fall on the level</w:t>
      </w:r>
      <w:r w:rsidR="00143809">
        <w:rPr>
          <w:sz w:val="24"/>
          <w:szCs w:val="24"/>
        </w:rPr>
        <w:t xml:space="preserve"> </w:t>
      </w:r>
      <w:r w:rsidR="00E6137B">
        <w:rPr>
          <w:sz w:val="24"/>
          <w:szCs w:val="24"/>
        </w:rPr>
        <w:fldChar w:fldCharType="begin"/>
      </w:r>
      <w:r w:rsidR="00E6137B">
        <w:rPr>
          <w:sz w:val="24"/>
          <w:szCs w:val="24"/>
        </w:rPr>
        <w:instrText xml:space="preserve"> ADDIN EN.CITE &lt;EndNote&gt;&lt;Cite&gt;&lt;Author&gt;Health and Safety Executive&lt;/Author&gt;&lt;Year&gt;2018&lt;/Year&gt;&lt;RecNum&gt;2&lt;/RecNum&gt;&lt;DisplayText&gt;(2)&lt;/DisplayText&gt;&lt;record&gt;&lt;rec-number&gt;2&lt;/rec-number&gt;&lt;foreign-keys&gt;&lt;key app="EN" db-id="2d5fx2wtk9w5akepszcp5t2dwrfp5rd2f5zd" timestamp="0"&gt;2&lt;/key&gt;&lt;/foreign-keys&gt;&lt;ref-type name="Web Page"&gt;12&lt;/ref-type&gt;&lt;contributors&gt;&lt;authors&gt;&lt;author&gt;Health and Safety Executive,&lt;/author&gt;&lt;/authors&gt;&lt;/contributors&gt;&lt;titles&gt;&lt;title&gt;Non-fatal injuries at work in Great Britain&lt;/title&gt;&lt;/titles&gt;&lt;volume&gt;2019&lt;/volume&gt;&lt;number&gt;12 Feb&lt;/number&gt;&lt;dates&gt;&lt;year&gt;2018&lt;/year&gt;&lt;/dates&gt;&lt;urls&gt;&lt;related-urls&gt;&lt;url&gt;http://www.hse.gov.uk/statistics/causinj/index.htm&lt;/url&gt;&lt;/related-urls&gt;&lt;/urls&gt;&lt;/record&gt;&lt;/Cite&gt;&lt;/EndNote&gt;</w:instrText>
      </w:r>
      <w:r w:rsidR="00E6137B">
        <w:rPr>
          <w:sz w:val="24"/>
          <w:szCs w:val="24"/>
        </w:rPr>
        <w:fldChar w:fldCharType="separate"/>
      </w:r>
      <w:r w:rsidR="00E6137B">
        <w:rPr>
          <w:noProof/>
          <w:sz w:val="24"/>
          <w:szCs w:val="24"/>
        </w:rPr>
        <w:t>(2)</w:t>
      </w:r>
      <w:r w:rsidR="00E6137B">
        <w:rPr>
          <w:sz w:val="24"/>
          <w:szCs w:val="24"/>
        </w:rPr>
        <w:fldChar w:fldCharType="end"/>
      </w:r>
      <w:r w:rsidR="00CB5D23">
        <w:rPr>
          <w:sz w:val="24"/>
          <w:szCs w:val="24"/>
        </w:rPr>
        <w:t xml:space="preserve">, </w:t>
      </w:r>
      <w:r w:rsidR="0031245A" w:rsidRPr="00AE30C8">
        <w:rPr>
          <w:sz w:val="24"/>
          <w:szCs w:val="24"/>
        </w:rPr>
        <w:t>resulting in 867,000 annual lost working days (full day equivalent)</w:t>
      </w:r>
      <w:r w:rsidR="00143809">
        <w:rPr>
          <w:sz w:val="24"/>
          <w:szCs w:val="24"/>
        </w:rPr>
        <w:t xml:space="preserve"> </w:t>
      </w:r>
      <w:r w:rsidR="006F7E50">
        <w:rPr>
          <w:sz w:val="24"/>
          <w:szCs w:val="24"/>
        </w:rPr>
        <w:fldChar w:fldCharType="begin"/>
      </w:r>
      <w:r w:rsidR="001F50C4">
        <w:rPr>
          <w:sz w:val="24"/>
          <w:szCs w:val="24"/>
        </w:rPr>
        <w:instrText xml:space="preserve"> ADDIN EN.CITE &lt;EndNote&gt;&lt;Cite&gt;&lt;Author&gt;Health and Safety Executive&lt;/Author&gt;&lt;Year&gt;2019&lt;/Year&gt;&lt;RecNum&gt;64&lt;/RecNum&gt;&lt;DisplayText&gt;(3)&lt;/DisplayText&gt;&lt;record&gt;&lt;rec-number&gt;64&lt;/rec-number&gt;&lt;foreign-keys&gt;&lt;key app="EN" db-id="2d5fx2wtk9w5akepszcp5t2dwrfp5rd2f5zd" timestamp="1594572420"&gt;64&lt;/key&gt;&lt;/foreign-keys&gt;&lt;ref-type name="Web Page"&gt;12&lt;/ref-type&gt;&lt;contributors&gt;&lt;authors&gt;&lt;author&gt;Health and Safety Executive,&lt;/author&gt;&lt;/authors&gt;&lt;/contributors&gt;&lt;titles&gt;&lt;title&gt;LFS - Labour Force Survey - Self-reported work-related ill health and workplace injuries: Index of LFS tables&lt;/title&gt;&lt;/titles&gt;&lt;number&gt;12 Feb 2019&lt;/number&gt;&lt;dates&gt;&lt;year&gt;2019&lt;/year&gt;&lt;/dates&gt;&lt;urls&gt;&lt;related-urls&gt;&lt;url&gt;https://www.hse.gov.uk/statistics/lfs/index.htm&lt;/url&gt;&lt;/related-urls&gt;&lt;/urls&gt;&lt;/record&gt;&lt;/Cite&gt;&lt;/EndNote&gt;</w:instrText>
      </w:r>
      <w:r w:rsidR="006F7E50">
        <w:rPr>
          <w:sz w:val="24"/>
          <w:szCs w:val="24"/>
        </w:rPr>
        <w:fldChar w:fldCharType="separate"/>
      </w:r>
      <w:r w:rsidR="006F7E50">
        <w:rPr>
          <w:noProof/>
          <w:sz w:val="24"/>
          <w:szCs w:val="24"/>
        </w:rPr>
        <w:t>(3)</w:t>
      </w:r>
      <w:r w:rsidR="006F7E50">
        <w:rPr>
          <w:sz w:val="24"/>
          <w:szCs w:val="24"/>
        </w:rPr>
        <w:fldChar w:fldCharType="end"/>
      </w:r>
      <w:r w:rsidR="0031245A" w:rsidRPr="00AE30C8">
        <w:rPr>
          <w:sz w:val="24"/>
          <w:szCs w:val="24"/>
        </w:rPr>
        <w:t xml:space="preserve">.  </w:t>
      </w:r>
      <w:r w:rsidRPr="00AE30C8">
        <w:rPr>
          <w:sz w:val="24"/>
          <w:szCs w:val="24"/>
        </w:rPr>
        <w:t>The issue is compounded by an ageing workforce</w:t>
      </w:r>
      <w:r w:rsidR="00744AD9">
        <w:rPr>
          <w:sz w:val="24"/>
          <w:szCs w:val="24"/>
        </w:rPr>
        <w:t xml:space="preserve"> (4)</w:t>
      </w:r>
      <w:r w:rsidR="00AE4A0B">
        <w:rPr>
          <w:sz w:val="24"/>
          <w:szCs w:val="24"/>
        </w:rPr>
        <w:t>.  Those at older ages are more likely to fall and sustain more serious injuries when they do fall</w:t>
      </w:r>
      <w:r w:rsidR="00744AD9">
        <w:rPr>
          <w:sz w:val="24"/>
          <w:szCs w:val="24"/>
        </w:rPr>
        <w:t xml:space="preserve"> (5,6)</w:t>
      </w:r>
      <w:r w:rsidR="00AE4A0B">
        <w:rPr>
          <w:sz w:val="24"/>
          <w:szCs w:val="24"/>
        </w:rPr>
        <w:fldChar w:fldCharType="begin"/>
      </w:r>
      <w:r w:rsidR="006F7E50">
        <w:rPr>
          <w:sz w:val="24"/>
          <w:szCs w:val="24"/>
        </w:rPr>
        <w:instrText xml:space="preserve"> ADDIN EN.CITE &lt;EndNote&gt;&lt;Cite&gt;&lt;Author&gt;Rubenstein&lt;/Author&gt;&lt;Year&gt;2006&lt;/Year&gt;&lt;RecNum&gt;9&lt;/RecNum&gt;&lt;DisplayText&gt;(6, 7)&lt;/DisplayText&gt;&lt;record&gt;&lt;rec-number&gt;9&lt;/rec-number&gt;&lt;foreign-keys&gt;&lt;key app="EN" db-id="2d5fx2wtk9w5akepszcp5t2dwrfp5rd2f5zd" timestamp="0"&gt;9&lt;/key&gt;&lt;/foreign-keys&gt;&lt;ref-type name="Journal Article"&gt;17&lt;/ref-type&gt;&lt;contributors&gt;&lt;authors&gt;&lt;author&gt;Rubenstein, L Z&lt;/author&gt;&lt;/authors&gt;&lt;/contributors&gt;&lt;titles&gt;&lt;title&gt;Falls in older people: epidemiology, risk factors and strategies for prevention&lt;/title&gt;&lt;secondary-title&gt;Age Ageing&lt;/secondary-title&gt;&lt;/titles&gt;&lt;pages&gt;ii37-ii41&lt;/pages&gt;&lt;volume&gt;35&lt;/volume&gt;&lt;number&gt;Suppl 2&lt;/number&gt;&lt;keywords&gt;&lt;keyword&gt;geriatrics&lt;/keyword&gt;&lt;keyword&gt;fall prevention&lt;/keyword&gt;&lt;/keywords&gt;&lt;dates&gt;&lt;year&gt;2006&lt;/year&gt;&lt;pub-dates&gt;&lt;date&gt;01 September 2006&lt;/date&gt;&lt;/pub-dates&gt;&lt;/dates&gt;&lt;urls&gt;&lt;/urls&gt;&lt;electronic-resource-num&gt;10.1093/ageing/afl084&lt;/electronic-resource-num&gt;&lt;/record&gt;&lt;/Cite&gt;&lt;Cite&gt;&lt;Author&gt;NICE&lt;/Author&gt;&lt;Year&gt;2013&lt;/Year&gt;&lt;RecNum&gt;8&lt;/RecNum&gt;&lt;record&gt;&lt;rec-number&gt;8&lt;/rec-number&gt;&lt;foreign-keys&gt;&lt;key app="EN" db-id="2d5fx2wtk9w5akepszcp5t2dwrfp5rd2f5zd" timestamp="0"&gt;8&lt;/key&gt;&lt;/foreign-keys&gt;&lt;ref-type name="Report"&gt;27&lt;/ref-type&gt;&lt;contributors&gt;&lt;authors&gt;&lt;author&gt;NICE,&lt;/author&gt;&lt;/authors&gt;&lt;/contributors&gt;&lt;titles&gt;&lt;title&gt;Falls in older people: assessing risk and prevention (CG161)&lt;/title&gt;&lt;secondary-title&gt;Clinical guideline&lt;/secondary-title&gt;&lt;/titles&gt;&lt;dates&gt;&lt;year&gt;2013&lt;/year&gt;&lt;pub-dates&gt;&lt;date&gt;12 June 2013&lt;/date&gt;&lt;/pub-dates&gt;&lt;/dates&gt;&lt;publisher&gt;National Institute for Health and Care Excellence&lt;/publisher&gt;&lt;urls&gt;&lt;related-urls&gt;&lt;url&gt;https://www.nice.org.uk/guidance/cg161 &lt;/url&gt;&lt;/related-urls&gt;&lt;/urls&gt;&lt;/record&gt;&lt;/Cite&gt;&lt;/EndNote&gt;</w:instrText>
      </w:r>
      <w:r w:rsidR="00AE4A0B">
        <w:rPr>
          <w:sz w:val="24"/>
          <w:szCs w:val="24"/>
        </w:rPr>
        <w:fldChar w:fldCharType="end"/>
      </w:r>
      <w:r w:rsidRPr="00AE30C8">
        <w:rPr>
          <w:sz w:val="24"/>
          <w:szCs w:val="24"/>
        </w:rPr>
        <w:t>.</w:t>
      </w:r>
    </w:p>
    <w:p w14:paraId="13B83F24" w14:textId="77777777" w:rsidR="00865FA5" w:rsidRPr="00AE30C8" w:rsidRDefault="00865FA5" w:rsidP="00F17D15">
      <w:pPr>
        <w:tabs>
          <w:tab w:val="left" w:pos="3825"/>
        </w:tabs>
        <w:spacing w:after="0" w:line="240" w:lineRule="auto"/>
        <w:rPr>
          <w:color w:val="FF0000"/>
          <w:sz w:val="24"/>
          <w:szCs w:val="24"/>
        </w:rPr>
      </w:pPr>
      <w:r w:rsidRPr="00AE30C8">
        <w:rPr>
          <w:color w:val="FF0000"/>
          <w:sz w:val="24"/>
          <w:szCs w:val="24"/>
        </w:rPr>
        <w:t xml:space="preserve"> </w:t>
      </w:r>
    </w:p>
    <w:p w14:paraId="1E5AF76F" w14:textId="10A555CF" w:rsidR="00865FA5" w:rsidRPr="00AE30C8" w:rsidRDefault="00865FA5" w:rsidP="00F17D15">
      <w:pPr>
        <w:tabs>
          <w:tab w:val="left" w:pos="3825"/>
        </w:tabs>
        <w:spacing w:after="0" w:line="240" w:lineRule="auto"/>
        <w:rPr>
          <w:color w:val="FF0000"/>
          <w:sz w:val="24"/>
          <w:szCs w:val="24"/>
        </w:rPr>
      </w:pPr>
      <w:r w:rsidRPr="00AE30C8">
        <w:rPr>
          <w:sz w:val="24"/>
          <w:szCs w:val="24"/>
        </w:rPr>
        <w:t>Several factors can contribute to slips in the workplace including: the type of floor surface, whether it is contaminated, how it is cleaned, and the type of footwear worn.  In situations where it is impossible to prevent the floor becoming slippery, slip-resistant footwear should be considered to minimi</w:t>
      </w:r>
      <w:r w:rsidR="0072097C">
        <w:rPr>
          <w:sz w:val="24"/>
          <w:szCs w:val="24"/>
        </w:rPr>
        <w:t>s</w:t>
      </w:r>
      <w:r w:rsidRPr="00AE30C8">
        <w:rPr>
          <w:sz w:val="24"/>
          <w:szCs w:val="24"/>
        </w:rPr>
        <w:t xml:space="preserve">e the risk of slips. </w:t>
      </w:r>
      <w:r w:rsidRPr="00AE30C8">
        <w:rPr>
          <w:color w:val="FF0000"/>
          <w:sz w:val="24"/>
          <w:szCs w:val="24"/>
        </w:rPr>
        <w:t xml:space="preserve"> </w:t>
      </w:r>
      <w:r w:rsidRPr="00AE30C8">
        <w:rPr>
          <w:sz w:val="24"/>
          <w:szCs w:val="24"/>
        </w:rPr>
        <w:t>There is evidence to suggest that slip-resistant footwear is effective.  A longitudinal study evaluating a slip, trip and fall prevention programme in USA hospital workers</w:t>
      </w:r>
      <w:r w:rsidR="00744AD9">
        <w:rPr>
          <w:sz w:val="24"/>
          <w:szCs w:val="24"/>
        </w:rPr>
        <w:t xml:space="preserve"> (7)</w:t>
      </w:r>
      <w:r w:rsidRPr="00AE30C8">
        <w:rPr>
          <w:sz w:val="24"/>
          <w:szCs w:val="24"/>
        </w:rPr>
        <w:t>, which included slip-resistant shoes amongst other strategies, reported a 58% reduction in workers’ compensation claims</w:t>
      </w:r>
      <w:r w:rsidR="00B40D6B">
        <w:rPr>
          <w:sz w:val="24"/>
          <w:szCs w:val="24"/>
        </w:rPr>
        <w:t xml:space="preserve">.  </w:t>
      </w:r>
      <w:r w:rsidRPr="00AE30C8">
        <w:rPr>
          <w:sz w:val="24"/>
          <w:szCs w:val="24"/>
        </w:rPr>
        <w:t>A cluster randomi</w:t>
      </w:r>
      <w:r w:rsidR="00B34582">
        <w:rPr>
          <w:sz w:val="24"/>
          <w:szCs w:val="24"/>
        </w:rPr>
        <w:t>s</w:t>
      </w:r>
      <w:r w:rsidRPr="00AE30C8">
        <w:rPr>
          <w:sz w:val="24"/>
          <w:szCs w:val="24"/>
        </w:rPr>
        <w:t xml:space="preserve">ed controlled trial (RCT) </w:t>
      </w:r>
      <w:r w:rsidR="00A81279">
        <w:rPr>
          <w:sz w:val="24"/>
          <w:szCs w:val="24"/>
        </w:rPr>
        <w:t xml:space="preserve">that </w:t>
      </w:r>
      <w:r w:rsidRPr="00AE30C8">
        <w:rPr>
          <w:sz w:val="24"/>
          <w:szCs w:val="24"/>
        </w:rPr>
        <w:t xml:space="preserve">recruited food service workers from 226 school districts in the USA, showed the probability of experiencing a slip injury was reduced by 67% in those allocated to receive appropriately specified slip-resistant </w:t>
      </w:r>
      <w:proofErr w:type="gramStart"/>
      <w:r w:rsidRPr="00AE30C8">
        <w:rPr>
          <w:sz w:val="24"/>
          <w:szCs w:val="24"/>
        </w:rPr>
        <w:t>shoes</w:t>
      </w:r>
      <w:r w:rsidR="00744AD9">
        <w:rPr>
          <w:sz w:val="24"/>
          <w:szCs w:val="24"/>
        </w:rPr>
        <w:t>(</w:t>
      </w:r>
      <w:proofErr w:type="gramEnd"/>
      <w:r w:rsidR="00744AD9">
        <w:rPr>
          <w:sz w:val="24"/>
          <w:szCs w:val="24"/>
        </w:rPr>
        <w:t>8)</w:t>
      </w:r>
      <w:r w:rsidRPr="00214A83">
        <w:rPr>
          <w:sz w:val="24"/>
          <w:szCs w:val="24"/>
        </w:rPr>
        <w:t xml:space="preserve">.  </w:t>
      </w:r>
    </w:p>
    <w:p w14:paraId="22D32F5F" w14:textId="07AC77F8" w:rsidR="00865FA5" w:rsidRPr="00AE30C8" w:rsidRDefault="008679DC" w:rsidP="00F17D15">
      <w:pPr>
        <w:tabs>
          <w:tab w:val="left" w:pos="3825"/>
        </w:tabs>
        <w:spacing w:after="0" w:line="240" w:lineRule="auto"/>
        <w:rPr>
          <w:color w:val="FF0000"/>
          <w:sz w:val="24"/>
          <w:szCs w:val="24"/>
        </w:rPr>
      </w:pPr>
      <w:r w:rsidRPr="00AE30C8">
        <w:rPr>
          <w:color w:val="FF0000"/>
          <w:sz w:val="24"/>
          <w:szCs w:val="24"/>
        </w:rPr>
        <w:t xml:space="preserve"> </w:t>
      </w:r>
    </w:p>
    <w:p w14:paraId="1F9EAB28" w14:textId="4FC320CF" w:rsidR="00CE7605" w:rsidRPr="00AE30C8" w:rsidRDefault="00865FA5" w:rsidP="00CE7605">
      <w:pPr>
        <w:tabs>
          <w:tab w:val="left" w:pos="3825"/>
        </w:tabs>
        <w:spacing w:after="0" w:line="240" w:lineRule="auto"/>
        <w:rPr>
          <w:sz w:val="24"/>
          <w:szCs w:val="24"/>
        </w:rPr>
      </w:pPr>
      <w:r w:rsidRPr="00AE30C8">
        <w:rPr>
          <w:sz w:val="24"/>
          <w:szCs w:val="24"/>
        </w:rPr>
        <w:t xml:space="preserve">Selecting appropriate slip-resistant footwear can be challenging as there is a lack of robust testing and reliable information on which to base a decision.  </w:t>
      </w:r>
      <w:r w:rsidR="0088492E">
        <w:rPr>
          <w:sz w:val="24"/>
          <w:szCs w:val="24"/>
        </w:rPr>
        <w:t>T</w:t>
      </w:r>
      <w:r w:rsidRPr="00AE30C8">
        <w:rPr>
          <w:sz w:val="24"/>
          <w:szCs w:val="24"/>
        </w:rPr>
        <w:t xml:space="preserve">he HSE </w:t>
      </w:r>
      <w:r w:rsidR="0088492E">
        <w:rPr>
          <w:sz w:val="24"/>
          <w:szCs w:val="24"/>
        </w:rPr>
        <w:t xml:space="preserve">in Great Britain </w:t>
      </w:r>
      <w:r w:rsidRPr="00AE30C8">
        <w:rPr>
          <w:sz w:val="24"/>
          <w:szCs w:val="24"/>
        </w:rPr>
        <w:t>developed the GRIP-rating scheme</w:t>
      </w:r>
      <w:r w:rsidR="0088492E">
        <w:rPr>
          <w:sz w:val="24"/>
          <w:szCs w:val="24"/>
        </w:rPr>
        <w:t xml:space="preserve"> to measure and grade the slip resistance of footwear</w:t>
      </w:r>
      <w:r w:rsidR="00744AD9">
        <w:rPr>
          <w:sz w:val="24"/>
          <w:szCs w:val="24"/>
        </w:rPr>
        <w:t xml:space="preserve"> (9)</w:t>
      </w:r>
      <w:r w:rsidR="00D00DE8" w:rsidRPr="00AE30C8">
        <w:rPr>
          <w:sz w:val="24"/>
          <w:szCs w:val="24"/>
        </w:rPr>
        <w:t>.</w:t>
      </w:r>
      <w:r w:rsidR="002E6DD3" w:rsidRPr="00AE30C8">
        <w:rPr>
          <w:sz w:val="24"/>
          <w:szCs w:val="24"/>
        </w:rPr>
        <w:t xml:space="preserve">  </w:t>
      </w:r>
      <w:r w:rsidRPr="00AE30C8">
        <w:rPr>
          <w:sz w:val="24"/>
          <w:szCs w:val="24"/>
        </w:rPr>
        <w:t xml:space="preserve">This scheme </w:t>
      </w:r>
      <w:r w:rsidR="00874581">
        <w:rPr>
          <w:sz w:val="24"/>
          <w:szCs w:val="24"/>
        </w:rPr>
        <w:t>goes beyond the minimum level required under the British and European standards</w:t>
      </w:r>
      <w:r w:rsidR="00D55383">
        <w:rPr>
          <w:sz w:val="24"/>
          <w:szCs w:val="24"/>
        </w:rPr>
        <w:t xml:space="preserve"> </w:t>
      </w:r>
      <w:r w:rsidR="00744AD9">
        <w:rPr>
          <w:sz w:val="24"/>
          <w:szCs w:val="24"/>
        </w:rPr>
        <w:t>(10)</w:t>
      </w:r>
      <w:r w:rsidR="00250278">
        <w:rPr>
          <w:sz w:val="24"/>
          <w:szCs w:val="24"/>
        </w:rPr>
        <w:t>;</w:t>
      </w:r>
      <w:r w:rsidR="00874581">
        <w:rPr>
          <w:sz w:val="24"/>
          <w:szCs w:val="24"/>
        </w:rPr>
        <w:t xml:space="preserve"> </w:t>
      </w:r>
      <w:r w:rsidR="00250278">
        <w:rPr>
          <w:sz w:val="24"/>
          <w:szCs w:val="24"/>
        </w:rPr>
        <w:t>i</w:t>
      </w:r>
      <w:r w:rsidR="00874581">
        <w:rPr>
          <w:sz w:val="24"/>
          <w:szCs w:val="24"/>
        </w:rPr>
        <w:t xml:space="preserve">t </w:t>
      </w:r>
      <w:r w:rsidRPr="00AE30C8">
        <w:rPr>
          <w:sz w:val="24"/>
          <w:szCs w:val="24"/>
        </w:rPr>
        <w:t>evaluates footwear in simulated</w:t>
      </w:r>
      <w:r w:rsidR="00A81279">
        <w:rPr>
          <w:sz w:val="24"/>
          <w:szCs w:val="24"/>
        </w:rPr>
        <w:t>,</w:t>
      </w:r>
      <w:r w:rsidRPr="00AE30C8">
        <w:rPr>
          <w:sz w:val="24"/>
          <w:szCs w:val="24"/>
        </w:rPr>
        <w:t xml:space="preserve"> ‘lifelike’ conditions, which provides a more accurate indication of the slip-resistant properties of the footwear.  The Stopping Slips among Healthcare Workers (</w:t>
      </w:r>
      <w:proofErr w:type="spellStart"/>
      <w:r w:rsidRPr="00AE30C8">
        <w:rPr>
          <w:sz w:val="24"/>
          <w:szCs w:val="24"/>
        </w:rPr>
        <w:t>SSHeW</w:t>
      </w:r>
      <w:proofErr w:type="spellEnd"/>
      <w:r w:rsidRPr="00AE30C8">
        <w:rPr>
          <w:sz w:val="24"/>
          <w:szCs w:val="24"/>
        </w:rPr>
        <w:t>) trial evaluated the effectiveness of 5* GRIP-rated slip-resistant footwear (the highest possible rating) to reduce slips in National Health Service (NHS) employees working in general, clinical or catering areas.</w:t>
      </w:r>
      <w:r w:rsidR="00CE7605" w:rsidRPr="00AE30C8">
        <w:rPr>
          <w:sz w:val="24"/>
          <w:szCs w:val="24"/>
        </w:rPr>
        <w:t xml:space="preserve">  This article reports the </w:t>
      </w:r>
      <w:r w:rsidR="00B34582">
        <w:rPr>
          <w:sz w:val="24"/>
          <w:szCs w:val="24"/>
        </w:rPr>
        <w:lastRenderedPageBreak/>
        <w:t>effectiveness</w:t>
      </w:r>
      <w:r w:rsidR="00B34582" w:rsidRPr="00AE30C8">
        <w:rPr>
          <w:sz w:val="24"/>
          <w:szCs w:val="24"/>
        </w:rPr>
        <w:t xml:space="preserve"> </w:t>
      </w:r>
      <w:r w:rsidR="00CE7605" w:rsidRPr="00AE30C8">
        <w:rPr>
          <w:sz w:val="24"/>
          <w:szCs w:val="24"/>
        </w:rPr>
        <w:t>results; economic and qualitative evaluation</w:t>
      </w:r>
      <w:r w:rsidR="00874581">
        <w:rPr>
          <w:sz w:val="24"/>
          <w:szCs w:val="24"/>
        </w:rPr>
        <w:t>s</w:t>
      </w:r>
      <w:r w:rsidR="00CE7605" w:rsidRPr="00AE30C8">
        <w:rPr>
          <w:sz w:val="24"/>
          <w:szCs w:val="24"/>
        </w:rPr>
        <w:t xml:space="preserve"> were undertaken and will be reported elsewhere.</w:t>
      </w:r>
    </w:p>
    <w:p w14:paraId="07ECB9C0" w14:textId="06200AAB" w:rsidR="00CE7605" w:rsidRPr="00AE30C8" w:rsidRDefault="00CE7605" w:rsidP="00F17D15">
      <w:pPr>
        <w:tabs>
          <w:tab w:val="left" w:pos="3825"/>
        </w:tabs>
        <w:spacing w:after="0" w:line="240" w:lineRule="auto"/>
        <w:rPr>
          <w:sz w:val="24"/>
          <w:szCs w:val="24"/>
        </w:rPr>
      </w:pPr>
    </w:p>
    <w:p w14:paraId="3AC5C80E" w14:textId="05736EF1" w:rsidR="00CE7605" w:rsidRPr="00AE30C8" w:rsidRDefault="00CE7605" w:rsidP="00F17D15">
      <w:pPr>
        <w:tabs>
          <w:tab w:val="left" w:pos="3825"/>
        </w:tabs>
        <w:spacing w:after="0" w:line="240" w:lineRule="auto"/>
        <w:rPr>
          <w:sz w:val="24"/>
          <w:szCs w:val="24"/>
        </w:rPr>
      </w:pPr>
    </w:p>
    <w:p w14:paraId="048C2EE0" w14:textId="21DCF26C" w:rsidR="00600C83" w:rsidRPr="00AE30C8" w:rsidRDefault="00600C83" w:rsidP="00F17D15">
      <w:pPr>
        <w:tabs>
          <w:tab w:val="left" w:pos="3825"/>
        </w:tabs>
        <w:spacing w:after="0" w:line="240" w:lineRule="auto"/>
        <w:rPr>
          <w:b/>
          <w:sz w:val="24"/>
          <w:szCs w:val="24"/>
        </w:rPr>
      </w:pPr>
      <w:r w:rsidRPr="00AE30C8">
        <w:rPr>
          <w:b/>
          <w:sz w:val="24"/>
          <w:szCs w:val="24"/>
        </w:rPr>
        <w:t>Methods</w:t>
      </w:r>
    </w:p>
    <w:p w14:paraId="1A19FE1F" w14:textId="75D8E828" w:rsidR="00600C83" w:rsidRPr="00AE30C8" w:rsidRDefault="00600C83" w:rsidP="00F17D15">
      <w:pPr>
        <w:tabs>
          <w:tab w:val="left" w:pos="3825"/>
        </w:tabs>
        <w:spacing w:after="0" w:line="240" w:lineRule="auto"/>
        <w:rPr>
          <w:sz w:val="24"/>
          <w:szCs w:val="24"/>
        </w:rPr>
      </w:pPr>
      <w:r w:rsidRPr="00AE30C8">
        <w:rPr>
          <w:sz w:val="24"/>
          <w:szCs w:val="24"/>
        </w:rPr>
        <w:t xml:space="preserve">Study design </w:t>
      </w:r>
    </w:p>
    <w:p w14:paraId="292D3B73" w14:textId="159E53E6" w:rsidR="001F3346" w:rsidRPr="00AE30C8" w:rsidRDefault="00F84A11" w:rsidP="00F17D15">
      <w:pPr>
        <w:tabs>
          <w:tab w:val="left" w:pos="3825"/>
        </w:tabs>
        <w:spacing w:after="0" w:line="240" w:lineRule="auto"/>
        <w:rPr>
          <w:sz w:val="24"/>
          <w:szCs w:val="24"/>
        </w:rPr>
      </w:pPr>
      <w:r w:rsidRPr="00AE30C8">
        <w:rPr>
          <w:sz w:val="24"/>
          <w:szCs w:val="24"/>
        </w:rPr>
        <w:t xml:space="preserve">Between March 2017 and </w:t>
      </w:r>
      <w:r w:rsidR="00874581">
        <w:rPr>
          <w:sz w:val="24"/>
          <w:szCs w:val="24"/>
        </w:rPr>
        <w:t>January</w:t>
      </w:r>
      <w:r w:rsidR="00874581" w:rsidRPr="00AE30C8">
        <w:rPr>
          <w:sz w:val="24"/>
          <w:szCs w:val="24"/>
        </w:rPr>
        <w:t xml:space="preserve"> </w:t>
      </w:r>
      <w:r w:rsidRPr="00AE30C8">
        <w:rPr>
          <w:sz w:val="24"/>
          <w:szCs w:val="24"/>
        </w:rPr>
        <w:t>201</w:t>
      </w:r>
      <w:r w:rsidR="00874581">
        <w:rPr>
          <w:sz w:val="24"/>
          <w:szCs w:val="24"/>
        </w:rPr>
        <w:t>9</w:t>
      </w:r>
      <w:r w:rsidRPr="00AE30C8">
        <w:rPr>
          <w:sz w:val="24"/>
          <w:szCs w:val="24"/>
        </w:rPr>
        <w:t>, we enrolled participants in this two-arm, multicent</w:t>
      </w:r>
      <w:r w:rsidR="00093E1C">
        <w:rPr>
          <w:sz w:val="24"/>
          <w:szCs w:val="24"/>
        </w:rPr>
        <w:t>re</w:t>
      </w:r>
      <w:r w:rsidR="00A81279">
        <w:rPr>
          <w:sz w:val="24"/>
          <w:szCs w:val="24"/>
        </w:rPr>
        <w:t xml:space="preserve"> RCT</w:t>
      </w:r>
      <w:r w:rsidRPr="00AE30C8">
        <w:rPr>
          <w:sz w:val="24"/>
          <w:szCs w:val="24"/>
        </w:rPr>
        <w:t xml:space="preserve"> at seven NHS trusts in England.  Details of the trial design and implementation are provided in the </w:t>
      </w:r>
      <w:r w:rsidR="005916EB">
        <w:rPr>
          <w:sz w:val="24"/>
          <w:szCs w:val="24"/>
        </w:rPr>
        <w:t xml:space="preserve">published </w:t>
      </w:r>
      <w:r w:rsidRPr="00AE30C8">
        <w:rPr>
          <w:sz w:val="24"/>
          <w:szCs w:val="24"/>
        </w:rPr>
        <w:t>protocol</w:t>
      </w:r>
      <w:r w:rsidR="005916EB" w:rsidRPr="00AE30C8" w:rsidDel="005916EB">
        <w:rPr>
          <w:sz w:val="24"/>
          <w:szCs w:val="24"/>
        </w:rPr>
        <w:t xml:space="preserve"> </w:t>
      </w:r>
      <w:r w:rsidR="00744AD9">
        <w:rPr>
          <w:sz w:val="24"/>
          <w:szCs w:val="24"/>
        </w:rPr>
        <w:t>(11)</w:t>
      </w:r>
      <w:r w:rsidRPr="00AE30C8">
        <w:rPr>
          <w:sz w:val="24"/>
          <w:szCs w:val="24"/>
        </w:rPr>
        <w:t xml:space="preserve">.  </w:t>
      </w:r>
      <w:r w:rsidR="000A140F" w:rsidRPr="00AE30C8">
        <w:rPr>
          <w:sz w:val="24"/>
          <w:szCs w:val="24"/>
        </w:rPr>
        <w:t xml:space="preserve">The trial was approved by the University of York, Health Sciences Research Governance Ethics Committee </w:t>
      </w:r>
      <w:r w:rsidR="00B34582">
        <w:rPr>
          <w:sz w:val="24"/>
          <w:szCs w:val="24"/>
        </w:rPr>
        <w:t xml:space="preserve">(reference number </w:t>
      </w:r>
      <w:r w:rsidR="00B34582" w:rsidRPr="0019221D">
        <w:rPr>
          <w:sz w:val="24"/>
          <w:szCs w:val="24"/>
        </w:rPr>
        <w:t>HSRGC/2016/187/A</w:t>
      </w:r>
      <w:r w:rsidR="00B34582">
        <w:rPr>
          <w:sz w:val="24"/>
          <w:szCs w:val="24"/>
        </w:rPr>
        <w:t>)</w:t>
      </w:r>
      <w:r w:rsidR="00250278">
        <w:rPr>
          <w:sz w:val="24"/>
          <w:szCs w:val="24"/>
        </w:rPr>
        <w:t>,</w:t>
      </w:r>
      <w:r w:rsidR="00B34582">
        <w:rPr>
          <w:sz w:val="24"/>
          <w:szCs w:val="24"/>
        </w:rPr>
        <w:t xml:space="preserve"> </w:t>
      </w:r>
      <w:r w:rsidR="000A140F" w:rsidRPr="00AE30C8">
        <w:rPr>
          <w:sz w:val="24"/>
          <w:szCs w:val="24"/>
        </w:rPr>
        <w:t xml:space="preserve">and the Health Research Authority (HRA reference number 17/HRA/0435).  </w:t>
      </w:r>
      <w:r w:rsidR="00EF7331" w:rsidRPr="00AE30C8">
        <w:rPr>
          <w:sz w:val="24"/>
          <w:szCs w:val="24"/>
        </w:rPr>
        <w:t xml:space="preserve">An independent </w:t>
      </w:r>
      <w:r w:rsidR="00A81279">
        <w:rPr>
          <w:sz w:val="24"/>
          <w:szCs w:val="24"/>
        </w:rPr>
        <w:t>T</w:t>
      </w:r>
      <w:r w:rsidRPr="00AE30C8">
        <w:rPr>
          <w:sz w:val="24"/>
          <w:szCs w:val="24"/>
        </w:rPr>
        <w:t xml:space="preserve">rial </w:t>
      </w:r>
      <w:r w:rsidR="00A81279">
        <w:rPr>
          <w:sz w:val="24"/>
          <w:szCs w:val="24"/>
        </w:rPr>
        <w:t>S</w:t>
      </w:r>
      <w:r w:rsidRPr="00AE30C8">
        <w:rPr>
          <w:sz w:val="24"/>
          <w:szCs w:val="24"/>
        </w:rPr>
        <w:t xml:space="preserve">teering and </w:t>
      </w:r>
      <w:r w:rsidR="00A81279">
        <w:rPr>
          <w:sz w:val="24"/>
          <w:szCs w:val="24"/>
        </w:rPr>
        <w:t>D</w:t>
      </w:r>
      <w:r w:rsidRPr="00AE30C8">
        <w:rPr>
          <w:sz w:val="24"/>
          <w:szCs w:val="24"/>
        </w:rPr>
        <w:t xml:space="preserve">ata </w:t>
      </w:r>
      <w:r w:rsidR="00A81279">
        <w:rPr>
          <w:sz w:val="24"/>
          <w:szCs w:val="24"/>
        </w:rPr>
        <w:t>M</w:t>
      </w:r>
      <w:r w:rsidRPr="00AE30C8">
        <w:rPr>
          <w:sz w:val="24"/>
          <w:szCs w:val="24"/>
        </w:rPr>
        <w:t xml:space="preserve">onitoring and </w:t>
      </w:r>
      <w:r w:rsidR="00A81279">
        <w:rPr>
          <w:sz w:val="24"/>
          <w:szCs w:val="24"/>
        </w:rPr>
        <w:t>E</w:t>
      </w:r>
      <w:r w:rsidRPr="00AE30C8">
        <w:rPr>
          <w:sz w:val="24"/>
          <w:szCs w:val="24"/>
        </w:rPr>
        <w:t xml:space="preserve">thics committee </w:t>
      </w:r>
      <w:r w:rsidR="001E4CEB">
        <w:rPr>
          <w:sz w:val="24"/>
          <w:szCs w:val="24"/>
        </w:rPr>
        <w:t>(TS</w:t>
      </w:r>
      <w:r w:rsidR="00A81279">
        <w:rPr>
          <w:sz w:val="24"/>
          <w:szCs w:val="24"/>
        </w:rPr>
        <w:t>C</w:t>
      </w:r>
      <w:r w:rsidR="001E4CEB">
        <w:rPr>
          <w:sz w:val="24"/>
          <w:szCs w:val="24"/>
        </w:rPr>
        <w:t xml:space="preserve">/DMEC) </w:t>
      </w:r>
      <w:r w:rsidRPr="00AE30C8">
        <w:rPr>
          <w:sz w:val="24"/>
          <w:szCs w:val="24"/>
        </w:rPr>
        <w:t xml:space="preserve">provided the study oversight.   </w:t>
      </w:r>
      <w:r w:rsidR="0086783A" w:rsidRPr="00AE30C8">
        <w:rPr>
          <w:sz w:val="24"/>
          <w:szCs w:val="24"/>
        </w:rPr>
        <w:t xml:space="preserve"> </w:t>
      </w:r>
      <w:r w:rsidR="009731C2" w:rsidRPr="00AE30C8">
        <w:rPr>
          <w:sz w:val="24"/>
          <w:szCs w:val="24"/>
        </w:rPr>
        <w:t xml:space="preserve"> </w:t>
      </w:r>
    </w:p>
    <w:p w14:paraId="365C622F" w14:textId="2099ED6D" w:rsidR="00600C83" w:rsidRDefault="00600C83" w:rsidP="00F17D15">
      <w:pPr>
        <w:tabs>
          <w:tab w:val="left" w:pos="3825"/>
        </w:tabs>
        <w:spacing w:after="0" w:line="240" w:lineRule="auto"/>
        <w:rPr>
          <w:sz w:val="24"/>
          <w:szCs w:val="24"/>
        </w:rPr>
      </w:pPr>
    </w:p>
    <w:p w14:paraId="66E54003" w14:textId="73230157" w:rsidR="00600C83" w:rsidRPr="00AE30C8" w:rsidRDefault="00600C83" w:rsidP="00F17D15">
      <w:pPr>
        <w:tabs>
          <w:tab w:val="left" w:pos="3825"/>
        </w:tabs>
        <w:spacing w:after="0" w:line="240" w:lineRule="auto"/>
        <w:rPr>
          <w:sz w:val="24"/>
          <w:szCs w:val="24"/>
        </w:rPr>
      </w:pPr>
      <w:r w:rsidRPr="00AE30C8">
        <w:rPr>
          <w:sz w:val="24"/>
          <w:szCs w:val="24"/>
        </w:rPr>
        <w:t>Participants</w:t>
      </w:r>
      <w:r w:rsidR="000A140F" w:rsidRPr="00AE30C8">
        <w:rPr>
          <w:sz w:val="24"/>
          <w:szCs w:val="24"/>
        </w:rPr>
        <w:t xml:space="preserve">  </w:t>
      </w:r>
      <w:r w:rsidRPr="00AE30C8">
        <w:rPr>
          <w:sz w:val="24"/>
          <w:szCs w:val="24"/>
        </w:rPr>
        <w:t xml:space="preserve"> </w:t>
      </w:r>
    </w:p>
    <w:p w14:paraId="60FB7356" w14:textId="5E7BFE6D" w:rsidR="00C87937" w:rsidRPr="00AE30C8" w:rsidRDefault="00D80B80" w:rsidP="00F17D15">
      <w:pPr>
        <w:tabs>
          <w:tab w:val="left" w:pos="3825"/>
        </w:tabs>
        <w:spacing w:after="0" w:line="240" w:lineRule="auto"/>
        <w:rPr>
          <w:rFonts w:cstheme="minorHAnsi"/>
          <w:sz w:val="24"/>
          <w:szCs w:val="24"/>
        </w:rPr>
      </w:pPr>
      <w:r w:rsidRPr="00AE30C8">
        <w:rPr>
          <w:rFonts w:cstheme="minorHAnsi"/>
          <w:sz w:val="24"/>
          <w:szCs w:val="24"/>
        </w:rPr>
        <w:t xml:space="preserve">NHS </w:t>
      </w:r>
      <w:r w:rsidR="00250278">
        <w:rPr>
          <w:rFonts w:cstheme="minorHAnsi"/>
          <w:sz w:val="24"/>
          <w:szCs w:val="24"/>
        </w:rPr>
        <w:t>employees</w:t>
      </w:r>
      <w:r w:rsidR="00250278" w:rsidRPr="00AE30C8">
        <w:rPr>
          <w:rFonts w:cstheme="minorHAnsi"/>
          <w:sz w:val="24"/>
          <w:szCs w:val="24"/>
        </w:rPr>
        <w:t xml:space="preserve"> </w:t>
      </w:r>
      <w:r w:rsidRPr="00AE30C8">
        <w:rPr>
          <w:rFonts w:cstheme="minorHAnsi"/>
          <w:sz w:val="24"/>
          <w:szCs w:val="24"/>
        </w:rPr>
        <w:t xml:space="preserve">were provided with trial </w:t>
      </w:r>
      <w:r w:rsidRPr="00AE30C8">
        <w:rPr>
          <w:sz w:val="24"/>
          <w:szCs w:val="24"/>
        </w:rPr>
        <w:t>information</w:t>
      </w:r>
      <w:r w:rsidRPr="00AE30C8">
        <w:rPr>
          <w:rFonts w:cstheme="minorHAnsi"/>
          <w:sz w:val="24"/>
          <w:szCs w:val="24"/>
        </w:rPr>
        <w:t>, which included a consent form</w:t>
      </w:r>
      <w:r w:rsidR="00470156">
        <w:rPr>
          <w:rFonts w:cstheme="minorHAnsi"/>
          <w:sz w:val="24"/>
          <w:szCs w:val="24"/>
        </w:rPr>
        <w:t>,</w:t>
      </w:r>
      <w:r w:rsidRPr="00AE30C8">
        <w:rPr>
          <w:rFonts w:cstheme="minorHAnsi"/>
          <w:sz w:val="24"/>
          <w:szCs w:val="24"/>
        </w:rPr>
        <w:t xml:space="preserve"> </w:t>
      </w:r>
      <w:r w:rsidR="004974F7">
        <w:rPr>
          <w:rFonts w:cstheme="minorHAnsi"/>
          <w:sz w:val="24"/>
          <w:szCs w:val="24"/>
        </w:rPr>
        <w:t xml:space="preserve">and a </w:t>
      </w:r>
      <w:r w:rsidRPr="00AE30C8">
        <w:rPr>
          <w:rFonts w:cstheme="minorHAnsi"/>
          <w:sz w:val="24"/>
          <w:szCs w:val="24"/>
        </w:rPr>
        <w:t>baseline questionnaire to collect eligibility and demographic data.  Participants were eligible for the trial if they: worked in a clinical, general or catering area; were aged 18 years and over; worked at least 22.5 hours</w:t>
      </w:r>
      <w:r w:rsidR="00262F6C">
        <w:rPr>
          <w:rFonts w:cstheme="minorHAnsi"/>
          <w:sz w:val="24"/>
          <w:szCs w:val="24"/>
        </w:rPr>
        <w:t xml:space="preserve"> a </w:t>
      </w:r>
      <w:r w:rsidRPr="00AE30C8">
        <w:rPr>
          <w:rFonts w:cstheme="minorHAnsi"/>
          <w:sz w:val="24"/>
          <w:szCs w:val="24"/>
        </w:rPr>
        <w:t xml:space="preserve">week; had a mobile phone; and </w:t>
      </w:r>
      <w:r w:rsidR="004974F7">
        <w:rPr>
          <w:rFonts w:cstheme="minorHAnsi"/>
          <w:sz w:val="24"/>
          <w:szCs w:val="24"/>
        </w:rPr>
        <w:t xml:space="preserve">were </w:t>
      </w:r>
      <w:r w:rsidRPr="00AE30C8">
        <w:rPr>
          <w:rFonts w:cstheme="minorHAnsi"/>
          <w:sz w:val="24"/>
          <w:szCs w:val="24"/>
        </w:rPr>
        <w:t>willing to receive/send text messages for data collection.</w:t>
      </w:r>
      <w:r w:rsidR="00EF7331" w:rsidRPr="00AE30C8">
        <w:rPr>
          <w:rFonts w:cstheme="minorHAnsi"/>
          <w:sz w:val="24"/>
          <w:szCs w:val="24"/>
        </w:rPr>
        <w:t xml:space="preserve">  We excluded</w:t>
      </w:r>
      <w:r w:rsidR="00CD51E0">
        <w:rPr>
          <w:rFonts w:cstheme="minorHAnsi"/>
          <w:sz w:val="24"/>
          <w:szCs w:val="24"/>
        </w:rPr>
        <w:t xml:space="preserve"> them</w:t>
      </w:r>
      <w:r w:rsidR="00EF7331" w:rsidRPr="00AE30C8">
        <w:rPr>
          <w:rFonts w:cstheme="minorHAnsi"/>
          <w:sz w:val="24"/>
          <w:szCs w:val="24"/>
        </w:rPr>
        <w:t xml:space="preserve"> if they were: required to wear protective footwear by their employer; predominantly office or theatre-based; agency staff or staff with less than six months remaining on their employment contract. All participants provided written informed consent</w:t>
      </w:r>
      <w:r w:rsidR="001A5C62">
        <w:rPr>
          <w:rFonts w:cstheme="minorHAnsi"/>
          <w:sz w:val="24"/>
          <w:szCs w:val="24"/>
        </w:rPr>
        <w:t>.</w:t>
      </w:r>
      <w:r w:rsidR="00AC0C58">
        <w:rPr>
          <w:rFonts w:cstheme="minorHAnsi"/>
          <w:sz w:val="24"/>
          <w:szCs w:val="24"/>
        </w:rPr>
        <w:t xml:space="preserve"> </w:t>
      </w:r>
    </w:p>
    <w:p w14:paraId="2AF16CC7" w14:textId="73E3D994" w:rsidR="00600C83" w:rsidRPr="00AE30C8" w:rsidRDefault="00600C83" w:rsidP="00F17D15">
      <w:pPr>
        <w:tabs>
          <w:tab w:val="left" w:pos="3825"/>
        </w:tabs>
        <w:spacing w:after="0" w:line="240" w:lineRule="auto"/>
        <w:rPr>
          <w:sz w:val="24"/>
          <w:szCs w:val="24"/>
        </w:rPr>
      </w:pPr>
    </w:p>
    <w:p w14:paraId="525F4BD5" w14:textId="1E8B671D" w:rsidR="00600C83" w:rsidRPr="00AE30C8" w:rsidRDefault="00600C83" w:rsidP="00F17D15">
      <w:pPr>
        <w:tabs>
          <w:tab w:val="left" w:pos="3825"/>
        </w:tabs>
        <w:spacing w:after="0" w:line="240" w:lineRule="auto"/>
        <w:rPr>
          <w:sz w:val="24"/>
          <w:szCs w:val="24"/>
        </w:rPr>
      </w:pPr>
      <w:r w:rsidRPr="00AE30C8">
        <w:rPr>
          <w:sz w:val="24"/>
          <w:szCs w:val="24"/>
        </w:rPr>
        <w:t>Changes to study design</w:t>
      </w:r>
    </w:p>
    <w:p w14:paraId="64FF94E8" w14:textId="2438C588" w:rsidR="00BF0524" w:rsidRPr="00AE30C8" w:rsidRDefault="004974F7" w:rsidP="00F17D15">
      <w:pPr>
        <w:tabs>
          <w:tab w:val="left" w:pos="3825"/>
        </w:tabs>
        <w:spacing w:after="0" w:line="240" w:lineRule="auto"/>
        <w:rPr>
          <w:sz w:val="24"/>
          <w:szCs w:val="24"/>
        </w:rPr>
      </w:pPr>
      <w:r>
        <w:rPr>
          <w:sz w:val="24"/>
          <w:szCs w:val="24"/>
        </w:rPr>
        <w:t>T</w:t>
      </w:r>
      <w:r w:rsidR="007D4656" w:rsidRPr="00AE30C8">
        <w:rPr>
          <w:sz w:val="24"/>
          <w:szCs w:val="24"/>
        </w:rPr>
        <w:t xml:space="preserve">o </w:t>
      </w:r>
      <w:r>
        <w:rPr>
          <w:sz w:val="24"/>
          <w:szCs w:val="24"/>
        </w:rPr>
        <w:t>aid</w:t>
      </w:r>
      <w:r w:rsidRPr="00AE30C8">
        <w:rPr>
          <w:sz w:val="24"/>
          <w:szCs w:val="24"/>
        </w:rPr>
        <w:t xml:space="preserve"> </w:t>
      </w:r>
      <w:r w:rsidR="007D4656" w:rsidRPr="00AE30C8">
        <w:rPr>
          <w:sz w:val="24"/>
          <w:szCs w:val="24"/>
        </w:rPr>
        <w:t xml:space="preserve">recruitment, </w:t>
      </w:r>
      <w:r w:rsidR="00B8785A" w:rsidRPr="00AE30C8">
        <w:rPr>
          <w:sz w:val="24"/>
          <w:szCs w:val="24"/>
        </w:rPr>
        <w:t xml:space="preserve">after input from the </w:t>
      </w:r>
      <w:r w:rsidR="001E4CEB">
        <w:rPr>
          <w:sz w:val="24"/>
          <w:szCs w:val="24"/>
        </w:rPr>
        <w:t>TS</w:t>
      </w:r>
      <w:r w:rsidR="00217D45">
        <w:rPr>
          <w:sz w:val="24"/>
          <w:szCs w:val="24"/>
        </w:rPr>
        <w:t>C</w:t>
      </w:r>
      <w:r w:rsidR="001E4CEB">
        <w:rPr>
          <w:sz w:val="24"/>
          <w:szCs w:val="24"/>
        </w:rPr>
        <w:t>/DMEC</w:t>
      </w:r>
      <w:r w:rsidR="00B8785A" w:rsidRPr="00AE30C8">
        <w:rPr>
          <w:sz w:val="24"/>
          <w:szCs w:val="24"/>
        </w:rPr>
        <w:t xml:space="preserve"> and with </w:t>
      </w:r>
      <w:r w:rsidR="000678DB">
        <w:rPr>
          <w:sz w:val="24"/>
          <w:szCs w:val="24"/>
        </w:rPr>
        <w:t xml:space="preserve">the </w:t>
      </w:r>
      <w:r w:rsidR="00F507F7">
        <w:rPr>
          <w:sz w:val="24"/>
          <w:szCs w:val="24"/>
        </w:rPr>
        <w:t xml:space="preserve">funder’s </w:t>
      </w:r>
      <w:r w:rsidR="00B8785A" w:rsidRPr="00AE30C8">
        <w:rPr>
          <w:sz w:val="24"/>
          <w:szCs w:val="24"/>
        </w:rPr>
        <w:t xml:space="preserve">agreement, the eligibility criterion regarding working hours was revised in April 2018. </w:t>
      </w:r>
      <w:r w:rsidR="006E64AD" w:rsidRPr="00AE30C8">
        <w:rPr>
          <w:sz w:val="24"/>
          <w:szCs w:val="24"/>
        </w:rPr>
        <w:t xml:space="preserve"> Initially participants were required to work</w:t>
      </w:r>
      <w:r w:rsidR="001E4CEB">
        <w:rPr>
          <w:sz w:val="24"/>
          <w:szCs w:val="24"/>
        </w:rPr>
        <w:t>,</w:t>
      </w:r>
      <w:r w:rsidR="006E64AD" w:rsidRPr="00AE30C8">
        <w:rPr>
          <w:sz w:val="24"/>
          <w:szCs w:val="24"/>
        </w:rPr>
        <w:t xml:space="preserve"> on average, at least 80% </w:t>
      </w:r>
      <w:r w:rsidR="00262F6C">
        <w:rPr>
          <w:sz w:val="24"/>
          <w:szCs w:val="24"/>
        </w:rPr>
        <w:t>working time equivalent (</w:t>
      </w:r>
      <w:r w:rsidR="006E64AD" w:rsidRPr="00AE30C8">
        <w:rPr>
          <w:sz w:val="24"/>
          <w:szCs w:val="24"/>
        </w:rPr>
        <w:t>WTE</w:t>
      </w:r>
      <w:r w:rsidR="00262F6C">
        <w:rPr>
          <w:sz w:val="24"/>
          <w:szCs w:val="24"/>
        </w:rPr>
        <w:t>)</w:t>
      </w:r>
      <w:r w:rsidR="001E4CEB">
        <w:rPr>
          <w:sz w:val="24"/>
          <w:szCs w:val="24"/>
        </w:rPr>
        <w:t>,</w:t>
      </w:r>
      <w:r w:rsidR="006E64AD" w:rsidRPr="00AE30C8">
        <w:rPr>
          <w:sz w:val="24"/>
          <w:szCs w:val="24"/>
        </w:rPr>
        <w:t xml:space="preserve"> 30 hours per week</w:t>
      </w:r>
      <w:r w:rsidR="007D4656" w:rsidRPr="00AE30C8">
        <w:rPr>
          <w:sz w:val="24"/>
          <w:szCs w:val="24"/>
        </w:rPr>
        <w:t xml:space="preserve">. This was reduced to </w:t>
      </w:r>
      <w:r w:rsidR="00BF0524" w:rsidRPr="00AE30C8">
        <w:rPr>
          <w:sz w:val="24"/>
          <w:szCs w:val="24"/>
        </w:rPr>
        <w:t>60% WTE (22.5 hours per week)</w:t>
      </w:r>
      <w:r w:rsidR="003F25A4" w:rsidRPr="00AE30C8">
        <w:rPr>
          <w:sz w:val="24"/>
          <w:szCs w:val="24"/>
        </w:rPr>
        <w:t xml:space="preserve">. </w:t>
      </w:r>
      <w:r w:rsidR="007D4656" w:rsidRPr="00AE30C8">
        <w:rPr>
          <w:sz w:val="24"/>
          <w:szCs w:val="24"/>
        </w:rPr>
        <w:t xml:space="preserve"> </w:t>
      </w:r>
      <w:r w:rsidR="003F25A4" w:rsidRPr="00AE30C8">
        <w:rPr>
          <w:sz w:val="24"/>
          <w:szCs w:val="24"/>
        </w:rPr>
        <w:t xml:space="preserve">Participating sites had saturated the eligible workforce and found that the number of hours worked was the predominant factor limiting others from taking part.  The required </w:t>
      </w:r>
      <w:r w:rsidR="003224E9">
        <w:rPr>
          <w:sz w:val="24"/>
          <w:szCs w:val="24"/>
        </w:rPr>
        <w:t xml:space="preserve">number of </w:t>
      </w:r>
      <w:r w:rsidR="003F25A4" w:rsidRPr="00AE30C8">
        <w:rPr>
          <w:sz w:val="24"/>
          <w:szCs w:val="24"/>
        </w:rPr>
        <w:t>working hours w</w:t>
      </w:r>
      <w:r w:rsidR="003224E9">
        <w:rPr>
          <w:sz w:val="24"/>
          <w:szCs w:val="24"/>
        </w:rPr>
        <w:t>as</w:t>
      </w:r>
      <w:r w:rsidR="003F25A4" w:rsidRPr="00AE30C8">
        <w:rPr>
          <w:sz w:val="24"/>
          <w:szCs w:val="24"/>
        </w:rPr>
        <w:t xml:space="preserve"> dropped to no lower than 22.5 </w:t>
      </w:r>
      <w:r w:rsidR="000678DB">
        <w:rPr>
          <w:sz w:val="24"/>
          <w:szCs w:val="24"/>
        </w:rPr>
        <w:t>so</w:t>
      </w:r>
      <w:r w:rsidR="003F25A4" w:rsidRPr="00AE30C8">
        <w:rPr>
          <w:sz w:val="24"/>
          <w:szCs w:val="24"/>
        </w:rPr>
        <w:t xml:space="preserve"> participants were working a </w:t>
      </w:r>
      <w:proofErr w:type="gramStart"/>
      <w:r w:rsidR="003F25A4" w:rsidRPr="00AE30C8">
        <w:rPr>
          <w:sz w:val="24"/>
          <w:szCs w:val="24"/>
        </w:rPr>
        <w:t>sufficient amount of</w:t>
      </w:r>
      <w:proofErr w:type="gramEnd"/>
      <w:r w:rsidR="003F25A4" w:rsidRPr="00AE30C8">
        <w:rPr>
          <w:sz w:val="24"/>
          <w:szCs w:val="24"/>
        </w:rPr>
        <w:t xml:space="preserve"> time to (a) ensure a sufficient </w:t>
      </w:r>
      <w:r w:rsidR="00C76CBE" w:rsidRPr="00AE30C8">
        <w:rPr>
          <w:sz w:val="24"/>
          <w:szCs w:val="24"/>
        </w:rPr>
        <w:t>work-related</w:t>
      </w:r>
      <w:r w:rsidR="003F25A4" w:rsidRPr="00AE30C8">
        <w:rPr>
          <w:sz w:val="24"/>
          <w:szCs w:val="24"/>
        </w:rPr>
        <w:t xml:space="preserve"> slip rate and (b) retain the ability to detect a reduction in this slip rate.  It was felt that if </w:t>
      </w:r>
      <w:r w:rsidR="00C76CBE" w:rsidRPr="00AE30C8">
        <w:rPr>
          <w:sz w:val="24"/>
          <w:szCs w:val="24"/>
        </w:rPr>
        <w:t xml:space="preserve">the working hours had been </w:t>
      </w:r>
      <w:r w:rsidR="003F25A4" w:rsidRPr="00AE30C8">
        <w:rPr>
          <w:sz w:val="24"/>
          <w:szCs w:val="24"/>
        </w:rPr>
        <w:t xml:space="preserve">reduced further, </w:t>
      </w:r>
      <w:r w:rsidR="00C76CBE" w:rsidRPr="00AE30C8">
        <w:rPr>
          <w:sz w:val="24"/>
          <w:szCs w:val="24"/>
        </w:rPr>
        <w:t>then it</w:t>
      </w:r>
      <w:r w:rsidR="003F25A4" w:rsidRPr="00AE30C8">
        <w:rPr>
          <w:sz w:val="24"/>
          <w:szCs w:val="24"/>
        </w:rPr>
        <w:t xml:space="preserve"> would not have been </w:t>
      </w:r>
      <w:r w:rsidR="00C76CBE" w:rsidRPr="00AE30C8">
        <w:rPr>
          <w:sz w:val="24"/>
          <w:szCs w:val="24"/>
        </w:rPr>
        <w:t xml:space="preserve">possible </w:t>
      </w:r>
      <w:r w:rsidR="003F25A4" w:rsidRPr="00AE30C8">
        <w:rPr>
          <w:sz w:val="24"/>
          <w:szCs w:val="24"/>
        </w:rPr>
        <w:t xml:space="preserve">to do this.   </w:t>
      </w:r>
    </w:p>
    <w:p w14:paraId="438EE790" w14:textId="77777777" w:rsidR="00BF0524" w:rsidRPr="00AE30C8" w:rsidRDefault="00BF0524" w:rsidP="00F17D15">
      <w:pPr>
        <w:tabs>
          <w:tab w:val="left" w:pos="3825"/>
        </w:tabs>
        <w:spacing w:after="0" w:line="240" w:lineRule="auto"/>
        <w:rPr>
          <w:sz w:val="24"/>
          <w:szCs w:val="24"/>
        </w:rPr>
      </w:pPr>
    </w:p>
    <w:p w14:paraId="36B2F63B" w14:textId="4ED09B5B" w:rsidR="00600C83" w:rsidRPr="00AE30C8" w:rsidRDefault="00600C83" w:rsidP="00F17D15">
      <w:pPr>
        <w:tabs>
          <w:tab w:val="left" w:pos="3825"/>
        </w:tabs>
        <w:spacing w:after="0" w:line="240" w:lineRule="auto"/>
        <w:rPr>
          <w:sz w:val="24"/>
          <w:szCs w:val="24"/>
        </w:rPr>
      </w:pPr>
      <w:r w:rsidRPr="00AE30C8">
        <w:rPr>
          <w:sz w:val="24"/>
          <w:szCs w:val="24"/>
        </w:rPr>
        <w:t>Randomisation and masking</w:t>
      </w:r>
    </w:p>
    <w:p w14:paraId="1C56F8D0" w14:textId="68BA139A" w:rsidR="00FF0D07" w:rsidRPr="00AE30C8" w:rsidRDefault="00C87937" w:rsidP="00F17D15">
      <w:pPr>
        <w:tabs>
          <w:tab w:val="left" w:pos="3825"/>
        </w:tabs>
        <w:spacing w:after="0" w:line="240" w:lineRule="auto"/>
        <w:rPr>
          <w:rFonts w:cstheme="minorHAnsi"/>
          <w:sz w:val="24"/>
          <w:szCs w:val="24"/>
        </w:rPr>
      </w:pPr>
      <w:r w:rsidRPr="00AE30C8">
        <w:rPr>
          <w:rFonts w:cstheme="minorHAnsi"/>
          <w:sz w:val="24"/>
          <w:szCs w:val="24"/>
        </w:rPr>
        <w:t>Participants were inducted into the trial with a welcome text message followed by a pre-randomi</w:t>
      </w:r>
      <w:r w:rsidR="009E264B" w:rsidRPr="00AE30C8">
        <w:rPr>
          <w:rFonts w:cstheme="minorHAnsi"/>
          <w:sz w:val="24"/>
          <w:szCs w:val="24"/>
        </w:rPr>
        <w:t>s</w:t>
      </w:r>
      <w:r w:rsidRPr="00AE30C8">
        <w:rPr>
          <w:rFonts w:cstheme="minorHAnsi"/>
          <w:sz w:val="24"/>
          <w:szCs w:val="24"/>
        </w:rPr>
        <w:t xml:space="preserve">ation ‘run-in’ period of data collection in the form of weekly text messages, for up to six weeks, requesting </w:t>
      </w:r>
      <w:r w:rsidR="001F1F84">
        <w:rPr>
          <w:rFonts w:cstheme="minorHAnsi"/>
          <w:sz w:val="24"/>
          <w:szCs w:val="24"/>
        </w:rPr>
        <w:t xml:space="preserve">data on </w:t>
      </w:r>
      <w:r w:rsidRPr="00AE30C8">
        <w:rPr>
          <w:rFonts w:cstheme="minorHAnsi"/>
          <w:sz w:val="24"/>
          <w:szCs w:val="24"/>
        </w:rPr>
        <w:t>slip</w:t>
      </w:r>
      <w:r w:rsidR="001F1F84">
        <w:rPr>
          <w:rFonts w:cstheme="minorHAnsi"/>
          <w:sz w:val="24"/>
          <w:szCs w:val="24"/>
        </w:rPr>
        <w:t>s</w:t>
      </w:r>
      <w:r w:rsidRPr="00AE30C8">
        <w:rPr>
          <w:rFonts w:cstheme="minorHAnsi"/>
          <w:sz w:val="24"/>
          <w:szCs w:val="24"/>
        </w:rPr>
        <w:t xml:space="preserve"> at work in the previous week.  The purpose of the ‘run-in’ period was two-fold: to provide a baseline slip rate; and to assess for engagement with the text message data collection process.  By only randomi</w:t>
      </w:r>
      <w:r w:rsidR="00FF0D07" w:rsidRPr="00AE30C8">
        <w:rPr>
          <w:rFonts w:cstheme="minorHAnsi"/>
          <w:sz w:val="24"/>
          <w:szCs w:val="24"/>
        </w:rPr>
        <w:t>s</w:t>
      </w:r>
      <w:r w:rsidRPr="00AE30C8">
        <w:rPr>
          <w:rFonts w:cstheme="minorHAnsi"/>
          <w:sz w:val="24"/>
          <w:szCs w:val="24"/>
        </w:rPr>
        <w:t xml:space="preserve">ing participants who </w:t>
      </w:r>
      <w:r w:rsidR="000678DB" w:rsidRPr="00AE30C8">
        <w:rPr>
          <w:rFonts w:cstheme="minorHAnsi"/>
          <w:sz w:val="24"/>
          <w:szCs w:val="24"/>
        </w:rPr>
        <w:t>provided slip data for at least two weeks</w:t>
      </w:r>
      <w:r w:rsidRPr="00AE30C8">
        <w:rPr>
          <w:rFonts w:cstheme="minorHAnsi"/>
          <w:sz w:val="24"/>
          <w:szCs w:val="24"/>
        </w:rPr>
        <w:t>, we hoped to maximise response to the post-randomi</w:t>
      </w:r>
      <w:r w:rsidR="00B34582">
        <w:rPr>
          <w:rFonts w:cstheme="minorHAnsi"/>
          <w:sz w:val="24"/>
          <w:szCs w:val="24"/>
        </w:rPr>
        <w:t>s</w:t>
      </w:r>
      <w:r w:rsidRPr="00AE30C8">
        <w:rPr>
          <w:rFonts w:cstheme="minorHAnsi"/>
          <w:sz w:val="24"/>
          <w:szCs w:val="24"/>
        </w:rPr>
        <w:t xml:space="preserve">ation outcome texts.  </w:t>
      </w:r>
      <w:r w:rsidR="00886DFE" w:rsidRPr="00AE30C8">
        <w:rPr>
          <w:rFonts w:cstheme="minorHAnsi"/>
          <w:sz w:val="24"/>
          <w:szCs w:val="24"/>
        </w:rPr>
        <w:t xml:space="preserve">Participants were randomised 1:1 to either be offered and provided with a pair of 5* GRIP-rated slip-resistant shoes or asked to wear their usual work shoes.  </w:t>
      </w:r>
      <w:r w:rsidR="00AC1A9A" w:rsidRPr="00AE30C8">
        <w:rPr>
          <w:rFonts w:cstheme="minorHAnsi"/>
          <w:sz w:val="24"/>
          <w:szCs w:val="24"/>
        </w:rPr>
        <w:t xml:space="preserve">Randomisation was </w:t>
      </w:r>
      <w:r w:rsidR="009E264B" w:rsidRPr="00AE30C8">
        <w:rPr>
          <w:rFonts w:cstheme="minorHAnsi"/>
          <w:sz w:val="24"/>
          <w:szCs w:val="24"/>
        </w:rPr>
        <w:t>t</w:t>
      </w:r>
      <w:r w:rsidR="00AC1A9A" w:rsidRPr="00AE30C8">
        <w:rPr>
          <w:rFonts w:cstheme="minorHAnsi"/>
          <w:sz w:val="24"/>
          <w:szCs w:val="24"/>
        </w:rPr>
        <w:t xml:space="preserve">hrough </w:t>
      </w:r>
      <w:r w:rsidR="009E264B" w:rsidRPr="00AE30C8">
        <w:rPr>
          <w:rFonts w:cstheme="minorHAnsi"/>
          <w:sz w:val="24"/>
          <w:szCs w:val="24"/>
        </w:rPr>
        <w:t>the University of York, York Trials Unit (YTU</w:t>
      </w:r>
      <w:r w:rsidR="00FF0D07" w:rsidRPr="00AE30C8">
        <w:rPr>
          <w:rFonts w:cstheme="minorHAnsi"/>
          <w:sz w:val="24"/>
          <w:szCs w:val="24"/>
        </w:rPr>
        <w:t>)</w:t>
      </w:r>
      <w:r w:rsidR="009E264B" w:rsidRPr="00AE30C8">
        <w:rPr>
          <w:rFonts w:cstheme="minorHAnsi"/>
          <w:sz w:val="24"/>
          <w:szCs w:val="24"/>
        </w:rPr>
        <w:t xml:space="preserve"> </w:t>
      </w:r>
      <w:r w:rsidR="00AC1A9A" w:rsidRPr="00AE30C8">
        <w:rPr>
          <w:rFonts w:cstheme="minorHAnsi"/>
          <w:sz w:val="24"/>
          <w:szCs w:val="24"/>
        </w:rPr>
        <w:t>secure, remote, web-based</w:t>
      </w:r>
      <w:r w:rsidR="009E264B" w:rsidRPr="00AE30C8">
        <w:rPr>
          <w:rFonts w:cstheme="minorHAnsi"/>
          <w:sz w:val="24"/>
          <w:szCs w:val="24"/>
        </w:rPr>
        <w:t xml:space="preserve"> randomisation service</w:t>
      </w:r>
      <w:r w:rsidR="00AC1A9A" w:rsidRPr="00AE30C8">
        <w:rPr>
          <w:rFonts w:cstheme="minorHAnsi"/>
          <w:sz w:val="24"/>
          <w:szCs w:val="24"/>
        </w:rPr>
        <w:t xml:space="preserve">.  </w:t>
      </w:r>
      <w:r w:rsidR="009E264B" w:rsidRPr="00AE30C8">
        <w:rPr>
          <w:rFonts w:cstheme="minorHAnsi"/>
          <w:sz w:val="24"/>
          <w:szCs w:val="24"/>
        </w:rPr>
        <w:t xml:space="preserve">The allocation sequence was generated by an </w:t>
      </w:r>
      <w:r w:rsidR="009E264B" w:rsidRPr="00AE30C8">
        <w:rPr>
          <w:rFonts w:cstheme="minorHAnsi"/>
          <w:sz w:val="24"/>
          <w:szCs w:val="24"/>
        </w:rPr>
        <w:lastRenderedPageBreak/>
        <w:t>independent data systems manager at YTU, who was not involved in the recruitment of participants.  Sites</w:t>
      </w:r>
      <w:r w:rsidR="00FF0D07" w:rsidRPr="00AE30C8">
        <w:rPr>
          <w:rFonts w:cstheme="minorHAnsi"/>
          <w:sz w:val="24"/>
          <w:szCs w:val="24"/>
        </w:rPr>
        <w:t xml:space="preserve"> informed YTU when they had capacity to order and deliver footwear.  Block randomi</w:t>
      </w:r>
      <w:r w:rsidR="00B34582">
        <w:rPr>
          <w:rFonts w:cstheme="minorHAnsi"/>
          <w:sz w:val="24"/>
          <w:szCs w:val="24"/>
        </w:rPr>
        <w:t>s</w:t>
      </w:r>
      <w:r w:rsidR="00FF0D07" w:rsidRPr="00AE30C8">
        <w:rPr>
          <w:rFonts w:cstheme="minorHAnsi"/>
          <w:sz w:val="24"/>
          <w:szCs w:val="24"/>
        </w:rPr>
        <w:t>ation, stratified by trust, was used.  The block size varied and was equal to the number of participants to be randomi</w:t>
      </w:r>
      <w:r w:rsidR="00B34582">
        <w:rPr>
          <w:rFonts w:cstheme="minorHAnsi"/>
          <w:sz w:val="24"/>
          <w:szCs w:val="24"/>
        </w:rPr>
        <w:t>s</w:t>
      </w:r>
      <w:r w:rsidR="00FF0D07" w:rsidRPr="00AE30C8">
        <w:rPr>
          <w:rFonts w:cstheme="minorHAnsi"/>
          <w:sz w:val="24"/>
          <w:szCs w:val="24"/>
        </w:rPr>
        <w:t>ed in each batch, which was determined by site capacity</w:t>
      </w:r>
      <w:r w:rsidR="00736126">
        <w:rPr>
          <w:rFonts w:cstheme="minorHAnsi"/>
          <w:sz w:val="24"/>
          <w:szCs w:val="24"/>
        </w:rPr>
        <w:t xml:space="preserve"> (range 2-335, median 14)</w:t>
      </w:r>
      <w:r w:rsidR="00FF0D07" w:rsidRPr="00AE30C8">
        <w:rPr>
          <w:rFonts w:cstheme="minorHAnsi"/>
          <w:sz w:val="24"/>
          <w:szCs w:val="24"/>
        </w:rPr>
        <w:t xml:space="preserve">.  </w:t>
      </w:r>
      <w:r w:rsidR="00C214D7" w:rsidRPr="00AE30C8">
        <w:rPr>
          <w:rFonts w:cstheme="minorHAnsi"/>
          <w:sz w:val="24"/>
          <w:szCs w:val="24"/>
        </w:rPr>
        <w:t xml:space="preserve">Participants and members of the study team including </w:t>
      </w:r>
      <w:r w:rsidR="001F1F84">
        <w:rPr>
          <w:rFonts w:cstheme="minorHAnsi"/>
          <w:sz w:val="24"/>
          <w:szCs w:val="24"/>
        </w:rPr>
        <w:t xml:space="preserve">the </w:t>
      </w:r>
      <w:r w:rsidR="00C214D7" w:rsidRPr="00AE30C8">
        <w:rPr>
          <w:rFonts w:cstheme="minorHAnsi"/>
          <w:sz w:val="24"/>
          <w:szCs w:val="24"/>
        </w:rPr>
        <w:t xml:space="preserve">statistician, health economist and those involved in the administration of the study were not masked to treatment allocation.  </w:t>
      </w:r>
    </w:p>
    <w:p w14:paraId="4B6FD54E" w14:textId="77777777" w:rsidR="00FF0D07" w:rsidRPr="00AE30C8" w:rsidRDefault="00FF0D07" w:rsidP="00F17D15">
      <w:pPr>
        <w:tabs>
          <w:tab w:val="left" w:pos="3825"/>
        </w:tabs>
        <w:spacing w:after="0" w:line="240" w:lineRule="auto"/>
        <w:rPr>
          <w:sz w:val="24"/>
          <w:szCs w:val="24"/>
        </w:rPr>
      </w:pPr>
    </w:p>
    <w:p w14:paraId="1D73BAF3" w14:textId="05F6FD5B" w:rsidR="00600C83" w:rsidRPr="00AE30C8" w:rsidRDefault="00600C83" w:rsidP="00F17D15">
      <w:pPr>
        <w:tabs>
          <w:tab w:val="left" w:pos="3825"/>
        </w:tabs>
        <w:spacing w:after="0" w:line="240" w:lineRule="auto"/>
        <w:rPr>
          <w:sz w:val="24"/>
          <w:szCs w:val="24"/>
        </w:rPr>
      </w:pPr>
      <w:r w:rsidRPr="00AE30C8">
        <w:rPr>
          <w:sz w:val="24"/>
          <w:szCs w:val="24"/>
        </w:rPr>
        <w:t xml:space="preserve">Intervention </w:t>
      </w:r>
    </w:p>
    <w:p w14:paraId="6E099C5A" w14:textId="1D525366" w:rsidR="00235273" w:rsidRPr="00AE30C8" w:rsidRDefault="00940251" w:rsidP="00F17D15">
      <w:pPr>
        <w:tabs>
          <w:tab w:val="left" w:pos="3825"/>
        </w:tabs>
        <w:spacing w:after="0" w:line="240" w:lineRule="auto"/>
        <w:rPr>
          <w:rFonts w:cstheme="minorHAnsi"/>
          <w:sz w:val="24"/>
          <w:szCs w:val="24"/>
        </w:rPr>
      </w:pPr>
      <w:r>
        <w:rPr>
          <w:rFonts w:cstheme="minorHAnsi"/>
          <w:sz w:val="24"/>
          <w:szCs w:val="24"/>
        </w:rPr>
        <w:t>Intervention arm p</w:t>
      </w:r>
      <w:r w:rsidR="00143153" w:rsidRPr="00AE30C8">
        <w:rPr>
          <w:rFonts w:cstheme="minorHAnsi"/>
          <w:sz w:val="24"/>
          <w:szCs w:val="24"/>
        </w:rPr>
        <w:t>articipants were offered and provided with a pair of 5* GRIP-rated slip-resistant shoes</w:t>
      </w:r>
      <w:r w:rsidR="00D55383">
        <w:rPr>
          <w:rFonts w:cstheme="minorHAnsi"/>
          <w:sz w:val="24"/>
          <w:szCs w:val="24"/>
        </w:rPr>
        <w:t xml:space="preserve"> </w:t>
      </w:r>
      <w:r w:rsidR="00744AD9">
        <w:rPr>
          <w:rFonts w:cstheme="minorHAnsi"/>
          <w:sz w:val="24"/>
          <w:szCs w:val="24"/>
        </w:rPr>
        <w:t>(12)</w:t>
      </w:r>
      <w:r w:rsidR="00143809">
        <w:rPr>
          <w:rFonts w:cstheme="minorHAnsi"/>
          <w:sz w:val="24"/>
          <w:szCs w:val="24"/>
        </w:rPr>
        <w:t xml:space="preserve"> </w:t>
      </w:r>
      <w:r w:rsidR="004E2A15">
        <w:rPr>
          <w:rFonts w:cstheme="minorHAnsi"/>
          <w:sz w:val="24"/>
          <w:szCs w:val="24"/>
        </w:rPr>
        <w:t>to</w:t>
      </w:r>
      <w:r w:rsidR="00143153" w:rsidRPr="00AE30C8">
        <w:rPr>
          <w:rFonts w:cstheme="minorHAnsi"/>
          <w:sz w:val="24"/>
          <w:szCs w:val="24"/>
        </w:rPr>
        <w:t xml:space="preserve"> wear during the 14-week trial period</w:t>
      </w:r>
      <w:r w:rsidR="007B1186" w:rsidRPr="00AE30C8">
        <w:rPr>
          <w:rFonts w:cstheme="minorHAnsi"/>
          <w:sz w:val="24"/>
          <w:szCs w:val="24"/>
        </w:rPr>
        <w:t>.</w:t>
      </w:r>
      <w:r w:rsidR="00AE7618" w:rsidRPr="00AE30C8">
        <w:rPr>
          <w:rFonts w:cstheme="minorHAnsi"/>
          <w:sz w:val="24"/>
          <w:szCs w:val="24"/>
        </w:rPr>
        <w:t xml:space="preserve">  </w:t>
      </w:r>
      <w:r w:rsidR="00251B7E" w:rsidRPr="00AE30C8">
        <w:rPr>
          <w:rFonts w:cstheme="minorHAnsi"/>
          <w:sz w:val="24"/>
          <w:szCs w:val="24"/>
        </w:rPr>
        <w:t>In the GRIP-rating scheme, shoe manufacturers pay to have their footwear tested.</w:t>
      </w:r>
      <w:r w:rsidR="003E6EEA" w:rsidRPr="00AE30C8">
        <w:rPr>
          <w:rFonts w:cstheme="minorHAnsi"/>
          <w:sz w:val="24"/>
          <w:szCs w:val="24"/>
        </w:rPr>
        <w:t xml:space="preserve">  Depending on their performance, the footwear is assigned a rating from one to five stars, with five </w:t>
      </w:r>
      <w:r w:rsidR="000678DB">
        <w:rPr>
          <w:rFonts w:cstheme="minorHAnsi"/>
          <w:sz w:val="24"/>
          <w:szCs w:val="24"/>
        </w:rPr>
        <w:t>indicating the best performing</w:t>
      </w:r>
      <w:r w:rsidR="003E6EEA" w:rsidRPr="00AE30C8">
        <w:rPr>
          <w:rFonts w:cstheme="minorHAnsi"/>
          <w:sz w:val="24"/>
          <w:szCs w:val="24"/>
        </w:rPr>
        <w:t xml:space="preserve">.  The footwear for this trial was provided by a single manufacturer (Shoes </w:t>
      </w:r>
      <w:proofErr w:type="gramStart"/>
      <w:r w:rsidR="003E6EEA" w:rsidRPr="00AE30C8">
        <w:rPr>
          <w:rFonts w:cstheme="minorHAnsi"/>
          <w:sz w:val="24"/>
          <w:szCs w:val="24"/>
        </w:rPr>
        <w:t>For</w:t>
      </w:r>
      <w:proofErr w:type="gramEnd"/>
      <w:r w:rsidR="003E6EEA" w:rsidRPr="00AE30C8">
        <w:rPr>
          <w:rFonts w:cstheme="minorHAnsi"/>
          <w:sz w:val="24"/>
          <w:szCs w:val="24"/>
        </w:rPr>
        <w:t xml:space="preserve"> Crews Ltd)</w:t>
      </w:r>
      <w:r w:rsidR="00C92839">
        <w:rPr>
          <w:rFonts w:cstheme="minorHAnsi"/>
          <w:sz w:val="24"/>
          <w:szCs w:val="24"/>
        </w:rPr>
        <w:t>, who had no input into the design, conduct, or analysis of the study</w:t>
      </w:r>
      <w:r w:rsidR="003E6EEA" w:rsidRPr="00AE30C8">
        <w:rPr>
          <w:rFonts w:cstheme="minorHAnsi"/>
          <w:sz w:val="24"/>
          <w:szCs w:val="24"/>
        </w:rPr>
        <w:t xml:space="preserve">.  This company was selected as it was able to supply large numbers of </w:t>
      </w:r>
      <w:r w:rsidR="00B6374B">
        <w:rPr>
          <w:rFonts w:cstheme="minorHAnsi"/>
          <w:sz w:val="24"/>
          <w:szCs w:val="24"/>
        </w:rPr>
        <w:t>5* GRIP-rat</w:t>
      </w:r>
      <w:r w:rsidR="00FE3835">
        <w:rPr>
          <w:rFonts w:cstheme="minorHAnsi"/>
          <w:sz w:val="24"/>
          <w:szCs w:val="24"/>
        </w:rPr>
        <w:t>ed</w:t>
      </w:r>
      <w:r w:rsidR="00B6374B" w:rsidRPr="00AE30C8">
        <w:rPr>
          <w:rFonts w:cstheme="minorHAnsi"/>
          <w:sz w:val="24"/>
          <w:szCs w:val="24"/>
        </w:rPr>
        <w:t xml:space="preserve"> </w:t>
      </w:r>
      <w:r w:rsidR="003E6EEA" w:rsidRPr="00AE30C8">
        <w:rPr>
          <w:rFonts w:cstheme="minorHAnsi"/>
          <w:sz w:val="24"/>
          <w:szCs w:val="24"/>
        </w:rPr>
        <w:t>shoes in various styles over a wide geographical area.  The cost of the footwear was covered by the NHS trust</w:t>
      </w:r>
      <w:r w:rsidR="000678DB">
        <w:rPr>
          <w:rFonts w:cstheme="minorHAnsi"/>
          <w:sz w:val="24"/>
          <w:szCs w:val="24"/>
        </w:rPr>
        <w:t xml:space="preserve"> or trust’s charities</w:t>
      </w:r>
      <w:r w:rsidR="003E6EEA" w:rsidRPr="00AE30C8">
        <w:rPr>
          <w:rFonts w:cstheme="minorHAnsi"/>
          <w:sz w:val="24"/>
          <w:szCs w:val="24"/>
        </w:rPr>
        <w:t xml:space="preserve">.   </w:t>
      </w:r>
      <w:r w:rsidR="00235273" w:rsidRPr="00AE30C8">
        <w:rPr>
          <w:rFonts w:cstheme="minorHAnsi"/>
          <w:sz w:val="24"/>
          <w:szCs w:val="24"/>
        </w:rPr>
        <w:t xml:space="preserve">The shoes had a rubber sole with an intricate tread pattern </w:t>
      </w:r>
      <w:r w:rsidR="00D04980">
        <w:rPr>
          <w:rFonts w:cstheme="minorHAnsi"/>
          <w:sz w:val="24"/>
          <w:szCs w:val="24"/>
        </w:rPr>
        <w:t xml:space="preserve">(Figure 1). </w:t>
      </w:r>
      <w:r w:rsidR="00235273" w:rsidRPr="00AE30C8">
        <w:rPr>
          <w:rFonts w:cstheme="minorHAnsi"/>
          <w:sz w:val="24"/>
          <w:szCs w:val="24"/>
        </w:rPr>
        <w:t xml:space="preserve"> The tread provided a large surface contact area whilst also being able to disperse surface contamination.  However, when walking on clean and dry surfaces, the footwear was expected to behave like any other footwear.   </w:t>
      </w:r>
    </w:p>
    <w:p w14:paraId="736DB89F" w14:textId="77777777" w:rsidR="00235273" w:rsidRPr="00AE30C8" w:rsidRDefault="00235273" w:rsidP="00F17D15">
      <w:pPr>
        <w:tabs>
          <w:tab w:val="left" w:pos="3825"/>
        </w:tabs>
        <w:spacing w:after="0" w:line="240" w:lineRule="auto"/>
        <w:rPr>
          <w:rFonts w:cstheme="minorHAnsi"/>
          <w:sz w:val="24"/>
          <w:szCs w:val="24"/>
        </w:rPr>
      </w:pPr>
    </w:p>
    <w:p w14:paraId="21146E47" w14:textId="42293FEA" w:rsidR="0084689D" w:rsidRPr="00AE30C8" w:rsidRDefault="0084689D" w:rsidP="00F17D15">
      <w:pPr>
        <w:tabs>
          <w:tab w:val="left" w:pos="3825"/>
        </w:tabs>
        <w:spacing w:after="0" w:line="240" w:lineRule="auto"/>
        <w:rPr>
          <w:rFonts w:cstheme="minorHAnsi"/>
          <w:sz w:val="24"/>
        </w:rPr>
      </w:pPr>
      <w:r w:rsidRPr="00AE30C8">
        <w:rPr>
          <w:rFonts w:cstheme="minorHAnsi"/>
          <w:sz w:val="24"/>
        </w:rPr>
        <w:t>Control</w:t>
      </w:r>
    </w:p>
    <w:p w14:paraId="5D6E2F50" w14:textId="3D1E49CD" w:rsidR="00AE7618" w:rsidRPr="00AE30C8" w:rsidRDefault="00940251" w:rsidP="00F17D15">
      <w:pPr>
        <w:tabs>
          <w:tab w:val="left" w:pos="3825"/>
        </w:tabs>
        <w:spacing w:after="0" w:line="240" w:lineRule="auto"/>
        <w:rPr>
          <w:rFonts w:cstheme="minorHAnsi"/>
          <w:sz w:val="24"/>
        </w:rPr>
      </w:pPr>
      <w:r>
        <w:rPr>
          <w:rFonts w:cstheme="minorHAnsi"/>
          <w:sz w:val="24"/>
        </w:rPr>
        <w:t>Control arm p</w:t>
      </w:r>
      <w:r w:rsidR="00AE7618" w:rsidRPr="00AE30C8">
        <w:rPr>
          <w:rFonts w:cstheme="minorHAnsi"/>
          <w:sz w:val="24"/>
        </w:rPr>
        <w:t xml:space="preserve">articipants continued to wear their usual work shoes for the 14-week trial period.  </w:t>
      </w:r>
      <w:r w:rsidR="002011EC">
        <w:rPr>
          <w:rFonts w:cstheme="minorHAnsi"/>
          <w:sz w:val="24"/>
        </w:rPr>
        <w:t xml:space="preserve">Trusts’ footwear policy stated footwear </w:t>
      </w:r>
      <w:r w:rsidR="00FE3835">
        <w:rPr>
          <w:rFonts w:cstheme="minorHAnsi"/>
          <w:sz w:val="24"/>
        </w:rPr>
        <w:t>should</w:t>
      </w:r>
      <w:r w:rsidR="002011EC">
        <w:rPr>
          <w:rFonts w:cstheme="minorHAnsi"/>
          <w:sz w:val="24"/>
        </w:rPr>
        <w:t xml:space="preserve"> be sensible, low</w:t>
      </w:r>
      <w:r w:rsidR="006D7E8E">
        <w:rPr>
          <w:rFonts w:cstheme="minorHAnsi"/>
          <w:sz w:val="24"/>
        </w:rPr>
        <w:t>-</w:t>
      </w:r>
      <w:r w:rsidR="002011EC">
        <w:rPr>
          <w:rFonts w:cstheme="minorHAnsi"/>
          <w:sz w:val="24"/>
        </w:rPr>
        <w:t>heeled and not open</w:t>
      </w:r>
      <w:r w:rsidR="006D7E8E">
        <w:rPr>
          <w:rFonts w:cstheme="minorHAnsi"/>
          <w:sz w:val="24"/>
        </w:rPr>
        <w:t>-</w:t>
      </w:r>
      <w:r w:rsidR="002011EC">
        <w:rPr>
          <w:rFonts w:cstheme="minorHAnsi"/>
          <w:sz w:val="24"/>
        </w:rPr>
        <w:t xml:space="preserve">toed.  </w:t>
      </w:r>
      <w:r w:rsidR="00FE3835">
        <w:rPr>
          <w:rFonts w:cstheme="minorHAnsi"/>
          <w:sz w:val="24"/>
        </w:rPr>
        <w:t>O</w:t>
      </w:r>
      <w:r w:rsidR="002011EC">
        <w:rPr>
          <w:rFonts w:cstheme="minorHAnsi"/>
          <w:sz w:val="24"/>
        </w:rPr>
        <w:t xml:space="preserve">nly four of the </w:t>
      </w:r>
      <w:r w:rsidR="002011EC">
        <w:rPr>
          <w:rFonts w:cstheme="minorHAnsi"/>
          <w:sz w:val="24"/>
          <w:szCs w:val="24"/>
        </w:rPr>
        <w:t xml:space="preserve">trusts stipulated </w:t>
      </w:r>
      <w:r w:rsidR="00FE3835">
        <w:rPr>
          <w:rFonts w:cstheme="minorHAnsi"/>
          <w:sz w:val="24"/>
          <w:szCs w:val="24"/>
        </w:rPr>
        <w:t xml:space="preserve">that </w:t>
      </w:r>
      <w:r w:rsidR="002011EC">
        <w:rPr>
          <w:rFonts w:cstheme="minorHAnsi"/>
          <w:sz w:val="24"/>
          <w:szCs w:val="24"/>
        </w:rPr>
        <w:t xml:space="preserve">non-slip footwear should be worn, but none stated how this should be assessed.  </w:t>
      </w:r>
      <w:r w:rsidR="00AE7618" w:rsidRPr="00AE30C8">
        <w:rPr>
          <w:rFonts w:cstheme="minorHAnsi"/>
          <w:sz w:val="24"/>
        </w:rPr>
        <w:t xml:space="preserve">After </w:t>
      </w:r>
      <w:r w:rsidR="002011EC">
        <w:rPr>
          <w:rFonts w:cstheme="minorHAnsi"/>
          <w:sz w:val="24"/>
        </w:rPr>
        <w:t>the trial</w:t>
      </w:r>
      <w:r w:rsidR="00AE7618" w:rsidRPr="00AE30C8">
        <w:rPr>
          <w:rFonts w:cstheme="minorHAnsi"/>
          <w:sz w:val="24"/>
        </w:rPr>
        <w:t xml:space="preserve">, </w:t>
      </w:r>
      <w:r w:rsidR="00FE3835">
        <w:rPr>
          <w:rFonts w:cstheme="minorHAnsi"/>
          <w:sz w:val="24"/>
        </w:rPr>
        <w:t>control participants</w:t>
      </w:r>
      <w:r w:rsidR="00FE3835" w:rsidRPr="00AE30C8">
        <w:rPr>
          <w:rFonts w:cstheme="minorHAnsi"/>
          <w:sz w:val="24"/>
        </w:rPr>
        <w:t xml:space="preserve"> </w:t>
      </w:r>
      <w:r w:rsidR="00AE7618" w:rsidRPr="00AE30C8">
        <w:rPr>
          <w:rFonts w:cstheme="minorHAnsi"/>
          <w:sz w:val="24"/>
        </w:rPr>
        <w:t>were offered a</w:t>
      </w:r>
      <w:r w:rsidR="00FE3835">
        <w:rPr>
          <w:rFonts w:cstheme="minorHAnsi"/>
          <w:sz w:val="24"/>
        </w:rPr>
        <w:t xml:space="preserve"> free</w:t>
      </w:r>
      <w:r w:rsidR="00AE7618" w:rsidRPr="00AE30C8">
        <w:rPr>
          <w:rFonts w:cstheme="minorHAnsi"/>
          <w:sz w:val="24"/>
        </w:rPr>
        <w:t xml:space="preserve"> pair of the 5* GRIP-rated slip-resistant shoes. </w:t>
      </w:r>
    </w:p>
    <w:p w14:paraId="064B50B8" w14:textId="126451E7" w:rsidR="000838D3" w:rsidRPr="00AE30C8" w:rsidRDefault="000838D3" w:rsidP="00F17D15">
      <w:pPr>
        <w:tabs>
          <w:tab w:val="left" w:pos="3825"/>
        </w:tabs>
        <w:spacing w:after="0" w:line="240" w:lineRule="auto"/>
        <w:rPr>
          <w:rFonts w:cstheme="minorHAnsi"/>
          <w:sz w:val="24"/>
        </w:rPr>
      </w:pPr>
    </w:p>
    <w:p w14:paraId="2DA6C118" w14:textId="31CE645D" w:rsidR="000838D3" w:rsidRPr="00AE30C8" w:rsidRDefault="000838D3" w:rsidP="00F17D15">
      <w:pPr>
        <w:tabs>
          <w:tab w:val="left" w:pos="3825"/>
        </w:tabs>
        <w:spacing w:after="0" w:line="240" w:lineRule="auto"/>
        <w:rPr>
          <w:rFonts w:cstheme="minorHAnsi"/>
          <w:sz w:val="24"/>
        </w:rPr>
      </w:pPr>
      <w:r w:rsidRPr="00AE30C8">
        <w:rPr>
          <w:rFonts w:cstheme="minorHAnsi"/>
          <w:sz w:val="24"/>
        </w:rPr>
        <w:t>Follow-up</w:t>
      </w:r>
    </w:p>
    <w:p w14:paraId="55ED0054" w14:textId="32D7B22F" w:rsidR="007333CB" w:rsidRPr="00AE30C8" w:rsidRDefault="007333CB" w:rsidP="00F17D15">
      <w:pPr>
        <w:tabs>
          <w:tab w:val="left" w:pos="3825"/>
        </w:tabs>
        <w:spacing w:after="0" w:line="240" w:lineRule="auto"/>
        <w:rPr>
          <w:rFonts w:cstheme="minorHAnsi"/>
          <w:sz w:val="24"/>
        </w:rPr>
      </w:pPr>
      <w:r w:rsidRPr="00AE30C8">
        <w:rPr>
          <w:rFonts w:cstheme="minorHAnsi"/>
          <w:sz w:val="24"/>
        </w:rPr>
        <w:t>Participants were sent weekly text messages for 14 weeks to collect slip outcome data and a 14-week post-randomi</w:t>
      </w:r>
      <w:r w:rsidR="00C80D24" w:rsidRPr="00AE30C8">
        <w:rPr>
          <w:rFonts w:cstheme="minorHAnsi"/>
          <w:sz w:val="24"/>
        </w:rPr>
        <w:t>s</w:t>
      </w:r>
      <w:r w:rsidRPr="00AE30C8">
        <w:rPr>
          <w:rFonts w:cstheme="minorHAnsi"/>
          <w:sz w:val="24"/>
        </w:rPr>
        <w:t xml:space="preserve">ation follow-up postal questionnaire.  On reporting their first slip, participants were sent a </w:t>
      </w:r>
      <w:r w:rsidR="00B647FC">
        <w:rPr>
          <w:rFonts w:cstheme="minorHAnsi"/>
          <w:sz w:val="24"/>
        </w:rPr>
        <w:t xml:space="preserve">slip data collection </w:t>
      </w:r>
      <w:r w:rsidRPr="00AE30C8">
        <w:rPr>
          <w:rFonts w:cstheme="minorHAnsi"/>
          <w:sz w:val="24"/>
        </w:rPr>
        <w:t xml:space="preserve">questionnaire to </w:t>
      </w:r>
      <w:r w:rsidR="00B647FC">
        <w:rPr>
          <w:rFonts w:cstheme="minorHAnsi"/>
          <w:sz w:val="24"/>
        </w:rPr>
        <w:t>ask</w:t>
      </w:r>
      <w:r w:rsidRPr="00AE30C8">
        <w:rPr>
          <w:rFonts w:cstheme="minorHAnsi"/>
          <w:sz w:val="24"/>
        </w:rPr>
        <w:t xml:space="preserve"> </w:t>
      </w:r>
      <w:r w:rsidR="00B86C28">
        <w:rPr>
          <w:rFonts w:cstheme="minorHAnsi"/>
          <w:sz w:val="24"/>
        </w:rPr>
        <w:t>whether they were wearing the trial shoes</w:t>
      </w:r>
      <w:r w:rsidR="00B647FC">
        <w:rPr>
          <w:rFonts w:cstheme="minorHAnsi"/>
          <w:sz w:val="24"/>
        </w:rPr>
        <w:t xml:space="preserve"> when they slipped</w:t>
      </w:r>
      <w:r w:rsidR="00B86C28">
        <w:rPr>
          <w:rFonts w:cstheme="minorHAnsi"/>
          <w:sz w:val="24"/>
        </w:rPr>
        <w:t xml:space="preserve">, </w:t>
      </w:r>
      <w:r w:rsidRPr="00AE30C8">
        <w:rPr>
          <w:rFonts w:cstheme="minorHAnsi"/>
          <w:sz w:val="24"/>
        </w:rPr>
        <w:t>location of slip</w:t>
      </w:r>
      <w:r w:rsidR="00B86C28">
        <w:rPr>
          <w:rFonts w:cstheme="minorHAnsi"/>
          <w:sz w:val="24"/>
        </w:rPr>
        <w:t>,</w:t>
      </w:r>
      <w:r w:rsidRPr="00AE30C8">
        <w:rPr>
          <w:rFonts w:cstheme="minorHAnsi"/>
          <w:sz w:val="24"/>
        </w:rPr>
        <w:t xml:space="preserve"> and </w:t>
      </w:r>
      <w:r w:rsidR="00B34582">
        <w:rPr>
          <w:rFonts w:cstheme="minorHAnsi"/>
          <w:sz w:val="24"/>
        </w:rPr>
        <w:t xml:space="preserve">any </w:t>
      </w:r>
      <w:r w:rsidRPr="00AE30C8">
        <w:rPr>
          <w:rFonts w:cstheme="minorHAnsi"/>
          <w:sz w:val="24"/>
        </w:rPr>
        <w:t xml:space="preserve">resulting injuries. </w:t>
      </w:r>
      <w:r w:rsidR="00B34582">
        <w:rPr>
          <w:rFonts w:cstheme="minorHAnsi"/>
          <w:sz w:val="24"/>
        </w:rPr>
        <w:t xml:space="preserve">If an injury was reported this was followed up with </w:t>
      </w:r>
      <w:r w:rsidRPr="00AE30C8">
        <w:rPr>
          <w:rFonts w:cstheme="minorHAnsi"/>
          <w:sz w:val="24"/>
        </w:rPr>
        <w:t xml:space="preserve">monthly </w:t>
      </w:r>
      <w:r w:rsidR="00B34582">
        <w:rPr>
          <w:rFonts w:cstheme="minorHAnsi"/>
          <w:sz w:val="24"/>
        </w:rPr>
        <w:t xml:space="preserve">data collection </w:t>
      </w:r>
      <w:r w:rsidRPr="00AE30C8">
        <w:rPr>
          <w:rFonts w:cstheme="minorHAnsi"/>
          <w:sz w:val="24"/>
        </w:rPr>
        <w:t xml:space="preserve">until </w:t>
      </w:r>
      <w:r w:rsidR="00D9220D">
        <w:rPr>
          <w:rFonts w:cstheme="minorHAnsi"/>
          <w:sz w:val="24"/>
        </w:rPr>
        <w:t>the</w:t>
      </w:r>
      <w:r w:rsidRPr="00AE30C8">
        <w:rPr>
          <w:rFonts w:cstheme="minorHAnsi"/>
          <w:sz w:val="24"/>
        </w:rPr>
        <w:t xml:space="preserve"> injury resolved, the participant no longer wished to be contacted, or the trial ended.  Participants in the intervention group were also sent text messages at six, </w:t>
      </w:r>
      <w:proofErr w:type="gramStart"/>
      <w:r w:rsidRPr="00AE30C8">
        <w:rPr>
          <w:rFonts w:cstheme="minorHAnsi"/>
          <w:sz w:val="24"/>
        </w:rPr>
        <w:t>10 and 14 weeks</w:t>
      </w:r>
      <w:proofErr w:type="gramEnd"/>
      <w:r w:rsidRPr="00AE30C8">
        <w:rPr>
          <w:rFonts w:cstheme="minorHAnsi"/>
          <w:sz w:val="24"/>
        </w:rPr>
        <w:t xml:space="preserve"> post-randomi</w:t>
      </w:r>
      <w:r w:rsidR="00043192" w:rsidRPr="00AE30C8">
        <w:rPr>
          <w:rFonts w:cstheme="minorHAnsi"/>
          <w:sz w:val="24"/>
        </w:rPr>
        <w:t>s</w:t>
      </w:r>
      <w:r w:rsidRPr="00AE30C8">
        <w:rPr>
          <w:rFonts w:cstheme="minorHAnsi"/>
          <w:sz w:val="24"/>
        </w:rPr>
        <w:t xml:space="preserve">ation to collect data on how often they wore the trial shoes.     </w:t>
      </w:r>
    </w:p>
    <w:p w14:paraId="47E473C1" w14:textId="22398589" w:rsidR="00600C83" w:rsidRPr="00AE30C8" w:rsidRDefault="00600C83" w:rsidP="00F17D15">
      <w:pPr>
        <w:tabs>
          <w:tab w:val="left" w:pos="3825"/>
        </w:tabs>
        <w:spacing w:after="0" w:line="240" w:lineRule="auto"/>
        <w:rPr>
          <w:sz w:val="24"/>
        </w:rPr>
      </w:pPr>
    </w:p>
    <w:p w14:paraId="13C4AB1E" w14:textId="1861B4E2" w:rsidR="00600C83" w:rsidRPr="00AE30C8" w:rsidRDefault="00600C83" w:rsidP="00F17D15">
      <w:pPr>
        <w:tabs>
          <w:tab w:val="left" w:pos="3825"/>
        </w:tabs>
        <w:spacing w:after="0" w:line="240" w:lineRule="auto"/>
        <w:rPr>
          <w:sz w:val="24"/>
        </w:rPr>
      </w:pPr>
      <w:r w:rsidRPr="00AE30C8">
        <w:rPr>
          <w:sz w:val="24"/>
        </w:rPr>
        <w:t xml:space="preserve">Outcomes </w:t>
      </w:r>
    </w:p>
    <w:p w14:paraId="0DA0C0CD" w14:textId="7D25075E" w:rsidR="008051BD" w:rsidRPr="00AE30C8" w:rsidRDefault="001E359E" w:rsidP="00EB3C9A">
      <w:pPr>
        <w:tabs>
          <w:tab w:val="left" w:pos="3825"/>
        </w:tabs>
        <w:spacing w:after="0" w:line="240" w:lineRule="auto"/>
        <w:ind w:right="-188"/>
        <w:rPr>
          <w:sz w:val="24"/>
        </w:rPr>
      </w:pPr>
      <w:r w:rsidRPr="00AE30C8">
        <w:rPr>
          <w:sz w:val="24"/>
        </w:rPr>
        <w:t>The primary outcome was the incidence rate of self-reported slips, not necessarily resulting in a fall or injury, in the workplace over the 14 weeks from randomi</w:t>
      </w:r>
      <w:r w:rsidR="00B34582">
        <w:rPr>
          <w:sz w:val="24"/>
        </w:rPr>
        <w:t>s</w:t>
      </w:r>
      <w:r w:rsidRPr="00AE30C8">
        <w:rPr>
          <w:sz w:val="24"/>
        </w:rPr>
        <w:t>ation, as reported via weekly text messages</w:t>
      </w:r>
      <w:r w:rsidR="00B647FC">
        <w:rPr>
          <w:sz w:val="24"/>
        </w:rPr>
        <w:t xml:space="preserve"> (or the </w:t>
      </w:r>
      <w:proofErr w:type="gramStart"/>
      <w:r w:rsidR="00B647FC">
        <w:rPr>
          <w:sz w:val="24"/>
        </w:rPr>
        <w:t>14 week</w:t>
      </w:r>
      <w:proofErr w:type="gramEnd"/>
      <w:r w:rsidR="00B647FC">
        <w:rPr>
          <w:sz w:val="24"/>
        </w:rPr>
        <w:t xml:space="preserve"> questionnaire where no text messages were received)</w:t>
      </w:r>
      <w:r w:rsidRPr="00AE30C8">
        <w:rPr>
          <w:sz w:val="24"/>
        </w:rPr>
        <w:t>.  A slip was defined as 'a loss of traction of your foot on the floor surface, which may or may not result in a fall'.  A fall was defined as ‘an unexpected event in which you come to rest on the ground, floor, or lower level’.</w:t>
      </w:r>
      <w:r w:rsidR="008051BD" w:rsidRPr="00AE30C8">
        <w:rPr>
          <w:sz w:val="24"/>
        </w:rPr>
        <w:t xml:space="preserve">  Secondary outcomes included the incidence rate of falls both resulting from a slip and not resulting from a slip in the workplace over 14 weeks, the </w:t>
      </w:r>
      <w:r w:rsidR="008051BD" w:rsidRPr="00AE30C8">
        <w:rPr>
          <w:sz w:val="24"/>
        </w:rPr>
        <w:lastRenderedPageBreak/>
        <w:t>proportion of participants who reported a slip, fall, or fracture over 14 weeks, and time to first fall and first slip.  Other data collected included</w:t>
      </w:r>
      <w:r w:rsidR="006A0830">
        <w:rPr>
          <w:sz w:val="24"/>
        </w:rPr>
        <w:t>:</w:t>
      </w:r>
      <w:r w:rsidR="008051BD" w:rsidRPr="00AE30C8">
        <w:rPr>
          <w:sz w:val="24"/>
        </w:rPr>
        <w:t xml:space="preserve"> issues with wearing footwear</w:t>
      </w:r>
      <w:r w:rsidR="006A0830">
        <w:rPr>
          <w:sz w:val="24"/>
        </w:rPr>
        <w:t xml:space="preserve"> and</w:t>
      </w:r>
      <w:r w:rsidR="008051BD" w:rsidRPr="00AE30C8">
        <w:rPr>
          <w:sz w:val="24"/>
        </w:rPr>
        <w:t xml:space="preserve"> adverse events</w:t>
      </w:r>
      <w:r w:rsidR="00177F1B">
        <w:rPr>
          <w:sz w:val="24"/>
        </w:rPr>
        <w:t>,</w:t>
      </w:r>
      <w:r w:rsidR="006A0830">
        <w:rPr>
          <w:sz w:val="24"/>
        </w:rPr>
        <w:t xml:space="preserve"> which were collected via the 14-week follow-up, slip data collection and injury questionnaires or responses to text messages;</w:t>
      </w:r>
      <w:r w:rsidR="008051BD" w:rsidRPr="00AE30C8">
        <w:rPr>
          <w:sz w:val="24"/>
        </w:rPr>
        <w:t xml:space="preserve"> and compliance with wearing the trial shoes</w:t>
      </w:r>
      <w:r w:rsidR="00177F1B">
        <w:rPr>
          <w:sz w:val="24"/>
        </w:rPr>
        <w:t>,</w:t>
      </w:r>
      <w:r w:rsidR="006A0830">
        <w:rPr>
          <w:sz w:val="24"/>
        </w:rPr>
        <w:t xml:space="preserve"> which w</w:t>
      </w:r>
      <w:r w:rsidR="00177F1B">
        <w:rPr>
          <w:sz w:val="24"/>
        </w:rPr>
        <w:t>as</w:t>
      </w:r>
      <w:r w:rsidR="006A0830">
        <w:rPr>
          <w:sz w:val="24"/>
        </w:rPr>
        <w:t xml:space="preserve"> collected via the 14-week questionnaire and text messages sent at 6, 10 and 14 weeks</w:t>
      </w:r>
      <w:r w:rsidR="008051BD" w:rsidRPr="00AE30C8">
        <w:rPr>
          <w:sz w:val="24"/>
        </w:rPr>
        <w:t xml:space="preserve">. </w:t>
      </w:r>
    </w:p>
    <w:p w14:paraId="3C4A68BC" w14:textId="77777777" w:rsidR="008051BD" w:rsidRPr="00AE30C8" w:rsidRDefault="008051BD" w:rsidP="00EB3C9A">
      <w:pPr>
        <w:tabs>
          <w:tab w:val="left" w:pos="3825"/>
        </w:tabs>
        <w:spacing w:after="0" w:line="240" w:lineRule="auto"/>
        <w:ind w:right="-188"/>
        <w:rPr>
          <w:sz w:val="24"/>
        </w:rPr>
      </w:pPr>
    </w:p>
    <w:p w14:paraId="3F86B1CD" w14:textId="3E8B6C90" w:rsidR="001E359E" w:rsidRPr="00AE30C8" w:rsidRDefault="001A2B84" w:rsidP="00EB3C9A">
      <w:pPr>
        <w:tabs>
          <w:tab w:val="left" w:pos="3825"/>
        </w:tabs>
        <w:spacing w:after="0" w:line="240" w:lineRule="auto"/>
        <w:ind w:right="-188"/>
        <w:rPr>
          <w:sz w:val="24"/>
        </w:rPr>
      </w:pPr>
      <w:r w:rsidRPr="00AE30C8">
        <w:rPr>
          <w:sz w:val="24"/>
        </w:rPr>
        <w:t xml:space="preserve">Sample size </w:t>
      </w:r>
    </w:p>
    <w:p w14:paraId="45E4829B" w14:textId="3AEFE1C4" w:rsidR="001A2B84" w:rsidRPr="00AE30C8" w:rsidRDefault="001A2B84" w:rsidP="00EB3C9A">
      <w:pPr>
        <w:tabs>
          <w:tab w:val="left" w:pos="3825"/>
        </w:tabs>
        <w:spacing w:after="0" w:line="240" w:lineRule="auto"/>
        <w:ind w:right="-188"/>
        <w:rPr>
          <w:sz w:val="24"/>
        </w:rPr>
      </w:pPr>
      <w:r w:rsidRPr="00AE30C8">
        <w:rPr>
          <w:sz w:val="24"/>
        </w:rPr>
        <w:t>There were limited published data on which to base a sample size calculation for this trial.  A prospective cohort study</w:t>
      </w:r>
      <w:r w:rsidR="00A55313">
        <w:rPr>
          <w:sz w:val="24"/>
        </w:rPr>
        <w:t xml:space="preserve"> </w:t>
      </w:r>
      <w:r w:rsidR="00744AD9">
        <w:rPr>
          <w:sz w:val="24"/>
        </w:rPr>
        <w:t xml:space="preserve">(13) </w:t>
      </w:r>
      <w:r w:rsidRPr="00AE30C8">
        <w:rPr>
          <w:sz w:val="24"/>
        </w:rPr>
        <w:t>found that 49 of 422 (11.6%) workers in a restaurant setting in the USA reported at least one “major” (i.e. resulting in a fall</w:t>
      </w:r>
      <w:r w:rsidR="00377E3D">
        <w:rPr>
          <w:sz w:val="24"/>
        </w:rPr>
        <w:t xml:space="preserve"> and/or injury) slip over a 12-</w:t>
      </w:r>
      <w:r w:rsidRPr="00AE30C8">
        <w:rPr>
          <w:sz w:val="24"/>
        </w:rPr>
        <w:t xml:space="preserve">week follow-up period.  </w:t>
      </w:r>
      <w:r w:rsidR="00076686" w:rsidRPr="00AE30C8">
        <w:rPr>
          <w:sz w:val="24"/>
        </w:rPr>
        <w:t>It was t</w:t>
      </w:r>
      <w:r w:rsidRPr="00AE30C8">
        <w:rPr>
          <w:sz w:val="24"/>
        </w:rPr>
        <w:t xml:space="preserve">herefore expected </w:t>
      </w:r>
      <w:r w:rsidR="00076686" w:rsidRPr="00AE30C8">
        <w:rPr>
          <w:sz w:val="24"/>
        </w:rPr>
        <w:t xml:space="preserve">that </w:t>
      </w:r>
      <w:r w:rsidRPr="00AE30C8">
        <w:rPr>
          <w:sz w:val="24"/>
        </w:rPr>
        <w:t xml:space="preserve">the proportion of workers that experienced any type of slip </w:t>
      </w:r>
      <w:r w:rsidR="00E029C8" w:rsidRPr="00AE30C8">
        <w:rPr>
          <w:sz w:val="24"/>
        </w:rPr>
        <w:t>would</w:t>
      </w:r>
      <w:r w:rsidRPr="00AE30C8">
        <w:rPr>
          <w:sz w:val="24"/>
        </w:rPr>
        <w:t xml:space="preserve"> be higher than this, though the exact figure was not reported.</w:t>
      </w:r>
      <w:r w:rsidR="007743B3" w:rsidRPr="00AE30C8">
        <w:rPr>
          <w:sz w:val="24"/>
        </w:rPr>
        <w:t xml:space="preserve">  </w:t>
      </w:r>
      <w:r w:rsidRPr="00AE30C8">
        <w:rPr>
          <w:sz w:val="24"/>
        </w:rPr>
        <w:t xml:space="preserve">For </w:t>
      </w:r>
      <w:r w:rsidR="00076686" w:rsidRPr="00AE30C8">
        <w:rPr>
          <w:sz w:val="24"/>
        </w:rPr>
        <w:t>this</w:t>
      </w:r>
      <w:r w:rsidRPr="00AE30C8">
        <w:rPr>
          <w:sz w:val="24"/>
        </w:rPr>
        <w:t xml:space="preserve"> sample size calculation, a </w:t>
      </w:r>
      <w:r w:rsidR="004717C0">
        <w:rPr>
          <w:sz w:val="24"/>
        </w:rPr>
        <w:t xml:space="preserve">conservative </w:t>
      </w:r>
      <w:r w:rsidRPr="00AE30C8">
        <w:rPr>
          <w:sz w:val="24"/>
        </w:rPr>
        <w:t xml:space="preserve">estimate of </w:t>
      </w:r>
      <w:r w:rsidR="004717C0" w:rsidRPr="00AE30C8">
        <w:rPr>
          <w:sz w:val="24"/>
        </w:rPr>
        <w:t xml:space="preserve">a proportion of 10% </w:t>
      </w:r>
      <w:r w:rsidR="004717C0">
        <w:rPr>
          <w:sz w:val="24"/>
        </w:rPr>
        <w:t xml:space="preserve">of the </w:t>
      </w:r>
      <w:r w:rsidRPr="00AE30C8">
        <w:rPr>
          <w:sz w:val="24"/>
        </w:rPr>
        <w:t xml:space="preserve">control group that would experience at least one slip over a </w:t>
      </w:r>
      <w:r w:rsidR="007743B3" w:rsidRPr="00AE30C8">
        <w:rPr>
          <w:sz w:val="24"/>
        </w:rPr>
        <w:t>14-week</w:t>
      </w:r>
      <w:r w:rsidRPr="00AE30C8">
        <w:rPr>
          <w:sz w:val="24"/>
        </w:rPr>
        <w:t xml:space="preserve"> follow-up period</w:t>
      </w:r>
      <w:r w:rsidR="007743B3" w:rsidRPr="00AE30C8">
        <w:rPr>
          <w:sz w:val="24"/>
        </w:rPr>
        <w:t xml:space="preserve"> was assumed</w:t>
      </w:r>
      <w:r w:rsidRPr="00AE30C8">
        <w:rPr>
          <w:sz w:val="24"/>
        </w:rPr>
        <w:t>.</w:t>
      </w:r>
      <w:r w:rsidR="007F2C7A" w:rsidRPr="00AE30C8">
        <w:rPr>
          <w:sz w:val="24"/>
        </w:rPr>
        <w:t xml:space="preserve">  Randomising 4,400 participants 1:1 (i.e. 2,200 per group) would provide 90% power to show a 30% relative reduction in the proportion of participants who report at least one slip over 14-week</w:t>
      </w:r>
      <w:r w:rsidR="004717C0">
        <w:rPr>
          <w:sz w:val="24"/>
        </w:rPr>
        <w:t>s</w:t>
      </w:r>
      <w:r w:rsidR="007F2C7A" w:rsidRPr="00AE30C8">
        <w:rPr>
          <w:sz w:val="24"/>
        </w:rPr>
        <w:t xml:space="preserve"> (3 percentage</w:t>
      </w:r>
      <w:r w:rsidR="00A16186" w:rsidRPr="00AE30C8">
        <w:rPr>
          <w:sz w:val="24"/>
        </w:rPr>
        <w:t xml:space="preserve"> point absolute reduction from 10% to 7%) allowing for 20% attrition.  </w:t>
      </w:r>
      <w:r w:rsidR="00951E98" w:rsidRPr="00AE30C8">
        <w:rPr>
          <w:sz w:val="24"/>
        </w:rPr>
        <w:t xml:space="preserve">This sample size would also give 80% power to see an absolute reduction in the risk of falls from 5.5% to 3.5% allowing for 20% attrition.  Although the sample size calculation </w:t>
      </w:r>
      <w:r w:rsidR="00E029C8" w:rsidRPr="00AE30C8">
        <w:rPr>
          <w:sz w:val="24"/>
        </w:rPr>
        <w:t>wa</w:t>
      </w:r>
      <w:r w:rsidR="00951E98" w:rsidRPr="00AE30C8">
        <w:rPr>
          <w:sz w:val="24"/>
        </w:rPr>
        <w:t xml:space="preserve">s based on detecting a difference in proportions, the primary outcome </w:t>
      </w:r>
      <w:r w:rsidR="00E029C8" w:rsidRPr="00AE30C8">
        <w:rPr>
          <w:sz w:val="24"/>
        </w:rPr>
        <w:t>was</w:t>
      </w:r>
      <w:r w:rsidR="00951E98" w:rsidRPr="00AE30C8">
        <w:rPr>
          <w:sz w:val="24"/>
        </w:rPr>
        <w:t xml:space="preserve"> the incidence rate of slips over the 14 weeks and so negative binomial regression was used to compare this outcome between the two groups. </w:t>
      </w:r>
      <w:r w:rsidR="00E029C8" w:rsidRPr="00AE30C8">
        <w:rPr>
          <w:sz w:val="24"/>
        </w:rPr>
        <w:t xml:space="preserve">Since this analysis used more information than a simple binary outcome, it </w:t>
      </w:r>
      <w:proofErr w:type="gramStart"/>
      <w:r w:rsidR="00E029C8" w:rsidRPr="00AE30C8">
        <w:rPr>
          <w:sz w:val="24"/>
        </w:rPr>
        <w:t>was considered to be</w:t>
      </w:r>
      <w:proofErr w:type="gramEnd"/>
      <w:r w:rsidR="00E029C8" w:rsidRPr="00AE30C8">
        <w:rPr>
          <w:sz w:val="24"/>
        </w:rPr>
        <w:t xml:space="preserve"> adequately powered. </w:t>
      </w:r>
    </w:p>
    <w:p w14:paraId="7A696FF1" w14:textId="77777777" w:rsidR="00076686" w:rsidRPr="00AE30C8" w:rsidRDefault="00076686" w:rsidP="00EB3C9A">
      <w:pPr>
        <w:tabs>
          <w:tab w:val="left" w:pos="3825"/>
        </w:tabs>
        <w:spacing w:after="0" w:line="240" w:lineRule="auto"/>
        <w:ind w:right="-188"/>
        <w:rPr>
          <w:sz w:val="24"/>
        </w:rPr>
      </w:pPr>
    </w:p>
    <w:p w14:paraId="4321EAC9" w14:textId="44B36DCB" w:rsidR="00600C83" w:rsidRPr="00AE30C8" w:rsidRDefault="00600C83" w:rsidP="00EB3C9A">
      <w:pPr>
        <w:tabs>
          <w:tab w:val="left" w:pos="3825"/>
        </w:tabs>
        <w:spacing w:after="0" w:line="240" w:lineRule="auto"/>
        <w:ind w:right="-188"/>
        <w:rPr>
          <w:sz w:val="24"/>
        </w:rPr>
      </w:pPr>
      <w:r w:rsidRPr="00AE30C8">
        <w:rPr>
          <w:sz w:val="24"/>
        </w:rPr>
        <w:t xml:space="preserve">Statistical analysis </w:t>
      </w:r>
    </w:p>
    <w:p w14:paraId="3A3D053E" w14:textId="7D5EFEA9" w:rsidR="00F17D15" w:rsidRPr="00AE30C8" w:rsidRDefault="00AF3928" w:rsidP="00EB3C9A">
      <w:pPr>
        <w:spacing w:after="0" w:line="240" w:lineRule="auto"/>
        <w:ind w:right="-188"/>
        <w:rPr>
          <w:sz w:val="24"/>
        </w:rPr>
      </w:pPr>
      <w:r w:rsidRPr="00AE30C8">
        <w:rPr>
          <w:sz w:val="24"/>
        </w:rPr>
        <w:t>Statistical analyses were conducted in Stata v15 (</w:t>
      </w:r>
      <w:proofErr w:type="spellStart"/>
      <w:r w:rsidRPr="00AE30C8">
        <w:rPr>
          <w:sz w:val="24"/>
        </w:rPr>
        <w:t>StataCorp</w:t>
      </w:r>
      <w:proofErr w:type="spellEnd"/>
      <w:r w:rsidRPr="00AE30C8">
        <w:rPr>
          <w:sz w:val="24"/>
        </w:rPr>
        <w:t>, 4905 Lakeway Drive, College Station, Texas 77845 USA), following the principles of intention-to-treat</w:t>
      </w:r>
      <w:r w:rsidR="001C543E">
        <w:rPr>
          <w:sz w:val="24"/>
        </w:rPr>
        <w:t xml:space="preserve"> analysing participants in the groups to which they were originally assigned regardless of compliance (or not) with allocation</w:t>
      </w:r>
      <w:r w:rsidRPr="00AE30C8">
        <w:rPr>
          <w:sz w:val="24"/>
        </w:rPr>
        <w:t xml:space="preserve">, using two-sided significance of 0.05. </w:t>
      </w:r>
      <w:r w:rsidR="001C543E">
        <w:rPr>
          <w:sz w:val="24"/>
        </w:rPr>
        <w:t xml:space="preserve">The follow-up period for all participants </w:t>
      </w:r>
      <w:r w:rsidR="00200A2F">
        <w:rPr>
          <w:sz w:val="24"/>
        </w:rPr>
        <w:t>commenced on the date of randomisation and lasted a maximum of 14 weeks; therefore,</w:t>
      </w:r>
      <w:r w:rsidR="001C543E">
        <w:rPr>
          <w:sz w:val="24"/>
        </w:rPr>
        <w:t xml:space="preserve"> for intervention participants</w:t>
      </w:r>
      <w:r w:rsidR="00200A2F">
        <w:rPr>
          <w:sz w:val="24"/>
        </w:rPr>
        <w:t>,</w:t>
      </w:r>
      <w:r w:rsidR="001C543E">
        <w:rPr>
          <w:sz w:val="24"/>
        </w:rPr>
        <w:t xml:space="preserve"> this </w:t>
      </w:r>
      <w:r w:rsidR="001635AE">
        <w:rPr>
          <w:sz w:val="24"/>
        </w:rPr>
        <w:t>often</w:t>
      </w:r>
      <w:r w:rsidR="001C543E">
        <w:rPr>
          <w:sz w:val="24"/>
        </w:rPr>
        <w:t xml:space="preserve"> included some weeks at the start when they had not yet received their shoes.  </w:t>
      </w:r>
      <w:r w:rsidRPr="00AE30C8">
        <w:rPr>
          <w:sz w:val="24"/>
        </w:rPr>
        <w:t>For the primary analysis of the incidence rate of slips, a mixed-effects negative binomial model was used adjusting for gender, job role and baseline weekly slip rate as fixed effects and site as a random effect. The model took account of the</w:t>
      </w:r>
      <w:r w:rsidR="007120F5" w:rsidRPr="00AE30C8">
        <w:rPr>
          <w:sz w:val="24"/>
        </w:rPr>
        <w:t xml:space="preserve"> number of weeks for which slip data were provided and the total hours worked during those weeks. </w:t>
      </w:r>
      <w:r w:rsidR="007C2BBC">
        <w:rPr>
          <w:sz w:val="24"/>
        </w:rPr>
        <w:t xml:space="preserve">The person-working-hours were calculated by multiplying the number of weeks for which the participant provided slip data by the average number of hours they told us they tended to work in a week.  We assumed participants were working in the weeks for which they provided data.  </w:t>
      </w:r>
      <w:r w:rsidR="007120F5" w:rsidRPr="00AE30C8">
        <w:rPr>
          <w:sz w:val="24"/>
        </w:rPr>
        <w:t xml:space="preserve">The primary analysis was undertaken by CF and checked by GF.  Complier average causal effect (CACE) analyses were undertaken for the primary outcome to account for the number of weeks participants had their shoes and </w:t>
      </w:r>
      <w:r w:rsidR="001F1F84">
        <w:rPr>
          <w:sz w:val="24"/>
        </w:rPr>
        <w:t xml:space="preserve">the </w:t>
      </w:r>
      <w:r w:rsidR="007120F5" w:rsidRPr="00AE30C8">
        <w:rPr>
          <w:sz w:val="24"/>
        </w:rPr>
        <w:t>amount of time they reported wearing them.</w:t>
      </w:r>
    </w:p>
    <w:p w14:paraId="51FEE5A0" w14:textId="77777777" w:rsidR="00F17D15" w:rsidRPr="00AE30C8" w:rsidRDefault="00F17D15" w:rsidP="00EB3C9A">
      <w:pPr>
        <w:spacing w:after="0" w:line="240" w:lineRule="auto"/>
        <w:ind w:right="-188"/>
        <w:rPr>
          <w:sz w:val="28"/>
          <w:szCs w:val="24"/>
        </w:rPr>
      </w:pPr>
    </w:p>
    <w:p w14:paraId="52630B56" w14:textId="565DEEFC" w:rsidR="007120F5" w:rsidRPr="00AE30C8" w:rsidRDefault="00F17D15" w:rsidP="00EB3C9A">
      <w:pPr>
        <w:spacing w:after="0" w:line="240" w:lineRule="auto"/>
        <w:ind w:right="-188"/>
        <w:rPr>
          <w:sz w:val="24"/>
        </w:rPr>
      </w:pPr>
      <w:r w:rsidRPr="00AE30C8">
        <w:rPr>
          <w:sz w:val="24"/>
        </w:rPr>
        <w:t xml:space="preserve">The incidence rate of falls (both resulting and not resulting from a slip) over 14 weeks was analysed in the same way as the primary outcome.  Mixed-effects logistic regression adjusted as for the primary analysis was used to compare, between the two groups, the proportions of </w:t>
      </w:r>
      <w:r w:rsidRPr="00AE30C8">
        <w:rPr>
          <w:sz w:val="24"/>
        </w:rPr>
        <w:lastRenderedPageBreak/>
        <w:t>participants who: (</w:t>
      </w:r>
      <w:proofErr w:type="spellStart"/>
      <w:r w:rsidRPr="00AE30C8">
        <w:rPr>
          <w:sz w:val="24"/>
        </w:rPr>
        <w:t>i</w:t>
      </w:r>
      <w:proofErr w:type="spellEnd"/>
      <w:r w:rsidRPr="00AE30C8">
        <w:rPr>
          <w:sz w:val="24"/>
        </w:rPr>
        <w:t xml:space="preserve">) slipped at least once over 14 weeks; and (ii) fell at least once over 14 weeks.  The time from randomisation to first slip was analysed by Cox proportional hazards regression.  Proportion of participants reporting a fracture and time to first fall were summarised descriptively but not formally analysed due to the small number </w:t>
      </w:r>
      <w:r w:rsidR="004717C0">
        <w:rPr>
          <w:sz w:val="24"/>
        </w:rPr>
        <w:t xml:space="preserve">of </w:t>
      </w:r>
      <w:r w:rsidRPr="00AE30C8">
        <w:rPr>
          <w:sz w:val="24"/>
        </w:rPr>
        <w:t xml:space="preserve">events.  </w:t>
      </w:r>
      <w:r w:rsidR="00D931FD" w:rsidRPr="00AE30C8">
        <w:rPr>
          <w:sz w:val="24"/>
        </w:rPr>
        <w:t xml:space="preserve">  </w:t>
      </w:r>
      <w:r w:rsidR="007120F5" w:rsidRPr="00AE30C8">
        <w:rPr>
          <w:sz w:val="24"/>
        </w:rPr>
        <w:t xml:space="preserve"> </w:t>
      </w:r>
    </w:p>
    <w:p w14:paraId="67993BF1" w14:textId="7C9D83AF" w:rsidR="00A27413" w:rsidRPr="00AE30C8" w:rsidRDefault="00A27413" w:rsidP="00F17D15">
      <w:pPr>
        <w:spacing w:after="0" w:line="240" w:lineRule="auto"/>
        <w:rPr>
          <w:sz w:val="24"/>
        </w:rPr>
      </w:pPr>
    </w:p>
    <w:p w14:paraId="41D1C96F" w14:textId="391EEC63" w:rsidR="00A27413" w:rsidRPr="00AE30C8" w:rsidRDefault="00A27413" w:rsidP="00F17D15">
      <w:pPr>
        <w:spacing w:after="0" w:line="240" w:lineRule="auto"/>
        <w:rPr>
          <w:sz w:val="24"/>
        </w:rPr>
      </w:pPr>
      <w:r w:rsidRPr="00AE30C8">
        <w:rPr>
          <w:sz w:val="24"/>
        </w:rPr>
        <w:t xml:space="preserve">Public involvement </w:t>
      </w:r>
    </w:p>
    <w:p w14:paraId="236FFC00" w14:textId="3C1E6297" w:rsidR="00AF3928" w:rsidRPr="00AE30C8" w:rsidRDefault="00A27413" w:rsidP="00F17D15">
      <w:pPr>
        <w:spacing w:after="0" w:line="240" w:lineRule="auto"/>
        <w:rPr>
          <w:sz w:val="24"/>
        </w:rPr>
      </w:pPr>
      <w:r w:rsidRPr="00AE30C8">
        <w:rPr>
          <w:sz w:val="24"/>
        </w:rPr>
        <w:t xml:space="preserve">The </w:t>
      </w:r>
      <w:proofErr w:type="spellStart"/>
      <w:r w:rsidRPr="00AE30C8">
        <w:rPr>
          <w:sz w:val="24"/>
        </w:rPr>
        <w:t>SSHeW</w:t>
      </w:r>
      <w:proofErr w:type="spellEnd"/>
      <w:r w:rsidRPr="00AE30C8">
        <w:rPr>
          <w:sz w:val="24"/>
        </w:rPr>
        <w:t xml:space="preserve"> study was informed by the involvement of NHS staff </w:t>
      </w:r>
      <w:r w:rsidR="004717C0">
        <w:rPr>
          <w:sz w:val="24"/>
        </w:rPr>
        <w:t>(aged</w:t>
      </w:r>
      <w:r w:rsidR="00B34582">
        <w:rPr>
          <w:sz w:val="24"/>
        </w:rPr>
        <w:t xml:space="preserve"> 20 to 71 years</w:t>
      </w:r>
      <w:r w:rsidR="004717C0">
        <w:rPr>
          <w:sz w:val="24"/>
        </w:rPr>
        <w:t>)</w:t>
      </w:r>
      <w:r w:rsidR="00B34582">
        <w:rPr>
          <w:sz w:val="24"/>
        </w:rPr>
        <w:t xml:space="preserve"> </w:t>
      </w:r>
      <w:r w:rsidRPr="00AE30C8">
        <w:rPr>
          <w:sz w:val="24"/>
        </w:rPr>
        <w:t>from diverse roles includ</w:t>
      </w:r>
      <w:r w:rsidR="00C6045E">
        <w:rPr>
          <w:sz w:val="24"/>
        </w:rPr>
        <w:t>ing</w:t>
      </w:r>
      <w:r w:rsidRPr="00AE30C8">
        <w:rPr>
          <w:sz w:val="24"/>
        </w:rPr>
        <w:t xml:space="preserve"> nurses, catering, housekeeping and doctor</w:t>
      </w:r>
      <w:r w:rsidR="00CD51E0">
        <w:rPr>
          <w:sz w:val="24"/>
        </w:rPr>
        <w:t>s</w:t>
      </w:r>
      <w:r w:rsidRPr="00AE30C8">
        <w:rPr>
          <w:sz w:val="24"/>
        </w:rPr>
        <w:t>.  They provided feedback about: rationale for the trial; shoe styles; use of text messages to collect data; use of a slip diary; the length of the follow-up</w:t>
      </w:r>
      <w:r w:rsidR="00056A7B">
        <w:rPr>
          <w:sz w:val="24"/>
        </w:rPr>
        <w:t>;</w:t>
      </w:r>
      <w:r w:rsidRPr="00AE30C8">
        <w:rPr>
          <w:sz w:val="24"/>
        </w:rPr>
        <w:t xml:space="preserve"> </w:t>
      </w:r>
      <w:r w:rsidR="00A60693" w:rsidRPr="00AE30C8">
        <w:rPr>
          <w:sz w:val="24"/>
        </w:rPr>
        <w:t>footwear buying habits</w:t>
      </w:r>
      <w:r w:rsidR="004717C0">
        <w:rPr>
          <w:sz w:val="24"/>
        </w:rPr>
        <w:t>;</w:t>
      </w:r>
      <w:r w:rsidR="00A60693" w:rsidRPr="00AE30C8">
        <w:rPr>
          <w:sz w:val="24"/>
        </w:rPr>
        <w:t xml:space="preserve"> and testing </w:t>
      </w:r>
      <w:r w:rsidR="00B4210A">
        <w:rPr>
          <w:sz w:val="24"/>
        </w:rPr>
        <w:t xml:space="preserve">slip-resistance of </w:t>
      </w:r>
      <w:r w:rsidR="00A60693" w:rsidRPr="00AE30C8">
        <w:rPr>
          <w:sz w:val="24"/>
        </w:rPr>
        <w:t>staff’s usual shoes.</w:t>
      </w:r>
      <w:r w:rsidR="00413CA7" w:rsidRPr="00AE30C8">
        <w:rPr>
          <w:sz w:val="24"/>
        </w:rPr>
        <w:t xml:space="preserve">  An NHS </w:t>
      </w:r>
      <w:r w:rsidR="00E82A12">
        <w:rPr>
          <w:sz w:val="24"/>
        </w:rPr>
        <w:t xml:space="preserve">employee </w:t>
      </w:r>
      <w:r w:rsidR="00413CA7" w:rsidRPr="00AE30C8">
        <w:rPr>
          <w:sz w:val="24"/>
        </w:rPr>
        <w:t xml:space="preserve">was a member of the </w:t>
      </w:r>
      <w:r w:rsidR="004717C0">
        <w:rPr>
          <w:sz w:val="24"/>
        </w:rPr>
        <w:t>TSC/DMEC</w:t>
      </w:r>
      <w:r w:rsidR="00413CA7" w:rsidRPr="00AE30C8">
        <w:rPr>
          <w:sz w:val="24"/>
        </w:rPr>
        <w:t xml:space="preserve">.  </w:t>
      </w:r>
    </w:p>
    <w:p w14:paraId="5767AC8B" w14:textId="3F5337E6" w:rsidR="00413CA7" w:rsidRPr="00AE30C8" w:rsidRDefault="00413CA7" w:rsidP="00F17D15">
      <w:pPr>
        <w:spacing w:after="0" w:line="240" w:lineRule="auto"/>
        <w:rPr>
          <w:sz w:val="24"/>
        </w:rPr>
      </w:pPr>
    </w:p>
    <w:p w14:paraId="1FEC03C1" w14:textId="1E6EAFAD" w:rsidR="00600C83" w:rsidRPr="00AE30C8" w:rsidRDefault="00600C83" w:rsidP="00F17D15">
      <w:pPr>
        <w:spacing w:after="0" w:line="240" w:lineRule="auto"/>
        <w:rPr>
          <w:b/>
          <w:sz w:val="24"/>
        </w:rPr>
      </w:pPr>
      <w:r w:rsidRPr="00AE30C8">
        <w:rPr>
          <w:b/>
          <w:sz w:val="24"/>
        </w:rPr>
        <w:t xml:space="preserve">Results </w:t>
      </w:r>
    </w:p>
    <w:p w14:paraId="680FBD4A" w14:textId="3602E95F" w:rsidR="00600C83" w:rsidRPr="00AE30C8" w:rsidRDefault="004F10BE" w:rsidP="00BB52AB">
      <w:pPr>
        <w:tabs>
          <w:tab w:val="left" w:pos="993"/>
        </w:tabs>
        <w:spacing w:after="0" w:line="240" w:lineRule="auto"/>
        <w:ind w:right="-188"/>
        <w:rPr>
          <w:sz w:val="24"/>
        </w:rPr>
      </w:pPr>
      <w:r w:rsidRPr="00AE30C8">
        <w:rPr>
          <w:sz w:val="24"/>
        </w:rPr>
        <w:t xml:space="preserve">Participants were recruited between March </w:t>
      </w:r>
      <w:r w:rsidR="006052C0" w:rsidRPr="00AE30C8">
        <w:rPr>
          <w:sz w:val="24"/>
        </w:rPr>
        <w:t xml:space="preserve">2017 and November 2018 and randomised between June 2017 and January 2019.  </w:t>
      </w:r>
      <w:r w:rsidR="00A135D0" w:rsidRPr="00AE30C8">
        <w:rPr>
          <w:sz w:val="24"/>
        </w:rPr>
        <w:t xml:space="preserve">Trial invitation packs were sent to 8524 </w:t>
      </w:r>
      <w:r w:rsidR="008E286C">
        <w:rPr>
          <w:sz w:val="24"/>
        </w:rPr>
        <w:t>NHS staff</w:t>
      </w:r>
      <w:r w:rsidR="00A135D0" w:rsidRPr="00AE30C8">
        <w:rPr>
          <w:sz w:val="24"/>
        </w:rPr>
        <w:t>, with 5309 (62.3%) returning a consent form and baseline questionnaire indicating they wished to take part.  A total of 48</w:t>
      </w:r>
      <w:r w:rsidR="007E38F6">
        <w:rPr>
          <w:sz w:val="24"/>
        </w:rPr>
        <w:t>08</w:t>
      </w:r>
      <w:r w:rsidR="00A135D0" w:rsidRPr="00AE30C8">
        <w:rPr>
          <w:sz w:val="24"/>
        </w:rPr>
        <w:t xml:space="preserve"> were eligible and were sent up to six pre-randomi</w:t>
      </w:r>
      <w:r w:rsidR="00E17BFD" w:rsidRPr="00AE30C8">
        <w:rPr>
          <w:sz w:val="24"/>
        </w:rPr>
        <w:t>s</w:t>
      </w:r>
      <w:r w:rsidR="00A135D0" w:rsidRPr="00AE30C8">
        <w:rPr>
          <w:sz w:val="24"/>
        </w:rPr>
        <w:t>ation, weekly texts.  Of these, 4554 participants provided valid slip data to at least two of the texts and were randomised into the</w:t>
      </w:r>
      <w:r w:rsidR="006052C0" w:rsidRPr="00AE30C8">
        <w:rPr>
          <w:sz w:val="24"/>
        </w:rPr>
        <w:t xml:space="preserve"> trial (intervention group</w:t>
      </w:r>
      <w:r w:rsidR="00716C42">
        <w:rPr>
          <w:sz w:val="24"/>
        </w:rPr>
        <w:t>, n=2276</w:t>
      </w:r>
      <w:r w:rsidR="008A47A9">
        <w:rPr>
          <w:sz w:val="24"/>
        </w:rPr>
        <w:t>;</w:t>
      </w:r>
      <w:r w:rsidR="006052C0" w:rsidRPr="00AE30C8">
        <w:rPr>
          <w:sz w:val="24"/>
        </w:rPr>
        <w:t xml:space="preserve"> control group</w:t>
      </w:r>
      <w:r w:rsidR="00716C42">
        <w:rPr>
          <w:sz w:val="24"/>
        </w:rPr>
        <w:t>, n=</w:t>
      </w:r>
      <w:r w:rsidR="00716C42" w:rsidRPr="00AE30C8">
        <w:rPr>
          <w:sz w:val="24"/>
        </w:rPr>
        <w:t>2278</w:t>
      </w:r>
      <w:r w:rsidR="006052C0" w:rsidRPr="00AE30C8">
        <w:rPr>
          <w:sz w:val="24"/>
        </w:rPr>
        <w:t xml:space="preserve">).  One participant was immediately withdrawn as they were found to be ineligible.  Figure </w:t>
      </w:r>
      <w:r w:rsidR="00D51636" w:rsidRPr="00AE30C8">
        <w:rPr>
          <w:sz w:val="24"/>
        </w:rPr>
        <w:t>2</w:t>
      </w:r>
      <w:r w:rsidR="006052C0" w:rsidRPr="00AE30C8">
        <w:rPr>
          <w:sz w:val="24"/>
        </w:rPr>
        <w:t xml:space="preserve"> shows the participant flow during the trial</w:t>
      </w:r>
      <w:r w:rsidR="00E509F1" w:rsidRPr="00AE30C8">
        <w:rPr>
          <w:sz w:val="24"/>
        </w:rPr>
        <w:t xml:space="preserve"> and reports the reasons why participants were ineligible for the study</w:t>
      </w:r>
      <w:r w:rsidR="006052C0" w:rsidRPr="00AE30C8">
        <w:rPr>
          <w:sz w:val="24"/>
        </w:rPr>
        <w:t>.</w:t>
      </w:r>
      <w:r w:rsidR="006052C0" w:rsidRPr="00AE30C8">
        <w:rPr>
          <w:sz w:val="28"/>
          <w:szCs w:val="24"/>
          <w:lang w:val="en"/>
        </w:rPr>
        <w:t xml:space="preserve">   </w:t>
      </w:r>
    </w:p>
    <w:p w14:paraId="685301A2" w14:textId="7A77B5B8" w:rsidR="00BD4CD3" w:rsidRPr="00AE30C8" w:rsidRDefault="00BD4CD3" w:rsidP="00F17D15">
      <w:pPr>
        <w:spacing w:after="0" w:line="240" w:lineRule="auto"/>
        <w:rPr>
          <w:sz w:val="24"/>
        </w:rPr>
      </w:pPr>
    </w:p>
    <w:p w14:paraId="5D8350D3" w14:textId="0A160F00" w:rsidR="005D2988" w:rsidRPr="00AE30C8" w:rsidRDefault="005D2988" w:rsidP="00F17D15">
      <w:pPr>
        <w:spacing w:after="0" w:line="240" w:lineRule="auto"/>
        <w:rPr>
          <w:sz w:val="24"/>
        </w:rPr>
      </w:pPr>
      <w:r w:rsidRPr="00AE30C8">
        <w:rPr>
          <w:sz w:val="24"/>
        </w:rPr>
        <w:t>Participant characteristics</w:t>
      </w:r>
    </w:p>
    <w:p w14:paraId="58B6A6B8" w14:textId="2E6B7BBC" w:rsidR="00D4742E" w:rsidRPr="00AE30C8" w:rsidRDefault="008F22A5" w:rsidP="00EB3C9A">
      <w:pPr>
        <w:spacing w:after="0" w:line="240" w:lineRule="auto"/>
        <w:ind w:right="-330"/>
        <w:rPr>
          <w:sz w:val="24"/>
        </w:rPr>
      </w:pPr>
      <w:r w:rsidRPr="00AE30C8">
        <w:rPr>
          <w:sz w:val="24"/>
        </w:rPr>
        <w:t xml:space="preserve">Baseline characteristics were well balanced </w:t>
      </w:r>
      <w:r w:rsidR="0067730A">
        <w:rPr>
          <w:sz w:val="24"/>
        </w:rPr>
        <w:t>across</w:t>
      </w:r>
      <w:r w:rsidRPr="00AE30C8">
        <w:rPr>
          <w:sz w:val="24"/>
        </w:rPr>
        <w:t xml:space="preserve"> groups</w:t>
      </w:r>
      <w:r w:rsidR="0067730A">
        <w:rPr>
          <w:sz w:val="24"/>
        </w:rPr>
        <w:t xml:space="preserve"> (</w:t>
      </w:r>
      <w:r w:rsidR="005D2988" w:rsidRPr="00AE30C8">
        <w:rPr>
          <w:sz w:val="24"/>
        </w:rPr>
        <w:t xml:space="preserve">Table </w:t>
      </w:r>
      <w:proofErr w:type="gramStart"/>
      <w:r w:rsidR="005D2988" w:rsidRPr="00AE30C8">
        <w:rPr>
          <w:sz w:val="24"/>
        </w:rPr>
        <w:t>1</w:t>
      </w:r>
      <w:r w:rsidR="0067730A">
        <w:rPr>
          <w:sz w:val="24"/>
        </w:rPr>
        <w:t>,</w:t>
      </w:r>
      <w:r w:rsidR="005D2988" w:rsidRPr="00AE30C8">
        <w:rPr>
          <w:sz w:val="24"/>
        </w:rPr>
        <w:t xml:space="preserve"> </w:t>
      </w:r>
      <w:r w:rsidRPr="00AE30C8">
        <w:rPr>
          <w:sz w:val="24"/>
        </w:rPr>
        <w:t>and</w:t>
      </w:r>
      <w:proofErr w:type="gramEnd"/>
      <w:r w:rsidRPr="00AE30C8">
        <w:rPr>
          <w:sz w:val="24"/>
        </w:rPr>
        <w:t xml:space="preserve"> </w:t>
      </w:r>
      <w:r w:rsidR="00F27B7D">
        <w:rPr>
          <w:sz w:val="24"/>
        </w:rPr>
        <w:t xml:space="preserve">See </w:t>
      </w:r>
      <w:r w:rsidR="00334FD4">
        <w:rPr>
          <w:sz w:val="24"/>
        </w:rPr>
        <w:t xml:space="preserve">Supplementary </w:t>
      </w:r>
      <w:r w:rsidRPr="008C2AED">
        <w:rPr>
          <w:sz w:val="24"/>
        </w:rPr>
        <w:t>1</w:t>
      </w:r>
      <w:r w:rsidRPr="00AE30C8">
        <w:rPr>
          <w:sz w:val="24"/>
        </w:rPr>
        <w:t>)</w:t>
      </w:r>
      <w:r w:rsidR="005D2988" w:rsidRPr="00AE30C8">
        <w:rPr>
          <w:sz w:val="24"/>
        </w:rPr>
        <w:t xml:space="preserve">.  </w:t>
      </w:r>
      <w:r w:rsidR="00D4742E" w:rsidRPr="00AE30C8">
        <w:rPr>
          <w:sz w:val="24"/>
        </w:rPr>
        <w:t xml:space="preserve">Most participants were female (n=3869, 85.0%) and the average age was 42.7 years (range 18 to 74).  Participants worked a median of 37.5 hours a week, and the majority were qualified nurses/midwives (n=1937, 42.5%).  Just over a third reported at baseline that they had experienced a slip at work in the previous 12 months (median of 2 slips), of which 11% had suffered an injury as a result of one of these slips. </w:t>
      </w:r>
    </w:p>
    <w:p w14:paraId="56CE2F77" w14:textId="77777777" w:rsidR="00D4742E" w:rsidRPr="00AE30C8" w:rsidRDefault="00D4742E" w:rsidP="00F17D15">
      <w:pPr>
        <w:spacing w:after="0" w:line="240" w:lineRule="auto"/>
        <w:rPr>
          <w:sz w:val="28"/>
          <w:szCs w:val="24"/>
          <w:lang w:val="en"/>
        </w:rPr>
      </w:pPr>
    </w:p>
    <w:p w14:paraId="59BFBB1D" w14:textId="657C160F" w:rsidR="00410100" w:rsidRPr="00AE30C8" w:rsidRDefault="00410100" w:rsidP="00410100">
      <w:pPr>
        <w:pStyle w:val="CommentText"/>
        <w:spacing w:after="0"/>
        <w:rPr>
          <w:sz w:val="28"/>
          <w:szCs w:val="24"/>
          <w:lang w:val="en"/>
        </w:rPr>
      </w:pPr>
      <w:r w:rsidRPr="00AE30C8">
        <w:rPr>
          <w:sz w:val="24"/>
          <w:szCs w:val="22"/>
        </w:rPr>
        <w:t>Table 1</w:t>
      </w:r>
      <w:r w:rsidR="00EB7F2E">
        <w:rPr>
          <w:sz w:val="24"/>
          <w:szCs w:val="22"/>
        </w:rPr>
        <w:t>.</w:t>
      </w:r>
      <w:r w:rsidRPr="00AE30C8">
        <w:rPr>
          <w:sz w:val="24"/>
          <w:szCs w:val="22"/>
        </w:rPr>
        <w:t xml:space="preserve"> Characteristics of the participants </w:t>
      </w:r>
    </w:p>
    <w:p w14:paraId="2F39180A" w14:textId="77777777" w:rsidR="00D4742E" w:rsidRPr="00AE30C8" w:rsidRDefault="00D4742E" w:rsidP="00F17D15">
      <w:pPr>
        <w:spacing w:after="0" w:line="240" w:lineRule="auto"/>
        <w:rPr>
          <w:sz w:val="24"/>
          <w:szCs w:val="24"/>
          <w:lang w:val="en"/>
        </w:rPr>
      </w:pPr>
    </w:p>
    <w:tbl>
      <w:tblPr>
        <w:tblStyle w:val="TableGrid"/>
        <w:tblW w:w="10027" w:type="dxa"/>
        <w:tblLook w:val="04A0" w:firstRow="1" w:lastRow="0" w:firstColumn="1" w:lastColumn="0" w:noHBand="0" w:noVBand="1"/>
      </w:tblPr>
      <w:tblGrid>
        <w:gridCol w:w="4219"/>
        <w:gridCol w:w="1936"/>
        <w:gridCol w:w="1936"/>
        <w:gridCol w:w="1936"/>
      </w:tblGrid>
      <w:tr w:rsidR="00D4742E" w:rsidRPr="00AE30C8" w14:paraId="43F74075" w14:textId="77777777" w:rsidTr="00B56916">
        <w:trPr>
          <w:tblHeader/>
        </w:trPr>
        <w:tc>
          <w:tcPr>
            <w:tcW w:w="4219" w:type="dxa"/>
            <w:vAlign w:val="center"/>
          </w:tcPr>
          <w:p w14:paraId="3C5C0BB4" w14:textId="77777777" w:rsidR="00D4742E" w:rsidRPr="00AE30C8" w:rsidRDefault="00D4742E" w:rsidP="00410100">
            <w:pPr>
              <w:rPr>
                <w:rFonts w:cstheme="minorHAnsi"/>
                <w:b/>
                <w:sz w:val="24"/>
                <w:szCs w:val="24"/>
              </w:rPr>
            </w:pPr>
            <w:r w:rsidRPr="00AE30C8">
              <w:rPr>
                <w:rFonts w:cstheme="minorHAnsi"/>
                <w:b/>
                <w:sz w:val="24"/>
                <w:szCs w:val="24"/>
              </w:rPr>
              <w:t>Characteristic</w:t>
            </w:r>
          </w:p>
        </w:tc>
        <w:tc>
          <w:tcPr>
            <w:tcW w:w="1936" w:type="dxa"/>
          </w:tcPr>
          <w:p w14:paraId="3239CA97" w14:textId="77777777" w:rsidR="00D4742E" w:rsidRPr="00AE30C8" w:rsidRDefault="00D4742E" w:rsidP="00410100">
            <w:pPr>
              <w:jc w:val="center"/>
              <w:rPr>
                <w:rFonts w:cstheme="minorHAnsi"/>
                <w:b/>
                <w:sz w:val="24"/>
                <w:szCs w:val="24"/>
              </w:rPr>
            </w:pPr>
            <w:r w:rsidRPr="00AE30C8">
              <w:rPr>
                <w:rFonts w:cstheme="minorHAnsi"/>
                <w:b/>
                <w:sz w:val="24"/>
                <w:szCs w:val="24"/>
              </w:rPr>
              <w:t>Intervention</w:t>
            </w:r>
          </w:p>
          <w:p w14:paraId="6E1DC04B" w14:textId="77777777" w:rsidR="00D4742E" w:rsidRPr="00AE30C8" w:rsidRDefault="00D4742E" w:rsidP="00410100">
            <w:pPr>
              <w:jc w:val="center"/>
              <w:rPr>
                <w:rFonts w:cstheme="minorHAnsi"/>
                <w:b/>
                <w:sz w:val="24"/>
                <w:szCs w:val="24"/>
              </w:rPr>
            </w:pPr>
            <w:r w:rsidRPr="00AE30C8">
              <w:rPr>
                <w:rFonts w:cstheme="minorHAnsi"/>
                <w:b/>
                <w:sz w:val="24"/>
                <w:szCs w:val="24"/>
              </w:rPr>
              <w:t>(n=2275)</w:t>
            </w:r>
          </w:p>
        </w:tc>
        <w:tc>
          <w:tcPr>
            <w:tcW w:w="1936" w:type="dxa"/>
          </w:tcPr>
          <w:p w14:paraId="0666FB5B" w14:textId="77777777" w:rsidR="00D4742E" w:rsidRPr="00AE30C8" w:rsidRDefault="00D4742E" w:rsidP="00410100">
            <w:pPr>
              <w:jc w:val="center"/>
              <w:rPr>
                <w:rFonts w:cstheme="minorHAnsi"/>
                <w:b/>
                <w:sz w:val="24"/>
                <w:szCs w:val="24"/>
              </w:rPr>
            </w:pPr>
            <w:r w:rsidRPr="00AE30C8">
              <w:rPr>
                <w:rFonts w:cstheme="minorHAnsi"/>
                <w:b/>
                <w:sz w:val="24"/>
                <w:szCs w:val="24"/>
              </w:rPr>
              <w:t>Control</w:t>
            </w:r>
          </w:p>
          <w:p w14:paraId="37C57A25" w14:textId="77777777" w:rsidR="00D4742E" w:rsidRPr="00AE30C8" w:rsidRDefault="00D4742E" w:rsidP="00410100">
            <w:pPr>
              <w:jc w:val="center"/>
              <w:rPr>
                <w:rFonts w:cstheme="minorHAnsi"/>
                <w:b/>
                <w:sz w:val="24"/>
                <w:szCs w:val="24"/>
              </w:rPr>
            </w:pPr>
            <w:r w:rsidRPr="00AE30C8">
              <w:rPr>
                <w:rFonts w:cstheme="minorHAnsi"/>
                <w:b/>
                <w:sz w:val="24"/>
                <w:szCs w:val="24"/>
              </w:rPr>
              <w:t>(n=2278)</w:t>
            </w:r>
          </w:p>
        </w:tc>
        <w:tc>
          <w:tcPr>
            <w:tcW w:w="1936" w:type="dxa"/>
          </w:tcPr>
          <w:p w14:paraId="2DEBBE1A" w14:textId="77777777" w:rsidR="00D4742E" w:rsidRPr="00AE30C8" w:rsidRDefault="00D4742E" w:rsidP="00410100">
            <w:pPr>
              <w:jc w:val="center"/>
              <w:rPr>
                <w:rFonts w:cstheme="minorHAnsi"/>
                <w:b/>
                <w:sz w:val="24"/>
                <w:szCs w:val="24"/>
              </w:rPr>
            </w:pPr>
            <w:r w:rsidRPr="00AE30C8">
              <w:rPr>
                <w:rFonts w:cstheme="minorHAnsi"/>
                <w:b/>
                <w:sz w:val="24"/>
                <w:szCs w:val="24"/>
              </w:rPr>
              <w:t>Total</w:t>
            </w:r>
          </w:p>
          <w:p w14:paraId="47E8AB0F" w14:textId="77777777" w:rsidR="00D4742E" w:rsidRPr="00AE30C8" w:rsidRDefault="00D4742E" w:rsidP="00410100">
            <w:pPr>
              <w:jc w:val="center"/>
              <w:rPr>
                <w:rFonts w:cstheme="minorHAnsi"/>
                <w:b/>
                <w:sz w:val="24"/>
                <w:szCs w:val="24"/>
              </w:rPr>
            </w:pPr>
            <w:r w:rsidRPr="00AE30C8">
              <w:rPr>
                <w:rFonts w:cstheme="minorHAnsi"/>
                <w:b/>
                <w:sz w:val="24"/>
                <w:szCs w:val="24"/>
              </w:rPr>
              <w:t>(n=4553)</w:t>
            </w:r>
          </w:p>
        </w:tc>
      </w:tr>
      <w:tr w:rsidR="00D4742E" w:rsidRPr="00AE30C8" w14:paraId="12F4BA19" w14:textId="77777777" w:rsidTr="00B56916">
        <w:tc>
          <w:tcPr>
            <w:tcW w:w="4219" w:type="dxa"/>
          </w:tcPr>
          <w:p w14:paraId="7F709274" w14:textId="77777777" w:rsidR="00D4742E" w:rsidRPr="00AE30C8" w:rsidRDefault="00D4742E" w:rsidP="00410100">
            <w:pPr>
              <w:rPr>
                <w:rFonts w:cstheme="minorHAnsi"/>
                <w:b/>
                <w:sz w:val="24"/>
                <w:szCs w:val="24"/>
              </w:rPr>
            </w:pPr>
            <w:r w:rsidRPr="00AE30C8">
              <w:rPr>
                <w:rFonts w:cstheme="minorHAnsi"/>
                <w:b/>
                <w:sz w:val="24"/>
                <w:szCs w:val="24"/>
              </w:rPr>
              <w:t>Age, years</w:t>
            </w:r>
          </w:p>
        </w:tc>
        <w:tc>
          <w:tcPr>
            <w:tcW w:w="1936" w:type="dxa"/>
          </w:tcPr>
          <w:p w14:paraId="1CAF770F" w14:textId="77777777" w:rsidR="00D4742E" w:rsidRPr="00AE30C8" w:rsidRDefault="00D4742E" w:rsidP="00410100">
            <w:pPr>
              <w:jc w:val="right"/>
              <w:rPr>
                <w:rFonts w:cstheme="minorHAnsi"/>
                <w:sz w:val="24"/>
                <w:szCs w:val="24"/>
              </w:rPr>
            </w:pPr>
          </w:p>
        </w:tc>
        <w:tc>
          <w:tcPr>
            <w:tcW w:w="1936" w:type="dxa"/>
          </w:tcPr>
          <w:p w14:paraId="12774B4D" w14:textId="77777777" w:rsidR="00D4742E" w:rsidRPr="00AE30C8" w:rsidRDefault="00D4742E" w:rsidP="00410100">
            <w:pPr>
              <w:jc w:val="right"/>
              <w:rPr>
                <w:rFonts w:cstheme="minorHAnsi"/>
                <w:sz w:val="24"/>
                <w:szCs w:val="24"/>
              </w:rPr>
            </w:pPr>
          </w:p>
        </w:tc>
        <w:tc>
          <w:tcPr>
            <w:tcW w:w="1936" w:type="dxa"/>
          </w:tcPr>
          <w:p w14:paraId="05907C14" w14:textId="77777777" w:rsidR="00D4742E" w:rsidRPr="00AE30C8" w:rsidRDefault="00D4742E" w:rsidP="00410100">
            <w:pPr>
              <w:jc w:val="right"/>
              <w:rPr>
                <w:rFonts w:cstheme="minorHAnsi"/>
                <w:sz w:val="24"/>
                <w:szCs w:val="24"/>
              </w:rPr>
            </w:pPr>
          </w:p>
        </w:tc>
      </w:tr>
      <w:tr w:rsidR="00D4742E" w:rsidRPr="00AE30C8" w14:paraId="0063DEB5" w14:textId="77777777" w:rsidTr="00B56916">
        <w:tc>
          <w:tcPr>
            <w:tcW w:w="4219" w:type="dxa"/>
          </w:tcPr>
          <w:p w14:paraId="519418B6" w14:textId="77777777" w:rsidR="00D4742E" w:rsidRPr="00AE30C8" w:rsidRDefault="00D4742E" w:rsidP="00410100">
            <w:pPr>
              <w:rPr>
                <w:rFonts w:cstheme="minorHAnsi"/>
                <w:sz w:val="24"/>
                <w:szCs w:val="24"/>
              </w:rPr>
            </w:pPr>
            <w:r w:rsidRPr="00AE30C8">
              <w:rPr>
                <w:rFonts w:cstheme="minorHAnsi"/>
                <w:sz w:val="24"/>
                <w:szCs w:val="24"/>
              </w:rPr>
              <w:t>Mean (SD)</w:t>
            </w:r>
          </w:p>
        </w:tc>
        <w:tc>
          <w:tcPr>
            <w:tcW w:w="1936" w:type="dxa"/>
          </w:tcPr>
          <w:p w14:paraId="3984F0D5" w14:textId="77777777" w:rsidR="00D4742E" w:rsidRPr="00AE30C8" w:rsidRDefault="00D4742E" w:rsidP="00410100">
            <w:pPr>
              <w:jc w:val="right"/>
              <w:rPr>
                <w:rFonts w:cstheme="minorHAnsi"/>
                <w:sz w:val="24"/>
                <w:szCs w:val="24"/>
              </w:rPr>
            </w:pPr>
            <w:r w:rsidRPr="00AE30C8">
              <w:rPr>
                <w:rFonts w:cstheme="minorHAnsi"/>
                <w:sz w:val="24"/>
                <w:szCs w:val="24"/>
              </w:rPr>
              <w:t>42.7 (11.5)</w:t>
            </w:r>
          </w:p>
        </w:tc>
        <w:tc>
          <w:tcPr>
            <w:tcW w:w="1936" w:type="dxa"/>
          </w:tcPr>
          <w:p w14:paraId="3C17F8BD" w14:textId="77777777" w:rsidR="00D4742E" w:rsidRPr="00AE30C8" w:rsidRDefault="00D4742E" w:rsidP="00410100">
            <w:pPr>
              <w:jc w:val="right"/>
              <w:rPr>
                <w:rFonts w:cstheme="minorHAnsi"/>
                <w:sz w:val="24"/>
                <w:szCs w:val="24"/>
              </w:rPr>
            </w:pPr>
            <w:r w:rsidRPr="00AE30C8">
              <w:rPr>
                <w:rFonts w:cstheme="minorHAnsi"/>
                <w:sz w:val="24"/>
                <w:szCs w:val="24"/>
              </w:rPr>
              <w:t>42.7 (11.3)</w:t>
            </w:r>
          </w:p>
        </w:tc>
        <w:tc>
          <w:tcPr>
            <w:tcW w:w="1936" w:type="dxa"/>
          </w:tcPr>
          <w:p w14:paraId="7EAE50EF" w14:textId="77777777" w:rsidR="00D4742E" w:rsidRPr="00AE30C8" w:rsidRDefault="00D4742E" w:rsidP="00410100">
            <w:pPr>
              <w:jc w:val="right"/>
              <w:rPr>
                <w:rFonts w:cstheme="minorHAnsi"/>
                <w:sz w:val="24"/>
                <w:szCs w:val="24"/>
              </w:rPr>
            </w:pPr>
            <w:r w:rsidRPr="00AE30C8">
              <w:rPr>
                <w:rFonts w:cstheme="minorHAnsi"/>
                <w:sz w:val="24"/>
                <w:szCs w:val="24"/>
              </w:rPr>
              <w:t>42.7 (11.4)</w:t>
            </w:r>
          </w:p>
        </w:tc>
      </w:tr>
      <w:tr w:rsidR="00D4742E" w:rsidRPr="00AE30C8" w14:paraId="21B222F1" w14:textId="77777777" w:rsidTr="00B56916">
        <w:tc>
          <w:tcPr>
            <w:tcW w:w="4219" w:type="dxa"/>
          </w:tcPr>
          <w:p w14:paraId="12637F3A" w14:textId="77777777" w:rsidR="00D4742E" w:rsidRPr="00AE30C8" w:rsidRDefault="00D4742E" w:rsidP="00410100">
            <w:pPr>
              <w:rPr>
                <w:rFonts w:cstheme="minorHAnsi"/>
                <w:sz w:val="24"/>
                <w:szCs w:val="24"/>
              </w:rPr>
            </w:pPr>
            <w:r w:rsidRPr="00AE30C8">
              <w:rPr>
                <w:rFonts w:cstheme="minorHAnsi"/>
                <w:sz w:val="24"/>
                <w:szCs w:val="24"/>
              </w:rPr>
              <w:t>Median (min, max)</w:t>
            </w:r>
          </w:p>
        </w:tc>
        <w:tc>
          <w:tcPr>
            <w:tcW w:w="1936" w:type="dxa"/>
          </w:tcPr>
          <w:p w14:paraId="0E1493C4" w14:textId="77777777" w:rsidR="00D4742E" w:rsidRPr="00AE30C8" w:rsidRDefault="00D4742E" w:rsidP="00410100">
            <w:pPr>
              <w:jc w:val="right"/>
              <w:rPr>
                <w:rFonts w:cstheme="minorHAnsi"/>
                <w:sz w:val="24"/>
                <w:szCs w:val="24"/>
              </w:rPr>
            </w:pPr>
            <w:r w:rsidRPr="00AE30C8">
              <w:rPr>
                <w:rFonts w:cstheme="minorHAnsi"/>
                <w:sz w:val="24"/>
                <w:szCs w:val="24"/>
              </w:rPr>
              <w:t>44.0 (19.0, 74.0)</w:t>
            </w:r>
          </w:p>
        </w:tc>
        <w:tc>
          <w:tcPr>
            <w:tcW w:w="1936" w:type="dxa"/>
          </w:tcPr>
          <w:p w14:paraId="467570D2" w14:textId="77777777" w:rsidR="00D4742E" w:rsidRPr="00AE30C8" w:rsidRDefault="00D4742E" w:rsidP="00410100">
            <w:pPr>
              <w:jc w:val="right"/>
              <w:rPr>
                <w:rFonts w:cstheme="minorHAnsi"/>
                <w:sz w:val="24"/>
                <w:szCs w:val="24"/>
              </w:rPr>
            </w:pPr>
            <w:r w:rsidRPr="00AE30C8">
              <w:rPr>
                <w:rFonts w:cstheme="minorHAnsi"/>
                <w:sz w:val="24"/>
                <w:szCs w:val="24"/>
              </w:rPr>
              <w:t>44.0 (18.0, 71.0)</w:t>
            </w:r>
          </w:p>
        </w:tc>
        <w:tc>
          <w:tcPr>
            <w:tcW w:w="1936" w:type="dxa"/>
          </w:tcPr>
          <w:p w14:paraId="2275F12D" w14:textId="77777777" w:rsidR="00D4742E" w:rsidRPr="00AE30C8" w:rsidRDefault="00D4742E" w:rsidP="00410100">
            <w:pPr>
              <w:jc w:val="right"/>
              <w:rPr>
                <w:rFonts w:cstheme="minorHAnsi"/>
                <w:sz w:val="24"/>
                <w:szCs w:val="24"/>
              </w:rPr>
            </w:pPr>
            <w:r w:rsidRPr="00AE30C8">
              <w:rPr>
                <w:rFonts w:cstheme="minorHAnsi"/>
                <w:sz w:val="24"/>
                <w:szCs w:val="24"/>
              </w:rPr>
              <w:t>44.0 (18.0, 74.0)</w:t>
            </w:r>
          </w:p>
        </w:tc>
      </w:tr>
      <w:tr w:rsidR="00D4742E" w:rsidRPr="00AE30C8" w14:paraId="5D3BCB3F" w14:textId="77777777" w:rsidTr="00B56916">
        <w:tc>
          <w:tcPr>
            <w:tcW w:w="4219" w:type="dxa"/>
          </w:tcPr>
          <w:p w14:paraId="49F337FD" w14:textId="77777777" w:rsidR="00D4742E" w:rsidRPr="00AE30C8" w:rsidRDefault="00D4742E" w:rsidP="00410100">
            <w:pPr>
              <w:rPr>
                <w:rFonts w:cstheme="minorHAnsi"/>
                <w:b/>
                <w:sz w:val="24"/>
                <w:szCs w:val="24"/>
              </w:rPr>
            </w:pPr>
            <w:r w:rsidRPr="00AE30C8">
              <w:rPr>
                <w:rFonts w:cstheme="minorHAnsi"/>
                <w:b/>
                <w:sz w:val="24"/>
                <w:szCs w:val="24"/>
              </w:rPr>
              <w:t>Gender (Female), n (%)</w:t>
            </w:r>
          </w:p>
        </w:tc>
        <w:tc>
          <w:tcPr>
            <w:tcW w:w="1936" w:type="dxa"/>
            <w:vAlign w:val="bottom"/>
          </w:tcPr>
          <w:p w14:paraId="12B7C6D8" w14:textId="77777777" w:rsidR="00D4742E" w:rsidRPr="00AE30C8" w:rsidRDefault="00D4742E" w:rsidP="00410100">
            <w:pPr>
              <w:jc w:val="right"/>
              <w:rPr>
                <w:rFonts w:cstheme="minorHAnsi"/>
                <w:sz w:val="24"/>
                <w:szCs w:val="24"/>
              </w:rPr>
            </w:pPr>
            <w:r w:rsidRPr="00AE30C8">
              <w:rPr>
                <w:rFonts w:cstheme="minorHAnsi"/>
                <w:sz w:val="24"/>
                <w:szCs w:val="24"/>
              </w:rPr>
              <w:t>1948 (85.6)</w:t>
            </w:r>
          </w:p>
        </w:tc>
        <w:tc>
          <w:tcPr>
            <w:tcW w:w="1936" w:type="dxa"/>
            <w:vAlign w:val="bottom"/>
          </w:tcPr>
          <w:p w14:paraId="2F540F75" w14:textId="77777777" w:rsidR="00D4742E" w:rsidRPr="00AE30C8" w:rsidRDefault="00D4742E" w:rsidP="00410100">
            <w:pPr>
              <w:jc w:val="right"/>
              <w:rPr>
                <w:rFonts w:cstheme="minorHAnsi"/>
                <w:sz w:val="24"/>
                <w:szCs w:val="24"/>
              </w:rPr>
            </w:pPr>
            <w:r w:rsidRPr="00AE30C8">
              <w:rPr>
                <w:rFonts w:cstheme="minorHAnsi"/>
                <w:sz w:val="24"/>
                <w:szCs w:val="24"/>
              </w:rPr>
              <w:t>1921 (84.3)</w:t>
            </w:r>
          </w:p>
        </w:tc>
        <w:tc>
          <w:tcPr>
            <w:tcW w:w="1936" w:type="dxa"/>
            <w:vAlign w:val="bottom"/>
          </w:tcPr>
          <w:p w14:paraId="46E1BDD1" w14:textId="77777777" w:rsidR="00D4742E" w:rsidRPr="00AE30C8" w:rsidRDefault="00D4742E" w:rsidP="00410100">
            <w:pPr>
              <w:jc w:val="right"/>
              <w:rPr>
                <w:rFonts w:cstheme="minorHAnsi"/>
                <w:sz w:val="24"/>
                <w:szCs w:val="24"/>
              </w:rPr>
            </w:pPr>
            <w:r w:rsidRPr="00AE30C8">
              <w:rPr>
                <w:rFonts w:cstheme="minorHAnsi"/>
                <w:sz w:val="24"/>
                <w:szCs w:val="24"/>
              </w:rPr>
              <w:t>3869 (85.0)</w:t>
            </w:r>
          </w:p>
        </w:tc>
      </w:tr>
      <w:tr w:rsidR="00D4742E" w:rsidRPr="00AE30C8" w14:paraId="147CAD58" w14:textId="77777777" w:rsidTr="00B56916">
        <w:tc>
          <w:tcPr>
            <w:tcW w:w="4219" w:type="dxa"/>
          </w:tcPr>
          <w:p w14:paraId="59F1254C" w14:textId="77777777" w:rsidR="00D4742E" w:rsidRPr="00AE30C8" w:rsidRDefault="00D4742E" w:rsidP="00410100">
            <w:pPr>
              <w:rPr>
                <w:rFonts w:cstheme="minorHAnsi"/>
                <w:b/>
                <w:sz w:val="24"/>
                <w:szCs w:val="24"/>
              </w:rPr>
            </w:pPr>
            <w:r w:rsidRPr="00AE30C8">
              <w:rPr>
                <w:rFonts w:cstheme="minorHAnsi"/>
                <w:b/>
                <w:sz w:val="24"/>
                <w:szCs w:val="24"/>
              </w:rPr>
              <w:t>Average number of hours worked per week</w:t>
            </w:r>
          </w:p>
        </w:tc>
        <w:tc>
          <w:tcPr>
            <w:tcW w:w="1936" w:type="dxa"/>
          </w:tcPr>
          <w:p w14:paraId="1330C6A7" w14:textId="77777777" w:rsidR="00D4742E" w:rsidRPr="00AE30C8" w:rsidRDefault="00D4742E" w:rsidP="00410100">
            <w:pPr>
              <w:rPr>
                <w:rFonts w:cstheme="minorHAnsi"/>
                <w:sz w:val="24"/>
                <w:szCs w:val="24"/>
              </w:rPr>
            </w:pPr>
          </w:p>
        </w:tc>
        <w:tc>
          <w:tcPr>
            <w:tcW w:w="1936" w:type="dxa"/>
          </w:tcPr>
          <w:p w14:paraId="5141B9AD" w14:textId="77777777" w:rsidR="00D4742E" w:rsidRPr="00AE30C8" w:rsidRDefault="00D4742E" w:rsidP="00410100">
            <w:pPr>
              <w:rPr>
                <w:rFonts w:cstheme="minorHAnsi"/>
                <w:sz w:val="24"/>
                <w:szCs w:val="24"/>
              </w:rPr>
            </w:pPr>
          </w:p>
        </w:tc>
        <w:tc>
          <w:tcPr>
            <w:tcW w:w="1936" w:type="dxa"/>
          </w:tcPr>
          <w:p w14:paraId="617D06D9" w14:textId="77777777" w:rsidR="00D4742E" w:rsidRPr="00AE30C8" w:rsidRDefault="00D4742E" w:rsidP="00410100">
            <w:pPr>
              <w:rPr>
                <w:rFonts w:cstheme="minorHAnsi"/>
                <w:sz w:val="24"/>
                <w:szCs w:val="24"/>
              </w:rPr>
            </w:pPr>
          </w:p>
        </w:tc>
      </w:tr>
      <w:tr w:rsidR="00D4742E" w:rsidRPr="00AE30C8" w14:paraId="630A7372" w14:textId="77777777" w:rsidTr="00B56916">
        <w:tc>
          <w:tcPr>
            <w:tcW w:w="4219" w:type="dxa"/>
          </w:tcPr>
          <w:p w14:paraId="0E12BBC6" w14:textId="77777777" w:rsidR="00D4742E" w:rsidRPr="00AE30C8" w:rsidRDefault="00D4742E" w:rsidP="00410100">
            <w:pPr>
              <w:rPr>
                <w:rFonts w:cstheme="minorHAnsi"/>
                <w:sz w:val="24"/>
                <w:szCs w:val="24"/>
              </w:rPr>
            </w:pPr>
            <w:r w:rsidRPr="00AE30C8">
              <w:rPr>
                <w:rFonts w:cstheme="minorHAnsi"/>
                <w:sz w:val="24"/>
                <w:szCs w:val="24"/>
              </w:rPr>
              <w:t>Mean (SD)</w:t>
            </w:r>
          </w:p>
        </w:tc>
        <w:tc>
          <w:tcPr>
            <w:tcW w:w="1936" w:type="dxa"/>
            <w:vAlign w:val="bottom"/>
          </w:tcPr>
          <w:p w14:paraId="7FBA543F" w14:textId="77777777" w:rsidR="00D4742E" w:rsidRPr="00AE30C8" w:rsidRDefault="00D4742E" w:rsidP="00410100">
            <w:pPr>
              <w:jc w:val="right"/>
              <w:rPr>
                <w:rFonts w:cstheme="minorHAnsi"/>
                <w:sz w:val="24"/>
                <w:szCs w:val="24"/>
              </w:rPr>
            </w:pPr>
            <w:r w:rsidRPr="00AE30C8">
              <w:rPr>
                <w:rFonts w:cstheme="minorHAnsi"/>
                <w:sz w:val="24"/>
                <w:szCs w:val="24"/>
              </w:rPr>
              <w:t>35.8 (4.3)</w:t>
            </w:r>
          </w:p>
        </w:tc>
        <w:tc>
          <w:tcPr>
            <w:tcW w:w="1936" w:type="dxa"/>
            <w:vAlign w:val="bottom"/>
          </w:tcPr>
          <w:p w14:paraId="2A3EF35E" w14:textId="77777777" w:rsidR="00D4742E" w:rsidRPr="00AE30C8" w:rsidRDefault="00D4742E" w:rsidP="00410100">
            <w:pPr>
              <w:jc w:val="right"/>
              <w:rPr>
                <w:rFonts w:cstheme="minorHAnsi"/>
                <w:sz w:val="24"/>
                <w:szCs w:val="24"/>
              </w:rPr>
            </w:pPr>
            <w:r w:rsidRPr="00AE30C8">
              <w:rPr>
                <w:rFonts w:cstheme="minorHAnsi"/>
                <w:sz w:val="24"/>
                <w:szCs w:val="24"/>
              </w:rPr>
              <w:t>35.8 (4.5)</w:t>
            </w:r>
          </w:p>
        </w:tc>
        <w:tc>
          <w:tcPr>
            <w:tcW w:w="1936" w:type="dxa"/>
            <w:vAlign w:val="bottom"/>
          </w:tcPr>
          <w:p w14:paraId="4C0B2800" w14:textId="77777777" w:rsidR="00D4742E" w:rsidRPr="00AE30C8" w:rsidRDefault="00D4742E" w:rsidP="00410100">
            <w:pPr>
              <w:jc w:val="right"/>
              <w:rPr>
                <w:rFonts w:cstheme="minorHAnsi"/>
                <w:sz w:val="24"/>
                <w:szCs w:val="24"/>
              </w:rPr>
            </w:pPr>
            <w:r w:rsidRPr="00AE30C8">
              <w:rPr>
                <w:rFonts w:cstheme="minorHAnsi"/>
                <w:sz w:val="24"/>
                <w:szCs w:val="24"/>
              </w:rPr>
              <w:t>35.8 (4.4)</w:t>
            </w:r>
          </w:p>
        </w:tc>
      </w:tr>
      <w:tr w:rsidR="00D4742E" w:rsidRPr="00AE30C8" w14:paraId="3AD3D810" w14:textId="77777777" w:rsidTr="00B56916">
        <w:tc>
          <w:tcPr>
            <w:tcW w:w="4219" w:type="dxa"/>
          </w:tcPr>
          <w:p w14:paraId="22FBC863" w14:textId="77777777" w:rsidR="00D4742E" w:rsidRPr="00AE30C8" w:rsidRDefault="00D4742E" w:rsidP="00410100">
            <w:pPr>
              <w:rPr>
                <w:rFonts w:cstheme="minorHAnsi"/>
                <w:sz w:val="24"/>
                <w:szCs w:val="24"/>
              </w:rPr>
            </w:pPr>
            <w:r w:rsidRPr="00AE30C8">
              <w:rPr>
                <w:rFonts w:cstheme="minorHAnsi"/>
                <w:sz w:val="24"/>
                <w:szCs w:val="24"/>
              </w:rPr>
              <w:t>Median (min, max)</w:t>
            </w:r>
          </w:p>
        </w:tc>
        <w:tc>
          <w:tcPr>
            <w:tcW w:w="1936" w:type="dxa"/>
            <w:vAlign w:val="bottom"/>
          </w:tcPr>
          <w:p w14:paraId="30434DFD" w14:textId="77777777" w:rsidR="00D4742E" w:rsidRPr="00AE30C8" w:rsidRDefault="00D4742E" w:rsidP="00410100">
            <w:pPr>
              <w:jc w:val="right"/>
              <w:rPr>
                <w:rFonts w:cstheme="minorHAnsi"/>
                <w:sz w:val="24"/>
                <w:szCs w:val="24"/>
              </w:rPr>
            </w:pPr>
            <w:r w:rsidRPr="00AE30C8">
              <w:rPr>
                <w:rFonts w:cstheme="minorHAnsi"/>
                <w:sz w:val="24"/>
                <w:szCs w:val="24"/>
              </w:rPr>
              <w:t>37.5 (22.5, 63.0)</w:t>
            </w:r>
          </w:p>
        </w:tc>
        <w:tc>
          <w:tcPr>
            <w:tcW w:w="1936" w:type="dxa"/>
            <w:vAlign w:val="bottom"/>
          </w:tcPr>
          <w:p w14:paraId="2113BC74" w14:textId="77777777" w:rsidR="00D4742E" w:rsidRPr="00AE30C8" w:rsidRDefault="00D4742E" w:rsidP="00410100">
            <w:pPr>
              <w:jc w:val="right"/>
              <w:rPr>
                <w:rFonts w:cstheme="minorHAnsi"/>
                <w:sz w:val="24"/>
                <w:szCs w:val="24"/>
              </w:rPr>
            </w:pPr>
            <w:r w:rsidRPr="00AE30C8">
              <w:rPr>
                <w:rFonts w:cstheme="minorHAnsi"/>
                <w:sz w:val="24"/>
                <w:szCs w:val="24"/>
              </w:rPr>
              <w:t>37.5 (15.0, 62.0)</w:t>
            </w:r>
          </w:p>
        </w:tc>
        <w:tc>
          <w:tcPr>
            <w:tcW w:w="1936" w:type="dxa"/>
            <w:vAlign w:val="bottom"/>
          </w:tcPr>
          <w:p w14:paraId="0D3163F1" w14:textId="77777777" w:rsidR="00D4742E" w:rsidRPr="00AE30C8" w:rsidRDefault="00D4742E" w:rsidP="00410100">
            <w:pPr>
              <w:jc w:val="right"/>
              <w:rPr>
                <w:rFonts w:cstheme="minorHAnsi"/>
                <w:sz w:val="24"/>
                <w:szCs w:val="24"/>
              </w:rPr>
            </w:pPr>
            <w:r w:rsidRPr="00AE30C8">
              <w:rPr>
                <w:rFonts w:cstheme="minorHAnsi"/>
                <w:sz w:val="24"/>
                <w:szCs w:val="24"/>
              </w:rPr>
              <w:t>37.5 (15.0, 63.0)</w:t>
            </w:r>
          </w:p>
        </w:tc>
      </w:tr>
      <w:tr w:rsidR="00D4742E" w:rsidRPr="00AE30C8" w14:paraId="09D87F3A" w14:textId="77777777" w:rsidTr="00B56916">
        <w:tc>
          <w:tcPr>
            <w:tcW w:w="4219" w:type="dxa"/>
          </w:tcPr>
          <w:p w14:paraId="6C14AA89" w14:textId="77777777" w:rsidR="00D4742E" w:rsidRPr="00AE30C8" w:rsidRDefault="00D4742E" w:rsidP="00410100">
            <w:pPr>
              <w:rPr>
                <w:rFonts w:cstheme="minorHAnsi"/>
                <w:sz w:val="24"/>
                <w:szCs w:val="24"/>
              </w:rPr>
            </w:pPr>
            <w:r w:rsidRPr="00AE30C8">
              <w:rPr>
                <w:rFonts w:cstheme="minorHAnsi"/>
                <w:b/>
                <w:sz w:val="24"/>
                <w:szCs w:val="24"/>
              </w:rPr>
              <w:t>Job type, n (%)</w:t>
            </w:r>
          </w:p>
        </w:tc>
        <w:tc>
          <w:tcPr>
            <w:tcW w:w="1936" w:type="dxa"/>
          </w:tcPr>
          <w:p w14:paraId="6FDF49F8" w14:textId="77777777" w:rsidR="00D4742E" w:rsidRPr="00AE30C8" w:rsidRDefault="00D4742E" w:rsidP="00410100">
            <w:pPr>
              <w:jc w:val="right"/>
              <w:rPr>
                <w:rFonts w:cstheme="minorHAnsi"/>
                <w:sz w:val="24"/>
                <w:szCs w:val="24"/>
              </w:rPr>
            </w:pPr>
          </w:p>
        </w:tc>
        <w:tc>
          <w:tcPr>
            <w:tcW w:w="1936" w:type="dxa"/>
          </w:tcPr>
          <w:p w14:paraId="6425A734" w14:textId="77777777" w:rsidR="00D4742E" w:rsidRPr="00AE30C8" w:rsidRDefault="00D4742E" w:rsidP="00410100">
            <w:pPr>
              <w:jc w:val="right"/>
              <w:rPr>
                <w:rFonts w:cstheme="minorHAnsi"/>
                <w:sz w:val="24"/>
                <w:szCs w:val="24"/>
              </w:rPr>
            </w:pPr>
          </w:p>
        </w:tc>
        <w:tc>
          <w:tcPr>
            <w:tcW w:w="1936" w:type="dxa"/>
          </w:tcPr>
          <w:p w14:paraId="138C5654" w14:textId="77777777" w:rsidR="00D4742E" w:rsidRPr="00AE30C8" w:rsidRDefault="00D4742E" w:rsidP="00410100">
            <w:pPr>
              <w:jc w:val="right"/>
              <w:rPr>
                <w:rFonts w:cstheme="minorHAnsi"/>
                <w:sz w:val="24"/>
                <w:szCs w:val="24"/>
              </w:rPr>
            </w:pPr>
          </w:p>
        </w:tc>
      </w:tr>
      <w:tr w:rsidR="00D4742E" w:rsidRPr="00AE30C8" w14:paraId="549AAEF8" w14:textId="77777777" w:rsidTr="00B56916">
        <w:tc>
          <w:tcPr>
            <w:tcW w:w="4219" w:type="dxa"/>
          </w:tcPr>
          <w:p w14:paraId="51959C13" w14:textId="77777777" w:rsidR="00D4742E" w:rsidRPr="00AE30C8" w:rsidRDefault="00D4742E" w:rsidP="00410100">
            <w:pPr>
              <w:rPr>
                <w:rFonts w:cstheme="minorHAnsi"/>
                <w:sz w:val="24"/>
                <w:szCs w:val="24"/>
              </w:rPr>
            </w:pPr>
            <w:r w:rsidRPr="00AE30C8">
              <w:rPr>
                <w:rFonts w:cstheme="minorHAnsi"/>
                <w:sz w:val="24"/>
                <w:szCs w:val="24"/>
              </w:rPr>
              <w:t>Qualified nurse/midwife</w:t>
            </w:r>
          </w:p>
        </w:tc>
        <w:tc>
          <w:tcPr>
            <w:tcW w:w="1936" w:type="dxa"/>
            <w:vAlign w:val="bottom"/>
          </w:tcPr>
          <w:p w14:paraId="73917418" w14:textId="77777777" w:rsidR="00D4742E" w:rsidRPr="00AE30C8" w:rsidRDefault="00D4742E" w:rsidP="00410100">
            <w:pPr>
              <w:jc w:val="right"/>
              <w:rPr>
                <w:rFonts w:cstheme="minorHAnsi"/>
                <w:sz w:val="24"/>
                <w:szCs w:val="24"/>
              </w:rPr>
            </w:pPr>
            <w:r w:rsidRPr="00AE30C8">
              <w:rPr>
                <w:rFonts w:cstheme="minorHAnsi"/>
                <w:sz w:val="24"/>
                <w:szCs w:val="24"/>
              </w:rPr>
              <w:t>952 (41.8)</w:t>
            </w:r>
          </w:p>
        </w:tc>
        <w:tc>
          <w:tcPr>
            <w:tcW w:w="1936" w:type="dxa"/>
            <w:vAlign w:val="bottom"/>
          </w:tcPr>
          <w:p w14:paraId="2E1FABD7" w14:textId="77777777" w:rsidR="00D4742E" w:rsidRPr="00AE30C8" w:rsidRDefault="00D4742E" w:rsidP="00410100">
            <w:pPr>
              <w:jc w:val="right"/>
              <w:rPr>
                <w:rFonts w:cstheme="minorHAnsi"/>
                <w:sz w:val="24"/>
                <w:szCs w:val="24"/>
              </w:rPr>
            </w:pPr>
            <w:r w:rsidRPr="00AE30C8">
              <w:rPr>
                <w:rFonts w:cstheme="minorHAnsi"/>
                <w:sz w:val="24"/>
                <w:szCs w:val="24"/>
              </w:rPr>
              <w:t>985 (43.2)</w:t>
            </w:r>
          </w:p>
        </w:tc>
        <w:tc>
          <w:tcPr>
            <w:tcW w:w="1936" w:type="dxa"/>
            <w:vAlign w:val="bottom"/>
          </w:tcPr>
          <w:p w14:paraId="101018F8" w14:textId="77777777" w:rsidR="00D4742E" w:rsidRPr="00AE30C8" w:rsidRDefault="00D4742E" w:rsidP="00410100">
            <w:pPr>
              <w:jc w:val="right"/>
              <w:rPr>
                <w:rFonts w:cstheme="minorHAnsi"/>
                <w:sz w:val="24"/>
                <w:szCs w:val="24"/>
              </w:rPr>
            </w:pPr>
            <w:r w:rsidRPr="00AE30C8">
              <w:rPr>
                <w:rFonts w:cstheme="minorHAnsi"/>
                <w:sz w:val="24"/>
                <w:szCs w:val="24"/>
              </w:rPr>
              <w:t>1937 (42.5)</w:t>
            </w:r>
          </w:p>
        </w:tc>
      </w:tr>
      <w:tr w:rsidR="00D4742E" w:rsidRPr="00AE30C8" w14:paraId="50F63E74" w14:textId="77777777" w:rsidTr="00B56916">
        <w:tc>
          <w:tcPr>
            <w:tcW w:w="4219" w:type="dxa"/>
            <w:vAlign w:val="bottom"/>
          </w:tcPr>
          <w:p w14:paraId="4D3747DE" w14:textId="77777777" w:rsidR="00D4742E" w:rsidRPr="00AE30C8" w:rsidRDefault="00D4742E" w:rsidP="00410100">
            <w:pPr>
              <w:rPr>
                <w:rFonts w:cstheme="minorHAnsi"/>
                <w:sz w:val="24"/>
                <w:szCs w:val="24"/>
              </w:rPr>
            </w:pPr>
            <w:r w:rsidRPr="00AE30C8">
              <w:rPr>
                <w:rFonts w:cstheme="minorHAnsi"/>
                <w:sz w:val="24"/>
                <w:szCs w:val="24"/>
              </w:rPr>
              <w:t>Support worker</w:t>
            </w:r>
          </w:p>
        </w:tc>
        <w:tc>
          <w:tcPr>
            <w:tcW w:w="1936" w:type="dxa"/>
            <w:vAlign w:val="bottom"/>
          </w:tcPr>
          <w:p w14:paraId="5CCCFF71" w14:textId="77777777" w:rsidR="00D4742E" w:rsidRPr="00AE30C8" w:rsidRDefault="00D4742E" w:rsidP="00410100">
            <w:pPr>
              <w:jc w:val="right"/>
              <w:rPr>
                <w:rFonts w:cstheme="minorHAnsi"/>
                <w:sz w:val="24"/>
                <w:szCs w:val="24"/>
              </w:rPr>
            </w:pPr>
            <w:r w:rsidRPr="00AE30C8">
              <w:rPr>
                <w:rFonts w:cstheme="minorHAnsi"/>
                <w:sz w:val="24"/>
                <w:szCs w:val="24"/>
              </w:rPr>
              <w:t>286 (12.6)</w:t>
            </w:r>
          </w:p>
        </w:tc>
        <w:tc>
          <w:tcPr>
            <w:tcW w:w="1936" w:type="dxa"/>
            <w:vAlign w:val="bottom"/>
          </w:tcPr>
          <w:p w14:paraId="3F706C31" w14:textId="77777777" w:rsidR="00D4742E" w:rsidRPr="00AE30C8" w:rsidRDefault="00D4742E" w:rsidP="00410100">
            <w:pPr>
              <w:jc w:val="right"/>
              <w:rPr>
                <w:rFonts w:cstheme="minorHAnsi"/>
                <w:sz w:val="24"/>
                <w:szCs w:val="24"/>
              </w:rPr>
            </w:pPr>
            <w:r w:rsidRPr="00AE30C8">
              <w:rPr>
                <w:rFonts w:cstheme="minorHAnsi"/>
                <w:sz w:val="24"/>
                <w:szCs w:val="24"/>
              </w:rPr>
              <w:t>276 (12.1)</w:t>
            </w:r>
          </w:p>
        </w:tc>
        <w:tc>
          <w:tcPr>
            <w:tcW w:w="1936" w:type="dxa"/>
            <w:vAlign w:val="bottom"/>
          </w:tcPr>
          <w:p w14:paraId="56F35AFB" w14:textId="77777777" w:rsidR="00D4742E" w:rsidRPr="00AE30C8" w:rsidRDefault="00D4742E" w:rsidP="00410100">
            <w:pPr>
              <w:jc w:val="right"/>
              <w:rPr>
                <w:rFonts w:cstheme="minorHAnsi"/>
                <w:sz w:val="24"/>
                <w:szCs w:val="24"/>
              </w:rPr>
            </w:pPr>
            <w:r w:rsidRPr="00AE30C8">
              <w:rPr>
                <w:rFonts w:cstheme="minorHAnsi"/>
                <w:sz w:val="24"/>
                <w:szCs w:val="24"/>
              </w:rPr>
              <w:t>562 (12.3)</w:t>
            </w:r>
          </w:p>
        </w:tc>
      </w:tr>
      <w:tr w:rsidR="00D4742E" w:rsidRPr="00AE30C8" w14:paraId="61B316CD" w14:textId="77777777" w:rsidTr="00B56916">
        <w:tc>
          <w:tcPr>
            <w:tcW w:w="4219" w:type="dxa"/>
            <w:vAlign w:val="bottom"/>
          </w:tcPr>
          <w:p w14:paraId="11C6B7DE" w14:textId="77777777" w:rsidR="00D4742E" w:rsidRPr="00AE30C8" w:rsidRDefault="00D4742E" w:rsidP="00410100">
            <w:pPr>
              <w:rPr>
                <w:rFonts w:cstheme="minorHAnsi"/>
                <w:sz w:val="24"/>
                <w:szCs w:val="24"/>
              </w:rPr>
            </w:pPr>
            <w:r w:rsidRPr="00AE30C8">
              <w:rPr>
                <w:rFonts w:cstheme="minorHAnsi"/>
                <w:sz w:val="24"/>
                <w:szCs w:val="24"/>
              </w:rPr>
              <w:t>Healthcare assistant</w:t>
            </w:r>
          </w:p>
        </w:tc>
        <w:tc>
          <w:tcPr>
            <w:tcW w:w="1936" w:type="dxa"/>
            <w:vAlign w:val="bottom"/>
          </w:tcPr>
          <w:p w14:paraId="0F887D51" w14:textId="77777777" w:rsidR="00D4742E" w:rsidRPr="00AE30C8" w:rsidRDefault="00D4742E" w:rsidP="00410100">
            <w:pPr>
              <w:jc w:val="right"/>
              <w:rPr>
                <w:rFonts w:cstheme="minorHAnsi"/>
                <w:sz w:val="24"/>
                <w:szCs w:val="24"/>
              </w:rPr>
            </w:pPr>
            <w:r w:rsidRPr="00AE30C8">
              <w:rPr>
                <w:rFonts w:cstheme="minorHAnsi"/>
                <w:sz w:val="24"/>
                <w:szCs w:val="24"/>
              </w:rPr>
              <w:t>272 (12.0)</w:t>
            </w:r>
          </w:p>
        </w:tc>
        <w:tc>
          <w:tcPr>
            <w:tcW w:w="1936" w:type="dxa"/>
            <w:vAlign w:val="bottom"/>
          </w:tcPr>
          <w:p w14:paraId="023C52B6" w14:textId="77777777" w:rsidR="00D4742E" w:rsidRPr="00AE30C8" w:rsidRDefault="00D4742E" w:rsidP="00410100">
            <w:pPr>
              <w:jc w:val="right"/>
              <w:rPr>
                <w:rFonts w:cstheme="minorHAnsi"/>
                <w:sz w:val="24"/>
                <w:szCs w:val="24"/>
              </w:rPr>
            </w:pPr>
            <w:r w:rsidRPr="00AE30C8">
              <w:rPr>
                <w:rFonts w:cstheme="minorHAnsi"/>
                <w:sz w:val="24"/>
                <w:szCs w:val="24"/>
              </w:rPr>
              <w:t>246 (10.8)</w:t>
            </w:r>
          </w:p>
        </w:tc>
        <w:tc>
          <w:tcPr>
            <w:tcW w:w="1936" w:type="dxa"/>
            <w:vAlign w:val="bottom"/>
          </w:tcPr>
          <w:p w14:paraId="5F3DD221" w14:textId="77777777" w:rsidR="00D4742E" w:rsidRPr="00AE30C8" w:rsidRDefault="00D4742E" w:rsidP="00410100">
            <w:pPr>
              <w:jc w:val="right"/>
              <w:rPr>
                <w:rFonts w:cstheme="minorHAnsi"/>
                <w:sz w:val="24"/>
                <w:szCs w:val="24"/>
              </w:rPr>
            </w:pPr>
            <w:r w:rsidRPr="00AE30C8">
              <w:rPr>
                <w:rFonts w:cstheme="minorHAnsi"/>
                <w:sz w:val="24"/>
                <w:szCs w:val="24"/>
              </w:rPr>
              <w:t>518 (11.4)</w:t>
            </w:r>
          </w:p>
        </w:tc>
      </w:tr>
      <w:tr w:rsidR="00D4742E" w:rsidRPr="00AE30C8" w14:paraId="1E5A866A" w14:textId="77777777" w:rsidTr="00B56916">
        <w:tc>
          <w:tcPr>
            <w:tcW w:w="4219" w:type="dxa"/>
            <w:vAlign w:val="bottom"/>
          </w:tcPr>
          <w:p w14:paraId="2E7EAD03" w14:textId="77777777" w:rsidR="00D4742E" w:rsidRPr="00AE30C8" w:rsidRDefault="00D4742E" w:rsidP="00410100">
            <w:pPr>
              <w:rPr>
                <w:rFonts w:cstheme="minorHAnsi"/>
                <w:sz w:val="24"/>
                <w:szCs w:val="24"/>
              </w:rPr>
            </w:pPr>
            <w:r w:rsidRPr="00AE30C8">
              <w:rPr>
                <w:rFonts w:cstheme="minorHAnsi"/>
                <w:sz w:val="24"/>
                <w:szCs w:val="24"/>
              </w:rPr>
              <w:lastRenderedPageBreak/>
              <w:t>Other qualified staff/healthcare professional</w:t>
            </w:r>
          </w:p>
        </w:tc>
        <w:tc>
          <w:tcPr>
            <w:tcW w:w="1936" w:type="dxa"/>
            <w:vAlign w:val="bottom"/>
          </w:tcPr>
          <w:p w14:paraId="4CC00D34" w14:textId="77777777" w:rsidR="00D4742E" w:rsidRPr="00AE30C8" w:rsidRDefault="00D4742E" w:rsidP="00410100">
            <w:pPr>
              <w:jc w:val="right"/>
              <w:rPr>
                <w:rFonts w:cstheme="minorHAnsi"/>
                <w:sz w:val="24"/>
                <w:szCs w:val="24"/>
              </w:rPr>
            </w:pPr>
            <w:r w:rsidRPr="00AE30C8">
              <w:rPr>
                <w:rFonts w:cstheme="minorHAnsi"/>
                <w:sz w:val="24"/>
                <w:szCs w:val="24"/>
              </w:rPr>
              <w:t>150 (6.6)</w:t>
            </w:r>
          </w:p>
        </w:tc>
        <w:tc>
          <w:tcPr>
            <w:tcW w:w="1936" w:type="dxa"/>
            <w:vAlign w:val="bottom"/>
          </w:tcPr>
          <w:p w14:paraId="7EC757CF" w14:textId="77777777" w:rsidR="00D4742E" w:rsidRPr="00AE30C8" w:rsidRDefault="00D4742E" w:rsidP="00410100">
            <w:pPr>
              <w:jc w:val="right"/>
              <w:rPr>
                <w:rFonts w:cstheme="minorHAnsi"/>
                <w:sz w:val="24"/>
                <w:szCs w:val="24"/>
              </w:rPr>
            </w:pPr>
            <w:r w:rsidRPr="00AE30C8">
              <w:rPr>
                <w:rFonts w:cstheme="minorHAnsi"/>
                <w:sz w:val="24"/>
                <w:szCs w:val="24"/>
              </w:rPr>
              <w:t>163 (7.2)</w:t>
            </w:r>
          </w:p>
        </w:tc>
        <w:tc>
          <w:tcPr>
            <w:tcW w:w="1936" w:type="dxa"/>
            <w:vAlign w:val="bottom"/>
          </w:tcPr>
          <w:p w14:paraId="40808AD3" w14:textId="77777777" w:rsidR="00D4742E" w:rsidRPr="00AE30C8" w:rsidRDefault="00D4742E" w:rsidP="00410100">
            <w:pPr>
              <w:jc w:val="right"/>
              <w:rPr>
                <w:rFonts w:cstheme="minorHAnsi"/>
                <w:sz w:val="24"/>
                <w:szCs w:val="24"/>
              </w:rPr>
            </w:pPr>
            <w:r w:rsidRPr="00AE30C8">
              <w:rPr>
                <w:rFonts w:cstheme="minorHAnsi"/>
                <w:sz w:val="24"/>
                <w:szCs w:val="24"/>
              </w:rPr>
              <w:t>313 (6.9)</w:t>
            </w:r>
          </w:p>
        </w:tc>
      </w:tr>
      <w:tr w:rsidR="00D4742E" w:rsidRPr="00AE30C8" w14:paraId="354778BB" w14:textId="77777777" w:rsidTr="00B56916">
        <w:tc>
          <w:tcPr>
            <w:tcW w:w="4219" w:type="dxa"/>
            <w:vAlign w:val="bottom"/>
          </w:tcPr>
          <w:p w14:paraId="11E3481C" w14:textId="77777777" w:rsidR="00D4742E" w:rsidRPr="00AE30C8" w:rsidRDefault="00D4742E" w:rsidP="00410100">
            <w:pPr>
              <w:rPr>
                <w:rFonts w:cstheme="minorHAnsi"/>
                <w:sz w:val="24"/>
                <w:szCs w:val="24"/>
              </w:rPr>
            </w:pPr>
            <w:r w:rsidRPr="00AE30C8">
              <w:rPr>
                <w:rFonts w:cstheme="minorHAnsi"/>
                <w:sz w:val="24"/>
                <w:szCs w:val="24"/>
              </w:rPr>
              <w:t>Domestic services</w:t>
            </w:r>
          </w:p>
        </w:tc>
        <w:tc>
          <w:tcPr>
            <w:tcW w:w="1936" w:type="dxa"/>
            <w:vAlign w:val="bottom"/>
          </w:tcPr>
          <w:p w14:paraId="5752051B" w14:textId="77777777" w:rsidR="00D4742E" w:rsidRPr="00AE30C8" w:rsidRDefault="00D4742E" w:rsidP="00410100">
            <w:pPr>
              <w:jc w:val="right"/>
              <w:rPr>
                <w:rFonts w:cstheme="minorHAnsi"/>
                <w:sz w:val="24"/>
                <w:szCs w:val="24"/>
              </w:rPr>
            </w:pPr>
            <w:r w:rsidRPr="00AE30C8">
              <w:rPr>
                <w:rFonts w:cstheme="minorHAnsi"/>
                <w:sz w:val="24"/>
                <w:szCs w:val="24"/>
              </w:rPr>
              <w:t>115 (5.1)</w:t>
            </w:r>
          </w:p>
        </w:tc>
        <w:tc>
          <w:tcPr>
            <w:tcW w:w="1936" w:type="dxa"/>
            <w:vAlign w:val="bottom"/>
          </w:tcPr>
          <w:p w14:paraId="009AB9B9" w14:textId="77777777" w:rsidR="00D4742E" w:rsidRPr="00AE30C8" w:rsidRDefault="00D4742E" w:rsidP="00410100">
            <w:pPr>
              <w:jc w:val="right"/>
              <w:rPr>
                <w:rFonts w:cstheme="minorHAnsi"/>
                <w:sz w:val="24"/>
                <w:szCs w:val="24"/>
              </w:rPr>
            </w:pPr>
            <w:r w:rsidRPr="00AE30C8">
              <w:rPr>
                <w:rFonts w:cstheme="minorHAnsi"/>
                <w:sz w:val="24"/>
                <w:szCs w:val="24"/>
              </w:rPr>
              <w:t>110 (4.8)</w:t>
            </w:r>
          </w:p>
        </w:tc>
        <w:tc>
          <w:tcPr>
            <w:tcW w:w="1936" w:type="dxa"/>
            <w:vAlign w:val="bottom"/>
          </w:tcPr>
          <w:p w14:paraId="4AD3AAAD" w14:textId="77777777" w:rsidR="00D4742E" w:rsidRPr="00AE30C8" w:rsidRDefault="00D4742E" w:rsidP="00410100">
            <w:pPr>
              <w:jc w:val="right"/>
              <w:rPr>
                <w:rFonts w:cstheme="minorHAnsi"/>
                <w:sz w:val="24"/>
                <w:szCs w:val="24"/>
              </w:rPr>
            </w:pPr>
            <w:r w:rsidRPr="00AE30C8">
              <w:rPr>
                <w:rFonts w:cstheme="minorHAnsi"/>
                <w:sz w:val="24"/>
                <w:szCs w:val="24"/>
              </w:rPr>
              <w:t>225 (4.9)</w:t>
            </w:r>
          </w:p>
        </w:tc>
      </w:tr>
      <w:tr w:rsidR="00D4742E" w:rsidRPr="00AE30C8" w14:paraId="09A1CC55" w14:textId="77777777" w:rsidTr="00B56916">
        <w:tc>
          <w:tcPr>
            <w:tcW w:w="4219" w:type="dxa"/>
            <w:vAlign w:val="bottom"/>
          </w:tcPr>
          <w:p w14:paraId="11EF609F" w14:textId="77777777" w:rsidR="00D4742E" w:rsidRPr="00AE30C8" w:rsidRDefault="00D4742E" w:rsidP="00410100">
            <w:pPr>
              <w:rPr>
                <w:rFonts w:cstheme="minorHAnsi"/>
                <w:sz w:val="24"/>
                <w:szCs w:val="24"/>
              </w:rPr>
            </w:pPr>
            <w:r w:rsidRPr="00AE30C8">
              <w:rPr>
                <w:rFonts w:cstheme="minorHAnsi"/>
                <w:sz w:val="24"/>
                <w:szCs w:val="24"/>
              </w:rPr>
              <w:t>Administrator/receptionist/secretarial</w:t>
            </w:r>
          </w:p>
        </w:tc>
        <w:tc>
          <w:tcPr>
            <w:tcW w:w="1936" w:type="dxa"/>
            <w:vAlign w:val="bottom"/>
          </w:tcPr>
          <w:p w14:paraId="275A8091" w14:textId="77777777" w:rsidR="00D4742E" w:rsidRPr="00AE30C8" w:rsidRDefault="00D4742E" w:rsidP="00410100">
            <w:pPr>
              <w:jc w:val="right"/>
              <w:rPr>
                <w:rFonts w:cstheme="minorHAnsi"/>
                <w:sz w:val="24"/>
                <w:szCs w:val="24"/>
              </w:rPr>
            </w:pPr>
            <w:r w:rsidRPr="00AE30C8">
              <w:rPr>
                <w:rFonts w:cstheme="minorHAnsi"/>
                <w:sz w:val="24"/>
                <w:szCs w:val="24"/>
              </w:rPr>
              <w:t>78 (3.4)</w:t>
            </w:r>
          </w:p>
        </w:tc>
        <w:tc>
          <w:tcPr>
            <w:tcW w:w="1936" w:type="dxa"/>
            <w:vAlign w:val="bottom"/>
          </w:tcPr>
          <w:p w14:paraId="5602F51E" w14:textId="77777777" w:rsidR="00D4742E" w:rsidRPr="00AE30C8" w:rsidRDefault="00D4742E" w:rsidP="00410100">
            <w:pPr>
              <w:jc w:val="right"/>
              <w:rPr>
                <w:rFonts w:cstheme="minorHAnsi"/>
                <w:sz w:val="24"/>
                <w:szCs w:val="24"/>
              </w:rPr>
            </w:pPr>
            <w:r w:rsidRPr="00AE30C8">
              <w:rPr>
                <w:rFonts w:cstheme="minorHAnsi"/>
                <w:sz w:val="24"/>
                <w:szCs w:val="24"/>
              </w:rPr>
              <w:t>100 (4.4)</w:t>
            </w:r>
          </w:p>
        </w:tc>
        <w:tc>
          <w:tcPr>
            <w:tcW w:w="1936" w:type="dxa"/>
            <w:vAlign w:val="bottom"/>
          </w:tcPr>
          <w:p w14:paraId="4A8273D0" w14:textId="77777777" w:rsidR="00D4742E" w:rsidRPr="00AE30C8" w:rsidRDefault="00D4742E" w:rsidP="00410100">
            <w:pPr>
              <w:jc w:val="right"/>
              <w:rPr>
                <w:rFonts w:cstheme="minorHAnsi"/>
                <w:sz w:val="24"/>
                <w:szCs w:val="24"/>
              </w:rPr>
            </w:pPr>
            <w:r w:rsidRPr="00AE30C8">
              <w:rPr>
                <w:rFonts w:cstheme="minorHAnsi"/>
                <w:sz w:val="24"/>
                <w:szCs w:val="24"/>
              </w:rPr>
              <w:t>178 (3.9)</w:t>
            </w:r>
          </w:p>
        </w:tc>
      </w:tr>
      <w:tr w:rsidR="00D4742E" w:rsidRPr="00AE30C8" w14:paraId="66E07153" w14:textId="77777777" w:rsidTr="00B56916">
        <w:tc>
          <w:tcPr>
            <w:tcW w:w="4219" w:type="dxa"/>
            <w:vAlign w:val="bottom"/>
          </w:tcPr>
          <w:p w14:paraId="1F287D39" w14:textId="77777777" w:rsidR="00D4742E" w:rsidRPr="00AE30C8" w:rsidRDefault="00D4742E" w:rsidP="00410100">
            <w:pPr>
              <w:rPr>
                <w:rFonts w:cstheme="minorHAnsi"/>
                <w:sz w:val="24"/>
                <w:szCs w:val="24"/>
              </w:rPr>
            </w:pPr>
            <w:r w:rsidRPr="00AE30C8">
              <w:rPr>
                <w:rFonts w:cstheme="minorHAnsi"/>
                <w:sz w:val="24"/>
                <w:szCs w:val="24"/>
              </w:rPr>
              <w:t>Occupational Therapist</w:t>
            </w:r>
          </w:p>
        </w:tc>
        <w:tc>
          <w:tcPr>
            <w:tcW w:w="1936" w:type="dxa"/>
            <w:vAlign w:val="bottom"/>
          </w:tcPr>
          <w:p w14:paraId="6F58AADA" w14:textId="77777777" w:rsidR="00D4742E" w:rsidRPr="00AE30C8" w:rsidRDefault="00D4742E" w:rsidP="00410100">
            <w:pPr>
              <w:jc w:val="right"/>
              <w:rPr>
                <w:rFonts w:cstheme="minorHAnsi"/>
                <w:sz w:val="24"/>
                <w:szCs w:val="24"/>
              </w:rPr>
            </w:pPr>
            <w:r w:rsidRPr="00AE30C8">
              <w:rPr>
                <w:rFonts w:cstheme="minorHAnsi"/>
                <w:sz w:val="24"/>
                <w:szCs w:val="24"/>
              </w:rPr>
              <w:t>65 (2.9)</w:t>
            </w:r>
          </w:p>
        </w:tc>
        <w:tc>
          <w:tcPr>
            <w:tcW w:w="1936" w:type="dxa"/>
            <w:vAlign w:val="bottom"/>
          </w:tcPr>
          <w:p w14:paraId="379F6169" w14:textId="77777777" w:rsidR="00D4742E" w:rsidRPr="00AE30C8" w:rsidRDefault="00D4742E" w:rsidP="00410100">
            <w:pPr>
              <w:jc w:val="right"/>
              <w:rPr>
                <w:rFonts w:cstheme="minorHAnsi"/>
                <w:sz w:val="24"/>
                <w:szCs w:val="24"/>
              </w:rPr>
            </w:pPr>
            <w:r w:rsidRPr="00AE30C8">
              <w:rPr>
                <w:rFonts w:cstheme="minorHAnsi"/>
                <w:sz w:val="24"/>
                <w:szCs w:val="24"/>
              </w:rPr>
              <w:t>65 (2.9)</w:t>
            </w:r>
          </w:p>
        </w:tc>
        <w:tc>
          <w:tcPr>
            <w:tcW w:w="1936" w:type="dxa"/>
            <w:vAlign w:val="bottom"/>
          </w:tcPr>
          <w:p w14:paraId="7868C87E" w14:textId="77777777" w:rsidR="00D4742E" w:rsidRPr="00AE30C8" w:rsidRDefault="00D4742E" w:rsidP="00410100">
            <w:pPr>
              <w:jc w:val="right"/>
              <w:rPr>
                <w:rFonts w:cstheme="minorHAnsi"/>
                <w:sz w:val="24"/>
                <w:szCs w:val="24"/>
              </w:rPr>
            </w:pPr>
            <w:r w:rsidRPr="00AE30C8">
              <w:rPr>
                <w:rFonts w:cstheme="minorHAnsi"/>
                <w:sz w:val="24"/>
                <w:szCs w:val="24"/>
              </w:rPr>
              <w:t>130 (2.9)</w:t>
            </w:r>
          </w:p>
        </w:tc>
      </w:tr>
      <w:tr w:rsidR="00D4742E" w:rsidRPr="00AE30C8" w14:paraId="4453DBD7" w14:textId="77777777" w:rsidTr="00B56916">
        <w:tc>
          <w:tcPr>
            <w:tcW w:w="4219" w:type="dxa"/>
            <w:vAlign w:val="bottom"/>
          </w:tcPr>
          <w:p w14:paraId="4B685831" w14:textId="77777777" w:rsidR="00D4742E" w:rsidRPr="00AE30C8" w:rsidRDefault="00D4742E" w:rsidP="00410100">
            <w:pPr>
              <w:rPr>
                <w:rFonts w:cstheme="minorHAnsi"/>
                <w:sz w:val="24"/>
                <w:szCs w:val="24"/>
              </w:rPr>
            </w:pPr>
            <w:r w:rsidRPr="00AE30C8">
              <w:rPr>
                <w:rFonts w:cstheme="minorHAnsi"/>
                <w:sz w:val="24"/>
                <w:szCs w:val="24"/>
              </w:rPr>
              <w:t>Imaging</w:t>
            </w:r>
          </w:p>
        </w:tc>
        <w:tc>
          <w:tcPr>
            <w:tcW w:w="1936" w:type="dxa"/>
            <w:vAlign w:val="bottom"/>
          </w:tcPr>
          <w:p w14:paraId="7D0C1DDF" w14:textId="77777777" w:rsidR="00D4742E" w:rsidRPr="00AE30C8" w:rsidRDefault="00D4742E" w:rsidP="00410100">
            <w:pPr>
              <w:jc w:val="right"/>
              <w:rPr>
                <w:rFonts w:cstheme="minorHAnsi"/>
                <w:sz w:val="24"/>
                <w:szCs w:val="24"/>
              </w:rPr>
            </w:pPr>
            <w:r w:rsidRPr="00AE30C8">
              <w:rPr>
                <w:rFonts w:cstheme="minorHAnsi"/>
                <w:sz w:val="24"/>
                <w:szCs w:val="24"/>
              </w:rPr>
              <w:t>64 (2.8)</w:t>
            </w:r>
          </w:p>
        </w:tc>
        <w:tc>
          <w:tcPr>
            <w:tcW w:w="1936" w:type="dxa"/>
            <w:vAlign w:val="bottom"/>
          </w:tcPr>
          <w:p w14:paraId="54E2FE8E" w14:textId="77777777" w:rsidR="00D4742E" w:rsidRPr="00AE30C8" w:rsidRDefault="00D4742E" w:rsidP="00410100">
            <w:pPr>
              <w:jc w:val="right"/>
              <w:rPr>
                <w:rFonts w:cstheme="minorHAnsi"/>
                <w:sz w:val="24"/>
                <w:szCs w:val="24"/>
              </w:rPr>
            </w:pPr>
            <w:r w:rsidRPr="00AE30C8">
              <w:rPr>
                <w:rFonts w:cstheme="minorHAnsi"/>
                <w:sz w:val="24"/>
                <w:szCs w:val="24"/>
              </w:rPr>
              <w:t>53 (2.3)</w:t>
            </w:r>
          </w:p>
        </w:tc>
        <w:tc>
          <w:tcPr>
            <w:tcW w:w="1936" w:type="dxa"/>
            <w:vAlign w:val="bottom"/>
          </w:tcPr>
          <w:p w14:paraId="234C61E2" w14:textId="77777777" w:rsidR="00D4742E" w:rsidRPr="00AE30C8" w:rsidRDefault="00D4742E" w:rsidP="00410100">
            <w:pPr>
              <w:jc w:val="right"/>
              <w:rPr>
                <w:rFonts w:cstheme="minorHAnsi"/>
                <w:sz w:val="24"/>
                <w:szCs w:val="24"/>
              </w:rPr>
            </w:pPr>
            <w:r w:rsidRPr="00AE30C8">
              <w:rPr>
                <w:rFonts w:cstheme="minorHAnsi"/>
                <w:sz w:val="24"/>
                <w:szCs w:val="24"/>
              </w:rPr>
              <w:t>117 (2.6)</w:t>
            </w:r>
          </w:p>
        </w:tc>
      </w:tr>
      <w:tr w:rsidR="00D4742E" w:rsidRPr="00AE30C8" w14:paraId="35F32676" w14:textId="77777777" w:rsidTr="00B56916">
        <w:tc>
          <w:tcPr>
            <w:tcW w:w="4219" w:type="dxa"/>
            <w:vAlign w:val="bottom"/>
          </w:tcPr>
          <w:p w14:paraId="60259E8C" w14:textId="77777777" w:rsidR="00D4742E" w:rsidRPr="00AE30C8" w:rsidRDefault="00D4742E" w:rsidP="00410100">
            <w:pPr>
              <w:rPr>
                <w:rFonts w:cstheme="minorHAnsi"/>
                <w:sz w:val="24"/>
                <w:szCs w:val="24"/>
              </w:rPr>
            </w:pPr>
            <w:r w:rsidRPr="00AE30C8">
              <w:rPr>
                <w:rFonts w:cstheme="minorHAnsi"/>
                <w:sz w:val="24"/>
                <w:szCs w:val="24"/>
              </w:rPr>
              <w:t>Physiotherapist</w:t>
            </w:r>
          </w:p>
        </w:tc>
        <w:tc>
          <w:tcPr>
            <w:tcW w:w="1936" w:type="dxa"/>
            <w:vAlign w:val="bottom"/>
          </w:tcPr>
          <w:p w14:paraId="1E4039BA" w14:textId="77777777" w:rsidR="00D4742E" w:rsidRPr="00AE30C8" w:rsidRDefault="00D4742E" w:rsidP="00410100">
            <w:pPr>
              <w:jc w:val="right"/>
              <w:rPr>
                <w:rFonts w:cstheme="minorHAnsi"/>
                <w:sz w:val="24"/>
                <w:szCs w:val="24"/>
              </w:rPr>
            </w:pPr>
            <w:r w:rsidRPr="00AE30C8">
              <w:rPr>
                <w:rFonts w:cstheme="minorHAnsi"/>
                <w:sz w:val="24"/>
                <w:szCs w:val="24"/>
              </w:rPr>
              <w:t>68 (3.0)</w:t>
            </w:r>
          </w:p>
        </w:tc>
        <w:tc>
          <w:tcPr>
            <w:tcW w:w="1936" w:type="dxa"/>
            <w:vAlign w:val="bottom"/>
          </w:tcPr>
          <w:p w14:paraId="20F35862" w14:textId="77777777" w:rsidR="00D4742E" w:rsidRPr="00AE30C8" w:rsidRDefault="00D4742E" w:rsidP="00410100">
            <w:pPr>
              <w:jc w:val="right"/>
              <w:rPr>
                <w:rFonts w:cstheme="minorHAnsi"/>
                <w:sz w:val="24"/>
                <w:szCs w:val="24"/>
              </w:rPr>
            </w:pPr>
            <w:r w:rsidRPr="00AE30C8">
              <w:rPr>
                <w:rFonts w:cstheme="minorHAnsi"/>
                <w:sz w:val="24"/>
                <w:szCs w:val="24"/>
              </w:rPr>
              <w:t>36 (1.6)</w:t>
            </w:r>
          </w:p>
        </w:tc>
        <w:tc>
          <w:tcPr>
            <w:tcW w:w="1936" w:type="dxa"/>
            <w:vAlign w:val="bottom"/>
          </w:tcPr>
          <w:p w14:paraId="329269D7" w14:textId="77777777" w:rsidR="00D4742E" w:rsidRPr="00AE30C8" w:rsidRDefault="00D4742E" w:rsidP="00410100">
            <w:pPr>
              <w:jc w:val="right"/>
              <w:rPr>
                <w:rFonts w:cstheme="minorHAnsi"/>
                <w:sz w:val="24"/>
                <w:szCs w:val="24"/>
              </w:rPr>
            </w:pPr>
            <w:r w:rsidRPr="00AE30C8">
              <w:rPr>
                <w:rFonts w:cstheme="minorHAnsi"/>
                <w:sz w:val="24"/>
                <w:szCs w:val="24"/>
              </w:rPr>
              <w:t>104 (2.3)</w:t>
            </w:r>
          </w:p>
        </w:tc>
      </w:tr>
      <w:tr w:rsidR="00D4742E" w:rsidRPr="00AE30C8" w14:paraId="7E7A0BA0" w14:textId="77777777" w:rsidTr="00B56916">
        <w:tc>
          <w:tcPr>
            <w:tcW w:w="4219" w:type="dxa"/>
            <w:vAlign w:val="bottom"/>
          </w:tcPr>
          <w:p w14:paraId="4C17500A" w14:textId="77777777" w:rsidR="00D4742E" w:rsidRPr="00AE30C8" w:rsidRDefault="00D4742E" w:rsidP="00410100">
            <w:pPr>
              <w:rPr>
                <w:rFonts w:cstheme="minorHAnsi"/>
                <w:sz w:val="24"/>
                <w:szCs w:val="24"/>
              </w:rPr>
            </w:pPr>
            <w:r w:rsidRPr="00AE30C8">
              <w:rPr>
                <w:rFonts w:cstheme="minorHAnsi"/>
                <w:sz w:val="24"/>
                <w:szCs w:val="24"/>
              </w:rPr>
              <w:t>Pharmacist/pharmacy technician</w:t>
            </w:r>
          </w:p>
        </w:tc>
        <w:tc>
          <w:tcPr>
            <w:tcW w:w="1936" w:type="dxa"/>
            <w:vAlign w:val="bottom"/>
          </w:tcPr>
          <w:p w14:paraId="35665AF0" w14:textId="77777777" w:rsidR="00D4742E" w:rsidRPr="00AE30C8" w:rsidRDefault="00D4742E" w:rsidP="00410100">
            <w:pPr>
              <w:jc w:val="right"/>
              <w:rPr>
                <w:rFonts w:cstheme="minorHAnsi"/>
                <w:sz w:val="24"/>
                <w:szCs w:val="24"/>
              </w:rPr>
            </w:pPr>
            <w:r w:rsidRPr="00AE30C8">
              <w:rPr>
                <w:rFonts w:cstheme="minorHAnsi"/>
                <w:sz w:val="24"/>
                <w:szCs w:val="24"/>
              </w:rPr>
              <w:t>50 (2.2)</w:t>
            </w:r>
          </w:p>
        </w:tc>
        <w:tc>
          <w:tcPr>
            <w:tcW w:w="1936" w:type="dxa"/>
            <w:vAlign w:val="bottom"/>
          </w:tcPr>
          <w:p w14:paraId="32BB71B8" w14:textId="77777777" w:rsidR="00D4742E" w:rsidRPr="00AE30C8" w:rsidRDefault="00D4742E" w:rsidP="00410100">
            <w:pPr>
              <w:jc w:val="right"/>
              <w:rPr>
                <w:rFonts w:cstheme="minorHAnsi"/>
                <w:sz w:val="24"/>
                <w:szCs w:val="24"/>
              </w:rPr>
            </w:pPr>
            <w:r w:rsidRPr="00AE30C8">
              <w:rPr>
                <w:rFonts w:cstheme="minorHAnsi"/>
                <w:sz w:val="24"/>
                <w:szCs w:val="24"/>
              </w:rPr>
              <w:t>53 (2.3)</w:t>
            </w:r>
          </w:p>
        </w:tc>
        <w:tc>
          <w:tcPr>
            <w:tcW w:w="1936" w:type="dxa"/>
            <w:vAlign w:val="bottom"/>
          </w:tcPr>
          <w:p w14:paraId="5C067316" w14:textId="77777777" w:rsidR="00D4742E" w:rsidRPr="00AE30C8" w:rsidRDefault="00D4742E" w:rsidP="00410100">
            <w:pPr>
              <w:jc w:val="right"/>
              <w:rPr>
                <w:rFonts w:cstheme="minorHAnsi"/>
                <w:sz w:val="24"/>
                <w:szCs w:val="24"/>
              </w:rPr>
            </w:pPr>
            <w:r w:rsidRPr="00AE30C8">
              <w:rPr>
                <w:rFonts w:cstheme="minorHAnsi"/>
                <w:sz w:val="24"/>
                <w:szCs w:val="24"/>
              </w:rPr>
              <w:t>103 (2.3)</w:t>
            </w:r>
          </w:p>
        </w:tc>
      </w:tr>
      <w:tr w:rsidR="00D4742E" w:rsidRPr="00AE30C8" w14:paraId="4B685CF2" w14:textId="77777777" w:rsidTr="00B56916">
        <w:tc>
          <w:tcPr>
            <w:tcW w:w="4219" w:type="dxa"/>
            <w:vAlign w:val="bottom"/>
          </w:tcPr>
          <w:p w14:paraId="2B1CE3E6" w14:textId="77777777" w:rsidR="00D4742E" w:rsidRPr="00AE30C8" w:rsidRDefault="00D4742E" w:rsidP="00410100">
            <w:pPr>
              <w:rPr>
                <w:rFonts w:cstheme="minorHAnsi"/>
                <w:sz w:val="24"/>
                <w:szCs w:val="24"/>
              </w:rPr>
            </w:pPr>
            <w:r w:rsidRPr="00AE30C8">
              <w:rPr>
                <w:rFonts w:cstheme="minorHAnsi"/>
                <w:sz w:val="24"/>
                <w:szCs w:val="24"/>
              </w:rPr>
              <w:t>Ward Clerk</w:t>
            </w:r>
          </w:p>
        </w:tc>
        <w:tc>
          <w:tcPr>
            <w:tcW w:w="1936" w:type="dxa"/>
            <w:vAlign w:val="bottom"/>
          </w:tcPr>
          <w:p w14:paraId="0E5FC241" w14:textId="77777777" w:rsidR="00D4742E" w:rsidRPr="00AE30C8" w:rsidRDefault="00D4742E" w:rsidP="00410100">
            <w:pPr>
              <w:jc w:val="right"/>
              <w:rPr>
                <w:rFonts w:cstheme="minorHAnsi"/>
                <w:sz w:val="24"/>
                <w:szCs w:val="24"/>
              </w:rPr>
            </w:pPr>
            <w:r w:rsidRPr="00AE30C8">
              <w:rPr>
                <w:rFonts w:cstheme="minorHAnsi"/>
                <w:sz w:val="24"/>
                <w:szCs w:val="24"/>
              </w:rPr>
              <w:t>44 (1.9)</w:t>
            </w:r>
          </w:p>
        </w:tc>
        <w:tc>
          <w:tcPr>
            <w:tcW w:w="1936" w:type="dxa"/>
            <w:vAlign w:val="bottom"/>
          </w:tcPr>
          <w:p w14:paraId="0AABE6F9" w14:textId="77777777" w:rsidR="00D4742E" w:rsidRPr="00AE30C8" w:rsidRDefault="00D4742E" w:rsidP="00410100">
            <w:pPr>
              <w:jc w:val="right"/>
              <w:rPr>
                <w:rFonts w:cstheme="minorHAnsi"/>
                <w:sz w:val="24"/>
                <w:szCs w:val="24"/>
              </w:rPr>
            </w:pPr>
            <w:r w:rsidRPr="00AE30C8">
              <w:rPr>
                <w:rFonts w:cstheme="minorHAnsi"/>
                <w:sz w:val="24"/>
                <w:szCs w:val="24"/>
              </w:rPr>
              <w:t>49 (2.2)</w:t>
            </w:r>
          </w:p>
        </w:tc>
        <w:tc>
          <w:tcPr>
            <w:tcW w:w="1936" w:type="dxa"/>
            <w:vAlign w:val="bottom"/>
          </w:tcPr>
          <w:p w14:paraId="7FC88A23" w14:textId="77777777" w:rsidR="00D4742E" w:rsidRPr="00AE30C8" w:rsidRDefault="00D4742E" w:rsidP="00410100">
            <w:pPr>
              <w:jc w:val="right"/>
              <w:rPr>
                <w:rFonts w:cstheme="minorHAnsi"/>
                <w:sz w:val="24"/>
                <w:szCs w:val="24"/>
              </w:rPr>
            </w:pPr>
            <w:r w:rsidRPr="00AE30C8">
              <w:rPr>
                <w:rFonts w:cstheme="minorHAnsi"/>
                <w:sz w:val="24"/>
                <w:szCs w:val="24"/>
              </w:rPr>
              <w:t>93 (2.0)</w:t>
            </w:r>
          </w:p>
        </w:tc>
      </w:tr>
      <w:tr w:rsidR="00D4742E" w:rsidRPr="00AE30C8" w14:paraId="4B86EB31" w14:textId="77777777" w:rsidTr="00B56916">
        <w:tc>
          <w:tcPr>
            <w:tcW w:w="4219" w:type="dxa"/>
            <w:vAlign w:val="bottom"/>
          </w:tcPr>
          <w:p w14:paraId="7DC2900B" w14:textId="77777777" w:rsidR="00D4742E" w:rsidRPr="00AE30C8" w:rsidRDefault="00D4742E" w:rsidP="00410100">
            <w:pPr>
              <w:rPr>
                <w:rFonts w:cstheme="minorHAnsi"/>
                <w:sz w:val="24"/>
                <w:szCs w:val="24"/>
              </w:rPr>
            </w:pPr>
            <w:r w:rsidRPr="00AE30C8">
              <w:rPr>
                <w:rFonts w:cstheme="minorHAnsi"/>
                <w:sz w:val="24"/>
                <w:szCs w:val="24"/>
              </w:rPr>
              <w:t>Doctor/consultant</w:t>
            </w:r>
          </w:p>
        </w:tc>
        <w:tc>
          <w:tcPr>
            <w:tcW w:w="1936" w:type="dxa"/>
            <w:vAlign w:val="bottom"/>
          </w:tcPr>
          <w:p w14:paraId="2C1CF7EC" w14:textId="77777777" w:rsidR="00D4742E" w:rsidRPr="00AE30C8" w:rsidRDefault="00D4742E" w:rsidP="00410100">
            <w:pPr>
              <w:jc w:val="right"/>
              <w:rPr>
                <w:rFonts w:cstheme="minorHAnsi"/>
                <w:sz w:val="24"/>
                <w:szCs w:val="24"/>
              </w:rPr>
            </w:pPr>
            <w:r w:rsidRPr="00AE30C8">
              <w:rPr>
                <w:rFonts w:cstheme="minorHAnsi"/>
                <w:sz w:val="24"/>
                <w:szCs w:val="24"/>
              </w:rPr>
              <w:t>38 (1.7)</w:t>
            </w:r>
          </w:p>
        </w:tc>
        <w:tc>
          <w:tcPr>
            <w:tcW w:w="1936" w:type="dxa"/>
            <w:vAlign w:val="bottom"/>
          </w:tcPr>
          <w:p w14:paraId="6E5FF15F" w14:textId="77777777" w:rsidR="00D4742E" w:rsidRPr="00AE30C8" w:rsidRDefault="00D4742E" w:rsidP="00410100">
            <w:pPr>
              <w:jc w:val="right"/>
              <w:rPr>
                <w:rFonts w:cstheme="minorHAnsi"/>
                <w:sz w:val="24"/>
                <w:szCs w:val="24"/>
              </w:rPr>
            </w:pPr>
            <w:r w:rsidRPr="00AE30C8">
              <w:rPr>
                <w:rFonts w:cstheme="minorHAnsi"/>
                <w:sz w:val="24"/>
                <w:szCs w:val="24"/>
              </w:rPr>
              <w:t>42 (1.8)</w:t>
            </w:r>
          </w:p>
        </w:tc>
        <w:tc>
          <w:tcPr>
            <w:tcW w:w="1936" w:type="dxa"/>
            <w:vAlign w:val="bottom"/>
          </w:tcPr>
          <w:p w14:paraId="71BBC524" w14:textId="77777777" w:rsidR="00D4742E" w:rsidRPr="00AE30C8" w:rsidRDefault="00D4742E" w:rsidP="00410100">
            <w:pPr>
              <w:jc w:val="right"/>
              <w:rPr>
                <w:rFonts w:cstheme="minorHAnsi"/>
                <w:sz w:val="24"/>
                <w:szCs w:val="24"/>
              </w:rPr>
            </w:pPr>
            <w:r w:rsidRPr="00AE30C8">
              <w:rPr>
                <w:rFonts w:cstheme="minorHAnsi"/>
                <w:sz w:val="24"/>
                <w:szCs w:val="24"/>
              </w:rPr>
              <w:t>80 (1.8)</w:t>
            </w:r>
          </w:p>
        </w:tc>
      </w:tr>
      <w:tr w:rsidR="00D4742E" w:rsidRPr="00AE30C8" w14:paraId="3E9CFEE1" w14:textId="77777777" w:rsidTr="00B56916">
        <w:tc>
          <w:tcPr>
            <w:tcW w:w="4219" w:type="dxa"/>
            <w:vAlign w:val="bottom"/>
          </w:tcPr>
          <w:p w14:paraId="11F98D0C" w14:textId="77777777" w:rsidR="00D4742E" w:rsidRPr="00AE30C8" w:rsidRDefault="00D4742E" w:rsidP="00410100">
            <w:pPr>
              <w:rPr>
                <w:rFonts w:cstheme="minorHAnsi"/>
                <w:sz w:val="24"/>
                <w:szCs w:val="24"/>
              </w:rPr>
            </w:pPr>
            <w:r w:rsidRPr="00AE30C8">
              <w:rPr>
                <w:rFonts w:cstheme="minorHAnsi"/>
                <w:sz w:val="24"/>
                <w:szCs w:val="24"/>
              </w:rPr>
              <w:t>Catering</w:t>
            </w:r>
          </w:p>
        </w:tc>
        <w:tc>
          <w:tcPr>
            <w:tcW w:w="1936" w:type="dxa"/>
            <w:vAlign w:val="bottom"/>
          </w:tcPr>
          <w:p w14:paraId="2DA4BB76" w14:textId="77777777" w:rsidR="00D4742E" w:rsidRPr="00AE30C8" w:rsidRDefault="00D4742E" w:rsidP="00410100">
            <w:pPr>
              <w:jc w:val="right"/>
              <w:rPr>
                <w:rFonts w:cstheme="minorHAnsi"/>
                <w:sz w:val="24"/>
                <w:szCs w:val="24"/>
              </w:rPr>
            </w:pPr>
            <w:r w:rsidRPr="00AE30C8">
              <w:rPr>
                <w:rFonts w:cstheme="minorHAnsi"/>
                <w:sz w:val="24"/>
                <w:szCs w:val="24"/>
              </w:rPr>
              <w:t>29 (1.3)</w:t>
            </w:r>
          </w:p>
        </w:tc>
        <w:tc>
          <w:tcPr>
            <w:tcW w:w="1936" w:type="dxa"/>
            <w:vAlign w:val="bottom"/>
          </w:tcPr>
          <w:p w14:paraId="23B856E4" w14:textId="77777777" w:rsidR="00D4742E" w:rsidRPr="00AE30C8" w:rsidRDefault="00D4742E" w:rsidP="00410100">
            <w:pPr>
              <w:jc w:val="right"/>
              <w:rPr>
                <w:rFonts w:cstheme="minorHAnsi"/>
                <w:sz w:val="24"/>
                <w:szCs w:val="24"/>
              </w:rPr>
            </w:pPr>
            <w:r w:rsidRPr="00AE30C8">
              <w:rPr>
                <w:rFonts w:cstheme="minorHAnsi"/>
                <w:sz w:val="24"/>
                <w:szCs w:val="24"/>
              </w:rPr>
              <w:t>38 (1.7)</w:t>
            </w:r>
          </w:p>
        </w:tc>
        <w:tc>
          <w:tcPr>
            <w:tcW w:w="1936" w:type="dxa"/>
            <w:vAlign w:val="bottom"/>
          </w:tcPr>
          <w:p w14:paraId="71EA2511" w14:textId="77777777" w:rsidR="00D4742E" w:rsidRPr="00AE30C8" w:rsidRDefault="00D4742E" w:rsidP="00410100">
            <w:pPr>
              <w:jc w:val="right"/>
              <w:rPr>
                <w:rFonts w:cstheme="minorHAnsi"/>
                <w:sz w:val="24"/>
                <w:szCs w:val="24"/>
              </w:rPr>
            </w:pPr>
            <w:r w:rsidRPr="00AE30C8">
              <w:rPr>
                <w:rFonts w:cstheme="minorHAnsi"/>
                <w:sz w:val="24"/>
                <w:szCs w:val="24"/>
              </w:rPr>
              <w:t>67 (1.5)</w:t>
            </w:r>
          </w:p>
        </w:tc>
      </w:tr>
      <w:tr w:rsidR="00D4742E" w:rsidRPr="00AE30C8" w14:paraId="2654B52D" w14:textId="77777777" w:rsidTr="00B56916">
        <w:tc>
          <w:tcPr>
            <w:tcW w:w="4219" w:type="dxa"/>
            <w:vAlign w:val="bottom"/>
          </w:tcPr>
          <w:p w14:paraId="27EAC166" w14:textId="77777777" w:rsidR="00D4742E" w:rsidRPr="00AE30C8" w:rsidRDefault="00D4742E" w:rsidP="00410100">
            <w:pPr>
              <w:rPr>
                <w:rFonts w:cstheme="minorHAnsi"/>
                <w:sz w:val="24"/>
                <w:szCs w:val="24"/>
              </w:rPr>
            </w:pPr>
            <w:r w:rsidRPr="00AE30C8">
              <w:rPr>
                <w:rFonts w:cstheme="minorHAnsi"/>
                <w:sz w:val="24"/>
                <w:szCs w:val="24"/>
              </w:rPr>
              <w:t>Other</w:t>
            </w:r>
          </w:p>
        </w:tc>
        <w:tc>
          <w:tcPr>
            <w:tcW w:w="1936" w:type="dxa"/>
            <w:vAlign w:val="bottom"/>
          </w:tcPr>
          <w:p w14:paraId="740A40B7" w14:textId="77777777" w:rsidR="00D4742E" w:rsidRPr="00AE30C8" w:rsidRDefault="00D4742E" w:rsidP="00410100">
            <w:pPr>
              <w:jc w:val="right"/>
              <w:rPr>
                <w:rFonts w:cstheme="minorHAnsi"/>
                <w:sz w:val="24"/>
                <w:szCs w:val="24"/>
              </w:rPr>
            </w:pPr>
            <w:r w:rsidRPr="00AE30C8">
              <w:rPr>
                <w:rFonts w:cstheme="minorHAnsi"/>
                <w:sz w:val="24"/>
                <w:szCs w:val="24"/>
              </w:rPr>
              <w:t>51 (2.2)</w:t>
            </w:r>
          </w:p>
        </w:tc>
        <w:tc>
          <w:tcPr>
            <w:tcW w:w="1936" w:type="dxa"/>
            <w:vAlign w:val="bottom"/>
          </w:tcPr>
          <w:p w14:paraId="4861A471" w14:textId="77777777" w:rsidR="00D4742E" w:rsidRPr="00AE30C8" w:rsidRDefault="00D4742E" w:rsidP="00410100">
            <w:pPr>
              <w:jc w:val="right"/>
              <w:rPr>
                <w:rFonts w:cstheme="minorHAnsi"/>
                <w:sz w:val="24"/>
                <w:szCs w:val="24"/>
              </w:rPr>
            </w:pPr>
            <w:r w:rsidRPr="00AE30C8">
              <w:rPr>
                <w:rFonts w:cstheme="minorHAnsi"/>
                <w:sz w:val="24"/>
                <w:szCs w:val="24"/>
              </w:rPr>
              <w:t>45 (2.0)</w:t>
            </w:r>
          </w:p>
        </w:tc>
        <w:tc>
          <w:tcPr>
            <w:tcW w:w="1936" w:type="dxa"/>
            <w:vAlign w:val="bottom"/>
          </w:tcPr>
          <w:p w14:paraId="64EE558B" w14:textId="77777777" w:rsidR="00D4742E" w:rsidRPr="00AE30C8" w:rsidRDefault="00D4742E" w:rsidP="00410100">
            <w:pPr>
              <w:jc w:val="right"/>
              <w:rPr>
                <w:rFonts w:cstheme="minorHAnsi"/>
                <w:sz w:val="24"/>
                <w:szCs w:val="24"/>
              </w:rPr>
            </w:pPr>
            <w:r w:rsidRPr="00AE30C8">
              <w:rPr>
                <w:rFonts w:cstheme="minorHAnsi"/>
                <w:sz w:val="24"/>
                <w:szCs w:val="24"/>
              </w:rPr>
              <w:t>96 (2.1)</w:t>
            </w:r>
          </w:p>
        </w:tc>
      </w:tr>
      <w:tr w:rsidR="00D4742E" w:rsidRPr="00AE30C8" w14:paraId="0715CB61" w14:textId="77777777" w:rsidTr="00B56916">
        <w:tc>
          <w:tcPr>
            <w:tcW w:w="4219" w:type="dxa"/>
          </w:tcPr>
          <w:p w14:paraId="1AB7469B" w14:textId="77777777" w:rsidR="00D4742E" w:rsidRPr="00AE30C8" w:rsidRDefault="00D4742E" w:rsidP="00410100">
            <w:pPr>
              <w:rPr>
                <w:rFonts w:cstheme="minorHAnsi"/>
                <w:b/>
                <w:sz w:val="24"/>
                <w:szCs w:val="24"/>
              </w:rPr>
            </w:pPr>
            <w:r w:rsidRPr="00AE30C8">
              <w:rPr>
                <w:rFonts w:cstheme="minorHAnsi"/>
                <w:b/>
                <w:sz w:val="24"/>
                <w:szCs w:val="24"/>
              </w:rPr>
              <w:t>Areas worked in, n (</w:t>
            </w:r>
            <w:proofErr w:type="gramStart"/>
            <w:r w:rsidRPr="00AE30C8">
              <w:rPr>
                <w:rFonts w:cstheme="minorHAnsi"/>
                <w:b/>
                <w:sz w:val="24"/>
                <w:szCs w:val="24"/>
              </w:rPr>
              <w:t>%)</w:t>
            </w:r>
            <w:r w:rsidRPr="00AE30C8">
              <w:rPr>
                <w:rFonts w:cstheme="minorHAnsi"/>
                <w:b/>
                <w:sz w:val="24"/>
                <w:szCs w:val="24"/>
                <w:vertAlign w:val="superscript"/>
              </w:rPr>
              <w:t>a</w:t>
            </w:r>
            <w:proofErr w:type="gramEnd"/>
          </w:p>
        </w:tc>
        <w:tc>
          <w:tcPr>
            <w:tcW w:w="1936" w:type="dxa"/>
          </w:tcPr>
          <w:p w14:paraId="041C7830" w14:textId="77777777" w:rsidR="00D4742E" w:rsidRPr="00AE30C8" w:rsidRDefault="00D4742E" w:rsidP="00410100">
            <w:pPr>
              <w:jc w:val="right"/>
              <w:rPr>
                <w:rFonts w:cstheme="minorHAnsi"/>
                <w:sz w:val="24"/>
                <w:szCs w:val="24"/>
              </w:rPr>
            </w:pPr>
          </w:p>
        </w:tc>
        <w:tc>
          <w:tcPr>
            <w:tcW w:w="1936" w:type="dxa"/>
          </w:tcPr>
          <w:p w14:paraId="533B6EAD" w14:textId="77777777" w:rsidR="00D4742E" w:rsidRPr="00AE30C8" w:rsidRDefault="00D4742E" w:rsidP="00410100">
            <w:pPr>
              <w:jc w:val="right"/>
              <w:rPr>
                <w:rFonts w:cstheme="minorHAnsi"/>
                <w:sz w:val="24"/>
                <w:szCs w:val="24"/>
              </w:rPr>
            </w:pPr>
          </w:p>
        </w:tc>
        <w:tc>
          <w:tcPr>
            <w:tcW w:w="1936" w:type="dxa"/>
          </w:tcPr>
          <w:p w14:paraId="2A11C741" w14:textId="77777777" w:rsidR="00D4742E" w:rsidRPr="00AE30C8" w:rsidRDefault="00D4742E" w:rsidP="00410100">
            <w:pPr>
              <w:jc w:val="right"/>
              <w:rPr>
                <w:rFonts w:cstheme="minorHAnsi"/>
                <w:sz w:val="24"/>
                <w:szCs w:val="24"/>
              </w:rPr>
            </w:pPr>
          </w:p>
        </w:tc>
      </w:tr>
      <w:tr w:rsidR="00D4742E" w:rsidRPr="00AE30C8" w14:paraId="42BB4B36" w14:textId="77777777" w:rsidTr="00B56916">
        <w:tc>
          <w:tcPr>
            <w:tcW w:w="4219" w:type="dxa"/>
          </w:tcPr>
          <w:p w14:paraId="6A27F5A5" w14:textId="77777777" w:rsidR="00D4742E" w:rsidRPr="00AE30C8" w:rsidRDefault="00D4742E" w:rsidP="00410100">
            <w:pPr>
              <w:rPr>
                <w:rFonts w:cstheme="minorHAnsi"/>
                <w:b/>
                <w:sz w:val="24"/>
                <w:szCs w:val="24"/>
              </w:rPr>
            </w:pPr>
            <w:r w:rsidRPr="00AE30C8">
              <w:rPr>
                <w:rFonts w:cstheme="minorHAnsi"/>
                <w:sz w:val="24"/>
                <w:szCs w:val="24"/>
              </w:rPr>
              <w:t>Ward</w:t>
            </w:r>
          </w:p>
        </w:tc>
        <w:tc>
          <w:tcPr>
            <w:tcW w:w="1936" w:type="dxa"/>
            <w:vAlign w:val="bottom"/>
          </w:tcPr>
          <w:p w14:paraId="1A0797A1" w14:textId="77777777" w:rsidR="00D4742E" w:rsidRPr="00AE30C8" w:rsidRDefault="00D4742E" w:rsidP="00410100">
            <w:pPr>
              <w:jc w:val="right"/>
              <w:rPr>
                <w:rFonts w:cstheme="minorHAnsi"/>
                <w:sz w:val="24"/>
                <w:szCs w:val="24"/>
              </w:rPr>
            </w:pPr>
            <w:r w:rsidRPr="00AE30C8">
              <w:rPr>
                <w:rFonts w:cstheme="minorHAnsi"/>
                <w:sz w:val="24"/>
                <w:szCs w:val="24"/>
              </w:rPr>
              <w:t>1261 (55.4)</w:t>
            </w:r>
          </w:p>
        </w:tc>
        <w:tc>
          <w:tcPr>
            <w:tcW w:w="1936" w:type="dxa"/>
            <w:vAlign w:val="bottom"/>
          </w:tcPr>
          <w:p w14:paraId="3050C96A" w14:textId="77777777" w:rsidR="00D4742E" w:rsidRPr="00AE30C8" w:rsidRDefault="00D4742E" w:rsidP="00410100">
            <w:pPr>
              <w:jc w:val="right"/>
              <w:rPr>
                <w:rFonts w:cstheme="minorHAnsi"/>
                <w:sz w:val="24"/>
                <w:szCs w:val="24"/>
              </w:rPr>
            </w:pPr>
            <w:r w:rsidRPr="00AE30C8">
              <w:rPr>
                <w:rFonts w:cstheme="minorHAnsi"/>
                <w:sz w:val="24"/>
                <w:szCs w:val="24"/>
              </w:rPr>
              <w:t>1199 (52.6)</w:t>
            </w:r>
          </w:p>
        </w:tc>
        <w:tc>
          <w:tcPr>
            <w:tcW w:w="1936" w:type="dxa"/>
            <w:vAlign w:val="bottom"/>
          </w:tcPr>
          <w:p w14:paraId="264BBDC1" w14:textId="77777777" w:rsidR="00D4742E" w:rsidRPr="00AE30C8" w:rsidRDefault="00D4742E" w:rsidP="00410100">
            <w:pPr>
              <w:jc w:val="right"/>
              <w:rPr>
                <w:rFonts w:cstheme="minorHAnsi"/>
                <w:sz w:val="24"/>
                <w:szCs w:val="24"/>
              </w:rPr>
            </w:pPr>
            <w:r w:rsidRPr="00AE30C8">
              <w:rPr>
                <w:rFonts w:cstheme="minorHAnsi"/>
                <w:sz w:val="24"/>
                <w:szCs w:val="24"/>
              </w:rPr>
              <w:t>2460 (54.0)</w:t>
            </w:r>
          </w:p>
        </w:tc>
      </w:tr>
      <w:tr w:rsidR="00D4742E" w:rsidRPr="00AE30C8" w14:paraId="41AA3286" w14:textId="77777777" w:rsidTr="00B56916">
        <w:tc>
          <w:tcPr>
            <w:tcW w:w="4219" w:type="dxa"/>
          </w:tcPr>
          <w:p w14:paraId="26413601" w14:textId="77777777" w:rsidR="00D4742E" w:rsidRPr="00AE30C8" w:rsidRDefault="00D4742E" w:rsidP="00410100">
            <w:pPr>
              <w:rPr>
                <w:rFonts w:cstheme="minorHAnsi"/>
                <w:b/>
                <w:sz w:val="24"/>
                <w:szCs w:val="24"/>
              </w:rPr>
            </w:pPr>
            <w:r w:rsidRPr="00AE30C8">
              <w:rPr>
                <w:rFonts w:cstheme="minorHAnsi"/>
                <w:sz w:val="24"/>
                <w:szCs w:val="24"/>
              </w:rPr>
              <w:t>Clinical room/area</w:t>
            </w:r>
          </w:p>
        </w:tc>
        <w:tc>
          <w:tcPr>
            <w:tcW w:w="1936" w:type="dxa"/>
            <w:vAlign w:val="bottom"/>
          </w:tcPr>
          <w:p w14:paraId="2EC1809B" w14:textId="77777777" w:rsidR="00D4742E" w:rsidRPr="00AE30C8" w:rsidRDefault="00D4742E" w:rsidP="00410100">
            <w:pPr>
              <w:jc w:val="right"/>
              <w:rPr>
                <w:rFonts w:cstheme="minorHAnsi"/>
                <w:sz w:val="24"/>
                <w:szCs w:val="24"/>
              </w:rPr>
            </w:pPr>
            <w:r w:rsidRPr="00AE30C8">
              <w:rPr>
                <w:rFonts w:cstheme="minorHAnsi"/>
                <w:sz w:val="24"/>
                <w:szCs w:val="24"/>
              </w:rPr>
              <w:t>722 (31.7)</w:t>
            </w:r>
          </w:p>
        </w:tc>
        <w:tc>
          <w:tcPr>
            <w:tcW w:w="1936" w:type="dxa"/>
            <w:vAlign w:val="bottom"/>
          </w:tcPr>
          <w:p w14:paraId="506F95A5" w14:textId="77777777" w:rsidR="00D4742E" w:rsidRPr="00AE30C8" w:rsidRDefault="00D4742E" w:rsidP="00410100">
            <w:pPr>
              <w:jc w:val="right"/>
              <w:rPr>
                <w:rFonts w:cstheme="minorHAnsi"/>
                <w:sz w:val="24"/>
                <w:szCs w:val="24"/>
              </w:rPr>
            </w:pPr>
            <w:r w:rsidRPr="00AE30C8">
              <w:rPr>
                <w:rFonts w:cstheme="minorHAnsi"/>
                <w:sz w:val="24"/>
                <w:szCs w:val="24"/>
              </w:rPr>
              <w:t>755 (33.1)</w:t>
            </w:r>
          </w:p>
        </w:tc>
        <w:tc>
          <w:tcPr>
            <w:tcW w:w="1936" w:type="dxa"/>
            <w:vAlign w:val="bottom"/>
          </w:tcPr>
          <w:p w14:paraId="63CCC4E3" w14:textId="77777777" w:rsidR="00D4742E" w:rsidRPr="00AE30C8" w:rsidRDefault="00D4742E" w:rsidP="00410100">
            <w:pPr>
              <w:jc w:val="right"/>
              <w:rPr>
                <w:rFonts w:cstheme="minorHAnsi"/>
                <w:sz w:val="24"/>
                <w:szCs w:val="24"/>
              </w:rPr>
            </w:pPr>
            <w:r w:rsidRPr="00AE30C8">
              <w:rPr>
                <w:rFonts w:cstheme="minorHAnsi"/>
                <w:sz w:val="24"/>
                <w:szCs w:val="24"/>
              </w:rPr>
              <w:t>1477 (32.4)</w:t>
            </w:r>
          </w:p>
        </w:tc>
      </w:tr>
      <w:tr w:rsidR="00D4742E" w:rsidRPr="00AE30C8" w14:paraId="680890FC" w14:textId="77777777" w:rsidTr="00B56916">
        <w:tc>
          <w:tcPr>
            <w:tcW w:w="4219" w:type="dxa"/>
          </w:tcPr>
          <w:p w14:paraId="39611466" w14:textId="77777777" w:rsidR="00D4742E" w:rsidRPr="00AE30C8" w:rsidRDefault="00D4742E" w:rsidP="00410100">
            <w:pPr>
              <w:rPr>
                <w:rFonts w:cstheme="minorHAnsi"/>
                <w:b/>
                <w:sz w:val="24"/>
                <w:szCs w:val="24"/>
              </w:rPr>
            </w:pPr>
            <w:r w:rsidRPr="00AE30C8">
              <w:rPr>
                <w:rFonts w:cstheme="minorHAnsi"/>
                <w:sz w:val="24"/>
                <w:szCs w:val="24"/>
              </w:rPr>
              <w:t>Community</w:t>
            </w:r>
          </w:p>
        </w:tc>
        <w:tc>
          <w:tcPr>
            <w:tcW w:w="1936" w:type="dxa"/>
            <w:vAlign w:val="bottom"/>
          </w:tcPr>
          <w:p w14:paraId="5C585F1A" w14:textId="77777777" w:rsidR="00D4742E" w:rsidRPr="00AE30C8" w:rsidRDefault="00D4742E" w:rsidP="00410100">
            <w:pPr>
              <w:jc w:val="right"/>
              <w:rPr>
                <w:rFonts w:cstheme="minorHAnsi"/>
                <w:sz w:val="24"/>
                <w:szCs w:val="24"/>
              </w:rPr>
            </w:pPr>
            <w:r w:rsidRPr="00AE30C8">
              <w:rPr>
                <w:rFonts w:cstheme="minorHAnsi"/>
                <w:sz w:val="24"/>
                <w:szCs w:val="24"/>
              </w:rPr>
              <w:t>260 (11.4)</w:t>
            </w:r>
          </w:p>
        </w:tc>
        <w:tc>
          <w:tcPr>
            <w:tcW w:w="1936" w:type="dxa"/>
            <w:vAlign w:val="bottom"/>
          </w:tcPr>
          <w:p w14:paraId="45453E50" w14:textId="77777777" w:rsidR="00D4742E" w:rsidRPr="00AE30C8" w:rsidRDefault="00D4742E" w:rsidP="00410100">
            <w:pPr>
              <w:jc w:val="right"/>
              <w:rPr>
                <w:rFonts w:cstheme="minorHAnsi"/>
                <w:sz w:val="24"/>
                <w:szCs w:val="24"/>
              </w:rPr>
            </w:pPr>
            <w:r w:rsidRPr="00AE30C8">
              <w:rPr>
                <w:rFonts w:cstheme="minorHAnsi"/>
                <w:sz w:val="24"/>
                <w:szCs w:val="24"/>
              </w:rPr>
              <w:t>268 (11.8)</w:t>
            </w:r>
          </w:p>
        </w:tc>
        <w:tc>
          <w:tcPr>
            <w:tcW w:w="1936" w:type="dxa"/>
            <w:vAlign w:val="bottom"/>
          </w:tcPr>
          <w:p w14:paraId="0C74630D" w14:textId="77777777" w:rsidR="00D4742E" w:rsidRPr="00AE30C8" w:rsidRDefault="00D4742E" w:rsidP="00410100">
            <w:pPr>
              <w:jc w:val="right"/>
              <w:rPr>
                <w:rFonts w:cstheme="minorHAnsi"/>
                <w:sz w:val="24"/>
                <w:szCs w:val="24"/>
              </w:rPr>
            </w:pPr>
            <w:r w:rsidRPr="00AE30C8">
              <w:rPr>
                <w:rFonts w:cstheme="minorHAnsi"/>
                <w:sz w:val="24"/>
                <w:szCs w:val="24"/>
              </w:rPr>
              <w:t>528 (11.6)</w:t>
            </w:r>
          </w:p>
        </w:tc>
      </w:tr>
      <w:tr w:rsidR="00D4742E" w:rsidRPr="00AE30C8" w14:paraId="3357376B" w14:textId="77777777" w:rsidTr="00B56916">
        <w:tc>
          <w:tcPr>
            <w:tcW w:w="4219" w:type="dxa"/>
          </w:tcPr>
          <w:p w14:paraId="2BAEF448" w14:textId="77777777" w:rsidR="00D4742E" w:rsidRPr="00AE30C8" w:rsidRDefault="00D4742E" w:rsidP="00410100">
            <w:pPr>
              <w:rPr>
                <w:rFonts w:cstheme="minorHAnsi"/>
                <w:b/>
                <w:sz w:val="24"/>
                <w:szCs w:val="24"/>
              </w:rPr>
            </w:pPr>
            <w:r w:rsidRPr="00AE30C8">
              <w:rPr>
                <w:rFonts w:cstheme="minorHAnsi"/>
                <w:sz w:val="24"/>
                <w:szCs w:val="24"/>
              </w:rPr>
              <w:t>Indoor hospital grounds/corridors</w:t>
            </w:r>
          </w:p>
        </w:tc>
        <w:tc>
          <w:tcPr>
            <w:tcW w:w="1936" w:type="dxa"/>
            <w:vAlign w:val="bottom"/>
          </w:tcPr>
          <w:p w14:paraId="71DE34BC" w14:textId="77777777" w:rsidR="00D4742E" w:rsidRPr="00AE30C8" w:rsidRDefault="00D4742E" w:rsidP="00410100">
            <w:pPr>
              <w:jc w:val="right"/>
              <w:rPr>
                <w:rFonts w:cstheme="minorHAnsi"/>
                <w:sz w:val="24"/>
                <w:szCs w:val="24"/>
              </w:rPr>
            </w:pPr>
            <w:r w:rsidRPr="00AE30C8">
              <w:rPr>
                <w:rFonts w:cstheme="minorHAnsi"/>
                <w:sz w:val="24"/>
                <w:szCs w:val="24"/>
              </w:rPr>
              <w:t>160 (7.0)</w:t>
            </w:r>
          </w:p>
        </w:tc>
        <w:tc>
          <w:tcPr>
            <w:tcW w:w="1936" w:type="dxa"/>
            <w:vAlign w:val="bottom"/>
          </w:tcPr>
          <w:p w14:paraId="749A148B" w14:textId="77777777" w:rsidR="00D4742E" w:rsidRPr="00AE30C8" w:rsidRDefault="00D4742E" w:rsidP="00410100">
            <w:pPr>
              <w:jc w:val="right"/>
              <w:rPr>
                <w:rFonts w:cstheme="minorHAnsi"/>
                <w:sz w:val="24"/>
                <w:szCs w:val="24"/>
              </w:rPr>
            </w:pPr>
            <w:r w:rsidRPr="00AE30C8">
              <w:rPr>
                <w:rFonts w:cstheme="minorHAnsi"/>
                <w:sz w:val="24"/>
                <w:szCs w:val="24"/>
              </w:rPr>
              <w:t>183 (8.0)</w:t>
            </w:r>
          </w:p>
        </w:tc>
        <w:tc>
          <w:tcPr>
            <w:tcW w:w="1936" w:type="dxa"/>
            <w:vAlign w:val="bottom"/>
          </w:tcPr>
          <w:p w14:paraId="56130943" w14:textId="77777777" w:rsidR="00D4742E" w:rsidRPr="00AE30C8" w:rsidRDefault="00D4742E" w:rsidP="00410100">
            <w:pPr>
              <w:jc w:val="right"/>
              <w:rPr>
                <w:rFonts w:cstheme="minorHAnsi"/>
                <w:sz w:val="24"/>
                <w:szCs w:val="24"/>
              </w:rPr>
            </w:pPr>
            <w:r w:rsidRPr="00AE30C8">
              <w:rPr>
                <w:rFonts w:cstheme="minorHAnsi"/>
                <w:sz w:val="24"/>
                <w:szCs w:val="24"/>
              </w:rPr>
              <w:t>343 (7.5)</w:t>
            </w:r>
          </w:p>
        </w:tc>
      </w:tr>
      <w:tr w:rsidR="00D4742E" w:rsidRPr="00AE30C8" w14:paraId="4E7A44A1" w14:textId="77777777" w:rsidTr="00B56916">
        <w:tc>
          <w:tcPr>
            <w:tcW w:w="4219" w:type="dxa"/>
          </w:tcPr>
          <w:p w14:paraId="33F5C2D0" w14:textId="77777777" w:rsidR="00D4742E" w:rsidRPr="00AE30C8" w:rsidRDefault="00D4742E" w:rsidP="00410100">
            <w:pPr>
              <w:rPr>
                <w:rFonts w:cstheme="minorHAnsi"/>
                <w:b/>
                <w:sz w:val="24"/>
                <w:szCs w:val="24"/>
              </w:rPr>
            </w:pPr>
            <w:r w:rsidRPr="00AE30C8">
              <w:rPr>
                <w:rFonts w:cstheme="minorHAnsi"/>
                <w:sz w:val="24"/>
                <w:szCs w:val="24"/>
              </w:rPr>
              <w:t>Office</w:t>
            </w:r>
          </w:p>
        </w:tc>
        <w:tc>
          <w:tcPr>
            <w:tcW w:w="1936" w:type="dxa"/>
            <w:vAlign w:val="bottom"/>
          </w:tcPr>
          <w:p w14:paraId="763F6F37" w14:textId="77777777" w:rsidR="00D4742E" w:rsidRPr="00AE30C8" w:rsidRDefault="00D4742E" w:rsidP="00410100">
            <w:pPr>
              <w:jc w:val="right"/>
              <w:rPr>
                <w:rFonts w:cstheme="minorHAnsi"/>
                <w:sz w:val="24"/>
                <w:szCs w:val="24"/>
              </w:rPr>
            </w:pPr>
            <w:r w:rsidRPr="00AE30C8">
              <w:rPr>
                <w:rFonts w:cstheme="minorHAnsi"/>
                <w:sz w:val="24"/>
                <w:szCs w:val="24"/>
              </w:rPr>
              <w:t>91 (4.0)</w:t>
            </w:r>
          </w:p>
        </w:tc>
        <w:tc>
          <w:tcPr>
            <w:tcW w:w="1936" w:type="dxa"/>
            <w:vAlign w:val="bottom"/>
          </w:tcPr>
          <w:p w14:paraId="7A9A8005" w14:textId="77777777" w:rsidR="00D4742E" w:rsidRPr="00AE30C8" w:rsidRDefault="00D4742E" w:rsidP="00410100">
            <w:pPr>
              <w:jc w:val="right"/>
              <w:rPr>
                <w:rFonts w:cstheme="minorHAnsi"/>
                <w:sz w:val="24"/>
                <w:szCs w:val="24"/>
              </w:rPr>
            </w:pPr>
            <w:r w:rsidRPr="00AE30C8">
              <w:rPr>
                <w:rFonts w:cstheme="minorHAnsi"/>
                <w:sz w:val="24"/>
                <w:szCs w:val="24"/>
              </w:rPr>
              <w:t>113 (5.0)</w:t>
            </w:r>
          </w:p>
        </w:tc>
        <w:tc>
          <w:tcPr>
            <w:tcW w:w="1936" w:type="dxa"/>
            <w:vAlign w:val="bottom"/>
          </w:tcPr>
          <w:p w14:paraId="142E4784" w14:textId="77777777" w:rsidR="00D4742E" w:rsidRPr="00AE30C8" w:rsidRDefault="00D4742E" w:rsidP="00410100">
            <w:pPr>
              <w:jc w:val="right"/>
              <w:rPr>
                <w:rFonts w:cstheme="minorHAnsi"/>
                <w:sz w:val="24"/>
                <w:szCs w:val="24"/>
              </w:rPr>
            </w:pPr>
            <w:r w:rsidRPr="00AE30C8">
              <w:rPr>
                <w:rFonts w:cstheme="minorHAnsi"/>
                <w:sz w:val="24"/>
                <w:szCs w:val="24"/>
              </w:rPr>
              <w:t>204 (4.5)</w:t>
            </w:r>
          </w:p>
        </w:tc>
      </w:tr>
      <w:tr w:rsidR="00D4742E" w:rsidRPr="00AE30C8" w14:paraId="5375AB16" w14:textId="77777777" w:rsidTr="00B56916">
        <w:tc>
          <w:tcPr>
            <w:tcW w:w="4219" w:type="dxa"/>
          </w:tcPr>
          <w:p w14:paraId="43A7BEBD" w14:textId="77777777" w:rsidR="00D4742E" w:rsidRPr="00AE30C8" w:rsidRDefault="00D4742E" w:rsidP="00410100">
            <w:pPr>
              <w:rPr>
                <w:rFonts w:cstheme="minorHAnsi"/>
                <w:b/>
                <w:sz w:val="24"/>
                <w:szCs w:val="24"/>
              </w:rPr>
            </w:pPr>
            <w:r w:rsidRPr="00AE30C8">
              <w:rPr>
                <w:rFonts w:cstheme="minorHAnsi"/>
                <w:sz w:val="24"/>
                <w:szCs w:val="24"/>
              </w:rPr>
              <w:t>Food preparation/serving area</w:t>
            </w:r>
          </w:p>
        </w:tc>
        <w:tc>
          <w:tcPr>
            <w:tcW w:w="1936" w:type="dxa"/>
            <w:vAlign w:val="bottom"/>
          </w:tcPr>
          <w:p w14:paraId="154D21DE" w14:textId="77777777" w:rsidR="00D4742E" w:rsidRPr="00AE30C8" w:rsidRDefault="00D4742E" w:rsidP="00410100">
            <w:pPr>
              <w:jc w:val="right"/>
              <w:rPr>
                <w:rFonts w:cstheme="minorHAnsi"/>
                <w:sz w:val="24"/>
                <w:szCs w:val="24"/>
              </w:rPr>
            </w:pPr>
            <w:r w:rsidRPr="00AE30C8">
              <w:rPr>
                <w:rFonts w:cstheme="minorHAnsi"/>
                <w:sz w:val="24"/>
                <w:szCs w:val="24"/>
              </w:rPr>
              <w:t>77 (3.4)</w:t>
            </w:r>
          </w:p>
        </w:tc>
        <w:tc>
          <w:tcPr>
            <w:tcW w:w="1936" w:type="dxa"/>
            <w:vAlign w:val="bottom"/>
          </w:tcPr>
          <w:p w14:paraId="4B1906E2" w14:textId="77777777" w:rsidR="00D4742E" w:rsidRPr="00AE30C8" w:rsidRDefault="00D4742E" w:rsidP="00410100">
            <w:pPr>
              <w:jc w:val="right"/>
              <w:rPr>
                <w:rFonts w:cstheme="minorHAnsi"/>
                <w:sz w:val="24"/>
                <w:szCs w:val="24"/>
              </w:rPr>
            </w:pPr>
            <w:r w:rsidRPr="00AE30C8">
              <w:rPr>
                <w:rFonts w:cstheme="minorHAnsi"/>
                <w:sz w:val="24"/>
                <w:szCs w:val="24"/>
              </w:rPr>
              <w:t>87 (3.8)</w:t>
            </w:r>
          </w:p>
        </w:tc>
        <w:tc>
          <w:tcPr>
            <w:tcW w:w="1936" w:type="dxa"/>
            <w:vAlign w:val="bottom"/>
          </w:tcPr>
          <w:p w14:paraId="1A29DFA6" w14:textId="77777777" w:rsidR="00D4742E" w:rsidRPr="00AE30C8" w:rsidRDefault="00D4742E" w:rsidP="00410100">
            <w:pPr>
              <w:jc w:val="right"/>
              <w:rPr>
                <w:rFonts w:cstheme="minorHAnsi"/>
                <w:sz w:val="24"/>
                <w:szCs w:val="24"/>
              </w:rPr>
            </w:pPr>
            <w:r w:rsidRPr="00AE30C8">
              <w:rPr>
                <w:rFonts w:cstheme="minorHAnsi"/>
                <w:sz w:val="24"/>
                <w:szCs w:val="24"/>
              </w:rPr>
              <w:t>164 (3.6)</w:t>
            </w:r>
          </w:p>
        </w:tc>
      </w:tr>
      <w:tr w:rsidR="00D4742E" w:rsidRPr="00AE30C8" w14:paraId="64243FF4" w14:textId="77777777" w:rsidTr="00B56916">
        <w:tc>
          <w:tcPr>
            <w:tcW w:w="4219" w:type="dxa"/>
          </w:tcPr>
          <w:p w14:paraId="64314547" w14:textId="77777777" w:rsidR="00D4742E" w:rsidRPr="00AE30C8" w:rsidRDefault="00D4742E" w:rsidP="00410100">
            <w:pPr>
              <w:rPr>
                <w:rFonts w:cstheme="minorHAnsi"/>
                <w:b/>
                <w:sz w:val="24"/>
                <w:szCs w:val="24"/>
              </w:rPr>
            </w:pPr>
            <w:r w:rsidRPr="00AE30C8">
              <w:rPr>
                <w:rFonts w:cstheme="minorHAnsi"/>
                <w:sz w:val="24"/>
                <w:szCs w:val="24"/>
              </w:rPr>
              <w:t>Other</w:t>
            </w:r>
          </w:p>
        </w:tc>
        <w:tc>
          <w:tcPr>
            <w:tcW w:w="1936" w:type="dxa"/>
            <w:vAlign w:val="bottom"/>
          </w:tcPr>
          <w:p w14:paraId="513BB046" w14:textId="77777777" w:rsidR="00D4742E" w:rsidRPr="00AE30C8" w:rsidRDefault="00D4742E" w:rsidP="00410100">
            <w:pPr>
              <w:jc w:val="right"/>
              <w:rPr>
                <w:rFonts w:cstheme="minorHAnsi"/>
                <w:sz w:val="24"/>
                <w:szCs w:val="24"/>
              </w:rPr>
            </w:pPr>
            <w:r w:rsidRPr="00AE30C8">
              <w:rPr>
                <w:rFonts w:cstheme="minorHAnsi"/>
                <w:sz w:val="24"/>
                <w:szCs w:val="24"/>
              </w:rPr>
              <w:t>80 (3.5)</w:t>
            </w:r>
          </w:p>
        </w:tc>
        <w:tc>
          <w:tcPr>
            <w:tcW w:w="1936" w:type="dxa"/>
            <w:vAlign w:val="bottom"/>
          </w:tcPr>
          <w:p w14:paraId="79E65474" w14:textId="77777777" w:rsidR="00D4742E" w:rsidRPr="00AE30C8" w:rsidRDefault="00D4742E" w:rsidP="00410100">
            <w:pPr>
              <w:jc w:val="right"/>
              <w:rPr>
                <w:rFonts w:cstheme="minorHAnsi"/>
                <w:sz w:val="24"/>
                <w:szCs w:val="24"/>
              </w:rPr>
            </w:pPr>
            <w:r w:rsidRPr="00AE30C8">
              <w:rPr>
                <w:rFonts w:cstheme="minorHAnsi"/>
                <w:sz w:val="24"/>
                <w:szCs w:val="24"/>
              </w:rPr>
              <w:t>118 (5.2)</w:t>
            </w:r>
          </w:p>
        </w:tc>
        <w:tc>
          <w:tcPr>
            <w:tcW w:w="1936" w:type="dxa"/>
            <w:vAlign w:val="bottom"/>
          </w:tcPr>
          <w:p w14:paraId="1442DCFB" w14:textId="77777777" w:rsidR="00D4742E" w:rsidRPr="00AE30C8" w:rsidRDefault="00D4742E" w:rsidP="00410100">
            <w:pPr>
              <w:jc w:val="right"/>
              <w:rPr>
                <w:rFonts w:cstheme="minorHAnsi"/>
                <w:sz w:val="24"/>
                <w:szCs w:val="24"/>
              </w:rPr>
            </w:pPr>
            <w:r w:rsidRPr="00AE30C8">
              <w:rPr>
                <w:rFonts w:cstheme="minorHAnsi"/>
                <w:sz w:val="24"/>
                <w:szCs w:val="24"/>
              </w:rPr>
              <w:t>198 (4.3)</w:t>
            </w:r>
          </w:p>
        </w:tc>
      </w:tr>
      <w:tr w:rsidR="00D4742E" w:rsidRPr="00AE30C8" w14:paraId="44E5B958" w14:textId="77777777" w:rsidTr="00B56916">
        <w:tc>
          <w:tcPr>
            <w:tcW w:w="4219" w:type="dxa"/>
          </w:tcPr>
          <w:p w14:paraId="5DB66B60" w14:textId="648690DE" w:rsidR="00D4742E" w:rsidRPr="00AE30C8" w:rsidRDefault="00D4742E" w:rsidP="00106985">
            <w:pPr>
              <w:rPr>
                <w:rFonts w:cstheme="minorHAnsi"/>
                <w:sz w:val="24"/>
                <w:szCs w:val="24"/>
              </w:rPr>
            </w:pPr>
            <w:r w:rsidRPr="00AE30C8">
              <w:rPr>
                <w:rFonts w:cstheme="minorHAnsi"/>
                <w:b/>
                <w:sz w:val="24"/>
                <w:szCs w:val="24"/>
              </w:rPr>
              <w:t>Had slip at work in the 12 months</w:t>
            </w:r>
            <w:r w:rsidR="00D0332E">
              <w:rPr>
                <w:rFonts w:cstheme="minorHAnsi"/>
                <w:b/>
                <w:sz w:val="24"/>
                <w:szCs w:val="24"/>
              </w:rPr>
              <w:t xml:space="preserve"> prior to </w:t>
            </w:r>
            <w:r w:rsidR="003E422B">
              <w:rPr>
                <w:rFonts w:cstheme="minorHAnsi"/>
                <w:b/>
                <w:sz w:val="24"/>
                <w:szCs w:val="24"/>
              </w:rPr>
              <w:t xml:space="preserve">enrolling in </w:t>
            </w:r>
            <w:r w:rsidR="00D0332E">
              <w:rPr>
                <w:rFonts w:cstheme="minorHAnsi"/>
                <w:b/>
                <w:sz w:val="24"/>
                <w:szCs w:val="24"/>
              </w:rPr>
              <w:t>the study</w:t>
            </w:r>
            <w:r w:rsidRPr="00AE30C8">
              <w:rPr>
                <w:rFonts w:cstheme="minorHAnsi"/>
                <w:b/>
                <w:sz w:val="24"/>
                <w:szCs w:val="24"/>
              </w:rPr>
              <w:t>, n (%)</w:t>
            </w:r>
          </w:p>
        </w:tc>
        <w:tc>
          <w:tcPr>
            <w:tcW w:w="1936" w:type="dxa"/>
            <w:vAlign w:val="bottom"/>
          </w:tcPr>
          <w:p w14:paraId="3A4225C1" w14:textId="77777777" w:rsidR="00D4742E" w:rsidRPr="00AE30C8" w:rsidRDefault="00D4742E" w:rsidP="00410100">
            <w:pPr>
              <w:jc w:val="right"/>
              <w:rPr>
                <w:rFonts w:cstheme="minorHAnsi"/>
                <w:sz w:val="24"/>
                <w:szCs w:val="24"/>
              </w:rPr>
            </w:pPr>
            <w:r w:rsidRPr="00AE30C8">
              <w:rPr>
                <w:rFonts w:cstheme="minorHAnsi"/>
                <w:sz w:val="24"/>
                <w:szCs w:val="24"/>
              </w:rPr>
              <w:t>850 (37.4)</w:t>
            </w:r>
          </w:p>
        </w:tc>
        <w:tc>
          <w:tcPr>
            <w:tcW w:w="1936" w:type="dxa"/>
            <w:vAlign w:val="bottom"/>
          </w:tcPr>
          <w:p w14:paraId="16AF3BD3" w14:textId="77777777" w:rsidR="00D4742E" w:rsidRPr="00AE30C8" w:rsidRDefault="00D4742E" w:rsidP="00410100">
            <w:pPr>
              <w:jc w:val="right"/>
              <w:rPr>
                <w:rFonts w:cstheme="minorHAnsi"/>
                <w:sz w:val="24"/>
                <w:szCs w:val="24"/>
              </w:rPr>
            </w:pPr>
            <w:r w:rsidRPr="00AE30C8">
              <w:rPr>
                <w:rFonts w:cstheme="minorHAnsi"/>
                <w:sz w:val="24"/>
                <w:szCs w:val="24"/>
              </w:rPr>
              <w:t>885 (38.8)</w:t>
            </w:r>
          </w:p>
        </w:tc>
        <w:tc>
          <w:tcPr>
            <w:tcW w:w="1936" w:type="dxa"/>
            <w:vAlign w:val="bottom"/>
          </w:tcPr>
          <w:p w14:paraId="5B96D7E8" w14:textId="77777777" w:rsidR="00D4742E" w:rsidRPr="00AE30C8" w:rsidRDefault="00D4742E" w:rsidP="00410100">
            <w:pPr>
              <w:jc w:val="right"/>
              <w:rPr>
                <w:rFonts w:cstheme="minorHAnsi"/>
                <w:sz w:val="24"/>
                <w:szCs w:val="24"/>
              </w:rPr>
            </w:pPr>
            <w:r w:rsidRPr="00AE30C8">
              <w:rPr>
                <w:rFonts w:cstheme="minorHAnsi"/>
                <w:sz w:val="24"/>
                <w:szCs w:val="24"/>
              </w:rPr>
              <w:t>1735 (38.1)</w:t>
            </w:r>
          </w:p>
        </w:tc>
      </w:tr>
      <w:tr w:rsidR="00D4742E" w:rsidRPr="00AE30C8" w14:paraId="653FE36C" w14:textId="77777777" w:rsidTr="00B56916">
        <w:tc>
          <w:tcPr>
            <w:tcW w:w="4219" w:type="dxa"/>
          </w:tcPr>
          <w:p w14:paraId="3C044B8C" w14:textId="77777777" w:rsidR="00D4742E" w:rsidRPr="00AE30C8" w:rsidRDefault="00D4742E" w:rsidP="00410100">
            <w:pPr>
              <w:rPr>
                <w:rFonts w:cstheme="minorHAnsi"/>
                <w:sz w:val="24"/>
                <w:szCs w:val="24"/>
              </w:rPr>
            </w:pPr>
            <w:r w:rsidRPr="00AE30C8">
              <w:rPr>
                <w:rFonts w:cstheme="minorHAnsi"/>
                <w:b/>
                <w:sz w:val="24"/>
                <w:szCs w:val="24"/>
              </w:rPr>
              <w:t>If yes, how many?</w:t>
            </w:r>
            <w:r w:rsidRPr="00AE30C8">
              <w:rPr>
                <w:rFonts w:cstheme="minorHAnsi"/>
                <w:sz w:val="24"/>
                <w:szCs w:val="24"/>
              </w:rPr>
              <w:t xml:space="preserve"> Median (min, max)</w:t>
            </w:r>
          </w:p>
        </w:tc>
        <w:tc>
          <w:tcPr>
            <w:tcW w:w="1936" w:type="dxa"/>
          </w:tcPr>
          <w:p w14:paraId="0BD306E4" w14:textId="77777777" w:rsidR="00D4742E" w:rsidRPr="00AE30C8" w:rsidRDefault="00D4742E" w:rsidP="00410100">
            <w:pPr>
              <w:jc w:val="right"/>
              <w:rPr>
                <w:rFonts w:cstheme="minorHAnsi"/>
                <w:sz w:val="24"/>
                <w:szCs w:val="24"/>
              </w:rPr>
            </w:pPr>
            <w:r w:rsidRPr="00AE30C8">
              <w:rPr>
                <w:rFonts w:cstheme="minorHAnsi"/>
                <w:sz w:val="24"/>
                <w:szCs w:val="24"/>
              </w:rPr>
              <w:t>2 (1, 400)</w:t>
            </w:r>
          </w:p>
        </w:tc>
        <w:tc>
          <w:tcPr>
            <w:tcW w:w="1936" w:type="dxa"/>
          </w:tcPr>
          <w:p w14:paraId="39BC01D1" w14:textId="77777777" w:rsidR="00D4742E" w:rsidRPr="00AE30C8" w:rsidRDefault="00D4742E" w:rsidP="00410100">
            <w:pPr>
              <w:jc w:val="right"/>
              <w:rPr>
                <w:rFonts w:cstheme="minorHAnsi"/>
                <w:sz w:val="24"/>
                <w:szCs w:val="24"/>
              </w:rPr>
            </w:pPr>
            <w:r w:rsidRPr="00AE30C8">
              <w:rPr>
                <w:rFonts w:cstheme="minorHAnsi"/>
                <w:sz w:val="24"/>
                <w:szCs w:val="24"/>
              </w:rPr>
              <w:t>2 (1, 300)</w:t>
            </w:r>
          </w:p>
        </w:tc>
        <w:tc>
          <w:tcPr>
            <w:tcW w:w="1936" w:type="dxa"/>
          </w:tcPr>
          <w:p w14:paraId="7C9E701C" w14:textId="77777777" w:rsidR="00D4742E" w:rsidRPr="00AE30C8" w:rsidRDefault="00D4742E" w:rsidP="00410100">
            <w:pPr>
              <w:jc w:val="right"/>
              <w:rPr>
                <w:rFonts w:cstheme="minorHAnsi"/>
                <w:sz w:val="24"/>
                <w:szCs w:val="24"/>
              </w:rPr>
            </w:pPr>
            <w:r w:rsidRPr="00AE30C8">
              <w:rPr>
                <w:rFonts w:cstheme="minorHAnsi"/>
                <w:sz w:val="24"/>
                <w:szCs w:val="24"/>
              </w:rPr>
              <w:t>2 (1, 400)</w:t>
            </w:r>
          </w:p>
        </w:tc>
      </w:tr>
      <w:tr w:rsidR="00D4742E" w:rsidRPr="00AE30C8" w14:paraId="3D378817" w14:textId="77777777" w:rsidTr="00B56916">
        <w:tc>
          <w:tcPr>
            <w:tcW w:w="4219" w:type="dxa"/>
          </w:tcPr>
          <w:p w14:paraId="5F048CCF" w14:textId="77777777" w:rsidR="00D4742E" w:rsidRPr="00AE30C8" w:rsidRDefault="00D4742E" w:rsidP="00410100">
            <w:pPr>
              <w:rPr>
                <w:rFonts w:cstheme="minorHAnsi"/>
                <w:sz w:val="24"/>
                <w:szCs w:val="24"/>
              </w:rPr>
            </w:pPr>
            <w:r w:rsidRPr="00AE30C8">
              <w:rPr>
                <w:rFonts w:cstheme="minorHAnsi"/>
                <w:b/>
                <w:sz w:val="24"/>
                <w:szCs w:val="24"/>
              </w:rPr>
              <w:t>Suffered injury from any of these slips, n (%)</w:t>
            </w:r>
          </w:p>
        </w:tc>
        <w:tc>
          <w:tcPr>
            <w:tcW w:w="1936" w:type="dxa"/>
          </w:tcPr>
          <w:p w14:paraId="4C9AD497" w14:textId="77777777" w:rsidR="00D4742E" w:rsidRPr="00AE30C8" w:rsidRDefault="00D4742E" w:rsidP="00410100">
            <w:pPr>
              <w:jc w:val="right"/>
              <w:rPr>
                <w:rFonts w:cstheme="minorHAnsi"/>
                <w:sz w:val="24"/>
                <w:szCs w:val="24"/>
              </w:rPr>
            </w:pPr>
            <w:r w:rsidRPr="00AE30C8">
              <w:rPr>
                <w:rFonts w:cstheme="minorHAnsi"/>
                <w:sz w:val="24"/>
                <w:szCs w:val="24"/>
              </w:rPr>
              <w:t>96 (11.3)</w:t>
            </w:r>
          </w:p>
        </w:tc>
        <w:tc>
          <w:tcPr>
            <w:tcW w:w="1936" w:type="dxa"/>
          </w:tcPr>
          <w:p w14:paraId="6ADA7434" w14:textId="77777777" w:rsidR="00D4742E" w:rsidRPr="00AE30C8" w:rsidRDefault="00D4742E" w:rsidP="00410100">
            <w:pPr>
              <w:jc w:val="right"/>
              <w:rPr>
                <w:rFonts w:cstheme="minorHAnsi"/>
                <w:sz w:val="24"/>
                <w:szCs w:val="24"/>
              </w:rPr>
            </w:pPr>
            <w:r w:rsidRPr="00AE30C8">
              <w:rPr>
                <w:rFonts w:cstheme="minorHAnsi"/>
                <w:sz w:val="24"/>
                <w:szCs w:val="24"/>
              </w:rPr>
              <w:t>89 (10.1)</w:t>
            </w:r>
          </w:p>
        </w:tc>
        <w:tc>
          <w:tcPr>
            <w:tcW w:w="1936" w:type="dxa"/>
          </w:tcPr>
          <w:p w14:paraId="59A8D671" w14:textId="77777777" w:rsidR="00D4742E" w:rsidRPr="00AE30C8" w:rsidRDefault="00D4742E" w:rsidP="00410100">
            <w:pPr>
              <w:jc w:val="right"/>
              <w:rPr>
                <w:rFonts w:cstheme="minorHAnsi"/>
                <w:sz w:val="24"/>
                <w:szCs w:val="24"/>
              </w:rPr>
            </w:pPr>
            <w:r w:rsidRPr="00AE30C8">
              <w:rPr>
                <w:rFonts w:cstheme="minorHAnsi"/>
                <w:sz w:val="24"/>
                <w:szCs w:val="24"/>
              </w:rPr>
              <w:t>185 (10.7)</w:t>
            </w:r>
          </w:p>
        </w:tc>
      </w:tr>
    </w:tbl>
    <w:p w14:paraId="5C9ED5FB" w14:textId="77777777" w:rsidR="00CE7868" w:rsidRPr="00E73653" w:rsidRDefault="00D4742E" w:rsidP="00D4742E">
      <w:pPr>
        <w:pStyle w:val="CommentText"/>
        <w:spacing w:after="0"/>
        <w:rPr>
          <w:sz w:val="22"/>
          <w:szCs w:val="24"/>
        </w:rPr>
      </w:pPr>
      <w:r w:rsidRPr="00E73653">
        <w:rPr>
          <w:sz w:val="22"/>
          <w:szCs w:val="24"/>
          <w:vertAlign w:val="superscript"/>
        </w:rPr>
        <w:t>a</w:t>
      </w:r>
      <w:r w:rsidRPr="00E73653">
        <w:rPr>
          <w:sz w:val="22"/>
          <w:szCs w:val="24"/>
        </w:rPr>
        <w:t xml:space="preserve"> not mutually exclusive</w:t>
      </w:r>
      <w:r w:rsidR="002A3501" w:rsidRPr="00E73653">
        <w:rPr>
          <w:sz w:val="22"/>
          <w:szCs w:val="24"/>
        </w:rPr>
        <w:t xml:space="preserve"> </w:t>
      </w:r>
    </w:p>
    <w:p w14:paraId="166CA86F" w14:textId="783CCD88" w:rsidR="00D4742E" w:rsidRPr="00E73653" w:rsidRDefault="000947A2" w:rsidP="00D4742E">
      <w:pPr>
        <w:pStyle w:val="CommentText"/>
        <w:spacing w:after="0"/>
        <w:rPr>
          <w:sz w:val="22"/>
          <w:szCs w:val="24"/>
        </w:rPr>
      </w:pPr>
      <w:r w:rsidRPr="00E73653">
        <w:rPr>
          <w:sz w:val="22"/>
          <w:szCs w:val="24"/>
        </w:rPr>
        <w:t xml:space="preserve">SD, standard deviation; </w:t>
      </w:r>
      <w:r w:rsidR="00F51FC4" w:rsidRPr="00E73653">
        <w:rPr>
          <w:sz w:val="22"/>
          <w:szCs w:val="24"/>
        </w:rPr>
        <w:t>max</w:t>
      </w:r>
      <w:r w:rsidRPr="00E73653">
        <w:rPr>
          <w:sz w:val="22"/>
          <w:szCs w:val="24"/>
        </w:rPr>
        <w:t>,</w:t>
      </w:r>
      <w:r w:rsidR="00F51FC4" w:rsidRPr="00E73653">
        <w:rPr>
          <w:sz w:val="22"/>
          <w:szCs w:val="24"/>
        </w:rPr>
        <w:t xml:space="preserve"> maximum; </w:t>
      </w:r>
      <w:r w:rsidR="00D5167E" w:rsidRPr="00E73653">
        <w:rPr>
          <w:sz w:val="22"/>
          <w:szCs w:val="24"/>
        </w:rPr>
        <w:t>min</w:t>
      </w:r>
      <w:r w:rsidRPr="00E73653">
        <w:rPr>
          <w:sz w:val="22"/>
          <w:szCs w:val="24"/>
        </w:rPr>
        <w:t>,</w:t>
      </w:r>
      <w:r w:rsidR="00CE7868" w:rsidRPr="00E73653">
        <w:rPr>
          <w:sz w:val="22"/>
          <w:szCs w:val="24"/>
        </w:rPr>
        <w:t xml:space="preserve"> </w:t>
      </w:r>
      <w:r w:rsidR="002A3501" w:rsidRPr="00E73653">
        <w:rPr>
          <w:sz w:val="22"/>
          <w:szCs w:val="24"/>
        </w:rPr>
        <w:t>min</w:t>
      </w:r>
      <w:r w:rsidR="00D5167E" w:rsidRPr="00E73653">
        <w:rPr>
          <w:sz w:val="22"/>
          <w:szCs w:val="24"/>
        </w:rPr>
        <w:t xml:space="preserve">imum; </w:t>
      </w:r>
      <w:r w:rsidR="00F51FC4" w:rsidRPr="00E73653">
        <w:rPr>
          <w:sz w:val="22"/>
          <w:szCs w:val="24"/>
        </w:rPr>
        <w:t>n</w:t>
      </w:r>
      <w:r w:rsidRPr="00E73653">
        <w:rPr>
          <w:sz w:val="22"/>
          <w:szCs w:val="24"/>
        </w:rPr>
        <w:t>,</w:t>
      </w:r>
      <w:r w:rsidR="00F51FC4" w:rsidRPr="00E73653">
        <w:rPr>
          <w:sz w:val="22"/>
          <w:szCs w:val="24"/>
        </w:rPr>
        <w:t xml:space="preserve"> number; %</w:t>
      </w:r>
      <w:r w:rsidRPr="00E73653">
        <w:rPr>
          <w:sz w:val="22"/>
          <w:szCs w:val="24"/>
        </w:rPr>
        <w:t>,</w:t>
      </w:r>
      <w:r w:rsidR="00F51FC4" w:rsidRPr="00E73653">
        <w:rPr>
          <w:sz w:val="22"/>
          <w:szCs w:val="24"/>
        </w:rPr>
        <w:t xml:space="preserve"> percentage</w:t>
      </w:r>
    </w:p>
    <w:p w14:paraId="5E311893" w14:textId="191AABAF" w:rsidR="00BD4CD3" w:rsidRPr="00AE30C8" w:rsidRDefault="00D4742E" w:rsidP="00F17D15">
      <w:pPr>
        <w:spacing w:after="0" w:line="240" w:lineRule="auto"/>
      </w:pPr>
      <w:r w:rsidRPr="00AE30C8">
        <w:rPr>
          <w:sz w:val="24"/>
          <w:szCs w:val="24"/>
          <w:lang w:val="en"/>
        </w:rPr>
        <w:t xml:space="preserve">  </w:t>
      </w:r>
    </w:p>
    <w:p w14:paraId="5872E7F4" w14:textId="18A05A6C" w:rsidR="00600C83" w:rsidRPr="00AE30C8" w:rsidRDefault="00600C83" w:rsidP="00F17D15">
      <w:pPr>
        <w:spacing w:after="0" w:line="240" w:lineRule="auto"/>
        <w:rPr>
          <w:sz w:val="24"/>
        </w:rPr>
      </w:pPr>
      <w:r w:rsidRPr="00AE30C8">
        <w:rPr>
          <w:sz w:val="24"/>
        </w:rPr>
        <w:t xml:space="preserve">Primary outcome </w:t>
      </w:r>
    </w:p>
    <w:p w14:paraId="3701E310" w14:textId="6F29EEB5" w:rsidR="00D32375" w:rsidRPr="00AE30C8" w:rsidRDefault="00B15FC0" w:rsidP="00F17D15">
      <w:pPr>
        <w:spacing w:after="0" w:line="240" w:lineRule="auto"/>
        <w:rPr>
          <w:sz w:val="28"/>
          <w:szCs w:val="24"/>
          <w:lang w:val="en"/>
        </w:rPr>
      </w:pPr>
      <w:r>
        <w:rPr>
          <w:sz w:val="24"/>
        </w:rPr>
        <w:t>At least one weeks’ worth of p</w:t>
      </w:r>
      <w:r w:rsidR="00DC0D9E" w:rsidRPr="00AE30C8">
        <w:rPr>
          <w:sz w:val="24"/>
        </w:rPr>
        <w:t>ost-randomi</w:t>
      </w:r>
      <w:r w:rsidR="007E6A69" w:rsidRPr="00AE30C8">
        <w:rPr>
          <w:sz w:val="24"/>
        </w:rPr>
        <w:t>s</w:t>
      </w:r>
      <w:r w:rsidR="00DC0D9E" w:rsidRPr="00AE30C8">
        <w:rPr>
          <w:sz w:val="24"/>
        </w:rPr>
        <w:t xml:space="preserve">ation </w:t>
      </w:r>
      <w:r w:rsidR="00CC2DDF">
        <w:rPr>
          <w:sz w:val="24"/>
        </w:rPr>
        <w:t xml:space="preserve">SMS </w:t>
      </w:r>
      <w:r w:rsidR="00DC0D9E" w:rsidRPr="00AE30C8">
        <w:rPr>
          <w:sz w:val="24"/>
        </w:rPr>
        <w:t xml:space="preserve">slip data were available from </w:t>
      </w:r>
      <w:r w:rsidR="001712DA">
        <w:rPr>
          <w:sz w:val="24"/>
        </w:rPr>
        <w:t>4494</w:t>
      </w:r>
      <w:r w:rsidR="00DC0D9E" w:rsidRPr="00AE30C8">
        <w:rPr>
          <w:sz w:val="24"/>
        </w:rPr>
        <w:t xml:space="preserve"> randomi</w:t>
      </w:r>
      <w:r w:rsidR="007E6A69" w:rsidRPr="00AE30C8">
        <w:rPr>
          <w:sz w:val="24"/>
        </w:rPr>
        <w:t>s</w:t>
      </w:r>
      <w:r w:rsidR="00DC0D9E" w:rsidRPr="00AE30C8">
        <w:rPr>
          <w:sz w:val="24"/>
        </w:rPr>
        <w:t>ed participants (98.</w:t>
      </w:r>
      <w:r w:rsidR="001712DA">
        <w:rPr>
          <w:sz w:val="24"/>
        </w:rPr>
        <w:t>7</w:t>
      </w:r>
      <w:r w:rsidR="00DC0D9E" w:rsidRPr="00AE30C8">
        <w:rPr>
          <w:sz w:val="24"/>
        </w:rPr>
        <w:t>%; intervention group, n=225</w:t>
      </w:r>
      <w:r w:rsidR="001712DA">
        <w:rPr>
          <w:sz w:val="24"/>
        </w:rPr>
        <w:t>4</w:t>
      </w:r>
      <w:r w:rsidR="00DC0D9E" w:rsidRPr="00AE30C8">
        <w:rPr>
          <w:sz w:val="24"/>
        </w:rPr>
        <w:t>, 99.</w:t>
      </w:r>
      <w:r w:rsidR="001712DA">
        <w:rPr>
          <w:sz w:val="24"/>
        </w:rPr>
        <w:t>1</w:t>
      </w:r>
      <w:r w:rsidR="00DC0D9E" w:rsidRPr="00AE30C8">
        <w:rPr>
          <w:sz w:val="24"/>
        </w:rPr>
        <w:t>%; control, n=224</w:t>
      </w:r>
      <w:r w:rsidR="001712DA">
        <w:rPr>
          <w:sz w:val="24"/>
        </w:rPr>
        <w:t>0</w:t>
      </w:r>
      <w:r w:rsidR="00DC0D9E" w:rsidRPr="00AE30C8">
        <w:rPr>
          <w:sz w:val="24"/>
        </w:rPr>
        <w:t>, 98.</w:t>
      </w:r>
      <w:r w:rsidR="001712DA">
        <w:rPr>
          <w:sz w:val="24"/>
        </w:rPr>
        <w:t>3</w:t>
      </w:r>
      <w:r w:rsidR="00DC0D9E" w:rsidRPr="00AE30C8">
        <w:rPr>
          <w:sz w:val="24"/>
        </w:rPr>
        <w:t>%</w:t>
      </w:r>
      <w:r w:rsidR="004F2CC9">
        <w:rPr>
          <w:sz w:val="24"/>
        </w:rPr>
        <w:t xml:space="preserve">) </w:t>
      </w:r>
      <w:r w:rsidR="000B49EF">
        <w:rPr>
          <w:sz w:val="24"/>
        </w:rPr>
        <w:t>(</w:t>
      </w:r>
      <w:r w:rsidR="00F27B7D">
        <w:rPr>
          <w:sz w:val="24"/>
        </w:rPr>
        <w:t xml:space="preserve">See </w:t>
      </w:r>
      <w:r w:rsidR="00F76DBF">
        <w:rPr>
          <w:sz w:val="24"/>
        </w:rPr>
        <w:t>S</w:t>
      </w:r>
      <w:r w:rsidR="00F60047">
        <w:rPr>
          <w:sz w:val="24"/>
        </w:rPr>
        <w:t>upplementary</w:t>
      </w:r>
      <w:r w:rsidR="00B4210A">
        <w:rPr>
          <w:sz w:val="24"/>
        </w:rPr>
        <w:t xml:space="preserve"> </w:t>
      </w:r>
      <w:r w:rsidR="007E6A69" w:rsidRPr="00A26C12">
        <w:rPr>
          <w:sz w:val="24"/>
        </w:rPr>
        <w:t>2</w:t>
      </w:r>
      <w:r w:rsidR="00DC0D9E" w:rsidRPr="00AE30C8">
        <w:rPr>
          <w:sz w:val="24"/>
        </w:rPr>
        <w:t xml:space="preserve">).  </w:t>
      </w:r>
      <w:r w:rsidR="001712DA">
        <w:rPr>
          <w:sz w:val="24"/>
        </w:rPr>
        <w:t>A further</w:t>
      </w:r>
      <w:r w:rsidR="00DC0D9E" w:rsidRPr="00AE30C8">
        <w:rPr>
          <w:sz w:val="24"/>
        </w:rPr>
        <w:t xml:space="preserve"> 11 </w:t>
      </w:r>
      <w:r w:rsidR="001712DA">
        <w:rPr>
          <w:sz w:val="24"/>
        </w:rPr>
        <w:t xml:space="preserve">(intervention group, n=4; control group, n=7) </w:t>
      </w:r>
      <w:r w:rsidR="00DC0D9E" w:rsidRPr="00AE30C8">
        <w:rPr>
          <w:sz w:val="24"/>
        </w:rPr>
        <w:t xml:space="preserve">did not respond to any text </w:t>
      </w:r>
      <w:proofErr w:type="gramStart"/>
      <w:r w:rsidR="00DC0D9E" w:rsidRPr="00AE30C8">
        <w:rPr>
          <w:sz w:val="24"/>
        </w:rPr>
        <w:t>messages, but</w:t>
      </w:r>
      <w:proofErr w:type="gramEnd"/>
      <w:r w:rsidR="00DC0D9E" w:rsidRPr="00AE30C8">
        <w:rPr>
          <w:sz w:val="24"/>
        </w:rPr>
        <w:t xml:space="preserve"> provided data </w:t>
      </w:r>
      <w:r>
        <w:rPr>
          <w:sz w:val="24"/>
        </w:rPr>
        <w:t xml:space="preserve">for number of slips experienced </w:t>
      </w:r>
      <w:r w:rsidR="004F2CC9">
        <w:rPr>
          <w:sz w:val="24"/>
        </w:rPr>
        <w:t>o</w:t>
      </w:r>
      <w:r w:rsidR="00DC0D9E" w:rsidRPr="00AE30C8">
        <w:rPr>
          <w:sz w:val="24"/>
        </w:rPr>
        <w:t>n their 14-week questionnaire</w:t>
      </w:r>
      <w:r w:rsidR="001712DA">
        <w:rPr>
          <w:sz w:val="24"/>
        </w:rPr>
        <w:t>, so were included in the primary model</w:t>
      </w:r>
      <w:r w:rsidR="00DC0D9E" w:rsidRPr="00AE30C8">
        <w:rPr>
          <w:sz w:val="24"/>
        </w:rPr>
        <w:t>.</w:t>
      </w:r>
      <w:r w:rsidR="00494F41" w:rsidRPr="00AE30C8">
        <w:rPr>
          <w:sz w:val="24"/>
        </w:rPr>
        <w:t xml:space="preserve">  </w:t>
      </w:r>
      <w:r w:rsidRPr="00AE30C8">
        <w:rPr>
          <w:sz w:val="24"/>
        </w:rPr>
        <w:t xml:space="preserve">The primary model </w:t>
      </w:r>
      <w:r w:rsidR="00F45ACC">
        <w:rPr>
          <w:sz w:val="24"/>
        </w:rPr>
        <w:t xml:space="preserve">also </w:t>
      </w:r>
      <w:r w:rsidRPr="00AE30C8">
        <w:rPr>
          <w:sz w:val="24"/>
        </w:rPr>
        <w:t>included participants who did not provide any post-randomi</w:t>
      </w:r>
      <w:r>
        <w:rPr>
          <w:sz w:val="24"/>
        </w:rPr>
        <w:t>s</w:t>
      </w:r>
      <w:r w:rsidRPr="00AE30C8">
        <w:rPr>
          <w:sz w:val="24"/>
        </w:rPr>
        <w:t>ation slip data</w:t>
      </w:r>
      <w:r w:rsidR="00F45ACC">
        <w:rPr>
          <w:sz w:val="24"/>
        </w:rPr>
        <w:t>,</w:t>
      </w:r>
      <w:r w:rsidRPr="00AE30C8">
        <w:rPr>
          <w:sz w:val="24"/>
        </w:rPr>
        <w:t xml:space="preserve"> by considering that they reported 0 slips over a minimal exposure time of 0.1</w:t>
      </w:r>
      <w:r w:rsidR="006F3809">
        <w:rPr>
          <w:sz w:val="24"/>
        </w:rPr>
        <w:t xml:space="preserve"> hours</w:t>
      </w:r>
      <w:r w:rsidRPr="00AE30C8">
        <w:rPr>
          <w:sz w:val="24"/>
        </w:rPr>
        <w:t xml:space="preserve">.  </w:t>
      </w:r>
      <w:r w:rsidR="00C12DF0" w:rsidRPr="00AE30C8">
        <w:rPr>
          <w:sz w:val="24"/>
        </w:rPr>
        <w:t xml:space="preserve">In total, the intervention group </w:t>
      </w:r>
      <w:r>
        <w:rPr>
          <w:sz w:val="24"/>
        </w:rPr>
        <w:t>reported 2633 slips over</w:t>
      </w:r>
      <w:r w:rsidR="00C12DF0" w:rsidRPr="00AE30C8">
        <w:rPr>
          <w:sz w:val="24"/>
        </w:rPr>
        <w:t xml:space="preserve"> 28,002 person-weeks</w:t>
      </w:r>
      <w:r w:rsidR="006F3809">
        <w:rPr>
          <w:sz w:val="24"/>
        </w:rPr>
        <w:t xml:space="preserve">, which equates to approximately </w:t>
      </w:r>
      <w:r w:rsidR="006F3809" w:rsidRPr="006F3809">
        <w:rPr>
          <w:sz w:val="24"/>
        </w:rPr>
        <w:t>1</w:t>
      </w:r>
      <w:r w:rsidR="006F3809">
        <w:rPr>
          <w:sz w:val="24"/>
        </w:rPr>
        <w:t>,</w:t>
      </w:r>
      <w:r w:rsidR="006F3809" w:rsidRPr="006F3809">
        <w:rPr>
          <w:sz w:val="24"/>
        </w:rPr>
        <w:t>001</w:t>
      </w:r>
      <w:r w:rsidR="006F3809">
        <w:rPr>
          <w:sz w:val="24"/>
        </w:rPr>
        <w:t>,</w:t>
      </w:r>
      <w:r w:rsidR="006F3809" w:rsidRPr="006F3809">
        <w:rPr>
          <w:sz w:val="24"/>
        </w:rPr>
        <w:t xml:space="preserve">959 </w:t>
      </w:r>
      <w:r w:rsidR="006F3809">
        <w:rPr>
          <w:sz w:val="24"/>
        </w:rPr>
        <w:t>person-working-hours</w:t>
      </w:r>
      <w:r>
        <w:rPr>
          <w:sz w:val="24"/>
        </w:rPr>
        <w:t xml:space="preserve"> (mean per randomised participant </w:t>
      </w:r>
      <w:r w:rsidRPr="00AE30C8">
        <w:rPr>
          <w:sz w:val="24"/>
        </w:rPr>
        <w:t>1.16</w:t>
      </w:r>
      <w:r>
        <w:rPr>
          <w:sz w:val="24"/>
        </w:rPr>
        <w:t xml:space="preserve">, </w:t>
      </w:r>
      <w:r w:rsidRPr="00AE30C8">
        <w:rPr>
          <w:sz w:val="24"/>
        </w:rPr>
        <w:t>SD 2.9, median 0, range 0 to 36</w:t>
      </w:r>
      <w:r>
        <w:rPr>
          <w:sz w:val="24"/>
        </w:rPr>
        <w:t>)</w:t>
      </w:r>
      <w:r w:rsidR="00C12DF0" w:rsidRPr="00AE30C8">
        <w:rPr>
          <w:sz w:val="24"/>
        </w:rPr>
        <w:t xml:space="preserve">, and the control group </w:t>
      </w:r>
      <w:r>
        <w:rPr>
          <w:sz w:val="24"/>
        </w:rPr>
        <w:t xml:space="preserve">reported 4110 </w:t>
      </w:r>
      <w:r w:rsidR="004F2CC9">
        <w:rPr>
          <w:sz w:val="24"/>
        </w:rPr>
        <w:t xml:space="preserve">slips </w:t>
      </w:r>
      <w:r>
        <w:rPr>
          <w:sz w:val="24"/>
        </w:rPr>
        <w:t xml:space="preserve">over </w:t>
      </w:r>
      <w:r w:rsidR="00C12DF0" w:rsidRPr="00AE30C8">
        <w:rPr>
          <w:sz w:val="24"/>
        </w:rPr>
        <w:t>28,595 person-weeks</w:t>
      </w:r>
      <w:r w:rsidR="006F3809">
        <w:rPr>
          <w:sz w:val="24"/>
        </w:rPr>
        <w:t xml:space="preserve">, or </w:t>
      </w:r>
      <w:r w:rsidR="006F3809" w:rsidRPr="006F3809">
        <w:rPr>
          <w:sz w:val="24"/>
        </w:rPr>
        <w:t>1</w:t>
      </w:r>
      <w:r w:rsidR="006F3809">
        <w:rPr>
          <w:sz w:val="24"/>
        </w:rPr>
        <w:t>,</w:t>
      </w:r>
      <w:r w:rsidR="006F3809" w:rsidRPr="006F3809">
        <w:rPr>
          <w:sz w:val="24"/>
        </w:rPr>
        <w:t>025</w:t>
      </w:r>
      <w:r w:rsidR="006F3809">
        <w:rPr>
          <w:sz w:val="24"/>
        </w:rPr>
        <w:t>,</w:t>
      </w:r>
      <w:r w:rsidR="006F3809" w:rsidRPr="006F3809">
        <w:rPr>
          <w:sz w:val="24"/>
        </w:rPr>
        <w:t>180</w:t>
      </w:r>
      <w:r w:rsidR="006F3809">
        <w:rPr>
          <w:sz w:val="24"/>
        </w:rPr>
        <w:t xml:space="preserve"> person-working-hours</w:t>
      </w:r>
      <w:r>
        <w:rPr>
          <w:sz w:val="24"/>
        </w:rPr>
        <w:t xml:space="preserve"> (mean </w:t>
      </w:r>
      <w:r w:rsidRPr="00AE30C8">
        <w:rPr>
          <w:sz w:val="24"/>
        </w:rPr>
        <w:t>1.80</w:t>
      </w:r>
      <w:r>
        <w:rPr>
          <w:sz w:val="24"/>
        </w:rPr>
        <w:t xml:space="preserve">, </w:t>
      </w:r>
      <w:r w:rsidRPr="00AE30C8">
        <w:rPr>
          <w:sz w:val="24"/>
        </w:rPr>
        <w:t>SD 4.6, median 0, range 0 to 83</w:t>
      </w:r>
      <w:r>
        <w:rPr>
          <w:sz w:val="24"/>
        </w:rPr>
        <w:t>)</w:t>
      </w:r>
      <w:r w:rsidR="00C12DF0" w:rsidRPr="00AE30C8">
        <w:rPr>
          <w:sz w:val="24"/>
        </w:rPr>
        <w:t xml:space="preserve">. </w:t>
      </w:r>
      <w:r w:rsidR="00C12DF0">
        <w:rPr>
          <w:sz w:val="24"/>
        </w:rPr>
        <w:t xml:space="preserve"> </w:t>
      </w:r>
      <w:r w:rsidR="00494F41" w:rsidRPr="00AE30C8">
        <w:rPr>
          <w:sz w:val="24"/>
        </w:rPr>
        <w:t>182</w:t>
      </w:r>
      <w:r w:rsidR="006402B5">
        <w:rPr>
          <w:sz w:val="24"/>
        </w:rPr>
        <w:t>4</w:t>
      </w:r>
      <w:r w:rsidR="00494F41" w:rsidRPr="00AE30C8">
        <w:rPr>
          <w:sz w:val="24"/>
        </w:rPr>
        <w:t>/4505 (40.</w:t>
      </w:r>
      <w:r w:rsidR="006402B5">
        <w:rPr>
          <w:sz w:val="24"/>
        </w:rPr>
        <w:t>5</w:t>
      </w:r>
      <w:r w:rsidR="00494F41" w:rsidRPr="00AE30C8">
        <w:rPr>
          <w:sz w:val="24"/>
        </w:rPr>
        <w:t>%) participants reported at least one slip.  Information about a participant’s first slip was received for 1159 (63.</w:t>
      </w:r>
      <w:r w:rsidR="006402B5">
        <w:rPr>
          <w:sz w:val="24"/>
        </w:rPr>
        <w:t>5</w:t>
      </w:r>
      <w:r w:rsidR="00494F41" w:rsidRPr="00AE30C8">
        <w:rPr>
          <w:sz w:val="24"/>
        </w:rPr>
        <w:t>%) (intervention group, 61.9%; control group, 65.0%</w:t>
      </w:r>
      <w:r w:rsidR="001B69C4">
        <w:rPr>
          <w:sz w:val="24"/>
        </w:rPr>
        <w:t>)</w:t>
      </w:r>
      <w:r w:rsidR="000B49EF">
        <w:rPr>
          <w:sz w:val="24"/>
        </w:rPr>
        <w:t xml:space="preserve"> (</w:t>
      </w:r>
      <w:r w:rsidR="00F27B7D">
        <w:rPr>
          <w:sz w:val="24"/>
        </w:rPr>
        <w:t xml:space="preserve">See </w:t>
      </w:r>
      <w:r w:rsidR="00666436">
        <w:rPr>
          <w:sz w:val="24"/>
        </w:rPr>
        <w:t xml:space="preserve">Supplementary </w:t>
      </w:r>
      <w:r w:rsidR="004D4578" w:rsidRPr="00A26C12">
        <w:rPr>
          <w:sz w:val="24"/>
        </w:rPr>
        <w:t>3</w:t>
      </w:r>
      <w:r w:rsidR="00494F41" w:rsidRPr="00AE30C8">
        <w:rPr>
          <w:sz w:val="24"/>
        </w:rPr>
        <w:t>).  Nearly all occurred on the ward (9</w:t>
      </w:r>
      <w:r w:rsidR="004029B7">
        <w:rPr>
          <w:sz w:val="24"/>
        </w:rPr>
        <w:t>6.9</w:t>
      </w:r>
      <w:r w:rsidR="00494F41" w:rsidRPr="00AE30C8">
        <w:rPr>
          <w:sz w:val="24"/>
        </w:rPr>
        <w:t xml:space="preserve">%) and over three-quarters on a smooth surface.  Only 3.0% of slips lead to a fall and most did not result in an injury </w:t>
      </w:r>
      <w:r w:rsidR="00494F41" w:rsidRPr="00AE30C8">
        <w:rPr>
          <w:sz w:val="24"/>
        </w:rPr>
        <w:lastRenderedPageBreak/>
        <w:t>(86.4%)</w:t>
      </w:r>
      <w:r w:rsidR="00380834" w:rsidRPr="00AE30C8">
        <w:rPr>
          <w:sz w:val="24"/>
        </w:rPr>
        <w:t>.</w:t>
      </w:r>
      <w:r w:rsidR="004D4578" w:rsidRPr="00AE30C8">
        <w:rPr>
          <w:sz w:val="24"/>
        </w:rPr>
        <w:t xml:space="preserve"> </w:t>
      </w:r>
      <w:r w:rsidR="00380834" w:rsidRPr="00AE30C8">
        <w:rPr>
          <w:sz w:val="24"/>
        </w:rPr>
        <w:t>There were no reported fractures from the first reported slip, though one control participant later reported a broken ankle due to a subsequent slip.</w:t>
      </w:r>
      <w:r w:rsidR="00380834" w:rsidRPr="00AE30C8">
        <w:rPr>
          <w:sz w:val="28"/>
          <w:szCs w:val="24"/>
          <w:lang w:val="en"/>
        </w:rPr>
        <w:t xml:space="preserve">   </w:t>
      </w:r>
    </w:p>
    <w:p w14:paraId="4F129DCF" w14:textId="77777777" w:rsidR="00A2048F" w:rsidRPr="00AE30C8" w:rsidRDefault="00A2048F" w:rsidP="00F17D15">
      <w:pPr>
        <w:spacing w:after="0" w:line="240" w:lineRule="auto"/>
        <w:rPr>
          <w:sz w:val="28"/>
          <w:szCs w:val="24"/>
          <w:lang w:val="en"/>
        </w:rPr>
      </w:pPr>
    </w:p>
    <w:p w14:paraId="0D8C6513" w14:textId="398229F4" w:rsidR="00D32375" w:rsidRPr="00AE30C8" w:rsidRDefault="00D32375" w:rsidP="00D32375">
      <w:pPr>
        <w:spacing w:after="0" w:line="240" w:lineRule="auto"/>
        <w:rPr>
          <w:sz w:val="24"/>
        </w:rPr>
      </w:pPr>
      <w:r w:rsidRPr="00AE30C8">
        <w:rPr>
          <w:sz w:val="24"/>
        </w:rPr>
        <w:t>The incidence rates of slips per person-working-week were approximately 0.10</w:t>
      </w:r>
      <w:r w:rsidR="001973CF">
        <w:rPr>
          <w:sz w:val="24"/>
        </w:rPr>
        <w:t xml:space="preserve"> (95% CI 0.09 to 0.11)</w:t>
      </w:r>
      <w:r w:rsidRPr="00AE30C8">
        <w:rPr>
          <w:sz w:val="24"/>
        </w:rPr>
        <w:t xml:space="preserve"> in the intervention group and 0.15</w:t>
      </w:r>
      <w:r w:rsidR="001973CF">
        <w:rPr>
          <w:sz w:val="24"/>
        </w:rPr>
        <w:t xml:space="preserve"> (95% CI 0.14 to 0.17)</w:t>
      </w:r>
      <w:r w:rsidRPr="00AE30C8">
        <w:rPr>
          <w:sz w:val="24"/>
        </w:rPr>
        <w:t xml:space="preserve"> in the control group.  There was a 37% reduction in the slip rate in the intervention group relative to the control group (IRR 0.63, 95% CI 0.57 to 0.70, p&lt;0.001)</w:t>
      </w:r>
      <w:r w:rsidR="00C614C3">
        <w:rPr>
          <w:sz w:val="24"/>
        </w:rPr>
        <w:t xml:space="preserve"> (Table 2)</w:t>
      </w:r>
      <w:r w:rsidRPr="00AE30C8">
        <w:rPr>
          <w:sz w:val="24"/>
        </w:rPr>
        <w:t>.  Of the 2275 intervention participants, 1523 (66.9%) received a pair of trial shoes within seven weeks of randomi</w:t>
      </w:r>
      <w:r w:rsidR="00B34582">
        <w:rPr>
          <w:sz w:val="24"/>
        </w:rPr>
        <w:t>s</w:t>
      </w:r>
      <w:r w:rsidRPr="00AE30C8">
        <w:rPr>
          <w:sz w:val="24"/>
        </w:rPr>
        <w:t>ation, and 1930 (84.8%) within 14 weeks</w:t>
      </w:r>
      <w:r w:rsidRPr="00AE30C8" w:rsidDel="00AF507C">
        <w:rPr>
          <w:sz w:val="24"/>
        </w:rPr>
        <w:t xml:space="preserve"> </w:t>
      </w:r>
      <w:r w:rsidRPr="00AE30C8">
        <w:rPr>
          <w:sz w:val="24"/>
        </w:rPr>
        <w:t>(median 27 days post-randomi</w:t>
      </w:r>
      <w:r w:rsidR="00B34582">
        <w:rPr>
          <w:sz w:val="24"/>
        </w:rPr>
        <w:t>s</w:t>
      </w:r>
      <w:r w:rsidRPr="00AE30C8">
        <w:rPr>
          <w:sz w:val="24"/>
        </w:rPr>
        <w:t xml:space="preserve">ation). </w:t>
      </w:r>
      <w:r w:rsidR="00B60E83">
        <w:rPr>
          <w:sz w:val="24"/>
        </w:rPr>
        <w:t>Some participants</w:t>
      </w:r>
      <w:r w:rsidR="00AB4655">
        <w:rPr>
          <w:sz w:val="24"/>
        </w:rPr>
        <w:t xml:space="preserve"> either did not receive or were delayed in receiving their footwear </w:t>
      </w:r>
      <w:r w:rsidR="00B60E83">
        <w:rPr>
          <w:sz w:val="24"/>
        </w:rPr>
        <w:t>due to issues with ordering</w:t>
      </w:r>
      <w:r w:rsidR="00226693">
        <w:rPr>
          <w:sz w:val="24"/>
        </w:rPr>
        <w:t>,</w:t>
      </w:r>
      <w:r w:rsidR="00B60E83">
        <w:rPr>
          <w:sz w:val="24"/>
        </w:rPr>
        <w:t xml:space="preserve"> distributing</w:t>
      </w:r>
      <w:r w:rsidR="00226693">
        <w:rPr>
          <w:sz w:val="24"/>
        </w:rPr>
        <w:t xml:space="preserve"> or collecting</w:t>
      </w:r>
      <w:r w:rsidR="00B60E83">
        <w:rPr>
          <w:sz w:val="24"/>
        </w:rPr>
        <w:t xml:space="preserve"> footwear.</w:t>
      </w:r>
      <w:r w:rsidR="00856A6A">
        <w:rPr>
          <w:sz w:val="24"/>
        </w:rPr>
        <w:t xml:space="preserve"> </w:t>
      </w:r>
      <w:r w:rsidR="00B60E83">
        <w:rPr>
          <w:sz w:val="24"/>
        </w:rPr>
        <w:t xml:space="preserve"> </w:t>
      </w:r>
      <w:r w:rsidR="00D22408">
        <w:rPr>
          <w:sz w:val="24"/>
        </w:rPr>
        <w:t xml:space="preserve">Of the 28,002 person-weeks of slip data provided by intervention participants, we estimate </w:t>
      </w:r>
      <w:r w:rsidR="006E0E15">
        <w:rPr>
          <w:sz w:val="24"/>
        </w:rPr>
        <w:t>two-</w:t>
      </w:r>
      <w:r w:rsidR="00C34234">
        <w:rPr>
          <w:sz w:val="24"/>
        </w:rPr>
        <w:t>third</w:t>
      </w:r>
      <w:r w:rsidR="006E0E15">
        <w:rPr>
          <w:sz w:val="24"/>
        </w:rPr>
        <w:t>s</w:t>
      </w:r>
      <w:r w:rsidR="00C34234">
        <w:rPr>
          <w:sz w:val="24"/>
        </w:rPr>
        <w:t xml:space="preserve"> (</w:t>
      </w:r>
      <w:r w:rsidR="00D22408" w:rsidRPr="00D22408">
        <w:rPr>
          <w:sz w:val="24"/>
        </w:rPr>
        <w:t>18</w:t>
      </w:r>
      <w:r w:rsidR="00D22408">
        <w:rPr>
          <w:sz w:val="24"/>
        </w:rPr>
        <w:t>,</w:t>
      </w:r>
      <w:r w:rsidR="00D22408" w:rsidRPr="00D22408">
        <w:rPr>
          <w:sz w:val="24"/>
        </w:rPr>
        <w:t>696</w:t>
      </w:r>
      <w:r w:rsidR="00C34234">
        <w:rPr>
          <w:sz w:val="24"/>
        </w:rPr>
        <w:t>, 66.8%)</w:t>
      </w:r>
      <w:r w:rsidR="00D22408">
        <w:rPr>
          <w:sz w:val="24"/>
        </w:rPr>
        <w:t xml:space="preserve"> of these were after they had received their shoes.  </w:t>
      </w:r>
      <w:r w:rsidRPr="00AE30C8">
        <w:rPr>
          <w:sz w:val="24"/>
        </w:rPr>
        <w:t>Compliance data indicated that</w:t>
      </w:r>
      <w:r w:rsidR="00856A6A">
        <w:rPr>
          <w:sz w:val="24"/>
        </w:rPr>
        <w:t>, once they had received their trial footwear,</w:t>
      </w:r>
      <w:r w:rsidRPr="00AE30C8">
        <w:rPr>
          <w:sz w:val="24"/>
        </w:rPr>
        <w:t xml:space="preserve"> 50% of intervention participants wore the </w:t>
      </w:r>
      <w:r w:rsidR="00856A6A">
        <w:rPr>
          <w:sz w:val="24"/>
        </w:rPr>
        <w:t>shoes</w:t>
      </w:r>
      <w:r w:rsidRPr="00AE30C8">
        <w:rPr>
          <w:sz w:val="24"/>
        </w:rPr>
        <w:t xml:space="preserve"> </w:t>
      </w:r>
      <w:proofErr w:type="gramStart"/>
      <w:r w:rsidRPr="00AE30C8">
        <w:rPr>
          <w:sz w:val="24"/>
        </w:rPr>
        <w:t>all of</w:t>
      </w:r>
      <w:proofErr w:type="gramEnd"/>
      <w:r w:rsidRPr="00AE30C8">
        <w:rPr>
          <w:sz w:val="24"/>
        </w:rPr>
        <w:t xml:space="preserve"> the time whilst at work.  A similar treatment estimate was observed when CACE analysis explored the impact of receiving shoes within seven (IRR 0.65, 95% CI 0.58 to 0.73, p&lt;0.001) and 14 weeks (IRR 0.65, 95% CI 0.59 to 0.73, p&lt;0.001)</w:t>
      </w:r>
      <w:r w:rsidR="00C614C3">
        <w:rPr>
          <w:sz w:val="24"/>
        </w:rPr>
        <w:t xml:space="preserve"> (Table 2)</w:t>
      </w:r>
      <w:r w:rsidRPr="00AE30C8">
        <w:rPr>
          <w:sz w:val="24"/>
        </w:rPr>
        <w:t>. A compliance ‘score’ was also computed, which incorporated when shoes were received and the amount of time they were worn, where a higher score indicated greater compliance.  The intervention group scored, on average, 5.2/12 (SD 4.4); the control group all scored 0.  The CACE analysis indicated that for every unit increase in compliance score, the rate of slipping was reduced by approximately 5% (IRR 0.95, 95% CI 0.94 to 0.97, p&lt;0.001).</w:t>
      </w:r>
    </w:p>
    <w:p w14:paraId="0041995B" w14:textId="528A2C67" w:rsidR="00DC0D9E" w:rsidRPr="00AE30C8" w:rsidRDefault="00380834" w:rsidP="00F17D15">
      <w:pPr>
        <w:spacing w:after="0" w:line="240" w:lineRule="auto"/>
        <w:rPr>
          <w:sz w:val="24"/>
        </w:rPr>
      </w:pPr>
      <w:r w:rsidRPr="00AE30C8">
        <w:rPr>
          <w:sz w:val="28"/>
          <w:szCs w:val="24"/>
          <w:lang w:val="en"/>
        </w:rPr>
        <w:t xml:space="preserve">     </w:t>
      </w:r>
    </w:p>
    <w:p w14:paraId="21071558" w14:textId="150969CA" w:rsidR="00600C83" w:rsidRPr="00AE30C8" w:rsidRDefault="00600C83" w:rsidP="00F17D15">
      <w:pPr>
        <w:spacing w:after="0" w:line="240" w:lineRule="auto"/>
        <w:rPr>
          <w:sz w:val="24"/>
        </w:rPr>
      </w:pPr>
      <w:r w:rsidRPr="00AE30C8">
        <w:rPr>
          <w:sz w:val="24"/>
        </w:rPr>
        <w:t xml:space="preserve">Secondary outcomes </w:t>
      </w:r>
    </w:p>
    <w:p w14:paraId="250A33B3" w14:textId="71100A92" w:rsidR="009C6506" w:rsidRDefault="009C6506" w:rsidP="009C6506">
      <w:pPr>
        <w:spacing w:after="0" w:line="240" w:lineRule="auto"/>
        <w:rPr>
          <w:sz w:val="28"/>
          <w:szCs w:val="24"/>
          <w:lang w:val="en"/>
        </w:rPr>
      </w:pPr>
      <w:r w:rsidRPr="00AE30C8">
        <w:rPr>
          <w:sz w:val="24"/>
        </w:rPr>
        <w:t>Statistically significant findings, favouring the slip-resistant footwear, were seen in the following secondary outcomes: falls resulting from a slip in the workplace (IRR 0.51, 95% CI 0.28 to 0.92, p=0.03), the proportion of participants who reported a slip (odds ratio (OR) 0.58, 95% CI 0.50 to 0.66, p&lt;0.001) or fall (OR 0.73, 95% CI 0.54 to 0.99, p=0.04) and time to first slip (hazard ratio 0.73, 95% CI 0.67 to 0.80, p&lt;0.001)</w:t>
      </w:r>
      <w:r w:rsidR="00C614C3">
        <w:rPr>
          <w:sz w:val="24"/>
        </w:rPr>
        <w:t xml:space="preserve"> (Table 2)</w:t>
      </w:r>
      <w:r w:rsidRPr="00AE30C8">
        <w:rPr>
          <w:sz w:val="24"/>
        </w:rPr>
        <w:t>.  There was no evidence of a difference in falls not resulting from a slip (IRR 0.82, 95% CI 0.50 to 1.34, p=0.44).  First falls were reported a median of 34 days after randomi</w:t>
      </w:r>
      <w:r w:rsidR="00B34582">
        <w:rPr>
          <w:sz w:val="24"/>
        </w:rPr>
        <w:t>s</w:t>
      </w:r>
      <w:r w:rsidRPr="00AE30C8">
        <w:rPr>
          <w:sz w:val="24"/>
        </w:rPr>
        <w:t>ation in the intervention group and 41 days in the control group.  There were no related serious adverse events reported.</w:t>
      </w:r>
      <w:r w:rsidRPr="00AE30C8">
        <w:rPr>
          <w:sz w:val="28"/>
          <w:szCs w:val="24"/>
          <w:lang w:val="en"/>
        </w:rPr>
        <w:t xml:space="preserve">  </w:t>
      </w:r>
    </w:p>
    <w:p w14:paraId="4DEC48E2" w14:textId="6FB5BA5E" w:rsidR="00273D49" w:rsidRDefault="00273D49" w:rsidP="009C6506">
      <w:pPr>
        <w:spacing w:after="0" w:line="240" w:lineRule="auto"/>
        <w:rPr>
          <w:sz w:val="28"/>
          <w:szCs w:val="24"/>
          <w:lang w:val="en"/>
        </w:rPr>
      </w:pPr>
    </w:p>
    <w:p w14:paraId="1204742D" w14:textId="37D2CFF7" w:rsidR="00273D49" w:rsidRPr="000A2814" w:rsidRDefault="00273D49" w:rsidP="00273D49">
      <w:pPr>
        <w:spacing w:after="0" w:line="240" w:lineRule="auto"/>
        <w:rPr>
          <w:rFonts w:cstheme="minorHAnsi"/>
          <w:color w:val="1D1D1D"/>
          <w:sz w:val="24"/>
          <w:szCs w:val="24"/>
          <w:shd w:val="clear" w:color="auto" w:fill="FFFFFF"/>
        </w:rPr>
      </w:pPr>
      <w:r w:rsidRPr="000A2814">
        <w:rPr>
          <w:rFonts w:cstheme="minorHAnsi"/>
          <w:color w:val="1D1D1D"/>
          <w:sz w:val="24"/>
          <w:szCs w:val="24"/>
          <w:shd w:val="clear" w:color="auto" w:fill="FFFFFF"/>
        </w:rPr>
        <w:t>Table 2</w:t>
      </w:r>
      <w:r w:rsidR="00EB7F2E">
        <w:rPr>
          <w:rFonts w:cstheme="minorHAnsi"/>
          <w:color w:val="1D1D1D"/>
          <w:sz w:val="24"/>
          <w:szCs w:val="24"/>
          <w:shd w:val="clear" w:color="auto" w:fill="FFFFFF"/>
        </w:rPr>
        <w:t>.</w:t>
      </w:r>
      <w:r w:rsidRPr="000A2814">
        <w:rPr>
          <w:rFonts w:cstheme="minorHAnsi"/>
          <w:color w:val="1D1D1D"/>
          <w:sz w:val="24"/>
          <w:szCs w:val="24"/>
          <w:shd w:val="clear" w:color="auto" w:fill="FFFFFF"/>
        </w:rPr>
        <w:t xml:space="preserve"> Summary of analysis results </w:t>
      </w:r>
    </w:p>
    <w:p w14:paraId="4FE98A49" w14:textId="77777777" w:rsidR="00273D49" w:rsidRPr="00100A48" w:rsidRDefault="00273D49" w:rsidP="00273D49">
      <w:pPr>
        <w:spacing w:after="0" w:line="240" w:lineRule="auto"/>
        <w:rPr>
          <w:rFonts w:cstheme="minorHAnsi"/>
          <w:color w:val="1D1D1D"/>
          <w:sz w:val="24"/>
          <w:szCs w:val="24"/>
          <w:shd w:val="clear" w:color="auto" w:fill="FFFFFF"/>
        </w:rPr>
      </w:pPr>
    </w:p>
    <w:tbl>
      <w:tblPr>
        <w:tblStyle w:val="TableGrid"/>
        <w:tblW w:w="9634" w:type="dxa"/>
        <w:tblLook w:val="04A0" w:firstRow="1" w:lastRow="0" w:firstColumn="1" w:lastColumn="0" w:noHBand="0" w:noVBand="1"/>
      </w:tblPr>
      <w:tblGrid>
        <w:gridCol w:w="2794"/>
        <w:gridCol w:w="1530"/>
        <w:gridCol w:w="1467"/>
        <w:gridCol w:w="2453"/>
        <w:gridCol w:w="1390"/>
      </w:tblGrid>
      <w:tr w:rsidR="00273D49" w:rsidRPr="00A90EA2" w14:paraId="120D7C70" w14:textId="77777777" w:rsidTr="007C2BBC">
        <w:trPr>
          <w:tblHeader/>
        </w:trPr>
        <w:tc>
          <w:tcPr>
            <w:tcW w:w="2794" w:type="dxa"/>
          </w:tcPr>
          <w:p w14:paraId="4D6AE53D" w14:textId="77777777" w:rsidR="00273D49" w:rsidRPr="00A90EA2" w:rsidRDefault="00273D49" w:rsidP="007C2BBC">
            <w:pPr>
              <w:rPr>
                <w:rFonts w:cstheme="minorHAnsi"/>
                <w:b/>
                <w:bCs/>
                <w:color w:val="1D1D1D"/>
                <w:sz w:val="24"/>
                <w:szCs w:val="24"/>
                <w:shd w:val="clear" w:color="auto" w:fill="FFFFFF"/>
              </w:rPr>
            </w:pPr>
            <w:r w:rsidRPr="00A90EA2">
              <w:rPr>
                <w:rFonts w:cstheme="minorHAnsi"/>
                <w:b/>
                <w:bCs/>
                <w:color w:val="1D1D1D"/>
                <w:sz w:val="24"/>
                <w:szCs w:val="24"/>
                <w:shd w:val="clear" w:color="auto" w:fill="FFFFFF"/>
              </w:rPr>
              <w:t>Outcome and analysis</w:t>
            </w:r>
          </w:p>
        </w:tc>
        <w:tc>
          <w:tcPr>
            <w:tcW w:w="1530" w:type="dxa"/>
          </w:tcPr>
          <w:p w14:paraId="18E94362"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Intervention</w:t>
            </w:r>
          </w:p>
          <w:p w14:paraId="47CAC17F"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(n=2275)</w:t>
            </w:r>
          </w:p>
        </w:tc>
        <w:tc>
          <w:tcPr>
            <w:tcW w:w="1467" w:type="dxa"/>
          </w:tcPr>
          <w:p w14:paraId="486DF622"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Control</w:t>
            </w:r>
          </w:p>
          <w:p w14:paraId="3D885DC1"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(n=2278)</w:t>
            </w:r>
          </w:p>
        </w:tc>
        <w:tc>
          <w:tcPr>
            <w:tcW w:w="2453" w:type="dxa"/>
          </w:tcPr>
          <w:p w14:paraId="33818211"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 xml:space="preserve">Adjusted treatment effect estimate </w:t>
            </w:r>
          </w:p>
          <w:p w14:paraId="0A678E8F"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(95% CI)</w:t>
            </w:r>
          </w:p>
          <w:p w14:paraId="41D4C942" w14:textId="77777777" w:rsidR="00273D49" w:rsidRPr="00A90EA2" w:rsidRDefault="00273D49" w:rsidP="007C2BBC">
            <w:pPr>
              <w:jc w:val="center"/>
              <w:rPr>
                <w:rFonts w:cstheme="minorHAnsi"/>
                <w:b/>
                <w:bCs/>
                <w:color w:val="1D1D1D"/>
                <w:sz w:val="24"/>
                <w:szCs w:val="24"/>
                <w:shd w:val="clear" w:color="auto" w:fill="FFFFFF"/>
              </w:rPr>
            </w:pPr>
          </w:p>
        </w:tc>
        <w:tc>
          <w:tcPr>
            <w:tcW w:w="1390" w:type="dxa"/>
          </w:tcPr>
          <w:p w14:paraId="1B39C37E" w14:textId="77777777" w:rsidR="00273D49" w:rsidRPr="00A90EA2" w:rsidRDefault="00273D49" w:rsidP="007C2BBC">
            <w:pPr>
              <w:jc w:val="center"/>
              <w:rPr>
                <w:rFonts w:cstheme="minorHAnsi"/>
                <w:b/>
                <w:bCs/>
                <w:color w:val="1D1D1D"/>
                <w:sz w:val="24"/>
                <w:szCs w:val="24"/>
                <w:shd w:val="clear" w:color="auto" w:fill="FFFFFF"/>
              </w:rPr>
            </w:pPr>
            <w:r w:rsidRPr="00A90EA2">
              <w:rPr>
                <w:rFonts w:cstheme="minorHAnsi"/>
                <w:b/>
                <w:bCs/>
                <w:color w:val="1D1D1D"/>
                <w:sz w:val="24"/>
                <w:szCs w:val="24"/>
                <w:shd w:val="clear" w:color="auto" w:fill="FFFFFF"/>
              </w:rPr>
              <w:t>p-value</w:t>
            </w:r>
          </w:p>
        </w:tc>
      </w:tr>
      <w:tr w:rsidR="00273D49" w:rsidRPr="00A90EA2" w14:paraId="6DD8BBDB" w14:textId="77777777" w:rsidTr="007C2BBC">
        <w:trPr>
          <w:tblHeader/>
        </w:trPr>
        <w:tc>
          <w:tcPr>
            <w:tcW w:w="2794" w:type="dxa"/>
          </w:tcPr>
          <w:p w14:paraId="2A6B88FD" w14:textId="77777777" w:rsidR="00273D49" w:rsidRPr="00A90EA2" w:rsidDel="00D82F37" w:rsidRDefault="00273D49" w:rsidP="007C2BBC">
            <w:pPr>
              <w:rPr>
                <w:rFonts w:cstheme="minorHAnsi"/>
                <w:b/>
                <w:bCs/>
                <w:color w:val="1D1D1D"/>
                <w:sz w:val="24"/>
                <w:szCs w:val="24"/>
                <w:shd w:val="clear" w:color="auto" w:fill="FFFFFF"/>
              </w:rPr>
            </w:pPr>
            <w:r w:rsidRPr="00A90EA2">
              <w:rPr>
                <w:rFonts w:cstheme="minorHAnsi"/>
                <w:b/>
                <w:bCs/>
                <w:color w:val="1D1D1D"/>
                <w:sz w:val="24"/>
                <w:szCs w:val="24"/>
                <w:shd w:val="clear" w:color="auto" w:fill="FFFFFF"/>
              </w:rPr>
              <w:t xml:space="preserve">Primary </w:t>
            </w:r>
            <w:proofErr w:type="spellStart"/>
            <w:r w:rsidRPr="00A90EA2">
              <w:rPr>
                <w:rFonts w:cstheme="minorHAnsi"/>
                <w:b/>
                <w:bCs/>
                <w:color w:val="1D1D1D"/>
                <w:sz w:val="24"/>
                <w:szCs w:val="24"/>
                <w:shd w:val="clear" w:color="auto" w:fill="FFFFFF"/>
              </w:rPr>
              <w:t>analysis</w:t>
            </w:r>
            <w:r w:rsidRPr="00C3683A">
              <w:rPr>
                <w:rFonts w:cstheme="minorHAnsi"/>
                <w:b/>
                <w:bCs/>
                <w:color w:val="1D1D1D"/>
                <w:sz w:val="24"/>
                <w:szCs w:val="24"/>
                <w:shd w:val="clear" w:color="auto" w:fill="FFFFFF"/>
                <w:vertAlign w:val="superscript"/>
              </w:rPr>
              <w:t>a</w:t>
            </w:r>
            <w:proofErr w:type="spellEnd"/>
          </w:p>
        </w:tc>
        <w:tc>
          <w:tcPr>
            <w:tcW w:w="1530" w:type="dxa"/>
          </w:tcPr>
          <w:p w14:paraId="7A732381" w14:textId="77777777" w:rsidR="00273D49" w:rsidRPr="00A90EA2" w:rsidRDefault="00273D49" w:rsidP="007C2BBC">
            <w:pPr>
              <w:jc w:val="center"/>
              <w:rPr>
                <w:rFonts w:cstheme="minorHAnsi"/>
                <w:b/>
                <w:bCs/>
                <w:color w:val="1D1D1D"/>
                <w:sz w:val="24"/>
                <w:szCs w:val="24"/>
                <w:shd w:val="clear" w:color="auto" w:fill="FFFFFF"/>
              </w:rPr>
            </w:pPr>
          </w:p>
        </w:tc>
        <w:tc>
          <w:tcPr>
            <w:tcW w:w="1467" w:type="dxa"/>
          </w:tcPr>
          <w:p w14:paraId="2E2604A6" w14:textId="77777777" w:rsidR="00273D49" w:rsidRPr="00A90EA2" w:rsidRDefault="00273D49" w:rsidP="007C2BBC">
            <w:pPr>
              <w:jc w:val="center"/>
              <w:rPr>
                <w:rFonts w:cstheme="minorHAnsi"/>
                <w:b/>
                <w:bCs/>
                <w:color w:val="1D1D1D"/>
                <w:sz w:val="24"/>
                <w:szCs w:val="24"/>
                <w:shd w:val="clear" w:color="auto" w:fill="FFFFFF"/>
              </w:rPr>
            </w:pPr>
          </w:p>
        </w:tc>
        <w:tc>
          <w:tcPr>
            <w:tcW w:w="2453" w:type="dxa"/>
          </w:tcPr>
          <w:p w14:paraId="038D26A8" w14:textId="77777777" w:rsidR="00273D49" w:rsidRPr="00A90EA2" w:rsidRDefault="00273D49" w:rsidP="007C2BBC">
            <w:pPr>
              <w:jc w:val="center"/>
              <w:rPr>
                <w:rFonts w:cstheme="minorHAnsi"/>
                <w:b/>
                <w:bCs/>
                <w:color w:val="1D1D1D"/>
                <w:sz w:val="24"/>
                <w:szCs w:val="24"/>
                <w:shd w:val="clear" w:color="auto" w:fill="FFFFFF"/>
              </w:rPr>
            </w:pPr>
          </w:p>
        </w:tc>
        <w:tc>
          <w:tcPr>
            <w:tcW w:w="1390" w:type="dxa"/>
          </w:tcPr>
          <w:p w14:paraId="5910A00B" w14:textId="77777777" w:rsidR="00273D49" w:rsidRPr="00A90EA2" w:rsidRDefault="00273D49" w:rsidP="007C2BBC">
            <w:pPr>
              <w:jc w:val="center"/>
              <w:rPr>
                <w:rFonts w:cstheme="minorHAnsi"/>
                <w:b/>
                <w:bCs/>
                <w:color w:val="1D1D1D"/>
                <w:sz w:val="24"/>
                <w:szCs w:val="24"/>
                <w:shd w:val="clear" w:color="auto" w:fill="FFFFFF"/>
              </w:rPr>
            </w:pPr>
          </w:p>
        </w:tc>
      </w:tr>
      <w:tr w:rsidR="00273D49" w:rsidRPr="00A90EA2" w14:paraId="4A573DE9" w14:textId="77777777" w:rsidTr="007C2BBC">
        <w:tc>
          <w:tcPr>
            <w:tcW w:w="2794" w:type="dxa"/>
          </w:tcPr>
          <w:p w14:paraId="2EABB60C"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Total number of slips</w:t>
            </w:r>
          </w:p>
        </w:tc>
        <w:tc>
          <w:tcPr>
            <w:tcW w:w="1530" w:type="dxa"/>
          </w:tcPr>
          <w:p w14:paraId="0C73BD02"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2633</w:t>
            </w:r>
          </w:p>
        </w:tc>
        <w:tc>
          <w:tcPr>
            <w:tcW w:w="1467" w:type="dxa"/>
          </w:tcPr>
          <w:p w14:paraId="4F26B69D"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4110</w:t>
            </w:r>
          </w:p>
        </w:tc>
        <w:tc>
          <w:tcPr>
            <w:tcW w:w="2453" w:type="dxa"/>
          </w:tcPr>
          <w:p w14:paraId="1B388A6A" w14:textId="77777777" w:rsidR="00273D49" w:rsidRPr="00A90EA2" w:rsidRDefault="00273D49" w:rsidP="007C2BBC">
            <w:pPr>
              <w:jc w:val="right"/>
              <w:rPr>
                <w:rFonts w:cstheme="minorHAnsi"/>
                <w:color w:val="1D1D1D"/>
                <w:sz w:val="24"/>
                <w:szCs w:val="24"/>
                <w:shd w:val="clear" w:color="auto" w:fill="FFFFFF"/>
              </w:rPr>
            </w:pPr>
          </w:p>
        </w:tc>
        <w:tc>
          <w:tcPr>
            <w:tcW w:w="1390" w:type="dxa"/>
          </w:tcPr>
          <w:p w14:paraId="6322D521" w14:textId="77777777" w:rsidR="00273D49" w:rsidRPr="00A90EA2" w:rsidRDefault="00273D49" w:rsidP="007C2BBC">
            <w:pPr>
              <w:jc w:val="right"/>
              <w:rPr>
                <w:rFonts w:cstheme="minorHAnsi"/>
                <w:color w:val="1D1D1D"/>
                <w:sz w:val="24"/>
                <w:szCs w:val="24"/>
                <w:shd w:val="clear" w:color="auto" w:fill="FFFFFF"/>
              </w:rPr>
            </w:pPr>
          </w:p>
        </w:tc>
      </w:tr>
      <w:tr w:rsidR="00273D49" w:rsidRPr="00A90EA2" w14:paraId="1B61CC2B" w14:textId="77777777" w:rsidTr="007C2BBC">
        <w:tc>
          <w:tcPr>
            <w:tcW w:w="2794" w:type="dxa"/>
          </w:tcPr>
          <w:p w14:paraId="0FEEF534"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Mean (SD)</w:t>
            </w:r>
          </w:p>
        </w:tc>
        <w:tc>
          <w:tcPr>
            <w:tcW w:w="1530" w:type="dxa"/>
          </w:tcPr>
          <w:p w14:paraId="5D419266"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1.16 (2.9</w:t>
            </w:r>
            <w:r w:rsidRPr="00A90EA2">
              <w:rPr>
                <w:rFonts w:cstheme="minorHAnsi"/>
                <w:color w:val="1D1D1D"/>
                <w:sz w:val="24"/>
                <w:szCs w:val="24"/>
                <w:shd w:val="clear" w:color="auto" w:fill="FFFFFF"/>
              </w:rPr>
              <w:t>)</w:t>
            </w:r>
          </w:p>
        </w:tc>
        <w:tc>
          <w:tcPr>
            <w:tcW w:w="1467" w:type="dxa"/>
          </w:tcPr>
          <w:p w14:paraId="379A29F9"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1.80 (4.6)</w:t>
            </w:r>
          </w:p>
        </w:tc>
        <w:tc>
          <w:tcPr>
            <w:tcW w:w="2453" w:type="dxa"/>
          </w:tcPr>
          <w:p w14:paraId="304903E9"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 xml:space="preserve">IRR </w:t>
            </w:r>
            <w:r w:rsidRPr="00A90EA2">
              <w:rPr>
                <w:rFonts w:cstheme="minorHAnsi"/>
                <w:sz w:val="24"/>
                <w:szCs w:val="24"/>
              </w:rPr>
              <w:t>0.63 (0.57 to 0.70</w:t>
            </w:r>
            <w:r w:rsidRPr="00A90EA2">
              <w:rPr>
                <w:rFonts w:cstheme="minorHAnsi"/>
                <w:color w:val="1D1D1D"/>
                <w:sz w:val="24"/>
                <w:szCs w:val="24"/>
                <w:shd w:val="clear" w:color="auto" w:fill="FFFFFF"/>
              </w:rPr>
              <w:t>)</w:t>
            </w:r>
          </w:p>
        </w:tc>
        <w:tc>
          <w:tcPr>
            <w:tcW w:w="1390" w:type="dxa"/>
          </w:tcPr>
          <w:p w14:paraId="7C27BBEF"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&lt;0.001</w:t>
            </w:r>
          </w:p>
        </w:tc>
      </w:tr>
      <w:tr w:rsidR="00273D49" w:rsidRPr="00A90EA2" w14:paraId="478F54DC" w14:textId="77777777" w:rsidTr="007C2BBC">
        <w:tc>
          <w:tcPr>
            <w:tcW w:w="2794" w:type="dxa"/>
          </w:tcPr>
          <w:p w14:paraId="11E24958" w14:textId="77777777" w:rsidR="00273D49" w:rsidRPr="00A90EA2" w:rsidRDefault="00273D49" w:rsidP="007C2BBC">
            <w:pPr>
              <w:rPr>
                <w:rFonts w:cstheme="minorHAnsi"/>
                <w:b/>
                <w:color w:val="1D1D1D"/>
                <w:sz w:val="24"/>
                <w:szCs w:val="24"/>
                <w:shd w:val="clear" w:color="auto" w:fill="FFFFFF"/>
              </w:rPr>
            </w:pPr>
            <w:r w:rsidRPr="00A90EA2">
              <w:rPr>
                <w:rFonts w:cstheme="minorHAnsi"/>
                <w:b/>
                <w:color w:val="1D1D1D"/>
                <w:sz w:val="24"/>
                <w:szCs w:val="24"/>
                <w:shd w:val="clear" w:color="auto" w:fill="FFFFFF"/>
              </w:rPr>
              <w:t xml:space="preserve">CACE sensitivity </w:t>
            </w:r>
            <w:proofErr w:type="spellStart"/>
            <w:r w:rsidRPr="00A90EA2">
              <w:rPr>
                <w:rFonts w:cstheme="minorHAnsi"/>
                <w:b/>
                <w:color w:val="1D1D1D"/>
                <w:sz w:val="24"/>
                <w:szCs w:val="24"/>
                <w:shd w:val="clear" w:color="auto" w:fill="FFFFFF"/>
              </w:rPr>
              <w:t>analyses</w:t>
            </w:r>
            <w:r w:rsidRPr="00A90EA2">
              <w:rPr>
                <w:rFonts w:cstheme="minorHAnsi"/>
                <w:color w:val="1D1D1D"/>
                <w:sz w:val="24"/>
                <w:szCs w:val="24"/>
                <w:shd w:val="clear" w:color="auto" w:fill="FFFFFF"/>
                <w:vertAlign w:val="superscript"/>
              </w:rPr>
              <w:t>a</w:t>
            </w:r>
            <w:proofErr w:type="spellEnd"/>
          </w:p>
        </w:tc>
        <w:tc>
          <w:tcPr>
            <w:tcW w:w="1530" w:type="dxa"/>
          </w:tcPr>
          <w:p w14:paraId="31245F87" w14:textId="77777777" w:rsidR="00273D49" w:rsidRPr="00A90EA2" w:rsidRDefault="00273D49" w:rsidP="007C2BBC">
            <w:pPr>
              <w:jc w:val="right"/>
              <w:rPr>
                <w:rFonts w:cstheme="minorHAnsi"/>
                <w:color w:val="1D1D1D"/>
                <w:sz w:val="24"/>
                <w:szCs w:val="24"/>
                <w:shd w:val="clear" w:color="auto" w:fill="FFFFFF"/>
              </w:rPr>
            </w:pPr>
          </w:p>
        </w:tc>
        <w:tc>
          <w:tcPr>
            <w:tcW w:w="1467" w:type="dxa"/>
          </w:tcPr>
          <w:p w14:paraId="5B719E79" w14:textId="77777777" w:rsidR="00273D49" w:rsidRPr="00A90EA2" w:rsidRDefault="00273D49" w:rsidP="007C2BBC">
            <w:pPr>
              <w:jc w:val="right"/>
              <w:rPr>
                <w:rFonts w:cstheme="minorHAnsi"/>
                <w:color w:val="1D1D1D"/>
                <w:sz w:val="24"/>
                <w:szCs w:val="24"/>
                <w:shd w:val="clear" w:color="auto" w:fill="FFFFFF"/>
              </w:rPr>
            </w:pPr>
          </w:p>
        </w:tc>
        <w:tc>
          <w:tcPr>
            <w:tcW w:w="2453" w:type="dxa"/>
          </w:tcPr>
          <w:p w14:paraId="30D97F65" w14:textId="77777777" w:rsidR="00273D49" w:rsidRPr="00A90EA2" w:rsidRDefault="00273D49" w:rsidP="007C2BBC">
            <w:pPr>
              <w:jc w:val="right"/>
              <w:rPr>
                <w:rFonts w:cstheme="minorHAnsi"/>
                <w:color w:val="1D1D1D"/>
                <w:sz w:val="24"/>
                <w:szCs w:val="24"/>
                <w:shd w:val="clear" w:color="auto" w:fill="FFFFFF"/>
              </w:rPr>
            </w:pPr>
          </w:p>
        </w:tc>
        <w:tc>
          <w:tcPr>
            <w:tcW w:w="1390" w:type="dxa"/>
          </w:tcPr>
          <w:p w14:paraId="22F90DB3" w14:textId="77777777" w:rsidR="00273D49" w:rsidRPr="00A90EA2" w:rsidDel="00374260" w:rsidRDefault="00273D49" w:rsidP="007C2BBC">
            <w:pPr>
              <w:jc w:val="right"/>
              <w:rPr>
                <w:rFonts w:cstheme="minorHAnsi"/>
                <w:color w:val="1D1D1D"/>
                <w:sz w:val="24"/>
                <w:szCs w:val="24"/>
                <w:shd w:val="clear" w:color="auto" w:fill="FFFFFF"/>
              </w:rPr>
            </w:pPr>
          </w:p>
        </w:tc>
      </w:tr>
      <w:tr w:rsidR="00273D49" w:rsidRPr="00A90EA2" w14:paraId="4ACE61C1" w14:textId="77777777" w:rsidTr="007C2BBC">
        <w:tc>
          <w:tcPr>
            <w:tcW w:w="2794" w:type="dxa"/>
          </w:tcPr>
          <w:p w14:paraId="60B744AD"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Receiving shoes within 7 weeks, n (%)</w:t>
            </w:r>
          </w:p>
        </w:tc>
        <w:tc>
          <w:tcPr>
            <w:tcW w:w="1530" w:type="dxa"/>
          </w:tcPr>
          <w:p w14:paraId="71D288FF"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1523 (66.9)</w:t>
            </w:r>
          </w:p>
        </w:tc>
        <w:tc>
          <w:tcPr>
            <w:tcW w:w="1467" w:type="dxa"/>
          </w:tcPr>
          <w:p w14:paraId="34DE8AE9"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 (0.0)</w:t>
            </w:r>
          </w:p>
        </w:tc>
        <w:tc>
          <w:tcPr>
            <w:tcW w:w="2453" w:type="dxa"/>
          </w:tcPr>
          <w:p w14:paraId="5883D240"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 xml:space="preserve">IRR </w:t>
            </w:r>
            <w:r w:rsidRPr="00A90EA2">
              <w:rPr>
                <w:rFonts w:cstheme="minorHAnsi"/>
                <w:sz w:val="24"/>
                <w:szCs w:val="24"/>
              </w:rPr>
              <w:t>0.65 (0.58 to 0.73</w:t>
            </w:r>
            <w:r w:rsidRPr="00A90EA2">
              <w:rPr>
                <w:rFonts w:cstheme="minorHAnsi"/>
                <w:color w:val="1D1D1D"/>
                <w:sz w:val="24"/>
                <w:szCs w:val="24"/>
                <w:shd w:val="clear" w:color="auto" w:fill="FFFFFF"/>
              </w:rPr>
              <w:t>)</w:t>
            </w:r>
          </w:p>
        </w:tc>
        <w:tc>
          <w:tcPr>
            <w:tcW w:w="1390" w:type="dxa"/>
          </w:tcPr>
          <w:p w14:paraId="5425D7A3"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&lt;0.001</w:t>
            </w:r>
          </w:p>
        </w:tc>
      </w:tr>
      <w:tr w:rsidR="00273D49" w:rsidRPr="00A90EA2" w14:paraId="0748F83F" w14:textId="77777777" w:rsidTr="007C2BBC">
        <w:tc>
          <w:tcPr>
            <w:tcW w:w="2794" w:type="dxa"/>
          </w:tcPr>
          <w:p w14:paraId="6A890546"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Receiving shoes within 14 weeks, n (%)</w:t>
            </w:r>
          </w:p>
        </w:tc>
        <w:tc>
          <w:tcPr>
            <w:tcW w:w="1530" w:type="dxa"/>
          </w:tcPr>
          <w:p w14:paraId="259C384E"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1930 (84.8)</w:t>
            </w:r>
          </w:p>
        </w:tc>
        <w:tc>
          <w:tcPr>
            <w:tcW w:w="1467" w:type="dxa"/>
          </w:tcPr>
          <w:p w14:paraId="7528D50F"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 (0.0)</w:t>
            </w:r>
          </w:p>
        </w:tc>
        <w:tc>
          <w:tcPr>
            <w:tcW w:w="2453" w:type="dxa"/>
          </w:tcPr>
          <w:p w14:paraId="3A82A0A7"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IRR 0.65 (0.59 to 0.73)</w:t>
            </w:r>
          </w:p>
          <w:p w14:paraId="4059F86A" w14:textId="77777777" w:rsidR="00273D49" w:rsidRPr="00A90EA2" w:rsidRDefault="00273D49" w:rsidP="007C2BBC">
            <w:pPr>
              <w:jc w:val="right"/>
              <w:rPr>
                <w:rFonts w:cstheme="minorHAnsi"/>
                <w:color w:val="1D1D1D"/>
                <w:sz w:val="24"/>
                <w:szCs w:val="24"/>
                <w:shd w:val="clear" w:color="auto" w:fill="FFFFFF"/>
              </w:rPr>
            </w:pPr>
          </w:p>
        </w:tc>
        <w:tc>
          <w:tcPr>
            <w:tcW w:w="1390" w:type="dxa"/>
          </w:tcPr>
          <w:p w14:paraId="569BDADD"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&lt;0.001</w:t>
            </w:r>
          </w:p>
          <w:p w14:paraId="342840C1" w14:textId="77777777" w:rsidR="00273D49" w:rsidRPr="00A90EA2" w:rsidRDefault="00273D49" w:rsidP="007C2BBC">
            <w:pPr>
              <w:jc w:val="right"/>
              <w:rPr>
                <w:rFonts w:cstheme="minorHAnsi"/>
                <w:sz w:val="24"/>
                <w:szCs w:val="24"/>
              </w:rPr>
            </w:pPr>
          </w:p>
        </w:tc>
      </w:tr>
      <w:tr w:rsidR="00273D49" w:rsidRPr="00A90EA2" w14:paraId="42B980CF" w14:textId="77777777" w:rsidTr="007C2BBC">
        <w:tc>
          <w:tcPr>
            <w:tcW w:w="2794" w:type="dxa"/>
          </w:tcPr>
          <w:p w14:paraId="15682AFB"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lastRenderedPageBreak/>
              <w:t>Continuous score (out of a possible 12), mean (SD)</w:t>
            </w:r>
          </w:p>
        </w:tc>
        <w:tc>
          <w:tcPr>
            <w:tcW w:w="1530" w:type="dxa"/>
          </w:tcPr>
          <w:p w14:paraId="5845AB76"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5.2 (4.4)</w:t>
            </w:r>
          </w:p>
        </w:tc>
        <w:tc>
          <w:tcPr>
            <w:tcW w:w="1467" w:type="dxa"/>
          </w:tcPr>
          <w:p w14:paraId="03CFA443"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0.0 (0.0)</w:t>
            </w:r>
          </w:p>
        </w:tc>
        <w:tc>
          <w:tcPr>
            <w:tcW w:w="2453" w:type="dxa"/>
          </w:tcPr>
          <w:p w14:paraId="4FDD6260"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IRR 0.95 (0.94 to 0.97)</w:t>
            </w:r>
          </w:p>
        </w:tc>
        <w:tc>
          <w:tcPr>
            <w:tcW w:w="1390" w:type="dxa"/>
          </w:tcPr>
          <w:p w14:paraId="7B13D403"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&lt;0.001</w:t>
            </w:r>
          </w:p>
        </w:tc>
      </w:tr>
      <w:tr w:rsidR="00273D49" w:rsidRPr="00A90EA2" w14:paraId="3EEB7800" w14:textId="77777777" w:rsidTr="007C2BBC">
        <w:tc>
          <w:tcPr>
            <w:tcW w:w="2794" w:type="dxa"/>
          </w:tcPr>
          <w:p w14:paraId="618F59A4" w14:textId="77777777" w:rsidR="00273D49" w:rsidRPr="00A90EA2" w:rsidRDefault="00273D49" w:rsidP="007C2BBC">
            <w:pPr>
              <w:rPr>
                <w:rFonts w:cstheme="minorHAnsi"/>
                <w:b/>
                <w:color w:val="1D1D1D"/>
                <w:sz w:val="24"/>
                <w:szCs w:val="24"/>
                <w:shd w:val="clear" w:color="auto" w:fill="FFFFFF"/>
              </w:rPr>
            </w:pPr>
            <w:r w:rsidRPr="00A90EA2">
              <w:rPr>
                <w:rFonts w:cstheme="minorHAnsi"/>
                <w:b/>
                <w:color w:val="1D1D1D"/>
                <w:sz w:val="24"/>
                <w:szCs w:val="24"/>
                <w:shd w:val="clear" w:color="auto" w:fill="FFFFFF"/>
              </w:rPr>
              <w:t xml:space="preserve">Secondary </w:t>
            </w:r>
            <w:proofErr w:type="spellStart"/>
            <w:r w:rsidRPr="00A90EA2">
              <w:rPr>
                <w:rFonts w:cstheme="minorHAnsi"/>
                <w:b/>
                <w:color w:val="1D1D1D"/>
                <w:sz w:val="24"/>
                <w:szCs w:val="24"/>
                <w:shd w:val="clear" w:color="auto" w:fill="FFFFFF"/>
              </w:rPr>
              <w:t>analyses</w:t>
            </w:r>
            <w:r w:rsidRPr="00A90EA2">
              <w:rPr>
                <w:rFonts w:cstheme="minorHAnsi"/>
                <w:b/>
                <w:color w:val="1D1D1D"/>
                <w:sz w:val="24"/>
                <w:szCs w:val="24"/>
                <w:shd w:val="clear" w:color="auto" w:fill="FFFFFF"/>
                <w:vertAlign w:val="superscript"/>
              </w:rPr>
              <w:t>a</w:t>
            </w:r>
            <w:proofErr w:type="spellEnd"/>
          </w:p>
        </w:tc>
        <w:tc>
          <w:tcPr>
            <w:tcW w:w="1530" w:type="dxa"/>
          </w:tcPr>
          <w:p w14:paraId="536EDD9E" w14:textId="77777777" w:rsidR="00273D49" w:rsidRPr="00A90EA2" w:rsidRDefault="00273D49" w:rsidP="007C2BBC">
            <w:pPr>
              <w:jc w:val="right"/>
              <w:rPr>
                <w:rFonts w:cstheme="minorHAnsi"/>
                <w:color w:val="1D1D1D"/>
                <w:sz w:val="24"/>
                <w:szCs w:val="24"/>
                <w:shd w:val="clear" w:color="auto" w:fill="FFFFFF"/>
              </w:rPr>
            </w:pPr>
          </w:p>
        </w:tc>
        <w:tc>
          <w:tcPr>
            <w:tcW w:w="1467" w:type="dxa"/>
          </w:tcPr>
          <w:p w14:paraId="5F38C599" w14:textId="77777777" w:rsidR="00273D49" w:rsidRPr="00A90EA2" w:rsidRDefault="00273D49" w:rsidP="007C2BBC">
            <w:pPr>
              <w:jc w:val="right"/>
              <w:rPr>
                <w:rFonts w:cstheme="minorHAnsi"/>
                <w:color w:val="1D1D1D"/>
                <w:sz w:val="24"/>
                <w:szCs w:val="24"/>
                <w:shd w:val="clear" w:color="auto" w:fill="FFFFFF"/>
              </w:rPr>
            </w:pPr>
          </w:p>
        </w:tc>
        <w:tc>
          <w:tcPr>
            <w:tcW w:w="2453" w:type="dxa"/>
          </w:tcPr>
          <w:p w14:paraId="20015833" w14:textId="77777777" w:rsidR="00273D49" w:rsidRPr="00A90EA2" w:rsidRDefault="00273D49" w:rsidP="007C2BBC">
            <w:pPr>
              <w:jc w:val="right"/>
              <w:rPr>
                <w:rFonts w:cstheme="minorHAnsi"/>
                <w:color w:val="1D1D1D"/>
                <w:sz w:val="24"/>
                <w:szCs w:val="24"/>
                <w:shd w:val="clear" w:color="auto" w:fill="FFFFFF"/>
              </w:rPr>
            </w:pPr>
          </w:p>
        </w:tc>
        <w:tc>
          <w:tcPr>
            <w:tcW w:w="1390" w:type="dxa"/>
          </w:tcPr>
          <w:p w14:paraId="6EA1594B" w14:textId="77777777" w:rsidR="00273D49" w:rsidRPr="00A90EA2" w:rsidRDefault="00273D49" w:rsidP="007C2BBC">
            <w:pPr>
              <w:jc w:val="right"/>
              <w:rPr>
                <w:rFonts w:cstheme="minorHAnsi"/>
                <w:color w:val="1D1D1D"/>
                <w:sz w:val="24"/>
                <w:szCs w:val="24"/>
                <w:shd w:val="clear" w:color="auto" w:fill="FFFFFF"/>
              </w:rPr>
            </w:pPr>
          </w:p>
        </w:tc>
      </w:tr>
      <w:tr w:rsidR="00273D49" w:rsidRPr="00A90EA2" w14:paraId="4AC054D7" w14:textId="77777777" w:rsidTr="007C2BBC">
        <w:tc>
          <w:tcPr>
            <w:tcW w:w="2794" w:type="dxa"/>
          </w:tcPr>
          <w:p w14:paraId="6A676540"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 xml:space="preserve">1+ slip, n (%) </w:t>
            </w:r>
          </w:p>
        </w:tc>
        <w:tc>
          <w:tcPr>
            <w:tcW w:w="1530" w:type="dxa"/>
          </w:tcPr>
          <w:p w14:paraId="1BA42C82"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804 (35.6)</w:t>
            </w:r>
          </w:p>
        </w:tc>
        <w:tc>
          <w:tcPr>
            <w:tcW w:w="1467" w:type="dxa"/>
          </w:tcPr>
          <w:p w14:paraId="044C2C0E"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 xml:space="preserve">1020 (45.4) </w:t>
            </w:r>
          </w:p>
        </w:tc>
        <w:tc>
          <w:tcPr>
            <w:tcW w:w="2453" w:type="dxa"/>
          </w:tcPr>
          <w:p w14:paraId="7942CABB"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OR 0.58 (0.50 to 0.66)</w:t>
            </w:r>
          </w:p>
        </w:tc>
        <w:tc>
          <w:tcPr>
            <w:tcW w:w="1390" w:type="dxa"/>
          </w:tcPr>
          <w:p w14:paraId="12686A3D"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&lt;0.001</w:t>
            </w:r>
          </w:p>
        </w:tc>
      </w:tr>
      <w:tr w:rsidR="00273D49" w:rsidRPr="00A90EA2" w14:paraId="71EF2F47" w14:textId="77777777" w:rsidTr="007C2BBC">
        <w:tc>
          <w:tcPr>
            <w:tcW w:w="2794" w:type="dxa"/>
          </w:tcPr>
          <w:p w14:paraId="4F839C2A"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 xml:space="preserve">1+ </w:t>
            </w:r>
            <w:proofErr w:type="spellStart"/>
            <w:r w:rsidRPr="00A90EA2">
              <w:rPr>
                <w:rFonts w:cstheme="minorHAnsi"/>
                <w:color w:val="1D1D1D"/>
                <w:sz w:val="24"/>
                <w:szCs w:val="24"/>
                <w:shd w:val="clear" w:color="auto" w:fill="FFFFFF"/>
              </w:rPr>
              <w:t>fall</w:t>
            </w:r>
            <w:r w:rsidRPr="00A90EA2">
              <w:rPr>
                <w:rFonts w:cstheme="minorHAnsi"/>
                <w:color w:val="1D1D1D"/>
                <w:sz w:val="24"/>
                <w:szCs w:val="24"/>
                <w:shd w:val="clear" w:color="auto" w:fill="FFFFFF"/>
                <w:vertAlign w:val="superscript"/>
              </w:rPr>
              <w:t>b</w:t>
            </w:r>
            <w:proofErr w:type="spellEnd"/>
            <w:r w:rsidRPr="00A90EA2">
              <w:rPr>
                <w:rFonts w:cstheme="minorHAnsi"/>
                <w:color w:val="1D1D1D"/>
                <w:sz w:val="24"/>
                <w:szCs w:val="24"/>
                <w:shd w:val="clear" w:color="auto" w:fill="FFFFFF"/>
              </w:rPr>
              <w:t>, n (%)</w:t>
            </w:r>
          </w:p>
        </w:tc>
        <w:tc>
          <w:tcPr>
            <w:tcW w:w="1530" w:type="dxa"/>
          </w:tcPr>
          <w:p w14:paraId="070ACBDB"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80 (3.5)</w:t>
            </w:r>
          </w:p>
        </w:tc>
        <w:tc>
          <w:tcPr>
            <w:tcW w:w="1467" w:type="dxa"/>
          </w:tcPr>
          <w:p w14:paraId="443B46CF"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107 (4.7)</w:t>
            </w:r>
          </w:p>
        </w:tc>
        <w:tc>
          <w:tcPr>
            <w:tcW w:w="2453" w:type="dxa"/>
          </w:tcPr>
          <w:p w14:paraId="31183A28"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OR 0.73 (0.54 to 0.99)</w:t>
            </w:r>
          </w:p>
        </w:tc>
        <w:tc>
          <w:tcPr>
            <w:tcW w:w="1390" w:type="dxa"/>
          </w:tcPr>
          <w:p w14:paraId="097BEAE6"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0.04</w:t>
            </w:r>
          </w:p>
        </w:tc>
      </w:tr>
      <w:tr w:rsidR="00273D49" w:rsidRPr="00A90EA2" w14:paraId="55A7C2DD" w14:textId="77777777" w:rsidTr="007C2BBC">
        <w:tc>
          <w:tcPr>
            <w:tcW w:w="2794" w:type="dxa"/>
          </w:tcPr>
          <w:p w14:paraId="7FF599B2"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Number of falls from a slip, mean (SD)</w:t>
            </w:r>
          </w:p>
        </w:tc>
        <w:tc>
          <w:tcPr>
            <w:tcW w:w="1530" w:type="dxa"/>
          </w:tcPr>
          <w:p w14:paraId="0C1638E1"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0.02 (0.22)</w:t>
            </w:r>
          </w:p>
        </w:tc>
        <w:tc>
          <w:tcPr>
            <w:tcW w:w="1467" w:type="dxa"/>
          </w:tcPr>
          <w:p w14:paraId="4B90C2EA"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0.03 (0.23)</w:t>
            </w:r>
          </w:p>
        </w:tc>
        <w:tc>
          <w:tcPr>
            <w:tcW w:w="2453" w:type="dxa"/>
          </w:tcPr>
          <w:p w14:paraId="0B92672C"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sz w:val="24"/>
                <w:szCs w:val="24"/>
              </w:rPr>
              <w:t>IRR 0.51 (0.28 to 0.92)</w:t>
            </w:r>
          </w:p>
        </w:tc>
        <w:tc>
          <w:tcPr>
            <w:tcW w:w="1390" w:type="dxa"/>
          </w:tcPr>
          <w:p w14:paraId="0A8CC680"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0.03</w:t>
            </w:r>
          </w:p>
        </w:tc>
      </w:tr>
      <w:tr w:rsidR="00273D49" w:rsidRPr="00A90EA2" w14:paraId="03E41CB5" w14:textId="77777777" w:rsidTr="007C2BBC">
        <w:tc>
          <w:tcPr>
            <w:tcW w:w="2794" w:type="dxa"/>
          </w:tcPr>
          <w:p w14:paraId="1FEB7220" w14:textId="77777777" w:rsidR="00273D49" w:rsidRPr="00A90EA2" w:rsidRDefault="00273D49" w:rsidP="007C2BBC">
            <w:pPr>
              <w:rPr>
                <w:rFonts w:cstheme="minorHAnsi"/>
                <w:color w:val="1D1D1D"/>
                <w:sz w:val="24"/>
                <w:szCs w:val="24"/>
                <w:shd w:val="clear" w:color="auto" w:fill="FFFFFF"/>
              </w:rPr>
            </w:pPr>
            <w:r w:rsidRPr="00A90EA2">
              <w:rPr>
                <w:rFonts w:cstheme="minorHAnsi"/>
                <w:color w:val="1D1D1D"/>
                <w:sz w:val="24"/>
                <w:szCs w:val="24"/>
                <w:shd w:val="clear" w:color="auto" w:fill="FFFFFF"/>
              </w:rPr>
              <w:t xml:space="preserve">Number of falls </w:t>
            </w:r>
            <w:r w:rsidRPr="00A90EA2">
              <w:rPr>
                <w:rFonts w:cstheme="minorHAnsi"/>
                <w:i/>
                <w:color w:val="1D1D1D"/>
                <w:sz w:val="24"/>
                <w:szCs w:val="24"/>
                <w:shd w:val="clear" w:color="auto" w:fill="FFFFFF"/>
              </w:rPr>
              <w:t>not</w:t>
            </w:r>
            <w:r w:rsidRPr="00A90EA2">
              <w:rPr>
                <w:rFonts w:cstheme="minorHAnsi"/>
                <w:color w:val="1D1D1D"/>
                <w:sz w:val="24"/>
                <w:szCs w:val="24"/>
                <w:shd w:val="clear" w:color="auto" w:fill="FFFFFF"/>
              </w:rPr>
              <w:t xml:space="preserve"> from a slip, mean (SD)</w:t>
            </w:r>
          </w:p>
        </w:tc>
        <w:tc>
          <w:tcPr>
            <w:tcW w:w="1530" w:type="dxa"/>
          </w:tcPr>
          <w:p w14:paraId="2686074C"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0.13 (0.9)</w:t>
            </w:r>
          </w:p>
        </w:tc>
        <w:tc>
          <w:tcPr>
            <w:tcW w:w="1467" w:type="dxa"/>
          </w:tcPr>
          <w:p w14:paraId="7ED2C7FF"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0.33 (2.1)</w:t>
            </w:r>
          </w:p>
        </w:tc>
        <w:tc>
          <w:tcPr>
            <w:tcW w:w="2453" w:type="dxa"/>
          </w:tcPr>
          <w:p w14:paraId="774F7639"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IRR 0.82 (0.50 to 1.34)</w:t>
            </w:r>
          </w:p>
        </w:tc>
        <w:tc>
          <w:tcPr>
            <w:tcW w:w="1390" w:type="dxa"/>
          </w:tcPr>
          <w:p w14:paraId="3E775AD3" w14:textId="77777777" w:rsidR="00273D49" w:rsidRPr="00A90EA2" w:rsidRDefault="00273D49" w:rsidP="007C2BBC">
            <w:pPr>
              <w:jc w:val="right"/>
              <w:rPr>
                <w:rFonts w:cstheme="minorHAnsi"/>
                <w:color w:val="1D1D1D"/>
                <w:sz w:val="24"/>
                <w:szCs w:val="24"/>
                <w:shd w:val="clear" w:color="auto" w:fill="FFFFFF"/>
              </w:rPr>
            </w:pPr>
            <w:r w:rsidRPr="00A90EA2">
              <w:rPr>
                <w:rFonts w:cstheme="minorHAnsi"/>
                <w:color w:val="1D1D1D"/>
                <w:sz w:val="24"/>
                <w:szCs w:val="24"/>
                <w:shd w:val="clear" w:color="auto" w:fill="FFFFFF"/>
              </w:rPr>
              <w:t>0.44</w:t>
            </w:r>
          </w:p>
        </w:tc>
      </w:tr>
      <w:tr w:rsidR="00273D49" w:rsidRPr="00A90EA2" w14:paraId="742D7221" w14:textId="77777777" w:rsidTr="007C2BBC">
        <w:tc>
          <w:tcPr>
            <w:tcW w:w="2794" w:type="dxa"/>
          </w:tcPr>
          <w:p w14:paraId="612E0D3D" w14:textId="77777777" w:rsidR="00273D49" w:rsidRPr="00A90EA2" w:rsidRDefault="00273D49" w:rsidP="007C2BBC">
            <w:pPr>
              <w:rPr>
                <w:rFonts w:cstheme="minorHAnsi"/>
                <w:color w:val="1D1D1D"/>
                <w:sz w:val="24"/>
                <w:szCs w:val="24"/>
                <w:shd w:val="clear" w:color="auto" w:fill="FFFFFF"/>
              </w:rPr>
            </w:pPr>
            <w:r>
              <w:rPr>
                <w:rFonts w:cstheme="minorHAnsi"/>
                <w:color w:val="1D1D1D"/>
                <w:sz w:val="24"/>
                <w:szCs w:val="24"/>
                <w:shd w:val="clear" w:color="auto" w:fill="FFFFFF"/>
              </w:rPr>
              <w:t>Time to first slip, 0.33 percentile days (95% CI)</w:t>
            </w:r>
          </w:p>
        </w:tc>
        <w:tc>
          <w:tcPr>
            <w:tcW w:w="1530" w:type="dxa"/>
          </w:tcPr>
          <w:p w14:paraId="3EBED3EC" w14:textId="77777777" w:rsidR="00273D49" w:rsidRPr="00A90EA2" w:rsidRDefault="00273D49" w:rsidP="007C2BBC">
            <w:pPr>
              <w:jc w:val="right"/>
              <w:rPr>
                <w:rFonts w:cstheme="minorHAnsi"/>
                <w:color w:val="1D1D1D"/>
                <w:sz w:val="24"/>
                <w:szCs w:val="24"/>
                <w:shd w:val="clear" w:color="auto" w:fill="FFFFFF"/>
              </w:rPr>
            </w:pPr>
            <w:r>
              <w:rPr>
                <w:rFonts w:cstheme="minorHAnsi"/>
                <w:color w:val="1D1D1D"/>
                <w:sz w:val="24"/>
                <w:szCs w:val="24"/>
                <w:shd w:val="clear" w:color="auto" w:fill="FFFFFF"/>
              </w:rPr>
              <w:t>46 (34 to 60)</w:t>
            </w:r>
          </w:p>
        </w:tc>
        <w:tc>
          <w:tcPr>
            <w:tcW w:w="1467" w:type="dxa"/>
          </w:tcPr>
          <w:p w14:paraId="39D4DAC1" w14:textId="77777777" w:rsidR="00273D49" w:rsidRPr="00A90EA2" w:rsidRDefault="00273D49" w:rsidP="007C2BBC">
            <w:pPr>
              <w:jc w:val="right"/>
              <w:rPr>
                <w:rFonts w:cstheme="minorHAnsi"/>
                <w:color w:val="1D1D1D"/>
                <w:sz w:val="24"/>
                <w:szCs w:val="24"/>
                <w:shd w:val="clear" w:color="auto" w:fill="FFFFFF"/>
              </w:rPr>
            </w:pPr>
            <w:r w:rsidRPr="00093F61">
              <w:rPr>
                <w:rFonts w:cstheme="minorHAnsi"/>
                <w:color w:val="1D1D1D"/>
                <w:sz w:val="24"/>
                <w:szCs w:val="24"/>
                <w:shd w:val="clear" w:color="auto" w:fill="FFFFFF"/>
              </w:rPr>
              <w:t>27 (25 to 32</w:t>
            </w:r>
            <w:r>
              <w:rPr>
                <w:rFonts w:cstheme="minorHAnsi"/>
                <w:color w:val="1D1D1D"/>
                <w:sz w:val="24"/>
                <w:szCs w:val="24"/>
                <w:shd w:val="clear" w:color="auto" w:fill="FFFFFF"/>
              </w:rPr>
              <w:t>)</w:t>
            </w:r>
          </w:p>
        </w:tc>
        <w:tc>
          <w:tcPr>
            <w:tcW w:w="2453" w:type="dxa"/>
          </w:tcPr>
          <w:p w14:paraId="35D8E5AC" w14:textId="77777777" w:rsidR="00273D49" w:rsidRPr="00A90EA2" w:rsidRDefault="00273D49" w:rsidP="007C2BBC">
            <w:pPr>
              <w:jc w:val="right"/>
              <w:rPr>
                <w:rFonts w:cstheme="minorHAnsi"/>
                <w:color w:val="1D1D1D"/>
                <w:sz w:val="24"/>
                <w:szCs w:val="24"/>
                <w:shd w:val="clear" w:color="auto" w:fill="FFFFFF"/>
              </w:rPr>
            </w:pPr>
            <w:r>
              <w:rPr>
                <w:rFonts w:cstheme="minorHAnsi"/>
                <w:color w:val="1D1D1D"/>
                <w:sz w:val="24"/>
                <w:szCs w:val="24"/>
                <w:shd w:val="clear" w:color="auto" w:fill="FFFFFF"/>
              </w:rPr>
              <w:t xml:space="preserve">HR </w:t>
            </w:r>
            <w:r w:rsidRPr="00093F61">
              <w:rPr>
                <w:rFonts w:cstheme="minorHAnsi"/>
                <w:color w:val="1D1D1D"/>
                <w:sz w:val="24"/>
                <w:szCs w:val="24"/>
                <w:shd w:val="clear" w:color="auto" w:fill="FFFFFF"/>
              </w:rPr>
              <w:t>0.73</w:t>
            </w:r>
            <w:r>
              <w:rPr>
                <w:rFonts w:cstheme="minorHAnsi"/>
                <w:color w:val="1D1D1D"/>
                <w:sz w:val="24"/>
                <w:szCs w:val="24"/>
                <w:shd w:val="clear" w:color="auto" w:fill="FFFFFF"/>
              </w:rPr>
              <w:t xml:space="preserve"> (</w:t>
            </w:r>
            <w:r w:rsidRPr="00093F61">
              <w:rPr>
                <w:rFonts w:cstheme="minorHAnsi"/>
                <w:color w:val="1D1D1D"/>
                <w:sz w:val="24"/>
                <w:szCs w:val="24"/>
                <w:shd w:val="clear" w:color="auto" w:fill="FFFFFF"/>
              </w:rPr>
              <w:t>0.67 to 0.80</w:t>
            </w:r>
            <w:r>
              <w:rPr>
                <w:rFonts w:cstheme="minorHAnsi"/>
                <w:color w:val="1D1D1D"/>
                <w:sz w:val="24"/>
                <w:szCs w:val="24"/>
                <w:shd w:val="clear" w:color="auto" w:fill="FFFFFF"/>
              </w:rPr>
              <w:t>)</w:t>
            </w:r>
          </w:p>
        </w:tc>
        <w:tc>
          <w:tcPr>
            <w:tcW w:w="1390" w:type="dxa"/>
          </w:tcPr>
          <w:p w14:paraId="5CEFBCDE" w14:textId="77777777" w:rsidR="00273D49" w:rsidRPr="00A90EA2" w:rsidRDefault="00273D49" w:rsidP="007C2BBC">
            <w:pPr>
              <w:jc w:val="right"/>
              <w:rPr>
                <w:rFonts w:cstheme="minorHAnsi"/>
                <w:color w:val="1D1D1D"/>
                <w:sz w:val="24"/>
                <w:szCs w:val="24"/>
                <w:shd w:val="clear" w:color="auto" w:fill="FFFFFF"/>
              </w:rPr>
            </w:pPr>
            <w:r>
              <w:rPr>
                <w:rFonts w:cstheme="minorHAnsi"/>
                <w:color w:val="1D1D1D"/>
                <w:sz w:val="24"/>
                <w:szCs w:val="24"/>
                <w:shd w:val="clear" w:color="auto" w:fill="FFFFFF"/>
              </w:rPr>
              <w:t>&lt;0.001</w:t>
            </w:r>
          </w:p>
        </w:tc>
      </w:tr>
    </w:tbl>
    <w:p w14:paraId="1CEB48D4" w14:textId="77777777" w:rsidR="00DC355E" w:rsidRDefault="00DC355E" w:rsidP="00E73653">
      <w:pPr>
        <w:spacing w:after="0" w:line="240" w:lineRule="auto"/>
        <w:rPr>
          <w:rFonts w:cstheme="minorHAnsi"/>
          <w:szCs w:val="24"/>
        </w:rPr>
      </w:pPr>
      <w:proofErr w:type="spellStart"/>
      <w:r w:rsidRPr="00273D49">
        <w:rPr>
          <w:rFonts w:cstheme="minorHAnsi"/>
          <w:szCs w:val="24"/>
          <w:vertAlign w:val="superscript"/>
        </w:rPr>
        <w:t>a</w:t>
      </w:r>
      <w:proofErr w:type="spellEnd"/>
      <w:r w:rsidRPr="00273D49">
        <w:rPr>
          <w:rFonts w:cstheme="minorHAnsi"/>
          <w:szCs w:val="24"/>
        </w:rPr>
        <w:t xml:space="preserve"> over 14 weeks; </w:t>
      </w:r>
      <w:r w:rsidRPr="00273D49">
        <w:rPr>
          <w:rFonts w:cstheme="minorHAnsi"/>
          <w:szCs w:val="24"/>
          <w:vertAlign w:val="superscript"/>
        </w:rPr>
        <w:t>b</w:t>
      </w:r>
      <w:r w:rsidRPr="00273D49">
        <w:rPr>
          <w:rFonts w:cstheme="minorHAnsi"/>
          <w:szCs w:val="24"/>
        </w:rPr>
        <w:t xml:space="preserve"> including those resulting from a slip and those not resulting from a slip</w:t>
      </w:r>
      <w:r>
        <w:rPr>
          <w:rFonts w:cstheme="minorHAnsi"/>
          <w:szCs w:val="24"/>
        </w:rPr>
        <w:t xml:space="preserve"> </w:t>
      </w:r>
    </w:p>
    <w:p w14:paraId="0E8041E5" w14:textId="36BD48EF" w:rsidR="00273D49" w:rsidRPr="00273D49" w:rsidRDefault="00234D99" w:rsidP="00E73653">
      <w:pPr>
        <w:spacing w:after="0" w:line="240" w:lineRule="auto"/>
        <w:rPr>
          <w:rFonts w:cstheme="minorHAnsi"/>
          <w:szCs w:val="24"/>
        </w:rPr>
      </w:pPr>
      <w:r>
        <w:rPr>
          <w:rFonts w:cstheme="minorHAnsi"/>
          <w:szCs w:val="24"/>
        </w:rPr>
        <w:t xml:space="preserve">CI, confidence interval; SD, standard deviation; CACE, complier average causal effect; </w:t>
      </w:r>
      <w:r w:rsidRPr="00273D49">
        <w:rPr>
          <w:rFonts w:cstheme="minorHAnsi"/>
          <w:szCs w:val="24"/>
        </w:rPr>
        <w:t>IRR</w:t>
      </w:r>
      <w:r>
        <w:rPr>
          <w:rFonts w:cstheme="minorHAnsi"/>
          <w:szCs w:val="24"/>
        </w:rPr>
        <w:t>,</w:t>
      </w:r>
      <w:r w:rsidRPr="00273D49">
        <w:rPr>
          <w:rFonts w:cstheme="minorHAnsi"/>
          <w:szCs w:val="24"/>
        </w:rPr>
        <w:t xml:space="preserve"> incidence rate ratio; </w:t>
      </w:r>
      <w:r w:rsidR="001B0774" w:rsidRPr="00273D49">
        <w:rPr>
          <w:rFonts w:cstheme="minorHAnsi"/>
          <w:szCs w:val="24"/>
        </w:rPr>
        <w:t>HR</w:t>
      </w:r>
      <w:r>
        <w:rPr>
          <w:rFonts w:cstheme="minorHAnsi"/>
          <w:szCs w:val="24"/>
        </w:rPr>
        <w:t>,</w:t>
      </w:r>
      <w:r w:rsidR="001B0774" w:rsidRPr="00273D49">
        <w:rPr>
          <w:rFonts w:cstheme="minorHAnsi"/>
          <w:szCs w:val="24"/>
        </w:rPr>
        <w:t xml:space="preserve"> hazard ratio</w:t>
      </w:r>
      <w:r w:rsidRPr="00234D99">
        <w:rPr>
          <w:rFonts w:cstheme="minorHAnsi"/>
          <w:szCs w:val="24"/>
        </w:rPr>
        <w:t xml:space="preserve"> </w:t>
      </w:r>
      <w:r w:rsidRPr="00273D49">
        <w:rPr>
          <w:rFonts w:cstheme="minorHAnsi"/>
          <w:szCs w:val="24"/>
        </w:rPr>
        <w:t>OR</w:t>
      </w:r>
      <w:r w:rsidR="00DC355E">
        <w:rPr>
          <w:rFonts w:cstheme="minorHAnsi"/>
          <w:szCs w:val="24"/>
        </w:rPr>
        <w:t>,</w:t>
      </w:r>
      <w:r w:rsidRPr="00273D49">
        <w:rPr>
          <w:rFonts w:cstheme="minorHAnsi"/>
          <w:szCs w:val="24"/>
        </w:rPr>
        <w:t xml:space="preserve"> odds ratio;</w:t>
      </w:r>
      <w:r w:rsidR="001B0774">
        <w:rPr>
          <w:rFonts w:cstheme="minorHAnsi"/>
          <w:szCs w:val="24"/>
        </w:rPr>
        <w:t xml:space="preserve"> n</w:t>
      </w:r>
      <w:r w:rsidR="00DC355E">
        <w:rPr>
          <w:rFonts w:cstheme="minorHAnsi"/>
          <w:szCs w:val="24"/>
        </w:rPr>
        <w:t>,</w:t>
      </w:r>
      <w:r w:rsidR="001B0774">
        <w:rPr>
          <w:rFonts w:cstheme="minorHAnsi"/>
          <w:szCs w:val="24"/>
        </w:rPr>
        <w:t xml:space="preserve"> number; </w:t>
      </w:r>
      <w:r w:rsidR="00297DF1">
        <w:rPr>
          <w:rFonts w:cstheme="minorHAnsi"/>
          <w:szCs w:val="24"/>
        </w:rPr>
        <w:t>%</w:t>
      </w:r>
      <w:r w:rsidR="00DC355E">
        <w:rPr>
          <w:rFonts w:cstheme="minorHAnsi"/>
          <w:szCs w:val="24"/>
        </w:rPr>
        <w:t>,</w:t>
      </w:r>
      <w:r w:rsidR="00297DF1">
        <w:rPr>
          <w:rFonts w:cstheme="minorHAnsi"/>
          <w:szCs w:val="24"/>
        </w:rPr>
        <w:t xml:space="preserve"> percentage</w:t>
      </w:r>
      <w:r w:rsidR="00273D49" w:rsidRPr="00273D49">
        <w:rPr>
          <w:rFonts w:cstheme="minorHAnsi"/>
          <w:szCs w:val="24"/>
        </w:rPr>
        <w:t xml:space="preserve">. </w:t>
      </w:r>
    </w:p>
    <w:p w14:paraId="252C2FD8" w14:textId="0A1D7BD0" w:rsidR="002B26AD" w:rsidRDefault="002B26AD" w:rsidP="00F17D15">
      <w:pPr>
        <w:spacing w:after="0" w:line="240" w:lineRule="auto"/>
        <w:rPr>
          <w:sz w:val="24"/>
        </w:rPr>
      </w:pPr>
    </w:p>
    <w:p w14:paraId="16AB16E4" w14:textId="79E83896" w:rsidR="00600C83" w:rsidRPr="000A2052" w:rsidRDefault="00600C83" w:rsidP="00F17D15">
      <w:pPr>
        <w:spacing w:after="0" w:line="240" w:lineRule="auto"/>
        <w:rPr>
          <w:b/>
          <w:sz w:val="24"/>
        </w:rPr>
      </w:pPr>
      <w:r w:rsidRPr="000A2052">
        <w:rPr>
          <w:b/>
          <w:sz w:val="24"/>
        </w:rPr>
        <w:t xml:space="preserve">Discussion </w:t>
      </w:r>
    </w:p>
    <w:p w14:paraId="2F78447D" w14:textId="7CC1C2F6" w:rsidR="00600C83" w:rsidRPr="00AE30C8" w:rsidRDefault="00600C83" w:rsidP="00F17D15">
      <w:pPr>
        <w:spacing w:after="0" w:line="240" w:lineRule="auto"/>
        <w:rPr>
          <w:sz w:val="24"/>
        </w:rPr>
      </w:pPr>
      <w:r w:rsidRPr="00AE30C8">
        <w:rPr>
          <w:sz w:val="24"/>
        </w:rPr>
        <w:t xml:space="preserve">Principal findings </w:t>
      </w:r>
    </w:p>
    <w:p w14:paraId="1E9409E8" w14:textId="71247DCE" w:rsidR="004E60CA" w:rsidRPr="00AE30C8" w:rsidRDefault="008D0830" w:rsidP="004E60CA">
      <w:pPr>
        <w:tabs>
          <w:tab w:val="left" w:pos="3825"/>
        </w:tabs>
        <w:spacing w:after="0" w:line="240" w:lineRule="auto"/>
        <w:rPr>
          <w:sz w:val="24"/>
        </w:rPr>
      </w:pPr>
      <w:r>
        <w:rPr>
          <w:sz w:val="24"/>
        </w:rPr>
        <w:t>T</w:t>
      </w:r>
      <w:r w:rsidR="004E60CA" w:rsidRPr="00AE30C8">
        <w:rPr>
          <w:sz w:val="24"/>
        </w:rPr>
        <w:t xml:space="preserve">his </w:t>
      </w:r>
      <w:r w:rsidR="00951E7B" w:rsidRPr="00AE30C8">
        <w:rPr>
          <w:sz w:val="24"/>
        </w:rPr>
        <w:t>randomised controlled trial</w:t>
      </w:r>
      <w:r w:rsidR="004E60CA" w:rsidRPr="00AE30C8">
        <w:rPr>
          <w:sz w:val="24"/>
        </w:rPr>
        <w:t xml:space="preserve"> showed that 5* GRIP-rated slip-resistant footwear reduced the rate of slips among NHS workers by 37%.  Reductions were also seen in the proportion of participants who had a slip or fall.  </w:t>
      </w:r>
    </w:p>
    <w:p w14:paraId="78FC3143" w14:textId="7DFAC1BC" w:rsidR="004E60CA" w:rsidRPr="00AE30C8" w:rsidRDefault="004E60CA" w:rsidP="00F17D15">
      <w:pPr>
        <w:spacing w:after="0" w:line="240" w:lineRule="auto"/>
        <w:rPr>
          <w:sz w:val="24"/>
        </w:rPr>
      </w:pPr>
    </w:p>
    <w:p w14:paraId="3038C95A" w14:textId="77777777" w:rsidR="005323D8" w:rsidRPr="00AE30C8" w:rsidRDefault="005323D8" w:rsidP="005323D8">
      <w:pPr>
        <w:spacing w:after="0" w:line="240" w:lineRule="auto"/>
        <w:rPr>
          <w:sz w:val="24"/>
        </w:rPr>
      </w:pPr>
      <w:r w:rsidRPr="00AE30C8">
        <w:rPr>
          <w:sz w:val="24"/>
        </w:rPr>
        <w:t>Comparison to other studies</w:t>
      </w:r>
    </w:p>
    <w:p w14:paraId="13244D1D" w14:textId="2068FE05" w:rsidR="00600C83" w:rsidRPr="00AE30C8" w:rsidRDefault="00951E7B" w:rsidP="00F17D15">
      <w:pPr>
        <w:spacing w:after="0" w:line="240" w:lineRule="auto"/>
        <w:rPr>
          <w:sz w:val="24"/>
        </w:rPr>
      </w:pPr>
      <w:r w:rsidRPr="00AE30C8">
        <w:rPr>
          <w:sz w:val="24"/>
        </w:rPr>
        <w:t xml:space="preserve">As far as we are aware there is only one previous </w:t>
      </w:r>
      <w:r w:rsidR="008D0830">
        <w:rPr>
          <w:sz w:val="24"/>
        </w:rPr>
        <w:t>RCT</w:t>
      </w:r>
      <w:r w:rsidRPr="00AE30C8">
        <w:rPr>
          <w:sz w:val="24"/>
        </w:rPr>
        <w:t xml:space="preserve"> evaluating slip-resistant footwear</w:t>
      </w:r>
      <w:r w:rsidR="00A55313">
        <w:rPr>
          <w:sz w:val="24"/>
        </w:rPr>
        <w:t xml:space="preserve"> (8)</w:t>
      </w:r>
      <w:r w:rsidRPr="00AE30C8">
        <w:rPr>
          <w:sz w:val="24"/>
        </w:rPr>
        <w:t>.  Th</w:t>
      </w:r>
      <w:r w:rsidR="008D0830">
        <w:rPr>
          <w:sz w:val="24"/>
        </w:rPr>
        <w:t>is</w:t>
      </w:r>
      <w:r w:rsidRPr="00AE30C8">
        <w:rPr>
          <w:sz w:val="24"/>
        </w:rPr>
        <w:t xml:space="preserve"> differed in its design, as it was cluster randomi</w:t>
      </w:r>
      <w:r w:rsidR="00B34582">
        <w:rPr>
          <w:sz w:val="24"/>
        </w:rPr>
        <w:t>s</w:t>
      </w:r>
      <w:r w:rsidRPr="00AE30C8">
        <w:rPr>
          <w:sz w:val="24"/>
        </w:rPr>
        <w:t xml:space="preserve">ed, and population as it involved food service workers in US schools </w:t>
      </w:r>
      <w:r w:rsidR="00840992">
        <w:rPr>
          <w:sz w:val="24"/>
        </w:rPr>
        <w:t>(</w:t>
      </w:r>
      <w:r w:rsidRPr="00AE30C8">
        <w:rPr>
          <w:sz w:val="24"/>
        </w:rPr>
        <w:t xml:space="preserve">only 1.5% of </w:t>
      </w:r>
      <w:proofErr w:type="spellStart"/>
      <w:r w:rsidRPr="00AE30C8">
        <w:rPr>
          <w:sz w:val="24"/>
        </w:rPr>
        <w:t>SSHeW</w:t>
      </w:r>
      <w:proofErr w:type="spellEnd"/>
      <w:r w:rsidRPr="00AE30C8">
        <w:rPr>
          <w:sz w:val="24"/>
        </w:rPr>
        <w:t xml:space="preserve"> participants were food service workers</w:t>
      </w:r>
      <w:r w:rsidR="00840992">
        <w:rPr>
          <w:sz w:val="24"/>
        </w:rPr>
        <w:t>)</w:t>
      </w:r>
      <w:r w:rsidRPr="00AE30C8">
        <w:rPr>
          <w:sz w:val="24"/>
        </w:rPr>
        <w:t xml:space="preserve">.  The study also differed in its primary focus, which was to prevent workers’ compensation injury claims; therefore, it assessed slipping injuries rather than slips in general.  A 67% reduction in the likelihood of reporting a slipping injury at follow-up relative to baseline was observed in the intervention arm, and this decrease was statistically significantly higher </w:t>
      </w:r>
      <w:r w:rsidR="008D0830">
        <w:rPr>
          <w:sz w:val="24"/>
        </w:rPr>
        <w:t>than was</w:t>
      </w:r>
      <w:r w:rsidRPr="00AE30C8">
        <w:rPr>
          <w:sz w:val="24"/>
        </w:rPr>
        <w:t xml:space="preserve"> seen in the control group</w:t>
      </w:r>
      <w:r w:rsidR="00A26C12">
        <w:rPr>
          <w:sz w:val="24"/>
        </w:rPr>
        <w:t>.</w:t>
      </w:r>
      <w:r w:rsidR="00FF07B2" w:rsidRPr="00AE30C8">
        <w:rPr>
          <w:sz w:val="24"/>
        </w:rPr>
        <w:t xml:space="preserve"> The </w:t>
      </w:r>
      <w:proofErr w:type="spellStart"/>
      <w:r w:rsidR="00FF07B2" w:rsidRPr="00AE30C8">
        <w:rPr>
          <w:sz w:val="24"/>
        </w:rPr>
        <w:t>SSHeW</w:t>
      </w:r>
      <w:proofErr w:type="spellEnd"/>
      <w:r w:rsidR="00FF07B2" w:rsidRPr="00AE30C8">
        <w:rPr>
          <w:sz w:val="24"/>
        </w:rPr>
        <w:t xml:space="preserve"> results are broadly consistent with non-trial evidence supporting the benefits of slip-resistant footwear including: a before and after study of Danish fishermen</w:t>
      </w:r>
      <w:r w:rsidR="00744AD9">
        <w:rPr>
          <w:sz w:val="24"/>
        </w:rPr>
        <w:t>(14)</w:t>
      </w:r>
      <w:r w:rsidR="00143809">
        <w:rPr>
          <w:sz w:val="24"/>
        </w:rPr>
        <w:t xml:space="preserve"> </w:t>
      </w:r>
      <w:r w:rsidR="00436D40" w:rsidRPr="00AE30C8">
        <w:rPr>
          <w:sz w:val="24"/>
        </w:rPr>
        <w:t>observed an 80% reduction in slips, trips and falls associated with wearing new boots with ‘anti-slipping soles’; a 58% reduction in compensation claims when a slip, trip and fall prevention programme was introduced in a US hospital</w:t>
      </w:r>
      <w:r w:rsidR="00143809">
        <w:rPr>
          <w:sz w:val="24"/>
        </w:rPr>
        <w:t xml:space="preserve"> </w:t>
      </w:r>
      <w:r w:rsidR="00A26C12">
        <w:rPr>
          <w:sz w:val="24"/>
        </w:rPr>
        <w:fldChar w:fldCharType="begin"/>
      </w:r>
      <w:r w:rsidR="006F7E50">
        <w:rPr>
          <w:sz w:val="24"/>
        </w:rPr>
        <w:instrText xml:space="preserve"> ADDIN EN.CITE &lt;EndNote&gt;&lt;Cite&gt;&lt;Author&gt;Bell&lt;/Author&gt;&lt;Year&gt;2008&lt;/Year&gt;&lt;RecNum&gt;22&lt;/RecNum&gt;&lt;DisplayText&gt;(8)&lt;/DisplayText&gt;&lt;record&gt;&lt;rec-number&gt;22&lt;/rec-number&gt;&lt;foreign-keys&gt;&lt;key app="EN" db-id="2d5fx2wtk9w5akepszcp5t2dwrfp5rd2f5zd" timestamp="0"&gt;22&lt;/key&gt;&lt;/foreign-keys&gt;&lt;ref-type name="Journal Article"&gt;17&lt;/ref-type&gt;&lt;contributors&gt;&lt;authors&gt;&lt;author&gt;Bell, J L&lt;/author&gt;&lt;author&gt;Collins, J W&lt;/author&gt;&lt;author&gt;Wolf, L&lt;/author&gt;&lt;author&gt;Gronqvist, R&lt;/author&gt;&lt;author&gt;Chiou, S&lt;/author&gt;&lt;author&gt;Chang, W R&lt;/author&gt;&lt;author&gt;Sorock, G S&lt;/author&gt;&lt;author&gt;Courtney, T K&lt;/author&gt;&lt;author&gt;Lombardi, D A&lt;/author&gt;&lt;author&gt;Evanoff, B&lt;/author&gt;&lt;/authors&gt;&lt;/contributors&gt;&lt;titles&gt;&lt;title&gt;Evaluation of a comprehensive slip, trip and fall prevention programme for hospital employees&lt;/title&gt;&lt;secondary-title&gt;Ergonomics&lt;/secondary-title&gt;&lt;/titles&gt;&lt;pages&gt;1906-25&lt;/pages&gt;&lt;volume&gt;51&lt;/volume&gt;&lt;number&gt;12&lt;/number&gt;&lt;dates&gt;&lt;year&gt;2008&lt;/year&gt;&lt;pub-dates&gt;&lt;date&gt;01 Dec 2008&lt;/date&gt;&lt;/pub-dates&gt;&lt;/dates&gt;&lt;urls&gt;&lt;pdf-urls&gt;&lt;url&gt;file://M:\PERSONAL\Gillian%20Frost\Bids\NIHR%20-%20Hospital%20footwear%20-%20Aug2014\References\Bell%20et%20al%20(2008).pdf&lt;/url&gt;&lt;/pdf-urls&gt;&lt;/urls&gt;&lt;electronic-resource-num&gt;10.1080/00140130802248092.&lt;/electronic-resource-num&gt;&lt;/record&gt;&lt;/Cite&gt;&lt;/EndNote&gt;</w:instrText>
      </w:r>
      <w:r w:rsidR="00A26C12">
        <w:rPr>
          <w:sz w:val="24"/>
        </w:rPr>
        <w:fldChar w:fldCharType="separate"/>
      </w:r>
      <w:r w:rsidR="006F7E50">
        <w:rPr>
          <w:noProof/>
          <w:sz w:val="24"/>
        </w:rPr>
        <w:t>(8)</w:t>
      </w:r>
      <w:r w:rsidR="00A26C12">
        <w:rPr>
          <w:sz w:val="24"/>
        </w:rPr>
        <w:fldChar w:fldCharType="end"/>
      </w:r>
      <w:r w:rsidR="008D0830">
        <w:rPr>
          <w:sz w:val="24"/>
        </w:rPr>
        <w:t>;</w:t>
      </w:r>
      <w:r w:rsidR="00436D40" w:rsidRPr="00AE30C8">
        <w:rPr>
          <w:sz w:val="24"/>
        </w:rPr>
        <w:t xml:space="preserve"> and a 54% reduction in </w:t>
      </w:r>
      <w:r w:rsidR="002506FF">
        <w:rPr>
          <w:sz w:val="24"/>
        </w:rPr>
        <w:t xml:space="preserve">self-reported slipping in </w:t>
      </w:r>
      <w:r w:rsidR="00436D40" w:rsidRPr="00AE30C8">
        <w:rPr>
          <w:sz w:val="24"/>
        </w:rPr>
        <w:t>a cohort study involving fast food restaurant workers</w:t>
      </w:r>
      <w:r w:rsidR="00744AD9">
        <w:rPr>
          <w:sz w:val="24"/>
        </w:rPr>
        <w:t>(13)</w:t>
      </w:r>
      <w:r w:rsidR="00B40D6B">
        <w:rPr>
          <w:sz w:val="24"/>
        </w:rPr>
        <w:t>.</w:t>
      </w:r>
      <w:r w:rsidR="00436D40" w:rsidRPr="00AE30C8">
        <w:rPr>
          <w:sz w:val="24"/>
        </w:rPr>
        <w:t xml:space="preserve">  </w:t>
      </w:r>
    </w:p>
    <w:p w14:paraId="20A1CCE4" w14:textId="7A3E1A25" w:rsidR="00951E7B" w:rsidRPr="00AE30C8" w:rsidRDefault="00951E7B" w:rsidP="00F17D15">
      <w:pPr>
        <w:spacing w:after="0" w:line="240" w:lineRule="auto"/>
        <w:rPr>
          <w:sz w:val="24"/>
        </w:rPr>
      </w:pPr>
    </w:p>
    <w:p w14:paraId="3E0CE506" w14:textId="46236CC3" w:rsidR="00600C83" w:rsidRPr="00AE30C8" w:rsidRDefault="0084778B" w:rsidP="0084778B">
      <w:pPr>
        <w:spacing w:after="0" w:line="240" w:lineRule="auto"/>
        <w:rPr>
          <w:sz w:val="24"/>
        </w:rPr>
      </w:pPr>
      <w:r w:rsidRPr="00AE30C8">
        <w:rPr>
          <w:sz w:val="24"/>
        </w:rPr>
        <w:t>Strengths</w:t>
      </w:r>
      <w:r w:rsidR="00600C83" w:rsidRPr="00AE30C8">
        <w:rPr>
          <w:sz w:val="24"/>
        </w:rPr>
        <w:t xml:space="preserve"> and weaknesses of the study</w:t>
      </w:r>
    </w:p>
    <w:p w14:paraId="1DCDCFB7" w14:textId="6D94CE73" w:rsidR="002506FF" w:rsidRDefault="0084778B" w:rsidP="0084778B">
      <w:pPr>
        <w:tabs>
          <w:tab w:val="left" w:pos="3825"/>
        </w:tabs>
        <w:spacing w:after="0" w:line="240" w:lineRule="auto"/>
        <w:rPr>
          <w:sz w:val="24"/>
        </w:rPr>
      </w:pPr>
      <w:r w:rsidRPr="00AE30C8">
        <w:rPr>
          <w:sz w:val="24"/>
        </w:rPr>
        <w:t xml:space="preserve">The strengths of this study include its robust methodology, </w:t>
      </w:r>
      <w:r w:rsidR="008D0830">
        <w:rPr>
          <w:sz w:val="24"/>
        </w:rPr>
        <w:t>large sample size</w:t>
      </w:r>
      <w:r w:rsidRPr="00AE30C8">
        <w:rPr>
          <w:sz w:val="24"/>
        </w:rPr>
        <w:t xml:space="preserve">, and high engagement. </w:t>
      </w:r>
      <w:r w:rsidR="008D0830">
        <w:rPr>
          <w:sz w:val="24"/>
        </w:rPr>
        <w:t>A</w:t>
      </w:r>
      <w:r w:rsidRPr="00AE30C8">
        <w:rPr>
          <w:sz w:val="24"/>
        </w:rPr>
        <w:t>lmost every participant (98.7%) provid</w:t>
      </w:r>
      <w:r w:rsidR="008D0830">
        <w:rPr>
          <w:sz w:val="24"/>
        </w:rPr>
        <w:t>ed</w:t>
      </w:r>
      <w:r w:rsidRPr="00AE30C8">
        <w:rPr>
          <w:sz w:val="24"/>
        </w:rPr>
        <w:t xml:space="preserve"> at least one valid response to the primary outcome text messages. The short (14 week) follow-up, use of a run-in period</w:t>
      </w:r>
      <w:r w:rsidR="008D0830">
        <w:rPr>
          <w:sz w:val="24"/>
        </w:rPr>
        <w:t>,</w:t>
      </w:r>
      <w:r w:rsidRPr="00AE30C8">
        <w:rPr>
          <w:sz w:val="24"/>
        </w:rPr>
        <w:t xml:space="preserve"> and </w:t>
      </w:r>
      <w:r w:rsidRPr="00AE30C8">
        <w:rPr>
          <w:sz w:val="24"/>
        </w:rPr>
        <w:lastRenderedPageBreak/>
        <w:t>weekly data collection may have contributed to the low post-randomi</w:t>
      </w:r>
      <w:r w:rsidR="00B34582">
        <w:rPr>
          <w:sz w:val="24"/>
        </w:rPr>
        <w:t>s</w:t>
      </w:r>
      <w:r w:rsidRPr="00AE30C8">
        <w:rPr>
          <w:sz w:val="24"/>
        </w:rPr>
        <w:t xml:space="preserve">ation attrition rate and minimized recall bias. </w:t>
      </w:r>
    </w:p>
    <w:p w14:paraId="517875C6" w14:textId="3A34FCAA" w:rsidR="0084778B" w:rsidRPr="00AE30C8" w:rsidRDefault="0084778B" w:rsidP="0084778B">
      <w:pPr>
        <w:tabs>
          <w:tab w:val="left" w:pos="3825"/>
        </w:tabs>
        <w:spacing w:after="0" w:line="240" w:lineRule="auto"/>
        <w:rPr>
          <w:sz w:val="24"/>
        </w:rPr>
      </w:pPr>
      <w:r w:rsidRPr="00AE30C8">
        <w:rPr>
          <w:sz w:val="24"/>
        </w:rPr>
        <w:t xml:space="preserve"> </w:t>
      </w:r>
    </w:p>
    <w:p w14:paraId="1C8C766A" w14:textId="0FB1424D" w:rsidR="00600C83" w:rsidRPr="00AE30C8" w:rsidRDefault="005323D8" w:rsidP="00F17D15">
      <w:pPr>
        <w:spacing w:after="0" w:line="240" w:lineRule="auto"/>
        <w:rPr>
          <w:sz w:val="24"/>
        </w:rPr>
      </w:pPr>
      <w:r w:rsidRPr="00AE30C8">
        <w:rPr>
          <w:sz w:val="24"/>
        </w:rPr>
        <w:t>There are certain limitations to this study.  Outcome data were participant self-reported and it wasn</w:t>
      </w:r>
      <w:r w:rsidR="00FC0817">
        <w:rPr>
          <w:sz w:val="24"/>
        </w:rPr>
        <w:t>’</w:t>
      </w:r>
      <w:r w:rsidRPr="00AE30C8">
        <w:rPr>
          <w:sz w:val="24"/>
        </w:rPr>
        <w:t xml:space="preserve">t possible to blind participants to group allocation, which may have led to under or over-reporting of slips. </w:t>
      </w:r>
      <w:r w:rsidR="00145649">
        <w:rPr>
          <w:sz w:val="24"/>
        </w:rPr>
        <w:t xml:space="preserve"> A</w:t>
      </w:r>
      <w:r w:rsidR="00145649" w:rsidRPr="00145649">
        <w:rPr>
          <w:sz w:val="24"/>
        </w:rPr>
        <w:t>pproximately 15% of</w:t>
      </w:r>
      <w:r w:rsidR="00840992">
        <w:rPr>
          <w:sz w:val="24"/>
        </w:rPr>
        <w:t xml:space="preserve"> intervention</w:t>
      </w:r>
      <w:r w:rsidR="00145649" w:rsidRPr="00145649">
        <w:rPr>
          <w:sz w:val="24"/>
        </w:rPr>
        <w:t xml:space="preserve"> participants failed to receive their shoes within the </w:t>
      </w:r>
      <w:proofErr w:type="gramStart"/>
      <w:r w:rsidR="00145649" w:rsidRPr="00145649">
        <w:rPr>
          <w:sz w:val="24"/>
        </w:rPr>
        <w:t>14 week</w:t>
      </w:r>
      <w:proofErr w:type="gramEnd"/>
      <w:r w:rsidR="00145649" w:rsidRPr="00145649">
        <w:rPr>
          <w:sz w:val="24"/>
        </w:rPr>
        <w:t xml:space="preserve"> timeframe</w:t>
      </w:r>
      <w:r w:rsidR="002B16B6">
        <w:rPr>
          <w:sz w:val="24"/>
        </w:rPr>
        <w:t>.  T</w:t>
      </w:r>
      <w:r w:rsidR="00145649">
        <w:rPr>
          <w:sz w:val="24"/>
        </w:rPr>
        <w:t>hese</w:t>
      </w:r>
      <w:r w:rsidR="00145649" w:rsidRPr="00145649">
        <w:rPr>
          <w:sz w:val="24"/>
        </w:rPr>
        <w:t xml:space="preserve"> were considered non-compliant for the entire </w:t>
      </w:r>
      <w:proofErr w:type="gramStart"/>
      <w:r w:rsidR="00145649" w:rsidRPr="00145649">
        <w:rPr>
          <w:sz w:val="24"/>
        </w:rPr>
        <w:t>period, but</w:t>
      </w:r>
      <w:proofErr w:type="gramEnd"/>
      <w:r w:rsidR="00145649" w:rsidRPr="00145649">
        <w:rPr>
          <w:sz w:val="24"/>
        </w:rPr>
        <w:t xml:space="preserve"> were analysed </w:t>
      </w:r>
      <w:r w:rsidR="00145649">
        <w:rPr>
          <w:sz w:val="24"/>
        </w:rPr>
        <w:t>as part of the intervention group</w:t>
      </w:r>
      <w:r w:rsidR="00145649" w:rsidRPr="00145649">
        <w:rPr>
          <w:sz w:val="24"/>
        </w:rPr>
        <w:t xml:space="preserve"> under the principles of intention to treat</w:t>
      </w:r>
      <w:r w:rsidR="002B16B6">
        <w:rPr>
          <w:sz w:val="24"/>
        </w:rPr>
        <w:t>, which may have diluted the observed treatment effect.</w:t>
      </w:r>
    </w:p>
    <w:p w14:paraId="48A4867F" w14:textId="6AC8A3E8" w:rsidR="00600C83" w:rsidRPr="00AE30C8" w:rsidRDefault="00600C83" w:rsidP="00F17D15">
      <w:pPr>
        <w:spacing w:after="0" w:line="240" w:lineRule="auto"/>
        <w:rPr>
          <w:sz w:val="24"/>
        </w:rPr>
      </w:pPr>
    </w:p>
    <w:p w14:paraId="2E44D918" w14:textId="0A890F76" w:rsidR="00600C83" w:rsidRPr="00AE30C8" w:rsidRDefault="0084778B" w:rsidP="005C6707">
      <w:pPr>
        <w:spacing w:after="0" w:line="240" w:lineRule="auto"/>
        <w:rPr>
          <w:sz w:val="24"/>
        </w:rPr>
      </w:pPr>
      <w:r w:rsidRPr="00AE30C8">
        <w:rPr>
          <w:sz w:val="24"/>
        </w:rPr>
        <w:t>Meaning</w:t>
      </w:r>
      <w:r w:rsidR="00600C83" w:rsidRPr="00AE30C8">
        <w:rPr>
          <w:sz w:val="24"/>
        </w:rPr>
        <w:t xml:space="preserve"> of the study</w:t>
      </w:r>
    </w:p>
    <w:p w14:paraId="1B752F6C" w14:textId="4DA64866" w:rsidR="0043009B" w:rsidRPr="00AE30C8" w:rsidRDefault="0043009B" w:rsidP="0043009B">
      <w:pPr>
        <w:spacing w:after="0" w:line="240" w:lineRule="auto"/>
        <w:rPr>
          <w:sz w:val="24"/>
        </w:rPr>
      </w:pPr>
      <w:r w:rsidRPr="00AE30C8">
        <w:rPr>
          <w:sz w:val="24"/>
        </w:rPr>
        <w:t>The preference would always be to try to minimise or adequately control a potential slip risk for individuals by eliminating, for example, floor surface contamination</w:t>
      </w:r>
      <w:r w:rsidR="008D0830">
        <w:rPr>
          <w:sz w:val="24"/>
        </w:rPr>
        <w:t xml:space="preserve">; however, this </w:t>
      </w:r>
      <w:r w:rsidRPr="00AE30C8">
        <w:rPr>
          <w:sz w:val="24"/>
        </w:rPr>
        <w:t xml:space="preserve">may not always be possible. In this situation, employers or staff may consider the use of slip-resistant footwear.  The </w:t>
      </w:r>
      <w:proofErr w:type="spellStart"/>
      <w:r w:rsidRPr="00AE30C8">
        <w:rPr>
          <w:sz w:val="24"/>
        </w:rPr>
        <w:t>SSHeW</w:t>
      </w:r>
      <w:proofErr w:type="spellEnd"/>
      <w:r w:rsidRPr="00AE30C8">
        <w:rPr>
          <w:sz w:val="24"/>
        </w:rPr>
        <w:t xml:space="preserve"> study has shown clear evidence that the </w:t>
      </w:r>
      <w:r w:rsidR="005C6707" w:rsidRPr="00AE30C8">
        <w:rPr>
          <w:sz w:val="24"/>
        </w:rPr>
        <w:t xml:space="preserve">5* GRIP-rated footwear used in this </w:t>
      </w:r>
      <w:r w:rsidRPr="00AE30C8">
        <w:rPr>
          <w:sz w:val="24"/>
        </w:rPr>
        <w:t>study can</w:t>
      </w:r>
      <w:r w:rsidR="005C6707" w:rsidRPr="00AE30C8">
        <w:rPr>
          <w:sz w:val="24"/>
        </w:rPr>
        <w:t xml:space="preserve"> reduce slips, and falls resulting from slips, in the NHS workplace. </w:t>
      </w:r>
      <w:r w:rsidRPr="00AE30C8">
        <w:rPr>
          <w:sz w:val="24"/>
        </w:rPr>
        <w:t xml:space="preserve"> There is</w:t>
      </w:r>
      <w:r w:rsidR="008D0830">
        <w:rPr>
          <w:sz w:val="24"/>
        </w:rPr>
        <w:t>,</w:t>
      </w:r>
      <w:r w:rsidRPr="00AE30C8">
        <w:rPr>
          <w:sz w:val="24"/>
        </w:rPr>
        <w:t xml:space="preserve"> therefore, a role for </w:t>
      </w:r>
      <w:proofErr w:type="gramStart"/>
      <w:r w:rsidRPr="00AE30C8">
        <w:rPr>
          <w:sz w:val="24"/>
        </w:rPr>
        <w:t>appropriately</w:t>
      </w:r>
      <w:r w:rsidR="008D0830">
        <w:rPr>
          <w:sz w:val="24"/>
        </w:rPr>
        <w:t>-</w:t>
      </w:r>
      <w:r w:rsidRPr="00AE30C8">
        <w:rPr>
          <w:sz w:val="24"/>
        </w:rPr>
        <w:t>specified</w:t>
      </w:r>
      <w:proofErr w:type="gramEnd"/>
      <w:r w:rsidRPr="00AE30C8">
        <w:rPr>
          <w:sz w:val="24"/>
        </w:rPr>
        <w:t xml:space="preserve"> footwear in reducing slips in the workplace. </w:t>
      </w:r>
    </w:p>
    <w:p w14:paraId="62209633" w14:textId="77777777" w:rsidR="0043009B" w:rsidRPr="00AE30C8" w:rsidRDefault="0043009B" w:rsidP="0043009B">
      <w:pPr>
        <w:spacing w:after="0" w:line="240" w:lineRule="auto"/>
        <w:rPr>
          <w:sz w:val="28"/>
          <w:szCs w:val="24"/>
          <w:lang w:val="en"/>
        </w:rPr>
      </w:pPr>
    </w:p>
    <w:p w14:paraId="5EE8625D" w14:textId="25B62934" w:rsidR="00600C83" w:rsidRPr="00AE30C8" w:rsidRDefault="00600C83" w:rsidP="00F17D15">
      <w:pPr>
        <w:spacing w:after="0" w:line="240" w:lineRule="auto"/>
        <w:rPr>
          <w:sz w:val="24"/>
        </w:rPr>
      </w:pPr>
      <w:r w:rsidRPr="00AE30C8">
        <w:rPr>
          <w:sz w:val="24"/>
        </w:rPr>
        <w:t xml:space="preserve">Unanswered questions and future </w:t>
      </w:r>
      <w:r w:rsidR="00795B05">
        <w:rPr>
          <w:sz w:val="24"/>
        </w:rPr>
        <w:t>directions</w:t>
      </w:r>
      <w:r w:rsidRPr="00AE30C8">
        <w:rPr>
          <w:sz w:val="24"/>
        </w:rPr>
        <w:t xml:space="preserve"> </w:t>
      </w:r>
    </w:p>
    <w:p w14:paraId="3A87AB4B" w14:textId="7A95B61E" w:rsidR="00B163AD" w:rsidRDefault="00B163AD" w:rsidP="00B163AD">
      <w:pPr>
        <w:rPr>
          <w:rFonts w:cs="Times New Roman"/>
          <w:sz w:val="24"/>
          <w:szCs w:val="24"/>
        </w:rPr>
      </w:pPr>
      <w:r w:rsidRPr="00AE30C8">
        <w:rPr>
          <w:rFonts w:cs="Times New Roman"/>
          <w:sz w:val="24"/>
          <w:szCs w:val="24"/>
        </w:rPr>
        <w:t xml:space="preserve">Whilst the </w:t>
      </w:r>
      <w:r w:rsidR="008D0830">
        <w:rPr>
          <w:rFonts w:cs="Times New Roman"/>
          <w:sz w:val="24"/>
          <w:szCs w:val="24"/>
        </w:rPr>
        <w:t>participants</w:t>
      </w:r>
      <w:r w:rsidR="008D0830" w:rsidRPr="00AE30C8">
        <w:rPr>
          <w:rFonts w:cs="Times New Roman"/>
          <w:sz w:val="24"/>
          <w:szCs w:val="24"/>
        </w:rPr>
        <w:t xml:space="preserve"> </w:t>
      </w:r>
      <w:r w:rsidRPr="00AE30C8">
        <w:rPr>
          <w:rFonts w:cs="Times New Roman"/>
          <w:sz w:val="24"/>
          <w:szCs w:val="24"/>
        </w:rPr>
        <w:t xml:space="preserve">represented a </w:t>
      </w:r>
      <w:r w:rsidR="00FC0817">
        <w:rPr>
          <w:rFonts w:cs="Times New Roman"/>
          <w:sz w:val="24"/>
          <w:szCs w:val="24"/>
        </w:rPr>
        <w:t xml:space="preserve">diverse </w:t>
      </w:r>
      <w:r w:rsidRPr="00AE30C8">
        <w:rPr>
          <w:rFonts w:cs="Times New Roman"/>
          <w:sz w:val="24"/>
          <w:szCs w:val="24"/>
        </w:rPr>
        <w:t>working group, our findings may not generalise to all workplaces</w:t>
      </w:r>
      <w:r w:rsidR="0089614D">
        <w:rPr>
          <w:rFonts w:cs="Times New Roman"/>
          <w:sz w:val="24"/>
          <w:szCs w:val="24"/>
        </w:rPr>
        <w:t xml:space="preserve">.  </w:t>
      </w:r>
      <w:r w:rsidR="002506FF">
        <w:rPr>
          <w:rFonts w:cs="Times New Roman"/>
          <w:sz w:val="24"/>
          <w:szCs w:val="24"/>
        </w:rPr>
        <w:t xml:space="preserve">The trial </w:t>
      </w:r>
      <w:r w:rsidR="008D0830">
        <w:rPr>
          <w:rFonts w:cs="Times New Roman"/>
          <w:sz w:val="24"/>
          <w:szCs w:val="24"/>
        </w:rPr>
        <w:t xml:space="preserve">should </w:t>
      </w:r>
      <w:r w:rsidR="002506FF">
        <w:rPr>
          <w:rFonts w:cs="Times New Roman"/>
          <w:sz w:val="24"/>
          <w:szCs w:val="24"/>
        </w:rPr>
        <w:t>be replicated</w:t>
      </w:r>
      <w:r w:rsidRPr="00AE30C8">
        <w:rPr>
          <w:rFonts w:cs="Times New Roman"/>
          <w:sz w:val="24"/>
          <w:szCs w:val="24"/>
        </w:rPr>
        <w:t xml:space="preserve"> in other high-risk environments, such as manufacturing and food processing facilities</w:t>
      </w:r>
      <w:r w:rsidR="003738B8">
        <w:rPr>
          <w:rFonts w:cs="Times New Roman"/>
          <w:sz w:val="24"/>
          <w:szCs w:val="24"/>
        </w:rPr>
        <w:t xml:space="preserve"> </w:t>
      </w:r>
      <w:r w:rsidR="00722C0C">
        <w:rPr>
          <w:rFonts w:cs="Times New Roman"/>
          <w:sz w:val="24"/>
          <w:szCs w:val="24"/>
        </w:rPr>
        <w:t>o</w:t>
      </w:r>
      <w:r w:rsidRPr="00AE30C8">
        <w:rPr>
          <w:rFonts w:cs="Times New Roman"/>
          <w:sz w:val="24"/>
          <w:szCs w:val="24"/>
        </w:rPr>
        <w:t xml:space="preserve">r in settings </w:t>
      </w:r>
      <w:r w:rsidR="0018095E">
        <w:rPr>
          <w:rFonts w:cs="Times New Roman"/>
          <w:sz w:val="24"/>
          <w:szCs w:val="24"/>
        </w:rPr>
        <w:t>that</w:t>
      </w:r>
      <w:r w:rsidR="0018095E" w:rsidRPr="00AE30C8">
        <w:rPr>
          <w:rFonts w:cs="Times New Roman"/>
          <w:sz w:val="24"/>
          <w:szCs w:val="24"/>
        </w:rPr>
        <w:t xml:space="preserve"> </w:t>
      </w:r>
      <w:r w:rsidRPr="00AE30C8">
        <w:rPr>
          <w:rFonts w:cs="Times New Roman"/>
          <w:sz w:val="24"/>
          <w:szCs w:val="24"/>
        </w:rPr>
        <w:t>have different surfaces, such as in the construction industry</w:t>
      </w:r>
      <w:r w:rsidR="003320C6">
        <w:rPr>
          <w:rFonts w:cs="Times New Roman"/>
          <w:sz w:val="24"/>
          <w:szCs w:val="24"/>
        </w:rPr>
        <w:t>.</w:t>
      </w:r>
      <w:r w:rsidRPr="00AE30C8">
        <w:rPr>
          <w:rFonts w:cs="Times New Roman"/>
          <w:sz w:val="24"/>
          <w:szCs w:val="24"/>
        </w:rPr>
        <w:t xml:space="preserve"> </w:t>
      </w:r>
    </w:p>
    <w:p w14:paraId="58B7CFBF" w14:textId="77777777" w:rsidR="00B62A15" w:rsidRDefault="00B62A15" w:rsidP="00B163AD">
      <w:pPr>
        <w:rPr>
          <w:rFonts w:cs="Times New Roman"/>
          <w:sz w:val="24"/>
          <w:szCs w:val="24"/>
        </w:rPr>
      </w:pPr>
    </w:p>
    <w:p w14:paraId="56117201" w14:textId="1BE3FA52" w:rsidR="00C150ED" w:rsidRDefault="00C150ED" w:rsidP="00C150ED">
      <w:pPr>
        <w:spacing w:after="0" w:line="240" w:lineRule="auto"/>
        <w:rPr>
          <w:rFonts w:cstheme="minorHAnsi"/>
          <w:sz w:val="24"/>
        </w:rPr>
      </w:pPr>
      <w:r w:rsidRPr="00AE30C8">
        <w:rPr>
          <w:rFonts w:cstheme="minorHAnsi"/>
          <w:sz w:val="24"/>
        </w:rPr>
        <w:t xml:space="preserve">Figure </w:t>
      </w:r>
      <w:r w:rsidRPr="00AE30C8">
        <w:rPr>
          <w:rFonts w:cstheme="minorHAnsi"/>
          <w:sz w:val="24"/>
        </w:rPr>
        <w:fldChar w:fldCharType="begin"/>
      </w:r>
      <w:r w:rsidRPr="00AE30C8">
        <w:rPr>
          <w:rFonts w:cstheme="minorHAnsi"/>
          <w:sz w:val="24"/>
        </w:rPr>
        <w:instrText xml:space="preserve"> SEQ Figure \* ARABIC </w:instrText>
      </w:r>
      <w:r w:rsidRPr="00AE30C8">
        <w:rPr>
          <w:rFonts w:cstheme="minorHAnsi"/>
          <w:sz w:val="24"/>
        </w:rPr>
        <w:fldChar w:fldCharType="separate"/>
      </w:r>
      <w:r w:rsidRPr="00AE30C8">
        <w:rPr>
          <w:rFonts w:cstheme="minorHAnsi"/>
          <w:sz w:val="24"/>
        </w:rPr>
        <w:t>1</w:t>
      </w:r>
      <w:r w:rsidRPr="00AE30C8">
        <w:rPr>
          <w:rFonts w:cstheme="minorHAnsi"/>
          <w:sz w:val="24"/>
        </w:rPr>
        <w:fldChar w:fldCharType="end"/>
      </w:r>
      <w:r w:rsidRPr="00AE30C8">
        <w:rPr>
          <w:rFonts w:cstheme="minorHAnsi"/>
          <w:sz w:val="24"/>
        </w:rPr>
        <w:t>. Example of sole of intervention footwear</w:t>
      </w:r>
    </w:p>
    <w:p w14:paraId="11BF9412" w14:textId="77777777" w:rsidR="00C150ED" w:rsidRPr="00AE30C8" w:rsidRDefault="00C150ED" w:rsidP="00C150ED">
      <w:pPr>
        <w:spacing w:after="0" w:line="240" w:lineRule="auto"/>
        <w:rPr>
          <w:rFonts w:cstheme="minorHAnsi"/>
          <w:sz w:val="24"/>
        </w:rPr>
      </w:pPr>
    </w:p>
    <w:p w14:paraId="014A06B9" w14:textId="47BF97A3" w:rsidR="00C150ED" w:rsidRPr="00AE30C8" w:rsidRDefault="00C150ED" w:rsidP="00C150ED">
      <w:pPr>
        <w:spacing w:after="0" w:line="240" w:lineRule="auto"/>
        <w:rPr>
          <w:sz w:val="24"/>
        </w:rPr>
      </w:pPr>
      <w:r w:rsidRPr="00AE30C8">
        <w:rPr>
          <w:sz w:val="24"/>
        </w:rPr>
        <w:t>Figure 2</w:t>
      </w:r>
      <w:r w:rsidR="00EB7F2E">
        <w:rPr>
          <w:sz w:val="24"/>
        </w:rPr>
        <w:t>.</w:t>
      </w:r>
      <w:r w:rsidRPr="00AE30C8">
        <w:rPr>
          <w:sz w:val="24"/>
        </w:rPr>
        <w:t xml:space="preserve"> Flow of participants through trial </w:t>
      </w:r>
    </w:p>
    <w:p w14:paraId="1C3F3D42" w14:textId="19A3DDAF" w:rsidR="00C150ED" w:rsidRDefault="00C150ED" w:rsidP="00B163AD">
      <w:pPr>
        <w:rPr>
          <w:rFonts w:cs="Times New Roman"/>
          <w:sz w:val="24"/>
          <w:szCs w:val="24"/>
        </w:rPr>
      </w:pPr>
    </w:p>
    <w:p w14:paraId="3E7C51EC" w14:textId="2335340D" w:rsidR="00292A4A" w:rsidRDefault="00292A4A" w:rsidP="00292A4A">
      <w:pPr>
        <w:spacing w:after="0"/>
        <w:rPr>
          <w:rFonts w:cs="Times New Roman"/>
          <w:sz w:val="24"/>
          <w:szCs w:val="24"/>
        </w:rPr>
      </w:pPr>
      <w:proofErr w:type="spellStart"/>
      <w:r w:rsidRPr="00292A4A">
        <w:rPr>
          <w:rFonts w:cs="Times New Roman"/>
          <w:sz w:val="24"/>
          <w:szCs w:val="24"/>
        </w:rPr>
        <w:t>Contributorship</w:t>
      </w:r>
      <w:proofErr w:type="spellEnd"/>
    </w:p>
    <w:p w14:paraId="4B1AAAA4" w14:textId="5134B462" w:rsidR="00775DC0" w:rsidRDefault="00775DC0" w:rsidP="00292A4A">
      <w:pPr>
        <w:spacing w:after="0"/>
        <w:rPr>
          <w:rFonts w:cs="Times New Roman"/>
          <w:sz w:val="24"/>
          <w:szCs w:val="24"/>
        </w:rPr>
      </w:pPr>
      <w:r w:rsidRPr="00775DC0">
        <w:rPr>
          <w:rFonts w:cs="Times New Roman"/>
          <w:sz w:val="24"/>
          <w:szCs w:val="24"/>
        </w:rPr>
        <w:t>DT was the lead applicant and SC was the co-chief investigator.  DT, SC, CF, MZ, GF, ML, CH, HI-S and LG made substantial contributions to the study design and were co-applicants on the NIHR HTA grant; RC-B, GF, ML, SC and HI-S contributed to acquisition of data; CF and GF conducted statistical analyses and CH supervised the statistical analyses; all authors made substantial contributions to the interpretation of the data.  All authors agree to be accountable for their aspects of the work in ensuring that questions related to the accuracy or integrity of any part of the work are appropriately investigated and resolved.  DT and SC are the guarantors. All authors provided critical review and final approval of the manuscript. The corresponding author attests that all listed authors meet authorship criteria and that no others meeting the criteria have been omitted.</w:t>
      </w:r>
    </w:p>
    <w:p w14:paraId="1F981879" w14:textId="77777777" w:rsidR="00292A4A" w:rsidRDefault="00292A4A" w:rsidP="00292A4A">
      <w:pPr>
        <w:spacing w:after="0"/>
        <w:rPr>
          <w:rFonts w:cs="Times New Roman"/>
          <w:sz w:val="24"/>
          <w:szCs w:val="24"/>
        </w:rPr>
      </w:pPr>
    </w:p>
    <w:p w14:paraId="29581BD8" w14:textId="77777777" w:rsidR="00120E86" w:rsidRDefault="008A3803" w:rsidP="000A2052">
      <w:pPr>
        <w:spacing w:after="0"/>
        <w:rPr>
          <w:rFonts w:cs="Times New Roman"/>
          <w:sz w:val="24"/>
          <w:szCs w:val="24"/>
        </w:rPr>
      </w:pPr>
      <w:r>
        <w:rPr>
          <w:rFonts w:cs="Times New Roman"/>
          <w:sz w:val="24"/>
          <w:szCs w:val="24"/>
        </w:rPr>
        <w:t xml:space="preserve">Funding </w:t>
      </w:r>
    </w:p>
    <w:p w14:paraId="63A42FE0" w14:textId="0110E94B" w:rsidR="00120E86" w:rsidRDefault="00120E86" w:rsidP="00B163AD">
      <w:pPr>
        <w:rPr>
          <w:rFonts w:cs="Times New Roman"/>
          <w:sz w:val="24"/>
          <w:szCs w:val="24"/>
        </w:rPr>
      </w:pPr>
      <w:r>
        <w:rPr>
          <w:rFonts w:cs="Times New Roman"/>
          <w:sz w:val="24"/>
          <w:szCs w:val="24"/>
        </w:rPr>
        <w:t xml:space="preserve">This study was funded by the </w:t>
      </w:r>
      <w:r w:rsidRPr="00120E86">
        <w:rPr>
          <w:rFonts w:cs="Times New Roman"/>
          <w:sz w:val="24"/>
          <w:szCs w:val="24"/>
        </w:rPr>
        <w:t xml:space="preserve">NIHR Public Health Research Programme (Project reference number 15/05/28) and the Health and Safety Executive. The views expressed are those of </w:t>
      </w:r>
      <w:r w:rsidRPr="00120E86">
        <w:rPr>
          <w:rFonts w:cs="Times New Roman"/>
          <w:sz w:val="24"/>
          <w:szCs w:val="24"/>
        </w:rPr>
        <w:lastRenderedPageBreak/>
        <w:t>the authors and not necessarily those of the NHS, the NIHR, HSE or the Department of Health and Social Care.</w:t>
      </w:r>
    </w:p>
    <w:p w14:paraId="35619FF6" w14:textId="5D2E4025" w:rsidR="002E2E52" w:rsidRDefault="00292A4A" w:rsidP="00143809">
      <w:pPr>
        <w:spacing w:after="0"/>
        <w:rPr>
          <w:rFonts w:cs="Times New Roman"/>
          <w:sz w:val="24"/>
          <w:szCs w:val="24"/>
        </w:rPr>
      </w:pPr>
      <w:r>
        <w:rPr>
          <w:rFonts w:cs="Times New Roman"/>
          <w:sz w:val="24"/>
          <w:szCs w:val="24"/>
        </w:rPr>
        <w:t xml:space="preserve">Competing interests </w:t>
      </w:r>
    </w:p>
    <w:p w14:paraId="77FEB4CF" w14:textId="77777777" w:rsidR="00666436" w:rsidRPr="00F52C1C" w:rsidRDefault="00666436" w:rsidP="00143809">
      <w:pPr>
        <w:spacing w:after="0" w:line="240" w:lineRule="auto"/>
        <w:rPr>
          <w:rFonts w:cs="Times New Roman"/>
          <w:sz w:val="24"/>
          <w:szCs w:val="24"/>
        </w:rPr>
      </w:pPr>
      <w:r w:rsidRPr="00F52C1C">
        <w:rPr>
          <w:rFonts w:cs="Times New Roman"/>
          <w:sz w:val="24"/>
          <w:szCs w:val="24"/>
        </w:rPr>
        <w:t xml:space="preserve">All authors have completed the ICMJE uniform disclosure form at </w:t>
      </w:r>
      <w:hyperlink r:id="rId9" w:history="1">
        <w:r w:rsidRPr="00F52C1C">
          <w:rPr>
            <w:rFonts w:cs="Times New Roman"/>
            <w:sz w:val="24"/>
            <w:szCs w:val="24"/>
          </w:rPr>
          <w:t>www.icmje.org/coi_disclosure.pdf</w:t>
        </w:r>
      </w:hyperlink>
      <w:r w:rsidRPr="00F52C1C">
        <w:rPr>
          <w:rFonts w:cs="Times New Roman"/>
          <w:sz w:val="24"/>
          <w:szCs w:val="24"/>
        </w:rPr>
        <w:t xml:space="preserve"> and declare:</w:t>
      </w:r>
    </w:p>
    <w:p w14:paraId="3D7FEEDB" w14:textId="77777777" w:rsidR="00666436" w:rsidRDefault="00666436" w:rsidP="00785020">
      <w:pPr>
        <w:spacing w:after="0" w:line="240" w:lineRule="auto"/>
        <w:rPr>
          <w:lang w:val="en"/>
        </w:rPr>
      </w:pPr>
    </w:p>
    <w:p w14:paraId="1EB1FE2B" w14:textId="50D2AE92" w:rsidR="00BC3EA4" w:rsidRPr="00BC3EA4" w:rsidRDefault="00BC3EA4" w:rsidP="00785020">
      <w:pPr>
        <w:spacing w:after="0" w:line="240" w:lineRule="auto"/>
        <w:rPr>
          <w:rFonts w:cs="Times New Roman"/>
          <w:sz w:val="24"/>
          <w:szCs w:val="24"/>
        </w:rPr>
      </w:pPr>
      <w:r w:rsidRPr="00BC3EA4">
        <w:rPr>
          <w:rFonts w:cs="Times New Roman"/>
          <w:sz w:val="24"/>
          <w:szCs w:val="24"/>
        </w:rPr>
        <w:t>Catherine Hewitt declares membership of the National Institute for Health Research (NIHR) Health Technology Assessment (HTA) Commissioning Committee 2015-2020 and previous membership of the HTA commissioning sub-board (EOI) 2016-2017.</w:t>
      </w:r>
    </w:p>
    <w:p w14:paraId="2D708447" w14:textId="77777777" w:rsidR="00BC3EA4" w:rsidRPr="00BC3EA4" w:rsidRDefault="00BC3EA4" w:rsidP="00785020">
      <w:pPr>
        <w:spacing w:after="0" w:line="240" w:lineRule="auto"/>
        <w:rPr>
          <w:rFonts w:cs="Times New Roman"/>
          <w:sz w:val="24"/>
          <w:szCs w:val="24"/>
        </w:rPr>
      </w:pPr>
    </w:p>
    <w:p w14:paraId="508F5B4D" w14:textId="77777777" w:rsidR="00BC3EA4" w:rsidRPr="00BC3EA4" w:rsidRDefault="00BC3EA4" w:rsidP="00785020">
      <w:pPr>
        <w:spacing w:after="0" w:line="240" w:lineRule="auto"/>
        <w:rPr>
          <w:rFonts w:cs="Times New Roman"/>
          <w:sz w:val="24"/>
          <w:szCs w:val="24"/>
        </w:rPr>
      </w:pPr>
      <w:r w:rsidRPr="00BC3EA4">
        <w:rPr>
          <w:rFonts w:cs="Times New Roman"/>
          <w:sz w:val="24"/>
          <w:szCs w:val="24"/>
        </w:rPr>
        <w:t>David Torgerson declares that he is Director of York Trials Unit, which receives clinical trials unit (CTU) funding from the NIHR, has previously been a member of various HTA commissioning boards and was a member of the CTU Standing Advisory Committee 2010-2014.</w:t>
      </w:r>
    </w:p>
    <w:p w14:paraId="26AE8C10" w14:textId="77777777" w:rsidR="00BC3EA4" w:rsidRPr="00BC3EA4" w:rsidRDefault="00BC3EA4" w:rsidP="00785020">
      <w:pPr>
        <w:spacing w:after="0" w:line="240" w:lineRule="auto"/>
        <w:rPr>
          <w:rFonts w:cs="Times New Roman"/>
          <w:sz w:val="24"/>
          <w:szCs w:val="24"/>
        </w:rPr>
      </w:pPr>
    </w:p>
    <w:p w14:paraId="525FB431" w14:textId="20739006" w:rsidR="00292A4A" w:rsidRDefault="00BC3EA4" w:rsidP="00785020">
      <w:pPr>
        <w:spacing w:after="0" w:line="240" w:lineRule="auto"/>
        <w:rPr>
          <w:rFonts w:cs="Times New Roman"/>
          <w:sz w:val="24"/>
          <w:szCs w:val="24"/>
        </w:rPr>
      </w:pPr>
      <w:r w:rsidRPr="00BC3EA4">
        <w:rPr>
          <w:rFonts w:cs="Times New Roman"/>
          <w:sz w:val="24"/>
          <w:szCs w:val="24"/>
        </w:rPr>
        <w:t xml:space="preserve">Gillian Frost, Mark Liddle, and Michael </w:t>
      </w:r>
      <w:proofErr w:type="spellStart"/>
      <w:r w:rsidRPr="00BC3EA4">
        <w:rPr>
          <w:rFonts w:cs="Times New Roman"/>
          <w:sz w:val="24"/>
          <w:szCs w:val="24"/>
        </w:rPr>
        <w:t>Zand</w:t>
      </w:r>
      <w:proofErr w:type="spellEnd"/>
      <w:r w:rsidRPr="00BC3EA4">
        <w:rPr>
          <w:rFonts w:cs="Times New Roman"/>
          <w:sz w:val="24"/>
          <w:szCs w:val="24"/>
        </w:rPr>
        <w:t xml:space="preserve"> declare that the Health and Safety Executive (HSE) run the GRIP-rating scheme, which was used to identify the footwear/manufacturer used in the trial, and that Shoes for Crews Ltd paid the HSE for testing of footwear under the GRIP-rating scheme.</w:t>
      </w:r>
    </w:p>
    <w:p w14:paraId="0C68FDAA" w14:textId="10B7BB68" w:rsidR="00BC3EA4" w:rsidRDefault="00BC3EA4" w:rsidP="00785020">
      <w:pPr>
        <w:spacing w:after="0" w:line="240" w:lineRule="auto"/>
        <w:rPr>
          <w:rFonts w:cs="Times New Roman"/>
          <w:sz w:val="24"/>
          <w:szCs w:val="24"/>
        </w:rPr>
      </w:pPr>
    </w:p>
    <w:p w14:paraId="3CD34E6F" w14:textId="02EEE737" w:rsidR="00BC3EA4" w:rsidRDefault="00BC3EA4" w:rsidP="00BC3EA4">
      <w:pPr>
        <w:spacing w:after="0" w:line="240" w:lineRule="auto"/>
        <w:rPr>
          <w:rFonts w:cstheme="minorHAnsi"/>
          <w:sz w:val="24"/>
          <w:szCs w:val="24"/>
        </w:rPr>
      </w:pPr>
      <w:r>
        <w:rPr>
          <w:rFonts w:cstheme="minorHAnsi"/>
          <w:sz w:val="24"/>
          <w:szCs w:val="24"/>
        </w:rPr>
        <w:t xml:space="preserve">Sarah Cockayne, Caroline Fairhurst, Gillian Frost, Mark Liddle, Rachel Cunningham-Burley, Michael </w:t>
      </w:r>
      <w:proofErr w:type="spellStart"/>
      <w:r>
        <w:rPr>
          <w:rFonts w:cstheme="minorHAnsi"/>
          <w:sz w:val="24"/>
          <w:szCs w:val="24"/>
        </w:rPr>
        <w:t>Zand</w:t>
      </w:r>
      <w:proofErr w:type="spellEnd"/>
      <w:r>
        <w:rPr>
          <w:rFonts w:cstheme="minorHAnsi"/>
          <w:sz w:val="24"/>
          <w:szCs w:val="24"/>
        </w:rPr>
        <w:t xml:space="preserve">, Catherine Hewitt, Heather Iles-Smith, Lorraine Green, and David J Torgerson declare that part of their salary costs </w:t>
      </w:r>
      <w:proofErr w:type="gramStart"/>
      <w:r>
        <w:rPr>
          <w:rFonts w:cstheme="minorHAnsi"/>
          <w:sz w:val="24"/>
          <w:szCs w:val="24"/>
        </w:rPr>
        <w:t>were</w:t>
      </w:r>
      <w:proofErr w:type="gramEnd"/>
      <w:r>
        <w:rPr>
          <w:rFonts w:cstheme="minorHAnsi"/>
          <w:sz w:val="24"/>
          <w:szCs w:val="24"/>
        </w:rPr>
        <w:t xml:space="preserve"> covered by the NIHR grant. </w:t>
      </w:r>
    </w:p>
    <w:p w14:paraId="2228EDEB" w14:textId="0F097D20" w:rsidR="00774A31" w:rsidRDefault="00774A31" w:rsidP="00BC3EA4">
      <w:pPr>
        <w:spacing w:after="0" w:line="240" w:lineRule="auto"/>
        <w:rPr>
          <w:rFonts w:cstheme="minorHAnsi"/>
          <w:sz w:val="24"/>
          <w:szCs w:val="24"/>
        </w:rPr>
      </w:pPr>
    </w:p>
    <w:p w14:paraId="522564B3" w14:textId="3B23DB59" w:rsidR="00774A31" w:rsidRDefault="00774A31" w:rsidP="00143809">
      <w:pPr>
        <w:spacing w:after="0" w:line="240" w:lineRule="auto"/>
        <w:rPr>
          <w:rFonts w:cstheme="minorHAnsi"/>
          <w:sz w:val="24"/>
          <w:szCs w:val="24"/>
        </w:rPr>
      </w:pPr>
      <w:r w:rsidRPr="00774A31">
        <w:rPr>
          <w:rFonts w:cstheme="minorHAnsi"/>
          <w:sz w:val="24"/>
          <w:szCs w:val="24"/>
        </w:rPr>
        <w:t>Acknowledgements</w:t>
      </w:r>
      <w:r>
        <w:rPr>
          <w:rFonts w:cstheme="minorHAnsi"/>
          <w:sz w:val="24"/>
          <w:szCs w:val="24"/>
        </w:rPr>
        <w:t xml:space="preserve"> </w:t>
      </w:r>
    </w:p>
    <w:p w14:paraId="0BB86386" w14:textId="4C6CC8C8" w:rsidR="00FF4A0D" w:rsidRDefault="00143F52" w:rsidP="00FF4A0D">
      <w:pPr>
        <w:spacing w:after="0" w:line="240" w:lineRule="auto"/>
        <w:rPr>
          <w:rFonts w:cstheme="minorHAnsi"/>
          <w:sz w:val="24"/>
          <w:szCs w:val="24"/>
        </w:rPr>
      </w:pPr>
      <w:r w:rsidRPr="00143F52">
        <w:rPr>
          <w:rFonts w:cstheme="minorHAnsi"/>
          <w:sz w:val="24"/>
          <w:szCs w:val="24"/>
        </w:rPr>
        <w:t xml:space="preserve">The authors would like to thank the following: </w:t>
      </w:r>
      <w:r w:rsidR="00D87334">
        <w:rPr>
          <w:rFonts w:cstheme="minorHAnsi"/>
          <w:sz w:val="24"/>
          <w:szCs w:val="24"/>
        </w:rPr>
        <w:t>t</w:t>
      </w:r>
      <w:r w:rsidRPr="00143F52">
        <w:rPr>
          <w:rFonts w:cstheme="minorHAnsi"/>
          <w:sz w:val="24"/>
          <w:szCs w:val="24"/>
        </w:rPr>
        <w:t>he participants for taking part in the trial</w:t>
      </w:r>
      <w:r w:rsidR="00FA5B0F">
        <w:rPr>
          <w:rFonts w:cstheme="minorHAnsi"/>
          <w:sz w:val="24"/>
          <w:szCs w:val="24"/>
        </w:rPr>
        <w:t>;</w:t>
      </w:r>
      <w:r w:rsidRPr="00143F52">
        <w:rPr>
          <w:rFonts w:cstheme="minorHAnsi"/>
          <w:sz w:val="24"/>
          <w:szCs w:val="24"/>
        </w:rPr>
        <w:t xml:space="preserve"> members of the trust</w:t>
      </w:r>
      <w:r w:rsidR="00884C67">
        <w:rPr>
          <w:rFonts w:cstheme="minorHAnsi"/>
          <w:sz w:val="24"/>
          <w:szCs w:val="24"/>
        </w:rPr>
        <w:t xml:space="preserve"> at </w:t>
      </w:r>
      <w:r w:rsidR="00884C67" w:rsidRPr="00FA5B0F">
        <w:rPr>
          <w:rFonts w:cstheme="minorHAnsi"/>
          <w:sz w:val="24"/>
          <w:szCs w:val="24"/>
        </w:rPr>
        <w:t>Cheshire a</w:t>
      </w:r>
      <w:r w:rsidR="00FA5B0F">
        <w:rPr>
          <w:rFonts w:cstheme="minorHAnsi"/>
          <w:sz w:val="24"/>
          <w:szCs w:val="24"/>
        </w:rPr>
        <w:t>nd Wirral Partnership NHS Trust,</w:t>
      </w:r>
      <w:r w:rsidR="00884C67" w:rsidRPr="00FA5B0F">
        <w:rPr>
          <w:rFonts w:cstheme="minorHAnsi"/>
          <w:sz w:val="24"/>
          <w:szCs w:val="24"/>
        </w:rPr>
        <w:t xml:space="preserve"> Lee</w:t>
      </w:r>
      <w:r w:rsidR="00FA5B0F">
        <w:rPr>
          <w:rFonts w:cstheme="minorHAnsi"/>
          <w:sz w:val="24"/>
          <w:szCs w:val="24"/>
        </w:rPr>
        <w:t>ds Teaching Hospitals NHS Trust,</w:t>
      </w:r>
      <w:r w:rsidR="00884C67" w:rsidRPr="00FA5B0F">
        <w:rPr>
          <w:rFonts w:cstheme="minorHAnsi"/>
          <w:sz w:val="24"/>
          <w:szCs w:val="24"/>
        </w:rPr>
        <w:t xml:space="preserve"> York Teaching</w:t>
      </w:r>
      <w:r w:rsidR="00FA5B0F">
        <w:rPr>
          <w:rFonts w:cstheme="minorHAnsi"/>
          <w:sz w:val="24"/>
          <w:szCs w:val="24"/>
        </w:rPr>
        <w:t xml:space="preserve"> Hospitals NHS Foundation Trust,</w:t>
      </w:r>
      <w:r w:rsidR="00884C67" w:rsidRPr="00FA5B0F">
        <w:rPr>
          <w:rFonts w:cstheme="minorHAnsi"/>
          <w:sz w:val="24"/>
          <w:szCs w:val="24"/>
        </w:rPr>
        <w:t xml:space="preserve"> Lanca</w:t>
      </w:r>
      <w:r w:rsidR="00FA5B0F">
        <w:rPr>
          <w:rFonts w:cstheme="minorHAnsi"/>
          <w:sz w:val="24"/>
          <w:szCs w:val="24"/>
        </w:rPr>
        <w:t>shire Care NHS Foundation Trust,</w:t>
      </w:r>
      <w:r w:rsidR="00884C67" w:rsidRPr="00FA5B0F">
        <w:rPr>
          <w:rFonts w:cstheme="minorHAnsi"/>
          <w:sz w:val="24"/>
          <w:szCs w:val="24"/>
        </w:rPr>
        <w:t xml:space="preserve"> Nottingham University</w:t>
      </w:r>
      <w:r w:rsidR="00FA5B0F">
        <w:rPr>
          <w:rFonts w:cstheme="minorHAnsi"/>
          <w:sz w:val="24"/>
          <w:szCs w:val="24"/>
        </w:rPr>
        <w:t xml:space="preserve"> Hospitals NHS Foundation Trust,</w:t>
      </w:r>
      <w:r w:rsidR="00884C67" w:rsidRPr="00FA5B0F">
        <w:rPr>
          <w:rFonts w:cstheme="minorHAnsi"/>
          <w:sz w:val="24"/>
          <w:szCs w:val="24"/>
        </w:rPr>
        <w:t xml:space="preserve"> Harrogate an</w:t>
      </w:r>
      <w:r w:rsidR="00FA5B0F">
        <w:rPr>
          <w:rFonts w:cstheme="minorHAnsi"/>
          <w:sz w:val="24"/>
          <w:szCs w:val="24"/>
        </w:rPr>
        <w:t>d District NHS Foundation Trust</w:t>
      </w:r>
      <w:r w:rsidR="00884C67" w:rsidRPr="00FA5B0F">
        <w:rPr>
          <w:rFonts w:cstheme="minorHAnsi"/>
          <w:sz w:val="24"/>
          <w:szCs w:val="24"/>
        </w:rPr>
        <w:t xml:space="preserve"> and University Hospitals of Derby </w:t>
      </w:r>
      <w:r w:rsidR="00FA5B0F">
        <w:rPr>
          <w:rFonts w:cstheme="minorHAnsi"/>
          <w:sz w:val="24"/>
          <w:szCs w:val="24"/>
        </w:rPr>
        <w:t>and Burton NHS Foundation Trust</w:t>
      </w:r>
      <w:r w:rsidR="00C657EF">
        <w:rPr>
          <w:rFonts w:cstheme="minorHAnsi"/>
          <w:sz w:val="24"/>
          <w:szCs w:val="24"/>
        </w:rPr>
        <w:t>,</w:t>
      </w:r>
      <w:r w:rsidR="00FA5B0F">
        <w:rPr>
          <w:rFonts w:cstheme="minorHAnsi"/>
          <w:sz w:val="24"/>
          <w:szCs w:val="24"/>
        </w:rPr>
        <w:t xml:space="preserve"> who recruited participants, </w:t>
      </w:r>
      <w:r w:rsidR="00C657EF">
        <w:rPr>
          <w:rFonts w:cstheme="minorHAnsi"/>
          <w:sz w:val="24"/>
          <w:szCs w:val="24"/>
        </w:rPr>
        <w:t xml:space="preserve">and </w:t>
      </w:r>
      <w:r w:rsidR="00FA5B0F">
        <w:rPr>
          <w:rFonts w:cstheme="minorHAnsi"/>
          <w:sz w:val="24"/>
          <w:szCs w:val="24"/>
        </w:rPr>
        <w:t>ordered and distributed</w:t>
      </w:r>
      <w:r w:rsidRPr="00143F52">
        <w:rPr>
          <w:rFonts w:cstheme="minorHAnsi"/>
          <w:sz w:val="24"/>
          <w:szCs w:val="24"/>
        </w:rPr>
        <w:t xml:space="preserve"> the footwear</w:t>
      </w:r>
      <w:r w:rsidR="00FA5B0F">
        <w:rPr>
          <w:rFonts w:cstheme="minorHAnsi"/>
          <w:sz w:val="24"/>
          <w:szCs w:val="24"/>
        </w:rPr>
        <w:t>;</w:t>
      </w:r>
      <w:r w:rsidRPr="00143F52">
        <w:rPr>
          <w:rFonts w:cstheme="minorHAnsi"/>
          <w:sz w:val="24"/>
          <w:szCs w:val="24"/>
        </w:rPr>
        <w:t xml:space="preserve"> and the Principal Investigators at each site for coordinating the study.   </w:t>
      </w:r>
    </w:p>
    <w:p w14:paraId="34CFE58A" w14:textId="77777777" w:rsidR="00FF4A0D" w:rsidRDefault="00FF4A0D" w:rsidP="00FF4A0D">
      <w:pPr>
        <w:spacing w:after="0" w:line="240" w:lineRule="auto"/>
        <w:rPr>
          <w:rFonts w:cstheme="minorHAnsi"/>
          <w:sz w:val="24"/>
          <w:szCs w:val="24"/>
        </w:rPr>
      </w:pPr>
    </w:p>
    <w:p w14:paraId="62191F90" w14:textId="5B5E317F" w:rsidR="00143F52" w:rsidRPr="00143F52" w:rsidRDefault="00143F52" w:rsidP="00143809">
      <w:pPr>
        <w:spacing w:after="0" w:line="240" w:lineRule="auto"/>
        <w:rPr>
          <w:rFonts w:cstheme="minorHAnsi"/>
          <w:sz w:val="24"/>
          <w:szCs w:val="24"/>
        </w:rPr>
      </w:pPr>
      <w:r w:rsidRPr="00143F52">
        <w:rPr>
          <w:rFonts w:cstheme="minorHAnsi"/>
          <w:sz w:val="24"/>
          <w:szCs w:val="24"/>
        </w:rPr>
        <w:t xml:space="preserve">We would also like to thank the staff at Cheshire and Wirral Partnership who acted as our PPI group throughout the study.  In addition, we would like to thank the NHS trusts or trust charities for funding the trial footwear.  </w:t>
      </w:r>
    </w:p>
    <w:p w14:paraId="78DCB7BE" w14:textId="77777777" w:rsidR="00143F52" w:rsidRPr="00143F52" w:rsidRDefault="00143F52" w:rsidP="000B6D1D">
      <w:pPr>
        <w:spacing w:after="0" w:line="240" w:lineRule="auto"/>
        <w:rPr>
          <w:rFonts w:cstheme="minorHAnsi"/>
          <w:sz w:val="24"/>
          <w:szCs w:val="24"/>
        </w:rPr>
      </w:pPr>
      <w:r w:rsidRPr="00143F52">
        <w:rPr>
          <w:rFonts w:cstheme="minorHAnsi"/>
          <w:sz w:val="24"/>
          <w:szCs w:val="24"/>
        </w:rPr>
        <w:t xml:space="preserve"> </w:t>
      </w:r>
    </w:p>
    <w:p w14:paraId="4681EB76" w14:textId="55DA7F30" w:rsidR="00143F52" w:rsidRPr="00143F52" w:rsidRDefault="00143F52" w:rsidP="000B6D1D">
      <w:pPr>
        <w:spacing w:after="0" w:line="240" w:lineRule="auto"/>
        <w:rPr>
          <w:rFonts w:cstheme="minorHAnsi"/>
          <w:sz w:val="24"/>
          <w:szCs w:val="24"/>
        </w:rPr>
      </w:pPr>
      <w:r w:rsidRPr="00143F52">
        <w:rPr>
          <w:rFonts w:cstheme="minorHAnsi"/>
          <w:sz w:val="24"/>
          <w:szCs w:val="24"/>
        </w:rPr>
        <w:t>Our thanks are also given to the independent members of the Trial Steering Committee /Data Monitoring and Ethics Committee for their guidance and support throughout the study.  Professor Avril Drummond (University of Nottingham) chaired the TSC/DMEC, Dr Farina Hashmi (Lecturer in Podiatry, University of Salford), Mr Mark Thomas (consultant on slips and trips, previously worked as a policy adviser for the HSE), Kate Chapman (Nurse Professional Advisor at Cheshire and Wirral Partnership NHS Foundation Trust) and Isabelle Smith (statistician, the University of Leeds dependent member)</w:t>
      </w:r>
      <w:r w:rsidR="00FF4A0D">
        <w:rPr>
          <w:rFonts w:cstheme="minorHAnsi"/>
          <w:sz w:val="24"/>
          <w:szCs w:val="24"/>
        </w:rPr>
        <w:t xml:space="preserve"> were independent members</w:t>
      </w:r>
      <w:r w:rsidRPr="00143F52">
        <w:rPr>
          <w:rFonts w:cstheme="minorHAnsi"/>
          <w:sz w:val="24"/>
          <w:szCs w:val="24"/>
        </w:rPr>
        <w:t xml:space="preserve">.  We would like to acknowledge the support of the NIHR Clinical Research </w:t>
      </w:r>
      <w:r w:rsidR="00FF4A0D">
        <w:rPr>
          <w:rFonts w:cstheme="minorHAnsi"/>
          <w:sz w:val="24"/>
          <w:szCs w:val="24"/>
        </w:rPr>
        <w:lastRenderedPageBreak/>
        <w:t>N</w:t>
      </w:r>
      <w:r w:rsidRPr="00143F52">
        <w:rPr>
          <w:rFonts w:cstheme="minorHAnsi"/>
          <w:sz w:val="24"/>
          <w:szCs w:val="24"/>
        </w:rPr>
        <w:t xml:space="preserve">etwork.  We would also like to thank the Patient Involvement Group, Kevin Hallas and Jo Ellwood from the HSE for their work on the study. </w:t>
      </w:r>
    </w:p>
    <w:p w14:paraId="01133388" w14:textId="01A0B733" w:rsidR="0033223A" w:rsidRPr="00774A31" w:rsidRDefault="00143F52" w:rsidP="000B6D1D">
      <w:pPr>
        <w:spacing w:after="0" w:line="240" w:lineRule="auto"/>
        <w:rPr>
          <w:rFonts w:cstheme="minorHAnsi"/>
          <w:sz w:val="24"/>
          <w:szCs w:val="24"/>
        </w:rPr>
      </w:pPr>
      <w:r w:rsidRPr="00143F52">
        <w:rPr>
          <w:rFonts w:cstheme="minorHAnsi"/>
          <w:sz w:val="24"/>
          <w:szCs w:val="24"/>
        </w:rPr>
        <w:t xml:space="preserve"> </w:t>
      </w:r>
    </w:p>
    <w:p w14:paraId="7F951817" w14:textId="3A4E42E2" w:rsidR="00774A31" w:rsidRDefault="00774A31" w:rsidP="00FF4A0D">
      <w:pPr>
        <w:spacing w:after="0" w:line="240" w:lineRule="auto"/>
        <w:rPr>
          <w:rFonts w:cstheme="minorHAnsi"/>
          <w:sz w:val="24"/>
          <w:szCs w:val="24"/>
        </w:rPr>
      </w:pPr>
      <w:r w:rsidRPr="00774A31">
        <w:rPr>
          <w:rFonts w:cstheme="minorHAnsi"/>
          <w:sz w:val="24"/>
          <w:szCs w:val="24"/>
        </w:rPr>
        <w:t>Data sharing</w:t>
      </w:r>
      <w:r>
        <w:rPr>
          <w:rFonts w:cstheme="minorHAnsi"/>
          <w:sz w:val="24"/>
          <w:szCs w:val="24"/>
        </w:rPr>
        <w:t xml:space="preserve"> </w:t>
      </w:r>
    </w:p>
    <w:p w14:paraId="0D705DF9" w14:textId="782C8A4E" w:rsidR="00143F52" w:rsidRPr="00774A31" w:rsidRDefault="00143F52" w:rsidP="00FF4A0D">
      <w:pPr>
        <w:spacing w:after="0" w:line="240" w:lineRule="auto"/>
        <w:rPr>
          <w:rFonts w:cstheme="minorHAnsi"/>
          <w:sz w:val="24"/>
          <w:szCs w:val="24"/>
        </w:rPr>
      </w:pPr>
      <w:r w:rsidRPr="00143F52">
        <w:rPr>
          <w:rFonts w:cstheme="minorHAnsi"/>
          <w:sz w:val="24"/>
          <w:szCs w:val="24"/>
        </w:rPr>
        <w:t>All data requests should be made to the corresponding author and will be considered on a case-by</w:t>
      </w:r>
      <w:r w:rsidR="00686C8F">
        <w:rPr>
          <w:rFonts w:cstheme="minorHAnsi"/>
          <w:sz w:val="24"/>
          <w:szCs w:val="24"/>
        </w:rPr>
        <w:t>-</w:t>
      </w:r>
      <w:r w:rsidRPr="00143F52">
        <w:rPr>
          <w:rFonts w:cstheme="minorHAnsi"/>
          <w:sz w:val="24"/>
          <w:szCs w:val="24"/>
        </w:rPr>
        <w:t>case basis by the Trial Management Group.  All data requests will be managed in accordance with York Trials Unit, University of York, processes and procedures.</w:t>
      </w:r>
    </w:p>
    <w:p w14:paraId="7D390023" w14:textId="77777777" w:rsidR="00143F52" w:rsidRDefault="00143F52" w:rsidP="00FF4A0D">
      <w:pPr>
        <w:spacing w:after="0" w:line="240" w:lineRule="auto"/>
        <w:rPr>
          <w:rFonts w:cstheme="minorHAnsi"/>
          <w:sz w:val="24"/>
          <w:szCs w:val="24"/>
        </w:rPr>
      </w:pPr>
    </w:p>
    <w:p w14:paraId="15CA2E3B" w14:textId="6768A7E6" w:rsidR="00774A31" w:rsidRDefault="00774A31" w:rsidP="00FF4A0D">
      <w:pPr>
        <w:spacing w:after="0" w:line="240" w:lineRule="auto"/>
        <w:rPr>
          <w:rFonts w:cstheme="minorHAnsi"/>
          <w:sz w:val="24"/>
          <w:szCs w:val="24"/>
        </w:rPr>
      </w:pPr>
      <w:r w:rsidRPr="00774A31">
        <w:rPr>
          <w:rFonts w:cstheme="minorHAnsi"/>
          <w:sz w:val="24"/>
          <w:szCs w:val="24"/>
        </w:rPr>
        <w:t>Sponsor role</w:t>
      </w:r>
      <w:r>
        <w:rPr>
          <w:rFonts w:cstheme="minorHAnsi"/>
          <w:sz w:val="24"/>
          <w:szCs w:val="24"/>
        </w:rPr>
        <w:t xml:space="preserve"> </w:t>
      </w:r>
    </w:p>
    <w:p w14:paraId="6CB193BC" w14:textId="5D1A2200" w:rsidR="000123DE" w:rsidRPr="00774A31" w:rsidRDefault="000123DE" w:rsidP="00FF4A0D">
      <w:pPr>
        <w:spacing w:after="0" w:line="240" w:lineRule="auto"/>
        <w:rPr>
          <w:rFonts w:cstheme="minorHAnsi"/>
          <w:sz w:val="24"/>
          <w:szCs w:val="24"/>
        </w:rPr>
      </w:pPr>
      <w:r w:rsidRPr="000123DE">
        <w:rPr>
          <w:rFonts w:cstheme="minorHAnsi"/>
          <w:sz w:val="24"/>
          <w:szCs w:val="24"/>
        </w:rPr>
        <w:t>The University of York was the study sponsor and had legal responsibility for the initiation and management of the study: sponsor representative Mr Michael Barber, Research and Enterprise Directorate, Innovation Office, York Science Park, Heslington, York, YO10 5DG, UK.</w:t>
      </w:r>
    </w:p>
    <w:p w14:paraId="7A11E181" w14:textId="5C1E7AF0" w:rsidR="00774A31" w:rsidRDefault="00774A31" w:rsidP="00BC3EA4">
      <w:pPr>
        <w:spacing w:after="0" w:line="240" w:lineRule="auto"/>
        <w:rPr>
          <w:rFonts w:cstheme="minorHAnsi"/>
          <w:sz w:val="24"/>
          <w:szCs w:val="24"/>
          <w:vertAlign w:val="superscript"/>
        </w:rPr>
      </w:pPr>
    </w:p>
    <w:p w14:paraId="739D2D64" w14:textId="77777777" w:rsidR="00BC3EA4" w:rsidRDefault="00BC3EA4" w:rsidP="00BC3EA4">
      <w:pPr>
        <w:spacing w:after="0" w:line="240" w:lineRule="auto"/>
        <w:rPr>
          <w:rFonts w:cs="Times New Roman"/>
          <w:sz w:val="24"/>
          <w:szCs w:val="24"/>
        </w:rPr>
      </w:pPr>
    </w:p>
    <w:p w14:paraId="4ADE0DE0" w14:textId="130196F2" w:rsidR="0095687E" w:rsidRPr="000A2052" w:rsidRDefault="0095687E" w:rsidP="00B163AD">
      <w:pPr>
        <w:rPr>
          <w:rFonts w:cs="Times New Roman"/>
          <w:b/>
          <w:sz w:val="24"/>
          <w:szCs w:val="24"/>
        </w:rPr>
      </w:pPr>
      <w:r w:rsidRPr="000A2052">
        <w:rPr>
          <w:rFonts w:cs="Times New Roman"/>
          <w:b/>
          <w:sz w:val="24"/>
          <w:szCs w:val="24"/>
        </w:rPr>
        <w:t xml:space="preserve">References </w:t>
      </w:r>
    </w:p>
    <w:p w14:paraId="702589EE" w14:textId="6B295536" w:rsidR="00F84A11" w:rsidRPr="00AE30C8" w:rsidRDefault="00F84A11" w:rsidP="00F17D15">
      <w:pPr>
        <w:spacing w:after="0" w:line="240" w:lineRule="auto"/>
        <w:rPr>
          <w:sz w:val="24"/>
        </w:rPr>
      </w:pPr>
    </w:p>
    <w:p w14:paraId="07A9B029" w14:textId="23351429" w:rsidR="00874581" w:rsidRPr="00296EB1" w:rsidRDefault="008B1D8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fldChar w:fldCharType="begin"/>
      </w:r>
      <w:r w:rsidRPr="00296EB1">
        <w:rPr>
          <w:rFonts w:asciiTheme="minorHAnsi" w:hAnsiTheme="minorHAnsi" w:cstheme="minorHAnsi"/>
          <w:noProof w:val="0"/>
          <w:sz w:val="24"/>
          <w:szCs w:val="24"/>
          <w:lang w:val="en-GB"/>
        </w:rPr>
        <w:instrText xml:space="preserve"> ADDIN EN.REFLIST </w:instrText>
      </w:r>
      <w:r w:rsidRPr="00296EB1">
        <w:rPr>
          <w:rFonts w:asciiTheme="minorHAnsi" w:hAnsiTheme="minorHAnsi" w:cstheme="minorHAnsi"/>
          <w:noProof w:val="0"/>
          <w:sz w:val="24"/>
          <w:szCs w:val="24"/>
          <w:lang w:val="en-GB"/>
        </w:rPr>
        <w:fldChar w:fldCharType="separate"/>
      </w:r>
      <w:r w:rsidR="00874581" w:rsidRPr="00296EB1">
        <w:rPr>
          <w:rFonts w:asciiTheme="minorHAnsi" w:hAnsiTheme="minorHAnsi" w:cstheme="minorHAnsi"/>
          <w:noProof w:val="0"/>
          <w:sz w:val="24"/>
          <w:szCs w:val="24"/>
          <w:lang w:val="en-GB"/>
        </w:rPr>
        <w:t>1.</w:t>
      </w:r>
      <w:r w:rsidR="00874581" w:rsidRPr="00296EB1">
        <w:rPr>
          <w:rFonts w:asciiTheme="minorHAnsi" w:hAnsiTheme="minorHAnsi" w:cstheme="minorHAnsi"/>
          <w:noProof w:val="0"/>
          <w:sz w:val="24"/>
          <w:szCs w:val="24"/>
          <w:lang w:val="en-GB"/>
        </w:rPr>
        <w:tab/>
        <w:t>Health and Safety Executive. RIDKIND: RIDDOR reported injuries by kind of accident and broad industry group 2018 [Available from: www.hse.gov.uk/statistics/tables/ridkind.xlsx</w:t>
      </w:r>
      <w:r w:rsidR="007C7906" w:rsidRPr="00296EB1">
        <w:rPr>
          <w:rFonts w:asciiTheme="minorHAnsi" w:hAnsiTheme="minorHAnsi" w:cstheme="minorHAnsi"/>
          <w:noProof w:val="0"/>
          <w:sz w:val="24"/>
          <w:szCs w:val="24"/>
          <w:lang w:val="en-GB"/>
        </w:rPr>
        <w:t xml:space="preserve"> (</w:t>
      </w:r>
      <w:r w:rsidR="00D55020" w:rsidRPr="00296EB1">
        <w:rPr>
          <w:rFonts w:asciiTheme="minorHAnsi" w:hAnsiTheme="minorHAnsi" w:cstheme="minorHAnsi"/>
          <w:noProof w:val="0"/>
          <w:sz w:val="24"/>
          <w:szCs w:val="24"/>
          <w:lang w:val="en-GB"/>
        </w:rPr>
        <w:t xml:space="preserve">date </w:t>
      </w:r>
      <w:r w:rsidR="007C7906" w:rsidRPr="00296EB1">
        <w:rPr>
          <w:rFonts w:asciiTheme="minorHAnsi" w:hAnsiTheme="minorHAnsi" w:cstheme="minorHAnsi"/>
          <w:noProof w:val="0"/>
          <w:sz w:val="24"/>
          <w:szCs w:val="24"/>
          <w:lang w:val="en-GB"/>
        </w:rPr>
        <w:t>accessed 12.02.2019)</w:t>
      </w:r>
      <w:r w:rsidR="00874581" w:rsidRPr="00296EB1">
        <w:rPr>
          <w:rFonts w:asciiTheme="minorHAnsi" w:hAnsiTheme="minorHAnsi" w:cstheme="minorHAnsi"/>
          <w:noProof w:val="0"/>
          <w:sz w:val="24"/>
          <w:szCs w:val="24"/>
          <w:lang w:val="en-GB"/>
        </w:rPr>
        <w:t>.</w:t>
      </w:r>
    </w:p>
    <w:p w14:paraId="59990394" w14:textId="543C934C" w:rsidR="00874581" w:rsidRPr="00296EB1" w:rsidRDefault="00874581"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2.</w:t>
      </w:r>
      <w:r w:rsidRPr="00296EB1">
        <w:rPr>
          <w:rFonts w:asciiTheme="minorHAnsi" w:hAnsiTheme="minorHAnsi" w:cstheme="minorHAnsi"/>
          <w:noProof w:val="0"/>
          <w:sz w:val="24"/>
          <w:szCs w:val="24"/>
          <w:lang w:val="en-GB"/>
        </w:rPr>
        <w:tab/>
        <w:t>Health and Safety Executive. Non-fatal injuries at work in Great Britain 2018</w:t>
      </w:r>
      <w:r w:rsidR="00534063" w:rsidRPr="00296EB1">
        <w:rPr>
          <w:rFonts w:asciiTheme="minorHAnsi" w:hAnsiTheme="minorHAnsi" w:cstheme="minorHAnsi"/>
          <w:noProof w:val="0"/>
          <w:sz w:val="24"/>
          <w:szCs w:val="24"/>
          <w:lang w:val="en-GB"/>
        </w:rPr>
        <w:t>.</w:t>
      </w:r>
      <w:r w:rsidRPr="00296EB1">
        <w:rPr>
          <w:rFonts w:asciiTheme="minorHAnsi" w:hAnsiTheme="minorHAnsi" w:cstheme="minorHAnsi"/>
          <w:noProof w:val="0"/>
          <w:sz w:val="24"/>
          <w:szCs w:val="24"/>
          <w:lang w:val="en-GB"/>
        </w:rPr>
        <w:t xml:space="preserve"> </w:t>
      </w:r>
      <w:hyperlink r:id="rId10" w:history="1">
        <w:r w:rsidRPr="00296EB1">
          <w:rPr>
            <w:rFonts w:asciiTheme="minorHAnsi" w:hAnsiTheme="minorHAnsi" w:cstheme="minorHAnsi"/>
            <w:noProof w:val="0"/>
            <w:sz w:val="24"/>
            <w:szCs w:val="24"/>
            <w:lang w:val="en-GB"/>
          </w:rPr>
          <w:t>http://www.hse.gov.uk/statistics/causinj/index.htm</w:t>
        </w:r>
      </w:hyperlink>
      <w:r w:rsidR="00E72941" w:rsidRPr="00296EB1">
        <w:rPr>
          <w:rFonts w:asciiTheme="minorHAnsi" w:hAnsiTheme="minorHAnsi" w:cstheme="minorHAnsi"/>
          <w:noProof w:val="0"/>
          <w:sz w:val="24"/>
          <w:szCs w:val="24"/>
          <w:lang w:val="en-GB"/>
        </w:rPr>
        <w:t xml:space="preserve"> (</w:t>
      </w:r>
      <w:r w:rsidR="00D55020" w:rsidRPr="00296EB1">
        <w:rPr>
          <w:rFonts w:asciiTheme="minorHAnsi" w:hAnsiTheme="minorHAnsi" w:cstheme="minorHAnsi"/>
          <w:noProof w:val="0"/>
          <w:sz w:val="24"/>
          <w:szCs w:val="24"/>
          <w:lang w:val="en-GB"/>
        </w:rPr>
        <w:t xml:space="preserve">date </w:t>
      </w:r>
      <w:r w:rsidR="00E72941" w:rsidRPr="00296EB1">
        <w:rPr>
          <w:rFonts w:asciiTheme="minorHAnsi" w:hAnsiTheme="minorHAnsi" w:cstheme="minorHAnsi"/>
          <w:noProof w:val="0"/>
          <w:sz w:val="24"/>
          <w:szCs w:val="24"/>
          <w:lang w:val="en-GB"/>
        </w:rPr>
        <w:t>accessed 12.02.2019)</w:t>
      </w:r>
      <w:r w:rsidRPr="00296EB1">
        <w:rPr>
          <w:rFonts w:asciiTheme="minorHAnsi" w:hAnsiTheme="minorHAnsi" w:cstheme="minorHAnsi"/>
          <w:noProof w:val="0"/>
          <w:sz w:val="24"/>
          <w:szCs w:val="24"/>
          <w:lang w:val="en-GB"/>
        </w:rPr>
        <w:t>.</w:t>
      </w:r>
    </w:p>
    <w:p w14:paraId="07242416" w14:textId="32EBB04A" w:rsidR="00874581" w:rsidRPr="00296EB1" w:rsidRDefault="00874581"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3.</w:t>
      </w:r>
      <w:r w:rsidRPr="00296EB1">
        <w:rPr>
          <w:rFonts w:asciiTheme="minorHAnsi" w:hAnsiTheme="minorHAnsi" w:cstheme="minorHAnsi"/>
          <w:noProof w:val="0"/>
          <w:sz w:val="24"/>
          <w:szCs w:val="24"/>
          <w:lang w:val="en-GB"/>
        </w:rPr>
        <w:tab/>
        <w:t>Health and Safety Executive. LFS - Labour Force Survey - Self-reported work-related ill health and workplace injuri</w:t>
      </w:r>
      <w:r w:rsidR="00534063" w:rsidRPr="00296EB1">
        <w:rPr>
          <w:rFonts w:asciiTheme="minorHAnsi" w:hAnsiTheme="minorHAnsi" w:cstheme="minorHAnsi"/>
          <w:noProof w:val="0"/>
          <w:sz w:val="24"/>
          <w:szCs w:val="24"/>
          <w:lang w:val="en-GB"/>
        </w:rPr>
        <w:t xml:space="preserve">es: Index of LFS tables 2019. </w:t>
      </w:r>
      <w:hyperlink r:id="rId11" w:history="1">
        <w:r w:rsidRPr="00296EB1">
          <w:rPr>
            <w:rFonts w:asciiTheme="minorHAnsi" w:hAnsiTheme="minorHAnsi" w:cstheme="minorHAnsi"/>
            <w:noProof w:val="0"/>
            <w:sz w:val="24"/>
            <w:szCs w:val="24"/>
            <w:lang w:val="en-GB"/>
          </w:rPr>
          <w:t>https://www.hse.gov.uk/statistics/lfs/index.htm</w:t>
        </w:r>
      </w:hyperlink>
      <w:r w:rsidR="00E72941" w:rsidRPr="00296EB1">
        <w:rPr>
          <w:rFonts w:asciiTheme="minorHAnsi" w:hAnsiTheme="minorHAnsi" w:cstheme="minorHAnsi"/>
          <w:noProof w:val="0"/>
          <w:sz w:val="24"/>
          <w:szCs w:val="24"/>
          <w:lang w:val="en-GB"/>
        </w:rPr>
        <w:t xml:space="preserve"> (</w:t>
      </w:r>
      <w:r w:rsidR="00D55020" w:rsidRPr="00296EB1">
        <w:rPr>
          <w:rFonts w:asciiTheme="minorHAnsi" w:hAnsiTheme="minorHAnsi" w:cstheme="minorHAnsi"/>
          <w:noProof w:val="0"/>
          <w:sz w:val="24"/>
          <w:szCs w:val="24"/>
          <w:lang w:val="en-GB"/>
        </w:rPr>
        <w:t xml:space="preserve">date </w:t>
      </w:r>
      <w:r w:rsidR="00E72941" w:rsidRPr="00296EB1">
        <w:rPr>
          <w:rFonts w:asciiTheme="minorHAnsi" w:hAnsiTheme="minorHAnsi" w:cstheme="minorHAnsi"/>
          <w:noProof w:val="0"/>
          <w:sz w:val="24"/>
          <w:szCs w:val="24"/>
          <w:lang w:val="en-GB"/>
        </w:rPr>
        <w:t xml:space="preserve">accessed 12.02.2019) </w:t>
      </w:r>
      <w:r w:rsidRPr="00296EB1">
        <w:rPr>
          <w:rFonts w:asciiTheme="minorHAnsi" w:hAnsiTheme="minorHAnsi" w:cstheme="minorHAnsi"/>
          <w:noProof w:val="0"/>
          <w:sz w:val="24"/>
          <w:szCs w:val="24"/>
          <w:lang w:val="en-GB"/>
        </w:rPr>
        <w:t>.</w:t>
      </w:r>
    </w:p>
    <w:p w14:paraId="7413CEB7" w14:textId="213E2403"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4</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Office for National Statistics. Living longer: how our population is changing and why it matters 2019 [updated 15th March 2019.</w:t>
      </w:r>
      <w:r w:rsidR="00534063" w:rsidRPr="00296EB1">
        <w:rPr>
          <w:rFonts w:asciiTheme="minorHAnsi" w:hAnsiTheme="minorHAnsi" w:cstheme="minorHAnsi"/>
          <w:noProof w:val="0"/>
          <w:sz w:val="24"/>
          <w:szCs w:val="24"/>
          <w:lang w:val="en-GB"/>
        </w:rPr>
        <w:t xml:space="preserve">] </w:t>
      </w:r>
      <w:hyperlink r:id="rId12" w:history="1">
        <w:r w:rsidR="00874581" w:rsidRPr="00296EB1">
          <w:rPr>
            <w:rFonts w:asciiTheme="minorHAnsi" w:hAnsiTheme="minorHAnsi" w:cstheme="minorHAnsi"/>
            <w:noProof w:val="0"/>
            <w:sz w:val="24"/>
            <w:szCs w:val="24"/>
            <w:lang w:val="en-GB"/>
          </w:rPr>
          <w:t>https://www.ons.gov.uk/peoplepopulationandcommunity/birthsdeathsandmarriages/ageing/articles/livinglongerhowourpopulationischangingandwhyitmatters/2019-03-15</w:t>
        </w:r>
      </w:hyperlink>
      <w:r w:rsidR="00D55020" w:rsidRPr="00296EB1">
        <w:rPr>
          <w:rFonts w:asciiTheme="minorHAnsi" w:hAnsiTheme="minorHAnsi" w:cstheme="minorHAnsi"/>
          <w:noProof w:val="0"/>
          <w:sz w:val="24"/>
          <w:szCs w:val="24"/>
          <w:lang w:val="en-GB"/>
        </w:rPr>
        <w:t xml:space="preserve"> (date accessed 08.10.2019)</w:t>
      </w:r>
      <w:r w:rsidR="00874581" w:rsidRPr="00296EB1">
        <w:rPr>
          <w:rFonts w:asciiTheme="minorHAnsi" w:hAnsiTheme="minorHAnsi" w:cstheme="minorHAnsi"/>
          <w:noProof w:val="0"/>
          <w:sz w:val="24"/>
          <w:szCs w:val="24"/>
          <w:lang w:val="en-GB"/>
        </w:rPr>
        <w:t xml:space="preserve"> </w:t>
      </w:r>
    </w:p>
    <w:p w14:paraId="0A70A9CB" w14:textId="67F84D72"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5</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Rubenstein LZ. Falls in older people: epidemiology, risk factors and strategies for prevention. Age Ageing 2006;35(Suppl 2):ii37-ii41</w:t>
      </w:r>
      <w:r w:rsidR="004C4562" w:rsidRPr="00296EB1">
        <w:rPr>
          <w:rFonts w:asciiTheme="minorHAnsi" w:hAnsiTheme="minorHAnsi" w:cstheme="minorHAnsi"/>
          <w:noProof w:val="0"/>
          <w:sz w:val="24"/>
          <w:szCs w:val="24"/>
          <w:lang w:val="en-GB"/>
        </w:rPr>
        <w:t>. doi:10.1093/ageing/afl084</w:t>
      </w:r>
      <w:r w:rsidR="00874581" w:rsidRPr="00296EB1">
        <w:rPr>
          <w:rFonts w:asciiTheme="minorHAnsi" w:hAnsiTheme="minorHAnsi" w:cstheme="minorHAnsi"/>
          <w:noProof w:val="0"/>
          <w:sz w:val="24"/>
          <w:szCs w:val="24"/>
          <w:lang w:val="en-GB"/>
        </w:rPr>
        <w:t>.</w:t>
      </w:r>
    </w:p>
    <w:p w14:paraId="55515EDD" w14:textId="3BBFFDC2"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6</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N</w:t>
      </w:r>
      <w:r w:rsidR="00022E72" w:rsidRPr="00296EB1">
        <w:rPr>
          <w:rFonts w:asciiTheme="minorHAnsi" w:hAnsiTheme="minorHAnsi" w:cstheme="minorHAnsi"/>
          <w:noProof w:val="0"/>
          <w:sz w:val="24"/>
          <w:szCs w:val="24"/>
          <w:lang w:val="en-GB"/>
        </w:rPr>
        <w:t xml:space="preserve">ational </w:t>
      </w:r>
      <w:r w:rsidR="00874581" w:rsidRPr="00296EB1">
        <w:rPr>
          <w:rFonts w:asciiTheme="minorHAnsi" w:hAnsiTheme="minorHAnsi" w:cstheme="minorHAnsi"/>
          <w:noProof w:val="0"/>
          <w:sz w:val="24"/>
          <w:szCs w:val="24"/>
          <w:lang w:val="en-GB"/>
        </w:rPr>
        <w:t>I</w:t>
      </w:r>
      <w:r w:rsidR="00022E72" w:rsidRPr="00296EB1">
        <w:rPr>
          <w:rFonts w:asciiTheme="minorHAnsi" w:hAnsiTheme="minorHAnsi" w:cstheme="minorHAnsi"/>
          <w:noProof w:val="0"/>
          <w:sz w:val="24"/>
          <w:szCs w:val="24"/>
          <w:lang w:val="en-GB"/>
        </w:rPr>
        <w:t xml:space="preserve">nstitute for Health and </w:t>
      </w:r>
      <w:r w:rsidR="00874581" w:rsidRPr="00296EB1">
        <w:rPr>
          <w:rFonts w:asciiTheme="minorHAnsi" w:hAnsiTheme="minorHAnsi" w:cstheme="minorHAnsi"/>
          <w:noProof w:val="0"/>
          <w:sz w:val="24"/>
          <w:szCs w:val="24"/>
          <w:lang w:val="en-GB"/>
        </w:rPr>
        <w:t>C</w:t>
      </w:r>
      <w:r w:rsidR="00022E72" w:rsidRPr="00296EB1">
        <w:rPr>
          <w:rFonts w:asciiTheme="minorHAnsi" w:hAnsiTheme="minorHAnsi" w:cstheme="minorHAnsi"/>
          <w:noProof w:val="0"/>
          <w:sz w:val="24"/>
          <w:szCs w:val="24"/>
          <w:lang w:val="en-GB"/>
        </w:rPr>
        <w:t xml:space="preserve">are </w:t>
      </w:r>
      <w:r w:rsidR="00874581" w:rsidRPr="00296EB1">
        <w:rPr>
          <w:rFonts w:asciiTheme="minorHAnsi" w:hAnsiTheme="minorHAnsi" w:cstheme="minorHAnsi"/>
          <w:noProof w:val="0"/>
          <w:sz w:val="24"/>
          <w:szCs w:val="24"/>
          <w:lang w:val="en-GB"/>
        </w:rPr>
        <w:t>E</w:t>
      </w:r>
      <w:r w:rsidR="00022E72" w:rsidRPr="00296EB1">
        <w:rPr>
          <w:rFonts w:asciiTheme="minorHAnsi" w:hAnsiTheme="minorHAnsi" w:cstheme="minorHAnsi"/>
          <w:noProof w:val="0"/>
          <w:sz w:val="24"/>
          <w:szCs w:val="24"/>
          <w:lang w:val="en-GB"/>
        </w:rPr>
        <w:t>xcellence</w:t>
      </w:r>
      <w:r w:rsidR="00874581" w:rsidRPr="00296EB1">
        <w:rPr>
          <w:rFonts w:asciiTheme="minorHAnsi" w:hAnsiTheme="minorHAnsi" w:cstheme="minorHAnsi"/>
          <w:noProof w:val="0"/>
          <w:sz w:val="24"/>
          <w:szCs w:val="24"/>
          <w:lang w:val="en-GB"/>
        </w:rPr>
        <w:t>. Falls in older people: assessing risk and prevention (CG161). National Institute for Health and Care Excellence; 2013 12 June 2013</w:t>
      </w:r>
      <w:r w:rsidR="00534063" w:rsidRPr="00296EB1">
        <w:rPr>
          <w:rFonts w:asciiTheme="minorHAnsi" w:hAnsiTheme="minorHAnsi" w:cstheme="minorHAnsi"/>
          <w:noProof w:val="0"/>
          <w:sz w:val="24"/>
          <w:szCs w:val="24"/>
          <w:lang w:val="en-GB"/>
        </w:rPr>
        <w:t>. https://www.bmj.com/content/369/bmj.m1849</w:t>
      </w:r>
      <w:r w:rsidR="00874581" w:rsidRPr="00296EB1">
        <w:rPr>
          <w:rFonts w:asciiTheme="minorHAnsi" w:hAnsiTheme="minorHAnsi" w:cstheme="minorHAnsi"/>
          <w:noProof w:val="0"/>
          <w:sz w:val="24"/>
          <w:szCs w:val="24"/>
          <w:lang w:val="en-GB"/>
        </w:rPr>
        <w:t>.</w:t>
      </w:r>
    </w:p>
    <w:p w14:paraId="61C2F6E7" w14:textId="4F76D22B"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7</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Bell JL, Collins JW, Wolf L, et al. Evaluation of a comprehensive slip, trip and fall prevention programme for hospital employees. Ergonomics 2008;51(12):1906-25.</w:t>
      </w:r>
    </w:p>
    <w:p w14:paraId="18795F96" w14:textId="1C699B88"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8</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Bell JL, Collins JW, Chiou S. Effectiveness of a no-cost-to-workers, slip-resistant footwear program for reducing slipping-related injuries in food ser</w:t>
      </w:r>
      <w:r w:rsidR="004C4562" w:rsidRPr="00296EB1">
        <w:rPr>
          <w:rFonts w:asciiTheme="minorHAnsi" w:hAnsiTheme="minorHAnsi" w:cstheme="minorHAnsi"/>
          <w:noProof w:val="0"/>
          <w:sz w:val="24"/>
          <w:szCs w:val="24"/>
          <w:lang w:val="en-GB"/>
        </w:rPr>
        <w:t>vice workers: a cluster randomiz</w:t>
      </w:r>
      <w:r w:rsidR="00874581" w:rsidRPr="00296EB1">
        <w:rPr>
          <w:rFonts w:asciiTheme="minorHAnsi" w:hAnsiTheme="minorHAnsi" w:cstheme="minorHAnsi"/>
          <w:noProof w:val="0"/>
          <w:sz w:val="24"/>
          <w:szCs w:val="24"/>
          <w:lang w:val="en-GB"/>
        </w:rPr>
        <w:t>ed trial. Scand J Work Environ Health 2019;45(2):194-202</w:t>
      </w:r>
      <w:r w:rsidR="0054421E" w:rsidRPr="00296EB1">
        <w:rPr>
          <w:rFonts w:asciiTheme="minorHAnsi" w:hAnsiTheme="minorHAnsi" w:cstheme="minorHAnsi"/>
          <w:noProof w:val="0"/>
          <w:sz w:val="24"/>
          <w:szCs w:val="24"/>
          <w:lang w:val="en-GB"/>
        </w:rPr>
        <w:t>. doi:10.5271/sjweh.3790</w:t>
      </w:r>
      <w:r w:rsidR="00874581" w:rsidRPr="00296EB1">
        <w:rPr>
          <w:rFonts w:asciiTheme="minorHAnsi" w:hAnsiTheme="minorHAnsi" w:cstheme="minorHAnsi"/>
          <w:noProof w:val="0"/>
          <w:sz w:val="24"/>
          <w:szCs w:val="24"/>
          <w:lang w:val="en-GB"/>
        </w:rPr>
        <w:t>.</w:t>
      </w:r>
    </w:p>
    <w:p w14:paraId="3100F370" w14:textId="4D6485AA" w:rsidR="00874581" w:rsidRPr="00296EB1" w:rsidRDefault="00744AD9"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9</w:t>
      </w:r>
      <w:r w:rsidR="00874581" w:rsidRPr="00296EB1">
        <w:rPr>
          <w:rFonts w:asciiTheme="minorHAnsi" w:hAnsiTheme="minorHAnsi" w:cstheme="minorHAnsi"/>
          <w:noProof w:val="0"/>
          <w:sz w:val="24"/>
          <w:szCs w:val="24"/>
          <w:lang w:val="en-GB"/>
        </w:rPr>
        <w:t>.</w:t>
      </w:r>
      <w:r w:rsidR="00874581" w:rsidRPr="00296EB1">
        <w:rPr>
          <w:rFonts w:asciiTheme="minorHAnsi" w:hAnsiTheme="minorHAnsi" w:cstheme="minorHAnsi"/>
          <w:noProof w:val="0"/>
          <w:sz w:val="24"/>
          <w:szCs w:val="24"/>
          <w:lang w:val="en-GB"/>
        </w:rPr>
        <w:tab/>
        <w:t xml:space="preserve">Health and Safety Executive. GRIP - Taking steps against workplace slips 2019 [Available from: </w:t>
      </w:r>
      <w:hyperlink r:id="rId13" w:history="1">
        <w:r w:rsidR="00874581" w:rsidRPr="00296EB1">
          <w:rPr>
            <w:rFonts w:asciiTheme="minorHAnsi" w:hAnsiTheme="minorHAnsi" w:cstheme="minorHAnsi"/>
            <w:noProof w:val="0"/>
            <w:sz w:val="24"/>
            <w:szCs w:val="24"/>
            <w:lang w:val="en-GB"/>
          </w:rPr>
          <w:t>https://www.hsl.gov.uk/publications-and-products/grip</w:t>
        </w:r>
      </w:hyperlink>
      <w:r w:rsidR="00D55020" w:rsidRPr="00296EB1">
        <w:rPr>
          <w:rFonts w:asciiTheme="minorHAnsi" w:hAnsiTheme="minorHAnsi" w:cstheme="minorHAnsi"/>
          <w:noProof w:val="0"/>
          <w:sz w:val="24"/>
          <w:szCs w:val="24"/>
          <w:lang w:val="en-GB"/>
        </w:rPr>
        <w:t xml:space="preserve"> (date accessed 16 July 2019)</w:t>
      </w:r>
      <w:r w:rsidR="00874581" w:rsidRPr="00296EB1">
        <w:rPr>
          <w:rFonts w:asciiTheme="minorHAnsi" w:hAnsiTheme="minorHAnsi" w:cstheme="minorHAnsi"/>
          <w:noProof w:val="0"/>
          <w:sz w:val="24"/>
          <w:szCs w:val="24"/>
          <w:lang w:val="en-GB"/>
        </w:rPr>
        <w:t>.</w:t>
      </w:r>
    </w:p>
    <w:p w14:paraId="5364A53E" w14:textId="2468B755" w:rsidR="00874581" w:rsidRPr="00296EB1" w:rsidRDefault="00874581"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1</w:t>
      </w:r>
      <w:r w:rsidR="00744AD9" w:rsidRPr="00296EB1">
        <w:rPr>
          <w:rFonts w:asciiTheme="minorHAnsi" w:hAnsiTheme="minorHAnsi" w:cstheme="minorHAnsi"/>
          <w:noProof w:val="0"/>
          <w:sz w:val="24"/>
          <w:szCs w:val="24"/>
          <w:lang w:val="en-GB"/>
        </w:rPr>
        <w:t>0</w:t>
      </w:r>
      <w:r w:rsidRPr="00296EB1">
        <w:rPr>
          <w:rFonts w:asciiTheme="minorHAnsi" w:hAnsiTheme="minorHAnsi" w:cstheme="minorHAnsi"/>
          <w:noProof w:val="0"/>
          <w:sz w:val="24"/>
          <w:szCs w:val="24"/>
          <w:lang w:val="en-GB"/>
        </w:rPr>
        <w:t>.</w:t>
      </w:r>
      <w:r w:rsidRPr="00296EB1">
        <w:rPr>
          <w:rFonts w:asciiTheme="minorHAnsi" w:hAnsiTheme="minorHAnsi" w:cstheme="minorHAnsi"/>
          <w:noProof w:val="0"/>
          <w:sz w:val="24"/>
          <w:szCs w:val="24"/>
          <w:lang w:val="en-GB"/>
        </w:rPr>
        <w:tab/>
        <w:t>British Standards Institution. BS EN ISO 13287: 2012 Personal protective equipment- Footwear-Test method for slip resistance. London: BSI Standards Limited 2012.</w:t>
      </w:r>
    </w:p>
    <w:p w14:paraId="3DC03E32" w14:textId="296D26AC" w:rsidR="00874581" w:rsidRPr="00296EB1" w:rsidRDefault="00874581"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lastRenderedPageBreak/>
        <w:t>1</w:t>
      </w:r>
      <w:r w:rsidR="00744AD9" w:rsidRPr="00296EB1">
        <w:rPr>
          <w:rFonts w:asciiTheme="minorHAnsi" w:hAnsiTheme="minorHAnsi" w:cstheme="minorHAnsi"/>
          <w:noProof w:val="0"/>
          <w:sz w:val="24"/>
          <w:szCs w:val="24"/>
          <w:lang w:val="en-GB"/>
        </w:rPr>
        <w:t>1</w:t>
      </w:r>
      <w:r w:rsidRPr="00296EB1">
        <w:rPr>
          <w:rFonts w:asciiTheme="minorHAnsi" w:hAnsiTheme="minorHAnsi" w:cstheme="minorHAnsi"/>
          <w:noProof w:val="0"/>
          <w:sz w:val="24"/>
          <w:szCs w:val="24"/>
          <w:lang w:val="en-GB"/>
        </w:rPr>
        <w:tab/>
        <w:t>Co</w:t>
      </w:r>
      <w:r w:rsidR="006E7531" w:rsidRPr="00296EB1">
        <w:rPr>
          <w:rFonts w:asciiTheme="minorHAnsi" w:hAnsiTheme="minorHAnsi" w:cstheme="minorHAnsi"/>
          <w:noProof w:val="0"/>
          <w:sz w:val="24"/>
          <w:szCs w:val="24"/>
          <w:lang w:val="en-GB"/>
        </w:rPr>
        <w:t xml:space="preserve">ckayne S, Fairhurst C, Frost G, </w:t>
      </w:r>
      <w:r w:rsidRPr="00296EB1">
        <w:rPr>
          <w:rFonts w:asciiTheme="minorHAnsi" w:hAnsiTheme="minorHAnsi" w:cstheme="minorHAnsi"/>
          <w:noProof w:val="0"/>
          <w:sz w:val="24"/>
          <w:szCs w:val="24"/>
          <w:lang w:val="en-GB"/>
        </w:rPr>
        <w:t>et al. SSHeW study protocol: does slip resistant footwear reduce slips among healthcare workers? A randomised controlled trial. BMJ Open</w:t>
      </w:r>
      <w:r w:rsidR="006E7531" w:rsidRPr="00296EB1">
        <w:rPr>
          <w:rFonts w:asciiTheme="minorHAnsi" w:hAnsiTheme="minorHAnsi" w:cstheme="minorHAnsi"/>
          <w:noProof w:val="0"/>
          <w:sz w:val="24"/>
          <w:szCs w:val="24"/>
          <w:lang w:val="en-GB"/>
        </w:rPr>
        <w:t xml:space="preserve"> </w:t>
      </w:r>
      <w:r w:rsidRPr="00296EB1">
        <w:rPr>
          <w:rFonts w:asciiTheme="minorHAnsi" w:hAnsiTheme="minorHAnsi" w:cstheme="minorHAnsi"/>
          <w:noProof w:val="0"/>
          <w:sz w:val="24"/>
          <w:szCs w:val="24"/>
          <w:lang w:val="en-GB"/>
        </w:rPr>
        <w:t>2018;8(11):e026023.</w:t>
      </w:r>
      <w:r w:rsidR="00A256BA" w:rsidRPr="00296EB1">
        <w:rPr>
          <w:rFonts w:asciiTheme="minorHAnsi" w:hAnsiTheme="minorHAnsi" w:cstheme="minorHAnsi"/>
          <w:noProof w:val="0"/>
          <w:sz w:val="24"/>
          <w:szCs w:val="24"/>
          <w:lang w:val="en-GB"/>
        </w:rPr>
        <w:t xml:space="preserve"> doi: 10.1136/bmjopen-2018-026023</w:t>
      </w:r>
    </w:p>
    <w:p w14:paraId="6E67FF17" w14:textId="5B714D47" w:rsidR="00874581" w:rsidRPr="00296EB1" w:rsidRDefault="00874581" w:rsidP="00874581">
      <w:pPr>
        <w:pStyle w:val="EndNoteBibliography"/>
        <w:spacing w:after="0"/>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1</w:t>
      </w:r>
      <w:r w:rsidR="00744AD9" w:rsidRPr="00296EB1">
        <w:rPr>
          <w:rFonts w:asciiTheme="minorHAnsi" w:hAnsiTheme="minorHAnsi" w:cstheme="minorHAnsi"/>
          <w:noProof w:val="0"/>
          <w:sz w:val="24"/>
          <w:szCs w:val="24"/>
          <w:lang w:val="en-GB"/>
        </w:rPr>
        <w:t>2</w:t>
      </w:r>
      <w:r w:rsidRPr="00296EB1">
        <w:rPr>
          <w:rFonts w:asciiTheme="minorHAnsi" w:hAnsiTheme="minorHAnsi" w:cstheme="minorHAnsi"/>
          <w:noProof w:val="0"/>
          <w:sz w:val="24"/>
          <w:szCs w:val="24"/>
          <w:lang w:val="en-GB"/>
        </w:rPr>
        <w:t>.</w:t>
      </w:r>
      <w:r w:rsidRPr="00296EB1">
        <w:rPr>
          <w:rFonts w:asciiTheme="minorHAnsi" w:hAnsiTheme="minorHAnsi" w:cstheme="minorHAnsi"/>
          <w:noProof w:val="0"/>
          <w:sz w:val="24"/>
          <w:szCs w:val="24"/>
          <w:lang w:val="en-GB"/>
        </w:rPr>
        <w:tab/>
        <w:t xml:space="preserve">Health and  Safety Laboratory. The GRIP Scheme Footwear Slip Resistance Ratings, Handbook for Participants.: Crown Copyright; 2014 [Available from: </w:t>
      </w:r>
      <w:hyperlink r:id="rId14" w:history="1">
        <w:r w:rsidRPr="00296EB1">
          <w:rPr>
            <w:rFonts w:asciiTheme="minorHAnsi" w:hAnsiTheme="minorHAnsi" w:cstheme="minorHAnsi"/>
            <w:noProof w:val="0"/>
            <w:sz w:val="24"/>
            <w:szCs w:val="24"/>
            <w:lang w:val="en-GB"/>
          </w:rPr>
          <w:t>https://www.hsl.gov.uk/media/435727/the%20grip%20scheme%20handbook%20v1.1.pdf</w:t>
        </w:r>
      </w:hyperlink>
      <w:r w:rsidR="00D55020" w:rsidRPr="00296EB1">
        <w:rPr>
          <w:rFonts w:asciiTheme="minorHAnsi" w:hAnsiTheme="minorHAnsi" w:cstheme="minorHAnsi"/>
          <w:noProof w:val="0"/>
          <w:sz w:val="24"/>
          <w:szCs w:val="24"/>
          <w:lang w:val="en-GB"/>
        </w:rPr>
        <w:t xml:space="preserve"> (date accessed 12.02.2019)</w:t>
      </w:r>
      <w:r w:rsidRPr="00296EB1">
        <w:rPr>
          <w:rFonts w:asciiTheme="minorHAnsi" w:hAnsiTheme="minorHAnsi" w:cstheme="minorHAnsi"/>
          <w:noProof w:val="0"/>
          <w:sz w:val="24"/>
          <w:szCs w:val="24"/>
          <w:lang w:val="en-GB"/>
        </w:rPr>
        <w:t xml:space="preserve">  </w:t>
      </w:r>
    </w:p>
    <w:p w14:paraId="0CEBB849" w14:textId="24AE90DC" w:rsidR="00874581" w:rsidRPr="00296EB1" w:rsidRDefault="00874581" w:rsidP="00022E72">
      <w:pPr>
        <w:pStyle w:val="EndNoteBibliography"/>
        <w:spacing w:after="0"/>
        <w:ind w:right="-46"/>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1</w:t>
      </w:r>
      <w:r w:rsidR="00744AD9" w:rsidRPr="00296EB1">
        <w:rPr>
          <w:rFonts w:asciiTheme="minorHAnsi" w:hAnsiTheme="minorHAnsi" w:cstheme="minorHAnsi"/>
          <w:noProof w:val="0"/>
          <w:sz w:val="24"/>
          <w:szCs w:val="24"/>
          <w:lang w:val="en-GB"/>
        </w:rPr>
        <w:t>3</w:t>
      </w:r>
      <w:r w:rsidRPr="00296EB1">
        <w:rPr>
          <w:rFonts w:asciiTheme="minorHAnsi" w:hAnsiTheme="minorHAnsi" w:cstheme="minorHAnsi"/>
          <w:noProof w:val="0"/>
          <w:sz w:val="24"/>
          <w:szCs w:val="24"/>
          <w:lang w:val="en-GB"/>
        </w:rPr>
        <w:t>.</w:t>
      </w:r>
      <w:r w:rsidRPr="00296EB1">
        <w:rPr>
          <w:rFonts w:asciiTheme="minorHAnsi" w:hAnsiTheme="minorHAnsi" w:cstheme="minorHAnsi"/>
          <w:noProof w:val="0"/>
          <w:sz w:val="24"/>
          <w:szCs w:val="24"/>
          <w:lang w:val="en-GB"/>
        </w:rPr>
        <w:tab/>
        <w:t>V</w:t>
      </w:r>
      <w:r w:rsidR="006E7531" w:rsidRPr="00296EB1">
        <w:rPr>
          <w:rFonts w:asciiTheme="minorHAnsi" w:hAnsiTheme="minorHAnsi" w:cstheme="minorHAnsi"/>
          <w:noProof w:val="0"/>
          <w:sz w:val="24"/>
          <w:szCs w:val="24"/>
          <w:lang w:val="en-GB"/>
        </w:rPr>
        <w:t>erma SK, Chang WR, Courtney TK</w:t>
      </w:r>
      <w:r w:rsidRPr="00296EB1">
        <w:rPr>
          <w:rFonts w:asciiTheme="minorHAnsi" w:hAnsiTheme="minorHAnsi" w:cstheme="minorHAnsi"/>
          <w:noProof w:val="0"/>
          <w:sz w:val="24"/>
          <w:szCs w:val="24"/>
          <w:lang w:val="en-GB"/>
        </w:rPr>
        <w:t>, et al. A prospective study of floor surface, shoes, floor cleaning and slipping in US limited-service restaurant workers. Occup Environ Med 2011;68(4):279-85.</w:t>
      </w:r>
    </w:p>
    <w:p w14:paraId="6EAAABF0" w14:textId="57F80942" w:rsidR="000063EF" w:rsidRPr="00296EB1" w:rsidRDefault="00874581" w:rsidP="00C557A2">
      <w:pPr>
        <w:pStyle w:val="EndNoteBibliography"/>
        <w:ind w:right="-188"/>
        <w:rPr>
          <w:rFonts w:asciiTheme="minorHAnsi" w:hAnsiTheme="minorHAnsi" w:cstheme="minorHAnsi"/>
          <w:noProof w:val="0"/>
          <w:sz w:val="24"/>
          <w:szCs w:val="24"/>
          <w:lang w:val="en-GB"/>
        </w:rPr>
      </w:pPr>
      <w:r w:rsidRPr="00296EB1">
        <w:rPr>
          <w:rFonts w:asciiTheme="minorHAnsi" w:hAnsiTheme="minorHAnsi" w:cstheme="minorHAnsi"/>
          <w:noProof w:val="0"/>
          <w:sz w:val="24"/>
          <w:szCs w:val="24"/>
          <w:lang w:val="en-GB"/>
        </w:rPr>
        <w:t>1</w:t>
      </w:r>
      <w:r w:rsidR="00744AD9" w:rsidRPr="00296EB1">
        <w:rPr>
          <w:rFonts w:asciiTheme="minorHAnsi" w:hAnsiTheme="minorHAnsi" w:cstheme="minorHAnsi"/>
          <w:noProof w:val="0"/>
          <w:sz w:val="24"/>
          <w:szCs w:val="24"/>
          <w:lang w:val="en-GB"/>
        </w:rPr>
        <w:t>4</w:t>
      </w:r>
      <w:r w:rsidRPr="00296EB1">
        <w:rPr>
          <w:rFonts w:asciiTheme="minorHAnsi" w:hAnsiTheme="minorHAnsi" w:cstheme="minorHAnsi"/>
          <w:noProof w:val="0"/>
          <w:sz w:val="24"/>
          <w:szCs w:val="24"/>
          <w:lang w:val="en-GB"/>
        </w:rPr>
        <w:t>.</w:t>
      </w:r>
      <w:r w:rsidRPr="00296EB1">
        <w:rPr>
          <w:rFonts w:asciiTheme="minorHAnsi" w:hAnsiTheme="minorHAnsi" w:cstheme="minorHAnsi"/>
          <w:noProof w:val="0"/>
          <w:sz w:val="24"/>
          <w:szCs w:val="24"/>
          <w:lang w:val="en-GB"/>
        </w:rPr>
        <w:tab/>
        <w:t>Jensen OC, L</w:t>
      </w:r>
      <w:r w:rsidR="00AB73F7" w:rsidRPr="00296EB1">
        <w:rPr>
          <w:rFonts w:asciiTheme="minorHAnsi" w:hAnsiTheme="minorHAnsi" w:cstheme="minorHAnsi"/>
          <w:noProof w:val="0"/>
          <w:sz w:val="24"/>
          <w:szCs w:val="24"/>
          <w:lang w:val="en-GB"/>
        </w:rPr>
        <w:t xml:space="preserve">aursen </w:t>
      </w:r>
      <w:r w:rsidRPr="00296EB1">
        <w:rPr>
          <w:rFonts w:asciiTheme="minorHAnsi" w:hAnsiTheme="minorHAnsi" w:cstheme="minorHAnsi"/>
          <w:noProof w:val="0"/>
          <w:sz w:val="24"/>
          <w:szCs w:val="24"/>
          <w:lang w:val="en-GB"/>
        </w:rPr>
        <w:t>HL. Reduction in slips, trips and falls and better comfort by using new an</w:t>
      </w:r>
      <w:r w:rsidR="00C557A2" w:rsidRPr="00296EB1">
        <w:rPr>
          <w:rFonts w:asciiTheme="minorHAnsi" w:hAnsiTheme="minorHAnsi" w:cstheme="minorHAnsi"/>
          <w:noProof w:val="0"/>
          <w:sz w:val="24"/>
          <w:szCs w:val="24"/>
          <w:lang w:val="en-GB"/>
        </w:rPr>
        <w:t xml:space="preserve">ti-slipping boots in fishing. </w:t>
      </w:r>
      <w:r w:rsidRPr="00296EB1">
        <w:rPr>
          <w:rFonts w:asciiTheme="minorHAnsi" w:hAnsiTheme="minorHAnsi" w:cstheme="minorHAnsi"/>
          <w:noProof w:val="0"/>
          <w:sz w:val="24"/>
          <w:szCs w:val="24"/>
          <w:lang w:val="en-GB"/>
        </w:rPr>
        <w:t xml:space="preserve"> International Journal of Injury</w:t>
      </w:r>
      <w:r w:rsidR="00C85CE4" w:rsidRPr="00296EB1">
        <w:rPr>
          <w:rFonts w:asciiTheme="minorHAnsi" w:hAnsiTheme="minorHAnsi" w:cstheme="minorHAnsi"/>
          <w:noProof w:val="0"/>
          <w:sz w:val="24"/>
          <w:szCs w:val="24"/>
          <w:lang w:val="en-GB"/>
        </w:rPr>
        <w:t xml:space="preserve"> Control and Safety Promotion</w:t>
      </w:r>
      <w:r w:rsidRPr="00296EB1">
        <w:rPr>
          <w:rFonts w:asciiTheme="minorHAnsi" w:hAnsiTheme="minorHAnsi" w:cstheme="minorHAnsi"/>
          <w:noProof w:val="0"/>
          <w:sz w:val="24"/>
          <w:szCs w:val="24"/>
          <w:lang w:val="en-GB"/>
        </w:rPr>
        <w:t xml:space="preserve"> 2010;18(1):85-7.</w:t>
      </w:r>
      <w:r w:rsidR="008B1D89" w:rsidRPr="00296EB1">
        <w:rPr>
          <w:rFonts w:asciiTheme="minorHAnsi" w:hAnsiTheme="minorHAnsi" w:cstheme="minorHAnsi"/>
          <w:noProof w:val="0"/>
          <w:sz w:val="24"/>
          <w:szCs w:val="24"/>
          <w:lang w:val="en-GB"/>
        </w:rPr>
        <w:fldChar w:fldCharType="end"/>
      </w:r>
      <w:r w:rsidR="000063EF" w:rsidRPr="00296EB1">
        <w:rPr>
          <w:rFonts w:asciiTheme="minorHAnsi" w:hAnsiTheme="minorHAnsi" w:cstheme="minorHAnsi"/>
          <w:noProof w:val="0"/>
          <w:sz w:val="24"/>
          <w:szCs w:val="24"/>
          <w:lang w:val="en-GB"/>
        </w:rPr>
        <w:t xml:space="preserve"> </w:t>
      </w:r>
      <w:hyperlink r:id="rId15" w:history="1">
        <w:r w:rsidR="000063EF" w:rsidRPr="00296EB1">
          <w:rPr>
            <w:rFonts w:asciiTheme="minorHAnsi" w:hAnsiTheme="minorHAnsi" w:cstheme="minorHAnsi"/>
            <w:noProof w:val="0"/>
            <w:sz w:val="24"/>
            <w:szCs w:val="24"/>
            <w:lang w:val="en-GB"/>
          </w:rPr>
          <w:t>doi.org/10.1080/17457300.2010.487156</w:t>
        </w:r>
      </w:hyperlink>
      <w:r w:rsidR="000063EF" w:rsidRPr="00296EB1">
        <w:rPr>
          <w:rFonts w:asciiTheme="minorHAnsi" w:hAnsiTheme="minorHAnsi" w:cstheme="minorHAnsi"/>
          <w:noProof w:val="0"/>
          <w:sz w:val="24"/>
          <w:szCs w:val="24"/>
          <w:lang w:val="en-GB"/>
        </w:rPr>
        <w:t xml:space="preserve"> </w:t>
      </w:r>
    </w:p>
    <w:p w14:paraId="1C4F3B2F" w14:textId="0E9F7521" w:rsidR="00C150ED" w:rsidRDefault="00C150ED" w:rsidP="00C557A2">
      <w:pPr>
        <w:pStyle w:val="EndNoteBibliography"/>
        <w:ind w:right="-188"/>
        <w:rPr>
          <w:rFonts w:ascii="Open Sans" w:hAnsi="Open Sans" w:cs="Arial"/>
          <w:color w:val="333333"/>
          <w:lang w:val="en"/>
        </w:rPr>
      </w:pPr>
    </w:p>
    <w:p w14:paraId="165D3261" w14:textId="0959C739" w:rsidR="00C150ED" w:rsidRDefault="00C150ED" w:rsidP="00C557A2">
      <w:pPr>
        <w:pStyle w:val="EndNoteBibliography"/>
        <w:ind w:right="-188"/>
      </w:pPr>
    </w:p>
    <w:sectPr w:rsidR="00C150ED" w:rsidSect="00CB4A8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E2E7E" w14:textId="77777777" w:rsidR="00B347B3" w:rsidRDefault="00B347B3" w:rsidP="00C235CD">
      <w:pPr>
        <w:spacing w:after="0" w:line="240" w:lineRule="auto"/>
      </w:pPr>
      <w:r>
        <w:separator/>
      </w:r>
    </w:p>
  </w:endnote>
  <w:endnote w:type="continuationSeparator" w:id="0">
    <w:p w14:paraId="4A377414" w14:textId="77777777" w:rsidR="00B347B3" w:rsidRDefault="00B347B3" w:rsidP="00C2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CBC7" w14:textId="77777777" w:rsidR="00EF3B5A" w:rsidRDefault="00EF3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3640" w14:textId="49601BC6" w:rsidR="00C657EF" w:rsidRDefault="00C657EF">
    <w:pPr>
      <w:pStyle w:val="Footer"/>
      <w:jc w:val="right"/>
    </w:pPr>
  </w:p>
  <w:p w14:paraId="758A1B64" w14:textId="77777777" w:rsidR="00C657EF" w:rsidRDefault="00C65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5B27" w14:textId="77777777" w:rsidR="00EF3B5A" w:rsidRDefault="00EF3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6400" w14:textId="77777777" w:rsidR="00B347B3" w:rsidRDefault="00B347B3" w:rsidP="00C235CD">
      <w:pPr>
        <w:spacing w:after="0" w:line="240" w:lineRule="auto"/>
      </w:pPr>
      <w:r>
        <w:separator/>
      </w:r>
    </w:p>
  </w:footnote>
  <w:footnote w:type="continuationSeparator" w:id="0">
    <w:p w14:paraId="2B0146EB" w14:textId="77777777" w:rsidR="00B347B3" w:rsidRDefault="00B347B3" w:rsidP="00C2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F1E6" w14:textId="77777777" w:rsidR="00EF3B5A" w:rsidRDefault="00EF3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CBF7" w14:textId="77777777" w:rsidR="00EF3B5A" w:rsidRDefault="00EF3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CE33" w14:textId="77777777" w:rsidR="00EF3B5A" w:rsidRDefault="00EF3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30310"/>
    <w:multiLevelType w:val="hybridMultilevel"/>
    <w:tmpl w:val="6414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B2745"/>
    <w:multiLevelType w:val="hybridMultilevel"/>
    <w:tmpl w:val="5DAA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176EE"/>
    <w:multiLevelType w:val="multilevel"/>
    <w:tmpl w:val="A170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92DA8"/>
    <w:multiLevelType w:val="hybridMultilevel"/>
    <w:tmpl w:val="625A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56CFD"/>
    <w:multiLevelType w:val="hybridMultilevel"/>
    <w:tmpl w:val="C6F8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63F18"/>
    <w:multiLevelType w:val="hybridMultilevel"/>
    <w:tmpl w:val="92A6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5fx2wtk9w5akepszcp5t2dwrfp5rd2f5zd&quot;&gt;SSHeW Final Report&lt;record-ids&gt;&lt;item&gt;2&lt;/item&gt;&lt;item&gt;4&lt;/item&gt;&lt;item&gt;7&lt;/item&gt;&lt;item&gt;8&lt;/item&gt;&lt;item&gt;9&lt;/item&gt;&lt;item&gt;14&lt;/item&gt;&lt;item&gt;18&lt;/item&gt;&lt;item&gt;22&lt;/item&gt;&lt;item&gt;23&lt;/item&gt;&lt;item&gt;27&lt;/item&gt;&lt;item&gt;34&lt;/item&gt;&lt;item&gt;35&lt;/item&gt;&lt;item&gt;49&lt;/item&gt;&lt;item&gt;62&lt;/item&gt;&lt;item&gt;64&lt;/item&gt;&lt;/record-ids&gt;&lt;/item&gt;&lt;/Libraries&gt;"/>
  </w:docVars>
  <w:rsids>
    <w:rsidRoot w:val="00B51B33"/>
    <w:rsid w:val="0000158D"/>
    <w:rsid w:val="00003D6F"/>
    <w:rsid w:val="00005211"/>
    <w:rsid w:val="000063EF"/>
    <w:rsid w:val="000123DE"/>
    <w:rsid w:val="000228C9"/>
    <w:rsid w:val="00022E72"/>
    <w:rsid w:val="00025652"/>
    <w:rsid w:val="00031C25"/>
    <w:rsid w:val="000349C2"/>
    <w:rsid w:val="0003699F"/>
    <w:rsid w:val="000415A2"/>
    <w:rsid w:val="00043192"/>
    <w:rsid w:val="00056A7B"/>
    <w:rsid w:val="000616C8"/>
    <w:rsid w:val="00064C83"/>
    <w:rsid w:val="000678DB"/>
    <w:rsid w:val="00074171"/>
    <w:rsid w:val="00076686"/>
    <w:rsid w:val="00082C16"/>
    <w:rsid w:val="000838D3"/>
    <w:rsid w:val="00090814"/>
    <w:rsid w:val="000937CC"/>
    <w:rsid w:val="00093E1C"/>
    <w:rsid w:val="000947A2"/>
    <w:rsid w:val="000A140F"/>
    <w:rsid w:val="000A2052"/>
    <w:rsid w:val="000A2814"/>
    <w:rsid w:val="000B0F55"/>
    <w:rsid w:val="000B49EF"/>
    <w:rsid w:val="000B6D1D"/>
    <w:rsid w:val="000B7F0A"/>
    <w:rsid w:val="000C16A6"/>
    <w:rsid w:val="000C3FC5"/>
    <w:rsid w:val="000C5F10"/>
    <w:rsid w:val="000C7BF0"/>
    <w:rsid w:val="000D13AF"/>
    <w:rsid w:val="00101F7E"/>
    <w:rsid w:val="00106985"/>
    <w:rsid w:val="001163E3"/>
    <w:rsid w:val="00120E86"/>
    <w:rsid w:val="00131B60"/>
    <w:rsid w:val="0013317A"/>
    <w:rsid w:val="00137B4B"/>
    <w:rsid w:val="001406F3"/>
    <w:rsid w:val="00143153"/>
    <w:rsid w:val="00143809"/>
    <w:rsid w:val="00143F52"/>
    <w:rsid w:val="00145649"/>
    <w:rsid w:val="0015205D"/>
    <w:rsid w:val="001553F4"/>
    <w:rsid w:val="00157B96"/>
    <w:rsid w:val="001635AE"/>
    <w:rsid w:val="001712DA"/>
    <w:rsid w:val="00177F1B"/>
    <w:rsid w:val="0018095E"/>
    <w:rsid w:val="0019221D"/>
    <w:rsid w:val="001973CF"/>
    <w:rsid w:val="001A0D73"/>
    <w:rsid w:val="001A2B84"/>
    <w:rsid w:val="001A5C62"/>
    <w:rsid w:val="001B0774"/>
    <w:rsid w:val="001B2517"/>
    <w:rsid w:val="001B41B6"/>
    <w:rsid w:val="001B44E5"/>
    <w:rsid w:val="001B69C4"/>
    <w:rsid w:val="001C543E"/>
    <w:rsid w:val="001D1A7B"/>
    <w:rsid w:val="001D24B4"/>
    <w:rsid w:val="001D57BE"/>
    <w:rsid w:val="001D6207"/>
    <w:rsid w:val="001E359E"/>
    <w:rsid w:val="001E4CEB"/>
    <w:rsid w:val="001F1F84"/>
    <w:rsid w:val="001F3346"/>
    <w:rsid w:val="001F50C4"/>
    <w:rsid w:val="00200A2F"/>
    <w:rsid w:val="00200D40"/>
    <w:rsid w:val="002011EC"/>
    <w:rsid w:val="00214A83"/>
    <w:rsid w:val="00217D45"/>
    <w:rsid w:val="00221D6D"/>
    <w:rsid w:val="00226693"/>
    <w:rsid w:val="00231B64"/>
    <w:rsid w:val="00234D99"/>
    <w:rsid w:val="00235273"/>
    <w:rsid w:val="00240D7E"/>
    <w:rsid w:val="00250278"/>
    <w:rsid w:val="002506FF"/>
    <w:rsid w:val="00251B7E"/>
    <w:rsid w:val="00256621"/>
    <w:rsid w:val="00262F6C"/>
    <w:rsid w:val="00265D24"/>
    <w:rsid w:val="00267A6D"/>
    <w:rsid w:val="00273D49"/>
    <w:rsid w:val="002751FB"/>
    <w:rsid w:val="002753E1"/>
    <w:rsid w:val="00284941"/>
    <w:rsid w:val="00286819"/>
    <w:rsid w:val="00287B66"/>
    <w:rsid w:val="00292A4A"/>
    <w:rsid w:val="002963B7"/>
    <w:rsid w:val="00296EB1"/>
    <w:rsid w:val="00297DF1"/>
    <w:rsid w:val="002A3501"/>
    <w:rsid w:val="002A7309"/>
    <w:rsid w:val="002B16B6"/>
    <w:rsid w:val="002B26AD"/>
    <w:rsid w:val="002C0074"/>
    <w:rsid w:val="002C3517"/>
    <w:rsid w:val="002C38DC"/>
    <w:rsid w:val="002E2E52"/>
    <w:rsid w:val="002E6DD3"/>
    <w:rsid w:val="00305A1B"/>
    <w:rsid w:val="00305D2F"/>
    <w:rsid w:val="0031245A"/>
    <w:rsid w:val="00314944"/>
    <w:rsid w:val="003214EB"/>
    <w:rsid w:val="003224E9"/>
    <w:rsid w:val="00322E66"/>
    <w:rsid w:val="0032418C"/>
    <w:rsid w:val="003261CD"/>
    <w:rsid w:val="003320C6"/>
    <w:rsid w:val="0033223A"/>
    <w:rsid w:val="00334FD4"/>
    <w:rsid w:val="00346865"/>
    <w:rsid w:val="00347108"/>
    <w:rsid w:val="003506E7"/>
    <w:rsid w:val="00354CA7"/>
    <w:rsid w:val="00357F87"/>
    <w:rsid w:val="0036298B"/>
    <w:rsid w:val="00362C3A"/>
    <w:rsid w:val="00366B20"/>
    <w:rsid w:val="003723F2"/>
    <w:rsid w:val="003738B8"/>
    <w:rsid w:val="00373D6B"/>
    <w:rsid w:val="00377E3D"/>
    <w:rsid w:val="00380834"/>
    <w:rsid w:val="003854A6"/>
    <w:rsid w:val="00387C41"/>
    <w:rsid w:val="00397CD7"/>
    <w:rsid w:val="003A277A"/>
    <w:rsid w:val="003C5E99"/>
    <w:rsid w:val="003E0334"/>
    <w:rsid w:val="003E422B"/>
    <w:rsid w:val="003E6EEA"/>
    <w:rsid w:val="003F1FC3"/>
    <w:rsid w:val="003F25A4"/>
    <w:rsid w:val="003F2D05"/>
    <w:rsid w:val="004029B7"/>
    <w:rsid w:val="00405D68"/>
    <w:rsid w:val="00410100"/>
    <w:rsid w:val="00413CA7"/>
    <w:rsid w:val="004175A8"/>
    <w:rsid w:val="0042174F"/>
    <w:rsid w:val="00424A87"/>
    <w:rsid w:val="0043009B"/>
    <w:rsid w:val="004313D0"/>
    <w:rsid w:val="00436C07"/>
    <w:rsid w:val="00436D40"/>
    <w:rsid w:val="0045233F"/>
    <w:rsid w:val="00455307"/>
    <w:rsid w:val="00461392"/>
    <w:rsid w:val="00470156"/>
    <w:rsid w:val="00470705"/>
    <w:rsid w:val="004717C0"/>
    <w:rsid w:val="00481D68"/>
    <w:rsid w:val="00486B16"/>
    <w:rsid w:val="00490332"/>
    <w:rsid w:val="00491163"/>
    <w:rsid w:val="00494F41"/>
    <w:rsid w:val="004974F7"/>
    <w:rsid w:val="004B017D"/>
    <w:rsid w:val="004C4562"/>
    <w:rsid w:val="004D03E0"/>
    <w:rsid w:val="004D2DBA"/>
    <w:rsid w:val="004D4578"/>
    <w:rsid w:val="004E2A15"/>
    <w:rsid w:val="004E4312"/>
    <w:rsid w:val="004E4C05"/>
    <w:rsid w:val="004E5FD3"/>
    <w:rsid w:val="004E60CA"/>
    <w:rsid w:val="004F0CAC"/>
    <w:rsid w:val="004F10BE"/>
    <w:rsid w:val="004F2CC9"/>
    <w:rsid w:val="005323D8"/>
    <w:rsid w:val="00534063"/>
    <w:rsid w:val="0054421E"/>
    <w:rsid w:val="0055481E"/>
    <w:rsid w:val="0056108B"/>
    <w:rsid w:val="00577961"/>
    <w:rsid w:val="00584A81"/>
    <w:rsid w:val="005916EB"/>
    <w:rsid w:val="005A5994"/>
    <w:rsid w:val="005B1468"/>
    <w:rsid w:val="005C6707"/>
    <w:rsid w:val="005D01ED"/>
    <w:rsid w:val="005D2988"/>
    <w:rsid w:val="005D3715"/>
    <w:rsid w:val="005D661A"/>
    <w:rsid w:val="005E0B63"/>
    <w:rsid w:val="005E5905"/>
    <w:rsid w:val="00600C83"/>
    <w:rsid w:val="006052C0"/>
    <w:rsid w:val="0061702D"/>
    <w:rsid w:val="0062041D"/>
    <w:rsid w:val="00621B6B"/>
    <w:rsid w:val="006402B5"/>
    <w:rsid w:val="006464B1"/>
    <w:rsid w:val="00652D1A"/>
    <w:rsid w:val="00654743"/>
    <w:rsid w:val="00666436"/>
    <w:rsid w:val="006674AC"/>
    <w:rsid w:val="006675A1"/>
    <w:rsid w:val="00677224"/>
    <w:rsid w:val="0067730A"/>
    <w:rsid w:val="00686C8F"/>
    <w:rsid w:val="00687EDD"/>
    <w:rsid w:val="006A0830"/>
    <w:rsid w:val="006C3C5F"/>
    <w:rsid w:val="006C7B75"/>
    <w:rsid w:val="006D7E8E"/>
    <w:rsid w:val="006E0E15"/>
    <w:rsid w:val="006E64AD"/>
    <w:rsid w:val="006E7531"/>
    <w:rsid w:val="006F2585"/>
    <w:rsid w:val="006F3809"/>
    <w:rsid w:val="006F7E50"/>
    <w:rsid w:val="00706CD5"/>
    <w:rsid w:val="007101A9"/>
    <w:rsid w:val="007120F5"/>
    <w:rsid w:val="00716C42"/>
    <w:rsid w:val="00717152"/>
    <w:rsid w:val="0072097C"/>
    <w:rsid w:val="007219A9"/>
    <w:rsid w:val="00722C0C"/>
    <w:rsid w:val="007333CB"/>
    <w:rsid w:val="00735BB7"/>
    <w:rsid w:val="00736126"/>
    <w:rsid w:val="00741284"/>
    <w:rsid w:val="00744AD9"/>
    <w:rsid w:val="00752871"/>
    <w:rsid w:val="007653E6"/>
    <w:rsid w:val="007731B0"/>
    <w:rsid w:val="007743B3"/>
    <w:rsid w:val="00774A31"/>
    <w:rsid w:val="00775DC0"/>
    <w:rsid w:val="00782D16"/>
    <w:rsid w:val="00784EB2"/>
    <w:rsid w:val="00785020"/>
    <w:rsid w:val="00792A91"/>
    <w:rsid w:val="00793D70"/>
    <w:rsid w:val="00795B05"/>
    <w:rsid w:val="007B1186"/>
    <w:rsid w:val="007C2BBC"/>
    <w:rsid w:val="007C2F00"/>
    <w:rsid w:val="007C7906"/>
    <w:rsid w:val="007D4656"/>
    <w:rsid w:val="007E33D7"/>
    <w:rsid w:val="007E38F6"/>
    <w:rsid w:val="007E6A69"/>
    <w:rsid w:val="007F2C7A"/>
    <w:rsid w:val="007F4B00"/>
    <w:rsid w:val="008051BD"/>
    <w:rsid w:val="00811538"/>
    <w:rsid w:val="0081738B"/>
    <w:rsid w:val="00822DB1"/>
    <w:rsid w:val="00840992"/>
    <w:rsid w:val="0084174C"/>
    <w:rsid w:val="00842D8F"/>
    <w:rsid w:val="00844C43"/>
    <w:rsid w:val="0084533D"/>
    <w:rsid w:val="0084689D"/>
    <w:rsid w:val="0084778B"/>
    <w:rsid w:val="00847BFF"/>
    <w:rsid w:val="00856A6A"/>
    <w:rsid w:val="00865FA5"/>
    <w:rsid w:val="0086783A"/>
    <w:rsid w:val="008679DC"/>
    <w:rsid w:val="0087242A"/>
    <w:rsid w:val="0087418B"/>
    <w:rsid w:val="008744B6"/>
    <w:rsid w:val="0087454F"/>
    <w:rsid w:val="00874581"/>
    <w:rsid w:val="0088021E"/>
    <w:rsid w:val="0088492E"/>
    <w:rsid w:val="00884C67"/>
    <w:rsid w:val="00886DFE"/>
    <w:rsid w:val="0089614D"/>
    <w:rsid w:val="008A3594"/>
    <w:rsid w:val="008A3803"/>
    <w:rsid w:val="008A4705"/>
    <w:rsid w:val="008A47A9"/>
    <w:rsid w:val="008B0A24"/>
    <w:rsid w:val="008B19E0"/>
    <w:rsid w:val="008B1D89"/>
    <w:rsid w:val="008C2AED"/>
    <w:rsid w:val="008C525E"/>
    <w:rsid w:val="008C7131"/>
    <w:rsid w:val="008D0830"/>
    <w:rsid w:val="008E0886"/>
    <w:rsid w:val="008E286C"/>
    <w:rsid w:val="008F2270"/>
    <w:rsid w:val="008F22A5"/>
    <w:rsid w:val="00906E41"/>
    <w:rsid w:val="00914192"/>
    <w:rsid w:val="00921C93"/>
    <w:rsid w:val="00922A3E"/>
    <w:rsid w:val="00923238"/>
    <w:rsid w:val="00927862"/>
    <w:rsid w:val="00931671"/>
    <w:rsid w:val="00940251"/>
    <w:rsid w:val="009418BC"/>
    <w:rsid w:val="00951E7B"/>
    <w:rsid w:val="00951E98"/>
    <w:rsid w:val="0095687E"/>
    <w:rsid w:val="00967A6E"/>
    <w:rsid w:val="009731C2"/>
    <w:rsid w:val="00976434"/>
    <w:rsid w:val="009917CD"/>
    <w:rsid w:val="00991C24"/>
    <w:rsid w:val="009C4E50"/>
    <w:rsid w:val="009C6506"/>
    <w:rsid w:val="009C744B"/>
    <w:rsid w:val="009E0831"/>
    <w:rsid w:val="009E264B"/>
    <w:rsid w:val="00A07F6B"/>
    <w:rsid w:val="00A135D0"/>
    <w:rsid w:val="00A16186"/>
    <w:rsid w:val="00A2048F"/>
    <w:rsid w:val="00A256BA"/>
    <w:rsid w:val="00A26C12"/>
    <w:rsid w:val="00A27413"/>
    <w:rsid w:val="00A52638"/>
    <w:rsid w:val="00A526F5"/>
    <w:rsid w:val="00A55313"/>
    <w:rsid w:val="00A60693"/>
    <w:rsid w:val="00A7180F"/>
    <w:rsid w:val="00A72919"/>
    <w:rsid w:val="00A81279"/>
    <w:rsid w:val="00A819B8"/>
    <w:rsid w:val="00AB3A28"/>
    <w:rsid w:val="00AB4655"/>
    <w:rsid w:val="00AB73F7"/>
    <w:rsid w:val="00AB7FE7"/>
    <w:rsid w:val="00AC0C58"/>
    <w:rsid w:val="00AC1A9A"/>
    <w:rsid w:val="00AE02A9"/>
    <w:rsid w:val="00AE30C8"/>
    <w:rsid w:val="00AE4A0B"/>
    <w:rsid w:val="00AE7618"/>
    <w:rsid w:val="00AF1517"/>
    <w:rsid w:val="00AF1F79"/>
    <w:rsid w:val="00AF3928"/>
    <w:rsid w:val="00B14404"/>
    <w:rsid w:val="00B15FC0"/>
    <w:rsid w:val="00B16054"/>
    <w:rsid w:val="00B163AD"/>
    <w:rsid w:val="00B20468"/>
    <w:rsid w:val="00B23B32"/>
    <w:rsid w:val="00B27CA9"/>
    <w:rsid w:val="00B308CE"/>
    <w:rsid w:val="00B34582"/>
    <w:rsid w:val="00B347B3"/>
    <w:rsid w:val="00B40D6B"/>
    <w:rsid w:val="00B4210A"/>
    <w:rsid w:val="00B51B33"/>
    <w:rsid w:val="00B56916"/>
    <w:rsid w:val="00B60E83"/>
    <w:rsid w:val="00B62A15"/>
    <w:rsid w:val="00B6374B"/>
    <w:rsid w:val="00B647FC"/>
    <w:rsid w:val="00B700D6"/>
    <w:rsid w:val="00B86C28"/>
    <w:rsid w:val="00B8785A"/>
    <w:rsid w:val="00B94CBB"/>
    <w:rsid w:val="00BA1726"/>
    <w:rsid w:val="00BA3062"/>
    <w:rsid w:val="00BB52AB"/>
    <w:rsid w:val="00BC0C0A"/>
    <w:rsid w:val="00BC29C0"/>
    <w:rsid w:val="00BC3EA4"/>
    <w:rsid w:val="00BD4CD3"/>
    <w:rsid w:val="00BE54E8"/>
    <w:rsid w:val="00BF0524"/>
    <w:rsid w:val="00BF7564"/>
    <w:rsid w:val="00C0104F"/>
    <w:rsid w:val="00C127DE"/>
    <w:rsid w:val="00C12DF0"/>
    <w:rsid w:val="00C150ED"/>
    <w:rsid w:val="00C214D7"/>
    <w:rsid w:val="00C235CD"/>
    <w:rsid w:val="00C34234"/>
    <w:rsid w:val="00C4737B"/>
    <w:rsid w:val="00C53226"/>
    <w:rsid w:val="00C53DBB"/>
    <w:rsid w:val="00C557A2"/>
    <w:rsid w:val="00C6045E"/>
    <w:rsid w:val="00C614C3"/>
    <w:rsid w:val="00C657EF"/>
    <w:rsid w:val="00C76CBE"/>
    <w:rsid w:val="00C80D24"/>
    <w:rsid w:val="00C85CE4"/>
    <w:rsid w:val="00C87937"/>
    <w:rsid w:val="00C92839"/>
    <w:rsid w:val="00C93469"/>
    <w:rsid w:val="00CA4488"/>
    <w:rsid w:val="00CA7F3D"/>
    <w:rsid w:val="00CB4A8D"/>
    <w:rsid w:val="00CB5D23"/>
    <w:rsid w:val="00CB6D88"/>
    <w:rsid w:val="00CC2DDF"/>
    <w:rsid w:val="00CD51E0"/>
    <w:rsid w:val="00CE7605"/>
    <w:rsid w:val="00CE7868"/>
    <w:rsid w:val="00CF063C"/>
    <w:rsid w:val="00D00DE8"/>
    <w:rsid w:val="00D0332E"/>
    <w:rsid w:val="00D034A5"/>
    <w:rsid w:val="00D04980"/>
    <w:rsid w:val="00D05420"/>
    <w:rsid w:val="00D153A7"/>
    <w:rsid w:val="00D22408"/>
    <w:rsid w:val="00D2506C"/>
    <w:rsid w:val="00D32375"/>
    <w:rsid w:val="00D4742E"/>
    <w:rsid w:val="00D51636"/>
    <w:rsid w:val="00D5167E"/>
    <w:rsid w:val="00D55020"/>
    <w:rsid w:val="00D55383"/>
    <w:rsid w:val="00D80B80"/>
    <w:rsid w:val="00D87334"/>
    <w:rsid w:val="00D9220D"/>
    <w:rsid w:val="00D931FD"/>
    <w:rsid w:val="00D974A9"/>
    <w:rsid w:val="00DA4029"/>
    <w:rsid w:val="00DC0D9E"/>
    <w:rsid w:val="00DC1A9B"/>
    <w:rsid w:val="00DC355E"/>
    <w:rsid w:val="00DD1421"/>
    <w:rsid w:val="00E029C8"/>
    <w:rsid w:val="00E02C7D"/>
    <w:rsid w:val="00E02F9E"/>
    <w:rsid w:val="00E13BDC"/>
    <w:rsid w:val="00E17BFD"/>
    <w:rsid w:val="00E2416D"/>
    <w:rsid w:val="00E2541F"/>
    <w:rsid w:val="00E26822"/>
    <w:rsid w:val="00E31A2C"/>
    <w:rsid w:val="00E4315E"/>
    <w:rsid w:val="00E509F1"/>
    <w:rsid w:val="00E6137B"/>
    <w:rsid w:val="00E72941"/>
    <w:rsid w:val="00E73653"/>
    <w:rsid w:val="00E82A12"/>
    <w:rsid w:val="00E85F9C"/>
    <w:rsid w:val="00E95366"/>
    <w:rsid w:val="00EA6D22"/>
    <w:rsid w:val="00EB3C9A"/>
    <w:rsid w:val="00EB7DDC"/>
    <w:rsid w:val="00EB7F2E"/>
    <w:rsid w:val="00ED4373"/>
    <w:rsid w:val="00EF3B5A"/>
    <w:rsid w:val="00EF7331"/>
    <w:rsid w:val="00F12D9E"/>
    <w:rsid w:val="00F17A4C"/>
    <w:rsid w:val="00F17D15"/>
    <w:rsid w:val="00F257F8"/>
    <w:rsid w:val="00F26C4B"/>
    <w:rsid w:val="00F27B7D"/>
    <w:rsid w:val="00F45ACC"/>
    <w:rsid w:val="00F507F7"/>
    <w:rsid w:val="00F51FC4"/>
    <w:rsid w:val="00F52C1C"/>
    <w:rsid w:val="00F5587D"/>
    <w:rsid w:val="00F60047"/>
    <w:rsid w:val="00F61074"/>
    <w:rsid w:val="00F76DBF"/>
    <w:rsid w:val="00F84895"/>
    <w:rsid w:val="00F84A11"/>
    <w:rsid w:val="00F9364B"/>
    <w:rsid w:val="00F94A8A"/>
    <w:rsid w:val="00FA248F"/>
    <w:rsid w:val="00FA3E17"/>
    <w:rsid w:val="00FA5B0F"/>
    <w:rsid w:val="00FA699F"/>
    <w:rsid w:val="00FB1C40"/>
    <w:rsid w:val="00FB7E61"/>
    <w:rsid w:val="00FC00D3"/>
    <w:rsid w:val="00FC0817"/>
    <w:rsid w:val="00FC4CF1"/>
    <w:rsid w:val="00FE000F"/>
    <w:rsid w:val="00FE180A"/>
    <w:rsid w:val="00FE3835"/>
    <w:rsid w:val="00FF07B2"/>
    <w:rsid w:val="00FF0D07"/>
    <w:rsid w:val="00FF4A0D"/>
    <w:rsid w:val="00FF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117D8"/>
  <w15:chartTrackingRefBased/>
  <w15:docId w15:val="{7E4D2BEE-4E64-443A-B9E3-ECD8994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41"/>
  </w:style>
  <w:style w:type="paragraph" w:styleId="Heading1">
    <w:name w:val="heading 1"/>
    <w:basedOn w:val="Normal"/>
    <w:next w:val="Normal"/>
    <w:link w:val="Heading1Char"/>
    <w:uiPriority w:val="9"/>
    <w:qFormat/>
    <w:rsid w:val="00A2048F"/>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961"/>
    <w:rPr>
      <w:strike w:val="0"/>
      <w:dstrike w:val="0"/>
      <w:color w:val="0B4F82"/>
      <w:u w:val="none"/>
      <w:effect w:val="none"/>
    </w:rPr>
  </w:style>
  <w:style w:type="paragraph" w:styleId="Header">
    <w:name w:val="header"/>
    <w:basedOn w:val="Normal"/>
    <w:link w:val="HeaderChar"/>
    <w:uiPriority w:val="99"/>
    <w:unhideWhenUsed/>
    <w:rsid w:val="00C2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5CD"/>
  </w:style>
  <w:style w:type="paragraph" w:styleId="Footer">
    <w:name w:val="footer"/>
    <w:basedOn w:val="Normal"/>
    <w:link w:val="FooterChar"/>
    <w:uiPriority w:val="99"/>
    <w:unhideWhenUsed/>
    <w:rsid w:val="00C2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5CD"/>
  </w:style>
  <w:style w:type="character" w:styleId="CommentReference">
    <w:name w:val="annotation reference"/>
    <w:basedOn w:val="DefaultParagraphFont"/>
    <w:uiPriority w:val="99"/>
    <w:semiHidden/>
    <w:unhideWhenUsed/>
    <w:rsid w:val="006C3C5F"/>
    <w:rPr>
      <w:sz w:val="16"/>
      <w:szCs w:val="16"/>
    </w:rPr>
  </w:style>
  <w:style w:type="paragraph" w:styleId="CommentText">
    <w:name w:val="annotation text"/>
    <w:basedOn w:val="Normal"/>
    <w:link w:val="CommentTextChar"/>
    <w:uiPriority w:val="99"/>
    <w:semiHidden/>
    <w:unhideWhenUsed/>
    <w:rsid w:val="006C3C5F"/>
    <w:pPr>
      <w:spacing w:line="240" w:lineRule="auto"/>
    </w:pPr>
    <w:rPr>
      <w:sz w:val="20"/>
      <w:szCs w:val="20"/>
    </w:rPr>
  </w:style>
  <w:style w:type="character" w:customStyle="1" w:styleId="CommentTextChar">
    <w:name w:val="Comment Text Char"/>
    <w:basedOn w:val="DefaultParagraphFont"/>
    <w:link w:val="CommentText"/>
    <w:uiPriority w:val="99"/>
    <w:semiHidden/>
    <w:rsid w:val="006C3C5F"/>
    <w:rPr>
      <w:sz w:val="20"/>
      <w:szCs w:val="20"/>
    </w:rPr>
  </w:style>
  <w:style w:type="paragraph" w:styleId="CommentSubject">
    <w:name w:val="annotation subject"/>
    <w:basedOn w:val="CommentText"/>
    <w:next w:val="CommentText"/>
    <w:link w:val="CommentSubjectChar"/>
    <w:uiPriority w:val="99"/>
    <w:semiHidden/>
    <w:unhideWhenUsed/>
    <w:rsid w:val="006C3C5F"/>
    <w:rPr>
      <w:b/>
      <w:bCs/>
    </w:rPr>
  </w:style>
  <w:style w:type="character" w:customStyle="1" w:styleId="CommentSubjectChar">
    <w:name w:val="Comment Subject Char"/>
    <w:basedOn w:val="CommentTextChar"/>
    <w:link w:val="CommentSubject"/>
    <w:uiPriority w:val="99"/>
    <w:semiHidden/>
    <w:rsid w:val="006C3C5F"/>
    <w:rPr>
      <w:b/>
      <w:bCs/>
      <w:sz w:val="20"/>
      <w:szCs w:val="20"/>
    </w:rPr>
  </w:style>
  <w:style w:type="paragraph" w:styleId="BalloonText">
    <w:name w:val="Balloon Text"/>
    <w:basedOn w:val="Normal"/>
    <w:link w:val="BalloonTextChar"/>
    <w:uiPriority w:val="99"/>
    <w:semiHidden/>
    <w:unhideWhenUsed/>
    <w:rsid w:val="006C3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C5F"/>
    <w:rPr>
      <w:rFonts w:ascii="Segoe UI" w:hAnsi="Segoe UI" w:cs="Segoe UI"/>
      <w:sz w:val="18"/>
      <w:szCs w:val="18"/>
    </w:rPr>
  </w:style>
  <w:style w:type="paragraph" w:styleId="EndnoteText">
    <w:name w:val="endnote text"/>
    <w:basedOn w:val="Normal"/>
    <w:link w:val="EndnoteTextChar"/>
    <w:uiPriority w:val="99"/>
    <w:semiHidden/>
    <w:unhideWhenUsed/>
    <w:rsid w:val="003124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245A"/>
    <w:rPr>
      <w:sz w:val="20"/>
      <w:szCs w:val="20"/>
    </w:rPr>
  </w:style>
  <w:style w:type="character" w:styleId="EndnoteReference">
    <w:name w:val="endnote reference"/>
    <w:basedOn w:val="DefaultParagraphFont"/>
    <w:uiPriority w:val="99"/>
    <w:semiHidden/>
    <w:unhideWhenUsed/>
    <w:rsid w:val="0031245A"/>
    <w:rPr>
      <w:vertAlign w:val="superscript"/>
    </w:rPr>
  </w:style>
  <w:style w:type="paragraph" w:styleId="ListParagraph">
    <w:name w:val="List Paragraph"/>
    <w:basedOn w:val="Normal"/>
    <w:link w:val="ListParagraphChar"/>
    <w:uiPriority w:val="34"/>
    <w:qFormat/>
    <w:rsid w:val="00C87937"/>
    <w:pPr>
      <w:spacing w:after="200" w:line="276"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rsid w:val="00C87937"/>
    <w:rPr>
      <w:rFonts w:ascii="Times New Roman" w:hAnsi="Times New Roman"/>
      <w:sz w:val="24"/>
    </w:rPr>
  </w:style>
  <w:style w:type="table" w:styleId="TableGrid">
    <w:name w:val="Table Grid"/>
    <w:basedOn w:val="TableNormal"/>
    <w:uiPriority w:val="39"/>
    <w:rsid w:val="00D4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lextitleprimary">
    <w:name w:val="complextitle_primary"/>
    <w:basedOn w:val="DefaultParagraphFont"/>
    <w:rsid w:val="0086783A"/>
  </w:style>
  <w:style w:type="paragraph" w:customStyle="1" w:styleId="EndNoteBibliographyTitle">
    <w:name w:val="EndNote Bibliography Title"/>
    <w:basedOn w:val="Normal"/>
    <w:link w:val="EndNoteBibliographyTitleChar"/>
    <w:rsid w:val="008B1D8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B1D89"/>
    <w:rPr>
      <w:rFonts w:ascii="Calibri" w:hAnsi="Calibri" w:cs="Calibri"/>
      <w:noProof/>
      <w:lang w:val="en-US"/>
    </w:rPr>
  </w:style>
  <w:style w:type="paragraph" w:customStyle="1" w:styleId="EndNoteBibliography">
    <w:name w:val="EndNote Bibliography"/>
    <w:basedOn w:val="Normal"/>
    <w:link w:val="EndNoteBibliographyChar"/>
    <w:rsid w:val="008B1D8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B1D89"/>
    <w:rPr>
      <w:rFonts w:ascii="Calibri" w:hAnsi="Calibri" w:cs="Calibri"/>
      <w:noProof/>
      <w:lang w:val="en-US"/>
    </w:rPr>
  </w:style>
  <w:style w:type="character" w:customStyle="1" w:styleId="highwire-cite-metadata-doi">
    <w:name w:val="highwire-cite-metadata-doi"/>
    <w:basedOn w:val="DefaultParagraphFont"/>
    <w:rsid w:val="00A256BA"/>
  </w:style>
  <w:style w:type="character" w:customStyle="1" w:styleId="label">
    <w:name w:val="label"/>
    <w:basedOn w:val="DefaultParagraphFont"/>
    <w:rsid w:val="00A256BA"/>
  </w:style>
  <w:style w:type="character" w:customStyle="1" w:styleId="Heading1Char">
    <w:name w:val="Heading 1 Char"/>
    <w:basedOn w:val="DefaultParagraphFont"/>
    <w:link w:val="Heading1"/>
    <w:uiPriority w:val="9"/>
    <w:rsid w:val="00A2048F"/>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5378">
      <w:bodyDiv w:val="1"/>
      <w:marLeft w:val="0"/>
      <w:marRight w:val="0"/>
      <w:marTop w:val="0"/>
      <w:marBottom w:val="0"/>
      <w:divBdr>
        <w:top w:val="none" w:sz="0" w:space="0" w:color="auto"/>
        <w:left w:val="none" w:sz="0" w:space="0" w:color="auto"/>
        <w:bottom w:val="none" w:sz="0" w:space="0" w:color="auto"/>
        <w:right w:val="none" w:sz="0" w:space="0" w:color="auto"/>
      </w:divBdr>
      <w:divsChild>
        <w:div w:id="2037386675">
          <w:marLeft w:val="0"/>
          <w:marRight w:val="0"/>
          <w:marTop w:val="100"/>
          <w:marBottom w:val="100"/>
          <w:divBdr>
            <w:top w:val="none" w:sz="0" w:space="0" w:color="auto"/>
            <w:left w:val="none" w:sz="0" w:space="0" w:color="auto"/>
            <w:bottom w:val="none" w:sz="0" w:space="0" w:color="auto"/>
            <w:right w:val="none" w:sz="0" w:space="0" w:color="auto"/>
          </w:divBdr>
          <w:divsChild>
            <w:div w:id="1695157952">
              <w:marLeft w:val="0"/>
              <w:marRight w:val="0"/>
              <w:marTop w:val="0"/>
              <w:marBottom w:val="0"/>
              <w:divBdr>
                <w:top w:val="none" w:sz="0" w:space="0" w:color="auto"/>
                <w:left w:val="none" w:sz="0" w:space="0" w:color="auto"/>
                <w:bottom w:val="none" w:sz="0" w:space="0" w:color="auto"/>
                <w:right w:val="none" w:sz="0" w:space="0" w:color="auto"/>
              </w:divBdr>
              <w:divsChild>
                <w:div w:id="1833402059">
                  <w:marLeft w:val="105"/>
                  <w:marRight w:val="105"/>
                  <w:marTop w:val="105"/>
                  <w:marBottom w:val="105"/>
                  <w:divBdr>
                    <w:top w:val="none" w:sz="0" w:space="0" w:color="auto"/>
                    <w:left w:val="none" w:sz="0" w:space="0" w:color="auto"/>
                    <w:bottom w:val="none" w:sz="0" w:space="0" w:color="auto"/>
                    <w:right w:val="none" w:sz="0" w:space="0" w:color="auto"/>
                  </w:divBdr>
                  <w:divsChild>
                    <w:div w:id="1806771529">
                      <w:marLeft w:val="0"/>
                      <w:marRight w:val="0"/>
                      <w:marTop w:val="0"/>
                      <w:marBottom w:val="0"/>
                      <w:divBdr>
                        <w:top w:val="none" w:sz="0" w:space="0" w:color="auto"/>
                        <w:left w:val="none" w:sz="0" w:space="0" w:color="auto"/>
                        <w:bottom w:val="none" w:sz="0" w:space="0" w:color="auto"/>
                        <w:right w:val="none" w:sz="0" w:space="0" w:color="auto"/>
                      </w:divBdr>
                      <w:divsChild>
                        <w:div w:id="1266841404">
                          <w:marLeft w:val="0"/>
                          <w:marRight w:val="0"/>
                          <w:marTop w:val="0"/>
                          <w:marBottom w:val="0"/>
                          <w:divBdr>
                            <w:top w:val="none" w:sz="0" w:space="0" w:color="auto"/>
                            <w:left w:val="none" w:sz="0" w:space="0" w:color="auto"/>
                            <w:bottom w:val="none" w:sz="0" w:space="0" w:color="auto"/>
                            <w:right w:val="none" w:sz="0" w:space="0" w:color="auto"/>
                          </w:divBdr>
                          <w:divsChild>
                            <w:div w:id="1052540812">
                              <w:marLeft w:val="0"/>
                              <w:marRight w:val="0"/>
                              <w:marTop w:val="0"/>
                              <w:marBottom w:val="0"/>
                              <w:divBdr>
                                <w:top w:val="none" w:sz="0" w:space="0" w:color="auto"/>
                                <w:left w:val="none" w:sz="0" w:space="0" w:color="auto"/>
                                <w:bottom w:val="none" w:sz="0" w:space="0" w:color="auto"/>
                                <w:right w:val="none" w:sz="0" w:space="0" w:color="auto"/>
                              </w:divBdr>
                              <w:divsChild>
                                <w:div w:id="1170675809">
                                  <w:marLeft w:val="0"/>
                                  <w:marRight w:val="0"/>
                                  <w:marTop w:val="0"/>
                                  <w:marBottom w:val="0"/>
                                  <w:divBdr>
                                    <w:top w:val="none" w:sz="0" w:space="0" w:color="auto"/>
                                    <w:left w:val="none" w:sz="0" w:space="0" w:color="auto"/>
                                    <w:bottom w:val="none" w:sz="0" w:space="0" w:color="auto"/>
                                    <w:right w:val="none" w:sz="0" w:space="0" w:color="auto"/>
                                  </w:divBdr>
                                  <w:divsChild>
                                    <w:div w:id="1040476049">
                                      <w:marLeft w:val="105"/>
                                      <w:marRight w:val="105"/>
                                      <w:marTop w:val="105"/>
                                      <w:marBottom w:val="105"/>
                                      <w:divBdr>
                                        <w:top w:val="none" w:sz="0" w:space="0" w:color="auto"/>
                                        <w:left w:val="none" w:sz="0" w:space="0" w:color="auto"/>
                                        <w:bottom w:val="none" w:sz="0" w:space="0" w:color="auto"/>
                                        <w:right w:val="none" w:sz="0" w:space="0" w:color="auto"/>
                                      </w:divBdr>
                                      <w:divsChild>
                                        <w:div w:id="48651102">
                                          <w:marLeft w:val="0"/>
                                          <w:marRight w:val="0"/>
                                          <w:marTop w:val="0"/>
                                          <w:marBottom w:val="0"/>
                                          <w:divBdr>
                                            <w:top w:val="none" w:sz="0" w:space="0" w:color="auto"/>
                                            <w:left w:val="none" w:sz="0" w:space="0" w:color="auto"/>
                                            <w:bottom w:val="none" w:sz="0" w:space="0" w:color="auto"/>
                                            <w:right w:val="none" w:sz="0" w:space="0" w:color="auto"/>
                                          </w:divBdr>
                                          <w:divsChild>
                                            <w:div w:id="1945991270">
                                              <w:marLeft w:val="0"/>
                                              <w:marRight w:val="0"/>
                                              <w:marTop w:val="0"/>
                                              <w:marBottom w:val="0"/>
                                              <w:divBdr>
                                                <w:top w:val="none" w:sz="0" w:space="0" w:color="auto"/>
                                                <w:left w:val="none" w:sz="0" w:space="0" w:color="auto"/>
                                                <w:bottom w:val="none" w:sz="0" w:space="0" w:color="auto"/>
                                                <w:right w:val="none" w:sz="0" w:space="0" w:color="auto"/>
                                              </w:divBdr>
                                              <w:divsChild>
                                                <w:div w:id="791049544">
                                                  <w:marLeft w:val="0"/>
                                                  <w:marRight w:val="0"/>
                                                  <w:marTop w:val="0"/>
                                                  <w:marBottom w:val="0"/>
                                                  <w:divBdr>
                                                    <w:top w:val="none" w:sz="0" w:space="0" w:color="auto"/>
                                                    <w:left w:val="none" w:sz="0" w:space="0" w:color="auto"/>
                                                    <w:bottom w:val="none" w:sz="0" w:space="0" w:color="auto"/>
                                                    <w:right w:val="none" w:sz="0" w:space="0" w:color="auto"/>
                                                  </w:divBdr>
                                                  <w:divsChild>
                                                    <w:div w:id="456485630">
                                                      <w:marLeft w:val="0"/>
                                                      <w:marRight w:val="0"/>
                                                      <w:marTop w:val="0"/>
                                                      <w:marBottom w:val="0"/>
                                                      <w:divBdr>
                                                        <w:top w:val="none" w:sz="0" w:space="0" w:color="auto"/>
                                                        <w:left w:val="none" w:sz="0" w:space="0" w:color="auto"/>
                                                        <w:bottom w:val="none" w:sz="0" w:space="0" w:color="auto"/>
                                                        <w:right w:val="none" w:sz="0" w:space="0" w:color="auto"/>
                                                      </w:divBdr>
                                                      <w:divsChild>
                                                        <w:div w:id="2008359549">
                                                          <w:marLeft w:val="0"/>
                                                          <w:marRight w:val="0"/>
                                                          <w:marTop w:val="0"/>
                                                          <w:marBottom w:val="0"/>
                                                          <w:divBdr>
                                                            <w:top w:val="none" w:sz="0" w:space="0" w:color="auto"/>
                                                            <w:left w:val="none" w:sz="0" w:space="0" w:color="auto"/>
                                                            <w:bottom w:val="none" w:sz="0" w:space="0" w:color="auto"/>
                                                            <w:right w:val="none" w:sz="0" w:space="0" w:color="auto"/>
                                                          </w:divBdr>
                                                          <w:divsChild>
                                                            <w:div w:id="1576740720">
                                                              <w:marLeft w:val="0"/>
                                                              <w:marRight w:val="0"/>
                                                              <w:marTop w:val="0"/>
                                                              <w:marBottom w:val="0"/>
                                                              <w:divBdr>
                                                                <w:top w:val="none" w:sz="0" w:space="0" w:color="auto"/>
                                                                <w:left w:val="none" w:sz="0" w:space="0" w:color="auto"/>
                                                                <w:bottom w:val="none" w:sz="0" w:space="0" w:color="auto"/>
                                                                <w:right w:val="none" w:sz="0" w:space="0" w:color="auto"/>
                                                              </w:divBdr>
                                                              <w:divsChild>
                                                                <w:div w:id="1555582056">
                                                                  <w:marLeft w:val="105"/>
                                                                  <w:marRight w:val="105"/>
                                                                  <w:marTop w:val="105"/>
                                                                  <w:marBottom w:val="105"/>
                                                                  <w:divBdr>
                                                                    <w:top w:val="none" w:sz="0" w:space="0" w:color="auto"/>
                                                                    <w:left w:val="none" w:sz="0" w:space="0" w:color="auto"/>
                                                                    <w:bottom w:val="none" w:sz="0" w:space="0" w:color="auto"/>
                                                                    <w:right w:val="none" w:sz="0" w:space="0" w:color="auto"/>
                                                                  </w:divBdr>
                                                                  <w:divsChild>
                                                                    <w:div w:id="1865971529">
                                                                      <w:marLeft w:val="0"/>
                                                                      <w:marRight w:val="0"/>
                                                                      <w:marTop w:val="0"/>
                                                                      <w:marBottom w:val="0"/>
                                                                      <w:divBdr>
                                                                        <w:top w:val="none" w:sz="0" w:space="0" w:color="auto"/>
                                                                        <w:left w:val="none" w:sz="0" w:space="0" w:color="auto"/>
                                                                        <w:bottom w:val="none" w:sz="0" w:space="0" w:color="auto"/>
                                                                        <w:right w:val="none" w:sz="0" w:space="0" w:color="auto"/>
                                                                      </w:divBdr>
                                                                      <w:divsChild>
                                                                        <w:div w:id="1423140307">
                                                                          <w:marLeft w:val="0"/>
                                                                          <w:marRight w:val="0"/>
                                                                          <w:marTop w:val="0"/>
                                                                          <w:marBottom w:val="0"/>
                                                                          <w:divBdr>
                                                                            <w:top w:val="none" w:sz="0" w:space="0" w:color="auto"/>
                                                                            <w:left w:val="none" w:sz="0" w:space="0" w:color="auto"/>
                                                                            <w:bottom w:val="none" w:sz="0" w:space="0" w:color="auto"/>
                                                                            <w:right w:val="none" w:sz="0" w:space="0" w:color="auto"/>
                                                                          </w:divBdr>
                                                                          <w:divsChild>
                                                                            <w:div w:id="204878990">
                                                                              <w:marLeft w:val="0"/>
                                                                              <w:marRight w:val="0"/>
                                                                              <w:marTop w:val="0"/>
                                                                              <w:marBottom w:val="0"/>
                                                                              <w:divBdr>
                                                                                <w:top w:val="none" w:sz="0" w:space="0" w:color="auto"/>
                                                                                <w:left w:val="none" w:sz="0" w:space="0" w:color="auto"/>
                                                                                <w:bottom w:val="none" w:sz="0" w:space="0" w:color="auto"/>
                                                                                <w:right w:val="none" w:sz="0" w:space="0" w:color="auto"/>
                                                                              </w:divBdr>
                                                                              <w:divsChild>
                                                                                <w:div w:id="803502879">
                                                                                  <w:marLeft w:val="0"/>
                                                                                  <w:marRight w:val="0"/>
                                                                                  <w:marTop w:val="0"/>
                                                                                  <w:marBottom w:val="0"/>
                                                                                  <w:divBdr>
                                                                                    <w:top w:val="none" w:sz="0" w:space="0" w:color="auto"/>
                                                                                    <w:left w:val="none" w:sz="0" w:space="0" w:color="auto"/>
                                                                                    <w:bottom w:val="none" w:sz="0" w:space="0" w:color="auto"/>
                                                                                    <w:right w:val="none" w:sz="0" w:space="0" w:color="auto"/>
                                                                                  </w:divBdr>
                                                                                  <w:divsChild>
                                                                                    <w:div w:id="1058670604">
                                                                                      <w:marLeft w:val="0"/>
                                                                                      <w:marRight w:val="0"/>
                                                                                      <w:marTop w:val="0"/>
                                                                                      <w:marBottom w:val="0"/>
                                                                                      <w:divBdr>
                                                                                        <w:top w:val="none" w:sz="0" w:space="0" w:color="auto"/>
                                                                                        <w:left w:val="none" w:sz="0" w:space="0" w:color="auto"/>
                                                                                        <w:bottom w:val="none" w:sz="0" w:space="0" w:color="auto"/>
                                                                                        <w:right w:val="none" w:sz="0" w:space="0" w:color="auto"/>
                                                                                      </w:divBdr>
                                                                                      <w:divsChild>
                                                                                        <w:div w:id="1683968444">
                                                                                          <w:marLeft w:val="0"/>
                                                                                          <w:marRight w:val="0"/>
                                                                                          <w:marTop w:val="0"/>
                                                                                          <w:marBottom w:val="0"/>
                                                                                          <w:divBdr>
                                                                                            <w:top w:val="none" w:sz="0" w:space="0" w:color="auto"/>
                                                                                            <w:left w:val="none" w:sz="0" w:space="0" w:color="auto"/>
                                                                                            <w:bottom w:val="none" w:sz="0" w:space="0" w:color="auto"/>
                                                                                            <w:right w:val="none" w:sz="0" w:space="0" w:color="auto"/>
                                                                                          </w:divBdr>
                                                                                          <w:divsChild>
                                                                                            <w:div w:id="1055858956">
                                                                                              <w:marLeft w:val="105"/>
                                                                                              <w:marRight w:val="105"/>
                                                                                              <w:marTop w:val="105"/>
                                                                                              <w:marBottom w:val="105"/>
                                                                                              <w:divBdr>
                                                                                                <w:top w:val="none" w:sz="0" w:space="0" w:color="auto"/>
                                                                                                <w:left w:val="none" w:sz="0" w:space="0" w:color="auto"/>
                                                                                                <w:bottom w:val="none" w:sz="0" w:space="0" w:color="auto"/>
                                                                                                <w:right w:val="none" w:sz="0" w:space="0" w:color="auto"/>
                                                                                              </w:divBdr>
                                                                                              <w:divsChild>
                                                                                                <w:div w:id="634024603">
                                                                                                  <w:marLeft w:val="0"/>
                                                                                                  <w:marRight w:val="0"/>
                                                                                                  <w:marTop w:val="0"/>
                                                                                                  <w:marBottom w:val="0"/>
                                                                                                  <w:divBdr>
                                                                                                    <w:top w:val="none" w:sz="0" w:space="0" w:color="auto"/>
                                                                                                    <w:left w:val="none" w:sz="0" w:space="0" w:color="auto"/>
                                                                                                    <w:bottom w:val="none" w:sz="0" w:space="0" w:color="auto"/>
                                                                                                    <w:right w:val="none" w:sz="0" w:space="0" w:color="auto"/>
                                                                                                  </w:divBdr>
                                                                                                  <w:divsChild>
                                                                                                    <w:div w:id="979307435">
                                                                                                      <w:marLeft w:val="0"/>
                                                                                                      <w:marRight w:val="0"/>
                                                                                                      <w:marTop w:val="0"/>
                                                                                                      <w:marBottom w:val="0"/>
                                                                                                      <w:divBdr>
                                                                                                        <w:top w:val="none" w:sz="0" w:space="0" w:color="auto"/>
                                                                                                        <w:left w:val="none" w:sz="0" w:space="0" w:color="auto"/>
                                                                                                        <w:bottom w:val="none" w:sz="0" w:space="0" w:color="auto"/>
                                                                                                        <w:right w:val="none" w:sz="0" w:space="0" w:color="auto"/>
                                                                                                      </w:divBdr>
                                                                                                      <w:divsChild>
                                                                                                        <w:div w:id="371155566">
                                                                                                          <w:marLeft w:val="0"/>
                                                                                                          <w:marRight w:val="0"/>
                                                                                                          <w:marTop w:val="0"/>
                                                                                                          <w:marBottom w:val="0"/>
                                                                                                          <w:divBdr>
                                                                                                            <w:top w:val="none" w:sz="0" w:space="0" w:color="auto"/>
                                                                                                            <w:left w:val="none" w:sz="0" w:space="0" w:color="auto"/>
                                                                                                            <w:bottom w:val="none" w:sz="0" w:space="0" w:color="auto"/>
                                                                                                            <w:right w:val="none" w:sz="0" w:space="0" w:color="auto"/>
                                                                                                          </w:divBdr>
                                                                                                          <w:divsChild>
                                                                                                            <w:div w:id="1655059627">
                                                                                                              <w:marLeft w:val="105"/>
                                                                                                              <w:marRight w:val="105"/>
                                                                                                              <w:marTop w:val="105"/>
                                                                                                              <w:marBottom w:val="105"/>
                                                                                                              <w:divBdr>
                                                                                                                <w:top w:val="none" w:sz="0" w:space="0" w:color="auto"/>
                                                                                                                <w:left w:val="none" w:sz="0" w:space="0" w:color="auto"/>
                                                                                                                <w:bottom w:val="none" w:sz="0" w:space="0" w:color="auto"/>
                                                                                                                <w:right w:val="none" w:sz="0" w:space="0" w:color="auto"/>
                                                                                                              </w:divBdr>
                                                                                                              <w:divsChild>
                                                                                                                <w:div w:id="1674147097">
                                                                                                                  <w:marLeft w:val="0"/>
                                                                                                                  <w:marRight w:val="0"/>
                                                                                                                  <w:marTop w:val="0"/>
                                                                                                                  <w:marBottom w:val="0"/>
                                                                                                                  <w:divBdr>
                                                                                                                    <w:top w:val="none" w:sz="0" w:space="0" w:color="auto"/>
                                                                                                                    <w:left w:val="none" w:sz="0" w:space="0" w:color="auto"/>
                                                                                                                    <w:bottom w:val="none" w:sz="0" w:space="0" w:color="auto"/>
                                                                                                                    <w:right w:val="none" w:sz="0" w:space="0" w:color="auto"/>
                                                                                                                  </w:divBdr>
                                                                                                                  <w:divsChild>
                                                                                                                    <w:div w:id="1043217802">
                                                                                                                      <w:marLeft w:val="0"/>
                                                                                                                      <w:marRight w:val="0"/>
                                                                                                                      <w:marTop w:val="0"/>
                                                                                                                      <w:marBottom w:val="0"/>
                                                                                                                      <w:divBdr>
                                                                                                                        <w:top w:val="none" w:sz="0" w:space="0" w:color="auto"/>
                                                                                                                        <w:left w:val="none" w:sz="0" w:space="0" w:color="auto"/>
                                                                                                                        <w:bottom w:val="none" w:sz="0" w:space="0" w:color="auto"/>
                                                                                                                        <w:right w:val="none" w:sz="0" w:space="0" w:color="auto"/>
                                                                                                                      </w:divBdr>
                                                                                                                      <w:divsChild>
                                                                                                                        <w:div w:id="14665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335110">
      <w:bodyDiv w:val="1"/>
      <w:marLeft w:val="0"/>
      <w:marRight w:val="0"/>
      <w:marTop w:val="0"/>
      <w:marBottom w:val="0"/>
      <w:divBdr>
        <w:top w:val="none" w:sz="0" w:space="0" w:color="auto"/>
        <w:left w:val="none" w:sz="0" w:space="0" w:color="auto"/>
        <w:bottom w:val="none" w:sz="0" w:space="0" w:color="auto"/>
        <w:right w:val="none" w:sz="0" w:space="0" w:color="auto"/>
      </w:divBdr>
      <w:divsChild>
        <w:div w:id="1169559287">
          <w:marLeft w:val="0"/>
          <w:marRight w:val="0"/>
          <w:marTop w:val="100"/>
          <w:marBottom w:val="100"/>
          <w:divBdr>
            <w:top w:val="none" w:sz="0" w:space="0" w:color="auto"/>
            <w:left w:val="none" w:sz="0" w:space="0" w:color="auto"/>
            <w:bottom w:val="none" w:sz="0" w:space="0" w:color="auto"/>
            <w:right w:val="none" w:sz="0" w:space="0" w:color="auto"/>
          </w:divBdr>
          <w:divsChild>
            <w:div w:id="801728197">
              <w:marLeft w:val="0"/>
              <w:marRight w:val="0"/>
              <w:marTop w:val="0"/>
              <w:marBottom w:val="0"/>
              <w:divBdr>
                <w:top w:val="none" w:sz="0" w:space="0" w:color="auto"/>
                <w:left w:val="none" w:sz="0" w:space="0" w:color="auto"/>
                <w:bottom w:val="none" w:sz="0" w:space="0" w:color="auto"/>
                <w:right w:val="none" w:sz="0" w:space="0" w:color="auto"/>
              </w:divBdr>
              <w:divsChild>
                <w:div w:id="828330518">
                  <w:marLeft w:val="105"/>
                  <w:marRight w:val="105"/>
                  <w:marTop w:val="105"/>
                  <w:marBottom w:val="105"/>
                  <w:divBdr>
                    <w:top w:val="none" w:sz="0" w:space="0" w:color="auto"/>
                    <w:left w:val="none" w:sz="0" w:space="0" w:color="auto"/>
                    <w:bottom w:val="none" w:sz="0" w:space="0" w:color="auto"/>
                    <w:right w:val="none" w:sz="0" w:space="0" w:color="auto"/>
                  </w:divBdr>
                  <w:divsChild>
                    <w:div w:id="891236677">
                      <w:marLeft w:val="0"/>
                      <w:marRight w:val="0"/>
                      <w:marTop w:val="0"/>
                      <w:marBottom w:val="0"/>
                      <w:divBdr>
                        <w:top w:val="none" w:sz="0" w:space="0" w:color="auto"/>
                        <w:left w:val="none" w:sz="0" w:space="0" w:color="auto"/>
                        <w:bottom w:val="none" w:sz="0" w:space="0" w:color="auto"/>
                        <w:right w:val="none" w:sz="0" w:space="0" w:color="auto"/>
                      </w:divBdr>
                      <w:divsChild>
                        <w:div w:id="940841066">
                          <w:marLeft w:val="0"/>
                          <w:marRight w:val="0"/>
                          <w:marTop w:val="0"/>
                          <w:marBottom w:val="0"/>
                          <w:divBdr>
                            <w:top w:val="none" w:sz="0" w:space="0" w:color="auto"/>
                            <w:left w:val="none" w:sz="0" w:space="0" w:color="auto"/>
                            <w:bottom w:val="none" w:sz="0" w:space="0" w:color="auto"/>
                            <w:right w:val="none" w:sz="0" w:space="0" w:color="auto"/>
                          </w:divBdr>
                          <w:divsChild>
                            <w:div w:id="1271818172">
                              <w:marLeft w:val="0"/>
                              <w:marRight w:val="0"/>
                              <w:marTop w:val="0"/>
                              <w:marBottom w:val="0"/>
                              <w:divBdr>
                                <w:top w:val="none" w:sz="0" w:space="0" w:color="auto"/>
                                <w:left w:val="none" w:sz="0" w:space="0" w:color="auto"/>
                                <w:bottom w:val="none" w:sz="0" w:space="0" w:color="auto"/>
                                <w:right w:val="none" w:sz="0" w:space="0" w:color="auto"/>
                              </w:divBdr>
                              <w:divsChild>
                                <w:div w:id="302544873">
                                  <w:marLeft w:val="0"/>
                                  <w:marRight w:val="0"/>
                                  <w:marTop w:val="0"/>
                                  <w:marBottom w:val="0"/>
                                  <w:divBdr>
                                    <w:top w:val="none" w:sz="0" w:space="0" w:color="auto"/>
                                    <w:left w:val="none" w:sz="0" w:space="0" w:color="auto"/>
                                    <w:bottom w:val="none" w:sz="0" w:space="0" w:color="auto"/>
                                    <w:right w:val="none" w:sz="0" w:space="0" w:color="auto"/>
                                  </w:divBdr>
                                  <w:divsChild>
                                    <w:div w:id="336082725">
                                      <w:marLeft w:val="105"/>
                                      <w:marRight w:val="105"/>
                                      <w:marTop w:val="105"/>
                                      <w:marBottom w:val="105"/>
                                      <w:divBdr>
                                        <w:top w:val="none" w:sz="0" w:space="0" w:color="auto"/>
                                        <w:left w:val="none" w:sz="0" w:space="0" w:color="auto"/>
                                        <w:bottom w:val="none" w:sz="0" w:space="0" w:color="auto"/>
                                        <w:right w:val="none" w:sz="0" w:space="0" w:color="auto"/>
                                      </w:divBdr>
                                      <w:divsChild>
                                        <w:div w:id="353263910">
                                          <w:marLeft w:val="0"/>
                                          <w:marRight w:val="0"/>
                                          <w:marTop w:val="0"/>
                                          <w:marBottom w:val="0"/>
                                          <w:divBdr>
                                            <w:top w:val="none" w:sz="0" w:space="0" w:color="auto"/>
                                            <w:left w:val="none" w:sz="0" w:space="0" w:color="auto"/>
                                            <w:bottom w:val="none" w:sz="0" w:space="0" w:color="auto"/>
                                            <w:right w:val="none" w:sz="0" w:space="0" w:color="auto"/>
                                          </w:divBdr>
                                          <w:divsChild>
                                            <w:div w:id="112948896">
                                              <w:marLeft w:val="0"/>
                                              <w:marRight w:val="0"/>
                                              <w:marTop w:val="0"/>
                                              <w:marBottom w:val="0"/>
                                              <w:divBdr>
                                                <w:top w:val="none" w:sz="0" w:space="0" w:color="auto"/>
                                                <w:left w:val="none" w:sz="0" w:space="0" w:color="auto"/>
                                                <w:bottom w:val="none" w:sz="0" w:space="0" w:color="auto"/>
                                                <w:right w:val="none" w:sz="0" w:space="0" w:color="auto"/>
                                              </w:divBdr>
                                              <w:divsChild>
                                                <w:div w:id="355928492">
                                                  <w:marLeft w:val="0"/>
                                                  <w:marRight w:val="0"/>
                                                  <w:marTop w:val="0"/>
                                                  <w:marBottom w:val="0"/>
                                                  <w:divBdr>
                                                    <w:top w:val="none" w:sz="0" w:space="0" w:color="auto"/>
                                                    <w:left w:val="none" w:sz="0" w:space="0" w:color="auto"/>
                                                    <w:bottom w:val="none" w:sz="0" w:space="0" w:color="auto"/>
                                                    <w:right w:val="none" w:sz="0" w:space="0" w:color="auto"/>
                                                  </w:divBdr>
                                                  <w:divsChild>
                                                    <w:div w:id="1502358208">
                                                      <w:marLeft w:val="0"/>
                                                      <w:marRight w:val="0"/>
                                                      <w:marTop w:val="0"/>
                                                      <w:marBottom w:val="0"/>
                                                      <w:divBdr>
                                                        <w:top w:val="none" w:sz="0" w:space="0" w:color="auto"/>
                                                        <w:left w:val="none" w:sz="0" w:space="0" w:color="auto"/>
                                                        <w:bottom w:val="none" w:sz="0" w:space="0" w:color="auto"/>
                                                        <w:right w:val="none" w:sz="0" w:space="0" w:color="auto"/>
                                                      </w:divBdr>
                                                      <w:divsChild>
                                                        <w:div w:id="2031562414">
                                                          <w:marLeft w:val="0"/>
                                                          <w:marRight w:val="0"/>
                                                          <w:marTop w:val="0"/>
                                                          <w:marBottom w:val="0"/>
                                                          <w:divBdr>
                                                            <w:top w:val="none" w:sz="0" w:space="0" w:color="auto"/>
                                                            <w:left w:val="none" w:sz="0" w:space="0" w:color="auto"/>
                                                            <w:bottom w:val="none" w:sz="0" w:space="0" w:color="auto"/>
                                                            <w:right w:val="none" w:sz="0" w:space="0" w:color="auto"/>
                                                          </w:divBdr>
                                                          <w:divsChild>
                                                            <w:div w:id="2078699801">
                                                              <w:marLeft w:val="0"/>
                                                              <w:marRight w:val="0"/>
                                                              <w:marTop w:val="0"/>
                                                              <w:marBottom w:val="0"/>
                                                              <w:divBdr>
                                                                <w:top w:val="none" w:sz="0" w:space="0" w:color="auto"/>
                                                                <w:left w:val="none" w:sz="0" w:space="0" w:color="auto"/>
                                                                <w:bottom w:val="none" w:sz="0" w:space="0" w:color="auto"/>
                                                                <w:right w:val="none" w:sz="0" w:space="0" w:color="auto"/>
                                                              </w:divBdr>
                                                              <w:divsChild>
                                                                <w:div w:id="1566604747">
                                                                  <w:marLeft w:val="105"/>
                                                                  <w:marRight w:val="105"/>
                                                                  <w:marTop w:val="105"/>
                                                                  <w:marBottom w:val="105"/>
                                                                  <w:divBdr>
                                                                    <w:top w:val="none" w:sz="0" w:space="0" w:color="auto"/>
                                                                    <w:left w:val="none" w:sz="0" w:space="0" w:color="auto"/>
                                                                    <w:bottom w:val="none" w:sz="0" w:space="0" w:color="auto"/>
                                                                    <w:right w:val="none" w:sz="0" w:space="0" w:color="auto"/>
                                                                  </w:divBdr>
                                                                  <w:divsChild>
                                                                    <w:div w:id="1662541683">
                                                                      <w:marLeft w:val="0"/>
                                                                      <w:marRight w:val="0"/>
                                                                      <w:marTop w:val="0"/>
                                                                      <w:marBottom w:val="0"/>
                                                                      <w:divBdr>
                                                                        <w:top w:val="none" w:sz="0" w:space="0" w:color="auto"/>
                                                                        <w:left w:val="none" w:sz="0" w:space="0" w:color="auto"/>
                                                                        <w:bottom w:val="none" w:sz="0" w:space="0" w:color="auto"/>
                                                                        <w:right w:val="none" w:sz="0" w:space="0" w:color="auto"/>
                                                                      </w:divBdr>
                                                                      <w:divsChild>
                                                                        <w:div w:id="553614918">
                                                                          <w:marLeft w:val="0"/>
                                                                          <w:marRight w:val="0"/>
                                                                          <w:marTop w:val="0"/>
                                                                          <w:marBottom w:val="0"/>
                                                                          <w:divBdr>
                                                                            <w:top w:val="none" w:sz="0" w:space="0" w:color="auto"/>
                                                                            <w:left w:val="none" w:sz="0" w:space="0" w:color="auto"/>
                                                                            <w:bottom w:val="none" w:sz="0" w:space="0" w:color="auto"/>
                                                                            <w:right w:val="none" w:sz="0" w:space="0" w:color="auto"/>
                                                                          </w:divBdr>
                                                                          <w:divsChild>
                                                                            <w:div w:id="893657505">
                                                                              <w:marLeft w:val="0"/>
                                                                              <w:marRight w:val="0"/>
                                                                              <w:marTop w:val="0"/>
                                                                              <w:marBottom w:val="0"/>
                                                                              <w:divBdr>
                                                                                <w:top w:val="none" w:sz="0" w:space="0" w:color="auto"/>
                                                                                <w:left w:val="none" w:sz="0" w:space="0" w:color="auto"/>
                                                                                <w:bottom w:val="none" w:sz="0" w:space="0" w:color="auto"/>
                                                                                <w:right w:val="none" w:sz="0" w:space="0" w:color="auto"/>
                                                                              </w:divBdr>
                                                                              <w:divsChild>
                                                                                <w:div w:id="285435495">
                                                                                  <w:marLeft w:val="0"/>
                                                                                  <w:marRight w:val="0"/>
                                                                                  <w:marTop w:val="0"/>
                                                                                  <w:marBottom w:val="0"/>
                                                                                  <w:divBdr>
                                                                                    <w:top w:val="none" w:sz="0" w:space="0" w:color="auto"/>
                                                                                    <w:left w:val="none" w:sz="0" w:space="0" w:color="auto"/>
                                                                                    <w:bottom w:val="none" w:sz="0" w:space="0" w:color="auto"/>
                                                                                    <w:right w:val="none" w:sz="0" w:space="0" w:color="auto"/>
                                                                                  </w:divBdr>
                                                                                  <w:divsChild>
                                                                                    <w:div w:id="2057197358">
                                                                                      <w:marLeft w:val="0"/>
                                                                                      <w:marRight w:val="0"/>
                                                                                      <w:marTop w:val="0"/>
                                                                                      <w:marBottom w:val="0"/>
                                                                                      <w:divBdr>
                                                                                        <w:top w:val="none" w:sz="0" w:space="0" w:color="auto"/>
                                                                                        <w:left w:val="none" w:sz="0" w:space="0" w:color="auto"/>
                                                                                        <w:bottom w:val="none" w:sz="0" w:space="0" w:color="auto"/>
                                                                                        <w:right w:val="none" w:sz="0" w:space="0" w:color="auto"/>
                                                                                      </w:divBdr>
                                                                                      <w:divsChild>
                                                                                        <w:div w:id="1587881343">
                                                                                          <w:marLeft w:val="0"/>
                                                                                          <w:marRight w:val="0"/>
                                                                                          <w:marTop w:val="0"/>
                                                                                          <w:marBottom w:val="0"/>
                                                                                          <w:divBdr>
                                                                                            <w:top w:val="none" w:sz="0" w:space="0" w:color="auto"/>
                                                                                            <w:left w:val="none" w:sz="0" w:space="0" w:color="auto"/>
                                                                                            <w:bottom w:val="none" w:sz="0" w:space="0" w:color="auto"/>
                                                                                            <w:right w:val="none" w:sz="0" w:space="0" w:color="auto"/>
                                                                                          </w:divBdr>
                                                                                          <w:divsChild>
                                                                                            <w:div w:id="1139690090">
                                                                                              <w:marLeft w:val="105"/>
                                                                                              <w:marRight w:val="105"/>
                                                                                              <w:marTop w:val="105"/>
                                                                                              <w:marBottom w:val="105"/>
                                                                                              <w:divBdr>
                                                                                                <w:top w:val="none" w:sz="0" w:space="0" w:color="auto"/>
                                                                                                <w:left w:val="none" w:sz="0" w:space="0" w:color="auto"/>
                                                                                                <w:bottom w:val="none" w:sz="0" w:space="0" w:color="auto"/>
                                                                                                <w:right w:val="none" w:sz="0" w:space="0" w:color="auto"/>
                                                                                              </w:divBdr>
                                                                                              <w:divsChild>
                                                                                                <w:div w:id="1620457207">
                                                                                                  <w:marLeft w:val="0"/>
                                                                                                  <w:marRight w:val="0"/>
                                                                                                  <w:marTop w:val="0"/>
                                                                                                  <w:marBottom w:val="0"/>
                                                                                                  <w:divBdr>
                                                                                                    <w:top w:val="none" w:sz="0" w:space="0" w:color="auto"/>
                                                                                                    <w:left w:val="none" w:sz="0" w:space="0" w:color="auto"/>
                                                                                                    <w:bottom w:val="none" w:sz="0" w:space="0" w:color="auto"/>
                                                                                                    <w:right w:val="none" w:sz="0" w:space="0" w:color="auto"/>
                                                                                                  </w:divBdr>
                                                                                                  <w:divsChild>
                                                                                                    <w:div w:id="414133450">
                                                                                                      <w:marLeft w:val="0"/>
                                                                                                      <w:marRight w:val="0"/>
                                                                                                      <w:marTop w:val="0"/>
                                                                                                      <w:marBottom w:val="0"/>
                                                                                                      <w:divBdr>
                                                                                                        <w:top w:val="none" w:sz="0" w:space="0" w:color="auto"/>
                                                                                                        <w:left w:val="none" w:sz="0" w:space="0" w:color="auto"/>
                                                                                                        <w:bottom w:val="none" w:sz="0" w:space="0" w:color="auto"/>
                                                                                                        <w:right w:val="none" w:sz="0" w:space="0" w:color="auto"/>
                                                                                                      </w:divBdr>
                                                                                                      <w:divsChild>
                                                                                                        <w:div w:id="1988975620">
                                                                                                          <w:marLeft w:val="0"/>
                                                                                                          <w:marRight w:val="0"/>
                                                                                                          <w:marTop w:val="0"/>
                                                                                                          <w:marBottom w:val="0"/>
                                                                                                          <w:divBdr>
                                                                                                            <w:top w:val="none" w:sz="0" w:space="0" w:color="auto"/>
                                                                                                            <w:left w:val="none" w:sz="0" w:space="0" w:color="auto"/>
                                                                                                            <w:bottom w:val="none" w:sz="0" w:space="0" w:color="auto"/>
                                                                                                            <w:right w:val="none" w:sz="0" w:space="0" w:color="auto"/>
                                                                                                          </w:divBdr>
                                                                                                          <w:divsChild>
                                                                                                            <w:div w:id="1548640843">
                                                                                                              <w:marLeft w:val="105"/>
                                                                                                              <w:marRight w:val="105"/>
                                                                                                              <w:marTop w:val="105"/>
                                                                                                              <w:marBottom w:val="105"/>
                                                                                                              <w:divBdr>
                                                                                                                <w:top w:val="none" w:sz="0" w:space="0" w:color="auto"/>
                                                                                                                <w:left w:val="none" w:sz="0" w:space="0" w:color="auto"/>
                                                                                                                <w:bottom w:val="none" w:sz="0" w:space="0" w:color="auto"/>
                                                                                                                <w:right w:val="none" w:sz="0" w:space="0" w:color="auto"/>
                                                                                                              </w:divBdr>
                                                                                                              <w:divsChild>
                                                                                                                <w:div w:id="2085563808">
                                                                                                                  <w:marLeft w:val="0"/>
                                                                                                                  <w:marRight w:val="0"/>
                                                                                                                  <w:marTop w:val="0"/>
                                                                                                                  <w:marBottom w:val="0"/>
                                                                                                                  <w:divBdr>
                                                                                                                    <w:top w:val="none" w:sz="0" w:space="0" w:color="auto"/>
                                                                                                                    <w:left w:val="none" w:sz="0" w:space="0" w:color="auto"/>
                                                                                                                    <w:bottom w:val="none" w:sz="0" w:space="0" w:color="auto"/>
                                                                                                                    <w:right w:val="none" w:sz="0" w:space="0" w:color="auto"/>
                                                                                                                  </w:divBdr>
                                                                                                                  <w:divsChild>
                                                                                                                    <w:div w:id="830367334">
                                                                                                                      <w:marLeft w:val="0"/>
                                                                                                                      <w:marRight w:val="0"/>
                                                                                                                      <w:marTop w:val="0"/>
                                                                                                                      <w:marBottom w:val="0"/>
                                                                                                                      <w:divBdr>
                                                                                                                        <w:top w:val="none" w:sz="0" w:space="0" w:color="auto"/>
                                                                                                                        <w:left w:val="none" w:sz="0" w:space="0" w:color="auto"/>
                                                                                                                        <w:bottom w:val="none" w:sz="0" w:space="0" w:color="auto"/>
                                                                                                                        <w:right w:val="none" w:sz="0" w:space="0" w:color="auto"/>
                                                                                                                      </w:divBdr>
                                                                                                                      <w:divsChild>
                                                                                                                        <w:div w:id="11293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4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ockayne@york.ac.uk" TargetMode="External"/><Relationship Id="rId13" Type="http://schemas.openxmlformats.org/officeDocument/2006/relationships/hyperlink" Target="https://www.hsl.gov.uk/publications-and-products/gr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ns.gov.uk/peoplepopulationandcommunity/birthsdeathsandmarriages/ageing/articles/livinglongerhowourpopulationischangingandwhyitmatters/2019-03-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tatistics/lfs/index.htm" TargetMode="External"/><Relationship Id="rId5" Type="http://schemas.openxmlformats.org/officeDocument/2006/relationships/webSettings" Target="webSettings.xml"/><Relationship Id="rId15" Type="http://schemas.openxmlformats.org/officeDocument/2006/relationships/hyperlink" Target="https://doi.org/10.1080/17457300.2010.487156" TargetMode="External"/><Relationship Id="rId23" Type="http://schemas.openxmlformats.org/officeDocument/2006/relationships/theme" Target="theme/theme1.xml"/><Relationship Id="rId10" Type="http://schemas.openxmlformats.org/officeDocument/2006/relationships/hyperlink" Target="http://www.hse.gov.uk/statistics/causinj/index.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mje.org/coi_disclosure.pdf" TargetMode="External"/><Relationship Id="rId14" Type="http://schemas.openxmlformats.org/officeDocument/2006/relationships/hyperlink" Target="https://www.hsl.gov.uk/media/435727/the%20grip%20scheme%20handbook%20v1.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1FAB-5127-4125-9E12-51917C74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6254</Words>
  <Characters>35649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Sally Baker</cp:lastModifiedBy>
  <cp:revision>2</cp:revision>
  <dcterms:created xsi:type="dcterms:W3CDTF">2020-11-26T16:13:00Z</dcterms:created>
  <dcterms:modified xsi:type="dcterms:W3CDTF">2020-11-26T16:13:00Z</dcterms:modified>
</cp:coreProperties>
</file>