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6305D" w14:textId="77777777" w:rsidR="00C43B1E" w:rsidRPr="0020148E" w:rsidRDefault="00C43B1E" w:rsidP="00AA4437">
      <w:pPr>
        <w:pStyle w:val="Title"/>
        <w:spacing w:line="360" w:lineRule="auto"/>
        <w:rPr>
          <w:rFonts w:ascii="Times New Roman" w:hAnsi="Times New Roman" w:cs="Times New Roman"/>
          <w:noProof/>
        </w:rPr>
      </w:pPr>
      <w:r w:rsidRPr="0020148E">
        <w:rPr>
          <w:rFonts w:ascii="Times New Roman" w:hAnsi="Times New Roman" w:cs="Times New Roman"/>
          <w:noProof/>
        </w:rPr>
        <w:t>Shopping for social security law</w:t>
      </w:r>
    </w:p>
    <w:p w14:paraId="26CA1164" w14:textId="77777777" w:rsidR="00C43B1E" w:rsidRPr="0020148E" w:rsidRDefault="00C43B1E" w:rsidP="00AA4437">
      <w:pPr>
        <w:pStyle w:val="Heading1"/>
        <w:numPr>
          <w:ilvl w:val="0"/>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Introduction</w:t>
      </w:r>
    </w:p>
    <w:p w14:paraId="3109E63F" w14:textId="77777777" w:rsidR="00C43B1E" w:rsidRPr="0020148E" w:rsidRDefault="00C43B1E" w:rsidP="00AA4437">
      <w:pPr>
        <w:spacing w:line="360" w:lineRule="auto"/>
        <w:rPr>
          <w:rFonts w:ascii="Times New Roman"/>
          <w:noProof/>
        </w:rPr>
      </w:pPr>
      <w:r w:rsidRPr="0020148E">
        <w:rPr>
          <w:rFonts w:ascii="Times New Roman"/>
          <w:noProof/>
        </w:rPr>
        <w:t xml:space="preserve">The recent </w:t>
      </w:r>
      <w:r w:rsidRPr="0020148E">
        <w:rPr>
          <w:rFonts w:ascii="Times New Roman"/>
          <w:i/>
          <w:iCs/>
          <w:noProof/>
        </w:rPr>
        <w:t>AFMB</w:t>
      </w:r>
      <w:r w:rsidRPr="0020148E">
        <w:rPr>
          <w:rFonts w:ascii="Times New Roman"/>
          <w:noProof/>
        </w:rPr>
        <w:t xml:space="preserve"> judgment vividly illustrates the topic of this article.</w:t>
      </w:r>
      <w:r w:rsidRPr="0020148E">
        <w:rPr>
          <w:rStyle w:val="FootnoteReference"/>
          <w:rFonts w:ascii="Times New Roman"/>
          <w:noProof/>
        </w:rPr>
        <w:footnoteReference w:id="1"/>
      </w:r>
      <w:r w:rsidRPr="0020148E">
        <w:rPr>
          <w:rFonts w:ascii="Times New Roman"/>
          <w:noProof/>
        </w:rPr>
        <w:t xml:space="preserve"> AFMB is a Cypriot company offering transport undertakings savings to the tune of 25% of their staff costs. It hired international long-distance lorry drivers crisscrossing Europe and made them fully available to a number of Dutch transport undertakings, by whom they used to be employed. While the drivers’ work routine was largely or wholly unaffected, their legal position changed significantly: they shifted from Dutch to Cypriot social security law because their employer was no longer in the Netherlands, but in Cyprus. This operation lowered labour costs, given the difference between the Dutch and Cypriot social security contribution rates. It was not a one-off experiment. Rather, this type of construction is part of the core business of AFMB, which it still advertises on its website, even though the Grand Chamber negated the attempt to choose Cypriot law by finding that the Dutch transport undertakings remained the actual employers of the drivers.</w:t>
      </w:r>
    </w:p>
    <w:p w14:paraId="63D2CC36" w14:textId="21F65081" w:rsidR="00C43B1E" w:rsidRPr="0020148E" w:rsidRDefault="00C43B1E" w:rsidP="00AA4437">
      <w:pPr>
        <w:spacing w:line="360" w:lineRule="auto"/>
        <w:rPr>
          <w:rFonts w:ascii="Times New Roman"/>
          <w:noProof/>
        </w:rPr>
      </w:pPr>
      <w:r w:rsidRPr="0020148E">
        <w:rPr>
          <w:rFonts w:ascii="Times New Roman"/>
          <w:noProof/>
        </w:rPr>
        <w:t xml:space="preserve">This paper addresses three questions that such scenarios raise. First, to what extent can undertakings control the applicable social security law? Employer and employee </w:t>
      </w:r>
      <w:r w:rsidR="00E87BC9" w:rsidRPr="0020148E">
        <w:rPr>
          <w:rFonts w:ascii="Times New Roman"/>
          <w:noProof/>
        </w:rPr>
        <w:t xml:space="preserve">cannot contractually agree </w:t>
      </w:r>
      <w:r w:rsidRPr="0020148E">
        <w:rPr>
          <w:rFonts w:ascii="Times New Roman"/>
          <w:noProof/>
        </w:rPr>
        <w:t>that the law of one State will apply—there is no direct choice of law. Instead, Regulation 883/2004 identifies the applicable social security law exclusively on the basis of objective connecting factors, such as the place of work or the place of the employer’s registered office.</w:t>
      </w:r>
      <w:r w:rsidRPr="0020148E">
        <w:rPr>
          <w:rStyle w:val="FootnoteReference"/>
          <w:rFonts w:ascii="Times New Roman"/>
          <w:noProof/>
        </w:rPr>
        <w:footnoteReference w:id="2"/>
      </w:r>
      <w:r w:rsidRPr="0020148E">
        <w:rPr>
          <w:rFonts w:ascii="Times New Roman"/>
          <w:noProof/>
        </w:rPr>
        <w:t xml:space="preserve"> By exercising free movement rights, workers and businesses can </w:t>
      </w:r>
      <w:r w:rsidR="008E69AD" w:rsidRPr="0020148E">
        <w:rPr>
          <w:rFonts w:ascii="Times New Roman"/>
          <w:noProof/>
        </w:rPr>
        <w:t xml:space="preserve">relocate </w:t>
      </w:r>
      <w:r w:rsidRPr="0020148E">
        <w:rPr>
          <w:rFonts w:ascii="Times New Roman"/>
          <w:noProof/>
        </w:rPr>
        <w:t xml:space="preserve">the connecting factor and change the applicable law. </w:t>
      </w:r>
      <w:r w:rsidRPr="0020148E">
        <w:rPr>
          <w:rFonts w:ascii="Times New Roman"/>
          <w:i/>
          <w:iCs/>
          <w:noProof/>
        </w:rPr>
        <w:t>AFMB</w:t>
      </w:r>
      <w:r w:rsidRPr="0020148E">
        <w:rPr>
          <w:rFonts w:ascii="Times New Roman"/>
          <w:noProof/>
        </w:rPr>
        <w:t xml:space="preserve"> exemplifies that “[f]irms can and do ‘regime shop’ for the lowest percentage of social security contributions.”</w:t>
      </w:r>
      <w:r w:rsidRPr="0020148E">
        <w:rPr>
          <w:rStyle w:val="FootnoteReference"/>
          <w:rFonts w:ascii="Times New Roman"/>
          <w:noProof/>
        </w:rPr>
        <w:footnoteReference w:id="3"/>
      </w:r>
      <w:r w:rsidRPr="0020148E">
        <w:rPr>
          <w:rFonts w:ascii="Times New Roman"/>
          <w:noProof/>
        </w:rPr>
        <w:t xml:space="preserve"> More often, regulatory mobility is an incidental effect of, rather than a motive for, physical mobility. Sections 2–4 offer a first analysis of the extent to which the main conflict rules of Regulation 883/2004 enable an </w:t>
      </w:r>
      <w:r w:rsidRPr="0020148E">
        <w:rPr>
          <w:rFonts w:ascii="Times New Roman"/>
          <w:i/>
          <w:iCs/>
          <w:noProof/>
        </w:rPr>
        <w:t>indirect</w:t>
      </w:r>
      <w:r w:rsidRPr="0020148E">
        <w:rPr>
          <w:rFonts w:ascii="Times New Roman"/>
          <w:noProof/>
        </w:rPr>
        <w:t xml:space="preserve"> choice of law.</w:t>
      </w:r>
      <w:r w:rsidRPr="0020148E">
        <w:rPr>
          <w:rFonts w:ascii="Times New Roman"/>
          <w:noProof/>
          <w:vertAlign w:val="superscript"/>
        </w:rPr>
        <w:footnoteReference w:id="4"/>
      </w:r>
      <w:r w:rsidRPr="0020148E">
        <w:rPr>
          <w:rFonts w:ascii="Times New Roman"/>
          <w:i/>
          <w:iCs/>
          <w:noProof/>
        </w:rPr>
        <w:t xml:space="preserve"> </w:t>
      </w:r>
    </w:p>
    <w:p w14:paraId="28F11ED7" w14:textId="77777777" w:rsidR="00C43B1E" w:rsidRPr="0020148E" w:rsidRDefault="00C43B1E" w:rsidP="00AA4437">
      <w:pPr>
        <w:spacing w:line="360" w:lineRule="auto"/>
        <w:rPr>
          <w:rFonts w:ascii="Times New Roman"/>
          <w:noProof/>
        </w:rPr>
      </w:pPr>
      <w:r w:rsidRPr="0020148E">
        <w:rPr>
          <w:rFonts w:ascii="Times New Roman"/>
          <w:noProof/>
        </w:rPr>
        <w:t xml:space="preserve">Second, when is such private control over public law problematic? On the one hand, the free movement rights that, when exercised, influence the applicable law are fundamental to the European legal order, and there are good reasons why mobility should be accompanied by a change in legal regime. On the other hand, some indirect choices of law can detrimentally affect labour markets, workers and social security systems. Having put forward two evaluative criteria, I will argue that the </w:t>
      </w:r>
      <w:r w:rsidRPr="0020148E">
        <w:rPr>
          <w:rFonts w:ascii="Times New Roman"/>
          <w:noProof/>
        </w:rPr>
        <w:lastRenderedPageBreak/>
        <w:t xml:space="preserve">rules for posted workers and employees who normally work in more than one Member State </w:t>
      </w:r>
      <w:r w:rsidRPr="0020148E">
        <w:rPr>
          <w:rFonts w:ascii="Times New Roman"/>
          <w:i/>
          <w:iCs/>
          <w:noProof/>
        </w:rPr>
        <w:t>excessively</w:t>
      </w:r>
      <w:r w:rsidRPr="0020148E">
        <w:rPr>
          <w:rFonts w:ascii="Times New Roman"/>
          <w:noProof/>
        </w:rPr>
        <w:t xml:space="preserve"> facilitate indirect choice of law (sections 2–4).</w:t>
      </w:r>
    </w:p>
    <w:p w14:paraId="4538F52C" w14:textId="77777777" w:rsidR="00C43B1E" w:rsidRPr="0020148E" w:rsidRDefault="00C43B1E" w:rsidP="00AA4437">
      <w:pPr>
        <w:spacing w:line="360" w:lineRule="auto"/>
        <w:rPr>
          <w:rFonts w:ascii="Times New Roman"/>
          <w:noProof/>
        </w:rPr>
      </w:pPr>
      <w:r w:rsidRPr="0020148E">
        <w:rPr>
          <w:rFonts w:ascii="Times New Roman"/>
          <w:noProof/>
        </w:rPr>
        <w:t>Third, how can undesirable forms of law shopping be countered? I will add to the literature by identifying and analysing several strategies that legislators and courts can and do adopt (section 5).</w:t>
      </w:r>
    </w:p>
    <w:p w14:paraId="3522755F" w14:textId="77777777" w:rsidR="00C43B1E" w:rsidRPr="0020148E" w:rsidRDefault="00C43B1E" w:rsidP="00AA4437">
      <w:pPr>
        <w:spacing w:line="360" w:lineRule="auto"/>
        <w:rPr>
          <w:rFonts w:ascii="Times New Roman"/>
          <w:noProof/>
        </w:rPr>
      </w:pPr>
      <w:r w:rsidRPr="0020148E">
        <w:rPr>
          <w:rFonts w:ascii="Times New Roman"/>
          <w:noProof/>
        </w:rPr>
        <w:t>Whether Dutch or Cypriot social security law applies, has a profound impact on various actors. It determines the contribution burden of the undertakings involved, and therefore their competitive position as well as that of their competitors. The stakes can be high, considering that the social security contribution rates for employers vary widely between Member States. On average, the nine Member States with the highest rate levy 23% of gross wages from employers; the nine Member States with the lowest rate only 8%.</w:t>
      </w:r>
      <w:bookmarkStart w:id="0" w:name="_Ref50570471"/>
      <w:r w:rsidRPr="0020148E">
        <w:rPr>
          <w:rStyle w:val="FootnoteReference"/>
          <w:rFonts w:ascii="Times New Roman"/>
          <w:noProof/>
        </w:rPr>
        <w:footnoteReference w:id="5"/>
      </w:r>
      <w:bookmarkEnd w:id="0"/>
      <w:r w:rsidRPr="0020148E">
        <w:rPr>
          <w:rFonts w:ascii="Times New Roman"/>
          <w:noProof/>
        </w:rPr>
        <w:t xml:space="preserve"> The applicable law also defines the rights (i.e. benefits) and obligations (e.g. contributions) of workers. AFMB attempted to subject drivers to the social security system of Cyprus, where they had never worked nor lived, and to bar them from the more protective social security schemes of the Netherlands, where they resided. Finally, which law applies affects the expenditure and revenue of both the chosen Member State, Cyprus, and the circumvented Member State, the Netherlands.</w:t>
      </w:r>
    </w:p>
    <w:p w14:paraId="05FD95EE" w14:textId="77777777" w:rsidR="00C43B1E" w:rsidRPr="0020148E" w:rsidRDefault="00C43B1E" w:rsidP="00AA4437">
      <w:pPr>
        <w:pStyle w:val="Heading1"/>
        <w:numPr>
          <w:ilvl w:val="0"/>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 xml:space="preserve">The </w:t>
      </w:r>
      <w:r w:rsidRPr="0020148E">
        <w:rPr>
          <w:rFonts w:ascii="Times New Roman" w:hAnsi="Times New Roman" w:cs="Times New Roman"/>
          <w:i/>
          <w:iCs/>
          <w:noProof/>
          <w:color w:val="auto"/>
        </w:rPr>
        <w:t>lex loci laboris</w:t>
      </w:r>
    </w:p>
    <w:p w14:paraId="6C6D8BD2" w14:textId="583310DA" w:rsidR="00C43B1E" w:rsidRPr="0020148E" w:rsidRDefault="00C43B1E" w:rsidP="00AA4437">
      <w:pPr>
        <w:spacing w:line="360" w:lineRule="auto"/>
        <w:rPr>
          <w:rFonts w:ascii="Times New Roman"/>
          <w:noProof/>
        </w:rPr>
      </w:pPr>
      <w:r w:rsidRPr="0020148E">
        <w:rPr>
          <w:rFonts w:ascii="Times New Roman"/>
          <w:noProof/>
        </w:rPr>
        <w:t xml:space="preserve">The first half of this article </w:t>
      </w:r>
      <w:r w:rsidR="00DE3E25" w:rsidRPr="0020148E">
        <w:rPr>
          <w:rFonts w:ascii="Times New Roman"/>
          <w:noProof/>
        </w:rPr>
        <w:t>discusses</w:t>
      </w:r>
      <w:r w:rsidRPr="0020148E">
        <w:rPr>
          <w:rFonts w:ascii="Times New Roman"/>
          <w:noProof/>
        </w:rPr>
        <w:t xml:space="preserve"> the extent to which some of the conflict rules of Regulation 883/2004 do and should facilitate or complicate law shopping. The main conflict rule, the </w:t>
      </w:r>
      <w:r w:rsidRPr="0020148E">
        <w:rPr>
          <w:rFonts w:ascii="Times New Roman"/>
          <w:i/>
          <w:iCs/>
          <w:noProof/>
        </w:rPr>
        <w:t>lex loci laboris</w:t>
      </w:r>
      <w:r w:rsidRPr="0020148E">
        <w:rPr>
          <w:rFonts w:ascii="Times New Roman"/>
          <w:noProof/>
        </w:rPr>
        <w:t>, subjects workers to the social security legislation of the Member State in which they currently pursue their activity.</w:t>
      </w:r>
      <w:r w:rsidRPr="0020148E">
        <w:rPr>
          <w:rStyle w:val="FootnoteReference"/>
          <w:rFonts w:ascii="Times New Roman"/>
          <w:noProof/>
        </w:rPr>
        <w:footnoteReference w:id="6"/>
      </w:r>
      <w:r w:rsidRPr="0020148E">
        <w:rPr>
          <w:rFonts w:ascii="Times New Roman"/>
          <w:noProof/>
        </w:rPr>
        <w:t xml:space="preserve"> </w:t>
      </w:r>
    </w:p>
    <w:p w14:paraId="4199F89E" w14:textId="73EAEC80" w:rsidR="00C43B1E" w:rsidRPr="0020148E" w:rsidRDefault="00C43B1E" w:rsidP="00AA4437">
      <w:pPr>
        <w:spacing w:line="360" w:lineRule="auto"/>
        <w:rPr>
          <w:rFonts w:ascii="Times New Roman"/>
          <w:noProof/>
        </w:rPr>
      </w:pPr>
      <w:r w:rsidRPr="0020148E">
        <w:rPr>
          <w:rFonts w:ascii="Times New Roman"/>
          <w:noProof/>
        </w:rPr>
        <w:t xml:space="preserve">The </w:t>
      </w:r>
      <w:r w:rsidRPr="0020148E">
        <w:rPr>
          <w:rFonts w:ascii="Times New Roman"/>
          <w:i/>
          <w:iCs/>
          <w:noProof/>
        </w:rPr>
        <w:t>lex loci laboris</w:t>
      </w:r>
      <w:r w:rsidRPr="0020148E">
        <w:rPr>
          <w:rFonts w:ascii="Times New Roman"/>
          <w:noProof/>
        </w:rPr>
        <w:t xml:space="preserve"> realises equal treatment in the State of work, and therefore aligns perfectly with Article 45 TFEU. It ensures that workers have access to the social security schemes of a State with which they are connected, as that is where they spend their working time. The </w:t>
      </w:r>
      <w:r w:rsidRPr="0020148E">
        <w:rPr>
          <w:rFonts w:ascii="Times New Roman"/>
          <w:i/>
          <w:iCs/>
          <w:noProof/>
        </w:rPr>
        <w:t>lex loci laboris</w:t>
      </w:r>
      <w:r w:rsidRPr="0020148E">
        <w:rPr>
          <w:rFonts w:ascii="Times New Roman"/>
          <w:noProof/>
        </w:rPr>
        <w:t xml:space="preserve"> levels the playing field for employers </w:t>
      </w:r>
      <w:r w:rsidR="006E79BC" w:rsidRPr="0020148E">
        <w:rPr>
          <w:rFonts w:ascii="Times New Roman"/>
          <w:noProof/>
        </w:rPr>
        <w:t xml:space="preserve">whose </w:t>
      </w:r>
      <w:r w:rsidR="005D395B" w:rsidRPr="0020148E">
        <w:rPr>
          <w:rFonts w:ascii="Times New Roman"/>
          <w:noProof/>
        </w:rPr>
        <w:t>staff is</w:t>
      </w:r>
      <w:r w:rsidR="006E79BC" w:rsidRPr="0020148E">
        <w:rPr>
          <w:rFonts w:ascii="Times New Roman"/>
          <w:noProof/>
        </w:rPr>
        <w:t xml:space="preserve"> </w:t>
      </w:r>
      <w:r w:rsidRPr="0020148E">
        <w:rPr>
          <w:rFonts w:ascii="Times New Roman"/>
          <w:noProof/>
        </w:rPr>
        <w:t xml:space="preserve">active </w:t>
      </w:r>
      <w:r w:rsidR="006E79BC" w:rsidRPr="0020148E">
        <w:rPr>
          <w:rFonts w:ascii="Times New Roman"/>
          <w:noProof/>
        </w:rPr>
        <w:t xml:space="preserve">in </w:t>
      </w:r>
      <w:r w:rsidRPr="0020148E">
        <w:rPr>
          <w:rFonts w:ascii="Times New Roman"/>
          <w:noProof/>
        </w:rPr>
        <w:t xml:space="preserve">one Member State. Whether they are based in Leipzig or Lithuania, undertakings compete in Germany on the basis of German law. The </w:t>
      </w:r>
      <w:r w:rsidRPr="0020148E">
        <w:rPr>
          <w:rFonts w:ascii="Times New Roman"/>
          <w:i/>
          <w:iCs/>
          <w:noProof/>
        </w:rPr>
        <w:t>lex loci laboris</w:t>
      </w:r>
      <w:r w:rsidRPr="0020148E">
        <w:rPr>
          <w:rFonts w:ascii="Times New Roman"/>
          <w:noProof/>
        </w:rPr>
        <w:t xml:space="preserve"> embodies host regulation and reflects the “regulatory neutrality paradigm”, which aims to enable inter-firm competition within a market and to protect it from distortions due to the differences between national legal orders.</w:t>
      </w:r>
      <w:bookmarkStart w:id="1" w:name="_Ref51094472"/>
      <w:r w:rsidRPr="0020148E">
        <w:rPr>
          <w:rStyle w:val="FootnoteReference"/>
          <w:rFonts w:ascii="Times New Roman"/>
          <w:noProof/>
        </w:rPr>
        <w:footnoteReference w:id="7"/>
      </w:r>
      <w:bookmarkEnd w:id="1"/>
      <w:r w:rsidRPr="0020148E">
        <w:rPr>
          <w:rFonts w:ascii="Times New Roman"/>
          <w:noProof/>
        </w:rPr>
        <w:t xml:space="preserve"> The </w:t>
      </w:r>
      <w:r w:rsidRPr="0020148E">
        <w:rPr>
          <w:rFonts w:ascii="Times New Roman"/>
          <w:i/>
          <w:iCs/>
          <w:noProof/>
        </w:rPr>
        <w:t>lex loci laboris</w:t>
      </w:r>
      <w:r w:rsidRPr="0020148E">
        <w:rPr>
          <w:rFonts w:ascii="Times New Roman"/>
          <w:noProof/>
        </w:rPr>
        <w:t xml:space="preserve"> prevents Lithuania from benefiting from its lower contribution rate. Conversely, it does not incite Germany to question the viability of its higher rate: Germany does not need to fear an exodus of companies seeking to circumvent its legislation on the </w:t>
      </w:r>
      <w:r w:rsidRPr="0020148E">
        <w:rPr>
          <w:rFonts w:ascii="Times New Roman"/>
          <w:noProof/>
        </w:rPr>
        <w:lastRenderedPageBreak/>
        <w:t xml:space="preserve">basis of the </w:t>
      </w:r>
      <w:r w:rsidRPr="0020148E">
        <w:rPr>
          <w:rFonts w:ascii="Times New Roman"/>
          <w:i/>
          <w:iCs/>
          <w:noProof/>
        </w:rPr>
        <w:t>lex loci laboris</w:t>
      </w:r>
      <w:r w:rsidRPr="0020148E">
        <w:rPr>
          <w:rFonts w:ascii="Times New Roman"/>
          <w:noProof/>
        </w:rPr>
        <w:t xml:space="preserve">, </w:t>
      </w:r>
      <w:r w:rsidR="00E141D7" w:rsidRPr="0020148E">
        <w:rPr>
          <w:rFonts w:ascii="Times New Roman"/>
          <w:noProof/>
        </w:rPr>
        <w:t xml:space="preserve">as it </w:t>
      </w:r>
      <w:r w:rsidRPr="0020148E">
        <w:rPr>
          <w:rFonts w:ascii="Times New Roman"/>
          <w:noProof/>
        </w:rPr>
        <w:t>is indifferent to the location of the employer.</w:t>
      </w:r>
      <w:r w:rsidRPr="0020148E">
        <w:rPr>
          <w:rStyle w:val="FootnoteReference"/>
          <w:rFonts w:ascii="Times New Roman"/>
          <w:noProof/>
        </w:rPr>
        <w:footnoteReference w:id="8"/>
      </w:r>
      <w:r w:rsidRPr="0020148E">
        <w:rPr>
          <w:rFonts w:ascii="Times New Roman"/>
          <w:noProof/>
        </w:rPr>
        <w:t xml:space="preserve"> Admittedly, th</w:t>
      </w:r>
      <w:r w:rsidR="00556975" w:rsidRPr="0020148E">
        <w:rPr>
          <w:rFonts w:ascii="Times New Roman"/>
          <w:noProof/>
        </w:rPr>
        <w:t xml:space="preserve">at conflict rule </w:t>
      </w:r>
      <w:r w:rsidRPr="0020148E">
        <w:rPr>
          <w:rFonts w:ascii="Times New Roman"/>
          <w:noProof/>
        </w:rPr>
        <w:t>enables an undertaking to relocate the (near-)entirety of its activities from one Member State to another and to benefit from the lower social costs prevalent there, while exporting goods across the EU.</w:t>
      </w:r>
      <w:r w:rsidRPr="0020148E">
        <w:rPr>
          <w:rStyle w:val="FootnoteReference"/>
          <w:rFonts w:ascii="Times New Roman"/>
          <w:noProof/>
        </w:rPr>
        <w:footnoteReference w:id="9"/>
      </w:r>
      <w:r w:rsidRPr="0020148E">
        <w:rPr>
          <w:rFonts w:ascii="Times New Roman"/>
          <w:noProof/>
        </w:rPr>
        <w:t xml:space="preserve"> Such “international social competition” is inherent in the internal market in the absence of harmonisation.</w:t>
      </w:r>
      <w:bookmarkStart w:id="2" w:name="_Ref51094537"/>
      <w:r w:rsidRPr="0020148E">
        <w:rPr>
          <w:rStyle w:val="FootnoteReference"/>
          <w:rFonts w:ascii="Times New Roman"/>
          <w:noProof/>
        </w:rPr>
        <w:footnoteReference w:id="10"/>
      </w:r>
      <w:bookmarkEnd w:id="2"/>
      <w:r w:rsidRPr="0020148E">
        <w:rPr>
          <w:rFonts w:ascii="Times New Roman"/>
          <w:noProof/>
        </w:rPr>
        <w:t xml:space="preserve"> The </w:t>
      </w:r>
      <w:r w:rsidRPr="0020148E">
        <w:rPr>
          <w:rFonts w:ascii="Times New Roman"/>
          <w:i/>
          <w:iCs/>
          <w:noProof/>
        </w:rPr>
        <w:t>lex loci laboris</w:t>
      </w:r>
      <w:r w:rsidRPr="0020148E">
        <w:rPr>
          <w:rFonts w:ascii="Times New Roman"/>
          <w:noProof/>
        </w:rPr>
        <w:t xml:space="preserve"> opposes the much more problematic “internal social competition”, whereby an undertaking’s staff is active in one Member State while governed by the law of another Member State.</w:t>
      </w:r>
    </w:p>
    <w:p w14:paraId="4AE38CA8" w14:textId="77777777" w:rsidR="00C43B1E" w:rsidRPr="0020148E" w:rsidRDefault="00C43B1E" w:rsidP="00AA4437">
      <w:pPr>
        <w:pStyle w:val="Heading1"/>
        <w:numPr>
          <w:ilvl w:val="0"/>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The posting rule</w:t>
      </w:r>
    </w:p>
    <w:p w14:paraId="1697D8E8" w14:textId="0645BAC9" w:rsidR="00C43B1E" w:rsidRPr="0020148E" w:rsidRDefault="00C43B1E" w:rsidP="00AA4437">
      <w:pPr>
        <w:spacing w:line="360" w:lineRule="auto"/>
        <w:rPr>
          <w:rFonts w:ascii="Times New Roman"/>
          <w:noProof/>
        </w:rPr>
      </w:pPr>
      <w:r w:rsidRPr="0020148E">
        <w:rPr>
          <w:rFonts w:ascii="Times New Roman"/>
          <w:noProof/>
        </w:rPr>
        <w:t xml:space="preserve">Much as the </w:t>
      </w:r>
      <w:r w:rsidRPr="0020148E">
        <w:rPr>
          <w:rFonts w:ascii="Times New Roman"/>
          <w:i/>
          <w:iCs/>
          <w:noProof/>
        </w:rPr>
        <w:t>lex loci laboris</w:t>
      </w:r>
      <w:r w:rsidRPr="0020148E">
        <w:rPr>
          <w:rFonts w:ascii="Times New Roman"/>
          <w:noProof/>
        </w:rPr>
        <w:t xml:space="preserve"> has merits, it also has limitations. When an employer sends a worker abroad for short stints, it would shift the applicable law twice within a brief time span. This alternation would hinder the employer’s free</w:t>
      </w:r>
      <w:r w:rsidR="00E25C52" w:rsidRPr="0020148E">
        <w:rPr>
          <w:rFonts w:ascii="Times New Roman"/>
          <w:noProof/>
        </w:rPr>
        <w:t xml:space="preserve">dom to provide </w:t>
      </w:r>
      <w:r w:rsidRPr="0020148E">
        <w:rPr>
          <w:rFonts w:ascii="Times New Roman"/>
          <w:noProof/>
        </w:rPr>
        <w:t xml:space="preserve">services and inconvenience all involved for no good reason. That is why the </w:t>
      </w:r>
      <w:r w:rsidRPr="0020148E">
        <w:rPr>
          <w:rFonts w:ascii="Times New Roman"/>
          <w:i/>
          <w:iCs/>
          <w:noProof/>
        </w:rPr>
        <w:t>lex loci laboris</w:t>
      </w:r>
      <w:r w:rsidRPr="0020148E">
        <w:rPr>
          <w:rFonts w:ascii="Times New Roman"/>
          <w:noProof/>
        </w:rPr>
        <w:t xml:space="preserve"> is flanked by the posting rule, which keeps workers sent abroad subject to the laws of the State in which their employer is established for up to two years.</w:t>
      </w:r>
      <w:r w:rsidRPr="0020148E">
        <w:rPr>
          <w:rStyle w:val="FootnoteReference"/>
          <w:rFonts w:ascii="Times New Roman"/>
          <w:noProof/>
        </w:rPr>
        <w:footnoteReference w:id="11"/>
      </w:r>
      <w:r w:rsidRPr="0020148E">
        <w:rPr>
          <w:rFonts w:ascii="Times New Roman"/>
          <w:noProof/>
        </w:rPr>
        <w:t xml:space="preserve"> Posting is an instance of home regulation</w:t>
      </w:r>
      <w:r w:rsidRPr="0020148E">
        <w:rPr>
          <w:rStyle w:val="FootnoteReference"/>
          <w:rFonts w:ascii="Times New Roman"/>
          <w:noProof/>
        </w:rPr>
        <w:footnoteReference w:id="12"/>
      </w:r>
      <w:r w:rsidRPr="0020148E">
        <w:rPr>
          <w:rFonts w:ascii="Times New Roman"/>
          <w:noProof/>
        </w:rPr>
        <w:t xml:space="preserve"> and regime portability:</w:t>
      </w:r>
      <w:r w:rsidRPr="0020148E">
        <w:rPr>
          <w:rStyle w:val="FootnoteReference"/>
          <w:rFonts w:ascii="Times New Roman"/>
          <w:noProof/>
        </w:rPr>
        <w:footnoteReference w:id="13"/>
      </w:r>
      <w:r w:rsidRPr="0020148E">
        <w:rPr>
          <w:rFonts w:ascii="Times New Roman"/>
          <w:noProof/>
        </w:rPr>
        <w:t xml:space="preserve"> it enables a company to “export” the laws of its home State while being exempt from the laws of the host State. For both States, it is an exception to the </w:t>
      </w:r>
      <w:r w:rsidR="00E00096" w:rsidRPr="0020148E">
        <w:rPr>
          <w:rFonts w:ascii="Times New Roman"/>
          <w:noProof/>
        </w:rPr>
        <w:t xml:space="preserve">idea </w:t>
      </w:r>
      <w:r w:rsidRPr="0020148E">
        <w:rPr>
          <w:rFonts w:ascii="Times New Roman"/>
          <w:noProof/>
        </w:rPr>
        <w:t>that social security law applies in a territorial fashion.</w:t>
      </w:r>
      <w:bookmarkStart w:id="3" w:name="_Ref51094740"/>
      <w:r w:rsidRPr="0020148E">
        <w:rPr>
          <w:rStyle w:val="FootnoteReference"/>
          <w:rFonts w:ascii="Times New Roman"/>
          <w:noProof/>
        </w:rPr>
        <w:footnoteReference w:id="14"/>
      </w:r>
      <w:bookmarkEnd w:id="3"/>
      <w:r w:rsidRPr="0020148E">
        <w:rPr>
          <w:rFonts w:ascii="Times New Roman"/>
          <w:noProof/>
        </w:rPr>
        <w:t xml:space="preserve"> </w:t>
      </w:r>
      <w:r w:rsidR="00E25C52" w:rsidRPr="0020148E">
        <w:rPr>
          <w:rFonts w:ascii="Times New Roman"/>
          <w:noProof/>
        </w:rPr>
        <w:t>Posting is a growing phenomenon</w:t>
      </w:r>
      <w:r w:rsidRPr="0020148E">
        <w:rPr>
          <w:rFonts w:ascii="Times New Roman"/>
          <w:noProof/>
        </w:rPr>
        <w:t>. Between 2010 and 2018, the annual number of certificates for posting increased by 71% to 1.8 million.</w:t>
      </w:r>
      <w:bookmarkStart w:id="4" w:name="_Ref51094654"/>
      <w:r w:rsidRPr="0020148E">
        <w:rPr>
          <w:rStyle w:val="FootnoteReference"/>
          <w:rFonts w:ascii="Times New Roman"/>
          <w:noProof/>
        </w:rPr>
        <w:footnoteReference w:id="15"/>
      </w:r>
      <w:bookmarkEnd w:id="4"/>
      <w:r w:rsidRPr="0020148E">
        <w:rPr>
          <w:rFonts w:ascii="Times New Roman"/>
          <w:noProof/>
        </w:rPr>
        <w:t xml:space="preserve"> While such certificates must be requested and issued,</w:t>
      </w:r>
      <w:r w:rsidRPr="0020148E">
        <w:rPr>
          <w:rStyle w:val="FootnoteReference"/>
          <w:rFonts w:ascii="Times New Roman"/>
          <w:noProof/>
        </w:rPr>
        <w:footnoteReference w:id="16"/>
      </w:r>
      <w:r w:rsidRPr="0020148E">
        <w:rPr>
          <w:rFonts w:ascii="Times New Roman"/>
          <w:noProof/>
        </w:rPr>
        <w:t xml:space="preserve"> the gap between theory and practice is unknown, but assumed to be sizeable.</w:t>
      </w:r>
      <w:r w:rsidRPr="0020148E">
        <w:rPr>
          <w:rFonts w:ascii="Times New Roman"/>
          <w:noProof/>
          <w:vertAlign w:val="superscript"/>
        </w:rPr>
        <w:footnoteReference w:id="17"/>
      </w:r>
    </w:p>
    <w:p w14:paraId="5A6907E2" w14:textId="49AA99FF" w:rsidR="00C43B1E" w:rsidRPr="0020148E" w:rsidRDefault="00C43B1E" w:rsidP="00AA4437">
      <w:pPr>
        <w:spacing w:line="360" w:lineRule="auto"/>
        <w:rPr>
          <w:rFonts w:ascii="Times New Roman"/>
          <w:noProof/>
        </w:rPr>
      </w:pPr>
      <w:r w:rsidRPr="0020148E">
        <w:rPr>
          <w:rFonts w:ascii="Times New Roman"/>
          <w:noProof/>
        </w:rPr>
        <w:t>The posting rule grants workers equal treatment, not in the State where they currently work,</w:t>
      </w:r>
      <w:r w:rsidRPr="0020148E">
        <w:rPr>
          <w:rStyle w:val="FootnoteReference"/>
          <w:rFonts w:ascii="Times New Roman"/>
          <w:noProof/>
        </w:rPr>
        <w:footnoteReference w:id="18"/>
      </w:r>
      <w:r w:rsidRPr="0020148E">
        <w:rPr>
          <w:rFonts w:ascii="Times New Roman"/>
          <w:noProof/>
        </w:rPr>
        <w:t xml:space="preserve"> but in the State of their employer. It benefits employers established in a State with lower contribution rates </w:t>
      </w:r>
      <w:r w:rsidRPr="0020148E">
        <w:rPr>
          <w:rFonts w:ascii="Times New Roman"/>
          <w:noProof/>
        </w:rPr>
        <w:lastRenderedPageBreak/>
        <w:t>than the host State</w:t>
      </w:r>
      <w:r w:rsidR="00857DF7" w:rsidRPr="0020148E">
        <w:rPr>
          <w:rFonts w:ascii="Times New Roman"/>
          <w:noProof/>
        </w:rPr>
        <w:t xml:space="preserve"> </w:t>
      </w:r>
      <w:r w:rsidRPr="0020148E">
        <w:rPr>
          <w:rFonts w:ascii="Times New Roman"/>
          <w:noProof/>
        </w:rPr>
        <w:t xml:space="preserve">(“low-to-high movements”): for instance, they compete in Germany on the basis of Lithuanian rules. The regulatory differences between States shape the inter-firm competition on the German market, with local businesses at a disadvantage. </w:t>
      </w:r>
    </w:p>
    <w:p w14:paraId="0A604D82" w14:textId="730B482A" w:rsidR="00C43B1E" w:rsidRPr="0020148E" w:rsidRDefault="00C43B1E" w:rsidP="00AA4437">
      <w:pPr>
        <w:spacing w:line="360" w:lineRule="auto"/>
        <w:rPr>
          <w:rFonts w:ascii="Times New Roman"/>
          <w:noProof/>
        </w:rPr>
      </w:pPr>
      <w:r w:rsidRPr="0020148E">
        <w:rPr>
          <w:rFonts w:ascii="Times New Roman"/>
          <w:noProof/>
        </w:rPr>
        <w:t>Such internal social competition might also foster competition between States. Regulatory competition is “a process whereby legal rules are selected (and de-selected) through competition between decentralised, rule-making entities”.</w:t>
      </w:r>
      <w:r w:rsidRPr="0020148E">
        <w:rPr>
          <w:rStyle w:val="FootnoteReference"/>
          <w:rFonts w:ascii="Times New Roman"/>
          <w:noProof/>
        </w:rPr>
        <w:footnoteReference w:id="19"/>
      </w:r>
      <w:r w:rsidRPr="0020148E">
        <w:rPr>
          <w:rFonts w:ascii="Times New Roman"/>
          <w:noProof/>
        </w:rPr>
        <w:t xml:space="preserve"> The theory of regulatory competition conceives of law as a product traded on a market.</w:t>
      </w:r>
      <w:r w:rsidRPr="0020148E">
        <w:rPr>
          <w:rStyle w:val="FootnoteReference"/>
          <w:rFonts w:ascii="Times New Roman"/>
          <w:noProof/>
        </w:rPr>
        <w:footnoteReference w:id="20"/>
      </w:r>
      <w:r w:rsidRPr="0020148E">
        <w:rPr>
          <w:rFonts w:ascii="Times New Roman"/>
          <w:noProof/>
        </w:rPr>
        <w:t xml:space="preserve"> On the demand side, undertakings choose the law that suits them best, primarily by voting with their feet.</w:t>
      </w:r>
      <w:r w:rsidRPr="0020148E">
        <w:rPr>
          <w:rStyle w:val="FootnoteReference"/>
          <w:rFonts w:ascii="Times New Roman"/>
          <w:noProof/>
        </w:rPr>
        <w:footnoteReference w:id="21"/>
      </w:r>
      <w:r w:rsidRPr="0020148E">
        <w:rPr>
          <w:rFonts w:ascii="Times New Roman"/>
          <w:noProof/>
        </w:rPr>
        <w:t xml:space="preserve"> On the supply side, the theory predicts that national rule-makers respond to the legal preferences expressed through (credible threats of) mobility by adapting their laws so as to attract, or at least retain, undertakings. The preconditions for regulatory competition to occur are not always realised.</w:t>
      </w:r>
      <w:r w:rsidRPr="0020148E">
        <w:rPr>
          <w:rStyle w:val="FootnoteReference"/>
          <w:rFonts w:ascii="Times New Roman"/>
          <w:noProof/>
        </w:rPr>
        <w:footnoteReference w:id="22"/>
      </w:r>
      <w:r w:rsidRPr="0020148E">
        <w:rPr>
          <w:rFonts w:ascii="Times New Roman"/>
          <w:noProof/>
        </w:rPr>
        <w:t xml:space="preserve"> At the very least, it presupposes diversity between rules, the possibility for undertakings to choose between </w:t>
      </w:r>
      <w:r w:rsidR="00EB5B81" w:rsidRPr="0020148E">
        <w:rPr>
          <w:rFonts w:ascii="Times New Roman"/>
          <w:noProof/>
        </w:rPr>
        <w:t>them</w:t>
      </w:r>
      <w:r w:rsidRPr="0020148E">
        <w:rPr>
          <w:rFonts w:ascii="Times New Roman"/>
          <w:noProof/>
        </w:rPr>
        <w:t>, and responsiveness of rule-makers to such choices. For the present purposes, it suffices to note that regulatory competition is unlikely if undertakings can only select the applicable social security law with great difficulty. The effects of regulatory competition are subject to debate. The original theory predicted efficiency and some argue that it induces a “race to the top”.</w:t>
      </w:r>
      <w:r w:rsidRPr="0020148E">
        <w:rPr>
          <w:rStyle w:val="FootnoteReference"/>
          <w:rFonts w:ascii="Times New Roman"/>
          <w:noProof/>
        </w:rPr>
        <w:footnoteReference w:id="23"/>
      </w:r>
      <w:r w:rsidRPr="0020148E">
        <w:rPr>
          <w:rFonts w:ascii="Times New Roman"/>
          <w:noProof/>
        </w:rPr>
        <w:t xml:space="preserve"> In social policy, the fear is that, if anything, regulatory competition leads, not to optimal laws, but to a “race to the bottom”. If firms were to compete on a large scale in Germany on the basis of less onerous foreign social security law, pressure might accumulate on Germany to lower (or at least not raise) its contribution levels, which would have obvious implications for its benefit levels. A reduction in German contribution </w:t>
      </w:r>
      <w:r w:rsidR="006F6E07" w:rsidRPr="0020148E">
        <w:rPr>
          <w:rFonts w:ascii="Times New Roman"/>
          <w:noProof/>
        </w:rPr>
        <w:t xml:space="preserve">rates </w:t>
      </w:r>
      <w:r w:rsidRPr="0020148E">
        <w:rPr>
          <w:rFonts w:ascii="Times New Roman"/>
          <w:noProof/>
        </w:rPr>
        <w:t>would narrow Lithuania’s competitive edge, unless it follows suit. Admittedly, this is an oversimplified sketch of a complex and uncertain process that requires close empirical attention.</w:t>
      </w:r>
      <w:r w:rsidRPr="0020148E">
        <w:rPr>
          <w:rStyle w:val="FootnoteReference"/>
          <w:rFonts w:ascii="Times New Roman"/>
          <w:noProof/>
        </w:rPr>
        <w:footnoteReference w:id="24"/>
      </w:r>
      <w:r w:rsidRPr="0020148E">
        <w:rPr>
          <w:rFonts w:ascii="Times New Roman"/>
          <w:noProof/>
        </w:rPr>
        <w:t xml:space="preserve"> Still, one key lesson is that the easier it is for undertakings to choose the most congenial (i.e. cheapest) social security system, the more likely it is that regulatory competition occurs. Another is that such competition, even if it does not degenerate into a race to the bottom, is likely to put pressure on generous social security systems. </w:t>
      </w:r>
      <w:r w:rsidRPr="0020148E">
        <w:rPr>
          <w:rFonts w:ascii="Times New Roman"/>
          <w:noProof/>
        </w:rPr>
        <w:lastRenderedPageBreak/>
        <w:t xml:space="preserve">Such pressure would </w:t>
      </w:r>
      <w:r w:rsidR="002A69C3" w:rsidRPr="0020148E">
        <w:rPr>
          <w:rFonts w:ascii="Times New Roman"/>
          <w:noProof/>
        </w:rPr>
        <w:t>run counter to</w:t>
      </w:r>
      <w:r w:rsidRPr="0020148E">
        <w:rPr>
          <w:rFonts w:ascii="Times New Roman"/>
          <w:noProof/>
        </w:rPr>
        <w:t xml:space="preserve"> national goals</w:t>
      </w:r>
      <w:r w:rsidR="002A69C3" w:rsidRPr="0020148E">
        <w:rPr>
          <w:rFonts w:ascii="Times New Roman"/>
          <w:noProof/>
        </w:rPr>
        <w:t xml:space="preserve"> as well as the </w:t>
      </w:r>
      <w:r w:rsidRPr="0020148E">
        <w:rPr>
          <w:rFonts w:ascii="Times New Roman"/>
          <w:noProof/>
        </w:rPr>
        <w:t>EU objectives of combating social exclusion and promoting social justice and protection.</w:t>
      </w:r>
      <w:r w:rsidRPr="0020148E">
        <w:rPr>
          <w:rFonts w:ascii="Times New Roman"/>
          <w:noProof/>
          <w:vertAlign w:val="superscript"/>
        </w:rPr>
        <w:footnoteReference w:id="25"/>
      </w:r>
    </w:p>
    <w:p w14:paraId="2B8A36FD" w14:textId="77777777" w:rsidR="00C43B1E" w:rsidRPr="0020148E" w:rsidRDefault="00C43B1E" w:rsidP="00AA4437">
      <w:pPr>
        <w:spacing w:line="360" w:lineRule="auto"/>
        <w:rPr>
          <w:rFonts w:ascii="Times New Roman"/>
          <w:noProof/>
        </w:rPr>
      </w:pPr>
      <w:r w:rsidRPr="0020148E">
        <w:rPr>
          <w:rFonts w:ascii="Times New Roman"/>
          <w:noProof/>
        </w:rPr>
        <w:t>For the last half century, the posting rule has been associated with law shopping.</w:t>
      </w:r>
      <w:r w:rsidRPr="0020148E">
        <w:rPr>
          <w:rStyle w:val="FootnoteReference"/>
          <w:rFonts w:ascii="Times New Roman"/>
          <w:noProof/>
        </w:rPr>
        <w:footnoteReference w:id="26"/>
      </w:r>
      <w:r w:rsidRPr="0020148E">
        <w:rPr>
          <w:rFonts w:ascii="Times New Roman"/>
          <w:noProof/>
        </w:rPr>
        <w:t xml:space="preserve"> The following pages probe its limits with a view to identifying when it is truly problematic.</w:t>
      </w:r>
    </w:p>
    <w:p w14:paraId="706C5BAD" w14:textId="77777777"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bookmarkStart w:id="5" w:name="_Hlk49762778"/>
      <w:r w:rsidRPr="0020148E">
        <w:rPr>
          <w:rFonts w:ascii="Times New Roman" w:hAnsi="Times New Roman" w:cs="Times New Roman"/>
          <w:noProof/>
          <w:color w:val="auto"/>
        </w:rPr>
        <w:t>An employer’s perspective: letterbox companies</w:t>
      </w:r>
    </w:p>
    <w:bookmarkEnd w:id="5"/>
    <w:p w14:paraId="0805FEE7" w14:textId="77777777" w:rsidR="00C43B1E" w:rsidRPr="0020148E" w:rsidRDefault="00C43B1E" w:rsidP="00AA4437">
      <w:pPr>
        <w:spacing w:line="360" w:lineRule="auto"/>
        <w:rPr>
          <w:rFonts w:ascii="Times New Roman"/>
          <w:noProof/>
        </w:rPr>
      </w:pPr>
      <w:r w:rsidRPr="0020148E">
        <w:rPr>
          <w:rFonts w:ascii="Times New Roman"/>
          <w:noProof/>
        </w:rPr>
        <w:t xml:space="preserve">The </w:t>
      </w:r>
      <w:r w:rsidRPr="0020148E">
        <w:rPr>
          <w:rFonts w:ascii="Times New Roman"/>
          <w:i/>
          <w:iCs/>
          <w:noProof/>
        </w:rPr>
        <w:t>Plum</w:t>
      </w:r>
      <w:r w:rsidRPr="0020148E">
        <w:rPr>
          <w:rFonts w:ascii="Times New Roman"/>
          <w:noProof/>
        </w:rPr>
        <w:t xml:space="preserve"> case illustrates a failed attempt to use posting as a vehicle for indirect choice of law.</w:t>
      </w:r>
      <w:r w:rsidRPr="0020148E">
        <w:rPr>
          <w:rStyle w:val="FootnoteReference"/>
          <w:rFonts w:ascii="Times New Roman"/>
          <w:noProof/>
        </w:rPr>
        <w:footnoteReference w:id="27"/>
      </w:r>
      <w:r w:rsidRPr="0020148E">
        <w:rPr>
          <w:rFonts w:ascii="Times New Roman"/>
          <w:noProof/>
        </w:rPr>
        <w:t xml:space="preserve"> Mr Plum, owner of two German construction companies, founded a Dutch company, Senator, in order to benefit from the lower labour costs prevalent in the Netherlands. Senator performed work only for the two German companies, by posting its employees exclusively to German construction sites. In the Netherlands, Senator maintained an office, occupied only by the manager who dealt with correspondence, answered phone calls and conducted interviews. Other than purely internal management, Senator performed all its activities in Germany.</w:t>
      </w:r>
    </w:p>
    <w:p w14:paraId="69108B8E" w14:textId="77777777" w:rsidR="00C43B1E" w:rsidRPr="0020148E" w:rsidRDefault="00C43B1E" w:rsidP="00AA4437">
      <w:pPr>
        <w:spacing w:line="360" w:lineRule="auto"/>
        <w:rPr>
          <w:rFonts w:ascii="Times New Roman"/>
          <w:iCs/>
          <w:noProof/>
        </w:rPr>
      </w:pPr>
      <w:r w:rsidRPr="0020148E">
        <w:rPr>
          <w:rFonts w:ascii="Times New Roman"/>
          <w:iCs/>
          <w:noProof/>
        </w:rPr>
        <w:t>What connection, then, must the employer have with a Member State to benefit from the posting rule? To start with, it must be established there.</w:t>
      </w:r>
      <w:r w:rsidRPr="0020148E">
        <w:rPr>
          <w:rStyle w:val="FootnoteReference"/>
          <w:rFonts w:ascii="Times New Roman"/>
          <w:iCs/>
          <w:noProof/>
        </w:rPr>
        <w:footnoteReference w:id="28"/>
      </w:r>
      <w:r w:rsidRPr="0020148E">
        <w:rPr>
          <w:rFonts w:ascii="Times New Roman"/>
          <w:iCs/>
          <w:noProof/>
        </w:rPr>
        <w:t xml:space="preserve"> This condition does not generally rule out letterbox companies—there was no doubt that Senator was established in the Netherlands. It is relatively easy to relocate the place of establishment of an undertaking, or to create a new undertaking or secondary establishment abroad.</w:t>
      </w:r>
      <w:bookmarkStart w:id="6" w:name="_Ref51094589"/>
      <w:r w:rsidRPr="0020148E">
        <w:rPr>
          <w:rStyle w:val="FootnoteReference"/>
          <w:rFonts w:ascii="Times New Roman"/>
          <w:noProof/>
        </w:rPr>
        <w:footnoteReference w:id="29"/>
      </w:r>
      <w:bookmarkEnd w:id="6"/>
    </w:p>
    <w:p w14:paraId="3AC6A3CC" w14:textId="0FE44433" w:rsidR="00C43B1E" w:rsidRPr="0020148E" w:rsidRDefault="00C43B1E" w:rsidP="00AA4437">
      <w:pPr>
        <w:spacing w:line="360" w:lineRule="auto"/>
        <w:rPr>
          <w:rFonts w:ascii="Times New Roman"/>
          <w:noProof/>
        </w:rPr>
      </w:pPr>
      <w:bookmarkStart w:id="7" w:name="_Hlk50118780"/>
      <w:r w:rsidRPr="0020148E">
        <w:rPr>
          <w:rFonts w:ascii="Times New Roman"/>
          <w:iCs/>
          <w:noProof/>
        </w:rPr>
        <w:t xml:space="preserve">While the initial </w:t>
      </w:r>
      <w:r w:rsidR="00E419F1" w:rsidRPr="0020148E">
        <w:rPr>
          <w:rFonts w:ascii="Times New Roman"/>
          <w:iCs/>
          <w:noProof/>
        </w:rPr>
        <w:t xml:space="preserve">social security </w:t>
      </w:r>
      <w:r w:rsidRPr="0020148E">
        <w:rPr>
          <w:rFonts w:ascii="Times New Roman"/>
          <w:iCs/>
          <w:noProof/>
        </w:rPr>
        <w:t>Regulations only required establishment,</w:t>
      </w:r>
      <w:r w:rsidR="00E419F1" w:rsidRPr="0020148E">
        <w:rPr>
          <w:rStyle w:val="FootnoteReference"/>
          <w:rFonts w:ascii="Times New Roman"/>
          <w:noProof/>
        </w:rPr>
        <w:footnoteReference w:id="30"/>
      </w:r>
      <w:r w:rsidRPr="0020148E">
        <w:rPr>
          <w:rFonts w:ascii="Times New Roman"/>
          <w:iCs/>
          <w:noProof/>
        </w:rPr>
        <w:t xml:space="preserve"> the ECJ raised the necessary level of connection between the employer and the posting Member State. The posting undertaking must “normally” carry out its activities in the State in which it is established.</w:t>
      </w:r>
      <w:r w:rsidRPr="0020148E">
        <w:rPr>
          <w:rStyle w:val="FootnoteReference"/>
          <w:rFonts w:ascii="Times New Roman"/>
          <w:iCs/>
          <w:noProof/>
        </w:rPr>
        <w:footnoteReference w:id="31"/>
      </w:r>
      <w:r w:rsidRPr="0020148E">
        <w:rPr>
          <w:rFonts w:ascii="Times New Roman"/>
          <w:iCs/>
          <w:noProof/>
        </w:rPr>
        <w:t xml:space="preserve"> This is to be understood as the </w:t>
      </w:r>
      <w:bookmarkStart w:id="8" w:name="_Hlk48725126"/>
      <w:r w:rsidRPr="0020148E">
        <w:rPr>
          <w:rFonts w:ascii="Times New Roman"/>
          <w:iCs/>
          <w:noProof/>
        </w:rPr>
        <w:t>ordinary performance of substantial activities</w:t>
      </w:r>
      <w:bookmarkEnd w:id="8"/>
      <w:r w:rsidRPr="0020148E">
        <w:rPr>
          <w:rFonts w:ascii="Times New Roman"/>
          <w:iCs/>
          <w:noProof/>
        </w:rPr>
        <w:t>, other than purely internal management.</w:t>
      </w:r>
      <w:r w:rsidRPr="0020148E">
        <w:rPr>
          <w:rStyle w:val="FootnoteReference"/>
          <w:rFonts w:ascii="Times New Roman"/>
          <w:iCs/>
          <w:noProof/>
        </w:rPr>
        <w:footnoteReference w:id="32"/>
      </w:r>
      <w:r w:rsidRPr="0020148E">
        <w:rPr>
          <w:rFonts w:ascii="Times New Roman"/>
          <w:iCs/>
          <w:noProof/>
        </w:rPr>
        <w:t xml:space="preserve"> This is the reason why </w:t>
      </w:r>
      <w:r w:rsidRPr="0020148E">
        <w:rPr>
          <w:rFonts w:ascii="Times New Roman"/>
          <w:noProof/>
        </w:rPr>
        <w:t>the ECJ denied Senator the advantage of the posting regime. Relevant criteria to determine whether that threshold is reached</w:t>
      </w:r>
    </w:p>
    <w:p w14:paraId="7186A172" w14:textId="77777777" w:rsidR="00C43B1E" w:rsidRPr="0020148E" w:rsidRDefault="00C43B1E" w:rsidP="00AA4437">
      <w:pPr>
        <w:spacing w:line="360" w:lineRule="auto"/>
        <w:ind w:left="720"/>
        <w:rPr>
          <w:rFonts w:ascii="Times New Roman"/>
          <w:iCs/>
          <w:noProof/>
        </w:rPr>
      </w:pPr>
      <w:r w:rsidRPr="0020148E">
        <w:rPr>
          <w:rFonts w:ascii="Times New Roman"/>
          <w:noProof/>
        </w:rPr>
        <w:t>“</w:t>
      </w:r>
      <w:r w:rsidRPr="0020148E">
        <w:rPr>
          <w:rFonts w:ascii="Times New Roman"/>
          <w:iCs/>
          <w:noProof/>
        </w:rPr>
        <w:t>include the place wh</w:t>
      </w:r>
      <w:bookmarkStart w:id="9" w:name="_Hlk49760632"/>
      <w:r w:rsidRPr="0020148E">
        <w:rPr>
          <w:rFonts w:ascii="Times New Roman"/>
          <w:iCs/>
          <w:noProof/>
        </w:rPr>
        <w:t xml:space="preserve">ere the undertaking has its seat and administration, the number of administrative staff working in the Member State in which it is established and in the other Member State, the place where posted workers are recruited and the place where the majority of contracts with clients are concluded, the law applicable to the employment contracts </w:t>
      </w:r>
      <w:r w:rsidRPr="0020148E">
        <w:rPr>
          <w:rFonts w:ascii="Times New Roman"/>
          <w:iCs/>
          <w:noProof/>
        </w:rPr>
        <w:lastRenderedPageBreak/>
        <w:t>concluded by the undertaking with its workers, on the one hand, and with its clients, on the other h</w:t>
      </w:r>
      <w:bookmarkEnd w:id="9"/>
      <w:r w:rsidRPr="0020148E">
        <w:rPr>
          <w:rFonts w:ascii="Times New Roman"/>
          <w:iCs/>
          <w:noProof/>
        </w:rPr>
        <w:t>and, and the turnover during an appropriately typical period in each Member State concerned.”</w:t>
      </w:r>
      <w:r w:rsidRPr="0020148E">
        <w:rPr>
          <w:rStyle w:val="FootnoteReference"/>
          <w:rFonts w:ascii="Times New Roman"/>
          <w:iCs/>
          <w:noProof/>
        </w:rPr>
        <w:footnoteReference w:id="33"/>
      </w:r>
      <w:r w:rsidRPr="0020148E">
        <w:rPr>
          <w:rFonts w:ascii="Times New Roman"/>
          <w:iCs/>
          <w:noProof/>
        </w:rPr>
        <w:t xml:space="preserve"> </w:t>
      </w:r>
    </w:p>
    <w:p w14:paraId="54EC9889" w14:textId="6238558D" w:rsidR="00C43B1E" w:rsidRPr="0020148E" w:rsidRDefault="00C43B1E" w:rsidP="00AA4437">
      <w:pPr>
        <w:spacing w:line="360" w:lineRule="auto"/>
        <w:rPr>
          <w:rFonts w:ascii="Times New Roman"/>
          <w:noProof/>
        </w:rPr>
      </w:pPr>
      <w:bookmarkStart w:id="10" w:name="_Hlk50118814"/>
      <w:bookmarkEnd w:id="7"/>
      <w:r w:rsidRPr="0020148E">
        <w:rPr>
          <w:rFonts w:ascii="Times New Roman"/>
          <w:iCs/>
          <w:noProof/>
        </w:rPr>
        <w:t xml:space="preserve">Further indicators and specifications are laid down in soft law. For instance, the European Commission draws attention to </w:t>
      </w:r>
      <w:r w:rsidRPr="0020148E">
        <w:rPr>
          <w:rFonts w:ascii="Times New Roman"/>
          <w:noProof/>
        </w:rPr>
        <w:t xml:space="preserve">“the length of time an undertaking is established in the posting Member State” and </w:t>
      </w:r>
      <w:r w:rsidRPr="0020148E">
        <w:rPr>
          <w:rFonts w:ascii="Times New Roman"/>
          <w:iCs/>
          <w:noProof/>
        </w:rPr>
        <w:t xml:space="preserve">considers that a </w:t>
      </w:r>
      <w:r w:rsidRPr="0020148E">
        <w:rPr>
          <w:rFonts w:ascii="Times New Roman"/>
          <w:noProof/>
        </w:rPr>
        <w:t xml:space="preserve">“turnover of approximately 25% of [the] total turnover in the posting State could be a sufficient indicator, but </w:t>
      </w:r>
      <w:r w:rsidR="00B969C8" w:rsidRPr="0020148E">
        <w:rPr>
          <w:rFonts w:ascii="Times New Roman"/>
          <w:noProof/>
        </w:rPr>
        <w:t xml:space="preserve">[adds that] </w:t>
      </w:r>
      <w:r w:rsidRPr="0020148E">
        <w:rPr>
          <w:rFonts w:ascii="Times New Roman"/>
          <w:noProof/>
        </w:rPr>
        <w:t xml:space="preserve">cases where </w:t>
      </w:r>
      <w:r w:rsidR="00B969C8" w:rsidRPr="0020148E">
        <w:rPr>
          <w:rFonts w:ascii="Times New Roman"/>
          <w:noProof/>
        </w:rPr>
        <w:t xml:space="preserve">[the] </w:t>
      </w:r>
      <w:r w:rsidRPr="0020148E">
        <w:rPr>
          <w:rFonts w:ascii="Times New Roman"/>
          <w:noProof/>
        </w:rPr>
        <w:t>turnover is under 25% would warrant greater scrutiny”.</w:t>
      </w:r>
      <w:bookmarkStart w:id="11" w:name="_Ref51094806"/>
      <w:r w:rsidRPr="0020148E">
        <w:rPr>
          <w:rStyle w:val="FootnoteReference"/>
          <w:rFonts w:ascii="Times New Roman"/>
          <w:noProof/>
        </w:rPr>
        <w:footnoteReference w:id="34"/>
      </w:r>
      <w:bookmarkEnd w:id="11"/>
      <w:r w:rsidRPr="0020148E">
        <w:rPr>
          <w:rFonts w:ascii="Times New Roman"/>
          <w:noProof/>
        </w:rPr>
        <w:t xml:space="preserve"> While surmountable, this threshold makes it more difficult for an undertaking to choose the applicable law by setting up shop in a Member State with a congenial social security system. The fight against letterbox companies as regards the posting rule compares rather favourably to other areas of EU law.</w:t>
      </w:r>
      <w:r w:rsidRPr="0020148E">
        <w:rPr>
          <w:rFonts w:ascii="Times New Roman"/>
          <w:noProof/>
          <w:vertAlign w:val="superscript"/>
        </w:rPr>
        <w:footnoteReference w:id="35"/>
      </w:r>
    </w:p>
    <w:bookmarkEnd w:id="10"/>
    <w:p w14:paraId="13A49F02" w14:textId="77777777"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A service recipient’s perspective: carousels</w:t>
      </w:r>
    </w:p>
    <w:p w14:paraId="2D74BE09" w14:textId="71B76063" w:rsidR="00C43B1E" w:rsidRPr="0020148E" w:rsidRDefault="00C43B1E" w:rsidP="00AA4437">
      <w:pPr>
        <w:spacing w:line="360" w:lineRule="auto"/>
        <w:rPr>
          <w:rFonts w:ascii="Times New Roman"/>
          <w:noProof/>
        </w:rPr>
      </w:pPr>
      <w:r w:rsidRPr="0020148E">
        <w:rPr>
          <w:rFonts w:ascii="Times New Roman"/>
          <w:noProof/>
        </w:rPr>
        <w:t>A second</w:t>
      </w:r>
      <w:r w:rsidR="00AB61D1" w:rsidRPr="0020148E">
        <w:rPr>
          <w:rFonts w:ascii="Times New Roman"/>
          <w:noProof/>
        </w:rPr>
        <w:t xml:space="preserve"> strategy </w:t>
      </w:r>
      <w:r w:rsidRPr="0020148E">
        <w:rPr>
          <w:rFonts w:ascii="Times New Roman"/>
          <w:noProof/>
        </w:rPr>
        <w:t>for law shopping is for the service recipient—the contracting party of the posting employer—to satisfy its staffing needs with posted workers. In low-to-high movements, the employer’s reduced labour costs should be reflected in the bill. To maximise this saving, service recipients might seek to durably outsource work to a succession of posted workers who hand over after two years.</w:t>
      </w:r>
    </w:p>
    <w:p w14:paraId="72AB1C7C" w14:textId="3CAE5B96" w:rsidR="00C43B1E" w:rsidRPr="0020148E" w:rsidRDefault="00C43B1E" w:rsidP="00AA4437">
      <w:pPr>
        <w:spacing w:line="360" w:lineRule="auto"/>
        <w:rPr>
          <w:rFonts w:ascii="Times New Roman"/>
          <w:noProof/>
        </w:rPr>
      </w:pPr>
      <w:r w:rsidRPr="0020148E">
        <w:rPr>
          <w:rFonts w:ascii="Times New Roman"/>
          <w:noProof/>
        </w:rPr>
        <w:t>The first social security Regulations did not rule out carousels of posted workers.</w:t>
      </w:r>
      <w:r w:rsidRPr="0020148E">
        <w:rPr>
          <w:rStyle w:val="FootnoteReference"/>
          <w:rFonts w:ascii="Times New Roman"/>
          <w:noProof/>
        </w:rPr>
        <w:footnoteReference w:id="36"/>
      </w:r>
      <w:r w:rsidRPr="0020148E">
        <w:rPr>
          <w:rFonts w:ascii="Times New Roman"/>
          <w:noProof/>
        </w:rPr>
        <w:t xml:space="preserve"> The Council soon closed this loophole by stipulating that a posted worker cannot replace another posted person.</w:t>
      </w:r>
      <w:r w:rsidRPr="0020148E">
        <w:rPr>
          <w:rStyle w:val="FootnoteReference"/>
          <w:rFonts w:ascii="Times New Roman"/>
          <w:noProof/>
        </w:rPr>
        <w:footnoteReference w:id="37"/>
      </w:r>
      <w:r w:rsidRPr="0020148E">
        <w:rPr>
          <w:rFonts w:ascii="Times New Roman"/>
          <w:noProof/>
        </w:rPr>
        <w:t xml:space="preserve"> The limits of this non-replacement condition were probed in </w:t>
      </w:r>
      <w:r w:rsidRPr="0020148E">
        <w:rPr>
          <w:rFonts w:ascii="Times New Roman"/>
          <w:i/>
          <w:iCs/>
          <w:noProof/>
        </w:rPr>
        <w:t>Alpenrind</w:t>
      </w:r>
      <w:r w:rsidRPr="0020148E">
        <w:rPr>
          <w:rFonts w:ascii="Times New Roman"/>
          <w:noProof/>
        </w:rPr>
        <w:t>.</w:t>
      </w:r>
      <w:r w:rsidRPr="0020148E">
        <w:rPr>
          <w:rStyle w:val="FootnoteReference"/>
          <w:rFonts w:ascii="Times New Roman"/>
          <w:noProof/>
        </w:rPr>
        <w:footnoteReference w:id="38"/>
      </w:r>
      <w:r w:rsidRPr="0020148E">
        <w:rPr>
          <w:rFonts w:ascii="Times New Roman"/>
          <w:noProof/>
        </w:rPr>
        <w:t xml:space="preserve"> For several years, Alpenrind, an Austrian company operating an abattoir, outsourced meat-cutting to posted workers. They were successively sent by two Hungarian undertakings: as soon </w:t>
      </w:r>
      <w:r w:rsidR="00AB61D1" w:rsidRPr="0020148E">
        <w:rPr>
          <w:rFonts w:ascii="Times New Roman"/>
          <w:noProof/>
        </w:rPr>
        <w:t xml:space="preserve">as </w:t>
      </w:r>
      <w:r w:rsidRPr="0020148E">
        <w:rPr>
          <w:rFonts w:ascii="Times New Roman"/>
          <w:noProof/>
        </w:rPr>
        <w:t>Alpenrind’s contract with Martin-Meat came to an end, it was replaced by a contract with Martimpex-Meat that lasted precisely two years, after which Alpenrind immediately concluded another contract with Martin-Meat. These Hungarian undertakings seemed to share staffing and organisational resources. While the referring court found no evidence of abuse of EU law,</w:t>
      </w:r>
      <w:r w:rsidRPr="0020148E">
        <w:rPr>
          <w:rStyle w:val="FootnoteReference"/>
          <w:rFonts w:ascii="Times New Roman"/>
          <w:noProof/>
        </w:rPr>
        <w:footnoteReference w:id="39"/>
      </w:r>
      <w:r w:rsidRPr="0020148E">
        <w:rPr>
          <w:rFonts w:ascii="Times New Roman"/>
          <w:noProof/>
        </w:rPr>
        <w:t xml:space="preserve"> these are the exact arrangements that undertakings intent on getting round the non-replacement condition would put in place. The ECJ disallowed the construction: a </w:t>
      </w:r>
      <w:r w:rsidRPr="0020148E">
        <w:rPr>
          <w:rFonts w:ascii="Times New Roman"/>
          <w:noProof/>
        </w:rPr>
        <w:lastRenderedPageBreak/>
        <w:t xml:space="preserve">worker who replaces a posted worker cannot herself be posted, even if they are sent by different employers. It is irrelevant whether the posting employers have their registered offices in the same Member State and whether they have organisational or staff connections. There is prohibited replacement as soon as a service recipient replaces one posted worker with another. As the referring court observed, this interpretation of the non-replacement condition </w:t>
      </w:r>
      <w:r w:rsidR="00E62F66" w:rsidRPr="0020148E">
        <w:rPr>
          <w:rFonts w:ascii="Times New Roman"/>
          <w:noProof/>
        </w:rPr>
        <w:t xml:space="preserve">makes it harder to </w:t>
      </w:r>
      <w:r w:rsidRPr="0020148E">
        <w:rPr>
          <w:rFonts w:ascii="Times New Roman"/>
          <w:noProof/>
        </w:rPr>
        <w:t>abusive</w:t>
      </w:r>
      <w:r w:rsidR="00E62F66" w:rsidRPr="0020148E">
        <w:rPr>
          <w:rFonts w:ascii="Times New Roman"/>
          <w:noProof/>
        </w:rPr>
        <w:t>ly circumvent</w:t>
      </w:r>
      <w:r w:rsidR="008A6702" w:rsidRPr="0020148E">
        <w:rPr>
          <w:rFonts w:ascii="Times New Roman"/>
          <w:noProof/>
        </w:rPr>
        <w:t xml:space="preserve"> social security law</w:t>
      </w:r>
      <w:r w:rsidRPr="0020148E">
        <w:rPr>
          <w:rFonts w:ascii="Times New Roman"/>
          <w:noProof/>
        </w:rPr>
        <w:t>.</w:t>
      </w:r>
      <w:r w:rsidRPr="0020148E">
        <w:rPr>
          <w:rStyle w:val="FootnoteReference"/>
          <w:rFonts w:ascii="Times New Roman"/>
          <w:noProof/>
        </w:rPr>
        <w:footnoteReference w:id="40"/>
      </w:r>
      <w:r w:rsidRPr="0020148E">
        <w:rPr>
          <w:rFonts w:ascii="Times New Roman"/>
          <w:noProof/>
        </w:rPr>
        <w:t xml:space="preserve"> </w:t>
      </w:r>
    </w:p>
    <w:p w14:paraId="2970AA3F" w14:textId="77777777" w:rsidR="00C43B1E" w:rsidRPr="0020148E" w:rsidRDefault="00C43B1E" w:rsidP="00AA4437">
      <w:pPr>
        <w:spacing w:line="360" w:lineRule="auto"/>
        <w:rPr>
          <w:rFonts w:ascii="Times New Roman"/>
          <w:noProof/>
        </w:rPr>
      </w:pPr>
      <w:r w:rsidRPr="0020148E">
        <w:rPr>
          <w:rFonts w:ascii="Times New Roman"/>
          <w:noProof/>
        </w:rPr>
        <w:t>Nonetheless, that condition remains a weak link in the prevention of law shopping. While immediate replacement is prohibited, it is unclear how much time must pass before one posted worker no longer replaces another. The Member States, sitting in t</w:t>
      </w:r>
      <w:r w:rsidRPr="0020148E">
        <w:rPr>
          <w:rFonts w:ascii="Times New Roman"/>
          <w:iCs/>
          <w:noProof/>
        </w:rPr>
        <w:t xml:space="preserve">he </w:t>
      </w:r>
      <w:r w:rsidRPr="0020148E">
        <w:rPr>
          <w:rFonts w:ascii="Times New Roman"/>
          <w:noProof/>
        </w:rPr>
        <w:t>Administrative Commission for the Coordination of Social Security Systems,</w:t>
      </w:r>
      <w:r w:rsidRPr="0020148E">
        <w:rPr>
          <w:rFonts w:ascii="Times New Roman"/>
          <w:iCs/>
          <w:noProof/>
        </w:rPr>
        <w:t xml:space="preserve"> held that two months must elapse between two postings involving the same worker, employer, </w:t>
      </w:r>
      <w:r w:rsidRPr="0020148E">
        <w:rPr>
          <w:rFonts w:ascii="Times New Roman"/>
          <w:noProof/>
        </w:rPr>
        <w:t xml:space="preserve">service recipient, </w:t>
      </w:r>
      <w:r w:rsidRPr="0020148E">
        <w:rPr>
          <w:rFonts w:ascii="Times New Roman"/>
          <w:iCs/>
          <w:noProof/>
        </w:rPr>
        <w:t>and State, whilst permitting derogations in specific circumstances.</w:t>
      </w:r>
      <w:r w:rsidRPr="0020148E">
        <w:rPr>
          <w:rStyle w:val="FootnoteReference"/>
          <w:rFonts w:ascii="Times New Roman"/>
          <w:noProof/>
        </w:rPr>
        <w:footnoteReference w:id="41"/>
      </w:r>
      <w:r w:rsidRPr="0020148E">
        <w:rPr>
          <w:rFonts w:ascii="Times New Roman"/>
          <w:iCs/>
          <w:noProof/>
        </w:rPr>
        <w:t xml:space="preserve"> That non-binding</w:t>
      </w:r>
      <w:r w:rsidRPr="0020148E">
        <w:rPr>
          <w:rStyle w:val="FootnoteReference"/>
          <w:rFonts w:ascii="Times New Roman"/>
          <w:noProof/>
        </w:rPr>
        <w:footnoteReference w:id="42"/>
      </w:r>
      <w:r w:rsidRPr="0020148E">
        <w:rPr>
          <w:rFonts w:ascii="Times New Roman"/>
          <w:iCs/>
          <w:noProof/>
        </w:rPr>
        <w:t xml:space="preserve"> decision slows down the carousel rather than stopping it, and says nothing about replacement by different workers or employers. Moreover, </w:t>
      </w:r>
      <w:r w:rsidRPr="0020148E">
        <w:rPr>
          <w:rFonts w:ascii="Times New Roman"/>
          <w:noProof/>
        </w:rPr>
        <w:t>the non-replacement condition is hard to monitor</w:t>
      </w:r>
      <w:bookmarkStart w:id="12" w:name="_Ref51094617"/>
      <w:r w:rsidRPr="0020148E">
        <w:rPr>
          <w:rStyle w:val="FootnoteReference"/>
          <w:rFonts w:ascii="Times New Roman"/>
          <w:noProof/>
        </w:rPr>
        <w:footnoteReference w:id="43"/>
      </w:r>
      <w:bookmarkEnd w:id="12"/>
      <w:r w:rsidRPr="0020148E">
        <w:rPr>
          <w:rFonts w:ascii="Times New Roman"/>
          <w:noProof/>
        </w:rPr>
        <w:t xml:space="preserve"> and seemingly hardly monitored.</w:t>
      </w:r>
      <w:r w:rsidRPr="0020148E">
        <w:rPr>
          <w:rStyle w:val="FootnoteReference"/>
          <w:rFonts w:ascii="Times New Roman"/>
          <w:noProof/>
        </w:rPr>
        <w:footnoteReference w:id="44"/>
      </w:r>
    </w:p>
    <w:p w14:paraId="62400DA0" w14:textId="77777777"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bookmarkStart w:id="13" w:name="_Hlk50653229"/>
      <w:r w:rsidRPr="0020148E">
        <w:rPr>
          <w:rFonts w:ascii="Times New Roman" w:hAnsi="Times New Roman" w:cs="Times New Roman"/>
          <w:noProof/>
          <w:color w:val="auto"/>
        </w:rPr>
        <w:t>A worker’s perspective: career-long posting</w:t>
      </w:r>
    </w:p>
    <w:bookmarkEnd w:id="13"/>
    <w:p w14:paraId="4E578BB1" w14:textId="4009BC96" w:rsidR="00C43B1E" w:rsidRPr="0020148E" w:rsidRDefault="00C43B1E" w:rsidP="00AA4437">
      <w:pPr>
        <w:spacing w:line="360" w:lineRule="auto"/>
        <w:rPr>
          <w:rFonts w:ascii="Times New Roman"/>
          <w:noProof/>
        </w:rPr>
      </w:pPr>
      <w:r w:rsidRPr="0020148E">
        <w:rPr>
          <w:rFonts w:ascii="Times New Roman"/>
          <w:noProof/>
        </w:rPr>
        <w:t>Whether the posting rule applies or not has a marked effect on the labour costs of employers and service recipients. But the posted workers themselves have the greatest stake in the applicable legislation, as it shapes not only their contribution duties, but also their social protection. Other things being equal, workers should be subject to the social security system of a State with which they have a meaningful connection.</w:t>
      </w:r>
      <w:bookmarkStart w:id="14" w:name="_Ref51094685"/>
      <w:r w:rsidRPr="0020148E">
        <w:rPr>
          <w:rStyle w:val="FootnoteReference"/>
          <w:rFonts w:ascii="Times New Roman"/>
          <w:noProof/>
        </w:rPr>
        <w:footnoteReference w:id="45"/>
      </w:r>
      <w:bookmarkEnd w:id="14"/>
      <w:r w:rsidRPr="0020148E">
        <w:rPr>
          <w:rFonts w:ascii="Times New Roman"/>
          <w:noProof/>
        </w:rPr>
        <w:t xml:space="preserve"> While many posted workers are strongly connected to the home State, this is a likelihood rather than a certainty. </w:t>
      </w:r>
    </w:p>
    <w:p w14:paraId="0F96D39B" w14:textId="259A62D2" w:rsidR="00C43B1E" w:rsidRPr="0020148E" w:rsidRDefault="00C43B1E" w:rsidP="00AA4437">
      <w:pPr>
        <w:spacing w:line="360" w:lineRule="auto"/>
        <w:rPr>
          <w:rFonts w:ascii="Times New Roman"/>
          <w:noProof/>
        </w:rPr>
      </w:pPr>
      <w:r w:rsidRPr="0020148E">
        <w:rPr>
          <w:rFonts w:ascii="Times New Roman"/>
          <w:noProof/>
        </w:rPr>
        <w:t>Little integration is needed before a worker is first posted. The condition that posted workers are “permanently resident” in the home State has long been dropped.</w:t>
      </w:r>
      <w:r w:rsidR="002253DB" w:rsidRPr="0020148E">
        <w:rPr>
          <w:rStyle w:val="FootnoteReference"/>
          <w:rFonts w:ascii="Times New Roman"/>
          <w:noProof/>
        </w:rPr>
        <w:footnoteReference w:id="46"/>
      </w:r>
      <w:r w:rsidRPr="0020148E">
        <w:rPr>
          <w:rFonts w:ascii="Times New Roman"/>
          <w:noProof/>
        </w:rPr>
        <w:t xml:space="preserve"> All that is required is that the worker was subject to the legislation of the </w:t>
      </w:r>
      <w:r w:rsidR="00942C7D" w:rsidRPr="0020148E">
        <w:rPr>
          <w:rFonts w:ascii="Times New Roman"/>
          <w:noProof/>
        </w:rPr>
        <w:t xml:space="preserve">home </w:t>
      </w:r>
      <w:r w:rsidRPr="0020148E">
        <w:rPr>
          <w:rFonts w:ascii="Times New Roman"/>
          <w:noProof/>
        </w:rPr>
        <w:t xml:space="preserve">State just before being hired by an employer, who </w:t>
      </w:r>
      <w:r w:rsidRPr="0020148E">
        <w:rPr>
          <w:rFonts w:ascii="Times New Roman"/>
          <w:noProof/>
        </w:rPr>
        <w:lastRenderedPageBreak/>
        <w:t>can immediately post him or her.</w:t>
      </w:r>
      <w:r w:rsidRPr="0020148E">
        <w:rPr>
          <w:rStyle w:val="FootnoteReference"/>
          <w:rFonts w:ascii="Times New Roman"/>
          <w:noProof/>
        </w:rPr>
        <w:footnoteReference w:id="47"/>
      </w:r>
      <w:r w:rsidRPr="0020148E">
        <w:rPr>
          <w:rFonts w:ascii="Times New Roman"/>
          <w:noProof/>
        </w:rPr>
        <w:t xml:space="preserve"> </w:t>
      </w:r>
      <w:bookmarkStart w:id="15" w:name="_Hlk50653220"/>
      <w:r w:rsidRPr="0020148E">
        <w:rPr>
          <w:rFonts w:ascii="Times New Roman"/>
          <w:noProof/>
        </w:rPr>
        <w:t xml:space="preserve">The Administrative Commission suggests that workers recruited </w:t>
      </w:r>
      <w:r w:rsidR="00942C7D" w:rsidRPr="0020148E">
        <w:rPr>
          <w:rFonts w:ascii="Times New Roman"/>
          <w:noProof/>
        </w:rPr>
        <w:t xml:space="preserve">in order </w:t>
      </w:r>
      <w:r w:rsidRPr="0020148E">
        <w:rPr>
          <w:rFonts w:ascii="Times New Roman"/>
          <w:noProof/>
        </w:rPr>
        <w:t xml:space="preserve">to be posted should have been subject to the legislation of the home State for one month before </w:t>
      </w:r>
      <w:r w:rsidR="00CA6882" w:rsidRPr="0020148E">
        <w:rPr>
          <w:rFonts w:ascii="Times New Roman"/>
          <w:noProof/>
        </w:rPr>
        <w:t>the posting</w:t>
      </w:r>
      <w:r w:rsidRPr="0020148E">
        <w:rPr>
          <w:rFonts w:ascii="Times New Roman"/>
          <w:noProof/>
        </w:rPr>
        <w:t>, with shorter periods being examined on a case-by-case basis.</w:t>
      </w:r>
      <w:r w:rsidRPr="0020148E">
        <w:rPr>
          <w:rStyle w:val="FootnoteReference"/>
          <w:rFonts w:ascii="Times New Roman"/>
          <w:noProof/>
        </w:rPr>
        <w:footnoteReference w:id="48"/>
      </w:r>
      <w:r w:rsidRPr="0020148E">
        <w:rPr>
          <w:rFonts w:ascii="Times New Roman"/>
          <w:noProof/>
        </w:rPr>
        <w:t xml:space="preserve"> As there is no trace of such a period (yet) in the case-law,</w:t>
      </w:r>
      <w:r w:rsidRPr="0020148E">
        <w:rPr>
          <w:rStyle w:val="FootnoteReference"/>
          <w:rFonts w:ascii="Times New Roman"/>
          <w:noProof/>
        </w:rPr>
        <w:footnoteReference w:id="49"/>
      </w:r>
      <w:r w:rsidRPr="0020148E">
        <w:rPr>
          <w:rFonts w:ascii="Times New Roman"/>
          <w:noProof/>
        </w:rPr>
        <w:t xml:space="preserve"> </w:t>
      </w:r>
      <w:bookmarkEnd w:id="15"/>
      <w:r w:rsidRPr="0020148E">
        <w:rPr>
          <w:rFonts w:ascii="Times New Roman"/>
          <w:noProof/>
        </w:rPr>
        <w:t>one day can suffice.</w:t>
      </w:r>
      <w:r w:rsidRPr="0020148E">
        <w:rPr>
          <w:rStyle w:val="FootnoteReference"/>
          <w:rFonts w:ascii="Times New Roman"/>
          <w:noProof/>
        </w:rPr>
        <w:footnoteReference w:id="50"/>
      </w:r>
    </w:p>
    <w:p w14:paraId="28408DAB" w14:textId="68C6062A" w:rsidR="00C43B1E" w:rsidRPr="0020148E" w:rsidRDefault="00C43B1E" w:rsidP="00AA4437">
      <w:pPr>
        <w:spacing w:line="360" w:lineRule="auto"/>
        <w:rPr>
          <w:rFonts w:ascii="Times New Roman"/>
          <w:noProof/>
        </w:rPr>
      </w:pPr>
      <w:r w:rsidRPr="0020148E">
        <w:rPr>
          <w:rFonts w:ascii="Times New Roman"/>
          <w:noProof/>
        </w:rPr>
        <w:t xml:space="preserve">While posted, it is inevitable that the worker is mostly or entirely absent from the </w:t>
      </w:r>
      <w:r w:rsidR="00EF4C14" w:rsidRPr="0020148E">
        <w:rPr>
          <w:rFonts w:ascii="Times New Roman"/>
          <w:noProof/>
        </w:rPr>
        <w:t xml:space="preserve">home </w:t>
      </w:r>
      <w:r w:rsidRPr="0020148E">
        <w:rPr>
          <w:rFonts w:ascii="Times New Roman"/>
          <w:noProof/>
        </w:rPr>
        <w:t>State.</w:t>
      </w:r>
      <w:r w:rsidRPr="0020148E">
        <w:rPr>
          <w:rFonts w:ascii="Times New Roman"/>
          <w:iCs/>
          <w:noProof/>
        </w:rPr>
        <w:t xml:space="preserve"> </w:t>
      </w:r>
      <w:r w:rsidRPr="0020148E">
        <w:rPr>
          <w:rFonts w:ascii="Times New Roman"/>
          <w:noProof/>
        </w:rPr>
        <w:t xml:space="preserve">Although no personal links are required during the posting, the worker ought to be connected to the posting undertaking, which in turn ought to be connected to the </w:t>
      </w:r>
      <w:r w:rsidR="00EF4C14" w:rsidRPr="0020148E">
        <w:rPr>
          <w:rFonts w:ascii="Times New Roman"/>
          <w:noProof/>
        </w:rPr>
        <w:t xml:space="preserve">home </w:t>
      </w:r>
      <w:r w:rsidRPr="0020148E">
        <w:rPr>
          <w:rFonts w:ascii="Times New Roman"/>
          <w:noProof/>
        </w:rPr>
        <w:t xml:space="preserve">State. </w:t>
      </w:r>
      <w:r w:rsidRPr="0020148E">
        <w:rPr>
          <w:rFonts w:ascii="Times New Roman"/>
          <w:iCs/>
          <w:noProof/>
        </w:rPr>
        <w:t>The posting undertaking and the posted worker must remain bound by “a direct link”.</w:t>
      </w:r>
      <w:r w:rsidRPr="0020148E">
        <w:rPr>
          <w:rStyle w:val="FootnoteReference"/>
          <w:rFonts w:ascii="Times New Roman"/>
          <w:iCs/>
          <w:noProof/>
        </w:rPr>
        <w:footnoteReference w:id="51"/>
      </w:r>
      <w:r w:rsidRPr="0020148E">
        <w:rPr>
          <w:rFonts w:ascii="Times New Roman"/>
          <w:iCs/>
          <w:noProof/>
        </w:rPr>
        <w:t xml:space="preserve"> The latter must be an employee of the former and remain under its authority.</w:t>
      </w:r>
      <w:r w:rsidRPr="0020148E">
        <w:rPr>
          <w:rFonts w:ascii="Times New Roman"/>
          <w:noProof/>
        </w:rPr>
        <w:t xml:space="preserve"> And, as indicated, the posting undertaking must ordinarily perform substantial activities in the </w:t>
      </w:r>
      <w:r w:rsidR="00EF4C14" w:rsidRPr="0020148E">
        <w:rPr>
          <w:rFonts w:ascii="Times New Roman"/>
          <w:noProof/>
        </w:rPr>
        <w:t xml:space="preserve">home </w:t>
      </w:r>
      <w:r w:rsidRPr="0020148E">
        <w:rPr>
          <w:rFonts w:ascii="Times New Roman"/>
          <w:noProof/>
        </w:rPr>
        <w:t>State.</w:t>
      </w:r>
    </w:p>
    <w:p w14:paraId="4F87A0FA" w14:textId="77777777" w:rsidR="00C43B1E" w:rsidRPr="0020148E" w:rsidRDefault="00C43B1E" w:rsidP="00AA4437">
      <w:pPr>
        <w:spacing w:line="360" w:lineRule="auto"/>
        <w:rPr>
          <w:rFonts w:ascii="Times New Roman"/>
          <w:noProof/>
        </w:rPr>
      </w:pPr>
      <w:r w:rsidRPr="0020148E">
        <w:rPr>
          <w:rFonts w:ascii="Times New Roman"/>
          <w:noProof/>
        </w:rPr>
        <w:t>The lack of guarantees of integration before and during the posting is not compensated afterwards. The longer the posting, the more the worker’s links with the home State dwindle. If the tie between integration and social protection is not to be severed, the worker should return to that State within and for a certain period of time. This idea is poorly captured by Regulation 883/2004. The two-year maximum limits the duration of a single posting rather than the total time the worker spends outside the home State. The non-replacement condition bans repeated postings to one service recipient, but allows one worker to be continuously posted to different service recipients, certainly if they are based in different Member States.</w:t>
      </w:r>
      <w:r w:rsidRPr="0020148E">
        <w:rPr>
          <w:rStyle w:val="FootnoteReference"/>
          <w:rFonts w:ascii="Times New Roman"/>
          <w:iCs/>
          <w:noProof/>
        </w:rPr>
        <w:footnoteReference w:id="52"/>
      </w:r>
      <w:r w:rsidRPr="0020148E">
        <w:rPr>
          <w:rFonts w:ascii="Times New Roman"/>
          <w:iCs/>
          <w:noProof/>
        </w:rPr>
        <w:t xml:space="preserve"> As t</w:t>
      </w:r>
      <w:r w:rsidRPr="0020148E">
        <w:rPr>
          <w:rFonts w:ascii="Times New Roman"/>
          <w:noProof/>
        </w:rPr>
        <w:t xml:space="preserve">he Regulation sets no “homecoming” requirement, workers can be posted for their entire career. </w:t>
      </w:r>
    </w:p>
    <w:p w14:paraId="21377814" w14:textId="6D2274C2" w:rsidR="00C43B1E" w:rsidRPr="0020148E" w:rsidRDefault="00C43B1E" w:rsidP="00AA4437">
      <w:pPr>
        <w:spacing w:line="360" w:lineRule="auto"/>
        <w:rPr>
          <w:rFonts w:ascii="Times New Roman"/>
          <w:noProof/>
        </w:rPr>
      </w:pPr>
      <w:r w:rsidRPr="0020148E">
        <w:rPr>
          <w:rFonts w:ascii="Times New Roman"/>
          <w:noProof/>
        </w:rPr>
        <w:t xml:space="preserve">Of course, a worker might have been integrated in the home State before being posted, might maintain connections with that State while posted, and might return to work there afterwards. Many posted workers may fit that description, but these are not </w:t>
      </w:r>
      <w:r w:rsidRPr="0020148E">
        <w:rPr>
          <w:rFonts w:ascii="Times New Roman"/>
          <w:i/>
          <w:noProof/>
        </w:rPr>
        <w:t>legal</w:t>
      </w:r>
      <w:r w:rsidRPr="0020148E">
        <w:rPr>
          <w:rFonts w:ascii="Times New Roman"/>
          <w:noProof/>
        </w:rPr>
        <w:t xml:space="preserve"> requirements. A worker who first sets foot in Portugal on Monday, works a shift for a temporary employment agency on Tuesday, can be hired by a company on Wednesday and posted without further ado. This worker can remain affiliated to the Portuguese social security system for his or her entire career, without ever returning to Portugal.</w:t>
      </w:r>
      <w:r w:rsidRPr="0020148E">
        <w:rPr>
          <w:rStyle w:val="FootnoteReference"/>
          <w:rFonts w:ascii="Times New Roman"/>
          <w:noProof/>
        </w:rPr>
        <w:footnoteReference w:id="53"/>
      </w:r>
      <w:r w:rsidRPr="0020148E">
        <w:rPr>
          <w:rFonts w:ascii="Times New Roman"/>
          <w:noProof/>
        </w:rPr>
        <w:t xml:space="preserve"> The posting rule allows a near-complete divorce between workers’ integration and their social protection. The employment relationship is </w:t>
      </w:r>
      <w:r w:rsidR="00F30868" w:rsidRPr="0020148E">
        <w:rPr>
          <w:rFonts w:ascii="Times New Roman"/>
          <w:noProof/>
        </w:rPr>
        <w:t xml:space="preserve">then </w:t>
      </w:r>
      <w:r w:rsidRPr="0020148E">
        <w:rPr>
          <w:rFonts w:ascii="Times New Roman"/>
          <w:noProof/>
        </w:rPr>
        <w:t>uprooted, not temporarily, but durably.</w:t>
      </w:r>
      <w:r w:rsidRPr="0020148E">
        <w:rPr>
          <w:rStyle w:val="FootnoteReference"/>
          <w:rFonts w:ascii="Times New Roman"/>
          <w:noProof/>
        </w:rPr>
        <w:footnoteReference w:id="54"/>
      </w:r>
      <w:r w:rsidRPr="0020148E">
        <w:rPr>
          <w:rFonts w:ascii="Times New Roman"/>
          <w:noProof/>
        </w:rPr>
        <w:t xml:space="preserve"> </w:t>
      </w:r>
    </w:p>
    <w:p w14:paraId="68066843" w14:textId="5DE61FAD" w:rsidR="00C43B1E" w:rsidRPr="0020148E" w:rsidRDefault="00C43B1E" w:rsidP="00AA4437">
      <w:pPr>
        <w:spacing w:line="360" w:lineRule="auto"/>
        <w:rPr>
          <w:rFonts w:ascii="Times New Roman"/>
          <w:noProof/>
        </w:rPr>
      </w:pPr>
      <w:r w:rsidRPr="0020148E">
        <w:rPr>
          <w:rFonts w:ascii="Times New Roman"/>
          <w:noProof/>
        </w:rPr>
        <w:lastRenderedPageBreak/>
        <w:t xml:space="preserve">Amendments to the social security Regulations are currently being negotiated. The latest available text is </w:t>
      </w:r>
      <w:r w:rsidR="00F30868" w:rsidRPr="0020148E">
        <w:rPr>
          <w:rFonts w:ascii="Times New Roman"/>
          <w:noProof/>
        </w:rPr>
        <w:t xml:space="preserve">a </w:t>
      </w:r>
      <w:r w:rsidRPr="0020148E">
        <w:rPr>
          <w:rFonts w:ascii="Times New Roman"/>
          <w:noProof/>
        </w:rPr>
        <w:t xml:space="preserve">trilogue compromise that was </w:t>
      </w:r>
      <w:r w:rsidR="00F30868" w:rsidRPr="0020148E">
        <w:rPr>
          <w:rFonts w:ascii="Times New Roman"/>
          <w:noProof/>
        </w:rPr>
        <w:t xml:space="preserve">narrowly </w:t>
      </w:r>
      <w:r w:rsidRPr="0020148E">
        <w:rPr>
          <w:rFonts w:ascii="Times New Roman"/>
          <w:noProof/>
        </w:rPr>
        <w:t>defeated in the Council in March 2019 (hereinafter the “Draft Regulation”). It would slightly contribute to restoring the nexus between integration and protection, first, by introducing a minimum period of prior affiliation for those worker</w:t>
      </w:r>
      <w:r w:rsidR="00F30868" w:rsidRPr="0020148E">
        <w:rPr>
          <w:rFonts w:ascii="Times New Roman"/>
          <w:noProof/>
        </w:rPr>
        <w:t>s</w:t>
      </w:r>
      <w:r w:rsidRPr="0020148E">
        <w:rPr>
          <w:rFonts w:ascii="Times New Roman"/>
          <w:noProof/>
        </w:rPr>
        <w:t xml:space="preserve"> who were recruited with a view to being posted, so as to reinforce their “link with the social security system of the Member State of origin.”</w:t>
      </w:r>
      <w:r w:rsidRPr="0020148E">
        <w:rPr>
          <w:rFonts w:ascii="Times New Roman"/>
          <w:noProof/>
          <w:vertAlign w:val="superscript"/>
        </w:rPr>
        <w:footnoteReference w:id="55"/>
      </w:r>
      <w:r w:rsidRPr="0020148E">
        <w:rPr>
          <w:rFonts w:ascii="Times New Roman"/>
          <w:noProof/>
        </w:rPr>
        <w:t xml:space="preserve"> </w:t>
      </w:r>
      <w:bookmarkStart w:id="16" w:name="_Hlk51064171"/>
      <w:r w:rsidRPr="0020148E">
        <w:rPr>
          <w:rFonts w:ascii="Times New Roman"/>
          <w:noProof/>
        </w:rPr>
        <w:t>They can be posted only if they have been subject to its legislation for the three months immediately preceding the start of their job.</w:t>
      </w:r>
      <w:r w:rsidRPr="0020148E">
        <w:rPr>
          <w:rFonts w:ascii="Times New Roman"/>
          <w:noProof/>
          <w:vertAlign w:val="superscript"/>
        </w:rPr>
        <w:footnoteReference w:id="56"/>
      </w:r>
      <w:r w:rsidRPr="0020148E">
        <w:rPr>
          <w:rFonts w:ascii="Times New Roman"/>
          <w:noProof/>
        </w:rPr>
        <w:t xml:space="preserve"> The Draft Regulation would also impose a waiting period between postings: a worker who has been posted for 24 months would in principle have to wait two months before he or she can be posted again.</w:t>
      </w:r>
      <w:r w:rsidRPr="0020148E">
        <w:rPr>
          <w:rStyle w:val="FootnoteReference"/>
          <w:rFonts w:ascii="Times New Roman"/>
          <w:noProof/>
        </w:rPr>
        <w:footnoteReference w:id="57"/>
      </w:r>
      <w:r w:rsidRPr="0020148E">
        <w:rPr>
          <w:rFonts w:ascii="Times New Roman"/>
          <w:noProof/>
        </w:rPr>
        <w:t xml:space="preserve"> </w:t>
      </w:r>
      <w:bookmarkEnd w:id="16"/>
      <w:r w:rsidRPr="0020148E">
        <w:rPr>
          <w:rFonts w:ascii="Times New Roman"/>
          <w:noProof/>
        </w:rPr>
        <w:t xml:space="preserve">Both interventions would be small steps in the right direction, but neither guarantees that posted workers are meaningfully connected to the competent State. </w:t>
      </w:r>
    </w:p>
    <w:p w14:paraId="58DAB9BD" w14:textId="77777777"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bookmarkStart w:id="17" w:name="_Hlk50654017"/>
      <w:r w:rsidRPr="0020148E">
        <w:rPr>
          <w:rFonts w:ascii="Times New Roman" w:hAnsi="Times New Roman" w:cs="Times New Roman"/>
          <w:noProof/>
          <w:color w:val="auto"/>
        </w:rPr>
        <w:t>The wheat and the chaff</w:t>
      </w:r>
    </w:p>
    <w:bookmarkEnd w:id="17"/>
    <w:p w14:paraId="5A147AF9" w14:textId="51706BFC" w:rsidR="00C43B1E" w:rsidRPr="0020148E" w:rsidRDefault="00C43B1E" w:rsidP="00AA4437">
      <w:pPr>
        <w:spacing w:line="360" w:lineRule="auto"/>
        <w:rPr>
          <w:rFonts w:ascii="Times New Roman"/>
          <w:noProof/>
        </w:rPr>
      </w:pPr>
      <w:r w:rsidRPr="0020148E">
        <w:rPr>
          <w:rFonts w:ascii="Times New Roman"/>
          <w:noProof/>
        </w:rPr>
        <w:t>When should opportunities for law shopping be curbed? One theme running through this section is that conflict rules are problematic whe</w:t>
      </w:r>
      <w:r w:rsidR="00294054" w:rsidRPr="0020148E">
        <w:rPr>
          <w:rFonts w:ascii="Times New Roman"/>
          <w:noProof/>
        </w:rPr>
        <w:t>n</w:t>
      </w:r>
      <w:r w:rsidRPr="0020148E">
        <w:rPr>
          <w:rFonts w:ascii="Times New Roman"/>
          <w:noProof/>
        </w:rPr>
        <w:t xml:space="preserve"> they enable undertakings to choose the applicable law “on the cheap”. This would be the case if all it took was to set up a letterbox company or organise a rotation of posted workers. The benefits of law shopping would far outweigh its cost, making it an appealing proposition for undertakings. Because of its negative externalities, law shopping should not be all too easy. Its costs are borne by third parties: local competitors suffer from unfair competition, which in turn might affect their staff’s working conditions and employability; and the circumvented social security system experiences a </w:t>
      </w:r>
      <w:r w:rsidR="00294054" w:rsidRPr="0020148E">
        <w:rPr>
          <w:rFonts w:ascii="Times New Roman"/>
          <w:noProof/>
        </w:rPr>
        <w:t xml:space="preserve">net </w:t>
      </w:r>
      <w:r w:rsidRPr="0020148E">
        <w:rPr>
          <w:rFonts w:ascii="Times New Roman"/>
          <w:noProof/>
        </w:rPr>
        <w:t>shortfall in revenue</w:t>
      </w:r>
      <w:r w:rsidRPr="0020148E">
        <w:rPr>
          <w:rStyle w:val="FootnoteReference"/>
          <w:rFonts w:ascii="Times New Roman"/>
          <w:noProof/>
        </w:rPr>
        <w:footnoteReference w:id="58"/>
      </w:r>
      <w:r w:rsidRPr="0020148E">
        <w:rPr>
          <w:rFonts w:ascii="Times New Roman"/>
          <w:noProof/>
        </w:rPr>
        <w:t xml:space="preserve"> and possibly a downwards pressure. For the posted workers themselves, law shopping tends to entail a trade-off between diminished social protection and improved employability. Given their inferior bargaining position, they are unlikely to have much choice in the matter—</w:t>
      </w:r>
      <w:bookmarkStart w:id="18" w:name="_Hlk51064223"/>
      <w:r w:rsidRPr="0020148E">
        <w:rPr>
          <w:rFonts w:ascii="Times New Roman"/>
          <w:noProof/>
        </w:rPr>
        <w:t>indeed, that is the very reason why workers are protected against the consequences of contractually choosing an unfavourable labour law.</w:t>
      </w:r>
      <w:r w:rsidRPr="0020148E">
        <w:rPr>
          <w:rStyle w:val="FootnoteReference"/>
          <w:rFonts w:ascii="Times New Roman"/>
          <w:noProof/>
        </w:rPr>
        <w:footnoteReference w:id="59"/>
      </w:r>
      <w:r w:rsidRPr="0020148E">
        <w:rPr>
          <w:rFonts w:ascii="Times New Roman"/>
          <w:noProof/>
        </w:rPr>
        <w:t xml:space="preserve"> </w:t>
      </w:r>
    </w:p>
    <w:bookmarkEnd w:id="18"/>
    <w:p w14:paraId="5EBE9133" w14:textId="77777777" w:rsidR="00C43B1E" w:rsidRPr="0020148E" w:rsidRDefault="00C43B1E" w:rsidP="00AA4437">
      <w:pPr>
        <w:spacing w:line="360" w:lineRule="auto"/>
        <w:rPr>
          <w:rFonts w:ascii="Times New Roman"/>
          <w:noProof/>
        </w:rPr>
      </w:pPr>
      <w:r w:rsidRPr="0020148E">
        <w:rPr>
          <w:rFonts w:ascii="Times New Roman"/>
          <w:noProof/>
        </w:rPr>
        <w:t xml:space="preserve">A second criterion that emerges from the above pages concerns the social protection of workers rather than the contribution burdens of undertakings. Ideally, conflict rules would base social protection on the worker’s integration. Despite commendable efforts against letterbox companies and carousels, EU law fails to guarantee a modicum of integration of posted workers in the competent State. </w:t>
      </w:r>
    </w:p>
    <w:p w14:paraId="4FD53D33" w14:textId="3F9F87DA" w:rsidR="00C43B1E" w:rsidRPr="0020148E" w:rsidRDefault="00C43B1E" w:rsidP="00AA4437">
      <w:pPr>
        <w:spacing w:line="360" w:lineRule="auto"/>
        <w:rPr>
          <w:rFonts w:ascii="Times New Roman"/>
          <w:noProof/>
        </w:rPr>
      </w:pPr>
      <w:r w:rsidRPr="0020148E">
        <w:rPr>
          <w:rFonts w:ascii="Times New Roman"/>
          <w:noProof/>
        </w:rPr>
        <w:lastRenderedPageBreak/>
        <w:t>The</w:t>
      </w:r>
      <w:r w:rsidR="0059107F" w:rsidRPr="0020148E">
        <w:rPr>
          <w:rFonts w:ascii="Times New Roman"/>
          <w:noProof/>
        </w:rPr>
        <w:t xml:space="preserve"> two</w:t>
      </w:r>
      <w:r w:rsidRPr="0020148E">
        <w:rPr>
          <w:rFonts w:ascii="Times New Roman"/>
          <w:noProof/>
        </w:rPr>
        <w:t xml:space="preserve"> criteria are related. The easier it is for undertakings to manipulate the applicable legislation, the greater the risk that they select a law to which their employees are tenuously if at all connected. Together, the </w:t>
      </w:r>
      <w:r w:rsidR="0059107F" w:rsidRPr="0020148E">
        <w:rPr>
          <w:rFonts w:ascii="Times New Roman"/>
          <w:noProof/>
        </w:rPr>
        <w:t xml:space="preserve">evaluative </w:t>
      </w:r>
      <w:r w:rsidRPr="0020148E">
        <w:rPr>
          <w:rFonts w:ascii="Times New Roman"/>
          <w:noProof/>
        </w:rPr>
        <w:t xml:space="preserve">criteria help to separate </w:t>
      </w:r>
      <w:r w:rsidR="0059107F" w:rsidRPr="0020148E">
        <w:rPr>
          <w:rFonts w:ascii="Times New Roman"/>
          <w:noProof/>
        </w:rPr>
        <w:t xml:space="preserve">unobjectionable </w:t>
      </w:r>
      <w:r w:rsidRPr="0020148E">
        <w:rPr>
          <w:rFonts w:ascii="Times New Roman"/>
          <w:noProof/>
        </w:rPr>
        <w:t>exercises of free movement rights from undesirable forms of law shopping.</w:t>
      </w:r>
    </w:p>
    <w:p w14:paraId="4299A80A" w14:textId="77777777" w:rsidR="00C43B1E" w:rsidRPr="0020148E" w:rsidRDefault="00C43B1E" w:rsidP="00AA4437">
      <w:pPr>
        <w:pStyle w:val="Heading1"/>
        <w:numPr>
          <w:ilvl w:val="0"/>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The multi-activity rule</w:t>
      </w:r>
    </w:p>
    <w:p w14:paraId="1BD071A9" w14:textId="558D5EBE" w:rsidR="00C43B1E" w:rsidRPr="0020148E" w:rsidRDefault="00C43B1E" w:rsidP="00AA4437">
      <w:pPr>
        <w:spacing w:line="360" w:lineRule="auto"/>
        <w:rPr>
          <w:rFonts w:ascii="Times New Roman"/>
          <w:noProof/>
        </w:rPr>
      </w:pPr>
      <w:r w:rsidRPr="0020148E">
        <w:rPr>
          <w:rFonts w:ascii="Times New Roman"/>
          <w:noProof/>
        </w:rPr>
        <w:t xml:space="preserve">Neither the </w:t>
      </w:r>
      <w:r w:rsidRPr="0020148E">
        <w:rPr>
          <w:rFonts w:ascii="Times New Roman"/>
          <w:i/>
          <w:iCs/>
          <w:noProof/>
        </w:rPr>
        <w:t>lex loci laboris</w:t>
      </w:r>
      <w:r w:rsidRPr="0020148E">
        <w:rPr>
          <w:rFonts w:ascii="Times New Roman"/>
          <w:noProof/>
        </w:rPr>
        <w:t xml:space="preserve"> nor the posting rule are suited for those who normally (rather than temporarily) work in two or more States. Regulation 883/2004 instead provides separate conflict rules for them. </w:t>
      </w:r>
      <w:bookmarkStart w:id="19" w:name="_Hlk51064395"/>
      <w:r w:rsidRPr="0020148E">
        <w:rPr>
          <w:rFonts w:ascii="Times New Roman"/>
          <w:noProof/>
        </w:rPr>
        <w:t>As their use gr</w:t>
      </w:r>
      <w:r w:rsidR="00083081" w:rsidRPr="0020148E">
        <w:rPr>
          <w:rFonts w:ascii="Times New Roman"/>
          <w:noProof/>
        </w:rPr>
        <w:t>o</w:t>
      </w:r>
      <w:r w:rsidRPr="0020148E">
        <w:rPr>
          <w:rFonts w:ascii="Times New Roman"/>
          <w:noProof/>
        </w:rPr>
        <w:t>w</w:t>
      </w:r>
      <w:bookmarkStart w:id="20" w:name="_Hlk51061512"/>
      <w:r w:rsidR="00083081" w:rsidRPr="0020148E">
        <w:rPr>
          <w:rFonts w:ascii="Times New Roman"/>
          <w:noProof/>
        </w:rPr>
        <w:t>s</w:t>
      </w:r>
      <w:r w:rsidRPr="0020148E">
        <w:rPr>
          <w:rFonts w:ascii="Times New Roman"/>
          <w:noProof/>
        </w:rPr>
        <w:t>—the number of certificates quintupled between 2010 and 2018</w:t>
      </w:r>
      <w:r w:rsidRPr="0020148E">
        <w:rPr>
          <w:rStyle w:val="FootnoteReference"/>
          <w:rFonts w:ascii="Times New Roman"/>
          <w:noProof/>
        </w:rPr>
        <w:footnoteReference w:id="60"/>
      </w:r>
      <w:r w:rsidRPr="0020148E">
        <w:rPr>
          <w:rFonts w:ascii="Times New Roman"/>
          <w:noProof/>
        </w:rPr>
        <w:t>—so d</w:t>
      </w:r>
      <w:r w:rsidR="00083081" w:rsidRPr="0020148E">
        <w:rPr>
          <w:rFonts w:ascii="Times New Roman"/>
          <w:noProof/>
        </w:rPr>
        <w:t>oes</w:t>
      </w:r>
      <w:r w:rsidRPr="0020148E">
        <w:rPr>
          <w:rFonts w:ascii="Times New Roman"/>
          <w:noProof/>
        </w:rPr>
        <w:t xml:space="preserve"> the awareness of their potential misuse, </w:t>
      </w:r>
      <w:bookmarkEnd w:id="20"/>
      <w:r w:rsidRPr="0020148E">
        <w:rPr>
          <w:rFonts w:ascii="Times New Roman"/>
          <w:noProof/>
        </w:rPr>
        <w:t>which both the last substantial amendment to Regulation 883/2004 and the Draft Regulation seek to thwart.</w:t>
      </w:r>
      <w:r w:rsidRPr="0020148E">
        <w:rPr>
          <w:rStyle w:val="FootnoteReference"/>
          <w:rFonts w:ascii="Times New Roman"/>
          <w:noProof/>
        </w:rPr>
        <w:footnoteReference w:id="61"/>
      </w:r>
      <w:bookmarkEnd w:id="19"/>
      <w:r w:rsidRPr="0020148E">
        <w:rPr>
          <w:rFonts w:ascii="Times New Roman"/>
          <w:noProof/>
        </w:rPr>
        <w:t xml:space="preserve"> </w:t>
      </w:r>
    </w:p>
    <w:p w14:paraId="26A514B2" w14:textId="404009C0" w:rsidR="00C43B1E" w:rsidRPr="0020148E" w:rsidRDefault="00C43B1E" w:rsidP="00AA4437">
      <w:pPr>
        <w:spacing w:line="360" w:lineRule="auto"/>
        <w:rPr>
          <w:rFonts w:ascii="Times New Roman"/>
          <w:noProof/>
        </w:rPr>
      </w:pPr>
      <w:r w:rsidRPr="0020148E">
        <w:rPr>
          <w:rFonts w:ascii="Times New Roman"/>
          <w:noProof/>
        </w:rPr>
        <w:t>One issue th</w:t>
      </w:r>
      <w:r w:rsidR="00083081" w:rsidRPr="0020148E">
        <w:rPr>
          <w:rFonts w:ascii="Times New Roman"/>
          <w:noProof/>
        </w:rPr>
        <w:t>e</w:t>
      </w:r>
      <w:r w:rsidRPr="0020148E">
        <w:rPr>
          <w:rFonts w:ascii="Times New Roman"/>
          <w:noProof/>
        </w:rPr>
        <w:t xml:space="preserve">se conflict rules throw up can be illustrated by the </w:t>
      </w:r>
      <w:r w:rsidRPr="0020148E">
        <w:rPr>
          <w:rFonts w:ascii="Times New Roman"/>
          <w:i/>
          <w:noProof/>
        </w:rPr>
        <w:t xml:space="preserve">Calle </w:t>
      </w:r>
      <w:r w:rsidRPr="0020148E">
        <w:rPr>
          <w:rFonts w:ascii="Times New Roman"/>
          <w:noProof/>
        </w:rPr>
        <w:t>case.</w:t>
      </w:r>
      <w:r w:rsidRPr="0020148E">
        <w:rPr>
          <w:rStyle w:val="FootnoteReference"/>
          <w:rFonts w:ascii="Times New Roman"/>
          <w:noProof/>
        </w:rPr>
        <w:footnoteReference w:id="62"/>
      </w:r>
      <w:r w:rsidRPr="0020148E">
        <w:rPr>
          <w:rFonts w:ascii="Times New Roman"/>
          <w:noProof/>
        </w:rPr>
        <w:t xml:space="preserve"> The </w:t>
      </w:r>
      <w:bookmarkStart w:id="21" w:name="_Hlk49969757"/>
      <w:r w:rsidRPr="0020148E">
        <w:rPr>
          <w:rFonts w:ascii="Times New Roman"/>
          <w:noProof/>
        </w:rPr>
        <w:t>question was whether a German retailer established close to the Danish border ought to pay German or Danish social security contributions</w:t>
      </w:r>
      <w:bookmarkEnd w:id="21"/>
      <w:r w:rsidRPr="0020148E">
        <w:rPr>
          <w:rFonts w:ascii="Times New Roman"/>
          <w:noProof/>
        </w:rPr>
        <w:t xml:space="preserve">. For at least five years, one of Calle’s employees, Mr Wandahl, was primarily active in Germany, but also worked in Denmark, where he lived, for about ten hours each week. The ECJ confirmed that he was subject only to Danish law. Given that employers’ contribution rates are negligible in Denmark and </w:t>
      </w:r>
      <w:r w:rsidR="00D742D0" w:rsidRPr="0020148E">
        <w:rPr>
          <w:rFonts w:ascii="Times New Roman"/>
          <w:noProof/>
        </w:rPr>
        <w:t xml:space="preserve">relatively </w:t>
      </w:r>
      <w:r w:rsidRPr="0020148E">
        <w:rPr>
          <w:rFonts w:ascii="Times New Roman"/>
          <w:noProof/>
        </w:rPr>
        <w:t>high in Germany,</w:t>
      </w:r>
      <w:r w:rsidRPr="0020148E">
        <w:rPr>
          <w:rFonts w:ascii="Times New Roman"/>
          <w:iCs/>
          <w:noProof/>
        </w:rPr>
        <w:t xml:space="preserve"> Calle could employ staff in Germany at lower cost than its competitors</w:t>
      </w:r>
      <w:r w:rsidRPr="0020148E">
        <w:rPr>
          <w:rFonts w:ascii="Times New Roman"/>
          <w:noProof/>
        </w:rPr>
        <w:t xml:space="preserve">. </w:t>
      </w:r>
      <w:r w:rsidRPr="0020148E">
        <w:rPr>
          <w:rFonts w:ascii="Times New Roman"/>
          <w:iCs/>
          <w:noProof/>
        </w:rPr>
        <w:t xml:space="preserve">Had Mr Wandahl instead been </w:t>
      </w:r>
      <w:r w:rsidRPr="0020148E">
        <w:rPr>
          <w:rFonts w:ascii="Times New Roman"/>
          <w:noProof/>
        </w:rPr>
        <w:t xml:space="preserve">subject only to German law, </w:t>
      </w:r>
      <w:r w:rsidRPr="0020148E">
        <w:rPr>
          <w:rFonts w:ascii="Times New Roman"/>
          <w:iCs/>
          <w:noProof/>
        </w:rPr>
        <w:t xml:space="preserve">Calle would have been put at a </w:t>
      </w:r>
      <w:r w:rsidRPr="0020148E">
        <w:rPr>
          <w:rFonts w:ascii="Times New Roman"/>
          <w:noProof/>
        </w:rPr>
        <w:t>competitive disadvantage, as his activities in Denmark would have been charged at the higher German rate. Any attempt to subject a person who normally pursues his or her activities in two Member States to the laws of one State inevitably creates a competitive imbalance on the territory of the other State.</w:t>
      </w:r>
      <w:r w:rsidRPr="0020148E">
        <w:rPr>
          <w:rStyle w:val="FootnoteReference"/>
          <w:rFonts w:ascii="Times New Roman"/>
          <w:noProof/>
        </w:rPr>
        <w:footnoteReference w:id="63"/>
      </w:r>
    </w:p>
    <w:p w14:paraId="2617C243" w14:textId="04D4E555" w:rsidR="00C43B1E" w:rsidRPr="0020148E" w:rsidRDefault="00C43B1E" w:rsidP="00AA4437">
      <w:pPr>
        <w:spacing w:line="360" w:lineRule="auto"/>
        <w:rPr>
          <w:rFonts w:ascii="Times New Roman"/>
          <w:iCs/>
          <w:noProof/>
        </w:rPr>
      </w:pPr>
      <w:r w:rsidRPr="0020148E">
        <w:rPr>
          <w:rFonts w:ascii="Times New Roman"/>
          <w:noProof/>
        </w:rPr>
        <w:t xml:space="preserve">The solution most apt to ensure regulatory neutrality would be to subject a worker to the legislation of each State as regards the activity pursued there. </w:t>
      </w:r>
      <w:bookmarkStart w:id="22" w:name="_Hlk51063249"/>
      <w:r w:rsidRPr="0020148E">
        <w:rPr>
          <w:rFonts w:ascii="Times New Roman"/>
          <w:noProof/>
        </w:rPr>
        <w:t>The predecessor of Regulation 883/2004 provided such a possibility:</w:t>
      </w:r>
      <w:r w:rsidRPr="0020148E">
        <w:rPr>
          <w:rFonts w:ascii="Times New Roman"/>
          <w:iCs/>
          <w:noProof/>
        </w:rPr>
        <w:t xml:space="preserve"> in certain cases, each activity was charged at the </w:t>
      </w:r>
      <w:r w:rsidRPr="0020148E">
        <w:rPr>
          <w:rFonts w:ascii="Times New Roman"/>
          <w:noProof/>
        </w:rPr>
        <w:t>local rate</w:t>
      </w:r>
      <w:r w:rsidRPr="0020148E">
        <w:rPr>
          <w:rFonts w:ascii="Times New Roman"/>
          <w:iCs/>
          <w:noProof/>
        </w:rPr>
        <w:t>.</w:t>
      </w:r>
      <w:r w:rsidRPr="0020148E">
        <w:rPr>
          <w:rStyle w:val="FootnoteReference"/>
          <w:rFonts w:ascii="Times New Roman"/>
          <w:noProof/>
        </w:rPr>
        <w:footnoteReference w:id="64"/>
      </w:r>
      <w:r w:rsidRPr="0020148E">
        <w:rPr>
          <w:rFonts w:ascii="Times New Roman"/>
          <w:iCs/>
          <w:noProof/>
        </w:rPr>
        <w:t xml:space="preserve"> </w:t>
      </w:r>
      <w:bookmarkEnd w:id="22"/>
      <w:r w:rsidRPr="0020148E">
        <w:rPr>
          <w:rFonts w:ascii="Times New Roman"/>
          <w:iCs/>
          <w:noProof/>
        </w:rPr>
        <w:t xml:space="preserve">But </w:t>
      </w:r>
      <w:r w:rsidRPr="0020148E">
        <w:rPr>
          <w:rFonts w:ascii="Times New Roman"/>
          <w:noProof/>
        </w:rPr>
        <w:t>such concurrent application of several legal orders entailed</w:t>
      </w:r>
      <w:r w:rsidRPr="0020148E">
        <w:rPr>
          <w:rFonts w:ascii="Times New Roman"/>
          <w:iCs/>
          <w:noProof/>
        </w:rPr>
        <w:t xml:space="preserve"> a high administrative burden and the risk that social protection would be excessive or insufficient.</w:t>
      </w:r>
      <w:r w:rsidRPr="0020148E">
        <w:rPr>
          <w:rStyle w:val="FootnoteReference"/>
          <w:rFonts w:ascii="Times New Roman"/>
          <w:iCs/>
          <w:noProof/>
        </w:rPr>
        <w:footnoteReference w:id="65"/>
      </w:r>
      <w:r w:rsidRPr="0020148E">
        <w:rPr>
          <w:rFonts w:ascii="Times New Roman"/>
          <w:iCs/>
          <w:noProof/>
        </w:rPr>
        <w:t xml:space="preserve"> Under Regulation 883/2004, only one Member State is competent and levies contributions on all income, whether earned on its territory or in another Member State.</w:t>
      </w:r>
      <w:r w:rsidRPr="0020148E">
        <w:rPr>
          <w:rStyle w:val="FootnoteReference"/>
          <w:rFonts w:ascii="Times New Roman"/>
          <w:iCs/>
          <w:noProof/>
        </w:rPr>
        <w:footnoteReference w:id="66"/>
      </w:r>
      <w:r w:rsidRPr="0020148E">
        <w:rPr>
          <w:rFonts w:ascii="Times New Roman"/>
          <w:iCs/>
          <w:noProof/>
        </w:rPr>
        <w:t xml:space="preserve"> This approach creates room for law shopping, as it provides that the activities in the </w:t>
      </w:r>
      <w:r w:rsidRPr="0020148E">
        <w:rPr>
          <w:rFonts w:ascii="Times New Roman"/>
          <w:iCs/>
          <w:noProof/>
        </w:rPr>
        <w:lastRenderedPageBreak/>
        <w:t xml:space="preserve">non-competent State(s) are taxed at the rate of the competent State. As a result, undertakings can compete on a labour market on the basis of foreign law. </w:t>
      </w:r>
    </w:p>
    <w:p w14:paraId="7F8CC845" w14:textId="77777777" w:rsidR="00344FDB" w:rsidRPr="0020148E" w:rsidRDefault="00C43B1E" w:rsidP="00AA4437">
      <w:pPr>
        <w:spacing w:line="360" w:lineRule="auto"/>
        <w:rPr>
          <w:rFonts w:ascii="Times New Roman"/>
          <w:noProof/>
        </w:rPr>
      </w:pPr>
      <w:bookmarkStart w:id="23" w:name="_Hlk50315250"/>
      <w:bookmarkStart w:id="24" w:name="_Hlk50315239"/>
      <w:r w:rsidRPr="0020148E">
        <w:rPr>
          <w:rFonts w:ascii="Times New Roman"/>
          <w:noProof/>
        </w:rPr>
        <w:t xml:space="preserve">Article 13(1) Regulation 883/2004 lays down conflict rules for persons normally pursuing an activity as an employed person in more than one Member State. </w:t>
      </w:r>
      <w:bookmarkEnd w:id="23"/>
      <w:r w:rsidRPr="0020148E">
        <w:rPr>
          <w:rFonts w:ascii="Times New Roman"/>
          <w:noProof/>
        </w:rPr>
        <w:t xml:space="preserve">A first rule subjects them to the law of their State of residence provided they substantially work there. </w:t>
      </w:r>
      <w:bookmarkEnd w:id="24"/>
      <w:r w:rsidRPr="0020148E">
        <w:rPr>
          <w:rFonts w:ascii="Times New Roman"/>
          <w:noProof/>
        </w:rPr>
        <w:t xml:space="preserve">Much more problematic is the conflict rule for those who do </w:t>
      </w:r>
      <w:r w:rsidRPr="0020148E">
        <w:rPr>
          <w:rFonts w:ascii="Times New Roman"/>
          <w:i/>
          <w:iCs/>
          <w:noProof/>
        </w:rPr>
        <w:t>not</w:t>
      </w:r>
      <w:r w:rsidRPr="0020148E">
        <w:rPr>
          <w:rFonts w:ascii="Times New Roman"/>
          <w:noProof/>
        </w:rPr>
        <w:t xml:space="preserve"> pursue a substantial part of their activity in their State of residence (Article 13(1)(b)(i), hereinafter “the multi-activity rule”). If the</w:t>
      </w:r>
      <w:r w:rsidR="009741EE" w:rsidRPr="0020148E">
        <w:rPr>
          <w:rFonts w:ascii="Times New Roman"/>
          <w:noProof/>
        </w:rPr>
        <w:t>se workers</w:t>
      </w:r>
      <w:r w:rsidRPr="0020148E">
        <w:rPr>
          <w:rFonts w:ascii="Times New Roman"/>
          <w:noProof/>
        </w:rPr>
        <w:t xml:space="preserve"> are employed by one undertaking, they are subject to the legislation of the Member State in which it has its registered office or place of business. </w:t>
      </w:r>
    </w:p>
    <w:p w14:paraId="788456C2" w14:textId="29EB87B8" w:rsidR="00C43B1E" w:rsidRPr="0020148E" w:rsidRDefault="00C43B1E" w:rsidP="00AA4437">
      <w:pPr>
        <w:spacing w:line="360" w:lineRule="auto"/>
        <w:rPr>
          <w:rFonts w:ascii="Times New Roman"/>
          <w:noProof/>
        </w:rPr>
      </w:pPr>
      <w:r w:rsidRPr="0020148E">
        <w:rPr>
          <w:rFonts w:ascii="Times New Roman"/>
          <w:noProof/>
        </w:rPr>
        <w:t xml:space="preserve">Strikingly, the multi-activity rule is almost entirely indifferent to the circumstances of the worker. While workers may work in the State in which their employer has its registered office or place of business, that is </w:t>
      </w:r>
      <w:r w:rsidR="00344FDB" w:rsidRPr="0020148E">
        <w:rPr>
          <w:rFonts w:ascii="Times New Roman"/>
          <w:noProof/>
        </w:rPr>
        <w:t xml:space="preserve">only </w:t>
      </w:r>
      <w:r w:rsidRPr="0020148E">
        <w:rPr>
          <w:rFonts w:ascii="Times New Roman"/>
          <w:noProof/>
        </w:rPr>
        <w:t xml:space="preserve">a likelihood. It is entirely possibly for this conflict rule to subject a worker to the social security system of a State in which they never have, and never will, set foot. This is a clear departure from the integration–protection nexus. Moreover, it sits uneasily with Article 45 TFEU, because it </w:t>
      </w:r>
      <w:r w:rsidR="00344FDB" w:rsidRPr="0020148E">
        <w:rPr>
          <w:rFonts w:ascii="Times New Roman"/>
          <w:noProof/>
        </w:rPr>
        <w:t xml:space="preserve">can </w:t>
      </w:r>
      <w:r w:rsidRPr="0020148E">
        <w:rPr>
          <w:rFonts w:ascii="Times New Roman"/>
          <w:noProof/>
        </w:rPr>
        <w:t xml:space="preserve">deprive the worker </w:t>
      </w:r>
      <w:r w:rsidR="00DF7C39" w:rsidRPr="0020148E">
        <w:rPr>
          <w:rFonts w:ascii="Times New Roman"/>
          <w:noProof/>
        </w:rPr>
        <w:t xml:space="preserve">of </w:t>
      </w:r>
      <w:r w:rsidRPr="0020148E">
        <w:rPr>
          <w:rFonts w:ascii="Times New Roman"/>
          <w:noProof/>
        </w:rPr>
        <w:t xml:space="preserve">access to the social security schemes of </w:t>
      </w:r>
      <w:r w:rsidRPr="0020148E">
        <w:rPr>
          <w:rFonts w:ascii="Times New Roman"/>
          <w:i/>
          <w:iCs/>
          <w:noProof/>
        </w:rPr>
        <w:t>all</w:t>
      </w:r>
      <w:r w:rsidRPr="0020148E">
        <w:rPr>
          <w:rFonts w:ascii="Times New Roman"/>
          <w:noProof/>
        </w:rPr>
        <w:t xml:space="preserve"> the Member States in which he or she works.</w:t>
      </w:r>
      <w:r w:rsidRPr="0020148E" w:rsidDel="00F72446">
        <w:rPr>
          <w:rStyle w:val="FootnoteReference"/>
          <w:rFonts w:ascii="Times New Roman"/>
          <w:noProof/>
        </w:rPr>
        <w:t xml:space="preserve"> </w:t>
      </w:r>
    </w:p>
    <w:p w14:paraId="08014931" w14:textId="7E2D4F60" w:rsidR="00C43B1E" w:rsidRPr="0020148E" w:rsidRDefault="00C43B1E" w:rsidP="00AA4437">
      <w:pPr>
        <w:spacing w:line="360" w:lineRule="auto"/>
        <w:rPr>
          <w:rFonts w:ascii="Times New Roman"/>
          <w:noProof/>
        </w:rPr>
      </w:pPr>
      <w:r w:rsidRPr="0020148E">
        <w:rPr>
          <w:rFonts w:ascii="Times New Roman"/>
          <w:noProof/>
        </w:rPr>
        <w:t xml:space="preserve">Attaching exclusively to the circumstances of the employer intrinsically increases the risk of law shopping, by rendering the place of the workers’ economic activity irrelevant to </w:t>
      </w:r>
      <w:r w:rsidR="006B33D1" w:rsidRPr="0020148E">
        <w:rPr>
          <w:rFonts w:ascii="Times New Roman"/>
          <w:noProof/>
        </w:rPr>
        <w:t xml:space="preserve">the determination of </w:t>
      </w:r>
      <w:r w:rsidRPr="0020148E">
        <w:rPr>
          <w:rFonts w:ascii="Times New Roman"/>
          <w:noProof/>
        </w:rPr>
        <w:t>the applicable legislation. An employer may maintain fully-staffed establishments in two Member States while paying the contribution rates of a third. Just like the posting rule, the multi-activity rule is based on home regulation and regime portability.</w:t>
      </w:r>
    </w:p>
    <w:p w14:paraId="346181E4" w14:textId="450C896B" w:rsidR="00C43B1E" w:rsidRPr="0020148E" w:rsidRDefault="00C43B1E" w:rsidP="00AA4437">
      <w:pPr>
        <w:spacing w:line="360" w:lineRule="auto"/>
        <w:rPr>
          <w:rFonts w:ascii="Times New Roman"/>
          <w:noProof/>
        </w:rPr>
      </w:pPr>
      <w:r w:rsidRPr="0020148E">
        <w:rPr>
          <w:rFonts w:ascii="Times New Roman"/>
          <w:noProof/>
        </w:rPr>
        <w:t xml:space="preserve">This vulnerability to law shopping is compounded by the </w:t>
      </w:r>
      <w:r w:rsidRPr="0020148E">
        <w:rPr>
          <w:rFonts w:ascii="Times New Roman"/>
          <w:i/>
          <w:iCs/>
          <w:noProof/>
        </w:rPr>
        <w:t>relative</w:t>
      </w:r>
      <w:r w:rsidRPr="0020148E">
        <w:rPr>
          <w:rFonts w:ascii="Times New Roman"/>
          <w:noProof/>
        </w:rPr>
        <w:t xml:space="preserve"> ease with which </w:t>
      </w:r>
      <w:bookmarkStart w:id="25" w:name="_Hlk50132621"/>
      <w:r w:rsidRPr="0020148E">
        <w:rPr>
          <w:rFonts w:ascii="Times New Roman"/>
          <w:noProof/>
        </w:rPr>
        <w:t xml:space="preserve">the registered office or place of business </w:t>
      </w:r>
      <w:bookmarkEnd w:id="25"/>
      <w:r w:rsidRPr="0020148E">
        <w:rPr>
          <w:rFonts w:ascii="Times New Roman"/>
          <w:noProof/>
        </w:rPr>
        <w:t>can be moved. It is defined as the place “where the essential decisions of the undertaking are adopted and where the functions of its central administration are carried out”.</w:t>
      </w:r>
      <w:r w:rsidRPr="0020148E">
        <w:rPr>
          <w:rStyle w:val="FootnoteReference"/>
          <w:rFonts w:ascii="Times New Roman"/>
          <w:noProof/>
        </w:rPr>
        <w:footnoteReference w:id="67"/>
      </w:r>
      <w:r w:rsidRPr="0020148E">
        <w:rPr>
          <w:rFonts w:ascii="Times New Roman"/>
          <w:noProof/>
        </w:rPr>
        <w:t xml:space="preserve"> </w:t>
      </w:r>
      <w:bookmarkStart w:id="26" w:name="_Hlk50118699"/>
      <w:r w:rsidRPr="0020148E">
        <w:rPr>
          <w:rFonts w:ascii="Times New Roman"/>
          <w:iCs/>
          <w:noProof/>
        </w:rPr>
        <w:t xml:space="preserve">To trigger the law of a particular Member State, an employer must move its real seat there, but it is not obliged to </w:t>
      </w:r>
      <w:r w:rsidRPr="0020148E">
        <w:rPr>
          <w:rFonts w:ascii="Times New Roman"/>
          <w:noProof/>
        </w:rPr>
        <w:t xml:space="preserve">perform </w:t>
      </w:r>
      <w:r w:rsidRPr="0020148E">
        <w:rPr>
          <w:rFonts w:ascii="Times New Roman"/>
          <w:i/>
          <w:iCs/>
          <w:noProof/>
        </w:rPr>
        <w:t>substantial</w:t>
      </w:r>
      <w:r w:rsidRPr="0020148E">
        <w:rPr>
          <w:rFonts w:ascii="Times New Roman"/>
          <w:noProof/>
        </w:rPr>
        <w:t xml:space="preserve"> activities there</w:t>
      </w:r>
      <w:bookmarkEnd w:id="26"/>
      <w:r w:rsidRPr="0020148E">
        <w:rPr>
          <w:rFonts w:ascii="Times New Roman"/>
          <w:noProof/>
        </w:rPr>
        <w:t>. The Commission’s proposal to introduce such a requirement would have hindered law shopping.</w:t>
      </w:r>
      <w:r w:rsidRPr="0020148E">
        <w:rPr>
          <w:rStyle w:val="FootnoteReference"/>
          <w:rFonts w:ascii="Times New Roman"/>
          <w:noProof/>
        </w:rPr>
        <w:footnoteReference w:id="68"/>
      </w:r>
      <w:r w:rsidRPr="0020148E">
        <w:rPr>
          <w:rFonts w:ascii="Times New Roman"/>
          <w:noProof/>
        </w:rPr>
        <w:t xml:space="preserve"> A slightly different approach emerged from the trilogues. The Draft Regulation fleshes out the notion of “the registered office or place of business”, which is to be located on the basis of an overall assessment that gives due weight to the following criteria: “the turnover, the number of services rendered by its employees and/or income, the working time performed in each Member State where the activity is pursued, the places where general </w:t>
      </w:r>
      <w:r w:rsidRPr="0020148E">
        <w:rPr>
          <w:rFonts w:ascii="Times New Roman"/>
          <w:noProof/>
        </w:rPr>
        <w:lastRenderedPageBreak/>
        <w:t>meetings are held, and the habitual nature of the activity pursued.”</w:t>
      </w:r>
      <w:r w:rsidRPr="0020148E">
        <w:rPr>
          <w:rStyle w:val="FootnoteReference"/>
          <w:rFonts w:ascii="Times New Roman"/>
          <w:noProof/>
        </w:rPr>
        <w:footnoteReference w:id="69"/>
      </w:r>
      <w:r w:rsidRPr="0020148E">
        <w:rPr>
          <w:rFonts w:ascii="Times New Roman"/>
          <w:noProof/>
        </w:rPr>
        <w:t xml:space="preserve"> This welcome attempt to tighten the connecting factor, thus complicating law shopping, has proven highly divisive: it is said to be one of the few remaining stumbling blocks for the adoption of the Draft Regulation and its fate is hard to predict.</w:t>
      </w:r>
      <w:r w:rsidRPr="0020148E">
        <w:rPr>
          <w:rStyle w:val="FootnoteReference"/>
          <w:rFonts w:ascii="Times New Roman"/>
          <w:noProof/>
        </w:rPr>
        <w:footnoteReference w:id="70"/>
      </w:r>
    </w:p>
    <w:p w14:paraId="1BC0DE4C" w14:textId="6B7F9630" w:rsidR="00C43B1E" w:rsidRPr="0020148E" w:rsidRDefault="00C43B1E" w:rsidP="00AA4437">
      <w:pPr>
        <w:spacing w:line="360" w:lineRule="auto"/>
        <w:rPr>
          <w:rFonts w:ascii="Times New Roman"/>
          <w:noProof/>
        </w:rPr>
      </w:pPr>
      <w:r w:rsidRPr="0020148E">
        <w:rPr>
          <w:rFonts w:ascii="Times New Roman"/>
          <w:noProof/>
        </w:rPr>
        <w:t xml:space="preserve">While posting is most readily associated with law shopping, the </w:t>
      </w:r>
      <w:bookmarkStart w:id="27" w:name="_Hlk50132591"/>
      <w:r w:rsidRPr="0020148E">
        <w:rPr>
          <w:rFonts w:ascii="Times New Roman"/>
          <w:noProof/>
        </w:rPr>
        <w:t xml:space="preserve">multi-activity rule </w:t>
      </w:r>
      <w:bookmarkEnd w:id="27"/>
      <w:r w:rsidRPr="0020148E">
        <w:rPr>
          <w:rFonts w:ascii="Times New Roman"/>
          <w:noProof/>
        </w:rPr>
        <w:t xml:space="preserve">is even more susceptible to manipulation. A first difference with posting is that the employer does not have to ordinarily carry out substantial activities </w:t>
      </w:r>
      <w:r w:rsidRPr="0020148E">
        <w:rPr>
          <w:rFonts w:ascii="Times New Roman"/>
          <w:iCs/>
          <w:noProof/>
        </w:rPr>
        <w:t xml:space="preserve">in the competent Member State. Second, </w:t>
      </w:r>
      <w:r w:rsidRPr="0020148E">
        <w:rPr>
          <w:rFonts w:ascii="Times New Roman"/>
          <w:noProof/>
        </w:rPr>
        <w:t>while the two-year limit on posting and the non-replacement condition might be weak, there are no such constraints on the multi-activity rule. Third, unlike the posting rule, the multi-activity rule does not require the worker to set foot in the competent State. Compared to posting, the costs of law shopping seem lower, as fewer conditions must be fulfilled, and the rewards greater, as there is no time-limit.</w:t>
      </w:r>
    </w:p>
    <w:p w14:paraId="511CD49D" w14:textId="60F04017" w:rsidR="00C43B1E" w:rsidRPr="0020148E" w:rsidRDefault="00C43B1E" w:rsidP="00AA4437">
      <w:pPr>
        <w:spacing w:line="360" w:lineRule="auto"/>
        <w:rPr>
          <w:rFonts w:ascii="Times New Roman"/>
          <w:noProof/>
        </w:rPr>
      </w:pPr>
      <w:r w:rsidRPr="0020148E">
        <w:rPr>
          <w:rFonts w:ascii="Times New Roman"/>
          <w:noProof/>
        </w:rPr>
        <w:t xml:space="preserve">Admittedly, the multi-activity rule has redeeming features. It is convenient to employers, who can apply a familiar legislation that is unlikely to </w:t>
      </w:r>
      <w:r w:rsidR="003652C3" w:rsidRPr="0020148E">
        <w:rPr>
          <w:rFonts w:ascii="Times New Roman"/>
          <w:noProof/>
        </w:rPr>
        <w:t>switch as time passes</w:t>
      </w:r>
      <w:r w:rsidRPr="0020148E">
        <w:rPr>
          <w:rFonts w:ascii="Times New Roman"/>
          <w:noProof/>
        </w:rPr>
        <w:t>. Many workers are active in the State where their employer has its place of business or registered office, which then functions as an imperfect proxy for the place of work. If and only if the activities are sufficiently short</w:t>
      </w:r>
      <w:r w:rsidR="00073013" w:rsidRPr="0020148E">
        <w:rPr>
          <w:rFonts w:ascii="Times New Roman"/>
          <w:noProof/>
        </w:rPr>
        <w:t>-lived</w:t>
      </w:r>
      <w:r w:rsidRPr="0020148E">
        <w:rPr>
          <w:rFonts w:ascii="Times New Roman"/>
          <w:noProof/>
        </w:rPr>
        <w:t xml:space="preserve"> to qualify as service</w:t>
      </w:r>
      <w:r w:rsidR="00073013" w:rsidRPr="0020148E">
        <w:rPr>
          <w:rFonts w:ascii="Times New Roman"/>
          <w:noProof/>
        </w:rPr>
        <w:t>s</w:t>
      </w:r>
      <w:r w:rsidRPr="0020148E">
        <w:rPr>
          <w:rFonts w:ascii="Times New Roman"/>
          <w:noProof/>
        </w:rPr>
        <w:t xml:space="preserve">, this conflict rule </w:t>
      </w:r>
      <w:r w:rsidR="000773AF" w:rsidRPr="0020148E">
        <w:rPr>
          <w:rFonts w:ascii="Times New Roman"/>
          <w:noProof/>
        </w:rPr>
        <w:t xml:space="preserve">could </w:t>
      </w:r>
      <w:r w:rsidRPr="0020148E">
        <w:rPr>
          <w:rFonts w:ascii="Times New Roman"/>
          <w:noProof/>
        </w:rPr>
        <w:t xml:space="preserve">be seen as an emanation of the employer’s freedom to provide services on the basis of the law of its State of establishment. But the multi-activity rule is </w:t>
      </w:r>
      <w:r w:rsidR="00CE66C4" w:rsidRPr="0020148E">
        <w:rPr>
          <w:rFonts w:ascii="Times New Roman"/>
          <w:noProof/>
        </w:rPr>
        <w:t xml:space="preserve">precisely </w:t>
      </w:r>
      <w:r w:rsidR="003652C3" w:rsidRPr="0020148E">
        <w:rPr>
          <w:rFonts w:ascii="Times New Roman"/>
          <w:noProof/>
        </w:rPr>
        <w:t>meant to apply to activities that are “generally</w:t>
      </w:r>
      <w:r w:rsidR="003C343C" w:rsidRPr="0020148E">
        <w:rPr>
          <w:rFonts w:ascii="Times New Roman"/>
          <w:noProof/>
        </w:rPr>
        <w:t>,</w:t>
      </w:r>
      <w:r w:rsidR="003652C3" w:rsidRPr="0020148E">
        <w:rPr>
          <w:rFonts w:ascii="Times New Roman"/>
          <w:noProof/>
        </w:rPr>
        <w:t xml:space="preserve"> rather than merely exceptionally or temporarily, exercised on the territory of two or more Member States”</w:t>
      </w:r>
      <w:r w:rsidRPr="0020148E">
        <w:rPr>
          <w:rFonts w:ascii="Times New Roman"/>
          <w:noProof/>
        </w:rPr>
        <w:t>.</w:t>
      </w:r>
      <w:r w:rsidR="00C21497" w:rsidRPr="0020148E">
        <w:rPr>
          <w:rStyle w:val="FootnoteReference"/>
          <w:rFonts w:ascii="Times New Roman"/>
          <w:noProof/>
        </w:rPr>
        <w:footnoteReference w:id="71"/>
      </w:r>
      <w:r w:rsidRPr="0020148E">
        <w:rPr>
          <w:rFonts w:ascii="Times New Roman"/>
          <w:noProof/>
        </w:rPr>
        <w:t xml:space="preserve"> At any rate, none of this compensates for the detriment to the integration–protection nexus, the free movement of workers, fair competition, and (if regulatory competition materialises) social security schemes. Why subject persons who work in two States, and possibly reside in a third State, to the legislation of yet another State, with which they may have no links and </w:t>
      </w:r>
      <w:r w:rsidR="000B561E" w:rsidRPr="0020148E">
        <w:rPr>
          <w:rFonts w:ascii="Times New Roman"/>
          <w:noProof/>
        </w:rPr>
        <w:t>in which their employer carries out no substantial activities</w:t>
      </w:r>
      <w:r w:rsidRPr="0020148E">
        <w:rPr>
          <w:rFonts w:ascii="Times New Roman"/>
          <w:noProof/>
        </w:rPr>
        <w:t xml:space="preserve">? </w:t>
      </w:r>
    </w:p>
    <w:p w14:paraId="5A155E0E" w14:textId="0D08B2DB" w:rsidR="00C43B1E" w:rsidRPr="0020148E" w:rsidRDefault="00C43B1E" w:rsidP="00AA4437">
      <w:pPr>
        <w:spacing w:line="360" w:lineRule="auto"/>
        <w:rPr>
          <w:rFonts w:ascii="Times New Roman"/>
          <w:noProof/>
        </w:rPr>
      </w:pPr>
      <w:r w:rsidRPr="0020148E">
        <w:rPr>
          <w:rFonts w:ascii="Times New Roman"/>
          <w:noProof/>
        </w:rPr>
        <w:t xml:space="preserve">In conclusion, some of the main conflict rules of the Regulation have contrasting effects. The </w:t>
      </w:r>
      <w:r w:rsidRPr="0020148E">
        <w:rPr>
          <w:rFonts w:ascii="Times New Roman"/>
          <w:i/>
          <w:iCs/>
          <w:noProof/>
        </w:rPr>
        <w:t>lex loci laboris</w:t>
      </w:r>
      <w:r w:rsidRPr="0020148E">
        <w:rPr>
          <w:rFonts w:ascii="Times New Roman"/>
          <w:noProof/>
        </w:rPr>
        <w:t xml:space="preserve"> serves regulatory neutrality; the posting rule and the multi-activity rule facilitate law shopping and regulatory competition. The </w:t>
      </w:r>
      <w:r w:rsidRPr="0020148E">
        <w:rPr>
          <w:rFonts w:ascii="Times New Roman"/>
          <w:i/>
          <w:iCs/>
          <w:noProof/>
        </w:rPr>
        <w:t>lex loci laboris</w:t>
      </w:r>
      <w:r w:rsidRPr="0020148E">
        <w:rPr>
          <w:rFonts w:ascii="Times New Roman"/>
          <w:noProof/>
        </w:rPr>
        <w:t xml:space="preserve"> bases workers’ social protection on their integration; the posting rule and the multi-activity rule allow social protection and integration to be virtually unrelated. The </w:t>
      </w:r>
      <w:r w:rsidRPr="0020148E">
        <w:rPr>
          <w:rFonts w:ascii="Times New Roman"/>
          <w:i/>
          <w:iCs/>
          <w:noProof/>
        </w:rPr>
        <w:t>lex loci laboris</w:t>
      </w:r>
      <w:r w:rsidRPr="0020148E">
        <w:rPr>
          <w:rFonts w:ascii="Times New Roman"/>
          <w:noProof/>
        </w:rPr>
        <w:t xml:space="preserve"> makes indirect choice of law costly, as workers have to relocate their entire professional lives, while fewer constraints are attached to choices of law through the posting rule and the multi-activity rule.</w:t>
      </w:r>
      <w:r w:rsidRPr="0020148E">
        <w:rPr>
          <w:rStyle w:val="FootnoteReference"/>
          <w:rFonts w:ascii="Times New Roman"/>
          <w:noProof/>
        </w:rPr>
        <w:footnoteReference w:id="72"/>
      </w:r>
      <w:r w:rsidRPr="0020148E">
        <w:rPr>
          <w:rFonts w:ascii="Times New Roman"/>
          <w:noProof/>
        </w:rPr>
        <w:t xml:space="preserve"> The </w:t>
      </w:r>
      <w:r w:rsidRPr="0020148E">
        <w:rPr>
          <w:rFonts w:ascii="Times New Roman"/>
          <w:i/>
          <w:iCs/>
          <w:noProof/>
        </w:rPr>
        <w:t>lex loci laboris</w:t>
      </w:r>
      <w:r w:rsidRPr="0020148E">
        <w:rPr>
          <w:rFonts w:ascii="Times New Roman"/>
          <w:noProof/>
        </w:rPr>
        <w:t xml:space="preserve"> incarnates host regulation and provides for the </w:t>
      </w:r>
      <w:r w:rsidRPr="0020148E">
        <w:rPr>
          <w:rFonts w:ascii="Times New Roman"/>
          <w:noProof/>
        </w:rPr>
        <w:lastRenderedPageBreak/>
        <w:t xml:space="preserve">territorial application of social security law; the posting rule and the multi-activity rule realise home regulation and derogate from territoriality. The </w:t>
      </w:r>
      <w:r w:rsidRPr="0020148E">
        <w:rPr>
          <w:rFonts w:ascii="Times New Roman"/>
          <w:i/>
          <w:iCs/>
          <w:noProof/>
        </w:rPr>
        <w:t>lex loci laboris</w:t>
      </w:r>
      <w:r w:rsidRPr="0020148E">
        <w:rPr>
          <w:rFonts w:ascii="Times New Roman"/>
          <w:noProof/>
        </w:rPr>
        <w:t xml:space="preserve"> entitles workers to equal treatment in the State in which they work, in line with Article 45 TFEU; the posting rule and the multi-activity rule disentitle workers from the social security system of at least one State in which they work, which may be in line with the freedom to provide services. A normative fault line therefore runs through Regulation 883/2004, which pit</w:t>
      </w:r>
      <w:r w:rsidR="00E00096" w:rsidRPr="0020148E">
        <w:rPr>
          <w:rFonts w:ascii="Times New Roman"/>
          <w:noProof/>
        </w:rPr>
        <w:t>s</w:t>
      </w:r>
      <w:r w:rsidRPr="0020148E">
        <w:rPr>
          <w:rFonts w:ascii="Times New Roman"/>
          <w:noProof/>
        </w:rPr>
        <w:t xml:space="preserve"> the </w:t>
      </w:r>
      <w:r w:rsidRPr="0020148E">
        <w:rPr>
          <w:rFonts w:ascii="Times New Roman"/>
          <w:i/>
          <w:iCs/>
          <w:noProof/>
        </w:rPr>
        <w:t>lex loci laboris</w:t>
      </w:r>
      <w:r w:rsidRPr="0020148E">
        <w:rPr>
          <w:rFonts w:ascii="Times New Roman"/>
          <w:noProof/>
        </w:rPr>
        <w:t xml:space="preserve"> against its alternatives.</w:t>
      </w:r>
    </w:p>
    <w:p w14:paraId="00C622D2" w14:textId="50161A95" w:rsidR="00C43B1E" w:rsidRPr="0020148E" w:rsidRDefault="00C43B1E" w:rsidP="00AA4437">
      <w:pPr>
        <w:pStyle w:val="Heading1"/>
        <w:numPr>
          <w:ilvl w:val="0"/>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P</w:t>
      </w:r>
      <w:r w:rsidR="00545A43" w:rsidRPr="0020148E">
        <w:rPr>
          <w:rFonts w:ascii="Times New Roman" w:hAnsi="Times New Roman" w:cs="Times New Roman"/>
          <w:noProof/>
          <w:color w:val="auto"/>
        </w:rPr>
        <w:t>rivate strategies and p</w:t>
      </w:r>
      <w:r w:rsidRPr="0020148E">
        <w:rPr>
          <w:rFonts w:ascii="Times New Roman" w:hAnsi="Times New Roman" w:cs="Times New Roman"/>
          <w:noProof/>
          <w:color w:val="auto"/>
        </w:rPr>
        <w:t>ublic counterstrategies</w:t>
      </w:r>
    </w:p>
    <w:p w14:paraId="4C327CB3" w14:textId="77777777" w:rsidR="00C43B1E" w:rsidRPr="0020148E" w:rsidRDefault="00C43B1E" w:rsidP="00AA4437">
      <w:pPr>
        <w:spacing w:line="360" w:lineRule="auto"/>
        <w:rPr>
          <w:rFonts w:ascii="Times New Roman"/>
          <w:noProof/>
        </w:rPr>
      </w:pPr>
      <w:r w:rsidRPr="0020148E">
        <w:rPr>
          <w:rFonts w:ascii="Times New Roman"/>
          <w:noProof/>
        </w:rPr>
        <w:t>In the remainder of this paper, I look more broadly at the strategies that private actors can put in place to influence the applicable legislation, as well as the actual and potential reactions of public actors.</w:t>
      </w:r>
    </w:p>
    <w:p w14:paraId="47E6B186" w14:textId="77777777"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Tightening and softening connecting factors</w:t>
      </w:r>
    </w:p>
    <w:p w14:paraId="30DA07B1" w14:textId="7D7BDB2A" w:rsidR="00545A43" w:rsidRPr="0020148E" w:rsidRDefault="00C43B1E" w:rsidP="00AA4437">
      <w:pPr>
        <w:spacing w:line="360" w:lineRule="auto"/>
        <w:rPr>
          <w:rFonts w:ascii="Times New Roman"/>
          <w:noProof/>
        </w:rPr>
      </w:pPr>
      <w:r w:rsidRPr="0020148E">
        <w:rPr>
          <w:rFonts w:ascii="Times New Roman"/>
          <w:noProof/>
        </w:rPr>
        <w:t xml:space="preserve">A strategy encountered time and again is the relocation of the connecting factor. The obvious counterstrategy is to make it harder to relocate, as the ECJ did when ruling out posting by undertakings that do not </w:t>
      </w:r>
      <w:r w:rsidR="00310D71" w:rsidRPr="0020148E">
        <w:rPr>
          <w:rFonts w:ascii="Times New Roman"/>
          <w:noProof/>
        </w:rPr>
        <w:t xml:space="preserve">“normally” </w:t>
      </w:r>
      <w:r w:rsidRPr="0020148E">
        <w:rPr>
          <w:rFonts w:ascii="Times New Roman"/>
          <w:iCs/>
          <w:noProof/>
        </w:rPr>
        <w:t>perform activities</w:t>
      </w:r>
      <w:r w:rsidRPr="0020148E">
        <w:rPr>
          <w:rFonts w:ascii="Times New Roman"/>
          <w:noProof/>
        </w:rPr>
        <w:t xml:space="preserve"> in the home State</w:t>
      </w:r>
      <w:r w:rsidRPr="0020148E">
        <w:rPr>
          <w:rFonts w:ascii="Times New Roman"/>
          <w:iCs/>
          <w:noProof/>
        </w:rPr>
        <w:t>.</w:t>
      </w:r>
      <w:r w:rsidRPr="0020148E">
        <w:rPr>
          <w:rStyle w:val="FootnoteReference"/>
          <w:rFonts w:ascii="Times New Roman"/>
          <w:iCs/>
          <w:noProof/>
        </w:rPr>
        <w:footnoteReference w:id="73"/>
      </w:r>
      <w:r w:rsidRPr="0020148E">
        <w:rPr>
          <w:rFonts w:ascii="Times New Roman"/>
          <w:iCs/>
          <w:noProof/>
        </w:rPr>
        <w:t xml:space="preserve"> This prevented Mr Plum from changing the applicable legislation simply by founding a letterbox company. </w:t>
      </w:r>
      <w:r w:rsidR="00691BE6" w:rsidRPr="0020148E">
        <w:rPr>
          <w:rFonts w:ascii="Times New Roman"/>
          <w:iCs/>
          <w:noProof/>
        </w:rPr>
        <w:t xml:space="preserve">The </w:t>
      </w:r>
      <w:r w:rsidRPr="0020148E">
        <w:rPr>
          <w:rFonts w:ascii="Times New Roman"/>
          <w:noProof/>
        </w:rPr>
        <w:t>tightening of connecting factors</w:t>
      </w:r>
      <w:r w:rsidRPr="0020148E">
        <w:rPr>
          <w:rFonts w:ascii="Times New Roman"/>
          <w:iCs/>
          <w:noProof/>
        </w:rPr>
        <w:t xml:space="preserve"> </w:t>
      </w:r>
      <w:r w:rsidRPr="0020148E">
        <w:rPr>
          <w:rFonts w:ascii="Times New Roman"/>
          <w:noProof/>
        </w:rPr>
        <w:t xml:space="preserve">increases the costs of law shopping, thus decreasing its appeal and the risk it poses to workers, competitors and social security systems. </w:t>
      </w:r>
      <w:r w:rsidR="00545A43" w:rsidRPr="0020148E">
        <w:rPr>
          <w:rFonts w:ascii="Times New Roman"/>
          <w:noProof/>
        </w:rPr>
        <w:t xml:space="preserve">Tightening the worker’s connection to the competent State is </w:t>
      </w:r>
      <w:r w:rsidR="00BD2E9A" w:rsidRPr="0020148E">
        <w:rPr>
          <w:rFonts w:ascii="Times New Roman"/>
          <w:noProof/>
        </w:rPr>
        <w:t xml:space="preserve">the obvious </w:t>
      </w:r>
      <w:r w:rsidR="00691BE6" w:rsidRPr="0020148E">
        <w:rPr>
          <w:rFonts w:ascii="Times New Roman"/>
          <w:noProof/>
        </w:rPr>
        <w:t>way</w:t>
      </w:r>
      <w:r w:rsidR="00691BE6" w:rsidRPr="0020148E">
        <w:rPr>
          <w:rFonts w:ascii="Times New Roman"/>
          <w:noProof/>
        </w:rPr>
        <w:t xml:space="preserve"> </w:t>
      </w:r>
      <w:r w:rsidR="00BD2E9A" w:rsidRPr="0020148E">
        <w:rPr>
          <w:rFonts w:ascii="Times New Roman"/>
          <w:noProof/>
        </w:rPr>
        <w:t xml:space="preserve">to </w:t>
      </w:r>
      <w:r w:rsidR="00BD2E9A" w:rsidRPr="0020148E">
        <w:rPr>
          <w:rFonts w:ascii="Times New Roman"/>
          <w:iCs/>
          <w:noProof/>
        </w:rPr>
        <w:t xml:space="preserve">ensure </w:t>
      </w:r>
      <w:r w:rsidR="00545A43" w:rsidRPr="0020148E">
        <w:rPr>
          <w:rFonts w:ascii="Times New Roman"/>
          <w:noProof/>
        </w:rPr>
        <w:t>that integration and social protection go hand in hand</w:t>
      </w:r>
      <w:r w:rsidR="00BD2E9A" w:rsidRPr="0020148E">
        <w:rPr>
          <w:rFonts w:ascii="Times New Roman"/>
          <w:noProof/>
        </w:rPr>
        <w:t>.</w:t>
      </w:r>
    </w:p>
    <w:p w14:paraId="2EDCDC1C" w14:textId="77777777" w:rsidR="00C43B1E" w:rsidRPr="0020148E" w:rsidRDefault="00C43B1E" w:rsidP="00AA4437">
      <w:pPr>
        <w:spacing w:line="360" w:lineRule="auto"/>
        <w:rPr>
          <w:rFonts w:ascii="Times New Roman"/>
          <w:noProof/>
        </w:rPr>
      </w:pPr>
      <w:r w:rsidRPr="0020148E">
        <w:rPr>
          <w:rFonts w:ascii="Times New Roman"/>
          <w:iCs/>
          <w:noProof/>
        </w:rPr>
        <w:t>If the posting rule and the multi-activity rule are not to excessively facilitate law shopping while disconnecting workers’ social protection from their integration, they ought to be tightened further.</w:t>
      </w:r>
      <w:r w:rsidRPr="0020148E">
        <w:rPr>
          <w:rFonts w:ascii="Times New Roman"/>
          <w:noProof/>
        </w:rPr>
        <w:t xml:space="preserve"> The necessary connection before, after and/or between postings could be raised, or the period of posting could be shortened, as the European Parliament proposed in vain.</w:t>
      </w:r>
      <w:r w:rsidRPr="0020148E">
        <w:rPr>
          <w:rStyle w:val="FootnoteReference"/>
          <w:rFonts w:ascii="Times New Roman"/>
          <w:noProof/>
        </w:rPr>
        <w:footnoteReference w:id="74"/>
      </w:r>
      <w:r w:rsidRPr="0020148E">
        <w:rPr>
          <w:rFonts w:ascii="Times New Roman"/>
          <w:noProof/>
        </w:rPr>
        <w:t xml:space="preserve"> As to the multi-activity rule, a personal tie between the worker and the competent Member State ought to be required. None of this is to deny that those rules have a valid rationale, which excessive tightening could impair.</w:t>
      </w:r>
    </w:p>
    <w:p w14:paraId="69F4DD56" w14:textId="77777777" w:rsidR="00C43B1E" w:rsidRPr="0020148E" w:rsidRDefault="00C43B1E" w:rsidP="00AA4437">
      <w:pPr>
        <w:spacing w:line="360" w:lineRule="auto"/>
        <w:rPr>
          <w:rFonts w:ascii="Times New Roman"/>
          <w:noProof/>
        </w:rPr>
      </w:pPr>
      <w:r w:rsidRPr="0020148E">
        <w:rPr>
          <w:rFonts w:ascii="Times New Roman"/>
          <w:noProof/>
        </w:rPr>
        <w:t xml:space="preserve">The softening of connecting factors is a second regulatory technique that complicates law shopping. Posting by letterbox companies could have been avoided by requiring that a certain percentage of the employer’s turnover be realised in the home State. Such a precise rule would have enabled undertakings to organise their business so that they </w:t>
      </w:r>
      <w:r w:rsidRPr="0020148E">
        <w:rPr>
          <w:rFonts w:ascii="Times New Roman"/>
          <w:i/>
          <w:iCs/>
          <w:noProof/>
        </w:rPr>
        <w:t>just</w:t>
      </w:r>
      <w:r w:rsidRPr="0020148E">
        <w:rPr>
          <w:rFonts w:ascii="Times New Roman"/>
          <w:noProof/>
        </w:rPr>
        <w:t xml:space="preserve"> reach the threshold. Regulation 987/2009 instead requires undertakings to ordinarily perform substantial activities</w:t>
      </w:r>
      <w:r w:rsidRPr="0020148E">
        <w:rPr>
          <w:rFonts w:ascii="Times New Roman"/>
          <w:iCs/>
          <w:noProof/>
        </w:rPr>
        <w:t xml:space="preserve"> in the home State</w:t>
      </w:r>
      <w:r w:rsidRPr="0020148E">
        <w:rPr>
          <w:rFonts w:ascii="Times New Roman"/>
          <w:noProof/>
        </w:rPr>
        <w:t xml:space="preserve">. </w:t>
      </w:r>
      <w:bookmarkStart w:id="28" w:name="_Hlk51063339"/>
      <w:r w:rsidRPr="0020148E">
        <w:rPr>
          <w:rFonts w:ascii="Times New Roman"/>
          <w:noProof/>
        </w:rPr>
        <w:t>Such a vague standard</w:t>
      </w:r>
      <w:bookmarkStart w:id="29" w:name="_Hlk51062956"/>
      <w:r w:rsidRPr="0020148E">
        <w:rPr>
          <w:rFonts w:ascii="Times New Roman"/>
          <w:noProof/>
        </w:rPr>
        <w:t xml:space="preserve">, which must be applied taking into account “all the criteria characterising the </w:t>
      </w:r>
      <w:r w:rsidRPr="0020148E">
        <w:rPr>
          <w:rFonts w:ascii="Times New Roman"/>
          <w:noProof/>
        </w:rPr>
        <w:lastRenderedPageBreak/>
        <w:t>activities”,</w:t>
      </w:r>
      <w:r w:rsidRPr="0020148E">
        <w:rPr>
          <w:rStyle w:val="FootnoteReference"/>
          <w:rFonts w:ascii="Times New Roman"/>
          <w:noProof/>
        </w:rPr>
        <w:footnoteReference w:id="75"/>
      </w:r>
      <w:r w:rsidRPr="0020148E">
        <w:rPr>
          <w:rFonts w:ascii="Times New Roman"/>
          <w:noProof/>
        </w:rPr>
        <w:t xml:space="preserve"> </w:t>
      </w:r>
      <w:bookmarkEnd w:id="29"/>
      <w:r w:rsidRPr="0020148E">
        <w:rPr>
          <w:rFonts w:ascii="Times New Roman"/>
          <w:noProof/>
        </w:rPr>
        <w:t xml:space="preserve">incites undertakings wishing to post workers to err on the side of safety. </w:t>
      </w:r>
      <w:bookmarkEnd w:id="28"/>
      <w:r w:rsidRPr="0020148E">
        <w:rPr>
          <w:rFonts w:ascii="Times New Roman"/>
          <w:noProof/>
        </w:rPr>
        <w:t>Vagueness also opens up space for administrations and courts to counter law shopping without needing to bend the letter of the Regulations. There is a correlation between the ease in evading a rule and its precision. “Circumvention in many cases thrives on detailed rules, making use of the more textual – albeit seldom purpose-oriented – interpretations of applicable legal norms.”</w:t>
      </w:r>
      <w:bookmarkStart w:id="30" w:name="_Ref51094842"/>
      <w:r w:rsidRPr="0020148E">
        <w:rPr>
          <w:rStyle w:val="FootnoteReference"/>
          <w:rFonts w:ascii="Times New Roman"/>
          <w:noProof/>
        </w:rPr>
        <w:footnoteReference w:id="76"/>
      </w:r>
      <w:bookmarkEnd w:id="30"/>
      <w:r w:rsidRPr="0020148E">
        <w:rPr>
          <w:rFonts w:ascii="Times New Roman"/>
          <w:noProof/>
        </w:rPr>
        <w:t xml:space="preserve"> The more legal certainty, the greater the potential for abuse.</w:t>
      </w:r>
      <w:r w:rsidRPr="0020148E">
        <w:rPr>
          <w:rStyle w:val="FootnoteReference"/>
          <w:rFonts w:ascii="Times New Roman"/>
          <w:noProof/>
        </w:rPr>
        <w:footnoteReference w:id="77"/>
      </w:r>
      <w:r w:rsidRPr="0020148E">
        <w:rPr>
          <w:rFonts w:ascii="Times New Roman"/>
          <w:noProof/>
        </w:rPr>
        <w:t xml:space="preserve"> </w:t>
      </w:r>
    </w:p>
    <w:p w14:paraId="71DC0ACD" w14:textId="77777777" w:rsidR="00C43B1E" w:rsidRPr="0020148E" w:rsidRDefault="00C43B1E" w:rsidP="00AA4437">
      <w:pPr>
        <w:spacing w:line="360" w:lineRule="auto"/>
        <w:rPr>
          <w:rFonts w:ascii="Times New Roman"/>
          <w:noProof/>
        </w:rPr>
      </w:pPr>
      <w:r w:rsidRPr="0020148E">
        <w:rPr>
          <w:rFonts w:ascii="Times New Roman"/>
          <w:noProof/>
        </w:rPr>
        <w:t>Whether the connecting factors of Regulation 883/2004 ought to be softened, is a difficult discussion that should engage with the enduring debate on the relative virtues of certainty and flexibility.</w:t>
      </w:r>
      <w:r w:rsidRPr="0020148E">
        <w:rPr>
          <w:rStyle w:val="FootnoteReference"/>
          <w:rFonts w:ascii="Times New Roman"/>
          <w:noProof/>
        </w:rPr>
        <w:footnoteReference w:id="78"/>
      </w:r>
      <w:r w:rsidRPr="0020148E">
        <w:rPr>
          <w:rFonts w:ascii="Times New Roman"/>
          <w:noProof/>
        </w:rPr>
        <w:t xml:space="preserve"> Vague connecting factors compromise legal certainty and hinder the uniform interpretation and application of EU law, in turn increasing the risk that more than one Member State considers itself competent and levies contributions, imposing a double burden on employers and workers. My intention is not to indiscriminately recommend vagueness, but rather to flag up one of its qualities that has so far been overlooked in the literature on EU social security law: it complicates law shopping.</w:t>
      </w:r>
      <w:r w:rsidRPr="0020148E">
        <w:rPr>
          <w:rStyle w:val="FootnoteReference"/>
          <w:rFonts w:ascii="Times New Roman"/>
          <w:noProof/>
        </w:rPr>
        <w:footnoteReference w:id="79"/>
      </w:r>
    </w:p>
    <w:p w14:paraId="21973D28" w14:textId="77777777" w:rsidR="00C43B1E" w:rsidRPr="0020148E" w:rsidRDefault="00C43B1E" w:rsidP="00AA4437">
      <w:pPr>
        <w:pStyle w:val="Heading2"/>
        <w:numPr>
          <w:ilvl w:val="1"/>
          <w:numId w:val="17"/>
        </w:numPr>
        <w:spacing w:line="360" w:lineRule="auto"/>
        <w:rPr>
          <w:rFonts w:ascii="Times New Roman" w:hAnsi="Times New Roman" w:cs="Times New Roman"/>
          <w:i/>
          <w:iCs/>
          <w:noProof/>
          <w:color w:val="auto"/>
        </w:rPr>
      </w:pPr>
      <w:bookmarkStart w:id="31" w:name="_Hlk50126707"/>
      <w:r w:rsidRPr="0020148E">
        <w:rPr>
          <w:rFonts w:ascii="Times New Roman" w:hAnsi="Times New Roman" w:cs="Times New Roman"/>
          <w:noProof/>
          <w:color w:val="auto"/>
        </w:rPr>
        <w:t xml:space="preserve">Favouring the </w:t>
      </w:r>
      <w:r w:rsidRPr="0020148E">
        <w:rPr>
          <w:rFonts w:ascii="Times New Roman" w:hAnsi="Times New Roman" w:cs="Times New Roman"/>
          <w:i/>
          <w:iCs/>
          <w:noProof/>
          <w:color w:val="auto"/>
        </w:rPr>
        <w:t>lex loci laboris</w:t>
      </w:r>
      <w:bookmarkEnd w:id="31"/>
    </w:p>
    <w:p w14:paraId="4211E38D" w14:textId="33CAA2F1" w:rsidR="00C43B1E" w:rsidRPr="0020148E" w:rsidRDefault="00C43B1E" w:rsidP="00AA4437">
      <w:pPr>
        <w:spacing w:line="360" w:lineRule="auto"/>
        <w:rPr>
          <w:rFonts w:ascii="Times New Roman"/>
          <w:noProof/>
        </w:rPr>
      </w:pPr>
      <w:r w:rsidRPr="0020148E">
        <w:rPr>
          <w:rFonts w:ascii="Times New Roman"/>
          <w:noProof/>
        </w:rPr>
        <w:t>A</w:t>
      </w:r>
      <w:r w:rsidR="00FB270C" w:rsidRPr="0020148E">
        <w:rPr>
          <w:rFonts w:ascii="Times New Roman"/>
          <w:noProof/>
        </w:rPr>
        <w:t>nother</w:t>
      </w:r>
      <w:r w:rsidRPr="0020148E">
        <w:rPr>
          <w:rFonts w:ascii="Times New Roman"/>
          <w:noProof/>
        </w:rPr>
        <w:t xml:space="preserve"> strategy is to manipulate, not the connecting factor, but rather the scope of conflict rules: the facts are made to fit whichever conflict rule designates the sought-after social security legislation. While the </w:t>
      </w:r>
      <w:r w:rsidRPr="0020148E">
        <w:rPr>
          <w:rFonts w:ascii="Times New Roman"/>
          <w:i/>
          <w:iCs/>
          <w:noProof/>
        </w:rPr>
        <w:t>lex loci laboris</w:t>
      </w:r>
      <w:r w:rsidRPr="0020148E">
        <w:rPr>
          <w:rFonts w:ascii="Times New Roman"/>
          <w:noProof/>
        </w:rPr>
        <w:t xml:space="preserve"> might occasionally be chosen, undertakings seeking to exploit the differential in contribution rates are more likely to try to steer clear of that rule, because it is most apt at levelling the playing field. For instance, an employer could instruct its staff living abroad to perform some work at home in a bid to fall under the rules on multi-activity rather than the </w:t>
      </w:r>
      <w:r w:rsidRPr="0020148E">
        <w:rPr>
          <w:rFonts w:ascii="Times New Roman"/>
          <w:i/>
          <w:iCs/>
          <w:noProof/>
        </w:rPr>
        <w:t>lex loci laboris</w:t>
      </w:r>
      <w:r w:rsidRPr="0020148E">
        <w:rPr>
          <w:rFonts w:ascii="Times New Roman"/>
          <w:noProof/>
        </w:rPr>
        <w:t xml:space="preserve">. </w:t>
      </w:r>
      <w:bookmarkStart w:id="32" w:name="_Hlk51063120"/>
      <w:r w:rsidRPr="0020148E">
        <w:rPr>
          <w:rFonts w:ascii="Times New Roman"/>
          <w:noProof/>
        </w:rPr>
        <w:t>In order to complicate such manoeuvres, the EU legislator decided that marginal activities are to be disregarded in such cases.</w:t>
      </w:r>
      <w:bookmarkStart w:id="33" w:name="_Ref424821539"/>
      <w:r w:rsidRPr="0020148E">
        <w:rPr>
          <w:rFonts w:ascii="Times New Roman"/>
          <w:noProof/>
          <w:vertAlign w:val="superscript"/>
        </w:rPr>
        <w:footnoteReference w:id="80"/>
      </w:r>
      <w:bookmarkStart w:id="34" w:name="_Hlk48641846"/>
      <w:bookmarkEnd w:id="33"/>
      <w:r w:rsidRPr="0020148E">
        <w:rPr>
          <w:rFonts w:ascii="Times New Roman"/>
          <w:noProof/>
        </w:rPr>
        <w:t xml:space="preserve"> </w:t>
      </w:r>
    </w:p>
    <w:bookmarkEnd w:id="32"/>
    <w:bookmarkEnd w:id="34"/>
    <w:p w14:paraId="43535EA8" w14:textId="77777777" w:rsidR="00C43B1E" w:rsidRPr="0020148E" w:rsidRDefault="00C43B1E" w:rsidP="00AA4437">
      <w:pPr>
        <w:spacing w:line="360" w:lineRule="auto"/>
        <w:rPr>
          <w:rFonts w:ascii="Times New Roman"/>
          <w:noProof/>
        </w:rPr>
      </w:pPr>
      <w:r w:rsidRPr="0020148E">
        <w:rPr>
          <w:rFonts w:ascii="Times New Roman"/>
          <w:noProof/>
        </w:rPr>
        <w:t xml:space="preserve">In general, attempts at circumnavigating the </w:t>
      </w:r>
      <w:r w:rsidRPr="0020148E">
        <w:rPr>
          <w:rFonts w:ascii="Times New Roman"/>
          <w:i/>
          <w:iCs/>
          <w:noProof/>
        </w:rPr>
        <w:t>lex loci laboris</w:t>
      </w:r>
      <w:r w:rsidRPr="0020148E">
        <w:rPr>
          <w:rFonts w:ascii="Times New Roman"/>
          <w:noProof/>
        </w:rPr>
        <w:t xml:space="preserve"> can be countered by firmly establishing its primacy and narrowing the scope of its alternatives. At first sight, the EU institutions do just that. The EU legislator describes the </w:t>
      </w:r>
      <w:r w:rsidRPr="0020148E">
        <w:rPr>
          <w:rFonts w:ascii="Times New Roman"/>
          <w:i/>
          <w:iCs/>
          <w:noProof/>
        </w:rPr>
        <w:t>lex loci laboris</w:t>
      </w:r>
      <w:r w:rsidRPr="0020148E">
        <w:rPr>
          <w:rFonts w:ascii="Times New Roman"/>
          <w:noProof/>
        </w:rPr>
        <w:t xml:space="preserve"> as the “general rule”, from which it can be “necessary to derogate” “[i]n specific situations”.</w:t>
      </w:r>
      <w:r w:rsidRPr="0020148E">
        <w:rPr>
          <w:rStyle w:val="FootnoteReference"/>
          <w:rFonts w:ascii="Times New Roman"/>
          <w:noProof/>
        </w:rPr>
        <w:footnoteReference w:id="81"/>
      </w:r>
      <w:r w:rsidRPr="0020148E">
        <w:rPr>
          <w:rFonts w:ascii="Times New Roman"/>
          <w:noProof/>
        </w:rPr>
        <w:t xml:space="preserve"> The ECJ has long considered the posting rule and the multi-</w:t>
      </w:r>
      <w:r w:rsidRPr="0020148E">
        <w:rPr>
          <w:rFonts w:ascii="Times New Roman"/>
          <w:noProof/>
        </w:rPr>
        <w:lastRenderedPageBreak/>
        <w:t>activity rules to be exceptions.</w:t>
      </w:r>
      <w:bookmarkStart w:id="35" w:name="_Ref50455750"/>
      <w:r w:rsidRPr="0020148E">
        <w:rPr>
          <w:rStyle w:val="FootnoteReference"/>
          <w:rFonts w:ascii="Times New Roman"/>
          <w:noProof/>
        </w:rPr>
        <w:footnoteReference w:id="82"/>
      </w:r>
      <w:bookmarkEnd w:id="35"/>
      <w:r w:rsidRPr="0020148E">
        <w:rPr>
          <w:rFonts w:ascii="Times New Roman"/>
          <w:noProof/>
        </w:rPr>
        <w:t xml:space="preserve"> More recently, it explicitly held that, as derogations, they are to be interpreted strictly.</w:t>
      </w:r>
      <w:bookmarkStart w:id="36" w:name="_Ref51094953"/>
      <w:r w:rsidRPr="0020148E">
        <w:rPr>
          <w:rStyle w:val="FootnoteReference"/>
          <w:rFonts w:ascii="Times New Roman"/>
          <w:noProof/>
        </w:rPr>
        <w:footnoteReference w:id="83"/>
      </w:r>
      <w:bookmarkEnd w:id="36"/>
    </w:p>
    <w:p w14:paraId="706322FA" w14:textId="77777777" w:rsidR="00C43B1E" w:rsidRPr="0020148E" w:rsidRDefault="00C43B1E" w:rsidP="00AA4437">
      <w:pPr>
        <w:spacing w:line="360" w:lineRule="auto"/>
        <w:rPr>
          <w:rFonts w:ascii="Times New Roman"/>
          <w:noProof/>
        </w:rPr>
      </w:pPr>
      <w:r w:rsidRPr="0020148E">
        <w:rPr>
          <w:rFonts w:ascii="Times New Roman"/>
          <w:noProof/>
        </w:rPr>
        <w:t>Upon closer inspection, the institutions’ record is rather more mixed. Much as the EU legislator can take credit for most conditions attached to the posting rule and the multi-activity rule, I argued above that further conditions would be welcome. In a number of cases, the ECJ has narrowed the scope of those conflict rules, mostly without mentioning law shopping or similar concepts.</w:t>
      </w:r>
      <w:bookmarkStart w:id="37" w:name="_Ref50456331"/>
      <w:r w:rsidRPr="0020148E">
        <w:rPr>
          <w:rStyle w:val="FootnoteReference"/>
          <w:rFonts w:ascii="Times New Roman"/>
          <w:noProof/>
        </w:rPr>
        <w:footnoteReference w:id="84"/>
      </w:r>
      <w:bookmarkEnd w:id="37"/>
      <w:r w:rsidRPr="0020148E">
        <w:rPr>
          <w:rFonts w:ascii="Times New Roman"/>
          <w:noProof/>
        </w:rPr>
        <w:t xml:space="preserve"> In others cases, however, the ECJ has broadened their scope at the expense of the </w:t>
      </w:r>
      <w:r w:rsidRPr="0020148E">
        <w:rPr>
          <w:rFonts w:ascii="Times New Roman"/>
          <w:i/>
          <w:iCs/>
          <w:noProof/>
        </w:rPr>
        <w:t>lex loci laboris</w:t>
      </w:r>
      <w:r w:rsidRPr="0020148E">
        <w:rPr>
          <w:rFonts w:ascii="Times New Roman"/>
          <w:noProof/>
        </w:rPr>
        <w:t>.</w:t>
      </w:r>
      <w:r w:rsidRPr="0020148E">
        <w:rPr>
          <w:rStyle w:val="FootnoteReference"/>
          <w:rFonts w:ascii="Times New Roman"/>
          <w:noProof/>
        </w:rPr>
        <w:footnoteReference w:id="85"/>
      </w:r>
      <w:r w:rsidRPr="0020148E">
        <w:rPr>
          <w:rFonts w:ascii="Times New Roman"/>
          <w:noProof/>
        </w:rPr>
        <w:t xml:space="preserve"> The ECJ’s express statement that the posting rule ought to be interpreted narrowly might foreshadow a renewed fondness for the </w:t>
      </w:r>
      <w:r w:rsidRPr="0020148E">
        <w:rPr>
          <w:rFonts w:ascii="Times New Roman"/>
          <w:i/>
          <w:iCs/>
          <w:noProof/>
        </w:rPr>
        <w:t>lex loci laboris</w:t>
      </w:r>
      <w:r w:rsidRPr="0020148E">
        <w:rPr>
          <w:rFonts w:ascii="Times New Roman"/>
          <w:noProof/>
        </w:rPr>
        <w:t>.</w:t>
      </w:r>
      <w:r w:rsidRPr="0020148E">
        <w:rPr>
          <w:rStyle w:val="FootnoteReference"/>
          <w:rFonts w:ascii="Times New Roman"/>
          <w:noProof/>
        </w:rPr>
        <w:footnoteReference w:id="86"/>
      </w:r>
    </w:p>
    <w:p w14:paraId="2641C9C2" w14:textId="622F97C5" w:rsidR="00C43B1E" w:rsidRPr="0020148E" w:rsidRDefault="00C43B1E" w:rsidP="00AA4437">
      <w:pPr>
        <w:spacing w:line="360" w:lineRule="auto"/>
        <w:rPr>
          <w:rFonts w:ascii="Times New Roman"/>
          <w:noProof/>
        </w:rPr>
      </w:pPr>
      <w:r w:rsidRPr="0020148E">
        <w:rPr>
          <w:rFonts w:ascii="Times New Roman"/>
          <w:noProof/>
        </w:rPr>
        <w:t xml:space="preserve">Not only the scope of the </w:t>
      </w:r>
      <w:bookmarkStart w:id="38" w:name="_Hlk51016677"/>
      <w:r w:rsidRPr="0020148E">
        <w:rPr>
          <w:rFonts w:ascii="Times New Roman"/>
          <w:noProof/>
        </w:rPr>
        <w:t xml:space="preserve">alternatives to the </w:t>
      </w:r>
      <w:r w:rsidRPr="0020148E">
        <w:rPr>
          <w:rFonts w:ascii="Times New Roman"/>
          <w:i/>
          <w:iCs/>
          <w:noProof/>
        </w:rPr>
        <w:t>lex loci laboris</w:t>
      </w:r>
      <w:bookmarkEnd w:id="38"/>
      <w:r w:rsidRPr="0020148E">
        <w:rPr>
          <w:rFonts w:ascii="Times New Roman"/>
          <w:noProof/>
        </w:rPr>
        <w:t>, but also their number matters. The opportunities for law shopping increase with the number of conflict rules that might designate different Member States. Undertakings might contrive to fall under whichever conflict rule points to the mo</w:t>
      </w:r>
      <w:r w:rsidR="001B361E" w:rsidRPr="0020148E">
        <w:rPr>
          <w:rFonts w:ascii="Times New Roman"/>
          <w:noProof/>
        </w:rPr>
        <w:t>st</w:t>
      </w:r>
      <w:r w:rsidRPr="0020148E">
        <w:rPr>
          <w:rFonts w:ascii="Times New Roman"/>
          <w:noProof/>
        </w:rPr>
        <w:t xml:space="preserve"> congenial social security system. Because of the sheer number of conflict rules—no fewer than nine conflict rules on multi-activity</w:t>
      </w:r>
      <w:r w:rsidRPr="0020148E">
        <w:rPr>
          <w:rStyle w:val="FootnoteReference"/>
          <w:rFonts w:ascii="Times New Roman"/>
          <w:noProof/>
        </w:rPr>
        <w:footnoteReference w:id="87"/>
      </w:r>
      <w:r w:rsidRPr="0020148E">
        <w:rPr>
          <w:rFonts w:ascii="Times New Roman"/>
          <w:noProof/>
        </w:rPr>
        <w:t xml:space="preserve"> in addition to the </w:t>
      </w:r>
      <w:r w:rsidRPr="0020148E">
        <w:rPr>
          <w:rFonts w:ascii="Times New Roman"/>
          <w:i/>
          <w:iCs/>
          <w:noProof/>
        </w:rPr>
        <w:t>lex loci laboris</w:t>
      </w:r>
      <w:r w:rsidRPr="0020148E">
        <w:rPr>
          <w:rFonts w:ascii="Times New Roman"/>
          <w:noProof/>
        </w:rPr>
        <w:t xml:space="preserve"> and the posting rule—several social security systems are on offer. If the choice is not to be made by undertakings, the border between each of these conflict rules ought to be policed effectively.</w:t>
      </w:r>
    </w:p>
    <w:p w14:paraId="44E5D18C" w14:textId="143B6B23" w:rsidR="00C43B1E" w:rsidRPr="0020148E" w:rsidRDefault="00C43B1E" w:rsidP="00AA4437">
      <w:pPr>
        <w:spacing w:line="360" w:lineRule="auto"/>
        <w:rPr>
          <w:rFonts w:ascii="Times New Roman"/>
          <w:noProof/>
        </w:rPr>
      </w:pPr>
      <w:r w:rsidRPr="0020148E">
        <w:rPr>
          <w:rFonts w:ascii="Times New Roman"/>
          <w:noProof/>
        </w:rPr>
        <w:t xml:space="preserve">In summary, the very existence of several conflict rules opens room for circumvention. The counterstrategy is to favour the </w:t>
      </w:r>
      <w:r w:rsidR="003C6C74" w:rsidRPr="0020148E">
        <w:rPr>
          <w:rFonts w:ascii="Times New Roman"/>
          <w:i/>
          <w:iCs/>
          <w:noProof/>
        </w:rPr>
        <w:t>lex loci laboris</w:t>
      </w:r>
      <w:r w:rsidRPr="0020148E">
        <w:rPr>
          <w:rFonts w:ascii="Times New Roman"/>
          <w:noProof/>
        </w:rPr>
        <w:t xml:space="preserve"> by limiting the scope and number of derogations. This further strenghtens the case for attaching </w:t>
      </w:r>
      <w:r w:rsidR="00D0369B" w:rsidRPr="0020148E">
        <w:rPr>
          <w:rFonts w:ascii="Times New Roman"/>
          <w:noProof/>
        </w:rPr>
        <w:t xml:space="preserve">supplementary </w:t>
      </w:r>
      <w:r w:rsidRPr="0020148E">
        <w:rPr>
          <w:rFonts w:ascii="Times New Roman"/>
          <w:noProof/>
        </w:rPr>
        <w:t>conditions to the posting rule and the multi-activity rule</w:t>
      </w:r>
      <w:r w:rsidR="00167D5D" w:rsidRPr="0020148E">
        <w:rPr>
          <w:rFonts w:ascii="Times New Roman"/>
          <w:noProof/>
        </w:rPr>
        <w:t xml:space="preserve">, </w:t>
      </w:r>
      <w:r w:rsidR="00B44A4B" w:rsidRPr="0020148E">
        <w:rPr>
          <w:rFonts w:ascii="Times New Roman"/>
          <w:noProof/>
        </w:rPr>
        <w:t xml:space="preserve">though care must be taken </w:t>
      </w:r>
      <w:r w:rsidR="00167D5D" w:rsidRPr="0020148E">
        <w:rPr>
          <w:rFonts w:ascii="Times New Roman"/>
          <w:noProof/>
        </w:rPr>
        <w:t xml:space="preserve">not to endanger their </w:t>
      </w:r>
      <w:r w:rsidRPr="0020148E">
        <w:rPr>
          <w:rFonts w:ascii="Times New Roman"/>
          <w:noProof/>
        </w:rPr>
        <w:t xml:space="preserve">legitimate </w:t>
      </w:r>
      <w:r w:rsidRPr="0020148E">
        <w:rPr>
          <w:rFonts w:ascii="Times New Roman"/>
          <w:i/>
          <w:iCs/>
          <w:noProof/>
        </w:rPr>
        <w:t>raison d’être</w:t>
      </w:r>
      <w:r w:rsidRPr="0020148E">
        <w:rPr>
          <w:rFonts w:ascii="Times New Roman"/>
          <w:noProof/>
        </w:rPr>
        <w:t xml:space="preserve"> </w:t>
      </w:r>
      <w:r w:rsidR="00167D5D" w:rsidRPr="0020148E">
        <w:rPr>
          <w:rFonts w:ascii="Times New Roman"/>
          <w:noProof/>
        </w:rPr>
        <w:t xml:space="preserve">by curtailing them </w:t>
      </w:r>
      <w:r w:rsidRPr="0020148E">
        <w:rPr>
          <w:rFonts w:ascii="Times New Roman"/>
          <w:noProof/>
        </w:rPr>
        <w:t>excessively.</w:t>
      </w:r>
    </w:p>
    <w:p w14:paraId="3FA4B8EF" w14:textId="77777777"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Teleological interpretation</w:t>
      </w:r>
    </w:p>
    <w:p w14:paraId="2D5770D5" w14:textId="2947FBD9" w:rsidR="00C43B1E" w:rsidRPr="0020148E" w:rsidRDefault="00C43B1E" w:rsidP="00AA4437">
      <w:pPr>
        <w:spacing w:line="360" w:lineRule="auto"/>
        <w:rPr>
          <w:rFonts w:ascii="Times New Roman"/>
          <w:noProof/>
        </w:rPr>
      </w:pPr>
      <w:r w:rsidRPr="0020148E">
        <w:rPr>
          <w:rFonts w:ascii="Times New Roman"/>
          <w:noProof/>
        </w:rPr>
        <w:t xml:space="preserve">The rulings discussed so far have exemplified the role of interpretation in increasing or decreasing the vulnerability of Regulation 883/2004 to </w:t>
      </w:r>
      <w:r w:rsidR="00C30EC3" w:rsidRPr="0020148E">
        <w:rPr>
          <w:rFonts w:ascii="Times New Roman"/>
          <w:noProof/>
        </w:rPr>
        <w:t>indirect choice of law</w:t>
      </w:r>
      <w:r w:rsidRPr="0020148E">
        <w:rPr>
          <w:rFonts w:ascii="Times New Roman"/>
          <w:noProof/>
        </w:rPr>
        <w:t xml:space="preserve">. Textual interpretation </w:t>
      </w:r>
      <w:r w:rsidR="00A66336" w:rsidRPr="0020148E">
        <w:rPr>
          <w:rFonts w:ascii="Times New Roman"/>
          <w:noProof/>
        </w:rPr>
        <w:t>tends</w:t>
      </w:r>
      <w:r w:rsidRPr="0020148E">
        <w:rPr>
          <w:rFonts w:ascii="Times New Roman"/>
          <w:noProof/>
        </w:rPr>
        <w:t xml:space="preserve"> to </w:t>
      </w:r>
      <w:r w:rsidRPr="0020148E">
        <w:rPr>
          <w:rFonts w:ascii="Times New Roman"/>
          <w:noProof/>
        </w:rPr>
        <w:lastRenderedPageBreak/>
        <w:t>facilitate law shopping.</w:t>
      </w:r>
      <w:r w:rsidRPr="0020148E">
        <w:rPr>
          <w:rStyle w:val="FootnoteReference"/>
          <w:rFonts w:ascii="Times New Roman"/>
          <w:noProof/>
        </w:rPr>
        <w:footnoteReference w:id="88"/>
      </w:r>
      <w:r w:rsidRPr="0020148E">
        <w:rPr>
          <w:rFonts w:ascii="Times New Roman"/>
          <w:noProof/>
        </w:rPr>
        <w:t xml:space="preserve"> It enables undertakings to engineer the facts to match a precise and predictable rule, and it opposes the introduction of conditions to the posting or multi-activity rule that are not explicit in the Regulation. Whether teleological interpretation complicates law shopping, depends on the objective(s) pursued. For instance, a reading of conflict rules in the sole light of the employer’s freedom to provide services would strengthen its capacity to compete across the EU on the basis of the law of its home State and to influence the applicable social security legislation. </w:t>
      </w:r>
    </w:p>
    <w:p w14:paraId="0E906436" w14:textId="77777777" w:rsidR="00C43B1E" w:rsidRPr="0020148E" w:rsidRDefault="00C43B1E" w:rsidP="00AA4437">
      <w:pPr>
        <w:spacing w:line="360" w:lineRule="auto"/>
        <w:rPr>
          <w:rFonts w:ascii="Times New Roman"/>
          <w:noProof/>
        </w:rPr>
      </w:pPr>
      <w:r w:rsidRPr="0020148E">
        <w:rPr>
          <w:rFonts w:ascii="Times New Roman"/>
          <w:noProof/>
        </w:rPr>
        <w:t xml:space="preserve">The interpretation of the posting rule is primarily (though certainly not exclusively) steered by </w:t>
      </w:r>
      <w:r w:rsidRPr="0020148E">
        <w:rPr>
          <w:rFonts w:ascii="Times New Roman"/>
          <w:i/>
          <w:iCs/>
          <w:noProof/>
        </w:rPr>
        <w:t>its</w:t>
      </w:r>
      <w:r w:rsidRPr="0020148E">
        <w:rPr>
          <w:rFonts w:ascii="Times New Roman"/>
          <w:noProof/>
        </w:rPr>
        <w:t xml:space="preserve"> objectives, among which the freedom to provide services takes pride of place.</w:t>
      </w:r>
      <w:r w:rsidRPr="0020148E">
        <w:rPr>
          <w:rStyle w:val="FootnoteReference"/>
          <w:rFonts w:ascii="Times New Roman"/>
          <w:noProof/>
        </w:rPr>
        <w:footnoteReference w:id="89"/>
      </w:r>
      <w:r w:rsidRPr="0020148E">
        <w:rPr>
          <w:rFonts w:ascii="Times New Roman"/>
          <w:noProof/>
        </w:rPr>
        <w:t xml:space="preserve"> While the importance of teleological interpretation remains unchanged, the ECJ has recently enriched the </w:t>
      </w:r>
      <w:r w:rsidRPr="0020148E">
        <w:rPr>
          <w:rFonts w:ascii="Times New Roman"/>
          <w:i/>
          <w:iCs/>
          <w:noProof/>
        </w:rPr>
        <w:t>telos</w:t>
      </w:r>
      <w:r w:rsidRPr="0020148E">
        <w:rPr>
          <w:rFonts w:ascii="Times New Roman"/>
          <w:noProof/>
        </w:rPr>
        <w:t xml:space="preserve">. In the 2018 </w:t>
      </w:r>
      <w:r w:rsidRPr="0020148E">
        <w:rPr>
          <w:rFonts w:ascii="Times New Roman"/>
          <w:i/>
          <w:iCs/>
          <w:noProof/>
        </w:rPr>
        <w:t>Alpenrind</w:t>
      </w:r>
      <w:r w:rsidRPr="0020148E">
        <w:rPr>
          <w:rFonts w:ascii="Times New Roman"/>
          <w:noProof/>
        </w:rPr>
        <w:t xml:space="preserve"> case, it explicitly endorsed a narrow construction of the posting rule, on the grounds that it derogates from the general rule.</w:t>
      </w:r>
      <w:r w:rsidRPr="0020148E">
        <w:rPr>
          <w:rStyle w:val="FootnoteReference"/>
          <w:rFonts w:ascii="Times New Roman"/>
          <w:noProof/>
        </w:rPr>
        <w:footnoteReference w:id="90"/>
      </w:r>
      <w:r w:rsidRPr="0020148E">
        <w:rPr>
          <w:rFonts w:ascii="Times New Roman"/>
          <w:noProof/>
        </w:rPr>
        <w:t xml:space="preserve"> The ECJ understood the non-replacement condition as prohibiting replacement even by different employers. Much as its Advocate General opposed such an interpretation of the posting rule on the basis of its wording and its objectives, the ECJ convincingly grounded a reading that complicates law shopping by emphasising the objectives of the </w:t>
      </w:r>
      <w:r w:rsidRPr="0020148E">
        <w:rPr>
          <w:rFonts w:ascii="Times New Roman"/>
          <w:i/>
          <w:iCs/>
          <w:noProof/>
        </w:rPr>
        <w:t>lex loci laboris</w:t>
      </w:r>
      <w:r w:rsidRPr="0020148E">
        <w:rPr>
          <w:rFonts w:ascii="Times New Roman"/>
          <w:noProof/>
        </w:rPr>
        <w:t xml:space="preserve"> rather than the posting rule.</w:t>
      </w:r>
    </w:p>
    <w:p w14:paraId="5461345F" w14:textId="4412E6AC" w:rsidR="00C43B1E" w:rsidRPr="0020148E" w:rsidRDefault="00C43B1E" w:rsidP="00AA4437">
      <w:pPr>
        <w:spacing w:line="360" w:lineRule="auto"/>
        <w:rPr>
          <w:rFonts w:ascii="Times New Roman"/>
          <w:noProof/>
        </w:rPr>
      </w:pPr>
      <w:r w:rsidRPr="0020148E">
        <w:rPr>
          <w:rFonts w:ascii="Times New Roman"/>
          <w:noProof/>
        </w:rPr>
        <w:t xml:space="preserve">A second teleological shift occurred in the 2020 </w:t>
      </w:r>
      <w:r w:rsidRPr="0020148E">
        <w:rPr>
          <w:rFonts w:ascii="Times New Roman"/>
          <w:i/>
          <w:iCs/>
          <w:noProof/>
        </w:rPr>
        <w:t>AFMB</w:t>
      </w:r>
      <w:r w:rsidRPr="0020148E">
        <w:rPr>
          <w:rFonts w:ascii="Times New Roman"/>
          <w:noProof/>
        </w:rPr>
        <w:t xml:space="preserve"> case with which this article opened.</w:t>
      </w:r>
      <w:r w:rsidRPr="0020148E">
        <w:rPr>
          <w:rStyle w:val="FootnoteReference"/>
          <w:rFonts w:ascii="Times New Roman"/>
          <w:noProof/>
        </w:rPr>
        <w:footnoteReference w:id="91"/>
      </w:r>
      <w:r w:rsidRPr="0020148E">
        <w:rPr>
          <w:rFonts w:ascii="Times New Roman"/>
          <w:noProof/>
        </w:rPr>
        <w:t xml:space="preserve"> As the international lorry drivers did not pursue a substantial part of their activity in the Netherlands, where they resided, the multi-activity rule subjected them to the laws of the State in which their employer’s registered office or place of business was located. But who was their employer—the Cypriot AFMB with whom they had concluded employment contracts, or rather the Dutch transport undertakings who had selected them, who exercised authority over them, who could effectively dismiss them, and who reimbursed AFMB for their wages? While the employment contracts named AFMB as the employer, the ECJ held that the actual performance of contract</w:t>
      </w:r>
      <w:r w:rsidR="00456B5A" w:rsidRPr="0020148E">
        <w:rPr>
          <w:rFonts w:ascii="Times New Roman"/>
          <w:noProof/>
        </w:rPr>
        <w:t>s</w:t>
      </w:r>
      <w:r w:rsidRPr="0020148E">
        <w:rPr>
          <w:rFonts w:ascii="Times New Roman"/>
          <w:noProof/>
        </w:rPr>
        <w:t xml:space="preserve"> take</w:t>
      </w:r>
      <w:r w:rsidR="00456B5A" w:rsidRPr="0020148E">
        <w:rPr>
          <w:rFonts w:ascii="Times New Roman"/>
          <w:noProof/>
        </w:rPr>
        <w:t>s</w:t>
      </w:r>
      <w:r w:rsidRPr="0020148E">
        <w:rPr>
          <w:rFonts w:ascii="Times New Roman"/>
          <w:noProof/>
        </w:rPr>
        <w:t xml:space="preserve"> precedence over contractual terms in case of discrepancy; social security institutions must pierce the contractual veil behind which undertakings might try to hide. It defined the employer as “the entity which actually exercises authority over the worker, which bears, in reality, the relevant wage costs, and which has the actual power to dismiss that worker.”</w:t>
      </w:r>
      <w:r w:rsidRPr="0020148E">
        <w:rPr>
          <w:rStyle w:val="FootnoteReference"/>
          <w:rFonts w:ascii="Times New Roman"/>
          <w:noProof/>
        </w:rPr>
        <w:footnoteReference w:id="92"/>
      </w:r>
      <w:r w:rsidRPr="0020148E">
        <w:rPr>
          <w:rFonts w:ascii="Times New Roman"/>
          <w:noProof/>
        </w:rPr>
        <w:t xml:space="preserve"> Accordingly, the ECJ identified the Dutch transport undertakings as the actual employers and thwarted the attempt to circumvent Dutch social security law.</w:t>
      </w:r>
    </w:p>
    <w:p w14:paraId="302308AA" w14:textId="68C31B31" w:rsidR="00C43B1E" w:rsidRPr="0020148E" w:rsidRDefault="00C43B1E" w:rsidP="00AA4437">
      <w:pPr>
        <w:spacing w:line="360" w:lineRule="auto"/>
        <w:rPr>
          <w:rFonts w:ascii="Times New Roman"/>
          <w:noProof/>
        </w:rPr>
      </w:pPr>
      <w:r w:rsidRPr="0020148E">
        <w:rPr>
          <w:rFonts w:ascii="Times New Roman"/>
          <w:noProof/>
        </w:rPr>
        <w:t xml:space="preserve">The ruling’s main import is the connection the Grand Chamber drew between the fight against abuse and the objectives of Regulation 883/2004. The ECJ buttressed its definition of the notion of “employer” on the basis </w:t>
      </w:r>
      <w:r w:rsidR="00931870" w:rsidRPr="0020148E">
        <w:rPr>
          <w:rFonts w:ascii="Times New Roman"/>
          <w:noProof/>
        </w:rPr>
        <w:t xml:space="preserve">of </w:t>
      </w:r>
      <w:r w:rsidRPr="0020148E">
        <w:rPr>
          <w:rFonts w:ascii="Times New Roman"/>
          <w:noProof/>
        </w:rPr>
        <w:t xml:space="preserve">the objectives of both the multi-activity rule and the Regulation as a </w:t>
      </w:r>
      <w:r w:rsidRPr="0020148E">
        <w:rPr>
          <w:rFonts w:ascii="Times New Roman"/>
          <w:noProof/>
        </w:rPr>
        <w:lastRenderedPageBreak/>
        <w:t xml:space="preserve">whole. It reiterated that Regulation 883/2004 aims to realise free movement and thus improve the living standards of migrant citizens, while respecting the features of national social security systems. The multi-activity rule serves these goals by preventing the complications that the </w:t>
      </w:r>
      <w:r w:rsidRPr="0020148E">
        <w:rPr>
          <w:rFonts w:ascii="Times New Roman"/>
          <w:i/>
          <w:iCs/>
          <w:noProof/>
        </w:rPr>
        <w:t>lex loci laboris</w:t>
      </w:r>
      <w:r w:rsidRPr="0020148E">
        <w:rPr>
          <w:rFonts w:ascii="Times New Roman"/>
          <w:noProof/>
        </w:rPr>
        <w:t xml:space="preserve"> would entail, and designates the applicable legislation on the basis of the objective situation of workers. If the applicable legislation were instead based wholly on formal considerations such as contractual terms, undertakings could change it without contributing to the free movement objective. The applicable legislation would then depend on free choice, whereas it should depend only on the objective situation of workers. The ECJ proceeded to make a statement that should reverberate loudly:</w:t>
      </w:r>
    </w:p>
    <w:p w14:paraId="4B1027AA" w14:textId="77777777" w:rsidR="00C43B1E" w:rsidRPr="0020148E" w:rsidRDefault="00C43B1E" w:rsidP="00AA4437">
      <w:pPr>
        <w:spacing w:line="360" w:lineRule="auto"/>
        <w:ind w:left="720"/>
        <w:rPr>
          <w:rFonts w:ascii="Times New Roman"/>
          <w:noProof/>
        </w:rPr>
      </w:pPr>
      <w:r w:rsidRPr="0020148E">
        <w:rPr>
          <w:rFonts w:ascii="Times New Roman"/>
          <w:noProof/>
        </w:rPr>
        <w:t>“the objective of [Regulations 883/2004 and 1408/71…] might be undermined if the interpretation adopted of the [concept of employer] were to make it easier for employers to be able to resort to purely artificial arrangements in order to exploit the EU legislation with the sole aim of obtaining an advantage from the differences that exist between the national rules. In particular, such exploitation of that legislation would be likely to have a ‘race to the bottom’ effect on the social security systems of the Member States and perhaps, ultimately, reduce the level of protection offered by those systems.”</w:t>
      </w:r>
      <w:r w:rsidRPr="0020148E">
        <w:rPr>
          <w:rStyle w:val="FootnoteReference"/>
          <w:rFonts w:ascii="Times New Roman"/>
          <w:noProof/>
        </w:rPr>
        <w:footnoteReference w:id="93"/>
      </w:r>
    </w:p>
    <w:p w14:paraId="45CE90A8" w14:textId="1D18ECF6" w:rsidR="00C43B1E" w:rsidRPr="0020148E" w:rsidRDefault="00C43B1E" w:rsidP="00AA4437">
      <w:pPr>
        <w:spacing w:line="360" w:lineRule="auto"/>
        <w:rPr>
          <w:rFonts w:ascii="Times New Roman"/>
          <w:noProof/>
        </w:rPr>
      </w:pPr>
      <w:r w:rsidRPr="0020148E">
        <w:rPr>
          <w:rFonts w:ascii="Times New Roman"/>
          <w:noProof/>
        </w:rPr>
        <w:t xml:space="preserve">The ECJ thus made clear its dislike for law shopping, without shying away from taking a firm stance in the regulatory competition debate. Its ruling also serves the integration–protection nexus: the drivers had no link </w:t>
      </w:r>
      <w:r w:rsidR="00931870" w:rsidRPr="0020148E">
        <w:rPr>
          <w:rFonts w:ascii="Times New Roman"/>
          <w:noProof/>
        </w:rPr>
        <w:t xml:space="preserve">to speak of </w:t>
      </w:r>
      <w:r w:rsidRPr="0020148E">
        <w:rPr>
          <w:rFonts w:ascii="Times New Roman"/>
          <w:noProof/>
        </w:rPr>
        <w:t>with Cyprus.</w:t>
      </w:r>
    </w:p>
    <w:p w14:paraId="20904617" w14:textId="4345B9E7" w:rsidR="00C43B1E" w:rsidRPr="0020148E" w:rsidRDefault="00C43B1E" w:rsidP="00AA4437">
      <w:pPr>
        <w:spacing w:line="360" w:lineRule="auto"/>
        <w:rPr>
          <w:rFonts w:ascii="Times New Roman"/>
          <w:noProof/>
        </w:rPr>
      </w:pPr>
      <w:r w:rsidRPr="0020148E">
        <w:rPr>
          <w:rFonts w:ascii="Times New Roman"/>
          <w:noProof/>
        </w:rPr>
        <w:t xml:space="preserve">The interpretation of the posting rule and the multi-activity rule is therefore guided by their own objectives, by the objectives of the </w:t>
      </w:r>
      <w:r w:rsidRPr="0020148E">
        <w:rPr>
          <w:rFonts w:ascii="Times New Roman"/>
          <w:i/>
          <w:iCs/>
          <w:noProof/>
        </w:rPr>
        <w:t>lex loci laboris</w:t>
      </w:r>
      <w:r w:rsidRPr="0020148E">
        <w:rPr>
          <w:rFonts w:ascii="Times New Roman"/>
          <w:noProof/>
        </w:rPr>
        <w:t xml:space="preserve">, and by the wish to counter excessive law shopping. This is no screeching about-turn; the ECJ has always considered the </w:t>
      </w:r>
      <w:r w:rsidRPr="0020148E">
        <w:rPr>
          <w:rFonts w:ascii="Times New Roman"/>
          <w:i/>
          <w:iCs/>
          <w:noProof/>
        </w:rPr>
        <w:t>lex loci laboris</w:t>
      </w:r>
      <w:r w:rsidRPr="0020148E">
        <w:rPr>
          <w:rFonts w:ascii="Times New Roman"/>
          <w:noProof/>
        </w:rPr>
        <w:t xml:space="preserve"> as the main conflict rule, and, whether intentionally or not, it has on occasion complicated law shopping.</w:t>
      </w:r>
      <w:r w:rsidRPr="0020148E">
        <w:rPr>
          <w:rStyle w:val="FootnoteReference"/>
          <w:rFonts w:ascii="Times New Roman"/>
          <w:noProof/>
        </w:rPr>
        <w:footnoteReference w:id="94"/>
      </w:r>
      <w:r w:rsidRPr="0020148E">
        <w:rPr>
          <w:rFonts w:ascii="Times New Roman"/>
          <w:noProof/>
        </w:rPr>
        <w:t xml:space="preserve"> Still, there is a marked inflection in the ECJ’s tone and approach, which raises the question of whether some earlier case-law facilitating (or at least not hindering) gain-seeking, purely artificial, arrangements might be ripe for revision. Teleological interpretation is a tool that can be wielded to </w:t>
      </w:r>
      <w:r w:rsidR="000510E7" w:rsidRPr="0020148E">
        <w:rPr>
          <w:rFonts w:ascii="Times New Roman"/>
          <w:noProof/>
        </w:rPr>
        <w:t xml:space="preserve">negate </w:t>
      </w:r>
      <w:r w:rsidRPr="0020148E">
        <w:rPr>
          <w:rFonts w:ascii="Times New Roman"/>
          <w:noProof/>
        </w:rPr>
        <w:t>all kinds of attempted law shopping.</w:t>
      </w:r>
    </w:p>
    <w:p w14:paraId="59DD97A7" w14:textId="7BD1567E"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Doctrine of abuse of</w:t>
      </w:r>
      <w:r w:rsidR="00182DF7" w:rsidRPr="0020148E">
        <w:rPr>
          <w:rFonts w:ascii="Times New Roman" w:hAnsi="Times New Roman" w:cs="Times New Roman"/>
          <w:noProof/>
          <w:color w:val="auto"/>
        </w:rPr>
        <w:t xml:space="preserve"> EU</w:t>
      </w:r>
      <w:r w:rsidRPr="0020148E">
        <w:rPr>
          <w:rFonts w:ascii="Times New Roman" w:hAnsi="Times New Roman" w:cs="Times New Roman"/>
          <w:noProof/>
          <w:color w:val="auto"/>
        </w:rPr>
        <w:t xml:space="preserve"> law</w:t>
      </w:r>
    </w:p>
    <w:p w14:paraId="250FBD75" w14:textId="77777777" w:rsidR="00C43B1E" w:rsidRPr="0020148E" w:rsidRDefault="00C43B1E" w:rsidP="00AA4437">
      <w:pPr>
        <w:spacing w:line="360" w:lineRule="auto"/>
        <w:rPr>
          <w:rFonts w:ascii="Times New Roman"/>
          <w:noProof/>
        </w:rPr>
      </w:pPr>
      <w:r w:rsidRPr="0020148E">
        <w:rPr>
          <w:rFonts w:ascii="Times New Roman"/>
          <w:noProof/>
        </w:rPr>
        <w:t xml:space="preserve">The above counterstrategies might feel frustratingly roundabout—if the issue is that EU law is being abused, why not deploy the much-discussed doctrine of abuse of EU law? The ECJ formulated its test in </w:t>
      </w:r>
      <w:r w:rsidRPr="0020148E">
        <w:rPr>
          <w:rFonts w:ascii="Times New Roman"/>
          <w:i/>
          <w:noProof/>
        </w:rPr>
        <w:t>Emsland-Stärke</w:t>
      </w:r>
      <w:r w:rsidRPr="0020148E">
        <w:rPr>
          <w:rFonts w:ascii="Times New Roman"/>
          <w:noProof/>
        </w:rPr>
        <w:t>:</w:t>
      </w:r>
    </w:p>
    <w:p w14:paraId="67E3F889" w14:textId="77777777" w:rsidR="00C43B1E" w:rsidRPr="0020148E" w:rsidRDefault="00C43B1E" w:rsidP="00AA4437">
      <w:pPr>
        <w:spacing w:line="360" w:lineRule="auto"/>
        <w:ind w:left="720"/>
        <w:rPr>
          <w:rFonts w:ascii="Times New Roman"/>
          <w:noProof/>
        </w:rPr>
      </w:pPr>
      <w:r w:rsidRPr="0020148E">
        <w:rPr>
          <w:rFonts w:ascii="Times New Roman"/>
          <w:noProof/>
        </w:rPr>
        <w:t xml:space="preserve">“A finding of an abuse requires, first, a combination of objective circumstances in which, despite formal observance of the conditions laid down by the Community rules, the purpose </w:t>
      </w:r>
      <w:r w:rsidRPr="0020148E">
        <w:rPr>
          <w:rFonts w:ascii="Times New Roman"/>
          <w:noProof/>
        </w:rPr>
        <w:lastRenderedPageBreak/>
        <w:t xml:space="preserve">of those rules has not been achieved. </w:t>
      </w:r>
      <w:r w:rsidRPr="0020148E">
        <w:rPr>
          <w:rFonts w:ascii="Times New Roman"/>
          <w:noProof/>
        </w:rPr>
        <w:br/>
        <w:t>It requires, second, a subjective element consisting in the intention to obtain an advantage from the Community rules by creating artificially the conditions laid down for obtaining it.”</w:t>
      </w:r>
      <w:r w:rsidRPr="0020148E">
        <w:rPr>
          <w:rStyle w:val="FootnoteReference"/>
          <w:rFonts w:ascii="Times New Roman"/>
          <w:noProof/>
        </w:rPr>
        <w:footnoteReference w:id="95"/>
      </w:r>
    </w:p>
    <w:p w14:paraId="2FC2811A" w14:textId="77777777" w:rsidR="00C43B1E" w:rsidRPr="0020148E" w:rsidRDefault="00C43B1E" w:rsidP="00AA4437">
      <w:pPr>
        <w:spacing w:line="360" w:lineRule="auto"/>
        <w:rPr>
          <w:rFonts w:ascii="Times New Roman"/>
          <w:iCs/>
          <w:noProof/>
        </w:rPr>
      </w:pPr>
      <w:bookmarkStart w:id="39" w:name="_Hlk51063350"/>
      <w:r w:rsidRPr="0020148E">
        <w:rPr>
          <w:rFonts w:ascii="Times New Roman"/>
          <w:noProof/>
        </w:rPr>
        <w:t>The ECJ—controversially—considers the doctrine of abuse to be a general principle of EU law.</w:t>
      </w:r>
      <w:r w:rsidRPr="0020148E">
        <w:rPr>
          <w:rStyle w:val="FootnoteReference"/>
          <w:rFonts w:ascii="Times New Roman"/>
          <w:noProof/>
        </w:rPr>
        <w:footnoteReference w:id="96"/>
      </w:r>
      <w:r w:rsidRPr="0020148E">
        <w:rPr>
          <w:rFonts w:ascii="Times New Roman"/>
          <w:noProof/>
        </w:rPr>
        <w:t xml:space="preserve"> </w:t>
      </w:r>
      <w:bookmarkEnd w:id="39"/>
      <w:r w:rsidRPr="0020148E">
        <w:rPr>
          <w:rFonts w:ascii="Times New Roman"/>
          <w:noProof/>
        </w:rPr>
        <w:t>Even if it permeates the whole of EU law, its contours and shape are tailored to the context.</w:t>
      </w:r>
      <w:r w:rsidRPr="0020148E">
        <w:rPr>
          <w:rStyle w:val="FootnoteReference"/>
          <w:rFonts w:ascii="Times New Roman"/>
          <w:noProof/>
        </w:rPr>
        <w:footnoteReference w:id="97"/>
      </w:r>
      <w:r w:rsidRPr="0020148E">
        <w:rPr>
          <w:rFonts w:ascii="Times New Roman"/>
          <w:noProof/>
        </w:rPr>
        <w:t xml:space="preserve"> As regards the social security Regulations, the ECJ has written about “[t]he principle of prohibition of fraud and abuse of rights” which entails that “</w:t>
      </w:r>
      <w:r w:rsidRPr="0020148E">
        <w:rPr>
          <w:rFonts w:ascii="Times New Roman"/>
          <w:iCs/>
          <w:noProof/>
        </w:rPr>
        <w:t>Community law cannot be relied on for the purposes of abuse or fraud”.</w:t>
      </w:r>
      <w:r w:rsidRPr="0020148E">
        <w:rPr>
          <w:rStyle w:val="FootnoteReference"/>
          <w:rFonts w:ascii="Times New Roman"/>
          <w:iCs/>
          <w:noProof/>
        </w:rPr>
        <w:footnoteReference w:id="98"/>
      </w:r>
      <w:r w:rsidRPr="0020148E">
        <w:rPr>
          <w:rFonts w:ascii="Times New Roman"/>
          <w:iCs/>
          <w:noProof/>
        </w:rPr>
        <w:t xml:space="preserve"> Yet, these rulings concerned fraud rather than abuse,</w:t>
      </w:r>
      <w:r w:rsidRPr="0020148E">
        <w:rPr>
          <w:rStyle w:val="FootnoteReference"/>
          <w:rFonts w:ascii="Times New Roman"/>
          <w:noProof/>
        </w:rPr>
        <w:footnoteReference w:id="99"/>
      </w:r>
      <w:r w:rsidRPr="0020148E">
        <w:rPr>
          <w:rFonts w:ascii="Times New Roman"/>
          <w:iCs/>
          <w:noProof/>
        </w:rPr>
        <w:t xml:space="preserve"> and </w:t>
      </w:r>
      <w:r w:rsidRPr="0020148E">
        <w:rPr>
          <w:rFonts w:ascii="Times New Roman"/>
          <w:i/>
          <w:iCs/>
          <w:noProof/>
        </w:rPr>
        <w:t>AFMB</w:t>
      </w:r>
      <w:r w:rsidRPr="0020148E">
        <w:rPr>
          <w:rFonts w:ascii="Times New Roman"/>
          <w:noProof/>
        </w:rPr>
        <w:t xml:space="preserve"> too stops short of introducing the doctrine of abuse of EU law in Regulation 883/2004.</w:t>
      </w:r>
    </w:p>
    <w:p w14:paraId="53DF9A69" w14:textId="31EEF529" w:rsidR="00C43B1E" w:rsidRPr="0020148E" w:rsidRDefault="00C43B1E" w:rsidP="00AA4437">
      <w:pPr>
        <w:spacing w:line="360" w:lineRule="auto"/>
        <w:rPr>
          <w:rFonts w:ascii="Times New Roman"/>
          <w:noProof/>
        </w:rPr>
      </w:pPr>
      <w:r w:rsidRPr="0020148E">
        <w:rPr>
          <w:rFonts w:ascii="Times New Roman"/>
          <w:iCs/>
          <w:noProof/>
        </w:rPr>
        <w:t>While t</w:t>
      </w:r>
      <w:r w:rsidRPr="0020148E">
        <w:rPr>
          <w:rFonts w:ascii="Times New Roman"/>
          <w:noProof/>
        </w:rPr>
        <w:t xml:space="preserve">wo Advocates General have recently supported the application of the doctrine of abuse of </w:t>
      </w:r>
      <w:r w:rsidR="00842808" w:rsidRPr="0020148E">
        <w:rPr>
          <w:rFonts w:ascii="Times New Roman"/>
          <w:noProof/>
        </w:rPr>
        <w:t xml:space="preserve">EU </w:t>
      </w:r>
      <w:r w:rsidRPr="0020148E">
        <w:rPr>
          <w:rFonts w:ascii="Times New Roman"/>
          <w:noProof/>
        </w:rPr>
        <w:t>law to counter the evasion of contribution duties,</w:t>
      </w:r>
      <w:r w:rsidRPr="0020148E">
        <w:rPr>
          <w:rStyle w:val="FootnoteReference"/>
          <w:rFonts w:ascii="Times New Roman"/>
          <w:noProof/>
        </w:rPr>
        <w:footnoteReference w:id="100"/>
      </w:r>
      <w:r w:rsidRPr="0020148E">
        <w:rPr>
          <w:rFonts w:ascii="Times New Roman"/>
          <w:noProof/>
        </w:rPr>
        <w:t xml:space="preserve"> it remains uncertain to what extent and how th</w:t>
      </w:r>
      <w:r w:rsidR="00842808" w:rsidRPr="0020148E">
        <w:rPr>
          <w:rFonts w:ascii="Times New Roman"/>
          <w:noProof/>
        </w:rPr>
        <w:t>at</w:t>
      </w:r>
      <w:r w:rsidRPr="0020148E">
        <w:rPr>
          <w:rFonts w:ascii="Times New Roman"/>
          <w:noProof/>
        </w:rPr>
        <w:t xml:space="preserve"> doctrine—which is intrinsically uncertain</w:t>
      </w:r>
      <w:r w:rsidRPr="0020148E">
        <w:rPr>
          <w:rStyle w:val="FootnoteReference"/>
          <w:rFonts w:ascii="Times New Roman"/>
          <w:noProof/>
        </w:rPr>
        <w:footnoteReference w:id="101"/>
      </w:r>
      <w:r w:rsidRPr="0020148E">
        <w:rPr>
          <w:rFonts w:ascii="Times New Roman"/>
          <w:noProof/>
        </w:rPr>
        <w:t xml:space="preserve">—applies to the conflict rules of Regulation 883/2004. At its best, it would equip </w:t>
      </w:r>
      <w:r w:rsidR="00842808" w:rsidRPr="0020148E">
        <w:rPr>
          <w:rFonts w:ascii="Times New Roman"/>
          <w:noProof/>
        </w:rPr>
        <w:t xml:space="preserve">courts </w:t>
      </w:r>
      <w:r w:rsidRPr="0020148E">
        <w:rPr>
          <w:rFonts w:ascii="Times New Roman"/>
          <w:noProof/>
        </w:rPr>
        <w:t>with a surgical tool with which they could deny attempts at law shopping that slipped through the net, outlawing for instance the everlasting posting of a worker. At its worst, it would inject a dose of arbitrariness in the determination of the applicable legislation, exacerbating the risk that several Member States deem themselves competent to levy contributions from the same worker and employer.</w:t>
      </w:r>
    </w:p>
    <w:p w14:paraId="4433916D" w14:textId="24B9BA15" w:rsidR="00C43B1E" w:rsidRPr="0020148E" w:rsidRDefault="00C43B1E" w:rsidP="00AA4437">
      <w:pPr>
        <w:spacing w:line="360" w:lineRule="auto"/>
        <w:rPr>
          <w:rFonts w:ascii="Times New Roman"/>
          <w:noProof/>
        </w:rPr>
      </w:pPr>
      <w:r w:rsidRPr="0020148E">
        <w:rPr>
          <w:rFonts w:ascii="Times New Roman"/>
          <w:noProof/>
        </w:rPr>
        <w:t>Abuse can act, not only as a general principle, but also as a lodestar for “a constructive interpretation of the applicable rules so as to exclude from their scope circumstances of abuse.”</w:t>
      </w:r>
      <w:r w:rsidRPr="0020148E">
        <w:rPr>
          <w:rStyle w:val="FootnoteReference"/>
          <w:rFonts w:ascii="Times New Roman"/>
          <w:noProof/>
        </w:rPr>
        <w:footnoteReference w:id="102"/>
      </w:r>
      <w:r w:rsidRPr="0020148E">
        <w:rPr>
          <w:rFonts w:ascii="Times New Roman"/>
          <w:noProof/>
        </w:rPr>
        <w:t xml:space="preserve"> At present, that is its main role in EU social security law. </w:t>
      </w:r>
      <w:bookmarkStart w:id="40" w:name="_Hlk50463398"/>
      <w:r w:rsidRPr="0020148E">
        <w:rPr>
          <w:rFonts w:ascii="Times New Roman"/>
          <w:noProof/>
        </w:rPr>
        <w:t xml:space="preserve">Such anti-abusive interpretation </w:t>
      </w:r>
      <w:bookmarkEnd w:id="40"/>
      <w:r w:rsidRPr="0020148E">
        <w:rPr>
          <w:rFonts w:ascii="Times New Roman"/>
          <w:noProof/>
        </w:rPr>
        <w:t xml:space="preserve">is not strictly bound by the </w:t>
      </w:r>
      <w:r w:rsidRPr="0020148E">
        <w:rPr>
          <w:rFonts w:ascii="Times New Roman"/>
          <w:i/>
          <w:noProof/>
        </w:rPr>
        <w:t>Emsland-Stärke</w:t>
      </w:r>
      <w:r w:rsidRPr="0020148E">
        <w:rPr>
          <w:rFonts w:ascii="Times New Roman"/>
          <w:noProof/>
        </w:rPr>
        <w:t xml:space="preserve"> criteria: it might counter constructions that yield no regulatory advantage or only yield such a gain unintentionally. </w:t>
      </w:r>
      <w:bookmarkStart w:id="41" w:name="_Hlk50978724"/>
    </w:p>
    <w:bookmarkEnd w:id="41"/>
    <w:p w14:paraId="095ECFED" w14:textId="77777777" w:rsidR="00C43B1E" w:rsidRPr="0020148E" w:rsidRDefault="00C43B1E" w:rsidP="00AA4437">
      <w:pPr>
        <w:pStyle w:val="Heading2"/>
        <w:numPr>
          <w:ilvl w:val="1"/>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lastRenderedPageBreak/>
        <w:t>Enforcement and compliance</w:t>
      </w:r>
    </w:p>
    <w:p w14:paraId="155B7BF6" w14:textId="378CEC04" w:rsidR="00C43B1E" w:rsidRPr="0020148E" w:rsidRDefault="00C43B1E" w:rsidP="00AA4437">
      <w:pPr>
        <w:spacing w:line="360" w:lineRule="auto"/>
        <w:rPr>
          <w:rFonts w:ascii="Times New Roman"/>
          <w:noProof/>
        </w:rPr>
      </w:pPr>
      <w:r w:rsidRPr="0020148E">
        <w:rPr>
          <w:rFonts w:ascii="Times New Roman"/>
          <w:noProof/>
        </w:rPr>
        <w:t>This paper concerns the law in the books rather than the law in action. Yet, it is important to note that both the enforcement of and the compliance with the Regulation’s conflict rules are found wanting.</w:t>
      </w:r>
      <w:bookmarkStart w:id="42" w:name="_Ref51094705"/>
      <w:r w:rsidRPr="0020148E">
        <w:rPr>
          <w:rStyle w:val="FootnoteReference"/>
          <w:rFonts w:ascii="Times New Roman"/>
          <w:noProof/>
        </w:rPr>
        <w:footnoteReference w:id="103"/>
      </w:r>
      <w:bookmarkEnd w:id="42"/>
      <w:r w:rsidRPr="0020148E">
        <w:rPr>
          <w:rFonts w:ascii="Times New Roman"/>
          <w:noProof/>
        </w:rPr>
        <w:t xml:space="preserve"> The social security institution of the home State should perform “</w:t>
      </w:r>
      <w:r w:rsidRPr="0020148E">
        <w:rPr>
          <w:rFonts w:ascii="Times New Roman"/>
          <w:iCs/>
          <w:noProof/>
        </w:rPr>
        <w:t>a proper assessment of the facts”</w:t>
      </w:r>
      <w:r w:rsidRPr="0020148E">
        <w:rPr>
          <w:rFonts w:ascii="Times New Roman"/>
          <w:noProof/>
        </w:rPr>
        <w:t xml:space="preserve"> before issuing a certificate confirming that </w:t>
      </w:r>
      <w:r w:rsidR="00692D00" w:rsidRPr="0020148E">
        <w:rPr>
          <w:rFonts w:ascii="Times New Roman"/>
          <w:noProof/>
        </w:rPr>
        <w:t xml:space="preserve">the worker is posted, which binds </w:t>
      </w:r>
      <w:r w:rsidRPr="0020148E">
        <w:rPr>
          <w:rFonts w:ascii="Times New Roman"/>
          <w:noProof/>
        </w:rPr>
        <w:t>the social security institutions and courts of other Member States.</w:t>
      </w:r>
      <w:r w:rsidRPr="0020148E">
        <w:rPr>
          <w:rStyle w:val="FootnoteReference"/>
          <w:rFonts w:ascii="Times New Roman"/>
          <w:noProof/>
        </w:rPr>
        <w:footnoteReference w:id="104"/>
      </w:r>
      <w:r w:rsidRPr="0020148E">
        <w:rPr>
          <w:rFonts w:ascii="Times New Roman"/>
          <w:noProof/>
        </w:rPr>
        <w:t xml:space="preserve"> Yet, it regularly fails to carry out even the most cursory </w:t>
      </w:r>
      <w:r w:rsidR="00C8062C" w:rsidRPr="0020148E">
        <w:rPr>
          <w:rFonts w:ascii="Times New Roman"/>
          <w:noProof/>
        </w:rPr>
        <w:t xml:space="preserve">of </w:t>
      </w:r>
      <w:r w:rsidRPr="0020148E">
        <w:rPr>
          <w:rFonts w:ascii="Times New Roman"/>
          <w:noProof/>
        </w:rPr>
        <w:t>check</w:t>
      </w:r>
      <w:r w:rsidR="00C8062C" w:rsidRPr="0020148E">
        <w:rPr>
          <w:rFonts w:ascii="Times New Roman"/>
          <w:noProof/>
        </w:rPr>
        <w:t>s</w:t>
      </w:r>
      <w:r w:rsidRPr="0020148E">
        <w:rPr>
          <w:rFonts w:ascii="Times New Roman"/>
          <w:noProof/>
        </w:rPr>
        <w:t>.</w:t>
      </w:r>
      <w:r w:rsidRPr="0020148E">
        <w:rPr>
          <w:rStyle w:val="FootnoteReference"/>
          <w:rFonts w:ascii="Times New Roman"/>
          <w:noProof/>
        </w:rPr>
        <w:footnoteReference w:id="105"/>
      </w:r>
      <w:r w:rsidRPr="0020148E">
        <w:rPr>
          <w:rFonts w:ascii="Times New Roman"/>
          <w:noProof/>
        </w:rPr>
        <w:t xml:space="preserve"> This deficient administrative enforcement is all the more problematic because posting certificates can only be challenged in the courts of the home State.</w:t>
      </w:r>
      <w:r w:rsidRPr="0020148E">
        <w:rPr>
          <w:rStyle w:val="FootnoteReference"/>
          <w:rFonts w:ascii="Times New Roman"/>
          <w:noProof/>
        </w:rPr>
        <w:footnoteReference w:id="106"/>
      </w:r>
      <w:r w:rsidRPr="0020148E">
        <w:rPr>
          <w:rFonts w:ascii="Times New Roman"/>
          <w:noProof/>
        </w:rPr>
        <w:t xml:space="preserve"> The low likelihood of litigation and lax administrative enforcement make it relatively </w:t>
      </w:r>
      <w:r w:rsidR="00C8062C" w:rsidRPr="0020148E">
        <w:rPr>
          <w:rFonts w:ascii="Times New Roman"/>
          <w:noProof/>
        </w:rPr>
        <w:t xml:space="preserve">improbable </w:t>
      </w:r>
      <w:r w:rsidRPr="0020148E">
        <w:rPr>
          <w:rFonts w:ascii="Times New Roman"/>
          <w:noProof/>
        </w:rPr>
        <w:t>that breaches of the Regulation’s conflict rules (whether intentional fraud or unintentional error) are noticed, let alone remedied. This in turn enhances the opportunities for law shopping. A concerted effort to improve administrative enforcement is under way.</w:t>
      </w:r>
      <w:r w:rsidRPr="0020148E">
        <w:rPr>
          <w:rStyle w:val="FootnoteReference"/>
          <w:rFonts w:ascii="Times New Roman"/>
          <w:noProof/>
        </w:rPr>
        <w:footnoteReference w:id="107"/>
      </w:r>
    </w:p>
    <w:p w14:paraId="71AF3D11" w14:textId="77777777" w:rsidR="00C43B1E" w:rsidRPr="0020148E" w:rsidRDefault="00C43B1E" w:rsidP="00AA4437">
      <w:pPr>
        <w:pStyle w:val="Heading1"/>
        <w:numPr>
          <w:ilvl w:val="0"/>
          <w:numId w:val="17"/>
        </w:numPr>
        <w:spacing w:line="360" w:lineRule="auto"/>
        <w:rPr>
          <w:rFonts w:ascii="Times New Roman" w:hAnsi="Times New Roman" w:cs="Times New Roman"/>
          <w:noProof/>
          <w:color w:val="auto"/>
        </w:rPr>
      </w:pPr>
      <w:r w:rsidRPr="0020148E">
        <w:rPr>
          <w:rFonts w:ascii="Times New Roman" w:hAnsi="Times New Roman" w:cs="Times New Roman"/>
          <w:noProof/>
          <w:color w:val="auto"/>
        </w:rPr>
        <w:t>Conclusion</w:t>
      </w:r>
    </w:p>
    <w:p w14:paraId="6AC6B7EC" w14:textId="22B30B23" w:rsidR="00C43B1E" w:rsidRPr="0020148E" w:rsidRDefault="00C43B1E" w:rsidP="00864663">
      <w:pPr>
        <w:spacing w:line="360" w:lineRule="auto"/>
        <w:rPr>
          <w:rFonts w:ascii="Times New Roman"/>
          <w:noProof/>
        </w:rPr>
      </w:pPr>
      <w:r w:rsidRPr="0020148E">
        <w:rPr>
          <w:rFonts w:ascii="Times New Roman"/>
          <w:noProof/>
        </w:rPr>
        <w:t xml:space="preserve">This paper offers the first comprehensive analysis and evaluation of private strategies and public counterstrategies relating to indirect choice of social security law. It shows how and to what extent undertakings can exert control over the applicable law. The degree of private control over public law is high when undertakings can choose between a significant number of jurisdictions at low cost, and vice versa. While doctrinal work can identify vulnerabilities, empirical </w:t>
      </w:r>
      <w:r w:rsidR="002156C1" w:rsidRPr="0020148E">
        <w:rPr>
          <w:rFonts w:ascii="Times New Roman"/>
          <w:noProof/>
        </w:rPr>
        <w:t xml:space="preserve">studies </w:t>
      </w:r>
      <w:r w:rsidRPr="0020148E">
        <w:rPr>
          <w:rFonts w:ascii="Times New Roman"/>
          <w:noProof/>
        </w:rPr>
        <w:t xml:space="preserve">should shed further light on their exploitation. The regulatory toolbox to counter law shopping is reasonably well stocked. The EU legislator and the ECJ can tighten and soften connecting factors, as well as favouring the </w:t>
      </w:r>
      <w:r w:rsidRPr="0020148E">
        <w:rPr>
          <w:rFonts w:ascii="Times New Roman"/>
          <w:i/>
          <w:iCs/>
          <w:noProof/>
        </w:rPr>
        <w:t>lex loci laboris</w:t>
      </w:r>
      <w:r w:rsidRPr="0020148E">
        <w:rPr>
          <w:rFonts w:ascii="Times New Roman"/>
          <w:noProof/>
        </w:rPr>
        <w:t xml:space="preserve">. The ECJ, national courts and social security institutions can counter excessive law shopping through teleological interpretation and possibly the doctrine of abuse of EU law. The improvement of </w:t>
      </w:r>
      <w:r w:rsidR="002156C1" w:rsidRPr="0020148E">
        <w:rPr>
          <w:rFonts w:ascii="Times New Roman"/>
          <w:noProof/>
        </w:rPr>
        <w:t xml:space="preserve">the enforcement of and </w:t>
      </w:r>
      <w:r w:rsidRPr="0020148E">
        <w:rPr>
          <w:rFonts w:ascii="Times New Roman"/>
          <w:noProof/>
        </w:rPr>
        <w:t>compliance with EU conflict rules is the shared responsibility of the legislative, executive and judicial branches at EU and national level</w:t>
      </w:r>
      <w:r w:rsidR="00CF1C9E" w:rsidRPr="0020148E">
        <w:rPr>
          <w:rFonts w:ascii="Times New Roman"/>
          <w:noProof/>
        </w:rPr>
        <w:t>s</w:t>
      </w:r>
      <w:r w:rsidRPr="0020148E">
        <w:rPr>
          <w:rFonts w:ascii="Times New Roman"/>
          <w:noProof/>
        </w:rPr>
        <w:t xml:space="preserve">. To evaluate whether a conflict rule’s susceptibility to law </w:t>
      </w:r>
      <w:r w:rsidR="002156C1" w:rsidRPr="0020148E">
        <w:rPr>
          <w:rFonts w:ascii="Times New Roman"/>
          <w:noProof/>
        </w:rPr>
        <w:t xml:space="preserve">shopping </w:t>
      </w:r>
      <w:r w:rsidRPr="0020148E">
        <w:rPr>
          <w:rFonts w:ascii="Times New Roman"/>
          <w:noProof/>
        </w:rPr>
        <w:t xml:space="preserve">is excessive, I complemented the familiar concern for labour markets and social security systems with a second evaluative criterion focusing on the worker’s connection to the competent State. </w:t>
      </w:r>
    </w:p>
    <w:p w14:paraId="648AD796" w14:textId="0AEF0C71" w:rsidR="00C43B1E" w:rsidRPr="0020148E" w:rsidRDefault="00C43B1E" w:rsidP="00AA4437">
      <w:pPr>
        <w:spacing w:line="360" w:lineRule="auto"/>
        <w:rPr>
          <w:rFonts w:ascii="Times New Roman"/>
          <w:noProof/>
        </w:rPr>
      </w:pPr>
      <w:r w:rsidRPr="0020148E">
        <w:rPr>
          <w:rFonts w:ascii="Times New Roman"/>
          <w:noProof/>
        </w:rPr>
        <w:lastRenderedPageBreak/>
        <w:t xml:space="preserve">A key finding is that a normative fault line runs through Regulation 883/2004. The </w:t>
      </w:r>
      <w:r w:rsidRPr="0020148E">
        <w:rPr>
          <w:rFonts w:ascii="Times New Roman"/>
          <w:i/>
          <w:iCs/>
          <w:noProof/>
        </w:rPr>
        <w:t>lex loci laboris</w:t>
      </w:r>
      <w:r w:rsidRPr="0020148E">
        <w:rPr>
          <w:rFonts w:ascii="Times New Roman"/>
          <w:noProof/>
        </w:rPr>
        <w:t xml:space="preserve"> embodies host regulation</w:t>
      </w:r>
      <w:r w:rsidR="000010C5" w:rsidRPr="0020148E">
        <w:rPr>
          <w:rFonts w:ascii="Times New Roman"/>
          <w:noProof/>
        </w:rPr>
        <w:t>;</w:t>
      </w:r>
      <w:r w:rsidRPr="0020148E">
        <w:rPr>
          <w:rFonts w:ascii="Times New Roman"/>
          <w:noProof/>
        </w:rPr>
        <w:t xml:space="preserve"> implements Article 45 TFEU</w:t>
      </w:r>
      <w:r w:rsidR="000010C5" w:rsidRPr="0020148E">
        <w:rPr>
          <w:rFonts w:ascii="Times New Roman"/>
          <w:noProof/>
        </w:rPr>
        <w:t>;</w:t>
      </w:r>
      <w:r w:rsidRPr="0020148E">
        <w:rPr>
          <w:rFonts w:ascii="Times New Roman"/>
          <w:noProof/>
        </w:rPr>
        <w:t xml:space="preserve"> </w:t>
      </w:r>
      <w:r w:rsidR="009A2C0A" w:rsidRPr="0020148E">
        <w:rPr>
          <w:rFonts w:ascii="Times New Roman"/>
          <w:noProof/>
        </w:rPr>
        <w:t xml:space="preserve">aligns with </w:t>
      </w:r>
      <w:r w:rsidR="000B3A2D" w:rsidRPr="0020148E">
        <w:rPr>
          <w:rFonts w:ascii="Times New Roman"/>
          <w:noProof/>
        </w:rPr>
        <w:t xml:space="preserve">the </w:t>
      </w:r>
      <w:r w:rsidRPr="0020148E">
        <w:rPr>
          <w:rFonts w:ascii="Times New Roman"/>
          <w:noProof/>
        </w:rPr>
        <w:t>regulatory neutrality</w:t>
      </w:r>
      <w:r w:rsidR="000B3A2D" w:rsidRPr="0020148E">
        <w:rPr>
          <w:rFonts w:ascii="Times New Roman"/>
          <w:noProof/>
        </w:rPr>
        <w:t xml:space="preserve"> paradigm</w:t>
      </w:r>
      <w:r w:rsidR="000010C5" w:rsidRPr="0020148E">
        <w:rPr>
          <w:rFonts w:ascii="Times New Roman"/>
          <w:noProof/>
        </w:rPr>
        <w:t>;</w:t>
      </w:r>
      <w:r w:rsidRPr="0020148E">
        <w:rPr>
          <w:rFonts w:ascii="Times New Roman"/>
          <w:noProof/>
        </w:rPr>
        <w:t xml:space="preserve"> complicates law shopping</w:t>
      </w:r>
      <w:r w:rsidR="000010C5" w:rsidRPr="0020148E">
        <w:rPr>
          <w:rFonts w:ascii="Times New Roman"/>
          <w:noProof/>
        </w:rPr>
        <w:t>;</w:t>
      </w:r>
      <w:r w:rsidRPr="0020148E">
        <w:rPr>
          <w:rFonts w:ascii="Times New Roman"/>
          <w:noProof/>
        </w:rPr>
        <w:t xml:space="preserve"> and links social protection to integration. The opposite applies to the posting rule and the multi-activity rule. While the</w:t>
      </w:r>
      <w:r w:rsidR="00DB1D32" w:rsidRPr="0020148E">
        <w:rPr>
          <w:rFonts w:ascii="Times New Roman"/>
          <w:noProof/>
        </w:rPr>
        <w:t>y</w:t>
      </w:r>
      <w:r w:rsidRPr="0020148E">
        <w:rPr>
          <w:rFonts w:ascii="Times New Roman"/>
          <w:noProof/>
        </w:rPr>
        <w:t xml:space="preserve"> can be </w:t>
      </w:r>
      <w:r w:rsidR="00DB1D32" w:rsidRPr="0020148E">
        <w:rPr>
          <w:rFonts w:ascii="Times New Roman"/>
          <w:noProof/>
        </w:rPr>
        <w:t xml:space="preserve">used </w:t>
      </w:r>
      <w:r w:rsidRPr="0020148E">
        <w:rPr>
          <w:rFonts w:ascii="Times New Roman"/>
          <w:noProof/>
        </w:rPr>
        <w:t>entirely innocuous</w:t>
      </w:r>
      <w:r w:rsidR="00DB1D32" w:rsidRPr="0020148E">
        <w:rPr>
          <w:rFonts w:ascii="Times New Roman"/>
          <w:noProof/>
        </w:rPr>
        <w:t>ly</w:t>
      </w:r>
      <w:r w:rsidRPr="0020148E">
        <w:rPr>
          <w:rFonts w:ascii="Times New Roman"/>
          <w:noProof/>
        </w:rPr>
        <w:t xml:space="preserve">, they fail to rule out undesirable forms of indirect choice of law. The lack of necessary safeguards enables undertakings to select and deselect law that is meant to be mandatory with relative ease, even though such constructions have negative externalities for workers, labour markets, and social security systems. In addition, the multi-activity rule and the posting rule fail to connect workers’ social protection with their integration, </w:t>
      </w:r>
      <w:r w:rsidR="00CE440D" w:rsidRPr="0020148E">
        <w:rPr>
          <w:rFonts w:ascii="Times New Roman"/>
          <w:noProof/>
        </w:rPr>
        <w:t xml:space="preserve">and may well subject them </w:t>
      </w:r>
      <w:r w:rsidRPr="0020148E">
        <w:rPr>
          <w:rFonts w:ascii="Times New Roman"/>
          <w:noProof/>
        </w:rPr>
        <w:t xml:space="preserve">to the social security system of States in which they have never or barely set foot. </w:t>
      </w:r>
    </w:p>
    <w:p w14:paraId="3D7D8343" w14:textId="213BF0BD" w:rsidR="00C43B1E" w:rsidRPr="0020148E" w:rsidRDefault="00C43B1E" w:rsidP="00AA4437">
      <w:pPr>
        <w:spacing w:line="360" w:lineRule="auto"/>
        <w:rPr>
          <w:rFonts w:ascii="Times New Roman"/>
          <w:noProof/>
        </w:rPr>
      </w:pPr>
      <w:r w:rsidRPr="0020148E">
        <w:rPr>
          <w:rFonts w:ascii="Times New Roman"/>
          <w:noProof/>
        </w:rPr>
        <w:t xml:space="preserve">Through the lens of the two evaluative criteria, it is possible to see the priorities of the EU legislature and the ECJ. Although the overall picture is messy, both seem to </w:t>
      </w:r>
      <w:r w:rsidR="00CE440D" w:rsidRPr="0020148E">
        <w:rPr>
          <w:rFonts w:ascii="Times New Roman"/>
          <w:noProof/>
        </w:rPr>
        <w:t xml:space="preserve">have </w:t>
      </w:r>
      <w:r w:rsidRPr="0020148E">
        <w:rPr>
          <w:rFonts w:ascii="Times New Roman"/>
          <w:noProof/>
        </w:rPr>
        <w:t>take</w:t>
      </w:r>
      <w:r w:rsidR="00CE440D" w:rsidRPr="0020148E">
        <w:rPr>
          <w:rFonts w:ascii="Times New Roman"/>
          <w:noProof/>
        </w:rPr>
        <w:t>n</w:t>
      </w:r>
      <w:r w:rsidRPr="0020148E">
        <w:rPr>
          <w:rFonts w:ascii="Times New Roman"/>
          <w:noProof/>
        </w:rPr>
        <w:t xml:space="preserve"> a somewhat dimmer view of social security law shopping in recent years. If confirmed, this evolution would be congruent with several trends. Where </w:t>
      </w:r>
      <w:r w:rsidRPr="0020148E">
        <w:rPr>
          <w:rFonts w:ascii="Times New Roman"/>
          <w:i/>
          <w:iCs/>
          <w:noProof/>
        </w:rPr>
        <w:t>Alpenrind</w:t>
      </w:r>
      <w:r w:rsidRPr="0020148E">
        <w:rPr>
          <w:rFonts w:ascii="Times New Roman"/>
          <w:noProof/>
        </w:rPr>
        <w:t xml:space="preserve"> and </w:t>
      </w:r>
      <w:r w:rsidRPr="0020148E">
        <w:rPr>
          <w:rFonts w:ascii="Times New Roman"/>
          <w:i/>
          <w:iCs/>
          <w:noProof/>
        </w:rPr>
        <w:t>AFMB</w:t>
      </w:r>
      <w:r w:rsidRPr="0020148E">
        <w:rPr>
          <w:rFonts w:ascii="Times New Roman"/>
          <w:noProof/>
        </w:rPr>
        <w:t xml:space="preserve"> </w:t>
      </w:r>
      <w:r w:rsidR="008530D0" w:rsidRPr="0020148E">
        <w:rPr>
          <w:rFonts w:ascii="Times New Roman"/>
          <w:noProof/>
        </w:rPr>
        <w:t xml:space="preserve">hinder </w:t>
      </w:r>
      <w:r w:rsidRPr="0020148E">
        <w:rPr>
          <w:rFonts w:ascii="Times New Roman"/>
          <w:noProof/>
        </w:rPr>
        <w:t xml:space="preserve">the exit of net contributors to the welfare budget, </w:t>
      </w:r>
      <w:r w:rsidRPr="0020148E">
        <w:rPr>
          <w:rFonts w:ascii="Times New Roman"/>
          <w:i/>
          <w:iCs/>
          <w:noProof/>
        </w:rPr>
        <w:t>Dano</w:t>
      </w:r>
      <w:r w:rsidRPr="0020148E">
        <w:rPr>
          <w:rFonts w:ascii="Times New Roman"/>
          <w:noProof/>
        </w:rPr>
        <w:t xml:space="preserve"> </w:t>
      </w:r>
      <w:r w:rsidR="008530D0" w:rsidRPr="0020148E">
        <w:rPr>
          <w:rFonts w:ascii="Times New Roman"/>
          <w:noProof/>
        </w:rPr>
        <w:t xml:space="preserve">hinders </w:t>
      </w:r>
      <w:r w:rsidRPr="0020148E">
        <w:rPr>
          <w:rFonts w:ascii="Times New Roman"/>
          <w:noProof/>
        </w:rPr>
        <w:t>the entrance of net beneficiaries (among others).</w:t>
      </w:r>
      <w:r w:rsidRPr="0020148E">
        <w:rPr>
          <w:rStyle w:val="FootnoteReference"/>
          <w:rFonts w:ascii="Times New Roman"/>
          <w:noProof/>
        </w:rPr>
        <w:footnoteReference w:id="108"/>
      </w:r>
      <w:r w:rsidRPr="0020148E">
        <w:rPr>
          <w:rFonts w:ascii="Times New Roman"/>
          <w:noProof/>
        </w:rPr>
        <w:t xml:space="preserve"> There is a growing focus on enforcement and compliance across EU social law,</w:t>
      </w:r>
      <w:r w:rsidRPr="0020148E">
        <w:rPr>
          <w:rStyle w:val="FootnoteReference"/>
          <w:rFonts w:ascii="Times New Roman"/>
          <w:noProof/>
        </w:rPr>
        <w:footnoteReference w:id="109"/>
      </w:r>
      <w:r w:rsidRPr="0020148E">
        <w:rPr>
          <w:rFonts w:ascii="Times New Roman"/>
          <w:noProof/>
        </w:rPr>
        <w:t xml:space="preserve"> and a </w:t>
      </w:r>
      <w:r w:rsidR="00DB30D7" w:rsidRPr="0020148E">
        <w:rPr>
          <w:rFonts w:ascii="Times New Roman"/>
          <w:noProof/>
        </w:rPr>
        <w:t xml:space="preserve">somewhat </w:t>
      </w:r>
      <w:r w:rsidR="008536B0" w:rsidRPr="0020148E">
        <w:rPr>
          <w:rFonts w:ascii="Times New Roman"/>
          <w:noProof/>
        </w:rPr>
        <w:t>whetted appetite for subjecting posted workers to the laws of the host State</w:t>
      </w:r>
      <w:r w:rsidRPr="0020148E">
        <w:rPr>
          <w:rFonts w:ascii="Times New Roman"/>
          <w:noProof/>
        </w:rPr>
        <w:t>.</w:t>
      </w:r>
      <w:r w:rsidRPr="0020148E">
        <w:rPr>
          <w:rStyle w:val="FootnoteReference"/>
          <w:rFonts w:ascii="Times New Roman"/>
          <w:noProof/>
        </w:rPr>
        <w:footnoteReference w:id="110"/>
      </w:r>
    </w:p>
    <w:p w14:paraId="0717BE88" w14:textId="4983BD65" w:rsidR="001F58C2" w:rsidRPr="0020148E" w:rsidRDefault="00C43B1E" w:rsidP="00AA4437">
      <w:pPr>
        <w:spacing w:line="360" w:lineRule="auto"/>
        <w:rPr>
          <w:rFonts w:ascii="Times New Roman"/>
          <w:noProof/>
        </w:rPr>
      </w:pPr>
      <w:r w:rsidRPr="0020148E">
        <w:rPr>
          <w:rFonts w:ascii="Times New Roman"/>
          <w:noProof/>
        </w:rPr>
        <w:t xml:space="preserve">Ultimately, the issue of shopping for social security law ought to inform neighbouring debates. </w:t>
      </w:r>
      <w:bookmarkStart w:id="43" w:name="_Hlk51063369"/>
      <w:r w:rsidRPr="0020148E">
        <w:rPr>
          <w:rFonts w:ascii="Times New Roman"/>
          <w:noProof/>
        </w:rPr>
        <w:t xml:space="preserve">The discussion on the effects of social policy on inter-firm and regulatory competition centres on labour law, even though two of its features that social security law lacks—its partial harmonisation and the </w:t>
      </w:r>
      <w:r w:rsidR="00D46733" w:rsidRPr="0020148E">
        <w:rPr>
          <w:rFonts w:ascii="Times New Roman"/>
          <w:noProof/>
        </w:rPr>
        <w:t xml:space="preserve">routine </w:t>
      </w:r>
      <w:r w:rsidRPr="0020148E">
        <w:rPr>
          <w:rFonts w:ascii="Times New Roman"/>
          <w:noProof/>
        </w:rPr>
        <w:t>cumulative application of the labour law of several Member States to one transnational employment relation</w:t>
      </w:r>
      <w:r w:rsidR="009E6E4E" w:rsidRPr="0020148E">
        <w:rPr>
          <w:rFonts w:ascii="Times New Roman"/>
          <w:noProof/>
        </w:rPr>
        <w:t>ship</w:t>
      </w:r>
      <w:r w:rsidRPr="0020148E">
        <w:rPr>
          <w:rFonts w:ascii="Times New Roman"/>
          <w:noProof/>
        </w:rPr>
        <w:t>—complicate law shopping.</w:t>
      </w:r>
      <w:r w:rsidRPr="0020148E">
        <w:rPr>
          <w:rStyle w:val="FootnoteReference"/>
          <w:rFonts w:ascii="Times New Roman"/>
          <w:noProof/>
        </w:rPr>
        <w:footnoteReference w:id="111"/>
      </w:r>
      <w:r w:rsidRPr="0020148E">
        <w:rPr>
          <w:rFonts w:ascii="Times New Roman"/>
          <w:noProof/>
        </w:rPr>
        <w:t xml:space="preserve"> </w:t>
      </w:r>
      <w:bookmarkEnd w:id="43"/>
      <w:r w:rsidRPr="0020148E">
        <w:rPr>
          <w:rFonts w:ascii="Times New Roman"/>
          <w:noProof/>
        </w:rPr>
        <w:t>In the final analysis, the topic of this article is a much-overlooked facet of the debate on the calibration of the economic and social dimensions of European integration. It speaks directly to the elusive balance between free movement rights and national social security systems in a “social market economy”.</w:t>
      </w:r>
      <w:r w:rsidRPr="0020148E">
        <w:rPr>
          <w:rStyle w:val="FootnoteReference"/>
          <w:rFonts w:ascii="Times New Roman"/>
          <w:noProof/>
        </w:rPr>
        <w:footnoteReference w:id="112"/>
      </w:r>
    </w:p>
    <w:sectPr w:rsidR="001F58C2" w:rsidRPr="0020148E" w:rsidSect="00B41F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193F3" w14:textId="77777777" w:rsidR="00BC16F7" w:rsidRDefault="00BC16F7" w:rsidP="00C43B1E">
      <w:pPr>
        <w:spacing w:after="0" w:line="240" w:lineRule="auto"/>
      </w:pPr>
      <w:r>
        <w:separator/>
      </w:r>
    </w:p>
  </w:endnote>
  <w:endnote w:type="continuationSeparator" w:id="0">
    <w:p w14:paraId="664B2E77" w14:textId="77777777" w:rsidR="00BC16F7" w:rsidRDefault="00BC16F7" w:rsidP="00C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336018"/>
      <w:docPartObj>
        <w:docPartGallery w:val="Page Numbers (Bottom of Page)"/>
        <w:docPartUnique/>
      </w:docPartObj>
    </w:sdtPr>
    <w:sdtEndPr>
      <w:rPr>
        <w:rFonts w:ascii="Times New Roman"/>
        <w:noProof/>
      </w:rPr>
    </w:sdtEndPr>
    <w:sdtContent>
      <w:p w14:paraId="1B48A3BD" w14:textId="77777777" w:rsidR="00CF21CF" w:rsidRPr="000742DA" w:rsidRDefault="00CF21CF">
        <w:pPr>
          <w:pStyle w:val="Footer"/>
          <w:jc w:val="right"/>
          <w:rPr>
            <w:rFonts w:ascii="Times New Roman"/>
          </w:rPr>
        </w:pPr>
        <w:r w:rsidRPr="000742DA">
          <w:rPr>
            <w:rFonts w:ascii="Times New Roman"/>
          </w:rPr>
          <w:fldChar w:fldCharType="begin"/>
        </w:r>
        <w:r w:rsidRPr="000742DA">
          <w:rPr>
            <w:rFonts w:ascii="Times New Roman"/>
          </w:rPr>
          <w:instrText xml:space="preserve"> PAGE   \* MERGEFORMAT </w:instrText>
        </w:r>
        <w:r w:rsidRPr="000742DA">
          <w:rPr>
            <w:rFonts w:ascii="Times New Roman"/>
          </w:rPr>
          <w:fldChar w:fldCharType="separate"/>
        </w:r>
        <w:r w:rsidRPr="000742DA">
          <w:rPr>
            <w:rFonts w:ascii="Times New Roman"/>
            <w:noProof/>
          </w:rPr>
          <w:t>2</w:t>
        </w:r>
        <w:r w:rsidRPr="000742DA">
          <w:rPr>
            <w:rFonts w:ascii="Times New Roman"/>
            <w:noProof/>
          </w:rPr>
          <w:fldChar w:fldCharType="end"/>
        </w:r>
      </w:p>
    </w:sdtContent>
  </w:sdt>
  <w:p w14:paraId="4CBE3A96" w14:textId="77777777" w:rsidR="00CF21CF" w:rsidRDefault="00CF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CE35" w14:textId="77777777" w:rsidR="00BC16F7" w:rsidRDefault="00BC16F7" w:rsidP="00C43B1E">
      <w:pPr>
        <w:spacing w:after="0" w:line="240" w:lineRule="auto"/>
      </w:pPr>
      <w:r>
        <w:separator/>
      </w:r>
    </w:p>
  </w:footnote>
  <w:footnote w:type="continuationSeparator" w:id="0">
    <w:p w14:paraId="4B5C501D" w14:textId="77777777" w:rsidR="00BC16F7" w:rsidRDefault="00BC16F7" w:rsidP="00C43B1E">
      <w:pPr>
        <w:spacing w:after="0" w:line="240" w:lineRule="auto"/>
      </w:pPr>
      <w:r>
        <w:continuationSeparator/>
      </w:r>
    </w:p>
  </w:footnote>
  <w:footnote w:id="1">
    <w:p w14:paraId="0D5E1E65" w14:textId="4DF420D6"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C-610/18, </w:t>
      </w:r>
      <w:r w:rsidRPr="0020148E">
        <w:rPr>
          <w:rFonts w:ascii="Times New Roman"/>
          <w:i/>
          <w:noProof/>
        </w:rPr>
        <w:t>AFMB v Raad van bestuur van de Sociale verzekeringsbank</w:t>
      </w:r>
      <w:r w:rsidRPr="0020148E">
        <w:rPr>
          <w:rFonts w:ascii="Times New Roman"/>
          <w:noProof/>
        </w:rPr>
        <w:t>, EU:C:2020:565.</w:t>
      </w:r>
    </w:p>
  </w:footnote>
  <w:footnote w:id="2">
    <w:p w14:paraId="6EC0B2B9" w14:textId="4811F66F" w:rsidR="00CF21CF" w:rsidRPr="0020148E" w:rsidRDefault="00CF21CF" w:rsidP="00B22D70">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Title II of Regulation 883/2004 on the coordination of social security systems, O.J. 2004, L 166/1; Case C-345/09, </w:t>
      </w:r>
      <w:r w:rsidRPr="0020148E">
        <w:rPr>
          <w:rFonts w:ascii="Times New Roman"/>
          <w:i/>
          <w:noProof/>
        </w:rPr>
        <w:t>van Delft v College voor zorgverzekeringen</w:t>
      </w:r>
      <w:r w:rsidRPr="0020148E">
        <w:rPr>
          <w:rFonts w:ascii="Times New Roman"/>
          <w:noProof/>
        </w:rPr>
        <w:t>, EU:C:2010:610, paras. 52, 54.</w:t>
      </w:r>
    </w:p>
  </w:footnote>
  <w:footnote w:id="3">
    <w:p w14:paraId="71955F96"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Cremers, "Market Integration, Cross-Border Recruitment, and Enforcement of Labour Standards – A Dutch Case" in Arnholtz and Lillie (Ed.), </w:t>
      </w:r>
      <w:r w:rsidRPr="0020148E">
        <w:rPr>
          <w:rFonts w:ascii="Times New Roman"/>
          <w:i/>
          <w:noProof/>
        </w:rPr>
        <w:t>Posted Work in the European Union: The Political Economy of Free Movement</w:t>
      </w:r>
      <w:r w:rsidRPr="0020148E">
        <w:rPr>
          <w:rFonts w:ascii="Times New Roman"/>
          <w:noProof/>
        </w:rPr>
        <w:t xml:space="preserve"> (Routledge, 2020), 140.</w:t>
      </w:r>
    </w:p>
  </w:footnote>
  <w:footnote w:id="4">
    <w:p w14:paraId="0A80EB6A" w14:textId="6435CAC7" w:rsidR="00CF21CF" w:rsidRPr="0020148E" w:rsidRDefault="00CF21CF" w:rsidP="001F58C2">
      <w:pPr>
        <w:pStyle w:val="FootnoteText"/>
        <w:rPr>
          <w:rFonts w:ascii="Times New Roman"/>
          <w:noProof/>
        </w:rPr>
      </w:pPr>
      <w:r w:rsidRPr="0020148E">
        <w:rPr>
          <w:rStyle w:val="FootnoteReference"/>
          <w:rFonts w:ascii="Times New Roman" w:eastAsiaTheme="majorEastAsia"/>
          <w:noProof/>
        </w:rPr>
        <w:footnoteRef/>
      </w:r>
      <w:r w:rsidRPr="0020148E">
        <w:rPr>
          <w:rFonts w:ascii="Times New Roman"/>
          <w:noProof/>
        </w:rPr>
        <w:t xml:space="preserve"> North, "Choice in Choice of Law", (1992) King's College Law Journal, 29-48, 30.</w:t>
      </w:r>
    </w:p>
  </w:footnote>
  <w:footnote w:id="5">
    <w:p w14:paraId="0ED406F8" w14:textId="55D1072F"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2019 figures for a single person earning 67% of the average gross wage (&lt;https://europa.eu/economy_finance/db_indicators/tab/#&gt;).</w:t>
      </w:r>
    </w:p>
  </w:footnote>
  <w:footnote w:id="6">
    <w:p w14:paraId="771C1A2D"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11(3)(a) Regulation 883/2004.</w:t>
      </w:r>
    </w:p>
  </w:footnote>
  <w:footnote w:id="7">
    <w:p w14:paraId="0C25387F" w14:textId="14A9411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Saydé, "One Law, Two Competitions: An Enquiry into the Contradictions of Free Movement Law", (2010–2011) CYELS, 365-413, 379, 386, 388-390.</w:t>
      </w:r>
    </w:p>
  </w:footnote>
  <w:footnote w:id="8">
    <w:p w14:paraId="0AF51544" w14:textId="025EDACE" w:rsidR="00CF21CF" w:rsidRPr="0020148E" w:rsidRDefault="00CF21CF" w:rsidP="00B22D70">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21 Regulation 987/2009 laying down the procedure for implementing Regulation 883/2004, O.J. 2009, L 284/1.</w:t>
      </w:r>
    </w:p>
  </w:footnote>
  <w:footnote w:id="9">
    <w:p w14:paraId="773D7CDC"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The same is true for services that do not involve the movement of staff.</w:t>
      </w:r>
    </w:p>
  </w:footnote>
  <w:footnote w:id="10">
    <w:p w14:paraId="0CEBF5BE" w14:textId="25BE2B7C"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See Van Hoek, "Re-embedding the transnational employment relationship: A tale about the limitations of (EU) law?", (2018) CML Rev., 449-487, 462; van Overbeeke, </w:t>
      </w:r>
      <w:r w:rsidRPr="0020148E">
        <w:rPr>
          <w:rFonts w:ascii="Times New Roman"/>
          <w:i/>
          <w:noProof/>
        </w:rPr>
        <w:t>Sociale concurrentie en conflictenrecht in het Europees wegtransport</w:t>
      </w:r>
      <w:r w:rsidRPr="0020148E">
        <w:rPr>
          <w:rFonts w:ascii="Times New Roman"/>
          <w:noProof/>
        </w:rPr>
        <w:t>, Unpublished PhD University of Antwerp, 2018, 29-30.</w:t>
      </w:r>
    </w:p>
  </w:footnote>
  <w:footnote w:id="11">
    <w:p w14:paraId="3942DEDD"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12(1) Regulation 883/2004.</w:t>
      </w:r>
    </w:p>
  </w:footnote>
  <w:footnote w:id="12">
    <w:p w14:paraId="556C932F" w14:textId="15EF340A"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Saydé, op. cit. </w:t>
      </w:r>
      <w:r w:rsidRPr="0020148E">
        <w:rPr>
          <w:rFonts w:ascii="Times New Roman"/>
          <w:i/>
          <w:noProof/>
        </w:rPr>
        <w:t xml:space="preserve">supra </w:t>
      </w:r>
      <w:r w:rsidRPr="0020148E">
        <w:rPr>
          <w:rFonts w:ascii="Times New Roman"/>
          <w:noProof/>
        </w:rPr>
        <w:t xml:space="preserve">note </w:t>
      </w:r>
      <w:r w:rsidRPr="0020148E">
        <w:rPr>
          <w:rFonts w:ascii="Times New Roman"/>
          <w:noProof/>
        </w:rPr>
        <w:fldChar w:fldCharType="begin"/>
      </w:r>
      <w:r w:rsidRPr="0020148E">
        <w:rPr>
          <w:rFonts w:ascii="Times New Roman"/>
          <w:noProof/>
        </w:rPr>
        <w:instrText xml:space="preserve"> NOTEREF _Ref51094472 \h </w:instrText>
      </w:r>
      <w:r w:rsidRPr="0020148E">
        <w:rPr>
          <w:rFonts w:ascii="Times New Roman"/>
          <w:noProof/>
        </w:rPr>
      </w:r>
      <w:r w:rsidR="000742DA" w:rsidRPr="0020148E">
        <w:rPr>
          <w:rFonts w:ascii="Times New Roman"/>
          <w:noProof/>
        </w:rPr>
        <w:instrText xml:space="preserve"> \* MERGEFORMAT </w:instrText>
      </w:r>
      <w:r w:rsidRPr="0020148E">
        <w:rPr>
          <w:rFonts w:ascii="Times New Roman"/>
          <w:noProof/>
        </w:rPr>
        <w:fldChar w:fldCharType="separate"/>
      </w:r>
      <w:r w:rsidRPr="0020148E">
        <w:rPr>
          <w:rFonts w:ascii="Times New Roman"/>
          <w:noProof/>
        </w:rPr>
        <w:t>7</w:t>
      </w:r>
      <w:r w:rsidRPr="0020148E">
        <w:rPr>
          <w:rFonts w:ascii="Times New Roman"/>
          <w:noProof/>
        </w:rPr>
        <w:fldChar w:fldCharType="end"/>
      </w:r>
      <w:r w:rsidRPr="0020148E">
        <w:rPr>
          <w:rFonts w:ascii="Times New Roman"/>
          <w:noProof/>
        </w:rPr>
        <w:t>, 387, 390.</w:t>
      </w:r>
    </w:p>
  </w:footnote>
  <w:footnote w:id="13">
    <w:p w14:paraId="4157562E" w14:textId="3B2AE41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In labour law, see e.g. Deakin, "Regulatory Competition after </w:t>
      </w:r>
      <w:r w:rsidRPr="0020148E">
        <w:rPr>
          <w:rFonts w:ascii="Times New Roman"/>
          <w:i/>
          <w:noProof/>
        </w:rPr>
        <w:t>Laval</w:t>
      </w:r>
      <w:r w:rsidRPr="0020148E">
        <w:rPr>
          <w:rFonts w:ascii="Times New Roman"/>
          <w:noProof/>
        </w:rPr>
        <w:t>", (2007–2008) CYELS, 581-609.</w:t>
      </w:r>
    </w:p>
  </w:footnote>
  <w:footnote w:id="14">
    <w:p w14:paraId="4E91EFF6" w14:textId="12C81830"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Verschueren, "Cross-Border Workers in the European Internal Market: Trojan Horses for Member States' Labour and Social Security Law?", (2008) International Journal of Comparative Labour Law and Industrial Relations, 167-199, 185, 187 a.f.</w:t>
      </w:r>
    </w:p>
  </w:footnote>
  <w:footnote w:id="15">
    <w:p w14:paraId="4FAF949F"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De Wispelaere, De Smedt and Pacolet, </w:t>
      </w:r>
      <w:r w:rsidRPr="0020148E">
        <w:rPr>
          <w:rFonts w:ascii="Times New Roman"/>
          <w:i/>
          <w:noProof/>
        </w:rPr>
        <w:t>Posting of workers: Report on A1 Portable Documents issued in 2018</w:t>
      </w:r>
      <w:r w:rsidRPr="0020148E">
        <w:rPr>
          <w:rFonts w:ascii="Times New Roman"/>
          <w:noProof/>
        </w:rPr>
        <w:t xml:space="preserve"> (Publications Office of the European Union, 2020), 27.</w:t>
      </w:r>
    </w:p>
  </w:footnote>
  <w:footnote w:id="16">
    <w:p w14:paraId="1DE572F4"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15 and 19 Regulation 987/2009.</w:t>
      </w:r>
    </w:p>
  </w:footnote>
  <w:footnote w:id="17">
    <w:p w14:paraId="0677B04B" w14:textId="77777777" w:rsidR="00CF21CF" w:rsidRPr="0020148E" w:rsidRDefault="00CF21CF" w:rsidP="001F58C2">
      <w:pPr>
        <w:pStyle w:val="FootnoteText"/>
        <w:rPr>
          <w:rFonts w:ascii="Times New Roman"/>
          <w:noProof/>
        </w:rPr>
      </w:pPr>
      <w:r w:rsidRPr="0020148E">
        <w:rPr>
          <w:rStyle w:val="FootnoteReference"/>
          <w:rFonts w:ascii="Times New Roman" w:eastAsiaTheme="majorEastAsia"/>
          <w:noProof/>
        </w:rPr>
        <w:footnoteRef/>
      </w:r>
      <w:r w:rsidRPr="0020148E">
        <w:rPr>
          <w:rFonts w:ascii="Times New Roman"/>
          <w:noProof/>
        </w:rPr>
        <w:t xml:space="preserve"> Eg Pennings, </w:t>
      </w:r>
      <w:r w:rsidRPr="0020148E">
        <w:rPr>
          <w:rFonts w:ascii="Times New Roman"/>
          <w:i/>
          <w:noProof/>
        </w:rPr>
        <w:t>European Social Security Law</w:t>
      </w:r>
      <w:r w:rsidRPr="0020148E">
        <w:rPr>
          <w:rFonts w:ascii="Times New Roman"/>
          <w:noProof/>
        </w:rPr>
        <w:t xml:space="preserve"> 5th edn (Intersentia, 2010), 107.</w:t>
      </w:r>
    </w:p>
  </w:footnote>
  <w:footnote w:id="18">
    <w:p w14:paraId="38B2E2D2"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Joined cases C-49/98, C-50/98, C-52/98 to C-54/98 and C-68/98 to C-71/98, </w:t>
      </w:r>
      <w:r w:rsidRPr="0020148E">
        <w:rPr>
          <w:rFonts w:ascii="Times New Roman"/>
          <w:i/>
          <w:iCs/>
          <w:noProof/>
        </w:rPr>
        <w:t>Finalarte Sociedade de Construção Civil Ldª</w:t>
      </w:r>
      <w:r w:rsidRPr="0020148E">
        <w:rPr>
          <w:rFonts w:ascii="Times New Roman"/>
          <w:noProof/>
        </w:rPr>
        <w:t xml:space="preserve">, EU:C:2001:564, paras. 21-23. The Grand Chamber however granted a posted worker the right to equal treatment in the host State in circumstances where his employer did not risk being negatively affected (Joined cases C-611/10 and C-612/10, </w:t>
      </w:r>
      <w:r w:rsidRPr="0020148E">
        <w:rPr>
          <w:rFonts w:ascii="Times New Roman"/>
          <w:i/>
          <w:iCs/>
          <w:noProof/>
        </w:rPr>
        <w:t>Hudziński v Agentur für Arbeit Wesel - Familienkasse and Wawrzyniak v Agentur für Arbeit Mönchengladbach - Familienkasse</w:t>
      </w:r>
      <w:r w:rsidRPr="0020148E">
        <w:rPr>
          <w:rFonts w:ascii="Times New Roman"/>
          <w:noProof/>
        </w:rPr>
        <w:t>, EU:C:2012:339, paras. 82-84).</w:t>
      </w:r>
    </w:p>
  </w:footnote>
  <w:footnote w:id="19">
    <w:p w14:paraId="41B46742"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Barnard and Deakin, "Market Access and Regulatory Competition" in Barnard and Scott (Ed.), </w:t>
      </w:r>
      <w:r w:rsidRPr="0020148E">
        <w:rPr>
          <w:rFonts w:ascii="Times New Roman"/>
          <w:i/>
          <w:noProof/>
        </w:rPr>
        <w:t>The Law of the Single European Market: Unpacking the Premises</w:t>
      </w:r>
      <w:r w:rsidRPr="0020148E">
        <w:rPr>
          <w:rFonts w:ascii="Times New Roman"/>
          <w:noProof/>
        </w:rPr>
        <w:t xml:space="preserve"> (Hart Publishing, 2002), 198.</w:t>
      </w:r>
    </w:p>
  </w:footnote>
  <w:footnote w:id="20">
    <w:p w14:paraId="40EA2811" w14:textId="4160603D"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For a wide-ranging account with particular attention to conflict rules, see Ribstein and O'Hara, </w:t>
      </w:r>
      <w:r w:rsidRPr="0020148E">
        <w:rPr>
          <w:rFonts w:ascii="Times New Roman"/>
          <w:i/>
          <w:noProof/>
        </w:rPr>
        <w:t>The Law Market</w:t>
      </w:r>
      <w:r w:rsidRPr="0020148E">
        <w:rPr>
          <w:rFonts w:ascii="Times New Roman"/>
          <w:noProof/>
        </w:rPr>
        <w:t xml:space="preserve"> (OUP, 2009); for a recent overview in an EU context, see Costamagna (Ed.), "Special Section – Regulatory Competition in the EU: Foundations, Tools and Implications", (2019) EP, 123-250. </w:t>
      </w:r>
    </w:p>
  </w:footnote>
  <w:footnote w:id="21">
    <w:p w14:paraId="720FECE3"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Given the inequality of bargaining power in the employment relationship, it may be assumed that workers’ influence over such choices is limited; indirect choices of law are made by undertakings and reflect their interests.</w:t>
      </w:r>
    </w:p>
  </w:footnote>
  <w:footnote w:id="22">
    <w:p w14:paraId="67FFC310" w14:textId="3DCA90E4"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Barnard, "Social dumping and the race to the bottom: Some lessons for the European Union from Delaware?", (2000) EL Rev., 57-78; Rühl, "Regulatory competition" in Basedow, Rühl, Ferrari and de Miguel Asensio (Ed.), </w:t>
      </w:r>
      <w:r w:rsidRPr="0020148E">
        <w:rPr>
          <w:rFonts w:ascii="Times New Roman"/>
          <w:i/>
          <w:noProof/>
        </w:rPr>
        <w:t>Encyclopedia of Private International Law</w:t>
      </w:r>
      <w:r w:rsidRPr="0020148E">
        <w:rPr>
          <w:rFonts w:ascii="Times New Roman"/>
          <w:noProof/>
        </w:rPr>
        <w:t xml:space="preserve"> (Edward Elgar Publishing, 2017).</w:t>
      </w:r>
    </w:p>
  </w:footnote>
  <w:footnote w:id="23">
    <w:p w14:paraId="59EB2DBA"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Tiebout, "A Pure Theory of Local Expenditures", (1956) The Journal of Political Economy, 416-424; Vogel, </w:t>
      </w:r>
      <w:r w:rsidRPr="0020148E">
        <w:rPr>
          <w:rFonts w:ascii="Times New Roman"/>
          <w:i/>
          <w:iCs/>
          <w:noProof/>
        </w:rPr>
        <w:t>Trading Up: Consumer and Environmental Regulation in a Global Economy</w:t>
      </w:r>
      <w:r w:rsidRPr="0020148E">
        <w:rPr>
          <w:rFonts w:ascii="Times New Roman"/>
          <w:noProof/>
        </w:rPr>
        <w:t xml:space="preserve"> (Harvard University Press, 1995).</w:t>
      </w:r>
    </w:p>
  </w:footnote>
  <w:footnote w:id="24">
    <w:p w14:paraId="2E462E82" w14:textId="74D5054F"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Radaelli, "The Puzzle of Regulatory Competition", (2004) Journal of Public Policy, 1-23.</w:t>
      </w:r>
    </w:p>
  </w:footnote>
  <w:footnote w:id="25">
    <w:p w14:paraId="55730751"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3(3) TEU.</w:t>
      </w:r>
    </w:p>
  </w:footnote>
  <w:footnote w:id="26">
    <w:p w14:paraId="38ECA351" w14:textId="73F878E7" w:rsidR="00CF21CF" w:rsidRPr="0020148E" w:rsidRDefault="00CF21CF" w:rsidP="00047B49">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See Règlement n° 24/64 portant modification de l’article 13 du règlement n° 3 et de l’article 11 du règlement n° 4 (législation applicable aux travailleurs détachés et aux travailleurs exerçant normalement leur activité dans plusieurs pays), O.J. 1964, 47/746; Opinion of AG Dutheillet de Lamothe in Case 35/70, </w:t>
      </w:r>
      <w:r w:rsidRPr="0020148E">
        <w:rPr>
          <w:rFonts w:ascii="Times New Roman"/>
          <w:i/>
          <w:noProof/>
        </w:rPr>
        <w:t>Manpower v Caisse primaire d'assurance maladie de Strasbourg</w:t>
      </w:r>
      <w:r w:rsidRPr="0020148E">
        <w:rPr>
          <w:rFonts w:ascii="Times New Roman"/>
          <w:noProof/>
        </w:rPr>
        <w:t>, EU:C:1970:120, at 1264-1265.</w:t>
      </w:r>
    </w:p>
  </w:footnote>
  <w:footnote w:id="27">
    <w:p w14:paraId="69421BB0"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C-404/98, </w:t>
      </w:r>
      <w:r w:rsidRPr="0020148E">
        <w:rPr>
          <w:rFonts w:ascii="Times New Roman"/>
          <w:i/>
          <w:noProof/>
        </w:rPr>
        <w:t>Plum v Allgemeine Ortskrankenkasse Rheinland, Regionaldirektion Köln</w:t>
      </w:r>
      <w:r w:rsidRPr="0020148E">
        <w:rPr>
          <w:rFonts w:ascii="Times New Roman"/>
          <w:noProof/>
        </w:rPr>
        <w:t>, EU:C:2000:607.</w:t>
      </w:r>
    </w:p>
  </w:footnote>
  <w:footnote w:id="28">
    <w:p w14:paraId="282D10CC"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14(2) Regulation 987/2009.</w:t>
      </w:r>
    </w:p>
  </w:footnote>
  <w:footnote w:id="29">
    <w:p w14:paraId="63EA1E20" w14:textId="5D38E2AE"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Sørensen, "The fight against letterbox companies in the internal market", (2015) CML Rev., 85-117, 86-97. </w:t>
      </w:r>
    </w:p>
  </w:footnote>
  <w:footnote w:id="30">
    <w:p w14:paraId="6E01E758" w14:textId="77777777" w:rsidR="00CF21CF" w:rsidRPr="0020148E" w:rsidRDefault="00CF21CF" w:rsidP="00E419F1">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13(a) Règlement n° 3 concernant la sécurité sociale des travailleurs migrants, O.J. 1958, 561.</w:t>
      </w:r>
    </w:p>
  </w:footnote>
  <w:footnote w:id="31">
    <w:p w14:paraId="27929E6C"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35/70, </w:t>
      </w:r>
      <w:r w:rsidRPr="0020148E">
        <w:rPr>
          <w:rFonts w:ascii="Times New Roman"/>
          <w:i/>
          <w:noProof/>
        </w:rPr>
        <w:t>Manpower</w:t>
      </w:r>
      <w:r w:rsidRPr="0020148E">
        <w:rPr>
          <w:rFonts w:ascii="Times New Roman"/>
          <w:noProof/>
        </w:rPr>
        <w:t xml:space="preserve">, para 16; now Art. 12(1) Regulation 883/2004. </w:t>
      </w:r>
    </w:p>
  </w:footnote>
  <w:footnote w:id="32">
    <w:p w14:paraId="3ED4652F"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14(2) Regulation 987/2009.</w:t>
      </w:r>
    </w:p>
  </w:footnote>
  <w:footnote w:id="33">
    <w:p w14:paraId="753A8EA4"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C-202/97, </w:t>
      </w:r>
      <w:r w:rsidRPr="0020148E">
        <w:rPr>
          <w:rFonts w:ascii="Times New Roman"/>
          <w:i/>
          <w:noProof/>
        </w:rPr>
        <w:t>Fitzwilliam Executive Search v Bestuur van het Landelijk instituut sociale verzekeringen</w:t>
      </w:r>
      <w:r w:rsidRPr="0020148E">
        <w:rPr>
          <w:rFonts w:ascii="Times New Roman"/>
          <w:noProof/>
        </w:rPr>
        <w:t xml:space="preserve">, EU:C:2000:75, para 43. </w:t>
      </w:r>
    </w:p>
  </w:footnote>
  <w:footnote w:id="34">
    <w:p w14:paraId="627F3039"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European Commission, Practical guide on the applicable legislation in the European Union (EU), the European Economic Area (EEA) and in Switzerland, 9. </w:t>
      </w:r>
    </w:p>
  </w:footnote>
  <w:footnote w:id="35">
    <w:p w14:paraId="4469E448" w14:textId="14AC231A"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Sørensen, op. cit. </w:t>
      </w:r>
      <w:r w:rsidRPr="0020148E">
        <w:rPr>
          <w:rFonts w:ascii="Times New Roman"/>
          <w:i/>
          <w:noProof/>
        </w:rPr>
        <w:t xml:space="preserve">supra </w:t>
      </w:r>
      <w:r w:rsidRPr="0020148E">
        <w:rPr>
          <w:rFonts w:ascii="Times New Roman"/>
          <w:noProof/>
        </w:rPr>
        <w:t xml:space="preserve">note </w:t>
      </w:r>
      <w:r w:rsidRPr="0020148E">
        <w:rPr>
          <w:rFonts w:ascii="Times New Roman"/>
          <w:noProof/>
        </w:rPr>
        <w:fldChar w:fldCharType="begin"/>
      </w:r>
      <w:r w:rsidRPr="0020148E">
        <w:rPr>
          <w:rFonts w:ascii="Times New Roman"/>
          <w:noProof/>
        </w:rPr>
        <w:instrText xml:space="preserve"> NOTEREF _Ref51094589 \h </w:instrText>
      </w:r>
      <w:r w:rsidRPr="0020148E">
        <w:rPr>
          <w:rFonts w:ascii="Times New Roman"/>
          <w:noProof/>
        </w:rPr>
      </w:r>
      <w:r w:rsidR="000742DA" w:rsidRPr="0020148E">
        <w:rPr>
          <w:rFonts w:ascii="Times New Roman"/>
          <w:noProof/>
        </w:rPr>
        <w:instrText xml:space="preserve"> \* MERGEFORMAT </w:instrText>
      </w:r>
      <w:r w:rsidRPr="0020148E">
        <w:rPr>
          <w:rFonts w:ascii="Times New Roman"/>
          <w:noProof/>
        </w:rPr>
        <w:fldChar w:fldCharType="separate"/>
      </w:r>
      <w:r w:rsidRPr="0020148E">
        <w:rPr>
          <w:rFonts w:ascii="Times New Roman"/>
          <w:noProof/>
        </w:rPr>
        <w:t>29</w:t>
      </w:r>
      <w:r w:rsidRPr="0020148E">
        <w:rPr>
          <w:rFonts w:ascii="Times New Roman"/>
          <w:noProof/>
        </w:rPr>
        <w:fldChar w:fldCharType="end"/>
      </w:r>
      <w:r w:rsidRPr="0020148E">
        <w:rPr>
          <w:rFonts w:ascii="Times New Roman"/>
          <w:noProof/>
        </w:rPr>
        <w:t>.</w:t>
      </w:r>
    </w:p>
  </w:footnote>
  <w:footnote w:id="36">
    <w:p w14:paraId="2D677560" w14:textId="39DA5498" w:rsidR="00CF21CF" w:rsidRPr="0020148E" w:rsidRDefault="00CF21CF" w:rsidP="008D2E4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13(a) Regulation 3/58.</w:t>
      </w:r>
    </w:p>
  </w:footnote>
  <w:footnote w:id="37">
    <w:p w14:paraId="750EA7D5"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Regulation 24/64; now Art. 12(1) Regulation 883/2004.</w:t>
      </w:r>
    </w:p>
  </w:footnote>
  <w:footnote w:id="38">
    <w:p w14:paraId="4E498CEA"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C-527/16, </w:t>
      </w:r>
      <w:r w:rsidRPr="0020148E">
        <w:rPr>
          <w:rFonts w:ascii="Times New Roman"/>
          <w:i/>
          <w:noProof/>
        </w:rPr>
        <w:t>Salzburger Gebietskrankenkasse and Bundesminister für Arbeit, Soziales und Konsumentenschutz v Alpenrind</w:t>
      </w:r>
      <w:r w:rsidRPr="0020148E">
        <w:rPr>
          <w:rFonts w:ascii="Times New Roman"/>
          <w:noProof/>
        </w:rPr>
        <w:t>, EU:C:2018:669.</w:t>
      </w:r>
    </w:p>
  </w:footnote>
  <w:footnote w:id="39">
    <w:p w14:paraId="76AFD4A1"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Judgment of the Verwaltungsgerichtshof of 10 October 2018, ECLI:AT:VWGH:2018:RO2016080013.J00, para 42.</w:t>
      </w:r>
    </w:p>
  </w:footnote>
  <w:footnote w:id="40">
    <w:p w14:paraId="527D2CB5"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C-527/16, </w:t>
      </w:r>
      <w:r w:rsidRPr="0020148E">
        <w:rPr>
          <w:rFonts w:ascii="Times New Roman"/>
          <w:i/>
          <w:noProof/>
        </w:rPr>
        <w:t>Alpenrind</w:t>
      </w:r>
      <w:r w:rsidRPr="0020148E">
        <w:rPr>
          <w:rFonts w:ascii="Times New Roman"/>
          <w:noProof/>
        </w:rPr>
        <w:t>, para 33.</w:t>
      </w:r>
    </w:p>
  </w:footnote>
  <w:footnote w:id="41">
    <w:p w14:paraId="2728FE49" w14:textId="77777777" w:rsidR="00CF21CF" w:rsidRPr="0020148E" w:rsidRDefault="00CF21CF" w:rsidP="001F58C2">
      <w:pPr>
        <w:pStyle w:val="FootnoteText"/>
        <w:rPr>
          <w:rFonts w:ascii="Times New Roman"/>
          <w:iCs/>
          <w:noProof/>
        </w:rPr>
      </w:pPr>
      <w:r w:rsidRPr="0020148E">
        <w:rPr>
          <w:rStyle w:val="FootnoteReference"/>
          <w:rFonts w:ascii="Times New Roman"/>
          <w:noProof/>
        </w:rPr>
        <w:footnoteRef/>
      </w:r>
      <w:r w:rsidRPr="0020148E">
        <w:rPr>
          <w:rFonts w:ascii="Times New Roman"/>
          <w:noProof/>
        </w:rPr>
        <w:t xml:space="preserve"> Paragraph 3(c) Decision A2 of the Administrative Commission concerning the interpretation of Article 12 of Regulation 883/2004 on the legislation applicable to posted workers and self-employed workers temporarily working outside the competent State, O.J. 2010, C 106/5.</w:t>
      </w:r>
    </w:p>
  </w:footnote>
  <w:footnote w:id="42">
    <w:p w14:paraId="6AB00AE3"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98/80, </w:t>
      </w:r>
      <w:r w:rsidRPr="0020148E">
        <w:rPr>
          <w:rFonts w:ascii="Times New Roman"/>
          <w:i/>
          <w:iCs/>
          <w:noProof/>
        </w:rPr>
        <w:t>Romano v Institut national d'assurance maladie-invalidité</w:t>
      </w:r>
      <w:r w:rsidRPr="0020148E">
        <w:rPr>
          <w:rFonts w:ascii="Times New Roman"/>
          <w:noProof/>
        </w:rPr>
        <w:t>, EU:C:1981:104.</w:t>
      </w:r>
    </w:p>
  </w:footnote>
  <w:footnote w:id="43">
    <w:p w14:paraId="7E9E9488" w14:textId="6B7EF74F"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Jorens, "Detachering en sociale zekerheid: Het juridisch kader" in Jorens (Ed.), </w:t>
      </w:r>
      <w:r w:rsidRPr="0020148E">
        <w:rPr>
          <w:rFonts w:ascii="Times New Roman"/>
          <w:i/>
          <w:noProof/>
        </w:rPr>
        <w:t>Handboek Europese detachering en vrij verkeer van diensten</w:t>
      </w:r>
      <w:r w:rsidRPr="0020148E">
        <w:rPr>
          <w:rFonts w:ascii="Times New Roman"/>
          <w:noProof/>
        </w:rPr>
        <w:t xml:space="preserve"> (die Keure, 2009), 75-77.</w:t>
      </w:r>
    </w:p>
  </w:footnote>
  <w:footnote w:id="44">
    <w:p w14:paraId="24B51F17" w14:textId="12A9F86F"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Biletta, Cabrita and Gerstenberger, "Improving the monitoring of posted workers in the EU", (Eurofound Ad Hoc Report 2020), &lt;https://www.eurofound.europa.eu/sites/default/files/ef_publication/field_ef_document/ef19054en.pdf&gt;, 16-17. See further below, section 5.5.</w:t>
      </w:r>
    </w:p>
  </w:footnote>
  <w:footnote w:id="45">
    <w:p w14:paraId="53768E98" w14:textId="7CE8AD0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Rennuy, "The trilemma of EU social benefits law: Seeing the wood and the trees", (2019) CML Rev., 1549-1590, 1552-1555.</w:t>
      </w:r>
    </w:p>
  </w:footnote>
  <w:footnote w:id="46">
    <w:p w14:paraId="7A2A87C2" w14:textId="77777777" w:rsidR="00CF21CF" w:rsidRPr="0020148E" w:rsidRDefault="00CF21CF" w:rsidP="002253DB">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13(a) Regulation 3/58; Case 19/67, </w:t>
      </w:r>
      <w:r w:rsidRPr="0020148E">
        <w:rPr>
          <w:rFonts w:ascii="Times New Roman"/>
          <w:i/>
          <w:noProof/>
        </w:rPr>
        <w:t>Bestuur der Sociale Verzekeringsbank v van der Vecht</w:t>
      </w:r>
      <w:r w:rsidRPr="0020148E">
        <w:rPr>
          <w:rFonts w:ascii="Times New Roman"/>
          <w:noProof/>
        </w:rPr>
        <w:t>, EU:C:1967:49, at 353.</w:t>
      </w:r>
    </w:p>
  </w:footnote>
  <w:footnote w:id="47">
    <w:p w14:paraId="43BD9602"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12(1) Regulation 883/2004; Art. 14(1) Regulation 987/2009; Case C-451/17, </w:t>
      </w:r>
      <w:r w:rsidRPr="0020148E">
        <w:rPr>
          <w:rFonts w:ascii="Times New Roman"/>
          <w:i/>
          <w:noProof/>
        </w:rPr>
        <w:t>‘Walltopia’ v Direktor na Teritorialna direktsia na Natsionalnata agentsia za prihodite — Veliko Tarnovo</w:t>
      </w:r>
      <w:r w:rsidRPr="0020148E">
        <w:rPr>
          <w:rFonts w:ascii="Times New Roman"/>
          <w:noProof/>
        </w:rPr>
        <w:t xml:space="preserve">, EU:C:2018:861. </w:t>
      </w:r>
    </w:p>
  </w:footnote>
  <w:footnote w:id="48">
    <w:p w14:paraId="5B3095F4"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Paragraph 1 Decision A2 of the Administrative Commission.</w:t>
      </w:r>
    </w:p>
  </w:footnote>
  <w:footnote w:id="49">
    <w:p w14:paraId="71F59990"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C-451/17, </w:t>
      </w:r>
      <w:r w:rsidRPr="0020148E">
        <w:rPr>
          <w:rFonts w:ascii="Times New Roman"/>
          <w:i/>
          <w:noProof/>
        </w:rPr>
        <w:t>Walltopia</w:t>
      </w:r>
      <w:r w:rsidRPr="0020148E">
        <w:rPr>
          <w:rFonts w:ascii="Times New Roman"/>
          <w:noProof/>
        </w:rPr>
        <w:t>, which admittedly is not entirely conclusive.</w:t>
      </w:r>
    </w:p>
  </w:footnote>
  <w:footnote w:id="50">
    <w:p w14:paraId="7611270A" w14:textId="2ACB4A2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Jorens, op. cit. </w:t>
      </w:r>
      <w:r w:rsidRPr="0020148E">
        <w:rPr>
          <w:rFonts w:ascii="Times New Roman"/>
          <w:i/>
          <w:noProof/>
        </w:rPr>
        <w:t xml:space="preserve">supra </w:t>
      </w:r>
      <w:r w:rsidRPr="0020148E">
        <w:rPr>
          <w:rFonts w:ascii="Times New Roman"/>
          <w:noProof/>
        </w:rPr>
        <w:t xml:space="preserve">note </w:t>
      </w:r>
      <w:r w:rsidR="00833609" w:rsidRPr="0020148E">
        <w:rPr>
          <w:rFonts w:ascii="Times New Roman"/>
          <w:noProof/>
        </w:rPr>
        <w:fldChar w:fldCharType="begin"/>
      </w:r>
      <w:r w:rsidR="00833609" w:rsidRPr="0020148E">
        <w:rPr>
          <w:rFonts w:ascii="Times New Roman"/>
          <w:noProof/>
        </w:rPr>
        <w:instrText xml:space="preserve"> NOTEREF _Ref51094617 \h </w:instrText>
      </w:r>
      <w:r w:rsidR="00833609" w:rsidRPr="0020148E">
        <w:rPr>
          <w:rFonts w:ascii="Times New Roman"/>
          <w:noProof/>
        </w:rPr>
      </w:r>
      <w:r w:rsidR="000742DA" w:rsidRPr="0020148E">
        <w:rPr>
          <w:rFonts w:ascii="Times New Roman"/>
          <w:noProof/>
        </w:rPr>
        <w:instrText xml:space="preserve"> \* MERGEFORMAT </w:instrText>
      </w:r>
      <w:r w:rsidR="00833609" w:rsidRPr="0020148E">
        <w:rPr>
          <w:rFonts w:ascii="Times New Roman"/>
          <w:noProof/>
        </w:rPr>
        <w:fldChar w:fldCharType="separate"/>
      </w:r>
      <w:r w:rsidR="00833609" w:rsidRPr="0020148E">
        <w:rPr>
          <w:rFonts w:ascii="Times New Roman"/>
          <w:noProof/>
        </w:rPr>
        <w:t>43</w:t>
      </w:r>
      <w:r w:rsidR="00833609" w:rsidRPr="0020148E">
        <w:rPr>
          <w:rFonts w:ascii="Times New Roman"/>
          <w:noProof/>
        </w:rPr>
        <w:fldChar w:fldCharType="end"/>
      </w:r>
      <w:r w:rsidRPr="0020148E">
        <w:rPr>
          <w:rFonts w:ascii="Times New Roman"/>
          <w:noProof/>
        </w:rPr>
        <w:t xml:space="preserve">, 46-49. </w:t>
      </w:r>
    </w:p>
  </w:footnote>
  <w:footnote w:id="51">
    <w:p w14:paraId="0B13A30C"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C-202/97, </w:t>
      </w:r>
      <w:r w:rsidRPr="0020148E">
        <w:rPr>
          <w:rFonts w:ascii="Times New Roman"/>
          <w:i/>
          <w:noProof/>
        </w:rPr>
        <w:t>Fitzwilliam</w:t>
      </w:r>
      <w:r w:rsidRPr="0020148E">
        <w:rPr>
          <w:rFonts w:ascii="Times New Roman"/>
          <w:noProof/>
        </w:rPr>
        <w:t>, para 24; Art. 12(1) Regulation 883/2004.</w:t>
      </w:r>
    </w:p>
  </w:footnote>
  <w:footnote w:id="52">
    <w:p w14:paraId="0B62B2F1"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See further Paragraph 3(a) Decision A2 of the Administrative Commission.</w:t>
      </w:r>
      <w:r w:rsidRPr="0020148E">
        <w:rPr>
          <w:rFonts w:ascii="Times New Roman"/>
          <w:iCs/>
          <w:noProof/>
        </w:rPr>
        <w:t xml:space="preserve"> </w:t>
      </w:r>
    </w:p>
  </w:footnote>
  <w:footnote w:id="53">
    <w:p w14:paraId="64778823" w14:textId="714CD4E8"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I assume that a single shift suffices under Portuguese law to be insured work (see Case C-2/89, </w:t>
      </w:r>
      <w:r w:rsidRPr="0020148E">
        <w:rPr>
          <w:rFonts w:ascii="Times New Roman"/>
          <w:i/>
          <w:noProof/>
        </w:rPr>
        <w:t>Bestuur van de Sociale Verzekeringsbank v Kits van Heijningen</w:t>
      </w:r>
      <w:r w:rsidRPr="0020148E">
        <w:rPr>
          <w:rFonts w:ascii="Times New Roman"/>
          <w:noProof/>
        </w:rPr>
        <w:t>, EU:C:1990:183) and that reliance on the posting rule would not be denied on the grounds of abuse of law (see below, section 5.4).</w:t>
      </w:r>
    </w:p>
  </w:footnote>
  <w:footnote w:id="54">
    <w:p w14:paraId="58AE9695" w14:textId="53E88C5D"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On the idea of embedding the employment relationship in the State where the work habitually takes place, see Van Hoek, op. cit. </w:t>
      </w:r>
      <w:r w:rsidRPr="0020148E">
        <w:rPr>
          <w:rFonts w:ascii="Times New Roman"/>
          <w:i/>
          <w:noProof/>
        </w:rPr>
        <w:t xml:space="preserve">supra </w:t>
      </w:r>
      <w:r w:rsidRPr="0020148E">
        <w:rPr>
          <w:rFonts w:ascii="Times New Roman"/>
          <w:noProof/>
        </w:rPr>
        <w:t xml:space="preserve">note </w:t>
      </w:r>
      <w:r w:rsidRPr="0020148E">
        <w:rPr>
          <w:rFonts w:ascii="Times New Roman"/>
          <w:noProof/>
        </w:rPr>
        <w:fldChar w:fldCharType="begin"/>
      </w:r>
      <w:r w:rsidRPr="0020148E">
        <w:rPr>
          <w:rFonts w:ascii="Times New Roman"/>
          <w:noProof/>
        </w:rPr>
        <w:instrText xml:space="preserve"> NOTEREF _Ref51094537 \h </w:instrText>
      </w:r>
      <w:r w:rsidRPr="0020148E">
        <w:rPr>
          <w:rFonts w:ascii="Times New Roman"/>
          <w:noProof/>
        </w:rPr>
      </w:r>
      <w:r w:rsidR="000742DA" w:rsidRPr="0020148E">
        <w:rPr>
          <w:rFonts w:ascii="Times New Roman"/>
          <w:noProof/>
        </w:rPr>
        <w:instrText xml:space="preserve"> \* MERGEFORMAT </w:instrText>
      </w:r>
      <w:r w:rsidRPr="0020148E">
        <w:rPr>
          <w:rFonts w:ascii="Times New Roman"/>
          <w:noProof/>
        </w:rPr>
        <w:fldChar w:fldCharType="separate"/>
      </w:r>
      <w:r w:rsidRPr="0020148E">
        <w:rPr>
          <w:rFonts w:ascii="Times New Roman"/>
          <w:noProof/>
        </w:rPr>
        <w:t>10</w:t>
      </w:r>
      <w:r w:rsidRPr="0020148E">
        <w:rPr>
          <w:rFonts w:ascii="Times New Roman"/>
          <w:noProof/>
        </w:rPr>
        <w:fldChar w:fldCharType="end"/>
      </w:r>
      <w:r w:rsidRPr="0020148E">
        <w:rPr>
          <w:rFonts w:ascii="Times New Roman"/>
          <w:noProof/>
        </w:rPr>
        <w:t>.</w:t>
      </w:r>
    </w:p>
  </w:footnote>
  <w:footnote w:id="55">
    <w:p w14:paraId="3CD3B33D"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General Secretariat of the Council, “Proposal for a Regulation amending Regulation 883/2004 on the coordination of social security systems and Regulation 987/2009 laying down the procedure for implementing Regulation 883/2004 – Analysis of the final compromise text with a view to agreement” 7698/19 Add 1 Rev 1, Recital 16a.</w:t>
      </w:r>
    </w:p>
  </w:footnote>
  <w:footnote w:id="56">
    <w:p w14:paraId="208FEE39"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2(8) Draft Regulation. </w:t>
      </w:r>
    </w:p>
  </w:footnote>
  <w:footnote w:id="57">
    <w:p w14:paraId="4CB2C9FD"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Ibid.</w:t>
      </w:r>
    </w:p>
  </w:footnote>
  <w:footnote w:id="58">
    <w:p w14:paraId="01FBBB1E" w14:textId="77777777"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Posted workers are likely to be net contributors to welfare budgets.</w:t>
      </w:r>
    </w:p>
  </w:footnote>
  <w:footnote w:id="59">
    <w:p w14:paraId="314616F6" w14:textId="464B698B"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Recital 23 and Art. 8 Rome I Regulation.</w:t>
      </w:r>
    </w:p>
  </w:footnote>
  <w:footnote w:id="60">
    <w:p w14:paraId="68EBA386" w14:textId="1B5DAF98"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De Wispelaere, De Smedt and Pacolet, op. cit. </w:t>
      </w:r>
      <w:r w:rsidRPr="0020148E">
        <w:rPr>
          <w:rFonts w:ascii="Times New Roman"/>
          <w:i/>
          <w:noProof/>
        </w:rPr>
        <w:t xml:space="preserve">supra </w:t>
      </w:r>
      <w:r w:rsidRPr="0020148E">
        <w:rPr>
          <w:rFonts w:ascii="Times New Roman"/>
          <w:noProof/>
        </w:rPr>
        <w:t xml:space="preserve">note </w:t>
      </w:r>
      <w:r w:rsidR="00833609" w:rsidRPr="0020148E">
        <w:rPr>
          <w:rFonts w:ascii="Times New Roman"/>
          <w:noProof/>
        </w:rPr>
        <w:fldChar w:fldCharType="begin"/>
      </w:r>
      <w:r w:rsidR="00833609" w:rsidRPr="0020148E">
        <w:rPr>
          <w:rFonts w:ascii="Times New Roman"/>
          <w:noProof/>
        </w:rPr>
        <w:instrText xml:space="preserve"> NOTEREF _Ref51094654 \h </w:instrText>
      </w:r>
      <w:r w:rsidR="00833609" w:rsidRPr="0020148E">
        <w:rPr>
          <w:rFonts w:ascii="Times New Roman"/>
          <w:noProof/>
        </w:rPr>
      </w:r>
      <w:r w:rsidR="000742DA" w:rsidRPr="0020148E">
        <w:rPr>
          <w:rFonts w:ascii="Times New Roman"/>
          <w:noProof/>
        </w:rPr>
        <w:instrText xml:space="preserve"> \* MERGEFORMAT </w:instrText>
      </w:r>
      <w:r w:rsidR="00833609" w:rsidRPr="0020148E">
        <w:rPr>
          <w:rFonts w:ascii="Times New Roman"/>
          <w:noProof/>
        </w:rPr>
        <w:fldChar w:fldCharType="separate"/>
      </w:r>
      <w:r w:rsidR="00833609" w:rsidRPr="0020148E">
        <w:rPr>
          <w:rFonts w:ascii="Times New Roman"/>
          <w:noProof/>
        </w:rPr>
        <w:t>15</w:t>
      </w:r>
      <w:r w:rsidR="00833609" w:rsidRPr="0020148E">
        <w:rPr>
          <w:rFonts w:ascii="Times New Roman"/>
          <w:noProof/>
        </w:rPr>
        <w:fldChar w:fldCharType="end"/>
      </w:r>
      <w:r w:rsidRPr="0020148E">
        <w:rPr>
          <w:rFonts w:ascii="Times New Roman"/>
          <w:noProof/>
        </w:rPr>
        <w:t>, 39.</w:t>
      </w:r>
    </w:p>
  </w:footnote>
  <w:footnote w:id="61">
    <w:p w14:paraId="32ED3973" w14:textId="29403CFF"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Regulation 465/2012 amending Regulation 883/2004 and Regulation 987/2009, O.J. 2012, L 149/4.</w:t>
      </w:r>
    </w:p>
  </w:footnote>
  <w:footnote w:id="62">
    <w:p w14:paraId="51C1CE96" w14:textId="0E1A1426"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C-425/93, </w:t>
      </w:r>
      <w:r w:rsidRPr="0020148E">
        <w:rPr>
          <w:rFonts w:ascii="Times New Roman"/>
          <w:i/>
          <w:noProof/>
        </w:rPr>
        <w:t>Calle Grenzshop Andresen v Allgemeine Ortskrankenkasse für den Kreis Schleswig-Flensburg</w:t>
      </w:r>
      <w:r w:rsidRPr="0020148E">
        <w:rPr>
          <w:rFonts w:ascii="Times New Roman"/>
          <w:noProof/>
        </w:rPr>
        <w:t>, EU:C:1995:37.</w:t>
      </w:r>
    </w:p>
  </w:footnote>
  <w:footnote w:id="63">
    <w:p w14:paraId="131F3A38" w14:textId="77777777"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I assume a difference in contribution rates.</w:t>
      </w:r>
    </w:p>
  </w:footnote>
  <w:footnote w:id="64">
    <w:p w14:paraId="30093523" w14:textId="1A4A9D55" w:rsidR="00CF21CF" w:rsidRPr="0020148E" w:rsidRDefault="00CF21CF" w:rsidP="00F76606">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w:t>
      </w:r>
      <w:r w:rsidRPr="0020148E">
        <w:rPr>
          <w:rFonts w:ascii="Times New Roman"/>
          <w:iCs/>
          <w:noProof/>
        </w:rPr>
        <w:t xml:space="preserve">Art. 14c(b) </w:t>
      </w:r>
      <w:r w:rsidR="00F76606" w:rsidRPr="0020148E">
        <w:rPr>
          <w:rFonts w:ascii="Times New Roman"/>
          <w:iCs/>
          <w:noProof/>
        </w:rPr>
        <w:t>Regulation 1408/71 on the application of social security schemes to</w:t>
      </w:r>
      <w:r w:rsidR="00F76606" w:rsidRPr="0020148E">
        <w:rPr>
          <w:rFonts w:ascii="Times New Roman"/>
          <w:iCs/>
          <w:noProof/>
        </w:rPr>
        <w:t xml:space="preserve"> </w:t>
      </w:r>
      <w:r w:rsidR="00F76606" w:rsidRPr="0020148E">
        <w:rPr>
          <w:rFonts w:ascii="Times New Roman"/>
          <w:iCs/>
          <w:noProof/>
        </w:rPr>
        <w:t>employed persons and their families moving within the Community, O.J. 1971, L 149/2</w:t>
      </w:r>
      <w:r w:rsidRPr="0020148E">
        <w:rPr>
          <w:rFonts w:ascii="Times New Roman"/>
          <w:iCs/>
          <w:noProof/>
        </w:rPr>
        <w:t xml:space="preserve">; </w:t>
      </w:r>
      <w:r w:rsidRPr="0020148E">
        <w:rPr>
          <w:rFonts w:ascii="Times New Roman"/>
          <w:noProof/>
        </w:rPr>
        <w:t xml:space="preserve">Case C-340/94, </w:t>
      </w:r>
      <w:r w:rsidRPr="0020148E">
        <w:rPr>
          <w:rFonts w:ascii="Times New Roman"/>
          <w:i/>
          <w:noProof/>
        </w:rPr>
        <w:t>de Jaeck v Staatssecretaris van Financiën</w:t>
      </w:r>
      <w:r w:rsidRPr="0020148E">
        <w:rPr>
          <w:rFonts w:ascii="Times New Roman"/>
          <w:noProof/>
        </w:rPr>
        <w:t>, EU:C:1997:43, para 40.</w:t>
      </w:r>
    </w:p>
  </w:footnote>
  <w:footnote w:id="65">
    <w:p w14:paraId="6C483B6E" w14:textId="74260B98"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Rennuy, op. cit. </w:t>
      </w:r>
      <w:r w:rsidRPr="0020148E">
        <w:rPr>
          <w:rFonts w:ascii="Times New Roman"/>
          <w:i/>
          <w:noProof/>
        </w:rPr>
        <w:t xml:space="preserve">supra </w:t>
      </w:r>
      <w:r w:rsidRPr="0020148E">
        <w:rPr>
          <w:rFonts w:ascii="Times New Roman"/>
          <w:noProof/>
        </w:rPr>
        <w:t xml:space="preserve">note </w:t>
      </w:r>
      <w:r w:rsidR="00D45A97" w:rsidRPr="0020148E">
        <w:rPr>
          <w:rFonts w:ascii="Times New Roman"/>
          <w:noProof/>
        </w:rPr>
        <w:fldChar w:fldCharType="begin"/>
      </w:r>
      <w:r w:rsidR="00D45A97" w:rsidRPr="0020148E">
        <w:rPr>
          <w:rFonts w:ascii="Times New Roman"/>
          <w:noProof/>
        </w:rPr>
        <w:instrText xml:space="preserve"> NOTEREF _Ref51094685 \h </w:instrText>
      </w:r>
      <w:r w:rsidR="00D45A97" w:rsidRPr="0020148E">
        <w:rPr>
          <w:rFonts w:ascii="Times New Roman"/>
          <w:noProof/>
        </w:rPr>
      </w:r>
      <w:r w:rsidR="000742DA" w:rsidRPr="0020148E">
        <w:rPr>
          <w:rFonts w:ascii="Times New Roman"/>
          <w:noProof/>
        </w:rPr>
        <w:instrText xml:space="preserve"> \* MERGEFORMAT </w:instrText>
      </w:r>
      <w:r w:rsidR="00D45A97" w:rsidRPr="0020148E">
        <w:rPr>
          <w:rFonts w:ascii="Times New Roman"/>
          <w:noProof/>
        </w:rPr>
        <w:fldChar w:fldCharType="separate"/>
      </w:r>
      <w:r w:rsidR="00D45A97" w:rsidRPr="0020148E">
        <w:rPr>
          <w:rFonts w:ascii="Times New Roman"/>
          <w:noProof/>
        </w:rPr>
        <w:t>45</w:t>
      </w:r>
      <w:r w:rsidR="00D45A97" w:rsidRPr="0020148E">
        <w:rPr>
          <w:rFonts w:ascii="Times New Roman"/>
          <w:noProof/>
        </w:rPr>
        <w:fldChar w:fldCharType="end"/>
      </w:r>
      <w:r w:rsidRPr="0020148E">
        <w:rPr>
          <w:rFonts w:ascii="Times New Roman"/>
          <w:noProof/>
        </w:rPr>
        <w:t>, 1582-1583.</w:t>
      </w:r>
    </w:p>
  </w:footnote>
  <w:footnote w:id="66">
    <w:p w14:paraId="2A1CE240" w14:textId="77777777"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w:t>
      </w:r>
      <w:r w:rsidRPr="0020148E">
        <w:rPr>
          <w:rFonts w:ascii="Times New Roman"/>
          <w:iCs/>
          <w:noProof/>
        </w:rPr>
        <w:t>Art. 13 Regulation 883/2004.</w:t>
      </w:r>
    </w:p>
  </w:footnote>
  <w:footnote w:id="67">
    <w:p w14:paraId="31206B52" w14:textId="77777777"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14(5a) Regulation 987/2009. </w:t>
      </w:r>
    </w:p>
  </w:footnote>
  <w:footnote w:id="68">
    <w:p w14:paraId="43C1F9DD" w14:textId="7297BAF4"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2(8)(b) Proposal for a Regulation amending Regulation 883/2004 on the coordination of social security systems and regulation 987/2009 laying down the procedure for implementing Regulation 883/2004 (COM(2016)815, 13 December 2016). The Commission also tries to raise the threshold of the registered office or place of business through soft law (European Commission, op. cit. </w:t>
      </w:r>
      <w:r w:rsidRPr="0020148E">
        <w:rPr>
          <w:rFonts w:ascii="Times New Roman"/>
          <w:i/>
          <w:noProof/>
        </w:rPr>
        <w:t xml:space="preserve">supra </w:t>
      </w:r>
      <w:r w:rsidRPr="0020148E">
        <w:rPr>
          <w:rFonts w:ascii="Times New Roman"/>
          <w:noProof/>
        </w:rPr>
        <w:t xml:space="preserve">note </w:t>
      </w:r>
      <w:r w:rsidR="000862E8" w:rsidRPr="0020148E">
        <w:rPr>
          <w:rFonts w:ascii="Times New Roman"/>
          <w:noProof/>
        </w:rPr>
        <w:fldChar w:fldCharType="begin"/>
      </w:r>
      <w:r w:rsidR="000862E8" w:rsidRPr="0020148E">
        <w:rPr>
          <w:rFonts w:ascii="Times New Roman"/>
          <w:noProof/>
        </w:rPr>
        <w:instrText xml:space="preserve"> NOTEREF _Ref51094806 \h </w:instrText>
      </w:r>
      <w:r w:rsidR="000862E8" w:rsidRPr="0020148E">
        <w:rPr>
          <w:rFonts w:ascii="Times New Roman"/>
          <w:noProof/>
        </w:rPr>
      </w:r>
      <w:r w:rsidR="000742DA" w:rsidRPr="0020148E">
        <w:rPr>
          <w:rFonts w:ascii="Times New Roman"/>
          <w:noProof/>
        </w:rPr>
        <w:instrText xml:space="preserve"> \* MERGEFORMAT </w:instrText>
      </w:r>
      <w:r w:rsidR="000862E8" w:rsidRPr="0020148E">
        <w:rPr>
          <w:rFonts w:ascii="Times New Roman"/>
          <w:noProof/>
        </w:rPr>
        <w:fldChar w:fldCharType="separate"/>
      </w:r>
      <w:r w:rsidR="000862E8" w:rsidRPr="0020148E">
        <w:rPr>
          <w:rFonts w:ascii="Times New Roman"/>
          <w:noProof/>
        </w:rPr>
        <w:t>34</w:t>
      </w:r>
      <w:r w:rsidR="000862E8" w:rsidRPr="0020148E">
        <w:rPr>
          <w:rFonts w:ascii="Times New Roman"/>
          <w:noProof/>
        </w:rPr>
        <w:fldChar w:fldCharType="end"/>
      </w:r>
      <w:r w:rsidRPr="0020148E">
        <w:rPr>
          <w:rFonts w:ascii="Times New Roman"/>
          <w:noProof/>
        </w:rPr>
        <w:t>, 35-36).</w:t>
      </w:r>
    </w:p>
  </w:footnote>
  <w:footnote w:id="69">
    <w:p w14:paraId="039B5B4C" w14:textId="77777777"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2(8)(b) Draft Regulation.</w:t>
      </w:r>
    </w:p>
  </w:footnote>
  <w:footnote w:id="70">
    <w:p w14:paraId="7A0A1513" w14:textId="7EB936C6"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Letter from the Dutch Ministry of Social Affairs and Employment (4 November 2019), available at &lt;https://www.tweedekamer.nl/kamerstukken/brieven_regering/detail?id=2019Z21072&amp;did=2019D43928&gt;.</w:t>
      </w:r>
    </w:p>
  </w:footnote>
  <w:footnote w:id="71">
    <w:p w14:paraId="570FA12A" w14:textId="17975B04"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Opinion of AG Bot in Opinion in Case C-189/14, </w:t>
      </w:r>
      <w:r w:rsidRPr="0020148E">
        <w:rPr>
          <w:rFonts w:ascii="Times New Roman"/>
          <w:i/>
          <w:iCs/>
          <w:noProof/>
        </w:rPr>
        <w:t>Chain v Atlanco</w:t>
      </w:r>
      <w:r w:rsidRPr="0020148E">
        <w:rPr>
          <w:rFonts w:ascii="Times New Roman"/>
          <w:noProof/>
        </w:rPr>
        <w:t>, EU:C:2015:432, para 56, free translation.</w:t>
      </w:r>
    </w:p>
  </w:footnote>
  <w:footnote w:id="72">
    <w:p w14:paraId="6FD76905" w14:textId="41EC22D8" w:rsidR="00CF21CF" w:rsidRPr="0020148E" w:rsidRDefault="00CF21CF" w:rsidP="00CE66C4">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Saydé on the contrary characterises the </w:t>
      </w:r>
      <w:r w:rsidRPr="0020148E">
        <w:rPr>
          <w:rFonts w:ascii="Times New Roman"/>
          <w:i/>
          <w:iCs/>
          <w:noProof/>
        </w:rPr>
        <w:t>lex loci laboris</w:t>
      </w:r>
      <w:r w:rsidRPr="0020148E">
        <w:rPr>
          <w:rFonts w:ascii="Times New Roman"/>
          <w:noProof/>
        </w:rPr>
        <w:t xml:space="preserve"> as a “free” choice of host law and the posting rule as a “restricted” choice of home law (Saydé, op. cit. </w:t>
      </w:r>
      <w:r w:rsidRPr="0020148E">
        <w:rPr>
          <w:rFonts w:ascii="Times New Roman"/>
          <w:i/>
          <w:noProof/>
        </w:rPr>
        <w:t xml:space="preserve">supra </w:t>
      </w:r>
      <w:r w:rsidRPr="0020148E">
        <w:rPr>
          <w:rFonts w:ascii="Times New Roman"/>
          <w:noProof/>
        </w:rPr>
        <w:t xml:space="preserve">note </w:t>
      </w:r>
      <w:r w:rsidRPr="0020148E">
        <w:rPr>
          <w:rFonts w:ascii="Times New Roman"/>
          <w:noProof/>
        </w:rPr>
        <w:fldChar w:fldCharType="begin"/>
      </w:r>
      <w:r w:rsidRPr="0020148E">
        <w:rPr>
          <w:rFonts w:ascii="Times New Roman"/>
          <w:noProof/>
        </w:rPr>
        <w:instrText xml:space="preserve"> NOTEREF _Ref51094472 \h </w:instrText>
      </w:r>
      <w:r w:rsidRPr="0020148E">
        <w:rPr>
          <w:rFonts w:ascii="Times New Roman"/>
          <w:noProof/>
        </w:rPr>
      </w:r>
      <w:r w:rsidR="000742DA" w:rsidRPr="0020148E">
        <w:rPr>
          <w:rFonts w:ascii="Times New Roman"/>
          <w:noProof/>
        </w:rPr>
        <w:instrText xml:space="preserve"> \* MERGEFORMAT </w:instrText>
      </w:r>
      <w:r w:rsidRPr="0020148E">
        <w:rPr>
          <w:rFonts w:ascii="Times New Roman"/>
          <w:noProof/>
        </w:rPr>
        <w:fldChar w:fldCharType="separate"/>
      </w:r>
      <w:r w:rsidRPr="0020148E">
        <w:rPr>
          <w:rFonts w:ascii="Times New Roman"/>
          <w:noProof/>
        </w:rPr>
        <w:t>7</w:t>
      </w:r>
      <w:r w:rsidRPr="0020148E">
        <w:rPr>
          <w:rFonts w:ascii="Times New Roman"/>
          <w:noProof/>
        </w:rPr>
        <w:fldChar w:fldCharType="end"/>
      </w:r>
      <w:r w:rsidRPr="0020148E">
        <w:rPr>
          <w:rFonts w:ascii="Times New Roman"/>
          <w:noProof/>
        </w:rPr>
        <w:t>, 395-397, 410).</w:t>
      </w:r>
    </w:p>
  </w:footnote>
  <w:footnote w:id="73">
    <w:p w14:paraId="35E4CD0B"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35/70, </w:t>
      </w:r>
      <w:r w:rsidRPr="0020148E">
        <w:rPr>
          <w:rFonts w:ascii="Times New Roman"/>
          <w:i/>
          <w:noProof/>
        </w:rPr>
        <w:t>Manpower</w:t>
      </w:r>
      <w:r w:rsidRPr="0020148E">
        <w:rPr>
          <w:rFonts w:ascii="Times New Roman"/>
          <w:noProof/>
        </w:rPr>
        <w:t xml:space="preserve">, para 16. </w:t>
      </w:r>
    </w:p>
  </w:footnote>
  <w:footnote w:id="74">
    <w:p w14:paraId="259AEBF3"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European Parliament, Committee on Employment and Social Affairs, Report on the proposal for a regulation amending Regulation 883/2004 on the coordination of social security systems and Regulation 987/2009 laying down the procedure for implementing Regulation 883/2004 (C8-0521/2016, 23 November 2018), Amendment 73.</w:t>
      </w:r>
    </w:p>
  </w:footnote>
  <w:footnote w:id="75">
    <w:p w14:paraId="435A91A8"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C-202/97, </w:t>
      </w:r>
      <w:r w:rsidRPr="0020148E">
        <w:rPr>
          <w:rFonts w:ascii="Times New Roman"/>
          <w:i/>
          <w:noProof/>
        </w:rPr>
        <w:t>Fitzwilliam</w:t>
      </w:r>
      <w:r w:rsidRPr="0020148E">
        <w:rPr>
          <w:rFonts w:ascii="Times New Roman"/>
          <w:noProof/>
        </w:rPr>
        <w:t>, para 42.</w:t>
      </w:r>
    </w:p>
  </w:footnote>
  <w:footnote w:id="76">
    <w:p w14:paraId="0492C5B5" w14:textId="5A016F25" w:rsidR="00CF21CF" w:rsidRPr="0020148E" w:rsidRDefault="00CF21CF" w:rsidP="005E3358">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Kjellgren, "On the Border of Abuse – The Jurisprudence of the European Court of Justice on Circumvention, Fraud and Other Misuses of Community Law", (2000) EBLR, 179-194, 179.</w:t>
      </w:r>
    </w:p>
  </w:footnote>
  <w:footnote w:id="77">
    <w:p w14:paraId="0DB764E8"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Saydé, </w:t>
      </w:r>
      <w:r w:rsidRPr="0020148E">
        <w:rPr>
          <w:rFonts w:ascii="Times New Roman"/>
          <w:i/>
          <w:noProof/>
        </w:rPr>
        <w:t>Abuse of EU Law and Regulation of the Internal Market</w:t>
      </w:r>
      <w:r w:rsidRPr="0020148E">
        <w:rPr>
          <w:rFonts w:ascii="Times New Roman"/>
          <w:noProof/>
        </w:rPr>
        <w:t xml:space="preserve"> (Hart Publishing, 2014), 167 a.f.</w:t>
      </w:r>
    </w:p>
  </w:footnote>
  <w:footnote w:id="78">
    <w:p w14:paraId="4FA6DBF1" w14:textId="6ACC9EE9"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See e.g. Endicott, "The Value of Vagueness" in Marmor and Soames (Ed.), </w:t>
      </w:r>
      <w:r w:rsidRPr="0020148E">
        <w:rPr>
          <w:rFonts w:ascii="Times New Roman"/>
          <w:i/>
          <w:noProof/>
        </w:rPr>
        <w:t>Philosophical Foundations of Language in the Law</w:t>
      </w:r>
      <w:r w:rsidRPr="0020148E">
        <w:rPr>
          <w:rFonts w:ascii="Times New Roman"/>
          <w:noProof/>
        </w:rPr>
        <w:t xml:space="preserve"> (OUP, 2011); Schauer, "The Convergence of Rules and Standards", (2003) New Zealand Law Review, 303-328. As regards conflict rules, see Symeonides, </w:t>
      </w:r>
      <w:r w:rsidRPr="0020148E">
        <w:rPr>
          <w:rFonts w:ascii="Times New Roman"/>
          <w:i/>
          <w:noProof/>
        </w:rPr>
        <w:t>Codifying Choice of Law Around the World: An International Comparative Analysis</w:t>
      </w:r>
      <w:r w:rsidRPr="0020148E">
        <w:rPr>
          <w:rFonts w:ascii="Times New Roman"/>
          <w:noProof/>
        </w:rPr>
        <w:t xml:space="preserve"> (OUP, 2014), chapter 4.</w:t>
      </w:r>
    </w:p>
  </w:footnote>
  <w:footnote w:id="79">
    <w:p w14:paraId="4F508737"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As the ECJ acknowledged in private international law: Joined cases C-168/16 and C-169/16, </w:t>
      </w:r>
      <w:r w:rsidRPr="0020148E">
        <w:rPr>
          <w:rFonts w:ascii="Times New Roman"/>
          <w:i/>
          <w:iCs/>
          <w:noProof/>
        </w:rPr>
        <w:t>Nogueira v Crewlink Ireland and Moreno Osacar v Ryanair Designated Activity Company</w:t>
      </w:r>
      <w:r w:rsidRPr="0020148E">
        <w:rPr>
          <w:rFonts w:ascii="Times New Roman"/>
          <w:noProof/>
        </w:rPr>
        <w:t>, EU:C:2017:688, para 62.</w:t>
      </w:r>
    </w:p>
  </w:footnote>
  <w:footnote w:id="80">
    <w:p w14:paraId="5F601A93" w14:textId="77777777" w:rsidR="00CF21CF" w:rsidRPr="0020148E" w:rsidRDefault="00CF21CF" w:rsidP="001F58C2">
      <w:pPr>
        <w:pStyle w:val="FootnoteText"/>
        <w:rPr>
          <w:rFonts w:ascii="Times New Roman"/>
          <w:noProof/>
        </w:rPr>
      </w:pPr>
      <w:r w:rsidRPr="0020148E">
        <w:rPr>
          <w:rStyle w:val="FootnoteReference"/>
          <w:rFonts w:ascii="Times New Roman" w:eastAsiaTheme="majorEastAsia"/>
          <w:noProof/>
        </w:rPr>
        <w:footnoteRef/>
      </w:r>
      <w:r w:rsidRPr="0020148E">
        <w:rPr>
          <w:rFonts w:ascii="Times New Roman"/>
          <w:noProof/>
        </w:rPr>
        <w:t xml:space="preserve"> Art. 14(5b) Regulation 987/2009.</w:t>
      </w:r>
    </w:p>
  </w:footnote>
  <w:footnote w:id="81">
    <w:p w14:paraId="04E87231"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Recitals 17 and 18 of Regulation 883/2004.</w:t>
      </w:r>
    </w:p>
  </w:footnote>
  <w:footnote w:id="82">
    <w:p w14:paraId="64716DC8"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Case 19/67, </w:t>
      </w:r>
      <w:r w:rsidRPr="0020148E">
        <w:rPr>
          <w:rFonts w:ascii="Times New Roman"/>
          <w:i/>
          <w:noProof/>
        </w:rPr>
        <w:t>van der Vecht</w:t>
      </w:r>
      <w:r w:rsidRPr="0020148E">
        <w:rPr>
          <w:rFonts w:ascii="Times New Roman"/>
          <w:noProof/>
        </w:rPr>
        <w:t xml:space="preserve">, at 353 (on Regulation 3/58); Case C-404/98, </w:t>
      </w:r>
      <w:r w:rsidRPr="0020148E">
        <w:rPr>
          <w:rFonts w:ascii="Times New Roman"/>
          <w:i/>
          <w:noProof/>
        </w:rPr>
        <w:t>Plum</w:t>
      </w:r>
      <w:r w:rsidRPr="0020148E">
        <w:rPr>
          <w:rFonts w:ascii="Times New Roman"/>
          <w:noProof/>
        </w:rPr>
        <w:t>, paras. 14-15 (on Regulation 1408/71).</w:t>
      </w:r>
    </w:p>
  </w:footnote>
  <w:footnote w:id="83">
    <w:p w14:paraId="6E8D8365"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C-527/16, </w:t>
      </w:r>
      <w:r w:rsidRPr="0020148E">
        <w:rPr>
          <w:rFonts w:ascii="Times New Roman"/>
          <w:i/>
          <w:noProof/>
        </w:rPr>
        <w:t>Alpenrind</w:t>
      </w:r>
      <w:r w:rsidRPr="0020148E">
        <w:rPr>
          <w:rFonts w:ascii="Times New Roman"/>
          <w:noProof/>
        </w:rPr>
        <w:t xml:space="preserve">, para 95 (on Regulation 883/2004). Early signs of such an approach were visible in Case C-202/97, </w:t>
      </w:r>
      <w:r w:rsidRPr="0020148E">
        <w:rPr>
          <w:rFonts w:ascii="Times New Roman"/>
          <w:i/>
          <w:noProof/>
        </w:rPr>
        <w:t>Fitzwilliam</w:t>
      </w:r>
      <w:r w:rsidRPr="0020148E">
        <w:rPr>
          <w:rFonts w:ascii="Times New Roman"/>
          <w:noProof/>
        </w:rPr>
        <w:t>, in particular para 30.</w:t>
      </w:r>
    </w:p>
  </w:footnote>
  <w:footnote w:id="84">
    <w:p w14:paraId="45F6AF8E" w14:textId="2C92D0FB" w:rsidR="00CF21CF" w:rsidRPr="0020148E" w:rsidRDefault="00CF21CF" w:rsidP="00010F17">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Case 35/70, </w:t>
      </w:r>
      <w:r w:rsidRPr="0020148E">
        <w:rPr>
          <w:rFonts w:ascii="Times New Roman"/>
          <w:i/>
          <w:noProof/>
        </w:rPr>
        <w:t>Manpower</w:t>
      </w:r>
      <w:r w:rsidRPr="0020148E">
        <w:rPr>
          <w:rFonts w:ascii="Times New Roman"/>
          <w:noProof/>
        </w:rPr>
        <w:t xml:space="preserve">, para 16 (introducing the requirement that the posting employer normally carries out its activities in the home State); Case C-202/97, </w:t>
      </w:r>
      <w:r w:rsidRPr="0020148E">
        <w:rPr>
          <w:rFonts w:ascii="Times New Roman"/>
          <w:i/>
          <w:noProof/>
        </w:rPr>
        <w:t>Fitzwilliam</w:t>
      </w:r>
      <w:r w:rsidRPr="0020148E">
        <w:rPr>
          <w:rFonts w:ascii="Times New Roman"/>
          <w:noProof/>
        </w:rPr>
        <w:t xml:space="preserve"> (fleshing out the requisite links between the posted worker and the employer, and between the latter and the home State); Case C-570/15, </w:t>
      </w:r>
      <w:r w:rsidRPr="0020148E">
        <w:rPr>
          <w:rFonts w:ascii="Times New Roman"/>
          <w:i/>
          <w:noProof/>
        </w:rPr>
        <w:t>X v Staatssecretaris van Financiën</w:t>
      </w:r>
      <w:r w:rsidRPr="0020148E">
        <w:rPr>
          <w:rFonts w:ascii="Times New Roman"/>
          <w:noProof/>
        </w:rPr>
        <w:t xml:space="preserve">, EU:C:2017:674 (disregarding merely occasional activities in a second Member State, in part to avoid conflict rules being circumvented); Case C-527/16, </w:t>
      </w:r>
      <w:r w:rsidRPr="0020148E">
        <w:rPr>
          <w:rFonts w:ascii="Times New Roman"/>
          <w:i/>
          <w:noProof/>
        </w:rPr>
        <w:t>Alpenrind</w:t>
      </w:r>
      <w:r w:rsidRPr="0020148E">
        <w:rPr>
          <w:rFonts w:ascii="Times New Roman"/>
          <w:noProof/>
        </w:rPr>
        <w:t xml:space="preserve"> (strengthening the prohibition on replacement of posted workers).</w:t>
      </w:r>
    </w:p>
  </w:footnote>
  <w:footnote w:id="85">
    <w:p w14:paraId="23B9A9CA"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Case 19/67, </w:t>
      </w:r>
      <w:r w:rsidRPr="0020148E">
        <w:rPr>
          <w:rFonts w:ascii="Times New Roman"/>
          <w:i/>
          <w:noProof/>
        </w:rPr>
        <w:t>van der Vecht</w:t>
      </w:r>
      <w:r w:rsidRPr="0020148E">
        <w:rPr>
          <w:rFonts w:ascii="Times New Roman"/>
          <w:noProof/>
        </w:rPr>
        <w:t xml:space="preserve">, at 353-354 (the requirement in Regulation 3/58 that posted workers are “normally attached” to their employer does not prevent employers from hiring workers exclusively in order to post them); Case 35/70, </w:t>
      </w:r>
      <w:r w:rsidRPr="0020148E">
        <w:rPr>
          <w:rFonts w:ascii="Times New Roman"/>
          <w:i/>
          <w:noProof/>
        </w:rPr>
        <w:t>Manpower</w:t>
      </w:r>
      <w:r w:rsidRPr="0020148E">
        <w:rPr>
          <w:rFonts w:ascii="Times New Roman"/>
          <w:noProof/>
        </w:rPr>
        <w:t>, para 15 (temporary employment agencies can post workers).</w:t>
      </w:r>
    </w:p>
  </w:footnote>
  <w:footnote w:id="86">
    <w:p w14:paraId="24B35DA3"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C-527/16, </w:t>
      </w:r>
      <w:r w:rsidRPr="0020148E">
        <w:rPr>
          <w:rFonts w:ascii="Times New Roman"/>
          <w:i/>
          <w:noProof/>
        </w:rPr>
        <w:t>Alpenrind</w:t>
      </w:r>
      <w:r w:rsidRPr="0020148E">
        <w:rPr>
          <w:rFonts w:ascii="Times New Roman"/>
          <w:noProof/>
        </w:rPr>
        <w:t>, para 95.</w:t>
      </w:r>
    </w:p>
  </w:footnote>
  <w:footnote w:id="87">
    <w:p w14:paraId="101BF2FC"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Five for employed persons, two for self-employed persons, and two for persons who combine statuses (Art. 13 Regulation 883/2004). </w:t>
      </w:r>
    </w:p>
  </w:footnote>
  <w:footnote w:id="88">
    <w:p w14:paraId="1B456CF0" w14:textId="1B018A38"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Kjellgren, op. cit. </w:t>
      </w:r>
      <w:r w:rsidRPr="0020148E">
        <w:rPr>
          <w:rFonts w:ascii="Times New Roman"/>
          <w:i/>
          <w:noProof/>
        </w:rPr>
        <w:t xml:space="preserve">supra </w:t>
      </w:r>
      <w:r w:rsidRPr="0020148E">
        <w:rPr>
          <w:rFonts w:ascii="Times New Roman"/>
          <w:noProof/>
        </w:rPr>
        <w:t xml:space="preserve">note </w:t>
      </w:r>
      <w:r w:rsidR="000862E8" w:rsidRPr="0020148E">
        <w:rPr>
          <w:rFonts w:ascii="Times New Roman"/>
          <w:noProof/>
        </w:rPr>
        <w:fldChar w:fldCharType="begin"/>
      </w:r>
      <w:r w:rsidR="000862E8" w:rsidRPr="0020148E">
        <w:rPr>
          <w:rFonts w:ascii="Times New Roman"/>
          <w:noProof/>
        </w:rPr>
        <w:instrText xml:space="preserve"> NOTEREF _Ref51094842 \h </w:instrText>
      </w:r>
      <w:r w:rsidR="000862E8" w:rsidRPr="0020148E">
        <w:rPr>
          <w:rFonts w:ascii="Times New Roman"/>
          <w:noProof/>
        </w:rPr>
      </w:r>
      <w:r w:rsidR="000742DA" w:rsidRPr="0020148E">
        <w:rPr>
          <w:rFonts w:ascii="Times New Roman"/>
          <w:noProof/>
        </w:rPr>
        <w:instrText xml:space="preserve"> \* MERGEFORMAT </w:instrText>
      </w:r>
      <w:r w:rsidR="000862E8" w:rsidRPr="0020148E">
        <w:rPr>
          <w:rFonts w:ascii="Times New Roman"/>
          <w:noProof/>
        </w:rPr>
        <w:fldChar w:fldCharType="separate"/>
      </w:r>
      <w:r w:rsidR="000862E8" w:rsidRPr="0020148E">
        <w:rPr>
          <w:rFonts w:ascii="Times New Roman"/>
          <w:noProof/>
        </w:rPr>
        <w:t>76</w:t>
      </w:r>
      <w:r w:rsidR="000862E8" w:rsidRPr="0020148E">
        <w:rPr>
          <w:rFonts w:ascii="Times New Roman"/>
          <w:noProof/>
        </w:rPr>
        <w:fldChar w:fldCharType="end"/>
      </w:r>
      <w:r w:rsidRPr="0020148E">
        <w:rPr>
          <w:rFonts w:ascii="Times New Roman"/>
          <w:noProof/>
        </w:rPr>
        <w:t>, 179.</w:t>
      </w:r>
    </w:p>
  </w:footnote>
  <w:footnote w:id="89">
    <w:p w14:paraId="5171004A"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Case C-202/97, </w:t>
      </w:r>
      <w:r w:rsidRPr="0020148E">
        <w:rPr>
          <w:rFonts w:ascii="Times New Roman"/>
          <w:i/>
          <w:noProof/>
        </w:rPr>
        <w:t>Fitzwilliam</w:t>
      </w:r>
      <w:r w:rsidRPr="0020148E">
        <w:rPr>
          <w:rFonts w:ascii="Times New Roman"/>
          <w:noProof/>
        </w:rPr>
        <w:t>, para 28.</w:t>
      </w:r>
    </w:p>
  </w:footnote>
  <w:footnote w:id="90">
    <w:p w14:paraId="7724ED32"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C-527/16, </w:t>
      </w:r>
      <w:r w:rsidRPr="0020148E">
        <w:rPr>
          <w:rFonts w:ascii="Times New Roman"/>
          <w:i/>
          <w:noProof/>
        </w:rPr>
        <w:t>Alpenrind</w:t>
      </w:r>
      <w:r w:rsidRPr="0020148E">
        <w:rPr>
          <w:rFonts w:ascii="Times New Roman"/>
          <w:noProof/>
        </w:rPr>
        <w:t>, para 95.</w:t>
      </w:r>
    </w:p>
  </w:footnote>
  <w:footnote w:id="91">
    <w:p w14:paraId="5EACA0F5"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C-610/18, </w:t>
      </w:r>
      <w:r w:rsidRPr="0020148E">
        <w:rPr>
          <w:rFonts w:ascii="Times New Roman"/>
          <w:i/>
          <w:noProof/>
        </w:rPr>
        <w:t>AFMB</w:t>
      </w:r>
      <w:r w:rsidRPr="0020148E">
        <w:rPr>
          <w:rFonts w:ascii="Times New Roman"/>
          <w:noProof/>
        </w:rPr>
        <w:t>.</w:t>
      </w:r>
    </w:p>
  </w:footnote>
  <w:footnote w:id="92">
    <w:p w14:paraId="1FA7B258"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C-610/18, </w:t>
      </w:r>
      <w:r w:rsidRPr="0020148E">
        <w:rPr>
          <w:rFonts w:ascii="Times New Roman"/>
          <w:i/>
          <w:noProof/>
        </w:rPr>
        <w:t>AFMB</w:t>
      </w:r>
      <w:r w:rsidRPr="0020148E">
        <w:rPr>
          <w:rFonts w:ascii="Times New Roman"/>
          <w:noProof/>
        </w:rPr>
        <w:t>, para 61.</w:t>
      </w:r>
    </w:p>
  </w:footnote>
  <w:footnote w:id="93">
    <w:p w14:paraId="7F719D8D"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C-610/18, </w:t>
      </w:r>
      <w:r w:rsidRPr="0020148E">
        <w:rPr>
          <w:rFonts w:ascii="Times New Roman"/>
          <w:i/>
          <w:noProof/>
        </w:rPr>
        <w:t>AFMB</w:t>
      </w:r>
      <w:r w:rsidRPr="0020148E">
        <w:rPr>
          <w:rFonts w:ascii="Times New Roman"/>
          <w:noProof/>
        </w:rPr>
        <w:t>, para 69.</w:t>
      </w:r>
    </w:p>
  </w:footnote>
  <w:footnote w:id="94">
    <w:p w14:paraId="44B62448" w14:textId="7DC51C0B"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See above, footnotes </w:t>
      </w:r>
      <w:r w:rsidR="00656C84" w:rsidRPr="0020148E">
        <w:rPr>
          <w:rFonts w:ascii="Times New Roman"/>
          <w:noProof/>
        </w:rPr>
        <w:fldChar w:fldCharType="begin"/>
      </w:r>
      <w:r w:rsidR="00656C84" w:rsidRPr="0020148E">
        <w:rPr>
          <w:rFonts w:ascii="Times New Roman"/>
          <w:noProof/>
        </w:rPr>
        <w:instrText xml:space="preserve"> NOTEREF _Ref50455750 \h </w:instrText>
      </w:r>
      <w:r w:rsidR="00656C84" w:rsidRPr="0020148E">
        <w:rPr>
          <w:rFonts w:ascii="Times New Roman"/>
          <w:noProof/>
        </w:rPr>
      </w:r>
      <w:r w:rsidR="00AA2F3D" w:rsidRPr="0020148E">
        <w:rPr>
          <w:rFonts w:ascii="Times New Roman"/>
          <w:noProof/>
        </w:rPr>
        <w:instrText xml:space="preserve"> \* MERGEFORMAT </w:instrText>
      </w:r>
      <w:r w:rsidR="00656C84" w:rsidRPr="0020148E">
        <w:rPr>
          <w:rFonts w:ascii="Times New Roman"/>
          <w:noProof/>
        </w:rPr>
        <w:fldChar w:fldCharType="separate"/>
      </w:r>
      <w:r w:rsidR="00656C84" w:rsidRPr="0020148E">
        <w:rPr>
          <w:rFonts w:ascii="Times New Roman"/>
          <w:noProof/>
        </w:rPr>
        <w:t>82</w:t>
      </w:r>
      <w:r w:rsidR="00656C84" w:rsidRPr="0020148E">
        <w:rPr>
          <w:rFonts w:ascii="Times New Roman"/>
          <w:noProof/>
        </w:rPr>
        <w:fldChar w:fldCharType="end"/>
      </w:r>
      <w:r w:rsidR="00AA2F3D" w:rsidRPr="0020148E">
        <w:rPr>
          <w:rFonts w:ascii="Times New Roman"/>
          <w:noProof/>
        </w:rPr>
        <w:t>-</w:t>
      </w:r>
      <w:r w:rsidR="00AA2F3D" w:rsidRPr="0020148E">
        <w:rPr>
          <w:rFonts w:ascii="Times New Roman"/>
          <w:noProof/>
        </w:rPr>
        <w:fldChar w:fldCharType="begin"/>
      </w:r>
      <w:r w:rsidR="00AA2F3D" w:rsidRPr="0020148E">
        <w:rPr>
          <w:rFonts w:ascii="Times New Roman"/>
          <w:noProof/>
        </w:rPr>
        <w:instrText xml:space="preserve"> NOTEREF _Ref50456331 \h </w:instrText>
      </w:r>
      <w:r w:rsidR="00AA2F3D" w:rsidRPr="0020148E">
        <w:rPr>
          <w:rFonts w:ascii="Times New Roman"/>
          <w:noProof/>
        </w:rPr>
      </w:r>
      <w:r w:rsidR="00AA2F3D" w:rsidRPr="0020148E">
        <w:rPr>
          <w:rFonts w:ascii="Times New Roman"/>
          <w:noProof/>
        </w:rPr>
        <w:instrText xml:space="preserve"> \* MERGEFORMAT </w:instrText>
      </w:r>
      <w:r w:rsidR="00AA2F3D" w:rsidRPr="0020148E">
        <w:rPr>
          <w:rFonts w:ascii="Times New Roman"/>
          <w:noProof/>
        </w:rPr>
        <w:fldChar w:fldCharType="separate"/>
      </w:r>
      <w:r w:rsidR="00AA2F3D" w:rsidRPr="0020148E">
        <w:rPr>
          <w:rFonts w:ascii="Times New Roman"/>
          <w:noProof/>
        </w:rPr>
        <w:t>84</w:t>
      </w:r>
      <w:r w:rsidR="00AA2F3D" w:rsidRPr="0020148E">
        <w:rPr>
          <w:rFonts w:ascii="Times New Roman"/>
          <w:noProof/>
        </w:rPr>
        <w:fldChar w:fldCharType="end"/>
      </w:r>
      <w:r w:rsidRPr="0020148E">
        <w:rPr>
          <w:rFonts w:ascii="Times New Roman"/>
          <w:noProof/>
        </w:rPr>
        <w:t>.</w:t>
      </w:r>
    </w:p>
  </w:footnote>
  <w:footnote w:id="95">
    <w:p w14:paraId="1A9AB3F4"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C-110/99, </w:t>
      </w:r>
      <w:r w:rsidRPr="0020148E">
        <w:rPr>
          <w:rFonts w:ascii="Times New Roman"/>
          <w:i/>
          <w:noProof/>
        </w:rPr>
        <w:t>Emsland-Stärke v Hauptzollamt Hamburg-Jonas</w:t>
      </w:r>
      <w:r w:rsidRPr="0020148E">
        <w:rPr>
          <w:rFonts w:ascii="Times New Roman"/>
          <w:noProof/>
        </w:rPr>
        <w:t xml:space="preserve">, EU:C:2000:695, paras. 52-53. </w:t>
      </w:r>
    </w:p>
  </w:footnote>
  <w:footnote w:id="96">
    <w:p w14:paraId="3BF64A4B" w14:textId="0144D8F2"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Case C‑359/16, </w:t>
      </w:r>
      <w:r w:rsidRPr="0020148E">
        <w:rPr>
          <w:rFonts w:ascii="Times New Roman"/>
          <w:i/>
          <w:noProof/>
        </w:rPr>
        <w:t>Criminal proceedings against Altun</w:t>
      </w:r>
      <w:r w:rsidRPr="0020148E">
        <w:rPr>
          <w:rFonts w:ascii="Times New Roman"/>
          <w:noProof/>
        </w:rPr>
        <w:t>, EU:C:2018:63, para 49.</w:t>
      </w:r>
      <w:r w:rsidRPr="0020148E">
        <w:rPr>
          <w:rFonts w:ascii="Times New Roman"/>
          <w:noProof/>
          <w:sz w:val="22"/>
          <w:szCs w:val="22"/>
        </w:rPr>
        <w:t xml:space="preserve"> </w:t>
      </w:r>
      <w:r w:rsidRPr="0020148E">
        <w:rPr>
          <w:rFonts w:ascii="Times New Roman"/>
          <w:noProof/>
        </w:rPr>
        <w:t xml:space="preserve">Contesting this view: e.g. Arnull, "What is a General Principle of EU Law?" in de la Feria and Vogenauer (Ed.), </w:t>
      </w:r>
      <w:r w:rsidRPr="0020148E">
        <w:rPr>
          <w:rFonts w:ascii="Times New Roman"/>
          <w:i/>
          <w:noProof/>
        </w:rPr>
        <w:t>Prohibition of Abuse of Law: A New General Principle of EU Law?</w:t>
      </w:r>
      <w:r w:rsidRPr="0020148E">
        <w:rPr>
          <w:rFonts w:ascii="Times New Roman"/>
          <w:noProof/>
        </w:rPr>
        <w:t xml:space="preserve"> (Hart Publishing, 2011), 18-23; Kamanabrou, "Abuse of law in the context of EU law", (2018) EL Rev., 534-548.</w:t>
      </w:r>
    </w:p>
  </w:footnote>
  <w:footnote w:id="97">
    <w:p w14:paraId="728CF0FD"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Opinion of AG Bobek in Case C-251/16, </w:t>
      </w:r>
      <w:r w:rsidRPr="0020148E">
        <w:rPr>
          <w:rFonts w:ascii="Times New Roman"/>
          <w:i/>
          <w:noProof/>
        </w:rPr>
        <w:t>Cussens v Brosman</w:t>
      </w:r>
      <w:r w:rsidRPr="0020148E">
        <w:rPr>
          <w:rFonts w:ascii="Times New Roman"/>
          <w:noProof/>
        </w:rPr>
        <w:t xml:space="preserve">, EU:C:2017:881, paras. 27-31; de la Feria and Vogenauer (Ed.), </w:t>
      </w:r>
      <w:r w:rsidRPr="0020148E">
        <w:rPr>
          <w:rFonts w:ascii="Times New Roman"/>
          <w:i/>
          <w:noProof/>
        </w:rPr>
        <w:t>Prohibition of Abuse of Law: A New General Principle of EU Law?</w:t>
      </w:r>
      <w:r w:rsidRPr="0020148E">
        <w:rPr>
          <w:rFonts w:ascii="Times New Roman"/>
          <w:noProof/>
        </w:rPr>
        <w:t xml:space="preserve"> (Hart Publishing, 2011).</w:t>
      </w:r>
    </w:p>
  </w:footnote>
  <w:footnote w:id="98">
    <w:p w14:paraId="240620A2"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C-206/94, </w:t>
      </w:r>
      <w:r w:rsidRPr="0020148E">
        <w:rPr>
          <w:rFonts w:ascii="Times New Roman"/>
          <w:i/>
          <w:iCs/>
          <w:noProof/>
        </w:rPr>
        <w:t>Brennet AG v Paletta</w:t>
      </w:r>
      <w:r w:rsidRPr="0020148E">
        <w:rPr>
          <w:rFonts w:ascii="Times New Roman"/>
          <w:noProof/>
        </w:rPr>
        <w:t xml:space="preserve">, EU:C:1996:182, para 24; Case C‑359/16, </w:t>
      </w:r>
      <w:r w:rsidRPr="0020148E">
        <w:rPr>
          <w:rFonts w:ascii="Times New Roman"/>
          <w:i/>
          <w:noProof/>
        </w:rPr>
        <w:t>Altun</w:t>
      </w:r>
      <w:r w:rsidRPr="0020148E">
        <w:rPr>
          <w:rFonts w:ascii="Times New Roman"/>
          <w:noProof/>
        </w:rPr>
        <w:t>, para 49.</w:t>
      </w:r>
    </w:p>
  </w:footnote>
  <w:footnote w:id="99">
    <w:p w14:paraId="1A1EB11C"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Opinion of AG Tesauro in Case C-367/96, </w:t>
      </w:r>
      <w:r w:rsidRPr="0020148E">
        <w:rPr>
          <w:rFonts w:ascii="Times New Roman"/>
          <w:i/>
          <w:noProof/>
        </w:rPr>
        <w:t>Kefalas v Dimosio</w:t>
      </w:r>
      <w:r w:rsidRPr="0020148E">
        <w:rPr>
          <w:rFonts w:ascii="Times New Roman"/>
          <w:noProof/>
        </w:rPr>
        <w:t xml:space="preserve">, EU:C:1998:222, footnote 28; Opinion of AG Saugmandsgaard Øe in Case C‑359/16, </w:t>
      </w:r>
      <w:r w:rsidRPr="0020148E">
        <w:rPr>
          <w:rFonts w:ascii="Times New Roman"/>
          <w:i/>
          <w:noProof/>
        </w:rPr>
        <w:t>Altun</w:t>
      </w:r>
      <w:r w:rsidRPr="0020148E">
        <w:rPr>
          <w:rFonts w:ascii="Times New Roman"/>
          <w:noProof/>
        </w:rPr>
        <w:t>, para 49.</w:t>
      </w:r>
    </w:p>
  </w:footnote>
  <w:footnote w:id="100">
    <w:p w14:paraId="267D32E0"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Opinion of AG Saugmandsgaard Øe in Case C-527/16, </w:t>
      </w:r>
      <w:r w:rsidRPr="0020148E">
        <w:rPr>
          <w:rFonts w:ascii="Times New Roman"/>
          <w:i/>
          <w:noProof/>
        </w:rPr>
        <w:t>Alpenrind</w:t>
      </w:r>
      <w:r w:rsidRPr="0020148E">
        <w:rPr>
          <w:rFonts w:ascii="Times New Roman"/>
          <w:noProof/>
        </w:rPr>
        <w:t xml:space="preserve">, para 111; Opinion of AG Pikamäe in Case C-610/18, </w:t>
      </w:r>
      <w:r w:rsidRPr="0020148E">
        <w:rPr>
          <w:rFonts w:ascii="Times New Roman"/>
          <w:i/>
          <w:noProof/>
        </w:rPr>
        <w:t>AFMB</w:t>
      </w:r>
      <w:r w:rsidRPr="0020148E">
        <w:rPr>
          <w:rFonts w:ascii="Times New Roman"/>
          <w:noProof/>
        </w:rPr>
        <w:t>, paras. 72-84.</w:t>
      </w:r>
    </w:p>
  </w:footnote>
  <w:footnote w:id="101">
    <w:p w14:paraId="2C157B97" w14:textId="2520405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Saydé, op. cit. </w:t>
      </w:r>
      <w:r w:rsidRPr="0020148E">
        <w:rPr>
          <w:rFonts w:ascii="Times New Roman"/>
          <w:i/>
          <w:noProof/>
        </w:rPr>
        <w:t xml:space="preserve">supra </w:t>
      </w:r>
      <w:r w:rsidRPr="0020148E">
        <w:rPr>
          <w:rFonts w:ascii="Times New Roman"/>
          <w:noProof/>
        </w:rPr>
        <w:t xml:space="preserve">note </w:t>
      </w:r>
      <w:r w:rsidRPr="0020148E">
        <w:rPr>
          <w:rFonts w:ascii="Times New Roman"/>
          <w:noProof/>
        </w:rPr>
        <w:fldChar w:fldCharType="begin"/>
      </w:r>
      <w:r w:rsidRPr="0020148E">
        <w:rPr>
          <w:rFonts w:ascii="Times New Roman"/>
          <w:noProof/>
        </w:rPr>
        <w:instrText xml:space="preserve"> NOTEREF _Ref51094472 \h </w:instrText>
      </w:r>
      <w:r w:rsidRPr="0020148E">
        <w:rPr>
          <w:rFonts w:ascii="Times New Roman"/>
          <w:noProof/>
        </w:rPr>
      </w:r>
      <w:r w:rsidR="000742DA" w:rsidRPr="0020148E">
        <w:rPr>
          <w:rFonts w:ascii="Times New Roman"/>
          <w:noProof/>
        </w:rPr>
        <w:instrText xml:space="preserve"> \* MERGEFORMAT </w:instrText>
      </w:r>
      <w:r w:rsidRPr="0020148E">
        <w:rPr>
          <w:rFonts w:ascii="Times New Roman"/>
          <w:noProof/>
        </w:rPr>
        <w:fldChar w:fldCharType="separate"/>
      </w:r>
      <w:r w:rsidRPr="0020148E">
        <w:rPr>
          <w:rFonts w:ascii="Times New Roman"/>
          <w:noProof/>
        </w:rPr>
        <w:t>7</w:t>
      </w:r>
      <w:r w:rsidRPr="0020148E">
        <w:rPr>
          <w:rFonts w:ascii="Times New Roman"/>
          <w:noProof/>
        </w:rPr>
        <w:fldChar w:fldCharType="end"/>
      </w:r>
      <w:r w:rsidRPr="0020148E">
        <w:rPr>
          <w:rFonts w:ascii="Times New Roman"/>
          <w:noProof/>
        </w:rPr>
        <w:t>, 406-407.</w:t>
      </w:r>
    </w:p>
  </w:footnote>
  <w:footnote w:id="102">
    <w:p w14:paraId="4F331CE2"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Poiares Maduro, "Foreword" in de la Feria and Vogenauer (Ed.), </w:t>
      </w:r>
      <w:r w:rsidRPr="0020148E">
        <w:rPr>
          <w:rFonts w:ascii="Times New Roman"/>
          <w:i/>
          <w:noProof/>
        </w:rPr>
        <w:t>Prohibition of Abuse of Law: A New General Principle of EU Law?</w:t>
      </w:r>
      <w:r w:rsidRPr="0020148E">
        <w:rPr>
          <w:rFonts w:ascii="Times New Roman"/>
          <w:noProof/>
        </w:rPr>
        <w:t xml:space="preserve"> (Hart Publishing, 2011), vii.</w:t>
      </w:r>
    </w:p>
  </w:footnote>
  <w:footnote w:id="103">
    <w:p w14:paraId="76E7D973" w14:textId="3A7FA7BA"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As regards posting, see Rennuy, "Posting of workers: Enforcement, compliance, and reform", (2020) EJSS, 212-234.</w:t>
      </w:r>
    </w:p>
  </w:footnote>
  <w:footnote w:id="104">
    <w:p w14:paraId="378DF854" w14:textId="77777777" w:rsidR="00CF21CF" w:rsidRPr="0020148E" w:rsidRDefault="00CF21CF">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C-202/97, </w:t>
      </w:r>
      <w:r w:rsidRPr="0020148E">
        <w:rPr>
          <w:rFonts w:ascii="Times New Roman"/>
          <w:i/>
          <w:noProof/>
        </w:rPr>
        <w:t>Fitzwilliam</w:t>
      </w:r>
      <w:r w:rsidRPr="0020148E">
        <w:rPr>
          <w:rFonts w:ascii="Times New Roman"/>
          <w:noProof/>
        </w:rPr>
        <w:t xml:space="preserve">, in particular para 51; Case C-2/05, </w:t>
      </w:r>
      <w:r w:rsidRPr="0020148E">
        <w:rPr>
          <w:rFonts w:ascii="Times New Roman"/>
          <w:i/>
          <w:noProof/>
        </w:rPr>
        <w:t>Rijksdienst voor Sociale Zekerheid v Herbosch Kiere</w:t>
      </w:r>
      <w:r w:rsidRPr="0020148E">
        <w:rPr>
          <w:rFonts w:ascii="Times New Roman"/>
          <w:noProof/>
        </w:rPr>
        <w:t>, EU:C:2006:69.</w:t>
      </w:r>
    </w:p>
  </w:footnote>
  <w:footnote w:id="105">
    <w:p w14:paraId="5C7C898D" w14:textId="615113B5"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Rennuy, op. cit. </w:t>
      </w:r>
      <w:r w:rsidRPr="0020148E">
        <w:rPr>
          <w:rFonts w:ascii="Times New Roman"/>
          <w:i/>
          <w:noProof/>
        </w:rPr>
        <w:t xml:space="preserve">supra </w:t>
      </w:r>
      <w:r w:rsidRPr="0020148E">
        <w:rPr>
          <w:rFonts w:ascii="Times New Roman"/>
          <w:noProof/>
        </w:rPr>
        <w:t xml:space="preserve">note </w:t>
      </w:r>
      <w:r w:rsidR="00D45A97" w:rsidRPr="0020148E">
        <w:rPr>
          <w:rFonts w:ascii="Times New Roman"/>
          <w:noProof/>
        </w:rPr>
        <w:fldChar w:fldCharType="begin"/>
      </w:r>
      <w:r w:rsidR="00D45A97" w:rsidRPr="0020148E">
        <w:rPr>
          <w:rFonts w:ascii="Times New Roman"/>
          <w:noProof/>
        </w:rPr>
        <w:instrText xml:space="preserve"> NOTEREF _Ref51094705 \h </w:instrText>
      </w:r>
      <w:r w:rsidR="00D45A97" w:rsidRPr="0020148E">
        <w:rPr>
          <w:rFonts w:ascii="Times New Roman"/>
          <w:noProof/>
        </w:rPr>
      </w:r>
      <w:r w:rsidR="000742DA" w:rsidRPr="0020148E">
        <w:rPr>
          <w:rFonts w:ascii="Times New Roman"/>
          <w:noProof/>
        </w:rPr>
        <w:instrText xml:space="preserve"> \* MERGEFORMAT </w:instrText>
      </w:r>
      <w:r w:rsidR="00D45A97" w:rsidRPr="0020148E">
        <w:rPr>
          <w:rFonts w:ascii="Times New Roman"/>
          <w:noProof/>
        </w:rPr>
        <w:fldChar w:fldCharType="separate"/>
      </w:r>
      <w:r w:rsidR="00D45A97" w:rsidRPr="0020148E">
        <w:rPr>
          <w:rFonts w:ascii="Times New Roman"/>
          <w:noProof/>
        </w:rPr>
        <w:t>103</w:t>
      </w:r>
      <w:r w:rsidR="00D45A97" w:rsidRPr="0020148E">
        <w:rPr>
          <w:rFonts w:ascii="Times New Roman"/>
          <w:noProof/>
        </w:rPr>
        <w:fldChar w:fldCharType="end"/>
      </w:r>
      <w:r w:rsidRPr="0020148E">
        <w:rPr>
          <w:rFonts w:ascii="Times New Roman"/>
          <w:noProof/>
        </w:rPr>
        <w:t>, 219.</w:t>
      </w:r>
    </w:p>
  </w:footnote>
  <w:footnote w:id="106">
    <w:p w14:paraId="30B5DAAA"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Only some certificates that are fraudulently obtained or relied upon can be challenged in the courts of both States (Case C‑359/16, </w:t>
      </w:r>
      <w:r w:rsidRPr="0020148E">
        <w:rPr>
          <w:rFonts w:ascii="Times New Roman"/>
          <w:i/>
          <w:noProof/>
        </w:rPr>
        <w:t>Altun</w:t>
      </w:r>
      <w:r w:rsidRPr="0020148E">
        <w:rPr>
          <w:rFonts w:ascii="Times New Roman"/>
          <w:noProof/>
        </w:rPr>
        <w:t xml:space="preserve">; Joined cases C-370/17 and C-37/18, </w:t>
      </w:r>
      <w:r w:rsidRPr="0020148E">
        <w:rPr>
          <w:rFonts w:ascii="Times New Roman"/>
          <w:i/>
          <w:iCs/>
          <w:noProof/>
        </w:rPr>
        <w:t>CRPNPAC v Vueling Airlines and Vueling Airlines v Poignant</w:t>
      </w:r>
      <w:r w:rsidRPr="0020148E">
        <w:rPr>
          <w:rFonts w:ascii="Times New Roman"/>
          <w:noProof/>
        </w:rPr>
        <w:t>, EU:C:2020:260).</w:t>
      </w:r>
    </w:p>
  </w:footnote>
  <w:footnote w:id="107">
    <w:p w14:paraId="4B926993" w14:textId="391F86B3" w:rsidR="00CF21CF" w:rsidRPr="0020148E" w:rsidRDefault="00CF21CF" w:rsidP="001B5B79">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Regulation 2019/1149</w:t>
      </w:r>
      <w:r w:rsidRPr="0020148E">
        <w:rPr>
          <w:rFonts w:ascii="Times New Roman"/>
          <w:noProof/>
          <w:sz w:val="22"/>
          <w:szCs w:val="22"/>
        </w:rPr>
        <w:t xml:space="preserve"> </w:t>
      </w:r>
      <w:r w:rsidRPr="0020148E">
        <w:rPr>
          <w:rFonts w:ascii="Times New Roman"/>
          <w:noProof/>
        </w:rPr>
        <w:t>establishing a European Labour Authority, O.J. 2019, L 186/21; Draft Regulation.</w:t>
      </w:r>
    </w:p>
  </w:footnote>
  <w:footnote w:id="108">
    <w:p w14:paraId="4AE9009F"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Case C-333/13, </w:t>
      </w:r>
      <w:r w:rsidRPr="0020148E">
        <w:rPr>
          <w:rFonts w:ascii="Times New Roman"/>
          <w:i/>
          <w:noProof/>
        </w:rPr>
        <w:t>Dano v Jobcenter Leipzig</w:t>
      </w:r>
      <w:r w:rsidRPr="0020148E">
        <w:rPr>
          <w:rFonts w:ascii="Times New Roman"/>
          <w:noProof/>
        </w:rPr>
        <w:t>, EU:C:2014:2358.</w:t>
      </w:r>
    </w:p>
  </w:footnote>
  <w:footnote w:id="109">
    <w:p w14:paraId="67C9B3E5" w14:textId="65419F50" w:rsidR="00CF21CF" w:rsidRPr="0020148E" w:rsidRDefault="00CF21CF" w:rsidP="00691B90">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E.g. Directive 2014/54 on measures facilitating the exercise of rights conferred on workers in the context of freedom of movement for workers, O.J. 2014, L 128/8; Directive 2014/67 on the enforcement of Directive 96/71, O.J. 2014, L 159/11; Regulation 2019/1149.</w:t>
      </w:r>
    </w:p>
  </w:footnote>
  <w:footnote w:id="110">
    <w:p w14:paraId="400733C1" w14:textId="4519F3CA" w:rsidR="00CF21CF" w:rsidRPr="0020148E" w:rsidRDefault="00CF21CF" w:rsidP="00684EF9">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Directive 2018/957 amending Directive 96/71, O.J. 2018, L 173/16.</w:t>
      </w:r>
    </w:p>
  </w:footnote>
  <w:footnote w:id="111">
    <w:p w14:paraId="6F594B9A" w14:textId="7AD03251" w:rsidR="00CF21CF" w:rsidRPr="0020148E" w:rsidRDefault="00CF21CF" w:rsidP="004A16D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8 Rome I Regulation; Directive 96/71 concerning the posting of workers in the framework of the provision of services, O.J. 1997, L 18/1; Saydé, op. cit. </w:t>
      </w:r>
      <w:r w:rsidRPr="0020148E">
        <w:rPr>
          <w:rFonts w:ascii="Times New Roman"/>
          <w:i/>
          <w:noProof/>
        </w:rPr>
        <w:t xml:space="preserve">supra </w:t>
      </w:r>
      <w:r w:rsidRPr="0020148E">
        <w:rPr>
          <w:rFonts w:ascii="Times New Roman"/>
          <w:noProof/>
        </w:rPr>
        <w:t xml:space="preserve">note </w:t>
      </w:r>
      <w:r w:rsidRPr="0020148E">
        <w:rPr>
          <w:rFonts w:ascii="Times New Roman"/>
          <w:noProof/>
        </w:rPr>
        <w:fldChar w:fldCharType="begin"/>
      </w:r>
      <w:r w:rsidRPr="0020148E">
        <w:rPr>
          <w:rFonts w:ascii="Times New Roman"/>
          <w:noProof/>
        </w:rPr>
        <w:instrText xml:space="preserve"> NOTEREF _Ref51094472 \h </w:instrText>
      </w:r>
      <w:r w:rsidRPr="0020148E">
        <w:rPr>
          <w:rFonts w:ascii="Times New Roman"/>
          <w:noProof/>
        </w:rPr>
      </w:r>
      <w:r w:rsidR="000742DA" w:rsidRPr="0020148E">
        <w:rPr>
          <w:rFonts w:ascii="Times New Roman"/>
          <w:noProof/>
        </w:rPr>
        <w:instrText xml:space="preserve"> \* MERGEFORMAT </w:instrText>
      </w:r>
      <w:r w:rsidRPr="0020148E">
        <w:rPr>
          <w:rFonts w:ascii="Times New Roman"/>
          <w:noProof/>
        </w:rPr>
        <w:fldChar w:fldCharType="separate"/>
      </w:r>
      <w:r w:rsidRPr="0020148E">
        <w:rPr>
          <w:rFonts w:ascii="Times New Roman"/>
          <w:noProof/>
        </w:rPr>
        <w:t>7</w:t>
      </w:r>
      <w:r w:rsidRPr="0020148E">
        <w:rPr>
          <w:rFonts w:ascii="Times New Roman"/>
          <w:noProof/>
        </w:rPr>
        <w:fldChar w:fldCharType="end"/>
      </w:r>
      <w:r w:rsidRPr="0020148E">
        <w:rPr>
          <w:rFonts w:ascii="Times New Roman"/>
          <w:noProof/>
        </w:rPr>
        <w:t xml:space="preserve">, 391-393. For rather rare examples of studies bridging those doctrinal divides, see e.g. Van Hoek, op. cit. </w:t>
      </w:r>
      <w:r w:rsidRPr="0020148E">
        <w:rPr>
          <w:rFonts w:ascii="Times New Roman"/>
          <w:i/>
          <w:noProof/>
        </w:rPr>
        <w:t xml:space="preserve">supra </w:t>
      </w:r>
      <w:r w:rsidRPr="0020148E">
        <w:rPr>
          <w:rFonts w:ascii="Times New Roman"/>
          <w:noProof/>
        </w:rPr>
        <w:t xml:space="preserve">note </w:t>
      </w:r>
      <w:r w:rsidRPr="0020148E">
        <w:rPr>
          <w:rFonts w:ascii="Times New Roman"/>
          <w:noProof/>
        </w:rPr>
        <w:fldChar w:fldCharType="begin"/>
      </w:r>
      <w:r w:rsidRPr="0020148E">
        <w:rPr>
          <w:rFonts w:ascii="Times New Roman"/>
          <w:noProof/>
        </w:rPr>
        <w:instrText xml:space="preserve"> NOTEREF _Ref51094537 \h </w:instrText>
      </w:r>
      <w:r w:rsidRPr="0020148E">
        <w:rPr>
          <w:rFonts w:ascii="Times New Roman"/>
          <w:noProof/>
        </w:rPr>
      </w:r>
      <w:r w:rsidR="000742DA" w:rsidRPr="0020148E">
        <w:rPr>
          <w:rFonts w:ascii="Times New Roman"/>
          <w:noProof/>
        </w:rPr>
        <w:instrText xml:space="preserve"> \* MERGEFORMAT </w:instrText>
      </w:r>
      <w:r w:rsidRPr="0020148E">
        <w:rPr>
          <w:rFonts w:ascii="Times New Roman"/>
          <w:noProof/>
        </w:rPr>
        <w:fldChar w:fldCharType="separate"/>
      </w:r>
      <w:r w:rsidRPr="0020148E">
        <w:rPr>
          <w:rFonts w:ascii="Times New Roman"/>
          <w:noProof/>
        </w:rPr>
        <w:t>10</w:t>
      </w:r>
      <w:r w:rsidRPr="0020148E">
        <w:rPr>
          <w:rFonts w:ascii="Times New Roman"/>
          <w:noProof/>
        </w:rPr>
        <w:fldChar w:fldCharType="end"/>
      </w:r>
      <w:r w:rsidRPr="0020148E">
        <w:rPr>
          <w:rFonts w:ascii="Times New Roman"/>
          <w:noProof/>
        </w:rPr>
        <w:t xml:space="preserve">; Verschueren, op. cit. </w:t>
      </w:r>
      <w:r w:rsidRPr="0020148E">
        <w:rPr>
          <w:rFonts w:ascii="Times New Roman"/>
          <w:i/>
          <w:noProof/>
        </w:rPr>
        <w:t xml:space="preserve">supra </w:t>
      </w:r>
      <w:r w:rsidRPr="0020148E">
        <w:rPr>
          <w:rFonts w:ascii="Times New Roman"/>
          <w:noProof/>
        </w:rPr>
        <w:t xml:space="preserve">note </w:t>
      </w:r>
      <w:r w:rsidR="000862E8" w:rsidRPr="0020148E">
        <w:rPr>
          <w:rFonts w:ascii="Times New Roman"/>
          <w:noProof/>
        </w:rPr>
        <w:fldChar w:fldCharType="begin"/>
      </w:r>
      <w:r w:rsidR="000862E8" w:rsidRPr="0020148E">
        <w:rPr>
          <w:rFonts w:ascii="Times New Roman"/>
          <w:noProof/>
        </w:rPr>
        <w:instrText xml:space="preserve"> NOTEREF _Ref51094740 \h </w:instrText>
      </w:r>
      <w:r w:rsidR="000862E8" w:rsidRPr="0020148E">
        <w:rPr>
          <w:rFonts w:ascii="Times New Roman"/>
          <w:noProof/>
        </w:rPr>
      </w:r>
      <w:r w:rsidR="000742DA" w:rsidRPr="0020148E">
        <w:rPr>
          <w:rFonts w:ascii="Times New Roman"/>
          <w:noProof/>
        </w:rPr>
        <w:instrText xml:space="preserve"> \* MERGEFORMAT </w:instrText>
      </w:r>
      <w:r w:rsidR="000862E8" w:rsidRPr="0020148E">
        <w:rPr>
          <w:rFonts w:ascii="Times New Roman"/>
          <w:noProof/>
        </w:rPr>
        <w:fldChar w:fldCharType="separate"/>
      </w:r>
      <w:r w:rsidR="000862E8" w:rsidRPr="0020148E">
        <w:rPr>
          <w:rFonts w:ascii="Times New Roman"/>
          <w:noProof/>
        </w:rPr>
        <w:t>14</w:t>
      </w:r>
      <w:r w:rsidR="000862E8" w:rsidRPr="0020148E">
        <w:rPr>
          <w:rFonts w:ascii="Times New Roman"/>
          <w:noProof/>
        </w:rPr>
        <w:fldChar w:fldCharType="end"/>
      </w:r>
      <w:r w:rsidRPr="0020148E">
        <w:rPr>
          <w:rFonts w:ascii="Times New Roman"/>
          <w:noProof/>
        </w:rPr>
        <w:t>.</w:t>
      </w:r>
    </w:p>
  </w:footnote>
  <w:footnote w:id="112">
    <w:p w14:paraId="4FB640A4" w14:textId="77777777" w:rsidR="00CF21CF" w:rsidRPr="0020148E" w:rsidRDefault="00CF21CF" w:rsidP="001F58C2">
      <w:pPr>
        <w:pStyle w:val="FootnoteText"/>
        <w:rPr>
          <w:rFonts w:ascii="Times New Roman"/>
          <w:noProof/>
        </w:rPr>
      </w:pPr>
      <w:r w:rsidRPr="0020148E">
        <w:rPr>
          <w:rStyle w:val="FootnoteReference"/>
          <w:rFonts w:ascii="Times New Roman"/>
          <w:noProof/>
        </w:rPr>
        <w:footnoteRef/>
      </w:r>
      <w:r w:rsidRPr="0020148E">
        <w:rPr>
          <w:rFonts w:ascii="Times New Roman"/>
          <w:noProof/>
        </w:rPr>
        <w:t xml:space="preserve"> Art. 3(3) TEU.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6518"/>
    <w:multiLevelType w:val="hybridMultilevel"/>
    <w:tmpl w:val="2F40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97AEE"/>
    <w:multiLevelType w:val="hybridMultilevel"/>
    <w:tmpl w:val="ADE0FB30"/>
    <w:lvl w:ilvl="0" w:tplc="45FE898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230A7"/>
    <w:multiLevelType w:val="hybridMultilevel"/>
    <w:tmpl w:val="742E7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43825"/>
    <w:multiLevelType w:val="hybridMultilevel"/>
    <w:tmpl w:val="37A6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2525B"/>
    <w:multiLevelType w:val="hybridMultilevel"/>
    <w:tmpl w:val="15ACE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F4FAA"/>
    <w:multiLevelType w:val="hybridMultilevel"/>
    <w:tmpl w:val="02469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22A2F"/>
    <w:multiLevelType w:val="hybridMultilevel"/>
    <w:tmpl w:val="EFEA9F98"/>
    <w:lvl w:ilvl="0" w:tplc="2236BF1E">
      <w:start w:val="1"/>
      <w:numFmt w:val="bullet"/>
      <w:lvlText w:val=""/>
      <w:lvlJc w:val="left"/>
      <w:pPr>
        <w:tabs>
          <w:tab w:val="num" w:pos="720"/>
        </w:tabs>
        <w:ind w:left="720" w:hanging="360"/>
      </w:pPr>
      <w:rPr>
        <w:rFonts w:ascii="Wingdings 3" w:hAnsi="Wingdings 3" w:hint="default"/>
      </w:rPr>
    </w:lvl>
    <w:lvl w:ilvl="1" w:tplc="6D8C003C">
      <w:numFmt w:val="bullet"/>
      <w:lvlText w:val=""/>
      <w:lvlJc w:val="left"/>
      <w:pPr>
        <w:tabs>
          <w:tab w:val="num" w:pos="1440"/>
        </w:tabs>
        <w:ind w:left="1440" w:hanging="360"/>
      </w:pPr>
      <w:rPr>
        <w:rFonts w:ascii="Wingdings 3" w:hAnsi="Wingdings 3" w:hint="default"/>
      </w:rPr>
    </w:lvl>
    <w:lvl w:ilvl="2" w:tplc="468E2B42" w:tentative="1">
      <w:start w:val="1"/>
      <w:numFmt w:val="bullet"/>
      <w:lvlText w:val=""/>
      <w:lvlJc w:val="left"/>
      <w:pPr>
        <w:tabs>
          <w:tab w:val="num" w:pos="2160"/>
        </w:tabs>
        <w:ind w:left="2160" w:hanging="360"/>
      </w:pPr>
      <w:rPr>
        <w:rFonts w:ascii="Wingdings 3" w:hAnsi="Wingdings 3" w:hint="default"/>
      </w:rPr>
    </w:lvl>
    <w:lvl w:ilvl="3" w:tplc="F3106E34" w:tentative="1">
      <w:start w:val="1"/>
      <w:numFmt w:val="bullet"/>
      <w:lvlText w:val=""/>
      <w:lvlJc w:val="left"/>
      <w:pPr>
        <w:tabs>
          <w:tab w:val="num" w:pos="2880"/>
        </w:tabs>
        <w:ind w:left="2880" w:hanging="360"/>
      </w:pPr>
      <w:rPr>
        <w:rFonts w:ascii="Wingdings 3" w:hAnsi="Wingdings 3" w:hint="default"/>
      </w:rPr>
    </w:lvl>
    <w:lvl w:ilvl="4" w:tplc="4E9E5F9C" w:tentative="1">
      <w:start w:val="1"/>
      <w:numFmt w:val="bullet"/>
      <w:lvlText w:val=""/>
      <w:lvlJc w:val="left"/>
      <w:pPr>
        <w:tabs>
          <w:tab w:val="num" w:pos="3600"/>
        </w:tabs>
        <w:ind w:left="3600" w:hanging="360"/>
      </w:pPr>
      <w:rPr>
        <w:rFonts w:ascii="Wingdings 3" w:hAnsi="Wingdings 3" w:hint="default"/>
      </w:rPr>
    </w:lvl>
    <w:lvl w:ilvl="5" w:tplc="3F8652DE" w:tentative="1">
      <w:start w:val="1"/>
      <w:numFmt w:val="bullet"/>
      <w:lvlText w:val=""/>
      <w:lvlJc w:val="left"/>
      <w:pPr>
        <w:tabs>
          <w:tab w:val="num" w:pos="4320"/>
        </w:tabs>
        <w:ind w:left="4320" w:hanging="360"/>
      </w:pPr>
      <w:rPr>
        <w:rFonts w:ascii="Wingdings 3" w:hAnsi="Wingdings 3" w:hint="default"/>
      </w:rPr>
    </w:lvl>
    <w:lvl w:ilvl="6" w:tplc="92EE5836" w:tentative="1">
      <w:start w:val="1"/>
      <w:numFmt w:val="bullet"/>
      <w:lvlText w:val=""/>
      <w:lvlJc w:val="left"/>
      <w:pPr>
        <w:tabs>
          <w:tab w:val="num" w:pos="5040"/>
        </w:tabs>
        <w:ind w:left="5040" w:hanging="360"/>
      </w:pPr>
      <w:rPr>
        <w:rFonts w:ascii="Wingdings 3" w:hAnsi="Wingdings 3" w:hint="default"/>
      </w:rPr>
    </w:lvl>
    <w:lvl w:ilvl="7" w:tplc="9AF403A2" w:tentative="1">
      <w:start w:val="1"/>
      <w:numFmt w:val="bullet"/>
      <w:lvlText w:val=""/>
      <w:lvlJc w:val="left"/>
      <w:pPr>
        <w:tabs>
          <w:tab w:val="num" w:pos="5760"/>
        </w:tabs>
        <w:ind w:left="5760" w:hanging="360"/>
      </w:pPr>
      <w:rPr>
        <w:rFonts w:ascii="Wingdings 3" w:hAnsi="Wingdings 3" w:hint="default"/>
      </w:rPr>
    </w:lvl>
    <w:lvl w:ilvl="8" w:tplc="9942206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22B2040"/>
    <w:multiLevelType w:val="hybridMultilevel"/>
    <w:tmpl w:val="ED7A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67716"/>
    <w:multiLevelType w:val="hybridMultilevel"/>
    <w:tmpl w:val="D200E0F4"/>
    <w:lvl w:ilvl="0" w:tplc="AB6A8196">
      <w:start w:val="1"/>
      <w:numFmt w:val="bullet"/>
      <w:lvlText w:val=""/>
      <w:lvlJc w:val="left"/>
      <w:pPr>
        <w:tabs>
          <w:tab w:val="num" w:pos="720"/>
        </w:tabs>
        <w:ind w:left="720" w:hanging="360"/>
      </w:pPr>
      <w:rPr>
        <w:rFonts w:ascii="Wingdings 3" w:hAnsi="Wingdings 3" w:hint="default"/>
      </w:rPr>
    </w:lvl>
    <w:lvl w:ilvl="1" w:tplc="EB522FCE">
      <w:numFmt w:val="bullet"/>
      <w:lvlText w:val=""/>
      <w:lvlJc w:val="left"/>
      <w:pPr>
        <w:tabs>
          <w:tab w:val="num" w:pos="1440"/>
        </w:tabs>
        <w:ind w:left="1440" w:hanging="360"/>
      </w:pPr>
      <w:rPr>
        <w:rFonts w:ascii="Wingdings 3" w:hAnsi="Wingdings 3" w:hint="default"/>
      </w:rPr>
    </w:lvl>
    <w:lvl w:ilvl="2" w:tplc="59F0D70A" w:tentative="1">
      <w:start w:val="1"/>
      <w:numFmt w:val="bullet"/>
      <w:lvlText w:val=""/>
      <w:lvlJc w:val="left"/>
      <w:pPr>
        <w:tabs>
          <w:tab w:val="num" w:pos="2160"/>
        </w:tabs>
        <w:ind w:left="2160" w:hanging="360"/>
      </w:pPr>
      <w:rPr>
        <w:rFonts w:ascii="Wingdings 3" w:hAnsi="Wingdings 3" w:hint="default"/>
      </w:rPr>
    </w:lvl>
    <w:lvl w:ilvl="3" w:tplc="4A6C9FCC" w:tentative="1">
      <w:start w:val="1"/>
      <w:numFmt w:val="bullet"/>
      <w:lvlText w:val=""/>
      <w:lvlJc w:val="left"/>
      <w:pPr>
        <w:tabs>
          <w:tab w:val="num" w:pos="2880"/>
        </w:tabs>
        <w:ind w:left="2880" w:hanging="360"/>
      </w:pPr>
      <w:rPr>
        <w:rFonts w:ascii="Wingdings 3" w:hAnsi="Wingdings 3" w:hint="default"/>
      </w:rPr>
    </w:lvl>
    <w:lvl w:ilvl="4" w:tplc="FFD2A188" w:tentative="1">
      <w:start w:val="1"/>
      <w:numFmt w:val="bullet"/>
      <w:lvlText w:val=""/>
      <w:lvlJc w:val="left"/>
      <w:pPr>
        <w:tabs>
          <w:tab w:val="num" w:pos="3600"/>
        </w:tabs>
        <w:ind w:left="3600" w:hanging="360"/>
      </w:pPr>
      <w:rPr>
        <w:rFonts w:ascii="Wingdings 3" w:hAnsi="Wingdings 3" w:hint="default"/>
      </w:rPr>
    </w:lvl>
    <w:lvl w:ilvl="5" w:tplc="4C6E688A" w:tentative="1">
      <w:start w:val="1"/>
      <w:numFmt w:val="bullet"/>
      <w:lvlText w:val=""/>
      <w:lvlJc w:val="left"/>
      <w:pPr>
        <w:tabs>
          <w:tab w:val="num" w:pos="4320"/>
        </w:tabs>
        <w:ind w:left="4320" w:hanging="360"/>
      </w:pPr>
      <w:rPr>
        <w:rFonts w:ascii="Wingdings 3" w:hAnsi="Wingdings 3" w:hint="default"/>
      </w:rPr>
    </w:lvl>
    <w:lvl w:ilvl="6" w:tplc="0010D1EA" w:tentative="1">
      <w:start w:val="1"/>
      <w:numFmt w:val="bullet"/>
      <w:lvlText w:val=""/>
      <w:lvlJc w:val="left"/>
      <w:pPr>
        <w:tabs>
          <w:tab w:val="num" w:pos="5040"/>
        </w:tabs>
        <w:ind w:left="5040" w:hanging="360"/>
      </w:pPr>
      <w:rPr>
        <w:rFonts w:ascii="Wingdings 3" w:hAnsi="Wingdings 3" w:hint="default"/>
      </w:rPr>
    </w:lvl>
    <w:lvl w:ilvl="7" w:tplc="7E64442A" w:tentative="1">
      <w:start w:val="1"/>
      <w:numFmt w:val="bullet"/>
      <w:lvlText w:val=""/>
      <w:lvlJc w:val="left"/>
      <w:pPr>
        <w:tabs>
          <w:tab w:val="num" w:pos="5760"/>
        </w:tabs>
        <w:ind w:left="5760" w:hanging="360"/>
      </w:pPr>
      <w:rPr>
        <w:rFonts w:ascii="Wingdings 3" w:hAnsi="Wingdings 3" w:hint="default"/>
      </w:rPr>
    </w:lvl>
    <w:lvl w:ilvl="8" w:tplc="57CCBC8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4FF2131"/>
    <w:multiLevelType w:val="multilevel"/>
    <w:tmpl w:val="60A882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936823"/>
    <w:multiLevelType w:val="hybridMultilevel"/>
    <w:tmpl w:val="51B87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21E7E"/>
    <w:multiLevelType w:val="hybridMultilevel"/>
    <w:tmpl w:val="81761A68"/>
    <w:lvl w:ilvl="0" w:tplc="4DBA5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9763F9"/>
    <w:multiLevelType w:val="hybridMultilevel"/>
    <w:tmpl w:val="943C4B2C"/>
    <w:lvl w:ilvl="0" w:tplc="45FE89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0080A"/>
    <w:multiLevelType w:val="hybridMultilevel"/>
    <w:tmpl w:val="81761A68"/>
    <w:lvl w:ilvl="0" w:tplc="4DBA5A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4B76F3"/>
    <w:multiLevelType w:val="hybridMultilevel"/>
    <w:tmpl w:val="2A4E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D4730B"/>
    <w:multiLevelType w:val="hybridMultilevel"/>
    <w:tmpl w:val="9C3E7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31D63"/>
    <w:multiLevelType w:val="hybridMultilevel"/>
    <w:tmpl w:val="15FE2EC8"/>
    <w:lvl w:ilvl="0" w:tplc="901642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F776B8"/>
    <w:multiLevelType w:val="hybridMultilevel"/>
    <w:tmpl w:val="806AC44C"/>
    <w:lvl w:ilvl="0" w:tplc="45FE89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F429F"/>
    <w:multiLevelType w:val="hybridMultilevel"/>
    <w:tmpl w:val="0EA07CE4"/>
    <w:lvl w:ilvl="0" w:tplc="901642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17601C"/>
    <w:multiLevelType w:val="hybridMultilevel"/>
    <w:tmpl w:val="9ADEBCB6"/>
    <w:lvl w:ilvl="0" w:tplc="901642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C236E"/>
    <w:multiLevelType w:val="multilevel"/>
    <w:tmpl w:val="60A882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63417EE"/>
    <w:multiLevelType w:val="hybridMultilevel"/>
    <w:tmpl w:val="67C0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E4C6C"/>
    <w:multiLevelType w:val="hybridMultilevel"/>
    <w:tmpl w:val="42EC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653D7"/>
    <w:multiLevelType w:val="hybridMultilevel"/>
    <w:tmpl w:val="139CC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81773"/>
    <w:multiLevelType w:val="multilevel"/>
    <w:tmpl w:val="60A882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A53CFD"/>
    <w:multiLevelType w:val="hybridMultilevel"/>
    <w:tmpl w:val="42AE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03985"/>
    <w:multiLevelType w:val="multilevel"/>
    <w:tmpl w:val="60A882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892AF2"/>
    <w:multiLevelType w:val="hybridMultilevel"/>
    <w:tmpl w:val="4058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F5D65"/>
    <w:multiLevelType w:val="hybridMultilevel"/>
    <w:tmpl w:val="DBBE9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27890"/>
    <w:multiLevelType w:val="hybridMultilevel"/>
    <w:tmpl w:val="155A5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D20C3"/>
    <w:multiLevelType w:val="hybridMultilevel"/>
    <w:tmpl w:val="1B52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BA0925"/>
    <w:multiLevelType w:val="hybridMultilevel"/>
    <w:tmpl w:val="03DC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9366A5"/>
    <w:multiLevelType w:val="hybridMultilevel"/>
    <w:tmpl w:val="CB0654EA"/>
    <w:lvl w:ilvl="0" w:tplc="2FAE75E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0A6026"/>
    <w:multiLevelType w:val="hybridMultilevel"/>
    <w:tmpl w:val="C472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B16EC7"/>
    <w:multiLevelType w:val="hybridMultilevel"/>
    <w:tmpl w:val="1B8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2B0AA3"/>
    <w:multiLevelType w:val="hybridMultilevel"/>
    <w:tmpl w:val="6F8A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A0647"/>
    <w:multiLevelType w:val="hybridMultilevel"/>
    <w:tmpl w:val="054E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CD0E44"/>
    <w:multiLevelType w:val="hybridMultilevel"/>
    <w:tmpl w:val="F410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16FB1"/>
    <w:multiLevelType w:val="hybridMultilevel"/>
    <w:tmpl w:val="5F162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26632F"/>
    <w:multiLevelType w:val="hybridMultilevel"/>
    <w:tmpl w:val="B59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D301C5"/>
    <w:multiLevelType w:val="hybridMultilevel"/>
    <w:tmpl w:val="2F62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A72B6A"/>
    <w:multiLevelType w:val="hybridMultilevel"/>
    <w:tmpl w:val="9D4E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0422E5"/>
    <w:multiLevelType w:val="hybridMultilevel"/>
    <w:tmpl w:val="144A9E6E"/>
    <w:lvl w:ilvl="0" w:tplc="AC0007E4">
      <w:start w:val="23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F0BFA"/>
    <w:multiLevelType w:val="hybridMultilevel"/>
    <w:tmpl w:val="6E3C4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7"/>
  </w:num>
  <w:num w:numId="4">
    <w:abstractNumId w:val="18"/>
  </w:num>
  <w:num w:numId="5">
    <w:abstractNumId w:val="19"/>
  </w:num>
  <w:num w:numId="6">
    <w:abstractNumId w:val="42"/>
  </w:num>
  <w:num w:numId="7">
    <w:abstractNumId w:val="25"/>
  </w:num>
  <w:num w:numId="8">
    <w:abstractNumId w:val="16"/>
  </w:num>
  <w:num w:numId="9">
    <w:abstractNumId w:val="29"/>
  </w:num>
  <w:num w:numId="10">
    <w:abstractNumId w:val="21"/>
  </w:num>
  <w:num w:numId="11">
    <w:abstractNumId w:val="12"/>
  </w:num>
  <w:num w:numId="12">
    <w:abstractNumId w:val="17"/>
  </w:num>
  <w:num w:numId="13">
    <w:abstractNumId w:val="1"/>
  </w:num>
  <w:num w:numId="14">
    <w:abstractNumId w:val="43"/>
  </w:num>
  <w:num w:numId="15">
    <w:abstractNumId w:val="27"/>
  </w:num>
  <w:num w:numId="16">
    <w:abstractNumId w:val="28"/>
  </w:num>
  <w:num w:numId="17">
    <w:abstractNumId w:val="20"/>
  </w:num>
  <w:num w:numId="18">
    <w:abstractNumId w:val="24"/>
  </w:num>
  <w:num w:numId="19">
    <w:abstractNumId w:val="26"/>
  </w:num>
  <w:num w:numId="20">
    <w:abstractNumId w:val="23"/>
  </w:num>
  <w:num w:numId="21">
    <w:abstractNumId w:val="39"/>
  </w:num>
  <w:num w:numId="22">
    <w:abstractNumId w:val="4"/>
  </w:num>
  <w:num w:numId="23">
    <w:abstractNumId w:val="2"/>
  </w:num>
  <w:num w:numId="24">
    <w:abstractNumId w:val="38"/>
  </w:num>
  <w:num w:numId="25">
    <w:abstractNumId w:val="32"/>
  </w:num>
  <w:num w:numId="26">
    <w:abstractNumId w:val="11"/>
  </w:num>
  <w:num w:numId="27">
    <w:abstractNumId w:val="13"/>
  </w:num>
  <w:num w:numId="28">
    <w:abstractNumId w:val="5"/>
  </w:num>
  <w:num w:numId="29">
    <w:abstractNumId w:val="31"/>
  </w:num>
  <w:num w:numId="30">
    <w:abstractNumId w:val="10"/>
  </w:num>
  <w:num w:numId="31">
    <w:abstractNumId w:val="9"/>
  </w:num>
  <w:num w:numId="32">
    <w:abstractNumId w:val="34"/>
  </w:num>
  <w:num w:numId="33">
    <w:abstractNumId w:val="35"/>
  </w:num>
  <w:num w:numId="34">
    <w:abstractNumId w:val="15"/>
  </w:num>
  <w:num w:numId="35">
    <w:abstractNumId w:val="8"/>
  </w:num>
  <w:num w:numId="36">
    <w:abstractNumId w:val="6"/>
  </w:num>
  <w:num w:numId="37">
    <w:abstractNumId w:val="3"/>
  </w:num>
  <w:num w:numId="38">
    <w:abstractNumId w:val="36"/>
  </w:num>
  <w:num w:numId="39">
    <w:abstractNumId w:val="40"/>
  </w:num>
  <w:num w:numId="40">
    <w:abstractNumId w:val="41"/>
  </w:num>
  <w:num w:numId="41">
    <w:abstractNumId w:val="7"/>
  </w:num>
  <w:num w:numId="42">
    <w:abstractNumId w:val="0"/>
  </w:num>
  <w:num w:numId="43">
    <w:abstractNumId w:val="3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s>
  <w:rsids>
    <w:rsidRoot w:val="00C43B1E"/>
    <w:rsid w:val="000010C5"/>
    <w:rsid w:val="000055A7"/>
    <w:rsid w:val="00010F17"/>
    <w:rsid w:val="000222AF"/>
    <w:rsid w:val="0004573A"/>
    <w:rsid w:val="00047B49"/>
    <w:rsid w:val="000510E7"/>
    <w:rsid w:val="000512F3"/>
    <w:rsid w:val="00071B23"/>
    <w:rsid w:val="00073013"/>
    <w:rsid w:val="000742DA"/>
    <w:rsid w:val="000773AF"/>
    <w:rsid w:val="00083081"/>
    <w:rsid w:val="000862E8"/>
    <w:rsid w:val="000B3A2D"/>
    <w:rsid w:val="000B561E"/>
    <w:rsid w:val="000C7E30"/>
    <w:rsid w:val="001138FC"/>
    <w:rsid w:val="00140569"/>
    <w:rsid w:val="00167D5D"/>
    <w:rsid w:val="00172607"/>
    <w:rsid w:val="00182DF7"/>
    <w:rsid w:val="0019405D"/>
    <w:rsid w:val="00197BF8"/>
    <w:rsid w:val="001B361E"/>
    <w:rsid w:val="001B5B79"/>
    <w:rsid w:val="001E7D1F"/>
    <w:rsid w:val="001F58C2"/>
    <w:rsid w:val="0020148E"/>
    <w:rsid w:val="002156C1"/>
    <w:rsid w:val="002253DB"/>
    <w:rsid w:val="00236A4A"/>
    <w:rsid w:val="00256D0B"/>
    <w:rsid w:val="00270E40"/>
    <w:rsid w:val="00294054"/>
    <w:rsid w:val="002A0816"/>
    <w:rsid w:val="002A69C3"/>
    <w:rsid w:val="002E1FEB"/>
    <w:rsid w:val="00310D71"/>
    <w:rsid w:val="00335F3A"/>
    <w:rsid w:val="00344FDB"/>
    <w:rsid w:val="003652C3"/>
    <w:rsid w:val="00380ABF"/>
    <w:rsid w:val="00386464"/>
    <w:rsid w:val="003C343C"/>
    <w:rsid w:val="003C6C74"/>
    <w:rsid w:val="003D2220"/>
    <w:rsid w:val="003D5C2D"/>
    <w:rsid w:val="00437488"/>
    <w:rsid w:val="00456B5A"/>
    <w:rsid w:val="004A16D2"/>
    <w:rsid w:val="004A207A"/>
    <w:rsid w:val="004C3095"/>
    <w:rsid w:val="00502484"/>
    <w:rsid w:val="00515E48"/>
    <w:rsid w:val="00545A43"/>
    <w:rsid w:val="00551C20"/>
    <w:rsid w:val="00556975"/>
    <w:rsid w:val="00567F50"/>
    <w:rsid w:val="00577266"/>
    <w:rsid w:val="0059107F"/>
    <w:rsid w:val="005A0744"/>
    <w:rsid w:val="005A77A9"/>
    <w:rsid w:val="005D395B"/>
    <w:rsid w:val="005E3358"/>
    <w:rsid w:val="006040AE"/>
    <w:rsid w:val="00625083"/>
    <w:rsid w:val="006341C0"/>
    <w:rsid w:val="00636660"/>
    <w:rsid w:val="006413BA"/>
    <w:rsid w:val="00656C84"/>
    <w:rsid w:val="00684EF9"/>
    <w:rsid w:val="00691B90"/>
    <w:rsid w:val="00691BE6"/>
    <w:rsid w:val="00692D00"/>
    <w:rsid w:val="006B33D1"/>
    <w:rsid w:val="006C4D2A"/>
    <w:rsid w:val="006D28DD"/>
    <w:rsid w:val="006E79BC"/>
    <w:rsid w:val="006F692A"/>
    <w:rsid w:val="006F6E07"/>
    <w:rsid w:val="007126AC"/>
    <w:rsid w:val="007312CC"/>
    <w:rsid w:val="0074418D"/>
    <w:rsid w:val="00744F7D"/>
    <w:rsid w:val="0075337C"/>
    <w:rsid w:val="007839A3"/>
    <w:rsid w:val="00784035"/>
    <w:rsid w:val="007B252C"/>
    <w:rsid w:val="007B3FFC"/>
    <w:rsid w:val="007D44CC"/>
    <w:rsid w:val="00833609"/>
    <w:rsid w:val="00842808"/>
    <w:rsid w:val="008530D0"/>
    <w:rsid w:val="008536B0"/>
    <w:rsid w:val="00854033"/>
    <w:rsid w:val="00857BB5"/>
    <w:rsid w:val="00857DF7"/>
    <w:rsid w:val="00864663"/>
    <w:rsid w:val="008A6702"/>
    <w:rsid w:val="008D2E42"/>
    <w:rsid w:val="008E69AD"/>
    <w:rsid w:val="008F29B2"/>
    <w:rsid w:val="00927B78"/>
    <w:rsid w:val="009314A0"/>
    <w:rsid w:val="00931870"/>
    <w:rsid w:val="00932833"/>
    <w:rsid w:val="00942C7D"/>
    <w:rsid w:val="00953FA4"/>
    <w:rsid w:val="009741EE"/>
    <w:rsid w:val="009A2C0A"/>
    <w:rsid w:val="009E6E4E"/>
    <w:rsid w:val="00A05F46"/>
    <w:rsid w:val="00A279B8"/>
    <w:rsid w:val="00A36755"/>
    <w:rsid w:val="00A51745"/>
    <w:rsid w:val="00A66336"/>
    <w:rsid w:val="00A7349B"/>
    <w:rsid w:val="00AA2F3D"/>
    <w:rsid w:val="00AA4437"/>
    <w:rsid w:val="00AB2CF5"/>
    <w:rsid w:val="00AB3F26"/>
    <w:rsid w:val="00AB61D1"/>
    <w:rsid w:val="00AF4CBD"/>
    <w:rsid w:val="00B04522"/>
    <w:rsid w:val="00B134AB"/>
    <w:rsid w:val="00B22D70"/>
    <w:rsid w:val="00B27576"/>
    <w:rsid w:val="00B37DE2"/>
    <w:rsid w:val="00B41FD9"/>
    <w:rsid w:val="00B42117"/>
    <w:rsid w:val="00B44A4B"/>
    <w:rsid w:val="00B45D83"/>
    <w:rsid w:val="00B473FA"/>
    <w:rsid w:val="00B75638"/>
    <w:rsid w:val="00B969C8"/>
    <w:rsid w:val="00BA4EAB"/>
    <w:rsid w:val="00BB18BE"/>
    <w:rsid w:val="00BC16F7"/>
    <w:rsid w:val="00BD2E9A"/>
    <w:rsid w:val="00BF0C2F"/>
    <w:rsid w:val="00BF15B0"/>
    <w:rsid w:val="00C21497"/>
    <w:rsid w:val="00C30EC3"/>
    <w:rsid w:val="00C36314"/>
    <w:rsid w:val="00C43B1E"/>
    <w:rsid w:val="00C43ECF"/>
    <w:rsid w:val="00C50BCF"/>
    <w:rsid w:val="00C5475F"/>
    <w:rsid w:val="00C647C1"/>
    <w:rsid w:val="00C767C6"/>
    <w:rsid w:val="00C8062C"/>
    <w:rsid w:val="00C861CA"/>
    <w:rsid w:val="00C91B7B"/>
    <w:rsid w:val="00C95D57"/>
    <w:rsid w:val="00CA6882"/>
    <w:rsid w:val="00CE440D"/>
    <w:rsid w:val="00CE66C4"/>
    <w:rsid w:val="00CF09EE"/>
    <w:rsid w:val="00CF1C9E"/>
    <w:rsid w:val="00CF21CF"/>
    <w:rsid w:val="00CF4139"/>
    <w:rsid w:val="00D0369B"/>
    <w:rsid w:val="00D05DED"/>
    <w:rsid w:val="00D11045"/>
    <w:rsid w:val="00D45A97"/>
    <w:rsid w:val="00D46733"/>
    <w:rsid w:val="00D633BA"/>
    <w:rsid w:val="00D65797"/>
    <w:rsid w:val="00D742D0"/>
    <w:rsid w:val="00D75DCE"/>
    <w:rsid w:val="00D91BF9"/>
    <w:rsid w:val="00D95D29"/>
    <w:rsid w:val="00DA36F5"/>
    <w:rsid w:val="00DA41FB"/>
    <w:rsid w:val="00DA7196"/>
    <w:rsid w:val="00DB1D32"/>
    <w:rsid w:val="00DB30D7"/>
    <w:rsid w:val="00DE3E25"/>
    <w:rsid w:val="00DF7C39"/>
    <w:rsid w:val="00E00096"/>
    <w:rsid w:val="00E03DC7"/>
    <w:rsid w:val="00E042F2"/>
    <w:rsid w:val="00E12044"/>
    <w:rsid w:val="00E13363"/>
    <w:rsid w:val="00E141D7"/>
    <w:rsid w:val="00E20E73"/>
    <w:rsid w:val="00E25C52"/>
    <w:rsid w:val="00E27A84"/>
    <w:rsid w:val="00E419F1"/>
    <w:rsid w:val="00E502BF"/>
    <w:rsid w:val="00E62F66"/>
    <w:rsid w:val="00E74FE4"/>
    <w:rsid w:val="00E75BEB"/>
    <w:rsid w:val="00E76DEC"/>
    <w:rsid w:val="00E87BC9"/>
    <w:rsid w:val="00EB5B81"/>
    <w:rsid w:val="00EB6009"/>
    <w:rsid w:val="00EE16D7"/>
    <w:rsid w:val="00EE2F90"/>
    <w:rsid w:val="00EF4C14"/>
    <w:rsid w:val="00EF7866"/>
    <w:rsid w:val="00F04211"/>
    <w:rsid w:val="00F30868"/>
    <w:rsid w:val="00F45315"/>
    <w:rsid w:val="00F45BA4"/>
    <w:rsid w:val="00F53712"/>
    <w:rsid w:val="00F76606"/>
    <w:rsid w:val="00F84797"/>
    <w:rsid w:val="00FA0C7B"/>
    <w:rsid w:val="00FB270C"/>
  </w:rsids>
  <m:mathPr>
    <m:mathFont m:val="Cambria Math"/>
    <m:brkBin m:val="before"/>
    <m:brkBinSub m:val="--"/>
    <m:smallFrac m:val="0"/>
    <m:dispDef/>
    <m:lMargin m:val="0"/>
    <m:rMargin m:val="0"/>
    <m:defJc m:val="centerGroup"/>
    <m:wrapIndent m:val="1440"/>
    <m:intLim m:val="subSup"/>
    <m:naryLim m:val="undOvr"/>
  </m:mathPr>
  <w:themeFontLang w:val="fr-F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2AE95"/>
  <w15:chartTrackingRefBased/>
  <w15:docId w15:val="{33B19B6E-1E68-4664-9C05-A66EBE1D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1E"/>
  </w:style>
  <w:style w:type="paragraph" w:styleId="Heading1">
    <w:name w:val="heading 1"/>
    <w:basedOn w:val="Normal"/>
    <w:next w:val="Normal"/>
    <w:link w:val="Heading1Char"/>
    <w:uiPriority w:val="9"/>
    <w:qFormat/>
    <w:rsid w:val="00C43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3B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3B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3B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43B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B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43B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43B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43B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43B1E"/>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C43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1E"/>
    <w:rPr>
      <w:rFonts w:ascii="Segoe UI" w:hAnsi="Segoe UI" w:cs="Segoe UI"/>
      <w:sz w:val="18"/>
      <w:szCs w:val="18"/>
    </w:rPr>
  </w:style>
  <w:style w:type="paragraph" w:styleId="FootnoteText">
    <w:name w:val="footnote text"/>
    <w:basedOn w:val="Normal"/>
    <w:link w:val="FootnoteTextChar"/>
    <w:uiPriority w:val="99"/>
    <w:unhideWhenUsed/>
    <w:rsid w:val="00C43B1E"/>
    <w:pPr>
      <w:spacing w:after="0" w:line="240" w:lineRule="auto"/>
    </w:pPr>
    <w:rPr>
      <w:sz w:val="20"/>
      <w:szCs w:val="20"/>
    </w:rPr>
  </w:style>
  <w:style w:type="character" w:customStyle="1" w:styleId="FootnoteTextChar">
    <w:name w:val="Footnote Text Char"/>
    <w:basedOn w:val="DefaultParagraphFont"/>
    <w:link w:val="FootnoteText"/>
    <w:uiPriority w:val="99"/>
    <w:rsid w:val="00C43B1E"/>
    <w:rPr>
      <w:sz w:val="20"/>
      <w:szCs w:val="20"/>
    </w:rPr>
  </w:style>
  <w:style w:type="character" w:styleId="FootnoteReference">
    <w:name w:val="footnote reference"/>
    <w:aliases w:val="Footnote Reference in text,Footnotemark,FR,Footnotemark1,Footnotemark2,FR1,Footnotemark3,FR2,Footnotemark4,FR3,Footnotemark5,FR4,Footnotemark6,Footnotemark7,Footnotemark8,FR5,Footnotemark11,Footnotemark21,FR11,Footnotemark31,FR21,FR31"/>
    <w:basedOn w:val="DefaultParagraphFont"/>
    <w:unhideWhenUsed/>
    <w:rsid w:val="00C43B1E"/>
    <w:rPr>
      <w:vertAlign w:val="superscript"/>
    </w:rPr>
  </w:style>
  <w:style w:type="paragraph" w:styleId="ListParagraph">
    <w:name w:val="List Paragraph"/>
    <w:basedOn w:val="Normal"/>
    <w:uiPriority w:val="34"/>
    <w:qFormat/>
    <w:rsid w:val="00C43B1E"/>
    <w:pPr>
      <w:ind w:left="720"/>
      <w:contextualSpacing/>
    </w:pPr>
  </w:style>
  <w:style w:type="character" w:styleId="CommentReference">
    <w:name w:val="annotation reference"/>
    <w:basedOn w:val="DefaultParagraphFont"/>
    <w:uiPriority w:val="99"/>
    <w:semiHidden/>
    <w:unhideWhenUsed/>
    <w:rsid w:val="00C43B1E"/>
    <w:rPr>
      <w:sz w:val="16"/>
      <w:szCs w:val="16"/>
    </w:rPr>
  </w:style>
  <w:style w:type="paragraph" w:styleId="CommentText">
    <w:name w:val="annotation text"/>
    <w:basedOn w:val="Normal"/>
    <w:link w:val="CommentTextChar"/>
    <w:uiPriority w:val="99"/>
    <w:unhideWhenUsed/>
    <w:rsid w:val="00C43B1E"/>
    <w:pPr>
      <w:spacing w:line="240" w:lineRule="auto"/>
    </w:pPr>
    <w:rPr>
      <w:sz w:val="20"/>
      <w:szCs w:val="20"/>
    </w:rPr>
  </w:style>
  <w:style w:type="character" w:customStyle="1" w:styleId="CommentTextChar">
    <w:name w:val="Comment Text Char"/>
    <w:basedOn w:val="DefaultParagraphFont"/>
    <w:link w:val="CommentText"/>
    <w:uiPriority w:val="99"/>
    <w:rsid w:val="00C43B1E"/>
    <w:rPr>
      <w:sz w:val="20"/>
      <w:szCs w:val="20"/>
    </w:rPr>
  </w:style>
  <w:style w:type="paragraph" w:styleId="CommentSubject">
    <w:name w:val="annotation subject"/>
    <w:basedOn w:val="CommentText"/>
    <w:next w:val="CommentText"/>
    <w:link w:val="CommentSubjectChar"/>
    <w:uiPriority w:val="99"/>
    <w:semiHidden/>
    <w:unhideWhenUsed/>
    <w:rsid w:val="00C43B1E"/>
    <w:rPr>
      <w:b/>
      <w:bCs/>
    </w:rPr>
  </w:style>
  <w:style w:type="character" w:customStyle="1" w:styleId="CommentSubjectChar">
    <w:name w:val="Comment Subject Char"/>
    <w:basedOn w:val="CommentTextChar"/>
    <w:link w:val="CommentSubject"/>
    <w:uiPriority w:val="99"/>
    <w:semiHidden/>
    <w:rsid w:val="00C43B1E"/>
    <w:rPr>
      <w:b/>
      <w:bCs/>
      <w:sz w:val="20"/>
      <w:szCs w:val="20"/>
    </w:rPr>
  </w:style>
  <w:style w:type="character" w:styleId="Hyperlink">
    <w:name w:val="Hyperlink"/>
    <w:basedOn w:val="DefaultParagraphFont"/>
    <w:uiPriority w:val="99"/>
    <w:unhideWhenUsed/>
    <w:rsid w:val="00C43B1E"/>
    <w:rPr>
      <w:color w:val="0563C1" w:themeColor="hyperlink"/>
      <w:u w:val="single"/>
    </w:rPr>
  </w:style>
  <w:style w:type="character" w:styleId="UnresolvedMention">
    <w:name w:val="Unresolved Mention"/>
    <w:basedOn w:val="DefaultParagraphFont"/>
    <w:uiPriority w:val="99"/>
    <w:semiHidden/>
    <w:unhideWhenUsed/>
    <w:rsid w:val="00C43B1E"/>
    <w:rPr>
      <w:color w:val="605E5C"/>
      <w:shd w:val="clear" w:color="auto" w:fill="E1DFDD"/>
    </w:rPr>
  </w:style>
  <w:style w:type="paragraph" w:styleId="Revision">
    <w:name w:val="Revision"/>
    <w:hidden/>
    <w:uiPriority w:val="99"/>
    <w:semiHidden/>
    <w:rsid w:val="00C43B1E"/>
    <w:pPr>
      <w:spacing w:after="0" w:line="240" w:lineRule="auto"/>
    </w:pPr>
  </w:style>
  <w:style w:type="paragraph" w:styleId="Title">
    <w:name w:val="Title"/>
    <w:basedOn w:val="Normal"/>
    <w:next w:val="Normal"/>
    <w:link w:val="TitleChar"/>
    <w:uiPriority w:val="10"/>
    <w:qFormat/>
    <w:rsid w:val="00C43B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B1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43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B1E"/>
  </w:style>
  <w:style w:type="paragraph" w:styleId="Footer">
    <w:name w:val="footer"/>
    <w:basedOn w:val="Normal"/>
    <w:link w:val="FooterChar"/>
    <w:uiPriority w:val="99"/>
    <w:unhideWhenUsed/>
    <w:rsid w:val="00C43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B1E"/>
  </w:style>
  <w:style w:type="paragraph" w:styleId="NormalWeb">
    <w:name w:val="Normal (Web)"/>
    <w:basedOn w:val="Normal"/>
    <w:uiPriority w:val="99"/>
    <w:semiHidden/>
    <w:unhideWhenUsed/>
    <w:rsid w:val="00C43B1E"/>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FEFF5-0A5B-4085-9D1B-359E6E5F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7434</Words>
  <Characters>42377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Rennuy</dc:creator>
  <cp:keywords/>
  <dc:description/>
  <cp:lastModifiedBy>Nicolas Rennuy</cp:lastModifiedBy>
  <cp:revision>138</cp:revision>
  <dcterms:created xsi:type="dcterms:W3CDTF">2020-09-15T11:24:00Z</dcterms:created>
  <dcterms:modified xsi:type="dcterms:W3CDTF">2020-09-15T20:26:00Z</dcterms:modified>
</cp:coreProperties>
</file>