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95033" w14:textId="77777777" w:rsidR="005244A9" w:rsidRPr="00F459C9" w:rsidRDefault="005244A9" w:rsidP="005244A9">
      <w:pPr>
        <w:spacing w:before="120" w:after="0" w:line="480" w:lineRule="auto"/>
        <w:rPr>
          <w:rFonts w:asciiTheme="majorHAnsi" w:eastAsia="Times New Roman" w:hAnsiTheme="majorHAnsi" w:cstheme="majorHAnsi"/>
          <w:bCs/>
        </w:rPr>
      </w:pPr>
      <w:r w:rsidRPr="00B96836">
        <w:rPr>
          <w:rFonts w:asciiTheme="majorHAnsi" w:eastAsia="Times New Roman" w:hAnsiTheme="majorHAnsi" w:cstheme="majorHAnsi"/>
          <w:b/>
        </w:rPr>
        <w:t>Title:</w:t>
      </w:r>
      <w:r w:rsidRPr="00F459C9">
        <w:rPr>
          <w:rFonts w:asciiTheme="majorHAnsi" w:eastAsia="Times New Roman" w:hAnsiTheme="majorHAnsi" w:cstheme="majorHAnsi"/>
          <w:bCs/>
        </w:rPr>
        <w:t xml:space="preserve"> Home or care? A comparison of educational outcomes for maltreated children</w:t>
      </w:r>
    </w:p>
    <w:p w14:paraId="37868873" w14:textId="77777777" w:rsidR="005244A9" w:rsidRPr="00396A25" w:rsidRDefault="005244A9" w:rsidP="005244A9">
      <w:pPr>
        <w:spacing w:before="120" w:after="0" w:line="480" w:lineRule="auto"/>
        <w:rPr>
          <w:rFonts w:asciiTheme="majorHAnsi" w:eastAsia="Times New Roman" w:hAnsiTheme="majorHAnsi" w:cstheme="majorHAnsi"/>
        </w:rPr>
      </w:pPr>
    </w:p>
    <w:p w14:paraId="3F2D680A" w14:textId="77777777" w:rsidR="005244A9" w:rsidRPr="00B15B10" w:rsidRDefault="005244A9" w:rsidP="005244A9">
      <w:pPr>
        <w:spacing w:after="0" w:line="480" w:lineRule="auto"/>
        <w:rPr>
          <w:rFonts w:asciiTheme="majorHAnsi" w:eastAsia="Times New Roman" w:hAnsiTheme="majorHAnsi" w:cstheme="majorHAnsi"/>
        </w:rPr>
      </w:pPr>
      <w:r w:rsidRPr="00B15B10">
        <w:rPr>
          <w:rFonts w:asciiTheme="majorHAnsi" w:eastAsia="Times New Roman" w:hAnsiTheme="majorHAnsi" w:cstheme="majorHAnsi"/>
        </w:rPr>
        <w:t>Linda Cusworth</w:t>
      </w:r>
      <w:r>
        <w:rPr>
          <w:rFonts w:asciiTheme="majorHAnsi" w:eastAsia="Times New Roman" w:hAnsiTheme="majorHAnsi" w:cstheme="majorHAnsi"/>
          <w:vertAlign w:val="superscript"/>
        </w:rPr>
        <w:t>1*</w:t>
      </w:r>
      <w:r w:rsidRPr="00B15B10">
        <w:rPr>
          <w:rFonts w:asciiTheme="majorHAnsi" w:eastAsia="Times New Roman" w:hAnsiTheme="majorHAnsi" w:cstheme="majorHAnsi"/>
        </w:rPr>
        <w:t>, Louise Tracey</w:t>
      </w:r>
      <w:r>
        <w:rPr>
          <w:rFonts w:asciiTheme="majorHAnsi" w:eastAsia="Times New Roman" w:hAnsiTheme="majorHAnsi" w:cstheme="majorHAnsi"/>
          <w:vertAlign w:val="superscript"/>
        </w:rPr>
        <w:t>2</w:t>
      </w:r>
      <w:r w:rsidRPr="00B15B10">
        <w:rPr>
          <w:rFonts w:asciiTheme="majorHAnsi" w:eastAsia="Times New Roman" w:hAnsiTheme="majorHAnsi" w:cstheme="majorHAnsi"/>
        </w:rPr>
        <w:t>, Helen Baldwin</w:t>
      </w:r>
      <w:r>
        <w:rPr>
          <w:rFonts w:asciiTheme="majorHAnsi" w:eastAsia="Times New Roman" w:hAnsiTheme="majorHAnsi" w:cstheme="majorHAnsi"/>
          <w:vertAlign w:val="superscript"/>
        </w:rPr>
        <w:t>3</w:t>
      </w:r>
      <w:r>
        <w:rPr>
          <w:rFonts w:asciiTheme="majorHAnsi" w:eastAsia="Times New Roman" w:hAnsiTheme="majorHAnsi" w:cstheme="majorHAnsi"/>
        </w:rPr>
        <w:t xml:space="preserve"> and </w:t>
      </w:r>
      <w:r w:rsidRPr="00B15B10">
        <w:rPr>
          <w:rFonts w:asciiTheme="majorHAnsi" w:eastAsia="Times New Roman" w:hAnsiTheme="majorHAnsi" w:cstheme="majorHAnsi"/>
        </w:rPr>
        <w:t>Nina Biehal</w:t>
      </w:r>
      <w:r>
        <w:rPr>
          <w:rFonts w:asciiTheme="majorHAnsi" w:eastAsia="Times New Roman" w:hAnsiTheme="majorHAnsi" w:cstheme="majorHAnsi"/>
          <w:vertAlign w:val="superscript"/>
        </w:rPr>
        <w:t>3</w:t>
      </w:r>
    </w:p>
    <w:p w14:paraId="4BFD0D51" w14:textId="77777777" w:rsidR="005244A9" w:rsidRPr="00B15B10" w:rsidRDefault="005244A9" w:rsidP="005244A9">
      <w:pPr>
        <w:spacing w:after="0" w:line="480" w:lineRule="auto"/>
        <w:rPr>
          <w:rFonts w:asciiTheme="majorHAnsi" w:eastAsia="Times New Roman" w:hAnsiTheme="majorHAnsi" w:cstheme="majorHAnsi"/>
        </w:rPr>
      </w:pPr>
    </w:p>
    <w:p w14:paraId="45F4B36B" w14:textId="77777777" w:rsidR="005244A9" w:rsidRDefault="005244A9" w:rsidP="005244A9">
      <w:pPr>
        <w:spacing w:after="0" w:line="480" w:lineRule="auto"/>
        <w:rPr>
          <w:rFonts w:asciiTheme="majorHAnsi" w:eastAsia="Times New Roman" w:hAnsiTheme="majorHAnsi" w:cstheme="majorHAnsi"/>
        </w:rPr>
      </w:pPr>
      <w:r>
        <w:rPr>
          <w:rFonts w:asciiTheme="majorHAnsi" w:eastAsia="Times New Roman" w:hAnsiTheme="majorHAnsi" w:cstheme="majorHAnsi"/>
          <w:vertAlign w:val="superscript"/>
        </w:rPr>
        <w:t>1</w:t>
      </w:r>
      <w:r w:rsidRPr="00B15B10">
        <w:rPr>
          <w:rFonts w:asciiTheme="majorHAnsi" w:eastAsia="Times New Roman" w:hAnsiTheme="majorHAnsi" w:cstheme="majorHAnsi"/>
        </w:rPr>
        <w:t xml:space="preserve"> </w:t>
      </w:r>
      <w:r>
        <w:rPr>
          <w:rFonts w:asciiTheme="majorHAnsi" w:eastAsia="Times New Roman" w:hAnsiTheme="majorHAnsi" w:cstheme="majorHAnsi"/>
        </w:rPr>
        <w:t xml:space="preserve">Centre for Child and Family Justice Research, </w:t>
      </w:r>
      <w:r w:rsidRPr="00B15B10">
        <w:rPr>
          <w:rFonts w:asciiTheme="majorHAnsi" w:eastAsia="Times New Roman" w:hAnsiTheme="majorHAnsi" w:cstheme="majorHAnsi"/>
        </w:rPr>
        <w:t>School of Law, Lancaster University</w:t>
      </w:r>
      <w:r>
        <w:rPr>
          <w:rFonts w:asciiTheme="majorHAnsi" w:eastAsia="Times New Roman" w:hAnsiTheme="majorHAnsi" w:cstheme="majorHAnsi"/>
        </w:rPr>
        <w:t xml:space="preserve">, Lancaster, LA1 4YW </w:t>
      </w:r>
    </w:p>
    <w:p w14:paraId="5793E54A" w14:textId="77777777" w:rsidR="005244A9" w:rsidRDefault="005244A9" w:rsidP="005244A9">
      <w:pPr>
        <w:spacing w:after="0" w:line="480" w:lineRule="auto"/>
        <w:rPr>
          <w:rFonts w:asciiTheme="majorHAnsi" w:eastAsia="Times New Roman" w:hAnsiTheme="majorHAnsi" w:cstheme="majorHAnsi"/>
        </w:rPr>
      </w:pPr>
      <w:r>
        <w:rPr>
          <w:rFonts w:asciiTheme="majorHAnsi" w:eastAsia="Times New Roman" w:hAnsiTheme="majorHAnsi" w:cstheme="majorHAnsi"/>
          <w:vertAlign w:val="superscript"/>
        </w:rPr>
        <w:t>2</w:t>
      </w:r>
      <w:r w:rsidRPr="00B15B10">
        <w:rPr>
          <w:rFonts w:asciiTheme="majorHAnsi" w:eastAsia="Times New Roman" w:hAnsiTheme="majorHAnsi" w:cstheme="majorHAnsi"/>
        </w:rPr>
        <w:t xml:space="preserve"> </w:t>
      </w:r>
      <w:proofErr w:type="gramStart"/>
      <w:r w:rsidRPr="00B15B10">
        <w:rPr>
          <w:rFonts w:asciiTheme="majorHAnsi" w:eastAsia="Times New Roman" w:hAnsiTheme="majorHAnsi" w:cstheme="majorHAnsi"/>
        </w:rPr>
        <w:t>Department</w:t>
      </w:r>
      <w:proofErr w:type="gramEnd"/>
      <w:r w:rsidRPr="00B15B10">
        <w:rPr>
          <w:rFonts w:asciiTheme="majorHAnsi" w:eastAsia="Times New Roman" w:hAnsiTheme="majorHAnsi" w:cstheme="majorHAnsi"/>
        </w:rPr>
        <w:t xml:space="preserve"> of Education, University of York</w:t>
      </w:r>
      <w:r>
        <w:rPr>
          <w:rFonts w:asciiTheme="majorHAnsi" w:eastAsia="Times New Roman" w:hAnsiTheme="majorHAnsi" w:cstheme="majorHAnsi"/>
        </w:rPr>
        <w:t xml:space="preserve">, York, YO10 5DD </w:t>
      </w:r>
    </w:p>
    <w:p w14:paraId="5FD0246B" w14:textId="77777777" w:rsidR="005244A9" w:rsidRDefault="005244A9" w:rsidP="005244A9">
      <w:pPr>
        <w:spacing w:after="0" w:line="480" w:lineRule="auto"/>
        <w:rPr>
          <w:rFonts w:asciiTheme="majorHAnsi" w:eastAsia="Times New Roman" w:hAnsiTheme="majorHAnsi" w:cstheme="majorHAnsi"/>
        </w:rPr>
      </w:pPr>
      <w:r>
        <w:rPr>
          <w:rFonts w:asciiTheme="majorHAnsi" w:eastAsia="Times New Roman" w:hAnsiTheme="majorHAnsi" w:cstheme="majorHAnsi"/>
          <w:vertAlign w:val="superscript"/>
        </w:rPr>
        <w:t>3</w:t>
      </w:r>
      <w:r w:rsidRPr="00B15B10">
        <w:rPr>
          <w:rFonts w:asciiTheme="majorHAnsi" w:eastAsia="Times New Roman" w:hAnsiTheme="majorHAnsi" w:cstheme="majorHAnsi"/>
        </w:rPr>
        <w:t xml:space="preserve"> </w:t>
      </w:r>
      <w:proofErr w:type="gramStart"/>
      <w:r w:rsidRPr="00B15B10">
        <w:rPr>
          <w:rFonts w:asciiTheme="majorHAnsi" w:eastAsia="Times New Roman" w:hAnsiTheme="majorHAnsi" w:cstheme="majorHAnsi"/>
        </w:rPr>
        <w:t>Department</w:t>
      </w:r>
      <w:proofErr w:type="gramEnd"/>
      <w:r w:rsidRPr="00B15B10">
        <w:rPr>
          <w:rFonts w:asciiTheme="majorHAnsi" w:eastAsia="Times New Roman" w:hAnsiTheme="majorHAnsi" w:cstheme="majorHAnsi"/>
        </w:rPr>
        <w:t xml:space="preserve"> of Social Policy and Social Work, University of York</w:t>
      </w:r>
      <w:r>
        <w:rPr>
          <w:rFonts w:asciiTheme="majorHAnsi" w:eastAsia="Times New Roman" w:hAnsiTheme="majorHAnsi" w:cstheme="majorHAnsi"/>
        </w:rPr>
        <w:t xml:space="preserve">, York, YO10 5DD </w:t>
      </w:r>
    </w:p>
    <w:p w14:paraId="4F120339" w14:textId="77777777" w:rsidR="005244A9" w:rsidRDefault="005244A9" w:rsidP="005244A9">
      <w:pPr>
        <w:spacing w:after="0" w:line="480" w:lineRule="auto"/>
        <w:rPr>
          <w:rFonts w:asciiTheme="majorHAnsi" w:eastAsia="Times New Roman" w:hAnsiTheme="majorHAnsi" w:cstheme="majorHAnsi"/>
        </w:rPr>
      </w:pPr>
    </w:p>
    <w:p w14:paraId="01128032" w14:textId="77777777" w:rsidR="005244A9" w:rsidRPr="00F459C9" w:rsidRDefault="005244A9" w:rsidP="005244A9">
      <w:pPr>
        <w:spacing w:after="0" w:line="480" w:lineRule="auto"/>
        <w:rPr>
          <w:rFonts w:asciiTheme="majorHAnsi" w:eastAsia="Times New Roman" w:hAnsiTheme="majorHAnsi" w:cstheme="majorHAnsi"/>
          <w:b/>
          <w:bCs/>
        </w:rPr>
      </w:pPr>
      <w:r>
        <w:rPr>
          <w:rFonts w:asciiTheme="majorHAnsi" w:eastAsia="Times New Roman" w:hAnsiTheme="majorHAnsi" w:cstheme="majorHAnsi"/>
          <w:vertAlign w:val="superscript"/>
        </w:rPr>
        <w:t>*</w:t>
      </w:r>
      <w:r>
        <w:rPr>
          <w:rFonts w:asciiTheme="majorHAnsi" w:eastAsia="Times New Roman" w:hAnsiTheme="majorHAnsi" w:cstheme="majorHAnsi"/>
        </w:rPr>
        <w:t xml:space="preserve">Correspondence to be sent to: Dr Linda Cusworth, Centre for Child and Family Justice Research, </w:t>
      </w:r>
      <w:r w:rsidRPr="00B15B10">
        <w:rPr>
          <w:rFonts w:asciiTheme="majorHAnsi" w:eastAsia="Times New Roman" w:hAnsiTheme="majorHAnsi" w:cstheme="majorHAnsi"/>
        </w:rPr>
        <w:t>School of Law, Lancaster University</w:t>
      </w:r>
      <w:r>
        <w:rPr>
          <w:rFonts w:asciiTheme="majorHAnsi" w:eastAsia="Times New Roman" w:hAnsiTheme="majorHAnsi" w:cstheme="majorHAnsi"/>
        </w:rPr>
        <w:t xml:space="preserve">, Lancaster, LA1 4YW. Email: </w:t>
      </w:r>
      <w:hyperlink r:id="rId12" w:history="1">
        <w:r w:rsidRPr="00392581">
          <w:rPr>
            <w:rStyle w:val="Hyperlink"/>
            <w:rFonts w:asciiTheme="majorHAnsi" w:eastAsia="Times New Roman" w:hAnsiTheme="majorHAnsi" w:cstheme="majorHAnsi"/>
          </w:rPr>
          <w:t>l.cusworth@lancaster.ac.uk</w:t>
        </w:r>
      </w:hyperlink>
      <w:r>
        <w:rPr>
          <w:rFonts w:asciiTheme="majorHAnsi" w:eastAsia="Times New Roman" w:hAnsiTheme="majorHAnsi" w:cstheme="majorHAnsi"/>
        </w:rPr>
        <w:t>)</w:t>
      </w:r>
    </w:p>
    <w:p w14:paraId="3DCCB383" w14:textId="77777777" w:rsidR="005244A9" w:rsidRDefault="005244A9" w:rsidP="005244A9">
      <w:pPr>
        <w:spacing w:after="0" w:line="480" w:lineRule="auto"/>
        <w:rPr>
          <w:rFonts w:asciiTheme="majorHAnsi" w:eastAsia="Times New Roman" w:hAnsiTheme="majorHAnsi" w:cstheme="majorHAnsi"/>
          <w:szCs w:val="24"/>
        </w:rPr>
      </w:pPr>
    </w:p>
    <w:p w14:paraId="710F8F04" w14:textId="77777777" w:rsidR="005244A9" w:rsidRDefault="005244A9" w:rsidP="005244A9">
      <w:pPr>
        <w:pStyle w:val="NoSpacing"/>
      </w:pPr>
      <w:r w:rsidRPr="00B96836">
        <w:rPr>
          <w:b/>
          <w:bCs/>
        </w:rPr>
        <w:t>Funding statement:</w:t>
      </w:r>
      <w:r>
        <w:t xml:space="preserve"> </w:t>
      </w:r>
      <w:r w:rsidRPr="00A42913">
        <w:t xml:space="preserve">This research was funded by the </w:t>
      </w:r>
      <w:r>
        <w:t>Economic and Social Research Council</w:t>
      </w:r>
      <w:r w:rsidRPr="00A42913">
        <w:t xml:space="preserve"> (grant ES/L002566/1).</w:t>
      </w:r>
    </w:p>
    <w:p w14:paraId="7CEE7D5E" w14:textId="77777777" w:rsidR="005244A9" w:rsidRDefault="005244A9" w:rsidP="005244A9">
      <w:pPr>
        <w:pStyle w:val="NoSpacing"/>
      </w:pPr>
    </w:p>
    <w:p w14:paraId="644C7529" w14:textId="77777777" w:rsidR="005244A9" w:rsidRPr="00A42913" w:rsidRDefault="005244A9" w:rsidP="005244A9">
      <w:pPr>
        <w:pStyle w:val="NoSpacing"/>
      </w:pPr>
      <w:r w:rsidRPr="00132A7D">
        <w:rPr>
          <w:b/>
          <w:color w:val="auto"/>
          <w:szCs w:val="20"/>
        </w:rPr>
        <w:t>Acknowledgements</w:t>
      </w:r>
      <w:r>
        <w:rPr>
          <w:b/>
          <w:color w:val="auto"/>
          <w:szCs w:val="20"/>
        </w:rPr>
        <w:t xml:space="preserve">: </w:t>
      </w:r>
      <w:r w:rsidRPr="00A42913">
        <w:t xml:space="preserve">The authors would like to thank the parents, foster carers, social workers and other staff at the participating local authority who assisted with this research, and the survey company </w:t>
      </w:r>
      <w:r>
        <w:t>(TNS BMRB)</w:t>
      </w:r>
      <w:r w:rsidRPr="00A42913">
        <w:t>, which condu</w:t>
      </w:r>
      <w:r>
        <w:t xml:space="preserve">cted the caregiver interviews. </w:t>
      </w:r>
    </w:p>
    <w:p w14:paraId="64378307" w14:textId="77777777" w:rsidR="005244A9" w:rsidRPr="00396A25" w:rsidRDefault="005244A9" w:rsidP="005244A9">
      <w:pPr>
        <w:spacing w:after="0" w:line="480" w:lineRule="auto"/>
        <w:rPr>
          <w:rFonts w:asciiTheme="majorHAnsi" w:eastAsia="Times New Roman" w:hAnsiTheme="majorHAnsi" w:cstheme="majorHAnsi"/>
          <w:szCs w:val="24"/>
        </w:rPr>
      </w:pPr>
    </w:p>
    <w:p w14:paraId="40AA9B47" w14:textId="77777777" w:rsidR="005244A9" w:rsidRPr="00D1323E" w:rsidRDefault="005244A9" w:rsidP="005244A9">
      <w:pPr>
        <w:spacing w:after="0" w:line="480" w:lineRule="auto"/>
        <w:rPr>
          <w:rFonts w:asciiTheme="majorHAnsi" w:eastAsia="Times New Roman" w:hAnsiTheme="majorHAnsi" w:cstheme="majorHAnsi"/>
          <w:color w:val="auto"/>
          <w:szCs w:val="24"/>
        </w:rPr>
      </w:pPr>
      <w:r w:rsidRPr="00A168A9">
        <w:rPr>
          <w:rFonts w:asciiTheme="majorHAnsi" w:eastAsia="Times New Roman" w:hAnsiTheme="majorHAnsi" w:cstheme="majorHAnsi"/>
          <w:b/>
          <w:szCs w:val="24"/>
        </w:rPr>
        <w:t>Abstract</w:t>
      </w:r>
      <w:r>
        <w:rPr>
          <w:rFonts w:asciiTheme="majorHAnsi" w:eastAsia="Times New Roman" w:hAnsiTheme="majorHAnsi" w:cstheme="majorHAnsi"/>
          <w:szCs w:val="24"/>
        </w:rPr>
        <w:t xml:space="preserve">: </w:t>
      </w:r>
      <w:r w:rsidRPr="00D1323E">
        <w:rPr>
          <w:rFonts w:asciiTheme="majorHAnsi" w:hAnsiTheme="majorHAnsi" w:cstheme="majorHAnsi"/>
          <w:color w:val="auto"/>
          <w:szCs w:val="24"/>
        </w:rPr>
        <w:t xml:space="preserve">Previous research has highlighted the poor educational attainment of children in out-of-home care, until relatively recently seen as a potential failure of the care system itself. </w:t>
      </w:r>
      <w:r w:rsidRPr="00D1323E">
        <w:rPr>
          <w:color w:val="auto"/>
        </w:rPr>
        <w:t xml:space="preserve">However, the relationship between care and education outcomes is complex. It is </w:t>
      </w:r>
      <w:r w:rsidRPr="00D1323E">
        <w:rPr>
          <w:color w:val="auto"/>
        </w:rPr>
        <w:lastRenderedPageBreak/>
        <w:t xml:space="preserve">important to disentangle the impact of the care system from that of adverse circumstances leading to admission to care. </w:t>
      </w:r>
      <w:r w:rsidRPr="00D1323E">
        <w:rPr>
          <w:rFonts w:asciiTheme="majorHAnsi" w:hAnsiTheme="majorHAnsi" w:cstheme="majorHAnsi"/>
          <w:color w:val="auto"/>
          <w:szCs w:val="24"/>
        </w:rPr>
        <w:t xml:space="preserve">In this study, educational outcomes for 68 children (aged three to nine) in foster care due to concerns about abuse or neglect were compared to those for 166 children with current or past child welfare involvement living at home. Data from teacher assessments of communication and literacy, and a standardised measure of receptive vocabulary was analysed. Accounting for </w:t>
      </w:r>
      <w:r w:rsidRPr="00D1323E">
        <w:rPr>
          <w:color w:val="auto"/>
        </w:rPr>
        <w:t xml:space="preserve">key differences between the two groups, </w:t>
      </w:r>
      <w:r w:rsidRPr="00D1323E">
        <w:rPr>
          <w:color w:val="auto"/>
          <w:szCs w:val="24"/>
        </w:rPr>
        <w:t xml:space="preserve">there was little evidence that educational attainment of children in care was significantly worse than that of children living at home. The </w:t>
      </w:r>
      <w:r w:rsidRPr="00D1323E">
        <w:rPr>
          <w:rFonts w:asciiTheme="majorHAnsi" w:eastAsia="Times New Roman" w:hAnsiTheme="majorHAnsi" w:cstheme="majorHAnsi"/>
          <w:color w:val="auto"/>
          <w:szCs w:val="24"/>
        </w:rPr>
        <w:t>findings suggest that being in care is unlikely to be the direct cause of poor educational achievement among children in care relative to the wider population of children.</w:t>
      </w:r>
      <w:r w:rsidRPr="00D1323E">
        <w:rPr>
          <w:rFonts w:asciiTheme="majorHAnsi" w:hAnsiTheme="majorHAnsi" w:cstheme="majorHAnsi"/>
          <w:color w:val="auto"/>
        </w:rPr>
        <w:t xml:space="preserve"> The study has implications for the ways in which schools and other services, both across the UK and internationally, work with children in and on the margins of care.</w:t>
      </w:r>
    </w:p>
    <w:p w14:paraId="6C13D6AC" w14:textId="77777777" w:rsidR="005244A9" w:rsidRPr="00FE76C5" w:rsidRDefault="005244A9" w:rsidP="005244A9">
      <w:pPr>
        <w:spacing w:after="0" w:line="480" w:lineRule="auto"/>
        <w:rPr>
          <w:rFonts w:asciiTheme="majorHAnsi" w:eastAsia="Times New Roman" w:hAnsiTheme="majorHAnsi" w:cstheme="majorHAnsi"/>
          <w:szCs w:val="24"/>
        </w:rPr>
      </w:pPr>
    </w:p>
    <w:p w14:paraId="501F6331" w14:textId="77777777" w:rsidR="005244A9" w:rsidRPr="00FE76C5" w:rsidRDefault="005244A9" w:rsidP="005244A9">
      <w:pPr>
        <w:spacing w:after="0" w:line="480" w:lineRule="auto"/>
        <w:rPr>
          <w:rFonts w:asciiTheme="majorHAnsi" w:hAnsiTheme="majorHAnsi" w:cstheme="majorHAnsi"/>
          <w:szCs w:val="24"/>
        </w:rPr>
      </w:pPr>
      <w:r w:rsidRPr="00FE76C5">
        <w:rPr>
          <w:rFonts w:asciiTheme="majorHAnsi" w:eastAsia="Times New Roman" w:hAnsiTheme="majorHAnsi" w:cstheme="majorHAnsi"/>
          <w:b/>
          <w:szCs w:val="24"/>
        </w:rPr>
        <w:t xml:space="preserve">Key words: </w:t>
      </w:r>
      <w:r>
        <w:rPr>
          <w:rFonts w:asciiTheme="majorHAnsi" w:eastAsia="Times New Roman" w:hAnsiTheme="majorHAnsi" w:cstheme="majorHAnsi"/>
          <w:szCs w:val="24"/>
        </w:rPr>
        <w:t>child abuse and neglect; child outcomes</w:t>
      </w:r>
      <w:r w:rsidRPr="00FE76C5">
        <w:rPr>
          <w:rFonts w:asciiTheme="majorHAnsi" w:eastAsia="Times New Roman" w:hAnsiTheme="majorHAnsi" w:cstheme="majorHAnsi"/>
          <w:szCs w:val="24"/>
        </w:rPr>
        <w:t xml:space="preserve">; </w:t>
      </w:r>
      <w:r>
        <w:rPr>
          <w:rFonts w:asciiTheme="majorHAnsi" w:eastAsia="Times New Roman" w:hAnsiTheme="majorHAnsi" w:cstheme="majorHAnsi"/>
          <w:szCs w:val="24"/>
        </w:rPr>
        <w:t xml:space="preserve">communication; educational attainment; </w:t>
      </w:r>
      <w:r w:rsidRPr="00FE76C5">
        <w:rPr>
          <w:rFonts w:asciiTheme="majorHAnsi" w:eastAsia="Times New Roman" w:hAnsiTheme="majorHAnsi" w:cstheme="majorHAnsi"/>
          <w:szCs w:val="24"/>
        </w:rPr>
        <w:t>out</w:t>
      </w:r>
      <w:r>
        <w:rPr>
          <w:rFonts w:asciiTheme="majorHAnsi" w:eastAsia="Times New Roman" w:hAnsiTheme="majorHAnsi" w:cstheme="majorHAnsi"/>
          <w:szCs w:val="24"/>
        </w:rPr>
        <w:t>-</w:t>
      </w:r>
      <w:r w:rsidRPr="00FE76C5">
        <w:rPr>
          <w:rFonts w:asciiTheme="majorHAnsi" w:eastAsia="Times New Roman" w:hAnsiTheme="majorHAnsi" w:cstheme="majorHAnsi"/>
          <w:szCs w:val="24"/>
        </w:rPr>
        <w:t>of</w:t>
      </w:r>
      <w:r>
        <w:rPr>
          <w:rFonts w:asciiTheme="majorHAnsi" w:eastAsia="Times New Roman" w:hAnsiTheme="majorHAnsi" w:cstheme="majorHAnsi"/>
          <w:szCs w:val="24"/>
        </w:rPr>
        <w:t>-</w:t>
      </w:r>
      <w:r w:rsidRPr="00FE76C5">
        <w:rPr>
          <w:rFonts w:asciiTheme="majorHAnsi" w:eastAsia="Times New Roman" w:hAnsiTheme="majorHAnsi" w:cstheme="majorHAnsi"/>
          <w:szCs w:val="24"/>
        </w:rPr>
        <w:t>home care</w:t>
      </w:r>
    </w:p>
    <w:p w14:paraId="5F2D3F6B" w14:textId="77777777" w:rsidR="005244A9" w:rsidRDefault="005244A9" w:rsidP="005244A9">
      <w:pPr>
        <w:spacing w:after="0" w:line="480" w:lineRule="auto"/>
        <w:rPr>
          <w:rFonts w:asciiTheme="majorHAnsi" w:eastAsia="Times New Roman" w:hAnsiTheme="majorHAnsi" w:cstheme="majorHAnsi"/>
          <w:szCs w:val="24"/>
        </w:rPr>
      </w:pPr>
    </w:p>
    <w:p w14:paraId="65E6C5EF" w14:textId="77777777" w:rsidR="005244A9" w:rsidRPr="00FE76C5" w:rsidRDefault="005244A9" w:rsidP="005244A9">
      <w:pPr>
        <w:spacing w:after="0" w:line="480" w:lineRule="auto"/>
        <w:rPr>
          <w:rFonts w:asciiTheme="majorHAnsi" w:eastAsia="Times New Roman" w:hAnsiTheme="majorHAnsi" w:cstheme="majorHAnsi"/>
          <w:szCs w:val="24"/>
        </w:rPr>
      </w:pPr>
    </w:p>
    <w:p w14:paraId="61444866" w14:textId="77777777" w:rsidR="005244A9" w:rsidRDefault="005244A9" w:rsidP="005244A9">
      <w:pPr>
        <w:spacing w:after="0" w:line="480" w:lineRule="auto"/>
        <w:rPr>
          <w:rFonts w:asciiTheme="majorHAnsi" w:hAnsiTheme="majorHAnsi" w:cstheme="majorHAnsi"/>
        </w:rPr>
      </w:pPr>
    </w:p>
    <w:p w14:paraId="139A6473" w14:textId="77777777" w:rsidR="005244A9" w:rsidRPr="005F3100" w:rsidRDefault="005244A9" w:rsidP="005244A9">
      <w:pPr>
        <w:spacing w:after="0" w:line="480" w:lineRule="auto"/>
        <w:rPr>
          <w:rFonts w:asciiTheme="majorHAnsi" w:eastAsia="Times New Roman" w:hAnsiTheme="majorHAnsi" w:cstheme="majorHAnsi"/>
          <w:color w:val="FF0000"/>
        </w:rPr>
      </w:pPr>
    </w:p>
    <w:p w14:paraId="60EA7864" w14:textId="77777777" w:rsidR="005244A9" w:rsidRDefault="005244A9">
      <w:pPr>
        <w:rPr>
          <w:rFonts w:asciiTheme="majorHAnsi" w:eastAsia="Times New Roman" w:hAnsiTheme="majorHAnsi" w:cstheme="majorHAnsi"/>
          <w:color w:val="auto"/>
        </w:rPr>
      </w:pPr>
      <w:r>
        <w:rPr>
          <w:rFonts w:asciiTheme="majorHAnsi" w:eastAsia="Times New Roman" w:hAnsiTheme="majorHAnsi" w:cstheme="majorHAnsi"/>
          <w:color w:val="auto"/>
        </w:rPr>
        <w:br w:type="page"/>
      </w:r>
    </w:p>
    <w:p w14:paraId="37016D7D" w14:textId="250C38C4" w:rsidR="005F6C26" w:rsidRPr="003B25B4" w:rsidRDefault="008E242B" w:rsidP="00CC7E08">
      <w:pPr>
        <w:spacing w:before="120" w:after="0" w:line="480" w:lineRule="auto"/>
        <w:rPr>
          <w:rFonts w:asciiTheme="majorHAnsi" w:eastAsia="Times New Roman" w:hAnsiTheme="majorHAnsi" w:cstheme="majorHAnsi"/>
          <w:color w:val="auto"/>
        </w:rPr>
      </w:pPr>
      <w:proofErr w:type="gramStart"/>
      <w:r w:rsidRPr="003B25B4">
        <w:rPr>
          <w:rFonts w:asciiTheme="majorHAnsi" w:eastAsia="Times New Roman" w:hAnsiTheme="majorHAnsi" w:cstheme="majorHAnsi"/>
          <w:color w:val="auto"/>
        </w:rPr>
        <w:lastRenderedPageBreak/>
        <w:t>Home or care?</w:t>
      </w:r>
      <w:proofErr w:type="gramEnd"/>
      <w:r w:rsidR="00BD5D1D">
        <w:rPr>
          <w:rFonts w:asciiTheme="majorHAnsi" w:eastAsia="Times New Roman" w:hAnsiTheme="majorHAnsi" w:cstheme="majorHAnsi"/>
          <w:color w:val="auto"/>
        </w:rPr>
        <w:t xml:space="preserve"> </w:t>
      </w:r>
      <w:r w:rsidRPr="003B25B4">
        <w:rPr>
          <w:rFonts w:asciiTheme="majorHAnsi" w:eastAsia="Times New Roman" w:hAnsiTheme="majorHAnsi" w:cstheme="majorHAnsi"/>
          <w:color w:val="auto"/>
        </w:rPr>
        <w:t>A comparison of educational outcomes for maltreated children</w:t>
      </w:r>
    </w:p>
    <w:p w14:paraId="5B1AE3E3" w14:textId="77777777" w:rsidR="00D562C9" w:rsidRPr="003B25B4" w:rsidRDefault="00D562C9" w:rsidP="00CC7E08">
      <w:pPr>
        <w:spacing w:after="0" w:line="480" w:lineRule="auto"/>
        <w:rPr>
          <w:rFonts w:asciiTheme="majorHAnsi" w:eastAsia="Times New Roman" w:hAnsiTheme="majorHAnsi" w:cstheme="majorHAnsi"/>
          <w:color w:val="auto"/>
          <w:szCs w:val="24"/>
        </w:rPr>
      </w:pPr>
    </w:p>
    <w:p w14:paraId="299B50B3" w14:textId="45BBDF1B" w:rsidR="00FE76C5" w:rsidRPr="003B25B4" w:rsidRDefault="00FE76C5" w:rsidP="00CC7E08">
      <w:pPr>
        <w:spacing w:after="0" w:line="480" w:lineRule="auto"/>
        <w:rPr>
          <w:rStyle w:val="Strong"/>
          <w:color w:val="auto"/>
        </w:rPr>
      </w:pPr>
      <w:r w:rsidRPr="003B25B4">
        <w:rPr>
          <w:rStyle w:val="Strong"/>
          <w:color w:val="auto"/>
        </w:rPr>
        <w:t>Abstract:</w:t>
      </w:r>
    </w:p>
    <w:p w14:paraId="282F1441" w14:textId="160AB47C" w:rsidR="00FE76C5" w:rsidRPr="003B25B4" w:rsidRDefault="00D562C9" w:rsidP="00CC7E08">
      <w:pPr>
        <w:spacing w:after="0" w:line="480" w:lineRule="auto"/>
        <w:rPr>
          <w:rFonts w:asciiTheme="majorHAnsi" w:eastAsia="Times New Roman" w:hAnsiTheme="majorHAnsi" w:cstheme="majorHAnsi"/>
          <w:color w:val="auto"/>
          <w:szCs w:val="24"/>
        </w:rPr>
      </w:pPr>
      <w:r w:rsidRPr="003B25B4">
        <w:rPr>
          <w:rFonts w:asciiTheme="majorHAnsi" w:hAnsiTheme="majorHAnsi" w:cstheme="majorHAnsi"/>
          <w:color w:val="auto"/>
          <w:szCs w:val="24"/>
        </w:rPr>
        <w:t>Previous r</w:t>
      </w:r>
      <w:r w:rsidR="00FE76C5" w:rsidRPr="003B25B4">
        <w:rPr>
          <w:rFonts w:asciiTheme="majorHAnsi" w:hAnsiTheme="majorHAnsi" w:cstheme="majorHAnsi"/>
          <w:color w:val="auto"/>
          <w:szCs w:val="24"/>
        </w:rPr>
        <w:t>esearch has highlighted the poor educational attainment of children in out</w:t>
      </w:r>
      <w:r w:rsidRPr="003B25B4">
        <w:rPr>
          <w:rFonts w:asciiTheme="majorHAnsi" w:hAnsiTheme="majorHAnsi" w:cstheme="majorHAnsi"/>
          <w:color w:val="auto"/>
          <w:szCs w:val="24"/>
        </w:rPr>
        <w:t>-</w:t>
      </w:r>
      <w:r w:rsidR="00FE76C5" w:rsidRPr="003B25B4">
        <w:rPr>
          <w:rFonts w:asciiTheme="majorHAnsi" w:hAnsiTheme="majorHAnsi" w:cstheme="majorHAnsi"/>
          <w:color w:val="auto"/>
          <w:szCs w:val="24"/>
        </w:rPr>
        <w:t>of</w:t>
      </w:r>
      <w:r w:rsidRPr="003B25B4">
        <w:rPr>
          <w:rFonts w:asciiTheme="majorHAnsi" w:hAnsiTheme="majorHAnsi" w:cstheme="majorHAnsi"/>
          <w:color w:val="auto"/>
          <w:szCs w:val="24"/>
        </w:rPr>
        <w:t>-</w:t>
      </w:r>
      <w:r w:rsidR="00FE76C5" w:rsidRPr="003B25B4">
        <w:rPr>
          <w:rFonts w:asciiTheme="majorHAnsi" w:hAnsiTheme="majorHAnsi" w:cstheme="majorHAnsi"/>
          <w:color w:val="auto"/>
          <w:szCs w:val="24"/>
        </w:rPr>
        <w:t>home care</w:t>
      </w:r>
      <w:r w:rsidR="00865F45" w:rsidRPr="003B25B4">
        <w:rPr>
          <w:rFonts w:asciiTheme="majorHAnsi" w:hAnsiTheme="majorHAnsi" w:cstheme="majorHAnsi"/>
          <w:color w:val="auto"/>
          <w:szCs w:val="24"/>
        </w:rPr>
        <w:t>, u</w:t>
      </w:r>
      <w:r w:rsidR="00FB1EA9" w:rsidRPr="003B25B4">
        <w:rPr>
          <w:rFonts w:asciiTheme="majorHAnsi" w:hAnsiTheme="majorHAnsi" w:cstheme="majorHAnsi"/>
          <w:color w:val="auto"/>
          <w:szCs w:val="24"/>
        </w:rPr>
        <w:t>ntil relatively recently</w:t>
      </w:r>
      <w:r w:rsidR="0062011B" w:rsidRPr="003B25B4">
        <w:rPr>
          <w:rFonts w:asciiTheme="majorHAnsi" w:hAnsiTheme="majorHAnsi" w:cstheme="majorHAnsi"/>
          <w:color w:val="auto"/>
          <w:szCs w:val="24"/>
        </w:rPr>
        <w:t xml:space="preserve"> </w:t>
      </w:r>
      <w:r w:rsidR="003168A3" w:rsidRPr="003B25B4">
        <w:rPr>
          <w:rFonts w:asciiTheme="majorHAnsi" w:hAnsiTheme="majorHAnsi" w:cstheme="majorHAnsi"/>
          <w:color w:val="auto"/>
          <w:szCs w:val="24"/>
        </w:rPr>
        <w:t xml:space="preserve">seen as a </w:t>
      </w:r>
      <w:r w:rsidR="00184AFA" w:rsidRPr="003B25B4">
        <w:rPr>
          <w:rFonts w:asciiTheme="majorHAnsi" w:hAnsiTheme="majorHAnsi" w:cstheme="majorHAnsi"/>
          <w:color w:val="auto"/>
          <w:szCs w:val="24"/>
        </w:rPr>
        <w:t xml:space="preserve">potential </w:t>
      </w:r>
      <w:r w:rsidR="003168A3" w:rsidRPr="003B25B4">
        <w:rPr>
          <w:rFonts w:asciiTheme="majorHAnsi" w:hAnsiTheme="majorHAnsi" w:cstheme="majorHAnsi"/>
          <w:color w:val="auto"/>
          <w:szCs w:val="24"/>
        </w:rPr>
        <w:t xml:space="preserve">failure of the </w:t>
      </w:r>
      <w:r w:rsidR="00422B5E" w:rsidRPr="003B25B4">
        <w:rPr>
          <w:rFonts w:asciiTheme="majorHAnsi" w:hAnsiTheme="majorHAnsi" w:cstheme="majorHAnsi"/>
          <w:color w:val="auto"/>
          <w:szCs w:val="24"/>
        </w:rPr>
        <w:t>care system itself</w:t>
      </w:r>
      <w:r w:rsidR="003156D7" w:rsidRPr="003B25B4">
        <w:rPr>
          <w:rFonts w:asciiTheme="majorHAnsi" w:hAnsiTheme="majorHAnsi" w:cstheme="majorHAnsi"/>
          <w:color w:val="auto"/>
          <w:szCs w:val="24"/>
        </w:rPr>
        <w:t xml:space="preserve">. </w:t>
      </w:r>
      <w:r w:rsidR="00F370BF" w:rsidRPr="003B25B4">
        <w:rPr>
          <w:color w:val="auto"/>
        </w:rPr>
        <w:t>However</w:t>
      </w:r>
      <w:r w:rsidR="00DB5340" w:rsidRPr="003B25B4">
        <w:rPr>
          <w:color w:val="auto"/>
        </w:rPr>
        <w:t>,</w:t>
      </w:r>
      <w:r w:rsidR="00F370BF" w:rsidRPr="003B25B4">
        <w:rPr>
          <w:color w:val="auto"/>
        </w:rPr>
        <w:t xml:space="preserve"> the relationship between care and education outcomes is complex</w:t>
      </w:r>
      <w:r w:rsidR="00CA6944" w:rsidRPr="003B25B4">
        <w:rPr>
          <w:color w:val="auto"/>
        </w:rPr>
        <w:t>. It</w:t>
      </w:r>
      <w:r w:rsidR="00F370BF" w:rsidRPr="003B25B4">
        <w:rPr>
          <w:color w:val="auto"/>
        </w:rPr>
        <w:t xml:space="preserve"> is important to disentangle the impact of the care system from </w:t>
      </w:r>
      <w:r w:rsidR="003B244B" w:rsidRPr="003B25B4">
        <w:rPr>
          <w:color w:val="auto"/>
        </w:rPr>
        <w:t>that</w:t>
      </w:r>
      <w:r w:rsidR="00F370BF" w:rsidRPr="003B25B4">
        <w:rPr>
          <w:color w:val="auto"/>
        </w:rPr>
        <w:t xml:space="preserve"> of adverse circumstances </w:t>
      </w:r>
      <w:r w:rsidR="00CC7E08" w:rsidRPr="003B25B4">
        <w:rPr>
          <w:color w:val="auto"/>
        </w:rPr>
        <w:t>leading to</w:t>
      </w:r>
      <w:r w:rsidR="00F370BF" w:rsidRPr="003B25B4">
        <w:rPr>
          <w:color w:val="auto"/>
        </w:rPr>
        <w:t xml:space="preserve"> admission to care. </w:t>
      </w:r>
      <w:r w:rsidR="00510544" w:rsidRPr="003B25B4">
        <w:rPr>
          <w:rFonts w:asciiTheme="majorHAnsi" w:hAnsiTheme="majorHAnsi" w:cstheme="majorHAnsi"/>
          <w:color w:val="auto"/>
          <w:szCs w:val="24"/>
        </w:rPr>
        <w:t>In this study, e</w:t>
      </w:r>
      <w:r w:rsidR="00FE76C5" w:rsidRPr="003B25B4">
        <w:rPr>
          <w:rFonts w:asciiTheme="majorHAnsi" w:hAnsiTheme="majorHAnsi" w:cstheme="majorHAnsi"/>
          <w:color w:val="auto"/>
          <w:szCs w:val="24"/>
        </w:rPr>
        <w:t>ducational outcomes for 68 children (age</w:t>
      </w:r>
      <w:r w:rsidR="00D20E9D" w:rsidRPr="003B25B4">
        <w:rPr>
          <w:rFonts w:asciiTheme="majorHAnsi" w:hAnsiTheme="majorHAnsi" w:cstheme="majorHAnsi"/>
          <w:color w:val="auto"/>
          <w:szCs w:val="24"/>
        </w:rPr>
        <w:t>d</w:t>
      </w:r>
      <w:r w:rsidR="00FE76C5" w:rsidRPr="003B25B4">
        <w:rPr>
          <w:rFonts w:asciiTheme="majorHAnsi" w:hAnsiTheme="majorHAnsi" w:cstheme="majorHAnsi"/>
          <w:color w:val="auto"/>
          <w:szCs w:val="24"/>
        </w:rPr>
        <w:t xml:space="preserve"> </w:t>
      </w:r>
      <w:r w:rsidR="00D20E9D" w:rsidRPr="003B25B4">
        <w:rPr>
          <w:rFonts w:asciiTheme="majorHAnsi" w:hAnsiTheme="majorHAnsi" w:cstheme="majorHAnsi"/>
          <w:color w:val="auto"/>
          <w:szCs w:val="24"/>
        </w:rPr>
        <w:t>three to nine</w:t>
      </w:r>
      <w:r w:rsidR="00FE76C5" w:rsidRPr="003B25B4">
        <w:rPr>
          <w:rFonts w:asciiTheme="majorHAnsi" w:hAnsiTheme="majorHAnsi" w:cstheme="majorHAnsi"/>
          <w:color w:val="auto"/>
          <w:szCs w:val="24"/>
        </w:rPr>
        <w:t xml:space="preserve">) in </w:t>
      </w:r>
      <w:proofErr w:type="gramStart"/>
      <w:r w:rsidR="00FE76C5" w:rsidRPr="003B25B4">
        <w:rPr>
          <w:rFonts w:asciiTheme="majorHAnsi" w:hAnsiTheme="majorHAnsi" w:cstheme="majorHAnsi"/>
          <w:color w:val="auto"/>
          <w:szCs w:val="24"/>
        </w:rPr>
        <w:t>foster</w:t>
      </w:r>
      <w:proofErr w:type="gramEnd"/>
      <w:r w:rsidR="00FE76C5" w:rsidRPr="003B25B4">
        <w:rPr>
          <w:rFonts w:asciiTheme="majorHAnsi" w:hAnsiTheme="majorHAnsi" w:cstheme="majorHAnsi"/>
          <w:color w:val="auto"/>
          <w:szCs w:val="24"/>
        </w:rPr>
        <w:t xml:space="preserve"> care due to concerns about abuse or neglect were compared to those for 166 children with current or past child welfare involvement living at home</w:t>
      </w:r>
      <w:r w:rsidR="00510544" w:rsidRPr="003B25B4">
        <w:rPr>
          <w:rFonts w:asciiTheme="majorHAnsi" w:hAnsiTheme="majorHAnsi" w:cstheme="majorHAnsi"/>
          <w:color w:val="auto"/>
          <w:szCs w:val="24"/>
        </w:rPr>
        <w:t xml:space="preserve">. </w:t>
      </w:r>
      <w:r w:rsidR="00932AE4" w:rsidRPr="003B25B4">
        <w:rPr>
          <w:rFonts w:asciiTheme="majorHAnsi" w:hAnsiTheme="majorHAnsi" w:cstheme="majorHAnsi"/>
          <w:color w:val="auto"/>
          <w:szCs w:val="24"/>
        </w:rPr>
        <w:t xml:space="preserve">Data from </w:t>
      </w:r>
      <w:r w:rsidR="00FE76C5" w:rsidRPr="003B25B4">
        <w:rPr>
          <w:rFonts w:asciiTheme="majorHAnsi" w:hAnsiTheme="majorHAnsi" w:cstheme="majorHAnsi"/>
          <w:color w:val="auto"/>
          <w:szCs w:val="24"/>
        </w:rPr>
        <w:t xml:space="preserve">teacher assessments </w:t>
      </w:r>
      <w:r w:rsidR="005F0A84" w:rsidRPr="003B25B4">
        <w:rPr>
          <w:rFonts w:asciiTheme="majorHAnsi" w:hAnsiTheme="majorHAnsi" w:cstheme="majorHAnsi"/>
          <w:color w:val="auto"/>
          <w:szCs w:val="24"/>
        </w:rPr>
        <w:t xml:space="preserve">of communication and literacy, </w:t>
      </w:r>
      <w:r w:rsidR="00FE76C5" w:rsidRPr="003B25B4">
        <w:rPr>
          <w:rFonts w:asciiTheme="majorHAnsi" w:hAnsiTheme="majorHAnsi" w:cstheme="majorHAnsi"/>
          <w:color w:val="auto"/>
          <w:szCs w:val="24"/>
        </w:rPr>
        <w:t xml:space="preserve">and </w:t>
      </w:r>
      <w:r w:rsidR="005F0A84" w:rsidRPr="003B25B4">
        <w:rPr>
          <w:rFonts w:asciiTheme="majorHAnsi" w:hAnsiTheme="majorHAnsi" w:cstheme="majorHAnsi"/>
          <w:color w:val="auto"/>
          <w:szCs w:val="24"/>
        </w:rPr>
        <w:t xml:space="preserve">a </w:t>
      </w:r>
      <w:r w:rsidR="00FE76C5" w:rsidRPr="003B25B4">
        <w:rPr>
          <w:rFonts w:asciiTheme="majorHAnsi" w:hAnsiTheme="majorHAnsi" w:cstheme="majorHAnsi"/>
          <w:color w:val="auto"/>
          <w:szCs w:val="24"/>
        </w:rPr>
        <w:t>standardised measure of receptive vocabulary</w:t>
      </w:r>
      <w:r w:rsidR="00932AE4" w:rsidRPr="003B25B4">
        <w:rPr>
          <w:rFonts w:asciiTheme="majorHAnsi" w:hAnsiTheme="majorHAnsi" w:cstheme="majorHAnsi"/>
          <w:color w:val="auto"/>
          <w:szCs w:val="24"/>
        </w:rPr>
        <w:t xml:space="preserve"> was analysed</w:t>
      </w:r>
      <w:r w:rsidRPr="003B25B4">
        <w:rPr>
          <w:rFonts w:asciiTheme="majorHAnsi" w:hAnsiTheme="majorHAnsi" w:cstheme="majorHAnsi"/>
          <w:color w:val="auto"/>
          <w:szCs w:val="24"/>
        </w:rPr>
        <w:t>.</w:t>
      </w:r>
      <w:r w:rsidR="00FE76C5" w:rsidRPr="003B25B4">
        <w:rPr>
          <w:rFonts w:asciiTheme="majorHAnsi" w:hAnsiTheme="majorHAnsi" w:cstheme="majorHAnsi"/>
          <w:color w:val="auto"/>
          <w:szCs w:val="24"/>
        </w:rPr>
        <w:t xml:space="preserve"> </w:t>
      </w:r>
      <w:r w:rsidR="00A11120" w:rsidRPr="003B25B4">
        <w:rPr>
          <w:rFonts w:asciiTheme="majorHAnsi" w:hAnsiTheme="majorHAnsi" w:cstheme="majorHAnsi"/>
          <w:color w:val="auto"/>
          <w:szCs w:val="24"/>
        </w:rPr>
        <w:t xml:space="preserve">Accounting for </w:t>
      </w:r>
      <w:r w:rsidR="006077E2" w:rsidRPr="003B25B4">
        <w:rPr>
          <w:color w:val="auto"/>
        </w:rPr>
        <w:t>key differences between the two groups</w:t>
      </w:r>
      <w:r w:rsidR="00932AE4" w:rsidRPr="003B25B4">
        <w:rPr>
          <w:color w:val="auto"/>
        </w:rPr>
        <w:t>,</w:t>
      </w:r>
      <w:r w:rsidR="006077E2" w:rsidRPr="003B25B4">
        <w:rPr>
          <w:color w:val="auto"/>
        </w:rPr>
        <w:t xml:space="preserve"> </w:t>
      </w:r>
      <w:r w:rsidR="00FE76C5" w:rsidRPr="003B25B4">
        <w:rPr>
          <w:color w:val="auto"/>
          <w:szCs w:val="24"/>
        </w:rPr>
        <w:t xml:space="preserve">there was little evidence that educational attainment of children in care was significantly worse than that of </w:t>
      </w:r>
      <w:r w:rsidR="003156D7" w:rsidRPr="003B25B4">
        <w:rPr>
          <w:color w:val="auto"/>
          <w:szCs w:val="24"/>
        </w:rPr>
        <w:t xml:space="preserve">children </w:t>
      </w:r>
      <w:r w:rsidR="005F0A84" w:rsidRPr="003B25B4">
        <w:rPr>
          <w:color w:val="auto"/>
          <w:szCs w:val="24"/>
        </w:rPr>
        <w:t>living at home</w:t>
      </w:r>
      <w:r w:rsidR="00FE76C5" w:rsidRPr="003B25B4">
        <w:rPr>
          <w:color w:val="auto"/>
          <w:szCs w:val="24"/>
        </w:rPr>
        <w:t>.</w:t>
      </w:r>
      <w:r w:rsidR="00BD5D1D">
        <w:rPr>
          <w:color w:val="auto"/>
          <w:szCs w:val="24"/>
        </w:rPr>
        <w:t xml:space="preserve"> </w:t>
      </w:r>
      <w:r w:rsidR="00FE76C5" w:rsidRPr="003B25B4">
        <w:rPr>
          <w:color w:val="auto"/>
          <w:szCs w:val="24"/>
        </w:rPr>
        <w:t xml:space="preserve">The </w:t>
      </w:r>
      <w:r w:rsidR="00FE76C5" w:rsidRPr="003B25B4">
        <w:rPr>
          <w:rFonts w:asciiTheme="majorHAnsi" w:eastAsia="Times New Roman" w:hAnsiTheme="majorHAnsi" w:cstheme="majorHAnsi"/>
          <w:color w:val="auto"/>
          <w:szCs w:val="24"/>
        </w:rPr>
        <w:t>findings suggest that being in care is unlikely to be the direct cause of poor educational achievement among children in care relative to the wider population of children</w:t>
      </w:r>
      <w:r w:rsidR="0079767F" w:rsidRPr="003B25B4">
        <w:rPr>
          <w:rFonts w:asciiTheme="majorHAnsi" w:eastAsia="Times New Roman" w:hAnsiTheme="majorHAnsi" w:cstheme="majorHAnsi"/>
          <w:color w:val="auto"/>
          <w:szCs w:val="24"/>
        </w:rPr>
        <w:t>.</w:t>
      </w:r>
      <w:r w:rsidR="00386185" w:rsidRPr="003B25B4">
        <w:rPr>
          <w:rFonts w:asciiTheme="majorHAnsi" w:hAnsiTheme="majorHAnsi" w:cstheme="majorHAnsi"/>
          <w:color w:val="auto"/>
        </w:rPr>
        <w:t xml:space="preserve"> </w:t>
      </w:r>
      <w:r w:rsidR="0036002A" w:rsidRPr="003B25B4">
        <w:rPr>
          <w:rFonts w:asciiTheme="majorHAnsi" w:hAnsiTheme="majorHAnsi" w:cstheme="majorHAnsi"/>
          <w:color w:val="auto"/>
        </w:rPr>
        <w:t>The study</w:t>
      </w:r>
      <w:r w:rsidR="00386185" w:rsidRPr="003B25B4">
        <w:rPr>
          <w:rFonts w:asciiTheme="majorHAnsi" w:hAnsiTheme="majorHAnsi" w:cstheme="majorHAnsi"/>
          <w:color w:val="auto"/>
        </w:rPr>
        <w:t xml:space="preserve"> </w:t>
      </w:r>
      <w:r w:rsidR="0079767F" w:rsidRPr="003B25B4">
        <w:rPr>
          <w:rFonts w:asciiTheme="majorHAnsi" w:hAnsiTheme="majorHAnsi" w:cstheme="majorHAnsi"/>
          <w:color w:val="auto"/>
        </w:rPr>
        <w:t>has</w:t>
      </w:r>
      <w:r w:rsidR="00386185" w:rsidRPr="003B25B4">
        <w:rPr>
          <w:rFonts w:asciiTheme="majorHAnsi" w:hAnsiTheme="majorHAnsi" w:cstheme="majorHAnsi"/>
          <w:color w:val="auto"/>
        </w:rPr>
        <w:t xml:space="preserve"> implications for the ways in which schools and other services</w:t>
      </w:r>
      <w:r w:rsidR="0036002A" w:rsidRPr="003B25B4">
        <w:rPr>
          <w:rFonts w:asciiTheme="majorHAnsi" w:hAnsiTheme="majorHAnsi" w:cstheme="majorHAnsi"/>
          <w:color w:val="auto"/>
        </w:rPr>
        <w:t>, both</w:t>
      </w:r>
      <w:r w:rsidR="00E37B32" w:rsidRPr="003B25B4">
        <w:rPr>
          <w:rFonts w:asciiTheme="majorHAnsi" w:hAnsiTheme="majorHAnsi" w:cstheme="majorHAnsi"/>
          <w:color w:val="auto"/>
        </w:rPr>
        <w:t xml:space="preserve"> across the UK and internationally,</w:t>
      </w:r>
      <w:r w:rsidR="00386185" w:rsidRPr="003B25B4">
        <w:rPr>
          <w:rFonts w:asciiTheme="majorHAnsi" w:hAnsiTheme="majorHAnsi" w:cstheme="majorHAnsi"/>
          <w:color w:val="auto"/>
        </w:rPr>
        <w:t xml:space="preserve"> work with children in and on the margins of care</w:t>
      </w:r>
      <w:r w:rsidR="0036002A" w:rsidRPr="003B25B4">
        <w:rPr>
          <w:rFonts w:asciiTheme="majorHAnsi" w:hAnsiTheme="majorHAnsi" w:cstheme="majorHAnsi"/>
          <w:color w:val="auto"/>
        </w:rPr>
        <w:t>.</w:t>
      </w:r>
    </w:p>
    <w:p w14:paraId="3128B6D0" w14:textId="77777777" w:rsidR="00FE76C5" w:rsidRPr="003B25B4" w:rsidRDefault="00FE76C5" w:rsidP="00CC7E08">
      <w:pPr>
        <w:spacing w:after="0" w:line="480" w:lineRule="auto"/>
        <w:rPr>
          <w:rFonts w:asciiTheme="majorHAnsi" w:eastAsia="Times New Roman" w:hAnsiTheme="majorHAnsi" w:cstheme="majorHAnsi"/>
          <w:color w:val="auto"/>
          <w:szCs w:val="24"/>
        </w:rPr>
      </w:pPr>
    </w:p>
    <w:p w14:paraId="099CA19E" w14:textId="77777777" w:rsidR="003B25B4" w:rsidRPr="003B25B4" w:rsidRDefault="003B25B4" w:rsidP="003B25B4">
      <w:pPr>
        <w:spacing w:after="0" w:line="480" w:lineRule="auto"/>
        <w:rPr>
          <w:rFonts w:asciiTheme="majorHAnsi" w:hAnsiTheme="majorHAnsi" w:cstheme="majorHAnsi"/>
          <w:color w:val="auto"/>
          <w:szCs w:val="24"/>
        </w:rPr>
      </w:pPr>
      <w:r w:rsidRPr="003B25B4">
        <w:rPr>
          <w:rFonts w:asciiTheme="majorHAnsi" w:eastAsia="Times New Roman" w:hAnsiTheme="majorHAnsi" w:cstheme="majorHAnsi"/>
          <w:b/>
          <w:color w:val="auto"/>
          <w:szCs w:val="24"/>
        </w:rPr>
        <w:t xml:space="preserve">Key words: </w:t>
      </w:r>
      <w:r w:rsidRPr="003B25B4">
        <w:rPr>
          <w:rFonts w:asciiTheme="majorHAnsi" w:eastAsia="Times New Roman" w:hAnsiTheme="majorHAnsi" w:cstheme="majorHAnsi"/>
          <w:color w:val="auto"/>
          <w:szCs w:val="24"/>
        </w:rPr>
        <w:t>child abuse and neglect; child outcomes; communication; educational attainment; out-of-home care</w:t>
      </w:r>
    </w:p>
    <w:p w14:paraId="389BE9B0" w14:textId="2C244DCE" w:rsidR="00D8588F" w:rsidRPr="003B25B4" w:rsidRDefault="00D8588F" w:rsidP="00CC7E08">
      <w:pPr>
        <w:spacing w:after="0" w:line="480" w:lineRule="auto"/>
        <w:rPr>
          <w:rFonts w:asciiTheme="majorHAnsi" w:eastAsia="Times New Roman" w:hAnsiTheme="majorHAnsi" w:cstheme="majorHAnsi"/>
          <w:color w:val="auto"/>
          <w:szCs w:val="24"/>
        </w:rPr>
      </w:pPr>
    </w:p>
    <w:p w14:paraId="07C9A564" w14:textId="274F0C4F" w:rsidR="00D8588F" w:rsidRPr="003B25B4" w:rsidRDefault="00D8588F" w:rsidP="00CC7E08">
      <w:pPr>
        <w:spacing w:after="0" w:line="480" w:lineRule="auto"/>
        <w:rPr>
          <w:rFonts w:asciiTheme="majorHAnsi" w:eastAsia="Times New Roman" w:hAnsiTheme="majorHAnsi" w:cstheme="majorHAnsi"/>
          <w:color w:val="auto"/>
          <w:szCs w:val="24"/>
        </w:rPr>
      </w:pPr>
    </w:p>
    <w:p w14:paraId="1E97F3AB" w14:textId="77777777" w:rsidR="00D8588F" w:rsidRPr="003B25B4" w:rsidRDefault="00D8588F" w:rsidP="00CC7E08">
      <w:pPr>
        <w:spacing w:after="0" w:line="480" w:lineRule="auto"/>
        <w:rPr>
          <w:rFonts w:asciiTheme="majorHAnsi" w:eastAsia="Times New Roman" w:hAnsiTheme="majorHAnsi" w:cstheme="majorHAnsi"/>
          <w:color w:val="auto"/>
          <w:szCs w:val="24"/>
        </w:rPr>
      </w:pPr>
    </w:p>
    <w:p w14:paraId="3D32704D" w14:textId="25AD915F" w:rsidR="005F6C26" w:rsidRPr="003B25B4" w:rsidRDefault="008E242B" w:rsidP="00CC7E08">
      <w:pPr>
        <w:pStyle w:val="Style1"/>
        <w:rPr>
          <w:rStyle w:val="BookTitle"/>
          <w:b/>
          <w:bCs w:val="0"/>
          <w:i w:val="0"/>
          <w:iCs w:val="0"/>
          <w:color w:val="auto"/>
          <w:spacing w:val="0"/>
        </w:rPr>
      </w:pPr>
      <w:r w:rsidRPr="003B25B4">
        <w:rPr>
          <w:rStyle w:val="BookTitle"/>
          <w:b/>
          <w:bCs w:val="0"/>
          <w:i w:val="0"/>
          <w:iCs w:val="0"/>
          <w:color w:val="auto"/>
          <w:spacing w:val="0"/>
        </w:rPr>
        <w:lastRenderedPageBreak/>
        <w:t>Introduction</w:t>
      </w:r>
      <w:r w:rsidR="00997346" w:rsidRPr="003B25B4">
        <w:rPr>
          <w:rStyle w:val="BookTitle"/>
          <w:b/>
          <w:bCs w:val="0"/>
          <w:i w:val="0"/>
          <w:iCs w:val="0"/>
          <w:color w:val="auto"/>
          <w:spacing w:val="0"/>
        </w:rPr>
        <w:t xml:space="preserve"> </w:t>
      </w:r>
    </w:p>
    <w:p w14:paraId="2A9FDDAC" w14:textId="467BAC3A" w:rsidR="00EC7EED" w:rsidRPr="003B25B4" w:rsidRDefault="00EC7EED" w:rsidP="00CC7E08">
      <w:pPr>
        <w:pStyle w:val="NoSpacing"/>
        <w:rPr>
          <w:color w:val="auto"/>
        </w:rPr>
      </w:pPr>
      <w:r w:rsidRPr="003B25B4">
        <w:rPr>
          <w:color w:val="auto"/>
        </w:rPr>
        <w:t>There are long-standing concerns in the UK and internationally about outcomes for children placed in out-of-home care (</w:t>
      </w:r>
      <w:r w:rsidR="00FA7B7E" w:rsidRPr="003B25B4">
        <w:rPr>
          <w:color w:val="auto"/>
        </w:rPr>
        <w:t xml:space="preserve">hereafter </w:t>
      </w:r>
      <w:r w:rsidRPr="003B25B4">
        <w:rPr>
          <w:color w:val="auto"/>
        </w:rPr>
        <w:t>referred to as</w:t>
      </w:r>
      <w:r w:rsidR="00BA3DE3" w:rsidRPr="003B25B4">
        <w:rPr>
          <w:color w:val="auto"/>
        </w:rPr>
        <w:t xml:space="preserve"> ‘in care’</w:t>
      </w:r>
      <w:r w:rsidRPr="003B25B4">
        <w:rPr>
          <w:color w:val="auto"/>
        </w:rPr>
        <w:t xml:space="preserve">), with children who are, or have been, in care </w:t>
      </w:r>
      <w:r w:rsidR="00BA3DE3" w:rsidRPr="003B25B4">
        <w:rPr>
          <w:color w:val="auto"/>
        </w:rPr>
        <w:t xml:space="preserve">more likely </w:t>
      </w:r>
      <w:r w:rsidRPr="003B25B4">
        <w:rPr>
          <w:color w:val="auto"/>
        </w:rPr>
        <w:t>to have poor</w:t>
      </w:r>
      <w:r w:rsidR="00F02B01" w:rsidRPr="003B25B4">
        <w:rPr>
          <w:color w:val="auto"/>
        </w:rPr>
        <w:t xml:space="preserve"> </w:t>
      </w:r>
      <w:r w:rsidRPr="003B25B4">
        <w:rPr>
          <w:color w:val="auto"/>
        </w:rPr>
        <w:t>educational attainment than their peers (</w:t>
      </w:r>
      <w:r w:rsidR="00ED0A98" w:rsidRPr="003B25B4">
        <w:rPr>
          <w:color w:val="auto"/>
        </w:rPr>
        <w:t>Heath et al</w:t>
      </w:r>
      <w:r w:rsidR="00E136B4" w:rsidRPr="003B25B4">
        <w:rPr>
          <w:color w:val="auto"/>
        </w:rPr>
        <w:t>.</w:t>
      </w:r>
      <w:r w:rsidR="00ED0A98" w:rsidRPr="003B25B4">
        <w:rPr>
          <w:color w:val="auto"/>
        </w:rPr>
        <w:t xml:space="preserve">, 1994; Viner </w:t>
      </w:r>
      <w:r w:rsidR="002D71D1" w:rsidRPr="003B25B4">
        <w:rPr>
          <w:color w:val="auto"/>
        </w:rPr>
        <w:t>and</w:t>
      </w:r>
      <w:r w:rsidR="00ED0A98" w:rsidRPr="003B25B4">
        <w:rPr>
          <w:color w:val="auto"/>
        </w:rPr>
        <w:t xml:space="preserve"> Taylor, 2005; </w:t>
      </w:r>
      <w:r w:rsidRPr="003B25B4">
        <w:rPr>
          <w:color w:val="auto"/>
        </w:rPr>
        <w:t>Stein, 2</w:t>
      </w:r>
      <w:r w:rsidR="00ED0A98" w:rsidRPr="003B25B4">
        <w:rPr>
          <w:color w:val="auto"/>
        </w:rPr>
        <w:t>012</w:t>
      </w:r>
      <w:r w:rsidRPr="003B25B4">
        <w:rPr>
          <w:color w:val="auto"/>
        </w:rPr>
        <w:t xml:space="preserve">; </w:t>
      </w:r>
      <w:r w:rsidR="00ED0A98" w:rsidRPr="003B25B4">
        <w:rPr>
          <w:color w:val="auto"/>
        </w:rPr>
        <w:t>Australian Institute for Health and Welfare, 2015</w:t>
      </w:r>
      <w:r w:rsidR="00E136B4" w:rsidRPr="003B25B4">
        <w:rPr>
          <w:color w:val="auto"/>
        </w:rPr>
        <w:t xml:space="preserve">; </w:t>
      </w:r>
      <w:r w:rsidR="003A212D" w:rsidRPr="003B25B4">
        <w:rPr>
          <w:color w:val="auto"/>
        </w:rPr>
        <w:t>O’</w:t>
      </w:r>
      <w:r w:rsidR="00ED0A98" w:rsidRPr="003B25B4">
        <w:rPr>
          <w:color w:val="auto"/>
        </w:rPr>
        <w:t>Higgins et al</w:t>
      </w:r>
      <w:r w:rsidR="00E136B4" w:rsidRPr="003B25B4">
        <w:rPr>
          <w:color w:val="auto"/>
        </w:rPr>
        <w:t>.,</w:t>
      </w:r>
      <w:r w:rsidR="00ED0A98" w:rsidRPr="003B25B4">
        <w:rPr>
          <w:color w:val="auto"/>
        </w:rPr>
        <w:t xml:space="preserve"> 2015</w:t>
      </w:r>
      <w:r w:rsidR="0092710D" w:rsidRPr="003B25B4">
        <w:rPr>
          <w:color w:val="auto"/>
        </w:rPr>
        <w:t>).</w:t>
      </w:r>
      <w:r w:rsidR="00BD5D1D">
        <w:rPr>
          <w:color w:val="auto"/>
        </w:rPr>
        <w:t xml:space="preserve"> </w:t>
      </w:r>
      <w:r w:rsidR="008E242B" w:rsidRPr="003B25B4">
        <w:rPr>
          <w:color w:val="auto"/>
        </w:rPr>
        <w:t>They have also been found to have poorer employment prospects, poorer health, higher rates of mental health problems, and to be over-represented in the prison and homeless populations (</w:t>
      </w:r>
      <w:r w:rsidR="002D71D1" w:rsidRPr="003B25B4">
        <w:rPr>
          <w:color w:val="auto"/>
        </w:rPr>
        <w:t xml:space="preserve">Meltzer et al., 2003; Ford et al., 2007; </w:t>
      </w:r>
      <w:r w:rsidR="008E242B" w:rsidRPr="003B25B4">
        <w:rPr>
          <w:color w:val="auto"/>
        </w:rPr>
        <w:t xml:space="preserve">Dixon, 2008; </w:t>
      </w:r>
      <w:r w:rsidR="002D71D1" w:rsidRPr="003B25B4">
        <w:rPr>
          <w:color w:val="auto"/>
        </w:rPr>
        <w:t xml:space="preserve">Centre for Social Justice, 2015; </w:t>
      </w:r>
      <w:proofErr w:type="spellStart"/>
      <w:r w:rsidR="002D71D1" w:rsidRPr="003B25B4">
        <w:rPr>
          <w:color w:val="auto"/>
        </w:rPr>
        <w:t>Goemans</w:t>
      </w:r>
      <w:proofErr w:type="spellEnd"/>
      <w:r w:rsidR="002D71D1" w:rsidRPr="003B25B4">
        <w:rPr>
          <w:color w:val="auto"/>
        </w:rPr>
        <w:t xml:space="preserve"> et al., 2016</w:t>
      </w:r>
      <w:r w:rsidR="008E242B" w:rsidRPr="003B25B4">
        <w:rPr>
          <w:color w:val="auto"/>
        </w:rPr>
        <w:t>).</w:t>
      </w:r>
      <w:r w:rsidR="00BD5D1D">
        <w:rPr>
          <w:color w:val="auto"/>
        </w:rPr>
        <w:t xml:space="preserve"> </w:t>
      </w:r>
      <w:r w:rsidR="008E242B" w:rsidRPr="003B25B4">
        <w:rPr>
          <w:color w:val="auto"/>
        </w:rPr>
        <w:t xml:space="preserve">Poorer longer-term outcomes are known to be associated with low educational attainment and progress, thus understanding and addressing the </w:t>
      </w:r>
      <w:r w:rsidR="00506A14" w:rsidRPr="003B25B4">
        <w:rPr>
          <w:color w:val="auto"/>
        </w:rPr>
        <w:t>factors that</w:t>
      </w:r>
      <w:r w:rsidR="008E242B" w:rsidRPr="003B25B4">
        <w:rPr>
          <w:color w:val="auto"/>
        </w:rPr>
        <w:t xml:space="preserve"> help or hinder educational outcomes</w:t>
      </w:r>
      <w:r w:rsidR="00333FFD" w:rsidRPr="003B25B4">
        <w:rPr>
          <w:color w:val="auto"/>
        </w:rPr>
        <w:t xml:space="preserve"> </w:t>
      </w:r>
      <w:r w:rsidR="00F02B01" w:rsidRPr="003B25B4">
        <w:rPr>
          <w:color w:val="auto"/>
        </w:rPr>
        <w:t xml:space="preserve">for children in care </w:t>
      </w:r>
      <w:r w:rsidR="00333FFD" w:rsidRPr="003B25B4">
        <w:rPr>
          <w:color w:val="auto"/>
        </w:rPr>
        <w:t>remains important</w:t>
      </w:r>
      <w:r w:rsidR="008E242B" w:rsidRPr="003B25B4">
        <w:rPr>
          <w:color w:val="auto"/>
        </w:rPr>
        <w:t>.</w:t>
      </w:r>
      <w:r w:rsidRPr="003B25B4">
        <w:rPr>
          <w:color w:val="auto"/>
        </w:rPr>
        <w:t xml:space="preserve">  </w:t>
      </w:r>
    </w:p>
    <w:p w14:paraId="08B8D388" w14:textId="77777777" w:rsidR="00EC7EED" w:rsidRPr="003B25B4" w:rsidRDefault="00EC7EED" w:rsidP="00CC7E08">
      <w:pPr>
        <w:pStyle w:val="NoSpacing"/>
        <w:rPr>
          <w:color w:val="auto"/>
        </w:rPr>
      </w:pPr>
    </w:p>
    <w:p w14:paraId="171596EF" w14:textId="314412B5" w:rsidR="00EC7EED" w:rsidRPr="003B25B4" w:rsidRDefault="001A32FC" w:rsidP="00CC7E08">
      <w:pPr>
        <w:pStyle w:val="NoSpacing"/>
        <w:rPr>
          <w:color w:val="auto"/>
        </w:rPr>
      </w:pPr>
      <w:r w:rsidRPr="003B25B4">
        <w:rPr>
          <w:color w:val="auto"/>
        </w:rPr>
        <w:t>Th</w:t>
      </w:r>
      <w:r w:rsidR="004477FA" w:rsidRPr="003B25B4">
        <w:rPr>
          <w:color w:val="auto"/>
        </w:rPr>
        <w:t>is</w:t>
      </w:r>
      <w:r w:rsidRPr="003B25B4">
        <w:rPr>
          <w:color w:val="auto"/>
        </w:rPr>
        <w:t xml:space="preserve"> evidence </w:t>
      </w:r>
      <w:r w:rsidR="000A3943" w:rsidRPr="003B25B4">
        <w:rPr>
          <w:color w:val="auto"/>
        </w:rPr>
        <w:t xml:space="preserve">of poor educational </w:t>
      </w:r>
      <w:r w:rsidR="006C0AEC" w:rsidRPr="003B25B4">
        <w:rPr>
          <w:color w:val="auto"/>
        </w:rPr>
        <w:t xml:space="preserve">attainment </w:t>
      </w:r>
      <w:r w:rsidR="000B2F61" w:rsidRPr="003B25B4">
        <w:rPr>
          <w:color w:val="auto"/>
        </w:rPr>
        <w:t>for children in care</w:t>
      </w:r>
      <w:r w:rsidR="0034508D" w:rsidRPr="003B25B4">
        <w:rPr>
          <w:color w:val="auto"/>
        </w:rPr>
        <w:t xml:space="preserve"> </w:t>
      </w:r>
      <w:r w:rsidR="005C6E73" w:rsidRPr="003B25B4">
        <w:rPr>
          <w:color w:val="auto"/>
        </w:rPr>
        <w:t xml:space="preserve">relative to </w:t>
      </w:r>
      <w:r w:rsidR="0034508D" w:rsidRPr="003B25B4">
        <w:rPr>
          <w:color w:val="auto"/>
        </w:rPr>
        <w:t xml:space="preserve">those </w:t>
      </w:r>
      <w:r w:rsidR="005C6E73" w:rsidRPr="003B25B4">
        <w:rPr>
          <w:color w:val="auto"/>
        </w:rPr>
        <w:t xml:space="preserve">in the general population </w:t>
      </w:r>
      <w:r w:rsidR="000A3943" w:rsidRPr="003B25B4">
        <w:rPr>
          <w:color w:val="auto"/>
        </w:rPr>
        <w:t>led to concerns</w:t>
      </w:r>
      <w:r w:rsidR="004477FA" w:rsidRPr="003B25B4">
        <w:rPr>
          <w:color w:val="auto"/>
        </w:rPr>
        <w:t xml:space="preserve"> </w:t>
      </w:r>
      <w:r w:rsidR="00606815" w:rsidRPr="003B25B4">
        <w:rPr>
          <w:color w:val="auto"/>
        </w:rPr>
        <w:t xml:space="preserve">that </w:t>
      </w:r>
      <w:r w:rsidR="008E242B" w:rsidRPr="003B25B4">
        <w:rPr>
          <w:color w:val="auto"/>
        </w:rPr>
        <w:t xml:space="preserve">the care system itself </w:t>
      </w:r>
      <w:r w:rsidR="0034508D" w:rsidRPr="003B25B4">
        <w:rPr>
          <w:color w:val="auto"/>
        </w:rPr>
        <w:t>might be</w:t>
      </w:r>
      <w:r w:rsidR="00F94732" w:rsidRPr="003B25B4">
        <w:rPr>
          <w:color w:val="auto"/>
        </w:rPr>
        <w:t xml:space="preserve"> detrimental to educational </w:t>
      </w:r>
      <w:r w:rsidR="00A2159C" w:rsidRPr="003B25B4">
        <w:rPr>
          <w:color w:val="auto"/>
        </w:rPr>
        <w:t>outcomes</w:t>
      </w:r>
      <w:r w:rsidR="008E242B" w:rsidRPr="003B25B4">
        <w:rPr>
          <w:color w:val="auto"/>
        </w:rPr>
        <w:t>.</w:t>
      </w:r>
      <w:r w:rsidR="00BD5D1D">
        <w:rPr>
          <w:color w:val="auto"/>
        </w:rPr>
        <w:t xml:space="preserve"> </w:t>
      </w:r>
      <w:r w:rsidR="001D0FBF" w:rsidRPr="003B25B4">
        <w:rPr>
          <w:color w:val="auto"/>
        </w:rPr>
        <w:t>However</w:t>
      </w:r>
      <w:r w:rsidR="00ED7A4F" w:rsidRPr="003B25B4">
        <w:rPr>
          <w:color w:val="auto"/>
        </w:rPr>
        <w:t>,</w:t>
      </w:r>
      <w:r w:rsidR="006A735C" w:rsidRPr="003B25B4">
        <w:rPr>
          <w:color w:val="auto"/>
        </w:rPr>
        <w:t xml:space="preserve"> </w:t>
      </w:r>
      <w:r w:rsidR="001D0FBF" w:rsidRPr="003B25B4">
        <w:rPr>
          <w:color w:val="auto"/>
        </w:rPr>
        <w:t>the relationship between being in care and education outcomes is complex</w:t>
      </w:r>
      <w:r w:rsidR="00E51E8F" w:rsidRPr="003B25B4">
        <w:rPr>
          <w:color w:val="auto"/>
        </w:rPr>
        <w:t xml:space="preserve">, and it is important to </w:t>
      </w:r>
      <w:r w:rsidR="005F6E27" w:rsidRPr="003B25B4">
        <w:rPr>
          <w:color w:val="auto"/>
        </w:rPr>
        <w:t>disentangle the impact of the care system</w:t>
      </w:r>
      <w:r w:rsidR="00025904" w:rsidRPr="003B25B4">
        <w:rPr>
          <w:color w:val="auto"/>
        </w:rPr>
        <w:t xml:space="preserve"> from the effects of the adverse circumstances that led to children’s admission to care</w:t>
      </w:r>
      <w:r w:rsidR="001D0FBF" w:rsidRPr="003B25B4">
        <w:rPr>
          <w:color w:val="auto"/>
        </w:rPr>
        <w:t>.</w:t>
      </w:r>
      <w:r w:rsidR="00BD5D1D">
        <w:rPr>
          <w:color w:val="auto"/>
        </w:rPr>
        <w:t xml:space="preserve"> </w:t>
      </w:r>
      <w:r w:rsidR="002C29B6" w:rsidRPr="003B25B4">
        <w:rPr>
          <w:color w:val="auto"/>
        </w:rPr>
        <w:t>While</w:t>
      </w:r>
      <w:r w:rsidRPr="003B25B4">
        <w:rPr>
          <w:color w:val="auto"/>
        </w:rPr>
        <w:t xml:space="preserve"> comparisons with the general population of children</w:t>
      </w:r>
      <w:r w:rsidR="002C29B6" w:rsidRPr="003B25B4">
        <w:rPr>
          <w:color w:val="auto"/>
        </w:rPr>
        <w:t xml:space="preserve"> </w:t>
      </w:r>
      <w:r w:rsidR="006B4517" w:rsidRPr="003B25B4">
        <w:rPr>
          <w:color w:val="auto"/>
        </w:rPr>
        <w:t xml:space="preserve">may </w:t>
      </w:r>
      <w:r w:rsidR="001D0FBF" w:rsidRPr="003B25B4">
        <w:rPr>
          <w:color w:val="auto"/>
        </w:rPr>
        <w:t xml:space="preserve">be helpful in </w:t>
      </w:r>
      <w:r w:rsidR="002C29B6" w:rsidRPr="003B25B4">
        <w:rPr>
          <w:color w:val="auto"/>
        </w:rPr>
        <w:t>encourag</w:t>
      </w:r>
      <w:r w:rsidR="001D0FBF" w:rsidRPr="003B25B4">
        <w:rPr>
          <w:color w:val="auto"/>
        </w:rPr>
        <w:t>ing</w:t>
      </w:r>
      <w:r w:rsidR="002C29B6" w:rsidRPr="003B25B4">
        <w:rPr>
          <w:color w:val="auto"/>
        </w:rPr>
        <w:t xml:space="preserve"> policy</w:t>
      </w:r>
      <w:r w:rsidR="00ED7A4F" w:rsidRPr="003B25B4">
        <w:rPr>
          <w:color w:val="auto"/>
        </w:rPr>
        <w:t xml:space="preserve"> </w:t>
      </w:r>
      <w:r w:rsidR="002C29B6" w:rsidRPr="003B25B4">
        <w:rPr>
          <w:color w:val="auto"/>
        </w:rPr>
        <w:t xml:space="preserve">makers and professionals to </w:t>
      </w:r>
      <w:r w:rsidR="003009EF" w:rsidRPr="003B25B4">
        <w:rPr>
          <w:color w:val="auto"/>
        </w:rPr>
        <w:t>aim higher f</w:t>
      </w:r>
      <w:r w:rsidR="00E12D0D" w:rsidRPr="003B25B4">
        <w:rPr>
          <w:color w:val="auto"/>
        </w:rPr>
        <w:t xml:space="preserve">or children in care, </w:t>
      </w:r>
      <w:r w:rsidR="005D4D32" w:rsidRPr="003B25B4">
        <w:rPr>
          <w:color w:val="auto"/>
        </w:rPr>
        <w:t xml:space="preserve">the relationship between being in care and educational performance is </w:t>
      </w:r>
      <w:r w:rsidR="007E13E9" w:rsidRPr="003B25B4">
        <w:rPr>
          <w:color w:val="auto"/>
        </w:rPr>
        <w:t xml:space="preserve">not </w:t>
      </w:r>
      <w:r w:rsidR="005D4D32" w:rsidRPr="003B25B4">
        <w:rPr>
          <w:color w:val="auto"/>
        </w:rPr>
        <w:t xml:space="preserve">directly causal, </w:t>
      </w:r>
      <w:r w:rsidR="007927ED" w:rsidRPr="003B25B4">
        <w:rPr>
          <w:color w:val="auto"/>
        </w:rPr>
        <w:t>as the difficulties that bring children into care may also contribute to their poor pro</w:t>
      </w:r>
      <w:r w:rsidR="005D4D32" w:rsidRPr="003B25B4">
        <w:rPr>
          <w:color w:val="auto"/>
        </w:rPr>
        <w:t>gress</w:t>
      </w:r>
      <w:r w:rsidR="00EC7EED" w:rsidRPr="003B25B4">
        <w:rPr>
          <w:color w:val="auto"/>
        </w:rPr>
        <w:t>.</w:t>
      </w:r>
    </w:p>
    <w:p w14:paraId="6652FFAF" w14:textId="77777777" w:rsidR="00404A61" w:rsidRPr="003B25B4" w:rsidRDefault="00404A61" w:rsidP="00CC7E08">
      <w:pPr>
        <w:pStyle w:val="NoSpacing"/>
        <w:rPr>
          <w:color w:val="auto"/>
        </w:rPr>
      </w:pPr>
    </w:p>
    <w:p w14:paraId="2D5F8A15" w14:textId="40B8054D" w:rsidR="000D03DF" w:rsidRPr="003B25B4" w:rsidRDefault="008A109E" w:rsidP="00CC7E08">
      <w:pPr>
        <w:pStyle w:val="NoSpacing"/>
        <w:rPr>
          <w:color w:val="auto"/>
        </w:rPr>
      </w:pPr>
      <w:r w:rsidRPr="003B25B4">
        <w:rPr>
          <w:color w:val="auto"/>
        </w:rPr>
        <w:lastRenderedPageBreak/>
        <w:t xml:space="preserve">Children </w:t>
      </w:r>
      <w:r w:rsidR="00D06B62" w:rsidRPr="003B25B4">
        <w:rPr>
          <w:color w:val="auto"/>
        </w:rPr>
        <w:t>placed in</w:t>
      </w:r>
      <w:r w:rsidRPr="003B25B4">
        <w:rPr>
          <w:color w:val="auto"/>
        </w:rPr>
        <w:t xml:space="preserve"> care</w:t>
      </w:r>
      <w:r w:rsidR="00B20B7F" w:rsidRPr="003B25B4">
        <w:rPr>
          <w:color w:val="auto"/>
        </w:rPr>
        <w:t xml:space="preserve"> are far more likely to have experienced abuse or neglect than</w:t>
      </w:r>
      <w:r w:rsidRPr="003B25B4">
        <w:rPr>
          <w:color w:val="auto"/>
        </w:rPr>
        <w:t xml:space="preserve"> other </w:t>
      </w:r>
      <w:r w:rsidR="00B20B7F" w:rsidRPr="003B25B4">
        <w:rPr>
          <w:color w:val="auto"/>
        </w:rPr>
        <w:t>children</w:t>
      </w:r>
      <w:r w:rsidR="00EC1186" w:rsidRPr="003B25B4">
        <w:rPr>
          <w:color w:val="auto"/>
        </w:rPr>
        <w:t xml:space="preserve"> and, </w:t>
      </w:r>
      <w:r w:rsidR="001A32FC" w:rsidRPr="003B25B4">
        <w:rPr>
          <w:color w:val="auto"/>
        </w:rPr>
        <w:t>in the UK and the USA,</w:t>
      </w:r>
      <w:r w:rsidR="00EC1186" w:rsidRPr="003B25B4">
        <w:rPr>
          <w:color w:val="auto"/>
        </w:rPr>
        <w:t xml:space="preserve"> the majority </w:t>
      </w:r>
      <w:r w:rsidR="00B56D60" w:rsidRPr="003B25B4">
        <w:rPr>
          <w:color w:val="auto"/>
        </w:rPr>
        <w:t>enter</w:t>
      </w:r>
      <w:r w:rsidR="00EC1186" w:rsidRPr="003B25B4">
        <w:rPr>
          <w:color w:val="auto"/>
        </w:rPr>
        <w:t xml:space="preserve"> care </w:t>
      </w:r>
      <w:r w:rsidR="00B56D60" w:rsidRPr="003B25B4">
        <w:rPr>
          <w:color w:val="auto"/>
        </w:rPr>
        <w:t xml:space="preserve">for </w:t>
      </w:r>
      <w:r w:rsidR="00EC1186" w:rsidRPr="003B25B4">
        <w:rPr>
          <w:color w:val="auto"/>
        </w:rPr>
        <w:t xml:space="preserve">precisely this reason </w:t>
      </w:r>
      <w:r w:rsidR="002D71D1" w:rsidRPr="003B25B4">
        <w:rPr>
          <w:color w:val="auto"/>
        </w:rPr>
        <w:t>(</w:t>
      </w:r>
      <w:r w:rsidR="00E136B4" w:rsidRPr="003B25B4">
        <w:rPr>
          <w:color w:val="auto"/>
        </w:rPr>
        <w:t>U</w:t>
      </w:r>
      <w:r w:rsidR="00392757" w:rsidRPr="003B25B4">
        <w:rPr>
          <w:color w:val="auto"/>
        </w:rPr>
        <w:t>.</w:t>
      </w:r>
      <w:r w:rsidR="00E136B4" w:rsidRPr="003B25B4">
        <w:rPr>
          <w:color w:val="auto"/>
        </w:rPr>
        <w:t>S</w:t>
      </w:r>
      <w:r w:rsidR="00392757" w:rsidRPr="003B25B4">
        <w:rPr>
          <w:color w:val="auto"/>
        </w:rPr>
        <w:t>.</w:t>
      </w:r>
      <w:r w:rsidR="002D71D1" w:rsidRPr="003B25B4">
        <w:rPr>
          <w:color w:val="auto"/>
        </w:rPr>
        <w:t xml:space="preserve"> Department of Health and Human Services, 2017; Department for Education, 2018</w:t>
      </w:r>
      <w:r w:rsidR="0015508F" w:rsidRPr="003B25B4">
        <w:rPr>
          <w:color w:val="auto"/>
        </w:rPr>
        <w:t>a</w:t>
      </w:r>
      <w:r w:rsidR="00EC1186" w:rsidRPr="003B25B4">
        <w:rPr>
          <w:color w:val="auto"/>
        </w:rPr>
        <w:t>).</w:t>
      </w:r>
      <w:r w:rsidR="00BD5D1D">
        <w:rPr>
          <w:color w:val="auto"/>
        </w:rPr>
        <w:t xml:space="preserve"> </w:t>
      </w:r>
      <w:r w:rsidR="00EC1186" w:rsidRPr="003B25B4">
        <w:rPr>
          <w:color w:val="auto"/>
        </w:rPr>
        <w:t xml:space="preserve">They </w:t>
      </w:r>
      <w:r w:rsidR="00487BD2" w:rsidRPr="003B25B4">
        <w:rPr>
          <w:color w:val="auto"/>
        </w:rPr>
        <w:t xml:space="preserve">are </w:t>
      </w:r>
      <w:r w:rsidRPr="003B25B4">
        <w:rPr>
          <w:color w:val="auto"/>
        </w:rPr>
        <w:t xml:space="preserve">also </w:t>
      </w:r>
      <w:r w:rsidR="00B20B7F" w:rsidRPr="003B25B4">
        <w:rPr>
          <w:color w:val="auto"/>
        </w:rPr>
        <w:t xml:space="preserve">more likely </w:t>
      </w:r>
      <w:r w:rsidR="00A71D47" w:rsidRPr="003B25B4">
        <w:rPr>
          <w:color w:val="auto"/>
        </w:rPr>
        <w:t xml:space="preserve">to </w:t>
      </w:r>
      <w:r w:rsidR="00B20B7F" w:rsidRPr="003B25B4">
        <w:rPr>
          <w:color w:val="auto"/>
        </w:rPr>
        <w:t xml:space="preserve">come from families </w:t>
      </w:r>
      <w:r w:rsidR="00D06B62" w:rsidRPr="003B25B4">
        <w:rPr>
          <w:color w:val="auto"/>
        </w:rPr>
        <w:t xml:space="preserve">experiencing poverty and deprivation </w:t>
      </w:r>
      <w:r w:rsidR="002D71D1" w:rsidRPr="003B25B4">
        <w:rPr>
          <w:color w:val="auto"/>
        </w:rPr>
        <w:t>(Bebbington and</w:t>
      </w:r>
      <w:r w:rsidR="00B20B7F" w:rsidRPr="003B25B4">
        <w:rPr>
          <w:color w:val="auto"/>
        </w:rPr>
        <w:t xml:space="preserve"> Miles, 1989; </w:t>
      </w:r>
      <w:proofErr w:type="spellStart"/>
      <w:r w:rsidR="00B20B7F" w:rsidRPr="003B25B4">
        <w:rPr>
          <w:color w:val="auto"/>
        </w:rPr>
        <w:t>Dregan</w:t>
      </w:r>
      <w:proofErr w:type="spellEnd"/>
      <w:r w:rsidR="00B20B7F" w:rsidRPr="003B25B4">
        <w:rPr>
          <w:color w:val="auto"/>
        </w:rPr>
        <w:t xml:space="preserve"> </w:t>
      </w:r>
      <w:r w:rsidR="00940456" w:rsidRPr="003B25B4">
        <w:rPr>
          <w:color w:val="auto"/>
        </w:rPr>
        <w:t>and</w:t>
      </w:r>
      <w:r w:rsidR="00B20B7F" w:rsidRPr="003B25B4">
        <w:rPr>
          <w:color w:val="auto"/>
        </w:rPr>
        <w:t xml:space="preserve"> </w:t>
      </w:r>
      <w:proofErr w:type="spellStart"/>
      <w:r w:rsidR="00B20B7F" w:rsidRPr="003B25B4">
        <w:rPr>
          <w:color w:val="auto"/>
        </w:rPr>
        <w:t>Gulliford</w:t>
      </w:r>
      <w:proofErr w:type="spellEnd"/>
      <w:r w:rsidR="00B20B7F" w:rsidRPr="003B25B4">
        <w:rPr>
          <w:color w:val="auto"/>
        </w:rPr>
        <w:t>, 2012</w:t>
      </w:r>
      <w:r w:rsidR="00EC7EED" w:rsidRPr="003B25B4">
        <w:rPr>
          <w:color w:val="auto"/>
        </w:rPr>
        <w:t>;</w:t>
      </w:r>
      <w:r w:rsidR="00B20B7F" w:rsidRPr="003B25B4">
        <w:rPr>
          <w:color w:val="auto"/>
        </w:rPr>
        <w:t xml:space="preserve"> </w:t>
      </w:r>
      <w:proofErr w:type="spellStart"/>
      <w:r w:rsidR="00B20B7F" w:rsidRPr="003B25B4">
        <w:rPr>
          <w:color w:val="auto"/>
        </w:rPr>
        <w:t>Bywaters</w:t>
      </w:r>
      <w:proofErr w:type="spellEnd"/>
      <w:r w:rsidR="00E136B4" w:rsidRPr="003B25B4">
        <w:rPr>
          <w:color w:val="auto"/>
        </w:rPr>
        <w:t xml:space="preserve"> et al.</w:t>
      </w:r>
      <w:r w:rsidR="005D7A16" w:rsidRPr="003B25B4">
        <w:rPr>
          <w:color w:val="auto"/>
        </w:rPr>
        <w:t>, 2018</w:t>
      </w:r>
      <w:r w:rsidR="00B20B7F" w:rsidRPr="003B25B4">
        <w:rPr>
          <w:color w:val="auto"/>
        </w:rPr>
        <w:t>).</w:t>
      </w:r>
      <w:r w:rsidR="001D0FBF" w:rsidRPr="003B25B4">
        <w:rPr>
          <w:color w:val="auto"/>
        </w:rPr>
        <w:t xml:space="preserve"> </w:t>
      </w:r>
      <w:r w:rsidR="00D06B62" w:rsidRPr="003B25B4">
        <w:rPr>
          <w:color w:val="auto"/>
        </w:rPr>
        <w:t>Since previous</w:t>
      </w:r>
      <w:r w:rsidR="001D0FBF" w:rsidRPr="003B25B4">
        <w:rPr>
          <w:color w:val="auto"/>
        </w:rPr>
        <w:t xml:space="preserve"> research has shown that both child maltreatment and poverty are independently </w:t>
      </w:r>
      <w:r w:rsidR="00B56D60" w:rsidRPr="003B25B4">
        <w:rPr>
          <w:color w:val="auto"/>
        </w:rPr>
        <w:t xml:space="preserve">associated </w:t>
      </w:r>
      <w:r w:rsidR="001D0FBF" w:rsidRPr="003B25B4">
        <w:rPr>
          <w:color w:val="auto"/>
        </w:rPr>
        <w:t>with poor educational outcomes</w:t>
      </w:r>
      <w:r w:rsidR="00D06B62" w:rsidRPr="003B25B4">
        <w:rPr>
          <w:color w:val="auto"/>
        </w:rPr>
        <w:t>, many children</w:t>
      </w:r>
      <w:r w:rsidR="000D03DF" w:rsidRPr="003B25B4">
        <w:rPr>
          <w:color w:val="auto"/>
        </w:rPr>
        <w:t xml:space="preserve"> </w:t>
      </w:r>
      <w:r w:rsidR="00323AA1" w:rsidRPr="003B25B4">
        <w:rPr>
          <w:color w:val="auto"/>
        </w:rPr>
        <w:t>who enter care</w:t>
      </w:r>
      <w:r w:rsidR="00D06B62" w:rsidRPr="003B25B4">
        <w:rPr>
          <w:color w:val="auto"/>
        </w:rPr>
        <w:t xml:space="preserve"> are </w:t>
      </w:r>
      <w:r w:rsidR="000D03DF" w:rsidRPr="003B25B4">
        <w:rPr>
          <w:color w:val="auto"/>
        </w:rPr>
        <w:t xml:space="preserve">already </w:t>
      </w:r>
      <w:r w:rsidR="00D06B62" w:rsidRPr="003B25B4">
        <w:rPr>
          <w:color w:val="auto"/>
        </w:rPr>
        <w:t xml:space="preserve">at higher risk of poor outcomes </w:t>
      </w:r>
      <w:r w:rsidR="00B75B52" w:rsidRPr="003B25B4">
        <w:rPr>
          <w:color w:val="auto"/>
        </w:rPr>
        <w:t xml:space="preserve">as a </w:t>
      </w:r>
      <w:r w:rsidR="00606D58" w:rsidRPr="003B25B4">
        <w:rPr>
          <w:color w:val="auto"/>
        </w:rPr>
        <w:t>result</w:t>
      </w:r>
      <w:r w:rsidR="00B75B52" w:rsidRPr="003B25B4">
        <w:rPr>
          <w:color w:val="auto"/>
        </w:rPr>
        <w:t xml:space="preserve"> of the adverse circumstances that </w:t>
      </w:r>
      <w:r w:rsidR="00606D58" w:rsidRPr="003B25B4">
        <w:rPr>
          <w:color w:val="auto"/>
        </w:rPr>
        <w:t>led to their admission to care.</w:t>
      </w:r>
    </w:p>
    <w:p w14:paraId="41CDB697" w14:textId="77777777" w:rsidR="000D03DF" w:rsidRPr="003B25B4" w:rsidRDefault="000D03DF" w:rsidP="00CC7E08">
      <w:pPr>
        <w:pStyle w:val="NoSpacing"/>
        <w:rPr>
          <w:color w:val="auto"/>
        </w:rPr>
      </w:pPr>
    </w:p>
    <w:p w14:paraId="5785116E" w14:textId="4548584F" w:rsidR="00487BD2" w:rsidRPr="003B25B4" w:rsidRDefault="000D03DF" w:rsidP="00CC7E08">
      <w:pPr>
        <w:pStyle w:val="NoSpacing"/>
        <w:rPr>
          <w:color w:val="auto"/>
        </w:rPr>
      </w:pPr>
      <w:r w:rsidRPr="003B25B4">
        <w:rPr>
          <w:color w:val="auto"/>
        </w:rPr>
        <w:t>S</w:t>
      </w:r>
      <w:r w:rsidR="002A2435" w:rsidRPr="003B25B4">
        <w:rPr>
          <w:color w:val="auto"/>
        </w:rPr>
        <w:t>tudies</w:t>
      </w:r>
      <w:r w:rsidRPr="003B25B4">
        <w:rPr>
          <w:color w:val="auto"/>
        </w:rPr>
        <w:t xml:space="preserve"> which</w:t>
      </w:r>
      <w:r w:rsidR="002A2435" w:rsidRPr="003B25B4">
        <w:rPr>
          <w:color w:val="auto"/>
        </w:rPr>
        <w:t xml:space="preserve"> have tried to </w:t>
      </w:r>
      <w:r w:rsidR="00813457" w:rsidRPr="003B25B4">
        <w:rPr>
          <w:color w:val="auto"/>
        </w:rPr>
        <w:t>overcome</w:t>
      </w:r>
      <w:r w:rsidR="00D06B62" w:rsidRPr="003B25B4">
        <w:rPr>
          <w:color w:val="auto"/>
        </w:rPr>
        <w:t xml:space="preserve"> </w:t>
      </w:r>
      <w:r w:rsidR="00BA3DE3" w:rsidRPr="003B25B4">
        <w:rPr>
          <w:color w:val="auto"/>
        </w:rPr>
        <w:t xml:space="preserve">this </w:t>
      </w:r>
      <w:r w:rsidR="002A2435" w:rsidRPr="003B25B4">
        <w:rPr>
          <w:color w:val="auto"/>
        </w:rPr>
        <w:t>selection bias by comparing children in care to others with similar demographic characteristics</w:t>
      </w:r>
      <w:r w:rsidR="004A4955" w:rsidRPr="003B25B4">
        <w:rPr>
          <w:color w:val="auto"/>
        </w:rPr>
        <w:t xml:space="preserve"> (</w:t>
      </w:r>
      <w:proofErr w:type="spellStart"/>
      <w:r w:rsidR="004A4955" w:rsidRPr="003B25B4">
        <w:rPr>
          <w:color w:val="auto"/>
        </w:rPr>
        <w:t>Farruggia</w:t>
      </w:r>
      <w:proofErr w:type="spellEnd"/>
      <w:r w:rsidR="004A4955" w:rsidRPr="003B25B4">
        <w:rPr>
          <w:color w:val="auto"/>
        </w:rPr>
        <w:t xml:space="preserve"> et al., 2006)</w:t>
      </w:r>
      <w:r w:rsidR="002A2435" w:rsidRPr="003B25B4">
        <w:rPr>
          <w:color w:val="auto"/>
        </w:rPr>
        <w:t xml:space="preserve"> </w:t>
      </w:r>
      <w:r w:rsidR="006B4517" w:rsidRPr="003B25B4">
        <w:rPr>
          <w:color w:val="auto"/>
        </w:rPr>
        <w:t>o</w:t>
      </w:r>
      <w:r w:rsidR="002A2435" w:rsidRPr="003B25B4">
        <w:rPr>
          <w:color w:val="auto"/>
        </w:rPr>
        <w:t>r socio-economic status</w:t>
      </w:r>
      <w:r w:rsidR="0078639F" w:rsidRPr="003B25B4">
        <w:rPr>
          <w:color w:val="auto"/>
        </w:rPr>
        <w:t xml:space="preserve"> (Pears et al., 2013</w:t>
      </w:r>
      <w:r w:rsidR="004A4955" w:rsidRPr="003B25B4">
        <w:rPr>
          <w:color w:val="auto"/>
        </w:rPr>
        <w:t>)</w:t>
      </w:r>
      <w:r w:rsidR="002A2435" w:rsidRPr="003B25B4">
        <w:rPr>
          <w:color w:val="auto"/>
        </w:rPr>
        <w:t xml:space="preserve">, </w:t>
      </w:r>
      <w:r w:rsidRPr="003B25B4">
        <w:rPr>
          <w:color w:val="auto"/>
        </w:rPr>
        <w:t xml:space="preserve">have reported a weaker </w:t>
      </w:r>
      <w:r w:rsidR="002A2435" w:rsidRPr="003B25B4">
        <w:rPr>
          <w:color w:val="auto"/>
        </w:rPr>
        <w:t xml:space="preserve">relationship between </w:t>
      </w:r>
      <w:r w:rsidRPr="003B25B4">
        <w:rPr>
          <w:color w:val="auto"/>
        </w:rPr>
        <w:t>placement</w:t>
      </w:r>
      <w:r w:rsidR="002A2435" w:rsidRPr="003B25B4">
        <w:rPr>
          <w:color w:val="auto"/>
        </w:rPr>
        <w:t xml:space="preserve"> and educational outcomes</w:t>
      </w:r>
      <w:r w:rsidR="006B4517" w:rsidRPr="003B25B4">
        <w:rPr>
          <w:color w:val="auto"/>
        </w:rPr>
        <w:t>. O</w:t>
      </w:r>
      <w:r w:rsidR="006D0A23" w:rsidRPr="003B25B4">
        <w:rPr>
          <w:color w:val="auto"/>
        </w:rPr>
        <w:t xml:space="preserve">thers </w:t>
      </w:r>
      <w:r w:rsidR="00457386" w:rsidRPr="003B25B4">
        <w:rPr>
          <w:color w:val="auto"/>
        </w:rPr>
        <w:t>have compar</w:t>
      </w:r>
      <w:r w:rsidR="006D0A23" w:rsidRPr="003B25B4">
        <w:rPr>
          <w:color w:val="auto"/>
        </w:rPr>
        <w:t>ed</w:t>
      </w:r>
      <w:r w:rsidR="00457386" w:rsidRPr="003B25B4">
        <w:rPr>
          <w:color w:val="auto"/>
        </w:rPr>
        <w:t xml:space="preserve"> </w:t>
      </w:r>
      <w:r w:rsidR="00487BD2" w:rsidRPr="003B25B4">
        <w:rPr>
          <w:color w:val="auto"/>
        </w:rPr>
        <w:t>them</w:t>
      </w:r>
      <w:r w:rsidR="00457386" w:rsidRPr="003B25B4">
        <w:rPr>
          <w:color w:val="auto"/>
        </w:rPr>
        <w:t xml:space="preserve"> to </w:t>
      </w:r>
      <w:r w:rsidR="0092070E" w:rsidRPr="003B25B4">
        <w:rPr>
          <w:color w:val="auto"/>
        </w:rPr>
        <w:t>children</w:t>
      </w:r>
      <w:r w:rsidR="00457386" w:rsidRPr="003B25B4">
        <w:rPr>
          <w:color w:val="auto"/>
        </w:rPr>
        <w:t xml:space="preserve"> </w:t>
      </w:r>
      <w:r w:rsidR="00C02815" w:rsidRPr="003B25B4">
        <w:rPr>
          <w:color w:val="auto"/>
        </w:rPr>
        <w:t>involved with child welfare services who remain at home</w:t>
      </w:r>
      <w:r w:rsidR="00813457" w:rsidRPr="003B25B4">
        <w:rPr>
          <w:color w:val="auto"/>
        </w:rPr>
        <w:t>, with</w:t>
      </w:r>
      <w:r w:rsidR="00323F04" w:rsidRPr="003B25B4">
        <w:rPr>
          <w:color w:val="auto"/>
        </w:rPr>
        <w:t xml:space="preserve"> </w:t>
      </w:r>
      <w:r w:rsidR="00813457" w:rsidRPr="003B25B4">
        <w:rPr>
          <w:color w:val="auto"/>
        </w:rPr>
        <w:t>a</w:t>
      </w:r>
      <w:r w:rsidR="009D2B42" w:rsidRPr="003B25B4">
        <w:rPr>
          <w:color w:val="auto"/>
        </w:rPr>
        <w:t>n early</w:t>
      </w:r>
      <w:r w:rsidR="00FD7C03" w:rsidRPr="003B25B4">
        <w:rPr>
          <w:color w:val="auto"/>
        </w:rPr>
        <w:t xml:space="preserve"> English stud</w:t>
      </w:r>
      <w:r w:rsidR="000B031A" w:rsidRPr="003B25B4">
        <w:rPr>
          <w:color w:val="auto"/>
        </w:rPr>
        <w:t>y</w:t>
      </w:r>
      <w:r w:rsidR="00205A5A" w:rsidRPr="003B25B4">
        <w:rPr>
          <w:color w:val="auto"/>
        </w:rPr>
        <w:t xml:space="preserve"> f</w:t>
      </w:r>
      <w:r w:rsidR="00813457" w:rsidRPr="003B25B4">
        <w:rPr>
          <w:color w:val="auto"/>
        </w:rPr>
        <w:t>inding</w:t>
      </w:r>
      <w:r w:rsidR="00205A5A" w:rsidRPr="003B25B4">
        <w:rPr>
          <w:color w:val="auto"/>
        </w:rPr>
        <w:t xml:space="preserve"> that </w:t>
      </w:r>
      <w:r w:rsidR="00FD7C03" w:rsidRPr="003B25B4">
        <w:rPr>
          <w:color w:val="auto"/>
        </w:rPr>
        <w:t xml:space="preserve">foster children performed no worse than </w:t>
      </w:r>
      <w:r w:rsidR="007F7B43" w:rsidRPr="003B25B4">
        <w:rPr>
          <w:color w:val="auto"/>
        </w:rPr>
        <w:t xml:space="preserve">a </w:t>
      </w:r>
      <w:r w:rsidR="00FD7C03" w:rsidRPr="003B25B4">
        <w:rPr>
          <w:color w:val="auto"/>
        </w:rPr>
        <w:t>comparison group</w:t>
      </w:r>
      <w:r w:rsidR="007F7B43" w:rsidRPr="003B25B4">
        <w:rPr>
          <w:color w:val="auto"/>
        </w:rPr>
        <w:t xml:space="preserve"> receiving soci</w:t>
      </w:r>
      <w:r w:rsidR="00205A5A" w:rsidRPr="003B25B4">
        <w:rPr>
          <w:color w:val="auto"/>
        </w:rPr>
        <w:t>al work support in the community</w:t>
      </w:r>
      <w:r w:rsidR="00813457" w:rsidRPr="003B25B4">
        <w:rPr>
          <w:color w:val="auto"/>
        </w:rPr>
        <w:t>.</w:t>
      </w:r>
      <w:r w:rsidR="00205A5A" w:rsidRPr="003B25B4">
        <w:rPr>
          <w:color w:val="auto"/>
        </w:rPr>
        <w:t xml:space="preserve"> </w:t>
      </w:r>
      <w:r w:rsidR="00813457" w:rsidRPr="003B25B4">
        <w:rPr>
          <w:color w:val="auto"/>
        </w:rPr>
        <w:t xml:space="preserve">It </w:t>
      </w:r>
      <w:r w:rsidR="00487BD2" w:rsidRPr="003B25B4">
        <w:rPr>
          <w:color w:val="auto"/>
        </w:rPr>
        <w:t xml:space="preserve">concluded </w:t>
      </w:r>
      <w:r w:rsidR="00205A5A" w:rsidRPr="003B25B4">
        <w:rPr>
          <w:color w:val="auto"/>
        </w:rPr>
        <w:t>that</w:t>
      </w:r>
      <w:r w:rsidR="00487BD2" w:rsidRPr="003B25B4">
        <w:rPr>
          <w:color w:val="auto"/>
        </w:rPr>
        <w:t>,</w:t>
      </w:r>
      <w:r w:rsidR="00205A5A" w:rsidRPr="003B25B4">
        <w:rPr>
          <w:color w:val="auto"/>
        </w:rPr>
        <w:t xml:space="preserve"> </w:t>
      </w:r>
      <w:r w:rsidR="00487BD2" w:rsidRPr="003B25B4">
        <w:rPr>
          <w:color w:val="auto"/>
        </w:rPr>
        <w:t>w</w:t>
      </w:r>
      <w:r w:rsidR="00205A5A" w:rsidRPr="003B25B4">
        <w:rPr>
          <w:color w:val="auto"/>
        </w:rPr>
        <w:t>hile</w:t>
      </w:r>
      <w:r w:rsidR="000B031A" w:rsidRPr="003B25B4">
        <w:rPr>
          <w:color w:val="auto"/>
        </w:rPr>
        <w:t xml:space="preserve"> care did not appear to compensate children for prior educational disadvantage, </w:t>
      </w:r>
      <w:r w:rsidR="00BA3DE3" w:rsidRPr="003B25B4">
        <w:rPr>
          <w:color w:val="auto"/>
        </w:rPr>
        <w:t xml:space="preserve">nor was it </w:t>
      </w:r>
      <w:r w:rsidR="000B031A" w:rsidRPr="003B25B4">
        <w:rPr>
          <w:color w:val="auto"/>
        </w:rPr>
        <w:t xml:space="preserve">the cause of their poor educational achievement </w:t>
      </w:r>
      <w:r w:rsidR="00FD7C03" w:rsidRPr="003B25B4">
        <w:rPr>
          <w:color w:val="auto"/>
        </w:rPr>
        <w:t>(Heath et al</w:t>
      </w:r>
      <w:r w:rsidR="000154EF" w:rsidRPr="003B25B4">
        <w:rPr>
          <w:color w:val="auto"/>
        </w:rPr>
        <w:t>.,</w:t>
      </w:r>
      <w:r w:rsidR="00FD7C03" w:rsidRPr="003B25B4">
        <w:rPr>
          <w:color w:val="auto"/>
        </w:rPr>
        <w:t xml:space="preserve"> 1994).</w:t>
      </w:r>
      <w:r w:rsidR="00BD5D1D">
        <w:rPr>
          <w:color w:val="auto"/>
        </w:rPr>
        <w:t xml:space="preserve"> </w:t>
      </w:r>
      <w:r w:rsidR="008501B0" w:rsidRPr="003B25B4">
        <w:rPr>
          <w:color w:val="auto"/>
        </w:rPr>
        <w:t xml:space="preserve">A later Scottish study came to somewhat more positive conclusions, finding that although children in care </w:t>
      </w:r>
      <w:r w:rsidRPr="003B25B4">
        <w:rPr>
          <w:color w:val="auto"/>
        </w:rPr>
        <w:t>(age</w:t>
      </w:r>
      <w:r w:rsidR="00D20E9D" w:rsidRPr="003B25B4">
        <w:rPr>
          <w:color w:val="auto"/>
        </w:rPr>
        <w:t>d</w:t>
      </w:r>
      <w:r w:rsidRPr="003B25B4">
        <w:rPr>
          <w:color w:val="auto"/>
        </w:rPr>
        <w:t xml:space="preserve"> 15 or over) </w:t>
      </w:r>
      <w:r w:rsidR="00813457" w:rsidRPr="003B25B4">
        <w:rPr>
          <w:color w:val="auto"/>
        </w:rPr>
        <w:t xml:space="preserve">scored </w:t>
      </w:r>
      <w:r w:rsidR="008501B0" w:rsidRPr="003B25B4">
        <w:rPr>
          <w:color w:val="auto"/>
        </w:rPr>
        <w:t>worse than those in the general population, the</w:t>
      </w:r>
      <w:r w:rsidR="00813457" w:rsidRPr="003B25B4">
        <w:rPr>
          <w:color w:val="auto"/>
        </w:rPr>
        <w:t>y</w:t>
      </w:r>
      <w:r w:rsidR="008501B0" w:rsidRPr="003B25B4">
        <w:rPr>
          <w:color w:val="auto"/>
        </w:rPr>
        <w:t xml:space="preserve"> score</w:t>
      </w:r>
      <w:r w:rsidR="00813457" w:rsidRPr="003B25B4">
        <w:rPr>
          <w:color w:val="auto"/>
        </w:rPr>
        <w:t>d</w:t>
      </w:r>
      <w:r w:rsidR="008501B0" w:rsidRPr="003B25B4">
        <w:rPr>
          <w:color w:val="auto"/>
        </w:rPr>
        <w:t xml:space="preserve"> better than other high-risk children supported at home by social services</w:t>
      </w:r>
      <w:r w:rsidR="004A4955" w:rsidRPr="003B25B4">
        <w:rPr>
          <w:color w:val="auto"/>
        </w:rPr>
        <w:t xml:space="preserve"> (McClung and Gayle, 2010).</w:t>
      </w:r>
      <w:r w:rsidR="00BD5D1D">
        <w:rPr>
          <w:color w:val="auto"/>
        </w:rPr>
        <w:t xml:space="preserve"> </w:t>
      </w:r>
      <w:r w:rsidR="008501B0" w:rsidRPr="003B25B4">
        <w:rPr>
          <w:color w:val="auto"/>
        </w:rPr>
        <w:t>More recently</w:t>
      </w:r>
      <w:r w:rsidR="009B078D" w:rsidRPr="003B25B4">
        <w:rPr>
          <w:color w:val="auto"/>
        </w:rPr>
        <w:t xml:space="preserve">, </w:t>
      </w:r>
      <w:r w:rsidR="006950E5" w:rsidRPr="003B25B4">
        <w:rPr>
          <w:color w:val="auto"/>
        </w:rPr>
        <w:t xml:space="preserve">an </w:t>
      </w:r>
      <w:r w:rsidRPr="003B25B4">
        <w:rPr>
          <w:color w:val="auto"/>
        </w:rPr>
        <w:t xml:space="preserve">analysis of </w:t>
      </w:r>
      <w:r w:rsidR="003A54D0" w:rsidRPr="003B25B4">
        <w:rPr>
          <w:color w:val="auto"/>
        </w:rPr>
        <w:t>exam</w:t>
      </w:r>
      <w:r w:rsidR="00CE502B" w:rsidRPr="003B25B4">
        <w:rPr>
          <w:color w:val="auto"/>
        </w:rPr>
        <w:t>ination</w:t>
      </w:r>
      <w:r w:rsidR="003A54D0" w:rsidRPr="003B25B4">
        <w:rPr>
          <w:color w:val="auto"/>
        </w:rPr>
        <w:t xml:space="preserve"> results </w:t>
      </w:r>
      <w:r w:rsidR="00813457" w:rsidRPr="003B25B4">
        <w:rPr>
          <w:color w:val="auto"/>
        </w:rPr>
        <w:t xml:space="preserve">of all children </w:t>
      </w:r>
      <w:r w:rsidR="00D06B62" w:rsidRPr="003B25B4">
        <w:rPr>
          <w:color w:val="auto"/>
        </w:rPr>
        <w:t>at age 16</w:t>
      </w:r>
      <w:r w:rsidR="00F63F9D" w:rsidRPr="003B25B4">
        <w:rPr>
          <w:color w:val="auto"/>
        </w:rPr>
        <w:t xml:space="preserve"> (GCSEs)</w:t>
      </w:r>
      <w:r w:rsidR="00D06B62" w:rsidRPr="003B25B4">
        <w:rPr>
          <w:color w:val="auto"/>
        </w:rPr>
        <w:t xml:space="preserve"> </w:t>
      </w:r>
      <w:r w:rsidRPr="003B25B4">
        <w:rPr>
          <w:color w:val="auto"/>
        </w:rPr>
        <w:t xml:space="preserve">found that although children in care had significantly lower average points scores than children in the wider population, those continuously in care for </w:t>
      </w:r>
      <w:r w:rsidRPr="003B25B4">
        <w:rPr>
          <w:color w:val="auto"/>
        </w:rPr>
        <w:lastRenderedPageBreak/>
        <w:t>one year or more performed better in exam</w:t>
      </w:r>
      <w:r w:rsidR="0092070E" w:rsidRPr="003B25B4">
        <w:rPr>
          <w:color w:val="auto"/>
        </w:rPr>
        <w:t>ination</w:t>
      </w:r>
      <w:r w:rsidRPr="003B25B4">
        <w:rPr>
          <w:color w:val="auto"/>
        </w:rPr>
        <w:t xml:space="preserve">s than ‘children in need,’ </w:t>
      </w:r>
      <w:r w:rsidR="007B095C" w:rsidRPr="003B25B4">
        <w:rPr>
          <w:color w:val="auto"/>
        </w:rPr>
        <w:t xml:space="preserve">who </w:t>
      </w:r>
      <w:r w:rsidR="00BA3DE3" w:rsidRPr="003B25B4">
        <w:rPr>
          <w:color w:val="auto"/>
        </w:rPr>
        <w:t xml:space="preserve">received home-based services </w:t>
      </w:r>
      <w:r w:rsidR="009D2B42" w:rsidRPr="003B25B4">
        <w:rPr>
          <w:color w:val="auto"/>
        </w:rPr>
        <w:t>(</w:t>
      </w:r>
      <w:proofErr w:type="spellStart"/>
      <w:r w:rsidR="009D2B42" w:rsidRPr="003B25B4">
        <w:rPr>
          <w:color w:val="auto"/>
        </w:rPr>
        <w:t>Sebba</w:t>
      </w:r>
      <w:proofErr w:type="spellEnd"/>
      <w:r w:rsidR="009D2B42" w:rsidRPr="003B25B4">
        <w:rPr>
          <w:color w:val="auto"/>
        </w:rPr>
        <w:t xml:space="preserve"> et al.</w:t>
      </w:r>
      <w:r w:rsidR="00940456" w:rsidRPr="003B25B4">
        <w:rPr>
          <w:color w:val="auto"/>
        </w:rPr>
        <w:t>,</w:t>
      </w:r>
      <w:r w:rsidR="009D2B42" w:rsidRPr="003B25B4">
        <w:rPr>
          <w:color w:val="auto"/>
        </w:rPr>
        <w:t xml:space="preserve"> 2015)</w:t>
      </w:r>
      <w:r w:rsidR="00055953" w:rsidRPr="003B25B4">
        <w:rPr>
          <w:color w:val="auto"/>
        </w:rPr>
        <w:t>.</w:t>
      </w:r>
      <w:r w:rsidR="009D2B42" w:rsidRPr="003B25B4">
        <w:rPr>
          <w:color w:val="auto"/>
        </w:rPr>
        <w:t xml:space="preserve"> </w:t>
      </w:r>
      <w:r w:rsidR="006950E5" w:rsidRPr="003B25B4">
        <w:rPr>
          <w:color w:val="auto"/>
        </w:rPr>
        <w:t>Children</w:t>
      </w:r>
      <w:r w:rsidR="00134F40" w:rsidRPr="003B25B4">
        <w:rPr>
          <w:color w:val="auto"/>
        </w:rPr>
        <w:t xml:space="preserve"> in care for less than a year performed worst of all</w:t>
      </w:r>
      <w:r w:rsidR="002554A9" w:rsidRPr="003B25B4">
        <w:rPr>
          <w:color w:val="auto"/>
        </w:rPr>
        <w:t>, a finding consistent with a</w:t>
      </w:r>
      <w:r w:rsidRPr="003B25B4">
        <w:rPr>
          <w:color w:val="auto"/>
        </w:rPr>
        <w:t xml:space="preserve">nother </w:t>
      </w:r>
      <w:r w:rsidR="00134F40" w:rsidRPr="003B25B4">
        <w:rPr>
          <w:color w:val="auto"/>
        </w:rPr>
        <w:t xml:space="preserve">study </w:t>
      </w:r>
      <w:r w:rsidR="002554A9" w:rsidRPr="003B25B4">
        <w:rPr>
          <w:color w:val="auto"/>
        </w:rPr>
        <w:t>which</w:t>
      </w:r>
      <w:r w:rsidR="00134F40" w:rsidRPr="003B25B4">
        <w:rPr>
          <w:color w:val="auto"/>
        </w:rPr>
        <w:t xml:space="preserve"> reported better educational outcomes for adolescents in long-term foster placements</w:t>
      </w:r>
      <w:r w:rsidR="004A4955" w:rsidRPr="003B25B4">
        <w:rPr>
          <w:color w:val="auto"/>
        </w:rPr>
        <w:t xml:space="preserve"> (Dixon et al., 2006).</w:t>
      </w:r>
      <w:r w:rsidR="008501B0" w:rsidRPr="003B25B4">
        <w:rPr>
          <w:color w:val="auto"/>
        </w:rPr>
        <w:t xml:space="preserve"> </w:t>
      </w:r>
      <w:r w:rsidR="006A6B62" w:rsidRPr="003B25B4">
        <w:rPr>
          <w:color w:val="auto"/>
        </w:rPr>
        <w:t xml:space="preserve">  </w:t>
      </w:r>
    </w:p>
    <w:p w14:paraId="6BDCC186" w14:textId="77777777" w:rsidR="00937564" w:rsidRPr="003B25B4" w:rsidRDefault="00937564" w:rsidP="00CC7E08">
      <w:pPr>
        <w:pStyle w:val="NoSpacing"/>
        <w:rPr>
          <w:color w:val="auto"/>
        </w:rPr>
      </w:pPr>
    </w:p>
    <w:p w14:paraId="0E9906DE" w14:textId="1485A1BB" w:rsidR="00EB37EB" w:rsidRPr="003B25B4" w:rsidRDefault="00937564" w:rsidP="00CC7E08">
      <w:pPr>
        <w:pStyle w:val="NoSpacing"/>
        <w:rPr>
          <w:color w:val="auto"/>
        </w:rPr>
      </w:pPr>
      <w:r w:rsidRPr="003B25B4">
        <w:rPr>
          <w:color w:val="auto"/>
        </w:rPr>
        <w:t xml:space="preserve">Some </w:t>
      </w:r>
      <w:r w:rsidR="00EB37EB" w:rsidRPr="003B25B4">
        <w:rPr>
          <w:color w:val="auto"/>
        </w:rPr>
        <w:t xml:space="preserve">studies </w:t>
      </w:r>
      <w:r w:rsidR="00BA3DE3" w:rsidRPr="003B25B4">
        <w:rPr>
          <w:color w:val="auto"/>
        </w:rPr>
        <w:t xml:space="preserve">in the USA and Australia </w:t>
      </w:r>
      <w:r w:rsidR="006D0A23" w:rsidRPr="003B25B4">
        <w:rPr>
          <w:color w:val="auto"/>
        </w:rPr>
        <w:t>which</w:t>
      </w:r>
      <w:r w:rsidR="000D03DF" w:rsidRPr="003B25B4">
        <w:rPr>
          <w:color w:val="auto"/>
        </w:rPr>
        <w:t xml:space="preserve"> </w:t>
      </w:r>
      <w:r w:rsidR="003A4728" w:rsidRPr="003B25B4">
        <w:rPr>
          <w:color w:val="auto"/>
        </w:rPr>
        <w:t>compar</w:t>
      </w:r>
      <w:r w:rsidR="006D0A23" w:rsidRPr="003B25B4">
        <w:rPr>
          <w:color w:val="auto"/>
        </w:rPr>
        <w:t>ed</w:t>
      </w:r>
      <w:r w:rsidR="003A4728" w:rsidRPr="003B25B4">
        <w:rPr>
          <w:color w:val="auto"/>
        </w:rPr>
        <w:t xml:space="preserve"> </w:t>
      </w:r>
      <w:r w:rsidR="00C02815" w:rsidRPr="003B25B4">
        <w:rPr>
          <w:color w:val="auto"/>
        </w:rPr>
        <w:t xml:space="preserve">children in care to other child welfare-involved children found </w:t>
      </w:r>
      <w:r w:rsidR="009D2B42" w:rsidRPr="003B25B4">
        <w:rPr>
          <w:color w:val="auto"/>
        </w:rPr>
        <w:t xml:space="preserve">no differences in academic performance </w:t>
      </w:r>
      <w:r w:rsidR="00C02815" w:rsidRPr="003B25B4">
        <w:rPr>
          <w:color w:val="auto"/>
        </w:rPr>
        <w:t xml:space="preserve">after controlling for differences between the groups </w:t>
      </w:r>
      <w:r w:rsidR="00DD07CB" w:rsidRPr="003B25B4">
        <w:rPr>
          <w:color w:val="auto"/>
        </w:rPr>
        <w:t>(Font and Maguire-</w:t>
      </w:r>
      <w:r w:rsidR="00C02815" w:rsidRPr="003B25B4">
        <w:rPr>
          <w:color w:val="auto"/>
        </w:rPr>
        <w:t>Jack</w:t>
      </w:r>
      <w:r w:rsidR="00F63F9D" w:rsidRPr="003B25B4">
        <w:rPr>
          <w:color w:val="auto"/>
        </w:rPr>
        <w:t>,</w:t>
      </w:r>
      <w:r w:rsidR="00C02815" w:rsidRPr="003B25B4">
        <w:rPr>
          <w:color w:val="auto"/>
        </w:rPr>
        <w:t xml:space="preserve"> 2013</w:t>
      </w:r>
      <w:r w:rsidR="006D0A23" w:rsidRPr="003B25B4">
        <w:rPr>
          <w:color w:val="auto"/>
        </w:rPr>
        <w:t>; Berger et al</w:t>
      </w:r>
      <w:r w:rsidR="0092070E" w:rsidRPr="003B25B4">
        <w:rPr>
          <w:color w:val="auto"/>
        </w:rPr>
        <w:t>.,</w:t>
      </w:r>
      <w:r w:rsidR="006D0A23" w:rsidRPr="003B25B4">
        <w:rPr>
          <w:color w:val="auto"/>
        </w:rPr>
        <w:t xml:space="preserve"> 2015)</w:t>
      </w:r>
      <w:r w:rsidR="0092070E" w:rsidRPr="003B25B4">
        <w:rPr>
          <w:color w:val="auto"/>
        </w:rPr>
        <w:t>,</w:t>
      </w:r>
      <w:r w:rsidR="00EB37EB" w:rsidRPr="003B25B4">
        <w:rPr>
          <w:color w:val="auto"/>
        </w:rPr>
        <w:t xml:space="preserve"> </w:t>
      </w:r>
      <w:r w:rsidR="0092070E" w:rsidRPr="003B25B4">
        <w:rPr>
          <w:color w:val="auto"/>
        </w:rPr>
        <w:t>although</w:t>
      </w:r>
      <w:r w:rsidR="00EB37EB" w:rsidRPr="003B25B4">
        <w:rPr>
          <w:color w:val="auto"/>
        </w:rPr>
        <w:t xml:space="preserve"> others </w:t>
      </w:r>
      <w:r w:rsidR="0092070E" w:rsidRPr="003B25B4">
        <w:rPr>
          <w:color w:val="auto"/>
        </w:rPr>
        <w:t>found</w:t>
      </w:r>
      <w:r w:rsidR="00EB37EB" w:rsidRPr="003B25B4">
        <w:rPr>
          <w:color w:val="auto"/>
        </w:rPr>
        <w:t xml:space="preserve"> their educational performance was worse than that of the comparison group (Weiss and </w:t>
      </w:r>
      <w:proofErr w:type="spellStart"/>
      <w:r w:rsidR="00EB37EB" w:rsidRPr="003B25B4">
        <w:rPr>
          <w:color w:val="auto"/>
        </w:rPr>
        <w:t>Fantuzzo</w:t>
      </w:r>
      <w:proofErr w:type="spellEnd"/>
      <w:r w:rsidR="0092070E" w:rsidRPr="003B25B4">
        <w:rPr>
          <w:color w:val="auto"/>
        </w:rPr>
        <w:t>,</w:t>
      </w:r>
      <w:r w:rsidR="00EB37EB" w:rsidRPr="003B25B4">
        <w:rPr>
          <w:color w:val="auto"/>
        </w:rPr>
        <w:t xml:space="preserve"> 2001; </w:t>
      </w:r>
      <w:proofErr w:type="spellStart"/>
      <w:r w:rsidR="00EB37EB" w:rsidRPr="003B25B4">
        <w:rPr>
          <w:color w:val="auto"/>
        </w:rPr>
        <w:t>Smithgall</w:t>
      </w:r>
      <w:proofErr w:type="spellEnd"/>
      <w:r w:rsidR="00EB37EB" w:rsidRPr="003B25B4">
        <w:rPr>
          <w:color w:val="auto"/>
        </w:rPr>
        <w:t xml:space="preserve"> et al</w:t>
      </w:r>
      <w:r w:rsidR="0092070E" w:rsidRPr="003B25B4">
        <w:rPr>
          <w:color w:val="auto"/>
        </w:rPr>
        <w:t>.,</w:t>
      </w:r>
      <w:r w:rsidR="00EB37EB" w:rsidRPr="003B25B4">
        <w:rPr>
          <w:color w:val="auto"/>
        </w:rPr>
        <w:t xml:space="preserve"> 2004)</w:t>
      </w:r>
      <w:r w:rsidR="006D0A23" w:rsidRPr="003B25B4">
        <w:rPr>
          <w:color w:val="auto"/>
        </w:rPr>
        <w:t xml:space="preserve">. </w:t>
      </w:r>
      <w:r w:rsidR="00E13E5D" w:rsidRPr="003B25B4">
        <w:rPr>
          <w:color w:val="auto"/>
        </w:rPr>
        <w:t>However, an American study which compared children in care to other</w:t>
      </w:r>
      <w:r w:rsidRPr="003B25B4">
        <w:rPr>
          <w:color w:val="auto"/>
        </w:rPr>
        <w:t>s</w:t>
      </w:r>
      <w:r w:rsidR="00A202F5" w:rsidRPr="003B25B4">
        <w:rPr>
          <w:color w:val="auto"/>
        </w:rPr>
        <w:t xml:space="preserve"> in the community, including</w:t>
      </w:r>
      <w:r w:rsidR="00E13E5D" w:rsidRPr="003B25B4">
        <w:rPr>
          <w:color w:val="auto"/>
        </w:rPr>
        <w:t xml:space="preserve"> maltreated children </w:t>
      </w:r>
      <w:r w:rsidR="00A202F5" w:rsidRPr="003B25B4">
        <w:rPr>
          <w:color w:val="auto"/>
        </w:rPr>
        <w:t xml:space="preserve">not in care, </w:t>
      </w:r>
      <w:r w:rsidR="00E13E5D" w:rsidRPr="003B25B4">
        <w:rPr>
          <w:color w:val="auto"/>
        </w:rPr>
        <w:t xml:space="preserve">reported that children’s test scores </w:t>
      </w:r>
      <w:r w:rsidR="00A202F5" w:rsidRPr="003B25B4">
        <w:rPr>
          <w:color w:val="auto"/>
        </w:rPr>
        <w:t xml:space="preserve">on various measures </w:t>
      </w:r>
      <w:r w:rsidR="00E13E5D" w:rsidRPr="003B25B4">
        <w:rPr>
          <w:color w:val="auto"/>
        </w:rPr>
        <w:t xml:space="preserve">were </w:t>
      </w:r>
      <w:r w:rsidR="00A202F5" w:rsidRPr="003B25B4">
        <w:rPr>
          <w:color w:val="auto"/>
        </w:rPr>
        <w:t xml:space="preserve">fully or partly </w:t>
      </w:r>
      <w:r w:rsidR="00E13E5D" w:rsidRPr="003B25B4">
        <w:rPr>
          <w:color w:val="auto"/>
        </w:rPr>
        <w:t>mediated by maltreatment (</w:t>
      </w:r>
      <w:proofErr w:type="spellStart"/>
      <w:r w:rsidR="00E13E5D" w:rsidRPr="003B25B4">
        <w:rPr>
          <w:color w:val="auto"/>
        </w:rPr>
        <w:t>Fantuzzo</w:t>
      </w:r>
      <w:proofErr w:type="spellEnd"/>
      <w:r w:rsidR="00E13E5D" w:rsidRPr="003B25B4">
        <w:rPr>
          <w:color w:val="auto"/>
        </w:rPr>
        <w:t xml:space="preserve"> and Perlman</w:t>
      </w:r>
      <w:r w:rsidR="0092070E" w:rsidRPr="003B25B4">
        <w:rPr>
          <w:color w:val="auto"/>
        </w:rPr>
        <w:t>,</w:t>
      </w:r>
      <w:r w:rsidR="00E13E5D" w:rsidRPr="003B25B4">
        <w:rPr>
          <w:color w:val="auto"/>
        </w:rPr>
        <w:t xml:space="preserve"> 2007).</w:t>
      </w:r>
      <w:r w:rsidR="00BD5D1D">
        <w:rPr>
          <w:color w:val="auto"/>
        </w:rPr>
        <w:t xml:space="preserve"> </w:t>
      </w:r>
      <w:r w:rsidR="00773810" w:rsidRPr="003B25B4">
        <w:rPr>
          <w:color w:val="auto"/>
        </w:rPr>
        <w:t>A</w:t>
      </w:r>
      <w:r w:rsidR="00E13E5D" w:rsidRPr="003B25B4">
        <w:rPr>
          <w:color w:val="auto"/>
        </w:rPr>
        <w:t xml:space="preserve">n </w:t>
      </w:r>
      <w:r w:rsidR="00487BD2" w:rsidRPr="003B25B4">
        <w:rPr>
          <w:color w:val="auto"/>
        </w:rPr>
        <w:t>Australia</w:t>
      </w:r>
      <w:r w:rsidR="00E13E5D" w:rsidRPr="003B25B4">
        <w:rPr>
          <w:color w:val="auto"/>
        </w:rPr>
        <w:t>n</w:t>
      </w:r>
      <w:r w:rsidR="001E29A9" w:rsidRPr="003B25B4">
        <w:rPr>
          <w:color w:val="auto"/>
        </w:rPr>
        <w:t xml:space="preserve"> study </w:t>
      </w:r>
      <w:r w:rsidR="00487BD2" w:rsidRPr="003B25B4">
        <w:rPr>
          <w:color w:val="auto"/>
        </w:rPr>
        <w:t xml:space="preserve">which compared children in care to others investigated for maltreatment </w:t>
      </w:r>
      <w:r w:rsidR="00773810" w:rsidRPr="003B25B4">
        <w:rPr>
          <w:color w:val="auto"/>
        </w:rPr>
        <w:t xml:space="preserve">similarly </w:t>
      </w:r>
      <w:r w:rsidR="00E13E5D" w:rsidRPr="003B25B4">
        <w:rPr>
          <w:color w:val="auto"/>
        </w:rPr>
        <w:t xml:space="preserve">found that, </w:t>
      </w:r>
      <w:r w:rsidR="00EA596C" w:rsidRPr="003B25B4">
        <w:rPr>
          <w:color w:val="auto"/>
        </w:rPr>
        <w:t>once children’s pre-existing adversities were controlled for</w:t>
      </w:r>
      <w:r w:rsidR="00E13E5D" w:rsidRPr="003B25B4">
        <w:rPr>
          <w:color w:val="auto"/>
        </w:rPr>
        <w:t>,</w:t>
      </w:r>
      <w:r w:rsidR="00EA596C" w:rsidRPr="003B25B4">
        <w:rPr>
          <w:color w:val="auto"/>
        </w:rPr>
        <w:t xml:space="preserve"> there was no </w:t>
      </w:r>
      <w:r w:rsidR="001E29A9" w:rsidRPr="003B25B4">
        <w:rPr>
          <w:color w:val="auto"/>
        </w:rPr>
        <w:t xml:space="preserve">significant difference in the proportions with low </w:t>
      </w:r>
      <w:r w:rsidR="00EA596C" w:rsidRPr="003B25B4">
        <w:rPr>
          <w:color w:val="auto"/>
        </w:rPr>
        <w:t xml:space="preserve">reading </w:t>
      </w:r>
      <w:r w:rsidR="001E29A9" w:rsidRPr="003B25B4">
        <w:rPr>
          <w:color w:val="auto"/>
        </w:rPr>
        <w:t>scores (Maclean et al</w:t>
      </w:r>
      <w:r w:rsidR="00940456" w:rsidRPr="003B25B4">
        <w:rPr>
          <w:color w:val="auto"/>
        </w:rPr>
        <w:t>.,</w:t>
      </w:r>
      <w:r w:rsidR="001E29A9" w:rsidRPr="003B25B4">
        <w:rPr>
          <w:color w:val="auto"/>
        </w:rPr>
        <w:t xml:space="preserve"> 2016).  </w:t>
      </w:r>
    </w:p>
    <w:p w14:paraId="3A58C692" w14:textId="77777777" w:rsidR="00EB37EB" w:rsidRPr="003B25B4" w:rsidRDefault="00EB37EB" w:rsidP="00CC7E08">
      <w:pPr>
        <w:pStyle w:val="NoSpacing"/>
        <w:rPr>
          <w:color w:val="auto"/>
        </w:rPr>
      </w:pPr>
    </w:p>
    <w:p w14:paraId="3B5F108A" w14:textId="2AFF9D5E" w:rsidR="009D2B42" w:rsidRPr="003B25B4" w:rsidRDefault="00DD07CB" w:rsidP="00CC7E08">
      <w:pPr>
        <w:pStyle w:val="NoSpacing"/>
        <w:rPr>
          <w:color w:val="auto"/>
        </w:rPr>
      </w:pPr>
      <w:r w:rsidRPr="003B25B4">
        <w:rPr>
          <w:color w:val="auto"/>
        </w:rPr>
        <w:t>Th</w:t>
      </w:r>
      <w:r w:rsidR="000D03DF" w:rsidRPr="003B25B4">
        <w:rPr>
          <w:color w:val="auto"/>
        </w:rPr>
        <w:t>e findings of t</w:t>
      </w:r>
      <w:r w:rsidR="007A643F" w:rsidRPr="003B25B4">
        <w:rPr>
          <w:color w:val="auto"/>
        </w:rPr>
        <w:t>h</w:t>
      </w:r>
      <w:r w:rsidRPr="003B25B4">
        <w:rPr>
          <w:color w:val="auto"/>
        </w:rPr>
        <w:t>e</w:t>
      </w:r>
      <w:r w:rsidR="00EB37EB" w:rsidRPr="003B25B4">
        <w:rPr>
          <w:color w:val="auto"/>
        </w:rPr>
        <w:t xml:space="preserve">se </w:t>
      </w:r>
      <w:r w:rsidRPr="003B25B4">
        <w:rPr>
          <w:color w:val="auto"/>
        </w:rPr>
        <w:t xml:space="preserve">studies </w:t>
      </w:r>
      <w:r w:rsidR="006950E5" w:rsidRPr="003B25B4">
        <w:rPr>
          <w:color w:val="auto"/>
        </w:rPr>
        <w:t xml:space="preserve">suggest that school attainment is likely to be influenced </w:t>
      </w:r>
      <w:r w:rsidRPr="003B25B4">
        <w:rPr>
          <w:color w:val="auto"/>
        </w:rPr>
        <w:t xml:space="preserve">not only by </w:t>
      </w:r>
      <w:r w:rsidR="007A643F" w:rsidRPr="003B25B4">
        <w:rPr>
          <w:color w:val="auto"/>
        </w:rPr>
        <w:t>children’s</w:t>
      </w:r>
      <w:r w:rsidRPr="003B25B4">
        <w:rPr>
          <w:color w:val="auto"/>
        </w:rPr>
        <w:t xml:space="preserve"> current circumstances but also </w:t>
      </w:r>
      <w:r w:rsidR="006950E5" w:rsidRPr="003B25B4">
        <w:rPr>
          <w:color w:val="auto"/>
        </w:rPr>
        <w:t xml:space="preserve">by their </w:t>
      </w:r>
      <w:r w:rsidR="008F63CC" w:rsidRPr="003B25B4">
        <w:rPr>
          <w:color w:val="auto"/>
        </w:rPr>
        <w:t xml:space="preserve">previous </w:t>
      </w:r>
      <w:r w:rsidR="006950E5" w:rsidRPr="003B25B4">
        <w:rPr>
          <w:color w:val="auto"/>
        </w:rPr>
        <w:t>experiences</w:t>
      </w:r>
      <w:r w:rsidR="007A643F" w:rsidRPr="003B25B4">
        <w:rPr>
          <w:color w:val="auto"/>
        </w:rPr>
        <w:t xml:space="preserve"> in their home environment</w:t>
      </w:r>
      <w:r w:rsidR="006950E5" w:rsidRPr="003B25B4">
        <w:rPr>
          <w:color w:val="auto"/>
        </w:rPr>
        <w:t>.</w:t>
      </w:r>
      <w:r w:rsidR="00BD5D1D">
        <w:rPr>
          <w:color w:val="auto"/>
        </w:rPr>
        <w:t xml:space="preserve"> </w:t>
      </w:r>
      <w:r w:rsidR="002554A9" w:rsidRPr="003B25B4">
        <w:rPr>
          <w:color w:val="auto"/>
        </w:rPr>
        <w:t xml:space="preserve">Research on education has pointed to the importance of the early home environment, indicating that </w:t>
      </w:r>
      <w:r w:rsidR="006950E5" w:rsidRPr="003B25B4">
        <w:rPr>
          <w:color w:val="auto"/>
        </w:rPr>
        <w:t>t</w:t>
      </w:r>
      <w:r w:rsidR="002554A9" w:rsidRPr="003B25B4">
        <w:rPr>
          <w:color w:val="auto"/>
        </w:rPr>
        <w:t xml:space="preserve">he gap in educational attainment in the general population starts </w:t>
      </w:r>
      <w:r w:rsidR="007A643F" w:rsidRPr="003B25B4">
        <w:rPr>
          <w:color w:val="auto"/>
        </w:rPr>
        <w:t>prior to school entry</w:t>
      </w:r>
      <w:r w:rsidR="002554A9" w:rsidRPr="003B25B4">
        <w:rPr>
          <w:color w:val="auto"/>
        </w:rPr>
        <w:t xml:space="preserve"> and that parenting</w:t>
      </w:r>
      <w:r w:rsidR="006950E5" w:rsidRPr="003B25B4">
        <w:rPr>
          <w:color w:val="auto"/>
        </w:rPr>
        <w:t xml:space="preserve"> </w:t>
      </w:r>
      <w:r w:rsidR="002554A9" w:rsidRPr="003B25B4">
        <w:rPr>
          <w:color w:val="auto"/>
        </w:rPr>
        <w:t>in the early years is critical to children’s later life chances (</w:t>
      </w:r>
      <w:proofErr w:type="spellStart"/>
      <w:r w:rsidR="002554A9" w:rsidRPr="003B25B4">
        <w:rPr>
          <w:color w:val="auto"/>
        </w:rPr>
        <w:t>Pordes</w:t>
      </w:r>
      <w:proofErr w:type="spellEnd"/>
      <w:r w:rsidR="007A643F" w:rsidRPr="003B25B4">
        <w:rPr>
          <w:color w:val="auto"/>
        </w:rPr>
        <w:t xml:space="preserve"> Bowers </w:t>
      </w:r>
      <w:r w:rsidR="0092070E" w:rsidRPr="003B25B4">
        <w:rPr>
          <w:color w:val="auto"/>
        </w:rPr>
        <w:t>and</w:t>
      </w:r>
      <w:r w:rsidR="007A643F" w:rsidRPr="003B25B4">
        <w:rPr>
          <w:color w:val="auto"/>
        </w:rPr>
        <w:t xml:space="preserve"> Strelitz, 2012).</w:t>
      </w:r>
      <w:r w:rsidR="00BD5D1D">
        <w:rPr>
          <w:color w:val="auto"/>
        </w:rPr>
        <w:t xml:space="preserve"> </w:t>
      </w:r>
      <w:r w:rsidR="007A643F" w:rsidRPr="003B25B4">
        <w:rPr>
          <w:color w:val="auto"/>
        </w:rPr>
        <w:t xml:space="preserve">The home learning </w:t>
      </w:r>
      <w:r w:rsidR="007A643F" w:rsidRPr="003B25B4">
        <w:rPr>
          <w:color w:val="auto"/>
        </w:rPr>
        <w:lastRenderedPageBreak/>
        <w:t>e</w:t>
      </w:r>
      <w:r w:rsidR="002554A9" w:rsidRPr="003B25B4">
        <w:rPr>
          <w:color w:val="auto"/>
        </w:rPr>
        <w:t>nvironment is particularly important for child development, including cognitive</w:t>
      </w:r>
      <w:r w:rsidR="007B095C" w:rsidRPr="003B25B4">
        <w:rPr>
          <w:color w:val="auto"/>
        </w:rPr>
        <w:t>,</w:t>
      </w:r>
      <w:r w:rsidR="002554A9" w:rsidRPr="003B25B4">
        <w:rPr>
          <w:color w:val="auto"/>
        </w:rPr>
        <w:t xml:space="preserve"> language and literacy development (</w:t>
      </w:r>
      <w:proofErr w:type="spellStart"/>
      <w:r w:rsidR="00F63F9D" w:rsidRPr="003B25B4">
        <w:rPr>
          <w:color w:val="auto"/>
        </w:rPr>
        <w:t>Sénéchal</w:t>
      </w:r>
      <w:proofErr w:type="spellEnd"/>
      <w:r w:rsidR="00F63F9D" w:rsidRPr="003B25B4">
        <w:rPr>
          <w:color w:val="auto"/>
        </w:rPr>
        <w:t xml:space="preserve"> and </w:t>
      </w:r>
      <w:proofErr w:type="spellStart"/>
      <w:r w:rsidR="00F63F9D" w:rsidRPr="003B25B4">
        <w:rPr>
          <w:color w:val="auto"/>
        </w:rPr>
        <w:t>LeFerve</w:t>
      </w:r>
      <w:proofErr w:type="spellEnd"/>
      <w:r w:rsidR="00F63F9D" w:rsidRPr="003B25B4">
        <w:rPr>
          <w:color w:val="auto"/>
        </w:rPr>
        <w:t xml:space="preserve">, 2002; </w:t>
      </w:r>
      <w:r w:rsidR="002554A9" w:rsidRPr="003B25B4">
        <w:rPr>
          <w:color w:val="auto"/>
        </w:rPr>
        <w:t xml:space="preserve">Hillman </w:t>
      </w:r>
      <w:r w:rsidR="00940456" w:rsidRPr="003B25B4">
        <w:rPr>
          <w:color w:val="auto"/>
        </w:rPr>
        <w:t>and</w:t>
      </w:r>
      <w:r w:rsidR="002554A9" w:rsidRPr="003B25B4">
        <w:rPr>
          <w:color w:val="auto"/>
        </w:rPr>
        <w:t xml:space="preserve"> Williams, 2015). </w:t>
      </w:r>
    </w:p>
    <w:p w14:paraId="2CE09D00" w14:textId="77777777" w:rsidR="009D2B42" w:rsidRPr="003B25B4" w:rsidRDefault="009D2B42" w:rsidP="00CC7E08">
      <w:pPr>
        <w:pStyle w:val="NoSpacing"/>
        <w:rPr>
          <w:color w:val="auto"/>
        </w:rPr>
      </w:pPr>
    </w:p>
    <w:p w14:paraId="5B31F747" w14:textId="09615B15" w:rsidR="00AC43E6" w:rsidRPr="003B25B4" w:rsidRDefault="001F0CC0" w:rsidP="00CC7E08">
      <w:pPr>
        <w:pStyle w:val="NoSpacing"/>
        <w:rPr>
          <w:color w:val="auto"/>
        </w:rPr>
      </w:pPr>
      <w:r w:rsidRPr="003B25B4">
        <w:rPr>
          <w:color w:val="auto"/>
        </w:rPr>
        <w:t xml:space="preserve">Differences in </w:t>
      </w:r>
      <w:r w:rsidR="007A643F" w:rsidRPr="003B25B4">
        <w:rPr>
          <w:color w:val="auto"/>
        </w:rPr>
        <w:t xml:space="preserve">the </w:t>
      </w:r>
      <w:r w:rsidRPr="003B25B4">
        <w:rPr>
          <w:color w:val="auto"/>
        </w:rPr>
        <w:t>p</w:t>
      </w:r>
      <w:r w:rsidR="002554A9" w:rsidRPr="003B25B4">
        <w:rPr>
          <w:color w:val="auto"/>
        </w:rPr>
        <w:t xml:space="preserve">reschool skills </w:t>
      </w:r>
      <w:r w:rsidR="007A643F" w:rsidRPr="003B25B4">
        <w:rPr>
          <w:color w:val="auto"/>
        </w:rPr>
        <w:t xml:space="preserve">of </w:t>
      </w:r>
      <w:r w:rsidR="002554A9" w:rsidRPr="003B25B4">
        <w:rPr>
          <w:color w:val="auto"/>
        </w:rPr>
        <w:t>advantaged and disadvantaged children have been found to be predominantly in language and communication</w:t>
      </w:r>
      <w:r w:rsidR="00103926" w:rsidRPr="003B25B4">
        <w:rPr>
          <w:color w:val="auto"/>
        </w:rPr>
        <w:t>.</w:t>
      </w:r>
      <w:r w:rsidR="00BD5D1D">
        <w:rPr>
          <w:color w:val="auto"/>
        </w:rPr>
        <w:t xml:space="preserve"> </w:t>
      </w:r>
      <w:r w:rsidR="002554A9" w:rsidRPr="003B25B4">
        <w:rPr>
          <w:color w:val="auto"/>
        </w:rPr>
        <w:t>Early language, including vocabulary</w:t>
      </w:r>
      <w:r w:rsidR="006950E5" w:rsidRPr="003B25B4">
        <w:rPr>
          <w:color w:val="auto"/>
        </w:rPr>
        <w:t xml:space="preserve"> </w:t>
      </w:r>
      <w:r w:rsidR="002554A9" w:rsidRPr="003B25B4">
        <w:rPr>
          <w:color w:val="auto"/>
        </w:rPr>
        <w:t>development</w:t>
      </w:r>
      <w:r w:rsidRPr="003B25B4">
        <w:rPr>
          <w:color w:val="auto"/>
        </w:rPr>
        <w:t>,</w:t>
      </w:r>
      <w:r w:rsidR="002554A9" w:rsidRPr="003B25B4">
        <w:rPr>
          <w:color w:val="auto"/>
        </w:rPr>
        <w:t xml:space="preserve"> is linked t</w:t>
      </w:r>
      <w:r w:rsidR="007A643F" w:rsidRPr="003B25B4">
        <w:rPr>
          <w:color w:val="auto"/>
        </w:rPr>
        <w:t xml:space="preserve">o early literacy and it is this </w:t>
      </w:r>
      <w:r w:rsidR="002554A9" w:rsidRPr="003B25B4">
        <w:rPr>
          <w:color w:val="auto"/>
        </w:rPr>
        <w:t xml:space="preserve">which is linked to wider educational attainment and later life outcomes </w:t>
      </w:r>
      <w:r w:rsidR="00103926" w:rsidRPr="003B25B4">
        <w:rPr>
          <w:color w:val="auto"/>
        </w:rPr>
        <w:t xml:space="preserve">(Phillips and </w:t>
      </w:r>
      <w:proofErr w:type="spellStart"/>
      <w:r w:rsidR="00103926" w:rsidRPr="003B25B4">
        <w:rPr>
          <w:color w:val="auto"/>
        </w:rPr>
        <w:t>Lonigan</w:t>
      </w:r>
      <w:proofErr w:type="spellEnd"/>
      <w:r w:rsidR="00103926" w:rsidRPr="003B25B4">
        <w:rPr>
          <w:color w:val="auto"/>
        </w:rPr>
        <w:t>, 2009; Marmot, 2010).</w:t>
      </w:r>
      <w:r w:rsidR="00BD5D1D">
        <w:rPr>
          <w:color w:val="auto"/>
        </w:rPr>
        <w:t xml:space="preserve"> </w:t>
      </w:r>
      <w:r w:rsidR="002554A9" w:rsidRPr="003B25B4">
        <w:rPr>
          <w:color w:val="auto"/>
        </w:rPr>
        <w:t xml:space="preserve">For most children who start school behind their peers, the attainment gap will only increase throughout their school career (Phillips </w:t>
      </w:r>
      <w:r w:rsidR="00940456" w:rsidRPr="003B25B4">
        <w:rPr>
          <w:color w:val="auto"/>
        </w:rPr>
        <w:t>and</w:t>
      </w:r>
      <w:r w:rsidR="002554A9" w:rsidRPr="003B25B4">
        <w:rPr>
          <w:color w:val="auto"/>
        </w:rPr>
        <w:t xml:space="preserve"> </w:t>
      </w:r>
      <w:proofErr w:type="spellStart"/>
      <w:r w:rsidR="002554A9" w:rsidRPr="003B25B4">
        <w:rPr>
          <w:color w:val="auto"/>
        </w:rPr>
        <w:t>Lonigan</w:t>
      </w:r>
      <w:proofErr w:type="spellEnd"/>
      <w:r w:rsidR="002554A9" w:rsidRPr="003B25B4">
        <w:rPr>
          <w:color w:val="auto"/>
        </w:rPr>
        <w:t xml:space="preserve">, 2009; </w:t>
      </w:r>
      <w:r w:rsidR="00F63F9D" w:rsidRPr="003B25B4">
        <w:rPr>
          <w:color w:val="auto"/>
        </w:rPr>
        <w:t xml:space="preserve">Sylva et al., 2012; </w:t>
      </w:r>
      <w:proofErr w:type="spellStart"/>
      <w:r w:rsidR="002554A9" w:rsidRPr="003B25B4">
        <w:rPr>
          <w:color w:val="auto"/>
        </w:rPr>
        <w:t>Asmussen</w:t>
      </w:r>
      <w:proofErr w:type="spellEnd"/>
      <w:r w:rsidR="002554A9" w:rsidRPr="003B25B4">
        <w:rPr>
          <w:color w:val="auto"/>
        </w:rPr>
        <w:t xml:space="preserve"> et al</w:t>
      </w:r>
      <w:r w:rsidR="00940456" w:rsidRPr="003B25B4">
        <w:rPr>
          <w:color w:val="auto"/>
        </w:rPr>
        <w:t>.</w:t>
      </w:r>
      <w:r w:rsidR="00F63F9D" w:rsidRPr="003B25B4">
        <w:rPr>
          <w:color w:val="auto"/>
        </w:rPr>
        <w:t>, 2016</w:t>
      </w:r>
      <w:r w:rsidR="002554A9" w:rsidRPr="003B25B4">
        <w:rPr>
          <w:color w:val="auto"/>
        </w:rPr>
        <w:t>).</w:t>
      </w:r>
      <w:r w:rsidR="00BD5D1D">
        <w:rPr>
          <w:color w:val="auto"/>
        </w:rPr>
        <w:t xml:space="preserve"> </w:t>
      </w:r>
      <w:r w:rsidR="009D2B42" w:rsidRPr="003B25B4">
        <w:rPr>
          <w:color w:val="auto"/>
        </w:rPr>
        <w:t xml:space="preserve">It is therefore essential to understand </w:t>
      </w:r>
      <w:r w:rsidR="007A643F" w:rsidRPr="003B25B4">
        <w:rPr>
          <w:color w:val="auto"/>
        </w:rPr>
        <w:t xml:space="preserve">the </w:t>
      </w:r>
      <w:r w:rsidR="009D2B42" w:rsidRPr="003B25B4">
        <w:rPr>
          <w:color w:val="auto"/>
        </w:rPr>
        <w:t xml:space="preserve">early development of vocabulary, communication and literacy skills for children who enter care at an early age. </w:t>
      </w:r>
    </w:p>
    <w:p w14:paraId="70B84C8B" w14:textId="77777777" w:rsidR="007B095C" w:rsidRPr="003B25B4" w:rsidRDefault="007B095C" w:rsidP="00CC7E08">
      <w:pPr>
        <w:pStyle w:val="NoSpacing"/>
        <w:rPr>
          <w:color w:val="auto"/>
        </w:rPr>
      </w:pPr>
    </w:p>
    <w:p w14:paraId="15DEF7A5" w14:textId="6CE1A2E4" w:rsidR="00C97995" w:rsidRPr="003B25B4" w:rsidRDefault="00597271" w:rsidP="00CC7E08">
      <w:pPr>
        <w:pStyle w:val="NoSpacing"/>
        <w:rPr>
          <w:color w:val="auto"/>
        </w:rPr>
      </w:pPr>
      <w:r w:rsidRPr="003B25B4">
        <w:rPr>
          <w:color w:val="auto"/>
        </w:rPr>
        <w:t xml:space="preserve">This </w:t>
      </w:r>
      <w:r w:rsidR="00C74971" w:rsidRPr="003B25B4">
        <w:rPr>
          <w:color w:val="auto"/>
        </w:rPr>
        <w:t>article reports</w:t>
      </w:r>
      <w:r w:rsidR="00773810" w:rsidRPr="003B25B4">
        <w:rPr>
          <w:color w:val="auto"/>
        </w:rPr>
        <w:t xml:space="preserve"> the findings of a </w:t>
      </w:r>
      <w:r w:rsidR="001A1FB5" w:rsidRPr="003B25B4">
        <w:rPr>
          <w:color w:val="auto"/>
        </w:rPr>
        <w:t>new</w:t>
      </w:r>
      <w:r w:rsidR="00773810" w:rsidRPr="003B25B4">
        <w:rPr>
          <w:color w:val="auto"/>
        </w:rPr>
        <w:t xml:space="preserve"> study</w:t>
      </w:r>
      <w:r w:rsidR="00A6476E" w:rsidRPr="003B25B4">
        <w:rPr>
          <w:color w:val="auto"/>
        </w:rPr>
        <w:t>,</w:t>
      </w:r>
      <w:r w:rsidR="00773810" w:rsidRPr="003B25B4">
        <w:rPr>
          <w:color w:val="auto"/>
        </w:rPr>
        <w:t xml:space="preserve"> </w:t>
      </w:r>
      <w:r w:rsidR="001A1FB5" w:rsidRPr="003B25B4">
        <w:rPr>
          <w:color w:val="auto"/>
        </w:rPr>
        <w:t xml:space="preserve">which </w:t>
      </w:r>
      <w:r w:rsidR="00773810" w:rsidRPr="003B25B4">
        <w:rPr>
          <w:color w:val="auto"/>
        </w:rPr>
        <w:t xml:space="preserve">drew on </w:t>
      </w:r>
      <w:r w:rsidR="001A1FB5" w:rsidRPr="003B25B4">
        <w:rPr>
          <w:color w:val="auto"/>
        </w:rPr>
        <w:t xml:space="preserve">a set of </w:t>
      </w:r>
      <w:r w:rsidR="00773810" w:rsidRPr="003B25B4">
        <w:rPr>
          <w:color w:val="auto"/>
        </w:rPr>
        <w:t>variables compiled from multiple data sources</w:t>
      </w:r>
      <w:r w:rsidR="001A1FB5" w:rsidRPr="003B25B4">
        <w:rPr>
          <w:color w:val="auto"/>
        </w:rPr>
        <w:t xml:space="preserve"> to </w:t>
      </w:r>
      <w:r w:rsidR="000148BF" w:rsidRPr="003B25B4">
        <w:rPr>
          <w:color w:val="auto"/>
        </w:rPr>
        <w:t>compar</w:t>
      </w:r>
      <w:r w:rsidR="00F65A6C" w:rsidRPr="003B25B4">
        <w:rPr>
          <w:color w:val="auto"/>
        </w:rPr>
        <w:t>e</w:t>
      </w:r>
      <w:r w:rsidRPr="003B25B4">
        <w:rPr>
          <w:color w:val="auto"/>
        </w:rPr>
        <w:t xml:space="preserve"> the educational </w:t>
      </w:r>
      <w:r w:rsidR="00C97995" w:rsidRPr="003B25B4">
        <w:rPr>
          <w:color w:val="auto"/>
        </w:rPr>
        <w:t xml:space="preserve">development </w:t>
      </w:r>
      <w:r w:rsidRPr="003B25B4">
        <w:rPr>
          <w:color w:val="auto"/>
        </w:rPr>
        <w:t xml:space="preserve">of </w:t>
      </w:r>
      <w:r w:rsidR="001A1FB5" w:rsidRPr="003B25B4">
        <w:rPr>
          <w:color w:val="auto"/>
        </w:rPr>
        <w:t xml:space="preserve">a sample of </w:t>
      </w:r>
      <w:r w:rsidRPr="003B25B4">
        <w:rPr>
          <w:color w:val="auto"/>
        </w:rPr>
        <w:t>young children</w:t>
      </w:r>
      <w:r w:rsidR="007927ED" w:rsidRPr="003B25B4">
        <w:rPr>
          <w:color w:val="auto"/>
        </w:rPr>
        <w:t xml:space="preserve"> </w:t>
      </w:r>
      <w:r w:rsidR="007A643F" w:rsidRPr="003B25B4">
        <w:rPr>
          <w:color w:val="auto"/>
        </w:rPr>
        <w:t>i</w:t>
      </w:r>
      <w:r w:rsidR="00D93BB0" w:rsidRPr="003B25B4">
        <w:rPr>
          <w:color w:val="auto"/>
        </w:rPr>
        <w:t>n care due to abuse or negle</w:t>
      </w:r>
      <w:r w:rsidR="000148BF" w:rsidRPr="003B25B4">
        <w:rPr>
          <w:color w:val="auto"/>
        </w:rPr>
        <w:t>ct to that</w:t>
      </w:r>
      <w:r w:rsidR="00886C02" w:rsidRPr="003B25B4">
        <w:rPr>
          <w:color w:val="auto"/>
        </w:rPr>
        <w:t xml:space="preserve"> for</w:t>
      </w:r>
      <w:r w:rsidR="007A643F" w:rsidRPr="003B25B4">
        <w:rPr>
          <w:color w:val="auto"/>
        </w:rPr>
        <w:t xml:space="preserve"> children with histories of maltreatment </w:t>
      </w:r>
      <w:r w:rsidR="00F65A6C" w:rsidRPr="003B25B4">
        <w:rPr>
          <w:color w:val="auto"/>
        </w:rPr>
        <w:t>currently living at home</w:t>
      </w:r>
      <w:r w:rsidR="00A631F7" w:rsidRPr="003B25B4">
        <w:rPr>
          <w:color w:val="auto"/>
        </w:rPr>
        <w:t>.</w:t>
      </w:r>
      <w:r w:rsidR="00BD5D1D">
        <w:rPr>
          <w:color w:val="auto"/>
        </w:rPr>
        <w:t xml:space="preserve"> </w:t>
      </w:r>
      <w:r w:rsidR="00104804" w:rsidRPr="003B25B4">
        <w:rPr>
          <w:color w:val="auto"/>
        </w:rPr>
        <w:t>The analysis draws on the</w:t>
      </w:r>
      <w:r w:rsidR="009825D4" w:rsidRPr="003B25B4">
        <w:rPr>
          <w:color w:val="auto"/>
        </w:rPr>
        <w:t xml:space="preserve"> conceptual framework</w:t>
      </w:r>
      <w:r w:rsidR="00BF19C0" w:rsidRPr="003B25B4">
        <w:rPr>
          <w:color w:val="auto"/>
        </w:rPr>
        <w:t xml:space="preserve"> </w:t>
      </w:r>
      <w:proofErr w:type="gramStart"/>
      <w:r w:rsidR="00BF19C0" w:rsidRPr="003B25B4">
        <w:rPr>
          <w:color w:val="auto"/>
        </w:rPr>
        <w:t>that children’s</w:t>
      </w:r>
      <w:proofErr w:type="gramEnd"/>
      <w:r w:rsidR="00BF19C0" w:rsidRPr="003B25B4">
        <w:rPr>
          <w:color w:val="auto"/>
        </w:rPr>
        <w:t xml:space="preserve"> </w:t>
      </w:r>
      <w:r w:rsidR="00D0757D" w:rsidRPr="003B25B4">
        <w:rPr>
          <w:color w:val="auto"/>
        </w:rPr>
        <w:t xml:space="preserve">backgrounds and </w:t>
      </w:r>
      <w:r w:rsidR="00BF19C0" w:rsidRPr="003B25B4">
        <w:rPr>
          <w:color w:val="auto"/>
        </w:rPr>
        <w:t>pre-care experiences</w:t>
      </w:r>
      <w:r w:rsidR="00DA74EF" w:rsidRPr="003B25B4">
        <w:rPr>
          <w:color w:val="auto"/>
        </w:rPr>
        <w:t xml:space="preserve">, including </w:t>
      </w:r>
      <w:r w:rsidR="00B70CC7" w:rsidRPr="003B25B4">
        <w:rPr>
          <w:color w:val="auto"/>
        </w:rPr>
        <w:t xml:space="preserve">of </w:t>
      </w:r>
      <w:r w:rsidR="00DA74EF" w:rsidRPr="003B25B4">
        <w:rPr>
          <w:color w:val="auto"/>
        </w:rPr>
        <w:t>maltreatment,</w:t>
      </w:r>
      <w:r w:rsidR="00BF19C0" w:rsidRPr="003B25B4">
        <w:rPr>
          <w:color w:val="auto"/>
        </w:rPr>
        <w:t xml:space="preserve"> </w:t>
      </w:r>
      <w:r w:rsidR="007D76E9" w:rsidRPr="003B25B4">
        <w:rPr>
          <w:color w:val="auto"/>
        </w:rPr>
        <w:t xml:space="preserve">are </w:t>
      </w:r>
      <w:r w:rsidR="00213CC4" w:rsidRPr="003B25B4">
        <w:rPr>
          <w:color w:val="auto"/>
        </w:rPr>
        <w:t xml:space="preserve">implicit in </w:t>
      </w:r>
      <w:r w:rsidR="00B740B9" w:rsidRPr="003B25B4">
        <w:rPr>
          <w:color w:val="auto"/>
        </w:rPr>
        <w:t>mediating</w:t>
      </w:r>
      <w:r w:rsidR="00B70CC7" w:rsidRPr="003B25B4">
        <w:rPr>
          <w:color w:val="auto"/>
        </w:rPr>
        <w:t xml:space="preserve"> their educational outcomes. </w:t>
      </w:r>
      <w:r w:rsidR="004A7B2E" w:rsidRPr="003B25B4">
        <w:rPr>
          <w:color w:val="auto"/>
        </w:rPr>
        <w:t xml:space="preserve">This investigation was </w:t>
      </w:r>
      <w:r w:rsidR="00F65A6C" w:rsidRPr="003B25B4">
        <w:rPr>
          <w:color w:val="auto"/>
        </w:rPr>
        <w:t>undertaken</w:t>
      </w:r>
      <w:r w:rsidR="004A7B2E" w:rsidRPr="003B25B4">
        <w:rPr>
          <w:color w:val="auto"/>
        </w:rPr>
        <w:t xml:space="preserve"> as part of </w:t>
      </w:r>
      <w:r w:rsidR="00773810" w:rsidRPr="003B25B4">
        <w:rPr>
          <w:color w:val="auto"/>
        </w:rPr>
        <w:t xml:space="preserve">a </w:t>
      </w:r>
      <w:r w:rsidR="004A7B2E" w:rsidRPr="003B25B4">
        <w:rPr>
          <w:color w:val="auto"/>
        </w:rPr>
        <w:t xml:space="preserve">wider </w:t>
      </w:r>
      <w:r w:rsidR="002E08F6" w:rsidRPr="003B25B4">
        <w:rPr>
          <w:color w:val="auto"/>
        </w:rPr>
        <w:t xml:space="preserve">study </w:t>
      </w:r>
      <w:r w:rsidR="004A7B2E" w:rsidRPr="003B25B4">
        <w:rPr>
          <w:color w:val="auto"/>
        </w:rPr>
        <w:t>of outcomes for children (see</w:t>
      </w:r>
      <w:r w:rsidR="003B25B4">
        <w:rPr>
          <w:color w:val="auto"/>
        </w:rPr>
        <w:t xml:space="preserve"> Biehal el al., 2018</w:t>
      </w:r>
      <w:r w:rsidR="00F63F9D" w:rsidRPr="003B25B4">
        <w:rPr>
          <w:color w:val="auto"/>
        </w:rPr>
        <w:t xml:space="preserve">; </w:t>
      </w:r>
      <w:r w:rsidR="003B25B4">
        <w:rPr>
          <w:color w:val="auto"/>
        </w:rPr>
        <w:t>Baldwin et al., 2019)</w:t>
      </w:r>
      <w:r w:rsidR="009B078D" w:rsidRPr="003B25B4">
        <w:rPr>
          <w:color w:val="auto"/>
        </w:rPr>
        <w:t>, w</w:t>
      </w:r>
      <w:r w:rsidR="002E08F6" w:rsidRPr="003B25B4">
        <w:rPr>
          <w:color w:val="auto"/>
        </w:rPr>
        <w:t xml:space="preserve">hich </w:t>
      </w:r>
      <w:r w:rsidR="00C97995" w:rsidRPr="003B25B4">
        <w:rPr>
          <w:color w:val="auto"/>
        </w:rPr>
        <w:t>was funded by the</w:t>
      </w:r>
      <w:r w:rsidR="00937564" w:rsidRPr="003B25B4">
        <w:rPr>
          <w:color w:val="auto"/>
        </w:rPr>
        <w:t xml:space="preserve"> UK</w:t>
      </w:r>
      <w:r w:rsidR="00C97995" w:rsidRPr="003B25B4">
        <w:rPr>
          <w:color w:val="auto"/>
        </w:rPr>
        <w:t xml:space="preserve"> E</w:t>
      </w:r>
      <w:r w:rsidR="00937564" w:rsidRPr="003B25B4">
        <w:rPr>
          <w:color w:val="auto"/>
        </w:rPr>
        <w:t xml:space="preserve">conomic and </w:t>
      </w:r>
      <w:r w:rsidR="00C97995" w:rsidRPr="003B25B4">
        <w:rPr>
          <w:color w:val="auto"/>
        </w:rPr>
        <w:t>S</w:t>
      </w:r>
      <w:r w:rsidR="00937564" w:rsidRPr="003B25B4">
        <w:rPr>
          <w:color w:val="auto"/>
        </w:rPr>
        <w:t xml:space="preserve">ocial </w:t>
      </w:r>
      <w:r w:rsidR="00C97995" w:rsidRPr="003B25B4">
        <w:rPr>
          <w:color w:val="auto"/>
        </w:rPr>
        <w:t>R</w:t>
      </w:r>
      <w:r w:rsidR="00937564" w:rsidRPr="003B25B4">
        <w:rPr>
          <w:color w:val="auto"/>
        </w:rPr>
        <w:t xml:space="preserve">esearch </w:t>
      </w:r>
      <w:r w:rsidR="00C97995" w:rsidRPr="003B25B4">
        <w:rPr>
          <w:color w:val="auto"/>
        </w:rPr>
        <w:t>C</w:t>
      </w:r>
      <w:r w:rsidR="00937564" w:rsidRPr="003B25B4">
        <w:rPr>
          <w:color w:val="auto"/>
        </w:rPr>
        <w:t>ouncil (ESRC)</w:t>
      </w:r>
      <w:r w:rsidR="006A0566" w:rsidRPr="003B25B4">
        <w:rPr>
          <w:color w:val="auto"/>
        </w:rPr>
        <w:t>.</w:t>
      </w:r>
    </w:p>
    <w:p w14:paraId="2BDB6956" w14:textId="77777777" w:rsidR="00AC43E6" w:rsidRPr="003B25B4" w:rsidRDefault="00AC43E6" w:rsidP="00CC7E08">
      <w:pPr>
        <w:pStyle w:val="NoSpacing"/>
        <w:rPr>
          <w:color w:val="auto"/>
        </w:rPr>
      </w:pPr>
    </w:p>
    <w:p w14:paraId="1D598B91" w14:textId="15680254" w:rsidR="005F6C26" w:rsidRPr="003B25B4" w:rsidRDefault="00F84F72" w:rsidP="00CC7E08">
      <w:pPr>
        <w:pStyle w:val="Style1"/>
        <w:rPr>
          <w:rStyle w:val="BookTitle"/>
          <w:b/>
          <w:bCs w:val="0"/>
          <w:i w:val="0"/>
          <w:iCs w:val="0"/>
          <w:color w:val="auto"/>
          <w:spacing w:val="0"/>
        </w:rPr>
      </w:pPr>
      <w:r w:rsidRPr="003B25B4">
        <w:rPr>
          <w:rStyle w:val="SubtleEmphasis"/>
          <w:i w:val="0"/>
          <w:color w:val="auto"/>
        </w:rPr>
        <w:t>Design</w:t>
      </w:r>
      <w:r w:rsidRPr="003B25B4">
        <w:rPr>
          <w:rStyle w:val="BookTitle"/>
          <w:b/>
          <w:bCs w:val="0"/>
          <w:i w:val="0"/>
          <w:iCs w:val="0"/>
          <w:color w:val="auto"/>
          <w:spacing w:val="0"/>
        </w:rPr>
        <w:t xml:space="preserve"> </w:t>
      </w:r>
      <w:r w:rsidR="00F8059D" w:rsidRPr="003B25B4">
        <w:rPr>
          <w:rStyle w:val="BookTitle"/>
          <w:b/>
          <w:bCs w:val="0"/>
          <w:i w:val="0"/>
          <w:iCs w:val="0"/>
          <w:color w:val="auto"/>
          <w:spacing w:val="0"/>
        </w:rPr>
        <w:t>and m</w:t>
      </w:r>
      <w:r w:rsidR="008E242B" w:rsidRPr="003B25B4">
        <w:rPr>
          <w:rStyle w:val="BookTitle"/>
          <w:b/>
          <w:bCs w:val="0"/>
          <w:i w:val="0"/>
          <w:iCs w:val="0"/>
          <w:color w:val="auto"/>
          <w:spacing w:val="0"/>
        </w:rPr>
        <w:t>ethod</w:t>
      </w:r>
      <w:r w:rsidR="00F8059D" w:rsidRPr="003B25B4">
        <w:rPr>
          <w:rStyle w:val="BookTitle"/>
          <w:b/>
          <w:bCs w:val="0"/>
          <w:i w:val="0"/>
          <w:iCs w:val="0"/>
          <w:color w:val="auto"/>
          <w:spacing w:val="0"/>
        </w:rPr>
        <w:t>s</w:t>
      </w:r>
    </w:p>
    <w:p w14:paraId="4776F221" w14:textId="64D671D7" w:rsidR="004054F0" w:rsidRPr="003B25B4" w:rsidRDefault="004054F0" w:rsidP="00CC7E08">
      <w:pPr>
        <w:pStyle w:val="Style2"/>
        <w:rPr>
          <w:color w:val="auto"/>
        </w:rPr>
      </w:pPr>
      <w:r w:rsidRPr="003B25B4">
        <w:rPr>
          <w:color w:val="auto"/>
        </w:rPr>
        <w:lastRenderedPageBreak/>
        <w:t>Design</w:t>
      </w:r>
    </w:p>
    <w:p w14:paraId="60ADB86E" w14:textId="72183D87" w:rsidR="000F4409" w:rsidRPr="003B25B4" w:rsidRDefault="004F6869" w:rsidP="00CC7E08">
      <w:pPr>
        <w:pStyle w:val="NoSpacing"/>
        <w:rPr>
          <w:color w:val="auto"/>
        </w:rPr>
      </w:pPr>
      <w:r w:rsidRPr="003B25B4">
        <w:rPr>
          <w:color w:val="auto"/>
        </w:rPr>
        <w:t>The</w:t>
      </w:r>
      <w:r w:rsidR="003212A6" w:rsidRPr="003B25B4">
        <w:rPr>
          <w:color w:val="auto"/>
        </w:rPr>
        <w:t xml:space="preserve"> </w:t>
      </w:r>
      <w:r w:rsidR="000F4409" w:rsidRPr="003B25B4">
        <w:rPr>
          <w:color w:val="auto"/>
        </w:rPr>
        <w:t>study was conducted in 2014-2016 in an urban English local authority with high levels of deprivation and an ethnically diverse population.</w:t>
      </w:r>
      <w:r w:rsidR="003212A6" w:rsidRPr="003B25B4">
        <w:rPr>
          <w:color w:val="auto"/>
        </w:rPr>
        <w:t xml:space="preserve"> </w:t>
      </w:r>
      <w:r w:rsidRPr="003B25B4">
        <w:rPr>
          <w:color w:val="auto"/>
        </w:rPr>
        <w:t xml:space="preserve">It investigated </w:t>
      </w:r>
      <w:r w:rsidR="003212A6" w:rsidRPr="003B25B4">
        <w:rPr>
          <w:color w:val="auto"/>
        </w:rPr>
        <w:t xml:space="preserve">the histories, circumstances and </w:t>
      </w:r>
      <w:r w:rsidRPr="003B25B4">
        <w:rPr>
          <w:color w:val="auto"/>
        </w:rPr>
        <w:t xml:space="preserve">educational </w:t>
      </w:r>
      <w:r w:rsidR="003212A6" w:rsidRPr="003B25B4">
        <w:rPr>
          <w:color w:val="auto"/>
        </w:rPr>
        <w:t>development</w:t>
      </w:r>
      <w:r w:rsidRPr="003B25B4">
        <w:rPr>
          <w:color w:val="auto"/>
        </w:rPr>
        <w:t xml:space="preserve"> of </w:t>
      </w:r>
      <w:r w:rsidR="0070012D" w:rsidRPr="003B25B4">
        <w:rPr>
          <w:color w:val="auto"/>
        </w:rPr>
        <w:t xml:space="preserve">234 </w:t>
      </w:r>
      <w:r w:rsidRPr="003B25B4">
        <w:rPr>
          <w:color w:val="auto"/>
        </w:rPr>
        <w:t>children with past or current involvement with child welfare services arising from concerns about abuse or neglect. Th</w:t>
      </w:r>
      <w:r w:rsidR="009B0774" w:rsidRPr="003B25B4">
        <w:rPr>
          <w:color w:val="auto"/>
        </w:rPr>
        <w:t>e</w:t>
      </w:r>
      <w:r w:rsidRPr="003B25B4">
        <w:rPr>
          <w:color w:val="auto"/>
        </w:rPr>
        <w:t xml:space="preserve"> study drew on multiple types of data from a variety of sources, linking</w:t>
      </w:r>
      <w:r w:rsidR="009B0774" w:rsidRPr="003B25B4">
        <w:rPr>
          <w:color w:val="auto"/>
        </w:rPr>
        <w:t xml:space="preserve"> </w:t>
      </w:r>
      <w:r w:rsidR="003212A6" w:rsidRPr="003B25B4">
        <w:rPr>
          <w:color w:val="auto"/>
        </w:rPr>
        <w:t>administrative</w:t>
      </w:r>
      <w:r w:rsidR="009B0774" w:rsidRPr="003B25B4">
        <w:rPr>
          <w:color w:val="auto"/>
        </w:rPr>
        <w:t xml:space="preserve"> data</w:t>
      </w:r>
      <w:r w:rsidR="003212A6" w:rsidRPr="003B25B4">
        <w:rPr>
          <w:color w:val="auto"/>
        </w:rPr>
        <w:t xml:space="preserve"> </w:t>
      </w:r>
      <w:r w:rsidR="000F4409" w:rsidRPr="003B25B4">
        <w:rPr>
          <w:color w:val="auto"/>
        </w:rPr>
        <w:t xml:space="preserve">to primary data gathered </w:t>
      </w:r>
      <w:r w:rsidR="003212A6" w:rsidRPr="003B25B4">
        <w:rPr>
          <w:color w:val="auto"/>
        </w:rPr>
        <w:t>through</w:t>
      </w:r>
      <w:r w:rsidR="000F4409" w:rsidRPr="003B25B4">
        <w:rPr>
          <w:color w:val="auto"/>
        </w:rPr>
        <w:t xml:space="preserve"> interviews with</w:t>
      </w:r>
      <w:r w:rsidR="003212A6" w:rsidRPr="003B25B4">
        <w:rPr>
          <w:color w:val="auto"/>
        </w:rPr>
        <w:t xml:space="preserve"> </w:t>
      </w:r>
      <w:r w:rsidR="00C74971" w:rsidRPr="003B25B4">
        <w:rPr>
          <w:color w:val="auto"/>
        </w:rPr>
        <w:t xml:space="preserve">children’s </w:t>
      </w:r>
      <w:r w:rsidR="000F4409" w:rsidRPr="003B25B4">
        <w:rPr>
          <w:color w:val="auto"/>
        </w:rPr>
        <w:t>current caregivers (parents or foster carers)</w:t>
      </w:r>
      <w:r w:rsidR="003212A6" w:rsidRPr="003B25B4">
        <w:rPr>
          <w:color w:val="auto"/>
        </w:rPr>
        <w:t>, a</w:t>
      </w:r>
      <w:r w:rsidR="009B0774" w:rsidRPr="003B25B4">
        <w:rPr>
          <w:color w:val="auto"/>
        </w:rPr>
        <w:t>n online</w:t>
      </w:r>
      <w:r w:rsidR="003212A6" w:rsidRPr="003B25B4">
        <w:rPr>
          <w:color w:val="auto"/>
        </w:rPr>
        <w:t xml:space="preserve"> survey of social workers</w:t>
      </w:r>
      <w:r w:rsidR="00C74971" w:rsidRPr="003B25B4">
        <w:rPr>
          <w:color w:val="auto"/>
        </w:rPr>
        <w:t>,</w:t>
      </w:r>
      <w:r w:rsidR="003212A6" w:rsidRPr="003B25B4">
        <w:rPr>
          <w:color w:val="auto"/>
        </w:rPr>
        <w:t xml:space="preserve"> </w:t>
      </w:r>
      <w:r w:rsidR="000F4409" w:rsidRPr="003B25B4">
        <w:rPr>
          <w:color w:val="auto"/>
        </w:rPr>
        <w:t xml:space="preserve">and </w:t>
      </w:r>
      <w:r w:rsidR="00C74971" w:rsidRPr="003B25B4">
        <w:rPr>
          <w:color w:val="auto"/>
        </w:rPr>
        <w:t>assessments of</w:t>
      </w:r>
      <w:r w:rsidR="009B0774" w:rsidRPr="003B25B4">
        <w:rPr>
          <w:color w:val="auto"/>
        </w:rPr>
        <w:t xml:space="preserve"> </w:t>
      </w:r>
      <w:r w:rsidR="000F4409" w:rsidRPr="003B25B4">
        <w:rPr>
          <w:color w:val="auto"/>
        </w:rPr>
        <w:t>educational performance.</w:t>
      </w:r>
      <w:r w:rsidR="00BD5D1D">
        <w:rPr>
          <w:color w:val="auto"/>
        </w:rPr>
        <w:t xml:space="preserve"> </w:t>
      </w:r>
      <w:r w:rsidR="000F4409" w:rsidRPr="003B25B4">
        <w:rPr>
          <w:color w:val="auto"/>
        </w:rPr>
        <w:t>Ethical approval was given by the ethics committee of the Department of Social Policy and Social Work,</w:t>
      </w:r>
      <w:r w:rsidR="00BD5D1D">
        <w:rPr>
          <w:color w:val="auto"/>
        </w:rPr>
        <w:t xml:space="preserve"> University of York.</w:t>
      </w:r>
    </w:p>
    <w:p w14:paraId="1BC98B4D" w14:textId="77777777" w:rsidR="00C74971" w:rsidRPr="003B25B4" w:rsidRDefault="00C74971" w:rsidP="00CC7E08">
      <w:pPr>
        <w:pStyle w:val="NoSpacing"/>
        <w:rPr>
          <w:color w:val="auto"/>
        </w:rPr>
      </w:pPr>
    </w:p>
    <w:p w14:paraId="24C67CD0" w14:textId="1F30EF95" w:rsidR="0079625C" w:rsidRPr="003B25B4" w:rsidRDefault="009B0774" w:rsidP="00CC7E08">
      <w:pPr>
        <w:pStyle w:val="NoSpacing"/>
        <w:rPr>
          <w:color w:val="auto"/>
        </w:rPr>
      </w:pPr>
      <w:r w:rsidRPr="003B25B4">
        <w:rPr>
          <w:color w:val="auto"/>
        </w:rPr>
        <w:t>Th</w:t>
      </w:r>
      <w:r w:rsidR="00076676" w:rsidRPr="003B25B4">
        <w:rPr>
          <w:color w:val="auto"/>
        </w:rPr>
        <w:t>is was an</w:t>
      </w:r>
      <w:r w:rsidR="0070012D" w:rsidRPr="003B25B4">
        <w:rPr>
          <w:color w:val="auto"/>
        </w:rPr>
        <w:t xml:space="preserve"> </w:t>
      </w:r>
      <w:r w:rsidRPr="003B25B4">
        <w:rPr>
          <w:color w:val="auto"/>
        </w:rPr>
        <w:t>observational</w:t>
      </w:r>
      <w:r w:rsidR="007677D4" w:rsidRPr="003B25B4">
        <w:rPr>
          <w:color w:val="auto"/>
        </w:rPr>
        <w:t xml:space="preserve"> </w:t>
      </w:r>
      <w:r w:rsidR="00076676" w:rsidRPr="003B25B4">
        <w:rPr>
          <w:color w:val="auto"/>
        </w:rPr>
        <w:t>study</w:t>
      </w:r>
      <w:r w:rsidR="00AD1E30" w:rsidRPr="003B25B4">
        <w:rPr>
          <w:color w:val="auto"/>
        </w:rPr>
        <w:t xml:space="preserve">, </w:t>
      </w:r>
      <w:r w:rsidR="00203527" w:rsidRPr="003B25B4">
        <w:rPr>
          <w:color w:val="auto"/>
        </w:rPr>
        <w:t xml:space="preserve">where we observed </w:t>
      </w:r>
      <w:r w:rsidR="002D0EE2" w:rsidRPr="003B25B4">
        <w:rPr>
          <w:color w:val="auto"/>
        </w:rPr>
        <w:t>and compared education outcomes for two groups of children</w:t>
      </w:r>
      <w:r w:rsidR="00612683" w:rsidRPr="003B25B4">
        <w:rPr>
          <w:color w:val="auto"/>
        </w:rPr>
        <w:t xml:space="preserve">, </w:t>
      </w:r>
      <w:r w:rsidR="009F5829" w:rsidRPr="003B25B4">
        <w:rPr>
          <w:color w:val="auto"/>
        </w:rPr>
        <w:t>both with histories of maltreatment and child welfare involvement</w:t>
      </w:r>
      <w:r w:rsidR="007857C9" w:rsidRPr="003B25B4">
        <w:rPr>
          <w:color w:val="auto"/>
        </w:rPr>
        <w:t xml:space="preserve">, without </w:t>
      </w:r>
      <w:r w:rsidR="0012379C" w:rsidRPr="003B25B4">
        <w:rPr>
          <w:color w:val="auto"/>
        </w:rPr>
        <w:t xml:space="preserve">any control over </w:t>
      </w:r>
      <w:r w:rsidR="007857C9" w:rsidRPr="003B25B4">
        <w:rPr>
          <w:color w:val="auto"/>
        </w:rPr>
        <w:t>group membership</w:t>
      </w:r>
      <w:r w:rsidR="0012379C" w:rsidRPr="003B25B4">
        <w:rPr>
          <w:color w:val="auto"/>
        </w:rPr>
        <w:t>.</w:t>
      </w:r>
      <w:r w:rsidR="00211957" w:rsidRPr="003B25B4">
        <w:rPr>
          <w:color w:val="auto"/>
        </w:rPr>
        <w:t xml:space="preserve"> </w:t>
      </w:r>
      <w:r w:rsidR="004E2B78" w:rsidRPr="003B25B4">
        <w:rPr>
          <w:color w:val="auto"/>
        </w:rPr>
        <w:t xml:space="preserve">One group </w:t>
      </w:r>
      <w:r w:rsidR="00C74971" w:rsidRPr="003B25B4">
        <w:rPr>
          <w:color w:val="auto"/>
        </w:rPr>
        <w:t>of children were</w:t>
      </w:r>
      <w:r w:rsidR="004E2B78" w:rsidRPr="003B25B4">
        <w:rPr>
          <w:color w:val="auto"/>
        </w:rPr>
        <w:t xml:space="preserve"> </w:t>
      </w:r>
      <w:r w:rsidR="00F60F3F" w:rsidRPr="003B25B4">
        <w:rPr>
          <w:color w:val="auto"/>
        </w:rPr>
        <w:t xml:space="preserve">in care at the time of the study </w:t>
      </w:r>
      <w:r w:rsidR="00F8059D" w:rsidRPr="003B25B4">
        <w:rPr>
          <w:color w:val="auto"/>
        </w:rPr>
        <w:t xml:space="preserve">(the </w:t>
      </w:r>
      <w:r w:rsidR="00F8059D" w:rsidRPr="003B25B4">
        <w:rPr>
          <w:i/>
          <w:color w:val="auto"/>
        </w:rPr>
        <w:t>care group</w:t>
      </w:r>
      <w:r w:rsidR="00F8059D" w:rsidRPr="003B25B4">
        <w:rPr>
          <w:color w:val="auto"/>
        </w:rPr>
        <w:t xml:space="preserve">) </w:t>
      </w:r>
      <w:r w:rsidR="00F60F3F" w:rsidRPr="003B25B4">
        <w:rPr>
          <w:color w:val="auto"/>
        </w:rPr>
        <w:t>while</w:t>
      </w:r>
      <w:r w:rsidR="004E2B78" w:rsidRPr="003B25B4">
        <w:rPr>
          <w:color w:val="auto"/>
        </w:rPr>
        <w:t xml:space="preserve"> the </w:t>
      </w:r>
      <w:r w:rsidR="00F60F3F" w:rsidRPr="003B25B4">
        <w:rPr>
          <w:color w:val="auto"/>
        </w:rPr>
        <w:t xml:space="preserve">other </w:t>
      </w:r>
      <w:r w:rsidR="00394CDD" w:rsidRPr="003B25B4">
        <w:rPr>
          <w:color w:val="auto"/>
        </w:rPr>
        <w:t xml:space="preserve">group </w:t>
      </w:r>
      <w:r w:rsidR="00F60F3F" w:rsidRPr="003B25B4">
        <w:rPr>
          <w:color w:val="auto"/>
        </w:rPr>
        <w:t>were</w:t>
      </w:r>
      <w:r w:rsidR="00F8059D" w:rsidRPr="003B25B4">
        <w:rPr>
          <w:color w:val="auto"/>
        </w:rPr>
        <w:t xml:space="preserve"> living at home (the </w:t>
      </w:r>
      <w:r w:rsidR="00F8059D" w:rsidRPr="003B25B4">
        <w:rPr>
          <w:i/>
          <w:color w:val="auto"/>
        </w:rPr>
        <w:t>home group</w:t>
      </w:r>
      <w:r w:rsidR="00F8059D" w:rsidRPr="003B25B4">
        <w:rPr>
          <w:color w:val="auto"/>
        </w:rPr>
        <w:t>).</w:t>
      </w:r>
      <w:r w:rsidR="00BD5D1D">
        <w:rPr>
          <w:color w:val="auto"/>
        </w:rPr>
        <w:t xml:space="preserve"> </w:t>
      </w:r>
      <w:r w:rsidR="00F8059D" w:rsidRPr="003B25B4">
        <w:rPr>
          <w:color w:val="auto"/>
        </w:rPr>
        <w:t xml:space="preserve">The </w:t>
      </w:r>
      <w:r w:rsidR="00F8059D" w:rsidRPr="003B25B4">
        <w:rPr>
          <w:i/>
          <w:color w:val="auto"/>
        </w:rPr>
        <w:t>home group</w:t>
      </w:r>
      <w:r w:rsidR="00F8059D" w:rsidRPr="003B25B4">
        <w:rPr>
          <w:color w:val="auto"/>
        </w:rPr>
        <w:t xml:space="preserve"> included </w:t>
      </w:r>
      <w:r w:rsidR="00F60F3F" w:rsidRPr="003B25B4">
        <w:rPr>
          <w:color w:val="auto"/>
        </w:rPr>
        <w:t xml:space="preserve">both children </w:t>
      </w:r>
      <w:r w:rsidR="00394CDD" w:rsidRPr="003B25B4">
        <w:rPr>
          <w:color w:val="auto"/>
        </w:rPr>
        <w:t xml:space="preserve">who had been reunified with parents following placement in care and those </w:t>
      </w:r>
      <w:r w:rsidR="00F60F3F" w:rsidRPr="003B25B4">
        <w:rPr>
          <w:color w:val="auto"/>
        </w:rPr>
        <w:t xml:space="preserve">who were (or had </w:t>
      </w:r>
      <w:r w:rsidR="00182A4C" w:rsidRPr="003B25B4">
        <w:rPr>
          <w:color w:val="auto"/>
        </w:rPr>
        <w:t xml:space="preserve">ever </w:t>
      </w:r>
      <w:r w:rsidR="00F60F3F" w:rsidRPr="003B25B4">
        <w:rPr>
          <w:color w:val="auto"/>
        </w:rPr>
        <w:t>been) the subject of a Child Protection Plan (CPP) but had never been in care</w:t>
      </w:r>
      <w:r w:rsidR="00394CDD" w:rsidRPr="003B25B4">
        <w:rPr>
          <w:color w:val="auto"/>
        </w:rPr>
        <w:t xml:space="preserve">. </w:t>
      </w:r>
      <w:r w:rsidR="00F60F3F" w:rsidRPr="003B25B4">
        <w:rPr>
          <w:color w:val="auto"/>
        </w:rPr>
        <w:t>A CPP is a multi-agency plan</w:t>
      </w:r>
      <w:r w:rsidR="0079625C" w:rsidRPr="003B25B4">
        <w:rPr>
          <w:color w:val="auto"/>
        </w:rPr>
        <w:t xml:space="preserve"> agreed at a </w:t>
      </w:r>
      <w:r w:rsidR="007A2AB9" w:rsidRPr="003B25B4">
        <w:rPr>
          <w:color w:val="auto"/>
        </w:rPr>
        <w:t>c</w:t>
      </w:r>
      <w:r w:rsidR="0079625C" w:rsidRPr="003B25B4">
        <w:rPr>
          <w:color w:val="auto"/>
        </w:rPr>
        <w:t xml:space="preserve">hild </w:t>
      </w:r>
      <w:r w:rsidR="007A2AB9" w:rsidRPr="003B25B4">
        <w:rPr>
          <w:color w:val="auto"/>
        </w:rPr>
        <w:t>p</w:t>
      </w:r>
      <w:r w:rsidR="0079625C" w:rsidRPr="003B25B4">
        <w:rPr>
          <w:color w:val="auto"/>
        </w:rPr>
        <w:t>rotection</w:t>
      </w:r>
      <w:r w:rsidR="004E2B78" w:rsidRPr="003B25B4">
        <w:rPr>
          <w:color w:val="auto"/>
        </w:rPr>
        <w:t xml:space="preserve"> case </w:t>
      </w:r>
      <w:r w:rsidR="007A2AB9" w:rsidRPr="003B25B4">
        <w:rPr>
          <w:color w:val="auto"/>
        </w:rPr>
        <w:t>c</w:t>
      </w:r>
      <w:r w:rsidR="00F60F3F" w:rsidRPr="003B25B4">
        <w:rPr>
          <w:color w:val="auto"/>
        </w:rPr>
        <w:t>onference</w:t>
      </w:r>
      <w:r w:rsidR="0079625C" w:rsidRPr="003B25B4">
        <w:rPr>
          <w:color w:val="auto"/>
        </w:rPr>
        <w:t xml:space="preserve"> and is designed to address ongoing risks of harm due to abuse or neglect and to support a child to remain at home.</w:t>
      </w:r>
      <w:r w:rsidR="00BD5D1D">
        <w:rPr>
          <w:color w:val="auto"/>
        </w:rPr>
        <w:t xml:space="preserve"> </w:t>
      </w:r>
      <w:r w:rsidR="0079625C" w:rsidRPr="003B25B4">
        <w:rPr>
          <w:color w:val="auto"/>
        </w:rPr>
        <w:t xml:space="preserve">It is a quasi-compulsory measure rather than one imposed by the courts, but parents are undoubtedly aware that non-compliance </w:t>
      </w:r>
      <w:r w:rsidR="0092070E" w:rsidRPr="003B25B4">
        <w:rPr>
          <w:color w:val="auto"/>
        </w:rPr>
        <w:t>may</w:t>
      </w:r>
      <w:r w:rsidR="0079625C" w:rsidRPr="003B25B4">
        <w:rPr>
          <w:color w:val="auto"/>
        </w:rPr>
        <w:t xml:space="preserve"> result in an application to the court to place the child in care.  </w:t>
      </w:r>
    </w:p>
    <w:p w14:paraId="2FD9D0D6" w14:textId="77777777" w:rsidR="008056BF" w:rsidRPr="003B25B4" w:rsidRDefault="008056BF" w:rsidP="00CC7E08">
      <w:pPr>
        <w:pStyle w:val="NoSpacing"/>
        <w:rPr>
          <w:color w:val="auto"/>
        </w:rPr>
      </w:pPr>
    </w:p>
    <w:p w14:paraId="65B6DA67" w14:textId="1E45202B" w:rsidR="00F60F3F" w:rsidRPr="003B25B4" w:rsidRDefault="00F84F72" w:rsidP="00CC7E08">
      <w:pPr>
        <w:pStyle w:val="Style2"/>
        <w:rPr>
          <w:color w:val="auto"/>
        </w:rPr>
      </w:pPr>
      <w:r w:rsidRPr="003B25B4">
        <w:rPr>
          <w:color w:val="auto"/>
        </w:rPr>
        <w:lastRenderedPageBreak/>
        <w:t xml:space="preserve"> </w:t>
      </w:r>
      <w:r w:rsidR="00F60F3F" w:rsidRPr="003B25B4">
        <w:rPr>
          <w:color w:val="auto"/>
        </w:rPr>
        <w:t>Sampling</w:t>
      </w:r>
      <w:r w:rsidR="008F6AD7" w:rsidRPr="003B25B4">
        <w:rPr>
          <w:color w:val="auto"/>
        </w:rPr>
        <w:t xml:space="preserve"> and Data Collection</w:t>
      </w:r>
    </w:p>
    <w:p w14:paraId="5A9BFBDA" w14:textId="0C8CFFA9" w:rsidR="005E469C" w:rsidRPr="003B25B4" w:rsidRDefault="0082458A" w:rsidP="00CC7E08">
      <w:pPr>
        <w:pStyle w:val="NoSpacing"/>
        <w:rPr>
          <w:color w:val="auto"/>
        </w:rPr>
      </w:pPr>
      <w:r w:rsidRPr="003B25B4">
        <w:rPr>
          <w:color w:val="auto"/>
        </w:rPr>
        <w:t xml:space="preserve">The procedure for the sample selection and data collection is illustrated in Figure 1. </w:t>
      </w:r>
      <w:r w:rsidR="00136F53" w:rsidRPr="003B25B4">
        <w:rPr>
          <w:color w:val="auto"/>
        </w:rPr>
        <w:t>Anonymised administrative data on all Children in Need (</w:t>
      </w:r>
      <w:proofErr w:type="spellStart"/>
      <w:r w:rsidR="00136F53" w:rsidRPr="003B25B4">
        <w:rPr>
          <w:color w:val="auto"/>
        </w:rPr>
        <w:t>CiN</w:t>
      </w:r>
      <w:proofErr w:type="spellEnd"/>
      <w:r w:rsidR="00136F53" w:rsidRPr="003B25B4">
        <w:rPr>
          <w:color w:val="auto"/>
        </w:rPr>
        <w:t>) referrals, Child Protection Plans (CPP) and episodes of care due to abuse or neglect prior to August 2015 was obtained for all children born 1 September 2005</w:t>
      </w:r>
      <w:r w:rsidR="00F60F3F" w:rsidRPr="003B25B4">
        <w:rPr>
          <w:color w:val="auto"/>
        </w:rPr>
        <w:t>-</w:t>
      </w:r>
      <w:r w:rsidR="00136F53" w:rsidRPr="003B25B4">
        <w:rPr>
          <w:color w:val="auto"/>
        </w:rPr>
        <w:t xml:space="preserve"> 31 August 2012 (n=1,801). Children who had died, </w:t>
      </w:r>
      <w:r w:rsidR="005E469C" w:rsidRPr="003B25B4">
        <w:rPr>
          <w:color w:val="auto"/>
        </w:rPr>
        <w:t xml:space="preserve">or left care to a permanent placement (through adoption, a Special Guardianship Order or a Residence Order) </w:t>
      </w:r>
      <w:r w:rsidR="00136F53" w:rsidRPr="003B25B4">
        <w:rPr>
          <w:color w:val="auto"/>
        </w:rPr>
        <w:t>were excluded</w:t>
      </w:r>
      <w:r w:rsidR="005E469C" w:rsidRPr="003B25B4">
        <w:rPr>
          <w:color w:val="auto"/>
        </w:rPr>
        <w:t xml:space="preserve"> (n=40</w:t>
      </w:r>
      <w:r w:rsidR="00BC52C5" w:rsidRPr="003B25B4">
        <w:rPr>
          <w:color w:val="auto"/>
        </w:rPr>
        <w:t>6</w:t>
      </w:r>
      <w:r w:rsidR="00AA238A" w:rsidRPr="003B25B4">
        <w:rPr>
          <w:color w:val="auto"/>
        </w:rPr>
        <w:t>)</w:t>
      </w:r>
      <w:r w:rsidR="005E469C" w:rsidRPr="003B25B4">
        <w:rPr>
          <w:color w:val="auto"/>
        </w:rPr>
        <w:t>.</w:t>
      </w:r>
    </w:p>
    <w:p w14:paraId="3503DF77" w14:textId="0688BE31" w:rsidR="005E469C" w:rsidRPr="003B25B4" w:rsidRDefault="005E469C" w:rsidP="00CC7E08">
      <w:pPr>
        <w:pStyle w:val="NoSpacing"/>
        <w:rPr>
          <w:color w:val="auto"/>
        </w:rPr>
      </w:pPr>
    </w:p>
    <w:p w14:paraId="46F5097C" w14:textId="0F616B7C" w:rsidR="006B1BBF" w:rsidRPr="003B25B4" w:rsidRDefault="006B1BBF" w:rsidP="00CC7E08">
      <w:pPr>
        <w:pStyle w:val="NoSpacing"/>
        <w:rPr>
          <w:color w:val="auto"/>
        </w:rPr>
      </w:pPr>
      <w:r w:rsidRPr="003B25B4">
        <w:rPr>
          <w:color w:val="auto"/>
        </w:rPr>
        <w:t>[</w:t>
      </w:r>
      <w:proofErr w:type="gramStart"/>
      <w:r w:rsidRPr="003B25B4">
        <w:rPr>
          <w:color w:val="auto"/>
        </w:rPr>
        <w:t>insert</w:t>
      </w:r>
      <w:proofErr w:type="gramEnd"/>
      <w:r w:rsidRPr="003B25B4">
        <w:rPr>
          <w:color w:val="auto"/>
        </w:rPr>
        <w:t xml:space="preserve"> figure 1 here] </w:t>
      </w:r>
    </w:p>
    <w:p w14:paraId="27651F6F" w14:textId="77777777" w:rsidR="006B1BBF" w:rsidRPr="003B25B4" w:rsidRDefault="006B1BBF" w:rsidP="00CC7E08">
      <w:pPr>
        <w:pStyle w:val="NoSpacing"/>
        <w:rPr>
          <w:color w:val="auto"/>
        </w:rPr>
      </w:pPr>
    </w:p>
    <w:p w14:paraId="10A61497" w14:textId="29E40608" w:rsidR="003754C7" w:rsidRPr="003B25B4" w:rsidRDefault="00B205A8" w:rsidP="00CC7E08">
      <w:pPr>
        <w:pStyle w:val="NoSpacing"/>
        <w:rPr>
          <w:color w:val="auto"/>
        </w:rPr>
      </w:pPr>
      <w:r w:rsidRPr="003B25B4">
        <w:rPr>
          <w:color w:val="auto"/>
        </w:rPr>
        <w:t xml:space="preserve">Of the </w:t>
      </w:r>
      <w:r w:rsidR="00D61EF6" w:rsidRPr="003B25B4">
        <w:rPr>
          <w:color w:val="auto"/>
        </w:rPr>
        <w:t>remaining 1,395 children, all those</w:t>
      </w:r>
      <w:r w:rsidR="00F31C20" w:rsidRPr="003B25B4">
        <w:rPr>
          <w:color w:val="auto"/>
        </w:rPr>
        <w:t xml:space="preserve"> currently </w:t>
      </w:r>
      <w:r w:rsidR="00AA238A" w:rsidRPr="003B25B4">
        <w:rPr>
          <w:color w:val="auto"/>
        </w:rPr>
        <w:t>(n=204) or previously (n=263)</w:t>
      </w:r>
      <w:r w:rsidR="00F60F3F" w:rsidRPr="003B25B4">
        <w:rPr>
          <w:color w:val="auto"/>
        </w:rPr>
        <w:t xml:space="preserve"> </w:t>
      </w:r>
      <w:r w:rsidR="00F31C20" w:rsidRPr="003B25B4">
        <w:rPr>
          <w:color w:val="auto"/>
        </w:rPr>
        <w:t xml:space="preserve">in care </w:t>
      </w:r>
      <w:r w:rsidR="006A0566" w:rsidRPr="003B25B4">
        <w:rPr>
          <w:color w:val="auto"/>
        </w:rPr>
        <w:t xml:space="preserve">due to </w:t>
      </w:r>
      <w:r w:rsidR="00487719" w:rsidRPr="003B25B4">
        <w:rPr>
          <w:color w:val="auto"/>
        </w:rPr>
        <w:t>maltreatment</w:t>
      </w:r>
      <w:r w:rsidR="00F31C20" w:rsidRPr="003B25B4">
        <w:rPr>
          <w:color w:val="auto"/>
        </w:rPr>
        <w:t xml:space="preserve">, and a </w:t>
      </w:r>
      <w:r w:rsidR="003E2E82" w:rsidRPr="003B25B4">
        <w:rPr>
          <w:color w:val="auto"/>
        </w:rPr>
        <w:t xml:space="preserve">random </w:t>
      </w:r>
      <w:r w:rsidR="00F31C20" w:rsidRPr="003B25B4">
        <w:rPr>
          <w:color w:val="auto"/>
        </w:rPr>
        <w:t xml:space="preserve">one-in-three sample of the </w:t>
      </w:r>
      <w:r w:rsidR="00ED5A35" w:rsidRPr="003B25B4">
        <w:rPr>
          <w:color w:val="auto"/>
        </w:rPr>
        <w:t xml:space="preserve">larger group of </w:t>
      </w:r>
      <w:r w:rsidR="00215418" w:rsidRPr="003B25B4">
        <w:rPr>
          <w:color w:val="auto"/>
        </w:rPr>
        <w:t>9</w:t>
      </w:r>
      <w:r w:rsidR="00302C0D" w:rsidRPr="003B25B4">
        <w:rPr>
          <w:color w:val="auto"/>
        </w:rPr>
        <w:t>2</w:t>
      </w:r>
      <w:r w:rsidR="00215418" w:rsidRPr="003B25B4">
        <w:rPr>
          <w:color w:val="auto"/>
        </w:rPr>
        <w:t xml:space="preserve">8 </w:t>
      </w:r>
      <w:r w:rsidR="00F31C20" w:rsidRPr="003B25B4">
        <w:rPr>
          <w:color w:val="auto"/>
        </w:rPr>
        <w:t>children who had never been in care</w:t>
      </w:r>
      <w:r w:rsidR="003E2E82" w:rsidRPr="003B25B4">
        <w:rPr>
          <w:color w:val="auto"/>
        </w:rPr>
        <w:t xml:space="preserve"> were selected for the study</w:t>
      </w:r>
      <w:r w:rsidR="007E32A2" w:rsidRPr="003B25B4">
        <w:rPr>
          <w:color w:val="auto"/>
        </w:rPr>
        <w:t xml:space="preserve"> (total sampling frame=</w:t>
      </w:r>
      <w:r w:rsidR="00F31C20" w:rsidRPr="003B25B4">
        <w:rPr>
          <w:color w:val="auto"/>
        </w:rPr>
        <w:t>776).</w:t>
      </w:r>
      <w:r w:rsidR="00BD5D1D">
        <w:rPr>
          <w:color w:val="auto"/>
        </w:rPr>
        <w:t xml:space="preserve"> </w:t>
      </w:r>
      <w:r w:rsidR="00215418" w:rsidRPr="003B25B4">
        <w:rPr>
          <w:color w:val="auto"/>
        </w:rPr>
        <w:t xml:space="preserve">Recruitment packs were then sent to the children’s current caregivers </w:t>
      </w:r>
      <w:r w:rsidR="009E6A76" w:rsidRPr="003B25B4">
        <w:rPr>
          <w:color w:val="auto"/>
        </w:rPr>
        <w:t xml:space="preserve">(parents, kinship carers or foster carers) </w:t>
      </w:r>
      <w:r w:rsidR="00215418" w:rsidRPr="003B25B4">
        <w:rPr>
          <w:color w:val="auto"/>
        </w:rPr>
        <w:t xml:space="preserve">by the </w:t>
      </w:r>
      <w:r w:rsidR="00F60F3F" w:rsidRPr="003B25B4">
        <w:rPr>
          <w:color w:val="auto"/>
        </w:rPr>
        <w:t>l</w:t>
      </w:r>
      <w:r w:rsidR="00215418" w:rsidRPr="003B25B4">
        <w:rPr>
          <w:color w:val="auto"/>
        </w:rPr>
        <w:t xml:space="preserve">ocal </w:t>
      </w:r>
      <w:r w:rsidR="00F60F3F" w:rsidRPr="003B25B4">
        <w:rPr>
          <w:color w:val="auto"/>
        </w:rPr>
        <w:t>a</w:t>
      </w:r>
      <w:r w:rsidR="00215418" w:rsidRPr="003B25B4">
        <w:rPr>
          <w:color w:val="auto"/>
        </w:rPr>
        <w:t>uthority, on behalf of the research team, providing information about the study and giving parents the opportunity to opt-out.</w:t>
      </w:r>
      <w:r w:rsidR="00BD5D1D">
        <w:rPr>
          <w:color w:val="auto"/>
        </w:rPr>
        <w:t xml:space="preserve"> </w:t>
      </w:r>
      <w:r w:rsidR="00620741" w:rsidRPr="003B25B4">
        <w:rPr>
          <w:color w:val="auto"/>
        </w:rPr>
        <w:t xml:space="preserve">After a 3-week opt-out period, </w:t>
      </w:r>
      <w:r w:rsidR="00F60F3F" w:rsidRPr="003B25B4">
        <w:rPr>
          <w:color w:val="auto"/>
        </w:rPr>
        <w:t>caregivers</w:t>
      </w:r>
      <w:r w:rsidR="009E6A76" w:rsidRPr="003B25B4">
        <w:rPr>
          <w:color w:val="auto"/>
        </w:rPr>
        <w:t xml:space="preserve"> </w:t>
      </w:r>
      <w:r w:rsidR="00F60F3F" w:rsidRPr="003B25B4">
        <w:rPr>
          <w:color w:val="auto"/>
        </w:rPr>
        <w:t xml:space="preserve">of the remaining 727 children were invited to take part in an interview (parents of </w:t>
      </w:r>
      <w:r w:rsidR="00215418" w:rsidRPr="003B25B4">
        <w:rPr>
          <w:color w:val="auto"/>
        </w:rPr>
        <w:t>26 children opted-out and 23 recruitment packs were returned undelivered</w:t>
      </w:r>
      <w:r w:rsidR="00B93880" w:rsidRPr="003B25B4">
        <w:rPr>
          <w:color w:val="auto"/>
        </w:rPr>
        <w:t>)</w:t>
      </w:r>
      <w:r w:rsidR="00620741" w:rsidRPr="003B25B4">
        <w:rPr>
          <w:color w:val="auto"/>
        </w:rPr>
        <w:t>.</w:t>
      </w:r>
      <w:r w:rsidR="00E5249D" w:rsidRPr="003B25B4">
        <w:rPr>
          <w:color w:val="auto"/>
        </w:rPr>
        <w:t xml:space="preserve">  </w:t>
      </w:r>
    </w:p>
    <w:p w14:paraId="51235FF4" w14:textId="77777777" w:rsidR="003754C7" w:rsidRPr="003B25B4" w:rsidRDefault="003754C7" w:rsidP="00CC7E08">
      <w:pPr>
        <w:pStyle w:val="NoSpacing"/>
        <w:rPr>
          <w:color w:val="auto"/>
        </w:rPr>
      </w:pPr>
    </w:p>
    <w:p w14:paraId="2F86244B" w14:textId="0944332D" w:rsidR="00A6476E" w:rsidRPr="003B25B4" w:rsidRDefault="00E31DA8" w:rsidP="00CC7E08">
      <w:pPr>
        <w:pStyle w:val="NoSpacing"/>
        <w:rPr>
          <w:color w:val="auto"/>
        </w:rPr>
      </w:pPr>
      <w:r w:rsidRPr="003B25B4">
        <w:rPr>
          <w:color w:val="auto"/>
        </w:rPr>
        <w:t>The survey company (TNS-BMRB) conducted face-to-face interviews with children’s current caregivers, focusing mainly on children’s current development and well-being.</w:t>
      </w:r>
      <w:r w:rsidR="00BD5D1D">
        <w:rPr>
          <w:color w:val="auto"/>
        </w:rPr>
        <w:t xml:space="preserve"> </w:t>
      </w:r>
      <w:r w:rsidR="0092070E" w:rsidRPr="003B25B4">
        <w:rPr>
          <w:color w:val="auto"/>
        </w:rPr>
        <w:t>A</w:t>
      </w:r>
      <w:r w:rsidR="0037422C" w:rsidRPr="003B25B4">
        <w:rPr>
          <w:color w:val="auto"/>
        </w:rPr>
        <w:t xml:space="preserve"> total of 390 </w:t>
      </w:r>
      <w:r w:rsidR="002D0BEE" w:rsidRPr="003B25B4">
        <w:rPr>
          <w:color w:val="auto"/>
        </w:rPr>
        <w:t xml:space="preserve">caregiver </w:t>
      </w:r>
      <w:r w:rsidR="0037422C" w:rsidRPr="003B25B4">
        <w:rPr>
          <w:color w:val="auto"/>
        </w:rPr>
        <w:t>interviews</w:t>
      </w:r>
      <w:r w:rsidR="0092070E" w:rsidRPr="003B25B4">
        <w:rPr>
          <w:color w:val="auto"/>
        </w:rPr>
        <w:t xml:space="preserve"> were conducted</w:t>
      </w:r>
      <w:r w:rsidR="003754C7" w:rsidRPr="003B25B4">
        <w:rPr>
          <w:color w:val="auto"/>
        </w:rPr>
        <w:t xml:space="preserve"> </w:t>
      </w:r>
      <w:r w:rsidR="00E503DB" w:rsidRPr="003B25B4">
        <w:rPr>
          <w:color w:val="auto"/>
        </w:rPr>
        <w:t>(</w:t>
      </w:r>
      <w:r w:rsidR="003754C7" w:rsidRPr="003B25B4">
        <w:rPr>
          <w:color w:val="auto"/>
        </w:rPr>
        <w:t xml:space="preserve">a </w:t>
      </w:r>
      <w:r w:rsidR="00E503DB" w:rsidRPr="003B25B4">
        <w:rPr>
          <w:color w:val="auto"/>
        </w:rPr>
        <w:t>50.3%</w:t>
      </w:r>
      <w:r w:rsidR="003754C7" w:rsidRPr="003B25B4">
        <w:rPr>
          <w:color w:val="auto"/>
        </w:rPr>
        <w:t xml:space="preserve"> response rate</w:t>
      </w:r>
      <w:r w:rsidR="00E503DB" w:rsidRPr="003B25B4">
        <w:rPr>
          <w:color w:val="auto"/>
        </w:rPr>
        <w:t>)</w:t>
      </w:r>
      <w:r w:rsidR="003754C7" w:rsidRPr="003B25B4">
        <w:rPr>
          <w:color w:val="auto"/>
        </w:rPr>
        <w:t>.</w:t>
      </w:r>
      <w:r w:rsidR="00BD5D1D">
        <w:rPr>
          <w:color w:val="auto"/>
        </w:rPr>
        <w:t xml:space="preserve"> </w:t>
      </w:r>
      <w:r w:rsidR="003754C7" w:rsidRPr="003B25B4">
        <w:rPr>
          <w:color w:val="auto"/>
        </w:rPr>
        <w:t xml:space="preserve">The caregivers of the </w:t>
      </w:r>
      <w:r w:rsidR="003754C7" w:rsidRPr="003B25B4">
        <w:rPr>
          <w:color w:val="auto"/>
        </w:rPr>
        <w:lastRenderedPageBreak/>
        <w:t xml:space="preserve">remaining children could not be interviewed due to contact details being out-of-date or inaccurate (25.5% of the sampling frame) or refusal (8.4%).  </w:t>
      </w:r>
    </w:p>
    <w:p w14:paraId="4C1471CF" w14:textId="798EDE63" w:rsidR="002B38BD" w:rsidRPr="003B25B4" w:rsidRDefault="002B38BD" w:rsidP="00CC7E08">
      <w:pPr>
        <w:pStyle w:val="NoSpacing"/>
        <w:rPr>
          <w:color w:val="auto"/>
        </w:rPr>
      </w:pPr>
    </w:p>
    <w:p w14:paraId="39812E51" w14:textId="037A2E34" w:rsidR="00650244" w:rsidRPr="003B25B4" w:rsidRDefault="0037422C" w:rsidP="00CC7E08">
      <w:pPr>
        <w:pStyle w:val="NoSpacing"/>
        <w:rPr>
          <w:color w:val="auto"/>
        </w:rPr>
      </w:pPr>
      <w:r w:rsidRPr="003B25B4">
        <w:rPr>
          <w:color w:val="auto"/>
        </w:rPr>
        <w:t xml:space="preserve">Data on children’s histories and current status was collected via an online survey of </w:t>
      </w:r>
      <w:r w:rsidR="00792411" w:rsidRPr="003B25B4">
        <w:rPr>
          <w:color w:val="auto"/>
        </w:rPr>
        <w:t>their</w:t>
      </w:r>
      <w:r w:rsidRPr="003B25B4">
        <w:rPr>
          <w:color w:val="auto"/>
        </w:rPr>
        <w:t xml:space="preserve"> current or most recent social worker</w:t>
      </w:r>
      <w:r w:rsidR="00BC52C5" w:rsidRPr="003B25B4">
        <w:rPr>
          <w:color w:val="auto"/>
        </w:rPr>
        <w:t xml:space="preserve"> (n=209)</w:t>
      </w:r>
      <w:r w:rsidR="006A3335" w:rsidRPr="003B25B4">
        <w:rPr>
          <w:color w:val="auto"/>
        </w:rPr>
        <w:t xml:space="preserve">. </w:t>
      </w:r>
      <w:r w:rsidR="003A2138" w:rsidRPr="003B25B4">
        <w:rPr>
          <w:color w:val="auto"/>
        </w:rPr>
        <w:t>Where no current (or recent) social worker was available, case file analysi</w:t>
      </w:r>
      <w:r w:rsidR="00CF63E9" w:rsidRPr="003B25B4">
        <w:rPr>
          <w:color w:val="auto"/>
        </w:rPr>
        <w:t>s</w:t>
      </w:r>
      <w:r w:rsidR="0082153E" w:rsidRPr="003B25B4">
        <w:rPr>
          <w:color w:val="auto"/>
        </w:rPr>
        <w:t>, collecting the same data items</w:t>
      </w:r>
      <w:r w:rsidR="00BE47C6" w:rsidRPr="003B25B4">
        <w:rPr>
          <w:color w:val="auto"/>
        </w:rPr>
        <w:t xml:space="preserve"> with no significant </w:t>
      </w:r>
      <w:r w:rsidR="00FC4873" w:rsidRPr="003B25B4">
        <w:rPr>
          <w:color w:val="auto"/>
        </w:rPr>
        <w:t>impact on data quality</w:t>
      </w:r>
      <w:r w:rsidR="0082153E" w:rsidRPr="003B25B4">
        <w:rPr>
          <w:color w:val="auto"/>
        </w:rPr>
        <w:t>,</w:t>
      </w:r>
      <w:r w:rsidR="00CF63E9" w:rsidRPr="003B25B4">
        <w:rPr>
          <w:color w:val="auto"/>
        </w:rPr>
        <w:t xml:space="preserve"> was conducted by fully qualified social workers, who were trained for this task</w:t>
      </w:r>
      <w:r w:rsidR="00BC52C5" w:rsidRPr="003B25B4">
        <w:rPr>
          <w:color w:val="auto"/>
        </w:rPr>
        <w:t xml:space="preserve"> (n=181)</w:t>
      </w:r>
      <w:r w:rsidRPr="003B25B4">
        <w:rPr>
          <w:color w:val="auto"/>
        </w:rPr>
        <w:t>.</w:t>
      </w:r>
      <w:r w:rsidR="00650244" w:rsidRPr="003B25B4">
        <w:rPr>
          <w:color w:val="auto"/>
        </w:rPr>
        <w:t xml:space="preserve"> </w:t>
      </w:r>
      <w:r w:rsidR="00E82C06" w:rsidRPr="003B25B4">
        <w:rPr>
          <w:color w:val="auto"/>
        </w:rPr>
        <w:t>Informed consent was obtained from both caregivers and social workers.</w:t>
      </w:r>
      <w:r w:rsidR="00BD5D1D">
        <w:rPr>
          <w:color w:val="auto"/>
        </w:rPr>
        <w:t xml:space="preserve"> </w:t>
      </w:r>
      <w:r w:rsidR="00650244" w:rsidRPr="003B25B4">
        <w:rPr>
          <w:color w:val="auto"/>
        </w:rPr>
        <w:t>All data was anonymised and stored securely, in line with data protection</w:t>
      </w:r>
      <w:r w:rsidR="00E503DB" w:rsidRPr="003B25B4">
        <w:rPr>
          <w:color w:val="auto"/>
        </w:rPr>
        <w:t xml:space="preserve"> guidelines</w:t>
      </w:r>
      <w:r w:rsidR="00650244" w:rsidRPr="003B25B4">
        <w:rPr>
          <w:color w:val="auto"/>
        </w:rPr>
        <w:t>.</w:t>
      </w:r>
    </w:p>
    <w:p w14:paraId="48E9FC6D" w14:textId="77777777" w:rsidR="001A6872" w:rsidRPr="003B25B4" w:rsidRDefault="001A6872" w:rsidP="00CC7E08">
      <w:pPr>
        <w:pStyle w:val="NoSpacing"/>
        <w:rPr>
          <w:color w:val="auto"/>
        </w:rPr>
      </w:pPr>
    </w:p>
    <w:p w14:paraId="4EF46EBB" w14:textId="3ECE38AE" w:rsidR="007C1BB3" w:rsidRPr="003B25B4" w:rsidRDefault="00E82C06" w:rsidP="00CC7E08">
      <w:pPr>
        <w:pStyle w:val="NoSpacing"/>
        <w:rPr>
          <w:color w:val="auto"/>
        </w:rPr>
      </w:pPr>
      <w:r w:rsidRPr="003B25B4">
        <w:rPr>
          <w:color w:val="auto"/>
        </w:rPr>
        <w:t>Where permission was obtained from caregivers,</w:t>
      </w:r>
      <w:r w:rsidR="001A6872" w:rsidRPr="003B25B4">
        <w:rPr>
          <w:color w:val="auto"/>
        </w:rPr>
        <w:t xml:space="preserve"> this data was linked to educational attainment data </w:t>
      </w:r>
      <w:r w:rsidR="00ED3576" w:rsidRPr="003B25B4">
        <w:rPr>
          <w:color w:val="auto"/>
        </w:rPr>
        <w:t xml:space="preserve">at specific points </w:t>
      </w:r>
      <w:r w:rsidR="001A6872" w:rsidRPr="003B25B4">
        <w:rPr>
          <w:color w:val="auto"/>
        </w:rPr>
        <w:t>from the National Pupil Database (NPD) through the child’s Unique Pupil Number (UPN) (n=169 children).</w:t>
      </w:r>
      <w:r w:rsidR="00BD5D1D">
        <w:rPr>
          <w:color w:val="auto"/>
        </w:rPr>
        <w:t xml:space="preserve"> </w:t>
      </w:r>
      <w:r w:rsidR="001A6872" w:rsidRPr="003B25B4">
        <w:rPr>
          <w:color w:val="auto"/>
        </w:rPr>
        <w:t>Trained educational assessors also administered the British Picture Vocabulary Scale (BPVS</w:t>
      </w:r>
      <w:r w:rsidR="00E503DB" w:rsidRPr="003B25B4">
        <w:rPr>
          <w:color w:val="auto"/>
        </w:rPr>
        <w:t>-II</w:t>
      </w:r>
      <w:r w:rsidR="001A6872" w:rsidRPr="003B25B4">
        <w:rPr>
          <w:color w:val="auto"/>
        </w:rPr>
        <w:t>) to the children</w:t>
      </w:r>
      <w:r w:rsidR="00485034" w:rsidRPr="003B25B4">
        <w:rPr>
          <w:color w:val="auto"/>
        </w:rPr>
        <w:t>, either at or home or in school</w:t>
      </w:r>
      <w:r w:rsidR="001A6872" w:rsidRPr="003B25B4">
        <w:rPr>
          <w:color w:val="auto"/>
        </w:rPr>
        <w:t>, where permission was obtained from the parents (n=133</w:t>
      </w:r>
      <w:r w:rsidR="00485034" w:rsidRPr="003B25B4">
        <w:rPr>
          <w:color w:val="auto"/>
        </w:rPr>
        <w:t>)</w:t>
      </w:r>
      <w:r w:rsidR="001A6872" w:rsidRPr="003B25B4">
        <w:rPr>
          <w:color w:val="auto"/>
        </w:rPr>
        <w:t>.</w:t>
      </w:r>
      <w:r w:rsidR="007C1BB3" w:rsidRPr="003B25B4">
        <w:rPr>
          <w:color w:val="auto"/>
        </w:rPr>
        <w:t xml:space="preserve"> Analysis of the administrative child welfare data found no significant differences between the children </w:t>
      </w:r>
      <w:r w:rsidR="00BE5DF4" w:rsidRPr="003B25B4">
        <w:rPr>
          <w:color w:val="auto"/>
        </w:rPr>
        <w:t>in</w:t>
      </w:r>
      <w:r w:rsidR="00BA3558" w:rsidRPr="003B25B4">
        <w:rPr>
          <w:color w:val="auto"/>
        </w:rPr>
        <w:t>cluded in the analysis</w:t>
      </w:r>
      <w:r w:rsidR="002B6094" w:rsidRPr="003B25B4">
        <w:rPr>
          <w:color w:val="auto"/>
        </w:rPr>
        <w:t xml:space="preserve"> versus those who not included because no educational outcome data was available </w:t>
      </w:r>
      <w:r w:rsidR="007C1BB3" w:rsidRPr="003B25B4">
        <w:rPr>
          <w:color w:val="auto"/>
        </w:rPr>
        <w:t xml:space="preserve">in terms of age at first referral, sex, ethnicity, and number of episodes of involvement with services.  </w:t>
      </w:r>
    </w:p>
    <w:p w14:paraId="1100A731" w14:textId="77777777" w:rsidR="00553FF4" w:rsidRPr="003B25B4" w:rsidRDefault="00553FF4" w:rsidP="00CC7E08">
      <w:pPr>
        <w:pStyle w:val="NoSpacing"/>
        <w:rPr>
          <w:color w:val="auto"/>
        </w:rPr>
      </w:pPr>
    </w:p>
    <w:p w14:paraId="7E34749B" w14:textId="77777777" w:rsidR="00B16C01" w:rsidRPr="003B25B4" w:rsidRDefault="00B16C01" w:rsidP="00CC7E08">
      <w:pPr>
        <w:pStyle w:val="NoSpacing"/>
        <w:rPr>
          <w:color w:val="auto"/>
        </w:rPr>
      </w:pPr>
      <w:r w:rsidRPr="003B25B4">
        <w:rPr>
          <w:color w:val="auto"/>
        </w:rPr>
        <w:t xml:space="preserve">The analysis reported below concerns the 234 children for whom data was available on at least one educational outcome measure. The 68 children in foster care at the time of the study (the </w:t>
      </w:r>
      <w:r w:rsidRPr="003B25B4">
        <w:rPr>
          <w:i/>
          <w:color w:val="auto"/>
        </w:rPr>
        <w:t>care group</w:t>
      </w:r>
      <w:r w:rsidRPr="003B25B4">
        <w:rPr>
          <w:color w:val="auto"/>
        </w:rPr>
        <w:t xml:space="preserve">) were compared to the 166 children living at home at this point (the </w:t>
      </w:r>
      <w:r w:rsidRPr="003B25B4">
        <w:rPr>
          <w:i/>
          <w:color w:val="auto"/>
        </w:rPr>
        <w:lastRenderedPageBreak/>
        <w:t>home group</w:t>
      </w:r>
      <w:r w:rsidRPr="003B25B4">
        <w:rPr>
          <w:color w:val="auto"/>
        </w:rPr>
        <w:t>), 115</w:t>
      </w:r>
      <w:r w:rsidRPr="003B25B4">
        <w:rPr>
          <w:i/>
          <w:color w:val="auto"/>
        </w:rPr>
        <w:t xml:space="preserve"> </w:t>
      </w:r>
      <w:r w:rsidRPr="003B25B4">
        <w:rPr>
          <w:color w:val="auto"/>
        </w:rPr>
        <w:t xml:space="preserve">of whom had been the subject of a CPP and had never entered care and 51 previously in care who were reunified with parents by the time of the study.  </w:t>
      </w:r>
    </w:p>
    <w:p w14:paraId="086A8D5E" w14:textId="04E26419" w:rsidR="001A6872" w:rsidRPr="003B25B4" w:rsidRDefault="001A6872" w:rsidP="00CC7E08">
      <w:pPr>
        <w:pStyle w:val="NoSpacing"/>
        <w:rPr>
          <w:color w:val="auto"/>
        </w:rPr>
      </w:pPr>
    </w:p>
    <w:p w14:paraId="25E96CA7" w14:textId="63B61A24" w:rsidR="001A6872" w:rsidRPr="003B25B4" w:rsidRDefault="001A6872" w:rsidP="00CC7E08">
      <w:pPr>
        <w:pStyle w:val="Style2"/>
        <w:rPr>
          <w:color w:val="auto"/>
        </w:rPr>
      </w:pPr>
      <w:r w:rsidRPr="003B25B4">
        <w:rPr>
          <w:color w:val="auto"/>
        </w:rPr>
        <w:t>Measures</w:t>
      </w:r>
    </w:p>
    <w:p w14:paraId="40BC3AC9" w14:textId="77777777" w:rsidR="005F6C26" w:rsidRPr="003B25B4" w:rsidRDefault="008E242B" w:rsidP="00CC7E08">
      <w:pPr>
        <w:pStyle w:val="Style3"/>
        <w:rPr>
          <w:color w:val="auto"/>
        </w:rPr>
      </w:pPr>
      <w:r w:rsidRPr="003B25B4">
        <w:rPr>
          <w:color w:val="auto"/>
        </w:rPr>
        <w:t>Outcomes measures</w:t>
      </w:r>
    </w:p>
    <w:p w14:paraId="0B7678AC" w14:textId="6ADFC4DB" w:rsidR="00CF68F5" w:rsidRPr="003B25B4" w:rsidRDefault="00BE26EC" w:rsidP="00CC7E08">
      <w:pPr>
        <w:pStyle w:val="NoSpacing"/>
        <w:rPr>
          <w:color w:val="auto"/>
        </w:rPr>
      </w:pPr>
      <w:r w:rsidRPr="003B25B4">
        <w:rPr>
          <w:color w:val="auto"/>
        </w:rPr>
        <w:t xml:space="preserve">The </w:t>
      </w:r>
      <w:r w:rsidR="00EF5912" w:rsidRPr="003B25B4">
        <w:rPr>
          <w:color w:val="auto"/>
        </w:rPr>
        <w:t xml:space="preserve">BPVS-II </w:t>
      </w:r>
      <w:r w:rsidRPr="003B25B4">
        <w:rPr>
          <w:color w:val="auto"/>
        </w:rPr>
        <w:t>and NPD provided benchmarks for age-related expectations of educational performance for the general population of children, allowing us to compare outcomes for the two study groups with</w:t>
      </w:r>
      <w:r w:rsidR="00CF68F5" w:rsidRPr="003B25B4">
        <w:rPr>
          <w:color w:val="auto"/>
        </w:rPr>
        <w:t xml:space="preserve"> those for the wider population.</w:t>
      </w:r>
    </w:p>
    <w:p w14:paraId="258FF880" w14:textId="77777777" w:rsidR="00270940" w:rsidRPr="003B25B4" w:rsidRDefault="00270940" w:rsidP="00CC7E08">
      <w:pPr>
        <w:pStyle w:val="NoSpacing"/>
        <w:rPr>
          <w:color w:val="auto"/>
        </w:rPr>
      </w:pPr>
    </w:p>
    <w:p w14:paraId="35D0CFB9" w14:textId="5C9047F2" w:rsidR="001B2B24" w:rsidRPr="003B25B4" w:rsidRDefault="00BE26EC" w:rsidP="00CC7E08">
      <w:pPr>
        <w:pStyle w:val="NoSpacing"/>
        <w:rPr>
          <w:rFonts w:asciiTheme="majorHAnsi" w:hAnsiTheme="majorHAnsi" w:cstheme="majorHAnsi"/>
          <w:b/>
          <w:i/>
          <w:color w:val="auto"/>
          <w:szCs w:val="24"/>
        </w:rPr>
      </w:pPr>
      <w:r w:rsidRPr="003B25B4">
        <w:rPr>
          <w:rFonts w:asciiTheme="majorHAnsi" w:hAnsiTheme="majorHAnsi" w:cstheme="majorHAnsi"/>
          <w:b/>
          <w:i/>
          <w:color w:val="auto"/>
          <w:szCs w:val="24"/>
        </w:rPr>
        <w:t>Receptive vocabulary (</w:t>
      </w:r>
      <w:r w:rsidR="00EF5912" w:rsidRPr="003B25B4">
        <w:rPr>
          <w:b/>
          <w:color w:val="auto"/>
        </w:rPr>
        <w:t>BPVS-II</w:t>
      </w:r>
      <w:r w:rsidRPr="003B25B4">
        <w:rPr>
          <w:rFonts w:asciiTheme="majorHAnsi" w:hAnsiTheme="majorHAnsi" w:cstheme="majorHAnsi"/>
          <w:b/>
          <w:i/>
          <w:color w:val="auto"/>
          <w:szCs w:val="24"/>
        </w:rPr>
        <w:t>)</w:t>
      </w:r>
    </w:p>
    <w:p w14:paraId="083D8290" w14:textId="35706E25" w:rsidR="00C131C4" w:rsidRPr="003B25B4" w:rsidRDefault="008E242B" w:rsidP="00FA5BD1">
      <w:pPr>
        <w:pStyle w:val="NoSpacing"/>
        <w:rPr>
          <w:color w:val="auto"/>
        </w:rPr>
      </w:pPr>
      <w:r w:rsidRPr="003B25B4">
        <w:rPr>
          <w:color w:val="auto"/>
        </w:rPr>
        <w:t xml:space="preserve">The </w:t>
      </w:r>
      <w:r w:rsidR="00EF5912" w:rsidRPr="003B25B4">
        <w:rPr>
          <w:color w:val="auto"/>
        </w:rPr>
        <w:t xml:space="preserve">BPVS-II </w:t>
      </w:r>
      <w:r w:rsidR="00CF68F5" w:rsidRPr="003B25B4">
        <w:rPr>
          <w:color w:val="auto"/>
        </w:rPr>
        <w:t xml:space="preserve">is </w:t>
      </w:r>
      <w:r w:rsidRPr="003B25B4">
        <w:rPr>
          <w:color w:val="auto"/>
        </w:rPr>
        <w:t>a</w:t>
      </w:r>
      <w:r w:rsidR="003D14B4" w:rsidRPr="003B25B4">
        <w:rPr>
          <w:color w:val="auto"/>
        </w:rPr>
        <w:t xml:space="preserve"> standardised </w:t>
      </w:r>
      <w:r w:rsidRPr="003B25B4">
        <w:rPr>
          <w:color w:val="auto"/>
        </w:rPr>
        <w:t>measure of acquired or receptive vocabulary</w:t>
      </w:r>
      <w:r w:rsidR="00C263C9" w:rsidRPr="003B25B4">
        <w:rPr>
          <w:color w:val="auto"/>
        </w:rPr>
        <w:t xml:space="preserve">, </w:t>
      </w:r>
      <w:r w:rsidR="00CF68F5" w:rsidRPr="003B25B4">
        <w:rPr>
          <w:color w:val="auto"/>
        </w:rPr>
        <w:t xml:space="preserve">which is </w:t>
      </w:r>
      <w:r w:rsidR="00C263C9" w:rsidRPr="003B25B4">
        <w:rPr>
          <w:color w:val="auto"/>
        </w:rPr>
        <w:t>known to be closely linked to later literacy</w:t>
      </w:r>
      <w:r w:rsidR="00512DCF" w:rsidRPr="003B25B4">
        <w:rPr>
          <w:color w:val="auto"/>
        </w:rPr>
        <w:t>,</w:t>
      </w:r>
      <w:r w:rsidR="00B423EC" w:rsidRPr="003B25B4">
        <w:rPr>
          <w:color w:val="auto"/>
        </w:rPr>
        <w:t xml:space="preserve"> and could be independently administered across the full age range of the children.</w:t>
      </w:r>
      <w:r w:rsidR="007B221E" w:rsidRPr="003B25B4">
        <w:rPr>
          <w:color w:val="auto"/>
        </w:rPr>
        <w:t xml:space="preserve"> </w:t>
      </w:r>
      <w:r w:rsidR="00120783" w:rsidRPr="003B25B4">
        <w:rPr>
          <w:color w:val="auto"/>
        </w:rPr>
        <w:t>It</w:t>
      </w:r>
      <w:r w:rsidR="007B221E" w:rsidRPr="003B25B4">
        <w:rPr>
          <w:color w:val="auto"/>
        </w:rPr>
        <w:t xml:space="preserve"> </w:t>
      </w:r>
      <w:r w:rsidR="00DE05E2" w:rsidRPr="003B25B4">
        <w:rPr>
          <w:color w:val="auto"/>
        </w:rPr>
        <w:t>showed</w:t>
      </w:r>
      <w:r w:rsidR="007B221E" w:rsidRPr="003B25B4">
        <w:rPr>
          <w:color w:val="auto"/>
        </w:rPr>
        <w:t xml:space="preserve"> high reliability</w:t>
      </w:r>
      <w:r w:rsidR="00381090" w:rsidRPr="003B25B4">
        <w:rPr>
          <w:color w:val="auto"/>
        </w:rPr>
        <w:t xml:space="preserve"> with</w:t>
      </w:r>
      <w:r w:rsidR="00F71755" w:rsidRPr="003B25B4">
        <w:rPr>
          <w:color w:val="auto"/>
        </w:rPr>
        <w:t xml:space="preserve"> a national sample of children in the United Kingdom</w:t>
      </w:r>
      <w:r w:rsidR="00381090" w:rsidRPr="003B25B4">
        <w:rPr>
          <w:color w:val="auto"/>
        </w:rPr>
        <w:t xml:space="preserve"> (</w:t>
      </w:r>
      <w:r w:rsidR="00F71755" w:rsidRPr="003B25B4">
        <w:rPr>
          <w:color w:val="auto"/>
        </w:rPr>
        <w:t>Cronbach’s alpha of 0.93 and a split-half reliability of 0.86</w:t>
      </w:r>
      <w:r w:rsidR="00381090" w:rsidRPr="003B25B4">
        <w:rPr>
          <w:color w:val="auto"/>
        </w:rPr>
        <w:t>)</w:t>
      </w:r>
      <w:r w:rsidR="00D3599A" w:rsidRPr="003B25B4">
        <w:rPr>
          <w:color w:val="auto"/>
        </w:rPr>
        <w:t xml:space="preserve"> </w:t>
      </w:r>
      <w:r w:rsidR="00C263C9" w:rsidRPr="003B25B4">
        <w:rPr>
          <w:color w:val="auto"/>
        </w:rPr>
        <w:t>(</w:t>
      </w:r>
      <w:r w:rsidR="00BA3F5E" w:rsidRPr="003B25B4">
        <w:rPr>
          <w:color w:val="auto"/>
        </w:rPr>
        <w:t>Dunn et al., 1997</w:t>
      </w:r>
      <w:r w:rsidR="00CF68F5" w:rsidRPr="003B25B4">
        <w:rPr>
          <w:color w:val="auto"/>
        </w:rPr>
        <w:t>)</w:t>
      </w:r>
      <w:r w:rsidR="00FA5BD1" w:rsidRPr="003B25B4">
        <w:rPr>
          <w:color w:val="auto"/>
        </w:rPr>
        <w:t>.</w:t>
      </w:r>
      <w:r w:rsidR="00BE26EC" w:rsidRPr="003B25B4">
        <w:rPr>
          <w:color w:val="auto"/>
        </w:rPr>
        <w:t xml:space="preserve"> </w:t>
      </w:r>
      <w:r w:rsidR="00C263C9" w:rsidRPr="003B25B4">
        <w:rPr>
          <w:color w:val="auto"/>
        </w:rPr>
        <w:t xml:space="preserve">Raw scores are age-standardized to give a mean score of 100, and a binary measure of whether children had achieved a standardized score of 100 or above was constructed. </w:t>
      </w:r>
    </w:p>
    <w:p w14:paraId="13761CB0" w14:textId="77777777" w:rsidR="00270940" w:rsidRPr="003B25B4" w:rsidRDefault="00270940" w:rsidP="00FA5BD1">
      <w:pPr>
        <w:pStyle w:val="NoSpacing"/>
        <w:rPr>
          <w:color w:val="auto"/>
        </w:rPr>
      </w:pPr>
    </w:p>
    <w:p w14:paraId="5259E473" w14:textId="58131D85" w:rsidR="001B2B24" w:rsidRPr="003B25B4" w:rsidRDefault="00BE26EC" w:rsidP="00CC7E08">
      <w:pPr>
        <w:pStyle w:val="NoSpacing"/>
        <w:rPr>
          <w:b/>
          <w:i/>
          <w:color w:val="auto"/>
          <w:szCs w:val="24"/>
        </w:rPr>
      </w:pPr>
      <w:r w:rsidRPr="003B25B4">
        <w:rPr>
          <w:b/>
          <w:i/>
          <w:color w:val="auto"/>
          <w:szCs w:val="24"/>
        </w:rPr>
        <w:t>Literacy and communication (NPD data)</w:t>
      </w:r>
    </w:p>
    <w:p w14:paraId="5F3DF159" w14:textId="7585AC4D" w:rsidR="00166E80" w:rsidRPr="003B25B4" w:rsidRDefault="001B2B24" w:rsidP="00CC7E08">
      <w:pPr>
        <w:pStyle w:val="NoSpacing"/>
        <w:rPr>
          <w:color w:val="auto"/>
        </w:rPr>
      </w:pPr>
      <w:r w:rsidRPr="003B25B4">
        <w:rPr>
          <w:color w:val="auto"/>
        </w:rPr>
        <w:t>The NPD provide</w:t>
      </w:r>
      <w:r w:rsidR="00166E80" w:rsidRPr="003B25B4">
        <w:rPr>
          <w:color w:val="auto"/>
        </w:rPr>
        <w:t>d</w:t>
      </w:r>
      <w:r w:rsidRPr="003B25B4">
        <w:rPr>
          <w:color w:val="auto"/>
        </w:rPr>
        <w:t xml:space="preserve"> data </w:t>
      </w:r>
      <w:r w:rsidR="00166E80" w:rsidRPr="003B25B4">
        <w:rPr>
          <w:color w:val="auto"/>
        </w:rPr>
        <w:t>from two assessment points:</w:t>
      </w:r>
    </w:p>
    <w:p w14:paraId="5E4C4183" w14:textId="027AB98A" w:rsidR="001B2B24" w:rsidRPr="003B25B4" w:rsidRDefault="00C24FB9" w:rsidP="004B09BD">
      <w:pPr>
        <w:pStyle w:val="NoSpacing"/>
        <w:numPr>
          <w:ilvl w:val="0"/>
          <w:numId w:val="20"/>
        </w:numPr>
        <w:rPr>
          <w:rFonts w:asciiTheme="majorHAnsi" w:hAnsiTheme="majorHAnsi" w:cstheme="majorHAnsi"/>
          <w:color w:val="auto"/>
        </w:rPr>
      </w:pPr>
      <w:r w:rsidRPr="003B25B4">
        <w:rPr>
          <w:rFonts w:asciiTheme="majorHAnsi" w:hAnsiTheme="majorHAnsi" w:cstheme="majorHAnsi"/>
          <w:i/>
          <w:color w:val="auto"/>
        </w:rPr>
        <w:t xml:space="preserve">The </w:t>
      </w:r>
      <w:r w:rsidR="001B2B24" w:rsidRPr="003B25B4">
        <w:rPr>
          <w:rFonts w:asciiTheme="majorHAnsi" w:hAnsiTheme="majorHAnsi" w:cstheme="majorHAnsi"/>
          <w:i/>
          <w:color w:val="auto"/>
        </w:rPr>
        <w:t>Early Years Foundation Stage Profile (EYFSP)</w:t>
      </w:r>
      <w:r w:rsidRPr="003B25B4">
        <w:rPr>
          <w:rFonts w:asciiTheme="majorHAnsi" w:hAnsiTheme="majorHAnsi" w:cstheme="majorHAnsi"/>
          <w:i/>
          <w:color w:val="auto"/>
        </w:rPr>
        <w:t>:</w:t>
      </w:r>
      <w:r w:rsidR="001B2B24" w:rsidRPr="003B25B4">
        <w:rPr>
          <w:rFonts w:asciiTheme="majorHAnsi" w:hAnsiTheme="majorHAnsi" w:cstheme="majorHAnsi"/>
          <w:color w:val="auto"/>
        </w:rPr>
        <w:t xml:space="preserve"> teacher assessments at the end of the school year when children turn five</w:t>
      </w:r>
      <w:r w:rsidRPr="003B25B4">
        <w:rPr>
          <w:rFonts w:asciiTheme="majorHAnsi" w:hAnsiTheme="majorHAnsi" w:cstheme="majorHAnsi"/>
          <w:color w:val="auto"/>
        </w:rPr>
        <w:t xml:space="preserve">, </w:t>
      </w:r>
      <w:r w:rsidR="00166E80" w:rsidRPr="003B25B4">
        <w:rPr>
          <w:rFonts w:asciiTheme="majorHAnsi" w:hAnsiTheme="majorHAnsi" w:cstheme="majorHAnsi"/>
          <w:color w:val="auto"/>
        </w:rPr>
        <w:t>c</w:t>
      </w:r>
      <w:r w:rsidR="001B2B24" w:rsidRPr="003B25B4">
        <w:rPr>
          <w:rFonts w:asciiTheme="majorHAnsi" w:hAnsiTheme="majorHAnsi" w:cstheme="majorHAnsi"/>
          <w:color w:val="auto"/>
        </w:rPr>
        <w:t>over</w:t>
      </w:r>
      <w:r w:rsidRPr="003B25B4">
        <w:rPr>
          <w:rFonts w:asciiTheme="majorHAnsi" w:hAnsiTheme="majorHAnsi" w:cstheme="majorHAnsi"/>
          <w:color w:val="auto"/>
        </w:rPr>
        <w:t>ing</w:t>
      </w:r>
      <w:r w:rsidR="001B2B24" w:rsidRPr="003B25B4">
        <w:rPr>
          <w:rFonts w:asciiTheme="majorHAnsi" w:hAnsiTheme="majorHAnsi" w:cstheme="majorHAnsi"/>
          <w:color w:val="auto"/>
        </w:rPr>
        <w:t xml:space="preserve"> communication and language; physical development; personal, social and emotional development; literacy; mathematics; understanding the world and expressive arts and design.</w:t>
      </w:r>
    </w:p>
    <w:p w14:paraId="2E7A39C6" w14:textId="02056365" w:rsidR="001B2B24" w:rsidRPr="003B25B4" w:rsidRDefault="001B2B24" w:rsidP="004B09BD">
      <w:pPr>
        <w:pStyle w:val="NoSpacing"/>
        <w:numPr>
          <w:ilvl w:val="0"/>
          <w:numId w:val="20"/>
        </w:numPr>
        <w:rPr>
          <w:rFonts w:asciiTheme="majorHAnsi" w:hAnsiTheme="majorHAnsi" w:cstheme="majorHAnsi"/>
          <w:color w:val="auto"/>
        </w:rPr>
      </w:pPr>
      <w:r w:rsidRPr="003B25B4">
        <w:rPr>
          <w:rFonts w:asciiTheme="majorHAnsi" w:hAnsiTheme="majorHAnsi" w:cstheme="majorHAnsi"/>
          <w:i/>
          <w:color w:val="auto"/>
        </w:rPr>
        <w:lastRenderedPageBreak/>
        <w:t xml:space="preserve">Key Stage 1 </w:t>
      </w:r>
      <w:r w:rsidR="00C24FB9" w:rsidRPr="003B25B4">
        <w:rPr>
          <w:rFonts w:asciiTheme="majorHAnsi" w:hAnsiTheme="majorHAnsi" w:cstheme="majorHAnsi"/>
          <w:i/>
          <w:color w:val="auto"/>
        </w:rPr>
        <w:t xml:space="preserve">(KS1) </w:t>
      </w:r>
      <w:r w:rsidR="00166E80" w:rsidRPr="003B25B4">
        <w:rPr>
          <w:rFonts w:asciiTheme="majorHAnsi" w:hAnsiTheme="majorHAnsi" w:cstheme="majorHAnsi"/>
          <w:i/>
          <w:color w:val="auto"/>
        </w:rPr>
        <w:t xml:space="preserve">teacher </w:t>
      </w:r>
      <w:r w:rsidRPr="003B25B4">
        <w:rPr>
          <w:rFonts w:asciiTheme="majorHAnsi" w:hAnsiTheme="majorHAnsi" w:cstheme="majorHAnsi"/>
          <w:i/>
          <w:color w:val="auto"/>
        </w:rPr>
        <w:t>assessments</w:t>
      </w:r>
      <w:r w:rsidRPr="003B25B4">
        <w:rPr>
          <w:rFonts w:asciiTheme="majorHAnsi" w:hAnsiTheme="majorHAnsi" w:cstheme="majorHAnsi"/>
          <w:color w:val="auto"/>
        </w:rPr>
        <w:t xml:space="preserve"> in the year pupils turn seven, </w:t>
      </w:r>
      <w:r w:rsidR="00EF5912" w:rsidRPr="003B25B4">
        <w:rPr>
          <w:rFonts w:asciiTheme="majorHAnsi" w:hAnsiTheme="majorHAnsi" w:cstheme="majorHAnsi"/>
          <w:color w:val="auto"/>
        </w:rPr>
        <w:t xml:space="preserve">which provided </w:t>
      </w:r>
      <w:r w:rsidRPr="003B25B4">
        <w:rPr>
          <w:rFonts w:asciiTheme="majorHAnsi" w:hAnsiTheme="majorHAnsi" w:cstheme="majorHAnsi"/>
          <w:color w:val="auto"/>
        </w:rPr>
        <w:t xml:space="preserve">separate scores for reading, writing, mathematics and science. </w:t>
      </w:r>
    </w:p>
    <w:p w14:paraId="4C114AE2" w14:textId="77777777" w:rsidR="00C24FB9" w:rsidRPr="003B25B4" w:rsidRDefault="00C24FB9" w:rsidP="004B09BD">
      <w:pPr>
        <w:pStyle w:val="NoSpacing"/>
        <w:rPr>
          <w:rFonts w:asciiTheme="majorHAnsi" w:hAnsiTheme="majorHAnsi" w:cstheme="majorHAnsi"/>
          <w:color w:val="auto"/>
        </w:rPr>
      </w:pPr>
    </w:p>
    <w:p w14:paraId="0EE4B40F" w14:textId="17271AEA" w:rsidR="00BE4B50" w:rsidRPr="003B25B4" w:rsidRDefault="004278BF" w:rsidP="004B09BD">
      <w:pPr>
        <w:pStyle w:val="NoSpacing"/>
        <w:rPr>
          <w:color w:val="auto"/>
        </w:rPr>
      </w:pPr>
      <w:r w:rsidRPr="003B25B4">
        <w:rPr>
          <w:rFonts w:asciiTheme="majorHAnsi" w:hAnsiTheme="majorHAnsi" w:cstheme="majorHAnsi"/>
          <w:color w:val="auto"/>
        </w:rPr>
        <w:t xml:space="preserve">A measure of meeting the expected level in </w:t>
      </w:r>
      <w:r w:rsidRPr="003B25B4">
        <w:rPr>
          <w:rFonts w:asciiTheme="majorHAnsi" w:hAnsiTheme="majorHAnsi" w:cstheme="majorHAnsi"/>
          <w:i/>
          <w:color w:val="auto"/>
        </w:rPr>
        <w:t>literacy</w:t>
      </w:r>
      <w:r w:rsidRPr="003B25B4">
        <w:rPr>
          <w:rFonts w:asciiTheme="majorHAnsi" w:hAnsiTheme="majorHAnsi" w:cstheme="majorHAnsi"/>
          <w:color w:val="auto"/>
        </w:rPr>
        <w:t xml:space="preserve"> was constructed using data </w:t>
      </w:r>
      <w:r w:rsidR="00C24FB9" w:rsidRPr="003B25B4">
        <w:rPr>
          <w:rFonts w:asciiTheme="majorHAnsi" w:hAnsiTheme="majorHAnsi" w:cstheme="majorHAnsi"/>
          <w:color w:val="auto"/>
        </w:rPr>
        <w:t>available from the EYFSP (age 5)</w:t>
      </w:r>
      <w:r w:rsidRPr="003B25B4">
        <w:rPr>
          <w:rFonts w:asciiTheme="majorHAnsi" w:hAnsiTheme="majorHAnsi" w:cstheme="majorHAnsi"/>
          <w:color w:val="auto"/>
        </w:rPr>
        <w:t xml:space="preserve"> or </w:t>
      </w:r>
      <w:r w:rsidR="00C24FB9" w:rsidRPr="003B25B4">
        <w:rPr>
          <w:rFonts w:asciiTheme="majorHAnsi" w:hAnsiTheme="majorHAnsi" w:cstheme="majorHAnsi"/>
          <w:color w:val="auto"/>
        </w:rPr>
        <w:t xml:space="preserve">KS1 (at age 7) </w:t>
      </w:r>
      <w:r w:rsidRPr="003B25B4">
        <w:rPr>
          <w:rFonts w:asciiTheme="majorHAnsi" w:hAnsiTheme="majorHAnsi" w:cstheme="majorHAnsi"/>
          <w:color w:val="auto"/>
        </w:rPr>
        <w:t>assessment</w:t>
      </w:r>
      <w:r w:rsidR="00C24FB9" w:rsidRPr="003B25B4">
        <w:rPr>
          <w:rFonts w:asciiTheme="majorHAnsi" w:hAnsiTheme="majorHAnsi" w:cstheme="majorHAnsi"/>
          <w:color w:val="auto"/>
        </w:rPr>
        <w:t xml:space="preserve"> </w:t>
      </w:r>
      <w:r w:rsidRPr="003B25B4">
        <w:rPr>
          <w:rFonts w:asciiTheme="majorHAnsi" w:hAnsiTheme="majorHAnsi" w:cstheme="majorHAnsi"/>
          <w:color w:val="auto"/>
        </w:rPr>
        <w:t>(</w:t>
      </w:r>
      <w:r w:rsidR="00C24FB9" w:rsidRPr="003B25B4">
        <w:rPr>
          <w:rFonts w:asciiTheme="majorHAnsi" w:hAnsiTheme="majorHAnsi" w:cstheme="majorHAnsi"/>
          <w:color w:val="auto"/>
        </w:rPr>
        <w:t>n</w:t>
      </w:r>
      <w:r w:rsidRPr="003B25B4">
        <w:rPr>
          <w:rFonts w:asciiTheme="majorHAnsi" w:hAnsiTheme="majorHAnsi" w:cstheme="majorHAnsi"/>
          <w:color w:val="auto"/>
        </w:rPr>
        <w:t>=107).</w:t>
      </w:r>
      <w:r w:rsidR="00BD5D1D">
        <w:rPr>
          <w:rFonts w:asciiTheme="majorHAnsi" w:hAnsiTheme="majorHAnsi" w:cstheme="majorHAnsi"/>
          <w:color w:val="auto"/>
        </w:rPr>
        <w:t xml:space="preserve"> </w:t>
      </w:r>
      <w:r w:rsidRPr="003B25B4">
        <w:rPr>
          <w:rFonts w:asciiTheme="majorHAnsi" w:hAnsiTheme="majorHAnsi" w:cstheme="majorHAnsi"/>
          <w:color w:val="auto"/>
        </w:rPr>
        <w:t xml:space="preserve">Data from </w:t>
      </w:r>
      <w:r w:rsidR="00C24FB9" w:rsidRPr="003B25B4">
        <w:rPr>
          <w:rFonts w:asciiTheme="majorHAnsi" w:hAnsiTheme="majorHAnsi" w:cstheme="majorHAnsi"/>
          <w:color w:val="auto"/>
        </w:rPr>
        <w:t>these two</w:t>
      </w:r>
      <w:r w:rsidR="00BE4B50" w:rsidRPr="003B25B4">
        <w:rPr>
          <w:rFonts w:asciiTheme="majorHAnsi" w:hAnsiTheme="majorHAnsi" w:cstheme="majorHAnsi"/>
          <w:color w:val="auto"/>
        </w:rPr>
        <w:t xml:space="preserve"> assessments were </w:t>
      </w:r>
      <w:r w:rsidRPr="003B25B4">
        <w:rPr>
          <w:rFonts w:asciiTheme="majorHAnsi" w:hAnsiTheme="majorHAnsi" w:cstheme="majorHAnsi"/>
          <w:color w:val="auto"/>
        </w:rPr>
        <w:t xml:space="preserve">similarly </w:t>
      </w:r>
      <w:r w:rsidR="00BE4B50" w:rsidRPr="003B25B4">
        <w:rPr>
          <w:rFonts w:asciiTheme="majorHAnsi" w:hAnsiTheme="majorHAnsi" w:cstheme="majorHAnsi"/>
          <w:color w:val="auto"/>
        </w:rPr>
        <w:t xml:space="preserve">used to construct a measure of whether children were meeting the expected standard in </w:t>
      </w:r>
      <w:r w:rsidR="00BE4B50" w:rsidRPr="003B25B4">
        <w:rPr>
          <w:rFonts w:asciiTheme="majorHAnsi" w:hAnsiTheme="majorHAnsi" w:cstheme="majorHAnsi"/>
          <w:i/>
          <w:color w:val="auto"/>
        </w:rPr>
        <w:t>communication</w:t>
      </w:r>
      <w:r w:rsidR="00BE4B50" w:rsidRPr="003B25B4">
        <w:rPr>
          <w:rFonts w:asciiTheme="majorHAnsi" w:hAnsiTheme="majorHAnsi" w:cstheme="majorHAnsi"/>
          <w:color w:val="auto"/>
        </w:rPr>
        <w:t xml:space="preserve"> (speaking, listening and understanding).  </w:t>
      </w:r>
    </w:p>
    <w:p w14:paraId="6B82B6D5" w14:textId="77777777" w:rsidR="00372076" w:rsidRPr="003B25B4" w:rsidRDefault="00372076" w:rsidP="004B09BD">
      <w:pPr>
        <w:pStyle w:val="NoSpacing"/>
        <w:rPr>
          <w:rFonts w:asciiTheme="majorHAnsi" w:hAnsiTheme="majorHAnsi" w:cstheme="majorHAnsi"/>
          <w:color w:val="auto"/>
        </w:rPr>
      </w:pPr>
    </w:p>
    <w:p w14:paraId="3DFC7200" w14:textId="56F023AF" w:rsidR="005F6C26" w:rsidRPr="003B25B4" w:rsidRDefault="008E242B" w:rsidP="004B09BD">
      <w:pPr>
        <w:pStyle w:val="Style3"/>
        <w:rPr>
          <w:color w:val="auto"/>
        </w:rPr>
      </w:pPr>
      <w:r w:rsidRPr="003B25B4">
        <w:rPr>
          <w:color w:val="auto"/>
        </w:rPr>
        <w:t>Parenting</w:t>
      </w:r>
    </w:p>
    <w:p w14:paraId="18AE3CA6" w14:textId="0E978F13" w:rsidR="005F6C26" w:rsidRPr="003B25B4" w:rsidRDefault="008E242B" w:rsidP="00085F28">
      <w:pPr>
        <w:pStyle w:val="NoSpacing"/>
        <w:rPr>
          <w:color w:val="auto"/>
        </w:rPr>
      </w:pPr>
      <w:r w:rsidRPr="003B25B4">
        <w:rPr>
          <w:color w:val="auto"/>
        </w:rPr>
        <w:t>Parenting by the child’s caregiver was measured using two sub-scales from the Child Rearing Questionnaire (CRQ) (</w:t>
      </w:r>
      <w:proofErr w:type="spellStart"/>
      <w:r w:rsidRPr="003B25B4">
        <w:rPr>
          <w:color w:val="auto"/>
        </w:rPr>
        <w:t>Sanson</w:t>
      </w:r>
      <w:proofErr w:type="spellEnd"/>
      <w:r w:rsidRPr="003B25B4">
        <w:rPr>
          <w:color w:val="auto"/>
        </w:rPr>
        <w:t>, 1995): ‘</w:t>
      </w:r>
      <w:r w:rsidR="00EF5912" w:rsidRPr="003B25B4">
        <w:rPr>
          <w:color w:val="auto"/>
        </w:rPr>
        <w:t xml:space="preserve">caregiver </w:t>
      </w:r>
      <w:r w:rsidRPr="003B25B4">
        <w:rPr>
          <w:color w:val="auto"/>
        </w:rPr>
        <w:t>warmth’ (use of a positive, emotional tone in parent-child interactions</w:t>
      </w:r>
      <w:r w:rsidR="00304A86" w:rsidRPr="003B25B4">
        <w:rPr>
          <w:color w:val="auto"/>
        </w:rPr>
        <w:t>; Cronbach’s alpha = 0.</w:t>
      </w:r>
      <w:r w:rsidR="00C831BD" w:rsidRPr="003B25B4">
        <w:rPr>
          <w:color w:val="auto"/>
        </w:rPr>
        <w:t>79</w:t>
      </w:r>
      <w:r w:rsidR="00116409" w:rsidRPr="003B25B4">
        <w:rPr>
          <w:color w:val="auto"/>
        </w:rPr>
        <w:t xml:space="preserve">) </w:t>
      </w:r>
      <w:r w:rsidRPr="003B25B4">
        <w:rPr>
          <w:color w:val="auto"/>
        </w:rPr>
        <w:t>and ‘inductive reasoning’ (tendency to discuss reasons for rules and limitations with children</w:t>
      </w:r>
      <w:r w:rsidR="00C831BD" w:rsidRPr="003B25B4">
        <w:rPr>
          <w:color w:val="auto"/>
        </w:rPr>
        <w:t>; Cronbach’s alpha = 0.81</w:t>
      </w:r>
      <w:r w:rsidR="00116409" w:rsidRPr="003B25B4">
        <w:rPr>
          <w:color w:val="auto"/>
        </w:rPr>
        <w:t>)</w:t>
      </w:r>
      <w:r w:rsidRPr="003B25B4">
        <w:rPr>
          <w:color w:val="auto"/>
        </w:rPr>
        <w:t>.</w:t>
      </w:r>
      <w:r w:rsidR="00AB2337" w:rsidRPr="003B25B4">
        <w:rPr>
          <w:color w:val="auto"/>
        </w:rPr>
        <w:t xml:space="preserve"> </w:t>
      </w:r>
      <w:r w:rsidR="0048128D" w:rsidRPr="003B25B4">
        <w:rPr>
          <w:color w:val="auto"/>
        </w:rPr>
        <w:t xml:space="preserve">For </w:t>
      </w:r>
      <w:r w:rsidR="008D4294" w:rsidRPr="003B25B4">
        <w:rPr>
          <w:color w:val="auto"/>
        </w:rPr>
        <w:t>each</w:t>
      </w:r>
      <w:r w:rsidR="0048128D" w:rsidRPr="003B25B4">
        <w:rPr>
          <w:color w:val="auto"/>
        </w:rPr>
        <w:t xml:space="preserve"> sub-scale, </w:t>
      </w:r>
      <w:r w:rsidR="008D4294" w:rsidRPr="003B25B4">
        <w:rPr>
          <w:color w:val="auto"/>
        </w:rPr>
        <w:t xml:space="preserve">a </w:t>
      </w:r>
      <w:r w:rsidR="0048128D" w:rsidRPr="003B25B4">
        <w:rPr>
          <w:color w:val="auto"/>
        </w:rPr>
        <w:t>mean score across the items</w:t>
      </w:r>
      <w:r w:rsidR="00EC62D0" w:rsidRPr="003B25B4">
        <w:rPr>
          <w:color w:val="auto"/>
        </w:rPr>
        <w:t xml:space="preserve"> </w:t>
      </w:r>
      <w:r w:rsidR="008D4294" w:rsidRPr="003B25B4">
        <w:rPr>
          <w:color w:val="auto"/>
        </w:rPr>
        <w:t>was</w:t>
      </w:r>
      <w:r w:rsidR="0048128D" w:rsidRPr="003B25B4">
        <w:rPr>
          <w:color w:val="auto"/>
        </w:rPr>
        <w:t xml:space="preserve"> calculated</w:t>
      </w:r>
      <w:r w:rsidR="00E11D0B" w:rsidRPr="003B25B4">
        <w:rPr>
          <w:color w:val="auto"/>
        </w:rPr>
        <w:t>, with higher scores indicating higher levels of warmth and inductive reasoning</w:t>
      </w:r>
      <w:r w:rsidR="000250D7" w:rsidRPr="003B25B4">
        <w:rPr>
          <w:color w:val="auto"/>
        </w:rPr>
        <w:t>.</w:t>
      </w:r>
    </w:p>
    <w:p w14:paraId="3925B585" w14:textId="77777777" w:rsidR="00166E80" w:rsidRPr="003B25B4" w:rsidRDefault="00166E80" w:rsidP="00085F28">
      <w:pPr>
        <w:pStyle w:val="NoSpacing"/>
        <w:rPr>
          <w:color w:val="auto"/>
        </w:rPr>
      </w:pPr>
    </w:p>
    <w:p w14:paraId="54BED62E" w14:textId="03886F75" w:rsidR="005F6C26" w:rsidRPr="003B25B4" w:rsidRDefault="00D25CC2" w:rsidP="00085F28">
      <w:pPr>
        <w:pStyle w:val="NoSpacing"/>
        <w:rPr>
          <w:color w:val="auto"/>
        </w:rPr>
      </w:pPr>
      <w:r w:rsidRPr="003B25B4">
        <w:rPr>
          <w:color w:val="auto"/>
        </w:rPr>
        <w:t>The level of</w:t>
      </w:r>
      <w:r w:rsidR="008E242B" w:rsidRPr="003B25B4">
        <w:rPr>
          <w:color w:val="auto"/>
        </w:rPr>
        <w:t xml:space="preserve"> engagement by caregivers in a variety of carer-child activities was </w:t>
      </w:r>
      <w:r w:rsidRPr="003B25B4">
        <w:rPr>
          <w:color w:val="auto"/>
        </w:rPr>
        <w:t>measured using</w:t>
      </w:r>
      <w:r w:rsidR="00BA3F9B" w:rsidRPr="003B25B4">
        <w:rPr>
          <w:color w:val="auto"/>
        </w:rPr>
        <w:t xml:space="preserve"> </w:t>
      </w:r>
      <w:r w:rsidR="008E242B" w:rsidRPr="003B25B4">
        <w:rPr>
          <w:color w:val="auto"/>
        </w:rPr>
        <w:t xml:space="preserve">the ‘parenting activities’ module from the Millennium Cohort Study (Hansen et al., 2010), which includes questions on how often the caregiver engages in </w:t>
      </w:r>
      <w:r w:rsidR="00E60FC3" w:rsidRPr="003B25B4">
        <w:rPr>
          <w:color w:val="auto"/>
        </w:rPr>
        <w:t xml:space="preserve">a variety of </w:t>
      </w:r>
      <w:r w:rsidR="008E242B" w:rsidRPr="003B25B4">
        <w:rPr>
          <w:color w:val="auto"/>
        </w:rPr>
        <w:t>activities</w:t>
      </w:r>
      <w:r w:rsidR="00E60FC3" w:rsidRPr="003B25B4">
        <w:rPr>
          <w:color w:val="auto"/>
        </w:rPr>
        <w:t xml:space="preserve"> </w:t>
      </w:r>
      <w:r w:rsidR="008E242B" w:rsidRPr="003B25B4">
        <w:rPr>
          <w:color w:val="auto"/>
        </w:rPr>
        <w:t>including read</w:t>
      </w:r>
      <w:r w:rsidR="006D0201" w:rsidRPr="003B25B4">
        <w:rPr>
          <w:color w:val="auto"/>
        </w:rPr>
        <w:t>ing</w:t>
      </w:r>
      <w:r w:rsidR="00E60FC3" w:rsidRPr="003B25B4">
        <w:rPr>
          <w:color w:val="auto"/>
        </w:rPr>
        <w:t>,</w:t>
      </w:r>
      <w:r w:rsidR="008E242B" w:rsidRPr="003B25B4">
        <w:rPr>
          <w:color w:val="auto"/>
        </w:rPr>
        <w:t xml:space="preserve"> </w:t>
      </w:r>
      <w:r w:rsidR="006D0201" w:rsidRPr="003B25B4">
        <w:rPr>
          <w:color w:val="auto"/>
        </w:rPr>
        <w:t>telling stories, musical activities</w:t>
      </w:r>
      <w:r w:rsidR="008E242B" w:rsidRPr="003B25B4">
        <w:rPr>
          <w:color w:val="auto"/>
        </w:rPr>
        <w:t>,</w:t>
      </w:r>
      <w:r w:rsidR="00E60FC3" w:rsidRPr="003B25B4">
        <w:rPr>
          <w:color w:val="auto"/>
        </w:rPr>
        <w:t xml:space="preserve"> and</w:t>
      </w:r>
      <w:r w:rsidR="008E242B" w:rsidRPr="003B25B4">
        <w:rPr>
          <w:color w:val="auto"/>
        </w:rPr>
        <w:t xml:space="preserve"> </w:t>
      </w:r>
      <w:r w:rsidR="00E60FC3" w:rsidRPr="003B25B4">
        <w:rPr>
          <w:color w:val="auto"/>
        </w:rPr>
        <w:t>playing games</w:t>
      </w:r>
      <w:r w:rsidR="00DF214E" w:rsidRPr="003B25B4">
        <w:rPr>
          <w:color w:val="auto"/>
        </w:rPr>
        <w:t xml:space="preserve"> (Cronbach’s alpha = 0.73)</w:t>
      </w:r>
      <w:r w:rsidR="00B05D8A" w:rsidRPr="003B25B4">
        <w:rPr>
          <w:color w:val="auto"/>
        </w:rPr>
        <w:t xml:space="preserve">. </w:t>
      </w:r>
      <w:r w:rsidR="008E242B" w:rsidRPr="003B25B4">
        <w:rPr>
          <w:color w:val="auto"/>
        </w:rPr>
        <w:t>A binary variable indicating ‘positive engagement’</w:t>
      </w:r>
      <w:r w:rsidR="00E60FC3" w:rsidRPr="003B25B4">
        <w:rPr>
          <w:color w:val="auto"/>
        </w:rPr>
        <w:t xml:space="preserve">, </w:t>
      </w:r>
      <w:r w:rsidR="008E242B" w:rsidRPr="003B25B4">
        <w:rPr>
          <w:color w:val="auto"/>
        </w:rPr>
        <w:t>based on scores on the scale above the median (range = 4-35, median = 23)</w:t>
      </w:r>
      <w:r w:rsidR="00E60FC3" w:rsidRPr="003B25B4">
        <w:rPr>
          <w:color w:val="auto"/>
        </w:rPr>
        <w:t xml:space="preserve"> was used in the analysis</w:t>
      </w:r>
      <w:r w:rsidR="008E242B" w:rsidRPr="003B25B4">
        <w:rPr>
          <w:color w:val="auto"/>
        </w:rPr>
        <w:t>.</w:t>
      </w:r>
      <w:r w:rsidR="00BD5D1D">
        <w:rPr>
          <w:color w:val="auto"/>
        </w:rPr>
        <w:t xml:space="preserve"> </w:t>
      </w:r>
      <w:r w:rsidR="008E242B" w:rsidRPr="003B25B4">
        <w:rPr>
          <w:color w:val="auto"/>
        </w:rPr>
        <w:t xml:space="preserve">A measure of caregiver confidence in supporting the child’s learning was derived from three questions (whether they feel able to help with homework, know how to help </w:t>
      </w:r>
      <w:r w:rsidR="00BA3F5E" w:rsidRPr="003B25B4">
        <w:rPr>
          <w:color w:val="auto"/>
        </w:rPr>
        <w:t xml:space="preserve">the </w:t>
      </w:r>
      <w:r w:rsidR="008E242B" w:rsidRPr="003B25B4">
        <w:rPr>
          <w:color w:val="auto"/>
        </w:rPr>
        <w:t xml:space="preserve">child do well, think </w:t>
      </w:r>
      <w:r w:rsidR="00BA3F5E" w:rsidRPr="003B25B4">
        <w:rPr>
          <w:color w:val="auto"/>
        </w:rPr>
        <w:lastRenderedPageBreak/>
        <w:t xml:space="preserve">they </w:t>
      </w:r>
      <w:r w:rsidR="008E242B" w:rsidRPr="003B25B4">
        <w:rPr>
          <w:color w:val="auto"/>
        </w:rPr>
        <w:t>can make a difference to success at school) (Cronbach’s alpha = 0.8</w:t>
      </w:r>
      <w:r w:rsidR="00842C61" w:rsidRPr="003B25B4">
        <w:rPr>
          <w:color w:val="auto"/>
        </w:rPr>
        <w:t>3</w:t>
      </w:r>
      <w:r w:rsidR="008E242B" w:rsidRPr="003B25B4">
        <w:rPr>
          <w:color w:val="auto"/>
        </w:rPr>
        <w:t>), with a binary variable based on above-median scores (range 4-12, median = 10).</w:t>
      </w:r>
    </w:p>
    <w:p w14:paraId="1B291DFE" w14:textId="77777777" w:rsidR="004679BE" w:rsidRPr="003B25B4" w:rsidRDefault="004679BE" w:rsidP="00085F28">
      <w:pPr>
        <w:pStyle w:val="NoSpacing"/>
        <w:rPr>
          <w:color w:val="auto"/>
        </w:rPr>
      </w:pPr>
    </w:p>
    <w:p w14:paraId="5F018075" w14:textId="77777777" w:rsidR="004679BE" w:rsidRPr="003B25B4" w:rsidRDefault="004679BE" w:rsidP="004B09BD">
      <w:pPr>
        <w:pStyle w:val="Style3"/>
        <w:rPr>
          <w:color w:val="auto"/>
        </w:rPr>
      </w:pPr>
      <w:r w:rsidRPr="003B25B4">
        <w:rPr>
          <w:color w:val="auto"/>
        </w:rPr>
        <w:t>Educational experience</w:t>
      </w:r>
      <w:r w:rsidR="00671B44" w:rsidRPr="003B25B4">
        <w:rPr>
          <w:color w:val="auto"/>
        </w:rPr>
        <w:t>s</w:t>
      </w:r>
    </w:p>
    <w:p w14:paraId="55668A15" w14:textId="35F1C491" w:rsidR="0091391C" w:rsidRPr="003B25B4" w:rsidRDefault="002E3B1D" w:rsidP="00B05D8A">
      <w:pPr>
        <w:pStyle w:val="NoSpacing"/>
        <w:rPr>
          <w:color w:val="auto"/>
        </w:rPr>
      </w:pPr>
      <w:r w:rsidRPr="003B25B4">
        <w:rPr>
          <w:color w:val="auto"/>
        </w:rPr>
        <w:t>Data on a number of measures of children’s educational experiences were collected.</w:t>
      </w:r>
      <w:r w:rsidR="00BD5D1D">
        <w:rPr>
          <w:color w:val="auto"/>
        </w:rPr>
        <w:t xml:space="preserve"> </w:t>
      </w:r>
      <w:r w:rsidRPr="003B25B4">
        <w:rPr>
          <w:color w:val="auto"/>
        </w:rPr>
        <w:t>Children’s current caregivers were asked whether they felt the child was making good progress at school, whether they had behavioural problems in school, and whether they received extra help from teachers or other school staff.</w:t>
      </w:r>
      <w:r w:rsidR="00BD5D1D">
        <w:rPr>
          <w:color w:val="auto"/>
        </w:rPr>
        <w:t xml:space="preserve"> </w:t>
      </w:r>
      <w:r w:rsidRPr="003B25B4">
        <w:rPr>
          <w:color w:val="auto"/>
        </w:rPr>
        <w:t>A measure of whether the child</w:t>
      </w:r>
      <w:r w:rsidR="00B05D8A" w:rsidRPr="003B25B4">
        <w:rPr>
          <w:color w:val="auto"/>
        </w:rPr>
        <w:t xml:space="preserve"> received support with</w:t>
      </w:r>
      <w:r w:rsidRPr="003B25B4">
        <w:rPr>
          <w:color w:val="auto"/>
        </w:rPr>
        <w:t xml:space="preserve"> </w:t>
      </w:r>
      <w:r w:rsidR="00B05D8A" w:rsidRPr="003B25B4">
        <w:rPr>
          <w:color w:val="auto"/>
        </w:rPr>
        <w:t>special educational needs</w:t>
      </w:r>
      <w:r w:rsidRPr="003B25B4">
        <w:rPr>
          <w:color w:val="auto"/>
        </w:rPr>
        <w:t xml:space="preserve"> </w:t>
      </w:r>
      <w:r w:rsidR="00B32976" w:rsidRPr="003B25B4">
        <w:rPr>
          <w:color w:val="auto"/>
        </w:rPr>
        <w:t xml:space="preserve">(SEN) </w:t>
      </w:r>
      <w:r w:rsidR="00AA73CB" w:rsidRPr="003B25B4">
        <w:rPr>
          <w:color w:val="auto"/>
        </w:rPr>
        <w:t xml:space="preserve">at school </w:t>
      </w:r>
      <w:r w:rsidRPr="003B25B4">
        <w:rPr>
          <w:color w:val="auto"/>
        </w:rPr>
        <w:t>(</w:t>
      </w:r>
      <w:r w:rsidR="00B05D8A" w:rsidRPr="003B25B4">
        <w:rPr>
          <w:color w:val="auto"/>
        </w:rPr>
        <w:t xml:space="preserve">whether or not they had a formal ‘statement’ setting out their needs) </w:t>
      </w:r>
      <w:r w:rsidRPr="003B25B4">
        <w:rPr>
          <w:color w:val="auto"/>
        </w:rPr>
        <w:t>was derived from information from both the NPD</w:t>
      </w:r>
      <w:r w:rsidR="0091391C" w:rsidRPr="003B25B4">
        <w:rPr>
          <w:color w:val="auto"/>
        </w:rPr>
        <w:t xml:space="preserve"> data and caregiver interviews.</w:t>
      </w:r>
    </w:p>
    <w:p w14:paraId="03F76D47" w14:textId="77777777" w:rsidR="0091391C" w:rsidRPr="003B25B4" w:rsidRDefault="0091391C" w:rsidP="00085F28">
      <w:pPr>
        <w:pStyle w:val="NoSpacing"/>
        <w:rPr>
          <w:color w:val="auto"/>
        </w:rPr>
      </w:pPr>
    </w:p>
    <w:p w14:paraId="5B4B9F16" w14:textId="131ABDFE" w:rsidR="002A3776" w:rsidRPr="003B25B4" w:rsidRDefault="002A3776" w:rsidP="004B09BD">
      <w:pPr>
        <w:pStyle w:val="Style3"/>
        <w:rPr>
          <w:color w:val="auto"/>
        </w:rPr>
      </w:pPr>
      <w:r w:rsidRPr="003B25B4">
        <w:rPr>
          <w:color w:val="auto"/>
        </w:rPr>
        <w:t xml:space="preserve">Child mental health </w:t>
      </w:r>
    </w:p>
    <w:p w14:paraId="4C72DF75" w14:textId="2DEFD8F6" w:rsidR="002A3776" w:rsidRPr="003B25B4" w:rsidRDefault="002C43AC" w:rsidP="00F74C04">
      <w:pPr>
        <w:pStyle w:val="NoSpacing"/>
        <w:rPr>
          <w:color w:val="auto"/>
        </w:rPr>
      </w:pPr>
      <w:r w:rsidRPr="003B25B4">
        <w:rPr>
          <w:color w:val="auto"/>
        </w:rPr>
        <w:t>Two validated measures of child mental health were administered with children’s current caregivers</w:t>
      </w:r>
      <w:r w:rsidR="00A61025" w:rsidRPr="003B25B4">
        <w:rPr>
          <w:color w:val="auto"/>
        </w:rPr>
        <w:t>.</w:t>
      </w:r>
      <w:r w:rsidR="00BD5D1D">
        <w:rPr>
          <w:color w:val="auto"/>
        </w:rPr>
        <w:t xml:space="preserve"> </w:t>
      </w:r>
      <w:r w:rsidR="00A61025" w:rsidRPr="003B25B4">
        <w:rPr>
          <w:color w:val="auto"/>
        </w:rPr>
        <w:t>The</w:t>
      </w:r>
      <w:r w:rsidRPr="003B25B4">
        <w:rPr>
          <w:color w:val="auto"/>
        </w:rPr>
        <w:t xml:space="preserve"> Strengths and Difficulties Questionnaire (SDQ)</w:t>
      </w:r>
      <w:r w:rsidR="00A61025" w:rsidRPr="003B25B4">
        <w:rPr>
          <w:color w:val="auto"/>
        </w:rPr>
        <w:t xml:space="preserve"> is</w:t>
      </w:r>
      <w:r w:rsidRPr="003B25B4">
        <w:rPr>
          <w:color w:val="auto"/>
        </w:rPr>
        <w:t xml:space="preserve"> a 25-item rating scale widely used to screen for common child mental health problems (Goodman, 1997)</w:t>
      </w:r>
      <w:r w:rsidR="007E297B" w:rsidRPr="003B25B4">
        <w:rPr>
          <w:color w:val="auto"/>
        </w:rPr>
        <w:t>. Psychometric properties of the SDQ were established for a large epidemiological sample of 10,485 British 5-15 year olds. Reliability was generally satisfactory, with Cronbach's alpha = 0.73 (Goodman, 2001). T</w:t>
      </w:r>
      <w:r w:rsidRPr="003B25B4">
        <w:rPr>
          <w:color w:val="auto"/>
        </w:rPr>
        <w:t>he Relationship Problems Questionnaire (RPQ)</w:t>
      </w:r>
      <w:r w:rsidR="007E297B" w:rsidRPr="003B25B4">
        <w:rPr>
          <w:color w:val="auto"/>
        </w:rPr>
        <w:t xml:space="preserve"> is</w:t>
      </w:r>
      <w:r w:rsidRPr="003B25B4">
        <w:rPr>
          <w:color w:val="auto"/>
        </w:rPr>
        <w:t xml:space="preserve"> a 10-item rating scale for reactive attachment disorder (RAD), a disorder of social functioning associated with abuse and neglect (</w:t>
      </w:r>
      <w:proofErr w:type="spellStart"/>
      <w:r w:rsidRPr="003B25B4">
        <w:rPr>
          <w:color w:val="auto"/>
        </w:rPr>
        <w:t>Mi</w:t>
      </w:r>
      <w:r w:rsidR="006B1607" w:rsidRPr="003B25B4">
        <w:rPr>
          <w:color w:val="auto"/>
        </w:rPr>
        <w:t>n</w:t>
      </w:r>
      <w:r w:rsidRPr="003B25B4">
        <w:rPr>
          <w:color w:val="auto"/>
        </w:rPr>
        <w:t>nis</w:t>
      </w:r>
      <w:proofErr w:type="spellEnd"/>
      <w:r w:rsidRPr="003B25B4">
        <w:rPr>
          <w:color w:val="auto"/>
        </w:rPr>
        <w:t xml:space="preserve"> et al., 2007; </w:t>
      </w:r>
      <w:proofErr w:type="spellStart"/>
      <w:r w:rsidRPr="003B25B4">
        <w:rPr>
          <w:color w:val="auto"/>
        </w:rPr>
        <w:t>Minnis</w:t>
      </w:r>
      <w:proofErr w:type="spellEnd"/>
      <w:r w:rsidRPr="003B25B4">
        <w:rPr>
          <w:color w:val="auto"/>
        </w:rPr>
        <w:t xml:space="preserve"> et al., 2013). </w:t>
      </w:r>
      <w:r w:rsidR="00FA5BD1" w:rsidRPr="003B25B4">
        <w:rPr>
          <w:color w:val="auto"/>
        </w:rPr>
        <w:t>In a large general population twin sample, the RPQ had good internal consistency (Cronbach’s alpha = 0.85) (</w:t>
      </w:r>
      <w:proofErr w:type="spellStart"/>
      <w:r w:rsidR="00FA5BD1" w:rsidRPr="003B25B4">
        <w:rPr>
          <w:color w:val="auto"/>
        </w:rPr>
        <w:t>Minnis</w:t>
      </w:r>
      <w:proofErr w:type="spellEnd"/>
      <w:r w:rsidR="00FA5BD1" w:rsidRPr="003B25B4">
        <w:rPr>
          <w:color w:val="auto"/>
        </w:rPr>
        <w:t xml:space="preserve"> et al., 2007). </w:t>
      </w:r>
      <w:r w:rsidR="002A3776" w:rsidRPr="003B25B4">
        <w:rPr>
          <w:color w:val="auto"/>
        </w:rPr>
        <w:t xml:space="preserve">Binary variables indicating </w:t>
      </w:r>
      <w:r w:rsidR="002A45F0" w:rsidRPr="003B25B4">
        <w:rPr>
          <w:color w:val="auto"/>
        </w:rPr>
        <w:t xml:space="preserve">likely </w:t>
      </w:r>
      <w:r w:rsidR="002A3776" w:rsidRPr="003B25B4">
        <w:rPr>
          <w:color w:val="auto"/>
        </w:rPr>
        <w:t>mental health problems (</w:t>
      </w:r>
      <w:r w:rsidRPr="003B25B4">
        <w:rPr>
          <w:color w:val="auto"/>
        </w:rPr>
        <w:t xml:space="preserve">SDQ </w:t>
      </w:r>
      <w:r w:rsidR="007C5333" w:rsidRPr="003B25B4">
        <w:rPr>
          <w:color w:val="auto"/>
        </w:rPr>
        <w:t>total difficulties scores of 16+</w:t>
      </w:r>
      <w:r w:rsidRPr="003B25B4">
        <w:rPr>
          <w:color w:val="auto"/>
        </w:rPr>
        <w:t xml:space="preserve"> (i</w:t>
      </w:r>
      <w:r w:rsidR="007C5333" w:rsidRPr="003B25B4">
        <w:rPr>
          <w:color w:val="auto"/>
        </w:rPr>
        <w:t>f aged two to four years) or 17+</w:t>
      </w:r>
      <w:r w:rsidRPr="003B25B4">
        <w:rPr>
          <w:color w:val="auto"/>
        </w:rPr>
        <w:t xml:space="preserve"> (if aged five years and over) </w:t>
      </w:r>
      <w:r w:rsidR="002A3776" w:rsidRPr="003B25B4">
        <w:rPr>
          <w:color w:val="auto"/>
        </w:rPr>
        <w:t xml:space="preserve">and </w:t>
      </w:r>
      <w:r w:rsidRPr="003B25B4">
        <w:rPr>
          <w:color w:val="auto"/>
        </w:rPr>
        <w:t xml:space="preserve">total RPQ scores of </w:t>
      </w:r>
      <w:r w:rsidR="007C5333" w:rsidRPr="003B25B4">
        <w:rPr>
          <w:color w:val="auto"/>
        </w:rPr>
        <w:lastRenderedPageBreak/>
        <w:t>7+</w:t>
      </w:r>
      <w:r w:rsidRPr="003B25B4">
        <w:rPr>
          <w:color w:val="auto"/>
        </w:rPr>
        <w:t xml:space="preserve"> were </w:t>
      </w:r>
      <w:r w:rsidR="002A3776" w:rsidRPr="003B25B4">
        <w:rPr>
          <w:color w:val="auto"/>
        </w:rPr>
        <w:t xml:space="preserve">computed, </w:t>
      </w:r>
      <w:r w:rsidRPr="003B25B4">
        <w:rPr>
          <w:color w:val="auto"/>
        </w:rPr>
        <w:t>in line with scoring guidelines for these measures</w:t>
      </w:r>
      <w:r w:rsidR="002A3776" w:rsidRPr="003B25B4">
        <w:rPr>
          <w:color w:val="auto"/>
        </w:rPr>
        <w:t xml:space="preserve"> (</w:t>
      </w:r>
      <w:proofErr w:type="spellStart"/>
      <w:r w:rsidR="002A3776" w:rsidRPr="003B25B4">
        <w:rPr>
          <w:color w:val="auto"/>
        </w:rPr>
        <w:t>Minnis</w:t>
      </w:r>
      <w:proofErr w:type="spellEnd"/>
      <w:r w:rsidR="002A3776" w:rsidRPr="003B25B4">
        <w:rPr>
          <w:color w:val="auto"/>
        </w:rPr>
        <w:t xml:space="preserve"> et al., 2013; </w:t>
      </w:r>
      <w:proofErr w:type="spellStart"/>
      <w:r w:rsidR="002A3776" w:rsidRPr="003B25B4">
        <w:rPr>
          <w:color w:val="auto"/>
        </w:rPr>
        <w:t>YouthinMind</w:t>
      </w:r>
      <w:proofErr w:type="spellEnd"/>
      <w:r w:rsidR="002A3776" w:rsidRPr="003B25B4">
        <w:rPr>
          <w:color w:val="auto"/>
        </w:rPr>
        <w:t>, 2015).</w:t>
      </w:r>
    </w:p>
    <w:p w14:paraId="7DED7835" w14:textId="77777777" w:rsidR="00671B44" w:rsidRPr="003B25B4" w:rsidRDefault="00671B44" w:rsidP="00085F28">
      <w:pPr>
        <w:pStyle w:val="NoSpacing"/>
        <w:rPr>
          <w:color w:val="auto"/>
        </w:rPr>
      </w:pPr>
    </w:p>
    <w:p w14:paraId="382B7369" w14:textId="205E0BA8" w:rsidR="005F6C26" w:rsidRPr="003B25B4" w:rsidRDefault="008E242B" w:rsidP="004B09BD">
      <w:pPr>
        <w:pStyle w:val="Style3"/>
        <w:rPr>
          <w:color w:val="auto"/>
        </w:rPr>
      </w:pPr>
      <w:r w:rsidRPr="003B25B4">
        <w:rPr>
          <w:color w:val="auto"/>
        </w:rPr>
        <w:t>Child maltreatment</w:t>
      </w:r>
    </w:p>
    <w:p w14:paraId="775391E3" w14:textId="27E343C4" w:rsidR="008C4DEC" w:rsidRPr="003B25B4" w:rsidRDefault="00E05BC4" w:rsidP="00085F28">
      <w:pPr>
        <w:pStyle w:val="NoSpacing"/>
        <w:rPr>
          <w:color w:val="auto"/>
        </w:rPr>
      </w:pPr>
      <w:r w:rsidRPr="003B25B4">
        <w:rPr>
          <w:color w:val="auto"/>
        </w:rPr>
        <w:t xml:space="preserve">The Modified Maltreatment Classification System (MMCS) (English et al., 1997) was used to </w:t>
      </w:r>
      <w:r w:rsidR="000B67FB" w:rsidRPr="003B25B4">
        <w:rPr>
          <w:color w:val="auto"/>
        </w:rPr>
        <w:t>assess t</w:t>
      </w:r>
      <w:r w:rsidR="008C4DEC" w:rsidRPr="003B25B4">
        <w:rPr>
          <w:color w:val="auto"/>
        </w:rPr>
        <w:t>he type(s) and severity of abuse or neglect experienced by each child</w:t>
      </w:r>
      <w:r w:rsidR="000B67FB" w:rsidRPr="003B25B4">
        <w:rPr>
          <w:color w:val="auto"/>
        </w:rPr>
        <w:t xml:space="preserve">. </w:t>
      </w:r>
      <w:r w:rsidR="00ED0C89" w:rsidRPr="003B25B4">
        <w:rPr>
          <w:color w:val="auto"/>
        </w:rPr>
        <w:t>Maltreatment</w:t>
      </w:r>
      <w:r w:rsidR="008C4DEC" w:rsidRPr="003B25B4">
        <w:rPr>
          <w:color w:val="auto"/>
        </w:rPr>
        <w:t xml:space="preserve"> severity </w:t>
      </w:r>
      <w:r w:rsidR="009B5C1E" w:rsidRPr="003B25B4">
        <w:rPr>
          <w:color w:val="auto"/>
        </w:rPr>
        <w:t xml:space="preserve">was rated on a scale from 1 to 5, with 5 being the highest severity </w:t>
      </w:r>
      <w:proofErr w:type="gramStart"/>
      <w:r w:rsidR="009B5C1E" w:rsidRPr="003B25B4">
        <w:rPr>
          <w:color w:val="auto"/>
        </w:rPr>
        <w:t xml:space="preserve">level </w:t>
      </w:r>
      <w:r w:rsidR="007C40E4" w:rsidRPr="003B25B4">
        <w:rPr>
          <w:color w:val="auto"/>
        </w:rPr>
        <w:t>,</w:t>
      </w:r>
      <w:proofErr w:type="gramEnd"/>
      <w:r w:rsidR="007C40E4" w:rsidRPr="003B25B4">
        <w:rPr>
          <w:color w:val="auto"/>
        </w:rPr>
        <w:t xml:space="preserve"> and was recorded for</w:t>
      </w:r>
      <w:r w:rsidR="008C4DEC" w:rsidRPr="003B25B4">
        <w:rPr>
          <w:color w:val="auto"/>
        </w:rPr>
        <w:t xml:space="preserve"> each type of maltreatment experienced by the child (physical, sexual or emotional abuse or neglect).</w:t>
      </w:r>
      <w:r w:rsidR="00BD5D1D">
        <w:rPr>
          <w:color w:val="auto"/>
        </w:rPr>
        <w:t xml:space="preserve"> </w:t>
      </w:r>
      <w:r w:rsidR="008C4DEC" w:rsidRPr="003B25B4">
        <w:rPr>
          <w:color w:val="auto"/>
        </w:rPr>
        <w:t xml:space="preserve">Variables </w:t>
      </w:r>
      <w:r w:rsidR="00A42FBF" w:rsidRPr="003B25B4">
        <w:rPr>
          <w:color w:val="auto"/>
        </w:rPr>
        <w:t>indicating the</w:t>
      </w:r>
      <w:r w:rsidR="008C4DEC" w:rsidRPr="003B25B4">
        <w:rPr>
          <w:color w:val="auto"/>
        </w:rPr>
        <w:t xml:space="preserve"> total number of types of maltreatment ever experienced, and whether or not </w:t>
      </w:r>
      <w:r w:rsidR="009F1A92" w:rsidRPr="003B25B4">
        <w:rPr>
          <w:color w:val="auto"/>
        </w:rPr>
        <w:t xml:space="preserve">higher severity maltreatment (defined as levels 3-5) </w:t>
      </w:r>
      <w:r w:rsidR="008C4DEC" w:rsidRPr="003B25B4">
        <w:rPr>
          <w:color w:val="auto"/>
        </w:rPr>
        <w:t xml:space="preserve">had ever </w:t>
      </w:r>
      <w:r w:rsidR="009F1A92" w:rsidRPr="003B25B4">
        <w:rPr>
          <w:color w:val="auto"/>
        </w:rPr>
        <w:t xml:space="preserve">been </w:t>
      </w:r>
      <w:r w:rsidR="008C4DEC" w:rsidRPr="003B25B4">
        <w:rPr>
          <w:color w:val="auto"/>
        </w:rPr>
        <w:t xml:space="preserve">experienced </w:t>
      </w:r>
      <w:r w:rsidR="009F1A92" w:rsidRPr="003B25B4">
        <w:rPr>
          <w:color w:val="auto"/>
        </w:rPr>
        <w:t xml:space="preserve">were </w:t>
      </w:r>
      <w:r w:rsidR="004F6CED" w:rsidRPr="003B25B4">
        <w:rPr>
          <w:color w:val="auto"/>
        </w:rPr>
        <w:t xml:space="preserve">also </w:t>
      </w:r>
      <w:r w:rsidR="009F1A92" w:rsidRPr="003B25B4">
        <w:rPr>
          <w:color w:val="auto"/>
        </w:rPr>
        <w:t>derived</w:t>
      </w:r>
      <w:r w:rsidR="008C4DEC" w:rsidRPr="003B25B4">
        <w:rPr>
          <w:color w:val="auto"/>
        </w:rPr>
        <w:t xml:space="preserve">. </w:t>
      </w:r>
    </w:p>
    <w:p w14:paraId="2B91F9EC" w14:textId="77777777" w:rsidR="005F6C26" w:rsidRPr="003B25B4" w:rsidRDefault="005F6C26" w:rsidP="00085F28">
      <w:pPr>
        <w:pStyle w:val="NoSpacing"/>
        <w:rPr>
          <w:color w:val="auto"/>
        </w:rPr>
      </w:pPr>
    </w:p>
    <w:p w14:paraId="1A2D99B2" w14:textId="74BB2F97" w:rsidR="005F6C26" w:rsidRPr="003B25B4" w:rsidRDefault="008E242B" w:rsidP="004B09BD">
      <w:pPr>
        <w:pStyle w:val="Style3"/>
        <w:rPr>
          <w:color w:val="auto"/>
        </w:rPr>
      </w:pPr>
      <w:r w:rsidRPr="003B25B4">
        <w:rPr>
          <w:color w:val="auto"/>
        </w:rPr>
        <w:t>Parent problems</w:t>
      </w:r>
    </w:p>
    <w:p w14:paraId="6E8D4D31" w14:textId="51C809F0" w:rsidR="008C4DEC" w:rsidRPr="003B25B4" w:rsidRDefault="00F525BA" w:rsidP="004B09BD">
      <w:pPr>
        <w:spacing w:after="0" w:line="480" w:lineRule="auto"/>
        <w:contextualSpacing/>
        <w:rPr>
          <w:rFonts w:asciiTheme="majorHAnsi" w:hAnsiTheme="majorHAnsi" w:cstheme="majorHAnsi"/>
          <w:color w:val="auto"/>
        </w:rPr>
      </w:pPr>
      <w:r w:rsidRPr="003B25B4">
        <w:rPr>
          <w:rFonts w:asciiTheme="majorHAnsi" w:hAnsiTheme="majorHAnsi" w:cstheme="majorHAnsi"/>
          <w:color w:val="auto"/>
        </w:rPr>
        <w:t xml:space="preserve">Information </w:t>
      </w:r>
      <w:r w:rsidR="008C4DEC" w:rsidRPr="003B25B4">
        <w:rPr>
          <w:rFonts w:asciiTheme="majorHAnsi" w:hAnsiTheme="majorHAnsi" w:cstheme="majorHAnsi"/>
          <w:color w:val="auto"/>
        </w:rPr>
        <w:t>on whether there had ever been professional concerns about specific family problems such as parental substance misuse</w:t>
      </w:r>
      <w:r w:rsidR="00F75F8C" w:rsidRPr="003B25B4">
        <w:rPr>
          <w:rFonts w:asciiTheme="majorHAnsi" w:hAnsiTheme="majorHAnsi" w:cstheme="majorHAnsi"/>
          <w:color w:val="auto"/>
        </w:rPr>
        <w:t>, physical health/disability</w:t>
      </w:r>
      <w:r w:rsidR="006A108F" w:rsidRPr="003B25B4">
        <w:rPr>
          <w:rFonts w:asciiTheme="majorHAnsi" w:hAnsiTheme="majorHAnsi" w:cstheme="majorHAnsi"/>
          <w:color w:val="auto"/>
        </w:rPr>
        <w:t>,</w:t>
      </w:r>
      <w:r w:rsidR="00F75F8C" w:rsidRPr="003B25B4">
        <w:rPr>
          <w:rFonts w:asciiTheme="majorHAnsi" w:hAnsiTheme="majorHAnsi" w:cstheme="majorHAnsi"/>
          <w:color w:val="auto"/>
        </w:rPr>
        <w:t xml:space="preserve"> offending</w:t>
      </w:r>
      <w:r w:rsidRPr="003B25B4">
        <w:rPr>
          <w:rFonts w:asciiTheme="majorHAnsi" w:hAnsiTheme="majorHAnsi" w:cstheme="majorHAnsi"/>
          <w:color w:val="auto"/>
        </w:rPr>
        <w:t xml:space="preserve"> </w:t>
      </w:r>
      <w:r w:rsidR="006A108F" w:rsidRPr="003B25B4">
        <w:rPr>
          <w:rFonts w:asciiTheme="majorHAnsi" w:hAnsiTheme="majorHAnsi" w:cstheme="majorHAnsi"/>
          <w:color w:val="auto"/>
        </w:rPr>
        <w:t>or domestic violence was obtained</w:t>
      </w:r>
      <w:r w:rsidRPr="003B25B4">
        <w:rPr>
          <w:rFonts w:asciiTheme="majorHAnsi" w:hAnsiTheme="majorHAnsi" w:cstheme="majorHAnsi"/>
          <w:color w:val="auto"/>
        </w:rPr>
        <w:t xml:space="preserve"> from social workers/case files</w:t>
      </w:r>
      <w:r w:rsidR="008C4DEC" w:rsidRPr="003B25B4">
        <w:rPr>
          <w:rFonts w:asciiTheme="majorHAnsi" w:hAnsiTheme="majorHAnsi" w:cstheme="majorHAnsi"/>
          <w:color w:val="auto"/>
        </w:rPr>
        <w:t>.</w:t>
      </w:r>
      <w:r w:rsidR="00BD5D1D">
        <w:rPr>
          <w:rFonts w:asciiTheme="majorHAnsi" w:hAnsiTheme="majorHAnsi" w:cstheme="majorHAnsi"/>
          <w:color w:val="auto"/>
        </w:rPr>
        <w:t xml:space="preserve"> </w:t>
      </w:r>
      <w:r w:rsidR="00343556" w:rsidRPr="003B25B4">
        <w:rPr>
          <w:rFonts w:asciiTheme="majorHAnsi" w:hAnsiTheme="majorHAnsi" w:cstheme="majorHAnsi"/>
          <w:color w:val="auto"/>
        </w:rPr>
        <w:t>The total number of types of maltreatment ever experienced by the child and the total number of family problems that had ever been of concern were summed to create</w:t>
      </w:r>
      <w:r w:rsidR="00C27C2B" w:rsidRPr="003B25B4">
        <w:rPr>
          <w:rFonts w:asciiTheme="majorHAnsi" w:hAnsiTheme="majorHAnsi" w:cstheme="majorHAnsi"/>
          <w:color w:val="auto"/>
        </w:rPr>
        <w:t xml:space="preserve"> a</w:t>
      </w:r>
      <w:r w:rsidR="008C4DEC" w:rsidRPr="003B25B4">
        <w:rPr>
          <w:rFonts w:asciiTheme="majorHAnsi" w:hAnsiTheme="majorHAnsi" w:cstheme="majorHAnsi"/>
          <w:color w:val="auto"/>
        </w:rPr>
        <w:t xml:space="preserve"> ‘cumulative risk’ variable.</w:t>
      </w:r>
    </w:p>
    <w:p w14:paraId="1718D747" w14:textId="77777777" w:rsidR="000C7989" w:rsidRPr="003B25B4" w:rsidRDefault="000C7989" w:rsidP="004B09BD">
      <w:pPr>
        <w:spacing w:after="0" w:line="480" w:lineRule="auto"/>
        <w:contextualSpacing/>
        <w:rPr>
          <w:rFonts w:asciiTheme="majorHAnsi" w:hAnsiTheme="majorHAnsi" w:cstheme="majorHAnsi"/>
          <w:color w:val="auto"/>
        </w:rPr>
      </w:pPr>
    </w:p>
    <w:p w14:paraId="17A5443A" w14:textId="62694122" w:rsidR="0091391C" w:rsidRPr="003B25B4" w:rsidRDefault="0091391C" w:rsidP="004B09BD">
      <w:pPr>
        <w:pStyle w:val="Style2"/>
        <w:rPr>
          <w:color w:val="auto"/>
        </w:rPr>
      </w:pPr>
      <w:r w:rsidRPr="003B25B4">
        <w:rPr>
          <w:color w:val="auto"/>
        </w:rPr>
        <w:t>Data analysis</w:t>
      </w:r>
    </w:p>
    <w:p w14:paraId="0444515D" w14:textId="51C5383C" w:rsidR="006B2A31" w:rsidRPr="003B25B4" w:rsidRDefault="00A6476E" w:rsidP="00085F28">
      <w:pPr>
        <w:pStyle w:val="NoSpacing"/>
        <w:rPr>
          <w:color w:val="auto"/>
        </w:rPr>
      </w:pPr>
      <w:r w:rsidRPr="003B25B4">
        <w:rPr>
          <w:color w:val="auto"/>
        </w:rPr>
        <w:t xml:space="preserve">Educational outcomes – receptive vocabulary, literacy and communication - were compared for the </w:t>
      </w:r>
      <w:r w:rsidR="0064480C" w:rsidRPr="003B25B4">
        <w:rPr>
          <w:color w:val="auto"/>
        </w:rPr>
        <w:t xml:space="preserve">68 children in foster care at the time of the study (the </w:t>
      </w:r>
      <w:r w:rsidR="0064480C" w:rsidRPr="003B25B4">
        <w:rPr>
          <w:i/>
          <w:color w:val="auto"/>
        </w:rPr>
        <w:t>care group</w:t>
      </w:r>
      <w:r w:rsidR="0064480C" w:rsidRPr="003B25B4">
        <w:rPr>
          <w:color w:val="auto"/>
        </w:rPr>
        <w:t xml:space="preserve">) </w:t>
      </w:r>
      <w:r w:rsidRPr="003B25B4">
        <w:rPr>
          <w:color w:val="auto"/>
        </w:rPr>
        <w:t>to the</w:t>
      </w:r>
      <w:r w:rsidR="00921B9F" w:rsidRPr="003B25B4">
        <w:rPr>
          <w:color w:val="auto"/>
        </w:rPr>
        <w:t xml:space="preserve"> 166</w:t>
      </w:r>
      <w:r w:rsidR="0064480C" w:rsidRPr="003B25B4">
        <w:rPr>
          <w:color w:val="auto"/>
        </w:rPr>
        <w:t xml:space="preserve"> children living at home at th</w:t>
      </w:r>
      <w:r w:rsidR="00F65A6C" w:rsidRPr="003B25B4">
        <w:rPr>
          <w:color w:val="auto"/>
        </w:rPr>
        <w:t>is</w:t>
      </w:r>
      <w:r w:rsidR="0064480C" w:rsidRPr="003B25B4">
        <w:rPr>
          <w:color w:val="auto"/>
        </w:rPr>
        <w:t xml:space="preserve"> point (the </w:t>
      </w:r>
      <w:r w:rsidR="0064480C" w:rsidRPr="003B25B4">
        <w:rPr>
          <w:i/>
          <w:color w:val="auto"/>
        </w:rPr>
        <w:t>home group</w:t>
      </w:r>
      <w:r w:rsidR="00921B9F" w:rsidRPr="003B25B4">
        <w:rPr>
          <w:color w:val="auto"/>
        </w:rPr>
        <w:t>)</w:t>
      </w:r>
      <w:r w:rsidR="002B38BD" w:rsidRPr="003B25B4">
        <w:rPr>
          <w:color w:val="auto"/>
        </w:rPr>
        <w:t>.</w:t>
      </w:r>
      <w:r w:rsidR="00BD5D1D">
        <w:rPr>
          <w:color w:val="auto"/>
        </w:rPr>
        <w:t xml:space="preserve"> </w:t>
      </w:r>
      <w:r w:rsidR="004D0924" w:rsidRPr="003B25B4">
        <w:rPr>
          <w:color w:val="auto"/>
        </w:rPr>
        <w:t xml:space="preserve">Chi-square tests were used to compare nominal data between groups, and Mann-Whitney U or Kruskal-Wallis tests to </w:t>
      </w:r>
      <w:r w:rsidR="004D0924" w:rsidRPr="003B25B4">
        <w:rPr>
          <w:color w:val="auto"/>
        </w:rPr>
        <w:lastRenderedPageBreak/>
        <w:t>compare interval-level data.</w:t>
      </w:r>
      <w:r w:rsidR="00BD5D1D">
        <w:rPr>
          <w:color w:val="auto"/>
        </w:rPr>
        <w:t xml:space="preserve"> </w:t>
      </w:r>
      <w:r w:rsidR="00F20ED7" w:rsidRPr="003B25B4">
        <w:rPr>
          <w:color w:val="auto"/>
        </w:rPr>
        <w:t>Descriptive data are presented as median and inter-quar</w:t>
      </w:r>
      <w:r w:rsidR="004D0924" w:rsidRPr="003B25B4">
        <w:rPr>
          <w:color w:val="auto"/>
        </w:rPr>
        <w:t>tile range, or frequencies</w:t>
      </w:r>
      <w:r w:rsidR="00F20ED7" w:rsidRPr="003B25B4">
        <w:rPr>
          <w:color w:val="auto"/>
        </w:rPr>
        <w:t xml:space="preserve"> and percentage</w:t>
      </w:r>
      <w:r w:rsidR="004D0924" w:rsidRPr="003B25B4">
        <w:rPr>
          <w:color w:val="auto"/>
        </w:rPr>
        <w:t>s</w:t>
      </w:r>
      <w:r w:rsidR="00F20ED7" w:rsidRPr="003B25B4">
        <w:rPr>
          <w:color w:val="auto"/>
        </w:rPr>
        <w:t>.</w:t>
      </w:r>
      <w:r w:rsidR="00BD5D1D">
        <w:rPr>
          <w:color w:val="auto"/>
        </w:rPr>
        <w:t xml:space="preserve"> </w:t>
      </w:r>
      <w:r w:rsidR="004D0924" w:rsidRPr="003B25B4">
        <w:rPr>
          <w:color w:val="auto"/>
        </w:rPr>
        <w:t xml:space="preserve">Univariate logistic regression models were used to measure the association of </w:t>
      </w:r>
      <w:r w:rsidR="006761A6" w:rsidRPr="003B25B4">
        <w:rPr>
          <w:color w:val="auto"/>
        </w:rPr>
        <w:t xml:space="preserve">children’s status (in care or at home) and observed factors with </w:t>
      </w:r>
      <w:r w:rsidR="004D0924" w:rsidRPr="003B25B4">
        <w:rPr>
          <w:color w:val="auto"/>
        </w:rPr>
        <w:t>each binary outcome measure – receptive vocabulary, communication, and literacy</w:t>
      </w:r>
      <w:r w:rsidR="006761A6" w:rsidRPr="003B25B4">
        <w:rPr>
          <w:color w:val="auto"/>
        </w:rPr>
        <w:t>.</w:t>
      </w:r>
      <w:r w:rsidR="00BD5D1D">
        <w:rPr>
          <w:color w:val="auto"/>
        </w:rPr>
        <w:t xml:space="preserve"> </w:t>
      </w:r>
      <w:r w:rsidR="006B2A31" w:rsidRPr="003B25B4">
        <w:rPr>
          <w:color w:val="auto"/>
        </w:rPr>
        <w:t>Factors that were significantly associated with education outcome measures (at the 95% confidence level) were then entered in</w:t>
      </w:r>
      <w:r w:rsidR="00E05BA7" w:rsidRPr="003B25B4">
        <w:rPr>
          <w:color w:val="auto"/>
        </w:rPr>
        <w:t>to</w:t>
      </w:r>
      <w:r w:rsidR="006B2A31" w:rsidRPr="003B25B4">
        <w:rPr>
          <w:color w:val="auto"/>
        </w:rPr>
        <w:t xml:space="preserve"> multivariate logistic regression model</w:t>
      </w:r>
      <w:r w:rsidR="00890361" w:rsidRPr="003B25B4">
        <w:rPr>
          <w:color w:val="auto"/>
        </w:rPr>
        <w:t>s for each outcome measure</w:t>
      </w:r>
      <w:r w:rsidR="006B2A31" w:rsidRPr="003B25B4">
        <w:rPr>
          <w:color w:val="auto"/>
        </w:rPr>
        <w:t>, to determine the adjusted effects of factors entered on educational outcomes.</w:t>
      </w:r>
    </w:p>
    <w:p w14:paraId="0FCB522F" w14:textId="77777777" w:rsidR="008139A2" w:rsidRPr="003B25B4" w:rsidRDefault="008139A2" w:rsidP="00085F28">
      <w:pPr>
        <w:pStyle w:val="NoSpacing"/>
        <w:rPr>
          <w:color w:val="auto"/>
        </w:rPr>
      </w:pPr>
    </w:p>
    <w:p w14:paraId="5C89ED9B" w14:textId="229D265A" w:rsidR="0091391C" w:rsidRPr="003B25B4" w:rsidRDefault="008139A2" w:rsidP="00085F28">
      <w:pPr>
        <w:pStyle w:val="NoSpacing"/>
        <w:rPr>
          <w:color w:val="auto"/>
        </w:rPr>
      </w:pPr>
      <w:r w:rsidRPr="003B25B4">
        <w:rPr>
          <w:color w:val="auto"/>
        </w:rPr>
        <w:t>Analysis was conducted using IBM SPSS Statistics 24 and regression and collinearity diagnostics were run to check for model fit and multicollinearity.</w:t>
      </w:r>
    </w:p>
    <w:p w14:paraId="01D50CB6" w14:textId="77777777" w:rsidR="00085F28" w:rsidRPr="003B25B4" w:rsidRDefault="00085F28" w:rsidP="00085F28">
      <w:pPr>
        <w:pStyle w:val="NoSpacing"/>
        <w:rPr>
          <w:color w:val="auto"/>
        </w:rPr>
      </w:pPr>
    </w:p>
    <w:p w14:paraId="44E192C0" w14:textId="01FDFBEE" w:rsidR="0091391C" w:rsidRPr="003B25B4" w:rsidRDefault="0091391C" w:rsidP="00085F28">
      <w:pPr>
        <w:pStyle w:val="Style1"/>
        <w:rPr>
          <w:rStyle w:val="BookTitle"/>
          <w:b/>
          <w:bCs w:val="0"/>
          <w:i w:val="0"/>
          <w:iCs w:val="0"/>
          <w:color w:val="auto"/>
          <w:spacing w:val="0"/>
        </w:rPr>
      </w:pPr>
      <w:r w:rsidRPr="003B25B4">
        <w:rPr>
          <w:rStyle w:val="BookTitle"/>
          <w:b/>
          <w:bCs w:val="0"/>
          <w:i w:val="0"/>
          <w:iCs w:val="0"/>
          <w:color w:val="auto"/>
          <w:spacing w:val="0"/>
        </w:rPr>
        <w:t>Results</w:t>
      </w:r>
    </w:p>
    <w:p w14:paraId="448865C3" w14:textId="47C49FA7" w:rsidR="006C35ED" w:rsidRPr="003B25B4" w:rsidRDefault="00CE4A26" w:rsidP="00085F28">
      <w:pPr>
        <w:pStyle w:val="NoSpacing"/>
        <w:rPr>
          <w:color w:val="auto"/>
        </w:rPr>
      </w:pPr>
      <w:r w:rsidRPr="003B25B4">
        <w:rPr>
          <w:color w:val="auto"/>
        </w:rPr>
        <w:t>Of the 23</w:t>
      </w:r>
      <w:r w:rsidR="00D020F2" w:rsidRPr="003B25B4">
        <w:rPr>
          <w:color w:val="auto"/>
        </w:rPr>
        <w:t>4</w:t>
      </w:r>
      <w:r w:rsidR="008139A2" w:rsidRPr="003B25B4">
        <w:rPr>
          <w:color w:val="auto"/>
        </w:rPr>
        <w:t xml:space="preserve"> children</w:t>
      </w:r>
      <w:r w:rsidRPr="003B25B4">
        <w:rPr>
          <w:color w:val="auto"/>
        </w:rPr>
        <w:t xml:space="preserve">, </w:t>
      </w:r>
      <w:r w:rsidR="00890069" w:rsidRPr="003B25B4">
        <w:rPr>
          <w:color w:val="auto"/>
        </w:rPr>
        <w:t>54</w:t>
      </w:r>
      <w:r w:rsidR="0079093C" w:rsidRPr="003B25B4">
        <w:rPr>
          <w:color w:val="auto"/>
        </w:rPr>
        <w:t>%</w:t>
      </w:r>
      <w:r w:rsidR="00890069" w:rsidRPr="003B25B4">
        <w:rPr>
          <w:color w:val="auto"/>
        </w:rPr>
        <w:t xml:space="preserve"> were male</w:t>
      </w:r>
      <w:r w:rsidR="00D020F2" w:rsidRPr="003B25B4">
        <w:rPr>
          <w:color w:val="auto"/>
        </w:rPr>
        <w:t xml:space="preserve">, </w:t>
      </w:r>
      <w:r w:rsidR="00870C28" w:rsidRPr="003B25B4">
        <w:rPr>
          <w:color w:val="auto"/>
        </w:rPr>
        <w:t xml:space="preserve">and 31% were known to have a disability and/or chronic illness. </w:t>
      </w:r>
      <w:r w:rsidR="00ED65FA" w:rsidRPr="003B25B4">
        <w:rPr>
          <w:color w:val="auto"/>
        </w:rPr>
        <w:t>Two-thirds (</w:t>
      </w:r>
      <w:r w:rsidR="00D020F2" w:rsidRPr="003B25B4">
        <w:rPr>
          <w:color w:val="auto"/>
        </w:rPr>
        <w:t>67</w:t>
      </w:r>
      <w:r w:rsidR="0079093C" w:rsidRPr="003B25B4">
        <w:rPr>
          <w:color w:val="auto"/>
        </w:rPr>
        <w:t>%</w:t>
      </w:r>
      <w:r w:rsidR="00ED65FA" w:rsidRPr="003B25B4">
        <w:rPr>
          <w:color w:val="auto"/>
        </w:rPr>
        <w:t>)</w:t>
      </w:r>
      <w:r w:rsidR="0079093C" w:rsidRPr="003B25B4">
        <w:rPr>
          <w:color w:val="auto"/>
        </w:rPr>
        <w:t xml:space="preserve"> </w:t>
      </w:r>
      <w:r w:rsidR="00E40E3A" w:rsidRPr="003B25B4">
        <w:rPr>
          <w:color w:val="auto"/>
        </w:rPr>
        <w:t>were</w:t>
      </w:r>
      <w:r w:rsidR="0091391C" w:rsidRPr="003B25B4">
        <w:rPr>
          <w:color w:val="auto"/>
        </w:rPr>
        <w:t xml:space="preserve"> White</w:t>
      </w:r>
      <w:r w:rsidR="00194A73" w:rsidRPr="003B25B4">
        <w:rPr>
          <w:color w:val="auto"/>
        </w:rPr>
        <w:t xml:space="preserve">, with </w:t>
      </w:r>
      <w:r w:rsidR="00A73E81" w:rsidRPr="003B25B4">
        <w:rPr>
          <w:color w:val="auto"/>
        </w:rPr>
        <w:t>almost a fifth (18%) of South Asian origin</w:t>
      </w:r>
      <w:r w:rsidR="00C32DED" w:rsidRPr="003B25B4">
        <w:rPr>
          <w:color w:val="auto"/>
        </w:rPr>
        <w:t xml:space="preserve"> and the remain</w:t>
      </w:r>
      <w:r w:rsidR="00BA3A3B" w:rsidRPr="003B25B4">
        <w:rPr>
          <w:color w:val="auto"/>
        </w:rPr>
        <w:t>der</w:t>
      </w:r>
      <w:r w:rsidR="00C32DED" w:rsidRPr="003B25B4">
        <w:rPr>
          <w:color w:val="auto"/>
        </w:rPr>
        <w:t xml:space="preserve"> of mixed </w:t>
      </w:r>
      <w:r w:rsidR="008D0834" w:rsidRPr="003B25B4">
        <w:rPr>
          <w:color w:val="auto"/>
        </w:rPr>
        <w:t>ethnic origin</w:t>
      </w:r>
      <w:r w:rsidR="00D020F2" w:rsidRPr="003B25B4">
        <w:rPr>
          <w:color w:val="auto"/>
        </w:rPr>
        <w:t>.</w:t>
      </w:r>
      <w:r w:rsidR="00BD5D1D">
        <w:rPr>
          <w:color w:val="auto"/>
        </w:rPr>
        <w:t xml:space="preserve"> </w:t>
      </w:r>
      <w:r w:rsidR="00D020F2" w:rsidRPr="003B25B4">
        <w:rPr>
          <w:color w:val="auto"/>
        </w:rPr>
        <w:t>The children</w:t>
      </w:r>
      <w:r w:rsidR="00E40E3A" w:rsidRPr="003B25B4">
        <w:rPr>
          <w:color w:val="auto"/>
        </w:rPr>
        <w:t xml:space="preserve">’s ages ranged from </w:t>
      </w:r>
      <w:r w:rsidR="00D020F2" w:rsidRPr="003B25B4">
        <w:rPr>
          <w:color w:val="auto"/>
        </w:rPr>
        <w:t xml:space="preserve">33 </w:t>
      </w:r>
      <w:r w:rsidR="00E40E3A" w:rsidRPr="003B25B4">
        <w:rPr>
          <w:color w:val="auto"/>
        </w:rPr>
        <w:t>to</w:t>
      </w:r>
      <w:r w:rsidR="00D020F2" w:rsidRPr="003B25B4">
        <w:rPr>
          <w:color w:val="auto"/>
        </w:rPr>
        <w:t xml:space="preserve"> 115 months at the time of the care</w:t>
      </w:r>
      <w:r w:rsidR="00E40E3A" w:rsidRPr="003B25B4">
        <w:rPr>
          <w:color w:val="auto"/>
        </w:rPr>
        <w:t>give</w:t>
      </w:r>
      <w:r w:rsidR="00D020F2" w:rsidRPr="003B25B4">
        <w:rPr>
          <w:color w:val="auto"/>
        </w:rPr>
        <w:t xml:space="preserve">r interviews, with a median </w:t>
      </w:r>
      <w:r w:rsidR="00E40E3A" w:rsidRPr="003B25B4">
        <w:rPr>
          <w:color w:val="auto"/>
        </w:rPr>
        <w:t xml:space="preserve">age </w:t>
      </w:r>
      <w:r w:rsidR="00D020F2" w:rsidRPr="003B25B4">
        <w:rPr>
          <w:color w:val="auto"/>
        </w:rPr>
        <w:t xml:space="preserve">of </w:t>
      </w:r>
      <w:r w:rsidR="00E40E3A" w:rsidRPr="003B25B4">
        <w:rPr>
          <w:color w:val="auto"/>
        </w:rPr>
        <w:t>just over six years (75 months</w:t>
      </w:r>
      <w:r w:rsidR="0091391C" w:rsidRPr="003B25B4">
        <w:rPr>
          <w:color w:val="auto"/>
        </w:rPr>
        <w:t>).</w:t>
      </w:r>
    </w:p>
    <w:p w14:paraId="351BDFF9" w14:textId="77777777" w:rsidR="00F53DA3" w:rsidRPr="003B25B4" w:rsidRDefault="00F53DA3" w:rsidP="00085F28">
      <w:pPr>
        <w:pStyle w:val="NoSpacing"/>
        <w:rPr>
          <w:color w:val="auto"/>
        </w:rPr>
      </w:pPr>
    </w:p>
    <w:p w14:paraId="30862754" w14:textId="39FDAE60" w:rsidR="006C35ED" w:rsidRPr="003B25B4" w:rsidRDefault="007927ED" w:rsidP="00085F28">
      <w:pPr>
        <w:pStyle w:val="NoSpacing"/>
        <w:rPr>
          <w:b/>
          <w:color w:val="auto"/>
        </w:rPr>
      </w:pPr>
      <w:r w:rsidRPr="003B25B4">
        <w:rPr>
          <w:color w:val="auto"/>
        </w:rPr>
        <w:t xml:space="preserve">Children in the </w:t>
      </w:r>
      <w:r w:rsidRPr="003B25B4">
        <w:rPr>
          <w:i/>
          <w:color w:val="auto"/>
        </w:rPr>
        <w:t>care group</w:t>
      </w:r>
      <w:r w:rsidR="00CC7581" w:rsidRPr="003B25B4">
        <w:rPr>
          <w:color w:val="auto"/>
        </w:rPr>
        <w:t xml:space="preserve"> </w:t>
      </w:r>
      <w:r w:rsidRPr="003B25B4">
        <w:rPr>
          <w:color w:val="auto"/>
        </w:rPr>
        <w:t xml:space="preserve">had spent </w:t>
      </w:r>
      <w:r w:rsidR="0098433B" w:rsidRPr="003B25B4">
        <w:rPr>
          <w:color w:val="auto"/>
        </w:rPr>
        <w:t xml:space="preserve">5-112 </w:t>
      </w:r>
      <w:r w:rsidRPr="003B25B4">
        <w:rPr>
          <w:color w:val="auto"/>
        </w:rPr>
        <w:t>months in c</w:t>
      </w:r>
      <w:r w:rsidR="0098433B" w:rsidRPr="003B25B4">
        <w:rPr>
          <w:color w:val="auto"/>
        </w:rPr>
        <w:t>are, with a median duration of 42</w:t>
      </w:r>
      <w:r w:rsidRPr="003B25B4">
        <w:rPr>
          <w:color w:val="auto"/>
        </w:rPr>
        <w:t xml:space="preserve"> months.</w:t>
      </w:r>
      <w:r w:rsidR="00BD5D1D">
        <w:rPr>
          <w:color w:val="auto"/>
        </w:rPr>
        <w:t xml:space="preserve"> </w:t>
      </w:r>
      <w:r w:rsidR="0098433B" w:rsidRPr="003B25B4">
        <w:rPr>
          <w:color w:val="auto"/>
        </w:rPr>
        <w:t>Many of the 51</w:t>
      </w:r>
      <w:r w:rsidR="00637E10" w:rsidRPr="003B25B4">
        <w:rPr>
          <w:color w:val="auto"/>
        </w:rPr>
        <w:t xml:space="preserve"> children in the </w:t>
      </w:r>
      <w:r w:rsidR="00CC7581" w:rsidRPr="003B25B4">
        <w:rPr>
          <w:i/>
          <w:color w:val="auto"/>
        </w:rPr>
        <w:t>home group</w:t>
      </w:r>
      <w:r w:rsidR="00CC7581" w:rsidRPr="003B25B4">
        <w:rPr>
          <w:color w:val="auto"/>
        </w:rPr>
        <w:t xml:space="preserve"> who</w:t>
      </w:r>
      <w:r w:rsidR="00CC7581" w:rsidRPr="003B25B4">
        <w:rPr>
          <w:rFonts w:asciiTheme="majorHAnsi" w:hAnsiTheme="majorHAnsi" w:cstheme="majorHAnsi"/>
          <w:color w:val="auto"/>
        </w:rPr>
        <w:t xml:space="preserve"> were </w:t>
      </w:r>
      <w:r w:rsidR="00637E10" w:rsidRPr="003B25B4">
        <w:rPr>
          <w:color w:val="auto"/>
        </w:rPr>
        <w:t xml:space="preserve">previously in care had </w:t>
      </w:r>
      <w:r w:rsidR="00CC7581" w:rsidRPr="003B25B4">
        <w:rPr>
          <w:color w:val="auto"/>
        </w:rPr>
        <w:t>been</w:t>
      </w:r>
      <w:r w:rsidR="0098433B" w:rsidRPr="003B25B4">
        <w:rPr>
          <w:color w:val="auto"/>
        </w:rPr>
        <w:t xml:space="preserve"> removed from home only briefly</w:t>
      </w:r>
      <w:r w:rsidR="00CC7581" w:rsidRPr="003B25B4">
        <w:rPr>
          <w:color w:val="auto"/>
        </w:rPr>
        <w:t xml:space="preserve">, </w:t>
      </w:r>
      <w:r w:rsidR="0098433B" w:rsidRPr="003B25B4">
        <w:rPr>
          <w:color w:val="auto"/>
        </w:rPr>
        <w:t xml:space="preserve">spending between less than one month and 47 months </w:t>
      </w:r>
      <w:r w:rsidR="006C35ED" w:rsidRPr="003B25B4">
        <w:rPr>
          <w:color w:val="auto"/>
        </w:rPr>
        <w:t xml:space="preserve">in care, with a median </w:t>
      </w:r>
      <w:r w:rsidR="0098433B" w:rsidRPr="003B25B4">
        <w:rPr>
          <w:color w:val="auto"/>
        </w:rPr>
        <w:t>of 12</w:t>
      </w:r>
      <w:r w:rsidR="00E370E3" w:rsidRPr="003B25B4">
        <w:rPr>
          <w:color w:val="auto"/>
        </w:rPr>
        <w:t xml:space="preserve"> </w:t>
      </w:r>
      <w:r w:rsidR="006C35ED" w:rsidRPr="003B25B4">
        <w:rPr>
          <w:color w:val="auto"/>
        </w:rPr>
        <w:t xml:space="preserve">months. </w:t>
      </w:r>
    </w:p>
    <w:p w14:paraId="36977690" w14:textId="5C4ADE23" w:rsidR="006C35ED" w:rsidRPr="003B25B4" w:rsidRDefault="006C35ED" w:rsidP="00085F28">
      <w:pPr>
        <w:pStyle w:val="NoSpacing"/>
        <w:rPr>
          <w:color w:val="auto"/>
        </w:rPr>
      </w:pPr>
    </w:p>
    <w:p w14:paraId="073074B8" w14:textId="6015C222" w:rsidR="002F53E0" w:rsidRPr="003B25B4" w:rsidRDefault="002F53E0" w:rsidP="00085F28">
      <w:pPr>
        <w:pStyle w:val="Style2"/>
        <w:rPr>
          <w:color w:val="auto"/>
        </w:rPr>
      </w:pPr>
      <w:r w:rsidRPr="003B25B4">
        <w:rPr>
          <w:color w:val="auto"/>
        </w:rPr>
        <w:lastRenderedPageBreak/>
        <w:t>Associations between child status and observed factors</w:t>
      </w:r>
    </w:p>
    <w:p w14:paraId="6B846E9E" w14:textId="08098885" w:rsidR="00363BFB" w:rsidRPr="003B25B4" w:rsidRDefault="005140CD" w:rsidP="00D72D8F">
      <w:pPr>
        <w:pStyle w:val="NoSpacing"/>
        <w:rPr>
          <w:color w:val="auto"/>
        </w:rPr>
      </w:pPr>
      <w:r w:rsidRPr="003B25B4">
        <w:rPr>
          <w:color w:val="auto"/>
        </w:rPr>
        <w:t>A</w:t>
      </w:r>
      <w:r w:rsidR="008139A2" w:rsidRPr="003B25B4">
        <w:rPr>
          <w:color w:val="auto"/>
        </w:rPr>
        <w:t>s</w:t>
      </w:r>
      <w:r w:rsidRPr="003B25B4">
        <w:rPr>
          <w:color w:val="auto"/>
        </w:rPr>
        <w:t xml:space="preserve"> </w:t>
      </w:r>
      <w:r w:rsidR="00D65B3E" w:rsidRPr="003B25B4">
        <w:rPr>
          <w:color w:val="auto"/>
        </w:rPr>
        <w:t>Table</w:t>
      </w:r>
      <w:r w:rsidR="00045B97" w:rsidRPr="003B25B4">
        <w:rPr>
          <w:color w:val="auto"/>
        </w:rPr>
        <w:t xml:space="preserve"> 1 shows</w:t>
      </w:r>
      <w:r w:rsidRPr="003B25B4">
        <w:rPr>
          <w:color w:val="auto"/>
        </w:rPr>
        <w:t xml:space="preserve">, </w:t>
      </w:r>
      <w:r w:rsidR="008E4F91" w:rsidRPr="003B25B4">
        <w:rPr>
          <w:color w:val="auto"/>
        </w:rPr>
        <w:t>there were some significant differences between the two study groups.</w:t>
      </w:r>
      <w:r w:rsidR="00BD5D1D">
        <w:rPr>
          <w:color w:val="auto"/>
        </w:rPr>
        <w:t xml:space="preserve"> </w:t>
      </w:r>
      <w:r w:rsidR="008E4F91" w:rsidRPr="003B25B4">
        <w:rPr>
          <w:color w:val="auto"/>
        </w:rPr>
        <w:t>T</w:t>
      </w:r>
      <w:r w:rsidRPr="003B25B4">
        <w:rPr>
          <w:color w:val="auto"/>
        </w:rPr>
        <w:t xml:space="preserve">he </w:t>
      </w:r>
      <w:r w:rsidR="008E4F91" w:rsidRPr="003B25B4">
        <w:rPr>
          <w:i/>
          <w:color w:val="auto"/>
        </w:rPr>
        <w:t xml:space="preserve">care </w:t>
      </w:r>
      <w:r w:rsidR="001C3D5C" w:rsidRPr="003B25B4">
        <w:rPr>
          <w:i/>
          <w:color w:val="auto"/>
        </w:rPr>
        <w:t>group</w:t>
      </w:r>
      <w:r w:rsidR="001C3D5C" w:rsidRPr="003B25B4">
        <w:rPr>
          <w:color w:val="auto"/>
        </w:rPr>
        <w:t xml:space="preserve"> </w:t>
      </w:r>
      <w:r w:rsidR="00E05BA7" w:rsidRPr="003B25B4">
        <w:rPr>
          <w:color w:val="auto"/>
        </w:rPr>
        <w:t xml:space="preserve">included </w:t>
      </w:r>
      <w:r w:rsidR="00363BFB" w:rsidRPr="003B25B4">
        <w:rPr>
          <w:color w:val="auto"/>
        </w:rPr>
        <w:t xml:space="preserve">a </w:t>
      </w:r>
      <w:r w:rsidR="00E05BA7" w:rsidRPr="003B25B4">
        <w:rPr>
          <w:color w:val="auto"/>
        </w:rPr>
        <w:t xml:space="preserve">higher proportion of children </w:t>
      </w:r>
      <w:r w:rsidR="004D3435" w:rsidRPr="003B25B4">
        <w:rPr>
          <w:color w:val="auto"/>
        </w:rPr>
        <w:t xml:space="preserve">of White ethnicity </w:t>
      </w:r>
      <w:r w:rsidR="00CB5127" w:rsidRPr="003B25B4">
        <w:rPr>
          <w:color w:val="auto"/>
        </w:rPr>
        <w:t xml:space="preserve">and </w:t>
      </w:r>
      <w:r w:rsidR="008139A2" w:rsidRPr="003B25B4">
        <w:rPr>
          <w:color w:val="auto"/>
        </w:rPr>
        <w:t>children</w:t>
      </w:r>
      <w:r w:rsidR="00363BFB" w:rsidRPr="003B25B4">
        <w:rPr>
          <w:color w:val="auto"/>
        </w:rPr>
        <w:t xml:space="preserve"> </w:t>
      </w:r>
      <w:r w:rsidR="00E370E3" w:rsidRPr="003B25B4">
        <w:rPr>
          <w:color w:val="auto"/>
        </w:rPr>
        <w:t xml:space="preserve">with a </w:t>
      </w:r>
      <w:r w:rsidR="00CB5127" w:rsidRPr="003B25B4">
        <w:rPr>
          <w:color w:val="auto"/>
        </w:rPr>
        <w:t>reported disability/chronic illness</w:t>
      </w:r>
      <w:r w:rsidR="00E370E3" w:rsidRPr="003B25B4">
        <w:rPr>
          <w:color w:val="auto"/>
        </w:rPr>
        <w:t xml:space="preserve"> than the </w:t>
      </w:r>
      <w:r w:rsidR="00E370E3" w:rsidRPr="003B25B4">
        <w:rPr>
          <w:i/>
          <w:color w:val="auto"/>
        </w:rPr>
        <w:t>home group</w:t>
      </w:r>
      <w:r w:rsidR="00E05BA7" w:rsidRPr="003B25B4">
        <w:rPr>
          <w:color w:val="auto"/>
        </w:rPr>
        <w:t>.</w:t>
      </w:r>
      <w:r w:rsidR="00BD5D1D">
        <w:rPr>
          <w:color w:val="auto"/>
        </w:rPr>
        <w:t xml:space="preserve"> </w:t>
      </w:r>
      <w:r w:rsidR="008139A2" w:rsidRPr="003B25B4">
        <w:rPr>
          <w:color w:val="auto"/>
        </w:rPr>
        <w:t xml:space="preserve">Children in the </w:t>
      </w:r>
      <w:r w:rsidR="008139A2" w:rsidRPr="003B25B4">
        <w:rPr>
          <w:i/>
          <w:color w:val="auto"/>
        </w:rPr>
        <w:t>care group</w:t>
      </w:r>
      <w:r w:rsidR="008E4F91" w:rsidRPr="003B25B4">
        <w:rPr>
          <w:color w:val="auto"/>
        </w:rPr>
        <w:t xml:space="preserve"> were also more likely to have </w:t>
      </w:r>
      <w:r w:rsidR="00363BFB" w:rsidRPr="003B25B4">
        <w:rPr>
          <w:color w:val="auto"/>
        </w:rPr>
        <w:t xml:space="preserve">scores on the SDQ indicating likely emotional and behavioural problems and scores on the RPQ </w:t>
      </w:r>
      <w:r w:rsidR="00091B58" w:rsidRPr="003B25B4">
        <w:rPr>
          <w:color w:val="auto"/>
        </w:rPr>
        <w:t xml:space="preserve">indicating likely </w:t>
      </w:r>
      <w:r w:rsidR="00363BFB" w:rsidRPr="003B25B4">
        <w:rPr>
          <w:color w:val="auto"/>
        </w:rPr>
        <w:t>attachment and relationship problems</w:t>
      </w:r>
      <w:r w:rsidR="008139A2" w:rsidRPr="003B25B4">
        <w:rPr>
          <w:color w:val="auto"/>
        </w:rPr>
        <w:t xml:space="preserve"> than those living at home</w:t>
      </w:r>
      <w:r w:rsidR="00091B58" w:rsidRPr="003B25B4">
        <w:rPr>
          <w:color w:val="auto"/>
        </w:rPr>
        <w:t>.</w:t>
      </w:r>
      <w:r w:rsidR="00BD5D1D">
        <w:rPr>
          <w:color w:val="auto"/>
        </w:rPr>
        <w:t xml:space="preserve"> </w:t>
      </w:r>
      <w:r w:rsidR="00091B58" w:rsidRPr="003B25B4">
        <w:rPr>
          <w:color w:val="auto"/>
        </w:rPr>
        <w:t xml:space="preserve">They also appeared more </w:t>
      </w:r>
      <w:r w:rsidR="00082762" w:rsidRPr="003B25B4">
        <w:rPr>
          <w:color w:val="auto"/>
        </w:rPr>
        <w:t xml:space="preserve">likely </w:t>
      </w:r>
      <w:r w:rsidR="00091B58" w:rsidRPr="003B25B4">
        <w:rPr>
          <w:color w:val="auto"/>
        </w:rPr>
        <w:t>to</w:t>
      </w:r>
      <w:r w:rsidR="008139A2" w:rsidRPr="003B25B4">
        <w:rPr>
          <w:color w:val="auto"/>
        </w:rPr>
        <w:t xml:space="preserve"> </w:t>
      </w:r>
      <w:r w:rsidR="00C828B1" w:rsidRPr="003B25B4">
        <w:rPr>
          <w:color w:val="auto"/>
        </w:rPr>
        <w:t>receive support with</w:t>
      </w:r>
      <w:r w:rsidR="00091B58" w:rsidRPr="003B25B4">
        <w:rPr>
          <w:color w:val="auto"/>
        </w:rPr>
        <w:t xml:space="preserve"> </w:t>
      </w:r>
      <w:r w:rsidR="00082762" w:rsidRPr="003B25B4">
        <w:rPr>
          <w:color w:val="auto"/>
        </w:rPr>
        <w:t>Special Educational Needs (</w:t>
      </w:r>
      <w:r w:rsidR="00091B58" w:rsidRPr="003B25B4">
        <w:rPr>
          <w:color w:val="auto"/>
        </w:rPr>
        <w:t>SEN</w:t>
      </w:r>
      <w:r w:rsidR="00082762" w:rsidRPr="003B25B4">
        <w:rPr>
          <w:color w:val="auto"/>
        </w:rPr>
        <w:t>)</w:t>
      </w:r>
      <w:r w:rsidR="00C828B1" w:rsidRPr="003B25B4">
        <w:rPr>
          <w:color w:val="auto"/>
        </w:rPr>
        <w:t xml:space="preserve"> in school</w:t>
      </w:r>
      <w:r w:rsidR="008139A2" w:rsidRPr="003B25B4">
        <w:rPr>
          <w:color w:val="auto"/>
        </w:rPr>
        <w:t xml:space="preserve"> (</w:t>
      </w:r>
      <w:r w:rsidR="00091B58" w:rsidRPr="003B25B4">
        <w:rPr>
          <w:color w:val="auto"/>
        </w:rPr>
        <w:t>although this association was not statistically significant</w:t>
      </w:r>
      <w:r w:rsidR="008139A2" w:rsidRPr="003B25B4">
        <w:rPr>
          <w:color w:val="auto"/>
        </w:rPr>
        <w:t>)</w:t>
      </w:r>
      <w:r w:rsidR="00091B58" w:rsidRPr="003B25B4">
        <w:rPr>
          <w:color w:val="auto"/>
        </w:rPr>
        <w:t xml:space="preserve">, </w:t>
      </w:r>
      <w:r w:rsidR="00940774" w:rsidRPr="003B25B4">
        <w:rPr>
          <w:color w:val="auto"/>
        </w:rPr>
        <w:t>more likely to have behaviour problems at school</w:t>
      </w:r>
      <w:r w:rsidR="008139A2" w:rsidRPr="003B25B4">
        <w:rPr>
          <w:color w:val="auto"/>
        </w:rPr>
        <w:t>,</w:t>
      </w:r>
      <w:r w:rsidR="00940774" w:rsidRPr="003B25B4">
        <w:rPr>
          <w:color w:val="auto"/>
        </w:rPr>
        <w:t xml:space="preserve"> and</w:t>
      </w:r>
      <w:r w:rsidR="00091B58" w:rsidRPr="003B25B4">
        <w:rPr>
          <w:color w:val="auto"/>
        </w:rPr>
        <w:t xml:space="preserve"> more likely</w:t>
      </w:r>
      <w:r w:rsidR="00940774" w:rsidRPr="003B25B4">
        <w:rPr>
          <w:color w:val="auto"/>
        </w:rPr>
        <w:t xml:space="preserve"> to receive extra help from teachers or other staff.</w:t>
      </w:r>
      <w:r w:rsidR="00BD5D1D">
        <w:rPr>
          <w:color w:val="auto"/>
        </w:rPr>
        <w:t xml:space="preserve"> </w:t>
      </w:r>
      <w:r w:rsidR="00091B58" w:rsidRPr="003B25B4">
        <w:rPr>
          <w:color w:val="auto"/>
        </w:rPr>
        <w:t xml:space="preserve">The caregivers of </w:t>
      </w:r>
      <w:r w:rsidR="00AB1A1D" w:rsidRPr="003B25B4">
        <w:rPr>
          <w:color w:val="auto"/>
        </w:rPr>
        <w:t xml:space="preserve">children in the </w:t>
      </w:r>
      <w:r w:rsidR="00091B58" w:rsidRPr="003B25B4">
        <w:rPr>
          <w:i/>
          <w:color w:val="auto"/>
        </w:rPr>
        <w:t>care group</w:t>
      </w:r>
      <w:r w:rsidR="00091B58" w:rsidRPr="003B25B4">
        <w:rPr>
          <w:color w:val="auto"/>
        </w:rPr>
        <w:t xml:space="preserve"> felt more confident in supporting </w:t>
      </w:r>
      <w:r w:rsidR="00D72D8F" w:rsidRPr="003B25B4">
        <w:rPr>
          <w:color w:val="auto"/>
        </w:rPr>
        <w:t>the child’s</w:t>
      </w:r>
      <w:r w:rsidR="00091B58" w:rsidRPr="003B25B4">
        <w:rPr>
          <w:color w:val="auto"/>
        </w:rPr>
        <w:t xml:space="preserve"> learning</w:t>
      </w:r>
      <w:r w:rsidR="00AB1A1D" w:rsidRPr="003B25B4">
        <w:rPr>
          <w:color w:val="auto"/>
        </w:rPr>
        <w:t xml:space="preserve"> and were more positively engaged in activities with </w:t>
      </w:r>
      <w:r w:rsidR="00D72D8F" w:rsidRPr="003B25B4">
        <w:rPr>
          <w:color w:val="auto"/>
        </w:rPr>
        <w:t>them</w:t>
      </w:r>
      <w:r w:rsidR="00AB1A1D" w:rsidRPr="003B25B4">
        <w:rPr>
          <w:color w:val="auto"/>
        </w:rPr>
        <w:t xml:space="preserve"> </w:t>
      </w:r>
      <w:r w:rsidR="00091B58" w:rsidRPr="003B25B4">
        <w:rPr>
          <w:color w:val="auto"/>
        </w:rPr>
        <w:t xml:space="preserve">(although </w:t>
      </w:r>
      <w:r w:rsidR="00AB1A1D" w:rsidRPr="003B25B4">
        <w:rPr>
          <w:color w:val="auto"/>
        </w:rPr>
        <w:t xml:space="preserve">neither relationship was </w:t>
      </w:r>
      <w:r w:rsidR="00091B58" w:rsidRPr="003B25B4">
        <w:rPr>
          <w:color w:val="auto"/>
        </w:rPr>
        <w:t>statistically significant</w:t>
      </w:r>
      <w:r w:rsidR="00396A25" w:rsidRPr="003B25B4">
        <w:rPr>
          <w:color w:val="auto"/>
        </w:rPr>
        <w:t>)</w:t>
      </w:r>
      <w:r w:rsidR="00AB1A1D" w:rsidRPr="003B25B4">
        <w:rPr>
          <w:color w:val="auto"/>
        </w:rPr>
        <w:t xml:space="preserve">, but </w:t>
      </w:r>
      <w:r w:rsidR="00D72D8F" w:rsidRPr="003B25B4">
        <w:rPr>
          <w:color w:val="auto"/>
        </w:rPr>
        <w:t xml:space="preserve">they </w:t>
      </w:r>
      <w:r w:rsidR="00AB1A1D" w:rsidRPr="003B25B4">
        <w:rPr>
          <w:color w:val="auto"/>
        </w:rPr>
        <w:t>showed lower levels of caregiver warmth compared to the caregivers of those living at home</w:t>
      </w:r>
      <w:r w:rsidR="00091B58" w:rsidRPr="003B25B4">
        <w:rPr>
          <w:color w:val="auto"/>
        </w:rPr>
        <w:t>.</w:t>
      </w:r>
    </w:p>
    <w:p w14:paraId="1946D806" w14:textId="5D4991EC" w:rsidR="00011A7A" w:rsidRPr="003B25B4" w:rsidRDefault="00011A7A" w:rsidP="00085F28">
      <w:pPr>
        <w:pStyle w:val="NoSpacing"/>
        <w:rPr>
          <w:color w:val="auto"/>
        </w:rPr>
      </w:pPr>
    </w:p>
    <w:p w14:paraId="61F12974" w14:textId="055273D7" w:rsidR="0056587F" w:rsidRPr="003B25B4" w:rsidRDefault="0056587F" w:rsidP="0056587F">
      <w:pPr>
        <w:pStyle w:val="tableheading"/>
        <w:rPr>
          <w:b/>
          <w:color w:val="auto"/>
        </w:rPr>
      </w:pPr>
      <w:r w:rsidRPr="003B25B4">
        <w:rPr>
          <w:b/>
          <w:color w:val="auto"/>
        </w:rPr>
        <w:t xml:space="preserve">Insert Table </w:t>
      </w:r>
      <w:r w:rsidR="00342E1E" w:rsidRPr="003B25B4">
        <w:rPr>
          <w:b/>
          <w:color w:val="auto"/>
        </w:rPr>
        <w:t>1</w:t>
      </w:r>
      <w:r w:rsidRPr="003B25B4">
        <w:rPr>
          <w:b/>
          <w:color w:val="auto"/>
        </w:rPr>
        <w:t xml:space="preserve"> here</w:t>
      </w:r>
    </w:p>
    <w:p w14:paraId="6A6FE6AB" w14:textId="77777777" w:rsidR="0056587F" w:rsidRPr="003B25B4" w:rsidRDefault="0056587F" w:rsidP="00085F28">
      <w:pPr>
        <w:pStyle w:val="NoSpacing"/>
        <w:rPr>
          <w:color w:val="auto"/>
        </w:rPr>
      </w:pPr>
    </w:p>
    <w:p w14:paraId="4DDA309A" w14:textId="1D9350A5" w:rsidR="00011A7A" w:rsidRPr="003B25B4" w:rsidRDefault="00011A7A" w:rsidP="00085F28">
      <w:pPr>
        <w:pStyle w:val="NoSpacing"/>
        <w:rPr>
          <w:color w:val="auto"/>
        </w:rPr>
      </w:pPr>
      <w:r w:rsidRPr="003B25B4">
        <w:rPr>
          <w:color w:val="auto"/>
        </w:rPr>
        <w:t xml:space="preserve">There was no statistically significant association between </w:t>
      </w:r>
      <w:r w:rsidR="00EF5912" w:rsidRPr="003B25B4">
        <w:rPr>
          <w:color w:val="auto"/>
        </w:rPr>
        <w:t xml:space="preserve">where children were living </w:t>
      </w:r>
      <w:r w:rsidRPr="003B25B4">
        <w:rPr>
          <w:color w:val="auto"/>
        </w:rPr>
        <w:t>(in care or at home) and age at first referral or age on first entering care/being placed on a Child Protection Plan.</w:t>
      </w:r>
      <w:r w:rsidR="00BD5D1D">
        <w:rPr>
          <w:color w:val="auto"/>
        </w:rPr>
        <w:t xml:space="preserve"> </w:t>
      </w:r>
      <w:r w:rsidRPr="003B25B4">
        <w:rPr>
          <w:color w:val="auto"/>
        </w:rPr>
        <w:t xml:space="preserve">However, children currently in care were significantly more likely than the </w:t>
      </w:r>
      <w:r w:rsidRPr="003B25B4">
        <w:rPr>
          <w:i/>
          <w:color w:val="auto"/>
        </w:rPr>
        <w:t>home group</w:t>
      </w:r>
      <w:r w:rsidRPr="003B25B4">
        <w:rPr>
          <w:color w:val="auto"/>
        </w:rPr>
        <w:t xml:space="preserve"> to have experienced higher severity maltreatment</w:t>
      </w:r>
      <w:r w:rsidR="00EF5912" w:rsidRPr="003B25B4">
        <w:rPr>
          <w:color w:val="auto"/>
        </w:rPr>
        <w:t xml:space="preserve">. </w:t>
      </w:r>
      <w:r w:rsidRPr="003B25B4">
        <w:rPr>
          <w:color w:val="auto"/>
        </w:rPr>
        <w:t xml:space="preserve">Professional concerns about parental substance misuse, offending, physical illness or disability were significantly more common in relation to the </w:t>
      </w:r>
      <w:r w:rsidRPr="003B25B4">
        <w:rPr>
          <w:i/>
          <w:color w:val="auto"/>
        </w:rPr>
        <w:t>care group</w:t>
      </w:r>
      <w:r w:rsidRPr="003B25B4">
        <w:rPr>
          <w:color w:val="auto"/>
        </w:rPr>
        <w:t xml:space="preserve">, and they also had higher average ‘cumulative risk’ scores (sum of the total number of types of maltreatment ever experienced and the total number of family problems that had been of concern). </w:t>
      </w:r>
    </w:p>
    <w:p w14:paraId="443BE950" w14:textId="77777777" w:rsidR="00EF5912" w:rsidRPr="003B25B4" w:rsidRDefault="00EF5912" w:rsidP="00085F28">
      <w:pPr>
        <w:pStyle w:val="NoSpacing"/>
        <w:rPr>
          <w:color w:val="auto"/>
        </w:rPr>
      </w:pPr>
    </w:p>
    <w:p w14:paraId="022C54FA" w14:textId="1231AA0A" w:rsidR="00FA5386" w:rsidRPr="003B25B4" w:rsidRDefault="00FA5386" w:rsidP="004B09BD">
      <w:pPr>
        <w:pStyle w:val="Style2"/>
        <w:rPr>
          <w:color w:val="auto"/>
        </w:rPr>
      </w:pPr>
      <w:r w:rsidRPr="003B25B4">
        <w:rPr>
          <w:color w:val="auto"/>
        </w:rPr>
        <w:t>Levels of receptive vocabulary</w:t>
      </w:r>
    </w:p>
    <w:p w14:paraId="7FE58CA7" w14:textId="6F458F61" w:rsidR="00E7016E" w:rsidRPr="003B25B4" w:rsidRDefault="002C6BEB" w:rsidP="00085F28">
      <w:pPr>
        <w:pStyle w:val="NoSpacing"/>
        <w:rPr>
          <w:rFonts w:asciiTheme="majorHAnsi" w:hAnsiTheme="majorHAnsi" w:cstheme="majorHAnsi"/>
          <w:color w:val="auto"/>
        </w:rPr>
      </w:pPr>
      <w:r w:rsidRPr="003B25B4">
        <w:rPr>
          <w:rFonts w:asciiTheme="majorHAnsi" w:hAnsiTheme="majorHAnsi" w:cstheme="majorHAnsi"/>
          <w:color w:val="auto"/>
        </w:rPr>
        <w:t xml:space="preserve">Overall, </w:t>
      </w:r>
      <w:r w:rsidR="00B05D8A" w:rsidRPr="003B25B4">
        <w:rPr>
          <w:rFonts w:asciiTheme="majorHAnsi" w:hAnsiTheme="majorHAnsi" w:cstheme="majorHAnsi"/>
          <w:color w:val="auto"/>
        </w:rPr>
        <w:t xml:space="preserve">the </w:t>
      </w:r>
      <w:r w:rsidR="00487719" w:rsidRPr="003B25B4">
        <w:rPr>
          <w:rFonts w:asciiTheme="majorHAnsi" w:hAnsiTheme="majorHAnsi" w:cstheme="majorHAnsi"/>
          <w:color w:val="auto"/>
        </w:rPr>
        <w:t xml:space="preserve">total </w:t>
      </w:r>
      <w:r w:rsidRPr="003B25B4">
        <w:rPr>
          <w:rFonts w:asciiTheme="majorHAnsi" w:hAnsiTheme="majorHAnsi" w:cstheme="majorHAnsi"/>
          <w:color w:val="auto"/>
        </w:rPr>
        <w:t xml:space="preserve">sample of maltreated children </w:t>
      </w:r>
      <w:r w:rsidR="00487719" w:rsidRPr="003B25B4">
        <w:rPr>
          <w:rFonts w:asciiTheme="majorHAnsi" w:hAnsiTheme="majorHAnsi" w:cstheme="majorHAnsi"/>
          <w:color w:val="auto"/>
        </w:rPr>
        <w:t xml:space="preserve">(living in care or at home) </w:t>
      </w:r>
      <w:r w:rsidRPr="003B25B4">
        <w:rPr>
          <w:rFonts w:asciiTheme="majorHAnsi" w:hAnsiTheme="majorHAnsi" w:cstheme="majorHAnsi"/>
          <w:color w:val="auto"/>
        </w:rPr>
        <w:t>performed less well on th</w:t>
      </w:r>
      <w:r w:rsidR="00E503DB" w:rsidRPr="003B25B4">
        <w:rPr>
          <w:rFonts w:asciiTheme="majorHAnsi" w:hAnsiTheme="majorHAnsi" w:cstheme="majorHAnsi"/>
          <w:color w:val="auto"/>
        </w:rPr>
        <w:t xml:space="preserve">e </w:t>
      </w:r>
      <w:r w:rsidR="00EF5912" w:rsidRPr="003B25B4">
        <w:rPr>
          <w:rFonts w:asciiTheme="majorHAnsi" w:hAnsiTheme="majorHAnsi" w:cstheme="majorHAnsi"/>
          <w:color w:val="auto"/>
        </w:rPr>
        <w:t>BPVS-II</w:t>
      </w:r>
      <w:r w:rsidR="00D72D8F" w:rsidRPr="003B25B4">
        <w:rPr>
          <w:rFonts w:asciiTheme="majorHAnsi" w:hAnsiTheme="majorHAnsi" w:cstheme="majorHAnsi"/>
          <w:color w:val="auto"/>
        </w:rPr>
        <w:t xml:space="preserve"> </w:t>
      </w:r>
      <w:r w:rsidRPr="003B25B4">
        <w:rPr>
          <w:rFonts w:asciiTheme="majorHAnsi" w:hAnsiTheme="majorHAnsi" w:cstheme="majorHAnsi"/>
          <w:color w:val="auto"/>
        </w:rPr>
        <w:t>than would be expected for the population as a whole</w:t>
      </w:r>
      <w:r w:rsidR="00B53BC0" w:rsidRPr="003B25B4">
        <w:rPr>
          <w:rFonts w:asciiTheme="majorHAnsi" w:hAnsiTheme="majorHAnsi" w:cstheme="majorHAnsi"/>
          <w:color w:val="auto"/>
        </w:rPr>
        <w:t>,</w:t>
      </w:r>
      <w:r w:rsidRPr="003B25B4">
        <w:rPr>
          <w:rFonts w:asciiTheme="majorHAnsi" w:hAnsiTheme="majorHAnsi" w:cstheme="majorHAnsi"/>
          <w:color w:val="auto"/>
        </w:rPr>
        <w:t xml:space="preserve"> with only just over a quarter (28%) achieving </w:t>
      </w:r>
      <w:r w:rsidR="00410423" w:rsidRPr="003B25B4">
        <w:rPr>
          <w:rFonts w:asciiTheme="majorHAnsi" w:hAnsiTheme="majorHAnsi" w:cstheme="majorHAnsi"/>
          <w:color w:val="auto"/>
        </w:rPr>
        <w:t>the expected level</w:t>
      </w:r>
      <w:r w:rsidR="00E503DB" w:rsidRPr="003B25B4">
        <w:rPr>
          <w:rFonts w:asciiTheme="majorHAnsi" w:hAnsiTheme="majorHAnsi" w:cstheme="majorHAnsi"/>
          <w:color w:val="auto"/>
        </w:rPr>
        <w:t xml:space="preserve"> (compared to an expected 50% in the general population)</w:t>
      </w:r>
      <w:r w:rsidR="00A26AD8" w:rsidRPr="003B25B4">
        <w:rPr>
          <w:rFonts w:asciiTheme="majorHAnsi" w:hAnsiTheme="majorHAnsi" w:cstheme="majorHAnsi"/>
          <w:color w:val="auto"/>
        </w:rPr>
        <w:t>.</w:t>
      </w:r>
      <w:r w:rsidRPr="003B25B4">
        <w:rPr>
          <w:rFonts w:asciiTheme="majorHAnsi" w:hAnsiTheme="majorHAnsi" w:cstheme="majorHAnsi"/>
          <w:color w:val="auto"/>
        </w:rPr>
        <w:t xml:space="preserve"> </w:t>
      </w:r>
      <w:r w:rsidR="00C737EC" w:rsidRPr="003B25B4">
        <w:rPr>
          <w:rFonts w:asciiTheme="majorHAnsi" w:hAnsiTheme="majorHAnsi" w:cstheme="majorHAnsi"/>
          <w:color w:val="auto"/>
        </w:rPr>
        <w:t xml:space="preserve">Children in the </w:t>
      </w:r>
      <w:r w:rsidR="00C737EC" w:rsidRPr="003B25B4">
        <w:rPr>
          <w:rFonts w:asciiTheme="majorHAnsi" w:hAnsiTheme="majorHAnsi" w:cstheme="majorHAnsi"/>
          <w:i/>
          <w:color w:val="auto"/>
        </w:rPr>
        <w:t>care group</w:t>
      </w:r>
      <w:r w:rsidR="00CF7D2D" w:rsidRPr="003B25B4">
        <w:rPr>
          <w:rFonts w:asciiTheme="majorHAnsi" w:hAnsiTheme="majorHAnsi" w:cstheme="majorHAnsi"/>
          <w:color w:val="auto"/>
          <w:szCs w:val="24"/>
        </w:rPr>
        <w:t xml:space="preserve"> on average demonstrated </w:t>
      </w:r>
      <w:r w:rsidR="00D6197F" w:rsidRPr="003B25B4">
        <w:rPr>
          <w:rFonts w:asciiTheme="majorHAnsi" w:hAnsiTheme="majorHAnsi" w:cstheme="majorHAnsi"/>
          <w:color w:val="auto"/>
          <w:szCs w:val="24"/>
        </w:rPr>
        <w:t xml:space="preserve">slightly more </w:t>
      </w:r>
      <w:r w:rsidR="00CF7D2D" w:rsidRPr="003B25B4">
        <w:rPr>
          <w:rFonts w:asciiTheme="majorHAnsi" w:hAnsiTheme="majorHAnsi" w:cstheme="majorHAnsi"/>
          <w:color w:val="auto"/>
          <w:szCs w:val="24"/>
        </w:rPr>
        <w:t>positive outcomes</w:t>
      </w:r>
      <w:r w:rsidR="00C737EC" w:rsidRPr="003B25B4">
        <w:rPr>
          <w:rFonts w:asciiTheme="majorHAnsi" w:hAnsiTheme="majorHAnsi" w:cstheme="majorHAnsi"/>
          <w:color w:val="auto"/>
          <w:szCs w:val="24"/>
        </w:rPr>
        <w:t xml:space="preserve">, with </w:t>
      </w:r>
      <w:r w:rsidR="00CF7D2D" w:rsidRPr="003B25B4">
        <w:rPr>
          <w:rFonts w:asciiTheme="majorHAnsi" w:hAnsiTheme="majorHAnsi" w:cstheme="majorHAnsi"/>
          <w:color w:val="auto"/>
          <w:szCs w:val="24"/>
        </w:rPr>
        <w:t xml:space="preserve">32% achieving a score of 100 or above </w:t>
      </w:r>
      <w:r w:rsidR="00C737EC" w:rsidRPr="003B25B4">
        <w:rPr>
          <w:rFonts w:asciiTheme="majorHAnsi" w:hAnsiTheme="majorHAnsi" w:cstheme="majorHAnsi"/>
          <w:color w:val="auto"/>
          <w:szCs w:val="24"/>
        </w:rPr>
        <w:t xml:space="preserve">on the BPVS-II </w:t>
      </w:r>
      <w:r w:rsidR="00CF7D2D" w:rsidRPr="003B25B4">
        <w:rPr>
          <w:rFonts w:asciiTheme="majorHAnsi" w:hAnsiTheme="majorHAnsi" w:cstheme="majorHAnsi"/>
          <w:color w:val="auto"/>
          <w:szCs w:val="24"/>
        </w:rPr>
        <w:t>compared with 26%</w:t>
      </w:r>
      <w:r w:rsidR="00D6197F" w:rsidRPr="003B25B4">
        <w:rPr>
          <w:rFonts w:asciiTheme="majorHAnsi" w:hAnsiTheme="majorHAnsi" w:cstheme="majorHAnsi"/>
          <w:color w:val="auto"/>
          <w:szCs w:val="24"/>
        </w:rPr>
        <w:t xml:space="preserve"> of those in the </w:t>
      </w:r>
      <w:r w:rsidR="00D6197F" w:rsidRPr="003B25B4">
        <w:rPr>
          <w:rFonts w:asciiTheme="majorHAnsi" w:hAnsiTheme="majorHAnsi" w:cstheme="majorHAnsi"/>
          <w:i/>
          <w:color w:val="auto"/>
          <w:szCs w:val="24"/>
        </w:rPr>
        <w:t>home group</w:t>
      </w:r>
      <w:r w:rsidR="00E20FBB" w:rsidRPr="003B25B4">
        <w:rPr>
          <w:rFonts w:asciiTheme="majorHAnsi" w:hAnsiTheme="majorHAnsi" w:cstheme="majorHAnsi"/>
          <w:color w:val="auto"/>
          <w:szCs w:val="24"/>
        </w:rPr>
        <w:t>, although this difference was not statistically significant</w:t>
      </w:r>
      <w:r w:rsidR="00D6197F" w:rsidRPr="003B25B4">
        <w:rPr>
          <w:rFonts w:asciiTheme="majorHAnsi" w:hAnsiTheme="majorHAnsi" w:cstheme="majorHAnsi"/>
          <w:i/>
          <w:color w:val="auto"/>
          <w:szCs w:val="24"/>
        </w:rPr>
        <w:t>.</w:t>
      </w:r>
      <w:r w:rsidR="00D6197F" w:rsidRPr="003B25B4">
        <w:rPr>
          <w:rFonts w:asciiTheme="majorHAnsi" w:hAnsiTheme="majorHAnsi" w:cstheme="majorHAnsi"/>
          <w:color w:val="auto"/>
        </w:rPr>
        <w:t xml:space="preserve"> </w:t>
      </w:r>
      <w:r w:rsidR="00E7016E" w:rsidRPr="003B25B4">
        <w:rPr>
          <w:rFonts w:asciiTheme="majorHAnsi" w:hAnsiTheme="majorHAnsi" w:cstheme="majorHAnsi"/>
          <w:color w:val="auto"/>
        </w:rPr>
        <w:t xml:space="preserve">The results of univariate logistic regression models showed </w:t>
      </w:r>
      <w:r w:rsidR="00D6197F" w:rsidRPr="003B25B4">
        <w:rPr>
          <w:rFonts w:asciiTheme="majorHAnsi" w:hAnsiTheme="majorHAnsi" w:cstheme="majorHAnsi"/>
          <w:color w:val="auto"/>
        </w:rPr>
        <w:t xml:space="preserve">that </w:t>
      </w:r>
      <w:r w:rsidR="00E7016E" w:rsidRPr="003B25B4">
        <w:rPr>
          <w:rFonts w:asciiTheme="majorHAnsi" w:hAnsiTheme="majorHAnsi" w:cstheme="majorHAnsi"/>
          <w:color w:val="auto"/>
        </w:rPr>
        <w:t>t</w:t>
      </w:r>
      <w:r w:rsidR="00C80BCA" w:rsidRPr="003B25B4">
        <w:rPr>
          <w:rFonts w:asciiTheme="majorHAnsi" w:hAnsiTheme="majorHAnsi" w:cstheme="majorHAnsi"/>
          <w:color w:val="auto"/>
        </w:rPr>
        <w:t xml:space="preserve">he odds of children in the </w:t>
      </w:r>
      <w:r w:rsidR="00C80BCA" w:rsidRPr="003B25B4">
        <w:rPr>
          <w:rFonts w:asciiTheme="majorHAnsi" w:hAnsiTheme="majorHAnsi" w:cstheme="majorHAnsi"/>
          <w:i/>
          <w:color w:val="auto"/>
        </w:rPr>
        <w:t>care group</w:t>
      </w:r>
      <w:r w:rsidR="00C80BCA" w:rsidRPr="003B25B4">
        <w:rPr>
          <w:rFonts w:asciiTheme="majorHAnsi" w:hAnsiTheme="majorHAnsi" w:cstheme="majorHAnsi"/>
          <w:color w:val="auto"/>
        </w:rPr>
        <w:t xml:space="preserve"> achieving a score of 100 or above on the </w:t>
      </w:r>
      <w:r w:rsidR="00EF5912" w:rsidRPr="003B25B4">
        <w:rPr>
          <w:rFonts w:asciiTheme="majorHAnsi" w:hAnsiTheme="majorHAnsi" w:cstheme="majorHAnsi"/>
          <w:color w:val="auto"/>
        </w:rPr>
        <w:t xml:space="preserve">BPVS-II </w:t>
      </w:r>
      <w:r w:rsidR="00C80BCA" w:rsidRPr="003B25B4">
        <w:rPr>
          <w:rFonts w:asciiTheme="majorHAnsi" w:hAnsiTheme="majorHAnsi" w:cstheme="majorHAnsi"/>
          <w:color w:val="auto"/>
        </w:rPr>
        <w:t xml:space="preserve">were not statistically significantly </w:t>
      </w:r>
      <w:r w:rsidR="00C004C5" w:rsidRPr="003B25B4">
        <w:rPr>
          <w:rFonts w:asciiTheme="majorHAnsi" w:hAnsiTheme="majorHAnsi" w:cstheme="majorHAnsi"/>
          <w:color w:val="auto"/>
        </w:rPr>
        <w:t>different</w:t>
      </w:r>
      <w:r w:rsidR="00C80BCA" w:rsidRPr="003B25B4">
        <w:rPr>
          <w:rFonts w:asciiTheme="majorHAnsi" w:hAnsiTheme="majorHAnsi" w:cstheme="majorHAnsi"/>
          <w:color w:val="auto"/>
        </w:rPr>
        <w:t xml:space="preserve"> than those for the </w:t>
      </w:r>
      <w:r w:rsidR="00C80BCA" w:rsidRPr="003B25B4">
        <w:rPr>
          <w:rFonts w:asciiTheme="majorHAnsi" w:hAnsiTheme="majorHAnsi" w:cstheme="majorHAnsi"/>
          <w:i/>
          <w:color w:val="auto"/>
        </w:rPr>
        <w:t>home group</w:t>
      </w:r>
      <w:r w:rsidR="00C80BCA" w:rsidRPr="003B25B4">
        <w:rPr>
          <w:rFonts w:asciiTheme="majorHAnsi" w:hAnsiTheme="majorHAnsi" w:cstheme="majorHAnsi"/>
          <w:color w:val="auto"/>
        </w:rPr>
        <w:t xml:space="preserve"> (p=.505).  </w:t>
      </w:r>
    </w:p>
    <w:p w14:paraId="416685F2" w14:textId="77777777" w:rsidR="002227F8" w:rsidRPr="003B25B4" w:rsidRDefault="002227F8" w:rsidP="00085F28">
      <w:pPr>
        <w:pStyle w:val="NoSpacing"/>
        <w:rPr>
          <w:color w:val="auto"/>
        </w:rPr>
      </w:pPr>
    </w:p>
    <w:p w14:paraId="011DFE74" w14:textId="749F46EA" w:rsidR="00D020F2" w:rsidRPr="003B25B4" w:rsidRDefault="00E7016E" w:rsidP="00085F28">
      <w:pPr>
        <w:pStyle w:val="NoSpacing"/>
        <w:rPr>
          <w:color w:val="auto"/>
        </w:rPr>
      </w:pPr>
      <w:r w:rsidRPr="003B25B4">
        <w:rPr>
          <w:color w:val="auto"/>
        </w:rPr>
        <w:t xml:space="preserve">Associations between the observed factors (table </w:t>
      </w:r>
      <w:r w:rsidR="00FD389F" w:rsidRPr="003B25B4">
        <w:rPr>
          <w:color w:val="auto"/>
        </w:rPr>
        <w:t>1</w:t>
      </w:r>
      <w:r w:rsidRPr="003B25B4">
        <w:rPr>
          <w:color w:val="auto"/>
        </w:rPr>
        <w:t>) and achieving the expected level on the BPVS-II were tested using univariate logistic regression models. Only</w:t>
      </w:r>
      <w:r w:rsidR="00A85519" w:rsidRPr="003B25B4">
        <w:rPr>
          <w:color w:val="auto"/>
        </w:rPr>
        <w:t xml:space="preserve"> three</w:t>
      </w:r>
      <w:r w:rsidR="00CF3568" w:rsidRPr="003B25B4">
        <w:rPr>
          <w:color w:val="auto"/>
        </w:rPr>
        <w:t xml:space="preserve"> factors were significantly associated with </w:t>
      </w:r>
      <w:r w:rsidR="000C7989" w:rsidRPr="003B25B4">
        <w:rPr>
          <w:color w:val="auto"/>
        </w:rPr>
        <w:t>children scoring highly</w:t>
      </w:r>
      <w:r w:rsidR="00CF3568" w:rsidRPr="003B25B4">
        <w:rPr>
          <w:color w:val="auto"/>
        </w:rPr>
        <w:t xml:space="preserve"> on the </w:t>
      </w:r>
      <w:r w:rsidR="00EF5912" w:rsidRPr="003B25B4">
        <w:rPr>
          <w:color w:val="auto"/>
        </w:rPr>
        <w:t>BPVS-II</w:t>
      </w:r>
      <w:r w:rsidR="00C80BCA" w:rsidRPr="003B25B4">
        <w:rPr>
          <w:color w:val="auto"/>
        </w:rPr>
        <w:t xml:space="preserve">: </w:t>
      </w:r>
      <w:r w:rsidR="00CF3568" w:rsidRPr="003B25B4">
        <w:rPr>
          <w:color w:val="auto"/>
        </w:rPr>
        <w:t xml:space="preserve">caregiver </w:t>
      </w:r>
      <w:r w:rsidR="00A85519" w:rsidRPr="003B25B4">
        <w:rPr>
          <w:color w:val="auto"/>
        </w:rPr>
        <w:t xml:space="preserve">reports </w:t>
      </w:r>
      <w:r w:rsidR="00CF3568" w:rsidRPr="003B25B4">
        <w:rPr>
          <w:color w:val="auto"/>
        </w:rPr>
        <w:t xml:space="preserve">that </w:t>
      </w:r>
      <w:r w:rsidR="00C80BCA" w:rsidRPr="003B25B4">
        <w:rPr>
          <w:color w:val="auto"/>
        </w:rPr>
        <w:t>the</w:t>
      </w:r>
      <w:r w:rsidR="00B65A97" w:rsidRPr="003B25B4">
        <w:rPr>
          <w:color w:val="auto"/>
        </w:rPr>
        <w:t>y</w:t>
      </w:r>
      <w:r w:rsidR="00CF3568" w:rsidRPr="003B25B4">
        <w:rPr>
          <w:color w:val="auto"/>
        </w:rPr>
        <w:t xml:space="preserve"> did not have behaviour problems at school</w:t>
      </w:r>
      <w:r w:rsidR="00C80BCA" w:rsidRPr="003B25B4">
        <w:rPr>
          <w:color w:val="auto"/>
        </w:rPr>
        <w:t>, caregivers being more engaged in activities with the child,</w:t>
      </w:r>
      <w:r w:rsidR="00B65A97" w:rsidRPr="003B25B4">
        <w:rPr>
          <w:color w:val="auto"/>
        </w:rPr>
        <w:t xml:space="preserve"> </w:t>
      </w:r>
      <w:r w:rsidR="00C004C5" w:rsidRPr="003B25B4">
        <w:rPr>
          <w:color w:val="auto"/>
        </w:rPr>
        <w:t xml:space="preserve">and </w:t>
      </w:r>
      <w:r w:rsidR="00B65A97" w:rsidRPr="003B25B4">
        <w:rPr>
          <w:color w:val="auto"/>
        </w:rPr>
        <w:t>the child</w:t>
      </w:r>
      <w:r w:rsidR="00C80BCA" w:rsidRPr="003B25B4">
        <w:rPr>
          <w:color w:val="auto"/>
        </w:rPr>
        <w:t xml:space="preserve"> not receiving extra help from teachers o</w:t>
      </w:r>
      <w:r w:rsidR="00B65A97" w:rsidRPr="003B25B4">
        <w:rPr>
          <w:color w:val="auto"/>
        </w:rPr>
        <w:t>r</w:t>
      </w:r>
      <w:r w:rsidR="00C80BCA" w:rsidRPr="003B25B4">
        <w:rPr>
          <w:color w:val="auto"/>
        </w:rPr>
        <w:t xml:space="preserve"> other school staff</w:t>
      </w:r>
      <w:r w:rsidR="00B65A97" w:rsidRPr="003B25B4">
        <w:rPr>
          <w:color w:val="auto"/>
        </w:rPr>
        <w:t>.</w:t>
      </w:r>
    </w:p>
    <w:p w14:paraId="08173243" w14:textId="77777777" w:rsidR="00E34882" w:rsidRPr="003B25B4" w:rsidRDefault="00E34882" w:rsidP="00085F28">
      <w:pPr>
        <w:pStyle w:val="NoSpacing"/>
        <w:rPr>
          <w:color w:val="auto"/>
        </w:rPr>
      </w:pPr>
    </w:p>
    <w:p w14:paraId="69F2E39D" w14:textId="353D8E43" w:rsidR="00014DDB" w:rsidRPr="003B25B4" w:rsidRDefault="00A85519" w:rsidP="00014DDB">
      <w:pPr>
        <w:pStyle w:val="NoSpacing"/>
        <w:rPr>
          <w:color w:val="auto"/>
        </w:rPr>
      </w:pPr>
      <w:r w:rsidRPr="003B25B4">
        <w:rPr>
          <w:color w:val="auto"/>
        </w:rPr>
        <w:t>T</w:t>
      </w:r>
      <w:r w:rsidR="00E75F4A" w:rsidRPr="003B25B4">
        <w:rPr>
          <w:color w:val="auto"/>
        </w:rPr>
        <w:t xml:space="preserve">o determine the </w:t>
      </w:r>
      <w:r w:rsidR="00B65A97" w:rsidRPr="003B25B4">
        <w:rPr>
          <w:color w:val="auto"/>
        </w:rPr>
        <w:t xml:space="preserve">adjusted </w:t>
      </w:r>
      <w:r w:rsidR="002666B8" w:rsidRPr="003B25B4">
        <w:rPr>
          <w:color w:val="auto"/>
        </w:rPr>
        <w:t xml:space="preserve">effect </w:t>
      </w:r>
      <w:r w:rsidR="00B65A97" w:rsidRPr="003B25B4">
        <w:rPr>
          <w:color w:val="auto"/>
        </w:rPr>
        <w:t xml:space="preserve">of </w:t>
      </w:r>
      <w:r w:rsidR="00E75F4A" w:rsidRPr="003B25B4">
        <w:rPr>
          <w:color w:val="auto"/>
        </w:rPr>
        <w:t>child status</w:t>
      </w:r>
      <w:r w:rsidR="00B65A97" w:rsidRPr="003B25B4">
        <w:rPr>
          <w:color w:val="auto"/>
        </w:rPr>
        <w:t xml:space="preserve"> and other factors on </w:t>
      </w:r>
      <w:r w:rsidR="00CB7E1F" w:rsidRPr="003B25B4">
        <w:rPr>
          <w:color w:val="auto"/>
        </w:rPr>
        <w:t>receptive vocabulary</w:t>
      </w:r>
      <w:r w:rsidR="00E34882" w:rsidRPr="003B25B4">
        <w:rPr>
          <w:color w:val="auto"/>
        </w:rPr>
        <w:t xml:space="preserve"> these factors</w:t>
      </w:r>
      <w:r w:rsidRPr="003B25B4">
        <w:rPr>
          <w:color w:val="auto"/>
        </w:rPr>
        <w:t xml:space="preserve"> were entered into a multivariate logistic regression model together with child status</w:t>
      </w:r>
      <w:r w:rsidR="00D6197F" w:rsidRPr="003B25B4">
        <w:rPr>
          <w:color w:val="auto"/>
        </w:rPr>
        <w:t xml:space="preserve"> (table </w:t>
      </w:r>
      <w:r w:rsidR="00FD389F" w:rsidRPr="003B25B4">
        <w:rPr>
          <w:color w:val="auto"/>
        </w:rPr>
        <w:t>2</w:t>
      </w:r>
      <w:r w:rsidR="00D6197F" w:rsidRPr="003B25B4">
        <w:rPr>
          <w:color w:val="auto"/>
        </w:rPr>
        <w:t>)</w:t>
      </w:r>
      <w:r w:rsidR="00E75F4A" w:rsidRPr="003B25B4">
        <w:rPr>
          <w:color w:val="auto"/>
        </w:rPr>
        <w:t>.</w:t>
      </w:r>
      <w:r w:rsidR="00BD5D1D">
        <w:rPr>
          <w:color w:val="auto"/>
        </w:rPr>
        <w:t xml:space="preserve"> </w:t>
      </w:r>
      <w:r w:rsidR="00014DDB" w:rsidRPr="003B25B4">
        <w:rPr>
          <w:color w:val="auto"/>
        </w:rPr>
        <w:t xml:space="preserve">This showed that the odds of children reported as not having behavioural problems at school scoring highly on the BPVS-II were three times as high as those for children as those with behavioural problems. The </w:t>
      </w:r>
      <w:proofErr w:type="gramStart"/>
      <w:r w:rsidR="00014DDB" w:rsidRPr="003B25B4">
        <w:rPr>
          <w:color w:val="auto"/>
        </w:rPr>
        <w:t>effect of the other factors, including child status, were</w:t>
      </w:r>
      <w:proofErr w:type="gramEnd"/>
      <w:r w:rsidR="00014DDB" w:rsidRPr="003B25B4">
        <w:rPr>
          <w:color w:val="auto"/>
        </w:rPr>
        <w:t xml:space="preserve"> not statistically significant.</w:t>
      </w:r>
    </w:p>
    <w:p w14:paraId="0D5F7033" w14:textId="2CB7C03B" w:rsidR="00085F28" w:rsidRPr="003B25B4" w:rsidRDefault="00014DDB" w:rsidP="00085F28">
      <w:pPr>
        <w:pStyle w:val="NoSpacing"/>
        <w:rPr>
          <w:color w:val="auto"/>
        </w:rPr>
      </w:pPr>
      <w:r w:rsidRPr="003B25B4">
        <w:rPr>
          <w:color w:val="auto"/>
        </w:rPr>
        <w:lastRenderedPageBreak/>
        <w:t xml:space="preserve"> </w:t>
      </w:r>
    </w:p>
    <w:p w14:paraId="5D498197" w14:textId="4427AAAE" w:rsidR="0056587F" w:rsidRPr="003B25B4" w:rsidRDefault="0056587F" w:rsidP="00085F28">
      <w:pPr>
        <w:pStyle w:val="NoSpacing"/>
        <w:rPr>
          <w:b/>
          <w:color w:val="auto"/>
        </w:rPr>
      </w:pPr>
      <w:r w:rsidRPr="003B25B4">
        <w:rPr>
          <w:b/>
          <w:color w:val="auto"/>
        </w:rPr>
        <w:t xml:space="preserve">Insert Table </w:t>
      </w:r>
      <w:r w:rsidR="00FD389F" w:rsidRPr="003B25B4">
        <w:rPr>
          <w:b/>
          <w:color w:val="auto"/>
        </w:rPr>
        <w:t>2</w:t>
      </w:r>
      <w:r w:rsidRPr="003B25B4">
        <w:rPr>
          <w:b/>
          <w:color w:val="auto"/>
        </w:rPr>
        <w:t xml:space="preserve"> here</w:t>
      </w:r>
    </w:p>
    <w:p w14:paraId="4E0BEEB4" w14:textId="77777777" w:rsidR="00C737EC" w:rsidRPr="003B25B4" w:rsidRDefault="00C737EC" w:rsidP="00085F28">
      <w:pPr>
        <w:pStyle w:val="NoSpacing"/>
        <w:rPr>
          <w:b/>
          <w:color w:val="auto"/>
        </w:rPr>
      </w:pPr>
    </w:p>
    <w:p w14:paraId="5B5153CC" w14:textId="3B96156C" w:rsidR="00361FDC" w:rsidRPr="003B25B4" w:rsidRDefault="00C01426" w:rsidP="00085F28">
      <w:pPr>
        <w:pStyle w:val="Style2"/>
        <w:rPr>
          <w:color w:val="auto"/>
        </w:rPr>
      </w:pPr>
      <w:r w:rsidRPr="003B25B4">
        <w:rPr>
          <w:color w:val="auto"/>
        </w:rPr>
        <w:t>Literacy</w:t>
      </w:r>
      <w:r w:rsidR="00361FDC" w:rsidRPr="003B25B4">
        <w:rPr>
          <w:color w:val="auto"/>
        </w:rPr>
        <w:t xml:space="preserve"> </w:t>
      </w:r>
    </w:p>
    <w:p w14:paraId="0BE06307" w14:textId="07DA5A3C" w:rsidR="001F4185" w:rsidRPr="003B25B4" w:rsidRDefault="00B77211" w:rsidP="00085F28">
      <w:pPr>
        <w:pStyle w:val="NoSpacing"/>
        <w:rPr>
          <w:color w:val="auto"/>
        </w:rPr>
      </w:pPr>
      <w:r w:rsidRPr="003B25B4">
        <w:rPr>
          <w:color w:val="auto"/>
        </w:rPr>
        <w:t>The univariate and multivariate analysis presented above were repeated with the literacy outcome</w:t>
      </w:r>
      <w:r w:rsidR="009F4C31" w:rsidRPr="003B25B4">
        <w:rPr>
          <w:color w:val="auto"/>
        </w:rPr>
        <w:t xml:space="preserve"> measure</w:t>
      </w:r>
      <w:r w:rsidRPr="003B25B4">
        <w:rPr>
          <w:color w:val="auto"/>
        </w:rPr>
        <w:t xml:space="preserve">. </w:t>
      </w:r>
      <w:r w:rsidR="00C57AFC" w:rsidRPr="003B25B4">
        <w:rPr>
          <w:color w:val="auto"/>
        </w:rPr>
        <w:t>O</w:t>
      </w:r>
      <w:r w:rsidR="00C42BC9" w:rsidRPr="003B25B4">
        <w:rPr>
          <w:color w:val="auto"/>
        </w:rPr>
        <w:t>verall</w:t>
      </w:r>
      <w:r w:rsidR="00273284" w:rsidRPr="003B25B4">
        <w:rPr>
          <w:color w:val="auto"/>
        </w:rPr>
        <w:t>,</w:t>
      </w:r>
      <w:r w:rsidR="00C42BC9" w:rsidRPr="003B25B4">
        <w:rPr>
          <w:color w:val="auto"/>
        </w:rPr>
        <w:t xml:space="preserve"> 5</w:t>
      </w:r>
      <w:r w:rsidR="00C57AFC" w:rsidRPr="003B25B4">
        <w:rPr>
          <w:color w:val="auto"/>
        </w:rPr>
        <w:t>8</w:t>
      </w:r>
      <w:r w:rsidR="0079093C" w:rsidRPr="003B25B4">
        <w:rPr>
          <w:color w:val="auto"/>
        </w:rPr>
        <w:t xml:space="preserve">% </w:t>
      </w:r>
      <w:r w:rsidR="008E242B" w:rsidRPr="003B25B4">
        <w:rPr>
          <w:color w:val="auto"/>
        </w:rPr>
        <w:t xml:space="preserve">of </w:t>
      </w:r>
      <w:r w:rsidR="009F4C31" w:rsidRPr="003B25B4">
        <w:rPr>
          <w:color w:val="auto"/>
        </w:rPr>
        <w:t>the</w:t>
      </w:r>
      <w:r w:rsidRPr="003B25B4">
        <w:rPr>
          <w:color w:val="auto"/>
        </w:rPr>
        <w:t xml:space="preserve"> </w:t>
      </w:r>
      <w:r w:rsidR="008E242B" w:rsidRPr="003B25B4">
        <w:rPr>
          <w:color w:val="auto"/>
        </w:rPr>
        <w:t xml:space="preserve">sample achieved </w:t>
      </w:r>
      <w:r w:rsidRPr="003B25B4">
        <w:rPr>
          <w:color w:val="auto"/>
        </w:rPr>
        <w:t xml:space="preserve">the </w:t>
      </w:r>
      <w:r w:rsidR="008E242B" w:rsidRPr="003B25B4">
        <w:rPr>
          <w:color w:val="auto"/>
        </w:rPr>
        <w:t xml:space="preserve">expected level in literacy in </w:t>
      </w:r>
      <w:r w:rsidRPr="003B25B4">
        <w:rPr>
          <w:color w:val="auto"/>
        </w:rPr>
        <w:t>the statutory measures (Early Years Foundation Stage Profile</w:t>
      </w:r>
      <w:r w:rsidR="009F4C31" w:rsidRPr="003B25B4">
        <w:rPr>
          <w:color w:val="auto"/>
        </w:rPr>
        <w:t xml:space="preserve"> or</w:t>
      </w:r>
      <w:r w:rsidR="00D7270B" w:rsidRPr="003B25B4">
        <w:rPr>
          <w:color w:val="auto"/>
        </w:rPr>
        <w:t xml:space="preserve"> Key Stage 1 teacher </w:t>
      </w:r>
      <w:r w:rsidRPr="003B25B4">
        <w:rPr>
          <w:color w:val="auto"/>
        </w:rPr>
        <w:t>assessment)</w:t>
      </w:r>
      <w:r w:rsidR="00C737EC" w:rsidRPr="003B25B4">
        <w:rPr>
          <w:color w:val="auto"/>
        </w:rPr>
        <w:t xml:space="preserve">, with this being higher for the </w:t>
      </w:r>
      <w:r w:rsidR="00C737EC" w:rsidRPr="003B25B4">
        <w:rPr>
          <w:i/>
          <w:color w:val="auto"/>
        </w:rPr>
        <w:t xml:space="preserve">home group </w:t>
      </w:r>
      <w:r w:rsidR="00C737EC" w:rsidRPr="003B25B4">
        <w:rPr>
          <w:color w:val="auto"/>
        </w:rPr>
        <w:t>(60%) than for those in care (54%)</w:t>
      </w:r>
      <w:r w:rsidRPr="003B25B4">
        <w:rPr>
          <w:color w:val="auto"/>
        </w:rPr>
        <w:t>.</w:t>
      </w:r>
      <w:r w:rsidR="00BD5D1D">
        <w:rPr>
          <w:color w:val="auto"/>
        </w:rPr>
        <w:t xml:space="preserve"> </w:t>
      </w:r>
      <w:r w:rsidR="0076631D" w:rsidRPr="003B25B4">
        <w:rPr>
          <w:color w:val="auto"/>
        </w:rPr>
        <w:t>This compares with a national average of</w:t>
      </w:r>
      <w:r w:rsidR="00761E64" w:rsidRPr="003B25B4">
        <w:rPr>
          <w:color w:val="auto"/>
        </w:rPr>
        <w:t xml:space="preserve"> 70% of all children achiev</w:t>
      </w:r>
      <w:r w:rsidR="0076631D" w:rsidRPr="003B25B4">
        <w:rPr>
          <w:color w:val="auto"/>
        </w:rPr>
        <w:t>ing</w:t>
      </w:r>
      <w:r w:rsidR="00761E64" w:rsidRPr="003B25B4">
        <w:rPr>
          <w:color w:val="auto"/>
        </w:rPr>
        <w:t xml:space="preserve"> the expected level in literacy in the Early Years Foundation Stage in 2015 and 89% at Key Stage 1 (</w:t>
      </w:r>
      <w:r w:rsidR="008A2099" w:rsidRPr="003B25B4">
        <w:rPr>
          <w:color w:val="auto"/>
        </w:rPr>
        <w:t>DfE, 201</w:t>
      </w:r>
      <w:r w:rsidR="0079093C" w:rsidRPr="003B25B4">
        <w:rPr>
          <w:color w:val="auto"/>
        </w:rPr>
        <w:t xml:space="preserve">5a, </w:t>
      </w:r>
      <w:proofErr w:type="gramStart"/>
      <w:r w:rsidR="0079093C" w:rsidRPr="003B25B4">
        <w:rPr>
          <w:color w:val="auto"/>
        </w:rPr>
        <w:t>b</w:t>
      </w:r>
      <w:proofErr w:type="gramEnd"/>
      <w:r w:rsidR="008A2099" w:rsidRPr="003B25B4">
        <w:rPr>
          <w:color w:val="auto"/>
        </w:rPr>
        <w:t>)</w:t>
      </w:r>
      <w:r w:rsidR="00C54B2F" w:rsidRPr="003B25B4">
        <w:rPr>
          <w:color w:val="auto"/>
        </w:rPr>
        <w:t>.</w:t>
      </w:r>
    </w:p>
    <w:p w14:paraId="306EE1ED" w14:textId="77777777" w:rsidR="00D6197F" w:rsidRPr="003B25B4" w:rsidRDefault="00D6197F" w:rsidP="00085F28">
      <w:pPr>
        <w:pStyle w:val="NoSpacing"/>
        <w:rPr>
          <w:color w:val="auto"/>
        </w:rPr>
      </w:pPr>
    </w:p>
    <w:p w14:paraId="07C21C16" w14:textId="2E0D5285" w:rsidR="00760296" w:rsidRPr="003B25B4" w:rsidRDefault="00D6197F" w:rsidP="00085F28">
      <w:pPr>
        <w:pStyle w:val="NoSpacing"/>
        <w:rPr>
          <w:color w:val="auto"/>
        </w:rPr>
      </w:pPr>
      <w:r w:rsidRPr="003B25B4">
        <w:rPr>
          <w:rFonts w:asciiTheme="majorHAnsi" w:hAnsiTheme="majorHAnsi" w:cstheme="majorHAnsi"/>
          <w:color w:val="auto"/>
        </w:rPr>
        <w:t xml:space="preserve">The results of univariate logistic regression models showed that the odds of children in the </w:t>
      </w:r>
      <w:r w:rsidRPr="003B25B4">
        <w:rPr>
          <w:rFonts w:asciiTheme="majorHAnsi" w:hAnsiTheme="majorHAnsi" w:cstheme="majorHAnsi"/>
          <w:i/>
          <w:color w:val="auto"/>
        </w:rPr>
        <w:t>care group</w:t>
      </w:r>
      <w:r w:rsidRPr="003B25B4">
        <w:rPr>
          <w:rFonts w:asciiTheme="majorHAnsi" w:hAnsiTheme="majorHAnsi" w:cstheme="majorHAnsi"/>
          <w:color w:val="auto"/>
        </w:rPr>
        <w:t xml:space="preserve"> achieving </w:t>
      </w:r>
      <w:r w:rsidRPr="003B25B4">
        <w:rPr>
          <w:color w:val="auto"/>
        </w:rPr>
        <w:t>the expected level in literacy</w:t>
      </w:r>
      <w:r w:rsidRPr="003B25B4">
        <w:rPr>
          <w:rFonts w:asciiTheme="majorHAnsi" w:hAnsiTheme="majorHAnsi" w:cstheme="majorHAnsi"/>
          <w:color w:val="auto"/>
        </w:rPr>
        <w:t xml:space="preserve"> were not statistically significantly different than those for the </w:t>
      </w:r>
      <w:r w:rsidRPr="003B25B4">
        <w:rPr>
          <w:rFonts w:asciiTheme="majorHAnsi" w:hAnsiTheme="majorHAnsi" w:cstheme="majorHAnsi"/>
          <w:i/>
          <w:color w:val="auto"/>
        </w:rPr>
        <w:t>home group</w:t>
      </w:r>
      <w:r w:rsidRPr="003B25B4">
        <w:rPr>
          <w:rFonts w:asciiTheme="majorHAnsi" w:hAnsiTheme="majorHAnsi" w:cstheme="majorHAnsi"/>
          <w:color w:val="auto"/>
        </w:rPr>
        <w:t xml:space="preserve"> (p=.586).</w:t>
      </w:r>
      <w:r w:rsidR="00BD5D1D">
        <w:rPr>
          <w:rFonts w:asciiTheme="majorHAnsi" w:hAnsiTheme="majorHAnsi" w:cstheme="majorHAnsi"/>
          <w:color w:val="auto"/>
        </w:rPr>
        <w:t xml:space="preserve"> </w:t>
      </w:r>
      <w:r w:rsidR="00760296" w:rsidRPr="003B25B4">
        <w:rPr>
          <w:color w:val="auto"/>
        </w:rPr>
        <w:t>Children who did not have a chronic illness</w:t>
      </w:r>
      <w:r w:rsidRPr="003B25B4">
        <w:rPr>
          <w:color w:val="auto"/>
        </w:rPr>
        <w:t xml:space="preserve"> or </w:t>
      </w:r>
      <w:r w:rsidR="00760296" w:rsidRPr="003B25B4">
        <w:rPr>
          <w:color w:val="auto"/>
        </w:rPr>
        <w:t>disability</w:t>
      </w:r>
      <w:r w:rsidRPr="003B25B4">
        <w:rPr>
          <w:color w:val="auto"/>
        </w:rPr>
        <w:t>,</w:t>
      </w:r>
      <w:r w:rsidR="00760296" w:rsidRPr="003B25B4">
        <w:rPr>
          <w:color w:val="auto"/>
        </w:rPr>
        <w:t xml:space="preserve"> were not reported to have behaviour problems in school, did not have support for SEN or get extra help from teachers or other school staff were more likely to achieve the expected level of literacy.</w:t>
      </w:r>
    </w:p>
    <w:p w14:paraId="22DDA73C" w14:textId="2C655F59" w:rsidR="00D6197F" w:rsidRPr="003B25B4" w:rsidRDefault="00D6197F" w:rsidP="00085F28">
      <w:pPr>
        <w:pStyle w:val="NoSpacing"/>
        <w:rPr>
          <w:color w:val="auto"/>
        </w:rPr>
      </w:pPr>
    </w:p>
    <w:p w14:paraId="660AA35A" w14:textId="6B4E2DDD" w:rsidR="00D6197F" w:rsidRPr="003B25B4" w:rsidRDefault="00D6197F" w:rsidP="00D6197F">
      <w:pPr>
        <w:pStyle w:val="NoSpacing"/>
        <w:rPr>
          <w:color w:val="auto"/>
        </w:rPr>
      </w:pPr>
      <w:r w:rsidRPr="003B25B4">
        <w:rPr>
          <w:color w:val="auto"/>
        </w:rPr>
        <w:t xml:space="preserve">To determine the adjusted effect of child status and other factors on achieving the expected level in literacy </w:t>
      </w:r>
      <w:r w:rsidR="00285B64" w:rsidRPr="003B25B4">
        <w:rPr>
          <w:color w:val="auto"/>
        </w:rPr>
        <w:t xml:space="preserve">six </w:t>
      </w:r>
      <w:r w:rsidRPr="003B25B4">
        <w:rPr>
          <w:color w:val="auto"/>
        </w:rPr>
        <w:t xml:space="preserve">factors were entered into a multivariate logistic regression model (table </w:t>
      </w:r>
      <w:r w:rsidR="00FD389F" w:rsidRPr="003B25B4">
        <w:rPr>
          <w:color w:val="auto"/>
        </w:rPr>
        <w:t>3</w:t>
      </w:r>
      <w:r w:rsidRPr="003B25B4">
        <w:rPr>
          <w:color w:val="auto"/>
        </w:rPr>
        <w:t>).</w:t>
      </w:r>
      <w:r w:rsidR="00BD5D1D">
        <w:rPr>
          <w:color w:val="auto"/>
        </w:rPr>
        <w:t xml:space="preserve"> </w:t>
      </w:r>
      <w:r w:rsidR="00426415" w:rsidRPr="003B25B4">
        <w:rPr>
          <w:color w:val="auto"/>
        </w:rPr>
        <w:t>This showed that the odds of achieving the expected level of literacy were higher for children who did not receive support for special educational needs and those who did not have behaviour problems in school.</w:t>
      </w:r>
      <w:r w:rsidR="00BD5D1D">
        <w:rPr>
          <w:color w:val="auto"/>
        </w:rPr>
        <w:t xml:space="preserve"> </w:t>
      </w:r>
      <w:r w:rsidRPr="003B25B4">
        <w:rPr>
          <w:color w:val="auto"/>
        </w:rPr>
        <w:t xml:space="preserve">The </w:t>
      </w:r>
      <w:proofErr w:type="gramStart"/>
      <w:r w:rsidRPr="003B25B4">
        <w:rPr>
          <w:color w:val="auto"/>
        </w:rPr>
        <w:t>effect of the other factors, including child status, were</w:t>
      </w:r>
      <w:proofErr w:type="gramEnd"/>
      <w:r w:rsidRPr="003B25B4">
        <w:rPr>
          <w:color w:val="auto"/>
        </w:rPr>
        <w:t xml:space="preserve"> not statistically significant.</w:t>
      </w:r>
    </w:p>
    <w:p w14:paraId="0B240D80" w14:textId="075E5FCF" w:rsidR="00085F28" w:rsidRPr="003B25B4" w:rsidRDefault="00085F28" w:rsidP="00085F28">
      <w:pPr>
        <w:pStyle w:val="NoSpacing"/>
        <w:rPr>
          <w:color w:val="auto"/>
        </w:rPr>
      </w:pPr>
    </w:p>
    <w:p w14:paraId="4A8E4F15" w14:textId="454655A6" w:rsidR="0056587F" w:rsidRPr="003B25B4" w:rsidRDefault="0056587F" w:rsidP="00085F28">
      <w:pPr>
        <w:pStyle w:val="NoSpacing"/>
        <w:rPr>
          <w:b/>
          <w:color w:val="auto"/>
        </w:rPr>
      </w:pPr>
      <w:r w:rsidRPr="003B25B4">
        <w:rPr>
          <w:b/>
          <w:color w:val="auto"/>
        </w:rPr>
        <w:t xml:space="preserve">Insert Table </w:t>
      </w:r>
      <w:r w:rsidR="00FD389F" w:rsidRPr="003B25B4">
        <w:rPr>
          <w:b/>
          <w:color w:val="auto"/>
        </w:rPr>
        <w:t>3</w:t>
      </w:r>
      <w:r w:rsidRPr="003B25B4">
        <w:rPr>
          <w:b/>
          <w:color w:val="auto"/>
        </w:rPr>
        <w:t xml:space="preserve"> here</w:t>
      </w:r>
    </w:p>
    <w:p w14:paraId="56DA68A0" w14:textId="77777777" w:rsidR="0056587F" w:rsidRPr="003B25B4" w:rsidRDefault="0056587F" w:rsidP="00085F28">
      <w:pPr>
        <w:pStyle w:val="NoSpacing"/>
        <w:rPr>
          <w:b/>
          <w:color w:val="auto"/>
        </w:rPr>
      </w:pPr>
    </w:p>
    <w:p w14:paraId="34FC269A" w14:textId="05363F70" w:rsidR="005F6C26" w:rsidRPr="003B25B4" w:rsidRDefault="00C54B2F" w:rsidP="004B09BD">
      <w:pPr>
        <w:pStyle w:val="Style2"/>
        <w:rPr>
          <w:color w:val="auto"/>
        </w:rPr>
      </w:pPr>
      <w:r w:rsidRPr="003B25B4">
        <w:rPr>
          <w:color w:val="auto"/>
        </w:rPr>
        <w:t>C</w:t>
      </w:r>
      <w:r w:rsidR="00361FDC" w:rsidRPr="003B25B4">
        <w:rPr>
          <w:color w:val="auto"/>
        </w:rPr>
        <w:t>ommunication</w:t>
      </w:r>
    </w:p>
    <w:p w14:paraId="15D96F35" w14:textId="5C147D92" w:rsidR="00C54B2F" w:rsidRPr="003B25B4" w:rsidRDefault="008E5070" w:rsidP="00085F28">
      <w:pPr>
        <w:pStyle w:val="NoSpacing"/>
        <w:rPr>
          <w:color w:val="auto"/>
        </w:rPr>
      </w:pPr>
      <w:r w:rsidRPr="003B25B4">
        <w:rPr>
          <w:color w:val="auto"/>
        </w:rPr>
        <w:t xml:space="preserve">Overall, </w:t>
      </w:r>
      <w:r w:rsidR="00F158DE" w:rsidRPr="003B25B4">
        <w:rPr>
          <w:color w:val="auto"/>
        </w:rPr>
        <w:t>64</w:t>
      </w:r>
      <w:r w:rsidR="0079093C" w:rsidRPr="003B25B4">
        <w:rPr>
          <w:color w:val="auto"/>
        </w:rPr>
        <w:t xml:space="preserve">% </w:t>
      </w:r>
      <w:r w:rsidR="00F158DE" w:rsidRPr="003B25B4">
        <w:rPr>
          <w:color w:val="auto"/>
        </w:rPr>
        <w:t xml:space="preserve">of children in the sample achieved the age-related expected level in communication </w:t>
      </w:r>
      <w:r w:rsidR="00764E19" w:rsidRPr="003B25B4">
        <w:rPr>
          <w:color w:val="auto"/>
        </w:rPr>
        <w:t xml:space="preserve">(speaking, listening and understanding) as measured at the end of the Early Years Foundation Stage </w:t>
      </w:r>
      <w:r w:rsidR="00F158DE" w:rsidRPr="003B25B4">
        <w:rPr>
          <w:color w:val="auto"/>
        </w:rPr>
        <w:t>or</w:t>
      </w:r>
      <w:r w:rsidR="00764E19" w:rsidRPr="003B25B4">
        <w:rPr>
          <w:color w:val="auto"/>
        </w:rPr>
        <w:t xml:space="preserve"> at the end of KS1</w:t>
      </w:r>
      <w:r w:rsidR="00F158DE" w:rsidRPr="003B25B4">
        <w:rPr>
          <w:color w:val="auto"/>
        </w:rPr>
        <w:t>.</w:t>
      </w:r>
      <w:r w:rsidR="00BD5D1D">
        <w:rPr>
          <w:color w:val="auto"/>
        </w:rPr>
        <w:t xml:space="preserve"> </w:t>
      </w:r>
      <w:r w:rsidR="00764E19" w:rsidRPr="003B25B4">
        <w:rPr>
          <w:color w:val="auto"/>
        </w:rPr>
        <w:t xml:space="preserve">Children currently living in foster care were, on average, less likely to be meeting </w:t>
      </w:r>
      <w:r w:rsidR="00BA3F5E" w:rsidRPr="003B25B4">
        <w:rPr>
          <w:color w:val="auto"/>
        </w:rPr>
        <w:t xml:space="preserve">the </w:t>
      </w:r>
      <w:r w:rsidR="00764E19" w:rsidRPr="003B25B4">
        <w:rPr>
          <w:color w:val="auto"/>
        </w:rPr>
        <w:t xml:space="preserve">expected level than those currently living at home (46% achieving </w:t>
      </w:r>
      <w:r w:rsidR="00BA3F5E" w:rsidRPr="003B25B4">
        <w:rPr>
          <w:color w:val="auto"/>
        </w:rPr>
        <w:t xml:space="preserve">the </w:t>
      </w:r>
      <w:r w:rsidR="00764E19" w:rsidRPr="003B25B4">
        <w:rPr>
          <w:color w:val="auto"/>
        </w:rPr>
        <w:t>expected level compared with 70%, respectively; p= 0.02</w:t>
      </w:r>
      <w:r w:rsidR="00F158DE" w:rsidRPr="003B25B4">
        <w:rPr>
          <w:color w:val="auto"/>
        </w:rPr>
        <w:t>8</w:t>
      </w:r>
      <w:r w:rsidR="00764E19" w:rsidRPr="003B25B4">
        <w:rPr>
          <w:color w:val="auto"/>
        </w:rPr>
        <w:t xml:space="preserve">). </w:t>
      </w:r>
      <w:r w:rsidR="00C54B2F" w:rsidRPr="003B25B4">
        <w:rPr>
          <w:color w:val="auto"/>
        </w:rPr>
        <w:t>Both groups had lower levels of achievement than children in the general population</w:t>
      </w:r>
      <w:r w:rsidR="0091098C" w:rsidRPr="003B25B4">
        <w:rPr>
          <w:color w:val="auto"/>
        </w:rPr>
        <w:t>: in 2015</w:t>
      </w:r>
      <w:r w:rsidR="00C54B2F" w:rsidRPr="003B25B4">
        <w:rPr>
          <w:color w:val="auto"/>
        </w:rPr>
        <w:t xml:space="preserve"> 80% met the expected level for communication at the end of EYFS and 90% at the end of Key Stage 1</w:t>
      </w:r>
      <w:r w:rsidR="00C01426" w:rsidRPr="003B25B4">
        <w:rPr>
          <w:color w:val="auto"/>
        </w:rPr>
        <w:t xml:space="preserve"> </w:t>
      </w:r>
      <w:r w:rsidR="00580E57" w:rsidRPr="003B25B4">
        <w:rPr>
          <w:color w:val="auto"/>
        </w:rPr>
        <w:t>(Department for Education</w:t>
      </w:r>
      <w:r w:rsidR="00676176" w:rsidRPr="003B25B4">
        <w:rPr>
          <w:color w:val="auto"/>
        </w:rPr>
        <w:t xml:space="preserve"> 2015a, b)</w:t>
      </w:r>
      <w:r w:rsidR="00C54B2F" w:rsidRPr="003B25B4">
        <w:rPr>
          <w:color w:val="auto"/>
        </w:rPr>
        <w:t>.</w:t>
      </w:r>
    </w:p>
    <w:p w14:paraId="0ABBA094" w14:textId="77777777" w:rsidR="00285B64" w:rsidRPr="003B25B4" w:rsidRDefault="00285B64" w:rsidP="00085F28">
      <w:pPr>
        <w:pStyle w:val="NoSpacing"/>
        <w:rPr>
          <w:color w:val="auto"/>
        </w:rPr>
      </w:pPr>
    </w:p>
    <w:p w14:paraId="7A0D456E" w14:textId="4E375B5E" w:rsidR="00A06DDE" w:rsidRPr="003B25B4" w:rsidRDefault="00285B64" w:rsidP="00085F28">
      <w:pPr>
        <w:pStyle w:val="NoSpacing"/>
        <w:rPr>
          <w:color w:val="auto"/>
        </w:rPr>
      </w:pPr>
      <w:r w:rsidRPr="003B25B4">
        <w:rPr>
          <w:rFonts w:asciiTheme="majorHAnsi" w:hAnsiTheme="majorHAnsi" w:cstheme="majorHAnsi"/>
          <w:color w:val="auto"/>
        </w:rPr>
        <w:t xml:space="preserve">The results of univariate logistic regression models showed that </w:t>
      </w:r>
      <w:r w:rsidRPr="003B25B4">
        <w:rPr>
          <w:color w:val="auto"/>
        </w:rPr>
        <w:t>t</w:t>
      </w:r>
      <w:r w:rsidR="00A06DDE" w:rsidRPr="003B25B4">
        <w:rPr>
          <w:color w:val="auto"/>
        </w:rPr>
        <w:t xml:space="preserve">he odds of children in the </w:t>
      </w:r>
      <w:r w:rsidR="00A06DDE" w:rsidRPr="003B25B4">
        <w:rPr>
          <w:i/>
          <w:color w:val="auto"/>
        </w:rPr>
        <w:t>care group</w:t>
      </w:r>
      <w:r w:rsidR="00A06DDE" w:rsidRPr="003B25B4">
        <w:rPr>
          <w:color w:val="auto"/>
        </w:rPr>
        <w:t xml:space="preserve"> meeting age-related expectation</w:t>
      </w:r>
      <w:r w:rsidR="00E503DB" w:rsidRPr="003B25B4">
        <w:rPr>
          <w:color w:val="auto"/>
        </w:rPr>
        <w:t>s</w:t>
      </w:r>
      <w:r w:rsidR="00A06DDE" w:rsidRPr="003B25B4">
        <w:rPr>
          <w:color w:val="auto"/>
        </w:rPr>
        <w:t xml:space="preserve"> on the communication measure were significantly lower than those for the at </w:t>
      </w:r>
      <w:r w:rsidR="00A06DDE" w:rsidRPr="003B25B4">
        <w:rPr>
          <w:i/>
          <w:color w:val="auto"/>
        </w:rPr>
        <w:t>home group</w:t>
      </w:r>
      <w:r w:rsidR="00A06DDE" w:rsidRPr="003B25B4">
        <w:rPr>
          <w:color w:val="auto"/>
        </w:rPr>
        <w:t xml:space="preserve"> (</w:t>
      </w:r>
      <w:r w:rsidRPr="003B25B4">
        <w:rPr>
          <w:color w:val="auto"/>
        </w:rPr>
        <w:t xml:space="preserve">OR=0.378; 95% CI=0.156, 0.915; </w:t>
      </w:r>
      <w:r w:rsidR="00A06DDE" w:rsidRPr="003B25B4">
        <w:rPr>
          <w:color w:val="auto"/>
        </w:rPr>
        <w:t>p=.031).</w:t>
      </w:r>
      <w:r w:rsidR="00BD5D1D">
        <w:rPr>
          <w:color w:val="auto"/>
        </w:rPr>
        <w:t xml:space="preserve"> </w:t>
      </w:r>
      <w:r w:rsidR="00A06DDE" w:rsidRPr="003B25B4">
        <w:rPr>
          <w:color w:val="auto"/>
        </w:rPr>
        <w:t>Children who did not have a disability</w:t>
      </w:r>
      <w:r w:rsidRPr="003B25B4">
        <w:rPr>
          <w:color w:val="auto"/>
        </w:rPr>
        <w:t xml:space="preserve"> or </w:t>
      </w:r>
      <w:r w:rsidR="00A06DDE" w:rsidRPr="003B25B4">
        <w:rPr>
          <w:color w:val="auto"/>
        </w:rPr>
        <w:t xml:space="preserve">chronic illness, did not </w:t>
      </w:r>
      <w:r w:rsidRPr="003B25B4">
        <w:rPr>
          <w:color w:val="auto"/>
        </w:rPr>
        <w:t xml:space="preserve">receive </w:t>
      </w:r>
      <w:r w:rsidR="00A06DDE" w:rsidRPr="003B25B4">
        <w:rPr>
          <w:color w:val="auto"/>
        </w:rPr>
        <w:t xml:space="preserve">support for </w:t>
      </w:r>
      <w:r w:rsidR="00A11327" w:rsidRPr="003B25B4">
        <w:rPr>
          <w:color w:val="auto"/>
        </w:rPr>
        <w:t>SEN</w:t>
      </w:r>
      <w:r w:rsidR="00A06DDE" w:rsidRPr="003B25B4">
        <w:rPr>
          <w:color w:val="auto"/>
        </w:rPr>
        <w:t xml:space="preserve"> or receive extra help from teachers, were not reported by caregivers to have behaviour problems in school, and had a caregiver who displayed positive levels of engagement in activities with the child were more likely to achieve the expected level for communication.</w:t>
      </w:r>
    </w:p>
    <w:p w14:paraId="51F689B2" w14:textId="0CCC675E" w:rsidR="00A06DDE" w:rsidRPr="003B25B4" w:rsidRDefault="00A06DDE" w:rsidP="00085F28">
      <w:pPr>
        <w:pStyle w:val="NoSpacing"/>
        <w:rPr>
          <w:color w:val="auto"/>
        </w:rPr>
      </w:pPr>
    </w:p>
    <w:p w14:paraId="25177316" w14:textId="3FD299A8" w:rsidR="004E1589" w:rsidRPr="003B25B4" w:rsidRDefault="00285B64" w:rsidP="00E20FBB">
      <w:pPr>
        <w:pStyle w:val="NoSpacing"/>
        <w:rPr>
          <w:color w:val="auto"/>
        </w:rPr>
      </w:pPr>
      <w:r w:rsidRPr="003B25B4">
        <w:rPr>
          <w:color w:val="auto"/>
        </w:rPr>
        <w:t xml:space="preserve">To determine the adjusted effect of child status and other factors on achieving </w:t>
      </w:r>
      <w:r w:rsidR="00E20FBB" w:rsidRPr="003B25B4">
        <w:rPr>
          <w:color w:val="auto"/>
        </w:rPr>
        <w:t xml:space="preserve">the </w:t>
      </w:r>
      <w:r w:rsidRPr="003B25B4">
        <w:rPr>
          <w:color w:val="auto"/>
        </w:rPr>
        <w:t xml:space="preserve">expected level in </w:t>
      </w:r>
      <w:r w:rsidR="00E20FBB" w:rsidRPr="003B25B4">
        <w:rPr>
          <w:color w:val="auto"/>
        </w:rPr>
        <w:t>communication,</w:t>
      </w:r>
      <w:r w:rsidRPr="003B25B4">
        <w:rPr>
          <w:color w:val="auto"/>
        </w:rPr>
        <w:t xml:space="preserve"> </w:t>
      </w:r>
      <w:r w:rsidR="00E20FBB" w:rsidRPr="003B25B4">
        <w:rPr>
          <w:color w:val="auto"/>
        </w:rPr>
        <w:t>four</w:t>
      </w:r>
      <w:r w:rsidRPr="003B25B4">
        <w:rPr>
          <w:color w:val="auto"/>
        </w:rPr>
        <w:t xml:space="preserve"> factors were entered into a multivariate logistic regression model (table </w:t>
      </w:r>
      <w:r w:rsidR="00FD389F" w:rsidRPr="003B25B4">
        <w:rPr>
          <w:color w:val="auto"/>
        </w:rPr>
        <w:t>4</w:t>
      </w:r>
      <w:r w:rsidRPr="003B25B4">
        <w:rPr>
          <w:color w:val="auto"/>
        </w:rPr>
        <w:t>).</w:t>
      </w:r>
      <w:r w:rsidR="00BD5D1D">
        <w:rPr>
          <w:color w:val="auto"/>
        </w:rPr>
        <w:t xml:space="preserve"> </w:t>
      </w:r>
      <w:r w:rsidR="00E20FBB" w:rsidRPr="003B25B4">
        <w:rPr>
          <w:color w:val="auto"/>
        </w:rPr>
        <w:t xml:space="preserve">In this model, </w:t>
      </w:r>
      <w:r w:rsidR="00495808" w:rsidRPr="003B25B4">
        <w:rPr>
          <w:color w:val="auto"/>
        </w:rPr>
        <w:t>just one factor</w:t>
      </w:r>
      <w:r w:rsidR="004E1589" w:rsidRPr="003B25B4">
        <w:rPr>
          <w:color w:val="auto"/>
        </w:rPr>
        <w:t xml:space="preserve"> remained significantly associated with </w:t>
      </w:r>
      <w:r w:rsidR="004E1589" w:rsidRPr="003B25B4">
        <w:rPr>
          <w:color w:val="auto"/>
        </w:rPr>
        <w:lastRenderedPageBreak/>
        <w:t xml:space="preserve">children achieving the expected level </w:t>
      </w:r>
      <w:r w:rsidR="003D4C09" w:rsidRPr="003B25B4">
        <w:rPr>
          <w:color w:val="auto"/>
        </w:rPr>
        <w:t xml:space="preserve">for </w:t>
      </w:r>
      <w:r w:rsidR="004E1589" w:rsidRPr="003B25B4">
        <w:rPr>
          <w:color w:val="auto"/>
        </w:rPr>
        <w:t xml:space="preserve">communication: not receiving </w:t>
      </w:r>
      <w:r w:rsidR="00E503DB" w:rsidRPr="003B25B4">
        <w:rPr>
          <w:color w:val="auto"/>
        </w:rPr>
        <w:t>SEN</w:t>
      </w:r>
      <w:r w:rsidR="004E1589" w:rsidRPr="003B25B4">
        <w:rPr>
          <w:color w:val="auto"/>
        </w:rPr>
        <w:t xml:space="preserve"> support in school.</w:t>
      </w:r>
      <w:r w:rsidR="00BD5D1D">
        <w:rPr>
          <w:color w:val="auto"/>
        </w:rPr>
        <w:t xml:space="preserve"> </w:t>
      </w:r>
      <w:r w:rsidR="004E1589" w:rsidRPr="003B25B4">
        <w:rPr>
          <w:color w:val="auto"/>
        </w:rPr>
        <w:t xml:space="preserve">The odds of achieving the expected level in communication </w:t>
      </w:r>
      <w:r w:rsidR="004E10A5" w:rsidRPr="003B25B4">
        <w:rPr>
          <w:color w:val="auto"/>
        </w:rPr>
        <w:t xml:space="preserve">remained </w:t>
      </w:r>
      <w:r w:rsidR="00495808" w:rsidRPr="003B25B4">
        <w:rPr>
          <w:color w:val="auto"/>
        </w:rPr>
        <w:t>lower</w:t>
      </w:r>
      <w:r w:rsidR="004E1589" w:rsidRPr="003B25B4">
        <w:rPr>
          <w:color w:val="auto"/>
        </w:rPr>
        <w:t xml:space="preserve"> for children in care compared to those living at home, </w:t>
      </w:r>
      <w:r w:rsidR="003F585A" w:rsidRPr="003B25B4">
        <w:rPr>
          <w:color w:val="auto"/>
        </w:rPr>
        <w:t xml:space="preserve">but </w:t>
      </w:r>
      <w:r w:rsidR="004E1589" w:rsidRPr="003B25B4">
        <w:rPr>
          <w:color w:val="auto"/>
        </w:rPr>
        <w:t xml:space="preserve">this association was no longer statistically significant.  </w:t>
      </w:r>
    </w:p>
    <w:p w14:paraId="3FCC9D41" w14:textId="77777777" w:rsidR="00E20FBB" w:rsidRPr="003B25B4" w:rsidRDefault="00E20FBB" w:rsidP="00E20FBB">
      <w:pPr>
        <w:pStyle w:val="NoSpacing"/>
        <w:rPr>
          <w:color w:val="auto"/>
        </w:rPr>
      </w:pPr>
    </w:p>
    <w:p w14:paraId="05EA387A" w14:textId="1BA1DD11" w:rsidR="0056587F" w:rsidRPr="003B25B4" w:rsidRDefault="0056587F" w:rsidP="00085F28">
      <w:pPr>
        <w:pStyle w:val="NoSpacing"/>
        <w:rPr>
          <w:b/>
          <w:color w:val="auto"/>
        </w:rPr>
      </w:pPr>
      <w:r w:rsidRPr="003B25B4">
        <w:rPr>
          <w:b/>
          <w:color w:val="auto"/>
        </w:rPr>
        <w:t xml:space="preserve">Insert Table </w:t>
      </w:r>
      <w:r w:rsidR="00FD389F" w:rsidRPr="003B25B4">
        <w:rPr>
          <w:b/>
          <w:color w:val="auto"/>
        </w:rPr>
        <w:t>4</w:t>
      </w:r>
      <w:r w:rsidRPr="003B25B4">
        <w:rPr>
          <w:b/>
          <w:color w:val="auto"/>
        </w:rPr>
        <w:t xml:space="preserve"> here</w:t>
      </w:r>
    </w:p>
    <w:p w14:paraId="133B4CF5" w14:textId="77777777" w:rsidR="0056587F" w:rsidRPr="003B25B4" w:rsidRDefault="0056587F" w:rsidP="00085F28">
      <w:pPr>
        <w:pStyle w:val="NoSpacing"/>
        <w:rPr>
          <w:b/>
          <w:color w:val="auto"/>
        </w:rPr>
      </w:pPr>
    </w:p>
    <w:p w14:paraId="5808114F" w14:textId="1880C8F0" w:rsidR="005F6C26" w:rsidRPr="003B25B4" w:rsidRDefault="008E242B" w:rsidP="00085F28">
      <w:pPr>
        <w:pStyle w:val="Style1"/>
        <w:rPr>
          <w:rStyle w:val="IntenseEmphasis"/>
          <w:b/>
          <w:iCs w:val="0"/>
          <w:color w:val="auto"/>
        </w:rPr>
      </w:pPr>
      <w:r w:rsidRPr="003B25B4">
        <w:rPr>
          <w:rStyle w:val="IntenseEmphasis"/>
          <w:b/>
          <w:iCs w:val="0"/>
          <w:color w:val="auto"/>
        </w:rPr>
        <w:t>Discussion</w:t>
      </w:r>
      <w:r w:rsidR="004D37F7" w:rsidRPr="003B25B4">
        <w:rPr>
          <w:rStyle w:val="IntenseEmphasis"/>
          <w:b/>
          <w:iCs w:val="0"/>
          <w:color w:val="auto"/>
        </w:rPr>
        <w:t xml:space="preserve"> </w:t>
      </w:r>
    </w:p>
    <w:p w14:paraId="19F98206" w14:textId="5BB2E5DD" w:rsidR="00A9708D" w:rsidRPr="003B25B4" w:rsidRDefault="00B96143" w:rsidP="00085F28">
      <w:pPr>
        <w:pStyle w:val="NoSpacing"/>
        <w:rPr>
          <w:color w:val="auto"/>
        </w:rPr>
      </w:pPr>
      <w:r w:rsidRPr="003B25B4">
        <w:rPr>
          <w:color w:val="auto"/>
        </w:rPr>
        <w:t>M</w:t>
      </w:r>
      <w:r w:rsidR="00A202F5" w:rsidRPr="003B25B4">
        <w:rPr>
          <w:color w:val="auto"/>
        </w:rPr>
        <w:t xml:space="preserve">any </w:t>
      </w:r>
      <w:r w:rsidRPr="003B25B4">
        <w:rPr>
          <w:color w:val="auto"/>
        </w:rPr>
        <w:t>studies of the educational attainment of children in care</w:t>
      </w:r>
      <w:r w:rsidR="00E37B32" w:rsidRPr="003B25B4">
        <w:rPr>
          <w:color w:val="auto"/>
        </w:rPr>
        <w:t>, undertaken in the UK and internationally,</w:t>
      </w:r>
      <w:r w:rsidRPr="003B25B4">
        <w:rPr>
          <w:color w:val="auto"/>
        </w:rPr>
        <w:t xml:space="preserve"> have compared the</w:t>
      </w:r>
      <w:r w:rsidR="001F7A38" w:rsidRPr="003B25B4">
        <w:rPr>
          <w:color w:val="auto"/>
        </w:rPr>
        <w:t>se children</w:t>
      </w:r>
      <w:r w:rsidRPr="003B25B4">
        <w:rPr>
          <w:color w:val="auto"/>
        </w:rPr>
        <w:t xml:space="preserve"> to </w:t>
      </w:r>
      <w:r w:rsidR="001F7A38" w:rsidRPr="003B25B4">
        <w:rPr>
          <w:color w:val="auto"/>
        </w:rPr>
        <w:t xml:space="preserve">those in the wider population, </w:t>
      </w:r>
      <w:r w:rsidRPr="003B25B4">
        <w:rPr>
          <w:color w:val="auto"/>
        </w:rPr>
        <w:t>but</w:t>
      </w:r>
      <w:r w:rsidR="00A37D7B" w:rsidRPr="003B25B4">
        <w:rPr>
          <w:color w:val="auto"/>
        </w:rPr>
        <w:t xml:space="preserve"> </w:t>
      </w:r>
      <w:r w:rsidRPr="003B25B4">
        <w:rPr>
          <w:color w:val="auto"/>
        </w:rPr>
        <w:t>the selection bias inherent in comparisons of this kind make</w:t>
      </w:r>
      <w:r w:rsidR="006B1607" w:rsidRPr="003B25B4">
        <w:rPr>
          <w:color w:val="auto"/>
        </w:rPr>
        <w:t>s</w:t>
      </w:r>
      <w:r w:rsidRPr="003B25B4">
        <w:rPr>
          <w:color w:val="auto"/>
        </w:rPr>
        <w:t xml:space="preserve"> it difficult to draw clear conclusions as to whether </w:t>
      </w:r>
      <w:r w:rsidR="00A37D7B" w:rsidRPr="003B25B4">
        <w:rPr>
          <w:color w:val="auto"/>
        </w:rPr>
        <w:t xml:space="preserve">or not </w:t>
      </w:r>
      <w:r w:rsidR="006B1607" w:rsidRPr="003B25B4">
        <w:rPr>
          <w:color w:val="auto"/>
        </w:rPr>
        <w:t xml:space="preserve">it is </w:t>
      </w:r>
      <w:r w:rsidRPr="003B25B4">
        <w:rPr>
          <w:color w:val="auto"/>
        </w:rPr>
        <w:t xml:space="preserve">the care system </w:t>
      </w:r>
      <w:r w:rsidRPr="003B25B4">
        <w:rPr>
          <w:i/>
          <w:color w:val="auto"/>
        </w:rPr>
        <w:t>per se</w:t>
      </w:r>
      <w:r w:rsidRPr="003B25B4">
        <w:rPr>
          <w:color w:val="auto"/>
        </w:rPr>
        <w:t xml:space="preserve"> that is responsible for poor educational outcomes.</w:t>
      </w:r>
      <w:r w:rsidR="00BD5D1D">
        <w:rPr>
          <w:color w:val="auto"/>
        </w:rPr>
        <w:t xml:space="preserve"> </w:t>
      </w:r>
      <w:r w:rsidR="007E2B9C" w:rsidRPr="003B25B4">
        <w:rPr>
          <w:color w:val="auto"/>
        </w:rPr>
        <w:t>F</w:t>
      </w:r>
      <w:r w:rsidR="00A202F5" w:rsidRPr="003B25B4">
        <w:rPr>
          <w:color w:val="auto"/>
        </w:rPr>
        <w:t xml:space="preserve">ew studies have compared children in care </w:t>
      </w:r>
      <w:r w:rsidR="002E15D3" w:rsidRPr="003B25B4">
        <w:rPr>
          <w:color w:val="auto"/>
        </w:rPr>
        <w:t>to</w:t>
      </w:r>
      <w:r w:rsidR="00A202F5" w:rsidRPr="003B25B4">
        <w:rPr>
          <w:color w:val="auto"/>
        </w:rPr>
        <w:t xml:space="preserve"> </w:t>
      </w:r>
      <w:r w:rsidR="00A37D7B" w:rsidRPr="003B25B4">
        <w:rPr>
          <w:color w:val="auto"/>
        </w:rPr>
        <w:t>other</w:t>
      </w:r>
      <w:r w:rsidR="007E2B9C" w:rsidRPr="003B25B4">
        <w:rPr>
          <w:color w:val="auto"/>
        </w:rPr>
        <w:t>s with histories of</w:t>
      </w:r>
      <w:r w:rsidR="00A37D7B" w:rsidRPr="003B25B4">
        <w:rPr>
          <w:color w:val="auto"/>
        </w:rPr>
        <w:t xml:space="preserve"> </w:t>
      </w:r>
      <w:r w:rsidR="009B7014" w:rsidRPr="003B25B4">
        <w:rPr>
          <w:color w:val="auto"/>
        </w:rPr>
        <w:t xml:space="preserve">child </w:t>
      </w:r>
      <w:r w:rsidR="00A37D7B" w:rsidRPr="003B25B4">
        <w:rPr>
          <w:color w:val="auto"/>
        </w:rPr>
        <w:t>welfare</w:t>
      </w:r>
      <w:r w:rsidR="007E2B9C" w:rsidRPr="003B25B4">
        <w:rPr>
          <w:color w:val="auto"/>
        </w:rPr>
        <w:t xml:space="preserve"> involvement who are</w:t>
      </w:r>
      <w:r w:rsidR="00A37D7B" w:rsidRPr="003B25B4">
        <w:rPr>
          <w:color w:val="auto"/>
        </w:rPr>
        <w:t xml:space="preserve"> </w:t>
      </w:r>
      <w:r w:rsidR="00A202F5" w:rsidRPr="003B25B4">
        <w:rPr>
          <w:color w:val="auto"/>
        </w:rPr>
        <w:t xml:space="preserve">not </w:t>
      </w:r>
      <w:r w:rsidR="00487719" w:rsidRPr="003B25B4">
        <w:rPr>
          <w:color w:val="auto"/>
        </w:rPr>
        <w:t xml:space="preserve">currently living </w:t>
      </w:r>
      <w:r w:rsidR="00A202F5" w:rsidRPr="003B25B4">
        <w:rPr>
          <w:color w:val="auto"/>
        </w:rPr>
        <w:t>in care</w:t>
      </w:r>
      <w:r w:rsidR="007E2B9C" w:rsidRPr="003B25B4">
        <w:rPr>
          <w:color w:val="auto"/>
        </w:rPr>
        <w:t>. W</w:t>
      </w:r>
      <w:r w:rsidR="00A9708D" w:rsidRPr="003B25B4">
        <w:rPr>
          <w:color w:val="auto"/>
        </w:rPr>
        <w:t>e identified only</w:t>
      </w:r>
      <w:r w:rsidR="00A202F5" w:rsidRPr="003B25B4">
        <w:rPr>
          <w:color w:val="auto"/>
        </w:rPr>
        <w:t xml:space="preserve"> three </w:t>
      </w:r>
      <w:r w:rsidR="00A9708D" w:rsidRPr="003B25B4">
        <w:rPr>
          <w:color w:val="auto"/>
        </w:rPr>
        <w:t xml:space="preserve">such studies </w:t>
      </w:r>
      <w:r w:rsidR="00A202F5" w:rsidRPr="003B25B4">
        <w:rPr>
          <w:color w:val="auto"/>
        </w:rPr>
        <w:t>from the UK</w:t>
      </w:r>
      <w:r w:rsidR="007E2B9C" w:rsidRPr="003B25B4">
        <w:rPr>
          <w:color w:val="auto"/>
        </w:rPr>
        <w:t xml:space="preserve">, two of which focussed solely on attainment </w:t>
      </w:r>
      <w:r w:rsidR="009B7014" w:rsidRPr="003B25B4">
        <w:rPr>
          <w:color w:val="auto"/>
        </w:rPr>
        <w:t xml:space="preserve">at </w:t>
      </w:r>
      <w:r w:rsidR="007E2B9C" w:rsidRPr="003B25B4">
        <w:rPr>
          <w:color w:val="auto"/>
        </w:rPr>
        <w:t>age 16</w:t>
      </w:r>
      <w:r w:rsidR="002E15D3" w:rsidRPr="003B25B4">
        <w:rPr>
          <w:color w:val="auto"/>
        </w:rPr>
        <w:t xml:space="preserve"> (</w:t>
      </w:r>
      <w:r w:rsidR="00580E57" w:rsidRPr="003B25B4">
        <w:rPr>
          <w:color w:val="auto"/>
        </w:rPr>
        <w:t xml:space="preserve">Heath et al., 1994; McClung and Gayle, 2010; </w:t>
      </w:r>
      <w:proofErr w:type="spellStart"/>
      <w:r w:rsidR="002E15D3" w:rsidRPr="003B25B4">
        <w:rPr>
          <w:color w:val="auto"/>
        </w:rPr>
        <w:t>Sebba</w:t>
      </w:r>
      <w:proofErr w:type="spellEnd"/>
      <w:r w:rsidR="002E15D3" w:rsidRPr="003B25B4">
        <w:rPr>
          <w:color w:val="auto"/>
        </w:rPr>
        <w:t xml:space="preserve"> et al</w:t>
      </w:r>
      <w:r w:rsidR="00940456" w:rsidRPr="003B25B4">
        <w:rPr>
          <w:color w:val="auto"/>
        </w:rPr>
        <w:t>.,</w:t>
      </w:r>
      <w:r w:rsidR="002E15D3" w:rsidRPr="003B25B4">
        <w:rPr>
          <w:color w:val="auto"/>
        </w:rPr>
        <w:t xml:space="preserve"> </w:t>
      </w:r>
      <w:r w:rsidR="00EB1B51" w:rsidRPr="003B25B4">
        <w:rPr>
          <w:color w:val="auto"/>
        </w:rPr>
        <w:t>2015</w:t>
      </w:r>
      <w:r w:rsidR="002E15D3" w:rsidRPr="003B25B4">
        <w:rPr>
          <w:color w:val="auto"/>
        </w:rPr>
        <w:t>)</w:t>
      </w:r>
      <w:r w:rsidR="00A9708D" w:rsidRPr="003B25B4">
        <w:rPr>
          <w:color w:val="auto"/>
        </w:rPr>
        <w:t xml:space="preserve">. </w:t>
      </w:r>
      <w:r w:rsidR="00B93E6A" w:rsidRPr="003B25B4">
        <w:rPr>
          <w:color w:val="auto"/>
        </w:rPr>
        <w:t>However, a</w:t>
      </w:r>
      <w:r w:rsidR="00A9708D" w:rsidRPr="003B25B4">
        <w:rPr>
          <w:color w:val="auto"/>
        </w:rPr>
        <w:t xml:space="preserve">n understanding of any differences in early learning between children in care and others from similar backgrounds is essential if we are to develop early educational interventions to support children </w:t>
      </w:r>
      <w:r w:rsidR="006B1607" w:rsidRPr="003B25B4">
        <w:rPr>
          <w:color w:val="auto"/>
        </w:rPr>
        <w:t>in care</w:t>
      </w:r>
      <w:r w:rsidR="00A9708D" w:rsidRPr="003B25B4">
        <w:rPr>
          <w:color w:val="auto"/>
        </w:rPr>
        <w:t xml:space="preserve">.  </w:t>
      </w:r>
    </w:p>
    <w:p w14:paraId="0B51A9D8" w14:textId="77777777" w:rsidR="00A9708D" w:rsidRPr="003B25B4" w:rsidRDefault="00A9708D" w:rsidP="00085F28">
      <w:pPr>
        <w:pStyle w:val="NoSpacing"/>
        <w:rPr>
          <w:color w:val="auto"/>
        </w:rPr>
      </w:pPr>
    </w:p>
    <w:p w14:paraId="72D9CA3E" w14:textId="3BFE9815" w:rsidR="001F7A38" w:rsidRPr="003B25B4" w:rsidRDefault="00DA17E3" w:rsidP="00085F28">
      <w:pPr>
        <w:pStyle w:val="NoSpacing"/>
        <w:rPr>
          <w:color w:val="auto"/>
        </w:rPr>
      </w:pPr>
      <w:r w:rsidRPr="003B25B4">
        <w:rPr>
          <w:color w:val="auto"/>
        </w:rPr>
        <w:t xml:space="preserve">This study aimed to fill this gap in </w:t>
      </w:r>
      <w:r w:rsidR="00047A48" w:rsidRPr="003B25B4">
        <w:rPr>
          <w:color w:val="auto"/>
        </w:rPr>
        <w:t xml:space="preserve">the </w:t>
      </w:r>
      <w:r w:rsidRPr="003B25B4">
        <w:rPr>
          <w:color w:val="auto"/>
        </w:rPr>
        <w:t xml:space="preserve">research, </w:t>
      </w:r>
      <w:r w:rsidR="002674BE" w:rsidRPr="003B25B4">
        <w:rPr>
          <w:color w:val="auto"/>
        </w:rPr>
        <w:t xml:space="preserve">drawing </w:t>
      </w:r>
      <w:r w:rsidR="002674BE" w:rsidRPr="003B25B4">
        <w:rPr>
          <w:rFonts w:asciiTheme="majorHAnsi" w:hAnsiTheme="majorHAnsi" w:cstheme="majorHAnsi"/>
          <w:color w:val="auto"/>
        </w:rPr>
        <w:t xml:space="preserve">on </w:t>
      </w:r>
      <w:r w:rsidR="00047A48" w:rsidRPr="003B25B4">
        <w:rPr>
          <w:rFonts w:asciiTheme="majorHAnsi" w:hAnsiTheme="majorHAnsi" w:cstheme="majorHAnsi"/>
          <w:color w:val="auto"/>
        </w:rPr>
        <w:t>administr</w:t>
      </w:r>
      <w:r w:rsidR="00FE6453" w:rsidRPr="003B25B4">
        <w:rPr>
          <w:rFonts w:asciiTheme="majorHAnsi" w:hAnsiTheme="majorHAnsi" w:cstheme="majorHAnsi"/>
          <w:color w:val="auto"/>
        </w:rPr>
        <w:t>ative, survey and interview data</w:t>
      </w:r>
      <w:r w:rsidR="00047A48" w:rsidRPr="003B25B4">
        <w:rPr>
          <w:rFonts w:asciiTheme="majorHAnsi" w:hAnsiTheme="majorHAnsi" w:cstheme="majorHAnsi"/>
          <w:color w:val="auto"/>
        </w:rPr>
        <w:t xml:space="preserve"> </w:t>
      </w:r>
      <w:r w:rsidR="00EB1B51" w:rsidRPr="003B25B4">
        <w:rPr>
          <w:rFonts w:asciiTheme="majorHAnsi" w:hAnsiTheme="majorHAnsi" w:cstheme="majorHAnsi"/>
          <w:color w:val="auto"/>
        </w:rPr>
        <w:t>gathered</w:t>
      </w:r>
      <w:r w:rsidR="009B7014" w:rsidRPr="003B25B4">
        <w:rPr>
          <w:rFonts w:asciiTheme="majorHAnsi" w:hAnsiTheme="majorHAnsi" w:cstheme="majorHAnsi"/>
          <w:color w:val="auto"/>
        </w:rPr>
        <w:t>,</w:t>
      </w:r>
      <w:r w:rsidR="00EB1B51" w:rsidRPr="003B25B4">
        <w:rPr>
          <w:rFonts w:asciiTheme="majorHAnsi" w:hAnsiTheme="majorHAnsi" w:cstheme="majorHAnsi"/>
          <w:color w:val="auto"/>
        </w:rPr>
        <w:t xml:space="preserve"> as part of </w:t>
      </w:r>
      <w:r w:rsidR="009B7014" w:rsidRPr="003B25B4">
        <w:rPr>
          <w:rFonts w:asciiTheme="majorHAnsi" w:hAnsiTheme="majorHAnsi" w:cstheme="majorHAnsi"/>
          <w:color w:val="auto"/>
        </w:rPr>
        <w:t xml:space="preserve">a </w:t>
      </w:r>
      <w:r w:rsidR="00EB1B51" w:rsidRPr="003B25B4">
        <w:rPr>
          <w:rFonts w:asciiTheme="majorHAnsi" w:hAnsiTheme="majorHAnsi" w:cstheme="majorHAnsi"/>
          <w:color w:val="auto"/>
        </w:rPr>
        <w:t xml:space="preserve">wider study </w:t>
      </w:r>
      <w:r w:rsidR="009B7014" w:rsidRPr="003B25B4">
        <w:rPr>
          <w:rFonts w:asciiTheme="majorHAnsi" w:hAnsiTheme="majorHAnsi" w:cstheme="majorHAnsi"/>
          <w:color w:val="auto"/>
        </w:rPr>
        <w:t>of outcomes for children in care,</w:t>
      </w:r>
      <w:r w:rsidR="00C737EC" w:rsidRPr="003B25B4">
        <w:rPr>
          <w:rFonts w:asciiTheme="majorHAnsi" w:hAnsiTheme="majorHAnsi" w:cstheme="majorHAnsi"/>
          <w:color w:val="auto"/>
        </w:rPr>
        <w:t xml:space="preserve"> </w:t>
      </w:r>
      <w:r w:rsidR="002674BE" w:rsidRPr="003B25B4">
        <w:rPr>
          <w:rFonts w:asciiTheme="majorHAnsi" w:hAnsiTheme="majorHAnsi" w:cstheme="majorHAnsi"/>
          <w:color w:val="auto"/>
        </w:rPr>
        <w:t xml:space="preserve">to investigate the </w:t>
      </w:r>
      <w:r w:rsidR="00047A48" w:rsidRPr="003B25B4">
        <w:rPr>
          <w:rFonts w:asciiTheme="majorHAnsi" w:hAnsiTheme="majorHAnsi" w:cstheme="majorHAnsi"/>
          <w:color w:val="auto"/>
        </w:rPr>
        <w:t>relationship</w:t>
      </w:r>
      <w:r w:rsidR="002674BE" w:rsidRPr="003B25B4">
        <w:rPr>
          <w:rFonts w:asciiTheme="majorHAnsi" w:hAnsiTheme="majorHAnsi" w:cstheme="majorHAnsi"/>
          <w:color w:val="auto"/>
        </w:rPr>
        <w:t xml:space="preserve"> between care status and</w:t>
      </w:r>
      <w:r w:rsidR="00047A48" w:rsidRPr="003B25B4">
        <w:rPr>
          <w:rFonts w:asciiTheme="majorHAnsi" w:hAnsiTheme="majorHAnsi" w:cstheme="majorHAnsi"/>
          <w:color w:val="auto"/>
        </w:rPr>
        <w:t xml:space="preserve"> educational </w:t>
      </w:r>
      <w:r w:rsidR="00A37D7B" w:rsidRPr="003B25B4">
        <w:rPr>
          <w:rFonts w:asciiTheme="majorHAnsi" w:hAnsiTheme="majorHAnsi" w:cstheme="majorHAnsi"/>
          <w:color w:val="auto"/>
        </w:rPr>
        <w:t>attainment</w:t>
      </w:r>
      <w:r w:rsidR="00047A48" w:rsidRPr="003B25B4">
        <w:rPr>
          <w:rFonts w:asciiTheme="majorHAnsi" w:hAnsiTheme="majorHAnsi" w:cstheme="majorHAnsi"/>
          <w:color w:val="auto"/>
        </w:rPr>
        <w:t xml:space="preserve"> for a sample of children </w:t>
      </w:r>
      <w:r w:rsidR="00D53D3B" w:rsidRPr="003B25B4">
        <w:rPr>
          <w:rFonts w:asciiTheme="majorHAnsi" w:hAnsiTheme="majorHAnsi" w:cstheme="majorHAnsi"/>
          <w:color w:val="auto"/>
        </w:rPr>
        <w:t>aged</w:t>
      </w:r>
      <w:r w:rsidR="00047A48" w:rsidRPr="003B25B4">
        <w:rPr>
          <w:rFonts w:asciiTheme="majorHAnsi" w:hAnsiTheme="majorHAnsi" w:cstheme="majorHAnsi"/>
          <w:color w:val="auto"/>
        </w:rPr>
        <w:t xml:space="preserve"> from just under three years to nine and a half years</w:t>
      </w:r>
      <w:r w:rsidR="00B460CC" w:rsidRPr="003B25B4">
        <w:rPr>
          <w:rFonts w:asciiTheme="majorHAnsi" w:hAnsiTheme="majorHAnsi" w:cstheme="majorHAnsi"/>
          <w:color w:val="auto"/>
        </w:rPr>
        <w:t>, all of whom had been referred due to concerns about abuse or neglect</w:t>
      </w:r>
      <w:r w:rsidR="00047A48" w:rsidRPr="003B25B4">
        <w:rPr>
          <w:rFonts w:asciiTheme="majorHAnsi" w:hAnsiTheme="majorHAnsi" w:cstheme="majorHAnsi"/>
          <w:color w:val="auto"/>
        </w:rPr>
        <w:t>.</w:t>
      </w:r>
      <w:r w:rsidR="00BD5D1D">
        <w:rPr>
          <w:rFonts w:asciiTheme="majorHAnsi" w:hAnsiTheme="majorHAnsi" w:cstheme="majorHAnsi"/>
          <w:color w:val="auto"/>
        </w:rPr>
        <w:t xml:space="preserve"> </w:t>
      </w:r>
      <w:r w:rsidR="00047A48" w:rsidRPr="003B25B4">
        <w:rPr>
          <w:rFonts w:asciiTheme="majorHAnsi" w:hAnsiTheme="majorHAnsi" w:cstheme="majorHAnsi"/>
          <w:color w:val="auto"/>
        </w:rPr>
        <w:t xml:space="preserve">It </w:t>
      </w:r>
      <w:r w:rsidRPr="003B25B4">
        <w:rPr>
          <w:color w:val="auto"/>
        </w:rPr>
        <w:t>compa</w:t>
      </w:r>
      <w:r w:rsidR="002674BE" w:rsidRPr="003B25B4">
        <w:rPr>
          <w:color w:val="auto"/>
        </w:rPr>
        <w:t>red</w:t>
      </w:r>
      <w:r w:rsidRPr="003B25B4">
        <w:rPr>
          <w:color w:val="auto"/>
        </w:rPr>
        <w:t xml:space="preserve"> </w:t>
      </w:r>
      <w:r w:rsidR="006B1607" w:rsidRPr="003B25B4">
        <w:rPr>
          <w:color w:val="auto"/>
        </w:rPr>
        <w:t>children currently in care</w:t>
      </w:r>
      <w:r w:rsidR="00A37D7B" w:rsidRPr="003B25B4">
        <w:rPr>
          <w:color w:val="auto"/>
        </w:rPr>
        <w:t xml:space="preserve"> </w:t>
      </w:r>
      <w:r w:rsidR="006B1607" w:rsidRPr="003B25B4">
        <w:rPr>
          <w:color w:val="auto"/>
        </w:rPr>
        <w:t xml:space="preserve">(the </w:t>
      </w:r>
      <w:r w:rsidR="006B1607" w:rsidRPr="003B25B4">
        <w:rPr>
          <w:i/>
          <w:color w:val="auto"/>
        </w:rPr>
        <w:lastRenderedPageBreak/>
        <w:t>care group</w:t>
      </w:r>
      <w:r w:rsidR="006B1607" w:rsidRPr="003B25B4">
        <w:rPr>
          <w:color w:val="auto"/>
        </w:rPr>
        <w:t xml:space="preserve">) to others </w:t>
      </w:r>
      <w:r w:rsidR="00B460CC" w:rsidRPr="003B25B4">
        <w:rPr>
          <w:color w:val="auto"/>
        </w:rPr>
        <w:t xml:space="preserve">with histories of child welfare involvement living at home (the </w:t>
      </w:r>
      <w:r w:rsidR="00B460CC" w:rsidRPr="003B25B4">
        <w:rPr>
          <w:i/>
          <w:color w:val="auto"/>
        </w:rPr>
        <w:t>home group</w:t>
      </w:r>
      <w:r w:rsidR="00B460CC" w:rsidRPr="003B25B4">
        <w:rPr>
          <w:color w:val="auto"/>
        </w:rPr>
        <w:t>), some of whom were reunified with their families following an episode of care while others had never been in care.</w:t>
      </w:r>
    </w:p>
    <w:p w14:paraId="6E1FF029" w14:textId="77777777" w:rsidR="001F7A38" w:rsidRPr="003B25B4" w:rsidRDefault="001F7A38" w:rsidP="00085F28">
      <w:pPr>
        <w:pStyle w:val="NoSpacing"/>
        <w:rPr>
          <w:color w:val="auto"/>
        </w:rPr>
      </w:pPr>
    </w:p>
    <w:p w14:paraId="1ED7B610" w14:textId="203E0CDD" w:rsidR="000C0661" w:rsidRPr="003B25B4" w:rsidRDefault="00D35008" w:rsidP="00085F28">
      <w:pPr>
        <w:pStyle w:val="NoSpacing"/>
        <w:rPr>
          <w:rFonts w:asciiTheme="majorHAnsi" w:hAnsiTheme="majorHAnsi" w:cstheme="majorHAnsi"/>
          <w:color w:val="auto"/>
        </w:rPr>
      </w:pPr>
      <w:r w:rsidRPr="003B25B4">
        <w:rPr>
          <w:rFonts w:asciiTheme="majorHAnsi" w:hAnsiTheme="majorHAnsi" w:cstheme="majorHAnsi"/>
          <w:color w:val="auto"/>
        </w:rPr>
        <w:t xml:space="preserve">The </w:t>
      </w:r>
      <w:r w:rsidR="00FB3277" w:rsidRPr="003B25B4">
        <w:rPr>
          <w:rFonts w:asciiTheme="majorHAnsi" w:hAnsiTheme="majorHAnsi" w:cstheme="majorHAnsi"/>
          <w:color w:val="auto"/>
        </w:rPr>
        <w:t xml:space="preserve">two </w:t>
      </w:r>
      <w:r w:rsidRPr="003B25B4">
        <w:rPr>
          <w:rFonts w:asciiTheme="majorHAnsi" w:hAnsiTheme="majorHAnsi" w:cstheme="majorHAnsi"/>
          <w:color w:val="auto"/>
        </w:rPr>
        <w:t xml:space="preserve">groups proved to be well-matched in terms of </w:t>
      </w:r>
      <w:r w:rsidR="00FB3277" w:rsidRPr="003B25B4">
        <w:rPr>
          <w:rFonts w:asciiTheme="majorHAnsi" w:hAnsiTheme="majorHAnsi" w:cstheme="majorHAnsi"/>
          <w:color w:val="auto"/>
        </w:rPr>
        <w:t xml:space="preserve">their </w:t>
      </w:r>
      <w:r w:rsidR="002218AC" w:rsidRPr="003B25B4">
        <w:rPr>
          <w:rFonts w:asciiTheme="majorHAnsi" w:hAnsiTheme="majorHAnsi" w:cstheme="majorHAnsi"/>
          <w:color w:val="auto"/>
        </w:rPr>
        <w:t xml:space="preserve">current age and </w:t>
      </w:r>
      <w:r w:rsidR="006B1607" w:rsidRPr="003B25B4">
        <w:rPr>
          <w:rFonts w:asciiTheme="majorHAnsi" w:hAnsiTheme="majorHAnsi" w:cstheme="majorHAnsi"/>
          <w:color w:val="auto"/>
        </w:rPr>
        <w:t xml:space="preserve">welfare histories </w:t>
      </w:r>
      <w:r w:rsidR="002218AC" w:rsidRPr="003B25B4">
        <w:rPr>
          <w:rFonts w:asciiTheme="majorHAnsi" w:hAnsiTheme="majorHAnsi" w:cstheme="majorHAnsi"/>
          <w:color w:val="auto"/>
        </w:rPr>
        <w:t>and t</w:t>
      </w:r>
      <w:r w:rsidRPr="003B25B4">
        <w:rPr>
          <w:rFonts w:asciiTheme="majorHAnsi" w:hAnsiTheme="majorHAnsi" w:cstheme="majorHAnsi"/>
          <w:color w:val="auto"/>
        </w:rPr>
        <w:t>here w</w:t>
      </w:r>
      <w:r w:rsidR="002218AC" w:rsidRPr="003B25B4">
        <w:rPr>
          <w:rFonts w:asciiTheme="majorHAnsi" w:hAnsiTheme="majorHAnsi" w:cstheme="majorHAnsi"/>
          <w:color w:val="auto"/>
        </w:rPr>
        <w:t xml:space="preserve">as </w:t>
      </w:r>
      <w:r w:rsidRPr="003B25B4">
        <w:rPr>
          <w:rFonts w:asciiTheme="majorHAnsi" w:hAnsiTheme="majorHAnsi" w:cstheme="majorHAnsi"/>
          <w:color w:val="auto"/>
        </w:rPr>
        <w:t xml:space="preserve">also </w:t>
      </w:r>
      <w:r w:rsidR="002218AC" w:rsidRPr="003B25B4">
        <w:rPr>
          <w:rFonts w:asciiTheme="majorHAnsi" w:hAnsiTheme="majorHAnsi" w:cstheme="majorHAnsi"/>
          <w:color w:val="auto"/>
        </w:rPr>
        <w:t>little</w:t>
      </w:r>
      <w:r w:rsidRPr="003B25B4">
        <w:rPr>
          <w:rFonts w:asciiTheme="majorHAnsi" w:hAnsiTheme="majorHAnsi" w:cstheme="majorHAnsi"/>
          <w:color w:val="auto"/>
        </w:rPr>
        <w:t xml:space="preserve"> difference</w:t>
      </w:r>
      <w:r w:rsidR="002218AC" w:rsidRPr="003B25B4">
        <w:rPr>
          <w:rFonts w:asciiTheme="majorHAnsi" w:hAnsiTheme="majorHAnsi" w:cstheme="majorHAnsi"/>
          <w:color w:val="auto"/>
        </w:rPr>
        <w:t xml:space="preserve"> between them </w:t>
      </w:r>
      <w:r w:rsidRPr="003B25B4">
        <w:rPr>
          <w:rFonts w:asciiTheme="majorHAnsi" w:hAnsiTheme="majorHAnsi" w:cstheme="majorHAnsi"/>
          <w:color w:val="auto"/>
        </w:rPr>
        <w:t>on measures of pa</w:t>
      </w:r>
      <w:r w:rsidR="002218AC" w:rsidRPr="003B25B4">
        <w:rPr>
          <w:rFonts w:asciiTheme="majorHAnsi" w:hAnsiTheme="majorHAnsi" w:cstheme="majorHAnsi"/>
          <w:color w:val="auto"/>
        </w:rPr>
        <w:t>renting style</w:t>
      </w:r>
      <w:r w:rsidRPr="003B25B4">
        <w:rPr>
          <w:rFonts w:asciiTheme="majorHAnsi" w:hAnsiTheme="majorHAnsi" w:cstheme="majorHAnsi"/>
          <w:color w:val="auto"/>
        </w:rPr>
        <w:t>.</w:t>
      </w:r>
      <w:r w:rsidR="00BD5D1D">
        <w:rPr>
          <w:rFonts w:asciiTheme="majorHAnsi" w:hAnsiTheme="majorHAnsi" w:cstheme="majorHAnsi"/>
          <w:color w:val="auto"/>
        </w:rPr>
        <w:t xml:space="preserve"> </w:t>
      </w:r>
      <w:r w:rsidR="00892C69" w:rsidRPr="003B25B4">
        <w:rPr>
          <w:rFonts w:asciiTheme="majorHAnsi" w:hAnsiTheme="majorHAnsi" w:cstheme="majorHAnsi"/>
          <w:color w:val="auto"/>
        </w:rPr>
        <w:t>However,</w:t>
      </w:r>
      <w:r w:rsidR="00D53D3B" w:rsidRPr="003B25B4">
        <w:rPr>
          <w:rFonts w:asciiTheme="majorHAnsi" w:hAnsiTheme="majorHAnsi" w:cstheme="majorHAnsi"/>
          <w:color w:val="auto"/>
        </w:rPr>
        <w:t xml:space="preserve"> children in</w:t>
      </w:r>
      <w:r w:rsidR="00892C69" w:rsidRPr="003B25B4">
        <w:rPr>
          <w:rFonts w:asciiTheme="majorHAnsi" w:hAnsiTheme="majorHAnsi" w:cstheme="majorHAnsi"/>
          <w:color w:val="auto"/>
        </w:rPr>
        <w:t xml:space="preserve"> </w:t>
      </w:r>
      <w:r w:rsidR="001F7A38" w:rsidRPr="003B25B4">
        <w:rPr>
          <w:rFonts w:asciiTheme="majorHAnsi" w:hAnsiTheme="majorHAnsi" w:cstheme="majorHAnsi"/>
          <w:color w:val="auto"/>
        </w:rPr>
        <w:t xml:space="preserve">the </w:t>
      </w:r>
      <w:r w:rsidR="001F7A38" w:rsidRPr="003B25B4">
        <w:rPr>
          <w:rFonts w:asciiTheme="majorHAnsi" w:hAnsiTheme="majorHAnsi" w:cstheme="majorHAnsi"/>
          <w:i/>
          <w:color w:val="auto"/>
        </w:rPr>
        <w:t>care group</w:t>
      </w:r>
      <w:r w:rsidR="001F7A38" w:rsidRPr="003B25B4">
        <w:rPr>
          <w:rFonts w:asciiTheme="majorHAnsi" w:hAnsiTheme="majorHAnsi" w:cstheme="majorHAnsi"/>
          <w:color w:val="auto"/>
        </w:rPr>
        <w:t xml:space="preserve"> were </w:t>
      </w:r>
      <w:r w:rsidR="00195609" w:rsidRPr="003B25B4">
        <w:rPr>
          <w:rFonts w:asciiTheme="majorHAnsi" w:hAnsiTheme="majorHAnsi" w:cstheme="majorHAnsi"/>
          <w:color w:val="auto"/>
        </w:rPr>
        <w:t xml:space="preserve">significantly more likely to have </w:t>
      </w:r>
      <w:r w:rsidR="00195609" w:rsidRPr="003B25B4">
        <w:rPr>
          <w:color w:val="auto"/>
        </w:rPr>
        <w:t>experienced severe maltreatment. They had also experienced a significantly higher total number of risk factors, including more types of abuse and neglect</w:t>
      </w:r>
      <w:r w:rsidR="002B0DD5" w:rsidRPr="003B25B4">
        <w:rPr>
          <w:color w:val="auto"/>
        </w:rPr>
        <w:t xml:space="preserve"> and more parental problems</w:t>
      </w:r>
      <w:r w:rsidR="00195609" w:rsidRPr="003B25B4">
        <w:rPr>
          <w:rFonts w:asciiTheme="majorHAnsi" w:hAnsiTheme="majorHAnsi" w:cstheme="majorHAnsi"/>
          <w:color w:val="auto"/>
        </w:rPr>
        <w:t xml:space="preserve">. </w:t>
      </w:r>
      <w:r w:rsidR="002B0DD5" w:rsidRPr="003B25B4">
        <w:rPr>
          <w:rFonts w:asciiTheme="majorHAnsi" w:hAnsiTheme="majorHAnsi" w:cstheme="majorHAnsi"/>
          <w:color w:val="auto"/>
        </w:rPr>
        <w:t xml:space="preserve">The </w:t>
      </w:r>
      <w:r w:rsidR="002B0DD5" w:rsidRPr="003B25B4">
        <w:rPr>
          <w:rFonts w:asciiTheme="majorHAnsi" w:hAnsiTheme="majorHAnsi" w:cstheme="majorHAnsi"/>
          <w:i/>
          <w:color w:val="auto"/>
        </w:rPr>
        <w:t>care group</w:t>
      </w:r>
      <w:r w:rsidR="002B0DD5" w:rsidRPr="003B25B4">
        <w:rPr>
          <w:rFonts w:asciiTheme="majorHAnsi" w:hAnsiTheme="majorHAnsi" w:cstheme="majorHAnsi"/>
          <w:color w:val="auto"/>
        </w:rPr>
        <w:t xml:space="preserve"> were also </w:t>
      </w:r>
      <w:r w:rsidR="001F7A38" w:rsidRPr="003B25B4">
        <w:rPr>
          <w:rFonts w:asciiTheme="majorHAnsi" w:hAnsiTheme="majorHAnsi" w:cstheme="majorHAnsi"/>
          <w:color w:val="auto"/>
        </w:rPr>
        <w:t>more likely to be disabled and to have SEN, although these differences did not quite reach statistical significance</w:t>
      </w:r>
      <w:r w:rsidR="00195609" w:rsidRPr="003B25B4">
        <w:rPr>
          <w:rFonts w:asciiTheme="majorHAnsi" w:hAnsiTheme="majorHAnsi" w:cstheme="majorHAnsi"/>
          <w:color w:val="auto"/>
        </w:rPr>
        <w:t>.</w:t>
      </w:r>
      <w:r w:rsidR="00BD5D1D">
        <w:rPr>
          <w:rFonts w:asciiTheme="majorHAnsi" w:hAnsiTheme="majorHAnsi" w:cstheme="majorHAnsi"/>
          <w:color w:val="auto"/>
        </w:rPr>
        <w:t xml:space="preserve"> </w:t>
      </w:r>
      <w:r w:rsidR="009E62F5" w:rsidRPr="003B25B4">
        <w:rPr>
          <w:rFonts w:asciiTheme="majorHAnsi" w:hAnsiTheme="majorHAnsi" w:cstheme="majorHAnsi"/>
          <w:color w:val="auto"/>
        </w:rPr>
        <w:t>Their parents were nearly twice as likely to have problems of drug or alcohol misuse</w:t>
      </w:r>
      <w:r w:rsidR="00A11327" w:rsidRPr="003B25B4">
        <w:rPr>
          <w:rFonts w:asciiTheme="majorHAnsi" w:hAnsiTheme="majorHAnsi" w:cstheme="majorHAnsi"/>
          <w:color w:val="auto"/>
        </w:rPr>
        <w:t>,</w:t>
      </w:r>
      <w:r w:rsidR="009E62F5" w:rsidRPr="003B25B4">
        <w:rPr>
          <w:rFonts w:asciiTheme="majorHAnsi" w:hAnsiTheme="majorHAnsi" w:cstheme="majorHAnsi"/>
          <w:color w:val="auto"/>
        </w:rPr>
        <w:t xml:space="preserve"> were more likely to be involved in offending and to have a disability or chronic health problem.</w:t>
      </w:r>
      <w:r w:rsidR="00BD5D1D">
        <w:rPr>
          <w:rFonts w:asciiTheme="majorHAnsi" w:hAnsiTheme="majorHAnsi" w:cstheme="majorHAnsi"/>
          <w:color w:val="auto"/>
        </w:rPr>
        <w:t xml:space="preserve"> </w:t>
      </w:r>
      <w:r w:rsidR="00B460CC" w:rsidRPr="003B25B4">
        <w:rPr>
          <w:rFonts w:asciiTheme="majorHAnsi" w:hAnsiTheme="majorHAnsi" w:cstheme="majorHAnsi"/>
          <w:color w:val="auto"/>
        </w:rPr>
        <w:t>More serious histories of adversity may increase both the risk of admission to care and the risk of poor educational outcomes, thus potentially op</w:t>
      </w:r>
      <w:r w:rsidR="002B0DD5" w:rsidRPr="003B25B4">
        <w:rPr>
          <w:rFonts w:asciiTheme="majorHAnsi" w:hAnsiTheme="majorHAnsi" w:cstheme="majorHAnsi"/>
          <w:color w:val="auto"/>
        </w:rPr>
        <w:t>erating as a confounding factor which may help to explain differences in attainment between children in care and those in the wider population.</w:t>
      </w:r>
    </w:p>
    <w:p w14:paraId="19D50777" w14:textId="77777777" w:rsidR="00B91AB6" w:rsidRPr="003B25B4" w:rsidRDefault="00B91AB6" w:rsidP="00085F28">
      <w:pPr>
        <w:pStyle w:val="NoSpacing"/>
        <w:rPr>
          <w:color w:val="auto"/>
        </w:rPr>
      </w:pPr>
    </w:p>
    <w:p w14:paraId="0DD83290" w14:textId="2DF4111C" w:rsidR="00587868" w:rsidRPr="003B25B4" w:rsidRDefault="008F63CC" w:rsidP="00085F28">
      <w:pPr>
        <w:pStyle w:val="NoSpacing"/>
        <w:rPr>
          <w:rFonts w:asciiTheme="majorHAnsi" w:hAnsiTheme="majorHAnsi" w:cstheme="majorHAnsi"/>
          <w:color w:val="auto"/>
        </w:rPr>
      </w:pPr>
      <w:r w:rsidRPr="003B25B4">
        <w:rPr>
          <w:rFonts w:asciiTheme="majorHAnsi" w:hAnsiTheme="majorHAnsi" w:cstheme="majorHAnsi"/>
          <w:color w:val="auto"/>
        </w:rPr>
        <w:t xml:space="preserve">Both the children currently in care and those in the </w:t>
      </w:r>
      <w:r w:rsidRPr="003B25B4">
        <w:rPr>
          <w:rFonts w:asciiTheme="majorHAnsi" w:hAnsiTheme="majorHAnsi" w:cstheme="majorHAnsi"/>
          <w:i/>
          <w:color w:val="auto"/>
        </w:rPr>
        <w:t>home group</w:t>
      </w:r>
      <w:r w:rsidRPr="003B25B4">
        <w:rPr>
          <w:rFonts w:asciiTheme="majorHAnsi" w:hAnsiTheme="majorHAnsi" w:cstheme="majorHAnsi"/>
          <w:color w:val="auto"/>
        </w:rPr>
        <w:t xml:space="preserve"> were less likely to meet age-related expectations for receptive vocabulary, literacy and communication than children in the general population.</w:t>
      </w:r>
      <w:r w:rsidR="00A168A9" w:rsidRPr="003B25B4">
        <w:rPr>
          <w:rFonts w:asciiTheme="majorHAnsi" w:hAnsiTheme="majorHAnsi" w:cstheme="majorHAnsi"/>
          <w:color w:val="auto"/>
        </w:rPr>
        <w:t xml:space="preserve"> </w:t>
      </w:r>
      <w:r w:rsidR="006C44C5" w:rsidRPr="003B25B4">
        <w:rPr>
          <w:rFonts w:asciiTheme="majorHAnsi" w:hAnsiTheme="majorHAnsi" w:cstheme="majorHAnsi"/>
          <w:color w:val="auto"/>
        </w:rPr>
        <w:t>Children in</w:t>
      </w:r>
      <w:r w:rsidR="00B81A4B" w:rsidRPr="003B25B4">
        <w:rPr>
          <w:rFonts w:asciiTheme="majorHAnsi" w:hAnsiTheme="majorHAnsi" w:cstheme="majorHAnsi"/>
          <w:color w:val="auto"/>
        </w:rPr>
        <w:t xml:space="preserve"> the </w:t>
      </w:r>
      <w:r w:rsidR="00B81A4B" w:rsidRPr="003B25B4">
        <w:rPr>
          <w:rFonts w:asciiTheme="majorHAnsi" w:hAnsiTheme="majorHAnsi" w:cstheme="majorHAnsi"/>
          <w:i/>
          <w:color w:val="auto"/>
        </w:rPr>
        <w:t>care</w:t>
      </w:r>
      <w:r w:rsidR="0061034D" w:rsidRPr="003B25B4">
        <w:rPr>
          <w:rFonts w:asciiTheme="majorHAnsi" w:hAnsiTheme="majorHAnsi" w:cstheme="majorHAnsi"/>
          <w:i/>
          <w:color w:val="auto"/>
        </w:rPr>
        <w:t xml:space="preserve"> </w:t>
      </w:r>
      <w:r w:rsidR="00B81A4B" w:rsidRPr="003B25B4">
        <w:rPr>
          <w:rFonts w:asciiTheme="majorHAnsi" w:hAnsiTheme="majorHAnsi" w:cstheme="majorHAnsi"/>
          <w:i/>
          <w:color w:val="auto"/>
        </w:rPr>
        <w:t>group</w:t>
      </w:r>
      <w:r w:rsidR="00B81A4B" w:rsidRPr="003B25B4">
        <w:rPr>
          <w:rFonts w:asciiTheme="majorHAnsi" w:hAnsiTheme="majorHAnsi" w:cstheme="majorHAnsi"/>
          <w:color w:val="auto"/>
        </w:rPr>
        <w:t xml:space="preserve"> </w:t>
      </w:r>
      <w:r w:rsidR="0061034D" w:rsidRPr="003B25B4">
        <w:rPr>
          <w:rFonts w:asciiTheme="majorHAnsi" w:hAnsiTheme="majorHAnsi" w:cstheme="majorHAnsi"/>
          <w:color w:val="auto"/>
        </w:rPr>
        <w:t>did no worse</w:t>
      </w:r>
      <w:r w:rsidR="00B81A4B" w:rsidRPr="003B25B4">
        <w:rPr>
          <w:rFonts w:asciiTheme="majorHAnsi" w:hAnsiTheme="majorHAnsi" w:cstheme="majorHAnsi"/>
          <w:color w:val="auto"/>
        </w:rPr>
        <w:t xml:space="preserve"> </w:t>
      </w:r>
      <w:r w:rsidR="0061034D" w:rsidRPr="003B25B4">
        <w:rPr>
          <w:rFonts w:asciiTheme="majorHAnsi" w:hAnsiTheme="majorHAnsi" w:cstheme="majorHAnsi"/>
          <w:color w:val="auto"/>
        </w:rPr>
        <w:t xml:space="preserve">in </w:t>
      </w:r>
      <w:r w:rsidR="00B81A4B" w:rsidRPr="003B25B4">
        <w:rPr>
          <w:rFonts w:asciiTheme="majorHAnsi" w:hAnsiTheme="majorHAnsi" w:cstheme="majorHAnsi"/>
          <w:color w:val="auto"/>
        </w:rPr>
        <w:t>relation to the development of their</w:t>
      </w:r>
      <w:r w:rsidR="0061034D" w:rsidRPr="003B25B4">
        <w:rPr>
          <w:rFonts w:asciiTheme="majorHAnsi" w:hAnsiTheme="majorHAnsi" w:cstheme="majorHAnsi"/>
          <w:color w:val="auto"/>
        </w:rPr>
        <w:t xml:space="preserve"> receptive vocabulary and literacy than other children with histori</w:t>
      </w:r>
      <w:r w:rsidR="000E7A09" w:rsidRPr="003B25B4">
        <w:rPr>
          <w:rFonts w:asciiTheme="majorHAnsi" w:hAnsiTheme="majorHAnsi" w:cstheme="majorHAnsi"/>
          <w:color w:val="auto"/>
        </w:rPr>
        <w:t>es of child welfare involvement</w:t>
      </w:r>
      <w:r w:rsidR="006C44C5" w:rsidRPr="003B25B4">
        <w:rPr>
          <w:rFonts w:asciiTheme="majorHAnsi" w:hAnsiTheme="majorHAnsi" w:cstheme="majorHAnsi"/>
          <w:color w:val="auto"/>
        </w:rPr>
        <w:t xml:space="preserve"> living at home</w:t>
      </w:r>
      <w:r w:rsidR="0061034D" w:rsidRPr="003B25B4">
        <w:rPr>
          <w:rFonts w:asciiTheme="majorHAnsi" w:hAnsiTheme="majorHAnsi" w:cstheme="majorHAnsi"/>
          <w:color w:val="auto"/>
        </w:rPr>
        <w:t>.</w:t>
      </w:r>
      <w:r w:rsidR="00BD5D1D">
        <w:rPr>
          <w:rFonts w:asciiTheme="majorHAnsi" w:hAnsiTheme="majorHAnsi" w:cstheme="majorHAnsi"/>
          <w:color w:val="auto"/>
        </w:rPr>
        <w:t xml:space="preserve"> </w:t>
      </w:r>
      <w:r w:rsidR="0061034D" w:rsidRPr="003B25B4">
        <w:rPr>
          <w:rFonts w:asciiTheme="majorHAnsi" w:hAnsiTheme="majorHAnsi" w:cstheme="majorHAnsi"/>
          <w:color w:val="auto"/>
        </w:rPr>
        <w:t>Indeed, the</w:t>
      </w:r>
      <w:r w:rsidR="00DC4714" w:rsidRPr="003B25B4">
        <w:rPr>
          <w:rFonts w:asciiTheme="majorHAnsi" w:hAnsiTheme="majorHAnsi" w:cstheme="majorHAnsi"/>
          <w:i/>
          <w:color w:val="auto"/>
        </w:rPr>
        <w:t>y</w:t>
      </w:r>
      <w:r w:rsidR="0061034D" w:rsidRPr="003B25B4">
        <w:rPr>
          <w:rFonts w:asciiTheme="majorHAnsi" w:hAnsiTheme="majorHAnsi" w:cstheme="majorHAnsi"/>
          <w:color w:val="auto"/>
        </w:rPr>
        <w:t xml:space="preserve"> appeared slightly more likely </w:t>
      </w:r>
      <w:r w:rsidR="004309C5" w:rsidRPr="003B25B4">
        <w:rPr>
          <w:rFonts w:asciiTheme="majorHAnsi" w:hAnsiTheme="majorHAnsi" w:cstheme="majorHAnsi"/>
          <w:color w:val="auto"/>
        </w:rPr>
        <w:t xml:space="preserve">to meet </w:t>
      </w:r>
      <w:r w:rsidR="006D231A" w:rsidRPr="003B25B4">
        <w:rPr>
          <w:rFonts w:asciiTheme="majorHAnsi" w:hAnsiTheme="majorHAnsi" w:cstheme="majorHAnsi"/>
          <w:color w:val="auto"/>
        </w:rPr>
        <w:t>the</w:t>
      </w:r>
      <w:r w:rsidR="00E70B3F" w:rsidRPr="003B25B4">
        <w:rPr>
          <w:rFonts w:asciiTheme="majorHAnsi" w:hAnsiTheme="majorHAnsi" w:cstheme="majorHAnsi"/>
          <w:color w:val="auto"/>
        </w:rPr>
        <w:t xml:space="preserve"> </w:t>
      </w:r>
      <w:r w:rsidR="00B81A4B" w:rsidRPr="003B25B4">
        <w:rPr>
          <w:rFonts w:asciiTheme="majorHAnsi" w:hAnsiTheme="majorHAnsi" w:cstheme="majorHAnsi"/>
          <w:color w:val="auto"/>
        </w:rPr>
        <w:t xml:space="preserve">standard </w:t>
      </w:r>
      <w:r w:rsidR="00E70B3F" w:rsidRPr="003B25B4">
        <w:rPr>
          <w:rFonts w:asciiTheme="majorHAnsi" w:hAnsiTheme="majorHAnsi" w:cstheme="majorHAnsi"/>
          <w:color w:val="auto"/>
        </w:rPr>
        <w:t>age-related</w:t>
      </w:r>
      <w:r w:rsidR="004309C5" w:rsidRPr="003B25B4">
        <w:rPr>
          <w:rFonts w:asciiTheme="majorHAnsi" w:hAnsiTheme="majorHAnsi" w:cstheme="majorHAnsi"/>
          <w:color w:val="auto"/>
        </w:rPr>
        <w:t xml:space="preserve"> expectations</w:t>
      </w:r>
      <w:r w:rsidR="0061034D" w:rsidRPr="003B25B4">
        <w:rPr>
          <w:rFonts w:asciiTheme="majorHAnsi" w:hAnsiTheme="majorHAnsi" w:cstheme="majorHAnsi"/>
          <w:color w:val="auto"/>
        </w:rPr>
        <w:t xml:space="preserve"> for receptive vocabulary </w:t>
      </w:r>
      <w:r w:rsidR="007168F3" w:rsidRPr="003B25B4">
        <w:rPr>
          <w:rFonts w:asciiTheme="majorHAnsi" w:hAnsiTheme="majorHAnsi" w:cstheme="majorHAnsi"/>
          <w:color w:val="auto"/>
        </w:rPr>
        <w:t xml:space="preserve">than the </w:t>
      </w:r>
      <w:r w:rsidR="003C5BC2" w:rsidRPr="003B25B4">
        <w:rPr>
          <w:rFonts w:asciiTheme="majorHAnsi" w:hAnsiTheme="majorHAnsi" w:cstheme="majorHAnsi"/>
          <w:i/>
          <w:color w:val="auto"/>
        </w:rPr>
        <w:t>home</w:t>
      </w:r>
      <w:r w:rsidR="007168F3" w:rsidRPr="003B25B4">
        <w:rPr>
          <w:rFonts w:asciiTheme="majorHAnsi" w:hAnsiTheme="majorHAnsi" w:cstheme="majorHAnsi"/>
          <w:i/>
          <w:color w:val="auto"/>
        </w:rPr>
        <w:t xml:space="preserve"> group</w:t>
      </w:r>
      <w:r w:rsidR="007168F3" w:rsidRPr="003B25B4">
        <w:rPr>
          <w:rFonts w:asciiTheme="majorHAnsi" w:hAnsiTheme="majorHAnsi" w:cstheme="majorHAnsi"/>
          <w:color w:val="auto"/>
        </w:rPr>
        <w:t xml:space="preserve">, </w:t>
      </w:r>
      <w:r w:rsidR="006D231A" w:rsidRPr="003B25B4">
        <w:rPr>
          <w:rFonts w:asciiTheme="majorHAnsi" w:hAnsiTheme="majorHAnsi" w:cstheme="majorHAnsi"/>
          <w:color w:val="auto"/>
        </w:rPr>
        <w:t>al</w:t>
      </w:r>
      <w:r w:rsidR="007168F3" w:rsidRPr="003B25B4">
        <w:rPr>
          <w:rFonts w:asciiTheme="majorHAnsi" w:hAnsiTheme="majorHAnsi" w:cstheme="majorHAnsi"/>
          <w:color w:val="auto"/>
        </w:rPr>
        <w:t xml:space="preserve">though this difference did not </w:t>
      </w:r>
      <w:r w:rsidR="005D6510" w:rsidRPr="003B25B4">
        <w:rPr>
          <w:rFonts w:asciiTheme="majorHAnsi" w:hAnsiTheme="majorHAnsi" w:cstheme="majorHAnsi"/>
          <w:color w:val="auto"/>
        </w:rPr>
        <w:t xml:space="preserve">quite </w:t>
      </w:r>
      <w:r w:rsidR="007168F3" w:rsidRPr="003B25B4">
        <w:rPr>
          <w:rFonts w:asciiTheme="majorHAnsi" w:hAnsiTheme="majorHAnsi" w:cstheme="majorHAnsi"/>
          <w:color w:val="auto"/>
        </w:rPr>
        <w:t>reach significance</w:t>
      </w:r>
      <w:r w:rsidR="004309C5" w:rsidRPr="003B25B4">
        <w:rPr>
          <w:rFonts w:asciiTheme="majorHAnsi" w:hAnsiTheme="majorHAnsi" w:cstheme="majorHAnsi"/>
          <w:color w:val="auto"/>
        </w:rPr>
        <w:t>.</w:t>
      </w:r>
      <w:r w:rsidR="00BD5D1D">
        <w:rPr>
          <w:rFonts w:asciiTheme="majorHAnsi" w:hAnsiTheme="majorHAnsi" w:cstheme="majorHAnsi"/>
          <w:color w:val="auto"/>
        </w:rPr>
        <w:t xml:space="preserve"> </w:t>
      </w:r>
      <w:r w:rsidR="00246ED9" w:rsidRPr="003B25B4">
        <w:rPr>
          <w:rFonts w:asciiTheme="majorHAnsi" w:hAnsiTheme="majorHAnsi" w:cstheme="majorHAnsi"/>
          <w:color w:val="auto"/>
        </w:rPr>
        <w:t>I</w:t>
      </w:r>
      <w:r w:rsidR="00DC4714" w:rsidRPr="003B25B4">
        <w:rPr>
          <w:rFonts w:asciiTheme="majorHAnsi" w:hAnsiTheme="majorHAnsi" w:cstheme="majorHAnsi"/>
          <w:color w:val="auto"/>
        </w:rPr>
        <w:t xml:space="preserve">n </w:t>
      </w:r>
      <w:r w:rsidR="00850B5F" w:rsidRPr="003B25B4">
        <w:rPr>
          <w:rFonts w:asciiTheme="majorHAnsi" w:hAnsiTheme="majorHAnsi" w:cstheme="majorHAnsi"/>
          <w:color w:val="auto"/>
        </w:rPr>
        <w:t xml:space="preserve">teacher assessments of </w:t>
      </w:r>
      <w:r w:rsidR="00850B5F" w:rsidRPr="003B25B4">
        <w:rPr>
          <w:rFonts w:asciiTheme="majorHAnsi" w:hAnsiTheme="majorHAnsi" w:cstheme="majorHAnsi"/>
          <w:color w:val="auto"/>
        </w:rPr>
        <w:lastRenderedPageBreak/>
        <w:t>communication (listening, speaking and understanding)</w:t>
      </w:r>
      <w:r w:rsidR="00246ED9" w:rsidRPr="003B25B4">
        <w:rPr>
          <w:rFonts w:asciiTheme="majorHAnsi" w:hAnsiTheme="majorHAnsi" w:cstheme="majorHAnsi"/>
          <w:color w:val="auto"/>
        </w:rPr>
        <w:t xml:space="preserve"> however</w:t>
      </w:r>
      <w:r w:rsidR="00850B5F" w:rsidRPr="003B25B4">
        <w:rPr>
          <w:rFonts w:asciiTheme="majorHAnsi" w:hAnsiTheme="majorHAnsi" w:cstheme="majorHAnsi"/>
          <w:color w:val="auto"/>
        </w:rPr>
        <w:t xml:space="preserve">, the </w:t>
      </w:r>
      <w:r w:rsidR="00850B5F" w:rsidRPr="003B25B4">
        <w:rPr>
          <w:rFonts w:asciiTheme="majorHAnsi" w:hAnsiTheme="majorHAnsi" w:cstheme="majorHAnsi"/>
          <w:i/>
          <w:color w:val="auto"/>
        </w:rPr>
        <w:t>care group</w:t>
      </w:r>
      <w:r w:rsidR="00850B5F" w:rsidRPr="003B25B4">
        <w:rPr>
          <w:rFonts w:asciiTheme="majorHAnsi" w:hAnsiTheme="majorHAnsi" w:cstheme="majorHAnsi"/>
          <w:color w:val="auto"/>
        </w:rPr>
        <w:t xml:space="preserve"> were significantly less likely to meet expectations</w:t>
      </w:r>
      <w:r w:rsidR="007E0019" w:rsidRPr="003B25B4">
        <w:rPr>
          <w:rFonts w:asciiTheme="majorHAnsi" w:hAnsiTheme="majorHAnsi" w:cstheme="majorHAnsi"/>
          <w:color w:val="auto"/>
        </w:rPr>
        <w:t xml:space="preserve"> than the </w:t>
      </w:r>
      <w:r w:rsidR="007E0019" w:rsidRPr="003B25B4">
        <w:rPr>
          <w:rFonts w:asciiTheme="majorHAnsi" w:hAnsiTheme="majorHAnsi" w:cstheme="majorHAnsi"/>
          <w:i/>
          <w:color w:val="auto"/>
        </w:rPr>
        <w:t>home group</w:t>
      </w:r>
      <w:r w:rsidR="007E0019" w:rsidRPr="003B25B4">
        <w:rPr>
          <w:rFonts w:asciiTheme="majorHAnsi" w:hAnsiTheme="majorHAnsi" w:cstheme="majorHAnsi"/>
          <w:color w:val="auto"/>
        </w:rPr>
        <w:t>.</w:t>
      </w:r>
      <w:r w:rsidR="00BD5D1D">
        <w:rPr>
          <w:rFonts w:asciiTheme="majorHAnsi" w:hAnsiTheme="majorHAnsi" w:cstheme="majorHAnsi"/>
          <w:color w:val="auto"/>
        </w:rPr>
        <w:t xml:space="preserve"> </w:t>
      </w:r>
      <w:r w:rsidR="00D7150F" w:rsidRPr="003B25B4">
        <w:rPr>
          <w:rFonts w:asciiTheme="majorHAnsi" w:hAnsiTheme="majorHAnsi" w:cstheme="majorHAnsi"/>
          <w:color w:val="auto"/>
        </w:rPr>
        <w:t>Nevertheless, on two of our three measures of educational attainment the difference between children in care and other</w:t>
      </w:r>
      <w:r w:rsidR="00587868" w:rsidRPr="003B25B4">
        <w:rPr>
          <w:rFonts w:asciiTheme="majorHAnsi" w:hAnsiTheme="majorHAnsi" w:cstheme="majorHAnsi"/>
          <w:color w:val="auto"/>
        </w:rPr>
        <w:t xml:space="preserve"> children</w:t>
      </w:r>
      <w:r w:rsidR="00D7150F" w:rsidRPr="003B25B4">
        <w:rPr>
          <w:rFonts w:asciiTheme="majorHAnsi" w:hAnsiTheme="majorHAnsi" w:cstheme="majorHAnsi"/>
          <w:color w:val="auto"/>
        </w:rPr>
        <w:t xml:space="preserve"> with histories of child welfare involvement </w:t>
      </w:r>
      <w:r w:rsidR="000E7A09" w:rsidRPr="003B25B4">
        <w:rPr>
          <w:rFonts w:asciiTheme="majorHAnsi" w:hAnsiTheme="majorHAnsi" w:cstheme="majorHAnsi"/>
          <w:color w:val="auto"/>
        </w:rPr>
        <w:t>was</w:t>
      </w:r>
      <w:r w:rsidR="00D7150F" w:rsidRPr="003B25B4">
        <w:rPr>
          <w:rFonts w:asciiTheme="majorHAnsi" w:hAnsiTheme="majorHAnsi" w:cstheme="majorHAnsi"/>
          <w:color w:val="auto"/>
        </w:rPr>
        <w:t xml:space="preserve"> not statistically significant</w:t>
      </w:r>
      <w:r w:rsidR="00587868" w:rsidRPr="003B25B4">
        <w:rPr>
          <w:rFonts w:asciiTheme="majorHAnsi" w:hAnsiTheme="majorHAnsi" w:cstheme="majorHAnsi"/>
          <w:color w:val="auto"/>
        </w:rPr>
        <w:t xml:space="preserve">, </w:t>
      </w:r>
      <w:r w:rsidR="00DC4714" w:rsidRPr="003B25B4">
        <w:rPr>
          <w:rFonts w:asciiTheme="majorHAnsi" w:hAnsiTheme="majorHAnsi" w:cstheme="majorHAnsi"/>
          <w:color w:val="auto"/>
        </w:rPr>
        <w:t>reflecting findings elsewhere</w:t>
      </w:r>
      <w:r w:rsidR="00D7150F" w:rsidRPr="003B25B4">
        <w:rPr>
          <w:rFonts w:asciiTheme="majorHAnsi" w:hAnsiTheme="majorHAnsi" w:cstheme="majorHAnsi"/>
          <w:color w:val="auto"/>
        </w:rPr>
        <w:t xml:space="preserve"> (Berger et al</w:t>
      </w:r>
      <w:r w:rsidR="00940456" w:rsidRPr="003B25B4">
        <w:rPr>
          <w:rFonts w:asciiTheme="majorHAnsi" w:hAnsiTheme="majorHAnsi" w:cstheme="majorHAnsi"/>
          <w:color w:val="auto"/>
        </w:rPr>
        <w:t>.</w:t>
      </w:r>
      <w:r w:rsidR="00F67C6C" w:rsidRPr="003B25B4">
        <w:rPr>
          <w:rFonts w:asciiTheme="majorHAnsi" w:hAnsiTheme="majorHAnsi" w:cstheme="majorHAnsi"/>
          <w:color w:val="auto"/>
        </w:rPr>
        <w:t>, 2015</w:t>
      </w:r>
      <w:r w:rsidR="00580E57" w:rsidRPr="003B25B4">
        <w:rPr>
          <w:rFonts w:asciiTheme="majorHAnsi" w:hAnsiTheme="majorHAnsi" w:cstheme="majorHAnsi"/>
          <w:color w:val="auto"/>
        </w:rPr>
        <w:t>;</w:t>
      </w:r>
      <w:r w:rsidR="00D7150F" w:rsidRPr="003B25B4">
        <w:rPr>
          <w:rFonts w:asciiTheme="majorHAnsi" w:hAnsiTheme="majorHAnsi" w:cstheme="majorHAnsi"/>
          <w:color w:val="auto"/>
        </w:rPr>
        <w:t xml:space="preserve"> </w:t>
      </w:r>
      <w:proofErr w:type="spellStart"/>
      <w:r w:rsidR="00D7150F" w:rsidRPr="003B25B4">
        <w:rPr>
          <w:rFonts w:asciiTheme="majorHAnsi" w:hAnsiTheme="majorHAnsi" w:cstheme="majorHAnsi"/>
          <w:color w:val="auto"/>
        </w:rPr>
        <w:t>Sebba</w:t>
      </w:r>
      <w:proofErr w:type="spellEnd"/>
      <w:r w:rsidR="00D7150F" w:rsidRPr="003B25B4">
        <w:rPr>
          <w:rFonts w:asciiTheme="majorHAnsi" w:hAnsiTheme="majorHAnsi" w:cstheme="majorHAnsi"/>
          <w:color w:val="auto"/>
        </w:rPr>
        <w:t xml:space="preserve"> et al</w:t>
      </w:r>
      <w:r w:rsidR="00940456" w:rsidRPr="003B25B4">
        <w:rPr>
          <w:rFonts w:asciiTheme="majorHAnsi" w:hAnsiTheme="majorHAnsi" w:cstheme="majorHAnsi"/>
          <w:color w:val="auto"/>
        </w:rPr>
        <w:t>.</w:t>
      </w:r>
      <w:r w:rsidR="00F67C6C" w:rsidRPr="003B25B4">
        <w:rPr>
          <w:rFonts w:asciiTheme="majorHAnsi" w:hAnsiTheme="majorHAnsi" w:cstheme="majorHAnsi"/>
          <w:color w:val="auto"/>
        </w:rPr>
        <w:t>, 2015</w:t>
      </w:r>
      <w:r w:rsidR="00D7150F" w:rsidRPr="003B25B4">
        <w:rPr>
          <w:rFonts w:asciiTheme="majorHAnsi" w:hAnsiTheme="majorHAnsi" w:cstheme="majorHAnsi"/>
          <w:color w:val="auto"/>
        </w:rPr>
        <w:t>).</w:t>
      </w:r>
      <w:r w:rsidR="00587868" w:rsidRPr="003B25B4">
        <w:rPr>
          <w:rFonts w:asciiTheme="majorHAnsi" w:hAnsiTheme="majorHAnsi" w:cstheme="majorHAnsi"/>
          <w:color w:val="auto"/>
        </w:rPr>
        <w:t xml:space="preserve"> </w:t>
      </w:r>
      <w:r w:rsidR="00A168A9" w:rsidRPr="003B25B4">
        <w:rPr>
          <w:rFonts w:asciiTheme="majorHAnsi" w:hAnsiTheme="majorHAnsi" w:cstheme="majorHAnsi"/>
          <w:color w:val="auto"/>
        </w:rPr>
        <w:t>This suggests that attainment on these measures is unlikely to be caused directly, or solely, by exposure to placement in care.</w:t>
      </w:r>
    </w:p>
    <w:p w14:paraId="56454A64" w14:textId="77777777" w:rsidR="00587868" w:rsidRPr="003B25B4" w:rsidRDefault="00587868" w:rsidP="00085F28">
      <w:pPr>
        <w:pStyle w:val="NoSpacing"/>
        <w:rPr>
          <w:rFonts w:asciiTheme="majorHAnsi" w:hAnsiTheme="majorHAnsi" w:cstheme="majorHAnsi"/>
          <w:color w:val="auto"/>
        </w:rPr>
      </w:pPr>
    </w:p>
    <w:p w14:paraId="1CD504FD" w14:textId="503A18D4" w:rsidR="005F0A84" w:rsidRPr="003B25B4" w:rsidRDefault="005F0A84" w:rsidP="00085F28">
      <w:pPr>
        <w:pStyle w:val="NoSpacing"/>
        <w:rPr>
          <w:rFonts w:asciiTheme="majorHAnsi" w:hAnsiTheme="majorHAnsi" w:cstheme="majorHAnsi"/>
          <w:color w:val="auto"/>
          <w:szCs w:val="24"/>
        </w:rPr>
      </w:pPr>
      <w:r w:rsidRPr="003B25B4">
        <w:rPr>
          <w:rFonts w:asciiTheme="majorHAnsi" w:hAnsiTheme="majorHAnsi" w:cstheme="majorHAnsi"/>
          <w:color w:val="auto"/>
        </w:rPr>
        <w:t>O</w:t>
      </w:r>
      <w:r w:rsidR="00587868" w:rsidRPr="003B25B4">
        <w:rPr>
          <w:rFonts w:asciiTheme="majorHAnsi" w:hAnsiTheme="majorHAnsi" w:cstheme="majorHAnsi"/>
          <w:color w:val="auto"/>
        </w:rPr>
        <w:t>ur multi</w:t>
      </w:r>
      <w:r w:rsidR="001B4504" w:rsidRPr="003B25B4">
        <w:rPr>
          <w:rFonts w:asciiTheme="majorHAnsi" w:hAnsiTheme="majorHAnsi" w:cstheme="majorHAnsi"/>
          <w:color w:val="auto"/>
        </w:rPr>
        <w:t xml:space="preserve">variate analyses </w:t>
      </w:r>
      <w:r w:rsidRPr="003B25B4">
        <w:rPr>
          <w:rFonts w:asciiTheme="majorHAnsi" w:hAnsiTheme="majorHAnsi" w:cstheme="majorHAnsi"/>
          <w:color w:val="auto"/>
        </w:rPr>
        <w:t xml:space="preserve">similarly </w:t>
      </w:r>
      <w:r w:rsidR="001B4504" w:rsidRPr="003B25B4">
        <w:rPr>
          <w:rFonts w:asciiTheme="majorHAnsi" w:hAnsiTheme="majorHAnsi" w:cstheme="majorHAnsi"/>
          <w:color w:val="auto"/>
        </w:rPr>
        <w:t>indicated that</w:t>
      </w:r>
      <w:r w:rsidR="009A0D7C" w:rsidRPr="003B25B4">
        <w:rPr>
          <w:rFonts w:asciiTheme="majorHAnsi" w:hAnsiTheme="majorHAnsi" w:cstheme="majorHAnsi"/>
          <w:color w:val="auto"/>
        </w:rPr>
        <w:t>,</w:t>
      </w:r>
      <w:r w:rsidR="001B4504" w:rsidRPr="003B25B4">
        <w:rPr>
          <w:rFonts w:asciiTheme="majorHAnsi" w:hAnsiTheme="majorHAnsi" w:cstheme="majorHAnsi"/>
          <w:color w:val="auto"/>
        </w:rPr>
        <w:t xml:space="preserve"> </w:t>
      </w:r>
      <w:r w:rsidRPr="003B25B4">
        <w:rPr>
          <w:rFonts w:asciiTheme="majorHAnsi" w:hAnsiTheme="majorHAnsi" w:cstheme="majorHAnsi"/>
          <w:color w:val="auto"/>
        </w:rPr>
        <w:t xml:space="preserve">when </w:t>
      </w:r>
      <w:r w:rsidR="0008256B" w:rsidRPr="003B25B4">
        <w:rPr>
          <w:rFonts w:asciiTheme="majorHAnsi" w:hAnsiTheme="majorHAnsi" w:cstheme="majorHAnsi"/>
          <w:color w:val="auto"/>
        </w:rPr>
        <w:t>compared to</w:t>
      </w:r>
      <w:r w:rsidR="00587868" w:rsidRPr="003B25B4">
        <w:rPr>
          <w:rFonts w:asciiTheme="majorHAnsi" w:hAnsiTheme="majorHAnsi" w:cstheme="majorHAnsi"/>
          <w:color w:val="auto"/>
        </w:rPr>
        <w:t xml:space="preserve"> child</w:t>
      </w:r>
      <w:r w:rsidR="009A0D7C" w:rsidRPr="003B25B4">
        <w:rPr>
          <w:rFonts w:asciiTheme="majorHAnsi" w:hAnsiTheme="majorHAnsi" w:cstheme="majorHAnsi"/>
          <w:color w:val="auto"/>
        </w:rPr>
        <w:t xml:space="preserve">ren with histories of child welfare </w:t>
      </w:r>
      <w:r w:rsidR="00587868" w:rsidRPr="003B25B4">
        <w:rPr>
          <w:rFonts w:asciiTheme="majorHAnsi" w:hAnsiTheme="majorHAnsi" w:cstheme="majorHAnsi"/>
          <w:color w:val="auto"/>
        </w:rPr>
        <w:t>involve</w:t>
      </w:r>
      <w:r w:rsidR="009A0D7C" w:rsidRPr="003B25B4">
        <w:rPr>
          <w:rFonts w:asciiTheme="majorHAnsi" w:hAnsiTheme="majorHAnsi" w:cstheme="majorHAnsi"/>
          <w:color w:val="auto"/>
        </w:rPr>
        <w:t>ment</w:t>
      </w:r>
      <w:r w:rsidR="0008256B" w:rsidRPr="003B25B4">
        <w:rPr>
          <w:rFonts w:asciiTheme="majorHAnsi" w:hAnsiTheme="majorHAnsi" w:cstheme="majorHAnsi"/>
          <w:color w:val="auto"/>
        </w:rPr>
        <w:t xml:space="preserve"> living at home</w:t>
      </w:r>
      <w:r w:rsidR="009A0D7C" w:rsidRPr="003B25B4">
        <w:rPr>
          <w:rFonts w:asciiTheme="majorHAnsi" w:hAnsiTheme="majorHAnsi" w:cstheme="majorHAnsi"/>
          <w:color w:val="auto"/>
        </w:rPr>
        <w:t xml:space="preserve">, </w:t>
      </w:r>
      <w:r w:rsidR="00587868" w:rsidRPr="003B25B4">
        <w:rPr>
          <w:rFonts w:asciiTheme="majorHAnsi" w:hAnsiTheme="majorHAnsi" w:cstheme="majorHAnsi"/>
          <w:color w:val="auto"/>
        </w:rPr>
        <w:t>being in care did not increase the odds of poor educational attainment.</w:t>
      </w:r>
      <w:r w:rsidR="00BD5D1D">
        <w:rPr>
          <w:rFonts w:asciiTheme="majorHAnsi" w:hAnsiTheme="majorHAnsi" w:cstheme="majorHAnsi"/>
          <w:color w:val="auto"/>
        </w:rPr>
        <w:t xml:space="preserve"> </w:t>
      </w:r>
      <w:r w:rsidR="00587868" w:rsidRPr="003B25B4">
        <w:rPr>
          <w:rFonts w:asciiTheme="majorHAnsi" w:hAnsiTheme="majorHAnsi" w:cstheme="majorHAnsi"/>
          <w:color w:val="auto"/>
        </w:rPr>
        <w:t xml:space="preserve">Instead, the </w:t>
      </w:r>
      <w:r w:rsidRPr="003B25B4">
        <w:rPr>
          <w:rFonts w:asciiTheme="majorHAnsi" w:hAnsiTheme="majorHAnsi" w:cstheme="majorHAnsi"/>
          <w:color w:val="auto"/>
        </w:rPr>
        <w:t xml:space="preserve">key </w:t>
      </w:r>
      <w:r w:rsidR="00587868" w:rsidRPr="003B25B4">
        <w:rPr>
          <w:rFonts w:asciiTheme="majorHAnsi" w:hAnsiTheme="majorHAnsi" w:cstheme="majorHAnsi"/>
          <w:color w:val="auto"/>
        </w:rPr>
        <w:t xml:space="preserve">predictors of poor </w:t>
      </w:r>
      <w:r w:rsidRPr="003B25B4">
        <w:rPr>
          <w:rFonts w:asciiTheme="majorHAnsi" w:hAnsiTheme="majorHAnsi" w:cstheme="majorHAnsi"/>
          <w:color w:val="auto"/>
        </w:rPr>
        <w:t xml:space="preserve">educational outcomes </w:t>
      </w:r>
      <w:r w:rsidR="00587868" w:rsidRPr="003B25B4">
        <w:rPr>
          <w:rFonts w:asciiTheme="majorHAnsi" w:hAnsiTheme="majorHAnsi" w:cstheme="majorHAnsi"/>
          <w:color w:val="auto"/>
        </w:rPr>
        <w:t xml:space="preserve">were </w:t>
      </w:r>
      <w:r w:rsidR="00F729F6" w:rsidRPr="003B25B4">
        <w:rPr>
          <w:rFonts w:asciiTheme="majorHAnsi" w:hAnsiTheme="majorHAnsi" w:cstheme="majorHAnsi"/>
          <w:color w:val="auto"/>
        </w:rPr>
        <w:t xml:space="preserve">having </w:t>
      </w:r>
      <w:r w:rsidR="00587868" w:rsidRPr="003B25B4">
        <w:rPr>
          <w:rFonts w:asciiTheme="majorHAnsi" w:hAnsiTheme="majorHAnsi" w:cstheme="majorHAnsi"/>
          <w:color w:val="auto"/>
        </w:rPr>
        <w:t>behaviour problems at school (receptive vocabulary and literacy</w:t>
      </w:r>
      <w:r w:rsidR="00F729F6" w:rsidRPr="003B25B4">
        <w:rPr>
          <w:rFonts w:asciiTheme="majorHAnsi" w:hAnsiTheme="majorHAnsi" w:cstheme="majorHAnsi"/>
          <w:color w:val="auto"/>
        </w:rPr>
        <w:t>) and</w:t>
      </w:r>
      <w:r w:rsidRPr="003B25B4">
        <w:rPr>
          <w:rFonts w:asciiTheme="majorHAnsi" w:hAnsiTheme="majorHAnsi" w:cstheme="majorHAnsi"/>
          <w:color w:val="auto"/>
        </w:rPr>
        <w:t xml:space="preserve"> </w:t>
      </w:r>
      <w:r w:rsidR="00F729F6" w:rsidRPr="003B25B4">
        <w:rPr>
          <w:rFonts w:asciiTheme="majorHAnsi" w:hAnsiTheme="majorHAnsi" w:cstheme="majorHAnsi"/>
          <w:color w:val="auto"/>
        </w:rPr>
        <w:t xml:space="preserve">receiving support for </w:t>
      </w:r>
      <w:r w:rsidRPr="003B25B4">
        <w:rPr>
          <w:rFonts w:asciiTheme="majorHAnsi" w:hAnsiTheme="majorHAnsi" w:cstheme="majorHAnsi"/>
          <w:color w:val="auto"/>
        </w:rPr>
        <w:t>SEN</w:t>
      </w:r>
      <w:r w:rsidR="00587868" w:rsidRPr="003B25B4">
        <w:rPr>
          <w:rFonts w:asciiTheme="majorHAnsi" w:hAnsiTheme="majorHAnsi" w:cstheme="majorHAnsi"/>
          <w:color w:val="auto"/>
        </w:rPr>
        <w:t xml:space="preserve"> (literacy and communication).</w:t>
      </w:r>
      <w:r w:rsidR="009A0D7C" w:rsidRPr="003B25B4">
        <w:rPr>
          <w:rFonts w:asciiTheme="majorHAnsi" w:hAnsiTheme="majorHAnsi" w:cstheme="majorHAnsi"/>
          <w:color w:val="auto"/>
        </w:rPr>
        <w:t xml:space="preserve"> </w:t>
      </w:r>
      <w:r w:rsidRPr="003B25B4">
        <w:rPr>
          <w:rFonts w:asciiTheme="majorHAnsi" w:hAnsiTheme="majorHAnsi" w:cstheme="majorHAnsi"/>
          <w:color w:val="auto"/>
        </w:rPr>
        <w:t>National statistics show that 56% of children</w:t>
      </w:r>
      <w:r w:rsidR="00F02B01" w:rsidRPr="003B25B4">
        <w:rPr>
          <w:rFonts w:asciiTheme="majorHAnsi" w:hAnsiTheme="majorHAnsi" w:cstheme="majorHAnsi"/>
          <w:color w:val="auto"/>
        </w:rPr>
        <w:t xml:space="preserve"> in care</w:t>
      </w:r>
      <w:r w:rsidRPr="003B25B4">
        <w:rPr>
          <w:rFonts w:asciiTheme="majorHAnsi" w:hAnsiTheme="majorHAnsi" w:cstheme="majorHAnsi"/>
          <w:color w:val="auto"/>
        </w:rPr>
        <w:t xml:space="preserve"> have SEN compared to just 14% of the overall school population (DfE 2018b). Reflecting this national pattern, the </w:t>
      </w:r>
      <w:r w:rsidRPr="003B25B4">
        <w:rPr>
          <w:rFonts w:asciiTheme="majorHAnsi" w:hAnsiTheme="majorHAnsi" w:cstheme="majorHAnsi"/>
          <w:i/>
          <w:color w:val="auto"/>
        </w:rPr>
        <w:t>care</w:t>
      </w:r>
      <w:r w:rsidRPr="003B25B4">
        <w:rPr>
          <w:rFonts w:asciiTheme="majorHAnsi" w:hAnsiTheme="majorHAnsi" w:cstheme="majorHAnsi"/>
          <w:color w:val="auto"/>
        </w:rPr>
        <w:t xml:space="preserve"> </w:t>
      </w:r>
      <w:r w:rsidRPr="003B25B4">
        <w:rPr>
          <w:rFonts w:asciiTheme="majorHAnsi" w:hAnsiTheme="majorHAnsi" w:cstheme="majorHAnsi"/>
          <w:i/>
          <w:color w:val="auto"/>
        </w:rPr>
        <w:t>group</w:t>
      </w:r>
      <w:r w:rsidRPr="003B25B4">
        <w:rPr>
          <w:rFonts w:asciiTheme="majorHAnsi" w:hAnsiTheme="majorHAnsi" w:cstheme="majorHAnsi"/>
          <w:color w:val="auto"/>
        </w:rPr>
        <w:t xml:space="preserve"> were more likely to have SEN than the home group and both groups were more likely to have SEN than the general child population. A national study of education outcomes for </w:t>
      </w:r>
      <w:r w:rsidR="00396A25" w:rsidRPr="003B25B4">
        <w:rPr>
          <w:rFonts w:asciiTheme="majorHAnsi" w:hAnsiTheme="majorHAnsi" w:cstheme="majorHAnsi"/>
          <w:color w:val="auto"/>
        </w:rPr>
        <w:t>16-year</w:t>
      </w:r>
      <w:r w:rsidRPr="003B25B4">
        <w:rPr>
          <w:rFonts w:asciiTheme="majorHAnsi" w:hAnsiTheme="majorHAnsi" w:cstheme="majorHAnsi"/>
          <w:color w:val="auto"/>
        </w:rPr>
        <w:t xml:space="preserve"> olds in England reported a similar </w:t>
      </w:r>
      <w:r w:rsidR="00A168A9" w:rsidRPr="003B25B4">
        <w:rPr>
          <w:rFonts w:asciiTheme="majorHAnsi" w:hAnsiTheme="majorHAnsi" w:cstheme="majorHAnsi"/>
          <w:color w:val="auto"/>
        </w:rPr>
        <w:t>pattern, commenting</w:t>
      </w:r>
      <w:r w:rsidRPr="003B25B4">
        <w:rPr>
          <w:rFonts w:asciiTheme="majorHAnsi" w:hAnsiTheme="majorHAnsi" w:cstheme="majorHAnsi"/>
          <w:color w:val="auto"/>
        </w:rPr>
        <w:t xml:space="preserve"> that children in care are ‘over-represented in all categories of special educational needs and we would expect this to relate to poorer (educational) outcomes’ (</w:t>
      </w:r>
      <w:proofErr w:type="spellStart"/>
      <w:r w:rsidRPr="003B25B4">
        <w:rPr>
          <w:rFonts w:asciiTheme="majorHAnsi" w:hAnsiTheme="majorHAnsi" w:cstheme="majorHAnsi"/>
          <w:color w:val="auto"/>
        </w:rPr>
        <w:t>Sebba</w:t>
      </w:r>
      <w:proofErr w:type="spellEnd"/>
      <w:r w:rsidRPr="003B25B4">
        <w:rPr>
          <w:rFonts w:asciiTheme="majorHAnsi" w:hAnsiTheme="majorHAnsi" w:cstheme="majorHAnsi"/>
          <w:color w:val="auto"/>
        </w:rPr>
        <w:t xml:space="preserve"> et al., 2015). Having SEN may therefore be a confounding factor, as it is </w:t>
      </w:r>
      <w:r w:rsidRPr="003B25B4">
        <w:rPr>
          <w:rFonts w:asciiTheme="majorHAnsi" w:hAnsiTheme="majorHAnsi" w:cstheme="majorHAnsi"/>
          <w:color w:val="auto"/>
          <w:szCs w:val="24"/>
        </w:rPr>
        <w:t xml:space="preserve">associated both with exposure to care and with educational outcomes.  </w:t>
      </w:r>
    </w:p>
    <w:p w14:paraId="4159CFBE" w14:textId="77777777" w:rsidR="00DD1A63" w:rsidRPr="003B25B4" w:rsidRDefault="00DD1A63" w:rsidP="00085F28">
      <w:pPr>
        <w:pStyle w:val="NoSpacing"/>
        <w:rPr>
          <w:rFonts w:asciiTheme="majorHAnsi" w:hAnsiTheme="majorHAnsi" w:cstheme="majorHAnsi"/>
          <w:color w:val="auto"/>
        </w:rPr>
      </w:pPr>
    </w:p>
    <w:p w14:paraId="0ADCF3A1" w14:textId="1A4552D7" w:rsidR="00081DFC" w:rsidRPr="003B25B4" w:rsidRDefault="00CE6038" w:rsidP="00085F28">
      <w:pPr>
        <w:pStyle w:val="NoSpacing"/>
        <w:rPr>
          <w:rFonts w:asciiTheme="majorHAnsi" w:hAnsiTheme="majorHAnsi" w:cstheme="majorHAnsi"/>
          <w:color w:val="auto"/>
        </w:rPr>
      </w:pPr>
      <w:r w:rsidRPr="003B25B4">
        <w:rPr>
          <w:rFonts w:asciiTheme="majorHAnsi" w:hAnsiTheme="majorHAnsi" w:cstheme="majorHAnsi"/>
          <w:color w:val="auto"/>
        </w:rPr>
        <w:t>In conclusion, this study found</w:t>
      </w:r>
      <w:r w:rsidR="002746DA" w:rsidRPr="003B25B4">
        <w:rPr>
          <w:rFonts w:asciiTheme="majorHAnsi" w:hAnsiTheme="majorHAnsi" w:cstheme="majorHAnsi"/>
          <w:color w:val="auto"/>
        </w:rPr>
        <w:t xml:space="preserve"> </w:t>
      </w:r>
      <w:r w:rsidRPr="003B25B4">
        <w:rPr>
          <w:rFonts w:asciiTheme="majorHAnsi" w:hAnsiTheme="majorHAnsi" w:cstheme="majorHAnsi"/>
          <w:color w:val="auto"/>
        </w:rPr>
        <w:t xml:space="preserve">that </w:t>
      </w:r>
      <w:r w:rsidR="00B81A4B" w:rsidRPr="003B25B4">
        <w:rPr>
          <w:rFonts w:asciiTheme="majorHAnsi" w:hAnsiTheme="majorHAnsi" w:cstheme="majorHAnsi"/>
          <w:color w:val="auto"/>
        </w:rPr>
        <w:t xml:space="preserve">once </w:t>
      </w:r>
      <w:r w:rsidR="00487719" w:rsidRPr="003B25B4">
        <w:rPr>
          <w:rFonts w:asciiTheme="majorHAnsi" w:hAnsiTheme="majorHAnsi" w:cstheme="majorHAnsi"/>
          <w:color w:val="auto"/>
        </w:rPr>
        <w:t>other</w:t>
      </w:r>
      <w:r w:rsidR="00B81A4B" w:rsidRPr="003B25B4">
        <w:rPr>
          <w:rFonts w:asciiTheme="majorHAnsi" w:hAnsiTheme="majorHAnsi" w:cstheme="majorHAnsi"/>
          <w:color w:val="auto"/>
        </w:rPr>
        <w:t xml:space="preserve"> factors were taken into account, there was little evidence </w:t>
      </w:r>
      <w:r w:rsidRPr="003B25B4">
        <w:rPr>
          <w:rFonts w:asciiTheme="majorHAnsi" w:hAnsiTheme="majorHAnsi" w:cstheme="majorHAnsi"/>
          <w:color w:val="auto"/>
        </w:rPr>
        <w:t xml:space="preserve">the educational attainment </w:t>
      </w:r>
      <w:r w:rsidR="002746DA" w:rsidRPr="003B25B4">
        <w:rPr>
          <w:rFonts w:asciiTheme="majorHAnsi" w:hAnsiTheme="majorHAnsi" w:cstheme="majorHAnsi"/>
          <w:color w:val="auto"/>
        </w:rPr>
        <w:t xml:space="preserve">of children in care was </w:t>
      </w:r>
      <w:r w:rsidR="00B81A4B" w:rsidRPr="003B25B4">
        <w:rPr>
          <w:rFonts w:asciiTheme="majorHAnsi" w:hAnsiTheme="majorHAnsi" w:cstheme="majorHAnsi"/>
          <w:color w:val="auto"/>
        </w:rPr>
        <w:t xml:space="preserve">significantly </w:t>
      </w:r>
      <w:r w:rsidR="002746DA" w:rsidRPr="003B25B4">
        <w:rPr>
          <w:rFonts w:asciiTheme="majorHAnsi" w:hAnsiTheme="majorHAnsi" w:cstheme="majorHAnsi"/>
          <w:color w:val="auto"/>
        </w:rPr>
        <w:t xml:space="preserve">worse than </w:t>
      </w:r>
      <w:r w:rsidR="002746DA" w:rsidRPr="003B25B4">
        <w:rPr>
          <w:rFonts w:asciiTheme="majorHAnsi" w:hAnsiTheme="majorHAnsi" w:cstheme="majorHAnsi"/>
          <w:color w:val="auto"/>
        </w:rPr>
        <w:lastRenderedPageBreak/>
        <w:t>that of other children with histories of child welfare</w:t>
      </w:r>
      <w:r w:rsidR="00B81A4B" w:rsidRPr="003B25B4">
        <w:rPr>
          <w:rFonts w:asciiTheme="majorHAnsi" w:hAnsiTheme="majorHAnsi" w:cstheme="majorHAnsi"/>
          <w:color w:val="auto"/>
        </w:rPr>
        <w:t xml:space="preserve"> involvement</w:t>
      </w:r>
      <w:r w:rsidR="002746DA" w:rsidRPr="003B25B4">
        <w:rPr>
          <w:rFonts w:asciiTheme="majorHAnsi" w:hAnsiTheme="majorHAnsi" w:cstheme="majorHAnsi"/>
          <w:color w:val="auto"/>
        </w:rPr>
        <w:t>.</w:t>
      </w:r>
      <w:r w:rsidR="00BD5D1D">
        <w:rPr>
          <w:rFonts w:asciiTheme="majorHAnsi" w:hAnsiTheme="majorHAnsi" w:cstheme="majorHAnsi"/>
          <w:color w:val="auto"/>
        </w:rPr>
        <w:t xml:space="preserve"> </w:t>
      </w:r>
      <w:r w:rsidRPr="003B25B4">
        <w:rPr>
          <w:rFonts w:asciiTheme="majorHAnsi" w:hAnsiTheme="majorHAnsi" w:cstheme="majorHAnsi"/>
          <w:color w:val="auto"/>
        </w:rPr>
        <w:t xml:space="preserve"> </w:t>
      </w:r>
      <w:r w:rsidR="00777261" w:rsidRPr="003B25B4">
        <w:rPr>
          <w:rFonts w:asciiTheme="majorHAnsi" w:hAnsiTheme="majorHAnsi" w:cstheme="majorHAnsi"/>
          <w:color w:val="auto"/>
        </w:rPr>
        <w:t xml:space="preserve">Our findings suggest that being in care </w:t>
      </w:r>
      <w:r w:rsidR="00B81A4B" w:rsidRPr="003B25B4">
        <w:rPr>
          <w:rFonts w:asciiTheme="majorHAnsi" w:hAnsiTheme="majorHAnsi" w:cstheme="majorHAnsi"/>
          <w:color w:val="auto"/>
        </w:rPr>
        <w:t>i</w:t>
      </w:r>
      <w:r w:rsidR="00777261" w:rsidRPr="003B25B4">
        <w:rPr>
          <w:rFonts w:asciiTheme="majorHAnsi" w:hAnsiTheme="majorHAnsi" w:cstheme="majorHAnsi"/>
          <w:color w:val="auto"/>
        </w:rPr>
        <w:t xml:space="preserve">s unlikely to be the </w:t>
      </w:r>
      <w:r w:rsidR="00B81A4B" w:rsidRPr="003B25B4">
        <w:rPr>
          <w:rFonts w:asciiTheme="majorHAnsi" w:hAnsiTheme="majorHAnsi" w:cstheme="majorHAnsi"/>
          <w:color w:val="auto"/>
        </w:rPr>
        <w:t xml:space="preserve">sole, or </w:t>
      </w:r>
      <w:r w:rsidR="00777261" w:rsidRPr="003B25B4">
        <w:rPr>
          <w:rFonts w:asciiTheme="majorHAnsi" w:hAnsiTheme="majorHAnsi" w:cstheme="majorHAnsi"/>
          <w:color w:val="auto"/>
        </w:rPr>
        <w:t>principal</w:t>
      </w:r>
      <w:r w:rsidR="00B81A4B" w:rsidRPr="003B25B4">
        <w:rPr>
          <w:rFonts w:asciiTheme="majorHAnsi" w:hAnsiTheme="majorHAnsi" w:cstheme="majorHAnsi"/>
          <w:color w:val="auto"/>
        </w:rPr>
        <w:t>,</w:t>
      </w:r>
      <w:r w:rsidR="00777261" w:rsidRPr="003B25B4">
        <w:rPr>
          <w:rFonts w:asciiTheme="majorHAnsi" w:hAnsiTheme="majorHAnsi" w:cstheme="majorHAnsi"/>
          <w:color w:val="auto"/>
        </w:rPr>
        <w:t xml:space="preserve"> cause of poor educational achievement among </w:t>
      </w:r>
      <w:r w:rsidR="00B81A4B" w:rsidRPr="003B25B4">
        <w:rPr>
          <w:rFonts w:asciiTheme="majorHAnsi" w:hAnsiTheme="majorHAnsi" w:cstheme="majorHAnsi"/>
          <w:color w:val="auto"/>
        </w:rPr>
        <w:t xml:space="preserve">the population of </w:t>
      </w:r>
      <w:r w:rsidR="00777261" w:rsidRPr="003B25B4">
        <w:rPr>
          <w:rFonts w:asciiTheme="majorHAnsi" w:hAnsiTheme="majorHAnsi" w:cstheme="majorHAnsi"/>
          <w:color w:val="auto"/>
        </w:rPr>
        <w:t>children in care relative to children in the wider population.</w:t>
      </w:r>
      <w:r w:rsidR="00BD5D1D">
        <w:rPr>
          <w:rFonts w:asciiTheme="majorHAnsi" w:hAnsiTheme="majorHAnsi" w:cstheme="majorHAnsi"/>
          <w:color w:val="auto"/>
        </w:rPr>
        <w:t xml:space="preserve"> </w:t>
      </w:r>
      <w:r w:rsidR="00777261" w:rsidRPr="003B25B4">
        <w:rPr>
          <w:rFonts w:asciiTheme="majorHAnsi" w:hAnsiTheme="majorHAnsi" w:cstheme="majorHAnsi"/>
          <w:color w:val="auto"/>
        </w:rPr>
        <w:t>Children’s pre-care experiences, including abuse, neglect and other adversities, the emotional and behavioural problems th</w:t>
      </w:r>
      <w:r w:rsidR="00B81A4B" w:rsidRPr="003B25B4">
        <w:rPr>
          <w:rFonts w:asciiTheme="majorHAnsi" w:hAnsiTheme="majorHAnsi" w:cstheme="majorHAnsi"/>
          <w:color w:val="auto"/>
        </w:rPr>
        <w:t>ey</w:t>
      </w:r>
      <w:r w:rsidR="00777261" w:rsidRPr="003B25B4">
        <w:rPr>
          <w:rFonts w:asciiTheme="majorHAnsi" w:hAnsiTheme="majorHAnsi" w:cstheme="majorHAnsi"/>
          <w:color w:val="auto"/>
        </w:rPr>
        <w:t xml:space="preserve"> may develop as a consequence of these experiences and the higher likelihood that they would have a disability or </w:t>
      </w:r>
      <w:r w:rsidR="008F63CC" w:rsidRPr="003B25B4">
        <w:rPr>
          <w:rFonts w:asciiTheme="majorHAnsi" w:hAnsiTheme="majorHAnsi" w:cstheme="majorHAnsi"/>
          <w:color w:val="auto"/>
        </w:rPr>
        <w:t xml:space="preserve">SEN </w:t>
      </w:r>
      <w:r w:rsidR="00777261" w:rsidRPr="003B25B4">
        <w:rPr>
          <w:rFonts w:asciiTheme="majorHAnsi" w:hAnsiTheme="majorHAnsi" w:cstheme="majorHAnsi"/>
          <w:color w:val="auto"/>
        </w:rPr>
        <w:t xml:space="preserve">are all likely to play a part in driving </w:t>
      </w:r>
      <w:r w:rsidR="00900591" w:rsidRPr="003B25B4">
        <w:rPr>
          <w:rFonts w:asciiTheme="majorHAnsi" w:hAnsiTheme="majorHAnsi" w:cstheme="majorHAnsi"/>
          <w:color w:val="auto"/>
        </w:rPr>
        <w:t xml:space="preserve">educational </w:t>
      </w:r>
      <w:r w:rsidR="00777261" w:rsidRPr="003B25B4">
        <w:rPr>
          <w:rFonts w:asciiTheme="majorHAnsi" w:hAnsiTheme="majorHAnsi" w:cstheme="majorHAnsi"/>
          <w:color w:val="auto"/>
        </w:rPr>
        <w:t xml:space="preserve">outcomes for these children. </w:t>
      </w:r>
      <w:r w:rsidR="00E136B4" w:rsidRPr="003B25B4">
        <w:rPr>
          <w:rFonts w:asciiTheme="majorHAnsi" w:hAnsiTheme="majorHAnsi" w:cstheme="majorHAnsi"/>
          <w:color w:val="auto"/>
        </w:rPr>
        <w:t xml:space="preserve"> </w:t>
      </w:r>
    </w:p>
    <w:p w14:paraId="7E1F9B3E" w14:textId="77777777" w:rsidR="00D806E8" w:rsidRPr="003B25B4" w:rsidRDefault="00D806E8" w:rsidP="00085F28">
      <w:pPr>
        <w:pStyle w:val="NoSpacing"/>
        <w:rPr>
          <w:rFonts w:asciiTheme="majorHAnsi" w:hAnsiTheme="majorHAnsi" w:cstheme="majorHAnsi"/>
          <w:color w:val="auto"/>
        </w:rPr>
      </w:pPr>
    </w:p>
    <w:p w14:paraId="5005F8C1" w14:textId="44FFA065" w:rsidR="00056EEA" w:rsidRPr="003B25B4" w:rsidRDefault="00081DFC" w:rsidP="00064627">
      <w:pPr>
        <w:pStyle w:val="NoSpacing"/>
        <w:rPr>
          <w:rFonts w:asciiTheme="majorHAnsi" w:hAnsiTheme="majorHAnsi" w:cstheme="majorHAnsi"/>
          <w:color w:val="auto"/>
        </w:rPr>
      </w:pPr>
      <w:r w:rsidRPr="003B25B4">
        <w:rPr>
          <w:rFonts w:asciiTheme="majorHAnsi" w:hAnsiTheme="majorHAnsi" w:cstheme="majorHAnsi"/>
          <w:color w:val="auto"/>
        </w:rPr>
        <w:t>This study</w:t>
      </w:r>
      <w:r w:rsidR="00A91C8C" w:rsidRPr="003B25B4">
        <w:rPr>
          <w:rFonts w:asciiTheme="majorHAnsi" w:hAnsiTheme="majorHAnsi" w:cstheme="majorHAnsi"/>
          <w:color w:val="auto"/>
        </w:rPr>
        <w:t xml:space="preserve"> has important implications for </w:t>
      </w:r>
      <w:r w:rsidR="00B46A5D" w:rsidRPr="003B25B4">
        <w:rPr>
          <w:rFonts w:asciiTheme="majorHAnsi" w:hAnsiTheme="majorHAnsi" w:cstheme="majorHAnsi"/>
          <w:color w:val="auto"/>
        </w:rPr>
        <w:t xml:space="preserve">the ways in which schools and other services work with children </w:t>
      </w:r>
      <w:r w:rsidR="007E4EBB" w:rsidRPr="003B25B4">
        <w:rPr>
          <w:rFonts w:asciiTheme="majorHAnsi" w:hAnsiTheme="majorHAnsi" w:cstheme="majorHAnsi"/>
          <w:color w:val="auto"/>
        </w:rPr>
        <w:t xml:space="preserve">both </w:t>
      </w:r>
      <w:r w:rsidR="00B46A5D" w:rsidRPr="003B25B4">
        <w:rPr>
          <w:rFonts w:asciiTheme="majorHAnsi" w:hAnsiTheme="majorHAnsi" w:cstheme="majorHAnsi"/>
          <w:color w:val="auto"/>
        </w:rPr>
        <w:t xml:space="preserve">in </w:t>
      </w:r>
      <w:r w:rsidR="007E4EBB" w:rsidRPr="003B25B4">
        <w:rPr>
          <w:rFonts w:asciiTheme="majorHAnsi" w:hAnsiTheme="majorHAnsi" w:cstheme="majorHAnsi"/>
          <w:color w:val="auto"/>
        </w:rPr>
        <w:t xml:space="preserve">care </w:t>
      </w:r>
      <w:r w:rsidR="00B46A5D" w:rsidRPr="003B25B4">
        <w:rPr>
          <w:rFonts w:asciiTheme="majorHAnsi" w:hAnsiTheme="majorHAnsi" w:cstheme="majorHAnsi"/>
          <w:color w:val="auto"/>
        </w:rPr>
        <w:t>and on the margins of care.</w:t>
      </w:r>
      <w:r w:rsidR="00FC51B6" w:rsidRPr="003B25B4">
        <w:rPr>
          <w:rFonts w:asciiTheme="majorHAnsi" w:hAnsiTheme="majorHAnsi" w:cstheme="majorHAnsi"/>
          <w:color w:val="auto"/>
        </w:rPr>
        <w:t xml:space="preserve"> </w:t>
      </w:r>
      <w:r w:rsidR="00A83E8D" w:rsidRPr="003B25B4">
        <w:rPr>
          <w:rFonts w:asciiTheme="majorHAnsi" w:hAnsiTheme="majorHAnsi" w:cstheme="majorHAnsi"/>
          <w:color w:val="auto"/>
        </w:rPr>
        <w:t xml:space="preserve">Current arrangements </w:t>
      </w:r>
      <w:r w:rsidR="007D0DB1" w:rsidRPr="003B25B4">
        <w:rPr>
          <w:rFonts w:asciiTheme="majorHAnsi" w:hAnsiTheme="majorHAnsi" w:cstheme="majorHAnsi"/>
          <w:color w:val="auto"/>
        </w:rPr>
        <w:t xml:space="preserve">in England </w:t>
      </w:r>
      <w:r w:rsidR="00A83E8D" w:rsidRPr="003B25B4">
        <w:rPr>
          <w:rFonts w:asciiTheme="majorHAnsi" w:hAnsiTheme="majorHAnsi" w:cstheme="majorHAnsi"/>
          <w:color w:val="auto"/>
        </w:rPr>
        <w:t xml:space="preserve">to support children in care include the </w:t>
      </w:r>
      <w:r w:rsidR="00820E36" w:rsidRPr="003B25B4">
        <w:rPr>
          <w:rFonts w:asciiTheme="majorHAnsi" w:hAnsiTheme="majorHAnsi" w:cstheme="majorHAnsi"/>
          <w:color w:val="auto"/>
        </w:rPr>
        <w:t xml:space="preserve">local authority </w:t>
      </w:r>
      <w:r w:rsidR="00A83E8D" w:rsidRPr="003B25B4">
        <w:rPr>
          <w:rFonts w:asciiTheme="majorHAnsi" w:hAnsiTheme="majorHAnsi" w:cstheme="majorHAnsi"/>
          <w:color w:val="auto"/>
        </w:rPr>
        <w:t xml:space="preserve">Virtual School </w:t>
      </w:r>
      <w:r w:rsidR="00C12EC3" w:rsidRPr="003B25B4">
        <w:rPr>
          <w:rFonts w:asciiTheme="majorHAnsi" w:hAnsiTheme="majorHAnsi" w:cstheme="majorHAnsi"/>
          <w:color w:val="auto"/>
        </w:rPr>
        <w:t>system</w:t>
      </w:r>
      <w:r w:rsidR="00820E36" w:rsidRPr="003B25B4">
        <w:rPr>
          <w:rFonts w:asciiTheme="majorHAnsi" w:hAnsiTheme="majorHAnsi" w:cstheme="majorHAnsi"/>
          <w:color w:val="auto"/>
        </w:rPr>
        <w:t>,</w:t>
      </w:r>
      <w:r w:rsidR="00066D3A" w:rsidRPr="003B25B4">
        <w:rPr>
          <w:rFonts w:asciiTheme="majorHAnsi" w:hAnsiTheme="majorHAnsi" w:cstheme="majorHAnsi"/>
          <w:color w:val="auto"/>
        </w:rPr>
        <w:t xml:space="preserve"> </w:t>
      </w:r>
      <w:r w:rsidR="00131C9A" w:rsidRPr="003B25B4">
        <w:rPr>
          <w:rFonts w:asciiTheme="majorHAnsi" w:hAnsiTheme="majorHAnsi" w:cstheme="majorHAnsi"/>
          <w:color w:val="auto"/>
        </w:rPr>
        <w:t>wh</w:t>
      </w:r>
      <w:r w:rsidR="00C12EC3" w:rsidRPr="003B25B4">
        <w:rPr>
          <w:rFonts w:asciiTheme="majorHAnsi" w:hAnsiTheme="majorHAnsi" w:cstheme="majorHAnsi"/>
          <w:color w:val="auto"/>
        </w:rPr>
        <w:t>ich</w:t>
      </w:r>
      <w:r w:rsidR="00131C9A" w:rsidRPr="003B25B4">
        <w:rPr>
          <w:rFonts w:asciiTheme="majorHAnsi" w:hAnsiTheme="majorHAnsi" w:cstheme="majorHAnsi"/>
          <w:color w:val="auto"/>
        </w:rPr>
        <w:t xml:space="preserve"> has a duty to promote the educational achievement of all children looked after </w:t>
      </w:r>
      <w:r w:rsidR="00C12EC3" w:rsidRPr="003B25B4">
        <w:rPr>
          <w:rFonts w:asciiTheme="majorHAnsi" w:hAnsiTheme="majorHAnsi" w:cstheme="majorHAnsi"/>
          <w:color w:val="auto"/>
        </w:rPr>
        <w:t>or previously looked afte</w:t>
      </w:r>
      <w:r w:rsidR="00CF3939" w:rsidRPr="003B25B4">
        <w:rPr>
          <w:rFonts w:asciiTheme="majorHAnsi" w:hAnsiTheme="majorHAnsi" w:cstheme="majorHAnsi"/>
          <w:color w:val="auto"/>
        </w:rPr>
        <w:t>r.</w:t>
      </w:r>
      <w:r w:rsidR="00BD5D1D">
        <w:rPr>
          <w:rFonts w:asciiTheme="majorHAnsi" w:hAnsiTheme="majorHAnsi" w:cstheme="majorHAnsi"/>
          <w:color w:val="auto"/>
        </w:rPr>
        <w:t xml:space="preserve"> </w:t>
      </w:r>
      <w:r w:rsidR="00CF3939" w:rsidRPr="003B25B4">
        <w:rPr>
          <w:rFonts w:asciiTheme="majorHAnsi" w:hAnsiTheme="majorHAnsi" w:cstheme="majorHAnsi"/>
          <w:color w:val="auto"/>
        </w:rPr>
        <w:t xml:space="preserve">Pupil Premium Plus payments (currently £2,300 per annum) are also </w:t>
      </w:r>
      <w:r w:rsidR="00064627" w:rsidRPr="003B25B4">
        <w:rPr>
          <w:rFonts w:asciiTheme="majorHAnsi" w:hAnsiTheme="majorHAnsi" w:cstheme="majorHAnsi"/>
          <w:color w:val="auto"/>
        </w:rPr>
        <w:t>made to schools</w:t>
      </w:r>
      <w:r w:rsidR="00CF3939" w:rsidRPr="003B25B4">
        <w:rPr>
          <w:rFonts w:asciiTheme="majorHAnsi" w:hAnsiTheme="majorHAnsi" w:cstheme="majorHAnsi"/>
          <w:color w:val="auto"/>
        </w:rPr>
        <w:t xml:space="preserve"> to </w:t>
      </w:r>
      <w:r w:rsidR="00064627" w:rsidRPr="003B25B4">
        <w:rPr>
          <w:rFonts w:asciiTheme="majorHAnsi" w:hAnsiTheme="majorHAnsi" w:cstheme="majorHAnsi"/>
          <w:color w:val="auto"/>
        </w:rPr>
        <w:t xml:space="preserve">provide additional </w:t>
      </w:r>
      <w:r w:rsidR="00CF3939" w:rsidRPr="003B25B4">
        <w:rPr>
          <w:rFonts w:asciiTheme="majorHAnsi" w:hAnsiTheme="majorHAnsi" w:cstheme="majorHAnsi"/>
          <w:color w:val="auto"/>
        </w:rPr>
        <w:t xml:space="preserve">support </w:t>
      </w:r>
      <w:r w:rsidR="00064627" w:rsidRPr="003B25B4">
        <w:rPr>
          <w:rFonts w:asciiTheme="majorHAnsi" w:hAnsiTheme="majorHAnsi" w:cstheme="majorHAnsi"/>
          <w:color w:val="auto"/>
        </w:rPr>
        <w:t>needed by such</w:t>
      </w:r>
      <w:r w:rsidR="00CF3939" w:rsidRPr="003B25B4">
        <w:rPr>
          <w:rFonts w:asciiTheme="majorHAnsi" w:hAnsiTheme="majorHAnsi" w:cstheme="majorHAnsi"/>
          <w:color w:val="auto"/>
        </w:rPr>
        <w:t xml:space="preserve"> children.</w:t>
      </w:r>
      <w:r w:rsidR="00BD5D1D">
        <w:rPr>
          <w:rFonts w:asciiTheme="majorHAnsi" w:hAnsiTheme="majorHAnsi" w:cstheme="majorHAnsi"/>
          <w:color w:val="auto"/>
        </w:rPr>
        <w:t xml:space="preserve"> </w:t>
      </w:r>
      <w:r w:rsidR="00064627" w:rsidRPr="003B25B4">
        <w:rPr>
          <w:rFonts w:asciiTheme="majorHAnsi" w:hAnsiTheme="majorHAnsi" w:cstheme="majorHAnsi"/>
          <w:color w:val="auto"/>
        </w:rPr>
        <w:t xml:space="preserve">Given that our </w:t>
      </w:r>
      <w:r w:rsidR="00FC51B6" w:rsidRPr="003B25B4">
        <w:rPr>
          <w:rFonts w:asciiTheme="majorHAnsi" w:hAnsiTheme="majorHAnsi" w:cstheme="majorHAnsi"/>
          <w:color w:val="auto"/>
        </w:rPr>
        <w:t xml:space="preserve">findings suggest that </w:t>
      </w:r>
      <w:r w:rsidR="00C43AED" w:rsidRPr="003B25B4">
        <w:rPr>
          <w:rFonts w:asciiTheme="majorHAnsi" w:hAnsiTheme="majorHAnsi" w:cstheme="majorHAnsi"/>
          <w:color w:val="auto"/>
        </w:rPr>
        <w:t>children</w:t>
      </w:r>
      <w:r w:rsidR="009B428C" w:rsidRPr="003B25B4">
        <w:rPr>
          <w:rFonts w:asciiTheme="majorHAnsi" w:hAnsiTheme="majorHAnsi" w:cstheme="majorHAnsi"/>
          <w:color w:val="auto"/>
        </w:rPr>
        <w:t xml:space="preserve"> </w:t>
      </w:r>
      <w:r w:rsidR="00485D14" w:rsidRPr="003B25B4">
        <w:rPr>
          <w:rFonts w:asciiTheme="majorHAnsi" w:hAnsiTheme="majorHAnsi" w:cstheme="majorHAnsi"/>
          <w:color w:val="auto"/>
        </w:rPr>
        <w:t>with experience of maltreatment who were living at home</w:t>
      </w:r>
      <w:r w:rsidR="00336DCB" w:rsidRPr="003B25B4">
        <w:rPr>
          <w:rFonts w:asciiTheme="majorHAnsi" w:hAnsiTheme="majorHAnsi" w:cstheme="majorHAnsi"/>
          <w:color w:val="auto"/>
        </w:rPr>
        <w:t xml:space="preserve"> were equally likely to have poor education outcomes</w:t>
      </w:r>
      <w:r w:rsidR="00064627" w:rsidRPr="003B25B4">
        <w:rPr>
          <w:rFonts w:asciiTheme="majorHAnsi" w:hAnsiTheme="majorHAnsi" w:cstheme="majorHAnsi"/>
          <w:color w:val="auto"/>
        </w:rPr>
        <w:t xml:space="preserve">, there would be significant benefits to extending both schemes to </w:t>
      </w:r>
      <w:r w:rsidR="00673736" w:rsidRPr="003B25B4">
        <w:rPr>
          <w:rFonts w:asciiTheme="majorHAnsi" w:hAnsiTheme="majorHAnsi" w:cstheme="majorHAnsi"/>
          <w:color w:val="auto"/>
        </w:rPr>
        <w:t>children on a child protection plan</w:t>
      </w:r>
      <w:r w:rsidR="00501DD4" w:rsidRPr="003B25B4">
        <w:rPr>
          <w:rFonts w:asciiTheme="majorHAnsi" w:hAnsiTheme="majorHAnsi" w:cstheme="majorHAnsi"/>
          <w:color w:val="auto"/>
        </w:rPr>
        <w:t>.</w:t>
      </w:r>
      <w:r w:rsidR="00CB1907" w:rsidRPr="003B25B4">
        <w:rPr>
          <w:rFonts w:asciiTheme="majorHAnsi" w:hAnsiTheme="majorHAnsi" w:cstheme="majorHAnsi"/>
          <w:color w:val="auto"/>
        </w:rPr>
        <w:t xml:space="preserve"> Increasing awareness </w:t>
      </w:r>
      <w:r w:rsidR="00B64D60" w:rsidRPr="003B25B4">
        <w:rPr>
          <w:rFonts w:asciiTheme="majorHAnsi" w:hAnsiTheme="majorHAnsi" w:cstheme="majorHAnsi"/>
          <w:color w:val="auto"/>
        </w:rPr>
        <w:t xml:space="preserve">and support for </w:t>
      </w:r>
      <w:r w:rsidR="00CB1907" w:rsidRPr="003B25B4">
        <w:rPr>
          <w:rFonts w:asciiTheme="majorHAnsi" w:hAnsiTheme="majorHAnsi" w:cstheme="majorHAnsi"/>
          <w:color w:val="auto"/>
        </w:rPr>
        <w:t>the needs</w:t>
      </w:r>
      <w:r w:rsidR="00724E32" w:rsidRPr="003B25B4">
        <w:rPr>
          <w:rFonts w:asciiTheme="majorHAnsi" w:hAnsiTheme="majorHAnsi" w:cstheme="majorHAnsi"/>
          <w:color w:val="auto"/>
        </w:rPr>
        <w:t>,</w:t>
      </w:r>
      <w:r w:rsidR="00CB1907" w:rsidRPr="003B25B4">
        <w:rPr>
          <w:rFonts w:asciiTheme="majorHAnsi" w:hAnsiTheme="majorHAnsi" w:cstheme="majorHAnsi"/>
          <w:color w:val="auto"/>
        </w:rPr>
        <w:t xml:space="preserve"> </w:t>
      </w:r>
      <w:r w:rsidR="00724E32" w:rsidRPr="003B25B4">
        <w:rPr>
          <w:rFonts w:asciiTheme="majorHAnsi" w:hAnsiTheme="majorHAnsi" w:cstheme="majorHAnsi"/>
          <w:color w:val="auto"/>
        </w:rPr>
        <w:t xml:space="preserve">including attachment issues and special educational needs, </w:t>
      </w:r>
      <w:r w:rsidR="00CB1907" w:rsidRPr="003B25B4">
        <w:rPr>
          <w:rFonts w:asciiTheme="majorHAnsi" w:hAnsiTheme="majorHAnsi" w:cstheme="majorHAnsi"/>
          <w:color w:val="auto"/>
        </w:rPr>
        <w:t>of</w:t>
      </w:r>
      <w:r w:rsidR="004455FD" w:rsidRPr="003B25B4">
        <w:rPr>
          <w:rFonts w:asciiTheme="majorHAnsi" w:hAnsiTheme="majorHAnsi" w:cstheme="majorHAnsi"/>
          <w:color w:val="auto"/>
        </w:rPr>
        <w:t xml:space="preserve"> children who have experienced maltreatment or other adversities</w:t>
      </w:r>
      <w:r w:rsidR="0002129A" w:rsidRPr="003B25B4">
        <w:rPr>
          <w:rFonts w:asciiTheme="majorHAnsi" w:hAnsiTheme="majorHAnsi" w:cstheme="majorHAnsi"/>
          <w:color w:val="auto"/>
        </w:rPr>
        <w:t>,</w:t>
      </w:r>
      <w:r w:rsidR="004455FD" w:rsidRPr="003B25B4">
        <w:rPr>
          <w:rFonts w:asciiTheme="majorHAnsi" w:hAnsiTheme="majorHAnsi" w:cstheme="majorHAnsi"/>
          <w:color w:val="auto"/>
        </w:rPr>
        <w:t xml:space="preserve"> </w:t>
      </w:r>
      <w:r w:rsidR="007D2579" w:rsidRPr="003B25B4">
        <w:rPr>
          <w:rFonts w:asciiTheme="majorHAnsi" w:hAnsiTheme="majorHAnsi" w:cstheme="majorHAnsi"/>
          <w:color w:val="auto"/>
        </w:rPr>
        <w:t xml:space="preserve">within schools and </w:t>
      </w:r>
      <w:r w:rsidR="00AA0589" w:rsidRPr="003B25B4">
        <w:rPr>
          <w:rFonts w:asciiTheme="majorHAnsi" w:hAnsiTheme="majorHAnsi" w:cstheme="majorHAnsi"/>
          <w:color w:val="auto"/>
        </w:rPr>
        <w:t>in</w:t>
      </w:r>
      <w:r w:rsidR="007D2579" w:rsidRPr="003B25B4">
        <w:rPr>
          <w:rFonts w:asciiTheme="majorHAnsi" w:hAnsiTheme="majorHAnsi" w:cstheme="majorHAnsi"/>
          <w:color w:val="auto"/>
        </w:rPr>
        <w:t xml:space="preserve"> initial</w:t>
      </w:r>
      <w:r w:rsidR="00AA0589" w:rsidRPr="003B25B4">
        <w:rPr>
          <w:rFonts w:asciiTheme="majorHAnsi" w:hAnsiTheme="majorHAnsi" w:cstheme="majorHAnsi"/>
          <w:color w:val="auto"/>
        </w:rPr>
        <w:t xml:space="preserve"> teacher training</w:t>
      </w:r>
      <w:r w:rsidR="00B64D60" w:rsidRPr="003B25B4">
        <w:rPr>
          <w:rFonts w:asciiTheme="majorHAnsi" w:hAnsiTheme="majorHAnsi" w:cstheme="majorHAnsi"/>
          <w:color w:val="auto"/>
        </w:rPr>
        <w:t xml:space="preserve">, would go some way to </w:t>
      </w:r>
      <w:r w:rsidR="00CB1907" w:rsidRPr="003B25B4">
        <w:rPr>
          <w:rFonts w:asciiTheme="majorHAnsi" w:hAnsiTheme="majorHAnsi" w:cstheme="majorHAnsi"/>
          <w:color w:val="auto"/>
        </w:rPr>
        <w:t>enabling these children to reach their full potential.</w:t>
      </w:r>
      <w:r w:rsidR="001213F0" w:rsidRPr="003B25B4">
        <w:rPr>
          <w:rFonts w:asciiTheme="majorHAnsi" w:hAnsiTheme="majorHAnsi" w:cstheme="majorHAnsi"/>
          <w:color w:val="auto"/>
        </w:rPr>
        <w:t xml:space="preserve"> Future </w:t>
      </w:r>
      <w:r w:rsidR="00056EEA" w:rsidRPr="003B25B4">
        <w:rPr>
          <w:rFonts w:asciiTheme="majorHAnsi" w:hAnsiTheme="majorHAnsi" w:cstheme="majorHAnsi"/>
          <w:color w:val="auto"/>
        </w:rPr>
        <w:t>research</w:t>
      </w:r>
      <w:r w:rsidR="001213F0" w:rsidRPr="003B25B4">
        <w:rPr>
          <w:rFonts w:asciiTheme="majorHAnsi" w:hAnsiTheme="majorHAnsi" w:cstheme="majorHAnsi"/>
          <w:color w:val="auto"/>
        </w:rPr>
        <w:t xml:space="preserve"> would be </w:t>
      </w:r>
      <w:r w:rsidR="00191E99" w:rsidRPr="003B25B4">
        <w:rPr>
          <w:rFonts w:asciiTheme="majorHAnsi" w:hAnsiTheme="majorHAnsi" w:cstheme="majorHAnsi"/>
          <w:color w:val="auto"/>
        </w:rPr>
        <w:t xml:space="preserve">useful to </w:t>
      </w:r>
      <w:r w:rsidR="001B64C5" w:rsidRPr="003B25B4">
        <w:rPr>
          <w:rFonts w:asciiTheme="majorHAnsi" w:hAnsiTheme="majorHAnsi" w:cstheme="majorHAnsi"/>
          <w:color w:val="auto"/>
        </w:rPr>
        <w:t>identify</w:t>
      </w:r>
      <w:r w:rsidR="00191E99" w:rsidRPr="003B25B4">
        <w:rPr>
          <w:rFonts w:asciiTheme="majorHAnsi" w:hAnsiTheme="majorHAnsi" w:cstheme="majorHAnsi"/>
          <w:color w:val="auto"/>
        </w:rPr>
        <w:t xml:space="preserve"> existing </w:t>
      </w:r>
      <w:r w:rsidR="001B64C5" w:rsidRPr="003B25B4">
        <w:rPr>
          <w:rFonts w:asciiTheme="majorHAnsi" w:hAnsiTheme="majorHAnsi" w:cstheme="majorHAnsi"/>
          <w:color w:val="auto"/>
        </w:rPr>
        <w:t xml:space="preserve">good </w:t>
      </w:r>
      <w:r w:rsidR="00191E99" w:rsidRPr="003B25B4">
        <w:rPr>
          <w:rFonts w:asciiTheme="majorHAnsi" w:hAnsiTheme="majorHAnsi" w:cstheme="majorHAnsi"/>
          <w:color w:val="auto"/>
        </w:rPr>
        <w:t xml:space="preserve">practice in schools, </w:t>
      </w:r>
      <w:r w:rsidR="001B64C5" w:rsidRPr="003B25B4">
        <w:rPr>
          <w:rFonts w:asciiTheme="majorHAnsi" w:hAnsiTheme="majorHAnsi" w:cstheme="majorHAnsi"/>
          <w:color w:val="auto"/>
        </w:rPr>
        <w:t>in supporting children in care and those</w:t>
      </w:r>
      <w:r w:rsidR="001C0B07" w:rsidRPr="003B25B4">
        <w:rPr>
          <w:rFonts w:asciiTheme="majorHAnsi" w:hAnsiTheme="majorHAnsi" w:cstheme="majorHAnsi"/>
          <w:color w:val="auto"/>
        </w:rPr>
        <w:t xml:space="preserve"> with maltreatment histories</w:t>
      </w:r>
      <w:r w:rsidR="00F13335" w:rsidRPr="003B25B4">
        <w:rPr>
          <w:rFonts w:asciiTheme="majorHAnsi" w:hAnsiTheme="majorHAnsi" w:cstheme="majorHAnsi"/>
          <w:color w:val="auto"/>
        </w:rPr>
        <w:t xml:space="preserve"> living at home</w:t>
      </w:r>
      <w:r w:rsidR="00133169" w:rsidRPr="003B25B4">
        <w:rPr>
          <w:rFonts w:asciiTheme="majorHAnsi" w:hAnsiTheme="majorHAnsi" w:cstheme="majorHAnsi"/>
          <w:color w:val="auto"/>
        </w:rPr>
        <w:t>, and their caregivers.</w:t>
      </w:r>
    </w:p>
    <w:p w14:paraId="02125883" w14:textId="77777777" w:rsidR="00085F28" w:rsidRPr="003B25B4" w:rsidRDefault="00085F28" w:rsidP="00085F28">
      <w:pPr>
        <w:pStyle w:val="NoSpacing"/>
        <w:rPr>
          <w:color w:val="auto"/>
        </w:rPr>
      </w:pPr>
    </w:p>
    <w:p w14:paraId="366033AA" w14:textId="1B0E7872" w:rsidR="00F51C2D" w:rsidRPr="003B25B4" w:rsidRDefault="009E0C94" w:rsidP="00085F28">
      <w:pPr>
        <w:pStyle w:val="Style1"/>
        <w:rPr>
          <w:rStyle w:val="IntenseReference"/>
          <w:b/>
          <w:bCs w:val="0"/>
          <w:smallCaps w:val="0"/>
          <w:color w:val="auto"/>
          <w:spacing w:val="0"/>
        </w:rPr>
      </w:pPr>
      <w:r w:rsidRPr="003B25B4">
        <w:rPr>
          <w:rStyle w:val="IntenseEmphasis"/>
          <w:b/>
          <w:iCs w:val="0"/>
          <w:color w:val="auto"/>
        </w:rPr>
        <w:t>Strengths and limitations of the study</w:t>
      </w:r>
    </w:p>
    <w:p w14:paraId="4922BBE0" w14:textId="0421CDDF" w:rsidR="009E0C94" w:rsidRPr="003B25B4" w:rsidRDefault="00E503DB" w:rsidP="00085F28">
      <w:pPr>
        <w:pStyle w:val="NoSpacing"/>
        <w:rPr>
          <w:color w:val="auto"/>
        </w:rPr>
      </w:pPr>
      <w:r w:rsidRPr="003B25B4">
        <w:rPr>
          <w:color w:val="auto"/>
        </w:rPr>
        <w:lastRenderedPageBreak/>
        <w:t>T</w:t>
      </w:r>
      <w:r w:rsidR="003D6765" w:rsidRPr="003B25B4">
        <w:rPr>
          <w:color w:val="auto"/>
        </w:rPr>
        <w:t>here are limitations to this study.</w:t>
      </w:r>
      <w:r w:rsidR="00BD5D1D">
        <w:rPr>
          <w:color w:val="auto"/>
        </w:rPr>
        <w:t xml:space="preserve"> </w:t>
      </w:r>
      <w:r w:rsidR="003D6765" w:rsidRPr="003B25B4">
        <w:rPr>
          <w:color w:val="auto"/>
        </w:rPr>
        <w:t xml:space="preserve">Many of the measures were self-report and based within a single </w:t>
      </w:r>
      <w:r w:rsidR="00736DA5" w:rsidRPr="003B25B4">
        <w:rPr>
          <w:color w:val="auto"/>
        </w:rPr>
        <w:t>l</w:t>
      </w:r>
      <w:r w:rsidR="003D6765" w:rsidRPr="003B25B4">
        <w:rPr>
          <w:color w:val="auto"/>
        </w:rPr>
        <w:t xml:space="preserve">ocal </w:t>
      </w:r>
      <w:r w:rsidR="00736DA5" w:rsidRPr="003B25B4">
        <w:rPr>
          <w:color w:val="auto"/>
        </w:rPr>
        <w:t>a</w:t>
      </w:r>
      <w:r w:rsidR="003D6765" w:rsidRPr="003B25B4">
        <w:rPr>
          <w:color w:val="auto"/>
        </w:rPr>
        <w:t>uthority.</w:t>
      </w:r>
      <w:r w:rsidR="00BD5D1D">
        <w:rPr>
          <w:color w:val="auto"/>
        </w:rPr>
        <w:t xml:space="preserve"> </w:t>
      </w:r>
      <w:r w:rsidR="00CE1B76" w:rsidRPr="003B25B4">
        <w:rPr>
          <w:color w:val="auto"/>
        </w:rPr>
        <w:t xml:space="preserve">As not all the children in the study had been in care, it was not possible to investigate the impact of placement stability and returns on educational outcomes, although both are important factors for children in care. </w:t>
      </w:r>
      <w:r w:rsidR="003D6765" w:rsidRPr="003B25B4">
        <w:rPr>
          <w:color w:val="auto"/>
        </w:rPr>
        <w:t>In addition, given the difficulties of researching this population it was a non</w:t>
      </w:r>
      <w:r w:rsidR="004F467C" w:rsidRPr="003B25B4">
        <w:rPr>
          <w:color w:val="auto"/>
        </w:rPr>
        <w:t>-</w:t>
      </w:r>
      <w:r w:rsidR="003D6765" w:rsidRPr="003B25B4">
        <w:rPr>
          <w:color w:val="auto"/>
        </w:rPr>
        <w:t>experimental design, and therefore largely descriptive and correlational.</w:t>
      </w:r>
      <w:r w:rsidR="00BD5D1D">
        <w:rPr>
          <w:color w:val="auto"/>
        </w:rPr>
        <w:t xml:space="preserve"> </w:t>
      </w:r>
      <w:r w:rsidR="003D6765" w:rsidRPr="003B25B4">
        <w:rPr>
          <w:color w:val="auto"/>
        </w:rPr>
        <w:t>However, a g</w:t>
      </w:r>
      <w:r w:rsidR="008E242B" w:rsidRPr="003B25B4">
        <w:rPr>
          <w:color w:val="auto"/>
        </w:rPr>
        <w:t>ood sample size</w:t>
      </w:r>
      <w:r w:rsidR="003D6765" w:rsidRPr="003B25B4">
        <w:rPr>
          <w:color w:val="auto"/>
        </w:rPr>
        <w:t xml:space="preserve"> was achieved for a study of this type and the data was drawn from multiple sources.</w:t>
      </w:r>
      <w:r w:rsidR="00BD5D1D">
        <w:rPr>
          <w:color w:val="auto"/>
        </w:rPr>
        <w:t xml:space="preserve"> </w:t>
      </w:r>
      <w:r w:rsidR="00396A25" w:rsidRPr="003B25B4">
        <w:rPr>
          <w:color w:val="auto"/>
        </w:rPr>
        <w:t>Consequently,</w:t>
      </w:r>
      <w:r w:rsidR="003D6765" w:rsidRPr="003B25B4">
        <w:rPr>
          <w:color w:val="auto"/>
        </w:rPr>
        <w:t xml:space="preserve"> whilst we are tentative in drawing </w:t>
      </w:r>
      <w:r w:rsidR="00396A25" w:rsidRPr="003B25B4">
        <w:rPr>
          <w:color w:val="auto"/>
        </w:rPr>
        <w:t>conclusions,</w:t>
      </w:r>
      <w:r w:rsidR="003D6765" w:rsidRPr="003B25B4">
        <w:rPr>
          <w:color w:val="auto"/>
        </w:rPr>
        <w:t xml:space="preserve"> we feel that this provides valuable</w:t>
      </w:r>
      <w:r w:rsidR="005F0A84" w:rsidRPr="003B25B4">
        <w:rPr>
          <w:color w:val="auto"/>
        </w:rPr>
        <w:t xml:space="preserve"> </w:t>
      </w:r>
      <w:r w:rsidR="00A168A9" w:rsidRPr="003B25B4">
        <w:rPr>
          <w:color w:val="auto"/>
        </w:rPr>
        <w:t>new evidence</w:t>
      </w:r>
      <w:r w:rsidR="003D6765" w:rsidRPr="003B25B4">
        <w:rPr>
          <w:color w:val="auto"/>
        </w:rPr>
        <w:t xml:space="preserve"> in an under-researched area</w:t>
      </w:r>
      <w:r w:rsidR="000A32F6" w:rsidRPr="003B25B4">
        <w:rPr>
          <w:color w:val="auto"/>
        </w:rPr>
        <w:t>, and is of relevance both in the UK context and internationally</w:t>
      </w:r>
      <w:r w:rsidR="005F0A84" w:rsidRPr="003B25B4">
        <w:rPr>
          <w:color w:val="auto"/>
        </w:rPr>
        <w:t>.</w:t>
      </w:r>
      <w:r w:rsidR="000C0196" w:rsidRPr="003B25B4">
        <w:rPr>
          <w:color w:val="auto"/>
        </w:rPr>
        <w:t xml:space="preserve"> </w:t>
      </w:r>
    </w:p>
    <w:p w14:paraId="79FC3DDD" w14:textId="7001ECC9" w:rsidR="003D6765" w:rsidRPr="003B25B4" w:rsidRDefault="003D6765" w:rsidP="00085F28">
      <w:pPr>
        <w:pStyle w:val="NoSpacing"/>
        <w:rPr>
          <w:color w:val="auto"/>
        </w:rPr>
      </w:pPr>
    </w:p>
    <w:p w14:paraId="538E3638" w14:textId="02CBEFED" w:rsidR="005F6C26" w:rsidRPr="003B25B4" w:rsidRDefault="008E242B" w:rsidP="00085F28">
      <w:pPr>
        <w:pStyle w:val="NoSpacing"/>
        <w:rPr>
          <w:b/>
          <w:color w:val="auto"/>
          <w:sz w:val="28"/>
        </w:rPr>
      </w:pPr>
      <w:r w:rsidRPr="003B25B4">
        <w:rPr>
          <w:b/>
          <w:color w:val="auto"/>
          <w:sz w:val="28"/>
        </w:rPr>
        <w:t>References</w:t>
      </w:r>
    </w:p>
    <w:p w14:paraId="55FC9FCF" w14:textId="228DCB7A" w:rsidR="00F63F9D" w:rsidRPr="00BD5D1D" w:rsidRDefault="00BD5D1D" w:rsidP="00C8612C">
      <w:pPr>
        <w:pStyle w:val="NoSpacing"/>
        <w:spacing w:after="120"/>
        <w:ind w:left="720" w:hanging="720"/>
        <w:rPr>
          <w:color w:val="auto"/>
          <w:szCs w:val="24"/>
        </w:rPr>
      </w:pPr>
      <w:proofErr w:type="gramStart"/>
      <w:r w:rsidRPr="00BD5D1D">
        <w:rPr>
          <w:szCs w:val="24"/>
        </w:rPr>
        <w:t xml:space="preserve">Biehal, N., Baldwin, H., Cusworth, L., Wade, J., </w:t>
      </w:r>
      <w:r>
        <w:rPr>
          <w:szCs w:val="24"/>
        </w:rPr>
        <w:t xml:space="preserve">and </w:t>
      </w:r>
      <w:r w:rsidRPr="00BD5D1D">
        <w:rPr>
          <w:szCs w:val="24"/>
        </w:rPr>
        <w:t>Allgar, V.</w:t>
      </w:r>
      <w:r w:rsidR="00F63F9D" w:rsidRPr="00BD5D1D">
        <w:rPr>
          <w:color w:val="auto"/>
          <w:szCs w:val="24"/>
        </w:rPr>
        <w:t xml:space="preserve"> (2018) </w:t>
      </w:r>
      <w:r w:rsidR="0015508F" w:rsidRPr="00BD5D1D">
        <w:rPr>
          <w:color w:val="auto"/>
          <w:szCs w:val="24"/>
        </w:rPr>
        <w:t>‘</w:t>
      </w:r>
      <w:r w:rsidR="00F63F9D" w:rsidRPr="00BD5D1D">
        <w:rPr>
          <w:color w:val="auto"/>
          <w:szCs w:val="24"/>
        </w:rPr>
        <w:t>In-home support or out of home care?</w:t>
      </w:r>
      <w:proofErr w:type="gramEnd"/>
      <w:r w:rsidR="00F63F9D" w:rsidRPr="00BD5D1D">
        <w:rPr>
          <w:color w:val="auto"/>
          <w:szCs w:val="24"/>
        </w:rPr>
        <w:t xml:space="preserve"> </w:t>
      </w:r>
      <w:proofErr w:type="gramStart"/>
      <w:r w:rsidR="00F63F9D" w:rsidRPr="00BD5D1D">
        <w:rPr>
          <w:color w:val="auto"/>
          <w:szCs w:val="24"/>
        </w:rPr>
        <w:t>Thresholds for intervention with abused and neglected children</w:t>
      </w:r>
      <w:r w:rsidR="0015508F" w:rsidRPr="00BD5D1D">
        <w:rPr>
          <w:color w:val="auto"/>
          <w:szCs w:val="24"/>
        </w:rPr>
        <w:t>’,</w:t>
      </w:r>
      <w:r w:rsidR="00F63F9D" w:rsidRPr="00BD5D1D">
        <w:rPr>
          <w:color w:val="auto"/>
          <w:szCs w:val="24"/>
        </w:rPr>
        <w:t xml:space="preserve"> </w:t>
      </w:r>
      <w:r w:rsidR="00F63F9D" w:rsidRPr="00BD5D1D">
        <w:rPr>
          <w:i/>
          <w:iCs/>
          <w:color w:val="auto"/>
          <w:szCs w:val="24"/>
        </w:rPr>
        <w:t>Children and Youth Services Review</w:t>
      </w:r>
      <w:r w:rsidR="00F63F9D" w:rsidRPr="00BD5D1D">
        <w:rPr>
          <w:color w:val="auto"/>
          <w:szCs w:val="24"/>
        </w:rPr>
        <w:t>, 89</w:t>
      </w:r>
      <w:r w:rsidR="0015508F" w:rsidRPr="00BD5D1D">
        <w:rPr>
          <w:color w:val="auto"/>
          <w:szCs w:val="24"/>
        </w:rPr>
        <w:t>,</w:t>
      </w:r>
      <w:r w:rsidR="00C30D0C" w:rsidRPr="00BD5D1D">
        <w:rPr>
          <w:color w:val="auto"/>
          <w:szCs w:val="24"/>
        </w:rPr>
        <w:t xml:space="preserve"> pp. </w:t>
      </w:r>
      <w:r w:rsidR="00F63F9D" w:rsidRPr="00BD5D1D">
        <w:rPr>
          <w:color w:val="auto"/>
          <w:szCs w:val="24"/>
        </w:rPr>
        <w:t>263-271.</w:t>
      </w:r>
      <w:proofErr w:type="gramEnd"/>
      <w:r>
        <w:rPr>
          <w:color w:val="auto"/>
          <w:szCs w:val="24"/>
        </w:rPr>
        <w:t xml:space="preserve"> </w:t>
      </w:r>
      <w:hyperlink r:id="rId13" w:history="1">
        <w:r w:rsidRPr="00392581">
          <w:rPr>
            <w:rStyle w:val="Hyperlink"/>
            <w:szCs w:val="24"/>
          </w:rPr>
          <w:t>https://doi.org/10.1016/j.childyouth.2018.04.041</w:t>
        </w:r>
      </w:hyperlink>
    </w:p>
    <w:p w14:paraId="034BF97F" w14:textId="7DBECC7F" w:rsidR="00F63F9D" w:rsidRPr="003B25B4" w:rsidRDefault="00BD5D1D" w:rsidP="00C8612C">
      <w:pPr>
        <w:pStyle w:val="NoSpacing"/>
        <w:spacing w:after="120"/>
        <w:ind w:left="720" w:hanging="720"/>
        <w:rPr>
          <w:color w:val="auto"/>
          <w:szCs w:val="24"/>
        </w:rPr>
      </w:pPr>
      <w:proofErr w:type="gramStart"/>
      <w:r w:rsidRPr="00BD5D1D">
        <w:rPr>
          <w:szCs w:val="24"/>
        </w:rPr>
        <w:t xml:space="preserve">Baldwin, H., Biehal, N., Cusworth, L., Wade, J., Allgar, V., </w:t>
      </w:r>
      <w:r>
        <w:rPr>
          <w:szCs w:val="24"/>
        </w:rPr>
        <w:t>and</w:t>
      </w:r>
      <w:r w:rsidRPr="00BD5D1D">
        <w:rPr>
          <w:szCs w:val="24"/>
        </w:rPr>
        <w:t xml:space="preserve"> </w:t>
      </w:r>
      <w:proofErr w:type="spellStart"/>
      <w:r w:rsidRPr="00BD5D1D">
        <w:rPr>
          <w:szCs w:val="24"/>
        </w:rPr>
        <w:t>Vostanis</w:t>
      </w:r>
      <w:proofErr w:type="spellEnd"/>
      <w:r w:rsidRPr="00BD5D1D">
        <w:rPr>
          <w:szCs w:val="24"/>
        </w:rPr>
        <w:t>, P.</w:t>
      </w:r>
      <w:r w:rsidRPr="00BD5D1D">
        <w:rPr>
          <w:color w:val="auto"/>
          <w:szCs w:val="24"/>
        </w:rPr>
        <w:t xml:space="preserve"> </w:t>
      </w:r>
      <w:r w:rsidR="00F63F9D" w:rsidRPr="00BD5D1D">
        <w:rPr>
          <w:color w:val="auto"/>
          <w:szCs w:val="24"/>
        </w:rPr>
        <w:t xml:space="preserve">(2019) </w:t>
      </w:r>
      <w:r w:rsidR="00C30D0C" w:rsidRPr="00BD5D1D">
        <w:rPr>
          <w:color w:val="auto"/>
          <w:szCs w:val="24"/>
        </w:rPr>
        <w:t>‘Disentangling the effect of out-of-home care on child mental health’,</w:t>
      </w:r>
      <w:r w:rsidR="00F63F9D" w:rsidRPr="00BD5D1D">
        <w:rPr>
          <w:color w:val="auto"/>
          <w:szCs w:val="24"/>
        </w:rPr>
        <w:t xml:space="preserve"> </w:t>
      </w:r>
      <w:r w:rsidR="00F63F9D" w:rsidRPr="00BD5D1D">
        <w:rPr>
          <w:i/>
          <w:iCs/>
          <w:color w:val="auto"/>
          <w:szCs w:val="24"/>
        </w:rPr>
        <w:t>Child Abuse &amp; Neglect</w:t>
      </w:r>
      <w:r w:rsidR="00C30D0C" w:rsidRPr="00BD5D1D">
        <w:rPr>
          <w:color w:val="auto"/>
          <w:szCs w:val="24"/>
        </w:rPr>
        <w:t>, 88, pp. 189-200.</w:t>
      </w:r>
      <w:proofErr w:type="gramEnd"/>
      <w:r w:rsidR="00C30D0C" w:rsidRPr="003B25B4">
        <w:rPr>
          <w:color w:val="auto"/>
          <w:szCs w:val="24"/>
        </w:rPr>
        <w:t xml:space="preserve"> </w:t>
      </w:r>
      <w:hyperlink r:id="rId14" w:tgtFrame="_blank" w:tooltip="Persistent link using digital object identifier" w:history="1">
        <w:r w:rsidR="00C30D0C" w:rsidRPr="003B25B4">
          <w:rPr>
            <w:color w:val="auto"/>
            <w:szCs w:val="24"/>
            <w:u w:val="single"/>
          </w:rPr>
          <w:t>https://doi.org/10.1016/j.chiabu.2018.11.011</w:t>
        </w:r>
      </w:hyperlink>
    </w:p>
    <w:p w14:paraId="5B5C9CF4" w14:textId="5AA252C9" w:rsidR="008465C0" w:rsidRPr="003B25B4" w:rsidRDefault="008E242B" w:rsidP="00C8612C">
      <w:pPr>
        <w:pStyle w:val="NoSpacing"/>
        <w:spacing w:after="120"/>
        <w:ind w:left="720" w:hanging="720"/>
        <w:rPr>
          <w:color w:val="auto"/>
          <w:szCs w:val="24"/>
        </w:rPr>
      </w:pPr>
      <w:proofErr w:type="spellStart"/>
      <w:r w:rsidRPr="003B25B4">
        <w:rPr>
          <w:color w:val="auto"/>
          <w:szCs w:val="24"/>
        </w:rPr>
        <w:t>Asmussen</w:t>
      </w:r>
      <w:proofErr w:type="spellEnd"/>
      <w:r w:rsidRPr="003B25B4">
        <w:rPr>
          <w:color w:val="auto"/>
          <w:szCs w:val="24"/>
        </w:rPr>
        <w:t xml:space="preserve">, K., Feinstein, L., Martin, J. </w:t>
      </w:r>
      <w:r w:rsidR="00940456" w:rsidRPr="003B25B4">
        <w:rPr>
          <w:color w:val="auto"/>
          <w:szCs w:val="24"/>
        </w:rPr>
        <w:t>and</w:t>
      </w:r>
      <w:r w:rsidR="00C30D0C" w:rsidRPr="003B25B4">
        <w:rPr>
          <w:color w:val="auto"/>
          <w:szCs w:val="24"/>
        </w:rPr>
        <w:t xml:space="preserve"> </w:t>
      </w:r>
      <w:proofErr w:type="spellStart"/>
      <w:r w:rsidR="00C30D0C" w:rsidRPr="003B25B4">
        <w:rPr>
          <w:color w:val="auto"/>
          <w:szCs w:val="24"/>
        </w:rPr>
        <w:t>Chowdry</w:t>
      </w:r>
      <w:proofErr w:type="spellEnd"/>
      <w:r w:rsidR="00C30D0C" w:rsidRPr="003B25B4">
        <w:rPr>
          <w:color w:val="auto"/>
          <w:szCs w:val="24"/>
        </w:rPr>
        <w:t>, H. (2016)</w:t>
      </w:r>
      <w:r w:rsidRPr="003B25B4">
        <w:rPr>
          <w:color w:val="auto"/>
          <w:szCs w:val="24"/>
        </w:rPr>
        <w:t xml:space="preserve"> </w:t>
      </w:r>
      <w:r w:rsidRPr="003B25B4">
        <w:rPr>
          <w:i/>
          <w:color w:val="auto"/>
          <w:szCs w:val="24"/>
        </w:rPr>
        <w:t>Foundations for Life: What Works to Support Parent Child Interaction in the Early Years</w:t>
      </w:r>
      <w:r w:rsidR="00C30D0C" w:rsidRPr="003B25B4">
        <w:rPr>
          <w:i/>
          <w:color w:val="auto"/>
          <w:szCs w:val="24"/>
        </w:rPr>
        <w:t>,</w:t>
      </w:r>
      <w:r w:rsidRPr="003B25B4">
        <w:rPr>
          <w:color w:val="auto"/>
          <w:szCs w:val="24"/>
        </w:rPr>
        <w:t xml:space="preserve"> Early Intervention Foundation</w:t>
      </w:r>
      <w:r w:rsidR="00C30D0C" w:rsidRPr="003B25B4">
        <w:rPr>
          <w:color w:val="auto"/>
          <w:szCs w:val="24"/>
        </w:rPr>
        <w:t xml:space="preserve">, </w:t>
      </w:r>
      <w:proofErr w:type="gramStart"/>
      <w:r w:rsidR="00C30D0C" w:rsidRPr="003B25B4">
        <w:rPr>
          <w:color w:val="auto"/>
          <w:szCs w:val="24"/>
        </w:rPr>
        <w:t>London</w:t>
      </w:r>
      <w:proofErr w:type="gramEnd"/>
      <w:r w:rsidR="00E048F8" w:rsidRPr="003B25B4">
        <w:rPr>
          <w:color w:val="auto"/>
          <w:szCs w:val="24"/>
        </w:rPr>
        <w:t>.</w:t>
      </w:r>
    </w:p>
    <w:p w14:paraId="16A344B3" w14:textId="09C0DFAA" w:rsidR="008465C0" w:rsidRPr="003B25B4" w:rsidRDefault="0092710D" w:rsidP="00C8612C">
      <w:pPr>
        <w:pStyle w:val="NoSpacing"/>
        <w:spacing w:after="120"/>
        <w:ind w:left="720" w:hanging="720"/>
        <w:rPr>
          <w:color w:val="auto"/>
          <w:shd w:val="clear" w:color="auto" w:fill="FFFFFF"/>
        </w:rPr>
      </w:pPr>
      <w:r w:rsidRPr="003B25B4">
        <w:rPr>
          <w:color w:val="auto"/>
          <w:shd w:val="clear" w:color="auto" w:fill="FFFFFF"/>
        </w:rPr>
        <w:t>Australian Institute of Health and Welfare (2015) </w:t>
      </w:r>
      <w:r w:rsidRPr="003B25B4">
        <w:rPr>
          <w:rStyle w:val="Emphasis"/>
          <w:rFonts w:asciiTheme="majorHAnsi" w:hAnsiTheme="majorHAnsi" w:cstheme="majorHAnsi"/>
          <w:color w:val="auto"/>
          <w:szCs w:val="24"/>
          <w:shd w:val="clear" w:color="auto" w:fill="FFFFFF"/>
        </w:rPr>
        <w:t>Educational outcomes for children in care: linking child protection and NAPLAN data</w:t>
      </w:r>
      <w:r w:rsidRPr="003B25B4">
        <w:rPr>
          <w:color w:val="auto"/>
          <w:shd w:val="clear" w:color="auto" w:fill="FFFFFF"/>
        </w:rPr>
        <w:t>, AIHW, Canberra.</w:t>
      </w:r>
    </w:p>
    <w:p w14:paraId="0E7337FB" w14:textId="33D6780E" w:rsidR="008465C0" w:rsidRPr="003B25B4" w:rsidRDefault="00D941C1" w:rsidP="00C8612C">
      <w:pPr>
        <w:pStyle w:val="NoSpacing"/>
        <w:spacing w:after="120"/>
        <w:ind w:left="720" w:hanging="720"/>
        <w:rPr>
          <w:color w:val="auto"/>
        </w:rPr>
      </w:pPr>
      <w:proofErr w:type="gramStart"/>
      <w:r w:rsidRPr="003B25B4">
        <w:rPr>
          <w:color w:val="auto"/>
        </w:rPr>
        <w:lastRenderedPageBreak/>
        <w:t>Bebbington</w:t>
      </w:r>
      <w:r w:rsidR="00981386" w:rsidRPr="003B25B4">
        <w:rPr>
          <w:color w:val="auto"/>
        </w:rPr>
        <w:t>, A.</w:t>
      </w:r>
      <w:r w:rsidR="002D71D1" w:rsidRPr="003B25B4">
        <w:rPr>
          <w:color w:val="auto"/>
        </w:rPr>
        <w:t xml:space="preserve"> and</w:t>
      </w:r>
      <w:r w:rsidRPr="003B25B4">
        <w:rPr>
          <w:color w:val="auto"/>
        </w:rPr>
        <w:t xml:space="preserve"> Miles</w:t>
      </w:r>
      <w:r w:rsidR="00981386" w:rsidRPr="003B25B4">
        <w:rPr>
          <w:color w:val="auto"/>
        </w:rPr>
        <w:t>, J.</w:t>
      </w:r>
      <w:r w:rsidRPr="003B25B4">
        <w:rPr>
          <w:color w:val="auto"/>
        </w:rPr>
        <w:t xml:space="preserve"> (1989)</w:t>
      </w:r>
      <w:r w:rsidR="00981386" w:rsidRPr="003B25B4">
        <w:rPr>
          <w:color w:val="auto"/>
        </w:rPr>
        <w:t xml:space="preserve"> </w:t>
      </w:r>
      <w:r w:rsidR="00C30D0C" w:rsidRPr="003B25B4">
        <w:rPr>
          <w:color w:val="auto"/>
        </w:rPr>
        <w:t>‘</w:t>
      </w:r>
      <w:r w:rsidR="00981386" w:rsidRPr="003B25B4">
        <w:rPr>
          <w:color w:val="auto"/>
        </w:rPr>
        <w:t>The Background of Children who enter Local Authority Care</w:t>
      </w:r>
      <w:r w:rsidR="00C30D0C" w:rsidRPr="003B25B4">
        <w:rPr>
          <w:color w:val="auto"/>
        </w:rPr>
        <w:t>’,</w:t>
      </w:r>
      <w:r w:rsidR="00981386" w:rsidRPr="003B25B4">
        <w:rPr>
          <w:color w:val="auto"/>
        </w:rPr>
        <w:t xml:space="preserve"> </w:t>
      </w:r>
      <w:r w:rsidR="00981386" w:rsidRPr="003B25B4">
        <w:rPr>
          <w:i/>
          <w:color w:val="auto"/>
        </w:rPr>
        <w:t>The British Journal of Social Work</w:t>
      </w:r>
      <w:r w:rsidR="00981386" w:rsidRPr="003B25B4">
        <w:rPr>
          <w:color w:val="auto"/>
        </w:rPr>
        <w:t>, 19</w:t>
      </w:r>
      <w:r w:rsidR="00C30D0C" w:rsidRPr="003B25B4">
        <w:rPr>
          <w:color w:val="auto"/>
        </w:rPr>
        <w:t xml:space="preserve"> </w:t>
      </w:r>
      <w:r w:rsidR="00981386" w:rsidRPr="003B25B4">
        <w:rPr>
          <w:color w:val="auto"/>
        </w:rPr>
        <w:t>(</w:t>
      </w:r>
      <w:r w:rsidR="00981386" w:rsidRPr="003B25B4">
        <w:rPr>
          <w:i/>
          <w:color w:val="auto"/>
        </w:rPr>
        <w:t>5</w:t>
      </w:r>
      <w:r w:rsidR="00981386" w:rsidRPr="003B25B4">
        <w:rPr>
          <w:color w:val="auto"/>
        </w:rPr>
        <w:t xml:space="preserve">), </w:t>
      </w:r>
      <w:r w:rsidR="00C30D0C" w:rsidRPr="003B25B4">
        <w:rPr>
          <w:color w:val="auto"/>
        </w:rPr>
        <w:t xml:space="preserve">pp. </w:t>
      </w:r>
      <w:r w:rsidR="00981386" w:rsidRPr="003B25B4">
        <w:rPr>
          <w:color w:val="auto"/>
        </w:rPr>
        <w:t>349-368.</w:t>
      </w:r>
      <w:proofErr w:type="gramEnd"/>
    </w:p>
    <w:p w14:paraId="640C8912" w14:textId="56511004" w:rsidR="00750A2A" w:rsidRPr="003B25B4" w:rsidRDefault="00C97995" w:rsidP="00C8612C">
      <w:pPr>
        <w:pStyle w:val="NoSpacing"/>
        <w:spacing w:after="120"/>
        <w:ind w:left="720" w:hanging="720"/>
        <w:rPr>
          <w:color w:val="auto"/>
        </w:rPr>
      </w:pPr>
      <w:proofErr w:type="gramStart"/>
      <w:r w:rsidRPr="003B25B4">
        <w:rPr>
          <w:color w:val="auto"/>
        </w:rPr>
        <w:t xml:space="preserve">Berger, L., </w:t>
      </w:r>
      <w:proofErr w:type="spellStart"/>
      <w:r w:rsidRPr="003B25B4">
        <w:rPr>
          <w:color w:val="auto"/>
        </w:rPr>
        <w:t>Cancian</w:t>
      </w:r>
      <w:proofErr w:type="spellEnd"/>
      <w:r w:rsidRPr="003B25B4">
        <w:rPr>
          <w:color w:val="auto"/>
        </w:rPr>
        <w:t xml:space="preserve">, M., Han, E., Noyes, J. and Rios-Salas, V. (2015) </w:t>
      </w:r>
      <w:r w:rsidR="00C30D0C" w:rsidRPr="003B25B4">
        <w:rPr>
          <w:color w:val="auto"/>
        </w:rPr>
        <w:t>‘</w:t>
      </w:r>
      <w:r w:rsidRPr="003B25B4">
        <w:rPr>
          <w:color w:val="auto"/>
        </w:rPr>
        <w:t>Children’s Academic achievement and foster care</w:t>
      </w:r>
      <w:r w:rsidR="00C30D0C" w:rsidRPr="003B25B4">
        <w:rPr>
          <w:color w:val="auto"/>
        </w:rPr>
        <w:t>’</w:t>
      </w:r>
      <w:r w:rsidRPr="003B25B4">
        <w:rPr>
          <w:color w:val="auto"/>
        </w:rPr>
        <w:t xml:space="preserve">, </w:t>
      </w:r>
      <w:proofErr w:type="spellStart"/>
      <w:r w:rsidRPr="003B25B4">
        <w:rPr>
          <w:i/>
          <w:color w:val="auto"/>
        </w:rPr>
        <w:t>Pediatrics</w:t>
      </w:r>
      <w:proofErr w:type="spellEnd"/>
      <w:r w:rsidRPr="003B25B4">
        <w:rPr>
          <w:color w:val="auto"/>
        </w:rPr>
        <w:t xml:space="preserve"> 135 (1)</w:t>
      </w:r>
      <w:r w:rsidR="00C30D0C" w:rsidRPr="003B25B4">
        <w:rPr>
          <w:color w:val="auto"/>
          <w:shd w:val="clear" w:color="auto" w:fill="FFFFFF"/>
        </w:rPr>
        <w:t>, pp.</w:t>
      </w:r>
      <w:r w:rsidR="00750A2A" w:rsidRPr="003B25B4">
        <w:rPr>
          <w:color w:val="auto"/>
          <w:shd w:val="clear" w:color="auto" w:fill="FFFFFF"/>
        </w:rPr>
        <w:t xml:space="preserve"> </w:t>
      </w:r>
      <w:r w:rsidR="00750A2A" w:rsidRPr="003B25B4">
        <w:rPr>
          <w:color w:val="auto"/>
        </w:rPr>
        <w:t>109-116.</w:t>
      </w:r>
      <w:proofErr w:type="gramEnd"/>
    </w:p>
    <w:p w14:paraId="258F61A4" w14:textId="6DBD1F81" w:rsidR="005D7A16" w:rsidRPr="003B25B4" w:rsidRDefault="005D7A16" w:rsidP="00C8612C">
      <w:pPr>
        <w:pStyle w:val="NoSpacing"/>
        <w:spacing w:after="120"/>
        <w:ind w:left="720" w:hanging="720"/>
        <w:rPr>
          <w:color w:val="auto"/>
        </w:rPr>
      </w:pPr>
      <w:proofErr w:type="spellStart"/>
      <w:r w:rsidRPr="003B25B4">
        <w:rPr>
          <w:color w:val="auto"/>
        </w:rPr>
        <w:t>Bywaters</w:t>
      </w:r>
      <w:proofErr w:type="spellEnd"/>
      <w:r w:rsidRPr="003B25B4">
        <w:rPr>
          <w:color w:val="auto"/>
        </w:rPr>
        <w:t xml:space="preserve">, P., Scourfield, J., Jones, C., Sparks, T., Elliot, M., Hooper, J., McCartan, C., Shapiro, M., Bunting, L. and Daniel, B. (2018) </w:t>
      </w:r>
      <w:r w:rsidR="00750A2A" w:rsidRPr="003B25B4">
        <w:rPr>
          <w:color w:val="auto"/>
        </w:rPr>
        <w:t>‘</w:t>
      </w:r>
      <w:r w:rsidRPr="003B25B4">
        <w:rPr>
          <w:color w:val="auto"/>
        </w:rPr>
        <w:t>Child Welfare Inequalities in the four nations of the UK</w:t>
      </w:r>
      <w:r w:rsidR="00750A2A" w:rsidRPr="003B25B4">
        <w:rPr>
          <w:color w:val="auto"/>
        </w:rPr>
        <w:t>’,</w:t>
      </w:r>
      <w:r w:rsidRPr="003B25B4">
        <w:rPr>
          <w:color w:val="auto"/>
        </w:rPr>
        <w:t xml:space="preserve"> </w:t>
      </w:r>
      <w:r w:rsidR="00750A2A" w:rsidRPr="003B25B4">
        <w:rPr>
          <w:i/>
          <w:color w:val="auto"/>
        </w:rPr>
        <w:t>Journal of Social Work,</w:t>
      </w:r>
      <w:r w:rsidRPr="003B25B4">
        <w:rPr>
          <w:color w:val="auto"/>
        </w:rPr>
        <w:t xml:space="preserve"> </w:t>
      </w:r>
      <w:hyperlink r:id="rId15" w:history="1">
        <w:r w:rsidR="005F395A" w:rsidRPr="003B25B4">
          <w:rPr>
            <w:rStyle w:val="Hyperlink"/>
            <w:rFonts w:asciiTheme="majorHAnsi" w:hAnsiTheme="majorHAnsi" w:cstheme="majorHAnsi"/>
            <w:color w:val="auto"/>
            <w:szCs w:val="24"/>
          </w:rPr>
          <w:t>https://doi.org/10.1177/1468017318793479</w:t>
        </w:r>
      </w:hyperlink>
    </w:p>
    <w:p w14:paraId="7D37D537" w14:textId="2BE0E7CB" w:rsidR="00212ADB" w:rsidRPr="003B25B4" w:rsidRDefault="00212ADB" w:rsidP="00C8612C">
      <w:pPr>
        <w:pStyle w:val="NoSpacing"/>
        <w:spacing w:after="120"/>
        <w:ind w:left="720" w:hanging="720"/>
        <w:rPr>
          <w:rStyle w:val="Hyperlink"/>
          <w:rFonts w:asciiTheme="majorHAnsi" w:hAnsiTheme="majorHAnsi" w:cstheme="majorHAnsi"/>
          <w:color w:val="auto"/>
          <w:szCs w:val="24"/>
        </w:rPr>
      </w:pPr>
      <w:r w:rsidRPr="003B25B4">
        <w:rPr>
          <w:color w:val="auto"/>
        </w:rPr>
        <w:t>C</w:t>
      </w:r>
      <w:r w:rsidR="00750A2A" w:rsidRPr="003B25B4">
        <w:rPr>
          <w:color w:val="auto"/>
        </w:rPr>
        <w:t>entre for Social Justice (2015)</w:t>
      </w:r>
      <w:r w:rsidRPr="003B25B4">
        <w:rPr>
          <w:color w:val="auto"/>
        </w:rPr>
        <w:t xml:space="preserve"> </w:t>
      </w:r>
      <w:r w:rsidRPr="003B25B4">
        <w:rPr>
          <w:i/>
          <w:color w:val="auto"/>
        </w:rPr>
        <w:t xml:space="preserve">Finding Their Feet. </w:t>
      </w:r>
      <w:proofErr w:type="gramStart"/>
      <w:r w:rsidRPr="003B25B4">
        <w:rPr>
          <w:i/>
          <w:color w:val="auto"/>
        </w:rPr>
        <w:t>Equipping care leavers to reach their potential</w:t>
      </w:r>
      <w:r w:rsidR="00750A2A" w:rsidRPr="003B25B4">
        <w:rPr>
          <w:i/>
          <w:color w:val="auto"/>
        </w:rPr>
        <w:t>,</w:t>
      </w:r>
      <w:r w:rsidRPr="003B25B4">
        <w:rPr>
          <w:color w:val="auto"/>
        </w:rPr>
        <w:t xml:space="preserve"> The Centre for Social Justice</w:t>
      </w:r>
      <w:r w:rsidR="00750A2A" w:rsidRPr="003B25B4">
        <w:rPr>
          <w:color w:val="auto"/>
        </w:rPr>
        <w:t>, London.</w:t>
      </w:r>
      <w:proofErr w:type="gramEnd"/>
      <w:r w:rsidR="00750A2A" w:rsidRPr="003B25B4">
        <w:rPr>
          <w:color w:val="auto"/>
        </w:rPr>
        <w:t xml:space="preserve"> </w:t>
      </w:r>
    </w:p>
    <w:p w14:paraId="378BA43C" w14:textId="43171533" w:rsidR="003A212D" w:rsidRPr="003B25B4" w:rsidRDefault="00D941C1" w:rsidP="00C8612C">
      <w:pPr>
        <w:pStyle w:val="NoSpacing"/>
        <w:spacing w:after="120"/>
        <w:ind w:left="720" w:hanging="720"/>
        <w:rPr>
          <w:color w:val="auto"/>
        </w:rPr>
      </w:pPr>
      <w:r w:rsidRPr="003B25B4">
        <w:rPr>
          <w:color w:val="auto"/>
        </w:rPr>
        <w:t>Department for Education (</w:t>
      </w:r>
      <w:r w:rsidR="002D71D1" w:rsidRPr="003B25B4">
        <w:rPr>
          <w:color w:val="auto"/>
        </w:rPr>
        <w:t>2018</w:t>
      </w:r>
      <w:r w:rsidR="0015508F" w:rsidRPr="003B25B4">
        <w:rPr>
          <w:color w:val="auto"/>
        </w:rPr>
        <w:t>a</w:t>
      </w:r>
      <w:r w:rsidR="00750A2A" w:rsidRPr="003B25B4">
        <w:rPr>
          <w:color w:val="auto"/>
        </w:rPr>
        <w:t>)</w:t>
      </w:r>
      <w:r w:rsidRPr="003B25B4">
        <w:rPr>
          <w:color w:val="auto"/>
        </w:rPr>
        <w:t xml:space="preserve"> </w:t>
      </w:r>
      <w:r w:rsidRPr="003B25B4">
        <w:rPr>
          <w:i/>
          <w:color w:val="auto"/>
        </w:rPr>
        <w:t>Children looked after in England including adoption:</w:t>
      </w:r>
      <w:r w:rsidR="008A2099" w:rsidRPr="003B25B4">
        <w:rPr>
          <w:i/>
          <w:color w:val="auto"/>
        </w:rPr>
        <w:t xml:space="preserve"> </w:t>
      </w:r>
      <w:r w:rsidR="002218AC" w:rsidRPr="003B25B4">
        <w:rPr>
          <w:i/>
          <w:color w:val="auto"/>
        </w:rPr>
        <w:t>2017</w:t>
      </w:r>
      <w:r w:rsidR="00580E57" w:rsidRPr="003B25B4">
        <w:rPr>
          <w:i/>
          <w:color w:val="auto"/>
        </w:rPr>
        <w:t xml:space="preserve"> </w:t>
      </w:r>
      <w:r w:rsidRPr="003B25B4">
        <w:rPr>
          <w:i/>
          <w:color w:val="auto"/>
        </w:rPr>
        <w:t xml:space="preserve">to </w:t>
      </w:r>
      <w:r w:rsidR="002218AC" w:rsidRPr="003B25B4">
        <w:rPr>
          <w:i/>
          <w:color w:val="auto"/>
        </w:rPr>
        <w:t>2018</w:t>
      </w:r>
      <w:r w:rsidR="00750A2A" w:rsidRPr="003B25B4">
        <w:rPr>
          <w:i/>
          <w:color w:val="auto"/>
        </w:rPr>
        <w:t>,</w:t>
      </w:r>
      <w:r w:rsidRPr="003B25B4">
        <w:rPr>
          <w:i/>
          <w:color w:val="auto"/>
        </w:rPr>
        <w:t xml:space="preserve"> </w:t>
      </w:r>
      <w:r w:rsidRPr="003B25B4">
        <w:rPr>
          <w:color w:val="auto"/>
        </w:rPr>
        <w:t>SFR50/</w:t>
      </w:r>
      <w:r w:rsidR="002218AC" w:rsidRPr="003B25B4">
        <w:rPr>
          <w:color w:val="auto"/>
        </w:rPr>
        <w:t>2018</w:t>
      </w:r>
      <w:r w:rsidRPr="003B25B4">
        <w:rPr>
          <w:color w:val="auto"/>
        </w:rPr>
        <w:t>.</w:t>
      </w:r>
      <w:r w:rsidR="00750A2A" w:rsidRPr="003B25B4">
        <w:rPr>
          <w:color w:val="auto"/>
        </w:rPr>
        <w:t xml:space="preserve"> Available at: </w:t>
      </w:r>
      <w:hyperlink r:id="rId16" w:history="1">
        <w:r w:rsidR="00750A2A" w:rsidRPr="003B25B4">
          <w:rPr>
            <w:rStyle w:val="Hyperlink"/>
            <w:color w:val="auto"/>
          </w:rPr>
          <w:t>https://www.gov.uk/government/statistics/children-looked-after-in-england-including-adoption-2017-to-2018</w:t>
        </w:r>
      </w:hyperlink>
    </w:p>
    <w:p w14:paraId="00FEFE1C" w14:textId="6524B4E2" w:rsidR="0015508F" w:rsidRPr="003B25B4" w:rsidRDefault="0015508F" w:rsidP="00C8612C">
      <w:pPr>
        <w:spacing w:after="120" w:line="480" w:lineRule="auto"/>
        <w:ind w:left="720" w:hanging="720"/>
        <w:rPr>
          <w:rFonts w:asciiTheme="majorHAnsi" w:eastAsia="Times New Roman" w:hAnsiTheme="majorHAnsi" w:cstheme="majorHAnsi"/>
          <w:color w:val="auto"/>
          <w:szCs w:val="24"/>
        </w:rPr>
      </w:pPr>
      <w:r w:rsidRPr="003B25B4">
        <w:rPr>
          <w:color w:val="auto"/>
        </w:rPr>
        <w:t>Department for Education (2018b</w:t>
      </w:r>
      <w:r w:rsidR="00750A2A" w:rsidRPr="003B25B4">
        <w:rPr>
          <w:color w:val="auto"/>
        </w:rPr>
        <w:t>)</w:t>
      </w:r>
      <w:r w:rsidRPr="003B25B4">
        <w:rPr>
          <w:color w:val="auto"/>
        </w:rPr>
        <w:t xml:space="preserve"> </w:t>
      </w:r>
      <w:r w:rsidRPr="003B25B4">
        <w:rPr>
          <w:rFonts w:asciiTheme="majorHAnsi" w:eastAsia="Times New Roman" w:hAnsiTheme="majorHAnsi" w:cstheme="majorHAnsi"/>
          <w:i/>
          <w:color w:val="auto"/>
          <w:szCs w:val="24"/>
        </w:rPr>
        <w:t>Outcomes for children looked after by local authorities in England year ending 31 March 201</w:t>
      </w:r>
      <w:r w:rsidR="005C57FF" w:rsidRPr="003B25B4">
        <w:rPr>
          <w:rFonts w:asciiTheme="majorHAnsi" w:eastAsia="Times New Roman" w:hAnsiTheme="majorHAnsi" w:cstheme="majorHAnsi"/>
          <w:i/>
          <w:color w:val="auto"/>
          <w:szCs w:val="24"/>
        </w:rPr>
        <w:t>7,</w:t>
      </w:r>
      <w:r w:rsidR="005C57FF" w:rsidRPr="003B25B4">
        <w:rPr>
          <w:rFonts w:asciiTheme="majorHAnsi" w:eastAsia="Times New Roman" w:hAnsiTheme="majorHAnsi" w:cstheme="majorHAnsi"/>
          <w:color w:val="auto"/>
          <w:szCs w:val="24"/>
        </w:rPr>
        <w:t xml:space="preserve"> SFR 20</w:t>
      </w:r>
      <w:r w:rsidRPr="003B25B4">
        <w:rPr>
          <w:rFonts w:asciiTheme="majorHAnsi" w:eastAsia="Times New Roman" w:hAnsiTheme="majorHAnsi" w:cstheme="majorHAnsi"/>
          <w:color w:val="auto"/>
          <w:szCs w:val="24"/>
        </w:rPr>
        <w:t>/2018.</w:t>
      </w:r>
      <w:r w:rsidR="005C57FF" w:rsidRPr="003B25B4">
        <w:rPr>
          <w:rFonts w:asciiTheme="majorHAnsi" w:eastAsia="Times New Roman" w:hAnsiTheme="majorHAnsi" w:cstheme="majorHAnsi"/>
          <w:color w:val="auto"/>
          <w:szCs w:val="24"/>
        </w:rPr>
        <w:t xml:space="preserve"> Available at: </w:t>
      </w:r>
      <w:hyperlink r:id="rId17" w:history="1">
        <w:r w:rsidR="005C57FF" w:rsidRPr="003B25B4">
          <w:rPr>
            <w:rStyle w:val="Hyperlink"/>
            <w:color w:val="auto"/>
          </w:rPr>
          <w:t>https://www.gov.uk/government/statistics/outcomes-for-children-looked-after-by-las-31-march-2017</w:t>
        </w:r>
      </w:hyperlink>
    </w:p>
    <w:p w14:paraId="566ACB0E" w14:textId="260A130D" w:rsidR="008A2099" w:rsidRPr="003B25B4" w:rsidRDefault="008A2099" w:rsidP="00C8612C">
      <w:pPr>
        <w:pStyle w:val="NoSpacing"/>
        <w:spacing w:after="120"/>
        <w:ind w:left="720" w:hanging="720"/>
        <w:rPr>
          <w:color w:val="auto"/>
        </w:rPr>
      </w:pPr>
      <w:proofErr w:type="gramStart"/>
      <w:r w:rsidRPr="003B25B4">
        <w:rPr>
          <w:color w:val="auto"/>
        </w:rPr>
        <w:t>Department for Education (201</w:t>
      </w:r>
      <w:r w:rsidR="0079093C" w:rsidRPr="003B25B4">
        <w:rPr>
          <w:color w:val="auto"/>
        </w:rPr>
        <w:t>5a</w:t>
      </w:r>
      <w:r w:rsidRPr="003B25B4">
        <w:rPr>
          <w:color w:val="auto"/>
        </w:rPr>
        <w:t xml:space="preserve">) </w:t>
      </w:r>
      <w:r w:rsidRPr="003B25B4">
        <w:rPr>
          <w:i/>
          <w:color w:val="auto"/>
        </w:rPr>
        <w:t xml:space="preserve">Early Years </w:t>
      </w:r>
      <w:r w:rsidR="005C57FF" w:rsidRPr="003B25B4">
        <w:rPr>
          <w:i/>
          <w:color w:val="auto"/>
        </w:rPr>
        <w:t>Foundation</w:t>
      </w:r>
      <w:r w:rsidRPr="003B25B4">
        <w:rPr>
          <w:i/>
          <w:color w:val="auto"/>
        </w:rPr>
        <w:t xml:space="preserve"> Stage Profile Results in England, 2015</w:t>
      </w:r>
      <w:r w:rsidR="005C57FF" w:rsidRPr="003B25B4">
        <w:rPr>
          <w:i/>
          <w:color w:val="auto"/>
        </w:rPr>
        <w:t>,</w:t>
      </w:r>
      <w:r w:rsidRPr="003B25B4">
        <w:rPr>
          <w:color w:val="auto"/>
        </w:rPr>
        <w:t xml:space="preserve"> SFR 36/2015 Main tables.</w:t>
      </w:r>
      <w:proofErr w:type="gramEnd"/>
      <w:r w:rsidR="005C57FF" w:rsidRPr="003B25B4">
        <w:rPr>
          <w:color w:val="auto"/>
        </w:rPr>
        <w:t xml:space="preserve"> Available at: </w:t>
      </w:r>
      <w:hyperlink r:id="rId18" w:history="1">
        <w:r w:rsidR="005C57FF" w:rsidRPr="003B25B4">
          <w:rPr>
            <w:rStyle w:val="Hyperlink"/>
            <w:color w:val="auto"/>
          </w:rPr>
          <w:t>https://www.gov.uk/government/statistics/early-years-foundation-stage-profile-results-2014-to-2015</w:t>
        </w:r>
      </w:hyperlink>
    </w:p>
    <w:p w14:paraId="060ADA85" w14:textId="7CB38FA6" w:rsidR="0079093C" w:rsidRPr="003B25B4" w:rsidRDefault="0079093C" w:rsidP="00C8612C">
      <w:pPr>
        <w:pStyle w:val="NoSpacing"/>
        <w:spacing w:after="120"/>
        <w:ind w:left="720" w:hanging="720"/>
        <w:rPr>
          <w:color w:val="auto"/>
        </w:rPr>
      </w:pPr>
      <w:r w:rsidRPr="003B25B4">
        <w:rPr>
          <w:color w:val="auto"/>
        </w:rPr>
        <w:lastRenderedPageBreak/>
        <w:t>D</w:t>
      </w:r>
      <w:r w:rsidR="005C57FF" w:rsidRPr="003B25B4">
        <w:rPr>
          <w:color w:val="auto"/>
        </w:rPr>
        <w:t>epartment for Education (2015b)</w:t>
      </w:r>
      <w:r w:rsidRPr="003B25B4">
        <w:rPr>
          <w:color w:val="auto"/>
        </w:rPr>
        <w:t xml:space="preserve"> </w:t>
      </w:r>
      <w:r w:rsidRPr="003B25B4">
        <w:rPr>
          <w:i/>
          <w:color w:val="auto"/>
        </w:rPr>
        <w:t xml:space="preserve">Phonics screening check and national </w:t>
      </w:r>
      <w:r w:rsidR="00740180" w:rsidRPr="003B25B4">
        <w:rPr>
          <w:i/>
          <w:color w:val="auto"/>
        </w:rPr>
        <w:t>curriculum</w:t>
      </w:r>
      <w:r w:rsidRPr="003B25B4">
        <w:rPr>
          <w:i/>
          <w:color w:val="auto"/>
        </w:rPr>
        <w:t xml:space="preserve"> </w:t>
      </w:r>
      <w:r w:rsidR="00740180" w:rsidRPr="003B25B4">
        <w:rPr>
          <w:i/>
          <w:color w:val="auto"/>
        </w:rPr>
        <w:t>assessments</w:t>
      </w:r>
      <w:r w:rsidRPr="003B25B4">
        <w:rPr>
          <w:i/>
          <w:color w:val="auto"/>
        </w:rPr>
        <w:t xml:space="preserve"> at key stage 1 in England</w:t>
      </w:r>
      <w:r w:rsidR="005C57FF" w:rsidRPr="003B25B4">
        <w:rPr>
          <w:i/>
          <w:color w:val="auto"/>
        </w:rPr>
        <w:t>,</w:t>
      </w:r>
      <w:r w:rsidRPr="003B25B4">
        <w:rPr>
          <w:color w:val="auto"/>
        </w:rPr>
        <w:t xml:space="preserve"> SFR 32/2015.</w:t>
      </w:r>
      <w:r w:rsidR="005C57FF" w:rsidRPr="003B25B4">
        <w:rPr>
          <w:color w:val="auto"/>
        </w:rPr>
        <w:t xml:space="preserve"> Available at: </w:t>
      </w:r>
      <w:hyperlink r:id="rId19" w:history="1">
        <w:r w:rsidR="005C57FF" w:rsidRPr="003B25B4">
          <w:rPr>
            <w:rStyle w:val="Hyperlink"/>
            <w:color w:val="auto"/>
          </w:rPr>
          <w:t>https://www.gov.uk/government/statistics/phonics-screening-check-and-key-stage-1-assessments-england-2015</w:t>
        </w:r>
      </w:hyperlink>
    </w:p>
    <w:p w14:paraId="4457F333" w14:textId="06BFBD06" w:rsidR="003A212D" w:rsidRPr="003B25B4" w:rsidRDefault="003A212D" w:rsidP="00C8612C">
      <w:pPr>
        <w:pStyle w:val="NoSpacing"/>
        <w:spacing w:after="120"/>
        <w:ind w:left="720" w:hanging="720"/>
        <w:rPr>
          <w:color w:val="auto"/>
        </w:rPr>
      </w:pPr>
      <w:r w:rsidRPr="003B25B4">
        <w:rPr>
          <w:color w:val="auto"/>
        </w:rPr>
        <w:t xml:space="preserve">Dixon, J., Wade, J., Byford, S., Weatherly, H. and Lee, J. (2006) </w:t>
      </w:r>
      <w:r w:rsidRPr="003B25B4">
        <w:rPr>
          <w:i/>
          <w:color w:val="auto"/>
        </w:rPr>
        <w:t>Young People Leaving Care: A Study of Costs and Outcomes</w:t>
      </w:r>
      <w:r w:rsidRPr="003B25B4">
        <w:rPr>
          <w:color w:val="auto"/>
        </w:rPr>
        <w:t xml:space="preserve">, </w:t>
      </w:r>
      <w:r w:rsidR="005C57FF" w:rsidRPr="003B25B4">
        <w:rPr>
          <w:color w:val="auto"/>
        </w:rPr>
        <w:t>University of York, York</w:t>
      </w:r>
      <w:r w:rsidRPr="003B25B4">
        <w:rPr>
          <w:color w:val="auto"/>
        </w:rPr>
        <w:t>.</w:t>
      </w:r>
    </w:p>
    <w:p w14:paraId="33B7C764" w14:textId="415B48DD" w:rsidR="00E048F8" w:rsidRPr="003B25B4" w:rsidRDefault="005C57FF" w:rsidP="00C8612C">
      <w:pPr>
        <w:pStyle w:val="NoSpacing"/>
        <w:spacing w:after="120"/>
        <w:ind w:left="720" w:hanging="720"/>
        <w:rPr>
          <w:color w:val="auto"/>
        </w:rPr>
      </w:pPr>
      <w:r w:rsidRPr="003B25B4">
        <w:rPr>
          <w:color w:val="auto"/>
        </w:rPr>
        <w:t>Dixon, J. (2008) ‘</w:t>
      </w:r>
      <w:r w:rsidR="00E048F8" w:rsidRPr="003B25B4">
        <w:rPr>
          <w:color w:val="auto"/>
        </w:rPr>
        <w:t>Young people leaving care: health, well-being and outcomes</w:t>
      </w:r>
      <w:r w:rsidRPr="003B25B4">
        <w:rPr>
          <w:color w:val="auto"/>
        </w:rPr>
        <w:t>’,</w:t>
      </w:r>
      <w:r w:rsidR="00E048F8" w:rsidRPr="003B25B4">
        <w:rPr>
          <w:color w:val="auto"/>
        </w:rPr>
        <w:t xml:space="preserve"> </w:t>
      </w:r>
      <w:r w:rsidR="00E048F8" w:rsidRPr="003B25B4">
        <w:rPr>
          <w:i/>
          <w:color w:val="auto"/>
        </w:rPr>
        <w:t>Child &amp; Family Social Work</w:t>
      </w:r>
      <w:r w:rsidR="00E048F8" w:rsidRPr="003B25B4">
        <w:rPr>
          <w:color w:val="auto"/>
        </w:rPr>
        <w:t>, 13</w:t>
      </w:r>
      <w:r w:rsidRPr="003B25B4">
        <w:rPr>
          <w:color w:val="auto"/>
        </w:rPr>
        <w:t xml:space="preserve"> </w:t>
      </w:r>
      <w:r w:rsidR="00E048F8" w:rsidRPr="003B25B4">
        <w:rPr>
          <w:color w:val="auto"/>
        </w:rPr>
        <w:t>(</w:t>
      </w:r>
      <w:r w:rsidR="00E048F8" w:rsidRPr="003B25B4">
        <w:rPr>
          <w:i/>
          <w:color w:val="auto"/>
        </w:rPr>
        <w:t>2</w:t>
      </w:r>
      <w:r w:rsidR="00E048F8" w:rsidRPr="003B25B4">
        <w:rPr>
          <w:color w:val="auto"/>
        </w:rPr>
        <w:t>), pp.</w:t>
      </w:r>
      <w:r w:rsidRPr="003B25B4">
        <w:rPr>
          <w:color w:val="auto"/>
        </w:rPr>
        <w:t xml:space="preserve"> </w:t>
      </w:r>
      <w:r w:rsidR="00E048F8" w:rsidRPr="003B25B4">
        <w:rPr>
          <w:color w:val="auto"/>
        </w:rPr>
        <w:t>207-217.</w:t>
      </w:r>
    </w:p>
    <w:p w14:paraId="1ED39BFF" w14:textId="21D6DEF9" w:rsidR="003A4C3B" w:rsidRPr="003B25B4" w:rsidRDefault="003A4C3B" w:rsidP="00C8612C">
      <w:pPr>
        <w:pStyle w:val="NoSpacing"/>
        <w:spacing w:after="120"/>
        <w:ind w:left="720" w:hanging="720"/>
        <w:rPr>
          <w:color w:val="auto"/>
        </w:rPr>
      </w:pPr>
      <w:proofErr w:type="spellStart"/>
      <w:r w:rsidRPr="003B25B4">
        <w:rPr>
          <w:color w:val="auto"/>
        </w:rPr>
        <w:t>Dregan</w:t>
      </w:r>
      <w:proofErr w:type="spellEnd"/>
      <w:r w:rsidRPr="003B25B4">
        <w:rPr>
          <w:color w:val="auto"/>
        </w:rPr>
        <w:t xml:space="preserve">, A. </w:t>
      </w:r>
      <w:r w:rsidR="00940456" w:rsidRPr="003B25B4">
        <w:rPr>
          <w:color w:val="auto"/>
        </w:rPr>
        <w:t>and</w:t>
      </w:r>
      <w:r w:rsidR="005C57FF" w:rsidRPr="003B25B4">
        <w:rPr>
          <w:color w:val="auto"/>
        </w:rPr>
        <w:t xml:space="preserve"> Gulliford, M.C. (2012)</w:t>
      </w:r>
      <w:r w:rsidRPr="003B25B4">
        <w:rPr>
          <w:color w:val="auto"/>
        </w:rPr>
        <w:t xml:space="preserve"> </w:t>
      </w:r>
      <w:r w:rsidR="005C57FF" w:rsidRPr="003B25B4">
        <w:rPr>
          <w:color w:val="auto"/>
        </w:rPr>
        <w:t>‘</w:t>
      </w:r>
      <w:r w:rsidRPr="003B25B4">
        <w:rPr>
          <w:color w:val="auto"/>
        </w:rPr>
        <w:t>Foster care, residential care and public care placement patterns are associated with adult life trajectories: population-based cohort study</w:t>
      </w:r>
      <w:r w:rsidR="005C57FF" w:rsidRPr="003B25B4">
        <w:rPr>
          <w:color w:val="auto"/>
        </w:rPr>
        <w:t>’,</w:t>
      </w:r>
      <w:r w:rsidRPr="003B25B4">
        <w:rPr>
          <w:color w:val="auto"/>
        </w:rPr>
        <w:t xml:space="preserve"> </w:t>
      </w:r>
      <w:r w:rsidRPr="003B25B4">
        <w:rPr>
          <w:i/>
          <w:color w:val="auto"/>
        </w:rPr>
        <w:t>Social Psychiatry and Psychiatric Epidemiology</w:t>
      </w:r>
      <w:r w:rsidRPr="003B25B4">
        <w:rPr>
          <w:color w:val="auto"/>
        </w:rPr>
        <w:t>, 47</w:t>
      </w:r>
      <w:r w:rsidR="005C57FF" w:rsidRPr="003B25B4">
        <w:rPr>
          <w:color w:val="auto"/>
        </w:rPr>
        <w:t xml:space="preserve"> </w:t>
      </w:r>
      <w:r w:rsidRPr="003B25B4">
        <w:rPr>
          <w:color w:val="auto"/>
        </w:rPr>
        <w:t>(</w:t>
      </w:r>
      <w:r w:rsidRPr="003B25B4">
        <w:rPr>
          <w:i/>
          <w:color w:val="auto"/>
        </w:rPr>
        <w:t>9</w:t>
      </w:r>
      <w:r w:rsidRPr="003B25B4">
        <w:rPr>
          <w:color w:val="auto"/>
        </w:rPr>
        <w:t xml:space="preserve">), </w:t>
      </w:r>
      <w:r w:rsidR="005C57FF" w:rsidRPr="003B25B4">
        <w:rPr>
          <w:color w:val="auto"/>
        </w:rPr>
        <w:t xml:space="preserve">pp. </w:t>
      </w:r>
      <w:r w:rsidRPr="003B25B4">
        <w:rPr>
          <w:color w:val="auto"/>
        </w:rPr>
        <w:t>1517-1526.</w:t>
      </w:r>
    </w:p>
    <w:p w14:paraId="64A1D7FF" w14:textId="23712C14" w:rsidR="00BA3F5E" w:rsidRPr="003B25B4" w:rsidRDefault="00BA3F5E" w:rsidP="00C8612C">
      <w:pPr>
        <w:pStyle w:val="NoSpacing"/>
        <w:spacing w:after="120"/>
        <w:ind w:left="720" w:hanging="720"/>
        <w:rPr>
          <w:color w:val="auto"/>
          <w:lang w:val="de-DE"/>
        </w:rPr>
      </w:pPr>
      <w:r w:rsidRPr="003B25B4">
        <w:rPr>
          <w:color w:val="auto"/>
        </w:rPr>
        <w:t xml:space="preserve">Dunn, L.M., </w:t>
      </w:r>
      <w:proofErr w:type="spellStart"/>
      <w:r w:rsidRPr="003B25B4">
        <w:rPr>
          <w:color w:val="auto"/>
        </w:rPr>
        <w:t>Whetton</w:t>
      </w:r>
      <w:proofErr w:type="spellEnd"/>
      <w:r w:rsidRPr="003B25B4">
        <w:rPr>
          <w:color w:val="auto"/>
        </w:rPr>
        <w:t xml:space="preserve">, C. </w:t>
      </w:r>
      <w:r w:rsidR="00940456" w:rsidRPr="003B25B4">
        <w:rPr>
          <w:color w:val="auto"/>
        </w:rPr>
        <w:t>and</w:t>
      </w:r>
      <w:r w:rsidRPr="003B25B4">
        <w:rPr>
          <w:color w:val="auto"/>
        </w:rPr>
        <w:t xml:space="preserve"> Burley, J. (1997) </w:t>
      </w:r>
      <w:r w:rsidRPr="003B25B4">
        <w:rPr>
          <w:i/>
          <w:color w:val="auto"/>
        </w:rPr>
        <w:t>British Picture Vocabulary Scale (2</w:t>
      </w:r>
      <w:r w:rsidRPr="003B25B4">
        <w:rPr>
          <w:i/>
          <w:color w:val="auto"/>
          <w:vertAlign w:val="superscript"/>
        </w:rPr>
        <w:t>nd</w:t>
      </w:r>
      <w:r w:rsidR="005C57FF" w:rsidRPr="003B25B4">
        <w:rPr>
          <w:i/>
          <w:color w:val="auto"/>
        </w:rPr>
        <w:t xml:space="preserve"> Edition),</w:t>
      </w:r>
      <w:r w:rsidRPr="003B25B4">
        <w:rPr>
          <w:color w:val="auto"/>
        </w:rPr>
        <w:t xml:space="preserve"> </w:t>
      </w:r>
      <w:r w:rsidR="005C57FF" w:rsidRPr="003B25B4">
        <w:rPr>
          <w:color w:val="auto"/>
          <w:lang w:val="de-DE"/>
        </w:rPr>
        <w:t>NFER-Nelson, London.</w:t>
      </w:r>
    </w:p>
    <w:p w14:paraId="3ADA0992" w14:textId="53057388" w:rsidR="005C57FF" w:rsidRPr="003B25B4" w:rsidRDefault="003A4C3B" w:rsidP="00C8612C">
      <w:pPr>
        <w:pStyle w:val="NoSpacing"/>
        <w:spacing w:after="120"/>
        <w:ind w:left="720" w:hanging="720"/>
        <w:rPr>
          <w:rStyle w:val="Emphasis"/>
          <w:bCs/>
          <w:i w:val="0"/>
          <w:iCs w:val="0"/>
          <w:color w:val="auto"/>
          <w:szCs w:val="24"/>
          <w:shd w:val="clear" w:color="auto" w:fill="FFFFFF"/>
        </w:rPr>
      </w:pPr>
      <w:r w:rsidRPr="003B25B4">
        <w:rPr>
          <w:color w:val="auto"/>
          <w:szCs w:val="24"/>
        </w:rPr>
        <w:t xml:space="preserve">English, D. J. and the LONGSCAN Investigators (1997) </w:t>
      </w:r>
      <w:r w:rsidRPr="003B25B4">
        <w:rPr>
          <w:i/>
          <w:color w:val="auto"/>
          <w:szCs w:val="24"/>
        </w:rPr>
        <w:t>Modified Maltreatme</w:t>
      </w:r>
      <w:r w:rsidR="005C57FF" w:rsidRPr="003B25B4">
        <w:rPr>
          <w:i/>
          <w:color w:val="auto"/>
          <w:szCs w:val="24"/>
        </w:rPr>
        <w:t>nt Classification System (MMCS)</w:t>
      </w:r>
      <w:r w:rsidR="005C57FF" w:rsidRPr="003B25B4">
        <w:rPr>
          <w:color w:val="auto"/>
          <w:szCs w:val="24"/>
        </w:rPr>
        <w:t xml:space="preserve">.  </w:t>
      </w:r>
    </w:p>
    <w:p w14:paraId="26648834" w14:textId="132DFC07" w:rsidR="003A4C3B" w:rsidRPr="003B25B4" w:rsidRDefault="003A4C3B" w:rsidP="00C8612C">
      <w:pPr>
        <w:pStyle w:val="NoSpacing"/>
        <w:spacing w:after="120"/>
        <w:ind w:left="720" w:hanging="720"/>
        <w:rPr>
          <w:rFonts w:eastAsia="Calibri"/>
          <w:color w:val="auto"/>
          <w:szCs w:val="24"/>
        </w:rPr>
      </w:pPr>
      <w:proofErr w:type="spellStart"/>
      <w:r w:rsidRPr="003B25B4">
        <w:rPr>
          <w:color w:val="auto"/>
          <w:szCs w:val="24"/>
        </w:rPr>
        <w:t>Fantuzzo</w:t>
      </w:r>
      <w:proofErr w:type="spellEnd"/>
      <w:r w:rsidRPr="003B25B4">
        <w:rPr>
          <w:color w:val="auto"/>
          <w:szCs w:val="24"/>
        </w:rPr>
        <w:t xml:space="preserve">, J., </w:t>
      </w:r>
      <w:r w:rsidR="00940456" w:rsidRPr="003B25B4">
        <w:rPr>
          <w:color w:val="auto"/>
          <w:szCs w:val="24"/>
        </w:rPr>
        <w:t>and</w:t>
      </w:r>
      <w:r w:rsidRPr="003B25B4">
        <w:rPr>
          <w:color w:val="auto"/>
          <w:szCs w:val="24"/>
        </w:rPr>
        <w:t xml:space="preserve"> Perlman,</w:t>
      </w:r>
      <w:r w:rsidR="005E59DE" w:rsidRPr="003B25B4">
        <w:rPr>
          <w:color w:val="auto"/>
          <w:szCs w:val="24"/>
        </w:rPr>
        <w:t xml:space="preserve"> S. (2007)</w:t>
      </w:r>
      <w:r w:rsidRPr="003B25B4">
        <w:rPr>
          <w:color w:val="auto"/>
          <w:szCs w:val="24"/>
        </w:rPr>
        <w:t xml:space="preserve"> </w:t>
      </w:r>
      <w:r w:rsidR="005E59DE" w:rsidRPr="003B25B4">
        <w:rPr>
          <w:color w:val="auto"/>
          <w:szCs w:val="24"/>
        </w:rPr>
        <w:t>‘</w:t>
      </w:r>
      <w:r w:rsidRPr="003B25B4">
        <w:rPr>
          <w:color w:val="auto"/>
          <w:szCs w:val="24"/>
        </w:rPr>
        <w:t>The unique impact of out-of-home placement and the mediating effects of child maltreatment and homelessness on early school success</w:t>
      </w:r>
      <w:r w:rsidR="005E59DE" w:rsidRPr="003B25B4">
        <w:rPr>
          <w:color w:val="auto"/>
          <w:szCs w:val="24"/>
        </w:rPr>
        <w:t>’,</w:t>
      </w:r>
      <w:r w:rsidRPr="003B25B4">
        <w:rPr>
          <w:color w:val="auto"/>
          <w:szCs w:val="24"/>
        </w:rPr>
        <w:t xml:space="preserve"> </w:t>
      </w:r>
      <w:r w:rsidRPr="003B25B4">
        <w:rPr>
          <w:i/>
          <w:color w:val="auto"/>
          <w:szCs w:val="24"/>
        </w:rPr>
        <w:t>Children</w:t>
      </w:r>
      <w:r w:rsidRPr="003B25B4">
        <w:rPr>
          <w:i/>
          <w:color w:val="auto"/>
        </w:rPr>
        <w:t xml:space="preserve"> </w:t>
      </w:r>
      <w:r w:rsidRPr="003B25B4">
        <w:rPr>
          <w:i/>
          <w:color w:val="auto"/>
          <w:szCs w:val="24"/>
        </w:rPr>
        <w:t>and Youth Services Review</w:t>
      </w:r>
      <w:r w:rsidRPr="003B25B4">
        <w:rPr>
          <w:color w:val="auto"/>
          <w:szCs w:val="24"/>
        </w:rPr>
        <w:t>, 29</w:t>
      </w:r>
      <w:r w:rsidR="005E59DE" w:rsidRPr="003B25B4">
        <w:rPr>
          <w:color w:val="auto"/>
          <w:szCs w:val="24"/>
        </w:rPr>
        <w:t xml:space="preserve"> </w:t>
      </w:r>
      <w:r w:rsidRPr="003B25B4">
        <w:rPr>
          <w:color w:val="auto"/>
          <w:szCs w:val="24"/>
        </w:rPr>
        <w:t xml:space="preserve">(7), </w:t>
      </w:r>
      <w:r w:rsidR="005E59DE" w:rsidRPr="003B25B4">
        <w:rPr>
          <w:color w:val="auto"/>
          <w:szCs w:val="24"/>
        </w:rPr>
        <w:t xml:space="preserve">pp. </w:t>
      </w:r>
      <w:r w:rsidRPr="003B25B4">
        <w:rPr>
          <w:color w:val="auto"/>
          <w:szCs w:val="24"/>
        </w:rPr>
        <w:t>941–960.</w:t>
      </w:r>
      <w:r w:rsidR="00B22B07" w:rsidRPr="003B25B4">
        <w:rPr>
          <w:color w:val="auto"/>
          <w:szCs w:val="24"/>
        </w:rPr>
        <w:t xml:space="preserve"> </w:t>
      </w:r>
    </w:p>
    <w:p w14:paraId="7E556934" w14:textId="40F7CFEC" w:rsidR="005E59DE" w:rsidRPr="003B25B4" w:rsidRDefault="003A4C3B" w:rsidP="00C8612C">
      <w:pPr>
        <w:pStyle w:val="NoSpacing"/>
        <w:spacing w:after="120"/>
        <w:ind w:left="720" w:hanging="720"/>
        <w:rPr>
          <w:color w:val="auto"/>
        </w:rPr>
      </w:pPr>
      <w:proofErr w:type="spellStart"/>
      <w:r w:rsidRPr="003B25B4">
        <w:rPr>
          <w:color w:val="auto"/>
          <w:szCs w:val="24"/>
        </w:rPr>
        <w:t>Farruggia</w:t>
      </w:r>
      <w:proofErr w:type="spellEnd"/>
      <w:r w:rsidRPr="003B25B4">
        <w:rPr>
          <w:color w:val="auto"/>
          <w:szCs w:val="24"/>
        </w:rPr>
        <w:t xml:space="preserve">, S. P., Greenberger, E., Chen, C., </w:t>
      </w:r>
      <w:r w:rsidR="00940456" w:rsidRPr="003B25B4">
        <w:rPr>
          <w:color w:val="auto"/>
          <w:szCs w:val="24"/>
        </w:rPr>
        <w:t>and</w:t>
      </w:r>
      <w:r w:rsidR="005E59DE" w:rsidRPr="003B25B4">
        <w:rPr>
          <w:color w:val="auto"/>
          <w:szCs w:val="24"/>
        </w:rPr>
        <w:t xml:space="preserve"> </w:t>
      </w:r>
      <w:proofErr w:type="spellStart"/>
      <w:r w:rsidR="005E59DE" w:rsidRPr="003B25B4">
        <w:rPr>
          <w:color w:val="auto"/>
          <w:szCs w:val="24"/>
        </w:rPr>
        <w:t>Heckhausen</w:t>
      </w:r>
      <w:proofErr w:type="spellEnd"/>
      <w:r w:rsidR="005E59DE" w:rsidRPr="003B25B4">
        <w:rPr>
          <w:color w:val="auto"/>
          <w:szCs w:val="24"/>
        </w:rPr>
        <w:t>, J. (2006)</w:t>
      </w:r>
      <w:r w:rsidRPr="003B25B4">
        <w:rPr>
          <w:color w:val="auto"/>
          <w:szCs w:val="24"/>
        </w:rPr>
        <w:t xml:space="preserve"> </w:t>
      </w:r>
      <w:r w:rsidR="005E59DE" w:rsidRPr="003B25B4">
        <w:rPr>
          <w:color w:val="auto"/>
          <w:szCs w:val="24"/>
        </w:rPr>
        <w:t>‘</w:t>
      </w:r>
      <w:r w:rsidRPr="003B25B4">
        <w:rPr>
          <w:color w:val="auto"/>
          <w:szCs w:val="24"/>
        </w:rPr>
        <w:t>Perceived Social</w:t>
      </w:r>
      <w:r w:rsidRPr="003B25B4">
        <w:rPr>
          <w:color w:val="auto"/>
        </w:rPr>
        <w:t xml:space="preserve"> Environment and Adolescents’ Well-Being and Adjustment: Comparing a Foster Care Sample with a Matched Sample</w:t>
      </w:r>
      <w:r w:rsidR="005E59DE" w:rsidRPr="003B25B4">
        <w:rPr>
          <w:color w:val="auto"/>
        </w:rPr>
        <w:t>’,</w:t>
      </w:r>
      <w:r w:rsidRPr="003B25B4">
        <w:rPr>
          <w:color w:val="auto"/>
        </w:rPr>
        <w:t xml:space="preserve"> </w:t>
      </w:r>
      <w:r w:rsidRPr="003B25B4">
        <w:rPr>
          <w:i/>
          <w:color w:val="auto"/>
        </w:rPr>
        <w:t>J</w:t>
      </w:r>
      <w:r w:rsidR="005E59DE" w:rsidRPr="003B25B4">
        <w:rPr>
          <w:i/>
          <w:color w:val="auto"/>
        </w:rPr>
        <w:t xml:space="preserve">ournal of Youth and Adolescence, </w:t>
      </w:r>
      <w:r w:rsidR="005E59DE" w:rsidRPr="003B25B4">
        <w:rPr>
          <w:color w:val="auto"/>
        </w:rPr>
        <w:t>35 (3), pp. 349-358.</w:t>
      </w:r>
    </w:p>
    <w:p w14:paraId="4166E968" w14:textId="1245DE10" w:rsidR="00081FB1" w:rsidRPr="003B25B4" w:rsidRDefault="00081FB1" w:rsidP="00C8612C">
      <w:pPr>
        <w:pStyle w:val="NoSpacing"/>
        <w:spacing w:after="120"/>
        <w:ind w:left="720" w:hanging="720"/>
        <w:rPr>
          <w:color w:val="auto"/>
        </w:rPr>
      </w:pPr>
      <w:r w:rsidRPr="003B25B4">
        <w:rPr>
          <w:color w:val="auto"/>
          <w:lang w:val="de-DE"/>
        </w:rPr>
        <w:lastRenderedPageBreak/>
        <w:t xml:space="preserve">Ford, T., Vostanis, P., Meltzer, H. </w:t>
      </w:r>
      <w:r w:rsidR="00940456" w:rsidRPr="003B25B4">
        <w:rPr>
          <w:color w:val="auto"/>
          <w:lang w:val="de-DE"/>
        </w:rPr>
        <w:t>and</w:t>
      </w:r>
      <w:r w:rsidR="005E59DE" w:rsidRPr="003B25B4">
        <w:rPr>
          <w:color w:val="auto"/>
          <w:lang w:val="de-DE"/>
        </w:rPr>
        <w:t xml:space="preserve"> Goodman, R. (2007</w:t>
      </w:r>
      <w:r w:rsidR="00C8612C" w:rsidRPr="003B25B4">
        <w:rPr>
          <w:color w:val="auto"/>
          <w:szCs w:val="24"/>
        </w:rPr>
        <w:t>) ‘P</w:t>
      </w:r>
      <w:r w:rsidRPr="003B25B4">
        <w:rPr>
          <w:color w:val="auto"/>
        </w:rPr>
        <w:t xml:space="preserve">sychiatric disorder among British children looked after by local </w:t>
      </w:r>
      <w:r w:rsidR="00A42913" w:rsidRPr="003B25B4">
        <w:rPr>
          <w:color w:val="auto"/>
        </w:rPr>
        <w:t>a</w:t>
      </w:r>
      <w:r w:rsidRPr="003B25B4">
        <w:rPr>
          <w:color w:val="auto"/>
        </w:rPr>
        <w:t>uthorities: comparison with children living in private households</w:t>
      </w:r>
      <w:r w:rsidR="005E59DE" w:rsidRPr="003B25B4">
        <w:rPr>
          <w:color w:val="auto"/>
        </w:rPr>
        <w:t>’,</w:t>
      </w:r>
      <w:r w:rsidRPr="003B25B4">
        <w:rPr>
          <w:color w:val="auto"/>
        </w:rPr>
        <w:t xml:space="preserve"> </w:t>
      </w:r>
      <w:r w:rsidRPr="003B25B4">
        <w:rPr>
          <w:i/>
          <w:color w:val="auto"/>
        </w:rPr>
        <w:t>The British Journal of Psychiatry</w:t>
      </w:r>
      <w:r w:rsidRPr="003B25B4">
        <w:rPr>
          <w:color w:val="auto"/>
        </w:rPr>
        <w:t>, 190</w:t>
      </w:r>
      <w:r w:rsidR="005E59DE" w:rsidRPr="003B25B4">
        <w:rPr>
          <w:color w:val="auto"/>
        </w:rPr>
        <w:t xml:space="preserve"> </w:t>
      </w:r>
      <w:r w:rsidRPr="003B25B4">
        <w:rPr>
          <w:color w:val="auto"/>
        </w:rPr>
        <w:t>(</w:t>
      </w:r>
      <w:r w:rsidRPr="003B25B4">
        <w:rPr>
          <w:i/>
          <w:color w:val="auto"/>
        </w:rPr>
        <w:t>4</w:t>
      </w:r>
      <w:r w:rsidRPr="003B25B4">
        <w:rPr>
          <w:color w:val="auto"/>
        </w:rPr>
        <w:t>), pp.</w:t>
      </w:r>
      <w:r w:rsidR="005E59DE" w:rsidRPr="003B25B4">
        <w:rPr>
          <w:color w:val="auto"/>
        </w:rPr>
        <w:t xml:space="preserve"> </w:t>
      </w:r>
      <w:proofErr w:type="gramStart"/>
      <w:r w:rsidRPr="003B25B4">
        <w:rPr>
          <w:color w:val="auto"/>
        </w:rPr>
        <w:t>319-325.</w:t>
      </w:r>
      <w:proofErr w:type="gramEnd"/>
    </w:p>
    <w:p w14:paraId="579BD5D2" w14:textId="5991D66A" w:rsidR="003A212D" w:rsidRPr="003B25B4" w:rsidRDefault="00081FB1" w:rsidP="00C8612C">
      <w:pPr>
        <w:pStyle w:val="NoSpacing"/>
        <w:ind w:left="720" w:hanging="720"/>
        <w:rPr>
          <w:color w:val="auto"/>
        </w:rPr>
      </w:pPr>
      <w:proofErr w:type="spellStart"/>
      <w:r w:rsidRPr="003B25B4">
        <w:rPr>
          <w:color w:val="auto"/>
        </w:rPr>
        <w:t>Goemans</w:t>
      </w:r>
      <w:proofErr w:type="spellEnd"/>
      <w:r w:rsidRPr="003B25B4">
        <w:rPr>
          <w:color w:val="auto"/>
        </w:rPr>
        <w:t xml:space="preserve">, A., van </w:t>
      </w:r>
      <w:proofErr w:type="spellStart"/>
      <w:r w:rsidRPr="003B25B4">
        <w:rPr>
          <w:color w:val="auto"/>
        </w:rPr>
        <w:t>Geel</w:t>
      </w:r>
      <w:proofErr w:type="spellEnd"/>
      <w:r w:rsidRPr="003B25B4">
        <w:rPr>
          <w:color w:val="auto"/>
        </w:rPr>
        <w:t xml:space="preserve">, M., van </w:t>
      </w:r>
      <w:proofErr w:type="spellStart"/>
      <w:r w:rsidRPr="003B25B4">
        <w:rPr>
          <w:color w:val="auto"/>
        </w:rPr>
        <w:t>Beem</w:t>
      </w:r>
      <w:proofErr w:type="spellEnd"/>
      <w:r w:rsidRPr="003B25B4">
        <w:rPr>
          <w:color w:val="auto"/>
        </w:rPr>
        <w:t xml:space="preserve">, M. </w:t>
      </w:r>
      <w:r w:rsidR="00940456" w:rsidRPr="003B25B4">
        <w:rPr>
          <w:color w:val="auto"/>
        </w:rPr>
        <w:t>and</w:t>
      </w:r>
      <w:r w:rsidR="005E59DE" w:rsidRPr="003B25B4">
        <w:rPr>
          <w:color w:val="auto"/>
        </w:rPr>
        <w:t xml:space="preserve"> </w:t>
      </w:r>
      <w:proofErr w:type="spellStart"/>
      <w:r w:rsidR="005E59DE" w:rsidRPr="003B25B4">
        <w:rPr>
          <w:color w:val="auto"/>
        </w:rPr>
        <w:t>Vedder</w:t>
      </w:r>
      <w:proofErr w:type="spellEnd"/>
      <w:r w:rsidR="005E59DE" w:rsidRPr="003B25B4">
        <w:rPr>
          <w:color w:val="auto"/>
        </w:rPr>
        <w:t>, P. (2016)</w:t>
      </w:r>
      <w:r w:rsidRPr="003B25B4">
        <w:rPr>
          <w:color w:val="auto"/>
        </w:rPr>
        <w:t xml:space="preserve"> </w:t>
      </w:r>
      <w:r w:rsidR="005E59DE" w:rsidRPr="003B25B4">
        <w:rPr>
          <w:color w:val="auto"/>
        </w:rPr>
        <w:t>‘</w:t>
      </w:r>
      <w:r w:rsidRPr="003B25B4">
        <w:rPr>
          <w:color w:val="auto"/>
        </w:rPr>
        <w:t xml:space="preserve">Developmental Outcomes of Foster Children: A Meta-Analytic Comparison </w:t>
      </w:r>
      <w:r w:rsidR="00CB0931" w:rsidRPr="003B25B4">
        <w:rPr>
          <w:color w:val="auto"/>
        </w:rPr>
        <w:t>with</w:t>
      </w:r>
      <w:r w:rsidRPr="003B25B4">
        <w:rPr>
          <w:color w:val="auto"/>
        </w:rPr>
        <w:t xml:space="preserve"> Children </w:t>
      </w:r>
      <w:proofErr w:type="gramStart"/>
      <w:r w:rsidRPr="003B25B4">
        <w:rPr>
          <w:color w:val="auto"/>
        </w:rPr>
        <w:t>From</w:t>
      </w:r>
      <w:proofErr w:type="gramEnd"/>
      <w:r w:rsidRPr="003B25B4">
        <w:rPr>
          <w:color w:val="auto"/>
        </w:rPr>
        <w:t xml:space="preserve"> the General Population and Children at Risk Who remained at Home</w:t>
      </w:r>
      <w:r w:rsidR="005E59DE" w:rsidRPr="003B25B4">
        <w:rPr>
          <w:color w:val="auto"/>
        </w:rPr>
        <w:t>’,</w:t>
      </w:r>
      <w:r w:rsidRPr="003B25B4">
        <w:rPr>
          <w:i/>
          <w:color w:val="auto"/>
        </w:rPr>
        <w:t xml:space="preserve"> Child Maltreat</w:t>
      </w:r>
      <w:r w:rsidR="00A42913" w:rsidRPr="003B25B4">
        <w:rPr>
          <w:i/>
          <w:color w:val="auto"/>
        </w:rPr>
        <w:t>ment,</w:t>
      </w:r>
      <w:r w:rsidRPr="003B25B4">
        <w:rPr>
          <w:color w:val="auto"/>
        </w:rPr>
        <w:t xml:space="preserve"> 21</w:t>
      </w:r>
      <w:r w:rsidR="005E59DE" w:rsidRPr="003B25B4">
        <w:rPr>
          <w:color w:val="auto"/>
        </w:rPr>
        <w:t xml:space="preserve"> </w:t>
      </w:r>
      <w:r w:rsidRPr="003B25B4">
        <w:rPr>
          <w:color w:val="auto"/>
        </w:rPr>
        <w:t>(</w:t>
      </w:r>
      <w:r w:rsidRPr="003B25B4">
        <w:rPr>
          <w:i/>
          <w:color w:val="auto"/>
        </w:rPr>
        <w:t>3</w:t>
      </w:r>
      <w:r w:rsidRPr="003B25B4">
        <w:rPr>
          <w:color w:val="auto"/>
        </w:rPr>
        <w:t>), pp.198-217.</w:t>
      </w:r>
    </w:p>
    <w:p w14:paraId="38CE1FBC" w14:textId="531E6199" w:rsidR="001673FC" w:rsidRPr="003B25B4" w:rsidRDefault="001673FC" w:rsidP="00C8612C">
      <w:pPr>
        <w:pStyle w:val="NoSpacing"/>
        <w:ind w:left="720" w:hanging="720"/>
        <w:rPr>
          <w:rFonts w:asciiTheme="majorHAnsi" w:hAnsiTheme="majorHAnsi" w:cstheme="majorHAnsi"/>
          <w:color w:val="auto"/>
          <w:szCs w:val="24"/>
        </w:rPr>
      </w:pPr>
      <w:r w:rsidRPr="003B25B4">
        <w:rPr>
          <w:rFonts w:asciiTheme="majorHAnsi" w:hAnsiTheme="majorHAnsi" w:cstheme="majorHAnsi"/>
          <w:color w:val="auto"/>
          <w:szCs w:val="24"/>
        </w:rPr>
        <w:t xml:space="preserve">Goodman, R. (1997) </w:t>
      </w:r>
      <w:r w:rsidR="00C8612C">
        <w:rPr>
          <w:rFonts w:asciiTheme="majorHAnsi" w:hAnsiTheme="majorHAnsi" w:cstheme="majorHAnsi"/>
          <w:color w:val="auto"/>
          <w:szCs w:val="24"/>
        </w:rPr>
        <w:t>‘</w:t>
      </w:r>
      <w:r w:rsidRPr="003B25B4">
        <w:rPr>
          <w:rFonts w:asciiTheme="majorHAnsi" w:hAnsiTheme="majorHAnsi" w:cstheme="majorHAnsi"/>
          <w:color w:val="auto"/>
          <w:szCs w:val="24"/>
        </w:rPr>
        <w:t>The S</w:t>
      </w:r>
      <w:r w:rsidR="00E56071" w:rsidRPr="003B25B4">
        <w:rPr>
          <w:rFonts w:asciiTheme="majorHAnsi" w:hAnsiTheme="majorHAnsi" w:cstheme="majorHAnsi"/>
          <w:color w:val="auto"/>
          <w:szCs w:val="24"/>
        </w:rPr>
        <w:t>t</w:t>
      </w:r>
      <w:r w:rsidRPr="003B25B4">
        <w:rPr>
          <w:rFonts w:asciiTheme="majorHAnsi" w:hAnsiTheme="majorHAnsi" w:cstheme="majorHAnsi"/>
          <w:color w:val="auto"/>
          <w:szCs w:val="24"/>
        </w:rPr>
        <w:t>rengths and Difficulties Questionnaire: A research note</w:t>
      </w:r>
      <w:r w:rsidR="00C8612C">
        <w:rPr>
          <w:rFonts w:asciiTheme="majorHAnsi" w:hAnsiTheme="majorHAnsi" w:cstheme="majorHAnsi"/>
          <w:color w:val="auto"/>
          <w:szCs w:val="24"/>
        </w:rPr>
        <w:t>’,</w:t>
      </w:r>
      <w:r w:rsidRPr="003B25B4">
        <w:rPr>
          <w:rFonts w:asciiTheme="majorHAnsi" w:hAnsiTheme="majorHAnsi" w:cstheme="majorHAnsi"/>
          <w:color w:val="auto"/>
          <w:szCs w:val="24"/>
        </w:rPr>
        <w:t xml:space="preserve"> </w:t>
      </w:r>
      <w:r w:rsidRPr="003B25B4">
        <w:rPr>
          <w:rFonts w:asciiTheme="majorHAnsi" w:hAnsiTheme="majorHAnsi" w:cstheme="majorHAnsi"/>
          <w:i/>
          <w:iCs/>
          <w:color w:val="auto"/>
          <w:szCs w:val="24"/>
        </w:rPr>
        <w:t>Journal of Child Psychology and Psychiatry, 38</w:t>
      </w:r>
      <w:r w:rsidRPr="003B25B4">
        <w:rPr>
          <w:rFonts w:asciiTheme="majorHAnsi" w:hAnsiTheme="majorHAnsi" w:cstheme="majorHAnsi"/>
          <w:color w:val="auto"/>
          <w:szCs w:val="24"/>
        </w:rPr>
        <w:t>(5), 581–586.</w:t>
      </w:r>
    </w:p>
    <w:p w14:paraId="652C87A6" w14:textId="4925503B" w:rsidR="00141B5A" w:rsidRPr="003B25B4" w:rsidRDefault="00141B5A" w:rsidP="00C8612C">
      <w:pPr>
        <w:pStyle w:val="NoSpacing"/>
        <w:ind w:left="720" w:hanging="720"/>
        <w:rPr>
          <w:rFonts w:asciiTheme="majorHAnsi" w:hAnsiTheme="majorHAnsi" w:cstheme="majorHAnsi"/>
          <w:color w:val="auto"/>
          <w:szCs w:val="24"/>
        </w:rPr>
      </w:pPr>
      <w:r w:rsidRPr="003B25B4">
        <w:rPr>
          <w:color w:val="auto"/>
        </w:rPr>
        <w:t xml:space="preserve">Goodman, R. (2001) </w:t>
      </w:r>
      <w:r w:rsidR="00C8612C">
        <w:rPr>
          <w:color w:val="auto"/>
        </w:rPr>
        <w:t>‘</w:t>
      </w:r>
      <w:r w:rsidRPr="003B25B4">
        <w:rPr>
          <w:color w:val="auto"/>
        </w:rPr>
        <w:t>Psychometric Properties of the Strengths and Difficulties Questionnaire</w:t>
      </w:r>
      <w:r w:rsidR="00C8612C">
        <w:rPr>
          <w:color w:val="auto"/>
        </w:rPr>
        <w:t>’,</w:t>
      </w:r>
      <w:r w:rsidRPr="003B25B4">
        <w:rPr>
          <w:color w:val="auto"/>
        </w:rPr>
        <w:t xml:space="preserve"> </w:t>
      </w:r>
      <w:r w:rsidRPr="003B25B4">
        <w:rPr>
          <w:i/>
          <w:color w:val="auto"/>
        </w:rPr>
        <w:t>Journal of the American Academy of Child &amp; Adolescent Psychiatry</w:t>
      </w:r>
      <w:r w:rsidRPr="003B25B4">
        <w:rPr>
          <w:color w:val="auto"/>
        </w:rPr>
        <w:t>, 40(</w:t>
      </w:r>
      <w:r w:rsidRPr="003B25B4">
        <w:rPr>
          <w:i/>
          <w:color w:val="auto"/>
        </w:rPr>
        <w:t>11</w:t>
      </w:r>
      <w:r w:rsidRPr="003B25B4">
        <w:rPr>
          <w:color w:val="auto"/>
        </w:rPr>
        <w:t xml:space="preserve">), 1337-1345.  </w:t>
      </w:r>
    </w:p>
    <w:p w14:paraId="4ADB74E0" w14:textId="59D67B47" w:rsidR="001673FC" w:rsidRPr="003B25B4" w:rsidRDefault="001673FC" w:rsidP="00C8612C">
      <w:pPr>
        <w:pStyle w:val="NoSpacing"/>
        <w:ind w:left="720" w:hanging="720"/>
        <w:rPr>
          <w:rFonts w:asciiTheme="majorHAnsi" w:hAnsiTheme="majorHAnsi" w:cstheme="majorHAnsi"/>
          <w:color w:val="auto"/>
          <w:szCs w:val="24"/>
        </w:rPr>
      </w:pPr>
      <w:r w:rsidRPr="003B25B4">
        <w:rPr>
          <w:rFonts w:asciiTheme="majorHAnsi" w:hAnsiTheme="majorHAnsi" w:cstheme="majorHAnsi"/>
          <w:color w:val="auto"/>
          <w:szCs w:val="24"/>
        </w:rPr>
        <w:t xml:space="preserve">Hansen, K., Jones, E., Joshi, H., </w:t>
      </w:r>
      <w:r w:rsidR="00BD5D1D">
        <w:rPr>
          <w:rFonts w:asciiTheme="majorHAnsi" w:hAnsiTheme="majorHAnsi" w:cstheme="majorHAnsi"/>
          <w:color w:val="auto"/>
          <w:szCs w:val="24"/>
        </w:rPr>
        <w:t>and</w:t>
      </w:r>
      <w:r w:rsidRPr="003B25B4">
        <w:rPr>
          <w:rFonts w:asciiTheme="majorHAnsi" w:hAnsiTheme="majorHAnsi" w:cstheme="majorHAnsi"/>
          <w:color w:val="auto"/>
          <w:szCs w:val="24"/>
        </w:rPr>
        <w:t xml:space="preserve"> Budge, D. (2010) </w:t>
      </w:r>
      <w:r w:rsidRPr="003B25B4">
        <w:rPr>
          <w:rFonts w:asciiTheme="majorHAnsi" w:hAnsiTheme="majorHAnsi" w:cstheme="majorHAnsi"/>
          <w:i/>
          <w:iCs/>
          <w:color w:val="auto"/>
          <w:szCs w:val="24"/>
        </w:rPr>
        <w:t>Millennium cohort study fourth survey: A user’s guide to initial findings</w:t>
      </w:r>
      <w:r w:rsidR="00C8612C">
        <w:rPr>
          <w:rFonts w:asciiTheme="majorHAnsi" w:hAnsiTheme="majorHAnsi" w:cstheme="majorHAnsi"/>
          <w:color w:val="auto"/>
          <w:szCs w:val="24"/>
        </w:rPr>
        <w:t>,</w:t>
      </w:r>
      <w:r w:rsidRPr="003B25B4">
        <w:rPr>
          <w:rFonts w:asciiTheme="majorHAnsi" w:hAnsiTheme="majorHAnsi" w:cstheme="majorHAnsi"/>
          <w:color w:val="auto"/>
          <w:szCs w:val="24"/>
        </w:rPr>
        <w:t xml:space="preserve"> Centre for Longitudinal</w:t>
      </w:r>
      <w:r w:rsidR="00C8612C">
        <w:rPr>
          <w:rFonts w:asciiTheme="majorHAnsi" w:hAnsiTheme="majorHAnsi" w:cstheme="majorHAnsi"/>
          <w:color w:val="auto"/>
          <w:szCs w:val="24"/>
        </w:rPr>
        <w:t xml:space="preserve"> Studies, London.</w:t>
      </w:r>
    </w:p>
    <w:p w14:paraId="284D14D8" w14:textId="4284BEFE" w:rsidR="003A4C3B" w:rsidRPr="003B25B4" w:rsidRDefault="003A4C3B" w:rsidP="00C8612C">
      <w:pPr>
        <w:pStyle w:val="NoSpacing"/>
        <w:ind w:left="720" w:hanging="720"/>
        <w:rPr>
          <w:color w:val="auto"/>
        </w:rPr>
      </w:pPr>
      <w:r w:rsidRPr="003B25B4">
        <w:rPr>
          <w:color w:val="auto"/>
        </w:rPr>
        <w:t xml:space="preserve">Hansen, K., Jones, E., Joshi, H., </w:t>
      </w:r>
      <w:r w:rsidR="00940456" w:rsidRPr="003B25B4">
        <w:rPr>
          <w:color w:val="auto"/>
        </w:rPr>
        <w:t>and</w:t>
      </w:r>
      <w:r w:rsidR="005E59DE" w:rsidRPr="003B25B4">
        <w:rPr>
          <w:color w:val="auto"/>
        </w:rPr>
        <w:t xml:space="preserve"> Budge, D. (2010)</w:t>
      </w:r>
      <w:r w:rsidRPr="003B25B4">
        <w:rPr>
          <w:color w:val="auto"/>
        </w:rPr>
        <w:t xml:space="preserve"> </w:t>
      </w:r>
      <w:r w:rsidRPr="003B25B4">
        <w:rPr>
          <w:i/>
          <w:color w:val="auto"/>
        </w:rPr>
        <w:t>Millennium Cohort Study Fourth Survey: A User’s Guide to Initial Findings</w:t>
      </w:r>
      <w:r w:rsidR="005E59DE" w:rsidRPr="003B25B4">
        <w:rPr>
          <w:color w:val="auto"/>
        </w:rPr>
        <w:t>,</w:t>
      </w:r>
      <w:r w:rsidRPr="003B25B4">
        <w:rPr>
          <w:color w:val="auto"/>
        </w:rPr>
        <w:t xml:space="preserve"> </w:t>
      </w:r>
      <w:r w:rsidR="005E59DE" w:rsidRPr="003B25B4">
        <w:rPr>
          <w:color w:val="auto"/>
        </w:rPr>
        <w:t>Centre for Longitudinal Studies, London</w:t>
      </w:r>
      <w:r w:rsidRPr="003B25B4">
        <w:rPr>
          <w:color w:val="auto"/>
        </w:rPr>
        <w:t>.</w:t>
      </w:r>
    </w:p>
    <w:p w14:paraId="4736AB9D" w14:textId="626E8333" w:rsidR="00141CF7" w:rsidRPr="003B25B4" w:rsidRDefault="00141CF7" w:rsidP="00C8612C">
      <w:pPr>
        <w:pStyle w:val="NoSpacing"/>
        <w:spacing w:after="120"/>
        <w:ind w:left="720" w:hanging="720"/>
        <w:rPr>
          <w:color w:val="auto"/>
        </w:rPr>
      </w:pPr>
      <w:r w:rsidRPr="003B25B4">
        <w:rPr>
          <w:color w:val="auto"/>
        </w:rPr>
        <w:t xml:space="preserve">Heath, A.F., Colton, M.J. </w:t>
      </w:r>
      <w:r w:rsidR="00940456" w:rsidRPr="003B25B4">
        <w:rPr>
          <w:color w:val="auto"/>
        </w:rPr>
        <w:t>and</w:t>
      </w:r>
      <w:r w:rsidR="005E59DE" w:rsidRPr="003B25B4">
        <w:rPr>
          <w:color w:val="auto"/>
        </w:rPr>
        <w:t xml:space="preserve"> Aldgate, J. (1994)</w:t>
      </w:r>
      <w:r w:rsidRPr="003B25B4">
        <w:rPr>
          <w:color w:val="auto"/>
        </w:rPr>
        <w:t xml:space="preserve"> </w:t>
      </w:r>
      <w:r w:rsidR="005E59DE" w:rsidRPr="003B25B4">
        <w:rPr>
          <w:color w:val="auto"/>
        </w:rPr>
        <w:t>‘</w:t>
      </w:r>
      <w:r w:rsidRPr="003B25B4">
        <w:rPr>
          <w:color w:val="auto"/>
        </w:rPr>
        <w:t>Failure to Esca</w:t>
      </w:r>
      <w:r w:rsidR="00A42913" w:rsidRPr="003B25B4">
        <w:rPr>
          <w:color w:val="auto"/>
        </w:rPr>
        <w:t>p</w:t>
      </w:r>
      <w:r w:rsidRPr="003B25B4">
        <w:rPr>
          <w:color w:val="auto"/>
        </w:rPr>
        <w:t>e: A Longitudinal Study of Foster Children’s Educational Attainment</w:t>
      </w:r>
      <w:r w:rsidR="005E59DE" w:rsidRPr="003B25B4">
        <w:rPr>
          <w:color w:val="auto"/>
        </w:rPr>
        <w:t>’</w:t>
      </w:r>
      <w:r w:rsidRPr="003B25B4">
        <w:rPr>
          <w:color w:val="auto"/>
        </w:rPr>
        <w:t xml:space="preserve">, </w:t>
      </w:r>
      <w:r w:rsidRPr="003B25B4">
        <w:rPr>
          <w:i/>
          <w:color w:val="auto"/>
        </w:rPr>
        <w:t>British Journal of Social Work</w:t>
      </w:r>
      <w:r w:rsidRPr="003B25B4">
        <w:rPr>
          <w:color w:val="auto"/>
        </w:rPr>
        <w:t>, 24</w:t>
      </w:r>
      <w:r w:rsidR="005E59DE" w:rsidRPr="003B25B4">
        <w:rPr>
          <w:color w:val="auto"/>
        </w:rPr>
        <w:t xml:space="preserve"> </w:t>
      </w:r>
      <w:r w:rsidRPr="003B25B4">
        <w:rPr>
          <w:color w:val="auto"/>
        </w:rPr>
        <w:t>(3), pp.241-260.</w:t>
      </w:r>
    </w:p>
    <w:p w14:paraId="1E695EA1" w14:textId="14443D32" w:rsidR="0092710D" w:rsidRPr="003B25B4" w:rsidRDefault="008E242B" w:rsidP="00C8612C">
      <w:pPr>
        <w:pStyle w:val="NoSpacing"/>
        <w:spacing w:after="120"/>
        <w:ind w:left="720" w:hanging="720"/>
        <w:rPr>
          <w:color w:val="auto"/>
        </w:rPr>
      </w:pPr>
      <w:proofErr w:type="gramStart"/>
      <w:r w:rsidRPr="003B25B4">
        <w:rPr>
          <w:color w:val="auto"/>
        </w:rPr>
        <w:t xml:space="preserve">Hillman, J. </w:t>
      </w:r>
      <w:r w:rsidR="00940456" w:rsidRPr="003B25B4">
        <w:rPr>
          <w:color w:val="auto"/>
        </w:rPr>
        <w:t>and</w:t>
      </w:r>
      <w:r w:rsidRPr="003B25B4">
        <w:rPr>
          <w:color w:val="auto"/>
        </w:rPr>
        <w:t xml:space="preserve"> Will</w:t>
      </w:r>
      <w:r w:rsidR="005E59DE" w:rsidRPr="003B25B4">
        <w:rPr>
          <w:color w:val="auto"/>
        </w:rPr>
        <w:t>iams, T. (2015)</w:t>
      </w:r>
      <w:r w:rsidRPr="003B25B4">
        <w:rPr>
          <w:color w:val="auto"/>
        </w:rPr>
        <w:t xml:space="preserve"> </w:t>
      </w:r>
      <w:r w:rsidRPr="003B25B4">
        <w:rPr>
          <w:i/>
          <w:color w:val="auto"/>
        </w:rPr>
        <w:t>Early years education and childcare: lessons from</w:t>
      </w:r>
      <w:r w:rsidR="005E59DE" w:rsidRPr="003B25B4">
        <w:rPr>
          <w:i/>
          <w:color w:val="auto"/>
        </w:rPr>
        <w:t xml:space="preserve"> evidence and future priorities,</w:t>
      </w:r>
      <w:r w:rsidRPr="003B25B4">
        <w:rPr>
          <w:color w:val="auto"/>
        </w:rPr>
        <w:t xml:space="preserve"> Nuffield Foundation</w:t>
      </w:r>
      <w:r w:rsidR="005E59DE" w:rsidRPr="003B25B4">
        <w:rPr>
          <w:color w:val="auto"/>
        </w:rPr>
        <w:t>, London</w:t>
      </w:r>
      <w:r w:rsidRPr="003B25B4">
        <w:rPr>
          <w:color w:val="auto"/>
        </w:rPr>
        <w:t>.</w:t>
      </w:r>
      <w:proofErr w:type="gramEnd"/>
    </w:p>
    <w:p w14:paraId="3499439E" w14:textId="6FDDDC35" w:rsidR="003A4C3B" w:rsidRPr="003B25B4" w:rsidRDefault="003A4C3B" w:rsidP="00C8612C">
      <w:pPr>
        <w:pStyle w:val="NoSpacing"/>
        <w:spacing w:after="120"/>
        <w:ind w:left="720" w:hanging="720"/>
        <w:rPr>
          <w:color w:val="auto"/>
        </w:rPr>
      </w:pPr>
      <w:r w:rsidRPr="003B25B4">
        <w:rPr>
          <w:color w:val="auto"/>
        </w:rPr>
        <w:lastRenderedPageBreak/>
        <w:t xml:space="preserve">Maclean, M., Taylor, S. and O’Donnell, M. (2016) </w:t>
      </w:r>
      <w:r w:rsidR="005E59DE" w:rsidRPr="003B25B4">
        <w:rPr>
          <w:color w:val="auto"/>
        </w:rPr>
        <w:t>‘</w:t>
      </w:r>
      <w:r w:rsidRPr="003B25B4">
        <w:rPr>
          <w:color w:val="auto"/>
        </w:rPr>
        <w:t>Pre-existing adversity, level of child protection involvement and school attendance predict educational outcomes</w:t>
      </w:r>
      <w:r w:rsidR="005E59DE" w:rsidRPr="003B25B4">
        <w:rPr>
          <w:color w:val="auto"/>
        </w:rPr>
        <w:t>’,</w:t>
      </w:r>
      <w:r w:rsidRPr="003B25B4">
        <w:rPr>
          <w:color w:val="auto"/>
        </w:rPr>
        <w:t xml:space="preserve"> </w:t>
      </w:r>
      <w:r w:rsidRPr="003B25B4">
        <w:rPr>
          <w:i/>
          <w:color w:val="auto"/>
        </w:rPr>
        <w:t>Child Abuse and Neglect</w:t>
      </w:r>
      <w:r w:rsidR="005E59DE" w:rsidRPr="003B25B4">
        <w:rPr>
          <w:i/>
          <w:color w:val="auto"/>
        </w:rPr>
        <w:t>,</w:t>
      </w:r>
      <w:r w:rsidRPr="003B25B4">
        <w:rPr>
          <w:color w:val="auto"/>
        </w:rPr>
        <w:t xml:space="preserve"> 51</w:t>
      </w:r>
      <w:r w:rsidR="005E59DE" w:rsidRPr="003B25B4">
        <w:rPr>
          <w:color w:val="auto"/>
        </w:rPr>
        <w:t>,</w:t>
      </w:r>
      <w:r w:rsidRPr="003B25B4">
        <w:rPr>
          <w:color w:val="auto"/>
        </w:rPr>
        <w:t xml:space="preserve"> pp.120-23</w:t>
      </w:r>
      <w:r w:rsidRPr="003B25B4">
        <w:rPr>
          <w:color w:val="auto"/>
          <w:szCs w:val="24"/>
        </w:rPr>
        <w:t>1.</w:t>
      </w:r>
      <w:r w:rsidR="00103926" w:rsidRPr="003B25B4">
        <w:rPr>
          <w:color w:val="auto"/>
          <w:szCs w:val="24"/>
        </w:rPr>
        <w:t xml:space="preserve"> </w:t>
      </w:r>
      <w:hyperlink r:id="rId20" w:tgtFrame="_blank" w:tooltip="Persistent link using digital object identifier" w:history="1">
        <w:r w:rsidR="00103926" w:rsidRPr="003B25B4">
          <w:rPr>
            <w:rStyle w:val="Hyperlink"/>
            <w:color w:val="auto"/>
            <w:szCs w:val="24"/>
          </w:rPr>
          <w:t>https://doi.org/10.1016/j.chiabu.2015.10.026</w:t>
        </w:r>
      </w:hyperlink>
    </w:p>
    <w:p w14:paraId="43AA9777" w14:textId="3ACFEC16" w:rsidR="003A4C3B" w:rsidRPr="003B25B4" w:rsidRDefault="00103926" w:rsidP="00C8612C">
      <w:pPr>
        <w:pStyle w:val="NoSpacing"/>
        <w:spacing w:after="120"/>
        <w:ind w:left="720" w:hanging="720"/>
        <w:rPr>
          <w:color w:val="auto"/>
        </w:rPr>
      </w:pPr>
      <w:r w:rsidRPr="003B25B4">
        <w:rPr>
          <w:color w:val="auto"/>
        </w:rPr>
        <w:t>Marks, J. (1998) ‘</w:t>
      </w:r>
      <w:r w:rsidR="003A4C3B" w:rsidRPr="003B25B4">
        <w:rPr>
          <w:color w:val="auto"/>
        </w:rPr>
        <w:t>Relationship of Childhood Abuse and Household Dysfunction to Many of the Leadi</w:t>
      </w:r>
      <w:r w:rsidRPr="003B25B4">
        <w:rPr>
          <w:color w:val="auto"/>
        </w:rPr>
        <w:t xml:space="preserve">ng Causes of Death in Adults’, </w:t>
      </w:r>
      <w:r w:rsidR="003A4C3B" w:rsidRPr="003B25B4">
        <w:rPr>
          <w:i/>
          <w:iCs/>
          <w:color w:val="auto"/>
        </w:rPr>
        <w:t>American Journal of Preventive Medicine</w:t>
      </w:r>
      <w:r w:rsidRPr="003B25B4">
        <w:rPr>
          <w:i/>
          <w:iCs/>
          <w:color w:val="auto"/>
        </w:rPr>
        <w:t>,</w:t>
      </w:r>
      <w:r w:rsidR="003A4C3B" w:rsidRPr="003B25B4">
        <w:rPr>
          <w:i/>
          <w:iCs/>
          <w:color w:val="auto"/>
        </w:rPr>
        <w:t xml:space="preserve"> </w:t>
      </w:r>
      <w:r w:rsidR="003A4C3B" w:rsidRPr="003B25B4">
        <w:rPr>
          <w:color w:val="auto"/>
        </w:rPr>
        <w:t>14</w:t>
      </w:r>
      <w:r w:rsidRPr="003B25B4">
        <w:rPr>
          <w:color w:val="auto"/>
        </w:rPr>
        <w:t xml:space="preserve"> (</w:t>
      </w:r>
      <w:r w:rsidR="003A4C3B" w:rsidRPr="003B25B4">
        <w:rPr>
          <w:color w:val="auto"/>
        </w:rPr>
        <w:t>4</w:t>
      </w:r>
      <w:r w:rsidRPr="003B25B4">
        <w:rPr>
          <w:color w:val="auto"/>
        </w:rPr>
        <w:t>)</w:t>
      </w:r>
      <w:r w:rsidR="003A4C3B" w:rsidRPr="003B25B4">
        <w:rPr>
          <w:color w:val="auto"/>
        </w:rPr>
        <w:t>, pp. 245–258.</w:t>
      </w:r>
    </w:p>
    <w:p w14:paraId="4B150A28" w14:textId="68C6BDF8" w:rsidR="005F6C26" w:rsidRPr="003B25B4" w:rsidRDefault="008E242B" w:rsidP="00C8612C">
      <w:pPr>
        <w:pStyle w:val="NoSpacing"/>
        <w:spacing w:after="120"/>
        <w:ind w:left="720" w:hanging="720"/>
        <w:rPr>
          <w:color w:val="auto"/>
        </w:rPr>
      </w:pPr>
      <w:r w:rsidRPr="003B25B4">
        <w:rPr>
          <w:color w:val="auto"/>
        </w:rPr>
        <w:t xml:space="preserve">Marmot, M. </w:t>
      </w:r>
      <w:r w:rsidR="00CB0931" w:rsidRPr="003B25B4">
        <w:rPr>
          <w:color w:val="auto"/>
        </w:rPr>
        <w:t xml:space="preserve">(2010) </w:t>
      </w:r>
      <w:r w:rsidRPr="003B25B4">
        <w:rPr>
          <w:i/>
          <w:color w:val="auto"/>
        </w:rPr>
        <w:t>Fair society, healthy lives</w:t>
      </w:r>
      <w:r w:rsidR="00C338E8" w:rsidRPr="003B25B4">
        <w:rPr>
          <w:i/>
          <w:color w:val="auto"/>
        </w:rPr>
        <w:t xml:space="preserve"> (T</w:t>
      </w:r>
      <w:r w:rsidRPr="003B25B4">
        <w:rPr>
          <w:i/>
          <w:color w:val="auto"/>
        </w:rPr>
        <w:t>he Marmot Review</w:t>
      </w:r>
      <w:r w:rsidR="00C338E8" w:rsidRPr="003B25B4">
        <w:rPr>
          <w:i/>
          <w:color w:val="auto"/>
        </w:rPr>
        <w:t>)</w:t>
      </w:r>
      <w:r w:rsidR="00A5087E" w:rsidRPr="003B25B4">
        <w:rPr>
          <w:i/>
          <w:color w:val="auto"/>
        </w:rPr>
        <w:t>:</w:t>
      </w:r>
      <w:r w:rsidRPr="003B25B4">
        <w:rPr>
          <w:i/>
          <w:color w:val="auto"/>
        </w:rPr>
        <w:t xml:space="preserve"> strategic review of health inequalities in England post-2010</w:t>
      </w:r>
      <w:r w:rsidR="00103926" w:rsidRPr="003B25B4">
        <w:rPr>
          <w:i/>
          <w:color w:val="auto"/>
        </w:rPr>
        <w:t>,</w:t>
      </w:r>
      <w:r w:rsidRPr="003B25B4">
        <w:rPr>
          <w:color w:val="auto"/>
        </w:rPr>
        <w:t xml:space="preserve"> </w:t>
      </w:r>
      <w:r w:rsidR="00CB0931" w:rsidRPr="003B25B4">
        <w:rPr>
          <w:color w:val="auto"/>
        </w:rPr>
        <w:t>Institute of Health Equity, London.</w:t>
      </w:r>
    </w:p>
    <w:p w14:paraId="31712316" w14:textId="62337C03" w:rsidR="009C6BAC" w:rsidRPr="003B25B4" w:rsidRDefault="009C6BAC" w:rsidP="00C8612C">
      <w:pPr>
        <w:pStyle w:val="NoSpacing"/>
        <w:spacing w:after="120"/>
        <w:ind w:left="720" w:hanging="720"/>
        <w:rPr>
          <w:color w:val="auto"/>
        </w:rPr>
      </w:pPr>
      <w:r w:rsidRPr="003B25B4">
        <w:rPr>
          <w:color w:val="auto"/>
        </w:rPr>
        <w:t xml:space="preserve">McClung, M. </w:t>
      </w:r>
      <w:r w:rsidR="00940456" w:rsidRPr="003B25B4">
        <w:rPr>
          <w:color w:val="auto"/>
        </w:rPr>
        <w:t>and</w:t>
      </w:r>
      <w:r w:rsidRPr="003B25B4">
        <w:rPr>
          <w:color w:val="auto"/>
        </w:rPr>
        <w:t xml:space="preserve"> Gayle, V. (2010) </w:t>
      </w:r>
      <w:r w:rsidR="0052369D" w:rsidRPr="003B25B4">
        <w:rPr>
          <w:color w:val="auto"/>
        </w:rPr>
        <w:t>‘</w:t>
      </w:r>
      <w:r w:rsidRPr="003B25B4">
        <w:rPr>
          <w:color w:val="auto"/>
        </w:rPr>
        <w:t>Exploring the care effects of multiple factors on the educational achievement of children looked after at home and away from home: an investigation of two Scottish local authorities</w:t>
      </w:r>
      <w:r w:rsidR="0052369D" w:rsidRPr="003B25B4">
        <w:rPr>
          <w:color w:val="auto"/>
        </w:rPr>
        <w:t>’,</w:t>
      </w:r>
      <w:r w:rsidRPr="003B25B4">
        <w:rPr>
          <w:color w:val="auto"/>
        </w:rPr>
        <w:t xml:space="preserve"> </w:t>
      </w:r>
      <w:r w:rsidRPr="003B25B4">
        <w:rPr>
          <w:i/>
          <w:color w:val="auto"/>
        </w:rPr>
        <w:t>Child &amp; Family Social Work</w:t>
      </w:r>
      <w:r w:rsidR="0052369D" w:rsidRPr="003B25B4">
        <w:rPr>
          <w:color w:val="auto"/>
        </w:rPr>
        <w:t>,</w:t>
      </w:r>
      <w:r w:rsidRPr="003B25B4">
        <w:rPr>
          <w:color w:val="auto"/>
        </w:rPr>
        <w:t xml:space="preserve"> 15(</w:t>
      </w:r>
      <w:r w:rsidRPr="003B25B4">
        <w:rPr>
          <w:i/>
          <w:color w:val="auto"/>
        </w:rPr>
        <w:t>4</w:t>
      </w:r>
      <w:r w:rsidRPr="003B25B4">
        <w:rPr>
          <w:color w:val="auto"/>
        </w:rPr>
        <w:t>), pp.</w:t>
      </w:r>
      <w:r w:rsidR="0052369D" w:rsidRPr="003B25B4">
        <w:rPr>
          <w:color w:val="auto"/>
        </w:rPr>
        <w:t xml:space="preserve"> </w:t>
      </w:r>
      <w:r w:rsidRPr="003B25B4">
        <w:rPr>
          <w:color w:val="auto"/>
        </w:rPr>
        <w:t xml:space="preserve">409-431. </w:t>
      </w:r>
    </w:p>
    <w:p w14:paraId="5C5BD5DD" w14:textId="5D17E7A0" w:rsidR="00212ADB" w:rsidRPr="003B25B4" w:rsidRDefault="00212ADB" w:rsidP="00C8612C">
      <w:pPr>
        <w:pStyle w:val="NoSpacing"/>
        <w:spacing w:after="120"/>
        <w:ind w:left="720" w:hanging="720"/>
        <w:rPr>
          <w:color w:val="auto"/>
        </w:rPr>
      </w:pPr>
      <w:r w:rsidRPr="003B25B4">
        <w:rPr>
          <w:color w:val="auto"/>
        </w:rPr>
        <w:t>Meltzer, H., Gatward, R., Corbin, T., Goodman,</w:t>
      </w:r>
      <w:r w:rsidR="00940456" w:rsidRPr="003B25B4">
        <w:rPr>
          <w:color w:val="auto"/>
        </w:rPr>
        <w:t xml:space="preserve"> </w:t>
      </w:r>
      <w:r w:rsidRPr="003B25B4">
        <w:rPr>
          <w:color w:val="auto"/>
        </w:rPr>
        <w:t xml:space="preserve">R. </w:t>
      </w:r>
      <w:r w:rsidR="00940456" w:rsidRPr="003B25B4">
        <w:rPr>
          <w:color w:val="auto"/>
        </w:rPr>
        <w:t>and</w:t>
      </w:r>
      <w:r w:rsidR="0052369D" w:rsidRPr="003B25B4">
        <w:rPr>
          <w:color w:val="auto"/>
        </w:rPr>
        <w:t xml:space="preserve"> Ford, T. (2003)</w:t>
      </w:r>
      <w:r w:rsidRPr="003B25B4">
        <w:rPr>
          <w:color w:val="auto"/>
        </w:rPr>
        <w:t xml:space="preserve"> </w:t>
      </w:r>
      <w:proofErr w:type="gramStart"/>
      <w:r w:rsidRPr="003B25B4">
        <w:rPr>
          <w:i/>
          <w:color w:val="auto"/>
        </w:rPr>
        <w:t>The</w:t>
      </w:r>
      <w:proofErr w:type="gramEnd"/>
      <w:r w:rsidRPr="003B25B4">
        <w:rPr>
          <w:i/>
          <w:color w:val="auto"/>
        </w:rPr>
        <w:t xml:space="preserve"> mental health of young people looked after </w:t>
      </w:r>
      <w:r w:rsidR="0052369D" w:rsidRPr="003B25B4">
        <w:rPr>
          <w:i/>
          <w:color w:val="auto"/>
        </w:rPr>
        <w:t>by local authorities in England,</w:t>
      </w:r>
      <w:r w:rsidRPr="003B25B4">
        <w:rPr>
          <w:color w:val="auto"/>
        </w:rPr>
        <w:t xml:space="preserve"> The Office for National Statistics. London</w:t>
      </w:r>
      <w:r w:rsidR="00C338E8" w:rsidRPr="003B25B4">
        <w:rPr>
          <w:color w:val="auto"/>
        </w:rPr>
        <w:t>.</w:t>
      </w:r>
    </w:p>
    <w:p w14:paraId="48F218E4" w14:textId="7D4B1C75" w:rsidR="003A4C3B" w:rsidRPr="003B25B4" w:rsidRDefault="003A4C3B" w:rsidP="00C8612C">
      <w:pPr>
        <w:pStyle w:val="NoSpacing"/>
        <w:spacing w:after="120"/>
        <w:ind w:left="720" w:hanging="720"/>
        <w:rPr>
          <w:color w:val="auto"/>
        </w:rPr>
      </w:pPr>
      <w:proofErr w:type="spellStart"/>
      <w:proofErr w:type="gramStart"/>
      <w:r w:rsidRPr="003B25B4">
        <w:rPr>
          <w:color w:val="auto"/>
        </w:rPr>
        <w:t>Minnis</w:t>
      </w:r>
      <w:proofErr w:type="spellEnd"/>
      <w:r w:rsidRPr="003B25B4">
        <w:rPr>
          <w:color w:val="auto"/>
        </w:rPr>
        <w:t xml:space="preserve">, H., Macmillan, S., Pritchett, R., Young, D., Wallace, B., Butcher, J. and </w:t>
      </w:r>
      <w:proofErr w:type="spellStart"/>
      <w:r w:rsidRPr="003B25B4">
        <w:rPr>
          <w:color w:val="auto"/>
        </w:rPr>
        <w:t>Gillberg</w:t>
      </w:r>
      <w:proofErr w:type="spellEnd"/>
      <w:r w:rsidRPr="003B25B4">
        <w:rPr>
          <w:color w:val="auto"/>
        </w:rPr>
        <w:t xml:space="preserve">, C. (2013) </w:t>
      </w:r>
      <w:r w:rsidR="0052369D" w:rsidRPr="003B25B4">
        <w:rPr>
          <w:color w:val="auto"/>
        </w:rPr>
        <w:t>‘</w:t>
      </w:r>
      <w:r w:rsidRPr="003B25B4">
        <w:rPr>
          <w:color w:val="auto"/>
        </w:rPr>
        <w:t>Prevalence of reactive attachment disorder in a deprived population</w:t>
      </w:r>
      <w:r w:rsidR="0052369D" w:rsidRPr="003B25B4">
        <w:rPr>
          <w:color w:val="auto"/>
        </w:rPr>
        <w:t>’,</w:t>
      </w:r>
      <w:r w:rsidRPr="003B25B4">
        <w:rPr>
          <w:color w:val="auto"/>
        </w:rPr>
        <w:t xml:space="preserve"> </w:t>
      </w:r>
      <w:r w:rsidRPr="003B25B4">
        <w:rPr>
          <w:i/>
          <w:color w:val="auto"/>
        </w:rPr>
        <w:t>The British Journal of Psychiatry</w:t>
      </w:r>
      <w:r w:rsidRPr="003B25B4">
        <w:rPr>
          <w:color w:val="auto"/>
        </w:rPr>
        <w:t>, 202 (5), pp. 342-346.</w:t>
      </w:r>
      <w:proofErr w:type="gramEnd"/>
      <w:r w:rsidRPr="003B25B4">
        <w:rPr>
          <w:color w:val="auto"/>
        </w:rPr>
        <w:t xml:space="preserve"> </w:t>
      </w:r>
    </w:p>
    <w:p w14:paraId="0AB1C357" w14:textId="77595746" w:rsidR="003A4C3B" w:rsidRPr="003B25B4" w:rsidRDefault="003A4C3B" w:rsidP="00C8612C">
      <w:pPr>
        <w:pStyle w:val="NoSpacing"/>
        <w:spacing w:after="120"/>
        <w:ind w:left="720" w:hanging="720"/>
        <w:rPr>
          <w:color w:val="auto"/>
        </w:rPr>
      </w:pPr>
      <w:proofErr w:type="spellStart"/>
      <w:r w:rsidRPr="003B25B4">
        <w:rPr>
          <w:color w:val="auto"/>
        </w:rPr>
        <w:t>Minnis</w:t>
      </w:r>
      <w:proofErr w:type="spellEnd"/>
      <w:r w:rsidRPr="003B25B4">
        <w:rPr>
          <w:color w:val="auto"/>
        </w:rPr>
        <w:t xml:space="preserve">, H., Reekie, J., Young, D., O'Connor, T., Ronald, A., </w:t>
      </w:r>
      <w:proofErr w:type="spellStart"/>
      <w:r w:rsidRPr="003B25B4">
        <w:rPr>
          <w:color w:val="auto"/>
        </w:rPr>
        <w:t>Gray</w:t>
      </w:r>
      <w:proofErr w:type="spellEnd"/>
      <w:r w:rsidRPr="003B25B4">
        <w:rPr>
          <w:color w:val="auto"/>
        </w:rPr>
        <w:t xml:space="preserve">, A. and Plomin, R. (2007) </w:t>
      </w:r>
      <w:r w:rsidR="0052369D" w:rsidRPr="003B25B4">
        <w:rPr>
          <w:color w:val="auto"/>
        </w:rPr>
        <w:t>‘</w:t>
      </w:r>
      <w:r w:rsidRPr="003B25B4">
        <w:rPr>
          <w:color w:val="auto"/>
        </w:rPr>
        <w:t>Genetic, environmental and gender influences on attachment disorder behaviours</w:t>
      </w:r>
      <w:r w:rsidR="0052369D" w:rsidRPr="003B25B4">
        <w:rPr>
          <w:color w:val="auto"/>
        </w:rPr>
        <w:t>’,</w:t>
      </w:r>
      <w:r w:rsidRPr="003B25B4">
        <w:rPr>
          <w:color w:val="auto"/>
        </w:rPr>
        <w:t xml:space="preserve"> </w:t>
      </w:r>
      <w:r w:rsidRPr="003B25B4">
        <w:rPr>
          <w:i/>
          <w:color w:val="auto"/>
        </w:rPr>
        <w:t>The British Journal of Psychiatry</w:t>
      </w:r>
      <w:r w:rsidRPr="003B25B4">
        <w:rPr>
          <w:color w:val="auto"/>
        </w:rPr>
        <w:t xml:space="preserve">, 190 (6), pp. 490-495. </w:t>
      </w:r>
    </w:p>
    <w:p w14:paraId="4A657275" w14:textId="31A2AD3E" w:rsidR="003A4C3B" w:rsidRPr="003B25B4" w:rsidRDefault="003A4C3B" w:rsidP="00C8612C">
      <w:pPr>
        <w:pStyle w:val="NoSpacing"/>
        <w:spacing w:after="120"/>
        <w:ind w:left="720" w:hanging="720"/>
        <w:rPr>
          <w:color w:val="auto"/>
        </w:rPr>
      </w:pPr>
      <w:r w:rsidRPr="003B25B4">
        <w:rPr>
          <w:color w:val="auto"/>
        </w:rPr>
        <w:lastRenderedPageBreak/>
        <w:t xml:space="preserve">O’Higgins, A., </w:t>
      </w:r>
      <w:proofErr w:type="spellStart"/>
      <w:r w:rsidRPr="003B25B4">
        <w:rPr>
          <w:color w:val="auto"/>
        </w:rPr>
        <w:t>Sebba</w:t>
      </w:r>
      <w:proofErr w:type="spellEnd"/>
      <w:r w:rsidRPr="003B25B4">
        <w:rPr>
          <w:color w:val="auto"/>
        </w:rPr>
        <w:t xml:space="preserve">, J. </w:t>
      </w:r>
      <w:r w:rsidR="00940456" w:rsidRPr="003B25B4">
        <w:rPr>
          <w:color w:val="auto"/>
        </w:rPr>
        <w:t>and</w:t>
      </w:r>
      <w:r w:rsidRPr="003B25B4">
        <w:rPr>
          <w:color w:val="auto"/>
        </w:rPr>
        <w:t xml:space="preserve"> Luke, N</w:t>
      </w:r>
      <w:r w:rsidR="0052369D" w:rsidRPr="003B25B4">
        <w:rPr>
          <w:color w:val="auto"/>
        </w:rPr>
        <w:t>. (2015)</w:t>
      </w:r>
      <w:r w:rsidRPr="003B25B4">
        <w:rPr>
          <w:color w:val="auto"/>
        </w:rPr>
        <w:t xml:space="preserve"> </w:t>
      </w:r>
      <w:proofErr w:type="gramStart"/>
      <w:r w:rsidRPr="003B25B4">
        <w:rPr>
          <w:i/>
          <w:color w:val="auto"/>
        </w:rPr>
        <w:t>What</w:t>
      </w:r>
      <w:proofErr w:type="gramEnd"/>
      <w:r w:rsidRPr="003B25B4">
        <w:rPr>
          <w:i/>
          <w:color w:val="auto"/>
        </w:rPr>
        <w:t xml:space="preserve"> is the relationship between being in care and the educational outcomes of children? </w:t>
      </w:r>
      <w:proofErr w:type="gramStart"/>
      <w:r w:rsidRPr="003B25B4">
        <w:rPr>
          <w:i/>
          <w:color w:val="auto"/>
        </w:rPr>
        <w:t xml:space="preserve">An </w:t>
      </w:r>
      <w:r w:rsidR="0052369D" w:rsidRPr="003B25B4">
        <w:rPr>
          <w:i/>
          <w:color w:val="auto"/>
        </w:rPr>
        <w:t>international systematic review,</w:t>
      </w:r>
      <w:r w:rsidRPr="003B25B4">
        <w:rPr>
          <w:color w:val="auto"/>
        </w:rPr>
        <w:t xml:space="preserve"> REES Centre, University of Oxford.</w:t>
      </w:r>
      <w:proofErr w:type="gramEnd"/>
    </w:p>
    <w:p w14:paraId="08122BEA" w14:textId="11F38275" w:rsidR="003A4C3B" w:rsidRPr="003B25B4" w:rsidRDefault="003A4C3B" w:rsidP="00C8612C">
      <w:pPr>
        <w:pStyle w:val="NoSpacing"/>
        <w:spacing w:after="120"/>
        <w:ind w:left="720" w:hanging="720"/>
        <w:rPr>
          <w:color w:val="auto"/>
        </w:rPr>
      </w:pPr>
      <w:proofErr w:type="gramStart"/>
      <w:r w:rsidRPr="003B25B4">
        <w:rPr>
          <w:color w:val="auto"/>
        </w:rPr>
        <w:t xml:space="preserve">Pears, K. C., Kim, H. K., Fisher, P. A., </w:t>
      </w:r>
      <w:r w:rsidR="00940456" w:rsidRPr="003B25B4">
        <w:rPr>
          <w:color w:val="auto"/>
        </w:rPr>
        <w:t>and</w:t>
      </w:r>
      <w:r w:rsidR="0052369D" w:rsidRPr="003B25B4">
        <w:rPr>
          <w:color w:val="auto"/>
        </w:rPr>
        <w:t xml:space="preserve"> </w:t>
      </w:r>
      <w:proofErr w:type="spellStart"/>
      <w:r w:rsidR="0052369D" w:rsidRPr="003B25B4">
        <w:rPr>
          <w:color w:val="auto"/>
        </w:rPr>
        <w:t>Yoerger</w:t>
      </w:r>
      <w:proofErr w:type="spellEnd"/>
      <w:r w:rsidR="0052369D" w:rsidRPr="003B25B4">
        <w:rPr>
          <w:color w:val="auto"/>
        </w:rPr>
        <w:t>, K. (2013)</w:t>
      </w:r>
      <w:r w:rsidRPr="003B25B4">
        <w:rPr>
          <w:color w:val="auto"/>
        </w:rPr>
        <w:t xml:space="preserve"> </w:t>
      </w:r>
      <w:r w:rsidR="0052369D" w:rsidRPr="003B25B4">
        <w:rPr>
          <w:color w:val="auto"/>
        </w:rPr>
        <w:t>‘</w:t>
      </w:r>
      <w:r w:rsidRPr="003B25B4">
        <w:rPr>
          <w:color w:val="auto"/>
        </w:rPr>
        <w:t>Early School Engagement and Late Elementary Outcomes for Maltreated Children in Foster Care</w:t>
      </w:r>
      <w:r w:rsidR="0052369D" w:rsidRPr="003B25B4">
        <w:rPr>
          <w:color w:val="auto"/>
        </w:rPr>
        <w:t xml:space="preserve">’, </w:t>
      </w:r>
      <w:r w:rsidRPr="003B25B4">
        <w:rPr>
          <w:i/>
          <w:color w:val="auto"/>
        </w:rPr>
        <w:t>Developmental Psychology</w:t>
      </w:r>
      <w:r w:rsidRPr="003B25B4">
        <w:rPr>
          <w:color w:val="auto"/>
        </w:rPr>
        <w:t>, 49</w:t>
      </w:r>
      <w:r w:rsidR="0052369D" w:rsidRPr="003B25B4">
        <w:rPr>
          <w:color w:val="auto"/>
        </w:rPr>
        <w:t xml:space="preserve"> </w:t>
      </w:r>
      <w:r w:rsidRPr="003B25B4">
        <w:rPr>
          <w:color w:val="auto"/>
        </w:rPr>
        <w:t xml:space="preserve">(12), </w:t>
      </w:r>
      <w:r w:rsidR="0052369D" w:rsidRPr="003B25B4">
        <w:rPr>
          <w:color w:val="auto"/>
        </w:rPr>
        <w:t>pp.</w:t>
      </w:r>
      <w:r w:rsidRPr="003B25B4">
        <w:rPr>
          <w:color w:val="auto"/>
        </w:rPr>
        <w:t>2201–2211.</w:t>
      </w:r>
      <w:proofErr w:type="gramEnd"/>
      <w:r w:rsidRPr="003B25B4">
        <w:rPr>
          <w:color w:val="auto"/>
        </w:rPr>
        <w:t xml:space="preserve"> </w:t>
      </w:r>
    </w:p>
    <w:p w14:paraId="0A0DF578" w14:textId="58F2441F" w:rsidR="005F6C26" w:rsidRPr="003B25B4" w:rsidRDefault="008E242B" w:rsidP="00C8612C">
      <w:pPr>
        <w:pStyle w:val="NoSpacing"/>
        <w:spacing w:after="120"/>
        <w:ind w:left="720" w:hanging="720"/>
        <w:rPr>
          <w:color w:val="auto"/>
        </w:rPr>
      </w:pPr>
      <w:r w:rsidRPr="003B25B4">
        <w:rPr>
          <w:color w:val="auto"/>
        </w:rPr>
        <w:t xml:space="preserve">Phillips, B. M., </w:t>
      </w:r>
      <w:r w:rsidR="00940456" w:rsidRPr="003B25B4">
        <w:rPr>
          <w:color w:val="auto"/>
        </w:rPr>
        <w:t>and</w:t>
      </w:r>
      <w:r w:rsidRPr="003B25B4">
        <w:rPr>
          <w:color w:val="auto"/>
        </w:rPr>
        <w:t xml:space="preserve"> </w:t>
      </w:r>
      <w:proofErr w:type="spellStart"/>
      <w:r w:rsidRPr="003B25B4">
        <w:rPr>
          <w:color w:val="auto"/>
        </w:rPr>
        <w:t>Lonigan</w:t>
      </w:r>
      <w:proofErr w:type="spellEnd"/>
      <w:r w:rsidRPr="003B25B4">
        <w:rPr>
          <w:color w:val="auto"/>
        </w:rPr>
        <w:t xml:space="preserve">, C. J. (2009) </w:t>
      </w:r>
      <w:r w:rsidR="00C8612C">
        <w:rPr>
          <w:color w:val="auto"/>
        </w:rPr>
        <w:t>‘</w:t>
      </w:r>
      <w:r w:rsidRPr="003B25B4">
        <w:rPr>
          <w:color w:val="auto"/>
        </w:rPr>
        <w:t>Variations in the Home Literacy Environment of Preschool Children: A Cluster Analytic Approach</w:t>
      </w:r>
      <w:r w:rsidR="00C8612C">
        <w:rPr>
          <w:color w:val="auto"/>
        </w:rPr>
        <w:t>’,</w:t>
      </w:r>
      <w:r w:rsidR="00A5087E" w:rsidRPr="003B25B4">
        <w:rPr>
          <w:color w:val="auto"/>
        </w:rPr>
        <w:t xml:space="preserve"> </w:t>
      </w:r>
      <w:r w:rsidRPr="003B25B4">
        <w:rPr>
          <w:i/>
          <w:color w:val="auto"/>
        </w:rPr>
        <w:t>The Official Journal of the Society for the Scientific Study of Reading</w:t>
      </w:r>
      <w:r w:rsidRPr="003B25B4">
        <w:rPr>
          <w:color w:val="auto"/>
        </w:rPr>
        <w:t xml:space="preserve">, 13(2), </w:t>
      </w:r>
      <w:r w:rsidR="00C338E8" w:rsidRPr="003B25B4">
        <w:rPr>
          <w:color w:val="auto"/>
        </w:rPr>
        <w:t>pp.</w:t>
      </w:r>
      <w:r w:rsidRPr="003B25B4">
        <w:rPr>
          <w:color w:val="auto"/>
        </w:rPr>
        <w:t xml:space="preserve">146–174. </w:t>
      </w:r>
    </w:p>
    <w:p w14:paraId="548EBF0E" w14:textId="687A422B" w:rsidR="005F6C26" w:rsidRPr="003B25B4" w:rsidRDefault="008E242B" w:rsidP="00C8612C">
      <w:pPr>
        <w:pStyle w:val="NoSpacing"/>
        <w:spacing w:after="120"/>
        <w:ind w:left="720" w:hanging="720"/>
        <w:rPr>
          <w:color w:val="auto"/>
        </w:rPr>
      </w:pPr>
      <w:proofErr w:type="spellStart"/>
      <w:r w:rsidRPr="003B25B4">
        <w:rPr>
          <w:color w:val="auto"/>
        </w:rPr>
        <w:t>Pordes</w:t>
      </w:r>
      <w:proofErr w:type="spellEnd"/>
      <w:r w:rsidRPr="003B25B4">
        <w:rPr>
          <w:color w:val="auto"/>
        </w:rPr>
        <w:t xml:space="preserve"> Bowers, A. </w:t>
      </w:r>
      <w:r w:rsidR="00940456" w:rsidRPr="003B25B4">
        <w:rPr>
          <w:color w:val="auto"/>
        </w:rPr>
        <w:t>and</w:t>
      </w:r>
      <w:r w:rsidRPr="003B25B4">
        <w:rPr>
          <w:color w:val="auto"/>
        </w:rPr>
        <w:t xml:space="preserve"> Strelitz, J. with Allen, J. </w:t>
      </w:r>
      <w:r w:rsidR="002D71D1" w:rsidRPr="003B25B4">
        <w:rPr>
          <w:color w:val="auto"/>
        </w:rPr>
        <w:t>and</w:t>
      </w:r>
      <w:r w:rsidR="0052369D" w:rsidRPr="003B25B4">
        <w:rPr>
          <w:color w:val="auto"/>
        </w:rPr>
        <w:t xml:space="preserve"> Donkin, A. (2012)</w:t>
      </w:r>
      <w:r w:rsidRPr="003B25B4">
        <w:rPr>
          <w:color w:val="auto"/>
        </w:rPr>
        <w:t xml:space="preserve"> </w:t>
      </w:r>
      <w:r w:rsidRPr="003B25B4">
        <w:rPr>
          <w:i/>
          <w:color w:val="auto"/>
        </w:rPr>
        <w:t>An Equal Start: Improving outcomes in Children’s Centres</w:t>
      </w:r>
      <w:r w:rsidR="0052369D" w:rsidRPr="003B25B4">
        <w:rPr>
          <w:i/>
          <w:color w:val="auto"/>
        </w:rPr>
        <w:t>, t</w:t>
      </w:r>
      <w:r w:rsidRPr="003B25B4">
        <w:rPr>
          <w:i/>
          <w:color w:val="auto"/>
        </w:rPr>
        <w:t>he Evidence Review</w:t>
      </w:r>
      <w:r w:rsidR="0052369D" w:rsidRPr="003B25B4">
        <w:rPr>
          <w:i/>
          <w:color w:val="auto"/>
        </w:rPr>
        <w:t>,</w:t>
      </w:r>
      <w:r w:rsidRPr="003B25B4">
        <w:rPr>
          <w:i/>
          <w:color w:val="auto"/>
        </w:rPr>
        <w:t xml:space="preserve"> </w:t>
      </w:r>
      <w:r w:rsidR="0052369D" w:rsidRPr="003B25B4">
        <w:rPr>
          <w:color w:val="auto"/>
        </w:rPr>
        <w:t>UCL Institute of Health Equity, London.</w:t>
      </w:r>
    </w:p>
    <w:p w14:paraId="371359A7" w14:textId="612C41A3" w:rsidR="003A4C3B" w:rsidRPr="003B25B4" w:rsidRDefault="0052369D" w:rsidP="00C8612C">
      <w:pPr>
        <w:pStyle w:val="NoSpacing"/>
        <w:spacing w:after="120"/>
        <w:ind w:left="720" w:hanging="720"/>
        <w:rPr>
          <w:color w:val="auto"/>
        </w:rPr>
      </w:pPr>
      <w:proofErr w:type="spellStart"/>
      <w:proofErr w:type="gramStart"/>
      <w:r w:rsidRPr="003B25B4">
        <w:rPr>
          <w:color w:val="auto"/>
        </w:rPr>
        <w:t>Sanson</w:t>
      </w:r>
      <w:proofErr w:type="spellEnd"/>
      <w:r w:rsidRPr="003B25B4">
        <w:rPr>
          <w:color w:val="auto"/>
        </w:rPr>
        <w:t>, A. V. (1995)</w:t>
      </w:r>
      <w:r w:rsidR="003A4C3B" w:rsidRPr="003B25B4">
        <w:rPr>
          <w:i/>
          <w:color w:val="auto"/>
        </w:rPr>
        <w:t xml:space="preserve"> Childrearing q</w:t>
      </w:r>
      <w:r w:rsidRPr="003B25B4">
        <w:rPr>
          <w:i/>
          <w:color w:val="auto"/>
        </w:rPr>
        <w:t>uestionnaire.</w:t>
      </w:r>
      <w:proofErr w:type="gramEnd"/>
      <w:r w:rsidRPr="003B25B4">
        <w:rPr>
          <w:i/>
          <w:color w:val="auto"/>
        </w:rPr>
        <w:t xml:space="preserve"> </w:t>
      </w:r>
      <w:proofErr w:type="gramStart"/>
      <w:r w:rsidRPr="003B25B4">
        <w:rPr>
          <w:i/>
          <w:color w:val="auto"/>
        </w:rPr>
        <w:t xml:space="preserve">Unpublished scale, </w:t>
      </w:r>
      <w:r w:rsidR="003A4C3B" w:rsidRPr="003B25B4">
        <w:rPr>
          <w:color w:val="auto"/>
        </w:rPr>
        <w:t>University of Melbourne, Australia.</w:t>
      </w:r>
      <w:proofErr w:type="gramEnd"/>
      <w:r w:rsidR="003A4C3B" w:rsidRPr="003B25B4">
        <w:rPr>
          <w:color w:val="auto"/>
        </w:rPr>
        <w:t xml:space="preserve">  </w:t>
      </w:r>
    </w:p>
    <w:p w14:paraId="03445A5A" w14:textId="2449740B" w:rsidR="005F6C26" w:rsidRPr="003B25B4" w:rsidRDefault="008E242B" w:rsidP="00C8612C">
      <w:pPr>
        <w:pStyle w:val="NoSpacing"/>
        <w:spacing w:after="120"/>
        <w:ind w:left="720" w:hanging="720"/>
        <w:rPr>
          <w:color w:val="auto"/>
        </w:rPr>
      </w:pPr>
      <w:proofErr w:type="spellStart"/>
      <w:r w:rsidRPr="003B25B4">
        <w:rPr>
          <w:color w:val="auto"/>
        </w:rPr>
        <w:t>Sebba</w:t>
      </w:r>
      <w:proofErr w:type="spellEnd"/>
      <w:r w:rsidRPr="003B25B4">
        <w:rPr>
          <w:color w:val="auto"/>
        </w:rPr>
        <w:t xml:space="preserve">, J, </w:t>
      </w:r>
      <w:proofErr w:type="spellStart"/>
      <w:r w:rsidRPr="003B25B4">
        <w:rPr>
          <w:color w:val="auto"/>
        </w:rPr>
        <w:t>Berridge</w:t>
      </w:r>
      <w:proofErr w:type="spellEnd"/>
      <w:r w:rsidRPr="003B25B4">
        <w:rPr>
          <w:color w:val="auto"/>
        </w:rPr>
        <w:t xml:space="preserve">, D., Luke, N., Fletcher, J., Bell, K., Strand, S., Thomas, S., Sinclair, I. </w:t>
      </w:r>
      <w:r w:rsidR="00940456" w:rsidRPr="003B25B4">
        <w:rPr>
          <w:color w:val="auto"/>
        </w:rPr>
        <w:t>and</w:t>
      </w:r>
      <w:r w:rsidRPr="003B25B4">
        <w:rPr>
          <w:color w:val="auto"/>
        </w:rPr>
        <w:t xml:space="preserve"> O'Higgins, A. (2015) </w:t>
      </w:r>
      <w:proofErr w:type="gramStart"/>
      <w:r w:rsidRPr="003B25B4">
        <w:rPr>
          <w:i/>
          <w:color w:val="auto"/>
        </w:rPr>
        <w:t>The</w:t>
      </w:r>
      <w:proofErr w:type="gramEnd"/>
      <w:r w:rsidRPr="003B25B4">
        <w:rPr>
          <w:i/>
          <w:color w:val="auto"/>
        </w:rPr>
        <w:t xml:space="preserve"> educational progress of looked after children in England: Linking care and educational data</w:t>
      </w:r>
      <w:r w:rsidR="0052369D" w:rsidRPr="003B25B4">
        <w:rPr>
          <w:i/>
          <w:color w:val="auto"/>
        </w:rPr>
        <w:t xml:space="preserve">, </w:t>
      </w:r>
      <w:r w:rsidRPr="003B25B4">
        <w:rPr>
          <w:color w:val="auto"/>
        </w:rPr>
        <w:t>Rees Centre for Rese</w:t>
      </w:r>
      <w:r w:rsidR="0052369D" w:rsidRPr="003B25B4">
        <w:rPr>
          <w:color w:val="auto"/>
        </w:rPr>
        <w:t xml:space="preserve">arch in Fostering and Education, Oxford </w:t>
      </w:r>
      <w:r w:rsidRPr="003B25B4">
        <w:rPr>
          <w:color w:val="auto"/>
        </w:rPr>
        <w:t>and University of Bristol.</w:t>
      </w:r>
    </w:p>
    <w:p w14:paraId="704ACF23" w14:textId="4EDFEE91" w:rsidR="005F6C26" w:rsidRPr="003B25B4" w:rsidRDefault="008E242B" w:rsidP="00C8612C">
      <w:pPr>
        <w:pStyle w:val="NoSpacing"/>
        <w:spacing w:after="120"/>
        <w:ind w:left="720" w:hanging="720"/>
        <w:rPr>
          <w:color w:val="auto"/>
        </w:rPr>
      </w:pPr>
      <w:r w:rsidRPr="003B25B4">
        <w:rPr>
          <w:color w:val="auto"/>
          <w:lang w:val="fr-FR"/>
        </w:rPr>
        <w:t xml:space="preserve">Sénéchal, M. </w:t>
      </w:r>
      <w:r w:rsidR="00940456" w:rsidRPr="003B25B4">
        <w:rPr>
          <w:color w:val="auto"/>
          <w:lang w:val="fr-FR"/>
        </w:rPr>
        <w:t>and</w:t>
      </w:r>
      <w:r w:rsidRPr="003B25B4">
        <w:rPr>
          <w:color w:val="auto"/>
          <w:lang w:val="fr-FR"/>
        </w:rPr>
        <w:t xml:space="preserve"> </w:t>
      </w:r>
      <w:proofErr w:type="spellStart"/>
      <w:r w:rsidRPr="003B25B4">
        <w:rPr>
          <w:color w:val="auto"/>
          <w:lang w:val="fr-FR"/>
        </w:rPr>
        <w:t>LeFevre</w:t>
      </w:r>
      <w:proofErr w:type="spellEnd"/>
      <w:r w:rsidRPr="003B25B4">
        <w:rPr>
          <w:color w:val="auto"/>
          <w:lang w:val="fr-FR"/>
        </w:rPr>
        <w:t>, J.A.</w:t>
      </w:r>
      <w:r w:rsidR="00A5087E" w:rsidRPr="003B25B4">
        <w:rPr>
          <w:color w:val="auto"/>
          <w:lang w:val="fr-FR"/>
        </w:rPr>
        <w:t xml:space="preserve"> </w:t>
      </w:r>
      <w:r w:rsidR="0052369D" w:rsidRPr="003B25B4">
        <w:rPr>
          <w:color w:val="auto"/>
          <w:lang w:val="fr-FR"/>
        </w:rPr>
        <w:t>(2002)</w:t>
      </w:r>
      <w:r w:rsidRPr="003B25B4">
        <w:rPr>
          <w:color w:val="auto"/>
          <w:lang w:val="fr-FR"/>
        </w:rPr>
        <w:t xml:space="preserve"> </w:t>
      </w:r>
      <w:r w:rsidR="0052369D" w:rsidRPr="003B25B4">
        <w:rPr>
          <w:color w:val="auto"/>
          <w:lang w:val="fr-FR"/>
        </w:rPr>
        <w:t>‘</w:t>
      </w:r>
      <w:r w:rsidRPr="003B25B4">
        <w:rPr>
          <w:color w:val="auto"/>
        </w:rPr>
        <w:t>Parental involvement in the development of children's reading skill: a five-year longitudinal study</w:t>
      </w:r>
      <w:r w:rsidR="0052369D" w:rsidRPr="003B25B4">
        <w:rPr>
          <w:color w:val="auto"/>
        </w:rPr>
        <w:t>’,</w:t>
      </w:r>
      <w:r w:rsidRPr="003B25B4">
        <w:rPr>
          <w:color w:val="auto"/>
        </w:rPr>
        <w:t xml:space="preserve"> </w:t>
      </w:r>
      <w:r w:rsidRPr="003B25B4">
        <w:rPr>
          <w:i/>
          <w:color w:val="auto"/>
        </w:rPr>
        <w:t>Child Development</w:t>
      </w:r>
      <w:r w:rsidRPr="003B25B4">
        <w:rPr>
          <w:color w:val="auto"/>
        </w:rPr>
        <w:t>, 73</w:t>
      </w:r>
      <w:r w:rsidR="0052369D" w:rsidRPr="003B25B4">
        <w:rPr>
          <w:color w:val="auto"/>
        </w:rPr>
        <w:t xml:space="preserve"> </w:t>
      </w:r>
      <w:r w:rsidRPr="003B25B4">
        <w:rPr>
          <w:color w:val="auto"/>
        </w:rPr>
        <w:t>(2)</w:t>
      </w:r>
      <w:r w:rsidR="00C338E8" w:rsidRPr="003B25B4">
        <w:rPr>
          <w:color w:val="auto"/>
        </w:rPr>
        <w:t>, pp.</w:t>
      </w:r>
      <w:r w:rsidR="0052369D" w:rsidRPr="003B25B4">
        <w:rPr>
          <w:color w:val="auto"/>
        </w:rPr>
        <w:t xml:space="preserve"> </w:t>
      </w:r>
      <w:r w:rsidRPr="003B25B4">
        <w:rPr>
          <w:color w:val="auto"/>
        </w:rPr>
        <w:t>445-60.</w:t>
      </w:r>
    </w:p>
    <w:p w14:paraId="43F0BE91" w14:textId="33AB0B71" w:rsidR="003A4C3B" w:rsidRPr="003B25B4" w:rsidRDefault="003A4C3B" w:rsidP="00C8612C">
      <w:pPr>
        <w:pStyle w:val="NoSpacing"/>
        <w:spacing w:after="120"/>
        <w:ind w:left="720" w:hanging="720"/>
        <w:rPr>
          <w:color w:val="auto"/>
        </w:rPr>
      </w:pPr>
      <w:r w:rsidRPr="003B25B4">
        <w:rPr>
          <w:color w:val="auto"/>
        </w:rPr>
        <w:lastRenderedPageBreak/>
        <w:t xml:space="preserve">Smithgall, C., Gladden, R. M., Howard, E., </w:t>
      </w:r>
      <w:proofErr w:type="spellStart"/>
      <w:r w:rsidRPr="003B25B4">
        <w:rPr>
          <w:color w:val="auto"/>
        </w:rPr>
        <w:t>Goerge</w:t>
      </w:r>
      <w:proofErr w:type="spellEnd"/>
      <w:r w:rsidRPr="003B25B4">
        <w:rPr>
          <w:color w:val="auto"/>
        </w:rPr>
        <w:t xml:space="preserve">, R., </w:t>
      </w:r>
      <w:r w:rsidR="00940456" w:rsidRPr="003B25B4">
        <w:rPr>
          <w:color w:val="auto"/>
        </w:rPr>
        <w:t>and</w:t>
      </w:r>
      <w:r w:rsidR="0052369D" w:rsidRPr="003B25B4">
        <w:rPr>
          <w:color w:val="auto"/>
        </w:rPr>
        <w:t xml:space="preserve"> Courtney, M. (2004)</w:t>
      </w:r>
      <w:r w:rsidRPr="003B25B4">
        <w:rPr>
          <w:color w:val="auto"/>
        </w:rPr>
        <w:t xml:space="preserve"> </w:t>
      </w:r>
      <w:r w:rsidRPr="003B25B4">
        <w:rPr>
          <w:i/>
          <w:color w:val="auto"/>
        </w:rPr>
        <w:t>Educational Experiences of Children in Out-of-Home Care</w:t>
      </w:r>
      <w:r w:rsidR="0052369D" w:rsidRPr="003B25B4">
        <w:rPr>
          <w:color w:val="auto"/>
        </w:rPr>
        <w:t>,</w:t>
      </w:r>
      <w:r w:rsidRPr="003B25B4">
        <w:rPr>
          <w:color w:val="auto"/>
        </w:rPr>
        <w:t xml:space="preserve"> </w:t>
      </w:r>
      <w:r w:rsidR="0052369D" w:rsidRPr="003B25B4">
        <w:rPr>
          <w:color w:val="auto"/>
        </w:rPr>
        <w:t xml:space="preserve">Chapin Hall, University of </w:t>
      </w:r>
      <w:r w:rsidRPr="003B25B4">
        <w:rPr>
          <w:color w:val="auto"/>
        </w:rPr>
        <w:t>Chicago.</w:t>
      </w:r>
    </w:p>
    <w:p w14:paraId="5893F720" w14:textId="64A6C24F" w:rsidR="00E107B5" w:rsidRPr="003B25B4" w:rsidRDefault="00392757" w:rsidP="00C8612C">
      <w:pPr>
        <w:pStyle w:val="NoSpacing"/>
        <w:spacing w:after="120"/>
        <w:ind w:left="720" w:hanging="720"/>
        <w:rPr>
          <w:color w:val="auto"/>
        </w:rPr>
      </w:pPr>
      <w:proofErr w:type="gramStart"/>
      <w:r w:rsidRPr="003B25B4">
        <w:rPr>
          <w:color w:val="auto"/>
        </w:rPr>
        <w:t xml:space="preserve">Stein, M. (2012) </w:t>
      </w:r>
      <w:r w:rsidR="00E107B5" w:rsidRPr="003B25B4">
        <w:rPr>
          <w:i/>
          <w:color w:val="auto"/>
        </w:rPr>
        <w:t>Young People Leaving Care</w:t>
      </w:r>
      <w:r w:rsidR="00141CF7" w:rsidRPr="003B25B4">
        <w:rPr>
          <w:i/>
          <w:color w:val="auto"/>
        </w:rPr>
        <w:t>: Supporting Pathways to Adulthood</w:t>
      </w:r>
      <w:r w:rsidR="00141CF7" w:rsidRPr="003B25B4">
        <w:rPr>
          <w:color w:val="auto"/>
        </w:rPr>
        <w:t>, Jessica Kingsley Publishers</w:t>
      </w:r>
      <w:r w:rsidRPr="003B25B4">
        <w:rPr>
          <w:color w:val="auto"/>
        </w:rPr>
        <w:t>, London</w:t>
      </w:r>
      <w:r w:rsidR="00C338E8" w:rsidRPr="003B25B4">
        <w:rPr>
          <w:color w:val="auto"/>
        </w:rPr>
        <w:t>.</w:t>
      </w:r>
      <w:proofErr w:type="gramEnd"/>
    </w:p>
    <w:p w14:paraId="75E56BAF" w14:textId="71F5D56A" w:rsidR="00F324B4" w:rsidRPr="003B25B4" w:rsidRDefault="00F324B4" w:rsidP="00C8612C">
      <w:pPr>
        <w:pStyle w:val="NoSpacing"/>
        <w:spacing w:after="120"/>
        <w:ind w:left="720" w:hanging="720"/>
        <w:rPr>
          <w:color w:val="auto"/>
        </w:rPr>
      </w:pPr>
      <w:r w:rsidRPr="003B25B4">
        <w:rPr>
          <w:color w:val="auto"/>
        </w:rPr>
        <w:t xml:space="preserve">Sylva, K., </w:t>
      </w:r>
      <w:proofErr w:type="spellStart"/>
      <w:r w:rsidRPr="003B25B4">
        <w:rPr>
          <w:color w:val="auto"/>
        </w:rPr>
        <w:t>Melhuish</w:t>
      </w:r>
      <w:proofErr w:type="spellEnd"/>
      <w:r w:rsidRPr="003B25B4">
        <w:rPr>
          <w:color w:val="auto"/>
        </w:rPr>
        <w:t>, E., Sammons, P.,</w:t>
      </w:r>
      <w:r w:rsidR="00940456" w:rsidRPr="003B25B4">
        <w:rPr>
          <w:color w:val="auto"/>
        </w:rPr>
        <w:t xml:space="preserve"> </w:t>
      </w:r>
      <w:r w:rsidRPr="003B25B4">
        <w:rPr>
          <w:color w:val="auto"/>
        </w:rPr>
        <w:t xml:space="preserve">Siraj-Blatchford, I. and Taggart, B. </w:t>
      </w:r>
      <w:r w:rsidR="00392757" w:rsidRPr="003B25B4">
        <w:rPr>
          <w:color w:val="auto"/>
        </w:rPr>
        <w:t>(2012)</w:t>
      </w:r>
      <w:r w:rsidRPr="003B25B4">
        <w:rPr>
          <w:color w:val="auto"/>
        </w:rPr>
        <w:t xml:space="preserve"> </w:t>
      </w:r>
      <w:r w:rsidRPr="003B25B4">
        <w:rPr>
          <w:i/>
          <w:color w:val="auto"/>
        </w:rPr>
        <w:t>Effective Preschool, Primary and Secondary Education 3–14 project (EPPSE 3–14)</w:t>
      </w:r>
      <w:r w:rsidR="00392757" w:rsidRPr="003B25B4">
        <w:rPr>
          <w:i/>
          <w:color w:val="auto"/>
        </w:rPr>
        <w:t>: F</w:t>
      </w:r>
      <w:r w:rsidRPr="003B25B4">
        <w:rPr>
          <w:i/>
          <w:color w:val="auto"/>
        </w:rPr>
        <w:t>inal report from the Key Stage 3 phase: Influences on students’ development from age 11–14</w:t>
      </w:r>
      <w:r w:rsidR="00392757" w:rsidRPr="003B25B4">
        <w:rPr>
          <w:color w:val="auto"/>
        </w:rPr>
        <w:t>,</w:t>
      </w:r>
      <w:r w:rsidRPr="003B25B4">
        <w:rPr>
          <w:color w:val="auto"/>
        </w:rPr>
        <w:t xml:space="preserve"> Department for</w:t>
      </w:r>
      <w:r w:rsidR="00392757" w:rsidRPr="003B25B4">
        <w:rPr>
          <w:color w:val="auto"/>
        </w:rPr>
        <w:t xml:space="preserve"> Children, Schools and Families, London.</w:t>
      </w:r>
    </w:p>
    <w:p w14:paraId="27C25772" w14:textId="210FB1BF" w:rsidR="00392757" w:rsidRPr="003B25B4" w:rsidRDefault="00392757" w:rsidP="00C8612C">
      <w:pPr>
        <w:pStyle w:val="NoSpacing"/>
        <w:spacing w:after="120"/>
        <w:ind w:left="720" w:hanging="720"/>
        <w:rPr>
          <w:color w:val="auto"/>
        </w:rPr>
      </w:pPr>
      <w:r w:rsidRPr="003B25B4">
        <w:rPr>
          <w:color w:val="auto"/>
        </w:rPr>
        <w:t>U.</w:t>
      </w:r>
      <w:r w:rsidR="003A4C3B" w:rsidRPr="003B25B4">
        <w:rPr>
          <w:color w:val="auto"/>
        </w:rPr>
        <w:t>S</w:t>
      </w:r>
      <w:r w:rsidRPr="003B25B4">
        <w:rPr>
          <w:color w:val="auto"/>
        </w:rPr>
        <w:t>.</w:t>
      </w:r>
      <w:r w:rsidR="003A4C3B" w:rsidRPr="003B25B4">
        <w:rPr>
          <w:color w:val="auto"/>
        </w:rPr>
        <w:t xml:space="preserve"> Departmen</w:t>
      </w:r>
      <w:r w:rsidRPr="003B25B4">
        <w:rPr>
          <w:color w:val="auto"/>
        </w:rPr>
        <w:t>t of Health and Human Services (2017)</w:t>
      </w:r>
      <w:r w:rsidR="003A4C3B" w:rsidRPr="003B25B4">
        <w:rPr>
          <w:color w:val="auto"/>
        </w:rPr>
        <w:t xml:space="preserve"> </w:t>
      </w:r>
      <w:proofErr w:type="gramStart"/>
      <w:r w:rsidR="003A4C3B" w:rsidRPr="003B25B4">
        <w:rPr>
          <w:i/>
          <w:color w:val="auto"/>
        </w:rPr>
        <w:t>The</w:t>
      </w:r>
      <w:proofErr w:type="gramEnd"/>
      <w:r w:rsidR="003A4C3B" w:rsidRPr="003B25B4">
        <w:rPr>
          <w:i/>
          <w:color w:val="auto"/>
        </w:rPr>
        <w:t xml:space="preserve"> AFCARS Report</w:t>
      </w:r>
      <w:r w:rsidRPr="003B25B4">
        <w:rPr>
          <w:color w:val="auto"/>
        </w:rPr>
        <w:t>, DHSS, Washington, U.</w:t>
      </w:r>
      <w:r w:rsidR="003A4C3B" w:rsidRPr="003B25B4">
        <w:rPr>
          <w:color w:val="auto"/>
        </w:rPr>
        <w:t>S.</w:t>
      </w:r>
    </w:p>
    <w:p w14:paraId="03186AC3" w14:textId="11295467" w:rsidR="00141CF7" w:rsidRPr="003B25B4" w:rsidRDefault="00141CF7" w:rsidP="00C8612C">
      <w:pPr>
        <w:pStyle w:val="NoSpacing"/>
        <w:spacing w:after="120"/>
        <w:ind w:left="720" w:hanging="720"/>
        <w:rPr>
          <w:color w:val="auto"/>
        </w:rPr>
      </w:pPr>
      <w:proofErr w:type="gramStart"/>
      <w:r w:rsidRPr="003B25B4">
        <w:rPr>
          <w:color w:val="auto"/>
        </w:rPr>
        <w:t xml:space="preserve">Viner, R.M. </w:t>
      </w:r>
      <w:r w:rsidR="00940456" w:rsidRPr="003B25B4">
        <w:rPr>
          <w:color w:val="auto"/>
        </w:rPr>
        <w:t>and</w:t>
      </w:r>
      <w:r w:rsidR="00392757" w:rsidRPr="003B25B4">
        <w:rPr>
          <w:color w:val="auto"/>
        </w:rPr>
        <w:t xml:space="preserve"> Taylor, B. (2005)</w:t>
      </w:r>
      <w:r w:rsidRPr="003B25B4">
        <w:rPr>
          <w:color w:val="auto"/>
        </w:rPr>
        <w:t xml:space="preserve"> </w:t>
      </w:r>
      <w:r w:rsidR="00392757" w:rsidRPr="003B25B4">
        <w:rPr>
          <w:color w:val="auto"/>
        </w:rPr>
        <w:t>‘</w:t>
      </w:r>
      <w:r w:rsidRPr="003B25B4">
        <w:rPr>
          <w:color w:val="auto"/>
        </w:rPr>
        <w:t>Adult health and social outcomes of children who have been in public care in childhood</w:t>
      </w:r>
      <w:r w:rsidR="00392757" w:rsidRPr="003B25B4">
        <w:rPr>
          <w:color w:val="auto"/>
        </w:rPr>
        <w:t>’,</w:t>
      </w:r>
      <w:r w:rsidRPr="003B25B4">
        <w:rPr>
          <w:color w:val="auto"/>
        </w:rPr>
        <w:t xml:space="preserve"> </w:t>
      </w:r>
      <w:proofErr w:type="spellStart"/>
      <w:r w:rsidRPr="003B25B4">
        <w:rPr>
          <w:i/>
          <w:color w:val="auto"/>
        </w:rPr>
        <w:t>Pediatrics</w:t>
      </w:r>
      <w:proofErr w:type="spellEnd"/>
      <w:r w:rsidRPr="003B25B4">
        <w:rPr>
          <w:color w:val="auto"/>
        </w:rPr>
        <w:t>, 115</w:t>
      </w:r>
      <w:r w:rsidR="00392757" w:rsidRPr="003B25B4">
        <w:rPr>
          <w:color w:val="auto"/>
        </w:rPr>
        <w:t xml:space="preserve"> </w:t>
      </w:r>
      <w:r w:rsidRPr="003B25B4">
        <w:rPr>
          <w:color w:val="auto"/>
        </w:rPr>
        <w:t>(</w:t>
      </w:r>
      <w:r w:rsidRPr="003B25B4">
        <w:rPr>
          <w:i/>
          <w:color w:val="auto"/>
        </w:rPr>
        <w:t>4</w:t>
      </w:r>
      <w:r w:rsidRPr="003B25B4">
        <w:rPr>
          <w:color w:val="auto"/>
        </w:rPr>
        <w:t>), pp.</w:t>
      </w:r>
      <w:r w:rsidR="00392757" w:rsidRPr="003B25B4">
        <w:rPr>
          <w:color w:val="auto"/>
        </w:rPr>
        <w:t xml:space="preserve"> </w:t>
      </w:r>
      <w:r w:rsidRPr="003B25B4">
        <w:rPr>
          <w:color w:val="auto"/>
        </w:rPr>
        <w:t>894-899.</w:t>
      </w:r>
      <w:proofErr w:type="gramEnd"/>
    </w:p>
    <w:p w14:paraId="022F4E68" w14:textId="5EDC7F40" w:rsidR="001F38E6" w:rsidRPr="003B25B4" w:rsidRDefault="001F38E6" w:rsidP="00C8612C">
      <w:pPr>
        <w:pStyle w:val="NoSpacing"/>
        <w:spacing w:after="120"/>
        <w:ind w:left="720" w:hanging="720"/>
        <w:rPr>
          <w:color w:val="auto"/>
        </w:rPr>
      </w:pPr>
      <w:r w:rsidRPr="003B25B4">
        <w:rPr>
          <w:color w:val="auto"/>
        </w:rPr>
        <w:t xml:space="preserve">Weiss, A. D. G., </w:t>
      </w:r>
      <w:r w:rsidR="00940456" w:rsidRPr="003B25B4">
        <w:rPr>
          <w:color w:val="auto"/>
        </w:rPr>
        <w:t>and</w:t>
      </w:r>
      <w:r w:rsidR="00392757" w:rsidRPr="003B25B4">
        <w:rPr>
          <w:color w:val="auto"/>
        </w:rPr>
        <w:t xml:space="preserve"> </w:t>
      </w:r>
      <w:proofErr w:type="spellStart"/>
      <w:r w:rsidR="00392757" w:rsidRPr="003B25B4">
        <w:rPr>
          <w:color w:val="auto"/>
        </w:rPr>
        <w:t>Fantuzzo</w:t>
      </w:r>
      <w:proofErr w:type="spellEnd"/>
      <w:r w:rsidR="00392757" w:rsidRPr="003B25B4">
        <w:rPr>
          <w:color w:val="auto"/>
        </w:rPr>
        <w:t>, J. W. (2001) ‘</w:t>
      </w:r>
      <w:r w:rsidRPr="003B25B4">
        <w:rPr>
          <w:color w:val="auto"/>
        </w:rPr>
        <w:t>Multivariate impact of health and caretaking risk factors on the school adjustment of first graders</w:t>
      </w:r>
      <w:r w:rsidR="00392757" w:rsidRPr="003B25B4">
        <w:rPr>
          <w:color w:val="auto"/>
        </w:rPr>
        <w:t xml:space="preserve">’, </w:t>
      </w:r>
      <w:r w:rsidRPr="003B25B4">
        <w:rPr>
          <w:i/>
          <w:color w:val="auto"/>
        </w:rPr>
        <w:t>Journal of Community Psychology</w:t>
      </w:r>
      <w:r w:rsidRPr="003B25B4">
        <w:rPr>
          <w:color w:val="auto"/>
        </w:rPr>
        <w:t>, 29</w:t>
      </w:r>
      <w:r w:rsidR="00392757" w:rsidRPr="003B25B4">
        <w:rPr>
          <w:color w:val="auto"/>
        </w:rPr>
        <w:t xml:space="preserve"> </w:t>
      </w:r>
      <w:r w:rsidRPr="003B25B4">
        <w:rPr>
          <w:color w:val="auto"/>
        </w:rPr>
        <w:t xml:space="preserve">(2), </w:t>
      </w:r>
      <w:r w:rsidR="00392757" w:rsidRPr="003B25B4">
        <w:rPr>
          <w:color w:val="auto"/>
        </w:rPr>
        <w:t xml:space="preserve">pp. </w:t>
      </w:r>
      <w:r w:rsidRPr="003B25B4">
        <w:rPr>
          <w:color w:val="auto"/>
        </w:rPr>
        <w:t xml:space="preserve">141–160. </w:t>
      </w:r>
    </w:p>
    <w:p w14:paraId="4FE3C6DD" w14:textId="77777777" w:rsidR="001B0D01" w:rsidRDefault="00F41154" w:rsidP="00C8612C">
      <w:pPr>
        <w:pStyle w:val="NoSpacing"/>
        <w:spacing w:after="120"/>
        <w:ind w:left="720" w:hanging="720"/>
        <w:rPr>
          <w:color w:val="auto"/>
        </w:rPr>
      </w:pPr>
      <w:proofErr w:type="spellStart"/>
      <w:proofErr w:type="gramStart"/>
      <w:r w:rsidRPr="003B25B4">
        <w:rPr>
          <w:color w:val="auto"/>
        </w:rPr>
        <w:t>YouthinMind</w:t>
      </w:r>
      <w:proofErr w:type="spellEnd"/>
      <w:r w:rsidRPr="003B25B4">
        <w:rPr>
          <w:color w:val="auto"/>
        </w:rPr>
        <w:t xml:space="preserve"> (2015) </w:t>
      </w:r>
      <w:r w:rsidRPr="003B25B4">
        <w:rPr>
          <w:i/>
          <w:color w:val="auto"/>
        </w:rPr>
        <w:t xml:space="preserve">Scoring the Strengths </w:t>
      </w:r>
      <w:r w:rsidR="002D71D1" w:rsidRPr="003B25B4">
        <w:rPr>
          <w:i/>
          <w:color w:val="auto"/>
        </w:rPr>
        <w:t>and</w:t>
      </w:r>
      <w:r w:rsidRPr="003B25B4">
        <w:rPr>
          <w:i/>
          <w:color w:val="auto"/>
        </w:rPr>
        <w:t xml:space="preserve"> Difficulties Questionnaire</w:t>
      </w:r>
      <w:r w:rsidRPr="003B25B4">
        <w:rPr>
          <w:color w:val="auto"/>
        </w:rPr>
        <w:t>.</w:t>
      </w:r>
      <w:proofErr w:type="gramEnd"/>
      <w:r w:rsidR="00392757" w:rsidRPr="003B25B4">
        <w:rPr>
          <w:color w:val="auto"/>
        </w:rPr>
        <w:t xml:space="preserve"> Available at:</w:t>
      </w:r>
      <w:r w:rsidRPr="003B25B4">
        <w:rPr>
          <w:color w:val="auto"/>
        </w:rPr>
        <w:t xml:space="preserve"> </w:t>
      </w:r>
      <w:hyperlink r:id="rId21" w:history="1">
        <w:r w:rsidRPr="003B25B4">
          <w:rPr>
            <w:rStyle w:val="Hyperlink"/>
            <w:rFonts w:asciiTheme="majorHAnsi" w:hAnsiTheme="majorHAnsi" w:cstheme="majorHAnsi"/>
            <w:color w:val="auto"/>
            <w:szCs w:val="24"/>
          </w:rPr>
          <w:t>http://www.sdqinfo.com/py/sdqinfo/c0.py</w:t>
        </w:r>
      </w:hyperlink>
      <w:r w:rsidRPr="003B25B4">
        <w:rPr>
          <w:color w:val="auto"/>
        </w:rPr>
        <w:t xml:space="preserve"> </w:t>
      </w:r>
    </w:p>
    <w:p w14:paraId="64BBBE67" w14:textId="05390F57" w:rsidR="0056587F" w:rsidRPr="003B25B4" w:rsidRDefault="0056587F" w:rsidP="001B0D01">
      <w:pPr>
        <w:pStyle w:val="NoSpacing"/>
        <w:spacing w:after="120"/>
        <w:rPr>
          <w:color w:val="auto"/>
        </w:rPr>
      </w:pPr>
      <w:r w:rsidRPr="003B25B4">
        <w:rPr>
          <w:color w:val="auto"/>
        </w:rPr>
        <w:br w:type="page"/>
      </w:r>
    </w:p>
    <w:p w14:paraId="332BC6B6" w14:textId="77777777" w:rsidR="001B0D01" w:rsidRPr="003B25B4" w:rsidRDefault="001B0D01" w:rsidP="001B0D01">
      <w:pPr>
        <w:pStyle w:val="tableheading"/>
        <w:rPr>
          <w:color w:val="auto"/>
        </w:rPr>
      </w:pPr>
      <w:r w:rsidRPr="003B25B4">
        <w:rPr>
          <w:color w:val="auto"/>
        </w:rPr>
        <w:lastRenderedPageBreak/>
        <w:t>Figure 1: Procedure for sample selection and data collection</w:t>
      </w:r>
    </w:p>
    <w:p w14:paraId="20ED45DB" w14:textId="77777777" w:rsidR="0054214B" w:rsidRDefault="0054214B" w:rsidP="0056587F">
      <w:pPr>
        <w:pStyle w:val="tableheading"/>
        <w:rPr>
          <w:color w:val="auto"/>
        </w:rPr>
      </w:pPr>
    </w:p>
    <w:p w14:paraId="3EBC9B7E" w14:textId="77777777" w:rsidR="001B0D01" w:rsidRDefault="001B0D01" w:rsidP="0056587F">
      <w:pPr>
        <w:pStyle w:val="tableheading"/>
        <w:rPr>
          <w:color w:val="auto"/>
        </w:rPr>
      </w:pPr>
    </w:p>
    <w:p w14:paraId="40DCD779" w14:textId="499D9DD4" w:rsidR="001B0D01" w:rsidRPr="003B25B4" w:rsidRDefault="001B0D01" w:rsidP="0056587F">
      <w:pPr>
        <w:pStyle w:val="tableheading"/>
        <w:rPr>
          <w:color w:val="auto"/>
        </w:rPr>
        <w:sectPr w:rsidR="001B0D01" w:rsidRPr="003B25B4" w:rsidSect="003B25B4">
          <w:headerReference w:type="default" r:id="rId22"/>
          <w:footerReference w:type="default" r:id="rId23"/>
          <w:pgSz w:w="11906" w:h="16838"/>
          <w:pgMar w:top="1440" w:right="1440" w:bottom="1440" w:left="1440" w:header="708" w:footer="708" w:gutter="0"/>
          <w:pgNumType w:start="1"/>
          <w:cols w:space="720"/>
          <w:docGrid w:linePitch="326"/>
        </w:sectPr>
      </w:pPr>
    </w:p>
    <w:p w14:paraId="0D52070F" w14:textId="184B5606" w:rsidR="0056587F" w:rsidRPr="003B25B4" w:rsidRDefault="0056587F" w:rsidP="0056587F">
      <w:pPr>
        <w:pStyle w:val="tableheading"/>
        <w:rPr>
          <w:color w:val="auto"/>
        </w:rPr>
      </w:pPr>
      <w:r w:rsidRPr="003B25B4">
        <w:rPr>
          <w:color w:val="auto"/>
        </w:rPr>
        <w:lastRenderedPageBreak/>
        <w:t xml:space="preserve">Table </w:t>
      </w:r>
      <w:r w:rsidR="00342E1E" w:rsidRPr="003B25B4">
        <w:rPr>
          <w:color w:val="auto"/>
        </w:rPr>
        <w:t>1</w:t>
      </w:r>
      <w:r w:rsidRPr="003B25B4">
        <w:rPr>
          <w:color w:val="auto"/>
        </w:rPr>
        <w:t>: Demographic and observed factors by group (n=234)</w:t>
      </w:r>
    </w:p>
    <w:tbl>
      <w:tblPr>
        <w:tblStyle w:val="12"/>
        <w:tblpPr w:leftFromText="180" w:rightFromText="180" w:vertAnchor="text" w:tblpY="234"/>
        <w:tblW w:w="9206" w:type="dxa"/>
        <w:tblLook w:val="0000" w:firstRow="0" w:lastRow="0" w:firstColumn="0" w:lastColumn="0" w:noHBand="0" w:noVBand="0"/>
      </w:tblPr>
      <w:tblGrid>
        <w:gridCol w:w="4639"/>
        <w:gridCol w:w="815"/>
        <w:gridCol w:w="1030"/>
        <w:gridCol w:w="997"/>
        <w:gridCol w:w="1109"/>
        <w:gridCol w:w="616"/>
      </w:tblGrid>
      <w:tr w:rsidR="003B25B4" w:rsidRPr="003B25B4" w14:paraId="78B30C49" w14:textId="77777777" w:rsidTr="002B16BC">
        <w:tc>
          <w:tcPr>
            <w:tcW w:w="4639" w:type="dxa"/>
            <w:vMerge w:val="restart"/>
            <w:tcBorders>
              <w:top w:val="single" w:sz="4" w:space="0" w:color="auto"/>
              <w:bottom w:val="single" w:sz="4" w:space="0" w:color="auto"/>
            </w:tcBorders>
            <w:shd w:val="clear" w:color="auto" w:fill="auto"/>
          </w:tcPr>
          <w:p w14:paraId="1EE5893E"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Factor</w:t>
            </w:r>
          </w:p>
        </w:tc>
        <w:tc>
          <w:tcPr>
            <w:tcW w:w="1845" w:type="dxa"/>
            <w:gridSpan w:val="2"/>
            <w:tcBorders>
              <w:top w:val="single" w:sz="4" w:space="0" w:color="auto"/>
              <w:bottom w:val="single" w:sz="4" w:space="0" w:color="auto"/>
            </w:tcBorders>
            <w:shd w:val="clear" w:color="auto" w:fill="auto"/>
          </w:tcPr>
          <w:p w14:paraId="66CECB3D" w14:textId="1B7A1216" w:rsidR="0056587F" w:rsidRPr="003B25B4" w:rsidRDefault="00890361" w:rsidP="002B16BC">
            <w:pPr>
              <w:spacing w:after="0" w:line="240" w:lineRule="auto"/>
              <w:ind w:right="60"/>
              <w:contextualSpacing/>
              <w:jc w:val="center"/>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w:t>
            </w:r>
            <w:r w:rsidR="0056587F" w:rsidRPr="003B25B4">
              <w:rPr>
                <w:rFonts w:asciiTheme="majorHAnsi" w:eastAsia="Times New Roman" w:hAnsiTheme="majorHAnsi" w:cstheme="majorHAnsi"/>
                <w:color w:val="auto"/>
                <w:sz w:val="20"/>
                <w:szCs w:val="20"/>
              </w:rPr>
              <w:t>are</w:t>
            </w:r>
            <w:r w:rsidRPr="003B25B4">
              <w:rPr>
                <w:rFonts w:asciiTheme="majorHAnsi" w:eastAsia="Times New Roman" w:hAnsiTheme="majorHAnsi" w:cstheme="majorHAnsi"/>
                <w:color w:val="auto"/>
                <w:sz w:val="20"/>
                <w:szCs w:val="20"/>
              </w:rPr>
              <w:t xml:space="preserve"> group</w:t>
            </w:r>
          </w:p>
          <w:p w14:paraId="2657DA73" w14:textId="77777777" w:rsidR="0056587F" w:rsidRPr="003B25B4" w:rsidRDefault="0056587F" w:rsidP="002B16BC">
            <w:pPr>
              <w:spacing w:after="0" w:line="240" w:lineRule="auto"/>
              <w:ind w:right="60"/>
              <w:contextualSpacing/>
              <w:jc w:val="center"/>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(n=68)</w:t>
            </w:r>
          </w:p>
        </w:tc>
        <w:tc>
          <w:tcPr>
            <w:tcW w:w="2106" w:type="dxa"/>
            <w:gridSpan w:val="2"/>
            <w:tcBorders>
              <w:top w:val="single" w:sz="4" w:space="0" w:color="auto"/>
              <w:bottom w:val="single" w:sz="4" w:space="0" w:color="auto"/>
            </w:tcBorders>
            <w:shd w:val="clear" w:color="auto" w:fill="auto"/>
          </w:tcPr>
          <w:p w14:paraId="136427DA" w14:textId="35148EDD" w:rsidR="0056587F" w:rsidRPr="003B25B4" w:rsidRDefault="00890361" w:rsidP="002B16BC">
            <w:pPr>
              <w:spacing w:after="0" w:line="240" w:lineRule="auto"/>
              <w:ind w:right="60"/>
              <w:contextualSpacing/>
              <w:jc w:val="center"/>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H</w:t>
            </w:r>
            <w:r w:rsidR="0056587F" w:rsidRPr="003B25B4">
              <w:rPr>
                <w:rFonts w:asciiTheme="majorHAnsi" w:eastAsia="Times New Roman" w:hAnsiTheme="majorHAnsi" w:cstheme="majorHAnsi"/>
                <w:color w:val="auto"/>
                <w:sz w:val="20"/>
                <w:szCs w:val="20"/>
              </w:rPr>
              <w:t>ome</w:t>
            </w:r>
            <w:r w:rsidRPr="003B25B4">
              <w:rPr>
                <w:rFonts w:asciiTheme="majorHAnsi" w:eastAsia="Times New Roman" w:hAnsiTheme="majorHAnsi" w:cstheme="majorHAnsi"/>
                <w:color w:val="auto"/>
                <w:sz w:val="20"/>
                <w:szCs w:val="20"/>
              </w:rPr>
              <w:t xml:space="preserve"> group</w:t>
            </w:r>
            <w:r w:rsidR="0056587F" w:rsidRPr="003B25B4">
              <w:rPr>
                <w:rFonts w:asciiTheme="majorHAnsi" w:eastAsia="Times New Roman" w:hAnsiTheme="majorHAnsi" w:cstheme="majorHAnsi"/>
                <w:color w:val="auto"/>
                <w:sz w:val="20"/>
                <w:szCs w:val="20"/>
              </w:rPr>
              <w:t xml:space="preserve"> (n=166)</w:t>
            </w:r>
          </w:p>
        </w:tc>
        <w:tc>
          <w:tcPr>
            <w:tcW w:w="0" w:type="auto"/>
            <w:vMerge w:val="restart"/>
            <w:tcBorders>
              <w:top w:val="single" w:sz="4" w:space="0" w:color="auto"/>
              <w:bottom w:val="single" w:sz="4" w:space="0" w:color="auto"/>
            </w:tcBorders>
          </w:tcPr>
          <w:p w14:paraId="045980E9" w14:textId="77777777" w:rsidR="0056587F" w:rsidRPr="003B25B4" w:rsidRDefault="0056587F" w:rsidP="002B16BC">
            <w:pPr>
              <w:spacing w:after="0" w:line="240" w:lineRule="auto"/>
              <w:ind w:right="60"/>
              <w:contextualSpacing/>
              <w:jc w:val="center"/>
              <w:rPr>
                <w:rFonts w:asciiTheme="majorHAnsi" w:eastAsia="Times New Roman" w:hAnsiTheme="majorHAnsi" w:cstheme="majorHAnsi"/>
                <w:i/>
                <w:color w:val="auto"/>
                <w:sz w:val="20"/>
                <w:szCs w:val="20"/>
              </w:rPr>
            </w:pPr>
            <w:r w:rsidRPr="003B25B4">
              <w:rPr>
                <w:rFonts w:asciiTheme="majorHAnsi" w:eastAsia="Times New Roman" w:hAnsiTheme="majorHAnsi" w:cstheme="majorHAnsi"/>
                <w:i/>
                <w:color w:val="auto"/>
                <w:sz w:val="20"/>
                <w:szCs w:val="20"/>
              </w:rPr>
              <w:t>p</w:t>
            </w:r>
          </w:p>
        </w:tc>
      </w:tr>
      <w:tr w:rsidR="003B25B4" w:rsidRPr="003B25B4" w14:paraId="44DA7340" w14:textId="77777777" w:rsidTr="002B16BC">
        <w:tc>
          <w:tcPr>
            <w:tcW w:w="4639" w:type="dxa"/>
            <w:vMerge/>
            <w:tcBorders>
              <w:top w:val="single" w:sz="4" w:space="0" w:color="auto"/>
              <w:bottom w:val="single" w:sz="4" w:space="0" w:color="auto"/>
            </w:tcBorders>
            <w:shd w:val="clear" w:color="auto" w:fill="auto"/>
          </w:tcPr>
          <w:p w14:paraId="07EB3BB8"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p>
        </w:tc>
        <w:tc>
          <w:tcPr>
            <w:tcW w:w="815" w:type="dxa"/>
            <w:tcBorders>
              <w:top w:val="single" w:sz="4" w:space="0" w:color="auto"/>
              <w:bottom w:val="single" w:sz="4" w:space="0" w:color="auto"/>
            </w:tcBorders>
            <w:shd w:val="clear" w:color="auto" w:fill="auto"/>
          </w:tcPr>
          <w:p w14:paraId="665EA43C" w14:textId="77777777" w:rsidR="0056587F" w:rsidRPr="003B25B4" w:rsidRDefault="0056587F" w:rsidP="002B16BC">
            <w:pPr>
              <w:spacing w:after="0" w:line="240" w:lineRule="auto"/>
              <w:ind w:right="60"/>
              <w:contextualSpacing/>
              <w:jc w:val="center"/>
              <w:rPr>
                <w:rFonts w:asciiTheme="majorHAnsi" w:eastAsia="Times New Roman" w:hAnsiTheme="majorHAnsi" w:cstheme="majorHAnsi"/>
                <w:i/>
                <w:color w:val="auto"/>
                <w:sz w:val="20"/>
                <w:szCs w:val="20"/>
              </w:rPr>
            </w:pPr>
            <w:r w:rsidRPr="003B25B4">
              <w:rPr>
                <w:rFonts w:asciiTheme="majorHAnsi" w:eastAsia="Times New Roman" w:hAnsiTheme="majorHAnsi" w:cstheme="majorHAnsi"/>
                <w:i/>
                <w:color w:val="auto"/>
                <w:sz w:val="20"/>
                <w:szCs w:val="20"/>
              </w:rPr>
              <w:t>Median (IQR)</w:t>
            </w:r>
          </w:p>
        </w:tc>
        <w:tc>
          <w:tcPr>
            <w:tcW w:w="1030" w:type="dxa"/>
            <w:tcBorders>
              <w:top w:val="single" w:sz="4" w:space="0" w:color="auto"/>
              <w:bottom w:val="single" w:sz="4" w:space="0" w:color="auto"/>
            </w:tcBorders>
            <w:shd w:val="clear" w:color="auto" w:fill="auto"/>
          </w:tcPr>
          <w:p w14:paraId="57CF79F2" w14:textId="77777777" w:rsidR="0056587F" w:rsidRPr="003B25B4" w:rsidRDefault="0056587F" w:rsidP="002B16BC">
            <w:pPr>
              <w:spacing w:after="0" w:line="240" w:lineRule="auto"/>
              <w:ind w:right="60"/>
              <w:contextualSpacing/>
              <w:jc w:val="center"/>
              <w:rPr>
                <w:rFonts w:asciiTheme="majorHAnsi" w:eastAsia="Times New Roman" w:hAnsiTheme="majorHAnsi" w:cstheme="majorHAnsi"/>
                <w:i/>
                <w:color w:val="auto"/>
                <w:sz w:val="20"/>
                <w:szCs w:val="20"/>
              </w:rPr>
            </w:pPr>
            <w:proofErr w:type="gramStart"/>
            <w:r w:rsidRPr="003B25B4">
              <w:rPr>
                <w:rFonts w:asciiTheme="majorHAnsi" w:eastAsia="Times New Roman" w:hAnsiTheme="majorHAnsi" w:cstheme="majorHAnsi"/>
                <w:i/>
                <w:color w:val="auto"/>
                <w:sz w:val="20"/>
                <w:szCs w:val="20"/>
              </w:rPr>
              <w:t>n</w:t>
            </w:r>
            <w:proofErr w:type="gramEnd"/>
            <w:r w:rsidRPr="003B25B4">
              <w:rPr>
                <w:rFonts w:asciiTheme="majorHAnsi" w:eastAsia="Times New Roman" w:hAnsiTheme="majorHAnsi" w:cstheme="majorHAnsi"/>
                <w:i/>
                <w:color w:val="auto"/>
                <w:sz w:val="20"/>
                <w:szCs w:val="20"/>
              </w:rPr>
              <w:t xml:space="preserve"> (%)</w:t>
            </w:r>
          </w:p>
        </w:tc>
        <w:tc>
          <w:tcPr>
            <w:tcW w:w="997" w:type="dxa"/>
            <w:tcBorders>
              <w:top w:val="single" w:sz="4" w:space="0" w:color="auto"/>
              <w:bottom w:val="single" w:sz="4" w:space="0" w:color="auto"/>
            </w:tcBorders>
            <w:shd w:val="clear" w:color="auto" w:fill="auto"/>
          </w:tcPr>
          <w:p w14:paraId="4D86252F" w14:textId="77777777" w:rsidR="0056587F" w:rsidRPr="003B25B4" w:rsidRDefault="0056587F" w:rsidP="002B16BC">
            <w:pPr>
              <w:spacing w:after="0" w:line="240" w:lineRule="auto"/>
              <w:ind w:right="60"/>
              <w:contextualSpacing/>
              <w:jc w:val="center"/>
              <w:rPr>
                <w:rFonts w:asciiTheme="majorHAnsi" w:eastAsia="Times New Roman" w:hAnsiTheme="majorHAnsi" w:cstheme="majorHAnsi"/>
                <w:i/>
                <w:color w:val="auto"/>
                <w:sz w:val="20"/>
                <w:szCs w:val="20"/>
              </w:rPr>
            </w:pPr>
            <w:r w:rsidRPr="003B25B4">
              <w:rPr>
                <w:rFonts w:asciiTheme="majorHAnsi" w:eastAsia="Times New Roman" w:hAnsiTheme="majorHAnsi" w:cstheme="majorHAnsi"/>
                <w:i/>
                <w:color w:val="auto"/>
                <w:sz w:val="20"/>
                <w:szCs w:val="20"/>
              </w:rPr>
              <w:t>Median (IQR)</w:t>
            </w:r>
          </w:p>
        </w:tc>
        <w:tc>
          <w:tcPr>
            <w:tcW w:w="1109" w:type="dxa"/>
            <w:tcBorders>
              <w:top w:val="single" w:sz="4" w:space="0" w:color="auto"/>
              <w:bottom w:val="single" w:sz="4" w:space="0" w:color="auto"/>
            </w:tcBorders>
            <w:shd w:val="clear" w:color="auto" w:fill="auto"/>
          </w:tcPr>
          <w:p w14:paraId="2E4D67F9" w14:textId="77777777" w:rsidR="0056587F" w:rsidRPr="003B25B4" w:rsidRDefault="0056587F" w:rsidP="002B16BC">
            <w:pPr>
              <w:spacing w:after="0" w:line="240" w:lineRule="auto"/>
              <w:ind w:right="60"/>
              <w:contextualSpacing/>
              <w:jc w:val="center"/>
              <w:rPr>
                <w:rFonts w:asciiTheme="majorHAnsi" w:eastAsia="Times New Roman" w:hAnsiTheme="majorHAnsi" w:cstheme="majorHAnsi"/>
                <w:i/>
                <w:color w:val="auto"/>
                <w:sz w:val="20"/>
                <w:szCs w:val="20"/>
              </w:rPr>
            </w:pPr>
            <w:proofErr w:type="gramStart"/>
            <w:r w:rsidRPr="003B25B4">
              <w:rPr>
                <w:rFonts w:asciiTheme="majorHAnsi" w:eastAsia="Times New Roman" w:hAnsiTheme="majorHAnsi" w:cstheme="majorHAnsi"/>
                <w:i/>
                <w:color w:val="auto"/>
                <w:sz w:val="20"/>
                <w:szCs w:val="20"/>
              </w:rPr>
              <w:t>n</w:t>
            </w:r>
            <w:proofErr w:type="gramEnd"/>
            <w:r w:rsidRPr="003B25B4">
              <w:rPr>
                <w:rFonts w:asciiTheme="majorHAnsi" w:eastAsia="Times New Roman" w:hAnsiTheme="majorHAnsi" w:cstheme="majorHAnsi"/>
                <w:i/>
                <w:color w:val="auto"/>
                <w:sz w:val="20"/>
                <w:szCs w:val="20"/>
              </w:rPr>
              <w:t xml:space="preserve"> (%)</w:t>
            </w:r>
          </w:p>
        </w:tc>
        <w:tc>
          <w:tcPr>
            <w:tcW w:w="0" w:type="auto"/>
            <w:vMerge/>
            <w:tcBorders>
              <w:top w:val="single" w:sz="4" w:space="0" w:color="auto"/>
              <w:bottom w:val="single" w:sz="4" w:space="0" w:color="auto"/>
            </w:tcBorders>
          </w:tcPr>
          <w:p w14:paraId="6A9A8483" w14:textId="77777777" w:rsidR="0056587F" w:rsidRPr="003B25B4" w:rsidRDefault="0056587F" w:rsidP="002B16BC">
            <w:pPr>
              <w:spacing w:after="0" w:line="240" w:lineRule="auto"/>
              <w:ind w:right="60"/>
              <w:contextualSpacing/>
              <w:jc w:val="center"/>
              <w:rPr>
                <w:rFonts w:asciiTheme="majorHAnsi" w:eastAsia="Times New Roman" w:hAnsiTheme="majorHAnsi" w:cstheme="majorHAnsi"/>
                <w:i/>
                <w:color w:val="auto"/>
                <w:sz w:val="20"/>
                <w:szCs w:val="20"/>
              </w:rPr>
            </w:pPr>
          </w:p>
        </w:tc>
      </w:tr>
      <w:tr w:rsidR="003B25B4" w:rsidRPr="003B25B4" w14:paraId="0DEA98AE" w14:textId="77777777" w:rsidTr="002B16BC">
        <w:tc>
          <w:tcPr>
            <w:tcW w:w="4639" w:type="dxa"/>
            <w:tcBorders>
              <w:top w:val="single" w:sz="4" w:space="0" w:color="auto"/>
            </w:tcBorders>
            <w:shd w:val="clear" w:color="auto" w:fill="auto"/>
            <w:vAlign w:val="bottom"/>
          </w:tcPr>
          <w:p w14:paraId="0B843A0A" w14:textId="77777777" w:rsidR="0056587F" w:rsidRPr="003B25B4" w:rsidRDefault="0056587F" w:rsidP="002B16BC">
            <w:pPr>
              <w:spacing w:after="0" w:line="240" w:lineRule="auto"/>
              <w:contextualSpacing/>
              <w:rPr>
                <w:rFonts w:asciiTheme="majorHAnsi" w:eastAsia="Times New Roman" w:hAnsiTheme="majorHAnsi" w:cstheme="majorHAnsi"/>
                <w:i/>
                <w:color w:val="auto"/>
                <w:sz w:val="20"/>
                <w:szCs w:val="20"/>
              </w:rPr>
            </w:pPr>
            <w:r w:rsidRPr="003B25B4">
              <w:rPr>
                <w:rFonts w:asciiTheme="majorHAnsi" w:eastAsia="Times New Roman" w:hAnsiTheme="majorHAnsi" w:cstheme="majorHAnsi"/>
                <w:i/>
                <w:color w:val="auto"/>
                <w:sz w:val="20"/>
                <w:szCs w:val="20"/>
              </w:rPr>
              <w:t>Child characteristics</w:t>
            </w:r>
          </w:p>
        </w:tc>
        <w:tc>
          <w:tcPr>
            <w:tcW w:w="815" w:type="dxa"/>
            <w:tcBorders>
              <w:top w:val="single" w:sz="4" w:space="0" w:color="auto"/>
            </w:tcBorders>
            <w:shd w:val="clear" w:color="auto" w:fill="auto"/>
          </w:tcPr>
          <w:p w14:paraId="6AB358AA"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tcBorders>
              <w:top w:val="single" w:sz="4" w:space="0" w:color="auto"/>
            </w:tcBorders>
            <w:shd w:val="clear" w:color="auto" w:fill="auto"/>
          </w:tcPr>
          <w:p w14:paraId="7D5D5316"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tcBorders>
              <w:top w:val="single" w:sz="4" w:space="0" w:color="auto"/>
            </w:tcBorders>
            <w:shd w:val="clear" w:color="auto" w:fill="auto"/>
          </w:tcPr>
          <w:p w14:paraId="0049715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tcBorders>
              <w:top w:val="single" w:sz="4" w:space="0" w:color="auto"/>
            </w:tcBorders>
            <w:shd w:val="clear" w:color="auto" w:fill="auto"/>
          </w:tcPr>
          <w:p w14:paraId="1C8D3A39"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Borders>
              <w:top w:val="single" w:sz="4" w:space="0" w:color="auto"/>
            </w:tcBorders>
          </w:tcPr>
          <w:p w14:paraId="70FF519B"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r>
      <w:tr w:rsidR="003B25B4" w:rsidRPr="003B25B4" w14:paraId="11565989" w14:textId="77777777" w:rsidTr="002B16BC">
        <w:tc>
          <w:tcPr>
            <w:tcW w:w="4639" w:type="dxa"/>
            <w:shd w:val="clear" w:color="auto" w:fill="auto"/>
          </w:tcPr>
          <w:p w14:paraId="7BEFF7F1"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Gender</w:t>
            </w:r>
          </w:p>
        </w:tc>
        <w:tc>
          <w:tcPr>
            <w:tcW w:w="815" w:type="dxa"/>
            <w:shd w:val="clear" w:color="auto" w:fill="auto"/>
          </w:tcPr>
          <w:p w14:paraId="4007C340"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04DA3AE8"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shd w:val="clear" w:color="auto" w:fill="auto"/>
          </w:tcPr>
          <w:p w14:paraId="431282CA"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3830552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Pr>
          <w:p w14:paraId="3140785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0.912</w:t>
            </w:r>
          </w:p>
        </w:tc>
      </w:tr>
      <w:tr w:rsidR="003B25B4" w:rsidRPr="003B25B4" w14:paraId="33899BD6" w14:textId="77777777" w:rsidTr="002B16BC">
        <w:tc>
          <w:tcPr>
            <w:tcW w:w="4639" w:type="dxa"/>
            <w:shd w:val="clear" w:color="auto" w:fill="auto"/>
          </w:tcPr>
          <w:p w14:paraId="38B596C4" w14:textId="77777777" w:rsidR="0056587F" w:rsidRPr="003B25B4" w:rsidRDefault="0056587F" w:rsidP="002B16BC">
            <w:pPr>
              <w:spacing w:after="0" w:line="240" w:lineRule="auto"/>
              <w:ind w:left="284" w:hanging="142"/>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Male</w:t>
            </w:r>
          </w:p>
        </w:tc>
        <w:tc>
          <w:tcPr>
            <w:tcW w:w="815" w:type="dxa"/>
            <w:shd w:val="clear" w:color="auto" w:fill="auto"/>
          </w:tcPr>
          <w:p w14:paraId="2965A74F"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3BD04DD4"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37 (54.4)</w:t>
            </w:r>
          </w:p>
        </w:tc>
        <w:tc>
          <w:tcPr>
            <w:tcW w:w="997" w:type="dxa"/>
            <w:shd w:val="clear" w:color="auto" w:fill="auto"/>
          </w:tcPr>
          <w:p w14:paraId="41468679"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49A19C3C"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89 (53.6)</w:t>
            </w:r>
          </w:p>
        </w:tc>
        <w:tc>
          <w:tcPr>
            <w:tcW w:w="0" w:type="auto"/>
          </w:tcPr>
          <w:p w14:paraId="57F38030"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r>
      <w:tr w:rsidR="003B25B4" w:rsidRPr="003B25B4" w14:paraId="553EAB1B" w14:textId="77777777" w:rsidTr="002B16BC">
        <w:tc>
          <w:tcPr>
            <w:tcW w:w="4639" w:type="dxa"/>
            <w:shd w:val="clear" w:color="auto" w:fill="auto"/>
          </w:tcPr>
          <w:p w14:paraId="412C37E2" w14:textId="77777777" w:rsidR="0056587F" w:rsidRPr="003B25B4" w:rsidRDefault="0056587F" w:rsidP="002B16BC">
            <w:pPr>
              <w:spacing w:after="0" w:line="240" w:lineRule="auto"/>
              <w:ind w:left="284" w:hanging="142"/>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Female</w:t>
            </w:r>
          </w:p>
        </w:tc>
        <w:tc>
          <w:tcPr>
            <w:tcW w:w="815" w:type="dxa"/>
            <w:shd w:val="clear" w:color="auto" w:fill="auto"/>
          </w:tcPr>
          <w:p w14:paraId="5868BC75"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4512A8CC"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31 (45.6)</w:t>
            </w:r>
          </w:p>
        </w:tc>
        <w:tc>
          <w:tcPr>
            <w:tcW w:w="997" w:type="dxa"/>
            <w:shd w:val="clear" w:color="auto" w:fill="auto"/>
          </w:tcPr>
          <w:p w14:paraId="77E28135"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4783CC0F"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77 (46.4)</w:t>
            </w:r>
          </w:p>
        </w:tc>
        <w:tc>
          <w:tcPr>
            <w:tcW w:w="0" w:type="auto"/>
          </w:tcPr>
          <w:p w14:paraId="26383464"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r>
      <w:tr w:rsidR="003B25B4" w:rsidRPr="003B25B4" w14:paraId="3CB9F264" w14:textId="77777777" w:rsidTr="002B16BC">
        <w:tc>
          <w:tcPr>
            <w:tcW w:w="4639" w:type="dxa"/>
            <w:shd w:val="clear" w:color="auto" w:fill="auto"/>
          </w:tcPr>
          <w:p w14:paraId="60370F49"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Child ethnicity (n=230</w:t>
            </w:r>
            <w:r w:rsidRPr="003B25B4">
              <w:rPr>
                <w:rFonts w:asciiTheme="majorHAnsi" w:eastAsia="Times New Roman" w:hAnsiTheme="majorHAnsi" w:cstheme="majorHAnsi"/>
                <w:color w:val="auto"/>
                <w:sz w:val="20"/>
                <w:szCs w:val="20"/>
                <w:vertAlign w:val="superscript"/>
              </w:rPr>
              <w:t>1</w:t>
            </w:r>
            <w:r w:rsidRPr="003B25B4">
              <w:rPr>
                <w:rFonts w:asciiTheme="majorHAnsi" w:eastAsia="Times New Roman" w:hAnsiTheme="majorHAnsi" w:cstheme="majorHAnsi"/>
                <w:color w:val="auto"/>
                <w:sz w:val="20"/>
                <w:szCs w:val="20"/>
              </w:rPr>
              <w:t>)</w:t>
            </w:r>
          </w:p>
        </w:tc>
        <w:tc>
          <w:tcPr>
            <w:tcW w:w="815" w:type="dxa"/>
            <w:shd w:val="clear" w:color="auto" w:fill="auto"/>
          </w:tcPr>
          <w:p w14:paraId="3B52539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605E7DAF"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shd w:val="clear" w:color="auto" w:fill="auto"/>
          </w:tcPr>
          <w:p w14:paraId="24087FA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75155A9E"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Pr>
          <w:p w14:paraId="4F424766"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0.014</w:t>
            </w:r>
          </w:p>
        </w:tc>
      </w:tr>
      <w:tr w:rsidR="003B25B4" w:rsidRPr="003B25B4" w14:paraId="6CC6E3A6" w14:textId="77777777" w:rsidTr="002B16BC">
        <w:tc>
          <w:tcPr>
            <w:tcW w:w="4639" w:type="dxa"/>
            <w:shd w:val="clear" w:color="auto" w:fill="auto"/>
          </w:tcPr>
          <w:p w14:paraId="4494B41B" w14:textId="77777777" w:rsidR="0056587F" w:rsidRPr="003B25B4" w:rsidRDefault="0056587F" w:rsidP="002B16BC">
            <w:pPr>
              <w:spacing w:after="0" w:line="240" w:lineRule="auto"/>
              <w:ind w:left="284" w:hanging="142"/>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White</w:t>
            </w:r>
          </w:p>
        </w:tc>
        <w:tc>
          <w:tcPr>
            <w:tcW w:w="815" w:type="dxa"/>
            <w:shd w:val="clear" w:color="auto" w:fill="auto"/>
          </w:tcPr>
          <w:p w14:paraId="17CE381E" w14:textId="77777777" w:rsidR="0056587F" w:rsidRPr="003B25B4" w:rsidRDefault="0056587F" w:rsidP="002B16BC">
            <w:pPr>
              <w:spacing w:after="0" w:line="240" w:lineRule="auto"/>
              <w:contextualSpacing/>
              <w:jc w:val="right"/>
              <w:rPr>
                <w:rFonts w:asciiTheme="majorHAnsi" w:eastAsia="Times New Roman" w:hAnsiTheme="majorHAnsi" w:cstheme="majorHAnsi"/>
                <w:color w:val="auto"/>
                <w:sz w:val="20"/>
                <w:szCs w:val="20"/>
              </w:rPr>
            </w:pPr>
          </w:p>
        </w:tc>
        <w:tc>
          <w:tcPr>
            <w:tcW w:w="1030" w:type="dxa"/>
            <w:shd w:val="clear" w:color="auto" w:fill="auto"/>
          </w:tcPr>
          <w:p w14:paraId="5D4B953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49 (72.1)</w:t>
            </w:r>
          </w:p>
        </w:tc>
        <w:tc>
          <w:tcPr>
            <w:tcW w:w="997" w:type="dxa"/>
            <w:shd w:val="clear" w:color="auto" w:fill="auto"/>
          </w:tcPr>
          <w:p w14:paraId="37A923CC" w14:textId="77777777" w:rsidR="0056587F" w:rsidRPr="003B25B4" w:rsidRDefault="0056587F" w:rsidP="002B16BC">
            <w:pPr>
              <w:spacing w:after="0" w:line="240" w:lineRule="auto"/>
              <w:contextualSpacing/>
              <w:jc w:val="right"/>
              <w:rPr>
                <w:rFonts w:asciiTheme="majorHAnsi" w:eastAsia="Times New Roman" w:hAnsiTheme="majorHAnsi" w:cstheme="majorHAnsi"/>
                <w:color w:val="auto"/>
                <w:sz w:val="20"/>
                <w:szCs w:val="20"/>
              </w:rPr>
            </w:pPr>
          </w:p>
        </w:tc>
        <w:tc>
          <w:tcPr>
            <w:tcW w:w="1109" w:type="dxa"/>
            <w:shd w:val="clear" w:color="auto" w:fill="auto"/>
          </w:tcPr>
          <w:p w14:paraId="6ECF0C64"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104 (64.2)</w:t>
            </w:r>
          </w:p>
        </w:tc>
        <w:tc>
          <w:tcPr>
            <w:tcW w:w="0" w:type="auto"/>
          </w:tcPr>
          <w:p w14:paraId="181B5CE1" w14:textId="77777777" w:rsidR="0056587F" w:rsidRPr="003B25B4" w:rsidRDefault="0056587F" w:rsidP="002B16BC">
            <w:pPr>
              <w:spacing w:after="0" w:line="240" w:lineRule="auto"/>
              <w:contextualSpacing/>
              <w:jc w:val="right"/>
              <w:rPr>
                <w:rFonts w:asciiTheme="majorHAnsi" w:eastAsia="Times New Roman" w:hAnsiTheme="majorHAnsi" w:cstheme="majorHAnsi"/>
                <w:color w:val="auto"/>
                <w:sz w:val="20"/>
                <w:szCs w:val="20"/>
              </w:rPr>
            </w:pPr>
          </w:p>
        </w:tc>
      </w:tr>
      <w:tr w:rsidR="003B25B4" w:rsidRPr="003B25B4" w14:paraId="3953EF27" w14:textId="77777777" w:rsidTr="002B16BC">
        <w:tc>
          <w:tcPr>
            <w:tcW w:w="4639" w:type="dxa"/>
            <w:shd w:val="clear" w:color="auto" w:fill="auto"/>
          </w:tcPr>
          <w:p w14:paraId="25185530" w14:textId="77777777" w:rsidR="0056587F" w:rsidRPr="003B25B4" w:rsidRDefault="0056587F" w:rsidP="002B16BC">
            <w:pPr>
              <w:spacing w:after="0" w:line="240" w:lineRule="auto"/>
              <w:ind w:left="284" w:hanging="142"/>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Asian</w:t>
            </w:r>
          </w:p>
        </w:tc>
        <w:tc>
          <w:tcPr>
            <w:tcW w:w="815" w:type="dxa"/>
            <w:shd w:val="clear" w:color="auto" w:fill="auto"/>
          </w:tcPr>
          <w:p w14:paraId="3188CBE9" w14:textId="77777777" w:rsidR="0056587F" w:rsidRPr="003B25B4" w:rsidRDefault="0056587F" w:rsidP="002B16BC">
            <w:pPr>
              <w:spacing w:after="0" w:line="240" w:lineRule="auto"/>
              <w:contextualSpacing/>
              <w:jc w:val="right"/>
              <w:rPr>
                <w:rFonts w:asciiTheme="majorHAnsi" w:eastAsia="Times New Roman" w:hAnsiTheme="majorHAnsi" w:cstheme="majorHAnsi"/>
                <w:color w:val="auto"/>
                <w:sz w:val="20"/>
                <w:szCs w:val="20"/>
              </w:rPr>
            </w:pPr>
          </w:p>
        </w:tc>
        <w:tc>
          <w:tcPr>
            <w:tcW w:w="1030" w:type="dxa"/>
            <w:shd w:val="clear" w:color="auto" w:fill="auto"/>
          </w:tcPr>
          <w:p w14:paraId="68036955"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5 (7.4)</w:t>
            </w:r>
          </w:p>
        </w:tc>
        <w:tc>
          <w:tcPr>
            <w:tcW w:w="997" w:type="dxa"/>
            <w:shd w:val="clear" w:color="auto" w:fill="auto"/>
          </w:tcPr>
          <w:p w14:paraId="65ECCADA" w14:textId="77777777" w:rsidR="0056587F" w:rsidRPr="003B25B4" w:rsidRDefault="0056587F" w:rsidP="002B16BC">
            <w:pPr>
              <w:spacing w:after="0" w:line="240" w:lineRule="auto"/>
              <w:contextualSpacing/>
              <w:jc w:val="right"/>
              <w:rPr>
                <w:rFonts w:asciiTheme="majorHAnsi" w:eastAsia="Times New Roman" w:hAnsiTheme="majorHAnsi" w:cstheme="majorHAnsi"/>
                <w:color w:val="auto"/>
                <w:sz w:val="20"/>
                <w:szCs w:val="20"/>
              </w:rPr>
            </w:pPr>
          </w:p>
        </w:tc>
        <w:tc>
          <w:tcPr>
            <w:tcW w:w="1109" w:type="dxa"/>
            <w:shd w:val="clear" w:color="auto" w:fill="auto"/>
          </w:tcPr>
          <w:p w14:paraId="482EF964"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37 (22.8)</w:t>
            </w:r>
          </w:p>
        </w:tc>
        <w:tc>
          <w:tcPr>
            <w:tcW w:w="0" w:type="auto"/>
          </w:tcPr>
          <w:p w14:paraId="4D225642" w14:textId="77777777" w:rsidR="0056587F" w:rsidRPr="003B25B4" w:rsidRDefault="0056587F" w:rsidP="002B16BC">
            <w:pPr>
              <w:spacing w:after="0" w:line="240" w:lineRule="auto"/>
              <w:contextualSpacing/>
              <w:jc w:val="right"/>
              <w:rPr>
                <w:rFonts w:asciiTheme="majorHAnsi" w:eastAsia="Times New Roman" w:hAnsiTheme="majorHAnsi" w:cstheme="majorHAnsi"/>
                <w:color w:val="auto"/>
                <w:sz w:val="20"/>
                <w:szCs w:val="20"/>
              </w:rPr>
            </w:pPr>
          </w:p>
        </w:tc>
      </w:tr>
      <w:tr w:rsidR="003B25B4" w:rsidRPr="003B25B4" w14:paraId="0B2128FC" w14:textId="77777777" w:rsidTr="002B16BC">
        <w:tc>
          <w:tcPr>
            <w:tcW w:w="4639" w:type="dxa"/>
            <w:shd w:val="clear" w:color="auto" w:fill="auto"/>
          </w:tcPr>
          <w:p w14:paraId="640A8874" w14:textId="77777777" w:rsidR="0056587F" w:rsidRPr="003B25B4" w:rsidRDefault="0056587F" w:rsidP="002B16BC">
            <w:pPr>
              <w:spacing w:after="0" w:line="240" w:lineRule="auto"/>
              <w:ind w:left="284" w:hanging="142"/>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Mixed</w:t>
            </w:r>
          </w:p>
        </w:tc>
        <w:tc>
          <w:tcPr>
            <w:tcW w:w="815" w:type="dxa"/>
            <w:shd w:val="clear" w:color="auto" w:fill="auto"/>
          </w:tcPr>
          <w:p w14:paraId="0321A974" w14:textId="77777777" w:rsidR="0056587F" w:rsidRPr="003B25B4" w:rsidRDefault="0056587F" w:rsidP="002B16BC">
            <w:pPr>
              <w:spacing w:after="0" w:line="240" w:lineRule="auto"/>
              <w:contextualSpacing/>
              <w:jc w:val="right"/>
              <w:rPr>
                <w:rFonts w:asciiTheme="majorHAnsi" w:eastAsia="Times New Roman" w:hAnsiTheme="majorHAnsi" w:cstheme="majorHAnsi"/>
                <w:color w:val="auto"/>
                <w:sz w:val="20"/>
                <w:szCs w:val="20"/>
              </w:rPr>
            </w:pPr>
          </w:p>
        </w:tc>
        <w:tc>
          <w:tcPr>
            <w:tcW w:w="1030" w:type="dxa"/>
            <w:shd w:val="clear" w:color="auto" w:fill="auto"/>
          </w:tcPr>
          <w:p w14:paraId="3D6E7C6A"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14 (20.6)</w:t>
            </w:r>
          </w:p>
        </w:tc>
        <w:tc>
          <w:tcPr>
            <w:tcW w:w="997" w:type="dxa"/>
            <w:shd w:val="clear" w:color="auto" w:fill="auto"/>
          </w:tcPr>
          <w:p w14:paraId="52A7CDF8" w14:textId="77777777" w:rsidR="0056587F" w:rsidRPr="003B25B4" w:rsidRDefault="0056587F" w:rsidP="002B16BC">
            <w:pPr>
              <w:spacing w:after="0" w:line="240" w:lineRule="auto"/>
              <w:contextualSpacing/>
              <w:jc w:val="right"/>
              <w:rPr>
                <w:rFonts w:asciiTheme="majorHAnsi" w:eastAsia="Times New Roman" w:hAnsiTheme="majorHAnsi" w:cstheme="majorHAnsi"/>
                <w:color w:val="auto"/>
                <w:sz w:val="20"/>
                <w:szCs w:val="20"/>
              </w:rPr>
            </w:pPr>
          </w:p>
        </w:tc>
        <w:tc>
          <w:tcPr>
            <w:tcW w:w="1109" w:type="dxa"/>
            <w:shd w:val="clear" w:color="auto" w:fill="auto"/>
          </w:tcPr>
          <w:p w14:paraId="0A957D50"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21 (13.0)</w:t>
            </w:r>
          </w:p>
        </w:tc>
        <w:tc>
          <w:tcPr>
            <w:tcW w:w="0" w:type="auto"/>
          </w:tcPr>
          <w:p w14:paraId="23F50DDA" w14:textId="77777777" w:rsidR="0056587F" w:rsidRPr="003B25B4" w:rsidRDefault="0056587F" w:rsidP="002B16BC">
            <w:pPr>
              <w:spacing w:after="0" w:line="240" w:lineRule="auto"/>
              <w:contextualSpacing/>
              <w:jc w:val="right"/>
              <w:rPr>
                <w:rFonts w:asciiTheme="majorHAnsi" w:eastAsia="Times New Roman" w:hAnsiTheme="majorHAnsi" w:cstheme="majorHAnsi"/>
                <w:color w:val="auto"/>
                <w:sz w:val="20"/>
                <w:szCs w:val="20"/>
              </w:rPr>
            </w:pPr>
          </w:p>
        </w:tc>
      </w:tr>
      <w:tr w:rsidR="003B25B4" w:rsidRPr="003B25B4" w14:paraId="73A9EF67" w14:textId="77777777" w:rsidTr="002B16BC">
        <w:tc>
          <w:tcPr>
            <w:tcW w:w="4639" w:type="dxa"/>
            <w:shd w:val="clear" w:color="auto" w:fill="auto"/>
          </w:tcPr>
          <w:p w14:paraId="122DF549" w14:textId="7D877F55"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Child age</w:t>
            </w:r>
            <w:r w:rsidR="00F729F6" w:rsidRPr="003B25B4">
              <w:rPr>
                <w:rFonts w:asciiTheme="majorHAnsi" w:eastAsia="Times New Roman" w:hAnsiTheme="majorHAnsi" w:cstheme="majorHAnsi"/>
                <w:color w:val="auto"/>
                <w:sz w:val="20"/>
                <w:szCs w:val="20"/>
              </w:rPr>
              <w:t xml:space="preserve"> at caregiver interview</w:t>
            </w:r>
            <w:r w:rsidRPr="003B25B4">
              <w:rPr>
                <w:rFonts w:asciiTheme="majorHAnsi" w:eastAsia="Times New Roman" w:hAnsiTheme="majorHAnsi" w:cstheme="majorHAnsi"/>
                <w:color w:val="auto"/>
                <w:sz w:val="20"/>
                <w:szCs w:val="20"/>
              </w:rPr>
              <w:t xml:space="preserve"> (months)</w:t>
            </w:r>
          </w:p>
        </w:tc>
        <w:tc>
          <w:tcPr>
            <w:tcW w:w="815" w:type="dxa"/>
            <w:shd w:val="clear" w:color="auto" w:fill="auto"/>
          </w:tcPr>
          <w:p w14:paraId="0827ABAB"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80.5 (26)</w:t>
            </w:r>
          </w:p>
        </w:tc>
        <w:tc>
          <w:tcPr>
            <w:tcW w:w="1030" w:type="dxa"/>
            <w:shd w:val="clear" w:color="auto" w:fill="auto"/>
          </w:tcPr>
          <w:p w14:paraId="74F170CC"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shd w:val="clear" w:color="auto" w:fill="auto"/>
          </w:tcPr>
          <w:p w14:paraId="6D812C5B"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74.5 (22)</w:t>
            </w:r>
          </w:p>
        </w:tc>
        <w:tc>
          <w:tcPr>
            <w:tcW w:w="1109" w:type="dxa"/>
            <w:shd w:val="clear" w:color="auto" w:fill="auto"/>
          </w:tcPr>
          <w:p w14:paraId="0F8F8EC8"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Pr>
          <w:p w14:paraId="11653B8B"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0.054</w:t>
            </w:r>
          </w:p>
        </w:tc>
      </w:tr>
      <w:tr w:rsidR="003B25B4" w:rsidRPr="003B25B4" w14:paraId="52D5103F" w14:textId="77777777" w:rsidTr="002B16BC">
        <w:tc>
          <w:tcPr>
            <w:tcW w:w="4639" w:type="dxa"/>
            <w:shd w:val="clear" w:color="auto" w:fill="auto"/>
          </w:tcPr>
          <w:p w14:paraId="59522D31"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Child has a disability/chronic illness</w:t>
            </w:r>
          </w:p>
        </w:tc>
        <w:tc>
          <w:tcPr>
            <w:tcW w:w="815" w:type="dxa"/>
            <w:shd w:val="clear" w:color="auto" w:fill="auto"/>
          </w:tcPr>
          <w:p w14:paraId="409C847F"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4F93D1DB"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28 (41.2)</w:t>
            </w:r>
          </w:p>
        </w:tc>
        <w:tc>
          <w:tcPr>
            <w:tcW w:w="997" w:type="dxa"/>
            <w:shd w:val="clear" w:color="auto" w:fill="auto"/>
          </w:tcPr>
          <w:p w14:paraId="74E6909A"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4C46602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44 (26.5)</w:t>
            </w:r>
          </w:p>
        </w:tc>
        <w:tc>
          <w:tcPr>
            <w:tcW w:w="0" w:type="auto"/>
          </w:tcPr>
          <w:p w14:paraId="42E47E7B"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0.027</w:t>
            </w:r>
          </w:p>
        </w:tc>
      </w:tr>
      <w:tr w:rsidR="003B25B4" w:rsidRPr="003B25B4" w14:paraId="38DB1569" w14:textId="77777777" w:rsidTr="002B16BC">
        <w:tc>
          <w:tcPr>
            <w:tcW w:w="4639" w:type="dxa"/>
            <w:shd w:val="clear" w:color="auto" w:fill="auto"/>
          </w:tcPr>
          <w:p w14:paraId="52DD1960" w14:textId="77777777" w:rsidR="0056587F" w:rsidRPr="003B25B4" w:rsidRDefault="0056587F" w:rsidP="002B16BC">
            <w:pPr>
              <w:spacing w:after="0" w:line="240" w:lineRule="auto"/>
              <w:contextualSpacing/>
              <w:rPr>
                <w:rFonts w:asciiTheme="majorHAnsi" w:eastAsia="Times New Roman" w:hAnsiTheme="majorHAnsi" w:cstheme="majorHAnsi"/>
                <w:i/>
                <w:color w:val="auto"/>
                <w:sz w:val="20"/>
                <w:szCs w:val="20"/>
              </w:rPr>
            </w:pPr>
            <w:r w:rsidRPr="003B25B4">
              <w:rPr>
                <w:rFonts w:asciiTheme="majorHAnsi" w:eastAsia="Times New Roman" w:hAnsiTheme="majorHAnsi" w:cstheme="majorHAnsi"/>
                <w:i/>
                <w:color w:val="auto"/>
                <w:sz w:val="20"/>
                <w:szCs w:val="20"/>
              </w:rPr>
              <w:t>Parenting</w:t>
            </w:r>
          </w:p>
        </w:tc>
        <w:tc>
          <w:tcPr>
            <w:tcW w:w="815" w:type="dxa"/>
            <w:shd w:val="clear" w:color="auto" w:fill="auto"/>
          </w:tcPr>
          <w:p w14:paraId="0723659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73FC68E1"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shd w:val="clear" w:color="auto" w:fill="auto"/>
          </w:tcPr>
          <w:p w14:paraId="35506D96"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6988D20E"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Pr>
          <w:p w14:paraId="40EF56A0"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r>
      <w:tr w:rsidR="003B25B4" w:rsidRPr="003B25B4" w14:paraId="25C4F222" w14:textId="77777777" w:rsidTr="002B16BC">
        <w:tc>
          <w:tcPr>
            <w:tcW w:w="4639" w:type="dxa"/>
            <w:shd w:val="clear" w:color="auto" w:fill="auto"/>
          </w:tcPr>
          <w:p w14:paraId="47D13C74"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Caregiver warmth</w:t>
            </w:r>
          </w:p>
        </w:tc>
        <w:tc>
          <w:tcPr>
            <w:tcW w:w="815" w:type="dxa"/>
            <w:shd w:val="clear" w:color="auto" w:fill="auto"/>
          </w:tcPr>
          <w:p w14:paraId="410909C7"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4.5 (1)</w:t>
            </w:r>
          </w:p>
        </w:tc>
        <w:tc>
          <w:tcPr>
            <w:tcW w:w="1030" w:type="dxa"/>
            <w:shd w:val="clear" w:color="auto" w:fill="auto"/>
          </w:tcPr>
          <w:p w14:paraId="12C8F6C1"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shd w:val="clear" w:color="auto" w:fill="auto"/>
          </w:tcPr>
          <w:p w14:paraId="42AF0D5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4.8 (1)</w:t>
            </w:r>
          </w:p>
        </w:tc>
        <w:tc>
          <w:tcPr>
            <w:tcW w:w="1109" w:type="dxa"/>
            <w:shd w:val="clear" w:color="auto" w:fill="auto"/>
          </w:tcPr>
          <w:p w14:paraId="509F005E"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Pr>
          <w:p w14:paraId="7EDE0078"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0.001</w:t>
            </w:r>
          </w:p>
        </w:tc>
      </w:tr>
      <w:tr w:rsidR="003B25B4" w:rsidRPr="003B25B4" w14:paraId="7210265E" w14:textId="77777777" w:rsidTr="002B16BC">
        <w:tc>
          <w:tcPr>
            <w:tcW w:w="4639" w:type="dxa"/>
            <w:shd w:val="clear" w:color="auto" w:fill="auto"/>
          </w:tcPr>
          <w:p w14:paraId="0F89C39E"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Inductive reasoning</w:t>
            </w:r>
          </w:p>
        </w:tc>
        <w:tc>
          <w:tcPr>
            <w:tcW w:w="815" w:type="dxa"/>
            <w:shd w:val="clear" w:color="auto" w:fill="auto"/>
          </w:tcPr>
          <w:p w14:paraId="33223FE5"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4.6 (1)</w:t>
            </w:r>
          </w:p>
        </w:tc>
        <w:tc>
          <w:tcPr>
            <w:tcW w:w="1030" w:type="dxa"/>
            <w:shd w:val="clear" w:color="auto" w:fill="auto"/>
          </w:tcPr>
          <w:p w14:paraId="43F9F036"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shd w:val="clear" w:color="auto" w:fill="auto"/>
          </w:tcPr>
          <w:p w14:paraId="66810E0C"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4.6 (1)</w:t>
            </w:r>
          </w:p>
        </w:tc>
        <w:tc>
          <w:tcPr>
            <w:tcW w:w="1109" w:type="dxa"/>
            <w:shd w:val="clear" w:color="auto" w:fill="auto"/>
          </w:tcPr>
          <w:p w14:paraId="0004D8A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Pr>
          <w:p w14:paraId="54F9110E"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0.798</w:t>
            </w:r>
          </w:p>
        </w:tc>
      </w:tr>
      <w:tr w:rsidR="003B25B4" w:rsidRPr="003B25B4" w14:paraId="12E9DCF5" w14:textId="77777777" w:rsidTr="002B16BC">
        <w:tc>
          <w:tcPr>
            <w:tcW w:w="4639" w:type="dxa"/>
            <w:shd w:val="clear" w:color="auto" w:fill="auto"/>
          </w:tcPr>
          <w:p w14:paraId="709CDB82"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Positive engagement in activities</w:t>
            </w:r>
          </w:p>
        </w:tc>
        <w:tc>
          <w:tcPr>
            <w:tcW w:w="815" w:type="dxa"/>
            <w:shd w:val="clear" w:color="auto" w:fill="auto"/>
          </w:tcPr>
          <w:p w14:paraId="4C9DF1B4"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strike/>
                <w:color w:val="auto"/>
                <w:sz w:val="20"/>
                <w:szCs w:val="20"/>
              </w:rPr>
            </w:pPr>
          </w:p>
        </w:tc>
        <w:tc>
          <w:tcPr>
            <w:tcW w:w="1030" w:type="dxa"/>
            <w:shd w:val="clear" w:color="auto" w:fill="auto"/>
          </w:tcPr>
          <w:p w14:paraId="624E5A62"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strike/>
                <w:color w:val="auto"/>
                <w:sz w:val="20"/>
                <w:szCs w:val="20"/>
              </w:rPr>
            </w:pPr>
            <w:r w:rsidRPr="003B25B4">
              <w:rPr>
                <w:rFonts w:asciiTheme="majorHAnsi" w:eastAsia="Times New Roman" w:hAnsiTheme="majorHAnsi" w:cstheme="majorHAnsi"/>
                <w:color w:val="auto"/>
                <w:sz w:val="20"/>
                <w:szCs w:val="20"/>
              </w:rPr>
              <w:t>43 (63.2)</w:t>
            </w:r>
          </w:p>
        </w:tc>
        <w:tc>
          <w:tcPr>
            <w:tcW w:w="997" w:type="dxa"/>
            <w:shd w:val="clear" w:color="auto" w:fill="auto"/>
          </w:tcPr>
          <w:p w14:paraId="72EE5331"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strike/>
                <w:color w:val="auto"/>
                <w:sz w:val="20"/>
                <w:szCs w:val="20"/>
              </w:rPr>
            </w:pPr>
          </w:p>
        </w:tc>
        <w:tc>
          <w:tcPr>
            <w:tcW w:w="1109" w:type="dxa"/>
            <w:shd w:val="clear" w:color="auto" w:fill="auto"/>
          </w:tcPr>
          <w:p w14:paraId="3BFA66BA"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strike/>
                <w:color w:val="auto"/>
                <w:sz w:val="20"/>
                <w:szCs w:val="20"/>
              </w:rPr>
            </w:pPr>
            <w:r w:rsidRPr="003B25B4">
              <w:rPr>
                <w:rFonts w:asciiTheme="majorHAnsi" w:eastAsia="Times New Roman" w:hAnsiTheme="majorHAnsi" w:cstheme="majorHAnsi"/>
                <w:color w:val="auto"/>
                <w:sz w:val="20"/>
                <w:szCs w:val="20"/>
              </w:rPr>
              <w:t>85 (51.2)</w:t>
            </w:r>
          </w:p>
        </w:tc>
        <w:tc>
          <w:tcPr>
            <w:tcW w:w="0" w:type="auto"/>
          </w:tcPr>
          <w:p w14:paraId="1043C504"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strike/>
                <w:color w:val="auto"/>
                <w:sz w:val="20"/>
                <w:szCs w:val="20"/>
              </w:rPr>
            </w:pPr>
            <w:r w:rsidRPr="003B25B4">
              <w:rPr>
                <w:rFonts w:asciiTheme="majorHAnsi" w:eastAsia="Times New Roman" w:hAnsiTheme="majorHAnsi" w:cstheme="majorHAnsi"/>
                <w:color w:val="auto"/>
                <w:sz w:val="20"/>
                <w:szCs w:val="20"/>
              </w:rPr>
              <w:t>0.093</w:t>
            </w:r>
          </w:p>
        </w:tc>
      </w:tr>
      <w:tr w:rsidR="003B25B4" w:rsidRPr="003B25B4" w14:paraId="5B1C5C21" w14:textId="77777777" w:rsidTr="002B16BC">
        <w:tc>
          <w:tcPr>
            <w:tcW w:w="4639" w:type="dxa"/>
            <w:shd w:val="clear" w:color="auto" w:fill="auto"/>
          </w:tcPr>
          <w:p w14:paraId="30CE66D1"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Confident in supporting child’s learning</w:t>
            </w:r>
          </w:p>
        </w:tc>
        <w:tc>
          <w:tcPr>
            <w:tcW w:w="815" w:type="dxa"/>
            <w:shd w:val="clear" w:color="auto" w:fill="auto"/>
          </w:tcPr>
          <w:p w14:paraId="794B2229"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526A6E9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25 (42.4)</w:t>
            </w:r>
          </w:p>
        </w:tc>
        <w:tc>
          <w:tcPr>
            <w:tcW w:w="997" w:type="dxa"/>
            <w:shd w:val="clear" w:color="auto" w:fill="auto"/>
          </w:tcPr>
          <w:p w14:paraId="58225048"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376EAC6E"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42 (29.6)</w:t>
            </w:r>
          </w:p>
        </w:tc>
        <w:tc>
          <w:tcPr>
            <w:tcW w:w="0" w:type="auto"/>
          </w:tcPr>
          <w:p w14:paraId="2BD9BC5F"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0.080</w:t>
            </w:r>
          </w:p>
        </w:tc>
      </w:tr>
      <w:tr w:rsidR="003B25B4" w:rsidRPr="003B25B4" w14:paraId="58423048" w14:textId="77777777" w:rsidTr="002B16BC">
        <w:tc>
          <w:tcPr>
            <w:tcW w:w="4639" w:type="dxa"/>
            <w:shd w:val="clear" w:color="auto" w:fill="auto"/>
          </w:tcPr>
          <w:p w14:paraId="6A075319" w14:textId="77777777" w:rsidR="0056587F" w:rsidRPr="003B25B4" w:rsidRDefault="0056587F" w:rsidP="002B16BC">
            <w:pPr>
              <w:spacing w:after="0" w:line="240" w:lineRule="auto"/>
              <w:contextualSpacing/>
              <w:rPr>
                <w:rFonts w:asciiTheme="majorHAnsi" w:eastAsia="Times New Roman" w:hAnsiTheme="majorHAnsi" w:cstheme="majorHAnsi"/>
                <w:i/>
                <w:color w:val="auto"/>
                <w:sz w:val="20"/>
                <w:szCs w:val="20"/>
              </w:rPr>
            </w:pPr>
            <w:r w:rsidRPr="003B25B4">
              <w:rPr>
                <w:rFonts w:asciiTheme="majorHAnsi" w:eastAsia="Times New Roman" w:hAnsiTheme="majorHAnsi" w:cstheme="majorHAnsi"/>
                <w:i/>
                <w:color w:val="auto"/>
                <w:sz w:val="20"/>
                <w:szCs w:val="20"/>
              </w:rPr>
              <w:t>Educational experiences</w:t>
            </w:r>
          </w:p>
        </w:tc>
        <w:tc>
          <w:tcPr>
            <w:tcW w:w="815" w:type="dxa"/>
            <w:shd w:val="clear" w:color="auto" w:fill="auto"/>
          </w:tcPr>
          <w:p w14:paraId="360BE29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01017688"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shd w:val="clear" w:color="auto" w:fill="auto"/>
          </w:tcPr>
          <w:p w14:paraId="302CFC8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48E16917"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Pr>
          <w:p w14:paraId="0A8981B8"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r>
      <w:tr w:rsidR="003B25B4" w:rsidRPr="003B25B4" w14:paraId="15693BC6" w14:textId="77777777" w:rsidTr="002B16BC">
        <w:tc>
          <w:tcPr>
            <w:tcW w:w="4639" w:type="dxa"/>
            <w:shd w:val="clear" w:color="auto" w:fill="auto"/>
          </w:tcPr>
          <w:p w14:paraId="7E431C16"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Child has behaviour problems at school</w:t>
            </w:r>
          </w:p>
        </w:tc>
        <w:tc>
          <w:tcPr>
            <w:tcW w:w="815" w:type="dxa"/>
            <w:shd w:val="clear" w:color="auto" w:fill="auto"/>
          </w:tcPr>
          <w:p w14:paraId="6F996157"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6A382F6E"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31 (50.8)</w:t>
            </w:r>
          </w:p>
        </w:tc>
        <w:tc>
          <w:tcPr>
            <w:tcW w:w="997" w:type="dxa"/>
            <w:shd w:val="clear" w:color="auto" w:fill="auto"/>
          </w:tcPr>
          <w:p w14:paraId="08806D4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41EDCA6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40 (26.5)</w:t>
            </w:r>
          </w:p>
        </w:tc>
        <w:tc>
          <w:tcPr>
            <w:tcW w:w="0" w:type="auto"/>
          </w:tcPr>
          <w:p w14:paraId="5A7A0045"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0.001</w:t>
            </w:r>
          </w:p>
        </w:tc>
      </w:tr>
      <w:tr w:rsidR="003B25B4" w:rsidRPr="003B25B4" w14:paraId="186EF313" w14:textId="77777777" w:rsidTr="002B16BC">
        <w:tc>
          <w:tcPr>
            <w:tcW w:w="4639" w:type="dxa"/>
            <w:shd w:val="clear" w:color="auto" w:fill="auto"/>
          </w:tcPr>
          <w:p w14:paraId="0126D334"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Child gets extra help from teachers or other school staff</w:t>
            </w:r>
          </w:p>
        </w:tc>
        <w:tc>
          <w:tcPr>
            <w:tcW w:w="815" w:type="dxa"/>
            <w:shd w:val="clear" w:color="auto" w:fill="auto"/>
          </w:tcPr>
          <w:p w14:paraId="4981352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7CE1DD88"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46 (67.6)</w:t>
            </w:r>
          </w:p>
        </w:tc>
        <w:tc>
          <w:tcPr>
            <w:tcW w:w="997" w:type="dxa"/>
            <w:shd w:val="clear" w:color="auto" w:fill="auto"/>
          </w:tcPr>
          <w:p w14:paraId="7FFC9C12"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18FC4D8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58 (35.4)</w:t>
            </w:r>
          </w:p>
        </w:tc>
        <w:tc>
          <w:tcPr>
            <w:tcW w:w="0" w:type="auto"/>
          </w:tcPr>
          <w:p w14:paraId="22364E84"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&lt;0.001</w:t>
            </w:r>
          </w:p>
        </w:tc>
      </w:tr>
      <w:tr w:rsidR="003B25B4" w:rsidRPr="003B25B4" w14:paraId="72F7FA5D" w14:textId="77777777" w:rsidTr="002B16BC">
        <w:tc>
          <w:tcPr>
            <w:tcW w:w="4639" w:type="dxa"/>
            <w:shd w:val="clear" w:color="auto" w:fill="auto"/>
          </w:tcPr>
          <w:p w14:paraId="736FE090"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Child has any SEN support in school (n=213</w:t>
            </w:r>
            <w:r w:rsidRPr="003B25B4">
              <w:rPr>
                <w:rFonts w:asciiTheme="majorHAnsi" w:eastAsia="Times New Roman" w:hAnsiTheme="majorHAnsi" w:cstheme="majorHAnsi"/>
                <w:color w:val="auto"/>
                <w:sz w:val="20"/>
                <w:szCs w:val="20"/>
                <w:vertAlign w:val="superscript"/>
              </w:rPr>
              <w:t>2</w:t>
            </w:r>
            <w:r w:rsidRPr="003B25B4">
              <w:rPr>
                <w:rFonts w:asciiTheme="majorHAnsi" w:eastAsia="Times New Roman" w:hAnsiTheme="majorHAnsi" w:cstheme="majorHAnsi"/>
                <w:color w:val="auto"/>
                <w:sz w:val="20"/>
                <w:szCs w:val="20"/>
              </w:rPr>
              <w:t>)</w:t>
            </w:r>
          </w:p>
        </w:tc>
        <w:tc>
          <w:tcPr>
            <w:tcW w:w="815" w:type="dxa"/>
            <w:shd w:val="clear" w:color="auto" w:fill="auto"/>
          </w:tcPr>
          <w:p w14:paraId="2606EB27"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7277EDF0"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30 (48.4)</w:t>
            </w:r>
          </w:p>
        </w:tc>
        <w:tc>
          <w:tcPr>
            <w:tcW w:w="997" w:type="dxa"/>
            <w:shd w:val="clear" w:color="auto" w:fill="auto"/>
          </w:tcPr>
          <w:p w14:paraId="7DF007EB"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7C6CCCC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52 (34.4)</w:t>
            </w:r>
          </w:p>
        </w:tc>
        <w:tc>
          <w:tcPr>
            <w:tcW w:w="0" w:type="auto"/>
          </w:tcPr>
          <w:p w14:paraId="74F8418F"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0.057</w:t>
            </w:r>
          </w:p>
        </w:tc>
      </w:tr>
      <w:tr w:rsidR="003B25B4" w:rsidRPr="003B25B4" w14:paraId="2A443EC8" w14:textId="77777777" w:rsidTr="002B16BC">
        <w:tc>
          <w:tcPr>
            <w:tcW w:w="4639" w:type="dxa"/>
            <w:shd w:val="clear" w:color="auto" w:fill="auto"/>
          </w:tcPr>
          <w:p w14:paraId="2E4CC5E3" w14:textId="77777777" w:rsidR="0056587F" w:rsidRPr="003B25B4" w:rsidRDefault="0056587F" w:rsidP="002B16BC">
            <w:pPr>
              <w:spacing w:after="0" w:line="240" w:lineRule="auto"/>
              <w:contextualSpacing/>
              <w:rPr>
                <w:rFonts w:asciiTheme="majorHAnsi" w:eastAsia="Times New Roman" w:hAnsiTheme="majorHAnsi" w:cstheme="majorHAnsi"/>
                <w:i/>
                <w:color w:val="auto"/>
                <w:sz w:val="20"/>
                <w:szCs w:val="20"/>
              </w:rPr>
            </w:pPr>
            <w:r w:rsidRPr="003B25B4">
              <w:rPr>
                <w:rFonts w:asciiTheme="majorHAnsi" w:eastAsia="Times New Roman" w:hAnsiTheme="majorHAnsi" w:cstheme="majorHAnsi"/>
                <w:i/>
                <w:color w:val="auto"/>
                <w:sz w:val="20"/>
                <w:szCs w:val="20"/>
              </w:rPr>
              <w:t>Child mental health problems</w:t>
            </w:r>
          </w:p>
        </w:tc>
        <w:tc>
          <w:tcPr>
            <w:tcW w:w="815" w:type="dxa"/>
            <w:shd w:val="clear" w:color="auto" w:fill="auto"/>
          </w:tcPr>
          <w:p w14:paraId="525051EE"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6E6407B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shd w:val="clear" w:color="auto" w:fill="auto"/>
          </w:tcPr>
          <w:p w14:paraId="0E8861FB"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212388B7"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Pr>
          <w:p w14:paraId="6B40A699"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r>
      <w:tr w:rsidR="003B25B4" w:rsidRPr="003B25B4" w14:paraId="2B03E0F9" w14:textId="77777777" w:rsidTr="002B16BC">
        <w:tc>
          <w:tcPr>
            <w:tcW w:w="4639" w:type="dxa"/>
            <w:shd w:val="clear" w:color="auto" w:fill="auto"/>
          </w:tcPr>
          <w:p w14:paraId="17295A99"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Emotional and behavioural problems likely (SDQ)</w:t>
            </w:r>
          </w:p>
        </w:tc>
        <w:tc>
          <w:tcPr>
            <w:tcW w:w="815" w:type="dxa"/>
            <w:shd w:val="clear" w:color="auto" w:fill="auto"/>
          </w:tcPr>
          <w:p w14:paraId="28854E30"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1D156088"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37 (54.4)</w:t>
            </w:r>
          </w:p>
        </w:tc>
        <w:tc>
          <w:tcPr>
            <w:tcW w:w="997" w:type="dxa"/>
            <w:shd w:val="clear" w:color="auto" w:fill="auto"/>
          </w:tcPr>
          <w:p w14:paraId="5824F3C2"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1CA835B7"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60 (36.1)</w:t>
            </w:r>
          </w:p>
        </w:tc>
        <w:tc>
          <w:tcPr>
            <w:tcW w:w="0" w:type="auto"/>
          </w:tcPr>
          <w:p w14:paraId="7C2177F5"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0.010</w:t>
            </w:r>
          </w:p>
        </w:tc>
      </w:tr>
      <w:tr w:rsidR="003B25B4" w:rsidRPr="003B25B4" w14:paraId="3B80CA98" w14:textId="77777777" w:rsidTr="002B16BC">
        <w:tc>
          <w:tcPr>
            <w:tcW w:w="4639" w:type="dxa"/>
            <w:shd w:val="clear" w:color="auto" w:fill="auto"/>
          </w:tcPr>
          <w:p w14:paraId="4EDA8ABF"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Attachment and relationship problems likely (RPQ)</w:t>
            </w:r>
          </w:p>
        </w:tc>
        <w:tc>
          <w:tcPr>
            <w:tcW w:w="815" w:type="dxa"/>
            <w:shd w:val="clear" w:color="auto" w:fill="auto"/>
          </w:tcPr>
          <w:p w14:paraId="31099682"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57DFB9E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23 (35.4)</w:t>
            </w:r>
          </w:p>
        </w:tc>
        <w:tc>
          <w:tcPr>
            <w:tcW w:w="997" w:type="dxa"/>
            <w:shd w:val="clear" w:color="auto" w:fill="auto"/>
          </w:tcPr>
          <w:p w14:paraId="3CEB304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25A8D6F6"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28 (17.7)</w:t>
            </w:r>
          </w:p>
        </w:tc>
        <w:tc>
          <w:tcPr>
            <w:tcW w:w="0" w:type="auto"/>
          </w:tcPr>
          <w:p w14:paraId="594B5EC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0.004</w:t>
            </w:r>
          </w:p>
        </w:tc>
      </w:tr>
      <w:tr w:rsidR="003B25B4" w:rsidRPr="003B25B4" w14:paraId="7750E435" w14:textId="77777777" w:rsidTr="002B16BC">
        <w:tc>
          <w:tcPr>
            <w:tcW w:w="4639" w:type="dxa"/>
            <w:shd w:val="clear" w:color="auto" w:fill="auto"/>
          </w:tcPr>
          <w:p w14:paraId="56E9072E" w14:textId="77777777" w:rsidR="0056587F" w:rsidRPr="003B25B4" w:rsidRDefault="0056587F" w:rsidP="002B16BC">
            <w:pPr>
              <w:spacing w:after="0" w:line="240" w:lineRule="auto"/>
              <w:contextualSpacing/>
              <w:rPr>
                <w:rFonts w:asciiTheme="majorHAnsi" w:eastAsia="Times New Roman" w:hAnsiTheme="majorHAnsi" w:cstheme="majorHAnsi"/>
                <w:i/>
                <w:color w:val="auto"/>
                <w:sz w:val="20"/>
                <w:szCs w:val="20"/>
              </w:rPr>
            </w:pPr>
            <w:r w:rsidRPr="003B25B4">
              <w:rPr>
                <w:rFonts w:asciiTheme="majorHAnsi" w:eastAsia="Times New Roman" w:hAnsiTheme="majorHAnsi" w:cstheme="majorHAnsi"/>
                <w:i/>
                <w:color w:val="auto"/>
                <w:sz w:val="20"/>
                <w:szCs w:val="20"/>
              </w:rPr>
              <w:t>Child welfare history</w:t>
            </w:r>
          </w:p>
        </w:tc>
        <w:tc>
          <w:tcPr>
            <w:tcW w:w="815" w:type="dxa"/>
            <w:shd w:val="clear" w:color="auto" w:fill="auto"/>
          </w:tcPr>
          <w:p w14:paraId="44C54102"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5E5BC6A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shd w:val="clear" w:color="auto" w:fill="auto"/>
          </w:tcPr>
          <w:p w14:paraId="01E03E0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12B91C3E"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Pr>
          <w:p w14:paraId="627D2DBF"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r>
      <w:tr w:rsidR="003B25B4" w:rsidRPr="003B25B4" w14:paraId="7193ACC2" w14:textId="77777777" w:rsidTr="002B16BC">
        <w:tc>
          <w:tcPr>
            <w:tcW w:w="4639" w:type="dxa"/>
            <w:shd w:val="clear" w:color="auto" w:fill="auto"/>
          </w:tcPr>
          <w:p w14:paraId="754FADB3" w14:textId="77777777" w:rsidR="0056587F" w:rsidRPr="003B25B4" w:rsidRDefault="0056587F" w:rsidP="002B16BC">
            <w:pPr>
              <w:spacing w:after="0" w:line="240" w:lineRule="auto"/>
              <w:contextualSpacing/>
              <w:rPr>
                <w:rFonts w:asciiTheme="majorHAnsi" w:eastAsia="Times New Roman" w:hAnsiTheme="majorHAnsi" w:cstheme="majorHAnsi"/>
                <w:i/>
                <w:color w:val="auto"/>
                <w:sz w:val="20"/>
                <w:szCs w:val="20"/>
              </w:rPr>
            </w:pPr>
            <w:r w:rsidRPr="003B25B4">
              <w:rPr>
                <w:rFonts w:asciiTheme="majorHAnsi" w:eastAsia="Times New Roman" w:hAnsiTheme="majorHAnsi" w:cstheme="majorHAnsi"/>
                <w:color w:val="auto"/>
                <w:sz w:val="20"/>
                <w:szCs w:val="20"/>
              </w:rPr>
              <w:t>Child age at first referral (months)</w:t>
            </w:r>
          </w:p>
        </w:tc>
        <w:tc>
          <w:tcPr>
            <w:tcW w:w="815" w:type="dxa"/>
            <w:shd w:val="clear" w:color="auto" w:fill="auto"/>
          </w:tcPr>
          <w:p w14:paraId="0CC7B45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5.5 (26)</w:t>
            </w:r>
          </w:p>
        </w:tc>
        <w:tc>
          <w:tcPr>
            <w:tcW w:w="1030" w:type="dxa"/>
            <w:shd w:val="clear" w:color="auto" w:fill="auto"/>
          </w:tcPr>
          <w:p w14:paraId="645D9736"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shd w:val="clear" w:color="auto" w:fill="auto"/>
          </w:tcPr>
          <w:p w14:paraId="757EE242"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12 (33)</w:t>
            </w:r>
          </w:p>
        </w:tc>
        <w:tc>
          <w:tcPr>
            <w:tcW w:w="1109" w:type="dxa"/>
            <w:shd w:val="clear" w:color="auto" w:fill="auto"/>
          </w:tcPr>
          <w:p w14:paraId="1FBAF08B"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Pr>
          <w:p w14:paraId="61AAD3FE"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0.092</w:t>
            </w:r>
          </w:p>
        </w:tc>
      </w:tr>
      <w:tr w:rsidR="003B25B4" w:rsidRPr="003B25B4" w14:paraId="62518B51" w14:textId="77777777" w:rsidTr="002B16BC">
        <w:tc>
          <w:tcPr>
            <w:tcW w:w="4639" w:type="dxa"/>
            <w:shd w:val="clear" w:color="auto" w:fill="auto"/>
          </w:tcPr>
          <w:p w14:paraId="4957877C" w14:textId="77777777" w:rsidR="0056587F" w:rsidRPr="003B25B4" w:rsidRDefault="0056587F" w:rsidP="002B16BC">
            <w:pPr>
              <w:spacing w:after="0" w:line="240" w:lineRule="auto"/>
              <w:contextualSpacing/>
              <w:rPr>
                <w:rFonts w:asciiTheme="majorHAnsi" w:eastAsia="Times New Roman" w:hAnsiTheme="majorHAnsi" w:cstheme="majorHAnsi"/>
                <w:i/>
                <w:color w:val="auto"/>
                <w:sz w:val="20"/>
                <w:szCs w:val="20"/>
              </w:rPr>
            </w:pPr>
            <w:r w:rsidRPr="003B25B4">
              <w:rPr>
                <w:rFonts w:asciiTheme="majorHAnsi" w:eastAsia="Times New Roman" w:hAnsiTheme="majorHAnsi" w:cstheme="majorHAnsi"/>
                <w:color w:val="auto"/>
                <w:sz w:val="20"/>
                <w:szCs w:val="20"/>
              </w:rPr>
              <w:t>Child age at first CPP or care entry (months)</w:t>
            </w:r>
          </w:p>
        </w:tc>
        <w:tc>
          <w:tcPr>
            <w:tcW w:w="815" w:type="dxa"/>
            <w:shd w:val="clear" w:color="auto" w:fill="auto"/>
          </w:tcPr>
          <w:p w14:paraId="3DF58760"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16 (35)</w:t>
            </w:r>
          </w:p>
        </w:tc>
        <w:tc>
          <w:tcPr>
            <w:tcW w:w="1030" w:type="dxa"/>
            <w:shd w:val="clear" w:color="auto" w:fill="auto"/>
          </w:tcPr>
          <w:p w14:paraId="0F5733DC"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shd w:val="clear" w:color="auto" w:fill="auto"/>
          </w:tcPr>
          <w:p w14:paraId="1F6D4B6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24 (41)</w:t>
            </w:r>
          </w:p>
        </w:tc>
        <w:tc>
          <w:tcPr>
            <w:tcW w:w="1109" w:type="dxa"/>
            <w:shd w:val="clear" w:color="auto" w:fill="auto"/>
          </w:tcPr>
          <w:p w14:paraId="3EF35988"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Pr>
          <w:p w14:paraId="18BE9472"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0.180</w:t>
            </w:r>
          </w:p>
        </w:tc>
      </w:tr>
      <w:tr w:rsidR="003B25B4" w:rsidRPr="003B25B4" w14:paraId="66446118" w14:textId="77777777" w:rsidTr="002B16BC">
        <w:tc>
          <w:tcPr>
            <w:tcW w:w="4639" w:type="dxa"/>
            <w:shd w:val="clear" w:color="auto" w:fill="auto"/>
          </w:tcPr>
          <w:p w14:paraId="6D5A7B37"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Total time in care (n=119</w:t>
            </w:r>
            <w:r w:rsidRPr="003B25B4">
              <w:rPr>
                <w:rFonts w:asciiTheme="majorHAnsi" w:eastAsia="Times New Roman" w:hAnsiTheme="majorHAnsi" w:cstheme="majorHAnsi"/>
                <w:color w:val="auto"/>
                <w:sz w:val="20"/>
                <w:szCs w:val="20"/>
                <w:vertAlign w:val="superscript"/>
              </w:rPr>
              <w:t>3</w:t>
            </w:r>
            <w:r w:rsidRPr="003B25B4">
              <w:rPr>
                <w:rFonts w:asciiTheme="majorHAnsi" w:eastAsia="Times New Roman" w:hAnsiTheme="majorHAnsi" w:cstheme="majorHAnsi"/>
                <w:color w:val="auto"/>
                <w:sz w:val="20"/>
                <w:szCs w:val="20"/>
              </w:rPr>
              <w:t>)</w:t>
            </w:r>
          </w:p>
        </w:tc>
        <w:tc>
          <w:tcPr>
            <w:tcW w:w="815" w:type="dxa"/>
            <w:shd w:val="clear" w:color="auto" w:fill="auto"/>
          </w:tcPr>
          <w:p w14:paraId="4335D030"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42 (37)</w:t>
            </w:r>
          </w:p>
        </w:tc>
        <w:tc>
          <w:tcPr>
            <w:tcW w:w="1030" w:type="dxa"/>
            <w:shd w:val="clear" w:color="auto" w:fill="auto"/>
          </w:tcPr>
          <w:p w14:paraId="028087C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shd w:val="clear" w:color="auto" w:fill="auto"/>
          </w:tcPr>
          <w:p w14:paraId="17E66618"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12 (22)</w:t>
            </w:r>
          </w:p>
        </w:tc>
        <w:tc>
          <w:tcPr>
            <w:tcW w:w="1109" w:type="dxa"/>
            <w:shd w:val="clear" w:color="auto" w:fill="auto"/>
          </w:tcPr>
          <w:p w14:paraId="7CE7570C"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Pr>
          <w:p w14:paraId="52035E45"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&lt;0.001</w:t>
            </w:r>
          </w:p>
        </w:tc>
      </w:tr>
      <w:tr w:rsidR="003B25B4" w:rsidRPr="003B25B4" w14:paraId="3EF72DDF" w14:textId="77777777" w:rsidTr="002B16BC">
        <w:tc>
          <w:tcPr>
            <w:tcW w:w="4639" w:type="dxa"/>
            <w:shd w:val="clear" w:color="auto" w:fill="auto"/>
          </w:tcPr>
          <w:p w14:paraId="684DC25D" w14:textId="77777777" w:rsidR="0056587F" w:rsidRPr="003B25B4" w:rsidRDefault="0056587F" w:rsidP="002B16BC">
            <w:pPr>
              <w:spacing w:after="0" w:line="240" w:lineRule="auto"/>
              <w:contextualSpacing/>
              <w:rPr>
                <w:rFonts w:asciiTheme="majorHAnsi" w:eastAsia="Times New Roman" w:hAnsiTheme="majorHAnsi" w:cstheme="majorHAnsi"/>
                <w:i/>
                <w:color w:val="auto"/>
                <w:sz w:val="20"/>
                <w:szCs w:val="20"/>
              </w:rPr>
            </w:pPr>
            <w:r w:rsidRPr="003B25B4">
              <w:rPr>
                <w:rFonts w:asciiTheme="majorHAnsi" w:eastAsia="Times New Roman" w:hAnsiTheme="majorHAnsi" w:cstheme="majorHAnsi"/>
                <w:i/>
                <w:color w:val="auto"/>
                <w:sz w:val="20"/>
                <w:szCs w:val="20"/>
              </w:rPr>
              <w:t>Child maltreatment</w:t>
            </w:r>
          </w:p>
        </w:tc>
        <w:tc>
          <w:tcPr>
            <w:tcW w:w="815" w:type="dxa"/>
            <w:shd w:val="clear" w:color="auto" w:fill="auto"/>
          </w:tcPr>
          <w:p w14:paraId="0A26522A"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7B2AC9B4"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shd w:val="clear" w:color="auto" w:fill="auto"/>
          </w:tcPr>
          <w:p w14:paraId="3389044A"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2A76552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Pr>
          <w:p w14:paraId="18ACF9C8"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r>
      <w:tr w:rsidR="003B25B4" w:rsidRPr="003B25B4" w14:paraId="22D83820" w14:textId="77777777" w:rsidTr="002B16BC">
        <w:tc>
          <w:tcPr>
            <w:tcW w:w="4639" w:type="dxa"/>
            <w:shd w:val="clear" w:color="auto" w:fill="auto"/>
          </w:tcPr>
          <w:p w14:paraId="2BA7910A"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Child has experienced maltreatment</w:t>
            </w:r>
          </w:p>
        </w:tc>
        <w:tc>
          <w:tcPr>
            <w:tcW w:w="815" w:type="dxa"/>
            <w:shd w:val="clear" w:color="auto" w:fill="auto"/>
          </w:tcPr>
          <w:p w14:paraId="5673FBFB"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3A96B3BC"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61 (89.7)</w:t>
            </w:r>
          </w:p>
        </w:tc>
        <w:tc>
          <w:tcPr>
            <w:tcW w:w="997" w:type="dxa"/>
            <w:shd w:val="clear" w:color="auto" w:fill="auto"/>
          </w:tcPr>
          <w:p w14:paraId="427A0E2F"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5F7F079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136 (81.9)</w:t>
            </w:r>
          </w:p>
        </w:tc>
        <w:tc>
          <w:tcPr>
            <w:tcW w:w="0" w:type="auto"/>
          </w:tcPr>
          <w:p w14:paraId="27527ED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0.139</w:t>
            </w:r>
          </w:p>
        </w:tc>
      </w:tr>
      <w:tr w:rsidR="003B25B4" w:rsidRPr="003B25B4" w14:paraId="71C1C546" w14:textId="77777777" w:rsidTr="002B16BC">
        <w:tc>
          <w:tcPr>
            <w:tcW w:w="4639" w:type="dxa"/>
            <w:shd w:val="clear" w:color="auto" w:fill="auto"/>
          </w:tcPr>
          <w:p w14:paraId="5BEDE470"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Child has experienced higher severity maltreatment (level 3-5)</w:t>
            </w:r>
          </w:p>
        </w:tc>
        <w:tc>
          <w:tcPr>
            <w:tcW w:w="815" w:type="dxa"/>
            <w:shd w:val="clear" w:color="auto" w:fill="auto"/>
          </w:tcPr>
          <w:p w14:paraId="50617B19"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46BC42D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57 (83.8)</w:t>
            </w:r>
          </w:p>
        </w:tc>
        <w:tc>
          <w:tcPr>
            <w:tcW w:w="997" w:type="dxa"/>
            <w:shd w:val="clear" w:color="auto" w:fill="auto"/>
          </w:tcPr>
          <w:p w14:paraId="3F5C833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5B22209B"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100 (60.2)</w:t>
            </w:r>
          </w:p>
        </w:tc>
        <w:tc>
          <w:tcPr>
            <w:tcW w:w="0" w:type="auto"/>
          </w:tcPr>
          <w:p w14:paraId="4749B56C"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&lt;0.001</w:t>
            </w:r>
          </w:p>
        </w:tc>
      </w:tr>
      <w:tr w:rsidR="003B25B4" w:rsidRPr="003B25B4" w14:paraId="5D92E8B2" w14:textId="77777777" w:rsidTr="002B16BC">
        <w:tc>
          <w:tcPr>
            <w:tcW w:w="4639" w:type="dxa"/>
            <w:shd w:val="clear" w:color="auto" w:fill="auto"/>
          </w:tcPr>
          <w:p w14:paraId="31BA14DA" w14:textId="77777777" w:rsidR="0056587F" w:rsidRPr="003B25B4" w:rsidRDefault="0056587F" w:rsidP="002B16BC">
            <w:pPr>
              <w:spacing w:after="0" w:line="240" w:lineRule="auto"/>
              <w:contextualSpacing/>
              <w:rPr>
                <w:rFonts w:asciiTheme="majorHAnsi" w:eastAsia="Times New Roman" w:hAnsiTheme="majorHAnsi" w:cstheme="majorHAnsi"/>
                <w:i/>
                <w:color w:val="auto"/>
                <w:sz w:val="20"/>
                <w:szCs w:val="20"/>
              </w:rPr>
            </w:pPr>
            <w:r w:rsidRPr="003B25B4">
              <w:rPr>
                <w:rFonts w:asciiTheme="majorHAnsi" w:eastAsia="Times New Roman" w:hAnsiTheme="majorHAnsi" w:cstheme="majorHAnsi"/>
                <w:i/>
                <w:color w:val="auto"/>
                <w:sz w:val="20"/>
                <w:szCs w:val="20"/>
              </w:rPr>
              <w:t>Parent problems</w:t>
            </w:r>
          </w:p>
        </w:tc>
        <w:tc>
          <w:tcPr>
            <w:tcW w:w="815" w:type="dxa"/>
            <w:shd w:val="clear" w:color="auto" w:fill="auto"/>
          </w:tcPr>
          <w:p w14:paraId="4ABEC3F0"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136FB8B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shd w:val="clear" w:color="auto" w:fill="auto"/>
          </w:tcPr>
          <w:p w14:paraId="400EE960"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171BE2FE"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Pr>
          <w:p w14:paraId="23DFD8F5"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r>
      <w:tr w:rsidR="003B25B4" w:rsidRPr="003B25B4" w14:paraId="7E029AE4" w14:textId="77777777" w:rsidTr="002B16BC">
        <w:tc>
          <w:tcPr>
            <w:tcW w:w="4639" w:type="dxa"/>
            <w:shd w:val="clear" w:color="auto" w:fill="auto"/>
          </w:tcPr>
          <w:p w14:paraId="67F5EF9F"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Concerns about parental physical illness/disability</w:t>
            </w:r>
          </w:p>
        </w:tc>
        <w:tc>
          <w:tcPr>
            <w:tcW w:w="815" w:type="dxa"/>
            <w:shd w:val="clear" w:color="auto" w:fill="auto"/>
          </w:tcPr>
          <w:p w14:paraId="60F6835F"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6C1AC0D4"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20 (29.4)</w:t>
            </w:r>
          </w:p>
        </w:tc>
        <w:tc>
          <w:tcPr>
            <w:tcW w:w="997" w:type="dxa"/>
            <w:shd w:val="clear" w:color="auto" w:fill="auto"/>
          </w:tcPr>
          <w:p w14:paraId="596485BE"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006BA644"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21 (12.7)</w:t>
            </w:r>
          </w:p>
        </w:tc>
        <w:tc>
          <w:tcPr>
            <w:tcW w:w="0" w:type="auto"/>
          </w:tcPr>
          <w:p w14:paraId="3CD622D2"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0.002</w:t>
            </w:r>
          </w:p>
        </w:tc>
      </w:tr>
      <w:tr w:rsidR="003B25B4" w:rsidRPr="003B25B4" w14:paraId="447E3956" w14:textId="77777777" w:rsidTr="002B16BC">
        <w:tc>
          <w:tcPr>
            <w:tcW w:w="4639" w:type="dxa"/>
            <w:shd w:val="clear" w:color="auto" w:fill="auto"/>
          </w:tcPr>
          <w:p w14:paraId="44FD28DE"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Concerns about parental drug misuse</w:t>
            </w:r>
          </w:p>
        </w:tc>
        <w:tc>
          <w:tcPr>
            <w:tcW w:w="815" w:type="dxa"/>
            <w:shd w:val="clear" w:color="auto" w:fill="auto"/>
          </w:tcPr>
          <w:p w14:paraId="3F15B938"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3F6F7AC0"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41 (60.3)</w:t>
            </w:r>
          </w:p>
        </w:tc>
        <w:tc>
          <w:tcPr>
            <w:tcW w:w="997" w:type="dxa"/>
            <w:shd w:val="clear" w:color="auto" w:fill="auto"/>
          </w:tcPr>
          <w:p w14:paraId="32C4F6AF"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493876BC"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55 (33.1)</w:t>
            </w:r>
          </w:p>
        </w:tc>
        <w:tc>
          <w:tcPr>
            <w:tcW w:w="0" w:type="auto"/>
          </w:tcPr>
          <w:p w14:paraId="162FD800"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&lt;0.001</w:t>
            </w:r>
          </w:p>
        </w:tc>
      </w:tr>
      <w:tr w:rsidR="003B25B4" w:rsidRPr="003B25B4" w14:paraId="6D085B2F" w14:textId="77777777" w:rsidTr="002B16BC">
        <w:tc>
          <w:tcPr>
            <w:tcW w:w="4639" w:type="dxa"/>
            <w:shd w:val="clear" w:color="auto" w:fill="auto"/>
          </w:tcPr>
          <w:p w14:paraId="396A8111"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Concerns about parental alcohol misuse</w:t>
            </w:r>
          </w:p>
        </w:tc>
        <w:tc>
          <w:tcPr>
            <w:tcW w:w="815" w:type="dxa"/>
            <w:shd w:val="clear" w:color="auto" w:fill="auto"/>
          </w:tcPr>
          <w:p w14:paraId="45E6476F"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2E4F5A7F"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40 (58.8)</w:t>
            </w:r>
          </w:p>
        </w:tc>
        <w:tc>
          <w:tcPr>
            <w:tcW w:w="997" w:type="dxa"/>
            <w:shd w:val="clear" w:color="auto" w:fill="auto"/>
          </w:tcPr>
          <w:p w14:paraId="354F8691"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46EA26A4"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53 (31.9)</w:t>
            </w:r>
          </w:p>
        </w:tc>
        <w:tc>
          <w:tcPr>
            <w:tcW w:w="0" w:type="auto"/>
          </w:tcPr>
          <w:p w14:paraId="1FD943B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&lt;0.001</w:t>
            </w:r>
          </w:p>
        </w:tc>
      </w:tr>
      <w:tr w:rsidR="003B25B4" w:rsidRPr="003B25B4" w14:paraId="73E6E5A4" w14:textId="77777777" w:rsidTr="002B16BC">
        <w:tc>
          <w:tcPr>
            <w:tcW w:w="4639" w:type="dxa"/>
            <w:shd w:val="clear" w:color="auto" w:fill="auto"/>
          </w:tcPr>
          <w:p w14:paraId="749F1CBF"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Concerns about domestic violence</w:t>
            </w:r>
          </w:p>
        </w:tc>
        <w:tc>
          <w:tcPr>
            <w:tcW w:w="815" w:type="dxa"/>
            <w:shd w:val="clear" w:color="auto" w:fill="auto"/>
          </w:tcPr>
          <w:p w14:paraId="171EC333"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12334017"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42 (61.8)</w:t>
            </w:r>
          </w:p>
        </w:tc>
        <w:tc>
          <w:tcPr>
            <w:tcW w:w="997" w:type="dxa"/>
            <w:shd w:val="clear" w:color="auto" w:fill="auto"/>
          </w:tcPr>
          <w:p w14:paraId="532E6D8C"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372D80BB"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95 (57.2)</w:t>
            </w:r>
          </w:p>
        </w:tc>
        <w:tc>
          <w:tcPr>
            <w:tcW w:w="0" w:type="auto"/>
          </w:tcPr>
          <w:p w14:paraId="67B05CD9"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0.523</w:t>
            </w:r>
          </w:p>
        </w:tc>
      </w:tr>
      <w:tr w:rsidR="003B25B4" w:rsidRPr="003B25B4" w14:paraId="1BE26B04" w14:textId="77777777" w:rsidTr="002B16BC">
        <w:tc>
          <w:tcPr>
            <w:tcW w:w="4639" w:type="dxa"/>
            <w:shd w:val="clear" w:color="auto" w:fill="auto"/>
          </w:tcPr>
          <w:p w14:paraId="7C04CB98"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Concerns about parental offending</w:t>
            </w:r>
          </w:p>
        </w:tc>
        <w:tc>
          <w:tcPr>
            <w:tcW w:w="815" w:type="dxa"/>
            <w:shd w:val="clear" w:color="auto" w:fill="auto"/>
          </w:tcPr>
          <w:p w14:paraId="5F0392B5"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030" w:type="dxa"/>
            <w:shd w:val="clear" w:color="auto" w:fill="auto"/>
          </w:tcPr>
          <w:p w14:paraId="272019C6"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20 (29.4)</w:t>
            </w:r>
          </w:p>
        </w:tc>
        <w:tc>
          <w:tcPr>
            <w:tcW w:w="997" w:type="dxa"/>
            <w:shd w:val="clear" w:color="auto" w:fill="auto"/>
          </w:tcPr>
          <w:p w14:paraId="1589899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1109" w:type="dxa"/>
            <w:shd w:val="clear" w:color="auto" w:fill="auto"/>
          </w:tcPr>
          <w:p w14:paraId="587106DA"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29 (17.5)</w:t>
            </w:r>
          </w:p>
        </w:tc>
        <w:tc>
          <w:tcPr>
            <w:tcW w:w="0" w:type="auto"/>
          </w:tcPr>
          <w:p w14:paraId="0320C997"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0.042</w:t>
            </w:r>
          </w:p>
        </w:tc>
      </w:tr>
      <w:tr w:rsidR="003B25B4" w:rsidRPr="003B25B4" w14:paraId="49A86282" w14:textId="77777777" w:rsidTr="002B16BC">
        <w:tc>
          <w:tcPr>
            <w:tcW w:w="4639" w:type="dxa"/>
            <w:shd w:val="clear" w:color="auto" w:fill="auto"/>
          </w:tcPr>
          <w:p w14:paraId="58304508" w14:textId="77777777" w:rsidR="0056587F" w:rsidRPr="003B25B4" w:rsidRDefault="0056587F" w:rsidP="002B16BC">
            <w:pPr>
              <w:spacing w:after="0" w:line="240" w:lineRule="auto"/>
              <w:contextualSpacing/>
              <w:rPr>
                <w:rFonts w:asciiTheme="majorHAnsi" w:eastAsia="Times New Roman" w:hAnsiTheme="majorHAnsi" w:cstheme="majorHAnsi"/>
                <w:i/>
                <w:color w:val="auto"/>
                <w:sz w:val="20"/>
                <w:szCs w:val="20"/>
              </w:rPr>
            </w:pPr>
            <w:r w:rsidRPr="003B25B4">
              <w:rPr>
                <w:rFonts w:asciiTheme="majorHAnsi" w:eastAsia="Times New Roman" w:hAnsiTheme="majorHAnsi" w:cstheme="majorHAnsi"/>
                <w:i/>
                <w:color w:val="auto"/>
                <w:sz w:val="20"/>
                <w:szCs w:val="20"/>
              </w:rPr>
              <w:t>Cumulative risk</w:t>
            </w:r>
          </w:p>
        </w:tc>
        <w:tc>
          <w:tcPr>
            <w:tcW w:w="815" w:type="dxa"/>
            <w:shd w:val="clear" w:color="auto" w:fill="auto"/>
          </w:tcPr>
          <w:p w14:paraId="4ED526D0"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i/>
                <w:color w:val="auto"/>
                <w:sz w:val="20"/>
                <w:szCs w:val="20"/>
              </w:rPr>
            </w:pPr>
          </w:p>
        </w:tc>
        <w:tc>
          <w:tcPr>
            <w:tcW w:w="1030" w:type="dxa"/>
            <w:shd w:val="clear" w:color="auto" w:fill="auto"/>
          </w:tcPr>
          <w:p w14:paraId="623ECA69"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i/>
                <w:color w:val="auto"/>
                <w:sz w:val="20"/>
                <w:szCs w:val="20"/>
              </w:rPr>
            </w:pPr>
          </w:p>
        </w:tc>
        <w:tc>
          <w:tcPr>
            <w:tcW w:w="997" w:type="dxa"/>
            <w:shd w:val="clear" w:color="auto" w:fill="auto"/>
          </w:tcPr>
          <w:p w14:paraId="1DE7F79C"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i/>
                <w:color w:val="auto"/>
                <w:sz w:val="20"/>
                <w:szCs w:val="20"/>
              </w:rPr>
            </w:pPr>
          </w:p>
        </w:tc>
        <w:tc>
          <w:tcPr>
            <w:tcW w:w="1109" w:type="dxa"/>
            <w:shd w:val="clear" w:color="auto" w:fill="auto"/>
          </w:tcPr>
          <w:p w14:paraId="6712F0DD"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i/>
                <w:color w:val="auto"/>
                <w:sz w:val="20"/>
                <w:szCs w:val="20"/>
              </w:rPr>
            </w:pPr>
          </w:p>
        </w:tc>
        <w:tc>
          <w:tcPr>
            <w:tcW w:w="0" w:type="auto"/>
          </w:tcPr>
          <w:p w14:paraId="5CAF3C47"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i/>
                <w:color w:val="auto"/>
                <w:sz w:val="20"/>
                <w:szCs w:val="20"/>
              </w:rPr>
            </w:pPr>
          </w:p>
        </w:tc>
      </w:tr>
      <w:tr w:rsidR="003B25B4" w:rsidRPr="003B25B4" w14:paraId="6ECB782A" w14:textId="77777777" w:rsidTr="002B16BC">
        <w:tc>
          <w:tcPr>
            <w:tcW w:w="4639" w:type="dxa"/>
            <w:tcBorders>
              <w:bottom w:val="single" w:sz="4" w:space="0" w:color="auto"/>
            </w:tcBorders>
            <w:shd w:val="clear" w:color="auto" w:fill="auto"/>
          </w:tcPr>
          <w:p w14:paraId="5BD7F296" w14:textId="77777777" w:rsidR="0056587F" w:rsidRPr="003B25B4" w:rsidRDefault="0056587F" w:rsidP="002B16BC">
            <w:pPr>
              <w:spacing w:after="0" w:line="240" w:lineRule="auto"/>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‘Cumulative risk’ score: Total number of maltreatment types and family problems</w:t>
            </w:r>
          </w:p>
        </w:tc>
        <w:tc>
          <w:tcPr>
            <w:tcW w:w="815" w:type="dxa"/>
            <w:tcBorders>
              <w:bottom w:val="single" w:sz="4" w:space="0" w:color="auto"/>
            </w:tcBorders>
            <w:shd w:val="clear" w:color="auto" w:fill="auto"/>
          </w:tcPr>
          <w:p w14:paraId="06824AC6"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7 (5)</w:t>
            </w:r>
          </w:p>
        </w:tc>
        <w:tc>
          <w:tcPr>
            <w:tcW w:w="1030" w:type="dxa"/>
            <w:tcBorders>
              <w:bottom w:val="single" w:sz="4" w:space="0" w:color="auto"/>
            </w:tcBorders>
            <w:shd w:val="clear" w:color="auto" w:fill="auto"/>
          </w:tcPr>
          <w:p w14:paraId="4F7B3F15"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997" w:type="dxa"/>
            <w:tcBorders>
              <w:bottom w:val="single" w:sz="4" w:space="0" w:color="auto"/>
            </w:tcBorders>
            <w:shd w:val="clear" w:color="auto" w:fill="auto"/>
          </w:tcPr>
          <w:p w14:paraId="462FE876"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5 (4)</w:t>
            </w:r>
          </w:p>
        </w:tc>
        <w:tc>
          <w:tcPr>
            <w:tcW w:w="1109" w:type="dxa"/>
            <w:tcBorders>
              <w:bottom w:val="single" w:sz="4" w:space="0" w:color="auto"/>
            </w:tcBorders>
            <w:shd w:val="clear" w:color="auto" w:fill="auto"/>
          </w:tcPr>
          <w:p w14:paraId="36F5DCEC"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p>
        </w:tc>
        <w:tc>
          <w:tcPr>
            <w:tcW w:w="0" w:type="auto"/>
            <w:tcBorders>
              <w:bottom w:val="single" w:sz="4" w:space="0" w:color="auto"/>
            </w:tcBorders>
          </w:tcPr>
          <w:p w14:paraId="11290C59" w14:textId="77777777" w:rsidR="0056587F" w:rsidRPr="003B25B4" w:rsidRDefault="0056587F" w:rsidP="002B16BC">
            <w:pPr>
              <w:spacing w:after="0" w:line="240" w:lineRule="auto"/>
              <w:ind w:right="60"/>
              <w:contextualSpacing/>
              <w:jc w:val="right"/>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rPr>
              <w:t>&lt;0.001</w:t>
            </w:r>
          </w:p>
        </w:tc>
      </w:tr>
    </w:tbl>
    <w:p w14:paraId="0ECDC831" w14:textId="77777777" w:rsidR="0056587F" w:rsidRPr="003B25B4" w:rsidRDefault="0056587F" w:rsidP="0056587F">
      <w:pPr>
        <w:spacing w:after="0"/>
        <w:contextualSpacing/>
        <w:rPr>
          <w:rFonts w:asciiTheme="majorHAnsi" w:eastAsia="Times New Roman" w:hAnsiTheme="majorHAnsi" w:cstheme="majorHAnsi"/>
          <w:color w:val="auto"/>
          <w:sz w:val="20"/>
          <w:szCs w:val="20"/>
        </w:rPr>
      </w:pPr>
      <w:proofErr w:type="gramStart"/>
      <w:r w:rsidRPr="003B25B4">
        <w:rPr>
          <w:rFonts w:asciiTheme="majorHAnsi" w:eastAsia="Times New Roman" w:hAnsiTheme="majorHAnsi" w:cstheme="majorHAnsi"/>
          <w:color w:val="auto"/>
          <w:sz w:val="20"/>
          <w:szCs w:val="20"/>
          <w:vertAlign w:val="superscript"/>
        </w:rPr>
        <w:t>1</w:t>
      </w:r>
      <w:r w:rsidRPr="003B25B4">
        <w:rPr>
          <w:rFonts w:asciiTheme="majorHAnsi" w:eastAsia="Times New Roman" w:hAnsiTheme="majorHAnsi" w:cstheme="majorHAnsi"/>
          <w:color w:val="auto"/>
          <w:sz w:val="20"/>
          <w:szCs w:val="20"/>
        </w:rPr>
        <w:t xml:space="preserve"> Information</w:t>
      </w:r>
      <w:proofErr w:type="gramEnd"/>
      <w:r w:rsidRPr="003B25B4">
        <w:rPr>
          <w:rFonts w:asciiTheme="majorHAnsi" w:eastAsia="Times New Roman" w:hAnsiTheme="majorHAnsi" w:cstheme="majorHAnsi"/>
          <w:color w:val="auto"/>
          <w:sz w:val="20"/>
          <w:szCs w:val="20"/>
        </w:rPr>
        <w:t xml:space="preserve"> on ethnicity was missing for 4 children.</w:t>
      </w:r>
    </w:p>
    <w:p w14:paraId="0785A6B1" w14:textId="77777777" w:rsidR="0056587F" w:rsidRPr="003B25B4" w:rsidRDefault="0056587F" w:rsidP="0056587F">
      <w:pPr>
        <w:spacing w:after="0"/>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vertAlign w:val="superscript"/>
        </w:rPr>
        <w:t>2</w:t>
      </w:r>
      <w:r w:rsidRPr="003B25B4">
        <w:rPr>
          <w:rFonts w:asciiTheme="majorHAnsi" w:eastAsia="Times New Roman" w:hAnsiTheme="majorHAnsi" w:cstheme="majorHAnsi"/>
          <w:color w:val="auto"/>
          <w:sz w:val="20"/>
          <w:szCs w:val="20"/>
        </w:rPr>
        <w:t xml:space="preserve"> This was computed using information from both caregivers and the NPD on whether the child received support with SEN in school.</w:t>
      </w:r>
    </w:p>
    <w:p w14:paraId="2D589231" w14:textId="77777777" w:rsidR="0056587F" w:rsidRPr="003B25B4" w:rsidRDefault="0056587F" w:rsidP="0056587F">
      <w:pPr>
        <w:spacing w:after="0"/>
        <w:contextualSpacing/>
        <w:rPr>
          <w:rFonts w:asciiTheme="majorHAnsi" w:eastAsia="Times New Roman" w:hAnsiTheme="majorHAnsi" w:cstheme="majorHAnsi"/>
          <w:color w:val="auto"/>
          <w:sz w:val="20"/>
          <w:szCs w:val="20"/>
        </w:rPr>
      </w:pPr>
      <w:r w:rsidRPr="003B25B4">
        <w:rPr>
          <w:rFonts w:asciiTheme="majorHAnsi" w:eastAsia="Times New Roman" w:hAnsiTheme="majorHAnsi" w:cstheme="majorHAnsi"/>
          <w:color w:val="auto"/>
          <w:sz w:val="20"/>
          <w:szCs w:val="20"/>
          <w:vertAlign w:val="superscript"/>
        </w:rPr>
        <w:t>3</w:t>
      </w:r>
      <w:r w:rsidRPr="003B25B4">
        <w:rPr>
          <w:rFonts w:asciiTheme="majorHAnsi" w:eastAsia="Times New Roman" w:hAnsiTheme="majorHAnsi" w:cstheme="majorHAnsi"/>
          <w:color w:val="auto"/>
          <w:sz w:val="20"/>
          <w:szCs w:val="20"/>
        </w:rPr>
        <w:t xml:space="preserve"> This was calculated just for those children who had ever been in care.</w:t>
      </w:r>
    </w:p>
    <w:p w14:paraId="5D2C7359" w14:textId="77777777" w:rsidR="003A4C3B" w:rsidRPr="003B25B4" w:rsidRDefault="003A4C3B" w:rsidP="00C30D0C">
      <w:pPr>
        <w:pStyle w:val="NoSpacing"/>
        <w:spacing w:after="120"/>
        <w:rPr>
          <w:color w:val="auto"/>
        </w:rPr>
      </w:pPr>
    </w:p>
    <w:p w14:paraId="4E181A85" w14:textId="71E64664" w:rsidR="0078639F" w:rsidRPr="003B25B4" w:rsidRDefault="0078639F" w:rsidP="00C30D0C">
      <w:pPr>
        <w:pStyle w:val="NoSpacing"/>
        <w:spacing w:after="120"/>
        <w:rPr>
          <w:color w:val="auto"/>
        </w:rPr>
      </w:pPr>
    </w:p>
    <w:p w14:paraId="03C8FC08" w14:textId="271AC0FC" w:rsidR="0056587F" w:rsidRPr="003B25B4" w:rsidRDefault="0056587F" w:rsidP="0056587F">
      <w:pPr>
        <w:pStyle w:val="tableheading"/>
        <w:rPr>
          <w:color w:val="auto"/>
        </w:rPr>
      </w:pPr>
      <w:r w:rsidRPr="003B25B4">
        <w:rPr>
          <w:color w:val="auto"/>
        </w:rPr>
        <w:lastRenderedPageBreak/>
        <w:t xml:space="preserve">Table </w:t>
      </w:r>
      <w:r w:rsidR="00B43B63" w:rsidRPr="003B25B4">
        <w:rPr>
          <w:color w:val="auto"/>
        </w:rPr>
        <w:t>2</w:t>
      </w:r>
      <w:r w:rsidRPr="003B25B4">
        <w:rPr>
          <w:color w:val="auto"/>
        </w:rPr>
        <w:t>: Multivariate logistic regression</w:t>
      </w:r>
      <w:r w:rsidR="00DC7464" w:rsidRPr="003B25B4">
        <w:rPr>
          <w:color w:val="auto"/>
        </w:rPr>
        <w:t xml:space="preserve"> -</w:t>
      </w:r>
      <w:r w:rsidRPr="003B25B4">
        <w:rPr>
          <w:color w:val="auto"/>
        </w:rPr>
        <w:t xml:space="preserve"> receptive vocabulary (</w:t>
      </w:r>
      <w:r w:rsidR="00EF5912" w:rsidRPr="003B25B4">
        <w:rPr>
          <w:color w:val="auto"/>
        </w:rPr>
        <w:t>BPVS-II</w:t>
      </w:r>
      <w:r w:rsidRPr="003B25B4">
        <w:rPr>
          <w:color w:val="auto"/>
        </w:rPr>
        <w:t>) (n=110)</w:t>
      </w:r>
    </w:p>
    <w:tbl>
      <w:tblPr>
        <w:tblStyle w:val="9"/>
        <w:tblW w:w="9016" w:type="dxa"/>
        <w:tblBorders>
          <w:top w:val="nil"/>
          <w:left w:val="nil"/>
          <w:bottom w:val="nil"/>
          <w:right w:val="nil"/>
          <w:insideH w:val="nil"/>
          <w:insideV w:val="nil"/>
        </w:tblBorders>
        <w:tblLayout w:type="fixed"/>
        <w:tblLook w:val="0400" w:firstRow="0" w:lastRow="0" w:firstColumn="0" w:lastColumn="0" w:noHBand="0" w:noVBand="1"/>
      </w:tblPr>
      <w:tblGrid>
        <w:gridCol w:w="5949"/>
        <w:gridCol w:w="2126"/>
        <w:gridCol w:w="941"/>
      </w:tblGrid>
      <w:tr w:rsidR="003B25B4" w:rsidRPr="003B25B4" w14:paraId="388C609F" w14:textId="77777777" w:rsidTr="002B16BC">
        <w:tc>
          <w:tcPr>
            <w:tcW w:w="5949" w:type="dxa"/>
            <w:tcBorders>
              <w:top w:val="single" w:sz="4" w:space="0" w:color="000000"/>
              <w:bottom w:val="single" w:sz="4" w:space="0" w:color="000000"/>
            </w:tcBorders>
          </w:tcPr>
          <w:p w14:paraId="50796FD5"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Factor</w:t>
            </w:r>
          </w:p>
        </w:tc>
        <w:tc>
          <w:tcPr>
            <w:tcW w:w="2126" w:type="dxa"/>
            <w:tcBorders>
              <w:top w:val="single" w:sz="4" w:space="0" w:color="000000"/>
              <w:bottom w:val="single" w:sz="4" w:space="0" w:color="000000"/>
            </w:tcBorders>
          </w:tcPr>
          <w:p w14:paraId="5DC42FAB"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AOR (95% CI)</w:t>
            </w:r>
          </w:p>
        </w:tc>
        <w:tc>
          <w:tcPr>
            <w:tcW w:w="941" w:type="dxa"/>
            <w:tcBorders>
              <w:top w:val="single" w:sz="4" w:space="0" w:color="000000"/>
              <w:bottom w:val="single" w:sz="4" w:space="0" w:color="000000"/>
            </w:tcBorders>
          </w:tcPr>
          <w:p w14:paraId="4A65A589" w14:textId="3700504A" w:rsidR="0056587F" w:rsidRPr="003B25B4" w:rsidRDefault="008A3034"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i/>
                <w:color w:val="auto"/>
                <w:sz w:val="20"/>
                <w:szCs w:val="20"/>
              </w:rPr>
              <w:t>p</w:t>
            </w:r>
          </w:p>
        </w:tc>
      </w:tr>
      <w:tr w:rsidR="003B25B4" w:rsidRPr="003B25B4" w14:paraId="591DD60F" w14:textId="77777777" w:rsidTr="002B16BC">
        <w:tc>
          <w:tcPr>
            <w:tcW w:w="5949" w:type="dxa"/>
            <w:tcBorders>
              <w:top w:val="single" w:sz="4" w:space="0" w:color="000000"/>
            </w:tcBorders>
          </w:tcPr>
          <w:p w14:paraId="7C638428"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Child status</w:t>
            </w:r>
          </w:p>
        </w:tc>
        <w:tc>
          <w:tcPr>
            <w:tcW w:w="2126" w:type="dxa"/>
            <w:tcBorders>
              <w:top w:val="single" w:sz="4" w:space="0" w:color="000000"/>
            </w:tcBorders>
          </w:tcPr>
          <w:p w14:paraId="10D1EEEA"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p>
        </w:tc>
        <w:tc>
          <w:tcPr>
            <w:tcW w:w="941" w:type="dxa"/>
            <w:tcBorders>
              <w:top w:val="single" w:sz="4" w:space="0" w:color="000000"/>
            </w:tcBorders>
          </w:tcPr>
          <w:p w14:paraId="60C74E90"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0.327</w:t>
            </w:r>
          </w:p>
        </w:tc>
      </w:tr>
      <w:tr w:rsidR="003B25B4" w:rsidRPr="003B25B4" w14:paraId="4C1634BA" w14:textId="77777777" w:rsidTr="002B16BC">
        <w:tc>
          <w:tcPr>
            <w:tcW w:w="5949" w:type="dxa"/>
          </w:tcPr>
          <w:p w14:paraId="68A9DEEE" w14:textId="2214F616" w:rsidR="0056587F" w:rsidRPr="003B25B4" w:rsidRDefault="00C62BBE" w:rsidP="002B16BC">
            <w:pPr>
              <w:spacing w:before="120" w:after="120"/>
              <w:ind w:firstLine="142"/>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szCs w:val="20"/>
              </w:rPr>
              <w:t>Care group</w:t>
            </w:r>
          </w:p>
        </w:tc>
        <w:tc>
          <w:tcPr>
            <w:tcW w:w="2126" w:type="dxa"/>
          </w:tcPr>
          <w:p w14:paraId="57DA365D"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1.703 (0.588, 4.937)</w:t>
            </w:r>
          </w:p>
        </w:tc>
        <w:tc>
          <w:tcPr>
            <w:tcW w:w="941" w:type="dxa"/>
          </w:tcPr>
          <w:p w14:paraId="696468D2"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p>
        </w:tc>
      </w:tr>
      <w:tr w:rsidR="003B25B4" w:rsidRPr="003B25B4" w14:paraId="408D92B5" w14:textId="77777777" w:rsidTr="002B16BC">
        <w:tc>
          <w:tcPr>
            <w:tcW w:w="5949" w:type="dxa"/>
          </w:tcPr>
          <w:p w14:paraId="0AF1A7C1" w14:textId="19315D3F" w:rsidR="0056587F" w:rsidRPr="003B25B4" w:rsidRDefault="00C62BBE" w:rsidP="002B16BC">
            <w:pPr>
              <w:spacing w:before="120" w:after="120"/>
              <w:ind w:firstLine="142"/>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szCs w:val="20"/>
              </w:rPr>
              <w:t>Home group</w:t>
            </w:r>
          </w:p>
        </w:tc>
        <w:tc>
          <w:tcPr>
            <w:tcW w:w="2126" w:type="dxa"/>
          </w:tcPr>
          <w:p w14:paraId="73BD44F7"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1.00</w:t>
            </w:r>
          </w:p>
        </w:tc>
        <w:tc>
          <w:tcPr>
            <w:tcW w:w="941" w:type="dxa"/>
          </w:tcPr>
          <w:p w14:paraId="3F0BBE3A"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p>
        </w:tc>
      </w:tr>
      <w:tr w:rsidR="003B25B4" w:rsidRPr="003B25B4" w14:paraId="51E98CC7" w14:textId="77777777" w:rsidTr="002B16BC">
        <w:tc>
          <w:tcPr>
            <w:tcW w:w="5949" w:type="dxa"/>
          </w:tcPr>
          <w:p w14:paraId="12420937"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Positive engagement in activities with child</w:t>
            </w:r>
          </w:p>
        </w:tc>
        <w:tc>
          <w:tcPr>
            <w:tcW w:w="2126" w:type="dxa"/>
          </w:tcPr>
          <w:p w14:paraId="0A684632"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1.727 (0.683, 4.368)</w:t>
            </w:r>
          </w:p>
        </w:tc>
        <w:tc>
          <w:tcPr>
            <w:tcW w:w="941" w:type="dxa"/>
          </w:tcPr>
          <w:p w14:paraId="5D599D04"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0.248</w:t>
            </w:r>
          </w:p>
        </w:tc>
      </w:tr>
      <w:tr w:rsidR="003B25B4" w:rsidRPr="003B25B4" w14:paraId="5A0E0A1B" w14:textId="77777777" w:rsidTr="002B16BC">
        <w:tc>
          <w:tcPr>
            <w:tcW w:w="5949" w:type="dxa"/>
          </w:tcPr>
          <w:p w14:paraId="07CA7E78"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Child does not have behaviour problems at school</w:t>
            </w:r>
          </w:p>
        </w:tc>
        <w:tc>
          <w:tcPr>
            <w:tcW w:w="2126" w:type="dxa"/>
          </w:tcPr>
          <w:p w14:paraId="7E6282B4"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3.288 (1.043, 10.361)</w:t>
            </w:r>
          </w:p>
        </w:tc>
        <w:tc>
          <w:tcPr>
            <w:tcW w:w="941" w:type="dxa"/>
          </w:tcPr>
          <w:p w14:paraId="243D2DAD"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0.042</w:t>
            </w:r>
          </w:p>
        </w:tc>
      </w:tr>
      <w:tr w:rsidR="003B25B4" w:rsidRPr="003B25B4" w14:paraId="2DA9B31E" w14:textId="77777777" w:rsidTr="002B16BC">
        <w:tc>
          <w:tcPr>
            <w:tcW w:w="5949" w:type="dxa"/>
          </w:tcPr>
          <w:p w14:paraId="67A699DA"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bookmarkStart w:id="0" w:name="_Hlk6831022"/>
            <w:r w:rsidRPr="003B25B4">
              <w:rPr>
                <w:rFonts w:asciiTheme="majorHAnsi" w:eastAsia="Times New Roman" w:hAnsiTheme="majorHAnsi" w:cstheme="majorHAnsi"/>
                <w:color w:val="auto"/>
                <w:sz w:val="20"/>
              </w:rPr>
              <w:t>Child does not get extra help from teachers or other school staff</w:t>
            </w:r>
          </w:p>
        </w:tc>
        <w:tc>
          <w:tcPr>
            <w:tcW w:w="2126" w:type="dxa"/>
          </w:tcPr>
          <w:p w14:paraId="7D693D8C"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1.397 (0.505, 3.865)</w:t>
            </w:r>
          </w:p>
        </w:tc>
        <w:tc>
          <w:tcPr>
            <w:tcW w:w="941" w:type="dxa"/>
          </w:tcPr>
          <w:p w14:paraId="496B1FA4"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0.520</w:t>
            </w:r>
          </w:p>
        </w:tc>
      </w:tr>
      <w:bookmarkEnd w:id="0"/>
      <w:tr w:rsidR="0056587F" w:rsidRPr="003B25B4" w14:paraId="6756AC56" w14:textId="77777777" w:rsidTr="002B16BC">
        <w:tc>
          <w:tcPr>
            <w:tcW w:w="5949" w:type="dxa"/>
            <w:tcBorders>
              <w:bottom w:val="single" w:sz="4" w:space="0" w:color="000000"/>
            </w:tcBorders>
          </w:tcPr>
          <w:p w14:paraId="624945E3"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Constant</w:t>
            </w:r>
          </w:p>
        </w:tc>
        <w:tc>
          <w:tcPr>
            <w:tcW w:w="2126" w:type="dxa"/>
            <w:tcBorders>
              <w:bottom w:val="single" w:sz="4" w:space="0" w:color="000000"/>
            </w:tcBorders>
          </w:tcPr>
          <w:p w14:paraId="300AF3F3"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0.071</w:t>
            </w:r>
          </w:p>
        </w:tc>
        <w:tc>
          <w:tcPr>
            <w:tcW w:w="941" w:type="dxa"/>
            <w:tcBorders>
              <w:bottom w:val="single" w:sz="4" w:space="0" w:color="000000"/>
            </w:tcBorders>
          </w:tcPr>
          <w:p w14:paraId="2F3D8CFE"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0.001</w:t>
            </w:r>
          </w:p>
        </w:tc>
      </w:tr>
    </w:tbl>
    <w:p w14:paraId="36F4CB76" w14:textId="77777777" w:rsidR="00D6197F" w:rsidRPr="003B25B4" w:rsidRDefault="00D6197F" w:rsidP="0056587F">
      <w:pPr>
        <w:pStyle w:val="NoSpacing"/>
        <w:rPr>
          <w:color w:val="auto"/>
        </w:rPr>
      </w:pPr>
    </w:p>
    <w:p w14:paraId="72EABC4C" w14:textId="24DA3982" w:rsidR="0056587F" w:rsidRPr="003B25B4" w:rsidRDefault="0056587F" w:rsidP="0056587F">
      <w:pPr>
        <w:pStyle w:val="tableheading"/>
        <w:rPr>
          <w:color w:val="auto"/>
        </w:rPr>
      </w:pPr>
      <w:r w:rsidRPr="003B25B4">
        <w:rPr>
          <w:color w:val="auto"/>
        </w:rPr>
        <w:t xml:space="preserve">Table </w:t>
      </w:r>
      <w:r w:rsidR="00B43B63" w:rsidRPr="003B25B4">
        <w:rPr>
          <w:color w:val="auto"/>
        </w:rPr>
        <w:t>3</w:t>
      </w:r>
      <w:r w:rsidRPr="003B25B4">
        <w:rPr>
          <w:color w:val="auto"/>
        </w:rPr>
        <w:t>: Multivariate logistic regression</w:t>
      </w:r>
      <w:r w:rsidR="00F729F6" w:rsidRPr="003B25B4">
        <w:rPr>
          <w:color w:val="auto"/>
        </w:rPr>
        <w:t xml:space="preserve"> -</w:t>
      </w:r>
      <w:r w:rsidRPr="003B25B4">
        <w:rPr>
          <w:color w:val="auto"/>
        </w:rPr>
        <w:t xml:space="preserve"> meeting expected levels of literacy (n=106)</w:t>
      </w:r>
    </w:p>
    <w:tbl>
      <w:tblPr>
        <w:tblStyle w:val="4"/>
        <w:tblW w:w="9016" w:type="dxa"/>
        <w:tblBorders>
          <w:top w:val="nil"/>
          <w:left w:val="nil"/>
          <w:bottom w:val="nil"/>
          <w:right w:val="nil"/>
          <w:insideH w:val="nil"/>
          <w:insideV w:val="nil"/>
        </w:tblBorders>
        <w:tblLayout w:type="fixed"/>
        <w:tblLook w:val="0400" w:firstRow="0" w:lastRow="0" w:firstColumn="0" w:lastColumn="0" w:noHBand="0" w:noVBand="1"/>
      </w:tblPr>
      <w:tblGrid>
        <w:gridCol w:w="5949"/>
        <w:gridCol w:w="2126"/>
        <w:gridCol w:w="941"/>
      </w:tblGrid>
      <w:tr w:rsidR="003B25B4" w:rsidRPr="003B25B4" w14:paraId="36D51E40" w14:textId="77777777" w:rsidTr="002B16BC">
        <w:tc>
          <w:tcPr>
            <w:tcW w:w="5949" w:type="dxa"/>
            <w:tcBorders>
              <w:top w:val="single" w:sz="4" w:space="0" w:color="000000"/>
              <w:bottom w:val="single" w:sz="4" w:space="0" w:color="000000"/>
            </w:tcBorders>
          </w:tcPr>
          <w:p w14:paraId="3246A792"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Factor</w:t>
            </w:r>
          </w:p>
        </w:tc>
        <w:tc>
          <w:tcPr>
            <w:tcW w:w="2126" w:type="dxa"/>
            <w:tcBorders>
              <w:top w:val="single" w:sz="4" w:space="0" w:color="000000"/>
              <w:bottom w:val="single" w:sz="4" w:space="0" w:color="000000"/>
            </w:tcBorders>
          </w:tcPr>
          <w:p w14:paraId="5B975E89"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AOR (95% CI)</w:t>
            </w:r>
          </w:p>
        </w:tc>
        <w:tc>
          <w:tcPr>
            <w:tcW w:w="941" w:type="dxa"/>
            <w:tcBorders>
              <w:top w:val="single" w:sz="4" w:space="0" w:color="000000"/>
              <w:bottom w:val="single" w:sz="4" w:space="0" w:color="000000"/>
            </w:tcBorders>
          </w:tcPr>
          <w:p w14:paraId="59128715" w14:textId="255A5F90" w:rsidR="0056587F" w:rsidRPr="003B25B4" w:rsidRDefault="008A3034"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i/>
                <w:color w:val="auto"/>
                <w:sz w:val="20"/>
                <w:szCs w:val="20"/>
              </w:rPr>
              <w:t>p</w:t>
            </w:r>
          </w:p>
        </w:tc>
      </w:tr>
      <w:tr w:rsidR="003B25B4" w:rsidRPr="003B25B4" w14:paraId="3C563C15" w14:textId="77777777" w:rsidTr="002B16BC">
        <w:tc>
          <w:tcPr>
            <w:tcW w:w="5949" w:type="dxa"/>
            <w:tcBorders>
              <w:top w:val="single" w:sz="4" w:space="0" w:color="000000"/>
            </w:tcBorders>
          </w:tcPr>
          <w:p w14:paraId="28F64D20"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Child status</w:t>
            </w:r>
          </w:p>
        </w:tc>
        <w:tc>
          <w:tcPr>
            <w:tcW w:w="2126" w:type="dxa"/>
            <w:tcBorders>
              <w:top w:val="single" w:sz="4" w:space="0" w:color="000000"/>
            </w:tcBorders>
          </w:tcPr>
          <w:p w14:paraId="0BF9903B"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p>
        </w:tc>
        <w:tc>
          <w:tcPr>
            <w:tcW w:w="941" w:type="dxa"/>
            <w:tcBorders>
              <w:top w:val="single" w:sz="4" w:space="0" w:color="000000"/>
            </w:tcBorders>
          </w:tcPr>
          <w:p w14:paraId="001EE57A"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0.512</w:t>
            </w:r>
          </w:p>
        </w:tc>
      </w:tr>
      <w:tr w:rsidR="003B25B4" w:rsidRPr="003B25B4" w14:paraId="2B2FFF87" w14:textId="77777777" w:rsidTr="002B16BC">
        <w:tc>
          <w:tcPr>
            <w:tcW w:w="5949" w:type="dxa"/>
          </w:tcPr>
          <w:p w14:paraId="534BC566" w14:textId="1710D462" w:rsidR="00C62BBE" w:rsidRPr="003B25B4" w:rsidRDefault="00C62BBE" w:rsidP="00C62BBE">
            <w:pPr>
              <w:spacing w:before="120" w:after="120"/>
              <w:ind w:firstLine="142"/>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szCs w:val="20"/>
              </w:rPr>
              <w:t>Care group</w:t>
            </w:r>
          </w:p>
        </w:tc>
        <w:tc>
          <w:tcPr>
            <w:tcW w:w="2126" w:type="dxa"/>
          </w:tcPr>
          <w:p w14:paraId="1CE0C521" w14:textId="77777777" w:rsidR="00C62BBE" w:rsidRPr="003B25B4" w:rsidRDefault="00C62BBE" w:rsidP="00C62BBE">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1.407 (0.507, 3.905)</w:t>
            </w:r>
          </w:p>
        </w:tc>
        <w:tc>
          <w:tcPr>
            <w:tcW w:w="941" w:type="dxa"/>
          </w:tcPr>
          <w:p w14:paraId="75F74C1E" w14:textId="77777777" w:rsidR="00C62BBE" w:rsidRPr="003B25B4" w:rsidRDefault="00C62BBE" w:rsidP="00C62BBE">
            <w:pPr>
              <w:spacing w:before="120" w:after="120"/>
              <w:contextualSpacing/>
              <w:rPr>
                <w:rFonts w:asciiTheme="majorHAnsi" w:eastAsia="Times New Roman" w:hAnsiTheme="majorHAnsi" w:cstheme="majorHAnsi"/>
                <w:color w:val="auto"/>
                <w:sz w:val="20"/>
              </w:rPr>
            </w:pPr>
          </w:p>
        </w:tc>
      </w:tr>
      <w:tr w:rsidR="003B25B4" w:rsidRPr="003B25B4" w14:paraId="19DE5D28" w14:textId="77777777" w:rsidTr="002B16BC">
        <w:tc>
          <w:tcPr>
            <w:tcW w:w="5949" w:type="dxa"/>
          </w:tcPr>
          <w:p w14:paraId="6B6AB5C8" w14:textId="7BB0687F" w:rsidR="00C62BBE" w:rsidRPr="003B25B4" w:rsidRDefault="00C62BBE" w:rsidP="00C62BBE">
            <w:pPr>
              <w:spacing w:before="120" w:after="120"/>
              <w:ind w:firstLine="142"/>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szCs w:val="20"/>
              </w:rPr>
              <w:t>Home group</w:t>
            </w:r>
          </w:p>
        </w:tc>
        <w:tc>
          <w:tcPr>
            <w:tcW w:w="2126" w:type="dxa"/>
          </w:tcPr>
          <w:p w14:paraId="77CCAE64" w14:textId="77777777" w:rsidR="00C62BBE" w:rsidRPr="003B25B4" w:rsidRDefault="00C62BBE" w:rsidP="00C62BBE">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1.00</w:t>
            </w:r>
          </w:p>
        </w:tc>
        <w:tc>
          <w:tcPr>
            <w:tcW w:w="941" w:type="dxa"/>
          </w:tcPr>
          <w:p w14:paraId="024B3289" w14:textId="77777777" w:rsidR="00C62BBE" w:rsidRPr="003B25B4" w:rsidRDefault="00C62BBE" w:rsidP="00C62BBE">
            <w:pPr>
              <w:spacing w:before="120" w:after="120"/>
              <w:contextualSpacing/>
              <w:rPr>
                <w:rFonts w:asciiTheme="majorHAnsi" w:eastAsia="Times New Roman" w:hAnsiTheme="majorHAnsi" w:cstheme="majorHAnsi"/>
                <w:color w:val="auto"/>
                <w:sz w:val="20"/>
              </w:rPr>
            </w:pPr>
          </w:p>
        </w:tc>
      </w:tr>
      <w:tr w:rsidR="003B25B4" w:rsidRPr="003B25B4" w14:paraId="5B9787B7" w14:textId="77777777" w:rsidTr="002B16BC">
        <w:tc>
          <w:tcPr>
            <w:tcW w:w="5949" w:type="dxa"/>
          </w:tcPr>
          <w:p w14:paraId="02A88188"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Child does not have SEN support in school</w:t>
            </w:r>
          </w:p>
        </w:tc>
        <w:tc>
          <w:tcPr>
            <w:tcW w:w="2126" w:type="dxa"/>
          </w:tcPr>
          <w:p w14:paraId="157DF927"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3.957 (1.656, 9.456)</w:t>
            </w:r>
          </w:p>
        </w:tc>
        <w:tc>
          <w:tcPr>
            <w:tcW w:w="941" w:type="dxa"/>
          </w:tcPr>
          <w:p w14:paraId="1CCC103C"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0.002</w:t>
            </w:r>
          </w:p>
        </w:tc>
      </w:tr>
      <w:tr w:rsidR="003B25B4" w:rsidRPr="003B25B4" w14:paraId="71D05CBA" w14:textId="77777777" w:rsidTr="002B16BC">
        <w:tc>
          <w:tcPr>
            <w:tcW w:w="5949" w:type="dxa"/>
          </w:tcPr>
          <w:p w14:paraId="5F3E60FA"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Child does not have behaviour problems at school</w:t>
            </w:r>
          </w:p>
        </w:tc>
        <w:tc>
          <w:tcPr>
            <w:tcW w:w="2126" w:type="dxa"/>
          </w:tcPr>
          <w:p w14:paraId="771B4D6E"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2.879 (1.101, 7.527)</w:t>
            </w:r>
          </w:p>
        </w:tc>
        <w:tc>
          <w:tcPr>
            <w:tcW w:w="941" w:type="dxa"/>
          </w:tcPr>
          <w:p w14:paraId="6D766367"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0.031</w:t>
            </w:r>
          </w:p>
        </w:tc>
      </w:tr>
      <w:tr w:rsidR="003B25B4" w:rsidRPr="003B25B4" w14:paraId="76C5BCE4" w14:textId="77777777" w:rsidTr="002B16BC">
        <w:tc>
          <w:tcPr>
            <w:tcW w:w="5949" w:type="dxa"/>
            <w:tcBorders>
              <w:bottom w:val="single" w:sz="4" w:space="0" w:color="000000"/>
            </w:tcBorders>
          </w:tcPr>
          <w:p w14:paraId="61824494"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Constant</w:t>
            </w:r>
          </w:p>
        </w:tc>
        <w:tc>
          <w:tcPr>
            <w:tcW w:w="2126" w:type="dxa"/>
            <w:tcBorders>
              <w:bottom w:val="single" w:sz="4" w:space="0" w:color="000000"/>
            </w:tcBorders>
          </w:tcPr>
          <w:p w14:paraId="5D8DC917"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0.384</w:t>
            </w:r>
          </w:p>
        </w:tc>
        <w:tc>
          <w:tcPr>
            <w:tcW w:w="941" w:type="dxa"/>
            <w:tcBorders>
              <w:bottom w:val="single" w:sz="4" w:space="0" w:color="000000"/>
            </w:tcBorders>
          </w:tcPr>
          <w:p w14:paraId="236863B4"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0.060</w:t>
            </w:r>
          </w:p>
        </w:tc>
      </w:tr>
    </w:tbl>
    <w:p w14:paraId="682E48AE" w14:textId="48291CC5" w:rsidR="00D6197F" w:rsidRPr="003B25B4" w:rsidRDefault="00D6197F" w:rsidP="00D6197F">
      <w:pPr>
        <w:rPr>
          <w:rFonts w:asciiTheme="majorHAnsi" w:eastAsia="Times New Roman" w:hAnsiTheme="majorHAnsi" w:cstheme="majorHAnsi"/>
          <w:color w:val="auto"/>
          <w:sz w:val="22"/>
        </w:rPr>
      </w:pPr>
      <w:r w:rsidRPr="003B25B4">
        <w:rPr>
          <w:rStyle w:val="FootnoteReference"/>
          <w:color w:val="auto"/>
          <w:sz w:val="22"/>
        </w:rPr>
        <w:footnoteRef/>
      </w:r>
      <w:r w:rsidRPr="003B25B4">
        <w:rPr>
          <w:color w:val="auto"/>
          <w:sz w:val="22"/>
        </w:rPr>
        <w:t xml:space="preserve"> </w:t>
      </w:r>
      <w:r w:rsidRPr="003B25B4">
        <w:rPr>
          <w:rFonts w:asciiTheme="majorHAnsi" w:eastAsia="Times New Roman" w:hAnsiTheme="majorHAnsi" w:cstheme="majorHAnsi"/>
          <w:color w:val="auto"/>
          <w:sz w:val="22"/>
        </w:rPr>
        <w:t>The child having a disability/chronic illness and receiving extra help from teachers or other school staff were not entered due to multicollinearity.</w:t>
      </w:r>
    </w:p>
    <w:p w14:paraId="4C4CD6CD" w14:textId="77777777" w:rsidR="00D6197F" w:rsidRPr="003B25B4" w:rsidRDefault="00D6197F" w:rsidP="0056587F">
      <w:pPr>
        <w:pStyle w:val="tableheading"/>
        <w:rPr>
          <w:color w:val="auto"/>
        </w:rPr>
      </w:pPr>
    </w:p>
    <w:p w14:paraId="65041790" w14:textId="1218341D" w:rsidR="0056587F" w:rsidRPr="003B25B4" w:rsidRDefault="0056587F" w:rsidP="0056587F">
      <w:pPr>
        <w:pStyle w:val="tableheading"/>
        <w:rPr>
          <w:color w:val="auto"/>
        </w:rPr>
      </w:pPr>
      <w:r w:rsidRPr="003B25B4">
        <w:rPr>
          <w:color w:val="auto"/>
        </w:rPr>
        <w:t xml:space="preserve">Table </w:t>
      </w:r>
      <w:r w:rsidR="00B43B63" w:rsidRPr="003B25B4">
        <w:rPr>
          <w:color w:val="auto"/>
        </w:rPr>
        <w:t>4</w:t>
      </w:r>
      <w:r w:rsidRPr="003B25B4">
        <w:rPr>
          <w:color w:val="auto"/>
        </w:rPr>
        <w:t>: Multivariate logistic regression</w:t>
      </w:r>
      <w:r w:rsidR="00F729F6" w:rsidRPr="003B25B4">
        <w:rPr>
          <w:color w:val="auto"/>
        </w:rPr>
        <w:t xml:space="preserve"> -</w:t>
      </w:r>
      <w:r w:rsidRPr="003B25B4">
        <w:rPr>
          <w:color w:val="auto"/>
        </w:rPr>
        <w:t xml:space="preserve"> meeting expected levels of communication (n=106)</w:t>
      </w:r>
    </w:p>
    <w:tbl>
      <w:tblPr>
        <w:tblStyle w:val="1"/>
        <w:tblW w:w="9016" w:type="dxa"/>
        <w:tblBorders>
          <w:top w:val="nil"/>
          <w:left w:val="nil"/>
          <w:bottom w:val="nil"/>
          <w:right w:val="nil"/>
          <w:insideH w:val="nil"/>
          <w:insideV w:val="nil"/>
        </w:tblBorders>
        <w:tblLayout w:type="fixed"/>
        <w:tblLook w:val="0400" w:firstRow="0" w:lastRow="0" w:firstColumn="0" w:lastColumn="0" w:noHBand="0" w:noVBand="1"/>
      </w:tblPr>
      <w:tblGrid>
        <w:gridCol w:w="5949"/>
        <w:gridCol w:w="2126"/>
        <w:gridCol w:w="941"/>
      </w:tblGrid>
      <w:tr w:rsidR="003B25B4" w:rsidRPr="003B25B4" w14:paraId="3358E63F" w14:textId="77777777" w:rsidTr="002B16BC">
        <w:tc>
          <w:tcPr>
            <w:tcW w:w="5949" w:type="dxa"/>
            <w:tcBorders>
              <w:top w:val="single" w:sz="4" w:space="0" w:color="000000"/>
              <w:bottom w:val="single" w:sz="4" w:space="0" w:color="000000"/>
            </w:tcBorders>
          </w:tcPr>
          <w:p w14:paraId="6908D0DE"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Factor</w:t>
            </w:r>
          </w:p>
        </w:tc>
        <w:tc>
          <w:tcPr>
            <w:tcW w:w="2126" w:type="dxa"/>
            <w:tcBorders>
              <w:top w:val="single" w:sz="4" w:space="0" w:color="000000"/>
              <w:bottom w:val="single" w:sz="4" w:space="0" w:color="000000"/>
            </w:tcBorders>
          </w:tcPr>
          <w:p w14:paraId="1241C186"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AOR (95% CI)</w:t>
            </w:r>
          </w:p>
        </w:tc>
        <w:tc>
          <w:tcPr>
            <w:tcW w:w="941" w:type="dxa"/>
            <w:tcBorders>
              <w:top w:val="single" w:sz="4" w:space="0" w:color="000000"/>
              <w:bottom w:val="single" w:sz="4" w:space="0" w:color="000000"/>
            </w:tcBorders>
          </w:tcPr>
          <w:p w14:paraId="7FA9E23B" w14:textId="4D87E7ED" w:rsidR="0056587F" w:rsidRPr="003B25B4" w:rsidRDefault="008A3034"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i/>
                <w:color w:val="auto"/>
                <w:sz w:val="20"/>
                <w:szCs w:val="20"/>
              </w:rPr>
              <w:t>p</w:t>
            </w:r>
          </w:p>
        </w:tc>
      </w:tr>
      <w:tr w:rsidR="003B25B4" w:rsidRPr="003B25B4" w14:paraId="36DC59A1" w14:textId="77777777" w:rsidTr="002B16BC">
        <w:tc>
          <w:tcPr>
            <w:tcW w:w="5949" w:type="dxa"/>
            <w:tcBorders>
              <w:top w:val="single" w:sz="4" w:space="0" w:color="000000"/>
            </w:tcBorders>
          </w:tcPr>
          <w:p w14:paraId="7485DF9E"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Child status</w:t>
            </w:r>
          </w:p>
        </w:tc>
        <w:tc>
          <w:tcPr>
            <w:tcW w:w="2126" w:type="dxa"/>
            <w:tcBorders>
              <w:top w:val="single" w:sz="4" w:space="0" w:color="000000"/>
            </w:tcBorders>
          </w:tcPr>
          <w:p w14:paraId="4EE09D58"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p>
        </w:tc>
        <w:tc>
          <w:tcPr>
            <w:tcW w:w="941" w:type="dxa"/>
            <w:tcBorders>
              <w:top w:val="single" w:sz="4" w:space="0" w:color="000000"/>
            </w:tcBorders>
          </w:tcPr>
          <w:p w14:paraId="1A011702"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0.326</w:t>
            </w:r>
          </w:p>
        </w:tc>
      </w:tr>
      <w:tr w:rsidR="003B25B4" w:rsidRPr="003B25B4" w14:paraId="683B0566" w14:textId="77777777" w:rsidTr="002B16BC">
        <w:tc>
          <w:tcPr>
            <w:tcW w:w="5949" w:type="dxa"/>
          </w:tcPr>
          <w:p w14:paraId="3E674E47" w14:textId="71D959F1" w:rsidR="00C62BBE" w:rsidRPr="003B25B4" w:rsidRDefault="00C62BBE" w:rsidP="00C62BBE">
            <w:pPr>
              <w:spacing w:before="120" w:after="120"/>
              <w:ind w:firstLine="142"/>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szCs w:val="20"/>
              </w:rPr>
              <w:t>Care group</w:t>
            </w:r>
          </w:p>
        </w:tc>
        <w:tc>
          <w:tcPr>
            <w:tcW w:w="2126" w:type="dxa"/>
          </w:tcPr>
          <w:p w14:paraId="1C32DD00" w14:textId="77777777" w:rsidR="00C62BBE" w:rsidRPr="003B25B4" w:rsidRDefault="00C62BBE" w:rsidP="00C62BBE">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0.588 (0.204, 1.696)</w:t>
            </w:r>
          </w:p>
        </w:tc>
        <w:tc>
          <w:tcPr>
            <w:tcW w:w="941" w:type="dxa"/>
          </w:tcPr>
          <w:p w14:paraId="66550F5B" w14:textId="77777777" w:rsidR="00C62BBE" w:rsidRPr="003B25B4" w:rsidRDefault="00C62BBE" w:rsidP="00C62BBE">
            <w:pPr>
              <w:spacing w:before="120" w:after="120"/>
              <w:contextualSpacing/>
              <w:rPr>
                <w:rFonts w:asciiTheme="majorHAnsi" w:eastAsia="Times New Roman" w:hAnsiTheme="majorHAnsi" w:cstheme="majorHAnsi"/>
                <w:color w:val="auto"/>
                <w:sz w:val="20"/>
              </w:rPr>
            </w:pPr>
          </w:p>
        </w:tc>
      </w:tr>
      <w:tr w:rsidR="003B25B4" w:rsidRPr="003B25B4" w14:paraId="5D09265F" w14:textId="77777777" w:rsidTr="002B16BC">
        <w:tc>
          <w:tcPr>
            <w:tcW w:w="5949" w:type="dxa"/>
          </w:tcPr>
          <w:p w14:paraId="3B4B171C" w14:textId="3A5C7381" w:rsidR="00C62BBE" w:rsidRPr="003B25B4" w:rsidRDefault="00C62BBE" w:rsidP="00C62BBE">
            <w:pPr>
              <w:spacing w:before="120" w:after="120"/>
              <w:ind w:firstLine="142"/>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szCs w:val="20"/>
              </w:rPr>
              <w:t>Home group</w:t>
            </w:r>
          </w:p>
        </w:tc>
        <w:tc>
          <w:tcPr>
            <w:tcW w:w="2126" w:type="dxa"/>
          </w:tcPr>
          <w:p w14:paraId="4AC26D14" w14:textId="77777777" w:rsidR="00C62BBE" w:rsidRPr="003B25B4" w:rsidRDefault="00C62BBE" w:rsidP="00C62BBE">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1.00</w:t>
            </w:r>
          </w:p>
        </w:tc>
        <w:tc>
          <w:tcPr>
            <w:tcW w:w="941" w:type="dxa"/>
          </w:tcPr>
          <w:p w14:paraId="1FDF854A" w14:textId="77777777" w:rsidR="00C62BBE" w:rsidRPr="003B25B4" w:rsidRDefault="00C62BBE" w:rsidP="00C62BBE">
            <w:pPr>
              <w:spacing w:before="120" w:after="120"/>
              <w:contextualSpacing/>
              <w:rPr>
                <w:rFonts w:asciiTheme="majorHAnsi" w:eastAsia="Times New Roman" w:hAnsiTheme="majorHAnsi" w:cstheme="majorHAnsi"/>
                <w:color w:val="auto"/>
                <w:sz w:val="20"/>
              </w:rPr>
            </w:pPr>
          </w:p>
        </w:tc>
      </w:tr>
      <w:tr w:rsidR="003B25B4" w:rsidRPr="003B25B4" w14:paraId="46A1540D" w14:textId="77777777" w:rsidTr="002B16BC">
        <w:tc>
          <w:tcPr>
            <w:tcW w:w="5949" w:type="dxa"/>
          </w:tcPr>
          <w:p w14:paraId="4311F715"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 xml:space="preserve">Child does not have SEN support in school </w:t>
            </w:r>
          </w:p>
        </w:tc>
        <w:tc>
          <w:tcPr>
            <w:tcW w:w="2126" w:type="dxa"/>
          </w:tcPr>
          <w:p w14:paraId="2340C20A"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5.750 (2.268, 14.578)</w:t>
            </w:r>
          </w:p>
        </w:tc>
        <w:tc>
          <w:tcPr>
            <w:tcW w:w="941" w:type="dxa"/>
          </w:tcPr>
          <w:p w14:paraId="0660B235"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&lt;0.001</w:t>
            </w:r>
          </w:p>
        </w:tc>
      </w:tr>
      <w:tr w:rsidR="003B25B4" w:rsidRPr="003B25B4" w14:paraId="442E8D91" w14:textId="77777777" w:rsidTr="002B16BC">
        <w:tc>
          <w:tcPr>
            <w:tcW w:w="5949" w:type="dxa"/>
          </w:tcPr>
          <w:p w14:paraId="3622446D"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Child does not have behaviour problems at school</w:t>
            </w:r>
          </w:p>
        </w:tc>
        <w:tc>
          <w:tcPr>
            <w:tcW w:w="2126" w:type="dxa"/>
          </w:tcPr>
          <w:p w14:paraId="5BA7CAEF"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1.709 (0.614, 4.753)</w:t>
            </w:r>
          </w:p>
        </w:tc>
        <w:tc>
          <w:tcPr>
            <w:tcW w:w="941" w:type="dxa"/>
          </w:tcPr>
          <w:p w14:paraId="4F211BA6"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0.305</w:t>
            </w:r>
          </w:p>
        </w:tc>
      </w:tr>
      <w:tr w:rsidR="003B25B4" w:rsidRPr="003B25B4" w14:paraId="39B1CBAD" w14:textId="77777777" w:rsidTr="002B16BC">
        <w:tc>
          <w:tcPr>
            <w:tcW w:w="5949" w:type="dxa"/>
          </w:tcPr>
          <w:p w14:paraId="48F9BA7C"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Positive engagement in activities with child</w:t>
            </w:r>
          </w:p>
        </w:tc>
        <w:tc>
          <w:tcPr>
            <w:tcW w:w="2126" w:type="dxa"/>
          </w:tcPr>
          <w:p w14:paraId="2F73F37A"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2.384 (0.929, 6.120)</w:t>
            </w:r>
          </w:p>
        </w:tc>
        <w:tc>
          <w:tcPr>
            <w:tcW w:w="941" w:type="dxa"/>
          </w:tcPr>
          <w:p w14:paraId="0E504D4A"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0.071</w:t>
            </w:r>
          </w:p>
        </w:tc>
      </w:tr>
      <w:tr w:rsidR="003B25B4" w:rsidRPr="003B25B4" w14:paraId="594C32C4" w14:textId="77777777" w:rsidTr="002B16BC">
        <w:tc>
          <w:tcPr>
            <w:tcW w:w="5949" w:type="dxa"/>
            <w:tcBorders>
              <w:bottom w:val="single" w:sz="4" w:space="0" w:color="000000"/>
            </w:tcBorders>
          </w:tcPr>
          <w:p w14:paraId="74DF83BC"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Constant</w:t>
            </w:r>
          </w:p>
        </w:tc>
        <w:tc>
          <w:tcPr>
            <w:tcW w:w="2126" w:type="dxa"/>
            <w:tcBorders>
              <w:bottom w:val="single" w:sz="4" w:space="0" w:color="000000"/>
            </w:tcBorders>
          </w:tcPr>
          <w:p w14:paraId="3DCDC5F9"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0.387</w:t>
            </w:r>
          </w:p>
        </w:tc>
        <w:tc>
          <w:tcPr>
            <w:tcW w:w="941" w:type="dxa"/>
            <w:tcBorders>
              <w:bottom w:val="single" w:sz="4" w:space="0" w:color="000000"/>
            </w:tcBorders>
          </w:tcPr>
          <w:p w14:paraId="1A30B2E8" w14:textId="77777777" w:rsidR="0056587F" w:rsidRPr="003B25B4" w:rsidRDefault="0056587F" w:rsidP="002B16BC">
            <w:pPr>
              <w:spacing w:before="120" w:after="120"/>
              <w:contextualSpacing/>
              <w:rPr>
                <w:rFonts w:asciiTheme="majorHAnsi" w:eastAsia="Times New Roman" w:hAnsiTheme="majorHAnsi" w:cstheme="majorHAnsi"/>
                <w:color w:val="auto"/>
                <w:sz w:val="20"/>
              </w:rPr>
            </w:pPr>
            <w:r w:rsidRPr="003B25B4">
              <w:rPr>
                <w:rFonts w:asciiTheme="majorHAnsi" w:eastAsia="Times New Roman" w:hAnsiTheme="majorHAnsi" w:cstheme="majorHAnsi"/>
                <w:color w:val="auto"/>
                <w:sz w:val="20"/>
              </w:rPr>
              <w:t>0.088</w:t>
            </w:r>
          </w:p>
        </w:tc>
      </w:tr>
    </w:tbl>
    <w:p w14:paraId="2A276822" w14:textId="4F10961B" w:rsidR="005244A9" w:rsidRDefault="00D6197F" w:rsidP="008E6711">
      <w:pPr>
        <w:rPr>
          <w:rFonts w:asciiTheme="majorHAnsi" w:eastAsia="Times New Roman" w:hAnsiTheme="majorHAnsi" w:cstheme="majorHAnsi"/>
          <w:color w:val="auto"/>
          <w:sz w:val="22"/>
        </w:rPr>
      </w:pPr>
      <w:r w:rsidRPr="003B25B4">
        <w:rPr>
          <w:rStyle w:val="FootnoteReference"/>
          <w:color w:val="auto"/>
          <w:sz w:val="22"/>
        </w:rPr>
        <w:footnoteRef/>
      </w:r>
      <w:r w:rsidRPr="003B25B4">
        <w:rPr>
          <w:color w:val="auto"/>
          <w:sz w:val="22"/>
        </w:rPr>
        <w:t xml:space="preserve"> </w:t>
      </w:r>
      <w:r w:rsidRPr="003B25B4">
        <w:rPr>
          <w:rFonts w:asciiTheme="majorHAnsi" w:eastAsia="Times New Roman" w:hAnsiTheme="majorHAnsi" w:cstheme="majorHAnsi"/>
          <w:color w:val="auto"/>
          <w:sz w:val="22"/>
        </w:rPr>
        <w:t>The child having a disability/chronic illness and receiving extra help from teachers or other school staff were not entered due to multicollinearity.</w:t>
      </w:r>
    </w:p>
    <w:p w14:paraId="4A5B5D47" w14:textId="77777777" w:rsidR="005244A9" w:rsidRDefault="005244A9">
      <w:pPr>
        <w:rPr>
          <w:rFonts w:asciiTheme="majorHAnsi" w:eastAsia="Times New Roman" w:hAnsiTheme="majorHAnsi" w:cstheme="majorHAnsi"/>
          <w:color w:val="auto"/>
          <w:sz w:val="22"/>
        </w:rPr>
      </w:pPr>
      <w:r>
        <w:rPr>
          <w:rFonts w:asciiTheme="majorHAnsi" w:eastAsia="Times New Roman" w:hAnsiTheme="majorHAnsi" w:cstheme="majorHAnsi"/>
          <w:color w:val="auto"/>
          <w:sz w:val="22"/>
        </w:rPr>
        <w:br w:type="page"/>
      </w:r>
    </w:p>
    <w:p w14:paraId="50CC777B" w14:textId="1E5A9A35" w:rsidR="0078639F" w:rsidRPr="003B25B4" w:rsidRDefault="0032408D" w:rsidP="008E6711">
      <w:pPr>
        <w:rPr>
          <w:rFonts w:asciiTheme="majorHAnsi" w:eastAsia="Times New Roman" w:hAnsiTheme="majorHAnsi" w:cstheme="majorHAnsi"/>
          <w:color w:val="auto"/>
          <w:sz w:val="22"/>
        </w:rPr>
      </w:pPr>
      <w:r>
        <w:rPr>
          <w:rFonts w:asciiTheme="majorHAnsi" w:eastAsia="Times New Roman" w:hAnsiTheme="majorHAnsi" w:cstheme="majorHAnsi"/>
          <w:noProof/>
          <w:color w:val="auto"/>
          <w:sz w:val="22"/>
        </w:rPr>
        <w:lastRenderedPageBreak/>
        <w:drawing>
          <wp:inline distT="0" distB="0" distL="0" distR="0" wp14:anchorId="48CFC1BB" wp14:editId="1E683233">
            <wp:extent cx="3006725" cy="4630420"/>
            <wp:effectExtent l="0" t="0" r="3175" b="0"/>
            <wp:docPr id="1" name="Picture 1" descr="C:\Users\dmh501\Documents\FoC\Final submitted\Figure 1.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h501\Documents\FoC\Final submitted\Figure 1.tif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06725" cy="4630420"/>
                    </a:xfrm>
                    <a:prstGeom prst="rect">
                      <a:avLst/>
                    </a:prstGeom>
                    <a:noFill/>
                    <a:ln>
                      <a:noFill/>
                    </a:ln>
                  </pic:spPr>
                </pic:pic>
              </a:graphicData>
            </a:graphic>
          </wp:inline>
        </w:drawing>
      </w:r>
      <w:bookmarkStart w:id="1" w:name="_GoBack"/>
      <w:bookmarkEnd w:id="1"/>
    </w:p>
    <w:sectPr w:rsidR="0078639F" w:rsidRPr="003B25B4" w:rsidSect="00C8612C">
      <w:pgSz w:w="11906" w:h="16838"/>
      <w:pgMar w:top="1440" w:right="1440" w:bottom="1440" w:left="1440"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AA4152" w14:textId="77777777" w:rsidR="00524E03" w:rsidRDefault="00524E03">
      <w:pPr>
        <w:spacing w:after="0" w:line="240" w:lineRule="auto"/>
      </w:pPr>
      <w:r>
        <w:separator/>
      </w:r>
    </w:p>
  </w:endnote>
  <w:endnote w:type="continuationSeparator" w:id="0">
    <w:p w14:paraId="477E5700" w14:textId="77777777" w:rsidR="00524E03" w:rsidRDefault="00524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ubai">
    <w:charset w:val="00"/>
    <w:family w:val="swiss"/>
    <w:pitch w:val="variable"/>
    <w:sig w:usb0="80002067"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23ACB5" w14:textId="21543FD6" w:rsidR="00BD5D1D" w:rsidRDefault="00BD5D1D">
    <w:pPr>
      <w:tabs>
        <w:tab w:val="center" w:pos="4513"/>
        <w:tab w:val="right" w:pos="9026"/>
      </w:tabs>
      <w:spacing w:after="0" w:line="240" w:lineRule="auto"/>
      <w:jc w:val="center"/>
    </w:pPr>
    <w:r>
      <w:fldChar w:fldCharType="begin"/>
    </w:r>
    <w:r>
      <w:instrText>PAGE</w:instrText>
    </w:r>
    <w:r>
      <w:fldChar w:fldCharType="separate"/>
    </w:r>
    <w:r w:rsidR="0032408D">
      <w:rPr>
        <w:noProof/>
      </w:rPr>
      <w:t>1</w:t>
    </w:r>
    <w:r>
      <w:fldChar w:fldCharType="end"/>
    </w:r>
  </w:p>
  <w:p w14:paraId="12A558AC" w14:textId="77777777" w:rsidR="00BD5D1D" w:rsidRDefault="00BD5D1D">
    <w:pPr>
      <w:tabs>
        <w:tab w:val="center" w:pos="4513"/>
        <w:tab w:val="right" w:pos="9026"/>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4F2870" w14:textId="77777777" w:rsidR="00524E03" w:rsidRDefault="00524E03">
      <w:pPr>
        <w:spacing w:after="0" w:line="240" w:lineRule="auto"/>
      </w:pPr>
      <w:r>
        <w:separator/>
      </w:r>
    </w:p>
  </w:footnote>
  <w:footnote w:type="continuationSeparator" w:id="0">
    <w:p w14:paraId="58E01376" w14:textId="77777777" w:rsidR="00524E03" w:rsidRDefault="00524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8BC1FD" w14:textId="77777777" w:rsidR="00BD5D1D" w:rsidRDefault="00BD5D1D">
    <w:pPr>
      <w:tabs>
        <w:tab w:val="center" w:pos="4513"/>
        <w:tab w:val="right" w:pos="9026"/>
      </w:tabs>
      <w:spacing w:after="0"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F5459"/>
    <w:multiLevelType w:val="hybridMultilevel"/>
    <w:tmpl w:val="2B08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1D0069B"/>
    <w:multiLevelType w:val="hybridMultilevel"/>
    <w:tmpl w:val="36CC85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AC94828"/>
    <w:multiLevelType w:val="multilevel"/>
    <w:tmpl w:val="CB9A82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20050C16"/>
    <w:multiLevelType w:val="multilevel"/>
    <w:tmpl w:val="A7227732"/>
    <w:lvl w:ilvl="0">
      <w:start w:val="1"/>
      <w:numFmt w:val="decimal"/>
      <w:pStyle w:val="Heading1"/>
      <w:lvlText w:val="%1"/>
      <w:lvlJc w:val="left"/>
      <w:pPr>
        <w:ind w:left="432" w:hanging="432"/>
      </w:pPr>
    </w:lvl>
    <w:lvl w:ilvl="1">
      <w:start w:val="1"/>
      <w:numFmt w:val="decimal"/>
      <w:pStyle w:val="Heading2"/>
      <w:lvlText w:val="%1.%2"/>
      <w:lvlJc w:val="left"/>
      <w:pPr>
        <w:ind w:left="9648"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74B2D37"/>
    <w:multiLevelType w:val="multilevel"/>
    <w:tmpl w:val="9F9EFC3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28366C73"/>
    <w:multiLevelType w:val="multilevel"/>
    <w:tmpl w:val="96D4C480"/>
    <w:lvl w:ilvl="0">
      <w:start w:val="1"/>
      <w:numFmt w:val="lowerLetter"/>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6">
    <w:nsid w:val="30B13CBF"/>
    <w:multiLevelType w:val="hybridMultilevel"/>
    <w:tmpl w:val="035AD252"/>
    <w:lvl w:ilvl="0" w:tplc="38EAE8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6CC62F6"/>
    <w:multiLevelType w:val="multilevel"/>
    <w:tmpl w:val="A6440764"/>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nsid w:val="41B03718"/>
    <w:multiLevelType w:val="multilevel"/>
    <w:tmpl w:val="8EE462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41E542D0"/>
    <w:multiLevelType w:val="multilevel"/>
    <w:tmpl w:val="37BA2D2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nsid w:val="452142E5"/>
    <w:multiLevelType w:val="multilevel"/>
    <w:tmpl w:val="6AEAF87A"/>
    <w:lvl w:ilvl="0">
      <w:start w:val="1"/>
      <w:numFmt w:val="decimal"/>
      <w:pStyle w:val="Style1"/>
      <w:lvlText w:val="%1"/>
      <w:lvlJc w:val="left"/>
      <w:pPr>
        <w:ind w:left="432" w:hanging="432"/>
      </w:pPr>
    </w:lvl>
    <w:lvl w:ilvl="1">
      <w:start w:val="1"/>
      <w:numFmt w:val="decimal"/>
      <w:pStyle w:val="Style2"/>
      <w:lvlText w:val="%1.%2"/>
      <w:lvlJc w:val="left"/>
      <w:pPr>
        <w:ind w:left="576" w:hanging="576"/>
      </w:pPr>
    </w:lvl>
    <w:lvl w:ilvl="2">
      <w:start w:val="1"/>
      <w:numFmt w:val="decimal"/>
      <w:pStyle w:val="Style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nsid w:val="488B4D65"/>
    <w:multiLevelType w:val="hybridMultilevel"/>
    <w:tmpl w:val="F2623C1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F582D46"/>
    <w:multiLevelType w:val="hybridMultilevel"/>
    <w:tmpl w:val="4844BC56"/>
    <w:lvl w:ilvl="0" w:tplc="38EAE88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AA36EEC"/>
    <w:multiLevelType w:val="hybridMultilevel"/>
    <w:tmpl w:val="00F64ADE"/>
    <w:lvl w:ilvl="0" w:tplc="11E25104">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4DE5C96"/>
    <w:multiLevelType w:val="multilevel"/>
    <w:tmpl w:val="A7227732"/>
    <w:lvl w:ilvl="0">
      <w:start w:val="1"/>
      <w:numFmt w:val="decimal"/>
      <w:lvlText w:val="%1"/>
      <w:lvlJc w:val="left"/>
      <w:pPr>
        <w:ind w:left="432" w:hanging="432"/>
      </w:pPr>
    </w:lvl>
    <w:lvl w:ilvl="1">
      <w:start w:val="1"/>
      <w:numFmt w:val="decimal"/>
      <w:lvlText w:val="%1.%2"/>
      <w:lvlJc w:val="left"/>
      <w:pPr>
        <w:ind w:left="9648"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6A01029D"/>
    <w:multiLevelType w:val="multilevel"/>
    <w:tmpl w:val="D8DAB9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nsid w:val="73497C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D6F4E22"/>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nsid w:val="7DAA3A33"/>
    <w:multiLevelType w:val="hybridMultilevel"/>
    <w:tmpl w:val="60CAC238"/>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15"/>
  </w:num>
  <w:num w:numId="6">
    <w:abstractNumId w:val="11"/>
  </w:num>
  <w:num w:numId="7">
    <w:abstractNumId w:val="18"/>
  </w:num>
  <w:num w:numId="8">
    <w:abstractNumId w:val="9"/>
  </w:num>
  <w:num w:numId="9">
    <w:abstractNumId w:val="7"/>
  </w:num>
  <w:num w:numId="10">
    <w:abstractNumId w:val="13"/>
  </w:num>
  <w:num w:numId="11">
    <w:abstractNumId w:val="7"/>
    <w:lvlOverride w:ilvl="0">
      <w:startOverride w:val="2"/>
    </w:lvlOverride>
    <w:lvlOverride w:ilvl="1">
      <w:startOverride w:val="1"/>
    </w:lvlOverride>
  </w:num>
  <w:num w:numId="12">
    <w:abstractNumId w:val="16"/>
  </w:num>
  <w:num w:numId="13">
    <w:abstractNumId w:val="3"/>
  </w:num>
  <w:num w:numId="14">
    <w:abstractNumId w:val="17"/>
  </w:num>
  <w:num w:numId="15">
    <w:abstractNumId w:val="6"/>
  </w:num>
  <w:num w:numId="16">
    <w:abstractNumId w:val="1"/>
  </w:num>
  <w:num w:numId="17">
    <w:abstractNumId w:val="14"/>
  </w:num>
  <w:num w:numId="18">
    <w:abstractNumId w:val="10"/>
  </w:num>
  <w:num w:numId="19">
    <w:abstractNumId w:val="0"/>
  </w:num>
  <w:num w:numId="20">
    <w:abstractNumId w:val="12"/>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fr-FR" w:vendorID="64" w:dllVersion="6" w:nlCheck="1" w:checkStyle="1"/>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en-US" w:vendorID="64" w:dllVersion="6" w:nlCheck="1" w:checkStyle="1"/>
  <w:activeWritingStyle w:appName="MSWord" w:lang="de-DE" w:vendorID="64" w:dllVersion="6" w:nlCheck="1" w:checkStyle="0"/>
  <w:activeWritingStyle w:appName="MSWord" w:lang="en-GB" w:vendorID="64" w:dllVersion="4096" w:nlCheck="1" w:checkStyle="0"/>
  <w:activeWritingStyle w:appName="MSWord" w:lang="fr-FR" w:vendorID="64" w:dllVersion="4096" w:nlCheck="1" w:checkStyle="0"/>
  <w:activeWritingStyle w:appName="MSWord" w:lang="en-GB"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C26"/>
    <w:rsid w:val="000012FD"/>
    <w:rsid w:val="00004663"/>
    <w:rsid w:val="00011A7A"/>
    <w:rsid w:val="000148BF"/>
    <w:rsid w:val="00014DDB"/>
    <w:rsid w:val="000154EF"/>
    <w:rsid w:val="00016818"/>
    <w:rsid w:val="0001682E"/>
    <w:rsid w:val="0002129A"/>
    <w:rsid w:val="00021D05"/>
    <w:rsid w:val="000250D7"/>
    <w:rsid w:val="00025904"/>
    <w:rsid w:val="00026315"/>
    <w:rsid w:val="000341EC"/>
    <w:rsid w:val="000354AB"/>
    <w:rsid w:val="000445AE"/>
    <w:rsid w:val="00045B97"/>
    <w:rsid w:val="00047A48"/>
    <w:rsid w:val="00047BE8"/>
    <w:rsid w:val="00052FCF"/>
    <w:rsid w:val="000541E3"/>
    <w:rsid w:val="00054D84"/>
    <w:rsid w:val="00055369"/>
    <w:rsid w:val="000558EC"/>
    <w:rsid w:val="00055953"/>
    <w:rsid w:val="00056EEA"/>
    <w:rsid w:val="00061635"/>
    <w:rsid w:val="00061BD6"/>
    <w:rsid w:val="00064627"/>
    <w:rsid w:val="00066C65"/>
    <w:rsid w:val="00066D3A"/>
    <w:rsid w:val="00070D1A"/>
    <w:rsid w:val="00071885"/>
    <w:rsid w:val="00076676"/>
    <w:rsid w:val="00081DFC"/>
    <w:rsid w:val="00081FB1"/>
    <w:rsid w:val="0008256B"/>
    <w:rsid w:val="00082762"/>
    <w:rsid w:val="00082C65"/>
    <w:rsid w:val="00082C72"/>
    <w:rsid w:val="00084681"/>
    <w:rsid w:val="00085F28"/>
    <w:rsid w:val="000877D7"/>
    <w:rsid w:val="00091B58"/>
    <w:rsid w:val="00093982"/>
    <w:rsid w:val="0009503E"/>
    <w:rsid w:val="000A32F6"/>
    <w:rsid w:val="000A3943"/>
    <w:rsid w:val="000A3C1A"/>
    <w:rsid w:val="000A55D0"/>
    <w:rsid w:val="000B031A"/>
    <w:rsid w:val="000B09E0"/>
    <w:rsid w:val="000B2F61"/>
    <w:rsid w:val="000B3024"/>
    <w:rsid w:val="000B67FB"/>
    <w:rsid w:val="000B7595"/>
    <w:rsid w:val="000C0196"/>
    <w:rsid w:val="000C0661"/>
    <w:rsid w:val="000C2CAD"/>
    <w:rsid w:val="000C7989"/>
    <w:rsid w:val="000D03DF"/>
    <w:rsid w:val="000D1A49"/>
    <w:rsid w:val="000D5150"/>
    <w:rsid w:val="000D694F"/>
    <w:rsid w:val="000E2E6A"/>
    <w:rsid w:val="000E4B7C"/>
    <w:rsid w:val="000E7A09"/>
    <w:rsid w:val="000F4409"/>
    <w:rsid w:val="000F6A67"/>
    <w:rsid w:val="00103926"/>
    <w:rsid w:val="00103CE6"/>
    <w:rsid w:val="00103F31"/>
    <w:rsid w:val="00104804"/>
    <w:rsid w:val="001054FC"/>
    <w:rsid w:val="00106F8F"/>
    <w:rsid w:val="001127F3"/>
    <w:rsid w:val="00116007"/>
    <w:rsid w:val="00116409"/>
    <w:rsid w:val="00117435"/>
    <w:rsid w:val="00120783"/>
    <w:rsid w:val="001213F0"/>
    <w:rsid w:val="001221F6"/>
    <w:rsid w:val="0012379C"/>
    <w:rsid w:val="00131822"/>
    <w:rsid w:val="00131B4F"/>
    <w:rsid w:val="00131C9A"/>
    <w:rsid w:val="00133169"/>
    <w:rsid w:val="00134F40"/>
    <w:rsid w:val="00135360"/>
    <w:rsid w:val="00136F53"/>
    <w:rsid w:val="001408B1"/>
    <w:rsid w:val="00141B5A"/>
    <w:rsid w:val="00141CF7"/>
    <w:rsid w:val="001429F4"/>
    <w:rsid w:val="00144BE6"/>
    <w:rsid w:val="0015228E"/>
    <w:rsid w:val="0015508F"/>
    <w:rsid w:val="001554FC"/>
    <w:rsid w:val="001625ED"/>
    <w:rsid w:val="001631F9"/>
    <w:rsid w:val="00166E80"/>
    <w:rsid w:val="001673FC"/>
    <w:rsid w:val="00172A4A"/>
    <w:rsid w:val="00182A4C"/>
    <w:rsid w:val="00183532"/>
    <w:rsid w:val="00184AFA"/>
    <w:rsid w:val="001916A0"/>
    <w:rsid w:val="00191E99"/>
    <w:rsid w:val="00194A73"/>
    <w:rsid w:val="00195609"/>
    <w:rsid w:val="00195DDB"/>
    <w:rsid w:val="001A1FB5"/>
    <w:rsid w:val="001A32FC"/>
    <w:rsid w:val="001A6872"/>
    <w:rsid w:val="001B0D01"/>
    <w:rsid w:val="001B1B06"/>
    <w:rsid w:val="001B2B24"/>
    <w:rsid w:val="001B4504"/>
    <w:rsid w:val="001B4F92"/>
    <w:rsid w:val="001B64C5"/>
    <w:rsid w:val="001B7381"/>
    <w:rsid w:val="001C0B07"/>
    <w:rsid w:val="001C0B1E"/>
    <w:rsid w:val="001C3D5C"/>
    <w:rsid w:val="001C7815"/>
    <w:rsid w:val="001D0FBF"/>
    <w:rsid w:val="001D23CF"/>
    <w:rsid w:val="001D7963"/>
    <w:rsid w:val="001E076F"/>
    <w:rsid w:val="001E237C"/>
    <w:rsid w:val="001E29A9"/>
    <w:rsid w:val="001E446F"/>
    <w:rsid w:val="001E52E2"/>
    <w:rsid w:val="001F03DF"/>
    <w:rsid w:val="001F0CC0"/>
    <w:rsid w:val="001F38E6"/>
    <w:rsid w:val="001F4028"/>
    <w:rsid w:val="001F4185"/>
    <w:rsid w:val="001F4FEC"/>
    <w:rsid w:val="001F6DEF"/>
    <w:rsid w:val="001F7A38"/>
    <w:rsid w:val="00203527"/>
    <w:rsid w:val="00204647"/>
    <w:rsid w:val="002058ED"/>
    <w:rsid w:val="00205A5A"/>
    <w:rsid w:val="002103F3"/>
    <w:rsid w:val="00211957"/>
    <w:rsid w:val="00212ADB"/>
    <w:rsid w:val="00213CC4"/>
    <w:rsid w:val="00215418"/>
    <w:rsid w:val="00215BC1"/>
    <w:rsid w:val="00220BB9"/>
    <w:rsid w:val="002218AC"/>
    <w:rsid w:val="002227F8"/>
    <w:rsid w:val="00246172"/>
    <w:rsid w:val="00246ED9"/>
    <w:rsid w:val="00250F71"/>
    <w:rsid w:val="002554A9"/>
    <w:rsid w:val="00255A7D"/>
    <w:rsid w:val="002666B8"/>
    <w:rsid w:val="002674BE"/>
    <w:rsid w:val="002705EF"/>
    <w:rsid w:val="002708A9"/>
    <w:rsid w:val="00270940"/>
    <w:rsid w:val="00271A27"/>
    <w:rsid w:val="00272F4E"/>
    <w:rsid w:val="00273284"/>
    <w:rsid w:val="002735D3"/>
    <w:rsid w:val="002746DA"/>
    <w:rsid w:val="00274EE1"/>
    <w:rsid w:val="002753DF"/>
    <w:rsid w:val="00283D5F"/>
    <w:rsid w:val="00285B64"/>
    <w:rsid w:val="00291B45"/>
    <w:rsid w:val="00293061"/>
    <w:rsid w:val="00293FF0"/>
    <w:rsid w:val="0029633A"/>
    <w:rsid w:val="002A0E72"/>
    <w:rsid w:val="002A1B1E"/>
    <w:rsid w:val="002A2435"/>
    <w:rsid w:val="002A27E6"/>
    <w:rsid w:val="002A3776"/>
    <w:rsid w:val="002A45F0"/>
    <w:rsid w:val="002A5AB9"/>
    <w:rsid w:val="002A73CF"/>
    <w:rsid w:val="002A7D3A"/>
    <w:rsid w:val="002B0DD5"/>
    <w:rsid w:val="002B16BC"/>
    <w:rsid w:val="002B2995"/>
    <w:rsid w:val="002B38BD"/>
    <w:rsid w:val="002B4098"/>
    <w:rsid w:val="002B5D5B"/>
    <w:rsid w:val="002B6094"/>
    <w:rsid w:val="002B6EA8"/>
    <w:rsid w:val="002C29B6"/>
    <w:rsid w:val="002C43AC"/>
    <w:rsid w:val="002C61A4"/>
    <w:rsid w:val="002C6BEB"/>
    <w:rsid w:val="002C6D32"/>
    <w:rsid w:val="002D0BEE"/>
    <w:rsid w:val="002D0EE2"/>
    <w:rsid w:val="002D4496"/>
    <w:rsid w:val="002D71D1"/>
    <w:rsid w:val="002D74E0"/>
    <w:rsid w:val="002D77CC"/>
    <w:rsid w:val="002E08F6"/>
    <w:rsid w:val="002E15D3"/>
    <w:rsid w:val="002E3B1D"/>
    <w:rsid w:val="002E7072"/>
    <w:rsid w:val="002F53E0"/>
    <w:rsid w:val="002F727E"/>
    <w:rsid w:val="002F76AB"/>
    <w:rsid w:val="003009EF"/>
    <w:rsid w:val="00302C0D"/>
    <w:rsid w:val="00304A86"/>
    <w:rsid w:val="003149A9"/>
    <w:rsid w:val="003156D7"/>
    <w:rsid w:val="003168A3"/>
    <w:rsid w:val="003212A6"/>
    <w:rsid w:val="00323AA1"/>
    <w:rsid w:val="00323F04"/>
    <w:rsid w:val="0032408D"/>
    <w:rsid w:val="00332FF7"/>
    <w:rsid w:val="00333B88"/>
    <w:rsid w:val="00333FFD"/>
    <w:rsid w:val="00335476"/>
    <w:rsid w:val="00335AC2"/>
    <w:rsid w:val="0033677F"/>
    <w:rsid w:val="00336DCB"/>
    <w:rsid w:val="00342E1E"/>
    <w:rsid w:val="00343556"/>
    <w:rsid w:val="0034508D"/>
    <w:rsid w:val="00346533"/>
    <w:rsid w:val="003477BD"/>
    <w:rsid w:val="00350429"/>
    <w:rsid w:val="00355A7E"/>
    <w:rsid w:val="00356BE7"/>
    <w:rsid w:val="0036002A"/>
    <w:rsid w:val="00361FDC"/>
    <w:rsid w:val="00363BFB"/>
    <w:rsid w:val="00364566"/>
    <w:rsid w:val="00366A68"/>
    <w:rsid w:val="003702F4"/>
    <w:rsid w:val="00372076"/>
    <w:rsid w:val="003733B2"/>
    <w:rsid w:val="0037422C"/>
    <w:rsid w:val="003754C7"/>
    <w:rsid w:val="0037597B"/>
    <w:rsid w:val="003809D0"/>
    <w:rsid w:val="00381090"/>
    <w:rsid w:val="00381109"/>
    <w:rsid w:val="00386185"/>
    <w:rsid w:val="00387CCC"/>
    <w:rsid w:val="003901B5"/>
    <w:rsid w:val="00390EEF"/>
    <w:rsid w:val="00392757"/>
    <w:rsid w:val="00393334"/>
    <w:rsid w:val="00394CDD"/>
    <w:rsid w:val="00396A25"/>
    <w:rsid w:val="003A212D"/>
    <w:rsid w:val="003A2138"/>
    <w:rsid w:val="003A3DB1"/>
    <w:rsid w:val="003A4728"/>
    <w:rsid w:val="003A4C3B"/>
    <w:rsid w:val="003A54D0"/>
    <w:rsid w:val="003A59CF"/>
    <w:rsid w:val="003B244B"/>
    <w:rsid w:val="003B25B4"/>
    <w:rsid w:val="003B5D92"/>
    <w:rsid w:val="003C5BC2"/>
    <w:rsid w:val="003C7987"/>
    <w:rsid w:val="003D14B4"/>
    <w:rsid w:val="003D4C09"/>
    <w:rsid w:val="003D6765"/>
    <w:rsid w:val="003E2E82"/>
    <w:rsid w:val="003F104A"/>
    <w:rsid w:val="003F16AD"/>
    <w:rsid w:val="003F585A"/>
    <w:rsid w:val="00404A61"/>
    <w:rsid w:val="004054F0"/>
    <w:rsid w:val="00410423"/>
    <w:rsid w:val="00414A44"/>
    <w:rsid w:val="00414F7A"/>
    <w:rsid w:val="004220F6"/>
    <w:rsid w:val="00422B5E"/>
    <w:rsid w:val="00426345"/>
    <w:rsid w:val="00426415"/>
    <w:rsid w:val="004278BF"/>
    <w:rsid w:val="004309C5"/>
    <w:rsid w:val="00432A15"/>
    <w:rsid w:val="0043345B"/>
    <w:rsid w:val="004349C5"/>
    <w:rsid w:val="00434AAF"/>
    <w:rsid w:val="00437A46"/>
    <w:rsid w:val="004404EB"/>
    <w:rsid w:val="00441DDF"/>
    <w:rsid w:val="0044492B"/>
    <w:rsid w:val="004455FD"/>
    <w:rsid w:val="00445A2A"/>
    <w:rsid w:val="004477FA"/>
    <w:rsid w:val="004557FB"/>
    <w:rsid w:val="00456982"/>
    <w:rsid w:val="004569D1"/>
    <w:rsid w:val="00457386"/>
    <w:rsid w:val="00460B29"/>
    <w:rsid w:val="004679BE"/>
    <w:rsid w:val="00467DB5"/>
    <w:rsid w:val="00470604"/>
    <w:rsid w:val="00471EE9"/>
    <w:rsid w:val="0048074B"/>
    <w:rsid w:val="0048128D"/>
    <w:rsid w:val="00483996"/>
    <w:rsid w:val="00485034"/>
    <w:rsid w:val="00485D14"/>
    <w:rsid w:val="0048707E"/>
    <w:rsid w:val="00487719"/>
    <w:rsid w:val="00487BD2"/>
    <w:rsid w:val="0049013D"/>
    <w:rsid w:val="004917BC"/>
    <w:rsid w:val="00495808"/>
    <w:rsid w:val="00497BA3"/>
    <w:rsid w:val="004A4955"/>
    <w:rsid w:val="004A7B2E"/>
    <w:rsid w:val="004B060D"/>
    <w:rsid w:val="004B09BD"/>
    <w:rsid w:val="004B579B"/>
    <w:rsid w:val="004D03F3"/>
    <w:rsid w:val="004D0924"/>
    <w:rsid w:val="004D13D7"/>
    <w:rsid w:val="004D26BF"/>
    <w:rsid w:val="004D3435"/>
    <w:rsid w:val="004D37F7"/>
    <w:rsid w:val="004D75AE"/>
    <w:rsid w:val="004D7E19"/>
    <w:rsid w:val="004E10A5"/>
    <w:rsid w:val="004E1589"/>
    <w:rsid w:val="004E2B78"/>
    <w:rsid w:val="004E36DD"/>
    <w:rsid w:val="004E79D5"/>
    <w:rsid w:val="004F467C"/>
    <w:rsid w:val="004F6869"/>
    <w:rsid w:val="004F6CED"/>
    <w:rsid w:val="005009F3"/>
    <w:rsid w:val="00500AA5"/>
    <w:rsid w:val="00501A2B"/>
    <w:rsid w:val="00501DD4"/>
    <w:rsid w:val="00503C4A"/>
    <w:rsid w:val="00506A14"/>
    <w:rsid w:val="005075B8"/>
    <w:rsid w:val="00510544"/>
    <w:rsid w:val="0051208F"/>
    <w:rsid w:val="00512DCF"/>
    <w:rsid w:val="005140CD"/>
    <w:rsid w:val="00515123"/>
    <w:rsid w:val="005171A7"/>
    <w:rsid w:val="00521D9B"/>
    <w:rsid w:val="00522FB2"/>
    <w:rsid w:val="0052369D"/>
    <w:rsid w:val="005244A9"/>
    <w:rsid w:val="00524E03"/>
    <w:rsid w:val="00525ED0"/>
    <w:rsid w:val="00531521"/>
    <w:rsid w:val="0053252B"/>
    <w:rsid w:val="00532C0E"/>
    <w:rsid w:val="005401A0"/>
    <w:rsid w:val="0054214B"/>
    <w:rsid w:val="00552C24"/>
    <w:rsid w:val="00553FF4"/>
    <w:rsid w:val="00562E69"/>
    <w:rsid w:val="00564DA6"/>
    <w:rsid w:val="0056587F"/>
    <w:rsid w:val="00566BC5"/>
    <w:rsid w:val="005731E3"/>
    <w:rsid w:val="0057568A"/>
    <w:rsid w:val="00580E57"/>
    <w:rsid w:val="00586BCE"/>
    <w:rsid w:val="00586C81"/>
    <w:rsid w:val="00587868"/>
    <w:rsid w:val="00587B94"/>
    <w:rsid w:val="00591D25"/>
    <w:rsid w:val="00597271"/>
    <w:rsid w:val="005A08CA"/>
    <w:rsid w:val="005A2B4F"/>
    <w:rsid w:val="005B77E6"/>
    <w:rsid w:val="005C57FF"/>
    <w:rsid w:val="005C5EEC"/>
    <w:rsid w:val="005C6E73"/>
    <w:rsid w:val="005D2818"/>
    <w:rsid w:val="005D38AA"/>
    <w:rsid w:val="005D4D32"/>
    <w:rsid w:val="005D6510"/>
    <w:rsid w:val="005D6D06"/>
    <w:rsid w:val="005D77E0"/>
    <w:rsid w:val="005D7A16"/>
    <w:rsid w:val="005E268A"/>
    <w:rsid w:val="005E469C"/>
    <w:rsid w:val="005E47F8"/>
    <w:rsid w:val="005E4DD3"/>
    <w:rsid w:val="005E4E26"/>
    <w:rsid w:val="005E511F"/>
    <w:rsid w:val="005E59DE"/>
    <w:rsid w:val="005F0A84"/>
    <w:rsid w:val="005F24C5"/>
    <w:rsid w:val="005F3100"/>
    <w:rsid w:val="005F361B"/>
    <w:rsid w:val="005F395A"/>
    <w:rsid w:val="005F6C26"/>
    <w:rsid w:val="005F6E27"/>
    <w:rsid w:val="005F7E66"/>
    <w:rsid w:val="0060129B"/>
    <w:rsid w:val="00605B39"/>
    <w:rsid w:val="00606815"/>
    <w:rsid w:val="00606D58"/>
    <w:rsid w:val="006077E2"/>
    <w:rsid w:val="0061034D"/>
    <w:rsid w:val="006114F7"/>
    <w:rsid w:val="00612683"/>
    <w:rsid w:val="00615138"/>
    <w:rsid w:val="0062011B"/>
    <w:rsid w:val="00620741"/>
    <w:rsid w:val="00625698"/>
    <w:rsid w:val="00626E58"/>
    <w:rsid w:val="00636F48"/>
    <w:rsid w:val="00637E10"/>
    <w:rsid w:val="00644220"/>
    <w:rsid w:val="0064480C"/>
    <w:rsid w:val="00647AA5"/>
    <w:rsid w:val="006500B4"/>
    <w:rsid w:val="00650140"/>
    <w:rsid w:val="00650244"/>
    <w:rsid w:val="00652140"/>
    <w:rsid w:val="00652CBE"/>
    <w:rsid w:val="006623C8"/>
    <w:rsid w:val="00662EB5"/>
    <w:rsid w:val="00667AA0"/>
    <w:rsid w:val="00671B44"/>
    <w:rsid w:val="00673249"/>
    <w:rsid w:val="00673736"/>
    <w:rsid w:val="00674E26"/>
    <w:rsid w:val="00676176"/>
    <w:rsid w:val="006761A6"/>
    <w:rsid w:val="00677489"/>
    <w:rsid w:val="0068084C"/>
    <w:rsid w:val="00684B84"/>
    <w:rsid w:val="006950E5"/>
    <w:rsid w:val="006A028C"/>
    <w:rsid w:val="006A0566"/>
    <w:rsid w:val="006A108F"/>
    <w:rsid w:val="006A180D"/>
    <w:rsid w:val="006A3335"/>
    <w:rsid w:val="006A5984"/>
    <w:rsid w:val="006A6B62"/>
    <w:rsid w:val="006A735C"/>
    <w:rsid w:val="006A77C5"/>
    <w:rsid w:val="006A7B2E"/>
    <w:rsid w:val="006B1607"/>
    <w:rsid w:val="006B1BBF"/>
    <w:rsid w:val="006B2842"/>
    <w:rsid w:val="006B2A31"/>
    <w:rsid w:val="006B3174"/>
    <w:rsid w:val="006B4517"/>
    <w:rsid w:val="006B55A3"/>
    <w:rsid w:val="006C0AEC"/>
    <w:rsid w:val="006C35ED"/>
    <w:rsid w:val="006C44C5"/>
    <w:rsid w:val="006D0201"/>
    <w:rsid w:val="006D0A23"/>
    <w:rsid w:val="006D231A"/>
    <w:rsid w:val="006D3288"/>
    <w:rsid w:val="006D71BB"/>
    <w:rsid w:val="006E4A96"/>
    <w:rsid w:val="006F0EE2"/>
    <w:rsid w:val="0070012D"/>
    <w:rsid w:val="0070718E"/>
    <w:rsid w:val="00711DD1"/>
    <w:rsid w:val="007168F3"/>
    <w:rsid w:val="0072273A"/>
    <w:rsid w:val="00723317"/>
    <w:rsid w:val="007249E5"/>
    <w:rsid w:val="00724E32"/>
    <w:rsid w:val="00725F53"/>
    <w:rsid w:val="0073113D"/>
    <w:rsid w:val="00731B6B"/>
    <w:rsid w:val="00733D38"/>
    <w:rsid w:val="00735B1C"/>
    <w:rsid w:val="00736AC2"/>
    <w:rsid w:val="00736DA5"/>
    <w:rsid w:val="00740180"/>
    <w:rsid w:val="00750A2A"/>
    <w:rsid w:val="00751D9C"/>
    <w:rsid w:val="00752F88"/>
    <w:rsid w:val="00760296"/>
    <w:rsid w:val="00760567"/>
    <w:rsid w:val="00761E64"/>
    <w:rsid w:val="00764E19"/>
    <w:rsid w:val="0076631D"/>
    <w:rsid w:val="007675F3"/>
    <w:rsid w:val="007677D4"/>
    <w:rsid w:val="0077282C"/>
    <w:rsid w:val="00773810"/>
    <w:rsid w:val="007747CC"/>
    <w:rsid w:val="00775AB7"/>
    <w:rsid w:val="0077685F"/>
    <w:rsid w:val="00776E00"/>
    <w:rsid w:val="00777261"/>
    <w:rsid w:val="00784CA1"/>
    <w:rsid w:val="007857C9"/>
    <w:rsid w:val="0078639F"/>
    <w:rsid w:val="00786A12"/>
    <w:rsid w:val="00787E44"/>
    <w:rsid w:val="0079093C"/>
    <w:rsid w:val="00792411"/>
    <w:rsid w:val="007927ED"/>
    <w:rsid w:val="0079625C"/>
    <w:rsid w:val="00796AB1"/>
    <w:rsid w:val="0079767F"/>
    <w:rsid w:val="00797E9D"/>
    <w:rsid w:val="007A2AB9"/>
    <w:rsid w:val="007A4C75"/>
    <w:rsid w:val="007A643F"/>
    <w:rsid w:val="007A652F"/>
    <w:rsid w:val="007A69CD"/>
    <w:rsid w:val="007A709B"/>
    <w:rsid w:val="007B095C"/>
    <w:rsid w:val="007B221E"/>
    <w:rsid w:val="007B23C4"/>
    <w:rsid w:val="007C1BB3"/>
    <w:rsid w:val="007C40E4"/>
    <w:rsid w:val="007C5333"/>
    <w:rsid w:val="007D0DB1"/>
    <w:rsid w:val="007D2579"/>
    <w:rsid w:val="007D50BA"/>
    <w:rsid w:val="007D527C"/>
    <w:rsid w:val="007D76E9"/>
    <w:rsid w:val="007E0019"/>
    <w:rsid w:val="007E13E9"/>
    <w:rsid w:val="007E1A6D"/>
    <w:rsid w:val="007E297B"/>
    <w:rsid w:val="007E2B9C"/>
    <w:rsid w:val="007E32A2"/>
    <w:rsid w:val="007E46FC"/>
    <w:rsid w:val="007E4EBB"/>
    <w:rsid w:val="007F0FC8"/>
    <w:rsid w:val="007F4069"/>
    <w:rsid w:val="007F41FF"/>
    <w:rsid w:val="007F5BD6"/>
    <w:rsid w:val="007F7B43"/>
    <w:rsid w:val="008056BF"/>
    <w:rsid w:val="00806743"/>
    <w:rsid w:val="00807EAC"/>
    <w:rsid w:val="00812DB4"/>
    <w:rsid w:val="00812F6D"/>
    <w:rsid w:val="00813457"/>
    <w:rsid w:val="008139A2"/>
    <w:rsid w:val="00820E36"/>
    <w:rsid w:val="0082153E"/>
    <w:rsid w:val="0082458A"/>
    <w:rsid w:val="00830D99"/>
    <w:rsid w:val="0084074D"/>
    <w:rsid w:val="00842C61"/>
    <w:rsid w:val="00843D6E"/>
    <w:rsid w:val="008465C0"/>
    <w:rsid w:val="008501B0"/>
    <w:rsid w:val="00850B5F"/>
    <w:rsid w:val="0085405A"/>
    <w:rsid w:val="008577FC"/>
    <w:rsid w:val="00864D6D"/>
    <w:rsid w:val="00865F45"/>
    <w:rsid w:val="00866AA2"/>
    <w:rsid w:val="00867D8C"/>
    <w:rsid w:val="00870C28"/>
    <w:rsid w:val="008744A4"/>
    <w:rsid w:val="00883CCC"/>
    <w:rsid w:val="0088462C"/>
    <w:rsid w:val="0088641D"/>
    <w:rsid w:val="00886C02"/>
    <w:rsid w:val="00890069"/>
    <w:rsid w:val="00890361"/>
    <w:rsid w:val="00892C69"/>
    <w:rsid w:val="00893746"/>
    <w:rsid w:val="00894A3F"/>
    <w:rsid w:val="00894E30"/>
    <w:rsid w:val="008A109E"/>
    <w:rsid w:val="008A1A61"/>
    <w:rsid w:val="008A2082"/>
    <w:rsid w:val="008A2099"/>
    <w:rsid w:val="008A3034"/>
    <w:rsid w:val="008B4C81"/>
    <w:rsid w:val="008B6B97"/>
    <w:rsid w:val="008C3135"/>
    <w:rsid w:val="008C4DEC"/>
    <w:rsid w:val="008C5EA3"/>
    <w:rsid w:val="008D0834"/>
    <w:rsid w:val="008D3360"/>
    <w:rsid w:val="008D4294"/>
    <w:rsid w:val="008D6BA8"/>
    <w:rsid w:val="008D6EA2"/>
    <w:rsid w:val="008E242B"/>
    <w:rsid w:val="008E4F91"/>
    <w:rsid w:val="008E5070"/>
    <w:rsid w:val="008E512E"/>
    <w:rsid w:val="008E6700"/>
    <w:rsid w:val="008E6711"/>
    <w:rsid w:val="008F0511"/>
    <w:rsid w:val="008F07FD"/>
    <w:rsid w:val="008F4922"/>
    <w:rsid w:val="008F63CC"/>
    <w:rsid w:val="008F6AD7"/>
    <w:rsid w:val="00900591"/>
    <w:rsid w:val="00903BC4"/>
    <w:rsid w:val="009044E3"/>
    <w:rsid w:val="009060BF"/>
    <w:rsid w:val="009078F1"/>
    <w:rsid w:val="00907D03"/>
    <w:rsid w:val="0091098C"/>
    <w:rsid w:val="0091391C"/>
    <w:rsid w:val="00914C59"/>
    <w:rsid w:val="00920119"/>
    <w:rsid w:val="0092070E"/>
    <w:rsid w:val="0092103F"/>
    <w:rsid w:val="0092109D"/>
    <w:rsid w:val="00921B9F"/>
    <w:rsid w:val="0092710D"/>
    <w:rsid w:val="0093057B"/>
    <w:rsid w:val="00932AE4"/>
    <w:rsid w:val="0093632B"/>
    <w:rsid w:val="00936828"/>
    <w:rsid w:val="00937564"/>
    <w:rsid w:val="00937C44"/>
    <w:rsid w:val="00940456"/>
    <w:rsid w:val="00940774"/>
    <w:rsid w:val="0094158B"/>
    <w:rsid w:val="00943A97"/>
    <w:rsid w:val="009463E7"/>
    <w:rsid w:val="009543BF"/>
    <w:rsid w:val="00955A00"/>
    <w:rsid w:val="00964D2C"/>
    <w:rsid w:val="009664B2"/>
    <w:rsid w:val="009702A2"/>
    <w:rsid w:val="00981386"/>
    <w:rsid w:val="009825D4"/>
    <w:rsid w:val="0098425A"/>
    <w:rsid w:val="0098433B"/>
    <w:rsid w:val="0098480A"/>
    <w:rsid w:val="00990C05"/>
    <w:rsid w:val="00991848"/>
    <w:rsid w:val="00993EB6"/>
    <w:rsid w:val="00997346"/>
    <w:rsid w:val="009A0D7C"/>
    <w:rsid w:val="009A1982"/>
    <w:rsid w:val="009A233A"/>
    <w:rsid w:val="009B06D3"/>
    <w:rsid w:val="009B0774"/>
    <w:rsid w:val="009B078D"/>
    <w:rsid w:val="009B428C"/>
    <w:rsid w:val="009B5C1E"/>
    <w:rsid w:val="009B7014"/>
    <w:rsid w:val="009C0C6C"/>
    <w:rsid w:val="009C528A"/>
    <w:rsid w:val="009C6BAC"/>
    <w:rsid w:val="009D0311"/>
    <w:rsid w:val="009D158B"/>
    <w:rsid w:val="009D1E78"/>
    <w:rsid w:val="009D2B42"/>
    <w:rsid w:val="009E0321"/>
    <w:rsid w:val="009E0C94"/>
    <w:rsid w:val="009E62F5"/>
    <w:rsid w:val="009E6A76"/>
    <w:rsid w:val="009F1A92"/>
    <w:rsid w:val="009F1E41"/>
    <w:rsid w:val="009F4C31"/>
    <w:rsid w:val="009F5829"/>
    <w:rsid w:val="009F6956"/>
    <w:rsid w:val="00A028B6"/>
    <w:rsid w:val="00A06DDE"/>
    <w:rsid w:val="00A11120"/>
    <w:rsid w:val="00A11327"/>
    <w:rsid w:val="00A12A3B"/>
    <w:rsid w:val="00A15D8E"/>
    <w:rsid w:val="00A168A9"/>
    <w:rsid w:val="00A16991"/>
    <w:rsid w:val="00A202F5"/>
    <w:rsid w:val="00A2159C"/>
    <w:rsid w:val="00A23148"/>
    <w:rsid w:val="00A2428D"/>
    <w:rsid w:val="00A2541C"/>
    <w:rsid w:val="00A25A6A"/>
    <w:rsid w:val="00A25E8D"/>
    <w:rsid w:val="00A26AD8"/>
    <w:rsid w:val="00A34226"/>
    <w:rsid w:val="00A34E0B"/>
    <w:rsid w:val="00A365E2"/>
    <w:rsid w:val="00A37D7B"/>
    <w:rsid w:val="00A42913"/>
    <w:rsid w:val="00A42FBF"/>
    <w:rsid w:val="00A43DBB"/>
    <w:rsid w:val="00A507CE"/>
    <w:rsid w:val="00A5087E"/>
    <w:rsid w:val="00A57B2E"/>
    <w:rsid w:val="00A61025"/>
    <w:rsid w:val="00A622DE"/>
    <w:rsid w:val="00A631F7"/>
    <w:rsid w:val="00A6476E"/>
    <w:rsid w:val="00A66EE0"/>
    <w:rsid w:val="00A701F2"/>
    <w:rsid w:val="00A71D47"/>
    <w:rsid w:val="00A73E81"/>
    <w:rsid w:val="00A75F9A"/>
    <w:rsid w:val="00A80991"/>
    <w:rsid w:val="00A80EB2"/>
    <w:rsid w:val="00A837F9"/>
    <w:rsid w:val="00A83E8D"/>
    <w:rsid w:val="00A84C56"/>
    <w:rsid w:val="00A85317"/>
    <w:rsid w:val="00A85519"/>
    <w:rsid w:val="00A86198"/>
    <w:rsid w:val="00A87182"/>
    <w:rsid w:val="00A919D1"/>
    <w:rsid w:val="00A91C8C"/>
    <w:rsid w:val="00A9296B"/>
    <w:rsid w:val="00A92991"/>
    <w:rsid w:val="00A92C86"/>
    <w:rsid w:val="00A9708D"/>
    <w:rsid w:val="00AA0589"/>
    <w:rsid w:val="00AA08B3"/>
    <w:rsid w:val="00AA1743"/>
    <w:rsid w:val="00AA238A"/>
    <w:rsid w:val="00AA73CB"/>
    <w:rsid w:val="00AB1A1D"/>
    <w:rsid w:val="00AB2337"/>
    <w:rsid w:val="00AC43E6"/>
    <w:rsid w:val="00AC4D8A"/>
    <w:rsid w:val="00AD1E30"/>
    <w:rsid w:val="00AF2493"/>
    <w:rsid w:val="00AF3CCC"/>
    <w:rsid w:val="00AF577E"/>
    <w:rsid w:val="00AF79E6"/>
    <w:rsid w:val="00B01873"/>
    <w:rsid w:val="00B03679"/>
    <w:rsid w:val="00B05D8A"/>
    <w:rsid w:val="00B06449"/>
    <w:rsid w:val="00B10ACB"/>
    <w:rsid w:val="00B11E61"/>
    <w:rsid w:val="00B15B10"/>
    <w:rsid w:val="00B1688E"/>
    <w:rsid w:val="00B16C01"/>
    <w:rsid w:val="00B20040"/>
    <w:rsid w:val="00B205A8"/>
    <w:rsid w:val="00B20B7F"/>
    <w:rsid w:val="00B21A80"/>
    <w:rsid w:val="00B22B07"/>
    <w:rsid w:val="00B25B4D"/>
    <w:rsid w:val="00B265DF"/>
    <w:rsid w:val="00B267F9"/>
    <w:rsid w:val="00B32976"/>
    <w:rsid w:val="00B32C51"/>
    <w:rsid w:val="00B3320C"/>
    <w:rsid w:val="00B36867"/>
    <w:rsid w:val="00B423EC"/>
    <w:rsid w:val="00B43B63"/>
    <w:rsid w:val="00B44CC3"/>
    <w:rsid w:val="00B460CC"/>
    <w:rsid w:val="00B46A5D"/>
    <w:rsid w:val="00B50E75"/>
    <w:rsid w:val="00B53BC0"/>
    <w:rsid w:val="00B56D60"/>
    <w:rsid w:val="00B60555"/>
    <w:rsid w:val="00B61C40"/>
    <w:rsid w:val="00B64D60"/>
    <w:rsid w:val="00B65A97"/>
    <w:rsid w:val="00B66A36"/>
    <w:rsid w:val="00B70CC7"/>
    <w:rsid w:val="00B740B9"/>
    <w:rsid w:val="00B75B52"/>
    <w:rsid w:val="00B77211"/>
    <w:rsid w:val="00B81A4B"/>
    <w:rsid w:val="00B85426"/>
    <w:rsid w:val="00B907A5"/>
    <w:rsid w:val="00B91AB6"/>
    <w:rsid w:val="00B93880"/>
    <w:rsid w:val="00B93E6A"/>
    <w:rsid w:val="00B96143"/>
    <w:rsid w:val="00BA3558"/>
    <w:rsid w:val="00BA3A3B"/>
    <w:rsid w:val="00BA3DE3"/>
    <w:rsid w:val="00BA3F5E"/>
    <w:rsid w:val="00BA3F9B"/>
    <w:rsid w:val="00BA50C0"/>
    <w:rsid w:val="00BB405F"/>
    <w:rsid w:val="00BB55BA"/>
    <w:rsid w:val="00BB623A"/>
    <w:rsid w:val="00BC44A2"/>
    <w:rsid w:val="00BC4AAA"/>
    <w:rsid w:val="00BC4FA8"/>
    <w:rsid w:val="00BC52C5"/>
    <w:rsid w:val="00BC5822"/>
    <w:rsid w:val="00BD39AE"/>
    <w:rsid w:val="00BD5D1D"/>
    <w:rsid w:val="00BD72D5"/>
    <w:rsid w:val="00BE1AA1"/>
    <w:rsid w:val="00BE26EC"/>
    <w:rsid w:val="00BE3AD8"/>
    <w:rsid w:val="00BE47C6"/>
    <w:rsid w:val="00BE4B50"/>
    <w:rsid w:val="00BE5DF4"/>
    <w:rsid w:val="00BF19C0"/>
    <w:rsid w:val="00BF2951"/>
    <w:rsid w:val="00BF471B"/>
    <w:rsid w:val="00BF77C9"/>
    <w:rsid w:val="00C004C5"/>
    <w:rsid w:val="00C01426"/>
    <w:rsid w:val="00C02815"/>
    <w:rsid w:val="00C12EC3"/>
    <w:rsid w:val="00C131C4"/>
    <w:rsid w:val="00C13B68"/>
    <w:rsid w:val="00C15F84"/>
    <w:rsid w:val="00C217AD"/>
    <w:rsid w:val="00C24FB9"/>
    <w:rsid w:val="00C255FE"/>
    <w:rsid w:val="00C263C9"/>
    <w:rsid w:val="00C27085"/>
    <w:rsid w:val="00C27C2B"/>
    <w:rsid w:val="00C30275"/>
    <w:rsid w:val="00C30D0C"/>
    <w:rsid w:val="00C32DED"/>
    <w:rsid w:val="00C338E8"/>
    <w:rsid w:val="00C35758"/>
    <w:rsid w:val="00C37373"/>
    <w:rsid w:val="00C37B37"/>
    <w:rsid w:val="00C41428"/>
    <w:rsid w:val="00C42BC9"/>
    <w:rsid w:val="00C43AED"/>
    <w:rsid w:val="00C44785"/>
    <w:rsid w:val="00C507BC"/>
    <w:rsid w:val="00C5232C"/>
    <w:rsid w:val="00C53CF9"/>
    <w:rsid w:val="00C53D15"/>
    <w:rsid w:val="00C54B2F"/>
    <w:rsid w:val="00C5544B"/>
    <w:rsid w:val="00C57AFC"/>
    <w:rsid w:val="00C62BBE"/>
    <w:rsid w:val="00C634FE"/>
    <w:rsid w:val="00C65104"/>
    <w:rsid w:val="00C70362"/>
    <w:rsid w:val="00C737EC"/>
    <w:rsid w:val="00C74971"/>
    <w:rsid w:val="00C803AA"/>
    <w:rsid w:val="00C80BCA"/>
    <w:rsid w:val="00C828B1"/>
    <w:rsid w:val="00C82D5A"/>
    <w:rsid w:val="00C831BD"/>
    <w:rsid w:val="00C847F5"/>
    <w:rsid w:val="00C8612C"/>
    <w:rsid w:val="00C86E19"/>
    <w:rsid w:val="00C9203A"/>
    <w:rsid w:val="00C945CE"/>
    <w:rsid w:val="00C96B5A"/>
    <w:rsid w:val="00C97995"/>
    <w:rsid w:val="00CA182C"/>
    <w:rsid w:val="00CA3098"/>
    <w:rsid w:val="00CA6944"/>
    <w:rsid w:val="00CB048F"/>
    <w:rsid w:val="00CB0931"/>
    <w:rsid w:val="00CB14DB"/>
    <w:rsid w:val="00CB1907"/>
    <w:rsid w:val="00CB3366"/>
    <w:rsid w:val="00CB3D41"/>
    <w:rsid w:val="00CB5127"/>
    <w:rsid w:val="00CB7E1F"/>
    <w:rsid w:val="00CC146B"/>
    <w:rsid w:val="00CC2A12"/>
    <w:rsid w:val="00CC5F89"/>
    <w:rsid w:val="00CC673E"/>
    <w:rsid w:val="00CC7581"/>
    <w:rsid w:val="00CC7E08"/>
    <w:rsid w:val="00CE0A4D"/>
    <w:rsid w:val="00CE1B76"/>
    <w:rsid w:val="00CE4A26"/>
    <w:rsid w:val="00CE502B"/>
    <w:rsid w:val="00CE6038"/>
    <w:rsid w:val="00CF3568"/>
    <w:rsid w:val="00CF3939"/>
    <w:rsid w:val="00CF3B42"/>
    <w:rsid w:val="00CF63E9"/>
    <w:rsid w:val="00CF68F5"/>
    <w:rsid w:val="00CF7D2D"/>
    <w:rsid w:val="00D020F2"/>
    <w:rsid w:val="00D05EA1"/>
    <w:rsid w:val="00D06B62"/>
    <w:rsid w:val="00D0757D"/>
    <w:rsid w:val="00D17823"/>
    <w:rsid w:val="00D20E9D"/>
    <w:rsid w:val="00D21C8F"/>
    <w:rsid w:val="00D25CC2"/>
    <w:rsid w:val="00D276A3"/>
    <w:rsid w:val="00D35008"/>
    <w:rsid w:val="00D3599A"/>
    <w:rsid w:val="00D40D8D"/>
    <w:rsid w:val="00D41728"/>
    <w:rsid w:val="00D4443B"/>
    <w:rsid w:val="00D52211"/>
    <w:rsid w:val="00D534CD"/>
    <w:rsid w:val="00D53D3B"/>
    <w:rsid w:val="00D545FD"/>
    <w:rsid w:val="00D552EA"/>
    <w:rsid w:val="00D55376"/>
    <w:rsid w:val="00D562C9"/>
    <w:rsid w:val="00D60AD8"/>
    <w:rsid w:val="00D6197F"/>
    <w:rsid w:val="00D61EF6"/>
    <w:rsid w:val="00D6208A"/>
    <w:rsid w:val="00D62A05"/>
    <w:rsid w:val="00D65B3E"/>
    <w:rsid w:val="00D7082D"/>
    <w:rsid w:val="00D7150F"/>
    <w:rsid w:val="00D7270B"/>
    <w:rsid w:val="00D72B1B"/>
    <w:rsid w:val="00D72D8F"/>
    <w:rsid w:val="00D7559D"/>
    <w:rsid w:val="00D806E8"/>
    <w:rsid w:val="00D80B9C"/>
    <w:rsid w:val="00D82A21"/>
    <w:rsid w:val="00D84864"/>
    <w:rsid w:val="00D8588F"/>
    <w:rsid w:val="00D86C0F"/>
    <w:rsid w:val="00D93BB0"/>
    <w:rsid w:val="00D941C1"/>
    <w:rsid w:val="00D9429B"/>
    <w:rsid w:val="00DA139B"/>
    <w:rsid w:val="00DA17E3"/>
    <w:rsid w:val="00DA433A"/>
    <w:rsid w:val="00DA45F7"/>
    <w:rsid w:val="00DA6C99"/>
    <w:rsid w:val="00DA74EF"/>
    <w:rsid w:val="00DB14F6"/>
    <w:rsid w:val="00DB19AD"/>
    <w:rsid w:val="00DB5340"/>
    <w:rsid w:val="00DB7436"/>
    <w:rsid w:val="00DC4714"/>
    <w:rsid w:val="00DC5014"/>
    <w:rsid w:val="00DC6838"/>
    <w:rsid w:val="00DC7464"/>
    <w:rsid w:val="00DD04AB"/>
    <w:rsid w:val="00DD07CB"/>
    <w:rsid w:val="00DD1A63"/>
    <w:rsid w:val="00DD7E1B"/>
    <w:rsid w:val="00DE05E2"/>
    <w:rsid w:val="00DF1DD3"/>
    <w:rsid w:val="00DF214E"/>
    <w:rsid w:val="00E01173"/>
    <w:rsid w:val="00E01C11"/>
    <w:rsid w:val="00E04852"/>
    <w:rsid w:val="00E048F8"/>
    <w:rsid w:val="00E05BA7"/>
    <w:rsid w:val="00E05BC4"/>
    <w:rsid w:val="00E107B5"/>
    <w:rsid w:val="00E11408"/>
    <w:rsid w:val="00E11D0B"/>
    <w:rsid w:val="00E12D0D"/>
    <w:rsid w:val="00E136B4"/>
    <w:rsid w:val="00E13B5B"/>
    <w:rsid w:val="00E13E5D"/>
    <w:rsid w:val="00E16D00"/>
    <w:rsid w:val="00E20FBB"/>
    <w:rsid w:val="00E26D9C"/>
    <w:rsid w:val="00E31436"/>
    <w:rsid w:val="00E31DA8"/>
    <w:rsid w:val="00E34882"/>
    <w:rsid w:val="00E34D29"/>
    <w:rsid w:val="00E370E3"/>
    <w:rsid w:val="00E37B32"/>
    <w:rsid w:val="00E40E3A"/>
    <w:rsid w:val="00E424A0"/>
    <w:rsid w:val="00E43D6F"/>
    <w:rsid w:val="00E46470"/>
    <w:rsid w:val="00E503DB"/>
    <w:rsid w:val="00E51E8F"/>
    <w:rsid w:val="00E5249D"/>
    <w:rsid w:val="00E550BE"/>
    <w:rsid w:val="00E56071"/>
    <w:rsid w:val="00E60FC3"/>
    <w:rsid w:val="00E61DDC"/>
    <w:rsid w:val="00E64F9A"/>
    <w:rsid w:val="00E659CA"/>
    <w:rsid w:val="00E65EAE"/>
    <w:rsid w:val="00E7016E"/>
    <w:rsid w:val="00E70B3F"/>
    <w:rsid w:val="00E70F57"/>
    <w:rsid w:val="00E7268A"/>
    <w:rsid w:val="00E75F4A"/>
    <w:rsid w:val="00E82C06"/>
    <w:rsid w:val="00E86C50"/>
    <w:rsid w:val="00E90BD4"/>
    <w:rsid w:val="00E916B4"/>
    <w:rsid w:val="00E93BD1"/>
    <w:rsid w:val="00E93F6E"/>
    <w:rsid w:val="00E96580"/>
    <w:rsid w:val="00E973F6"/>
    <w:rsid w:val="00EA1D48"/>
    <w:rsid w:val="00EA596C"/>
    <w:rsid w:val="00EB1B51"/>
    <w:rsid w:val="00EB272D"/>
    <w:rsid w:val="00EB287C"/>
    <w:rsid w:val="00EB37EB"/>
    <w:rsid w:val="00EC035A"/>
    <w:rsid w:val="00EC0492"/>
    <w:rsid w:val="00EC1186"/>
    <w:rsid w:val="00EC49CE"/>
    <w:rsid w:val="00EC62D0"/>
    <w:rsid w:val="00EC7EED"/>
    <w:rsid w:val="00ED0A98"/>
    <w:rsid w:val="00ED0C89"/>
    <w:rsid w:val="00ED3576"/>
    <w:rsid w:val="00ED5A35"/>
    <w:rsid w:val="00ED65FA"/>
    <w:rsid w:val="00ED7A4F"/>
    <w:rsid w:val="00EE0578"/>
    <w:rsid w:val="00EE4023"/>
    <w:rsid w:val="00EE500A"/>
    <w:rsid w:val="00EF0869"/>
    <w:rsid w:val="00EF5912"/>
    <w:rsid w:val="00EF7BFA"/>
    <w:rsid w:val="00F02B01"/>
    <w:rsid w:val="00F037A7"/>
    <w:rsid w:val="00F04F5C"/>
    <w:rsid w:val="00F07EC7"/>
    <w:rsid w:val="00F102D9"/>
    <w:rsid w:val="00F1034A"/>
    <w:rsid w:val="00F1117F"/>
    <w:rsid w:val="00F11EC0"/>
    <w:rsid w:val="00F13335"/>
    <w:rsid w:val="00F158DE"/>
    <w:rsid w:val="00F20ED7"/>
    <w:rsid w:val="00F27CA1"/>
    <w:rsid w:val="00F31C20"/>
    <w:rsid w:val="00F324B4"/>
    <w:rsid w:val="00F3413D"/>
    <w:rsid w:val="00F35E35"/>
    <w:rsid w:val="00F370BF"/>
    <w:rsid w:val="00F40BD7"/>
    <w:rsid w:val="00F41154"/>
    <w:rsid w:val="00F4356B"/>
    <w:rsid w:val="00F44836"/>
    <w:rsid w:val="00F51C2D"/>
    <w:rsid w:val="00F525BA"/>
    <w:rsid w:val="00F53DA3"/>
    <w:rsid w:val="00F56C26"/>
    <w:rsid w:val="00F60F3F"/>
    <w:rsid w:val="00F62CA9"/>
    <w:rsid w:val="00F6378C"/>
    <w:rsid w:val="00F63F9D"/>
    <w:rsid w:val="00F65274"/>
    <w:rsid w:val="00F65A6C"/>
    <w:rsid w:val="00F65C0D"/>
    <w:rsid w:val="00F660AF"/>
    <w:rsid w:val="00F67C6C"/>
    <w:rsid w:val="00F707D9"/>
    <w:rsid w:val="00F71755"/>
    <w:rsid w:val="00F72639"/>
    <w:rsid w:val="00F729F6"/>
    <w:rsid w:val="00F74C04"/>
    <w:rsid w:val="00F75F8C"/>
    <w:rsid w:val="00F7782F"/>
    <w:rsid w:val="00F8059D"/>
    <w:rsid w:val="00F82EC6"/>
    <w:rsid w:val="00F84F72"/>
    <w:rsid w:val="00F901AA"/>
    <w:rsid w:val="00F921F7"/>
    <w:rsid w:val="00F94732"/>
    <w:rsid w:val="00FA5386"/>
    <w:rsid w:val="00FA5BD1"/>
    <w:rsid w:val="00FA7B7E"/>
    <w:rsid w:val="00FB1CBA"/>
    <w:rsid w:val="00FB1EA9"/>
    <w:rsid w:val="00FB2E20"/>
    <w:rsid w:val="00FB3277"/>
    <w:rsid w:val="00FC3D5D"/>
    <w:rsid w:val="00FC4873"/>
    <w:rsid w:val="00FC4C86"/>
    <w:rsid w:val="00FC51B6"/>
    <w:rsid w:val="00FC6773"/>
    <w:rsid w:val="00FD153C"/>
    <w:rsid w:val="00FD389F"/>
    <w:rsid w:val="00FD43B6"/>
    <w:rsid w:val="00FD7C03"/>
    <w:rsid w:val="00FE6453"/>
    <w:rsid w:val="00FE76C5"/>
    <w:rsid w:val="00FE7E01"/>
    <w:rsid w:val="00FF1DE2"/>
    <w:rsid w:val="00FF4677"/>
    <w:rsid w:val="00FF6FF2"/>
    <w:rsid w:val="00FF73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D7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31F7"/>
    <w:rPr>
      <w:sz w:val="24"/>
    </w:rPr>
  </w:style>
  <w:style w:type="paragraph" w:styleId="Heading1">
    <w:name w:val="heading 1"/>
    <w:basedOn w:val="Normal"/>
    <w:next w:val="Normal"/>
    <w:rsid w:val="00A631F7"/>
    <w:pPr>
      <w:keepNext/>
      <w:keepLines/>
      <w:numPr>
        <w:numId w:val="13"/>
      </w:numPr>
      <w:spacing w:before="480" w:after="0"/>
      <w:outlineLvl w:val="0"/>
    </w:pPr>
    <w:rPr>
      <w:rFonts w:eastAsia="Cambria" w:cs="Cambria"/>
      <w:b/>
      <w:color w:val="0070C0"/>
      <w:sz w:val="32"/>
      <w:szCs w:val="28"/>
    </w:rPr>
  </w:style>
  <w:style w:type="paragraph" w:styleId="Heading2">
    <w:name w:val="heading 2"/>
    <w:basedOn w:val="Normal"/>
    <w:next w:val="Normal"/>
    <w:link w:val="Heading2Char"/>
    <w:rsid w:val="00764E19"/>
    <w:pPr>
      <w:keepNext/>
      <w:numPr>
        <w:ilvl w:val="1"/>
        <w:numId w:val="13"/>
      </w:numPr>
      <w:spacing w:before="240" w:after="60" w:line="240" w:lineRule="auto"/>
      <w:ind w:left="9506"/>
      <w:outlineLvl w:val="1"/>
    </w:pPr>
    <w:rPr>
      <w:rFonts w:asciiTheme="majorHAnsi" w:eastAsia="Arial" w:hAnsiTheme="majorHAnsi" w:cs="Arial"/>
      <w:i/>
    </w:rPr>
  </w:style>
  <w:style w:type="paragraph" w:styleId="Heading3">
    <w:name w:val="heading 3"/>
    <w:basedOn w:val="Normal"/>
    <w:next w:val="Normal"/>
    <w:link w:val="Heading3Char"/>
    <w:rsid w:val="00F7782F"/>
    <w:pPr>
      <w:keepNext/>
      <w:keepLines/>
      <w:numPr>
        <w:ilvl w:val="2"/>
        <w:numId w:val="13"/>
      </w:numPr>
      <w:spacing w:before="280" w:after="80"/>
      <w:outlineLvl w:val="2"/>
    </w:pPr>
    <w:rPr>
      <w:rFonts w:asciiTheme="majorHAnsi" w:hAnsiTheme="majorHAnsi"/>
      <w:i/>
      <w:szCs w:val="28"/>
    </w:rPr>
  </w:style>
  <w:style w:type="paragraph" w:styleId="Heading4">
    <w:name w:val="heading 4"/>
    <w:basedOn w:val="Normal"/>
    <w:next w:val="Normal"/>
    <w:pPr>
      <w:keepNext/>
      <w:keepLines/>
      <w:numPr>
        <w:ilvl w:val="3"/>
        <w:numId w:val="13"/>
      </w:numPr>
      <w:spacing w:before="240" w:after="40"/>
      <w:outlineLvl w:val="3"/>
    </w:pPr>
    <w:rPr>
      <w:b/>
      <w:szCs w:val="24"/>
    </w:rPr>
  </w:style>
  <w:style w:type="paragraph" w:styleId="Heading5">
    <w:name w:val="heading 5"/>
    <w:basedOn w:val="Normal"/>
    <w:next w:val="Normal"/>
    <w:pPr>
      <w:keepNext/>
      <w:keepLines/>
      <w:numPr>
        <w:ilvl w:val="4"/>
        <w:numId w:val="13"/>
      </w:numPr>
      <w:spacing w:before="220" w:after="40"/>
      <w:outlineLvl w:val="4"/>
    </w:pPr>
    <w:rPr>
      <w:b/>
    </w:rPr>
  </w:style>
  <w:style w:type="paragraph" w:styleId="Heading6">
    <w:name w:val="heading 6"/>
    <w:basedOn w:val="Normal"/>
    <w:next w:val="Normal"/>
    <w:pPr>
      <w:keepNext/>
      <w:keepLines/>
      <w:numPr>
        <w:ilvl w:val="5"/>
        <w:numId w:val="13"/>
      </w:numPr>
      <w:spacing w:before="200" w:after="40"/>
      <w:outlineLvl w:val="5"/>
    </w:pPr>
    <w:rPr>
      <w:b/>
      <w:sz w:val="20"/>
      <w:szCs w:val="20"/>
    </w:rPr>
  </w:style>
  <w:style w:type="paragraph" w:styleId="Heading7">
    <w:name w:val="heading 7"/>
    <w:basedOn w:val="Normal"/>
    <w:next w:val="Normal"/>
    <w:link w:val="Heading7Char"/>
    <w:uiPriority w:val="9"/>
    <w:unhideWhenUsed/>
    <w:qFormat/>
    <w:rsid w:val="004D37F7"/>
    <w:pPr>
      <w:keepNext/>
      <w:keepLines/>
      <w:numPr>
        <w:ilvl w:val="6"/>
        <w:numId w:val="13"/>
      </w:numPr>
      <w:spacing w:before="40" w:after="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semiHidden/>
    <w:unhideWhenUsed/>
    <w:qFormat/>
    <w:rsid w:val="00F7782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782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1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C1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93FF0"/>
    <w:rPr>
      <w:b/>
      <w:bCs/>
    </w:rPr>
  </w:style>
  <w:style w:type="character" w:customStyle="1" w:styleId="CommentSubjectChar">
    <w:name w:val="Comment Subject Char"/>
    <w:basedOn w:val="CommentTextChar"/>
    <w:link w:val="CommentSubject"/>
    <w:uiPriority w:val="99"/>
    <w:semiHidden/>
    <w:rsid w:val="00293FF0"/>
    <w:rPr>
      <w:b/>
      <w:bCs/>
      <w:sz w:val="20"/>
      <w:szCs w:val="20"/>
    </w:rPr>
  </w:style>
  <w:style w:type="paragraph" w:styleId="ListParagraph">
    <w:name w:val="List Paragraph"/>
    <w:basedOn w:val="Normal"/>
    <w:uiPriority w:val="34"/>
    <w:qFormat/>
    <w:rsid w:val="00CF3568"/>
    <w:pPr>
      <w:ind w:left="720"/>
      <w:contextualSpacing/>
    </w:pPr>
  </w:style>
  <w:style w:type="paragraph" w:styleId="Revision">
    <w:name w:val="Revision"/>
    <w:hidden/>
    <w:uiPriority w:val="99"/>
    <w:semiHidden/>
    <w:rsid w:val="00E34D29"/>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Heading7Char">
    <w:name w:val="Heading 7 Char"/>
    <w:basedOn w:val="DefaultParagraphFont"/>
    <w:link w:val="Heading7"/>
    <w:uiPriority w:val="9"/>
    <w:rsid w:val="004D37F7"/>
    <w:rPr>
      <w:rFonts w:asciiTheme="majorHAnsi" w:eastAsiaTheme="majorEastAsia" w:hAnsiTheme="majorHAnsi" w:cstheme="majorBidi"/>
      <w:i/>
      <w:iCs/>
      <w:color w:val="4F81BD" w:themeColor="accent1"/>
      <w:sz w:val="24"/>
    </w:rPr>
  </w:style>
  <w:style w:type="character" w:customStyle="1" w:styleId="Heading8Char">
    <w:name w:val="Heading 8 Char"/>
    <w:basedOn w:val="DefaultParagraphFont"/>
    <w:link w:val="Heading8"/>
    <w:uiPriority w:val="9"/>
    <w:semiHidden/>
    <w:rsid w:val="00F7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782F"/>
    <w:rPr>
      <w:rFonts w:asciiTheme="majorHAnsi" w:eastAsiaTheme="majorEastAsia" w:hAnsiTheme="majorHAnsi" w:cstheme="majorBidi"/>
      <w:i/>
      <w:iCs/>
      <w:color w:val="272727" w:themeColor="text1" w:themeTint="D8"/>
      <w:sz w:val="21"/>
      <w:szCs w:val="21"/>
    </w:rPr>
  </w:style>
  <w:style w:type="paragraph" w:styleId="NoSpacing">
    <w:name w:val="No Spacing"/>
    <w:aliases w:val="Normal X"/>
    <w:link w:val="NoSpacingChar"/>
    <w:uiPriority w:val="1"/>
    <w:qFormat/>
    <w:rsid w:val="004B09BD"/>
    <w:pPr>
      <w:spacing w:after="0" w:line="480" w:lineRule="auto"/>
    </w:pPr>
    <w:rPr>
      <w:rFonts w:eastAsia="Times New Roman"/>
      <w:sz w:val="24"/>
    </w:rPr>
  </w:style>
  <w:style w:type="character" w:styleId="Hyperlink">
    <w:name w:val="Hyperlink"/>
    <w:basedOn w:val="DefaultParagraphFont"/>
    <w:uiPriority w:val="99"/>
    <w:unhideWhenUsed/>
    <w:rsid w:val="00A5087E"/>
    <w:rPr>
      <w:color w:val="0000FF"/>
      <w:u w:val="single"/>
    </w:rPr>
  </w:style>
  <w:style w:type="paragraph" w:customStyle="1" w:styleId="EndNoteBibliography">
    <w:name w:val="EndNote Bibliography"/>
    <w:basedOn w:val="Normal"/>
    <w:link w:val="EndNoteBibliographyChar"/>
    <w:rsid w:val="00D941C1"/>
    <w:pPr>
      <w:pBdr>
        <w:top w:val="none" w:sz="0" w:space="0" w:color="auto"/>
        <w:left w:val="none" w:sz="0" w:space="0" w:color="auto"/>
        <w:bottom w:val="none" w:sz="0" w:space="0" w:color="auto"/>
        <w:right w:val="none" w:sz="0" w:space="0" w:color="auto"/>
        <w:between w:val="none" w:sz="0" w:space="0" w:color="auto"/>
      </w:pBdr>
      <w:spacing w:after="160" w:line="480" w:lineRule="auto"/>
    </w:pPr>
    <w:rPr>
      <w:rFonts w:ascii="Times New Roman" w:eastAsiaTheme="minorHAnsi" w:hAnsi="Times New Roman" w:cs="Times New Roman"/>
      <w:noProof/>
      <w:color w:val="auto"/>
      <w:lang w:val="en-US" w:eastAsia="en-US"/>
    </w:rPr>
  </w:style>
  <w:style w:type="character" w:customStyle="1" w:styleId="EndNoteBibliographyChar">
    <w:name w:val="EndNote Bibliography Char"/>
    <w:basedOn w:val="DefaultParagraphFont"/>
    <w:link w:val="EndNoteBibliography"/>
    <w:rsid w:val="00D941C1"/>
    <w:rPr>
      <w:rFonts w:ascii="Times New Roman" w:eastAsiaTheme="minorHAnsi" w:hAnsi="Times New Roman" w:cs="Times New Roman"/>
      <w:noProof/>
      <w:color w:val="auto"/>
      <w:sz w:val="24"/>
      <w:lang w:val="en-US" w:eastAsia="en-US"/>
    </w:rPr>
  </w:style>
  <w:style w:type="paragraph" w:styleId="FootnoteText">
    <w:name w:val="footnote text"/>
    <w:basedOn w:val="Normal"/>
    <w:link w:val="FootnoteTextChar"/>
    <w:uiPriority w:val="99"/>
    <w:semiHidden/>
    <w:unhideWhenUsed/>
    <w:rsid w:val="00711D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DD1"/>
    <w:rPr>
      <w:sz w:val="20"/>
      <w:szCs w:val="20"/>
    </w:rPr>
  </w:style>
  <w:style w:type="character" w:styleId="FootnoteReference">
    <w:name w:val="footnote reference"/>
    <w:basedOn w:val="DefaultParagraphFont"/>
    <w:uiPriority w:val="99"/>
    <w:semiHidden/>
    <w:unhideWhenUsed/>
    <w:rsid w:val="00711DD1"/>
    <w:rPr>
      <w:vertAlign w:val="superscript"/>
    </w:rPr>
  </w:style>
  <w:style w:type="character" w:styleId="IntenseReference">
    <w:name w:val="Intense Reference"/>
    <w:basedOn w:val="DefaultParagraphFont"/>
    <w:uiPriority w:val="32"/>
    <w:qFormat/>
    <w:rsid w:val="004F467C"/>
    <w:rPr>
      <w:b/>
      <w:bCs/>
      <w:smallCaps/>
      <w:color w:val="4F81BD" w:themeColor="accent1"/>
      <w:spacing w:val="5"/>
    </w:rPr>
  </w:style>
  <w:style w:type="character" w:styleId="IntenseEmphasis">
    <w:name w:val="Intense Emphasis"/>
    <w:basedOn w:val="DefaultParagraphFont"/>
    <w:uiPriority w:val="21"/>
    <w:qFormat/>
    <w:rsid w:val="004D37F7"/>
    <w:rPr>
      <w:rFonts w:ascii="Calibri" w:hAnsi="Calibri"/>
      <w:b/>
      <w:i w:val="0"/>
      <w:iCs/>
      <w:color w:val="4F81BD" w:themeColor="accent1"/>
      <w:sz w:val="28"/>
    </w:rPr>
  </w:style>
  <w:style w:type="character" w:styleId="Emphasis">
    <w:name w:val="Emphasis"/>
    <w:basedOn w:val="DefaultParagraphFont"/>
    <w:uiPriority w:val="20"/>
    <w:qFormat/>
    <w:rsid w:val="0092710D"/>
    <w:rPr>
      <w:i/>
      <w:iCs/>
    </w:rPr>
  </w:style>
  <w:style w:type="character" w:customStyle="1" w:styleId="citation-title">
    <w:name w:val="citation-title"/>
    <w:basedOn w:val="DefaultParagraphFont"/>
    <w:rsid w:val="0092710D"/>
  </w:style>
  <w:style w:type="character" w:customStyle="1" w:styleId="citation">
    <w:name w:val="citation"/>
    <w:basedOn w:val="DefaultParagraphFont"/>
    <w:rsid w:val="0092710D"/>
  </w:style>
  <w:style w:type="character" w:customStyle="1" w:styleId="pubyear">
    <w:name w:val="pubyear"/>
    <w:basedOn w:val="DefaultParagraphFont"/>
    <w:rsid w:val="0092710D"/>
  </w:style>
  <w:style w:type="character" w:customStyle="1" w:styleId="volume">
    <w:name w:val="volume"/>
    <w:basedOn w:val="DefaultParagraphFont"/>
    <w:rsid w:val="0092710D"/>
  </w:style>
  <w:style w:type="character" w:styleId="BookTitle">
    <w:name w:val="Book Title"/>
    <w:basedOn w:val="DefaultParagraphFont"/>
    <w:uiPriority w:val="33"/>
    <w:qFormat/>
    <w:rsid w:val="007B095C"/>
    <w:rPr>
      <w:b/>
      <w:bCs/>
      <w:i/>
      <w:iCs/>
      <w:spacing w:val="5"/>
    </w:rPr>
  </w:style>
  <w:style w:type="paragraph" w:customStyle="1" w:styleId="Style1">
    <w:name w:val="Style1"/>
    <w:basedOn w:val="NoSpacing"/>
    <w:link w:val="Style1Char"/>
    <w:qFormat/>
    <w:rsid w:val="004B09BD"/>
    <w:pPr>
      <w:numPr>
        <w:numId w:val="18"/>
      </w:numPr>
      <w:ind w:left="431" w:hanging="431"/>
    </w:pPr>
    <w:rPr>
      <w:b/>
      <w:sz w:val="28"/>
    </w:rPr>
  </w:style>
  <w:style w:type="character" w:customStyle="1" w:styleId="NoSpacingChar">
    <w:name w:val="No Spacing Char"/>
    <w:aliases w:val="Normal X Char"/>
    <w:basedOn w:val="DefaultParagraphFont"/>
    <w:link w:val="NoSpacing"/>
    <w:uiPriority w:val="1"/>
    <w:rsid w:val="004B09BD"/>
    <w:rPr>
      <w:rFonts w:eastAsia="Times New Roman"/>
      <w:sz w:val="24"/>
    </w:rPr>
  </w:style>
  <w:style w:type="character" w:customStyle="1" w:styleId="Style1Char">
    <w:name w:val="Style1 Char"/>
    <w:basedOn w:val="NoSpacingChar"/>
    <w:link w:val="Style1"/>
    <w:rsid w:val="004B09BD"/>
    <w:rPr>
      <w:rFonts w:eastAsia="Times New Roman"/>
      <w:b/>
      <w:sz w:val="28"/>
    </w:rPr>
  </w:style>
  <w:style w:type="paragraph" w:customStyle="1" w:styleId="Default">
    <w:name w:val="Default"/>
    <w:rsid w:val="00F411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Dubai" w:hAnsi="Dubai" w:cs="Dubai"/>
      <w:sz w:val="24"/>
      <w:szCs w:val="24"/>
    </w:rPr>
  </w:style>
  <w:style w:type="paragraph" w:customStyle="1" w:styleId="Style2">
    <w:name w:val="Style2"/>
    <w:basedOn w:val="Heading2"/>
    <w:link w:val="Style2Char"/>
    <w:qFormat/>
    <w:rsid w:val="004B09BD"/>
    <w:pPr>
      <w:numPr>
        <w:numId w:val="18"/>
      </w:numPr>
      <w:spacing w:before="0" w:after="0" w:line="480" w:lineRule="auto"/>
      <w:ind w:left="578" w:hanging="578"/>
    </w:pPr>
    <w:rPr>
      <w:b/>
    </w:rPr>
  </w:style>
  <w:style w:type="paragraph" w:customStyle="1" w:styleId="Style3">
    <w:name w:val="Style3"/>
    <w:basedOn w:val="Heading3"/>
    <w:link w:val="Style3Char"/>
    <w:qFormat/>
    <w:rsid w:val="004B09BD"/>
    <w:pPr>
      <w:numPr>
        <w:numId w:val="18"/>
      </w:numPr>
      <w:spacing w:before="0" w:after="0" w:line="480" w:lineRule="auto"/>
    </w:pPr>
  </w:style>
  <w:style w:type="character" w:customStyle="1" w:styleId="Heading2Char">
    <w:name w:val="Heading 2 Char"/>
    <w:basedOn w:val="DefaultParagraphFont"/>
    <w:link w:val="Heading2"/>
    <w:rsid w:val="00011A7A"/>
    <w:rPr>
      <w:rFonts w:asciiTheme="majorHAnsi" w:eastAsia="Arial" w:hAnsiTheme="majorHAnsi" w:cs="Arial"/>
      <w:i/>
      <w:sz w:val="24"/>
    </w:rPr>
  </w:style>
  <w:style w:type="character" w:customStyle="1" w:styleId="Style2Char">
    <w:name w:val="Style2 Char"/>
    <w:basedOn w:val="Heading2Char"/>
    <w:link w:val="Style2"/>
    <w:rsid w:val="004B09BD"/>
    <w:rPr>
      <w:rFonts w:asciiTheme="majorHAnsi" w:eastAsia="Arial" w:hAnsiTheme="majorHAnsi" w:cs="Arial"/>
      <w:b/>
      <w:i/>
      <w:sz w:val="24"/>
    </w:rPr>
  </w:style>
  <w:style w:type="paragraph" w:customStyle="1" w:styleId="tableheading">
    <w:name w:val="table heading"/>
    <w:basedOn w:val="Normal"/>
    <w:link w:val="tableheadingChar"/>
    <w:qFormat/>
    <w:rsid w:val="00011A7A"/>
    <w:pPr>
      <w:spacing w:after="120"/>
    </w:pPr>
    <w:rPr>
      <w:rFonts w:asciiTheme="majorHAnsi" w:eastAsia="Times New Roman" w:hAnsiTheme="majorHAnsi" w:cstheme="majorHAnsi"/>
    </w:rPr>
  </w:style>
  <w:style w:type="character" w:customStyle="1" w:styleId="Heading3Char">
    <w:name w:val="Heading 3 Char"/>
    <w:basedOn w:val="DefaultParagraphFont"/>
    <w:link w:val="Heading3"/>
    <w:rsid w:val="00011A7A"/>
    <w:rPr>
      <w:rFonts w:asciiTheme="majorHAnsi" w:hAnsiTheme="majorHAnsi"/>
      <w:i/>
      <w:sz w:val="24"/>
      <w:szCs w:val="28"/>
    </w:rPr>
  </w:style>
  <w:style w:type="character" w:customStyle="1" w:styleId="Style3Char">
    <w:name w:val="Style3 Char"/>
    <w:basedOn w:val="Heading3Char"/>
    <w:link w:val="Style3"/>
    <w:rsid w:val="004B09BD"/>
    <w:rPr>
      <w:rFonts w:asciiTheme="majorHAnsi" w:hAnsiTheme="majorHAnsi"/>
      <w:i/>
      <w:sz w:val="24"/>
      <w:szCs w:val="28"/>
    </w:rPr>
  </w:style>
  <w:style w:type="character" w:styleId="SubtleEmphasis">
    <w:name w:val="Subtle Emphasis"/>
    <w:basedOn w:val="DefaultParagraphFont"/>
    <w:uiPriority w:val="19"/>
    <w:qFormat/>
    <w:rsid w:val="00B36867"/>
    <w:rPr>
      <w:i/>
      <w:iCs/>
      <w:color w:val="404040" w:themeColor="text1" w:themeTint="BF"/>
    </w:rPr>
  </w:style>
  <w:style w:type="character" w:customStyle="1" w:styleId="tableheadingChar">
    <w:name w:val="table heading Char"/>
    <w:basedOn w:val="DefaultParagraphFont"/>
    <w:link w:val="tableheading"/>
    <w:rsid w:val="00011A7A"/>
    <w:rPr>
      <w:rFonts w:asciiTheme="majorHAnsi" w:eastAsia="Times New Roman" w:hAnsiTheme="majorHAnsi" w:cstheme="majorHAnsi"/>
      <w:sz w:val="24"/>
    </w:rPr>
  </w:style>
  <w:style w:type="character" w:styleId="FollowedHyperlink">
    <w:name w:val="FollowedHyperlink"/>
    <w:basedOn w:val="DefaultParagraphFont"/>
    <w:uiPriority w:val="99"/>
    <w:semiHidden/>
    <w:unhideWhenUsed/>
    <w:rsid w:val="00C30D0C"/>
    <w:rPr>
      <w:color w:val="800080" w:themeColor="followedHyperlink"/>
      <w:u w:val="single"/>
    </w:rPr>
  </w:style>
  <w:style w:type="character" w:customStyle="1" w:styleId="UnresolvedMention1">
    <w:name w:val="Unresolved Mention1"/>
    <w:basedOn w:val="DefaultParagraphFont"/>
    <w:uiPriority w:val="99"/>
    <w:semiHidden/>
    <w:unhideWhenUsed/>
    <w:rsid w:val="00D562C9"/>
    <w:rPr>
      <w:color w:val="605E5C"/>
      <w:shd w:val="clear" w:color="auto" w:fill="E1DFDD"/>
    </w:rPr>
  </w:style>
  <w:style w:type="character" w:styleId="LineNumber">
    <w:name w:val="line number"/>
    <w:basedOn w:val="DefaultParagraphFont"/>
    <w:uiPriority w:val="99"/>
    <w:semiHidden/>
    <w:unhideWhenUsed/>
    <w:rsid w:val="00E43D6F"/>
  </w:style>
  <w:style w:type="character" w:styleId="Strong">
    <w:name w:val="Strong"/>
    <w:basedOn w:val="DefaultParagraphFont"/>
    <w:uiPriority w:val="22"/>
    <w:qFormat/>
    <w:rsid w:val="005075B8"/>
    <w:rPr>
      <w:b/>
      <w:bCs/>
    </w:rPr>
  </w:style>
  <w:style w:type="table" w:styleId="TableGrid">
    <w:name w:val="Table Grid"/>
    <w:basedOn w:val="TableNormal"/>
    <w:uiPriority w:val="59"/>
    <w:rsid w:val="0054214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22B0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GB" w:eastAsia="en-GB" w:bidi="ar-SA"/>
      </w:rPr>
    </w:rPrDefault>
    <w:pPrDefault>
      <w:pPr>
        <w:pBdr>
          <w:top w:val="nil"/>
          <w:left w:val="nil"/>
          <w:bottom w:val="nil"/>
          <w:right w:val="nil"/>
          <w:between w:val="nil"/>
        </w:pBd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631F7"/>
    <w:rPr>
      <w:sz w:val="24"/>
    </w:rPr>
  </w:style>
  <w:style w:type="paragraph" w:styleId="Heading1">
    <w:name w:val="heading 1"/>
    <w:basedOn w:val="Normal"/>
    <w:next w:val="Normal"/>
    <w:rsid w:val="00A631F7"/>
    <w:pPr>
      <w:keepNext/>
      <w:keepLines/>
      <w:numPr>
        <w:numId w:val="13"/>
      </w:numPr>
      <w:spacing w:before="480" w:after="0"/>
      <w:outlineLvl w:val="0"/>
    </w:pPr>
    <w:rPr>
      <w:rFonts w:eastAsia="Cambria" w:cs="Cambria"/>
      <w:b/>
      <w:color w:val="0070C0"/>
      <w:sz w:val="32"/>
      <w:szCs w:val="28"/>
    </w:rPr>
  </w:style>
  <w:style w:type="paragraph" w:styleId="Heading2">
    <w:name w:val="heading 2"/>
    <w:basedOn w:val="Normal"/>
    <w:next w:val="Normal"/>
    <w:link w:val="Heading2Char"/>
    <w:rsid w:val="00764E19"/>
    <w:pPr>
      <w:keepNext/>
      <w:numPr>
        <w:ilvl w:val="1"/>
        <w:numId w:val="13"/>
      </w:numPr>
      <w:spacing w:before="240" w:after="60" w:line="240" w:lineRule="auto"/>
      <w:ind w:left="9506"/>
      <w:outlineLvl w:val="1"/>
    </w:pPr>
    <w:rPr>
      <w:rFonts w:asciiTheme="majorHAnsi" w:eastAsia="Arial" w:hAnsiTheme="majorHAnsi" w:cs="Arial"/>
      <w:i/>
    </w:rPr>
  </w:style>
  <w:style w:type="paragraph" w:styleId="Heading3">
    <w:name w:val="heading 3"/>
    <w:basedOn w:val="Normal"/>
    <w:next w:val="Normal"/>
    <w:link w:val="Heading3Char"/>
    <w:rsid w:val="00F7782F"/>
    <w:pPr>
      <w:keepNext/>
      <w:keepLines/>
      <w:numPr>
        <w:ilvl w:val="2"/>
        <w:numId w:val="13"/>
      </w:numPr>
      <w:spacing w:before="280" w:after="80"/>
      <w:outlineLvl w:val="2"/>
    </w:pPr>
    <w:rPr>
      <w:rFonts w:asciiTheme="majorHAnsi" w:hAnsiTheme="majorHAnsi"/>
      <w:i/>
      <w:szCs w:val="28"/>
    </w:rPr>
  </w:style>
  <w:style w:type="paragraph" w:styleId="Heading4">
    <w:name w:val="heading 4"/>
    <w:basedOn w:val="Normal"/>
    <w:next w:val="Normal"/>
    <w:pPr>
      <w:keepNext/>
      <w:keepLines/>
      <w:numPr>
        <w:ilvl w:val="3"/>
        <w:numId w:val="13"/>
      </w:numPr>
      <w:spacing w:before="240" w:after="40"/>
      <w:outlineLvl w:val="3"/>
    </w:pPr>
    <w:rPr>
      <w:b/>
      <w:szCs w:val="24"/>
    </w:rPr>
  </w:style>
  <w:style w:type="paragraph" w:styleId="Heading5">
    <w:name w:val="heading 5"/>
    <w:basedOn w:val="Normal"/>
    <w:next w:val="Normal"/>
    <w:pPr>
      <w:keepNext/>
      <w:keepLines/>
      <w:numPr>
        <w:ilvl w:val="4"/>
        <w:numId w:val="13"/>
      </w:numPr>
      <w:spacing w:before="220" w:after="40"/>
      <w:outlineLvl w:val="4"/>
    </w:pPr>
    <w:rPr>
      <w:b/>
    </w:rPr>
  </w:style>
  <w:style w:type="paragraph" w:styleId="Heading6">
    <w:name w:val="heading 6"/>
    <w:basedOn w:val="Normal"/>
    <w:next w:val="Normal"/>
    <w:pPr>
      <w:keepNext/>
      <w:keepLines/>
      <w:numPr>
        <w:ilvl w:val="5"/>
        <w:numId w:val="13"/>
      </w:numPr>
      <w:spacing w:before="200" w:after="40"/>
      <w:outlineLvl w:val="5"/>
    </w:pPr>
    <w:rPr>
      <w:b/>
      <w:sz w:val="20"/>
      <w:szCs w:val="20"/>
    </w:rPr>
  </w:style>
  <w:style w:type="paragraph" w:styleId="Heading7">
    <w:name w:val="heading 7"/>
    <w:basedOn w:val="Normal"/>
    <w:next w:val="Normal"/>
    <w:link w:val="Heading7Char"/>
    <w:uiPriority w:val="9"/>
    <w:unhideWhenUsed/>
    <w:qFormat/>
    <w:rsid w:val="004D37F7"/>
    <w:pPr>
      <w:keepNext/>
      <w:keepLines/>
      <w:numPr>
        <w:ilvl w:val="6"/>
        <w:numId w:val="13"/>
      </w:numPr>
      <w:spacing w:before="40" w:after="0"/>
      <w:outlineLvl w:val="6"/>
    </w:pPr>
    <w:rPr>
      <w:rFonts w:asciiTheme="majorHAnsi" w:eastAsiaTheme="majorEastAsia" w:hAnsiTheme="majorHAnsi" w:cstheme="majorBidi"/>
      <w:i/>
      <w:iCs/>
      <w:color w:val="4F81BD" w:themeColor="accent1"/>
    </w:rPr>
  </w:style>
  <w:style w:type="paragraph" w:styleId="Heading8">
    <w:name w:val="heading 8"/>
    <w:basedOn w:val="Normal"/>
    <w:next w:val="Normal"/>
    <w:link w:val="Heading8Char"/>
    <w:uiPriority w:val="9"/>
    <w:semiHidden/>
    <w:unhideWhenUsed/>
    <w:qFormat/>
    <w:rsid w:val="00F7782F"/>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7782F"/>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12">
    <w:name w:val="12"/>
    <w:basedOn w:val="TableNormal"/>
    <w:tblPr>
      <w:tblStyleRowBandSize w:val="1"/>
      <w:tblStyleColBandSize w:val="1"/>
      <w:tblCellMar>
        <w:left w:w="0" w:type="dxa"/>
        <w:right w:w="0" w:type="dxa"/>
      </w:tblCellMar>
    </w:tblPr>
  </w:style>
  <w:style w:type="table" w:customStyle="1" w:styleId="11">
    <w:name w:val="11"/>
    <w:basedOn w:val="TableNormal"/>
    <w:pPr>
      <w:spacing w:after="0" w:line="240" w:lineRule="auto"/>
    </w:pPr>
    <w:tblPr>
      <w:tblStyleRowBandSize w:val="1"/>
      <w:tblStyleColBandSize w:val="1"/>
    </w:tblPr>
  </w:style>
  <w:style w:type="table" w:customStyle="1" w:styleId="10">
    <w:name w:val="10"/>
    <w:basedOn w:val="TableNormal"/>
    <w:tblPr>
      <w:tblStyleRowBandSize w:val="1"/>
      <w:tblStyleColBandSize w:val="1"/>
      <w:tblCellMar>
        <w:left w:w="0" w:type="dxa"/>
        <w:right w:w="0" w:type="dxa"/>
      </w:tblCellMar>
    </w:tblPr>
  </w:style>
  <w:style w:type="table" w:customStyle="1" w:styleId="9">
    <w:name w:val="9"/>
    <w:basedOn w:val="TableNormal"/>
    <w:pPr>
      <w:spacing w:after="0" w:line="240" w:lineRule="auto"/>
    </w:pPr>
    <w:tblPr>
      <w:tblStyleRowBandSize w:val="1"/>
      <w:tblStyleColBandSize w:val="1"/>
    </w:tblPr>
  </w:style>
  <w:style w:type="table" w:customStyle="1" w:styleId="8">
    <w:name w:val="8"/>
    <w:basedOn w:val="TableNormal"/>
    <w:tblPr>
      <w:tblStyleRowBandSize w:val="1"/>
      <w:tblStyleColBandSize w:val="1"/>
      <w:tblCellMar>
        <w:left w:w="0" w:type="dxa"/>
        <w:right w:w="0" w:type="dxa"/>
      </w:tblCellMar>
    </w:tblPr>
  </w:style>
  <w:style w:type="table" w:customStyle="1" w:styleId="7">
    <w:name w:val="7"/>
    <w:basedOn w:val="TableNormal"/>
    <w:pPr>
      <w:spacing w:after="0" w:line="240" w:lineRule="auto"/>
    </w:pPr>
    <w:tblPr>
      <w:tblStyleRowBandSize w:val="1"/>
      <w:tblStyleColBandSize w:val="1"/>
    </w:tblPr>
  </w:style>
  <w:style w:type="table" w:customStyle="1" w:styleId="6">
    <w:name w:val="6"/>
    <w:basedOn w:val="TableNormal"/>
    <w:pPr>
      <w:spacing w:after="0" w:line="240" w:lineRule="auto"/>
    </w:pPr>
    <w:tblPr>
      <w:tblStyleRowBandSize w:val="1"/>
      <w:tblStyleColBandSize w:val="1"/>
    </w:tblPr>
  </w:style>
  <w:style w:type="table" w:customStyle="1" w:styleId="5">
    <w:name w:val="5"/>
    <w:basedOn w:val="TableNormal"/>
    <w:tblPr>
      <w:tblStyleRowBandSize w:val="1"/>
      <w:tblStyleColBandSize w:val="1"/>
      <w:tblCellMar>
        <w:left w:w="0" w:type="dxa"/>
        <w:right w:w="0" w:type="dxa"/>
      </w:tblCellMar>
    </w:tblPr>
  </w:style>
  <w:style w:type="table" w:customStyle="1" w:styleId="4">
    <w:name w:val="4"/>
    <w:basedOn w:val="TableNormal"/>
    <w:pPr>
      <w:spacing w:after="0" w:line="240" w:lineRule="auto"/>
    </w:pPr>
    <w:tblPr>
      <w:tblStyleRowBandSize w:val="1"/>
      <w:tblStyleColBandSize w:val="1"/>
    </w:tblPr>
  </w:style>
  <w:style w:type="table" w:customStyle="1" w:styleId="3">
    <w:name w:val="3"/>
    <w:basedOn w:val="TableNormal"/>
    <w:pPr>
      <w:spacing w:after="0" w:line="240" w:lineRule="auto"/>
    </w:pPr>
    <w:tblPr>
      <w:tblStyleRowBandSize w:val="1"/>
      <w:tblStyleColBandSize w:val="1"/>
    </w:tblPr>
  </w:style>
  <w:style w:type="table" w:customStyle="1" w:styleId="2">
    <w:name w:val="2"/>
    <w:basedOn w:val="TableNormal"/>
    <w:tblPr>
      <w:tblStyleRowBandSize w:val="1"/>
      <w:tblStyleColBandSize w:val="1"/>
      <w:tblCellMar>
        <w:left w:w="0" w:type="dxa"/>
        <w:right w:w="0" w:type="dxa"/>
      </w:tblCellMar>
    </w:tblPr>
  </w:style>
  <w:style w:type="table" w:customStyle="1" w:styleId="1">
    <w:name w:val="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01C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1C11"/>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293FF0"/>
    <w:rPr>
      <w:b/>
      <w:bCs/>
    </w:rPr>
  </w:style>
  <w:style w:type="character" w:customStyle="1" w:styleId="CommentSubjectChar">
    <w:name w:val="Comment Subject Char"/>
    <w:basedOn w:val="CommentTextChar"/>
    <w:link w:val="CommentSubject"/>
    <w:uiPriority w:val="99"/>
    <w:semiHidden/>
    <w:rsid w:val="00293FF0"/>
    <w:rPr>
      <w:b/>
      <w:bCs/>
      <w:sz w:val="20"/>
      <w:szCs w:val="20"/>
    </w:rPr>
  </w:style>
  <w:style w:type="paragraph" w:styleId="ListParagraph">
    <w:name w:val="List Paragraph"/>
    <w:basedOn w:val="Normal"/>
    <w:uiPriority w:val="34"/>
    <w:qFormat/>
    <w:rsid w:val="00CF3568"/>
    <w:pPr>
      <w:ind w:left="720"/>
      <w:contextualSpacing/>
    </w:pPr>
  </w:style>
  <w:style w:type="paragraph" w:styleId="Revision">
    <w:name w:val="Revision"/>
    <w:hidden/>
    <w:uiPriority w:val="99"/>
    <w:semiHidden/>
    <w:rsid w:val="00E34D29"/>
    <w:pPr>
      <w:pBdr>
        <w:top w:val="none" w:sz="0" w:space="0" w:color="auto"/>
        <w:left w:val="none" w:sz="0" w:space="0" w:color="auto"/>
        <w:bottom w:val="none" w:sz="0" w:space="0" w:color="auto"/>
        <w:right w:val="none" w:sz="0" w:space="0" w:color="auto"/>
        <w:between w:val="none" w:sz="0" w:space="0" w:color="auto"/>
      </w:pBdr>
      <w:spacing w:after="0" w:line="240" w:lineRule="auto"/>
    </w:pPr>
  </w:style>
  <w:style w:type="character" w:customStyle="1" w:styleId="Heading7Char">
    <w:name w:val="Heading 7 Char"/>
    <w:basedOn w:val="DefaultParagraphFont"/>
    <w:link w:val="Heading7"/>
    <w:uiPriority w:val="9"/>
    <w:rsid w:val="004D37F7"/>
    <w:rPr>
      <w:rFonts w:asciiTheme="majorHAnsi" w:eastAsiaTheme="majorEastAsia" w:hAnsiTheme="majorHAnsi" w:cstheme="majorBidi"/>
      <w:i/>
      <w:iCs/>
      <w:color w:val="4F81BD" w:themeColor="accent1"/>
      <w:sz w:val="24"/>
    </w:rPr>
  </w:style>
  <w:style w:type="character" w:customStyle="1" w:styleId="Heading8Char">
    <w:name w:val="Heading 8 Char"/>
    <w:basedOn w:val="DefaultParagraphFont"/>
    <w:link w:val="Heading8"/>
    <w:uiPriority w:val="9"/>
    <w:semiHidden/>
    <w:rsid w:val="00F7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7782F"/>
    <w:rPr>
      <w:rFonts w:asciiTheme="majorHAnsi" w:eastAsiaTheme="majorEastAsia" w:hAnsiTheme="majorHAnsi" w:cstheme="majorBidi"/>
      <w:i/>
      <w:iCs/>
      <w:color w:val="272727" w:themeColor="text1" w:themeTint="D8"/>
      <w:sz w:val="21"/>
      <w:szCs w:val="21"/>
    </w:rPr>
  </w:style>
  <w:style w:type="paragraph" w:styleId="NoSpacing">
    <w:name w:val="No Spacing"/>
    <w:aliases w:val="Normal X"/>
    <w:link w:val="NoSpacingChar"/>
    <w:uiPriority w:val="1"/>
    <w:qFormat/>
    <w:rsid w:val="004B09BD"/>
    <w:pPr>
      <w:spacing w:after="0" w:line="480" w:lineRule="auto"/>
    </w:pPr>
    <w:rPr>
      <w:rFonts w:eastAsia="Times New Roman"/>
      <w:sz w:val="24"/>
    </w:rPr>
  </w:style>
  <w:style w:type="character" w:styleId="Hyperlink">
    <w:name w:val="Hyperlink"/>
    <w:basedOn w:val="DefaultParagraphFont"/>
    <w:uiPriority w:val="99"/>
    <w:unhideWhenUsed/>
    <w:rsid w:val="00A5087E"/>
    <w:rPr>
      <w:color w:val="0000FF"/>
      <w:u w:val="single"/>
    </w:rPr>
  </w:style>
  <w:style w:type="paragraph" w:customStyle="1" w:styleId="EndNoteBibliography">
    <w:name w:val="EndNote Bibliography"/>
    <w:basedOn w:val="Normal"/>
    <w:link w:val="EndNoteBibliographyChar"/>
    <w:rsid w:val="00D941C1"/>
    <w:pPr>
      <w:pBdr>
        <w:top w:val="none" w:sz="0" w:space="0" w:color="auto"/>
        <w:left w:val="none" w:sz="0" w:space="0" w:color="auto"/>
        <w:bottom w:val="none" w:sz="0" w:space="0" w:color="auto"/>
        <w:right w:val="none" w:sz="0" w:space="0" w:color="auto"/>
        <w:between w:val="none" w:sz="0" w:space="0" w:color="auto"/>
      </w:pBdr>
      <w:spacing w:after="160" w:line="480" w:lineRule="auto"/>
    </w:pPr>
    <w:rPr>
      <w:rFonts w:ascii="Times New Roman" w:eastAsiaTheme="minorHAnsi" w:hAnsi="Times New Roman" w:cs="Times New Roman"/>
      <w:noProof/>
      <w:color w:val="auto"/>
      <w:lang w:val="en-US" w:eastAsia="en-US"/>
    </w:rPr>
  </w:style>
  <w:style w:type="character" w:customStyle="1" w:styleId="EndNoteBibliographyChar">
    <w:name w:val="EndNote Bibliography Char"/>
    <w:basedOn w:val="DefaultParagraphFont"/>
    <w:link w:val="EndNoteBibliography"/>
    <w:rsid w:val="00D941C1"/>
    <w:rPr>
      <w:rFonts w:ascii="Times New Roman" w:eastAsiaTheme="minorHAnsi" w:hAnsi="Times New Roman" w:cs="Times New Roman"/>
      <w:noProof/>
      <w:color w:val="auto"/>
      <w:sz w:val="24"/>
      <w:lang w:val="en-US" w:eastAsia="en-US"/>
    </w:rPr>
  </w:style>
  <w:style w:type="paragraph" w:styleId="FootnoteText">
    <w:name w:val="footnote text"/>
    <w:basedOn w:val="Normal"/>
    <w:link w:val="FootnoteTextChar"/>
    <w:uiPriority w:val="99"/>
    <w:semiHidden/>
    <w:unhideWhenUsed/>
    <w:rsid w:val="00711DD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1DD1"/>
    <w:rPr>
      <w:sz w:val="20"/>
      <w:szCs w:val="20"/>
    </w:rPr>
  </w:style>
  <w:style w:type="character" w:styleId="FootnoteReference">
    <w:name w:val="footnote reference"/>
    <w:basedOn w:val="DefaultParagraphFont"/>
    <w:uiPriority w:val="99"/>
    <w:semiHidden/>
    <w:unhideWhenUsed/>
    <w:rsid w:val="00711DD1"/>
    <w:rPr>
      <w:vertAlign w:val="superscript"/>
    </w:rPr>
  </w:style>
  <w:style w:type="character" w:styleId="IntenseReference">
    <w:name w:val="Intense Reference"/>
    <w:basedOn w:val="DefaultParagraphFont"/>
    <w:uiPriority w:val="32"/>
    <w:qFormat/>
    <w:rsid w:val="004F467C"/>
    <w:rPr>
      <w:b/>
      <w:bCs/>
      <w:smallCaps/>
      <w:color w:val="4F81BD" w:themeColor="accent1"/>
      <w:spacing w:val="5"/>
    </w:rPr>
  </w:style>
  <w:style w:type="character" w:styleId="IntenseEmphasis">
    <w:name w:val="Intense Emphasis"/>
    <w:basedOn w:val="DefaultParagraphFont"/>
    <w:uiPriority w:val="21"/>
    <w:qFormat/>
    <w:rsid w:val="004D37F7"/>
    <w:rPr>
      <w:rFonts w:ascii="Calibri" w:hAnsi="Calibri"/>
      <w:b/>
      <w:i w:val="0"/>
      <w:iCs/>
      <w:color w:val="4F81BD" w:themeColor="accent1"/>
      <w:sz w:val="28"/>
    </w:rPr>
  </w:style>
  <w:style w:type="character" w:styleId="Emphasis">
    <w:name w:val="Emphasis"/>
    <w:basedOn w:val="DefaultParagraphFont"/>
    <w:uiPriority w:val="20"/>
    <w:qFormat/>
    <w:rsid w:val="0092710D"/>
    <w:rPr>
      <w:i/>
      <w:iCs/>
    </w:rPr>
  </w:style>
  <w:style w:type="character" w:customStyle="1" w:styleId="citation-title">
    <w:name w:val="citation-title"/>
    <w:basedOn w:val="DefaultParagraphFont"/>
    <w:rsid w:val="0092710D"/>
  </w:style>
  <w:style w:type="character" w:customStyle="1" w:styleId="citation">
    <w:name w:val="citation"/>
    <w:basedOn w:val="DefaultParagraphFont"/>
    <w:rsid w:val="0092710D"/>
  </w:style>
  <w:style w:type="character" w:customStyle="1" w:styleId="pubyear">
    <w:name w:val="pubyear"/>
    <w:basedOn w:val="DefaultParagraphFont"/>
    <w:rsid w:val="0092710D"/>
  </w:style>
  <w:style w:type="character" w:customStyle="1" w:styleId="volume">
    <w:name w:val="volume"/>
    <w:basedOn w:val="DefaultParagraphFont"/>
    <w:rsid w:val="0092710D"/>
  </w:style>
  <w:style w:type="character" w:styleId="BookTitle">
    <w:name w:val="Book Title"/>
    <w:basedOn w:val="DefaultParagraphFont"/>
    <w:uiPriority w:val="33"/>
    <w:qFormat/>
    <w:rsid w:val="007B095C"/>
    <w:rPr>
      <w:b/>
      <w:bCs/>
      <w:i/>
      <w:iCs/>
      <w:spacing w:val="5"/>
    </w:rPr>
  </w:style>
  <w:style w:type="paragraph" w:customStyle="1" w:styleId="Style1">
    <w:name w:val="Style1"/>
    <w:basedOn w:val="NoSpacing"/>
    <w:link w:val="Style1Char"/>
    <w:qFormat/>
    <w:rsid w:val="004B09BD"/>
    <w:pPr>
      <w:numPr>
        <w:numId w:val="18"/>
      </w:numPr>
      <w:ind w:left="431" w:hanging="431"/>
    </w:pPr>
    <w:rPr>
      <w:b/>
      <w:sz w:val="28"/>
    </w:rPr>
  </w:style>
  <w:style w:type="character" w:customStyle="1" w:styleId="NoSpacingChar">
    <w:name w:val="No Spacing Char"/>
    <w:aliases w:val="Normal X Char"/>
    <w:basedOn w:val="DefaultParagraphFont"/>
    <w:link w:val="NoSpacing"/>
    <w:uiPriority w:val="1"/>
    <w:rsid w:val="004B09BD"/>
    <w:rPr>
      <w:rFonts w:eastAsia="Times New Roman"/>
      <w:sz w:val="24"/>
    </w:rPr>
  </w:style>
  <w:style w:type="character" w:customStyle="1" w:styleId="Style1Char">
    <w:name w:val="Style1 Char"/>
    <w:basedOn w:val="NoSpacingChar"/>
    <w:link w:val="Style1"/>
    <w:rsid w:val="004B09BD"/>
    <w:rPr>
      <w:rFonts w:eastAsia="Times New Roman"/>
      <w:b/>
      <w:sz w:val="28"/>
    </w:rPr>
  </w:style>
  <w:style w:type="paragraph" w:customStyle="1" w:styleId="Default">
    <w:name w:val="Default"/>
    <w:rsid w:val="00F4115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40" w:lineRule="auto"/>
    </w:pPr>
    <w:rPr>
      <w:rFonts w:ascii="Dubai" w:hAnsi="Dubai" w:cs="Dubai"/>
      <w:sz w:val="24"/>
      <w:szCs w:val="24"/>
    </w:rPr>
  </w:style>
  <w:style w:type="paragraph" w:customStyle="1" w:styleId="Style2">
    <w:name w:val="Style2"/>
    <w:basedOn w:val="Heading2"/>
    <w:link w:val="Style2Char"/>
    <w:qFormat/>
    <w:rsid w:val="004B09BD"/>
    <w:pPr>
      <w:numPr>
        <w:numId w:val="18"/>
      </w:numPr>
      <w:spacing w:before="0" w:after="0" w:line="480" w:lineRule="auto"/>
      <w:ind w:left="578" w:hanging="578"/>
    </w:pPr>
    <w:rPr>
      <w:b/>
    </w:rPr>
  </w:style>
  <w:style w:type="paragraph" w:customStyle="1" w:styleId="Style3">
    <w:name w:val="Style3"/>
    <w:basedOn w:val="Heading3"/>
    <w:link w:val="Style3Char"/>
    <w:qFormat/>
    <w:rsid w:val="004B09BD"/>
    <w:pPr>
      <w:numPr>
        <w:numId w:val="18"/>
      </w:numPr>
      <w:spacing w:before="0" w:after="0" w:line="480" w:lineRule="auto"/>
    </w:pPr>
  </w:style>
  <w:style w:type="character" w:customStyle="1" w:styleId="Heading2Char">
    <w:name w:val="Heading 2 Char"/>
    <w:basedOn w:val="DefaultParagraphFont"/>
    <w:link w:val="Heading2"/>
    <w:rsid w:val="00011A7A"/>
    <w:rPr>
      <w:rFonts w:asciiTheme="majorHAnsi" w:eastAsia="Arial" w:hAnsiTheme="majorHAnsi" w:cs="Arial"/>
      <w:i/>
      <w:sz w:val="24"/>
    </w:rPr>
  </w:style>
  <w:style w:type="character" w:customStyle="1" w:styleId="Style2Char">
    <w:name w:val="Style2 Char"/>
    <w:basedOn w:val="Heading2Char"/>
    <w:link w:val="Style2"/>
    <w:rsid w:val="004B09BD"/>
    <w:rPr>
      <w:rFonts w:asciiTheme="majorHAnsi" w:eastAsia="Arial" w:hAnsiTheme="majorHAnsi" w:cs="Arial"/>
      <w:b/>
      <w:i/>
      <w:sz w:val="24"/>
    </w:rPr>
  </w:style>
  <w:style w:type="paragraph" w:customStyle="1" w:styleId="tableheading">
    <w:name w:val="table heading"/>
    <w:basedOn w:val="Normal"/>
    <w:link w:val="tableheadingChar"/>
    <w:qFormat/>
    <w:rsid w:val="00011A7A"/>
    <w:pPr>
      <w:spacing w:after="120"/>
    </w:pPr>
    <w:rPr>
      <w:rFonts w:asciiTheme="majorHAnsi" w:eastAsia="Times New Roman" w:hAnsiTheme="majorHAnsi" w:cstheme="majorHAnsi"/>
    </w:rPr>
  </w:style>
  <w:style w:type="character" w:customStyle="1" w:styleId="Heading3Char">
    <w:name w:val="Heading 3 Char"/>
    <w:basedOn w:val="DefaultParagraphFont"/>
    <w:link w:val="Heading3"/>
    <w:rsid w:val="00011A7A"/>
    <w:rPr>
      <w:rFonts w:asciiTheme="majorHAnsi" w:hAnsiTheme="majorHAnsi"/>
      <w:i/>
      <w:sz w:val="24"/>
      <w:szCs w:val="28"/>
    </w:rPr>
  </w:style>
  <w:style w:type="character" w:customStyle="1" w:styleId="Style3Char">
    <w:name w:val="Style3 Char"/>
    <w:basedOn w:val="Heading3Char"/>
    <w:link w:val="Style3"/>
    <w:rsid w:val="004B09BD"/>
    <w:rPr>
      <w:rFonts w:asciiTheme="majorHAnsi" w:hAnsiTheme="majorHAnsi"/>
      <w:i/>
      <w:sz w:val="24"/>
      <w:szCs w:val="28"/>
    </w:rPr>
  </w:style>
  <w:style w:type="character" w:styleId="SubtleEmphasis">
    <w:name w:val="Subtle Emphasis"/>
    <w:basedOn w:val="DefaultParagraphFont"/>
    <w:uiPriority w:val="19"/>
    <w:qFormat/>
    <w:rsid w:val="00B36867"/>
    <w:rPr>
      <w:i/>
      <w:iCs/>
      <w:color w:val="404040" w:themeColor="text1" w:themeTint="BF"/>
    </w:rPr>
  </w:style>
  <w:style w:type="character" w:customStyle="1" w:styleId="tableheadingChar">
    <w:name w:val="table heading Char"/>
    <w:basedOn w:val="DefaultParagraphFont"/>
    <w:link w:val="tableheading"/>
    <w:rsid w:val="00011A7A"/>
    <w:rPr>
      <w:rFonts w:asciiTheme="majorHAnsi" w:eastAsia="Times New Roman" w:hAnsiTheme="majorHAnsi" w:cstheme="majorHAnsi"/>
      <w:sz w:val="24"/>
    </w:rPr>
  </w:style>
  <w:style w:type="character" w:styleId="FollowedHyperlink">
    <w:name w:val="FollowedHyperlink"/>
    <w:basedOn w:val="DefaultParagraphFont"/>
    <w:uiPriority w:val="99"/>
    <w:semiHidden/>
    <w:unhideWhenUsed/>
    <w:rsid w:val="00C30D0C"/>
    <w:rPr>
      <w:color w:val="800080" w:themeColor="followedHyperlink"/>
      <w:u w:val="single"/>
    </w:rPr>
  </w:style>
  <w:style w:type="character" w:customStyle="1" w:styleId="UnresolvedMention1">
    <w:name w:val="Unresolved Mention1"/>
    <w:basedOn w:val="DefaultParagraphFont"/>
    <w:uiPriority w:val="99"/>
    <w:semiHidden/>
    <w:unhideWhenUsed/>
    <w:rsid w:val="00D562C9"/>
    <w:rPr>
      <w:color w:val="605E5C"/>
      <w:shd w:val="clear" w:color="auto" w:fill="E1DFDD"/>
    </w:rPr>
  </w:style>
  <w:style w:type="character" w:styleId="LineNumber">
    <w:name w:val="line number"/>
    <w:basedOn w:val="DefaultParagraphFont"/>
    <w:uiPriority w:val="99"/>
    <w:semiHidden/>
    <w:unhideWhenUsed/>
    <w:rsid w:val="00E43D6F"/>
  </w:style>
  <w:style w:type="character" w:styleId="Strong">
    <w:name w:val="Strong"/>
    <w:basedOn w:val="DefaultParagraphFont"/>
    <w:uiPriority w:val="22"/>
    <w:qFormat/>
    <w:rsid w:val="005075B8"/>
    <w:rPr>
      <w:b/>
      <w:bCs/>
    </w:rPr>
  </w:style>
  <w:style w:type="table" w:styleId="TableGrid">
    <w:name w:val="Table Grid"/>
    <w:basedOn w:val="TableNormal"/>
    <w:uiPriority w:val="59"/>
    <w:rsid w:val="0054214B"/>
    <w:pPr>
      <w:pBdr>
        <w:top w:val="none" w:sz="0" w:space="0" w:color="auto"/>
        <w:left w:val="none" w:sz="0" w:space="0" w:color="auto"/>
        <w:bottom w:val="none" w:sz="0" w:space="0" w:color="auto"/>
        <w:right w:val="none" w:sz="0" w:space="0" w:color="auto"/>
        <w:between w:val="none" w:sz="0" w:space="0" w:color="auto"/>
      </w:pBdr>
      <w:spacing w:after="0" w:line="240" w:lineRule="auto"/>
    </w:pPr>
    <w:rPr>
      <w:rFonts w:asciiTheme="minorHAnsi" w:eastAsiaTheme="minorHAnsi" w:hAnsiTheme="minorHAnsi" w:cstheme="minorBidi"/>
      <w:color w:val="auto"/>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B22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070222">
      <w:bodyDiv w:val="1"/>
      <w:marLeft w:val="0"/>
      <w:marRight w:val="0"/>
      <w:marTop w:val="0"/>
      <w:marBottom w:val="0"/>
      <w:divBdr>
        <w:top w:val="none" w:sz="0" w:space="0" w:color="auto"/>
        <w:left w:val="none" w:sz="0" w:space="0" w:color="auto"/>
        <w:bottom w:val="none" w:sz="0" w:space="0" w:color="auto"/>
        <w:right w:val="none" w:sz="0" w:space="0" w:color="auto"/>
      </w:divBdr>
      <w:divsChild>
        <w:div w:id="1509059473">
          <w:marLeft w:val="0"/>
          <w:marRight w:val="0"/>
          <w:marTop w:val="0"/>
          <w:marBottom w:val="0"/>
          <w:divBdr>
            <w:top w:val="none" w:sz="0" w:space="0" w:color="auto"/>
            <w:left w:val="none" w:sz="0" w:space="0" w:color="auto"/>
            <w:bottom w:val="none" w:sz="0" w:space="0" w:color="auto"/>
            <w:right w:val="none" w:sz="0" w:space="0" w:color="auto"/>
          </w:divBdr>
        </w:div>
        <w:div w:id="797989736">
          <w:marLeft w:val="0"/>
          <w:marRight w:val="0"/>
          <w:marTop w:val="0"/>
          <w:marBottom w:val="0"/>
          <w:divBdr>
            <w:top w:val="none" w:sz="0" w:space="0" w:color="auto"/>
            <w:left w:val="none" w:sz="0" w:space="0" w:color="auto"/>
            <w:bottom w:val="none" w:sz="0" w:space="0" w:color="auto"/>
            <w:right w:val="none" w:sz="0" w:space="0" w:color="auto"/>
          </w:divBdr>
        </w:div>
        <w:div w:id="1072384184">
          <w:marLeft w:val="0"/>
          <w:marRight w:val="0"/>
          <w:marTop w:val="0"/>
          <w:marBottom w:val="0"/>
          <w:divBdr>
            <w:top w:val="none" w:sz="0" w:space="0" w:color="auto"/>
            <w:left w:val="none" w:sz="0" w:space="0" w:color="auto"/>
            <w:bottom w:val="none" w:sz="0" w:space="0" w:color="auto"/>
            <w:right w:val="none" w:sz="0" w:space="0" w:color="auto"/>
          </w:divBdr>
        </w:div>
        <w:div w:id="1214386557">
          <w:marLeft w:val="0"/>
          <w:marRight w:val="0"/>
          <w:marTop w:val="0"/>
          <w:marBottom w:val="0"/>
          <w:divBdr>
            <w:top w:val="none" w:sz="0" w:space="0" w:color="auto"/>
            <w:left w:val="none" w:sz="0" w:space="0" w:color="auto"/>
            <w:bottom w:val="none" w:sz="0" w:space="0" w:color="auto"/>
            <w:right w:val="none" w:sz="0" w:space="0" w:color="auto"/>
          </w:divBdr>
        </w:div>
      </w:divsChild>
    </w:div>
    <w:div w:id="132217280">
      <w:bodyDiv w:val="1"/>
      <w:marLeft w:val="0"/>
      <w:marRight w:val="0"/>
      <w:marTop w:val="0"/>
      <w:marBottom w:val="0"/>
      <w:divBdr>
        <w:top w:val="none" w:sz="0" w:space="0" w:color="auto"/>
        <w:left w:val="none" w:sz="0" w:space="0" w:color="auto"/>
        <w:bottom w:val="none" w:sz="0" w:space="0" w:color="auto"/>
        <w:right w:val="none" w:sz="0" w:space="0" w:color="auto"/>
      </w:divBdr>
      <w:divsChild>
        <w:div w:id="1884711421">
          <w:marLeft w:val="0"/>
          <w:marRight w:val="0"/>
          <w:marTop w:val="0"/>
          <w:marBottom w:val="0"/>
          <w:divBdr>
            <w:top w:val="none" w:sz="0" w:space="0" w:color="auto"/>
            <w:left w:val="none" w:sz="0" w:space="0" w:color="auto"/>
            <w:bottom w:val="none" w:sz="0" w:space="0" w:color="auto"/>
            <w:right w:val="none" w:sz="0" w:space="0" w:color="auto"/>
          </w:divBdr>
        </w:div>
        <w:div w:id="878399868">
          <w:marLeft w:val="0"/>
          <w:marRight w:val="0"/>
          <w:marTop w:val="0"/>
          <w:marBottom w:val="0"/>
          <w:divBdr>
            <w:top w:val="none" w:sz="0" w:space="0" w:color="auto"/>
            <w:left w:val="none" w:sz="0" w:space="0" w:color="auto"/>
            <w:bottom w:val="none" w:sz="0" w:space="0" w:color="auto"/>
            <w:right w:val="none" w:sz="0" w:space="0" w:color="auto"/>
          </w:divBdr>
        </w:div>
        <w:div w:id="396710158">
          <w:marLeft w:val="0"/>
          <w:marRight w:val="0"/>
          <w:marTop w:val="0"/>
          <w:marBottom w:val="0"/>
          <w:divBdr>
            <w:top w:val="none" w:sz="0" w:space="0" w:color="auto"/>
            <w:left w:val="none" w:sz="0" w:space="0" w:color="auto"/>
            <w:bottom w:val="none" w:sz="0" w:space="0" w:color="auto"/>
            <w:right w:val="none" w:sz="0" w:space="0" w:color="auto"/>
          </w:divBdr>
        </w:div>
        <w:div w:id="951522155">
          <w:marLeft w:val="0"/>
          <w:marRight w:val="0"/>
          <w:marTop w:val="0"/>
          <w:marBottom w:val="0"/>
          <w:divBdr>
            <w:top w:val="none" w:sz="0" w:space="0" w:color="auto"/>
            <w:left w:val="none" w:sz="0" w:space="0" w:color="auto"/>
            <w:bottom w:val="none" w:sz="0" w:space="0" w:color="auto"/>
            <w:right w:val="none" w:sz="0" w:space="0" w:color="auto"/>
          </w:divBdr>
        </w:div>
      </w:divsChild>
    </w:div>
    <w:div w:id="248544265">
      <w:bodyDiv w:val="1"/>
      <w:marLeft w:val="0"/>
      <w:marRight w:val="0"/>
      <w:marTop w:val="0"/>
      <w:marBottom w:val="0"/>
      <w:divBdr>
        <w:top w:val="none" w:sz="0" w:space="0" w:color="auto"/>
        <w:left w:val="none" w:sz="0" w:space="0" w:color="auto"/>
        <w:bottom w:val="none" w:sz="0" w:space="0" w:color="auto"/>
        <w:right w:val="none" w:sz="0" w:space="0" w:color="auto"/>
      </w:divBdr>
      <w:divsChild>
        <w:div w:id="1094281377">
          <w:marLeft w:val="0"/>
          <w:marRight w:val="0"/>
          <w:marTop w:val="0"/>
          <w:marBottom w:val="0"/>
          <w:divBdr>
            <w:top w:val="none" w:sz="0" w:space="0" w:color="auto"/>
            <w:left w:val="none" w:sz="0" w:space="0" w:color="auto"/>
            <w:bottom w:val="none" w:sz="0" w:space="0" w:color="auto"/>
            <w:right w:val="none" w:sz="0" w:space="0" w:color="auto"/>
          </w:divBdr>
        </w:div>
        <w:div w:id="2132017303">
          <w:marLeft w:val="0"/>
          <w:marRight w:val="0"/>
          <w:marTop w:val="0"/>
          <w:marBottom w:val="0"/>
          <w:divBdr>
            <w:top w:val="none" w:sz="0" w:space="0" w:color="auto"/>
            <w:left w:val="none" w:sz="0" w:space="0" w:color="auto"/>
            <w:bottom w:val="none" w:sz="0" w:space="0" w:color="auto"/>
            <w:right w:val="none" w:sz="0" w:space="0" w:color="auto"/>
          </w:divBdr>
        </w:div>
        <w:div w:id="874929113">
          <w:marLeft w:val="0"/>
          <w:marRight w:val="0"/>
          <w:marTop w:val="0"/>
          <w:marBottom w:val="0"/>
          <w:divBdr>
            <w:top w:val="none" w:sz="0" w:space="0" w:color="auto"/>
            <w:left w:val="none" w:sz="0" w:space="0" w:color="auto"/>
            <w:bottom w:val="none" w:sz="0" w:space="0" w:color="auto"/>
            <w:right w:val="none" w:sz="0" w:space="0" w:color="auto"/>
          </w:divBdr>
        </w:div>
        <w:div w:id="950823664">
          <w:marLeft w:val="0"/>
          <w:marRight w:val="0"/>
          <w:marTop w:val="0"/>
          <w:marBottom w:val="0"/>
          <w:divBdr>
            <w:top w:val="none" w:sz="0" w:space="0" w:color="auto"/>
            <w:left w:val="none" w:sz="0" w:space="0" w:color="auto"/>
            <w:bottom w:val="none" w:sz="0" w:space="0" w:color="auto"/>
            <w:right w:val="none" w:sz="0" w:space="0" w:color="auto"/>
          </w:divBdr>
        </w:div>
      </w:divsChild>
    </w:div>
    <w:div w:id="256137797">
      <w:bodyDiv w:val="1"/>
      <w:marLeft w:val="0"/>
      <w:marRight w:val="0"/>
      <w:marTop w:val="0"/>
      <w:marBottom w:val="0"/>
      <w:divBdr>
        <w:top w:val="none" w:sz="0" w:space="0" w:color="auto"/>
        <w:left w:val="none" w:sz="0" w:space="0" w:color="auto"/>
        <w:bottom w:val="none" w:sz="0" w:space="0" w:color="auto"/>
        <w:right w:val="none" w:sz="0" w:space="0" w:color="auto"/>
      </w:divBdr>
    </w:div>
    <w:div w:id="314457546">
      <w:bodyDiv w:val="1"/>
      <w:marLeft w:val="0"/>
      <w:marRight w:val="0"/>
      <w:marTop w:val="0"/>
      <w:marBottom w:val="0"/>
      <w:divBdr>
        <w:top w:val="none" w:sz="0" w:space="0" w:color="auto"/>
        <w:left w:val="none" w:sz="0" w:space="0" w:color="auto"/>
        <w:bottom w:val="none" w:sz="0" w:space="0" w:color="auto"/>
        <w:right w:val="none" w:sz="0" w:space="0" w:color="auto"/>
      </w:divBdr>
    </w:div>
    <w:div w:id="390006584">
      <w:bodyDiv w:val="1"/>
      <w:marLeft w:val="0"/>
      <w:marRight w:val="0"/>
      <w:marTop w:val="0"/>
      <w:marBottom w:val="0"/>
      <w:divBdr>
        <w:top w:val="none" w:sz="0" w:space="0" w:color="auto"/>
        <w:left w:val="none" w:sz="0" w:space="0" w:color="auto"/>
        <w:bottom w:val="none" w:sz="0" w:space="0" w:color="auto"/>
        <w:right w:val="none" w:sz="0" w:space="0" w:color="auto"/>
      </w:divBdr>
    </w:div>
    <w:div w:id="544368803">
      <w:bodyDiv w:val="1"/>
      <w:marLeft w:val="0"/>
      <w:marRight w:val="0"/>
      <w:marTop w:val="0"/>
      <w:marBottom w:val="0"/>
      <w:divBdr>
        <w:top w:val="none" w:sz="0" w:space="0" w:color="auto"/>
        <w:left w:val="none" w:sz="0" w:space="0" w:color="auto"/>
        <w:bottom w:val="none" w:sz="0" w:space="0" w:color="auto"/>
        <w:right w:val="none" w:sz="0" w:space="0" w:color="auto"/>
      </w:divBdr>
    </w:div>
    <w:div w:id="547032448">
      <w:bodyDiv w:val="1"/>
      <w:marLeft w:val="0"/>
      <w:marRight w:val="0"/>
      <w:marTop w:val="0"/>
      <w:marBottom w:val="0"/>
      <w:divBdr>
        <w:top w:val="none" w:sz="0" w:space="0" w:color="auto"/>
        <w:left w:val="none" w:sz="0" w:space="0" w:color="auto"/>
        <w:bottom w:val="none" w:sz="0" w:space="0" w:color="auto"/>
        <w:right w:val="none" w:sz="0" w:space="0" w:color="auto"/>
      </w:divBdr>
    </w:div>
    <w:div w:id="700667820">
      <w:bodyDiv w:val="1"/>
      <w:marLeft w:val="0"/>
      <w:marRight w:val="0"/>
      <w:marTop w:val="0"/>
      <w:marBottom w:val="0"/>
      <w:divBdr>
        <w:top w:val="none" w:sz="0" w:space="0" w:color="auto"/>
        <w:left w:val="none" w:sz="0" w:space="0" w:color="auto"/>
        <w:bottom w:val="none" w:sz="0" w:space="0" w:color="auto"/>
        <w:right w:val="none" w:sz="0" w:space="0" w:color="auto"/>
      </w:divBdr>
    </w:div>
    <w:div w:id="816191601">
      <w:bodyDiv w:val="1"/>
      <w:marLeft w:val="0"/>
      <w:marRight w:val="0"/>
      <w:marTop w:val="0"/>
      <w:marBottom w:val="0"/>
      <w:divBdr>
        <w:top w:val="none" w:sz="0" w:space="0" w:color="auto"/>
        <w:left w:val="none" w:sz="0" w:space="0" w:color="auto"/>
        <w:bottom w:val="none" w:sz="0" w:space="0" w:color="auto"/>
        <w:right w:val="none" w:sz="0" w:space="0" w:color="auto"/>
      </w:divBdr>
      <w:divsChild>
        <w:div w:id="1940404858">
          <w:marLeft w:val="0"/>
          <w:marRight w:val="0"/>
          <w:marTop w:val="0"/>
          <w:marBottom w:val="0"/>
          <w:divBdr>
            <w:top w:val="none" w:sz="0" w:space="0" w:color="auto"/>
            <w:left w:val="none" w:sz="0" w:space="0" w:color="auto"/>
            <w:bottom w:val="none" w:sz="0" w:space="0" w:color="auto"/>
            <w:right w:val="none" w:sz="0" w:space="0" w:color="auto"/>
          </w:divBdr>
        </w:div>
        <w:div w:id="1961642475">
          <w:marLeft w:val="0"/>
          <w:marRight w:val="0"/>
          <w:marTop w:val="0"/>
          <w:marBottom w:val="0"/>
          <w:divBdr>
            <w:top w:val="none" w:sz="0" w:space="0" w:color="auto"/>
            <w:left w:val="none" w:sz="0" w:space="0" w:color="auto"/>
            <w:bottom w:val="none" w:sz="0" w:space="0" w:color="auto"/>
            <w:right w:val="none" w:sz="0" w:space="0" w:color="auto"/>
          </w:divBdr>
        </w:div>
        <w:div w:id="1834567638">
          <w:marLeft w:val="0"/>
          <w:marRight w:val="0"/>
          <w:marTop w:val="0"/>
          <w:marBottom w:val="0"/>
          <w:divBdr>
            <w:top w:val="none" w:sz="0" w:space="0" w:color="auto"/>
            <w:left w:val="none" w:sz="0" w:space="0" w:color="auto"/>
            <w:bottom w:val="none" w:sz="0" w:space="0" w:color="auto"/>
            <w:right w:val="none" w:sz="0" w:space="0" w:color="auto"/>
          </w:divBdr>
        </w:div>
        <w:div w:id="1904440893">
          <w:marLeft w:val="0"/>
          <w:marRight w:val="0"/>
          <w:marTop w:val="0"/>
          <w:marBottom w:val="0"/>
          <w:divBdr>
            <w:top w:val="none" w:sz="0" w:space="0" w:color="auto"/>
            <w:left w:val="none" w:sz="0" w:space="0" w:color="auto"/>
            <w:bottom w:val="none" w:sz="0" w:space="0" w:color="auto"/>
            <w:right w:val="none" w:sz="0" w:space="0" w:color="auto"/>
          </w:divBdr>
        </w:div>
      </w:divsChild>
    </w:div>
    <w:div w:id="1175614969">
      <w:bodyDiv w:val="1"/>
      <w:marLeft w:val="0"/>
      <w:marRight w:val="0"/>
      <w:marTop w:val="0"/>
      <w:marBottom w:val="0"/>
      <w:divBdr>
        <w:top w:val="none" w:sz="0" w:space="0" w:color="auto"/>
        <w:left w:val="none" w:sz="0" w:space="0" w:color="auto"/>
        <w:bottom w:val="none" w:sz="0" w:space="0" w:color="auto"/>
        <w:right w:val="none" w:sz="0" w:space="0" w:color="auto"/>
      </w:divBdr>
    </w:div>
    <w:div w:id="1193567551">
      <w:bodyDiv w:val="1"/>
      <w:marLeft w:val="0"/>
      <w:marRight w:val="0"/>
      <w:marTop w:val="0"/>
      <w:marBottom w:val="0"/>
      <w:divBdr>
        <w:top w:val="none" w:sz="0" w:space="0" w:color="auto"/>
        <w:left w:val="none" w:sz="0" w:space="0" w:color="auto"/>
        <w:bottom w:val="none" w:sz="0" w:space="0" w:color="auto"/>
        <w:right w:val="none" w:sz="0" w:space="0" w:color="auto"/>
      </w:divBdr>
    </w:div>
    <w:div w:id="1213034005">
      <w:bodyDiv w:val="1"/>
      <w:marLeft w:val="0"/>
      <w:marRight w:val="0"/>
      <w:marTop w:val="0"/>
      <w:marBottom w:val="0"/>
      <w:divBdr>
        <w:top w:val="none" w:sz="0" w:space="0" w:color="auto"/>
        <w:left w:val="none" w:sz="0" w:space="0" w:color="auto"/>
        <w:bottom w:val="none" w:sz="0" w:space="0" w:color="auto"/>
        <w:right w:val="none" w:sz="0" w:space="0" w:color="auto"/>
      </w:divBdr>
    </w:div>
    <w:div w:id="1376270721">
      <w:bodyDiv w:val="1"/>
      <w:marLeft w:val="0"/>
      <w:marRight w:val="0"/>
      <w:marTop w:val="0"/>
      <w:marBottom w:val="0"/>
      <w:divBdr>
        <w:top w:val="none" w:sz="0" w:space="0" w:color="auto"/>
        <w:left w:val="none" w:sz="0" w:space="0" w:color="auto"/>
        <w:bottom w:val="none" w:sz="0" w:space="0" w:color="auto"/>
        <w:right w:val="none" w:sz="0" w:space="0" w:color="auto"/>
      </w:divBdr>
    </w:div>
    <w:div w:id="1388921507">
      <w:bodyDiv w:val="1"/>
      <w:marLeft w:val="0"/>
      <w:marRight w:val="0"/>
      <w:marTop w:val="0"/>
      <w:marBottom w:val="0"/>
      <w:divBdr>
        <w:top w:val="none" w:sz="0" w:space="0" w:color="auto"/>
        <w:left w:val="none" w:sz="0" w:space="0" w:color="auto"/>
        <w:bottom w:val="none" w:sz="0" w:space="0" w:color="auto"/>
        <w:right w:val="none" w:sz="0" w:space="0" w:color="auto"/>
      </w:divBdr>
    </w:div>
    <w:div w:id="1409382755">
      <w:bodyDiv w:val="1"/>
      <w:marLeft w:val="0"/>
      <w:marRight w:val="0"/>
      <w:marTop w:val="0"/>
      <w:marBottom w:val="0"/>
      <w:divBdr>
        <w:top w:val="none" w:sz="0" w:space="0" w:color="auto"/>
        <w:left w:val="none" w:sz="0" w:space="0" w:color="auto"/>
        <w:bottom w:val="none" w:sz="0" w:space="0" w:color="auto"/>
        <w:right w:val="none" w:sz="0" w:space="0" w:color="auto"/>
      </w:divBdr>
      <w:divsChild>
        <w:div w:id="1044057680">
          <w:marLeft w:val="0"/>
          <w:marRight w:val="0"/>
          <w:marTop w:val="0"/>
          <w:marBottom w:val="0"/>
          <w:divBdr>
            <w:top w:val="none" w:sz="0" w:space="0" w:color="auto"/>
            <w:left w:val="none" w:sz="0" w:space="0" w:color="auto"/>
            <w:bottom w:val="none" w:sz="0" w:space="0" w:color="auto"/>
            <w:right w:val="none" w:sz="0" w:space="0" w:color="auto"/>
          </w:divBdr>
        </w:div>
        <w:div w:id="466901056">
          <w:marLeft w:val="0"/>
          <w:marRight w:val="0"/>
          <w:marTop w:val="0"/>
          <w:marBottom w:val="0"/>
          <w:divBdr>
            <w:top w:val="none" w:sz="0" w:space="0" w:color="auto"/>
            <w:left w:val="none" w:sz="0" w:space="0" w:color="auto"/>
            <w:bottom w:val="none" w:sz="0" w:space="0" w:color="auto"/>
            <w:right w:val="none" w:sz="0" w:space="0" w:color="auto"/>
          </w:divBdr>
        </w:div>
        <w:div w:id="882793378">
          <w:marLeft w:val="0"/>
          <w:marRight w:val="0"/>
          <w:marTop w:val="0"/>
          <w:marBottom w:val="0"/>
          <w:divBdr>
            <w:top w:val="none" w:sz="0" w:space="0" w:color="auto"/>
            <w:left w:val="none" w:sz="0" w:space="0" w:color="auto"/>
            <w:bottom w:val="none" w:sz="0" w:space="0" w:color="auto"/>
            <w:right w:val="none" w:sz="0" w:space="0" w:color="auto"/>
          </w:divBdr>
        </w:div>
        <w:div w:id="1901477120">
          <w:marLeft w:val="0"/>
          <w:marRight w:val="0"/>
          <w:marTop w:val="0"/>
          <w:marBottom w:val="0"/>
          <w:divBdr>
            <w:top w:val="none" w:sz="0" w:space="0" w:color="auto"/>
            <w:left w:val="none" w:sz="0" w:space="0" w:color="auto"/>
            <w:bottom w:val="none" w:sz="0" w:space="0" w:color="auto"/>
            <w:right w:val="none" w:sz="0" w:space="0" w:color="auto"/>
          </w:divBdr>
        </w:div>
      </w:divsChild>
    </w:div>
    <w:div w:id="1463812559">
      <w:bodyDiv w:val="1"/>
      <w:marLeft w:val="0"/>
      <w:marRight w:val="0"/>
      <w:marTop w:val="0"/>
      <w:marBottom w:val="0"/>
      <w:divBdr>
        <w:top w:val="none" w:sz="0" w:space="0" w:color="auto"/>
        <w:left w:val="none" w:sz="0" w:space="0" w:color="auto"/>
        <w:bottom w:val="none" w:sz="0" w:space="0" w:color="auto"/>
        <w:right w:val="none" w:sz="0" w:space="0" w:color="auto"/>
      </w:divBdr>
      <w:divsChild>
        <w:div w:id="1998848624">
          <w:marLeft w:val="0"/>
          <w:marRight w:val="0"/>
          <w:marTop w:val="0"/>
          <w:marBottom w:val="0"/>
          <w:divBdr>
            <w:top w:val="none" w:sz="0" w:space="0" w:color="auto"/>
            <w:left w:val="none" w:sz="0" w:space="0" w:color="auto"/>
            <w:bottom w:val="none" w:sz="0" w:space="0" w:color="auto"/>
            <w:right w:val="none" w:sz="0" w:space="0" w:color="auto"/>
          </w:divBdr>
        </w:div>
        <w:div w:id="463736185">
          <w:marLeft w:val="0"/>
          <w:marRight w:val="0"/>
          <w:marTop w:val="0"/>
          <w:marBottom w:val="0"/>
          <w:divBdr>
            <w:top w:val="none" w:sz="0" w:space="0" w:color="auto"/>
            <w:left w:val="none" w:sz="0" w:space="0" w:color="auto"/>
            <w:bottom w:val="none" w:sz="0" w:space="0" w:color="auto"/>
            <w:right w:val="none" w:sz="0" w:space="0" w:color="auto"/>
          </w:divBdr>
        </w:div>
        <w:div w:id="1985894661">
          <w:marLeft w:val="0"/>
          <w:marRight w:val="0"/>
          <w:marTop w:val="0"/>
          <w:marBottom w:val="0"/>
          <w:divBdr>
            <w:top w:val="none" w:sz="0" w:space="0" w:color="auto"/>
            <w:left w:val="none" w:sz="0" w:space="0" w:color="auto"/>
            <w:bottom w:val="none" w:sz="0" w:space="0" w:color="auto"/>
            <w:right w:val="none" w:sz="0" w:space="0" w:color="auto"/>
          </w:divBdr>
        </w:div>
        <w:div w:id="883491802">
          <w:marLeft w:val="0"/>
          <w:marRight w:val="0"/>
          <w:marTop w:val="0"/>
          <w:marBottom w:val="0"/>
          <w:divBdr>
            <w:top w:val="none" w:sz="0" w:space="0" w:color="auto"/>
            <w:left w:val="none" w:sz="0" w:space="0" w:color="auto"/>
            <w:bottom w:val="none" w:sz="0" w:space="0" w:color="auto"/>
            <w:right w:val="none" w:sz="0" w:space="0" w:color="auto"/>
          </w:divBdr>
        </w:div>
      </w:divsChild>
    </w:div>
    <w:div w:id="1783039755">
      <w:bodyDiv w:val="1"/>
      <w:marLeft w:val="0"/>
      <w:marRight w:val="0"/>
      <w:marTop w:val="0"/>
      <w:marBottom w:val="0"/>
      <w:divBdr>
        <w:top w:val="none" w:sz="0" w:space="0" w:color="auto"/>
        <w:left w:val="none" w:sz="0" w:space="0" w:color="auto"/>
        <w:bottom w:val="none" w:sz="0" w:space="0" w:color="auto"/>
        <w:right w:val="none" w:sz="0" w:space="0" w:color="auto"/>
      </w:divBdr>
    </w:div>
    <w:div w:id="1816874133">
      <w:bodyDiv w:val="1"/>
      <w:marLeft w:val="0"/>
      <w:marRight w:val="0"/>
      <w:marTop w:val="0"/>
      <w:marBottom w:val="0"/>
      <w:divBdr>
        <w:top w:val="none" w:sz="0" w:space="0" w:color="auto"/>
        <w:left w:val="none" w:sz="0" w:space="0" w:color="auto"/>
        <w:bottom w:val="none" w:sz="0" w:space="0" w:color="auto"/>
        <w:right w:val="none" w:sz="0" w:space="0" w:color="auto"/>
      </w:divBdr>
      <w:divsChild>
        <w:div w:id="414592022">
          <w:marLeft w:val="0"/>
          <w:marRight w:val="0"/>
          <w:marTop w:val="0"/>
          <w:marBottom w:val="0"/>
          <w:divBdr>
            <w:top w:val="none" w:sz="0" w:space="0" w:color="auto"/>
            <w:left w:val="none" w:sz="0" w:space="0" w:color="auto"/>
            <w:bottom w:val="none" w:sz="0" w:space="0" w:color="auto"/>
            <w:right w:val="none" w:sz="0" w:space="0" w:color="auto"/>
          </w:divBdr>
        </w:div>
        <w:div w:id="1832133085">
          <w:marLeft w:val="0"/>
          <w:marRight w:val="0"/>
          <w:marTop w:val="0"/>
          <w:marBottom w:val="0"/>
          <w:divBdr>
            <w:top w:val="none" w:sz="0" w:space="0" w:color="auto"/>
            <w:left w:val="none" w:sz="0" w:space="0" w:color="auto"/>
            <w:bottom w:val="none" w:sz="0" w:space="0" w:color="auto"/>
            <w:right w:val="none" w:sz="0" w:space="0" w:color="auto"/>
          </w:divBdr>
        </w:div>
        <w:div w:id="977800148">
          <w:marLeft w:val="0"/>
          <w:marRight w:val="0"/>
          <w:marTop w:val="0"/>
          <w:marBottom w:val="0"/>
          <w:divBdr>
            <w:top w:val="none" w:sz="0" w:space="0" w:color="auto"/>
            <w:left w:val="none" w:sz="0" w:space="0" w:color="auto"/>
            <w:bottom w:val="none" w:sz="0" w:space="0" w:color="auto"/>
            <w:right w:val="none" w:sz="0" w:space="0" w:color="auto"/>
          </w:divBdr>
        </w:div>
        <w:div w:id="122802810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1016/j.childyouth.2018.04.041" TargetMode="External"/><Relationship Id="rId18" Type="http://schemas.openxmlformats.org/officeDocument/2006/relationships/hyperlink" Target="https://www.gov.uk/government/statistics/early-years-foundation-stage-profile-results-2014-to-2015"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sdqinfo.com/py/sdqinfo/c0.py" TargetMode="External"/><Relationship Id="rId7" Type="http://schemas.microsoft.com/office/2007/relationships/stylesWithEffects" Target="stylesWithEffects.xml"/><Relationship Id="rId12" Type="http://schemas.openxmlformats.org/officeDocument/2006/relationships/hyperlink" Target="mailto:l.cusworth@lancaster.ac.uk" TargetMode="External"/><Relationship Id="rId17" Type="http://schemas.openxmlformats.org/officeDocument/2006/relationships/hyperlink" Target="https://www.gov.uk/government/statistics/outcomes-for-children-looked-after-by-las-31-march-2017"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statistics/children-looked-after-in-england-including-adoption-2017-to-2018" TargetMode="External"/><Relationship Id="rId20" Type="http://schemas.openxmlformats.org/officeDocument/2006/relationships/hyperlink" Target="https://doi.org/10.1016/j.chiabu.2015.10.02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https://doi.org/10.1177/1468017318793479"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gov.uk/government/statistics/phonics-screening-check-and-key-stage-1-assessments-england-2015"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doi.org/10.1016/j.chiabu.2018.11.011"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8975F7773EC724C9D4EF74C6B97496E" ma:contentTypeVersion="13" ma:contentTypeDescription="Create a new document." ma:contentTypeScope="" ma:versionID="349c81aaf2e754f4232cbb4d61d6cfd8">
  <xsd:schema xmlns:xsd="http://www.w3.org/2001/XMLSchema" xmlns:xs="http://www.w3.org/2001/XMLSchema" xmlns:p="http://schemas.microsoft.com/office/2006/metadata/properties" xmlns:ns3="be30ed52-ef06-49e1-b926-0a43038ccac1" xmlns:ns4="6d2668cc-db34-434b-93b7-44c8e7b2810a" targetNamespace="http://schemas.microsoft.com/office/2006/metadata/properties" ma:root="true" ma:fieldsID="0bc947d86455abe63288cf7b08146ac5" ns3:_="" ns4:_="">
    <xsd:import namespace="be30ed52-ef06-49e1-b926-0a43038ccac1"/>
    <xsd:import namespace="6d2668cc-db34-434b-93b7-44c8e7b2810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0ed52-ef06-49e1-b926-0a43038cc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2668cc-db34-434b-93b7-44c8e7b281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C2196-AEFD-4222-A298-4F8FBAC47A75}">
  <ds:schemaRefs>
    <ds:schemaRef ds:uri="http://schemas.microsoft.com/sharepoint/v3/contenttype/forms"/>
  </ds:schemaRefs>
</ds:datastoreItem>
</file>

<file path=customXml/itemProps2.xml><?xml version="1.0" encoding="utf-8"?>
<ds:datastoreItem xmlns:ds="http://schemas.openxmlformats.org/officeDocument/2006/customXml" ds:itemID="{8448A52A-B0D3-4FDC-8287-F3113D1E2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0ed52-ef06-49e1-b926-0a43038ccac1"/>
    <ds:schemaRef ds:uri="6d2668cc-db34-434b-93b7-44c8e7b28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505379-7BE8-4802-9D3D-B5D5D04317B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A63710-BF0F-4FDB-AE19-63B71499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34</Pages>
  <Words>7904</Words>
  <Characters>45053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dmh501</dc:creator>
  <cp:lastModifiedBy>dmh501</cp:lastModifiedBy>
  <cp:revision>3</cp:revision>
  <cp:lastPrinted>2019-11-29T14:03:00Z</cp:lastPrinted>
  <dcterms:created xsi:type="dcterms:W3CDTF">2020-11-09T15:58:00Z</dcterms:created>
  <dcterms:modified xsi:type="dcterms:W3CDTF">2020-11-09T16:00:00Z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0x01010088975F7773EC724C9D4EF74C6B97496E</vt:lpwstr>
  </property>
</Properties>
</file>