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C9433" w14:textId="5E0E1D2E" w:rsidR="000C73AA" w:rsidRPr="000D2960" w:rsidRDefault="00A81D21" w:rsidP="000D2960">
      <w:pPr>
        <w:pStyle w:val="Heading1"/>
        <w:jc w:val="center"/>
        <w:rPr>
          <w:rFonts w:asciiTheme="minorHAnsi" w:hAnsiTheme="minorHAnsi"/>
          <w:color w:val="auto"/>
          <w:sz w:val="28"/>
          <w:szCs w:val="28"/>
        </w:rPr>
      </w:pPr>
      <w:bookmarkStart w:id="0" w:name="_GoBack"/>
      <w:bookmarkEnd w:id="0"/>
      <w:r w:rsidRPr="00A81D21">
        <w:rPr>
          <w:rFonts w:asciiTheme="minorHAnsi" w:hAnsiTheme="minorHAnsi"/>
          <w:color w:val="auto"/>
          <w:sz w:val="28"/>
          <w:szCs w:val="28"/>
        </w:rPr>
        <w:t>A cluster feasibility trial to explore the uptake and use of e-cigarettes versus usual care offered to smokers atte</w:t>
      </w:r>
      <w:r w:rsidR="007F53DA">
        <w:rPr>
          <w:rFonts w:asciiTheme="minorHAnsi" w:hAnsiTheme="minorHAnsi"/>
          <w:color w:val="auto"/>
          <w:sz w:val="28"/>
          <w:szCs w:val="28"/>
        </w:rPr>
        <w:t>nding homeless centres in Great Britain</w:t>
      </w:r>
    </w:p>
    <w:p w14:paraId="5FCE49DC" w14:textId="77777777" w:rsidR="00446C3A" w:rsidRPr="00446C3A" w:rsidRDefault="00446C3A" w:rsidP="00446C3A">
      <w:pPr>
        <w:spacing w:line="480" w:lineRule="auto"/>
        <w:jc w:val="center"/>
        <w:rPr>
          <w:rFonts w:cs="Times New Roman"/>
          <w:b/>
        </w:rPr>
      </w:pPr>
    </w:p>
    <w:p w14:paraId="3E574BB7" w14:textId="4EE84BAB" w:rsidR="000C73AA" w:rsidRPr="00CC3ABA" w:rsidRDefault="00762043" w:rsidP="00404EB1">
      <w:pPr>
        <w:spacing w:line="480" w:lineRule="auto"/>
        <w:ind w:firstLine="720"/>
        <w:jc w:val="center"/>
        <w:rPr>
          <w:rFonts w:cs="Times New Roman"/>
          <w:vertAlign w:val="superscript"/>
        </w:rPr>
      </w:pPr>
      <w:r w:rsidRPr="00CC3ABA">
        <w:rPr>
          <w:rFonts w:cs="Times New Roman"/>
        </w:rPr>
        <w:t>Lynne Dawkins</w:t>
      </w:r>
      <w:r w:rsidRPr="00CC3ABA">
        <w:rPr>
          <w:rFonts w:cs="Times New Roman"/>
          <w:vertAlign w:val="superscript"/>
        </w:rPr>
        <w:t>1</w:t>
      </w:r>
      <w:r w:rsidR="00404EB1">
        <w:rPr>
          <w:rFonts w:cs="Times New Roman"/>
          <w:vertAlign w:val="superscript"/>
        </w:rPr>
        <w:t>*</w:t>
      </w:r>
      <w:r w:rsidR="000C73AA" w:rsidRPr="00CC3ABA">
        <w:rPr>
          <w:rFonts w:cs="Times New Roman"/>
        </w:rPr>
        <w:t>, Linda Bauld</w:t>
      </w:r>
      <w:r w:rsidR="002F6AE8" w:rsidRPr="00CC3ABA">
        <w:rPr>
          <w:rFonts w:cs="Times New Roman"/>
          <w:vertAlign w:val="superscript"/>
        </w:rPr>
        <w:t>2</w:t>
      </w:r>
      <w:r w:rsidR="000C73AA" w:rsidRPr="00CC3ABA">
        <w:rPr>
          <w:rFonts w:cs="Times New Roman"/>
        </w:rPr>
        <w:t>, Allison Ford</w:t>
      </w:r>
      <w:r w:rsidR="002F6AE8" w:rsidRPr="00CC3ABA">
        <w:rPr>
          <w:rFonts w:cs="Times New Roman"/>
          <w:vertAlign w:val="superscript"/>
        </w:rPr>
        <w:t>3</w:t>
      </w:r>
      <w:r w:rsidR="000C73AA" w:rsidRPr="00CC3ABA">
        <w:rPr>
          <w:rFonts w:cs="Times New Roman"/>
        </w:rPr>
        <w:t>, Deborah Robson</w:t>
      </w:r>
      <w:r w:rsidR="002F6AE8" w:rsidRPr="00CC3ABA">
        <w:rPr>
          <w:rFonts w:cs="Times New Roman"/>
          <w:vertAlign w:val="superscript"/>
        </w:rPr>
        <w:t>4</w:t>
      </w:r>
      <w:r w:rsidR="000C73AA" w:rsidRPr="00CC3ABA">
        <w:rPr>
          <w:rFonts w:cs="Times New Roman"/>
        </w:rPr>
        <w:t>, Peter Hajek</w:t>
      </w:r>
      <w:r w:rsidR="002F6AE8" w:rsidRPr="00CC3ABA">
        <w:rPr>
          <w:rFonts w:cs="Times New Roman"/>
          <w:vertAlign w:val="superscript"/>
        </w:rPr>
        <w:t>5</w:t>
      </w:r>
      <w:r w:rsidR="000C73AA" w:rsidRPr="00CC3ABA">
        <w:rPr>
          <w:rFonts w:cs="Times New Roman"/>
        </w:rPr>
        <w:t>, Steve Parrott</w:t>
      </w:r>
      <w:r w:rsidR="002F6AE8" w:rsidRPr="00CC3ABA">
        <w:rPr>
          <w:rFonts w:cs="Times New Roman"/>
          <w:vertAlign w:val="superscript"/>
        </w:rPr>
        <w:t>6</w:t>
      </w:r>
      <w:r w:rsidR="000C73AA" w:rsidRPr="00CC3ABA">
        <w:rPr>
          <w:rFonts w:cs="Times New Roman"/>
        </w:rPr>
        <w:t>, Catherine Best</w:t>
      </w:r>
      <w:r w:rsidR="002F6AE8" w:rsidRPr="00CC3ABA">
        <w:rPr>
          <w:rFonts w:cs="Times New Roman"/>
          <w:vertAlign w:val="superscript"/>
        </w:rPr>
        <w:t>3</w:t>
      </w:r>
      <w:r w:rsidR="007E201F" w:rsidRPr="00CC3ABA">
        <w:rPr>
          <w:rFonts w:cs="Times New Roman"/>
        </w:rPr>
        <w:t>,</w:t>
      </w:r>
      <w:r w:rsidR="003A2126">
        <w:rPr>
          <w:rFonts w:cs="Times New Roman"/>
        </w:rPr>
        <w:t xml:space="preserve"> </w:t>
      </w:r>
      <w:r w:rsidR="008B43F5">
        <w:rPr>
          <w:rFonts w:cs="Times New Roman"/>
        </w:rPr>
        <w:t>Jinshuo Li</w:t>
      </w:r>
      <w:r w:rsidR="008B43F5">
        <w:rPr>
          <w:rFonts w:cs="Times New Roman"/>
          <w:vertAlign w:val="superscript"/>
        </w:rPr>
        <w:t>6</w:t>
      </w:r>
      <w:r w:rsidR="0038786E" w:rsidRPr="0038786E">
        <w:rPr>
          <w:rFonts w:cs="Times New Roman"/>
        </w:rPr>
        <w:t xml:space="preserve">, </w:t>
      </w:r>
      <w:r w:rsidR="00A54FAD" w:rsidRPr="00CC3ABA">
        <w:rPr>
          <w:rFonts w:cs="Times New Roman"/>
        </w:rPr>
        <w:t>Allan Tyler</w:t>
      </w:r>
      <w:r w:rsidR="00AD7F46" w:rsidRPr="00CC3ABA">
        <w:rPr>
          <w:rFonts w:cs="Times New Roman"/>
          <w:vertAlign w:val="superscript"/>
        </w:rPr>
        <w:t>1</w:t>
      </w:r>
      <w:r w:rsidR="0038786E" w:rsidRPr="0038786E">
        <w:rPr>
          <w:rFonts w:cs="Times New Roman"/>
        </w:rPr>
        <w:t>,</w:t>
      </w:r>
      <w:r w:rsidR="0038786E">
        <w:rPr>
          <w:rFonts w:cs="Times New Roman"/>
          <w:vertAlign w:val="superscript"/>
        </w:rPr>
        <w:t xml:space="preserve"> </w:t>
      </w:r>
      <w:r w:rsidR="6393DCB2" w:rsidRPr="00CC3ABA">
        <w:rPr>
          <w:rFonts w:cs="Times New Roman"/>
        </w:rPr>
        <w:t>Isabelle Uny</w:t>
      </w:r>
      <w:r w:rsidR="002F6AE8" w:rsidRPr="00CC3ABA">
        <w:rPr>
          <w:rFonts w:cs="Times New Roman"/>
          <w:vertAlign w:val="superscript"/>
        </w:rPr>
        <w:t>3</w:t>
      </w:r>
      <w:r w:rsidR="0038786E" w:rsidRPr="0038786E">
        <w:rPr>
          <w:rFonts w:cs="Times New Roman"/>
        </w:rPr>
        <w:t>,</w:t>
      </w:r>
      <w:r w:rsidR="003A2126">
        <w:rPr>
          <w:rFonts w:cs="Times New Roman"/>
          <w:vertAlign w:val="superscript"/>
        </w:rPr>
        <w:t xml:space="preserve"> </w:t>
      </w:r>
      <w:r w:rsidR="00AD7F46" w:rsidRPr="00CC3ABA">
        <w:rPr>
          <w:rFonts w:cs="Times New Roman"/>
        </w:rPr>
        <w:t>and</w:t>
      </w:r>
      <w:r w:rsidR="003A2126">
        <w:rPr>
          <w:rFonts w:cs="Times New Roman"/>
        </w:rPr>
        <w:t xml:space="preserve"> </w:t>
      </w:r>
      <w:r w:rsidRPr="00CC3ABA">
        <w:rPr>
          <w:rFonts w:cs="Times New Roman"/>
        </w:rPr>
        <w:t>Sharon Cox</w:t>
      </w:r>
      <w:r w:rsidRPr="00CC3ABA">
        <w:rPr>
          <w:rFonts w:cs="Times New Roman"/>
          <w:vertAlign w:val="superscript"/>
        </w:rPr>
        <w:t xml:space="preserve">1 </w:t>
      </w:r>
    </w:p>
    <w:p w14:paraId="36007057" w14:textId="77777777" w:rsidR="000C73AA" w:rsidRDefault="000C73AA" w:rsidP="00404EB1">
      <w:pPr>
        <w:spacing w:line="480" w:lineRule="auto"/>
        <w:ind w:firstLine="720"/>
        <w:jc w:val="center"/>
        <w:rPr>
          <w:rFonts w:cs="Times New Roman"/>
        </w:rPr>
      </w:pPr>
      <w:r w:rsidRPr="00CC3ABA">
        <w:rPr>
          <w:rFonts w:cs="Times New Roman"/>
          <w:vertAlign w:val="superscript"/>
        </w:rPr>
        <w:t>*</w:t>
      </w:r>
      <w:r w:rsidRPr="00CC3ABA">
        <w:rPr>
          <w:rFonts w:cs="Times New Roman"/>
        </w:rPr>
        <w:t>Corresponding author</w:t>
      </w:r>
    </w:p>
    <w:p w14:paraId="49E290AC" w14:textId="77777777" w:rsidR="00645207" w:rsidRPr="00CC3ABA" w:rsidRDefault="00645207" w:rsidP="001A12AF">
      <w:pPr>
        <w:spacing w:line="480" w:lineRule="auto"/>
        <w:jc w:val="both"/>
        <w:rPr>
          <w:rFonts w:cs="Times New Roman"/>
          <w:b/>
        </w:rPr>
      </w:pPr>
    </w:p>
    <w:p w14:paraId="13D4F2E0" w14:textId="7457A27B" w:rsidR="00645207" w:rsidRDefault="00645207" w:rsidP="00140CF3">
      <w:pPr>
        <w:spacing w:line="480" w:lineRule="auto"/>
        <w:rPr>
          <w:rFonts w:cs="Times New Roman"/>
        </w:rPr>
      </w:pPr>
      <w:r w:rsidRPr="00CC3ABA">
        <w:rPr>
          <w:rFonts w:cs="Times New Roman"/>
          <w:vertAlign w:val="superscript"/>
        </w:rPr>
        <w:t>1</w:t>
      </w:r>
      <w:r w:rsidRPr="00CC3ABA">
        <w:rPr>
          <w:rFonts w:cs="Times New Roman"/>
        </w:rPr>
        <w:t>Centre for Addictive Behaviours Research, London South Bank University, London,</w:t>
      </w:r>
      <w:r w:rsidR="00E879B4">
        <w:rPr>
          <w:rFonts w:cs="Times New Roman"/>
        </w:rPr>
        <w:t xml:space="preserve"> England</w:t>
      </w:r>
      <w:r w:rsidRPr="00CC3ABA">
        <w:rPr>
          <w:rFonts w:cs="Times New Roman"/>
        </w:rPr>
        <w:t xml:space="preserve"> </w:t>
      </w:r>
    </w:p>
    <w:p w14:paraId="6B762D6D" w14:textId="622E614A" w:rsidR="00404EB1" w:rsidRPr="00404EB1" w:rsidRDefault="00404EB1" w:rsidP="00140CF3">
      <w:pPr>
        <w:spacing w:line="480" w:lineRule="auto"/>
      </w:pPr>
      <w:r>
        <w:rPr>
          <w:rFonts w:cs="Times New Roman"/>
          <w:vertAlign w:val="superscript"/>
        </w:rPr>
        <w:t>2</w:t>
      </w:r>
      <w:r w:rsidRPr="00404EB1">
        <w:rPr>
          <w:rFonts w:cs="Times New Roman"/>
        </w:rPr>
        <w:t>Usher Institute</w:t>
      </w:r>
      <w:r w:rsidR="000B0B87">
        <w:rPr>
          <w:rFonts w:cs="Times New Roman"/>
        </w:rPr>
        <w:t xml:space="preserve"> and SPECTRUM Consortium</w:t>
      </w:r>
      <w:r w:rsidRPr="00404EB1">
        <w:rPr>
          <w:rFonts w:cs="Times New Roman"/>
        </w:rPr>
        <w:t>, Old Medical School, University of Edinburgh, Edinburgh</w:t>
      </w:r>
      <w:r w:rsidR="00E879B4">
        <w:rPr>
          <w:rFonts w:cs="Times New Roman"/>
        </w:rPr>
        <w:t>, Scotland</w:t>
      </w:r>
    </w:p>
    <w:p w14:paraId="2FB99553" w14:textId="2C832DFC" w:rsidR="00645207" w:rsidRPr="00CC3ABA" w:rsidRDefault="00404EB1" w:rsidP="00140CF3">
      <w:pPr>
        <w:spacing w:line="480" w:lineRule="auto"/>
        <w:rPr>
          <w:rFonts w:cs="Times New Roman"/>
        </w:rPr>
      </w:pPr>
      <w:r>
        <w:rPr>
          <w:rFonts w:cs="Times New Roman"/>
          <w:vertAlign w:val="superscript"/>
        </w:rPr>
        <w:t>3</w:t>
      </w:r>
      <w:r>
        <w:rPr>
          <w:rFonts w:cs="Times New Roman"/>
        </w:rPr>
        <w:t>Ins</w:t>
      </w:r>
      <w:r w:rsidR="00645207" w:rsidRPr="00CC3ABA">
        <w:rPr>
          <w:rFonts w:cs="Times New Roman"/>
        </w:rPr>
        <w:t>t</w:t>
      </w:r>
      <w:r>
        <w:rPr>
          <w:rFonts w:cs="Times New Roman"/>
        </w:rPr>
        <w:t>it</w:t>
      </w:r>
      <w:r w:rsidR="00645207" w:rsidRPr="00CC3ABA">
        <w:rPr>
          <w:rFonts w:cs="Times New Roman"/>
        </w:rPr>
        <w:t>ute for Social Marketing</w:t>
      </w:r>
      <w:r w:rsidR="00043D56">
        <w:rPr>
          <w:rFonts w:cs="Times New Roman"/>
        </w:rPr>
        <w:t xml:space="preserve"> and Health</w:t>
      </w:r>
      <w:r w:rsidR="00645207" w:rsidRPr="00CC3ABA">
        <w:rPr>
          <w:rFonts w:cs="Times New Roman"/>
        </w:rPr>
        <w:t>, Faculty of Health Sciences and Sport, Univer</w:t>
      </w:r>
      <w:r w:rsidR="00E879B4">
        <w:rPr>
          <w:rFonts w:cs="Times New Roman"/>
        </w:rPr>
        <w:t>sity of Stirling, Stirling, Scotland</w:t>
      </w:r>
    </w:p>
    <w:p w14:paraId="7DA26C30" w14:textId="7CA46134" w:rsidR="00645207" w:rsidRPr="00CC3ABA" w:rsidRDefault="001A12AF" w:rsidP="00140CF3">
      <w:pPr>
        <w:spacing w:line="480" w:lineRule="auto"/>
        <w:rPr>
          <w:rFonts w:cs="Times New Roman"/>
        </w:rPr>
      </w:pPr>
      <w:r>
        <w:rPr>
          <w:rFonts w:cs="Times New Roman"/>
          <w:vertAlign w:val="superscript"/>
        </w:rPr>
        <w:t>4</w:t>
      </w:r>
      <w:r w:rsidR="00645207" w:rsidRPr="00CC3ABA">
        <w:rPr>
          <w:rFonts w:cs="Times New Roman"/>
        </w:rPr>
        <w:t>National Addiction Centre</w:t>
      </w:r>
      <w:r w:rsidR="000B0B87">
        <w:rPr>
          <w:rFonts w:cs="Times New Roman"/>
        </w:rPr>
        <w:t xml:space="preserve"> and SPECTRUM Consortium</w:t>
      </w:r>
      <w:r w:rsidR="00645207" w:rsidRPr="00CC3ABA">
        <w:rPr>
          <w:rFonts w:cs="Times New Roman"/>
        </w:rPr>
        <w:t>, Addictions Department &amp;</w:t>
      </w:r>
      <w:r w:rsidR="003A2126">
        <w:rPr>
          <w:rFonts w:cs="Times New Roman"/>
        </w:rPr>
        <w:t xml:space="preserve"> </w:t>
      </w:r>
      <w:r w:rsidR="00D821D2">
        <w:rPr>
          <w:rFonts w:cs="Times New Roman"/>
        </w:rPr>
        <w:t>ARC</w:t>
      </w:r>
      <w:r w:rsidR="003A2126">
        <w:rPr>
          <w:rFonts w:cs="Times New Roman"/>
        </w:rPr>
        <w:t xml:space="preserve"> </w:t>
      </w:r>
      <w:r w:rsidR="00645207" w:rsidRPr="00CC3ABA">
        <w:rPr>
          <w:rFonts w:cs="Times New Roman"/>
        </w:rPr>
        <w:t>South London, Institute of Psychiatry, Psychology &amp; Neuroscience, King's College London,  London</w:t>
      </w:r>
      <w:r w:rsidR="00E879B4">
        <w:rPr>
          <w:rFonts w:cs="Times New Roman"/>
        </w:rPr>
        <w:t>, England</w:t>
      </w:r>
    </w:p>
    <w:p w14:paraId="7A76BB90" w14:textId="77777777" w:rsidR="00E879B4" w:rsidRDefault="001A12AF" w:rsidP="00140CF3">
      <w:pPr>
        <w:spacing w:line="480" w:lineRule="auto"/>
        <w:rPr>
          <w:rFonts w:cs="Times New Roman"/>
        </w:rPr>
      </w:pPr>
      <w:r w:rsidRPr="001A12AF">
        <w:rPr>
          <w:rFonts w:cs="Times New Roman"/>
          <w:shd w:val="clear" w:color="auto" w:fill="FFFFFF"/>
          <w:vertAlign w:val="superscript"/>
        </w:rPr>
        <w:t>5</w:t>
      </w:r>
      <w:r w:rsidR="00645207" w:rsidRPr="001A12AF">
        <w:rPr>
          <w:rFonts w:cs="Times New Roman"/>
          <w:shd w:val="clear" w:color="auto" w:fill="FFFFFF"/>
        </w:rPr>
        <w:t>Wolfson Institute of Preventive Medicine</w:t>
      </w:r>
      <w:r w:rsidR="00645207" w:rsidRPr="001A12AF">
        <w:rPr>
          <w:rFonts w:cs="Times New Roman"/>
        </w:rPr>
        <w:t xml:space="preserve">, </w:t>
      </w:r>
      <w:r w:rsidR="00645207" w:rsidRPr="001A12AF">
        <w:rPr>
          <w:rFonts w:cs="Times New Roman"/>
          <w:shd w:val="clear" w:color="auto" w:fill="FFFFFF"/>
        </w:rPr>
        <w:t>Barts and The London School of Medicine and Dentistry</w:t>
      </w:r>
      <w:r w:rsidR="009A6AD3">
        <w:rPr>
          <w:rFonts w:cs="Times New Roman"/>
        </w:rPr>
        <w:t xml:space="preserve">, Queen Mary University of London, </w:t>
      </w:r>
      <w:r w:rsidR="00645207" w:rsidRPr="001A12AF">
        <w:rPr>
          <w:rFonts w:cs="Times New Roman"/>
          <w:shd w:val="clear" w:color="auto" w:fill="FFFFFF"/>
        </w:rPr>
        <w:t>London</w:t>
      </w:r>
      <w:r w:rsidR="00645207" w:rsidRPr="001A12AF">
        <w:rPr>
          <w:rFonts w:cs="Times New Roman"/>
        </w:rPr>
        <w:t xml:space="preserve">, </w:t>
      </w:r>
      <w:r w:rsidR="00E879B4">
        <w:rPr>
          <w:rFonts w:cs="Times New Roman"/>
        </w:rPr>
        <w:t>England</w:t>
      </w:r>
    </w:p>
    <w:p w14:paraId="1140B2B5" w14:textId="3C70560C" w:rsidR="00645207" w:rsidRDefault="001A12AF" w:rsidP="00140CF3">
      <w:pPr>
        <w:spacing w:line="480" w:lineRule="auto"/>
        <w:rPr>
          <w:rFonts w:cs="Times New Roman"/>
        </w:rPr>
      </w:pPr>
      <w:r>
        <w:rPr>
          <w:rFonts w:cs="Times New Roman"/>
          <w:vertAlign w:val="superscript"/>
        </w:rPr>
        <w:t>6</w:t>
      </w:r>
      <w:r w:rsidR="00645207" w:rsidRPr="00CC3ABA">
        <w:rPr>
          <w:rFonts w:cs="Times New Roman"/>
        </w:rPr>
        <w:t>Department of Health Sciences, University of York, York,</w:t>
      </w:r>
      <w:r w:rsidR="003A2126">
        <w:rPr>
          <w:rFonts w:cs="Times New Roman"/>
        </w:rPr>
        <w:t xml:space="preserve"> </w:t>
      </w:r>
      <w:r w:rsidR="00E879B4">
        <w:rPr>
          <w:rFonts w:cs="Times New Roman"/>
        </w:rPr>
        <w:t>England</w:t>
      </w:r>
    </w:p>
    <w:p w14:paraId="161FE7B4" w14:textId="0833BF42" w:rsidR="00A522E5" w:rsidRDefault="00A522E5" w:rsidP="00140CF3">
      <w:pPr>
        <w:spacing w:line="480" w:lineRule="auto"/>
        <w:rPr>
          <w:rFonts w:cs="Times New Roman"/>
        </w:rPr>
      </w:pPr>
    </w:p>
    <w:p w14:paraId="5E5E4CFC" w14:textId="77777777" w:rsidR="00E879B4" w:rsidRDefault="00E879B4" w:rsidP="00E879B4">
      <w:pPr>
        <w:spacing w:line="480" w:lineRule="auto"/>
      </w:pPr>
      <w:r>
        <w:t>* Corresponding author</w:t>
      </w:r>
    </w:p>
    <w:p w14:paraId="62BC3E1B" w14:textId="77777777" w:rsidR="00E879B4" w:rsidRPr="00691F12" w:rsidRDefault="00E879B4" w:rsidP="00E879B4">
      <w:pPr>
        <w:spacing w:line="480" w:lineRule="auto"/>
        <w:rPr>
          <w:rFonts w:cs="Times New Roman"/>
        </w:rPr>
      </w:pPr>
      <w:r>
        <w:t>E-mail: dawkinl3@lsbu.ac.uk</w:t>
      </w:r>
    </w:p>
    <w:p w14:paraId="443D0611" w14:textId="2D55AE7F" w:rsidR="00E879B4" w:rsidRDefault="00E879B4" w:rsidP="00140CF3">
      <w:pPr>
        <w:spacing w:line="480" w:lineRule="auto"/>
        <w:rPr>
          <w:rFonts w:cs="Times New Roman"/>
        </w:rPr>
      </w:pPr>
    </w:p>
    <w:p w14:paraId="4B1413C8" w14:textId="1BB8A102" w:rsidR="00E879B4" w:rsidRDefault="00E879B4" w:rsidP="00140CF3">
      <w:pPr>
        <w:spacing w:line="480" w:lineRule="auto"/>
        <w:rPr>
          <w:rFonts w:cs="Times New Roman"/>
        </w:rPr>
      </w:pPr>
    </w:p>
    <w:p w14:paraId="01DDF463" w14:textId="17ADAED7" w:rsidR="00E879B4" w:rsidRPr="00CC3ABA" w:rsidRDefault="00E879B4" w:rsidP="00140CF3">
      <w:pPr>
        <w:spacing w:line="480" w:lineRule="auto"/>
        <w:rPr>
          <w:rFonts w:cs="Times New Roman"/>
        </w:rPr>
      </w:pPr>
    </w:p>
    <w:p w14:paraId="36EC5923" w14:textId="62621565" w:rsidR="000C73AA" w:rsidRPr="00E879B4" w:rsidRDefault="000C73AA" w:rsidP="00A22598">
      <w:pPr>
        <w:spacing w:line="480" w:lineRule="auto"/>
        <w:jc w:val="both"/>
        <w:rPr>
          <w:rFonts w:cs="Times New Roman"/>
          <w:b/>
          <w:sz w:val="36"/>
          <w:szCs w:val="36"/>
        </w:rPr>
      </w:pPr>
      <w:r w:rsidRPr="00E879B4">
        <w:rPr>
          <w:rFonts w:cs="Times New Roman"/>
          <w:b/>
          <w:sz w:val="36"/>
          <w:szCs w:val="36"/>
        </w:rPr>
        <w:t>Abstract</w:t>
      </w:r>
      <w:r w:rsidR="003A2126" w:rsidRPr="00E879B4">
        <w:rPr>
          <w:rFonts w:cs="Times New Roman"/>
          <w:b/>
          <w:sz w:val="36"/>
          <w:szCs w:val="36"/>
        </w:rPr>
        <w:t xml:space="preserve"> </w:t>
      </w:r>
    </w:p>
    <w:p w14:paraId="7799701A" w14:textId="5DB55AA6" w:rsidR="00CC3ABA" w:rsidRPr="00610D2B" w:rsidRDefault="007D3AB9" w:rsidP="00610D2B">
      <w:pPr>
        <w:spacing w:after="160" w:line="480" w:lineRule="auto"/>
        <w:jc w:val="both"/>
        <w:rPr>
          <w:rFonts w:cs="Times New Roman"/>
        </w:rPr>
      </w:pPr>
      <w:r w:rsidRPr="00CC3ABA">
        <w:rPr>
          <w:rFonts w:cs="Times New Roman"/>
        </w:rPr>
        <w:t>Smoking rates in the UK are at an all-time low but this masks considerable inequalities; prevalence amongst adults who are homeless remains four times higher than</w:t>
      </w:r>
      <w:r w:rsidR="00456354">
        <w:rPr>
          <w:rFonts w:cs="Times New Roman"/>
        </w:rPr>
        <w:t xml:space="preserve"> </w:t>
      </w:r>
      <w:r w:rsidRPr="00CC3ABA">
        <w:rPr>
          <w:rFonts w:cs="Times New Roman"/>
        </w:rPr>
        <w:t>the national average.</w:t>
      </w:r>
      <w:r w:rsidR="00840AF7">
        <w:rPr>
          <w:rFonts w:cs="Times New Roman"/>
        </w:rPr>
        <w:t xml:space="preserve"> </w:t>
      </w:r>
      <w:r w:rsidR="00BE5776" w:rsidRPr="00CC3ABA">
        <w:rPr>
          <w:rFonts w:cs="Times New Roman"/>
        </w:rPr>
        <w:t>The objective of this</w:t>
      </w:r>
      <w:r w:rsidR="00BE5776">
        <w:rPr>
          <w:rFonts w:cs="Times New Roman"/>
        </w:rPr>
        <w:t xml:space="preserve"> trial was </w:t>
      </w:r>
      <w:r w:rsidR="00BE5776" w:rsidRPr="00CC3ABA">
        <w:rPr>
          <w:rFonts w:cs="Times New Roman"/>
        </w:rPr>
        <w:t xml:space="preserve">to assess </w:t>
      </w:r>
      <w:r w:rsidR="00BE5776">
        <w:rPr>
          <w:rFonts w:cs="Times New Roman"/>
        </w:rPr>
        <w:t xml:space="preserve">the feasibility </w:t>
      </w:r>
      <w:r w:rsidR="00BE5776" w:rsidRPr="00CC3ABA">
        <w:rPr>
          <w:rFonts w:cs="Times New Roman"/>
        </w:rPr>
        <w:t>of supplying free e-cigarette starter kits to smokers accessing homeless centres</w:t>
      </w:r>
      <w:r w:rsidR="00BE5776">
        <w:rPr>
          <w:rFonts w:cs="Times New Roman"/>
        </w:rPr>
        <w:t xml:space="preserve"> </w:t>
      </w:r>
      <w:r w:rsidR="00B3162A">
        <w:rPr>
          <w:rFonts w:cs="Times New Roman"/>
        </w:rPr>
        <w:t xml:space="preserve">and to estimate parameters </w:t>
      </w:r>
      <w:r w:rsidR="00BE5776">
        <w:rPr>
          <w:rFonts w:cs="Times New Roman"/>
        </w:rPr>
        <w:t xml:space="preserve">to inform a possible </w:t>
      </w:r>
      <w:r w:rsidR="00BE5776" w:rsidRPr="00CC3ABA">
        <w:rPr>
          <w:rFonts w:cs="Times New Roman"/>
        </w:rPr>
        <w:t xml:space="preserve">future </w:t>
      </w:r>
      <w:r w:rsidR="00BE5776">
        <w:rPr>
          <w:rFonts w:cs="Times New Roman"/>
        </w:rPr>
        <w:t>larger</w:t>
      </w:r>
      <w:r w:rsidR="00BE5776" w:rsidRPr="00CC3ABA">
        <w:rPr>
          <w:rFonts w:cs="Times New Roman"/>
        </w:rPr>
        <w:t xml:space="preserve"> trial.</w:t>
      </w:r>
      <w:r w:rsidR="0055264A">
        <w:rPr>
          <w:rFonts w:cs="Times New Roman"/>
        </w:rPr>
        <w:t xml:space="preserve"> </w:t>
      </w:r>
      <w:r w:rsidR="006655C5" w:rsidRPr="0072231B">
        <w:rPr>
          <w:rFonts w:cs="Times New Roman"/>
        </w:rPr>
        <w:t>In this</w:t>
      </w:r>
      <w:r w:rsidR="00456354" w:rsidRPr="0072231B">
        <w:rPr>
          <w:rFonts w:cs="Times New Roman"/>
        </w:rPr>
        <w:t xml:space="preserve"> </w:t>
      </w:r>
      <w:r w:rsidR="00866104" w:rsidRPr="0072231B">
        <w:rPr>
          <w:rFonts w:cs="Times New Roman"/>
        </w:rPr>
        <w:t>feasibility clu</w:t>
      </w:r>
      <w:r w:rsidR="001C16B7" w:rsidRPr="0072231B">
        <w:rPr>
          <w:rFonts w:cs="Times New Roman"/>
        </w:rPr>
        <w:t xml:space="preserve">ster </w:t>
      </w:r>
      <w:r w:rsidR="0004411C" w:rsidRPr="0072231B">
        <w:rPr>
          <w:rFonts w:cs="Times New Roman"/>
        </w:rPr>
        <w:t>trial</w:t>
      </w:r>
      <w:r w:rsidR="00250B14" w:rsidRPr="0072231B">
        <w:rPr>
          <w:rFonts w:cs="Times New Roman"/>
        </w:rPr>
        <w:t xml:space="preserve">, </w:t>
      </w:r>
      <w:r w:rsidR="00D504B8" w:rsidRPr="0072231B">
        <w:rPr>
          <w:rFonts w:cs="Times New Roman"/>
        </w:rPr>
        <w:t xml:space="preserve">four homeless centres </w:t>
      </w:r>
      <w:r w:rsidR="006655C5" w:rsidRPr="0072231B">
        <w:rPr>
          <w:rFonts w:cs="Times New Roman"/>
        </w:rPr>
        <w:t>in</w:t>
      </w:r>
      <w:r w:rsidR="003C2D1B" w:rsidRPr="0072231B">
        <w:rPr>
          <w:rFonts w:cs="Times New Roman"/>
        </w:rPr>
        <w:t xml:space="preserve"> Great Britain</w:t>
      </w:r>
      <w:r w:rsidR="00250B14" w:rsidRPr="0072231B">
        <w:rPr>
          <w:rFonts w:cs="Times New Roman"/>
        </w:rPr>
        <w:t xml:space="preserve"> were </w:t>
      </w:r>
      <w:r w:rsidR="00944884">
        <w:rPr>
          <w:rFonts w:cs="Times New Roman"/>
        </w:rPr>
        <w:t xml:space="preserve">non-randomly </w:t>
      </w:r>
      <w:r w:rsidR="00250B14" w:rsidRPr="0072231B">
        <w:rPr>
          <w:rFonts w:cs="Times New Roman"/>
        </w:rPr>
        <w:t xml:space="preserve"> allocated </w:t>
      </w:r>
      <w:r w:rsidR="00884D20" w:rsidRPr="0072231B">
        <w:rPr>
          <w:rFonts w:cs="Times New Roman"/>
        </w:rPr>
        <w:t xml:space="preserve">to either </w:t>
      </w:r>
      <w:r w:rsidR="006655C5" w:rsidRPr="0072231B">
        <w:rPr>
          <w:rFonts w:cs="Times New Roman"/>
        </w:rPr>
        <w:t>a Usual Care (UC) or E</w:t>
      </w:r>
      <w:r w:rsidR="00884D20" w:rsidRPr="0072231B">
        <w:rPr>
          <w:rFonts w:cs="Times New Roman"/>
        </w:rPr>
        <w:t>-</w:t>
      </w:r>
      <w:r w:rsidR="006655C5" w:rsidRPr="0072231B">
        <w:rPr>
          <w:rFonts w:cs="Times New Roman"/>
        </w:rPr>
        <w:t>C</w:t>
      </w:r>
      <w:r w:rsidR="00884D20" w:rsidRPr="0072231B">
        <w:rPr>
          <w:rFonts w:cs="Times New Roman"/>
        </w:rPr>
        <w:t>igarette (EC)</w:t>
      </w:r>
      <w:r w:rsidR="006655C5" w:rsidRPr="0072231B">
        <w:rPr>
          <w:rFonts w:cs="Times New Roman"/>
        </w:rPr>
        <w:t xml:space="preserve"> arm</w:t>
      </w:r>
      <w:r w:rsidR="00884D20" w:rsidRPr="0072231B">
        <w:rPr>
          <w:rFonts w:cs="Times New Roman"/>
        </w:rPr>
        <w:t>.</w:t>
      </w:r>
      <w:r w:rsidR="00250B14" w:rsidRPr="0072231B">
        <w:rPr>
          <w:rFonts w:cs="Times New Roman"/>
        </w:rPr>
        <w:t xml:space="preserve"> Smokers attending the centres were recruited by staff. </w:t>
      </w:r>
      <w:r w:rsidR="00540518" w:rsidRPr="0072231B">
        <w:rPr>
          <w:rFonts w:cs="Times New Roman"/>
        </w:rPr>
        <w:t>UC</w:t>
      </w:r>
      <w:r w:rsidR="0018021D" w:rsidRPr="0072231B">
        <w:rPr>
          <w:rFonts w:cs="Times New Roman"/>
        </w:rPr>
        <w:t xml:space="preserve"> arm</w:t>
      </w:r>
      <w:r w:rsidR="00456354" w:rsidRPr="0072231B">
        <w:rPr>
          <w:rFonts w:cs="Times New Roman"/>
        </w:rPr>
        <w:t xml:space="preserve"> </w:t>
      </w:r>
      <w:r w:rsidR="00230749" w:rsidRPr="0072231B">
        <w:rPr>
          <w:rFonts w:cs="Times New Roman"/>
        </w:rPr>
        <w:t xml:space="preserve">participants </w:t>
      </w:r>
      <w:r w:rsidR="00266C9C" w:rsidRPr="0072231B">
        <w:rPr>
          <w:rFonts w:cs="Times New Roman"/>
        </w:rPr>
        <w:t>(N=</w:t>
      </w:r>
      <w:r w:rsidR="003F09E0">
        <w:rPr>
          <w:rFonts w:cs="Times New Roman"/>
        </w:rPr>
        <w:t>32</w:t>
      </w:r>
      <w:r w:rsidR="00266C9C" w:rsidRPr="0072231B">
        <w:rPr>
          <w:rFonts w:cs="Times New Roman"/>
        </w:rPr>
        <w:t xml:space="preserve">) </w:t>
      </w:r>
      <w:r w:rsidR="00230749" w:rsidRPr="0072231B">
        <w:rPr>
          <w:rFonts w:cs="Times New Roman"/>
        </w:rPr>
        <w:t>re</w:t>
      </w:r>
      <w:r w:rsidR="00540518" w:rsidRPr="0072231B">
        <w:rPr>
          <w:rFonts w:cs="Times New Roman"/>
        </w:rPr>
        <w:t>ceive</w:t>
      </w:r>
      <w:r w:rsidR="003D3D0D" w:rsidRPr="0072231B">
        <w:rPr>
          <w:rFonts w:cs="Times New Roman"/>
        </w:rPr>
        <w:t>d</w:t>
      </w:r>
      <w:r w:rsidR="00540518" w:rsidRPr="00CC3ABA">
        <w:rPr>
          <w:rFonts w:cs="Times New Roman"/>
        </w:rPr>
        <w:t xml:space="preserve"> advice to quit and </w:t>
      </w:r>
      <w:r w:rsidR="006655C5">
        <w:rPr>
          <w:rFonts w:cs="Times New Roman"/>
        </w:rPr>
        <w:t xml:space="preserve">signposting </w:t>
      </w:r>
      <w:r w:rsidR="00540518" w:rsidRPr="00CC3ABA">
        <w:rPr>
          <w:rFonts w:cs="Times New Roman"/>
        </w:rPr>
        <w:t>to the local S</w:t>
      </w:r>
      <w:r w:rsidR="00C5787D" w:rsidRPr="00CC3ABA">
        <w:rPr>
          <w:rFonts w:cs="Times New Roman"/>
        </w:rPr>
        <w:t xml:space="preserve">top </w:t>
      </w:r>
      <w:r w:rsidR="00540518" w:rsidRPr="00CC3ABA">
        <w:rPr>
          <w:rFonts w:cs="Times New Roman"/>
        </w:rPr>
        <w:t>S</w:t>
      </w:r>
      <w:r w:rsidR="00C5787D" w:rsidRPr="00CC3ABA">
        <w:rPr>
          <w:rFonts w:cs="Times New Roman"/>
        </w:rPr>
        <w:t xml:space="preserve">moking </w:t>
      </w:r>
      <w:r w:rsidR="00540518" w:rsidRPr="00CC3ABA">
        <w:rPr>
          <w:rFonts w:cs="Times New Roman"/>
        </w:rPr>
        <w:t>S</w:t>
      </w:r>
      <w:r w:rsidR="00C5787D" w:rsidRPr="00CC3ABA">
        <w:rPr>
          <w:rFonts w:cs="Times New Roman"/>
        </w:rPr>
        <w:t>ervice</w:t>
      </w:r>
      <w:r w:rsidR="00540518" w:rsidRPr="00CC3ABA">
        <w:rPr>
          <w:rFonts w:cs="Times New Roman"/>
        </w:rPr>
        <w:t xml:space="preserve">. EC arm </w:t>
      </w:r>
      <w:r w:rsidR="003D3D0D" w:rsidRPr="00CC3ABA">
        <w:rPr>
          <w:rFonts w:cs="Times New Roman"/>
        </w:rPr>
        <w:t xml:space="preserve">participants </w:t>
      </w:r>
      <w:r w:rsidR="00266C9C">
        <w:rPr>
          <w:rFonts w:cs="Times New Roman"/>
        </w:rPr>
        <w:t>(N=</w:t>
      </w:r>
      <w:r w:rsidR="003F09E0">
        <w:rPr>
          <w:rFonts w:cs="Times New Roman"/>
        </w:rPr>
        <w:t>48</w:t>
      </w:r>
      <w:r w:rsidR="00266C9C">
        <w:rPr>
          <w:rFonts w:cs="Times New Roman"/>
        </w:rPr>
        <w:t xml:space="preserve">) </w:t>
      </w:r>
      <w:r w:rsidR="00540518" w:rsidRPr="00CC3ABA">
        <w:rPr>
          <w:rFonts w:cs="Times New Roman"/>
        </w:rPr>
        <w:t>receive</w:t>
      </w:r>
      <w:r w:rsidR="003D3D0D" w:rsidRPr="00CC3ABA">
        <w:rPr>
          <w:rFonts w:cs="Times New Roman"/>
        </w:rPr>
        <w:t>d a</w:t>
      </w:r>
      <w:r w:rsidR="00BE5776">
        <w:rPr>
          <w:rFonts w:cs="Times New Roman"/>
        </w:rPr>
        <w:t>n EC</w:t>
      </w:r>
      <w:r w:rsidR="003D3D0D" w:rsidRPr="00CC3ABA">
        <w:rPr>
          <w:rFonts w:cs="Times New Roman"/>
        </w:rPr>
        <w:t xml:space="preserve"> starter kit and </w:t>
      </w:r>
      <w:r w:rsidR="00250B14">
        <w:rPr>
          <w:rFonts w:cs="Times New Roman"/>
        </w:rPr>
        <w:t>4-weeks supply of e-liquid.</w:t>
      </w:r>
      <w:r w:rsidR="00840AF7">
        <w:rPr>
          <w:rFonts w:cs="Times New Roman"/>
        </w:rPr>
        <w:t xml:space="preserve"> </w:t>
      </w:r>
      <w:r w:rsidR="00230749" w:rsidRPr="00CC3ABA">
        <w:rPr>
          <w:rFonts w:cs="Times New Roman"/>
        </w:rPr>
        <w:t xml:space="preserve">Outcome measures were </w:t>
      </w:r>
      <w:r w:rsidR="006655C5">
        <w:rPr>
          <w:rFonts w:cs="Times New Roman"/>
        </w:rPr>
        <w:t xml:space="preserve">recruitment and </w:t>
      </w:r>
      <w:r w:rsidR="008B43F5" w:rsidRPr="00CC3ABA">
        <w:rPr>
          <w:rFonts w:cs="Times New Roman"/>
        </w:rPr>
        <w:t>retention</w:t>
      </w:r>
      <w:r w:rsidR="006655C5">
        <w:rPr>
          <w:rFonts w:cs="Times New Roman"/>
        </w:rPr>
        <w:t xml:space="preserve"> rates</w:t>
      </w:r>
      <w:r w:rsidR="008B43F5">
        <w:rPr>
          <w:rFonts w:cs="Times New Roman"/>
        </w:rPr>
        <w:t>,</w:t>
      </w:r>
      <w:r w:rsidR="00456354">
        <w:rPr>
          <w:rFonts w:cs="Times New Roman"/>
        </w:rPr>
        <w:t xml:space="preserve"> </w:t>
      </w:r>
      <w:r w:rsidR="00601099" w:rsidRPr="00CC3ABA">
        <w:rPr>
          <w:rFonts w:cs="Times New Roman"/>
        </w:rPr>
        <w:t>use of EC</w:t>
      </w:r>
      <w:r w:rsidR="00230749" w:rsidRPr="00CC3ABA">
        <w:rPr>
          <w:rFonts w:cs="Times New Roman"/>
        </w:rPr>
        <w:t>s,</w:t>
      </w:r>
      <w:r w:rsidR="00456354">
        <w:rPr>
          <w:rFonts w:cs="Times New Roman"/>
        </w:rPr>
        <w:t xml:space="preserve"> </w:t>
      </w:r>
      <w:r w:rsidR="00230749" w:rsidRPr="00CC3ABA">
        <w:rPr>
          <w:rFonts w:cs="Times New Roman"/>
        </w:rPr>
        <w:t>smoking cessation/reduction</w:t>
      </w:r>
      <w:r w:rsidR="006655C5">
        <w:rPr>
          <w:rFonts w:cs="Times New Roman"/>
        </w:rPr>
        <w:t xml:space="preserve"> and completion of measures required for economic evaluation. </w:t>
      </w:r>
      <w:r w:rsidR="00911FB2">
        <w:rPr>
          <w:rFonts w:cs="Times New Roman"/>
        </w:rPr>
        <w:t>Eighty (m</w:t>
      </w:r>
      <w:r w:rsidR="00911FB2" w:rsidRPr="000D4E46">
        <w:rPr>
          <w:rFonts w:cs="Times New Roman"/>
        </w:rPr>
        <w:t>ean age 43 years; 65% male)</w:t>
      </w:r>
      <w:r w:rsidR="00911FB2">
        <w:rPr>
          <w:rFonts w:cs="Times New Roman"/>
        </w:rPr>
        <w:t xml:space="preserve"> of the </w:t>
      </w:r>
      <w:r w:rsidR="00266C9C">
        <w:rPr>
          <w:rFonts w:cs="Times New Roman"/>
        </w:rPr>
        <w:t>153</w:t>
      </w:r>
      <w:r w:rsidR="003A2126">
        <w:rPr>
          <w:rFonts w:cs="Times New Roman"/>
        </w:rPr>
        <w:t xml:space="preserve"> </w:t>
      </w:r>
      <w:r w:rsidR="00266C9C">
        <w:rPr>
          <w:rFonts w:cs="Times New Roman"/>
        </w:rPr>
        <w:t xml:space="preserve">eligible participants </w:t>
      </w:r>
      <w:r w:rsidR="001A26E9">
        <w:rPr>
          <w:rFonts w:cs="Times New Roman"/>
        </w:rPr>
        <w:t xml:space="preserve">who were invited to participate, were </w:t>
      </w:r>
      <w:r w:rsidR="00911FB2">
        <w:rPr>
          <w:rFonts w:cs="Times New Roman"/>
        </w:rPr>
        <w:t xml:space="preserve">successfully </w:t>
      </w:r>
      <w:r w:rsidR="00266C9C">
        <w:rPr>
          <w:rFonts w:cs="Times New Roman"/>
        </w:rPr>
        <w:t>recruited (52</w:t>
      </w:r>
      <w:r w:rsidR="001A26E9">
        <w:rPr>
          <w:rFonts w:cs="Times New Roman"/>
        </w:rPr>
        <w:t>%)</w:t>
      </w:r>
      <w:r w:rsidR="00CD10E9">
        <w:rPr>
          <w:rFonts w:cs="Times New Roman"/>
        </w:rPr>
        <w:t xml:space="preserve"> within a five-month period,</w:t>
      </w:r>
      <w:r w:rsidR="001A26E9">
        <w:rPr>
          <w:rFonts w:cs="Times New Roman"/>
        </w:rPr>
        <w:t xml:space="preserve"> and </w:t>
      </w:r>
      <w:r w:rsidR="00911FB2">
        <w:rPr>
          <w:rFonts w:cs="Times New Roman"/>
        </w:rPr>
        <w:t>47 (</w:t>
      </w:r>
      <w:r w:rsidR="001A26E9">
        <w:rPr>
          <w:rFonts w:cs="Times New Roman"/>
        </w:rPr>
        <w:t>59%</w:t>
      </w:r>
      <w:r w:rsidR="00911FB2">
        <w:rPr>
          <w:rFonts w:cs="Times New Roman"/>
        </w:rPr>
        <w:t>)</w:t>
      </w:r>
      <w:r w:rsidR="003A2126">
        <w:rPr>
          <w:rFonts w:cs="Times New Roman"/>
        </w:rPr>
        <w:t xml:space="preserve"> </w:t>
      </w:r>
      <w:r w:rsidR="00911FB2">
        <w:rPr>
          <w:rFonts w:cs="Times New Roman"/>
        </w:rPr>
        <w:t xml:space="preserve">of these </w:t>
      </w:r>
      <w:r w:rsidR="001A26E9">
        <w:rPr>
          <w:rFonts w:cs="Times New Roman"/>
        </w:rPr>
        <w:t xml:space="preserve">were </w:t>
      </w:r>
      <w:r w:rsidR="00266C9C">
        <w:rPr>
          <w:rFonts w:cs="Times New Roman"/>
        </w:rPr>
        <w:t xml:space="preserve">retained at </w:t>
      </w:r>
      <w:r w:rsidR="001A26E9">
        <w:rPr>
          <w:rFonts w:cs="Times New Roman"/>
        </w:rPr>
        <w:t>24</w:t>
      </w:r>
      <w:r w:rsidR="00911FB2">
        <w:rPr>
          <w:rFonts w:cs="Times New Roman"/>
        </w:rPr>
        <w:t xml:space="preserve"> weeks.</w:t>
      </w:r>
      <w:r w:rsidR="00CD10E9">
        <w:rPr>
          <w:rFonts w:cs="Times New Roman"/>
        </w:rPr>
        <w:t xml:space="preserve"> The EC intervention was well received with </w:t>
      </w:r>
      <w:r w:rsidR="002E5DCC">
        <w:rPr>
          <w:rFonts w:cs="Times New Roman"/>
        </w:rPr>
        <w:t>minimal negative effects and</w:t>
      </w:r>
      <w:r w:rsidR="00CD10E9">
        <w:rPr>
          <w:rFonts w:cs="Times New Roman"/>
        </w:rPr>
        <w:t xml:space="preserve"> very few unintended consequences (</w:t>
      </w:r>
      <w:r w:rsidR="00EB426F">
        <w:rPr>
          <w:rFonts w:cs="Times New Roman"/>
        </w:rPr>
        <w:t xml:space="preserve">e.g. </w:t>
      </w:r>
      <w:r w:rsidR="00CD10E9">
        <w:rPr>
          <w:rFonts w:cs="Times New Roman"/>
        </w:rPr>
        <w:t>lost, theft</w:t>
      </w:r>
      <w:r w:rsidR="002E5DCC">
        <w:rPr>
          <w:rFonts w:cs="Times New Roman"/>
        </w:rPr>
        <w:t xml:space="preserve">, adding illicit substances). </w:t>
      </w:r>
      <w:r w:rsidR="00BE5776">
        <w:rPr>
          <w:rFonts w:cs="Times New Roman"/>
        </w:rPr>
        <w:t>I</w:t>
      </w:r>
      <w:r w:rsidR="003A2126">
        <w:rPr>
          <w:rFonts w:cs="Times New Roman"/>
        </w:rPr>
        <w:t xml:space="preserve">n both </w:t>
      </w:r>
      <w:r w:rsidR="00B16A1E">
        <w:rPr>
          <w:rFonts w:cs="Times New Roman"/>
        </w:rPr>
        <w:t>study arm</w:t>
      </w:r>
      <w:r w:rsidR="003A2126">
        <w:rPr>
          <w:rFonts w:cs="Times New Roman"/>
        </w:rPr>
        <w:t xml:space="preserve">, </w:t>
      </w:r>
      <w:r w:rsidR="00BD06D4">
        <w:rPr>
          <w:rFonts w:cs="Times New Roman"/>
        </w:rPr>
        <w:t xml:space="preserve">depression and anxiety </w:t>
      </w:r>
      <w:r w:rsidR="00EB426F">
        <w:rPr>
          <w:rFonts w:cs="Times New Roman"/>
        </w:rPr>
        <w:t>score</w:t>
      </w:r>
      <w:r w:rsidR="0018021D">
        <w:rPr>
          <w:rFonts w:cs="Times New Roman"/>
        </w:rPr>
        <w:t>s</w:t>
      </w:r>
      <w:r w:rsidR="003A2126">
        <w:rPr>
          <w:rFonts w:cs="Times New Roman"/>
        </w:rPr>
        <w:t xml:space="preserve"> </w:t>
      </w:r>
      <w:r w:rsidR="00EB426F">
        <w:rPr>
          <w:rFonts w:cs="Times New Roman"/>
        </w:rPr>
        <w:t xml:space="preserve">declined </w:t>
      </w:r>
      <w:r w:rsidR="00BD06D4">
        <w:rPr>
          <w:rFonts w:cs="Times New Roman"/>
        </w:rPr>
        <w:t>over the duration of the study</w:t>
      </w:r>
      <w:r w:rsidR="00B16A1E">
        <w:rPr>
          <w:rFonts w:cs="Times New Roman"/>
        </w:rPr>
        <w:t>.</w:t>
      </w:r>
      <w:r w:rsidR="00BD06D4">
        <w:rPr>
          <w:rFonts w:cs="Times New Roman"/>
        </w:rPr>
        <w:t xml:space="preserve"> </w:t>
      </w:r>
      <w:r w:rsidR="00B16A1E">
        <w:rPr>
          <w:rFonts w:cs="Times New Roman"/>
        </w:rPr>
        <w:t>S</w:t>
      </w:r>
      <w:r w:rsidR="00BD06D4">
        <w:rPr>
          <w:rFonts w:cs="Times New Roman"/>
        </w:rPr>
        <w:t xml:space="preserve">ubstance dependence </w:t>
      </w:r>
      <w:r w:rsidR="00EB426F">
        <w:rPr>
          <w:rFonts w:cs="Times New Roman"/>
        </w:rPr>
        <w:t xml:space="preserve">scores </w:t>
      </w:r>
      <w:r w:rsidR="003A2126">
        <w:rPr>
          <w:rFonts w:cs="Times New Roman"/>
        </w:rPr>
        <w:t>remained constant</w:t>
      </w:r>
      <w:r w:rsidR="00BD06D4">
        <w:rPr>
          <w:rFonts w:cs="Times New Roman"/>
        </w:rPr>
        <w:t>.</w:t>
      </w:r>
      <w:r w:rsidR="00ED5A94">
        <w:rPr>
          <w:rFonts w:cs="Times New Roman"/>
        </w:rPr>
        <w:t xml:space="preserve"> </w:t>
      </w:r>
      <w:r w:rsidR="00266C9C">
        <w:rPr>
          <w:rFonts w:cs="Times New Roman"/>
        </w:rPr>
        <w:t xml:space="preserve">Assuming those with missing follow up data were smoking, CO validated </w:t>
      </w:r>
      <w:r w:rsidR="00B16A1E">
        <w:rPr>
          <w:rFonts w:cs="Times New Roman"/>
        </w:rPr>
        <w:t>sustained abstinence at 24 weeks was</w:t>
      </w:r>
      <w:r w:rsidR="00266C9C">
        <w:rPr>
          <w:rFonts w:cs="Times New Roman"/>
        </w:rPr>
        <w:t xml:space="preserve"> 3/48 (6.25%) and 0/32 (0</w:t>
      </w:r>
      <w:r w:rsidR="001309CF">
        <w:rPr>
          <w:rFonts w:cs="Times New Roman"/>
        </w:rPr>
        <w:t xml:space="preserve">%) </w:t>
      </w:r>
      <w:r w:rsidR="00266C9C">
        <w:rPr>
          <w:rFonts w:cs="Times New Roman"/>
        </w:rPr>
        <w:t>respectively for the EC and UC arms.</w:t>
      </w:r>
      <w:r w:rsidR="00840AF7">
        <w:rPr>
          <w:rFonts w:cs="Times New Roman"/>
        </w:rPr>
        <w:t xml:space="preserve"> </w:t>
      </w:r>
      <w:r w:rsidR="003A2126">
        <w:rPr>
          <w:rFonts w:cs="Times New Roman"/>
        </w:rPr>
        <w:t>Almost all participants</w:t>
      </w:r>
      <w:r w:rsidR="0018021D">
        <w:rPr>
          <w:rFonts w:cs="Times New Roman"/>
        </w:rPr>
        <w:t xml:space="preserve"> present at follow-up visits completed data collection for healthcare service and health-related quality of life measure</w:t>
      </w:r>
      <w:r w:rsidR="003A2126">
        <w:rPr>
          <w:rFonts w:cs="Times New Roman"/>
        </w:rPr>
        <w:t>s</w:t>
      </w:r>
      <w:r w:rsidR="0018021D">
        <w:rPr>
          <w:rFonts w:cs="Times New Roman"/>
        </w:rPr>
        <w:t xml:space="preserve">. </w:t>
      </w:r>
      <w:r w:rsidR="00B16A1E">
        <w:rPr>
          <w:rFonts w:cs="Times New Roman"/>
        </w:rPr>
        <w:t>P</w:t>
      </w:r>
      <w:r w:rsidR="00CA4223" w:rsidRPr="00CC3ABA">
        <w:rPr>
          <w:rFonts w:cs="Times New Roman"/>
        </w:rPr>
        <w:t xml:space="preserve">roviding an e-cigarette starter kit to smokers </w:t>
      </w:r>
      <w:r w:rsidR="003C1A65">
        <w:rPr>
          <w:rFonts w:cs="Times New Roman"/>
        </w:rPr>
        <w:t xml:space="preserve">experiencing homelessness </w:t>
      </w:r>
      <w:r w:rsidR="008B43F5">
        <w:rPr>
          <w:rFonts w:cs="Times New Roman"/>
        </w:rPr>
        <w:t>was associated with</w:t>
      </w:r>
      <w:r w:rsidR="008F0D77">
        <w:rPr>
          <w:rFonts w:cs="Times New Roman"/>
        </w:rPr>
        <w:t xml:space="preserve"> reasonable</w:t>
      </w:r>
      <w:r w:rsidR="00CA4223" w:rsidRPr="00CC3ABA">
        <w:rPr>
          <w:rFonts w:cs="Times New Roman"/>
        </w:rPr>
        <w:t xml:space="preserve"> recr</w:t>
      </w:r>
      <w:r w:rsidR="005F26F8">
        <w:rPr>
          <w:rFonts w:cs="Times New Roman"/>
        </w:rPr>
        <w:t>uitment and retention rates and</w:t>
      </w:r>
      <w:r w:rsidR="00CA4223" w:rsidRPr="00CC3ABA">
        <w:rPr>
          <w:rFonts w:cs="Times New Roman"/>
        </w:rPr>
        <w:t xml:space="preserve"> promising</w:t>
      </w:r>
      <w:r w:rsidR="005F26F8">
        <w:rPr>
          <w:rFonts w:cs="Times New Roman"/>
        </w:rPr>
        <w:t xml:space="preserve"> evidence of </w:t>
      </w:r>
      <w:r w:rsidR="00CA4223" w:rsidRPr="00CC3ABA">
        <w:rPr>
          <w:rFonts w:cs="Times New Roman"/>
        </w:rPr>
        <w:t xml:space="preserve">effectiveness </w:t>
      </w:r>
      <w:r w:rsidR="005F26F8">
        <w:rPr>
          <w:rFonts w:cs="Times New Roman"/>
        </w:rPr>
        <w:t>and cost-effectiveness</w:t>
      </w:r>
      <w:r w:rsidR="00CA4223" w:rsidRPr="00CC3ABA">
        <w:rPr>
          <w:rFonts w:cs="Times New Roman"/>
        </w:rPr>
        <w:t xml:space="preserve">. </w:t>
      </w:r>
    </w:p>
    <w:p w14:paraId="546E945F" w14:textId="77777777" w:rsidR="00A4354E" w:rsidRPr="00E879B4" w:rsidRDefault="00A4354E" w:rsidP="00CC3ABA">
      <w:pPr>
        <w:spacing w:line="480" w:lineRule="auto"/>
        <w:jc w:val="both"/>
        <w:rPr>
          <w:rFonts w:cs="Times New Roman"/>
          <w:b/>
          <w:sz w:val="36"/>
          <w:szCs w:val="36"/>
        </w:rPr>
      </w:pPr>
      <w:r w:rsidRPr="00E879B4">
        <w:rPr>
          <w:rFonts w:cs="Times New Roman"/>
          <w:b/>
          <w:sz w:val="36"/>
          <w:szCs w:val="36"/>
        </w:rPr>
        <w:t>Introduction</w:t>
      </w:r>
    </w:p>
    <w:p w14:paraId="313EF553" w14:textId="1629E619" w:rsidR="00A4354E" w:rsidRDefault="00211FBE" w:rsidP="00211FBE">
      <w:pPr>
        <w:spacing w:after="160" w:line="480" w:lineRule="auto"/>
        <w:jc w:val="both"/>
        <w:rPr>
          <w:rFonts w:cs="Times New Roman"/>
        </w:rPr>
      </w:pPr>
      <w:r w:rsidRPr="00CC3ABA">
        <w:rPr>
          <w:rFonts w:cs="Times New Roman"/>
        </w:rPr>
        <w:t>Although s</w:t>
      </w:r>
      <w:r w:rsidR="00A4354E" w:rsidRPr="00CC3ABA">
        <w:rPr>
          <w:rFonts w:cs="Times New Roman"/>
        </w:rPr>
        <w:t xml:space="preserve">moking rates in the </w:t>
      </w:r>
      <w:r w:rsidR="006423DE" w:rsidRPr="00CC3ABA">
        <w:rPr>
          <w:rFonts w:cs="Times New Roman"/>
        </w:rPr>
        <w:t xml:space="preserve">UK </w:t>
      </w:r>
      <w:r w:rsidR="00A4354E" w:rsidRPr="00CC3ABA">
        <w:rPr>
          <w:rFonts w:cs="Times New Roman"/>
        </w:rPr>
        <w:t xml:space="preserve">general population </w:t>
      </w:r>
      <w:r w:rsidRPr="00CC3ABA">
        <w:rPr>
          <w:rFonts w:cs="Times New Roman"/>
        </w:rPr>
        <w:t xml:space="preserve">are on the </w:t>
      </w:r>
      <w:r w:rsidR="00A4354E" w:rsidRPr="00CC3ABA">
        <w:rPr>
          <w:rFonts w:cs="Times New Roman"/>
        </w:rPr>
        <w:t>decline, reaching a</w:t>
      </w:r>
      <w:r w:rsidR="00154548" w:rsidRPr="00CC3ABA">
        <w:rPr>
          <w:rFonts w:cs="Times New Roman"/>
        </w:rPr>
        <w:t xml:space="preserve"> historic low of </w:t>
      </w:r>
      <w:r w:rsidRPr="00CC3ABA">
        <w:rPr>
          <w:rFonts w:cs="Times New Roman"/>
        </w:rPr>
        <w:t>14.7% in 2018</w:t>
      </w:r>
      <w:r w:rsidR="00D85C71">
        <w:rPr>
          <w:rFonts w:cs="Times New Roman"/>
        </w:rPr>
        <w:t xml:space="preserve"> </w:t>
      </w:r>
      <w:r w:rsidR="00C37B22">
        <w:rPr>
          <w:rFonts w:cs="Times New Roman"/>
        </w:rPr>
        <w:fldChar w:fldCharType="begin" w:fldLock="1"/>
      </w:r>
      <w:r w:rsidR="00C2775E">
        <w:rPr>
          <w:rFonts w:cs="Times New Roman"/>
        </w:rPr>
        <w:instrText>ADDIN CSL_CITATION {"citationItems":[{"id":"ITEM-1","itemData":{"URL":"https://www.ons.gov.uk/peoplepopulationandcommunity/healthandsocialcare/healthandlifeexpectancies/bulletins/adultsmokinghabitsingreatbritain/2018","abstract":"Cigarette smoking habits among adults in the UK, including the proportion of people who smoke, demographic breakdowns, changes over time, and use of e-cigarettes. Main points: In the UK, 14.7% of people aged 18 years and above smoked cigarettes in 2018, which equates to around 7.2 million people in the population and represents a statistically significant decline of more than 5 percentage points since 2011, based on our estimate from the Annual Population Survey. Of the constituent countries, 14.4% of adults in England smoked; for Wales, this figure was 15.9%; Scotland, 16.3% and Northern Ireland, 15.5%. In the UK, 16.5% of men smoked compared with 13.0% of women. Those aged 25 to 34 years had the highest proportion of current smokers (19.2%). Around 1 in 4 (25.5%) people in routine and manual occupations smoked, compared with just 1 in 10 people (10.2%) in managerial and professional occupations. In Great Britain, 58.4% of people aged 16 years and above who currently smoked said they wanted to quit and 61.3% of those who have ever smoked said they had quit, based on our estimates from the Opinions and Lifestyle Survey. In Great Britain, 6.3% of people in 2018 said they currently used an e-cigarette, which equates to approximately 3.2 million adults in the population.","accessed":{"date-parts":[["2020","5","11"]]},"author":[{"dropping-particle":"","family":"Cornish","given":"Danielle","non-dropping-particle":"","parse-names":false,"suffix":""},{"dropping-particle":"","family":"Brookman","given":"Alison","non-dropping-particle":"","parse-names":false,"suffix":""},{"dropping-particle":"","family":"Horto","given":"Marie","non-dropping-particle":"","parse-names":false,"suffix":""},{"dropping-particle":"","family":"Scanlon","given":"Sophie","non-dropping-particle":"","parse-names":false,"suffix":""}],"id":"ITEM-1","issued":{"date-parts":[["2018"]]},"title":"Adult smoking habits in the UK: 2018","type":"webpage"},"uris":["http://www.mendeley.com/documents/?uuid=4967861a-9ff8-4e5e-9662-b2e1e943ce27"]}],"mendeley":{"formattedCitation":"[1]","plainTextFormattedCitation":"[1]","previouslyFormattedCitation":"[1]"},"properties":{"noteIndex":0},"schema":"https://github.com/citation-style-language/schema/raw/master/csl-citation.json"}</w:instrText>
      </w:r>
      <w:r w:rsidR="00C37B22">
        <w:rPr>
          <w:rFonts w:cs="Times New Roman"/>
        </w:rPr>
        <w:fldChar w:fldCharType="separate"/>
      </w:r>
      <w:r w:rsidR="00C37B22" w:rsidRPr="00C37B22">
        <w:rPr>
          <w:rFonts w:cs="Times New Roman"/>
          <w:noProof/>
        </w:rPr>
        <w:t>[1]</w:t>
      </w:r>
      <w:r w:rsidR="00C37B22">
        <w:rPr>
          <w:rFonts w:cs="Times New Roman"/>
        </w:rPr>
        <w:fldChar w:fldCharType="end"/>
      </w:r>
      <w:r w:rsidRPr="00CC3ABA">
        <w:rPr>
          <w:rFonts w:cs="Times New Roman"/>
        </w:rPr>
        <w:t xml:space="preserve">, </w:t>
      </w:r>
      <w:r w:rsidR="00A4354E" w:rsidRPr="00CC3ABA">
        <w:rPr>
          <w:rFonts w:cs="Times New Roman"/>
        </w:rPr>
        <w:t>this masks significant inequalities</w:t>
      </w:r>
      <w:r w:rsidRPr="00CC3ABA">
        <w:rPr>
          <w:rFonts w:cs="Times New Roman"/>
        </w:rPr>
        <w:t xml:space="preserve"> with </w:t>
      </w:r>
      <w:r w:rsidR="00EC695C">
        <w:rPr>
          <w:rFonts w:cs="Times New Roman"/>
        </w:rPr>
        <w:t xml:space="preserve">stubbornly high prevalence rates among some of the </w:t>
      </w:r>
      <w:r w:rsidR="00A4354E" w:rsidRPr="00CC3ABA">
        <w:rPr>
          <w:rFonts w:cs="Times New Roman"/>
        </w:rPr>
        <w:t xml:space="preserve">most </w:t>
      </w:r>
      <w:r w:rsidR="00EC695C">
        <w:rPr>
          <w:rFonts w:cs="Times New Roman"/>
        </w:rPr>
        <w:t xml:space="preserve">disadvantaged in </w:t>
      </w:r>
      <w:r w:rsidR="00A4354E" w:rsidRPr="00CC3ABA">
        <w:rPr>
          <w:rFonts w:cs="Times New Roman"/>
        </w:rPr>
        <w:t>society</w:t>
      </w:r>
      <w:r w:rsidR="00C2775E">
        <w:rPr>
          <w:rFonts w:cs="Times New Roman"/>
          <w:vertAlign w:val="superscript"/>
        </w:rPr>
        <w:fldChar w:fldCharType="begin" w:fldLock="1"/>
      </w:r>
      <w:r w:rsidR="00C2775E">
        <w:rPr>
          <w:rFonts w:cs="Times New Roman"/>
          <w:vertAlign w:val="superscript"/>
        </w:rPr>
        <w:instrText>ADDIN CSL_CITATION {"citationItems":[{"id":"ITEM-1","itemData":{"DOI":"10.1108/JPMH-09-2016-0046","ISSN":"20428731","abstract":"Purpose: Mental health conditions affect almost a quarter of the population who die on average 10-20 years earlier than the general population. Smoking is the single largest cause of this gap in life expectancy. Smoking rates among people with mental health conditions have barely changed over the last 20 years during a time when rates have been steadily falling in the general population. Action is needed to address the growing difference in smoking rates among those with a mental health condition compared to the general population. The paper aims to discuss these issues. Design/methodology/approach: This work has been informed by the input of a wide range of experts and professionals from across public health, mental health and the wider NHS. Findings: People with a mental health condition are just as likely to want to stop smoking as other smokers but they face more barriers to quitting and are more likely to be dependant and therefore need more support. Quitting smoking does not exacerbate poor mental health; in fact the positive impact of smoking cessation on anxiety and depression appears to be at least as large as antidepressants. Originality/value: The full report outlines the high-level ambitions and the specific actions that must be realised to drive down smoking rates among those with a mental health condition.","author":[{"dropping-particle":"","family":"Harker","given":"Katy","non-dropping-particle":"","parse-names":false,"suffix":""},{"dropping-particle":"","family":"Cheeseman","given":"Hazel","non-dropping-particle":"","parse-names":false,"suffix":""}],"container-title":"Journal of Public Mental Health","id":"ITEM-1","issued":{"date-parts":[["2016"]]},"title":"Shifting culture and taking action to reduce smoking and premature death among people with a mental health condition","type":"article-journal"},"uris":["http://www.mendeley.com/documents/?uuid=ae80e54f-b593-4480-a53f-a76f7670b1a6"]}],"mendeley":{"formattedCitation":"[2]","plainTextFormattedCitation":"[2]","previouslyFormattedCitation":"[2]"},"properties":{"noteIndex":0},"schema":"https://github.com/citation-style-language/schema/raw/master/csl-citation.json"}</w:instrText>
      </w:r>
      <w:r w:rsidR="00C2775E">
        <w:rPr>
          <w:rFonts w:cs="Times New Roman"/>
          <w:vertAlign w:val="superscript"/>
        </w:rPr>
        <w:fldChar w:fldCharType="separate"/>
      </w:r>
      <w:r w:rsidR="00C2775E" w:rsidRPr="00C2775E">
        <w:rPr>
          <w:rFonts w:cs="Times New Roman"/>
          <w:noProof/>
        </w:rPr>
        <w:t>[2]</w:t>
      </w:r>
      <w:r w:rsidR="00C2775E">
        <w:rPr>
          <w:rFonts w:cs="Times New Roman"/>
          <w:vertAlign w:val="superscript"/>
        </w:rPr>
        <w:fldChar w:fldCharType="end"/>
      </w:r>
      <w:r w:rsidR="00A4354E" w:rsidRPr="00CC3ABA">
        <w:rPr>
          <w:rFonts w:cs="Times New Roman"/>
        </w:rPr>
        <w:t>.</w:t>
      </w:r>
      <w:r w:rsidR="00840AF7">
        <w:rPr>
          <w:rFonts w:cs="Times New Roman"/>
        </w:rPr>
        <w:t xml:space="preserve"> </w:t>
      </w:r>
      <w:r w:rsidR="00E17476">
        <w:rPr>
          <w:rFonts w:cs="Times New Roman"/>
        </w:rPr>
        <w:t>S</w:t>
      </w:r>
      <w:r w:rsidR="00E17476" w:rsidRPr="00CC3ABA">
        <w:rPr>
          <w:rFonts w:cs="Times New Roman"/>
        </w:rPr>
        <w:t>moking is a leading cause of health inequality and smoking-related deaths are two to three times higher among disadvantaged groups</w:t>
      </w:r>
      <w:r w:rsidR="00D85C71">
        <w:rPr>
          <w:rFonts w:cs="Times New Roman"/>
        </w:rPr>
        <w:t xml:space="preserve"> </w:t>
      </w:r>
      <w:r w:rsidR="00C2775E">
        <w:rPr>
          <w:rFonts w:cs="Times New Roman"/>
        </w:rPr>
        <w:fldChar w:fldCharType="begin" w:fldLock="1"/>
      </w:r>
      <w:r w:rsidR="00C2775E">
        <w:rPr>
          <w:rFonts w:cs="Times New Roman"/>
        </w:rPr>
        <w:instrText>ADDIN CSL_CITATION {"citationItems":[{"id":"ITEM-1","itemData":{"DOI":"10.1108/JPMH-09-2016-0046","ISSN":"20428731","abstract":"Purpose: Mental health conditions affect almost a quarter of the population who die on average 10-20 years earlier than the general population. Smoking is the single largest cause of this gap in life expectancy. Smoking rates among people with mental health conditions have barely changed over the last 20 years during a time when rates have been steadily falling in the general population. Action is needed to address the growing difference in smoking rates among those with a mental health condition compared to the general population. The paper aims to discuss these issues. Design/methodology/approach: This work has been informed by the input of a wide range of experts and professionals from across public health, mental health and the wider NHS. Findings: People with a mental health condition are just as likely to want to stop smoking as other smokers but they face more barriers to quitting and are more likely to be dependant and therefore need more support. Quitting smoking does not exacerbate poor mental health; in fact the positive impact of smoking cessation on anxiety and depression appears to be at least as large as antidepressants. Originality/value: The full report outlines the high-level ambitions and the specific actions that must be realised to drive down smoking rates among those with a mental health condition.","author":[{"dropping-particle":"","family":"Harker","given":"Katy","non-dropping-particle":"","parse-names":false,"suffix":""},{"dropping-particle":"","family":"Cheeseman","given":"Hazel","non-dropping-particle":"","parse-names":false,"suffix":""}],"container-title":"Journal of Public Mental Health","id":"ITEM-1","issued":{"date-parts":[["2016"]]},"title":"Shifting culture and taking action to reduce smoking and premature death among people with a mental health condition","type":"article-journal"},"uris":["http://www.mendeley.com/documents/?uuid=ae80e54f-b593-4480-a53f-a76f7670b1a6"]}],"mendeley":{"formattedCitation":"[2]","plainTextFormattedCitation":"[2]","previouslyFormattedCitation":"[2]"},"properties":{"noteIndex":0},"schema":"https://github.com/citation-style-language/schema/raw/master/csl-citation.json"}</w:instrText>
      </w:r>
      <w:r w:rsidR="00C2775E">
        <w:rPr>
          <w:rFonts w:cs="Times New Roman"/>
        </w:rPr>
        <w:fldChar w:fldCharType="separate"/>
      </w:r>
      <w:r w:rsidR="00C2775E" w:rsidRPr="00C2775E">
        <w:rPr>
          <w:rFonts w:cs="Times New Roman"/>
          <w:noProof/>
        </w:rPr>
        <w:t>[2]</w:t>
      </w:r>
      <w:r w:rsidR="00C2775E">
        <w:rPr>
          <w:rFonts w:cs="Times New Roman"/>
        </w:rPr>
        <w:fldChar w:fldCharType="end"/>
      </w:r>
      <w:r w:rsidR="00E17476" w:rsidRPr="00CC3ABA">
        <w:rPr>
          <w:rFonts w:cs="Times New Roman"/>
        </w:rPr>
        <w:t xml:space="preserve">. </w:t>
      </w:r>
      <w:r w:rsidR="00EC695C">
        <w:rPr>
          <w:rFonts w:cs="Times New Roman"/>
        </w:rPr>
        <w:t>T</w:t>
      </w:r>
      <w:r w:rsidR="00EC695C" w:rsidRPr="00CC3ABA">
        <w:rPr>
          <w:rFonts w:cs="Times New Roman"/>
        </w:rPr>
        <w:t xml:space="preserve">hose in the most deprived groups are </w:t>
      </w:r>
      <w:r w:rsidR="00E17476">
        <w:rPr>
          <w:rFonts w:cs="Times New Roman"/>
        </w:rPr>
        <w:t xml:space="preserve">also </w:t>
      </w:r>
      <w:r w:rsidR="001058F9">
        <w:rPr>
          <w:rFonts w:cs="Times New Roman"/>
        </w:rPr>
        <w:t>more highly nicotine dependent</w:t>
      </w:r>
      <w:r w:rsidR="00D85C71">
        <w:rPr>
          <w:rFonts w:cs="Times New Roman"/>
        </w:rPr>
        <w:t xml:space="preserve"> </w:t>
      </w:r>
      <w:r w:rsidR="00C2775E">
        <w:rPr>
          <w:rFonts w:cs="Times New Roman"/>
          <w:vertAlign w:val="superscript"/>
        </w:rPr>
        <w:fldChar w:fldCharType="begin" w:fldLock="1"/>
      </w:r>
      <w:r w:rsidR="00C2775E">
        <w:rPr>
          <w:rFonts w:cs="Times New Roman"/>
          <w:vertAlign w:val="superscript"/>
        </w:rPr>
        <w:instrText>ADDIN CSL_CITATION {"citationItems":[{"id":"ITEM-1","itemData":{"DOI":"10.5993/AJHB.30.4.6","ISSN":"10873244","PMID":"16787130","abstract":"Objective: To identify factors associated with successful quitting at a free tobacco treatment clinic. Methods: A cohort study of the first 1021 patients who made a quit attempt. Baseline and treatment variables were recorded, and logistic regression was used to identify factors associated with abstinence at 4-week and 6-month follow-up. Results: Three hundred twenty (31.3%) patients reported tobacco abstinence at 6 months. Several markers of low socioeconomic status and high nicotine dependence were predictive of poorer smoking cessation outcomes. Compliance with evidence-based treatment was associated with improved treatment outcome, as was older age and having more than 2 children. Conclusions: Efforts should be made to enhance treatment compliance among smokers with indicators of high nicotine dependence and low socioeconomic status.","author":[{"dropping-particle":"","family":"Foulds","given":"Jonathan","non-dropping-particle":"","parse-names":false,"suffix":""},{"dropping-particle":"","family":"Gandhi","given":"Kunal K.","non-dropping-particle":"","parse-names":false,"suffix":""},{"dropping-particle":"","family":"Steinberg","given":"Michael B.","non-dropping-particle":"","parse-names":false,"suffix":""},{"dropping-particle":"","family":"Richardson","given":"Donna L.","non-dropping-particle":"","parse-names":false,"suffix":""},{"dropping-particle":"","family":"Williams","given":"Jill M.","non-dropping-particle":"","parse-names":false,"suffix":""},{"dropping-particle":"V.","family":"Burke","given":"Michael","non-dropping-particle":"","parse-names":false,"suffix":""},{"dropping-particle":"","family":"Rhoads","given":"George G.","non-dropping-particle":"","parse-names":false,"suffix":""}],"container-title":"American Journal of Health Behavior","id":"ITEM-1","issue":"4","issued":{"date-parts":[["2006"]]},"page":"400-412","title":"Factors associated with quitting smoking at a tobacco dependence treatment clinic","type":"article-journal","volume":"30"},"uris":["http://www.mendeley.com/documents/?uuid=527f6528-c6f8-493e-8e10-d8ee5e0f2d14"]}],"mendeley":{"formattedCitation":"[3]","plainTextFormattedCitation":"[3]","previouslyFormattedCitation":"[3]"},"properties":{"noteIndex":0},"schema":"https://github.com/citation-style-language/schema/raw/master/csl-citation.json"}</w:instrText>
      </w:r>
      <w:r w:rsidR="00C2775E">
        <w:rPr>
          <w:rFonts w:cs="Times New Roman"/>
          <w:vertAlign w:val="superscript"/>
        </w:rPr>
        <w:fldChar w:fldCharType="separate"/>
      </w:r>
      <w:r w:rsidR="00C2775E" w:rsidRPr="00C2775E">
        <w:rPr>
          <w:rFonts w:cs="Times New Roman"/>
          <w:noProof/>
        </w:rPr>
        <w:t>[3]</w:t>
      </w:r>
      <w:r w:rsidR="00C2775E">
        <w:rPr>
          <w:rFonts w:cs="Times New Roman"/>
          <w:vertAlign w:val="superscript"/>
        </w:rPr>
        <w:fldChar w:fldCharType="end"/>
      </w:r>
      <w:r w:rsidR="00C2775E" w:rsidRPr="00C2775E">
        <w:rPr>
          <w:rFonts w:cs="Times New Roman"/>
        </w:rPr>
        <w:t>,</w:t>
      </w:r>
      <w:r w:rsidR="001058F9">
        <w:rPr>
          <w:rFonts w:cs="Times New Roman"/>
          <w:vertAlign w:val="superscript"/>
        </w:rPr>
        <w:t xml:space="preserve"> </w:t>
      </w:r>
      <w:r w:rsidR="00EC695C" w:rsidRPr="00CC3ABA">
        <w:rPr>
          <w:rFonts w:cs="Times New Roman"/>
        </w:rPr>
        <w:t>make fewer quit attempts</w:t>
      </w:r>
      <w:r w:rsidR="00C2775E">
        <w:rPr>
          <w:rFonts w:cs="Times New Roman"/>
        </w:rPr>
        <w:t>,</w:t>
      </w:r>
      <w:r w:rsidR="00EC695C" w:rsidRPr="00CC3ABA">
        <w:rPr>
          <w:rFonts w:cs="Times New Roman"/>
        </w:rPr>
        <w:t xml:space="preserve"> and are less successful when they do</w:t>
      </w:r>
      <w:r w:rsidR="00EC695C">
        <w:rPr>
          <w:rFonts w:cs="Times New Roman"/>
        </w:rPr>
        <w:t xml:space="preserve"> make an attempt</w:t>
      </w:r>
      <w:r w:rsidR="00D85C71">
        <w:rPr>
          <w:rFonts w:cs="Times New Roman"/>
        </w:rPr>
        <w:t xml:space="preserve"> </w:t>
      </w:r>
      <w:r w:rsidR="00C2775E">
        <w:rPr>
          <w:rFonts w:cs="Times New Roman"/>
        </w:rPr>
        <w:fldChar w:fldCharType="begin" w:fldLock="1"/>
      </w:r>
      <w:r w:rsidR="00D85C71">
        <w:rPr>
          <w:rFonts w:cs="Times New Roman"/>
        </w:rPr>
        <w:instrText>ADDIN CSL_CITATION {"citationItems":[{"id":"ITEM-1","itemData":{"DOI":"10.1371/journal.pone.0148194","ISSN":"19326203","abstract":"Background: Rates of smoking and smoking cessation vary with socio-economic status. The objectives were to assess the association between neighbourhood deprivation, completion of treatment to support quit attempts and success of quit attempts-while taking into account other predictors of outcome. Methods: 555,744 quit attempts supported by English Stop Smoking Services in 2009-2012 were linked to the Index of Multiple Deprivation (IMD) 2010 ranks for the clients' neighbourhood and split into deciles relative to the national IMD. Logistic regressions tested the association between neighbourhood deprivation and completion (4-week follow-up) of treatment and biochemically validated success (expired-air carbon monoxide &lt;10ppm) while adjusting for demographics and intervention characteristics. Sensitivity analyses assessed subsamples: first supported attempts (n = 364,397), those with recorded cigarette dependence (n = 98,659) and completed treatment (n = 416,436). Results: Higher neighbourhood deprivation was associated with reduced completion (ORadj = 0.949, 95% CI: 0.947 to 0.951) and success (ORadj = 0.957, 95% CI: 0.955 to 0.959). Results of sensitivity analyses were consistent with those of the main analysis. Conclusions: Neighbourhood deprivation was associated with small but consistent reductions in completion and success of evidence-based interventions. These associations were not explained by intervention characteristics, demographics or dependence and reduced completion did not fully account for reduced success.","author":[{"dropping-particle":"","family":"Brose","given":"Leonie S.","non-dropping-particle":"","parse-names":false,"suffix":""},{"dropping-particle":"","family":"McEwen","given":"Andy","non-dropping-particle":"","parse-names":false,"suffix":""}],"container-title":"PLoS ONE","id":"ITEM-1","issue":"1","issued":{"date-parts":[["2016"]]},"page":"1-10","title":"Neighbourhood deprivation and outcomes of stop smoking support - An observational study","type":"article-journal","volume":"11"},"uris":["http://www.mendeley.com/documents/?uuid=ae4ecce5-605c-4ded-8047-48595160175d"]},{"id":"ITEM-2","itemData":{"URL":"https://www.gov.uk/government/publications/health-matters-smoking-and-quitting-in-england/smoking-and-quitting-in-england","abstract":"Public Health England (PHE) wants to see a tobacco-free generation by 2025. Despite a continuing decline in smoking rates, nearly 1 in 5 adults still smoke and there are around 90,000 regular smokers aged between 11 and 15. The following shows what we know works to help people stop smoking.","accessed":{"date-parts":[["2017","12","3"]]},"author":[{"dropping-particle":"","family":"Public Health England","given":"","non-dropping-particle":"","parse-names":false,"suffix":""}],"container-title":"Gov.uk:Health and social care: Public health: Health improvement: Smoking","id":"ITEM-2","issued":{"date-parts":[["2015"]]},"title":"Health Matters: Quitting and smoking in England","type":"webpage"},"uris":["http://www.mendeley.com/documents/?uuid=8f7752ec-feac-48c7-bafa-06179b5fcba0"]}],"mendeley":{"formattedCitation":"[4,5]","plainTextFormattedCitation":"[4,5]","previouslyFormattedCitation":"[4,5]"},"properties":{"noteIndex":0},"schema":"https://github.com/citation-style-language/schema/raw/master/csl-citation.json"}</w:instrText>
      </w:r>
      <w:r w:rsidR="00C2775E">
        <w:rPr>
          <w:rFonts w:cs="Times New Roman"/>
        </w:rPr>
        <w:fldChar w:fldCharType="separate"/>
      </w:r>
      <w:r w:rsidR="00651D55" w:rsidRPr="00651D55">
        <w:rPr>
          <w:rFonts w:cs="Times New Roman"/>
          <w:noProof/>
        </w:rPr>
        <w:t>[4,5]</w:t>
      </w:r>
      <w:r w:rsidR="00C2775E">
        <w:rPr>
          <w:rFonts w:cs="Times New Roman"/>
        </w:rPr>
        <w:fldChar w:fldCharType="end"/>
      </w:r>
      <w:r w:rsidR="00EC695C" w:rsidRPr="00CC3ABA">
        <w:rPr>
          <w:rFonts w:cs="Times New Roman"/>
        </w:rPr>
        <w:t xml:space="preserve">. </w:t>
      </w:r>
      <w:r w:rsidR="00A4354E" w:rsidRPr="00CC3ABA">
        <w:rPr>
          <w:rFonts w:cs="Times New Roman"/>
        </w:rPr>
        <w:t>Smoking</w:t>
      </w:r>
      <w:r w:rsidRPr="00CC3ABA">
        <w:rPr>
          <w:rFonts w:cs="Times New Roman"/>
        </w:rPr>
        <w:t xml:space="preserve"> prevalence amongst those experiencing homelessness has been estimated at around 57-82% based on studies predominantly deriving from the US</w:t>
      </w:r>
      <w:r w:rsidR="00D85C71">
        <w:rPr>
          <w:rFonts w:cs="Times New Roman"/>
        </w:rPr>
        <w:t xml:space="preserve"> </w:t>
      </w:r>
      <w:r w:rsidR="00D85C71">
        <w:rPr>
          <w:rFonts w:cs="Times New Roman"/>
        </w:rPr>
        <w:fldChar w:fldCharType="begin" w:fldLock="1"/>
      </w:r>
      <w:r w:rsidR="006B3DFD">
        <w:rPr>
          <w:rFonts w:cs="Times New Roman"/>
        </w:rPr>
        <w:instrText>ADDIN CSL_CITATION {"citationItems":[{"id":"ITEM-1","itemData":{"DOI":"10.1017/jsc.2020.11","ISSN":"18342612","abstract":"Background To date, there has been no review of the research evidence examining smoking cessation among homeless adults. The current review aimed to: (i) estimate smoking prevalence in homeless populations; (ii) explore the efficacy of smoking cessation and smoking reduction interventions for homeless individuals; and (iii) describe the barriers and facilitators to smoking cessation and smoking reduction.MethodSystematic review of peer-reviewed research. Data sources included electronic academic databases. Search terms: 'smoking' AND 'homeless' AND 'tobacco', including adult (18+ years) smokers accessing homeless support services.ResultsFifty-three studies met the inclusion criteria (n = 46 USA). Data could not be meta-analysed due to large methodological inconsistencies and the lack of randomised controlled trials. Smoking prevalence ranged from 57% to 82%. Although there was no clear evidence on which cessation methods work best, layered approaches with additions to usual care seemed to offer modest enhancements in quit rates. Key barriers to cessation exist around the priority of smoking, beliefs around negative impact on mental health and substance use, and environmental influences.ConclusionsHomeless smokers will benefit from layered interventions which support many of their competing needs. To best understand what works, future recommendations include the need for consensus on the reporting of cessation outcomes.","author":[{"dropping-particle":"","family":"Soar","given":"Kirstie","non-dropping-particle":"","parse-names":false,"suffix":""},{"dropping-particle":"","family":"Dawkins","given":"Lynne","non-dropping-particle":"","parse-names":false,"suffix":""},{"dropping-particle":"","family":"Robson","given":"Deborah","non-dropping-particle":"","parse-names":false,"suffix":""},{"dropping-particle":"","family":"Cox","given":"Sharon","non-dropping-particle":"","parse-names":false,"suffix":""}],"container-title":"Journal of Smoking Cessation","id":"ITEM-1","issue":"2","issued":{"date-parts":[["2020","6"]]},"page":"94-108","title":"Smoking amongst adults experiencing homelessness: A systematic review of prevalence rates, interventions and the barriers and facilitators to quitting and staying quit","type":"article-journal","volume":"15"},"uris":["http://www.mendeley.com/documents/?uuid=c6e8e830-ea4e-47c7-9eee-b069b89d9900"]}],"mendeley":{"formattedCitation":"[6]","plainTextFormattedCitation":"[6]","previouslyFormattedCitation":"[6]"},"properties":{"noteIndex":0},"schema":"https://github.com/citation-style-language/schema/raw/master/csl-citation.json"}</w:instrText>
      </w:r>
      <w:r w:rsidR="00D85C71">
        <w:rPr>
          <w:rFonts w:cs="Times New Roman"/>
        </w:rPr>
        <w:fldChar w:fldCharType="separate"/>
      </w:r>
      <w:r w:rsidR="00D85C71" w:rsidRPr="00D85C71">
        <w:rPr>
          <w:rFonts w:cs="Times New Roman"/>
          <w:noProof/>
        </w:rPr>
        <w:t>[6]</w:t>
      </w:r>
      <w:r w:rsidR="00D85C71">
        <w:rPr>
          <w:rFonts w:cs="Times New Roman"/>
        </w:rPr>
        <w:fldChar w:fldCharType="end"/>
      </w:r>
      <w:r w:rsidR="00546D4B" w:rsidRPr="00CC3ABA">
        <w:rPr>
          <w:rFonts w:cs="Times New Roman"/>
        </w:rPr>
        <w:t>)</w:t>
      </w:r>
      <w:r w:rsidRPr="00CC3ABA">
        <w:rPr>
          <w:rFonts w:cs="Times New Roman"/>
        </w:rPr>
        <w:t>.</w:t>
      </w:r>
      <w:r w:rsidR="00840AF7">
        <w:rPr>
          <w:rFonts w:cs="Times New Roman"/>
        </w:rPr>
        <w:t xml:space="preserve"> </w:t>
      </w:r>
      <w:r w:rsidRPr="00CC3ABA">
        <w:rPr>
          <w:rFonts w:cs="Times New Roman"/>
        </w:rPr>
        <w:t>In the UK, homeless.org estimates prevalence at 78%</w:t>
      </w:r>
      <w:r w:rsidR="00434D47">
        <w:rPr>
          <w:rFonts w:cs="Times New Roman"/>
        </w:rPr>
        <w:t xml:space="preserve"> </w:t>
      </w:r>
      <w:r w:rsidR="00434D47">
        <w:rPr>
          <w:rFonts w:cs="Times New Roman"/>
        </w:rPr>
        <w:fldChar w:fldCharType="begin" w:fldLock="1"/>
      </w:r>
      <w:r w:rsidR="00912A7F">
        <w:rPr>
          <w:rFonts w:cs="Times New Roman"/>
        </w:rPr>
        <w:instrText>ADDIN CSL_CITATION {"citationItems":[{"id":"ITEM-1","itemData":{"URL":"https://www.homeless.org.uk/facts/homelessness-in-numbers/health-needs-audit-explore-data","accessed":{"date-parts":[["2020","4","16"]]},"author":[{"dropping-particle":"","family":"Homeless Link","given":"","non-dropping-particle":"","parse-names":false,"suffix":""}],"id":"ITEM-1","issued":{"date-parts":[["0"]]},"title":"Health Needs Audit - explore the data | Homeless Link","type":"webpage"},"uris":["http://www.mendeley.com/documents/?uuid=dc2af715-75c8-345d-9157-60c1eab018cd"]}],"mendeley":{"formattedCitation":"[7]","plainTextFormattedCitation":"[7]","previouslyFormattedCitation":"[7]"},"properties":{"noteIndex":0},"schema":"https://github.com/citation-style-language/schema/raw/master/csl-citation.json"}</w:instrText>
      </w:r>
      <w:r w:rsidR="00434D47">
        <w:rPr>
          <w:rFonts w:cs="Times New Roman"/>
        </w:rPr>
        <w:fldChar w:fldCharType="separate"/>
      </w:r>
      <w:r w:rsidR="00434D47" w:rsidRPr="00434D47">
        <w:rPr>
          <w:rFonts w:cs="Times New Roman"/>
          <w:noProof/>
        </w:rPr>
        <w:t>[7]</w:t>
      </w:r>
      <w:r w:rsidR="00434D47">
        <w:rPr>
          <w:rFonts w:cs="Times New Roman"/>
        </w:rPr>
        <w:fldChar w:fldCharType="end"/>
      </w:r>
      <w:r w:rsidRPr="00CC3ABA">
        <w:rPr>
          <w:rFonts w:cs="Times New Roman"/>
        </w:rPr>
        <w:t xml:space="preserve">. </w:t>
      </w:r>
      <w:r w:rsidR="00840AF7">
        <w:rPr>
          <w:rFonts w:cs="Times New Roman"/>
        </w:rPr>
        <w:t xml:space="preserve"> </w:t>
      </w:r>
    </w:p>
    <w:p w14:paraId="575651CF" w14:textId="1D385E00" w:rsidR="008435E5" w:rsidRDefault="00DB498F" w:rsidP="008435E5">
      <w:pPr>
        <w:spacing w:after="160" w:line="480" w:lineRule="auto"/>
        <w:jc w:val="both"/>
        <w:rPr>
          <w:rFonts w:cs="Times New Roman"/>
        </w:rPr>
      </w:pPr>
      <w:r>
        <w:rPr>
          <w:rFonts w:cs="Times New Roman"/>
        </w:rPr>
        <w:t>Despite the high smoking prevalence amongst those experiencing homelessness, interest in quitting and desire to stop is similar to the general population of smokers</w:t>
      </w:r>
      <w:r w:rsidR="00912A7F">
        <w:rPr>
          <w:rFonts w:cs="Times New Roman"/>
        </w:rPr>
        <w:t xml:space="preserve"> </w:t>
      </w:r>
      <w:r w:rsidR="00912A7F">
        <w:rPr>
          <w:rFonts w:cs="Times New Roman"/>
        </w:rPr>
        <w:fldChar w:fldCharType="begin" w:fldLock="1"/>
      </w:r>
      <w:r w:rsidR="00620688">
        <w:rPr>
          <w:rFonts w:cs="Times New Roman"/>
        </w:rPr>
        <w:instrText>ADDIN CSL_CITATION {"citationItems":[{"id":"ITEM-1","itemData":{"DOI":"10.1016/j.addbeh.2004.03.010","ISSN":"03064603","abstract":"Objectives: To examine smoking behavior in homeless persons, including the impact of self-reported tobacco-related health problems and drug and alcohol abuse on readiness to quit and interest in smoking cessation counseling. Methods: Cross-sectional survey of outpatients and inpatients on the homeless service at Massachusetts General Hospital. Results: Among 98 homeless smokers with a mean age of 44 years, tobacco-related medical diagnoses and symptoms and psychiatric illnesses were common, as were drug and alcohol abuse. One third of the smokers in this sample intended to quit smoking within the next 6 months, including 19% who planned to quit in the next 1 month. Forty-four percent of the participants were somewhat or very interested in smoking cessation counseling. In multivariate analyses, significant (P&lt;.05) predictors of readiness to quit smoking were greater confidence in one's ability to quit (self-efficacy) and more social support for quitting. Multivariate predictors of interest in smoking cessation counseling were smoking-related symptoms and higher self-efficacy for quitting. Conclusions: Homeless smokers recruited from the inpatient and outpatient services of a large, urban teaching hospital reported interest in both stopping tobacco use and receiving assistance to quit smoking. Having an illness that a smoker believes is tobacco-related, having greater confidence in the ability to quit, and having more social support for quitting were associated with greater readiness to quit and more interest in smoking cessation counseling. Alcohol and drug abuse were not associated with reduced interest in quitting smoking. These findings suggest that homeless smokers may benefit from smoking cessation programs that are colocated in medical or drug treatment settings. © 2004 Elsevier Ltd. All rights reserved.","author":[{"dropping-particle":"","family":"Arnsten","given":"Julia H.","non-dropping-particle":"","parse-names":false,"suffix":""},{"dropping-particle":"","family":"Reid","given":"Kristen","non-dropping-particle":"","parse-names":false,"suffix":""},{"dropping-particle":"","family":"Bierer","given":"Michael","non-dropping-particle":"","parse-names":false,"suffix":""},{"dropping-particle":"","family":"Rigotti","given":"Nancy","non-dropping-particle":"","parse-names":false,"suffix":""}],"container-title":"Addictive Behaviors","id":"ITEM-1","issue":"6","issued":{"date-parts":[["2004"]]},"page":"1155-1161","title":"Smoking behavior and interest in quitting among homeless smokers","type":"article-journal","volume":"29"},"uris":["http://www.mendeley.com/documents/?uuid=95acd9c3-6c4b-424b-8e38-f32fc6a9e77e"]},{"id":"ITEM-2","itemData":{"DOI":"10.1007/s11606-002-0042-5","ISSN":"08848734","abstract":"This cross-sectional study sought to determine the prevalence of smoking, readiness to quit, and preferences for smoking cessation treatments among a sample of 236 homeless adults attending 9 sites serving homeless persons (mean age 41.8 years; 73% male). Two thirds (69%) were current smokers, of whom 37% reported readiness to quit smoking within the next 6 months. In bivariate analyses, persons were significantly (P &lt; .05) more likely to be ready to quit if they had tried to quit in the past and if they had social support to quit smoking. Nicotine replacement was the most commonly preferred assistance method (44%), and self-efficacy to quit (10-point scale) was significantly greater if assistance was available (7.3 vs 4.9; P &lt; .001). The findings suggest an urgent need to develop and implement smoking cessation programs for homeless persons.","author":[{"dropping-particle":"","family":"Connor","given":"Sharon E.","non-dropping-particle":"","parse-names":false,"suffix":""},{"dropping-particle":"","family":"Cook","given":"Robert L.","non-dropping-particle":"","parse-names":false,"suffix":""},{"dropping-particle":"","family":"Herbert","given":"Mary I.","non-dropping-particle":"","parse-names":false,"suffix":""},{"dropping-particle":"","family":"Neal","given":"Stephen M.","non-dropping-particle":"","parse-names":false,"suffix":""},{"dropping-particle":"","family":"Williams","given":"Jennifer T.","non-dropping-particle":"","parse-names":false,"suffix":""}],"container-title":"Journal of General Internal Medicine","id":"ITEM-2","issue":"5","issued":{"date-parts":[["2002"]]},"page":"369-372","title":"Smoking cessation in a homeless population: There is a will, but is there a way?","type":"article-journal","volume":"17"},"uris":["http://www.mendeley.com/documents/?uuid=08be43df-5a10-4723-89cc-2a47ba30bad5"]},{"id":"ITEM-3","itemData":{"DOI":"10.1016/j.addbeh.2019.02.020","ISSN":"18736327","abstract":"Background: Smoking is a key contributor to health and social inequalities and homeless smoking prevalence rates are 4 times higher than the general population. Research on homelessness and smoking to date has been concentrated predominantly in the US and Australia. This study aimed to describe smoking and quitting behaviour in homeless adult smokers in Great Britain. Data on perceptions of, and willingness to try, e-cigarettes were also gathered. Methods: Cross sectional survey of 283 adult smokers accessing homeless support services in Kent, the Midlands, London and Edinburgh. Participants answered a four-part survey: i) demographics; ii) current smoking behaviour and dependence (including the Fagerström Test of Cigarette Dependence [FTCD]); iii) previous quit attempts; and iv) e-cigarettes perceptions. Results: High levels of cigarette dependence were observed (FTCD: M = 7.78, sd ± 0.98). Although desire to quit was high, most had made fewer than 5 quit attempts and 90% of these lasted less than 24 h. 91.5% reported that others around them also smoked. Previous quit methods used included cold turkey (29.7%), NRT (24.7%), varenicline (22.3%) and bupropion (14.5%). 34% were willing or able to spend £20 or more for an e-cigarette and 82% had tried one in the past although 54% reported that they preferred smoking. Conclusion: We observed high nicotine dependence, few long-term quit attempts, strong desire to quit and amenability to both traditional cessation methods and e-cigarettes. Community embedded and non-routine approaches to cessation may be promising avenues promoting engagement with the homeless community. Likely barriers to uptake include low affordability, preference for cigarettes and high numbers of smoking acquaintances.","author":[{"dropping-particle":"","family":"Dawkins","given":"L.","non-dropping-particle":"","parse-names":false,"suffix":""},{"dropping-particle":"","family":"Ford","given":"A.","non-dropping-particle":"","parse-names":false,"suffix":""},{"dropping-particle":"","family":"Bauld","given":"L.","non-dropping-particle":"","parse-names":false,"suffix":""},{"dropping-particle":"","family":"Balaban","given":"S.","non-dropping-particle":"","parse-names":false,"suffix":""},{"dropping-particle":"","family":"Tyler","given":"A.","non-dropping-particle":"","parse-names":false,"suffix":""},{"dropping-particle":"","family":"Cox","given":"S.","non-dropping-particle":"","parse-names":false,"suffix":""}],"container-title":"Addictive Behaviors","id":"ITEM-3","issued":{"date-parts":[["2019"]]},"page":"35-40","title":"A cross sectional survey of smoking characteristics and quitting behaviour from a sample of homeless adults in Great Britain","type":"article-journal","volume":"95"},"uris":["http://www.mendeley.com/documents/?uuid=cc20bdfd-40b2-303b-bb02-01dd8fce177b"]}],"mendeley":{"formattedCitation":"[8–10]","plainTextFormattedCitation":"[8–10]","previouslyFormattedCitation":"[8–10]"},"properties":{"noteIndex":0},"schema":"https://github.com/citation-style-language/schema/raw/master/csl-citation.json"}</w:instrText>
      </w:r>
      <w:r w:rsidR="00912A7F">
        <w:rPr>
          <w:rFonts w:cs="Times New Roman"/>
        </w:rPr>
        <w:fldChar w:fldCharType="separate"/>
      </w:r>
      <w:r w:rsidR="0077457B" w:rsidRPr="0077457B">
        <w:rPr>
          <w:rFonts w:cs="Times New Roman"/>
          <w:noProof/>
        </w:rPr>
        <w:t>[8–10]</w:t>
      </w:r>
      <w:r w:rsidR="00912A7F">
        <w:rPr>
          <w:rFonts w:cs="Times New Roman"/>
        </w:rPr>
        <w:fldChar w:fldCharType="end"/>
      </w:r>
      <w:r>
        <w:rPr>
          <w:rFonts w:cs="Times New Roman"/>
        </w:rPr>
        <w:t>.</w:t>
      </w:r>
      <w:r w:rsidR="00840AF7">
        <w:rPr>
          <w:rFonts w:cs="Times New Roman"/>
        </w:rPr>
        <w:t xml:space="preserve"> </w:t>
      </w:r>
      <w:r>
        <w:rPr>
          <w:rFonts w:cs="Times New Roman"/>
        </w:rPr>
        <w:t>Nevertheless</w:t>
      </w:r>
      <w:r w:rsidR="00F1603E">
        <w:rPr>
          <w:rFonts w:cs="Times New Roman"/>
        </w:rPr>
        <w:t>,</w:t>
      </w:r>
      <w:r w:rsidR="00D168A0">
        <w:rPr>
          <w:rFonts w:cs="Times New Roman"/>
        </w:rPr>
        <w:t xml:space="preserve"> </w:t>
      </w:r>
      <w:r w:rsidR="00BA6D90">
        <w:rPr>
          <w:rFonts w:cs="Times New Roman"/>
        </w:rPr>
        <w:t xml:space="preserve">there have been no </w:t>
      </w:r>
      <w:r w:rsidR="00AA6854">
        <w:rPr>
          <w:rFonts w:cs="Times New Roman"/>
        </w:rPr>
        <w:t xml:space="preserve">smoking </w:t>
      </w:r>
      <w:r w:rsidR="00BA6D90">
        <w:rPr>
          <w:rFonts w:cs="Times New Roman"/>
        </w:rPr>
        <w:t xml:space="preserve">intervention studies specifically focusing </w:t>
      </w:r>
      <w:r w:rsidR="00AA6854">
        <w:rPr>
          <w:rFonts w:cs="Times New Roman"/>
        </w:rPr>
        <w:t xml:space="preserve">on </w:t>
      </w:r>
      <w:r w:rsidR="005E359A">
        <w:rPr>
          <w:rFonts w:cs="Times New Roman"/>
        </w:rPr>
        <w:t xml:space="preserve">homeless </w:t>
      </w:r>
      <w:r w:rsidR="00BA6D90">
        <w:rPr>
          <w:rFonts w:cs="Times New Roman"/>
        </w:rPr>
        <w:t xml:space="preserve">people </w:t>
      </w:r>
      <w:r w:rsidR="005E359A">
        <w:rPr>
          <w:rFonts w:cs="Times New Roman"/>
        </w:rPr>
        <w:t>in the UK</w:t>
      </w:r>
      <w:r w:rsidR="001E7387">
        <w:rPr>
          <w:rFonts w:cs="Times New Roman"/>
        </w:rPr>
        <w:t xml:space="preserve">; </w:t>
      </w:r>
      <w:r w:rsidR="0082757F">
        <w:rPr>
          <w:rFonts w:cs="Times New Roman"/>
        </w:rPr>
        <w:t xml:space="preserve">the few studies that have explored the best ways </w:t>
      </w:r>
      <w:r w:rsidR="001E7387">
        <w:rPr>
          <w:rFonts w:cs="Times New Roman"/>
        </w:rPr>
        <w:t>to</w:t>
      </w:r>
      <w:r w:rsidR="003267C3">
        <w:rPr>
          <w:rFonts w:cs="Times New Roman"/>
        </w:rPr>
        <w:t xml:space="preserve"> help</w:t>
      </w:r>
      <w:r w:rsidR="00D168A0">
        <w:rPr>
          <w:rFonts w:cs="Times New Roman"/>
        </w:rPr>
        <w:t xml:space="preserve"> people</w:t>
      </w:r>
      <w:r w:rsidR="003267C3">
        <w:rPr>
          <w:rFonts w:cs="Times New Roman"/>
        </w:rPr>
        <w:t xml:space="preserve"> </w:t>
      </w:r>
      <w:r w:rsidR="00D168A0">
        <w:rPr>
          <w:rFonts w:cs="Times New Roman"/>
        </w:rPr>
        <w:t xml:space="preserve">experiencing homelessness </w:t>
      </w:r>
      <w:r w:rsidR="003267C3">
        <w:rPr>
          <w:rFonts w:cs="Times New Roman"/>
        </w:rPr>
        <w:t xml:space="preserve">to quit </w:t>
      </w:r>
      <w:r w:rsidR="00D168A0">
        <w:rPr>
          <w:rFonts w:cs="Times New Roman"/>
        </w:rPr>
        <w:t xml:space="preserve">smoking </w:t>
      </w:r>
      <w:r w:rsidR="0082757F">
        <w:rPr>
          <w:rFonts w:cs="Times New Roman"/>
        </w:rPr>
        <w:t xml:space="preserve">derive </w:t>
      </w:r>
      <w:r w:rsidR="001E7387">
        <w:rPr>
          <w:rFonts w:cs="Times New Roman"/>
        </w:rPr>
        <w:t xml:space="preserve">mainly </w:t>
      </w:r>
      <w:r w:rsidR="001D3FAF">
        <w:rPr>
          <w:rFonts w:cs="Times New Roman"/>
        </w:rPr>
        <w:t>from the US</w:t>
      </w:r>
      <w:r w:rsidR="00E17476">
        <w:rPr>
          <w:rFonts w:cs="Times New Roman"/>
        </w:rPr>
        <w:t>.</w:t>
      </w:r>
      <w:r w:rsidR="00840AF7">
        <w:rPr>
          <w:rFonts w:cs="Times New Roman"/>
        </w:rPr>
        <w:t xml:space="preserve"> </w:t>
      </w:r>
      <w:r w:rsidR="00FF7F3F">
        <w:rPr>
          <w:rFonts w:cs="Times New Roman"/>
        </w:rPr>
        <w:t xml:space="preserve">Working </w:t>
      </w:r>
      <w:r w:rsidR="00AB6FEF">
        <w:rPr>
          <w:rFonts w:cs="Times New Roman"/>
          <w:color w:val="000000"/>
        </w:rPr>
        <w:t xml:space="preserve">with </w:t>
      </w:r>
      <w:r w:rsidR="0082757F">
        <w:rPr>
          <w:rFonts w:cs="Times New Roman"/>
          <w:color w:val="000000"/>
        </w:rPr>
        <w:t xml:space="preserve">this population </w:t>
      </w:r>
      <w:r w:rsidR="00AB6FEF">
        <w:rPr>
          <w:rFonts w:cs="Times New Roman"/>
          <w:color w:val="000000"/>
        </w:rPr>
        <w:t xml:space="preserve">can be challenging for research; </w:t>
      </w:r>
      <w:r w:rsidR="00AB6FEF">
        <w:rPr>
          <w:rFonts w:cs="Times New Roman"/>
        </w:rPr>
        <w:t xml:space="preserve">engagement with health services, </w:t>
      </w:r>
      <w:r w:rsidR="009E5C6C">
        <w:rPr>
          <w:rFonts w:cs="Times New Roman"/>
        </w:rPr>
        <w:t>including S</w:t>
      </w:r>
      <w:r w:rsidR="00AB6FEF">
        <w:rPr>
          <w:rFonts w:cs="Times New Roman"/>
        </w:rPr>
        <w:t xml:space="preserve">top </w:t>
      </w:r>
      <w:r w:rsidR="009E5C6C">
        <w:rPr>
          <w:rFonts w:cs="Times New Roman"/>
        </w:rPr>
        <w:t>S</w:t>
      </w:r>
      <w:r w:rsidR="00AB6FEF">
        <w:rPr>
          <w:rFonts w:cs="Times New Roman"/>
        </w:rPr>
        <w:t xml:space="preserve">moking </w:t>
      </w:r>
      <w:r w:rsidR="009E5C6C">
        <w:rPr>
          <w:rFonts w:cs="Times New Roman"/>
        </w:rPr>
        <w:t>S</w:t>
      </w:r>
      <w:r w:rsidR="00AB6FEF">
        <w:rPr>
          <w:rFonts w:cs="Times New Roman"/>
        </w:rPr>
        <w:t>ervices</w:t>
      </w:r>
      <w:r w:rsidR="009E5C6C">
        <w:rPr>
          <w:rFonts w:cs="Times New Roman"/>
        </w:rPr>
        <w:t xml:space="preserve"> </w:t>
      </w:r>
      <w:r w:rsidR="009E5C6C" w:rsidRPr="00F1603E">
        <w:rPr>
          <w:rFonts w:cs="Times New Roman"/>
        </w:rPr>
        <w:t>(SSS)</w:t>
      </w:r>
      <w:r w:rsidR="008E6544" w:rsidRPr="00F1603E">
        <w:rPr>
          <w:rFonts w:cs="Times New Roman"/>
        </w:rPr>
        <w:t xml:space="preserve"> </w:t>
      </w:r>
      <w:r w:rsidR="008E6544" w:rsidRPr="00F1603E">
        <w:rPr>
          <w:rFonts w:cs="Times New Roman"/>
        </w:rPr>
        <w:fldChar w:fldCharType="begin" w:fldLock="1"/>
      </w:r>
      <w:r w:rsidR="00620688">
        <w:rPr>
          <w:rFonts w:cs="Times New Roman"/>
        </w:rPr>
        <w:instrText>ADDIN CSL_CITATION {"citationItems":[{"id":"ITEM-1","itemData":{"URL":"https://www.homeless.org.uk/facts/homelessness-in-numbers/health-needs-audit-explore-data","accessed":{"date-parts":[["2020","4","16"]]},"author":[{"dropping-particle":"","family":"Homeless Link","given":"","non-dropping-particle":"","parse-names":false,"suffix":""}],"id":"ITEM-1","issued":{"date-parts":[["0"]]},"title":"Health Needs Audit - explore the data | Homeless Link","type":"webpage"},"uris":["http://www.mendeley.com/documents/?uuid=dc2af715-75c8-345d-9157-60c1eab018cd"]},{"id":"ITEM-2","itemData":{"abstract":"This paper presents the results of analysis aimed at better understanding the health needs and relative healthcare costs of people who are homeless or living in certain types of insecure or short term accomodation.","author":[{"dropping-particle":"","family":"Department of Health Office of the Chief Analyst","given":"","non-dropping-particle":"","parse-names":false,"suffix":""}],"id":"ITEM-2","issue":"March","issued":{"date-parts":[["2010"]]},"number-of-pages":"1-41","publisher-place":"London","title":"Healthcare for Single Homeless People","type":"report"},"uris":["http://www.mendeley.com/documents/?uuid=04c70fdb-0990-406c-82b8-8ba6f4782258"]}],"mendeley":{"formattedCitation":"[7,11]","plainTextFormattedCitation":"[7,11]","previouslyFormattedCitation":"[7,11]"},"properties":{"noteIndex":0},"schema":"https://github.com/citation-style-language/schema/raw/master/csl-citation.json"}</w:instrText>
      </w:r>
      <w:r w:rsidR="008E6544" w:rsidRPr="00F1603E">
        <w:rPr>
          <w:rFonts w:cs="Times New Roman"/>
        </w:rPr>
        <w:fldChar w:fldCharType="separate"/>
      </w:r>
      <w:r w:rsidR="0077457B" w:rsidRPr="0077457B">
        <w:rPr>
          <w:rFonts w:cs="Times New Roman"/>
          <w:noProof/>
        </w:rPr>
        <w:t>[7,11]</w:t>
      </w:r>
      <w:r w:rsidR="008E6544" w:rsidRPr="00F1603E">
        <w:rPr>
          <w:rFonts w:cs="Times New Roman"/>
        </w:rPr>
        <w:fldChar w:fldCharType="end"/>
      </w:r>
      <w:r w:rsidR="00AB6FEF" w:rsidRPr="00F1603E">
        <w:rPr>
          <w:rFonts w:cs="Times New Roman"/>
        </w:rPr>
        <w:t>,</w:t>
      </w:r>
      <w:r w:rsidR="00E50A2E">
        <w:rPr>
          <w:rFonts w:cs="Times New Roman"/>
        </w:rPr>
        <w:t xml:space="preserve"> is generally poor and</w:t>
      </w:r>
      <w:r w:rsidR="00BA6D90">
        <w:rPr>
          <w:rFonts w:cs="Times New Roman"/>
        </w:rPr>
        <w:t xml:space="preserve"> smokers experiencing </w:t>
      </w:r>
      <w:r w:rsidR="00FF7F3F">
        <w:rPr>
          <w:rFonts w:cs="Times New Roman"/>
        </w:rPr>
        <w:t>homeless</w:t>
      </w:r>
      <w:r w:rsidR="00BA6D90">
        <w:rPr>
          <w:rFonts w:cs="Times New Roman"/>
        </w:rPr>
        <w:t>ness</w:t>
      </w:r>
      <w:r w:rsidR="00D168A0">
        <w:rPr>
          <w:rFonts w:cs="Times New Roman"/>
        </w:rPr>
        <w:t xml:space="preserve"> </w:t>
      </w:r>
      <w:r w:rsidR="00AB6FEF">
        <w:rPr>
          <w:rFonts w:cs="Times New Roman"/>
        </w:rPr>
        <w:t>may be difficult to recruit and retain</w:t>
      </w:r>
      <w:r w:rsidR="00FF7F3F">
        <w:rPr>
          <w:rFonts w:cs="Times New Roman"/>
        </w:rPr>
        <w:t xml:space="preserve"> in research studies</w:t>
      </w:r>
      <w:r w:rsidR="00AB6FEF">
        <w:rPr>
          <w:rFonts w:cs="Times New Roman"/>
        </w:rPr>
        <w:t>.</w:t>
      </w:r>
      <w:r w:rsidR="00E50A2E">
        <w:rPr>
          <w:rFonts w:cs="Times New Roman"/>
        </w:rPr>
        <w:t xml:space="preserve"> </w:t>
      </w:r>
      <w:r w:rsidR="00840AF7">
        <w:rPr>
          <w:rFonts w:cs="Times New Roman"/>
        </w:rPr>
        <w:t xml:space="preserve">   </w:t>
      </w:r>
      <w:r w:rsidR="00FF7F3F">
        <w:rPr>
          <w:rFonts w:cs="Times New Roman"/>
        </w:rPr>
        <w:t>Two studies from the US and one from</w:t>
      </w:r>
      <w:r w:rsidR="00D168A0">
        <w:rPr>
          <w:rFonts w:cs="Times New Roman"/>
        </w:rPr>
        <w:t xml:space="preserve"> </w:t>
      </w:r>
      <w:r w:rsidR="00FF7F3F">
        <w:rPr>
          <w:rFonts w:cs="Times New Roman"/>
        </w:rPr>
        <w:t xml:space="preserve">Australia have explored a range of </w:t>
      </w:r>
      <w:r w:rsidR="00FF7F3F" w:rsidRPr="00CC3ABA">
        <w:rPr>
          <w:rFonts w:cs="Times New Roman"/>
          <w:color w:val="000000"/>
        </w:rPr>
        <w:t xml:space="preserve">interventions </w:t>
      </w:r>
      <w:r w:rsidR="002C4D82">
        <w:rPr>
          <w:rFonts w:cs="Times New Roman"/>
          <w:color w:val="000000"/>
        </w:rPr>
        <w:t>for</w:t>
      </w:r>
      <w:r w:rsidR="00FF7F3F">
        <w:rPr>
          <w:rFonts w:cs="Times New Roman"/>
          <w:color w:val="000000"/>
        </w:rPr>
        <w:t xml:space="preserve"> smoking</w:t>
      </w:r>
      <w:r w:rsidR="00D168A0">
        <w:rPr>
          <w:rFonts w:cs="Times New Roman"/>
          <w:color w:val="000000"/>
        </w:rPr>
        <w:t xml:space="preserve"> cessation in people</w:t>
      </w:r>
      <w:r w:rsidR="00FF7F3F">
        <w:rPr>
          <w:rFonts w:cs="Times New Roman"/>
          <w:color w:val="000000"/>
        </w:rPr>
        <w:t xml:space="preserve"> experiencing homelessness including </w:t>
      </w:r>
      <w:r w:rsidR="00FF7F3F" w:rsidRPr="00CC3ABA">
        <w:rPr>
          <w:rFonts w:cs="Times New Roman"/>
          <w:color w:val="000000"/>
        </w:rPr>
        <w:t>motivational interviewing, cognitive behavioural therapy,</w:t>
      </w:r>
      <w:r w:rsidR="00FF7F3F">
        <w:rPr>
          <w:rFonts w:cs="Times New Roman"/>
          <w:color w:val="000000"/>
        </w:rPr>
        <w:t xml:space="preserve"> quit lines,</w:t>
      </w:r>
      <w:r w:rsidR="00FF7F3F" w:rsidRPr="00CC3ABA">
        <w:rPr>
          <w:rFonts w:cs="Times New Roman"/>
          <w:color w:val="000000"/>
        </w:rPr>
        <w:t xml:space="preserve"> nicotine replacement therapy (NRT) and/or other pharmacotherapies</w:t>
      </w:r>
      <w:r w:rsidR="005C21FB">
        <w:rPr>
          <w:rFonts w:cs="Times New Roman"/>
          <w:color w:val="000000"/>
        </w:rPr>
        <w:t xml:space="preserve"> </w:t>
      </w:r>
      <w:r w:rsidR="005C21FB">
        <w:rPr>
          <w:rFonts w:cs="Times New Roman"/>
          <w:color w:val="000000"/>
        </w:rPr>
        <w:fldChar w:fldCharType="begin" w:fldLock="1"/>
      </w:r>
      <w:r w:rsidR="00620688">
        <w:rPr>
          <w:rFonts w:cs="Times New Roman"/>
          <w:color w:val="000000"/>
        </w:rPr>
        <w:instrText>ADDIN CSL_CITATION {"citationItems":[{"id":"ITEM-1","itemData":{"DOI":"10.1111/add.12140","ISSN":"09652140","abstract":"Aims: To assess the effects of adding motivational interviewing (MI) counseling to nicotine patch for smoking cessation among homeless smokers. Design: Two-group randomized controlled trial with 26-week follow-up. Participants and setting: A total of 430 homeless smokers from emergency shelters and transitional housing units in Minneapolis/St Paul, Minnesota, USA. Intervention and measurements: All participants received 8-week treatment of 21-mg nicotine patch. In addition, participants in the intervention group received six individual sessions of MI counseling which aimed to increase adherence to nicotine patches and to motivate cessation. Participants in the standard care control group received one session of brief advice to quit smoking. Primary outcome was 7-day abstinence from cigarette smoking at 26 weeks, as validated by exhaled carbon monoxide and salivary cotinine. Findings: Using intention-to-treat analysis, verified 7-day abstinence rate at week 26 for the intervention group was non-significantly higher than for the control group (9.3% versus 5.6%, P=0.15). Among participants who did not quit smoking, reduction in number of cigarettes from baseline to week 26 was equally high in both study groups (-13.7±11.9 for MI versus -13.5±16.2 for standard care). Conclusions: Adding motivational interviewing counseling to nicotine patch did not increase smoking rate significantly at 26-week follow-up for homeless smokers. © 2013 Society for the Study of Addiction.","author":[{"dropping-particle":"","family":"Okuyemi","given":"Kolawole S.","non-dropping-particle":"","parse-names":false,"suffix":""},{"dropping-particle":"","family":"Goldade","given":"Kate","non-dropping-particle":"","parse-names":false,"suffix":""},{"dropping-particle":"","family":"Whembolua","given":"Guy Lucien","non-dropping-particle":"","parse-names":false,"suffix":""},{"dropping-particle":"","family":"Thomas","given":"Janet L.","non-dropping-particle":"","parse-names":false,"suffix":""},{"dropping-particle":"","family":"Eischen","given":"Sara","non-dropping-particle":"","parse-names":false,"suffix":""},{"dropping-particle":"","family":"Sewali","given":"Barrett","non-dropping-particle":"","parse-names":false,"suffix":""},{"dropping-particle":"","family":"Guo","given":"Hongfei","non-dropping-particle":"","parse-names":false,"suffix":""},{"dropping-particle":"","family":"Connett","given":"John E.","non-dropping-particle":"","parse-names":false,"suffix":""},{"dropping-particle":"","family":"Grant","given":"Jon","non-dropping-particle":"","parse-names":false,"suffix":""},{"dropping-particle":"","family":"Ahluwalia","given":"Jasjit S.","non-dropping-particle":"","parse-names":false,"suffix":""},{"dropping-particle":"","family":"Resnicow","given":"Ken","non-dropping-particle":"","parse-names":false,"suffix":""},{"dropping-particle":"","family":"Owen","given":"Greg","non-dropping-particle":"","parse-names":false,"suffix":""},{"dropping-particle":"","family":"Gelberg","given":"Lillian","non-dropping-particle":"","parse-names":false,"suffix":""},{"dropping-particle":"","family":"Jarlais","given":"Don","non-dropping-particle":"Des","parse-names":false,"suffix":""}],"container-title":"Addiction","id":"ITEM-1","issue":"6","issued":{"date-parts":[["2013","6"]]},"page":"1136-1144","title":"Motivational interviewing to enhance nicotine patch treatment for smoking cessation among homeless smokers: A randomized controlled trial","type":"article-journal","volume":"108"},"uris":["http://www.mendeley.com/documents/?uuid=21b8b8bc-1ed4-42c2-9806-5bd68680ef2b"]},{"id":"ITEM-2","itemData":{"DOI":"10.1093/ntr/ntv062","ISSN":"1469994X","abstract":"Introduction: Few homeless programs offer smoking cessation treatment. This study examined the feasibility, acceptability, and effectiveness of a smoking cessation treatment model delivered by staffof a homeless persons' program. Methods: Fourteen nurses from Melbourne's Royal District Nursing Service Homeless Persons' Program recruited 49 clients into a 12-week program offering weekly nurse-delivered smoking cessation appointments with intermittent carbon monoxide measurements, doctor-prescribed free nicotine patch, bupropion or varenicline, and Quitline phone support. Surveys were completed at program enrolment, end of program (EoP, 3 months) and 6 months post-enrolment. Results: Clients attended on average 6.7 nurse-delivered appointments. Most used pharmacotherapy (69%, n = 34) and Quitline (61%, n = 30, average 8.4 calls among users). Using all-cases analyses 29% had made a quit attempt by EoP; 24-hour point prevalence abstinence rates were 6% at EoP and 4% at 6 months (no participants achieved sustained cessation), and 29% reported 50% consumption reduction at 6 months, the latter positively associated with increased Quitline use. Tobacco consumption and money spent on tobacco halved by EoP with similar levels maintained at 6 months. Discarded butt smoking reduced. Using within-subjects analyses, all participants reported either the same or less symptoms of anxiety at EoP compared to baseline and 92% reported the same or less depressive symptoms. Conclusions: Integrating nurse support with readily accessible cessation interventions (government subsidized pharmacotherapy plus Quitline) was feasible and acceptable. While quit rates were low, treatment benefits included harm-reduction (reduced consumption and butt smoking), significant financial savings, and psychological benefits (improved or stable mood).","author":[{"dropping-particle":"","family":"Segan","given":"Catherine Jane","non-dropping-particle":"","parse-names":false,"suffix":""},{"dropping-particle":"","family":"Maddox","given":"Sarah","non-dropping-particle":"","parse-names":false,"suffix":""},{"dropping-particle":"","family":"Borland","given":"Ron","non-dropping-particle":"","parse-names":false,"suffix":""}],"container-title":"Nicotine and Tobacco Research","id":"ITEM-2","issue":"8","issued":{"date-parts":[["2015"]]},"page":"996-1001","title":"Homeless clients benefit from smoking cessation treatment delivered by a homeless persons' program","type":"article-journal","volume":"17"},"uris":["http://www.mendeley.com/documents/?uuid=8a0df040-40c9-4d1b-9953-ac531c58fe3f"]},{"id":"ITEM-3","itemData":{"DOI":"10.5993/AJHB.34.5.4","ISSN":"10873244","abstract":"Objective: To test the feasibility and effect of a smoking cessation intervention among sheltered homeless. Methods: Homeless smokers were enrolled in a 12-week group counseling program plus pharmacotherapy (n=58). Results: The mean number of sessions attended was 7.2; most participants used at least one type of medication (67%); and 75% completed 12-week end-of-treatment surveys. Carbon-monoxide-verified abstinence rates at 12 and 24 weeks were 15.5% and 13.6% respectively. Conclusion: Results support the feasibility of enrolling and retaining sheltered homeless in a smoking cessation program. Counseling plus pharmacotherapy options may be effective in helping sheltered homeless smokers quit.","author":[{"dropping-particle":"","family":"Shelley","given":"Donna","non-dropping-particle":"","parse-names":false,"suffix":""},{"dropping-particle":"","family":"Cantrell","given":"Jennifer","non-dropping-particle":"","parse-names":false,"suffix":""},{"dropping-particle":"","family":"Warn","given":"Doug","non-dropping-particle":"","parse-names":false,"suffix":""},{"dropping-particle":"","family":"Wong","given":"Selena","non-dropping-particle":"","parse-names":false,"suffix":""}],"container-title":"American Journal of Health Behavior","id":"ITEM-3","issue":"5","issued":{"date-parts":[["2010"]]},"page":"544-552","title":"Smoking cessation among sheltered homeless: A pilot","type":"article-journal","volume":"34"},"uris":["http://www.mendeley.com/documents/?uuid=562c0ca8-86d0-4def-b18e-14c25cb23b39"]}],"mendeley":{"formattedCitation":"[12–14]","plainTextFormattedCitation":"[12–14]","previouslyFormattedCitation":"[12–14]"},"properties":{"noteIndex":0},"schema":"https://github.com/citation-style-language/schema/raw/master/csl-citation.json"}</w:instrText>
      </w:r>
      <w:r w:rsidR="005C21FB">
        <w:rPr>
          <w:rFonts w:cs="Times New Roman"/>
          <w:color w:val="000000"/>
        </w:rPr>
        <w:fldChar w:fldCharType="separate"/>
      </w:r>
      <w:r w:rsidR="0077457B" w:rsidRPr="0077457B">
        <w:rPr>
          <w:rFonts w:cs="Times New Roman"/>
          <w:noProof/>
          <w:color w:val="000000"/>
        </w:rPr>
        <w:t>[12–14]</w:t>
      </w:r>
      <w:r w:rsidR="005C21FB">
        <w:rPr>
          <w:rFonts w:cs="Times New Roman"/>
          <w:color w:val="000000"/>
        </w:rPr>
        <w:fldChar w:fldCharType="end"/>
      </w:r>
      <w:r w:rsidR="00FF7F3F">
        <w:rPr>
          <w:rFonts w:cs="Times New Roman"/>
          <w:color w:val="000000"/>
        </w:rPr>
        <w:t>.</w:t>
      </w:r>
      <w:r w:rsidR="00840AF7">
        <w:rPr>
          <w:rFonts w:cs="Times New Roman"/>
          <w:color w:val="000000"/>
        </w:rPr>
        <w:t xml:space="preserve"> </w:t>
      </w:r>
      <w:r w:rsidR="00FF7F3F">
        <w:rPr>
          <w:rFonts w:cs="Times New Roman"/>
          <w:color w:val="000000"/>
        </w:rPr>
        <w:t>Po</w:t>
      </w:r>
      <w:r w:rsidR="00AE731D">
        <w:rPr>
          <w:rFonts w:cs="Times New Roman"/>
        </w:rPr>
        <w:t>int prevalence (24 hour or 7 day) abstinence rates at 6 month</w:t>
      </w:r>
      <w:r w:rsidR="008435E5">
        <w:rPr>
          <w:rFonts w:cs="Times New Roman"/>
        </w:rPr>
        <w:t>s</w:t>
      </w:r>
      <w:r w:rsidR="00D168A0">
        <w:rPr>
          <w:rFonts w:cs="Times New Roman"/>
        </w:rPr>
        <w:t xml:space="preserve"> </w:t>
      </w:r>
      <w:r w:rsidR="00FF1CC7">
        <w:rPr>
          <w:rFonts w:cs="Times New Roman"/>
        </w:rPr>
        <w:t xml:space="preserve">were low, </w:t>
      </w:r>
      <w:r w:rsidR="00AE731D">
        <w:rPr>
          <w:rFonts w:cs="Times New Roman"/>
        </w:rPr>
        <w:t>rang</w:t>
      </w:r>
      <w:r w:rsidR="00FF1CC7">
        <w:rPr>
          <w:rFonts w:cs="Times New Roman"/>
        </w:rPr>
        <w:t>ing</w:t>
      </w:r>
      <w:r w:rsidR="00AE731D">
        <w:rPr>
          <w:rFonts w:cs="Times New Roman"/>
        </w:rPr>
        <w:t xml:space="preserve"> between 4 and 13.6%</w:t>
      </w:r>
      <w:r w:rsidR="00FF7F3F">
        <w:rPr>
          <w:rFonts w:cs="Times New Roman"/>
        </w:rPr>
        <w:t xml:space="preserve">. A further US </w:t>
      </w:r>
      <w:r w:rsidR="008435E5" w:rsidRPr="00CC3ABA">
        <w:rPr>
          <w:rFonts w:cs="Times New Roman"/>
        </w:rPr>
        <w:t>study in a small sample of homeless veter</w:t>
      </w:r>
      <w:r w:rsidR="00FF7F3F">
        <w:rPr>
          <w:rFonts w:cs="Times New Roman"/>
        </w:rPr>
        <w:t>ans reported</w:t>
      </w:r>
      <w:r w:rsidR="008435E5" w:rsidRPr="00CC3ABA">
        <w:rPr>
          <w:rFonts w:cs="Times New Roman"/>
        </w:rPr>
        <w:t xml:space="preserve"> a much higher 26 week past 7-day point prevalence abstinence rate of 45% (9/20) using contingency management (participants could earn up to $815 for CO verified abstinence) plus NRT, bupropion and a smartphone app </w:t>
      </w:r>
      <w:r w:rsidR="00F84C0B">
        <w:rPr>
          <w:rFonts w:cs="Times New Roman"/>
        </w:rPr>
        <w:fldChar w:fldCharType="begin" w:fldLock="1"/>
      </w:r>
      <w:r w:rsidR="00620688">
        <w:rPr>
          <w:rFonts w:cs="Times New Roman"/>
        </w:rPr>
        <w:instrText>ADDIN CSL_CITATION {"citationItems":[{"id":"ITEM-1","itemData":{"DOI":"10.4088/JCP.14m09053","ISSN":"01606689","abstract":"Introduction: Smoking rates are 80% among persons who are homeless, and these smokers have decreased odds of quitting smoking. Little is known about relapse rates among homeless smokers. More information is needed regarding both quit rates and innovative methods to treat smoking cessation among homeless smokers. Web-based contingency management (CM) approaches have been found helpful in reducing smoking among other difficultto-treat smoker populations but have been generally limited by the need for computers or frequent clinic-based carbon monoxide (CO) monitoring. This open pilot study builds on a web-based CM approach by evaluating a smartphone-based application for CM named mobile CM (mCM). The study was conducted from January 1, 2013-April 15, 2014. Method: Following a 1-week training period, 20 homeless veteran smokers (≥ 10 cigarettes daily for 1 year or more and a CO baseline level ≥ 10 ppm) participated in a multicomponent smoking cessation intervention including 4 weeks of mCM. All smokers received 4 smoking cessation counseling sessions, nicotine replacement, and bupropion (if medically eligible). Participants could earn up to $815 ($480 for mCM, $100 for CO readings showing abstinence [ie, 6 ppm or less] at posttreatment and follow-up, and $35 for equipment return). Results: Mean compensation for the mCM component was $286 of a possible $480. Video transmission compliance was high during the 1-week training (97%) and the 4-week treatment period (87%). Bioverified 7-day point prevalence abstinence was 50% at 4 weeks. Follow-up bioverified single assessment point prevalence abstinence was 55% at 3 months and 45% at 6 months. Conclusions: Results of this open pilot study suggest that mCM may be a useful adjunctive smoking cessation treatment component for reducing smoking among homeless veterans.","author":[{"dropping-particle":"","family":"Carpenter","given":"Vickie L.","non-dropping-particle":"","parse-names":false,"suffix":""},{"dropping-particle":"","family":"Hertzberg","given":"Jeffrey S.","non-dropping-particle":"","parse-names":false,"suffix":""},{"dropping-particle":"","family":"Kirby","given":"Angela C.","non-dropping-particle":"","parse-names":false,"suffix":""},{"dropping-particle":"","family":"Calhoun","given":"Patrick S.","non-dropping-particle":"","parse-names":false,"suffix":""},{"dropping-particle":"","family":"Moore","given":"Scott D.","non-dropping-particle":"","parse-names":false,"suffix":""},{"dropping-particle":"","family":"Dennis","given":"Michelle F.","non-dropping-particle":"","parse-names":false,"suffix":""},{"dropping-particle":"","family":"Dennis","given":"Paul A.","non-dropping-particle":"","parse-names":false,"suffix":""},{"dropping-particle":"","family":"Dedert","given":"Eric A.","non-dropping-particle":"","parse-names":false,"suffix":""},{"dropping-particle":"","family":"Hair","given":"Lauren P.","non-dropping-particle":"","parse-names":false,"suffix":""},{"dropping-particle":"","family":"Beckham","given":"Jean C.","non-dropping-particle":"","parse-names":false,"suffix":""}],"container-title":"Journal of Clinical Psychiatry","id":"ITEM-1","issue":"7","issued":{"date-parts":[["2015","7"]]},"page":"959-964","title":"Multicomponent smoking cessation treatment including mobile contingency management in homeless veterans","type":"article-journal","volume":"76"},"uris":["http://www.mendeley.com/documents/?uuid=9ea4e5d3-44d4-461a-9fa6-d32fd08b2312"]}],"mendeley":{"formattedCitation":"[15]","plainTextFormattedCitation":"[15]","previouslyFormattedCitation":"[15]"},"properties":{"noteIndex":0},"schema":"https://github.com/citation-style-language/schema/raw/master/csl-citation.json"}</w:instrText>
      </w:r>
      <w:r w:rsidR="00F84C0B">
        <w:rPr>
          <w:rFonts w:cs="Times New Roman"/>
        </w:rPr>
        <w:fldChar w:fldCharType="separate"/>
      </w:r>
      <w:r w:rsidR="0077457B" w:rsidRPr="0077457B">
        <w:rPr>
          <w:rFonts w:cs="Times New Roman"/>
          <w:noProof/>
        </w:rPr>
        <w:t>[15]</w:t>
      </w:r>
      <w:r w:rsidR="00F84C0B">
        <w:rPr>
          <w:rFonts w:cs="Times New Roman"/>
        </w:rPr>
        <w:fldChar w:fldCharType="end"/>
      </w:r>
      <w:r w:rsidR="008435E5" w:rsidRPr="00F84C0B">
        <w:rPr>
          <w:rFonts w:cs="Times New Roman"/>
        </w:rPr>
        <w:t>.</w:t>
      </w:r>
      <w:r w:rsidR="008435E5" w:rsidRPr="00CC3ABA">
        <w:rPr>
          <w:rFonts w:cs="Times New Roman"/>
        </w:rPr>
        <w:t xml:space="preserve"> </w:t>
      </w:r>
      <w:r w:rsidR="00660468">
        <w:rPr>
          <w:rFonts w:cs="Times New Roman"/>
        </w:rPr>
        <w:t xml:space="preserve">In the only study reporting 6-month sustained abstinence, quit rates were 0% </w:t>
      </w:r>
      <w:r w:rsidR="00F84C0B">
        <w:rPr>
          <w:rFonts w:cs="Times New Roman"/>
        </w:rPr>
        <w:fldChar w:fldCharType="begin" w:fldLock="1"/>
      </w:r>
      <w:r w:rsidR="00620688">
        <w:rPr>
          <w:rFonts w:cs="Times New Roman"/>
        </w:rPr>
        <w:instrText>ADDIN CSL_CITATION {"citationItems":[{"id":"ITEM-1","itemData":{"DOI":"10.1093/ntr/ntv062","ISSN":"1469994X","abstract":"Introduction: Few homeless programs offer smoking cessation treatment. This study examined the feasibility, acceptability, and effectiveness of a smoking cessation treatment model delivered by staffof a homeless persons' program. Methods: Fourteen nurses from Melbourne's Royal District Nursing Service Homeless Persons' Program recruited 49 clients into a 12-week program offering weekly nurse-delivered smoking cessation appointments with intermittent carbon monoxide measurements, doctor-prescribed free nicotine patch, bupropion or varenicline, and Quitline phone support. Surveys were completed at program enrolment, end of program (EoP, 3 months) and 6 months post-enrolment. Results: Clients attended on average 6.7 nurse-delivered appointments. Most used pharmacotherapy (69%, n = 34) and Quitline (61%, n = 30, average 8.4 calls among users). Using all-cases analyses 29% had made a quit attempt by EoP; 24-hour point prevalence abstinence rates were 6% at EoP and 4% at 6 months (no participants achieved sustained cessation), and 29% reported 50% consumption reduction at 6 months, the latter positively associated with increased Quitline use. Tobacco consumption and money spent on tobacco halved by EoP with similar levels maintained at 6 months. Discarded butt smoking reduced. Using within-subjects analyses, all participants reported either the same or less symptoms of anxiety at EoP compared to baseline and 92% reported the same or less depressive symptoms. Conclusions: Integrating nurse support with readily accessible cessation interventions (government subsidized pharmacotherapy plus Quitline) was feasible and acceptable. While quit rates were low, treatment benefits included harm-reduction (reduced consumption and butt smoking), significant financial savings, and psychological benefits (improved or stable mood).","author":[{"dropping-particle":"","family":"Segan","given":"Catherine Jane","non-dropping-particle":"","parse-names":false,"suffix":""},{"dropping-particle":"","family":"Maddox","given":"Sarah","non-dropping-particle":"","parse-names":false,"suffix":""},{"dropping-particle":"","family":"Borland","given":"Ron","non-dropping-particle":"","parse-names":false,"suffix":""}],"container-title":"Nicotine and Tobacco Research","id":"ITEM-1","issue":"8","issued":{"date-parts":[["2015"]]},"page":"996-1001","title":"Homeless clients benefit from smoking cessation treatment delivered by a homeless persons' program","type":"article-journal","volume":"17"},"uris":["http://www.mendeley.com/documents/?uuid=8a0df040-40c9-4d1b-9953-ac531c58fe3f"]}],"mendeley":{"formattedCitation":"[13]","plainTextFormattedCitation":"[13]","previouslyFormattedCitation":"[13]"},"properties":{"noteIndex":0},"schema":"https://github.com/citation-style-language/schema/raw/master/csl-citation.json"}</w:instrText>
      </w:r>
      <w:r w:rsidR="00F84C0B">
        <w:rPr>
          <w:rFonts w:cs="Times New Roman"/>
        </w:rPr>
        <w:fldChar w:fldCharType="separate"/>
      </w:r>
      <w:r w:rsidR="0077457B" w:rsidRPr="0077457B">
        <w:rPr>
          <w:rFonts w:cs="Times New Roman"/>
          <w:noProof/>
        </w:rPr>
        <w:t>[13]</w:t>
      </w:r>
      <w:r w:rsidR="00F84C0B">
        <w:rPr>
          <w:rFonts w:cs="Times New Roman"/>
        </w:rPr>
        <w:fldChar w:fldCharType="end"/>
      </w:r>
      <w:r w:rsidR="00660468">
        <w:rPr>
          <w:rFonts w:cs="Times New Roman"/>
        </w:rPr>
        <w:t>.</w:t>
      </w:r>
    </w:p>
    <w:p w14:paraId="258D582E" w14:textId="11E3C1BE" w:rsidR="00A4354E" w:rsidRDefault="00871C0F" w:rsidP="00FF1CC7">
      <w:pPr>
        <w:spacing w:after="160" w:line="480" w:lineRule="auto"/>
        <w:jc w:val="both"/>
        <w:rPr>
          <w:rFonts w:cs="Times New Roman"/>
        </w:rPr>
      </w:pPr>
      <w:r>
        <w:rPr>
          <w:rFonts w:cs="Times New Roman"/>
        </w:rPr>
        <w:t xml:space="preserve">In a </w:t>
      </w:r>
      <w:r w:rsidRPr="00CC3ABA">
        <w:rPr>
          <w:rFonts w:cs="Times New Roman"/>
        </w:rPr>
        <w:t>study of 24 low</w:t>
      </w:r>
      <w:r w:rsidR="003C1A65">
        <w:rPr>
          <w:rFonts w:cs="Times New Roman"/>
        </w:rPr>
        <w:t xml:space="preserve"> socioeconomic status</w:t>
      </w:r>
      <w:r w:rsidRPr="00CC3ABA">
        <w:rPr>
          <w:rFonts w:cs="Times New Roman"/>
        </w:rPr>
        <w:t xml:space="preserve"> smo</w:t>
      </w:r>
      <w:r w:rsidR="00D168A0">
        <w:rPr>
          <w:rFonts w:cs="Times New Roman"/>
        </w:rPr>
        <w:t>kers in Australia</w:t>
      </w:r>
      <w:r w:rsidR="00515932">
        <w:rPr>
          <w:rFonts w:cs="Times New Roman"/>
        </w:rPr>
        <w:t xml:space="preserve"> </w:t>
      </w:r>
      <w:r w:rsidR="00E64773">
        <w:rPr>
          <w:rFonts w:cs="Times New Roman"/>
        </w:rPr>
        <w:fldChar w:fldCharType="begin" w:fldLock="1"/>
      </w:r>
      <w:r w:rsidR="00620688">
        <w:rPr>
          <w:rFonts w:cs="Times New Roman"/>
        </w:rPr>
        <w:instrText>ADDIN CSL_CITATION {"citationItems":[{"id":"ITEM-1","itemData":{"DOI":"10.1186/s12939-017-0689-5","ISSN":"14759276","PMID":"29132364","abstract":"Background: The social gradient in smoking rates persist with an overrepresentation of smoking and its associated harms concentrated within lower socioeconomic status (SES) populations. Low-SES smokers are motivated to quit but face multiple barriers when engaging a quit attempt. An understanding of the current treatment service model from the perspectives of treatment-seeking low-SES smokers is needed to inform the design of alternative smoking cessation support services tailored to the needs of low-SES populations. This qualitative study aimed to: i) explore low-SES smokers' recent quitting experiences; ii) assess factors that impact treatment engagement; and iii) determine the acceptability and feasibility of alternative approaches to smoking cessation. Method: Low-SES participants (n = 24) previously enrolled in a smoking cessation RCT participated in either a semi-structured focus group or in-depth telephone interview. Data was obtained and analysed using thematic analysis from October 2015 to June 2016. Analysis was deductive from the interview guide and supplemented inductively. Results: Participants expressed feelings of guilt and shame around their smoking behaviour and experienced stigmatisation for their smoking. Guilt, shame, and stigmatisation negatively impacted treatment seeking behaviours with most avoiding current quit services. Costs of pharmacotherapy and treatment adherence were commonly cited barriers to treatment success. Electronic-cigarettes were perceived to be unsafe due to uncertainty on their legal status and regulatory restrictions. Technology-based text-messaging quit support was endorsed as a more favourable alternative compared to existing behavioural treatment services. Conclusion: Stigmatisation was commonly endorsed and acted as an impediment to current treatment utilisation. Electronic-cigarettes may present a viable harm reduction alternative, but their likely uptake in socioeconomically disadvantaged groups in Australia is limited by smokers' uncertainty about their regulation and legality. Mobile phone based cessation support may provide an alternative to telephone counselling and overcome the stigmatisation low-SES smokers face while trying to quit.","author":[{"dropping-particle":"","family":"Boland","given":"Veronica C.","non-dropping-particle":"","parse-names":false,"suffix":""},{"dropping-particle":"","family":"Mattick","given":"Richard P.","non-dropping-particle":"","parse-names":false,"suffix":""},{"dropping-particle":"","family":"McRobbie","given":"Hayden","non-dropping-particle":"","parse-names":false,"suffix":""},{"dropping-particle":"","family":"Siahpush","given":"Mohammad","non-dropping-particle":"","parse-names":false,"suffix":""},{"dropping-particle":"","family":"Courtney","given":"Ryan J.","non-dropping-particle":"","parse-names":false,"suffix":""}],"container-title":"International Journal for Equity in Health","id":"ITEM-1","issue":"1","issued":{"date-parts":[["2017"]]},"page":"196","title":"\"I'm not strong enough; I'm not good enough. I can't do this, I'm failing\": A qualitative study of low-socioeconomic status smokers' experiences with accesssing cessation support and the role for alternative technology-based support","type":"article-journal","volume":"16"},"uris":["http://www.mendeley.com/documents/?uuid=92116fef-c2a3-405f-9dde-52ffebab0333"]}],"mendeley":{"formattedCitation":"[16]","plainTextFormattedCitation":"[16]","previouslyFormattedCitation":"[16]"},"properties":{"noteIndex":0},"schema":"https://github.com/citation-style-language/schema/raw/master/csl-citation.json"}</w:instrText>
      </w:r>
      <w:r w:rsidR="00E64773">
        <w:rPr>
          <w:rFonts w:cs="Times New Roman"/>
        </w:rPr>
        <w:fldChar w:fldCharType="separate"/>
      </w:r>
      <w:r w:rsidR="0077457B" w:rsidRPr="0077457B">
        <w:rPr>
          <w:rFonts w:cs="Times New Roman"/>
          <w:noProof/>
        </w:rPr>
        <w:t>[16]</w:t>
      </w:r>
      <w:r w:rsidR="00E64773">
        <w:rPr>
          <w:rFonts w:cs="Times New Roman"/>
        </w:rPr>
        <w:fldChar w:fldCharType="end"/>
      </w:r>
      <w:r w:rsidR="00840AF7">
        <w:rPr>
          <w:rFonts w:cs="Times New Roman"/>
          <w:vertAlign w:val="superscript"/>
        </w:rPr>
        <w:t xml:space="preserve"> </w:t>
      </w:r>
      <w:r>
        <w:rPr>
          <w:rFonts w:cs="Times New Roman"/>
        </w:rPr>
        <w:t xml:space="preserve">feelings of guilt, shame, </w:t>
      </w:r>
      <w:r w:rsidRPr="00CC3ABA">
        <w:rPr>
          <w:rFonts w:cs="Times New Roman"/>
        </w:rPr>
        <w:t xml:space="preserve">stigmatisation </w:t>
      </w:r>
      <w:r>
        <w:rPr>
          <w:rFonts w:cs="Times New Roman"/>
        </w:rPr>
        <w:t xml:space="preserve">and </w:t>
      </w:r>
      <w:r w:rsidRPr="00CC3ABA">
        <w:rPr>
          <w:rFonts w:cs="Times New Roman"/>
        </w:rPr>
        <w:t xml:space="preserve">undesirable or unhelpful </w:t>
      </w:r>
      <w:r>
        <w:rPr>
          <w:rFonts w:cs="Times New Roman"/>
        </w:rPr>
        <w:t xml:space="preserve">past </w:t>
      </w:r>
      <w:r w:rsidRPr="00CC3ABA">
        <w:rPr>
          <w:rFonts w:cs="Times New Roman"/>
        </w:rPr>
        <w:t>experiences with treatment services</w:t>
      </w:r>
      <w:r w:rsidR="00D168A0">
        <w:rPr>
          <w:rFonts w:cs="Times New Roman"/>
        </w:rPr>
        <w:t xml:space="preserve"> </w:t>
      </w:r>
      <w:r w:rsidRPr="00CC3ABA">
        <w:rPr>
          <w:rFonts w:cs="Times New Roman"/>
        </w:rPr>
        <w:t>contributed to reduced quitting success and acted as an impediment to accessing cessa</w:t>
      </w:r>
      <w:r>
        <w:rPr>
          <w:rFonts w:cs="Times New Roman"/>
        </w:rPr>
        <w:t>tion support.</w:t>
      </w:r>
      <w:r w:rsidR="00840AF7">
        <w:rPr>
          <w:rFonts w:cs="Times New Roman"/>
        </w:rPr>
        <w:t xml:space="preserve"> </w:t>
      </w:r>
      <w:r w:rsidR="00FF1CC7">
        <w:rPr>
          <w:rFonts w:cs="Times New Roman"/>
        </w:rPr>
        <w:t xml:space="preserve">Similarly, a US study </w:t>
      </w:r>
      <w:r w:rsidR="00FF1CC7" w:rsidRPr="00D168A0">
        <w:rPr>
          <w:rFonts w:cs="Times New Roman"/>
        </w:rPr>
        <w:t xml:space="preserve">of </w:t>
      </w:r>
      <w:r w:rsidR="00A4354E" w:rsidRPr="00CC3ABA">
        <w:rPr>
          <w:rFonts w:cs="Times New Roman"/>
        </w:rPr>
        <w:t>perspectives on smoking cessation treatments</w:t>
      </w:r>
      <w:r w:rsidR="00D168A0">
        <w:rPr>
          <w:rFonts w:cs="Times New Roman"/>
        </w:rPr>
        <w:t xml:space="preserve"> among 25 people experiencing homelessness</w:t>
      </w:r>
      <w:r w:rsidR="00127EB5">
        <w:rPr>
          <w:rFonts w:cs="Times New Roman"/>
        </w:rPr>
        <w:t xml:space="preserve"> </w:t>
      </w:r>
      <w:r w:rsidR="00127EB5">
        <w:rPr>
          <w:rFonts w:cs="Times New Roman"/>
        </w:rPr>
        <w:fldChar w:fldCharType="begin" w:fldLock="1"/>
      </w:r>
      <w:r w:rsidR="00620688">
        <w:rPr>
          <w:rFonts w:cs="Times New Roman"/>
        </w:rPr>
        <w:instrText>ADDIN CSL_CITATION {"citationItems":[{"id":"ITEM-1","itemData":{"DOI":"10.1016/j.drugpo.2017.09.007","ISSN":"18734758","abstract":"Background Cigarette smoking is 5 times more prevalent among homeless individuals than in the general population, and homeless individuals are disproportionately affected by smoking-related morbidity and mortality. Homeless smokers report interest in changing their smoking behavior; however, established smoking cessation interventions are neither desirable to nor highly effective for most members of this population. The aim of this study was to document homeless smokers’ perceptions of established smoking interventions as well as self-generated, alternative smoking interventions to elucidate points for intervention enhancement. Methods Participants (N = 25) were homeless smokers who responded to semistructured interviews regarding smoking and nicotine use as well as experiences with established and alternative smoking interventions. Conventional content analysis was used to organize data and identify themes. Results Participants appreciated providers’ initiation of conversations about smoking. They did not, however, feel simple advice to quit was a helpful approach. Instead, they suggested providers use a nonjudgmental, compassionate style, offer more support, and discuss a broader menu of options, including nonabstinence-based ways to reduce smoking-related harm and improve health-related quality of life. Most participants preferred engaging in their own self-defined, alternative smoking interventions, including obtaining nicotine more safely (e.g., vaping, using smokeless tobacco) and using behavioral (e.g., engaging in creative activities and hobbies) and cognitive strategies (e.g., reminding themselves about the positive aspects of not smoking and the negative consequences of smoking). Abrupt, unaided quit attempts were largely unsuccessful. Conclusions The vast majority of participants with the lived experience of homelessness and smoking were uninterested in established smoking cessation approaches. They did, however, have creative ideas about alternative smoking interventions that providers may support to reduce smoking-related harm and enhance quality of life. These ideas included providing information about the relative risks of smoking and the relative benefits of alternative strategies to obtaining nicotine and avoiding smoking.","author":[{"dropping-particle":"","family":"Collins","given":"Susan E.","non-dropping-particle":"","parse-names":false,"suffix":""},{"dropping-particle":"","family":"Orfaly","given":"Victoria E.","non-dropping-particle":"","parse-names":false,"suffix":""},{"dropping-particle":"","family":"Wu","given":"Teresa","non-dropping-particle":"","parse-names":false,"suffix":""},{"dropping-particle":"","family":"Chang","given":"Sunny","non-dropping-particle":"","parse-names":false,"suffix":""},{"dropping-particle":"V.","family":"Hardy","given":"Robert","non-dropping-particle":"","parse-names":false,"suffix":""},{"dropping-particle":"","family":"Nash","given":"Amia","non-dropping-particle":"","parse-names":false,"suffix":""},{"dropping-particle":"","family":"Jones","given":"Matthew B.","non-dropping-particle":"","parse-names":false,"suffix":""},{"dropping-particle":"","family":"Mares","given":"Leslie","non-dropping-particle":"","parse-names":false,"suffix":""},{"dropping-particle":"","family":"Taylor","given":"Emily M.","non-dropping-particle":"","parse-names":false,"suffix":""},{"dropping-particle":"","family":"Nelson","given":"Lonnie A.","non-dropping-particle":"","parse-names":false,"suffix":""},{"dropping-particle":"","family":"Clifasefi","given":"Seema L.","non-dropping-particle":"","parse-names":false,"suffix":""}],"container-title":"International Journal of Drug Policy","id":"ITEM-1","issue":"51","issued":{"date-parts":[["2018"]]},"page":"10-17","title":"Content analysis of homeless smokers’ perspectives on established and alternative smoking interventions","type":"article-journal","volume":"1"},"uris":["http://www.mendeley.com/documents/?uuid=29a9256b-7639-49d4-be67-21fefdf60b5d"]}],"mendeley":{"formattedCitation":"[17]","plainTextFormattedCitation":"[17]","previouslyFormattedCitation":"[17]"},"properties":{"noteIndex":0},"schema":"https://github.com/citation-style-language/schema/raw/master/csl-citation.json"}</w:instrText>
      </w:r>
      <w:r w:rsidR="00127EB5">
        <w:rPr>
          <w:rFonts w:cs="Times New Roman"/>
        </w:rPr>
        <w:fldChar w:fldCharType="separate"/>
      </w:r>
      <w:r w:rsidR="0077457B" w:rsidRPr="0077457B">
        <w:rPr>
          <w:rFonts w:cs="Times New Roman"/>
          <w:noProof/>
        </w:rPr>
        <w:t>[17]</w:t>
      </w:r>
      <w:r w:rsidR="00127EB5">
        <w:rPr>
          <w:rFonts w:cs="Times New Roman"/>
        </w:rPr>
        <w:fldChar w:fldCharType="end"/>
      </w:r>
      <w:r w:rsidR="00D168A0">
        <w:rPr>
          <w:rFonts w:cs="Times New Roman"/>
          <w:vertAlign w:val="superscript"/>
        </w:rPr>
        <w:t xml:space="preserve"> </w:t>
      </w:r>
      <w:r w:rsidR="00A4354E" w:rsidRPr="00CC3ABA">
        <w:rPr>
          <w:rFonts w:cs="Times New Roman"/>
        </w:rPr>
        <w:t xml:space="preserve">reported </w:t>
      </w:r>
      <w:r w:rsidR="0041459B">
        <w:rPr>
          <w:rFonts w:cs="Times New Roman"/>
        </w:rPr>
        <w:t xml:space="preserve">a lack of interest </w:t>
      </w:r>
      <w:r w:rsidR="00A4354E" w:rsidRPr="00CC3ABA">
        <w:rPr>
          <w:rFonts w:cs="Times New Roman"/>
        </w:rPr>
        <w:t>in established cessation approaches such as NRT which they viewed negatively</w:t>
      </w:r>
      <w:r w:rsidR="0041459B">
        <w:rPr>
          <w:rFonts w:cs="Times New Roman"/>
        </w:rPr>
        <w:t xml:space="preserve">. There was a </w:t>
      </w:r>
      <w:r w:rsidR="00A4354E" w:rsidRPr="00CC3ABA">
        <w:rPr>
          <w:rFonts w:cs="Times New Roman"/>
        </w:rPr>
        <w:t>pr</w:t>
      </w:r>
      <w:r w:rsidR="0041459B">
        <w:rPr>
          <w:rFonts w:cs="Times New Roman"/>
        </w:rPr>
        <w:t>eference</w:t>
      </w:r>
      <w:r w:rsidR="00A4354E" w:rsidRPr="00CC3ABA">
        <w:rPr>
          <w:rFonts w:cs="Times New Roman"/>
        </w:rPr>
        <w:t xml:space="preserve"> to engage in their own self-defined, alternative smoking interventions, including e-cigarettes</w:t>
      </w:r>
      <w:r w:rsidR="004A772E" w:rsidRPr="00CC3ABA">
        <w:rPr>
          <w:rFonts w:cs="Times New Roman"/>
        </w:rPr>
        <w:t xml:space="preserve"> (EC)</w:t>
      </w:r>
      <w:r w:rsidR="00A4354E" w:rsidRPr="00CC3ABA">
        <w:rPr>
          <w:rFonts w:cs="Times New Roman"/>
        </w:rPr>
        <w:t xml:space="preserve">. </w:t>
      </w:r>
    </w:p>
    <w:p w14:paraId="58EDA503" w14:textId="2D96BDE4" w:rsidR="00A4354E" w:rsidRPr="006D1F3F" w:rsidRDefault="00033A46" w:rsidP="00AA6854">
      <w:pPr>
        <w:spacing w:after="160" w:line="480" w:lineRule="auto"/>
        <w:jc w:val="both"/>
        <w:rPr>
          <w:rFonts w:cs="Times New Roman"/>
        </w:rPr>
      </w:pPr>
      <w:r>
        <w:rPr>
          <w:rFonts w:cs="Times New Roman"/>
        </w:rPr>
        <w:t>The development and increasing sophisticatio</w:t>
      </w:r>
      <w:r w:rsidR="00E87535">
        <w:rPr>
          <w:rFonts w:cs="Times New Roman"/>
        </w:rPr>
        <w:t xml:space="preserve">n of EC over the last ten years offers smokers a viable alternative to traditional pharmacotherapies for smoking cessation. </w:t>
      </w:r>
      <w:r w:rsidR="003C1A65">
        <w:rPr>
          <w:rFonts w:cs="Times New Roman"/>
        </w:rPr>
        <w:t>There are an</w:t>
      </w:r>
      <w:r w:rsidR="00D168A0">
        <w:rPr>
          <w:rFonts w:cs="Times New Roman"/>
        </w:rPr>
        <w:t xml:space="preserve"> </w:t>
      </w:r>
      <w:r w:rsidR="003C1A65">
        <w:rPr>
          <w:rFonts w:cs="Times New Roman"/>
        </w:rPr>
        <w:t xml:space="preserve">estimated 3.6 million current users </w:t>
      </w:r>
      <w:r w:rsidR="00BA41F0">
        <w:rPr>
          <w:rFonts w:cs="Times New Roman"/>
        </w:rPr>
        <w:t xml:space="preserve">among the general population </w:t>
      </w:r>
      <w:r w:rsidR="003C1A65">
        <w:rPr>
          <w:rFonts w:cs="Times New Roman"/>
        </w:rPr>
        <w:t>in Great Britain</w:t>
      </w:r>
      <w:r w:rsidR="00D168A0">
        <w:rPr>
          <w:rFonts w:cs="Times New Roman"/>
        </w:rPr>
        <w:t xml:space="preserve"> </w:t>
      </w:r>
      <w:r w:rsidR="004C07D0" w:rsidRPr="004C07D0">
        <w:rPr>
          <w:rFonts w:cs="Times New Roman"/>
        </w:rPr>
        <w:fldChar w:fldCharType="begin" w:fldLock="1"/>
      </w:r>
      <w:r w:rsidR="00620688">
        <w:rPr>
          <w:rFonts w:cs="Times New Roman"/>
        </w:rPr>
        <w:instrText>ADDIN CSL_CITATION {"citationItems":[{"id":"ITEM-1","itemData":{"URL":"https://ash.org.uk/information-and-resources/fact-sheets/statistical/use-of-e-cigarettes-among-adults-in-great-britain-2019/","abstract":"For more ASH fact sheets visit: https://ash.org.uk/information-and-resources/ash-fact-sheets/ 1 Use of e-cigarettes (vaporisers) among adults in Great Britain SUMMARY OF KEY FINDINGS This fact sheet provides a detailed analysis of adult attitudes and behaviour with respect to e-cigarettes and how they have changed over time. The data are taken from an annual survey, Smokefree GB, carried out for ASH by YouGov. The survey first started asking about e-cigarette use in 2010 and this update includes the results of the 2019 survey carried out in Spring 2019. Set out below is a summary of the key findings. USE AND AWARENESS OF E-CIGARETTES • E-cigarette use continues to grow, and an estimated 7.1% of the adult population amounting to 3.6 million people in Great Britain currently use e-cigarettes (vape). (Table 1) 1 • Over half (54.1%) of current vapers are ex-smokers, and the proportion has grown year on year, while the proportion of vapers who also smoke (known as dual users) has declined to 39.8% in 2019. 2 (Figure 1) • The proportion of adult smokers who have never tried e-cigarettes declined rapidly from 2010 until 2014, and continued declining, but gradually, from 2015 onwards. 3 In 2019 it was 34.1%. (Figure 2) • Only 0.8% of never smokers are current vapers (amounting to 6.1% of vapers). ATTITUDES TOWARDS E-CIGARETTES • As in previous years the main reason given by ex-smokers for using e-cigarettes is primarily to help them quit (31%) and secondly to prevent relapse (20%). • The main reason given by current smokers for using e-cigarettes is to cut down (21%) followed by to save money compared to smoking (16%). Significant proportions say the main reason is to help them stop smoking (14%) or to prevent relapse (12%). (Figure 3) • The main reason given by never smokers for vaping is just to give it a try (73%). • The proportion of smokers correctly believing vaping is less harmful than smoking has fallen from just over a half (54%) last year, to just under a half (48%) this year. This does not include the 1% of smokers who say they think vaping is harmless. (Figure 7) PRODUCTS USED • The most popular products for all vapers are still tank systems, but there has been a decline since 2018 (83% to 77%) together with an increase in use of cartridge/pod systems (from 14% to 18%). (Figure 10) • The majority of current vapers (73%) say they use only one device. • When asked what brands they use, for those who have tried vaping and use cartridges, the most popul…","accessed":{"date-parts":[["2020","3","12"]]},"author":[{"dropping-particle":"","family":"Action on smoking and health","given":"","non-dropping-particle":"","parse-names":false,"suffix":""}],"id":"ITEM-1","issue":"September","issued":{"date-parts":[["2019"]]},"page":"1-18","title":"Use of e-cigarettes (vaporisers) among adults in Great Britain","type":"webpage"},"uris":["http://www.mendeley.com/documents/?uuid=bbb860d0-11ce-4096-858d-f9aaff5d3372"]}],"mendeley":{"formattedCitation":"[18]","plainTextFormattedCitation":"[18]","previouslyFormattedCitation":"[18]"},"properties":{"noteIndex":0},"schema":"https://github.com/citation-style-language/schema/raw/master/csl-citation.json"}</w:instrText>
      </w:r>
      <w:r w:rsidR="004C07D0" w:rsidRPr="004C07D0">
        <w:rPr>
          <w:rFonts w:cs="Times New Roman"/>
        </w:rPr>
        <w:fldChar w:fldCharType="separate"/>
      </w:r>
      <w:r w:rsidR="0077457B" w:rsidRPr="0077457B">
        <w:rPr>
          <w:rFonts w:cs="Times New Roman"/>
          <w:noProof/>
        </w:rPr>
        <w:t>[18]</w:t>
      </w:r>
      <w:r w:rsidR="004C07D0" w:rsidRPr="004C07D0">
        <w:rPr>
          <w:rFonts w:cs="Times New Roman"/>
        </w:rPr>
        <w:fldChar w:fldCharType="end"/>
      </w:r>
      <w:r w:rsidR="004C07D0" w:rsidRPr="004C07D0">
        <w:rPr>
          <w:rFonts w:cs="Times New Roman"/>
        </w:rPr>
        <w:t xml:space="preserve"> </w:t>
      </w:r>
      <w:r w:rsidR="00BA41F0" w:rsidRPr="004C07D0">
        <w:rPr>
          <w:rFonts w:cs="Times New Roman"/>
        </w:rPr>
        <w:t>and</w:t>
      </w:r>
      <w:r w:rsidR="002022D5">
        <w:rPr>
          <w:rFonts w:cs="Times New Roman"/>
        </w:rPr>
        <w:t xml:space="preserve"> among smokers attempting to quit in England,</w:t>
      </w:r>
      <w:r w:rsidR="00BA41F0">
        <w:rPr>
          <w:rFonts w:cs="Times New Roman"/>
        </w:rPr>
        <w:t xml:space="preserve"> </w:t>
      </w:r>
      <w:r w:rsidR="00C5787D" w:rsidRPr="00CC3ABA">
        <w:rPr>
          <w:rFonts w:cs="Times New Roman"/>
        </w:rPr>
        <w:t>EC</w:t>
      </w:r>
      <w:r w:rsidR="006634DA">
        <w:rPr>
          <w:rFonts w:cs="Times New Roman"/>
        </w:rPr>
        <w:t xml:space="preserve"> continue to be</w:t>
      </w:r>
      <w:r w:rsidR="00D168A0">
        <w:rPr>
          <w:rFonts w:cs="Times New Roman"/>
        </w:rPr>
        <w:t xml:space="preserve"> </w:t>
      </w:r>
      <w:r w:rsidR="00A4354E" w:rsidRPr="00CC3ABA">
        <w:rPr>
          <w:rFonts w:cs="Times New Roman"/>
        </w:rPr>
        <w:t>the most</w:t>
      </w:r>
      <w:r w:rsidR="00796C0A" w:rsidRPr="00CC3ABA">
        <w:rPr>
          <w:rFonts w:cs="Times New Roman"/>
        </w:rPr>
        <w:t xml:space="preserve"> </w:t>
      </w:r>
      <w:r w:rsidR="00796C0A" w:rsidRPr="004C07D0">
        <w:rPr>
          <w:rFonts w:cs="Times New Roman"/>
        </w:rPr>
        <w:t>popular</w:t>
      </w:r>
      <w:r w:rsidR="00796C0A" w:rsidRPr="00CC3ABA">
        <w:rPr>
          <w:rFonts w:cs="Times New Roman"/>
        </w:rPr>
        <w:t xml:space="preserve"> method</w:t>
      </w:r>
      <w:r w:rsidR="00127EB5">
        <w:rPr>
          <w:rFonts w:cs="Times New Roman"/>
        </w:rPr>
        <w:t xml:space="preserve"> </w:t>
      </w:r>
      <w:r w:rsidR="00AC638A">
        <w:rPr>
          <w:rFonts w:cs="Times New Roman"/>
        </w:rPr>
        <w:fldChar w:fldCharType="begin" w:fldLock="1"/>
      </w:r>
      <w:r w:rsidR="00620688">
        <w:rPr>
          <w:rFonts w:cs="Times New Roman"/>
        </w:rPr>
        <w:instrText>ADDIN CSL_CITATION {"citationItems":[{"id":"ITEM-1","itemData":{"URL":"http://www.smokinginengland.info/latest-statistics/","abstract":"Smoking Toolkit Study Latest Statistics Smoking in England Powerpoint","accessed":{"date-parts":[["2020","6","10"]]},"author":[{"dropping-particle":"","family":"West","given":"Robert J.","non-dropping-particle":"","parse-names":false,"suffix":""},{"dropping-particle":"","family":"Beard","given":"Emma","non-dropping-particle":"","parse-names":false,"suffix":""},{"dropping-particle":"","family":"Kale","given":"Dimitra","non-dropping-particle":"","parse-names":false,"suffix":""},{"dropping-particle":"","family":"Brown","given":"Jamie","non-dropping-particle":"","parse-names":false,"suffix":""}],"container-title":"Smoking in England Latest Statistics","id":"ITEM-1","issued":{"date-parts":[["2020"]]},"page":"1-33","title":"Trends in electronic cigarette use in England","type":"webpage"},"uris":["http://www.mendeley.com/documents/?uuid=b155ca2a-9209-489f-b31c-ba4bc6dd3750"]}],"mendeley":{"formattedCitation":"[19]","plainTextFormattedCitation":"[19]","previouslyFormattedCitation":"[19]"},"properties":{"noteIndex":0},"schema":"https://github.com/citation-style-language/schema/raw/master/csl-citation.json"}</w:instrText>
      </w:r>
      <w:r w:rsidR="00AC638A">
        <w:rPr>
          <w:rFonts w:cs="Times New Roman"/>
        </w:rPr>
        <w:fldChar w:fldCharType="separate"/>
      </w:r>
      <w:r w:rsidR="0077457B" w:rsidRPr="0077457B">
        <w:rPr>
          <w:rFonts w:cs="Times New Roman"/>
          <w:noProof/>
        </w:rPr>
        <w:t>[19]</w:t>
      </w:r>
      <w:r w:rsidR="00AC638A">
        <w:rPr>
          <w:rFonts w:cs="Times New Roman"/>
        </w:rPr>
        <w:fldChar w:fldCharType="end"/>
      </w:r>
      <w:r w:rsidR="002022D5">
        <w:rPr>
          <w:rFonts w:cs="Times New Roman"/>
        </w:rPr>
        <w:t>.</w:t>
      </w:r>
      <w:r w:rsidR="00840AF7">
        <w:rPr>
          <w:rFonts w:cs="Times New Roman"/>
        </w:rPr>
        <w:t xml:space="preserve">  </w:t>
      </w:r>
      <w:r w:rsidR="00A00B73">
        <w:rPr>
          <w:rFonts w:cs="Times New Roman"/>
        </w:rPr>
        <w:t xml:space="preserve"> A</w:t>
      </w:r>
      <w:r w:rsidR="00E91451" w:rsidRPr="00E91451">
        <w:rPr>
          <w:rFonts w:cs="Times New Roman"/>
        </w:rPr>
        <w:t xml:space="preserve"> </w:t>
      </w:r>
      <w:r w:rsidR="00840AF7">
        <w:rPr>
          <w:rFonts w:cs="Times New Roman"/>
        </w:rPr>
        <w:t xml:space="preserve"> </w:t>
      </w:r>
      <w:r w:rsidR="00E91451">
        <w:rPr>
          <w:rFonts w:cs="Times New Roman"/>
        </w:rPr>
        <w:t xml:space="preserve">In a randomised controlled trial (RCT) of EC versus </w:t>
      </w:r>
      <w:r w:rsidR="009E5C6C">
        <w:rPr>
          <w:rFonts w:cs="Times New Roman"/>
        </w:rPr>
        <w:t>NRT</w:t>
      </w:r>
      <w:r w:rsidR="00E91451">
        <w:rPr>
          <w:rFonts w:cs="Times New Roman"/>
        </w:rPr>
        <w:t xml:space="preserve"> (participants’ choice including combinations)</w:t>
      </w:r>
      <w:r w:rsidR="009E5C6C">
        <w:rPr>
          <w:rFonts w:cs="Times New Roman"/>
        </w:rPr>
        <w:t xml:space="preserve"> delivered within SSS</w:t>
      </w:r>
      <w:r w:rsidR="00E91451">
        <w:rPr>
          <w:rFonts w:cs="Times New Roman"/>
        </w:rPr>
        <w:t xml:space="preserve">, 12 month sustained cessation rates were </w:t>
      </w:r>
      <w:r w:rsidR="00866664">
        <w:rPr>
          <w:rFonts w:cs="Times New Roman"/>
        </w:rPr>
        <w:t xml:space="preserve">almost doubled in the EC arm: </w:t>
      </w:r>
      <w:r w:rsidR="00E91451" w:rsidRPr="00451C0F">
        <w:rPr>
          <w:rFonts w:cs="Times New Roman"/>
        </w:rPr>
        <w:t>18 vs 9.9%</w:t>
      </w:r>
      <w:r w:rsidR="007C2ADF" w:rsidRPr="00451C0F">
        <w:rPr>
          <w:rFonts w:cs="Times New Roman"/>
        </w:rPr>
        <w:t xml:space="preserve"> </w:t>
      </w:r>
      <w:r w:rsidR="00451C0F" w:rsidRPr="00451C0F">
        <w:rPr>
          <w:rFonts w:cs="Times New Roman"/>
        </w:rPr>
        <w:fldChar w:fldCharType="begin" w:fldLock="1"/>
      </w:r>
      <w:r w:rsidR="00620688">
        <w:rPr>
          <w:rFonts w:cs="Times New Roman"/>
        </w:rPr>
        <w:instrText>ADDIN CSL_CITATION {"citationItems":[{"id":"ITEM-1","itemData":{"DOI":"10.1056/NEJMoa1808779","ISSN":"15334406","PMID":"30699054","abstract":"BACKGROUND E-cigarettes are commonly used in attempts to stop smoking, but evidence is limited regarding their effectiveness as compared with that of nicotine products approved as smoking-cessation treatments. METHODS We randomly assigned adults attending U.K. National Health Service stop-smoking services to either nicotine-replacement products of their choice, including product combinations, provided for up to 3 months, or an e-cigarette starter pack (a second-generation refillable e-cigarette with one bottle of nicotine e-liquid [18 mg per milliliter]), with a recommendation to purchase further e-liquids of the flavor and strength of their choice. Treatment included weekly behavioral support for at least 4 weeks. The primary outcome was sustained abstinence for 1 year, which was validated biochemically at the final visit. Participants who were lost to follow-up or did not provide biochemical validation were considered to not be abstinent. Secondary outcomes included participant-reported treatment usage and respiratory symptoms. RESULTS A total of 886 participants underwent randomization. The 1-year abstinence rate was 18.0% in the e-cigarette group, as compared with 9.9% in the nicotine-replacement group (relative risk, 1.83; 95% confidence interval [CI], 1.30 to 2.58; P&lt;0.001). Among participants with 1-year abstinence, those in the e-cigarette group were more likely than those in the nicotine-replacement group to use their assigned product at 52 weeks (80% [63 of 79 participants] vs. 9% [4 of 44 participants]). Overall, throat or mouth irritation was reported more frequently in the e-cigarette group (65.3%, vs. 51.2% in the nicotine-replacement group) and nausea more frequently in the nicotine-replacement group (37.9%, vs. 31.3% in the e-cigarette group). The e-cigarette group reported greater declines in the incidence of cough and phlegm production from baseline to 52 weeks than did the nicotine-replacement group (relative risk for cough, 0.8; 95% CI, 0.6 to 0.9; relative risk for phlegm, 0.7; 95% CI, 0.6 to 0.9). There were no significant between-group differences in the incidence of wheezing or shortness of breath. CONCLUSIONS E-cigarettes were more effective for smoking cessation than nicotine-replacement therapy, when both products were accompanied by behavioral support.","author":[{"dropping-particle":"","family":"Hajek","given":"Peter","non-dropping-particle":"","parse-names":false,"suffix":""},{"dropping-particle":"","family":"Phillips-Waller","given":"Anna","non-dropping-particle":"","parse-names":false,"suffix":""},{"dropping-particle":"","family":"Przulj","given":"Dunja","non-dropping-particle":"","parse-names":false,"suffix":""},{"dropping-particle":"","family":"Pesola","given":"Francesca","non-dropping-particle":"","parse-names":false,"suffix":""},{"dropping-particle":"","family":"Smith","given":"Katie Myers","non-dropping-particle":"","parse-names":false,"suffix":""},{"dropping-particle":"","family":"Bisal","given":"Natalie","non-dropping-particle":"","parse-names":false,"suffix":""},{"dropping-particle":"","family":"Li","given":"Jinshuo","non-dropping-particle":"","parse-names":false,"suffix":""},{"dropping-particle":"","family":"Parrott","given":"Steve","non-dropping-particle":"","parse-names":false,"suffix":""},{"dropping-particle":"","family":"Sasieni","given":"Peter","non-dropping-particle":"","parse-names":false,"suffix":""},{"dropping-particle":"","family":"Dawkins","given":"Lynne","non-dropping-particle":"","parse-names":false,"suffix":""},{"dropping-particle":"","family":"Ross","given":"Louise","non-dropping-particle":"","parse-names":false,"suffix":""},{"dropping-particle":"","family":"Goniewicz","given":"Maciej","non-dropping-particle":"","parse-names":false,"suffix":""},{"dropping-particle":"","family":"Wu","given":"Qi","non-dropping-particle":"","parse-names":false,"suffix":""},{"dropping-particle":"","family":"McRobbie","given":"Hayden J.","non-dropping-particle":"","parse-names":false,"suffix":""}],"container-title":"New England Journal of Medicine","id":"ITEM-1","issue":"7","issued":{"date-parts":[["2019","2"]]},"page":"629-637","title":"A randomized trial of E-cigarettes versus nicotine-replacement therapy","type":"article-journal","volume":"380"},"uris":["http://www.mendeley.com/documents/?uuid=16d0eba8-3919-4ed6-99a8-bebd67cce461"]}],"mendeley":{"formattedCitation":"[20]","plainTextFormattedCitation":"[20]","previouslyFormattedCitation":"[20]"},"properties":{"noteIndex":0},"schema":"https://github.com/citation-style-language/schema/raw/master/csl-citation.json"}</w:instrText>
      </w:r>
      <w:r w:rsidR="00451C0F" w:rsidRPr="00451C0F">
        <w:rPr>
          <w:rFonts w:cs="Times New Roman"/>
        </w:rPr>
        <w:fldChar w:fldCharType="separate"/>
      </w:r>
      <w:r w:rsidR="0077457B" w:rsidRPr="0077457B">
        <w:rPr>
          <w:rFonts w:cs="Times New Roman"/>
          <w:noProof/>
        </w:rPr>
        <w:t>[20]</w:t>
      </w:r>
      <w:r w:rsidR="00451C0F" w:rsidRPr="00451C0F">
        <w:rPr>
          <w:rFonts w:cs="Times New Roman"/>
        </w:rPr>
        <w:fldChar w:fldCharType="end"/>
      </w:r>
      <w:r w:rsidR="00E91451" w:rsidRPr="00451C0F">
        <w:rPr>
          <w:rFonts w:cs="Times New Roman"/>
        </w:rPr>
        <w:t>.</w:t>
      </w:r>
      <w:r w:rsidR="00840AF7">
        <w:rPr>
          <w:rFonts w:cs="Times New Roman"/>
        </w:rPr>
        <w:t xml:space="preserve"> </w:t>
      </w:r>
      <w:r w:rsidR="00A4354E" w:rsidRPr="00CC3ABA">
        <w:rPr>
          <w:rFonts w:cs="Times New Roman"/>
        </w:rPr>
        <w:t>Those who opt for EC however, tend to be bet</w:t>
      </w:r>
      <w:r w:rsidR="00710FB3">
        <w:rPr>
          <w:rFonts w:cs="Times New Roman"/>
        </w:rPr>
        <w:t>ter educated and higher earners</w:t>
      </w:r>
      <w:r w:rsidR="004A780C">
        <w:rPr>
          <w:rFonts w:cs="Times New Roman"/>
        </w:rPr>
        <w:t xml:space="preserve"> </w:t>
      </w:r>
      <w:r w:rsidR="004A780C">
        <w:rPr>
          <w:rFonts w:cs="Times New Roman"/>
        </w:rPr>
        <w:fldChar w:fldCharType="begin" w:fldLock="1"/>
      </w:r>
      <w:r w:rsidR="00620688">
        <w:rPr>
          <w:rFonts w:cs="Times New Roman"/>
        </w:rPr>
        <w:instrText>ADDIN CSL_CITATION {"citationItems":[{"id":"ITEM-1","itemData":{"DOI":"10.1007/s00038-015-0761-0","ISSN":"1420911X","abstract":"Objectives: This study assessed the awareness and use of traditional and novel tobacco products and dual use of cigarettes with electronic nicotine delivery systems (ENDS) among USA adults. Methods: Data were obtained from the 2014 Tobacco Products and Risk Perceptions Survey of a probability sample of 5717 USA adults conducted June–November, 2014. Results: Use of ENDS varied by demography and by cigarette and other tobacco use. Adults aged 25–34, non-heterosexual adults, and those reporting poorer health reported higher rates of current ENDS use. Current cigarette smokers had much greater odds of ENDS ever use than never smokers, with one-half of all cigarette smokers having used ENDS and 20.7 % currently using them. However, 22.0 % of current ENDS users were former cigarette smokers, and 10.0 % were never cigarette smokers. Conclusions: Patterns of ENDS use are evolving rapidly and merit continued surveillance. Nearly 10 % of adult ENDS usage is among never smokers. The public health challenge is how to enhance the potential that ENDS can replace combusted tobacco products without expanding nicotine use among youth, long-term ex-smokers, and other vulnerable populations.","author":[{"dropping-particle":"","family":"Weaver","given":"Scott R.","non-dropping-particle":"","parse-names":false,"suffix":""},{"dropping-particle":"","family":"Majeed","given":"Ban A.","non-dropping-particle":"","parse-names":false,"suffix":""},{"dropping-particle":"","family":"Pechacek","given":"Terry F.","non-dropping-particle":"","parse-names":false,"suffix":""},{"dropping-particle":"","family":"Nyman","given":"Amy L.","non-dropping-particle":"","parse-names":false,"suffix":""},{"dropping-particle":"","family":"Gregory","given":"Kyle R.","non-dropping-particle":"","parse-names":false,"suffix":""},{"dropping-particle":"","family":"Eriksen","given":"Michael P.","non-dropping-particle":"","parse-names":false,"suffix":""}],"container-title":"International Journal of Public Health","id":"ITEM-1","issue":"2","issued":{"date-parts":[["2016"]]},"page":"77-188","title":"Use of electronic nicotine delivery systems and other tobacco products among USA adults, 2014: Results from a national survey","type":"article-journal","volume":"61"},"uris":["http://www.mendeley.com/documents/?uuid=38f764de-ddd8-4c3d-9f70-9e872c3cd42e"]}],"mendeley":{"formattedCitation":"[21]","plainTextFormattedCitation":"[21]","previouslyFormattedCitation":"[21]"},"properties":{"noteIndex":0},"schema":"https://github.com/citation-style-language/schema/raw/master/csl-citation.json"}</w:instrText>
      </w:r>
      <w:r w:rsidR="004A780C">
        <w:rPr>
          <w:rFonts w:cs="Times New Roman"/>
        </w:rPr>
        <w:fldChar w:fldCharType="separate"/>
      </w:r>
      <w:r w:rsidR="0077457B" w:rsidRPr="0077457B">
        <w:rPr>
          <w:rFonts w:cs="Times New Roman"/>
          <w:noProof/>
        </w:rPr>
        <w:t>[21]</w:t>
      </w:r>
      <w:r w:rsidR="004A780C">
        <w:rPr>
          <w:rFonts w:cs="Times New Roman"/>
        </w:rPr>
        <w:fldChar w:fldCharType="end"/>
      </w:r>
      <w:r w:rsidR="00A4354E" w:rsidRPr="00CC3ABA">
        <w:rPr>
          <w:rFonts w:cs="Times New Roman"/>
        </w:rPr>
        <w:t>.</w:t>
      </w:r>
      <w:r w:rsidR="00AA6854">
        <w:rPr>
          <w:rFonts w:cs="Times New Roman"/>
        </w:rPr>
        <w:t xml:space="preserve"> Although</w:t>
      </w:r>
      <w:r w:rsidR="00A4354E" w:rsidRPr="00CC3ABA">
        <w:rPr>
          <w:rFonts w:cs="Times New Roman"/>
        </w:rPr>
        <w:t xml:space="preserve"> EC are far cheaper than smoking</w:t>
      </w:r>
      <w:r w:rsidR="00AA6854">
        <w:rPr>
          <w:rFonts w:cs="Times New Roman"/>
        </w:rPr>
        <w:t xml:space="preserve"> in the longer term</w:t>
      </w:r>
      <w:r w:rsidR="00A4354E" w:rsidRPr="00CC3ABA">
        <w:rPr>
          <w:rFonts w:cs="Times New Roman"/>
        </w:rPr>
        <w:t>, they carry an initial start-up cost which may</w:t>
      </w:r>
      <w:r w:rsidR="00710FB3">
        <w:rPr>
          <w:rFonts w:cs="Times New Roman"/>
        </w:rPr>
        <w:t xml:space="preserve"> deter those on lower incomes</w:t>
      </w:r>
      <w:r w:rsidR="004A780C">
        <w:rPr>
          <w:rFonts w:cs="Times New Roman"/>
        </w:rPr>
        <w:t xml:space="preserve"> </w:t>
      </w:r>
      <w:r w:rsidR="004A780C">
        <w:rPr>
          <w:rFonts w:cs="Times New Roman"/>
        </w:rPr>
        <w:fldChar w:fldCharType="begin" w:fldLock="1"/>
      </w:r>
      <w:r w:rsidR="00620688">
        <w:rPr>
          <w:rFonts w:cs="Times New Roman"/>
        </w:rPr>
        <w:instrText>ADDIN CSL_CITATION {"citationItems":[{"id":"ITEM-1","itemData":{"DOI":"10.1016/j.socscimed.2016.10.012","ISSN":"18735347","abstract":"Research into e-cigarette use has largely focused on their health effects and efficacy for smoking cessation, with little attention given to their potential effect on health inequalities. Drawing on three years of ethnographic research between 2012 and 2015, I investigate the emerging e-cigarette practices of adult smokers and quitters in a working-class area of the UK. I first use de Certeau's notion of ‘tactics’ to describe the informal economy of local e-cigarette use. Low-priced products were purchased through personal networks and informal sources for financial reasons, but also as a solution to the moral problems of addiction and expenditure on the self, particularly for older smokers. E-cigarette practices were produced in local moral worlds where smoking and cessation had a complex status mediated through norms of age and gender. For younger men, smoking cessation conflicted with an ethic of working-class hedonism but e-cigarette use allowed cessation to be incorporated into male sociality. Continued addiction had moral implications which older men addressed by constructing e-cigarette use as functional rather than pleasurable, drawing on a narrative of family responsibility. The low priority which older women with a relational sense of identity gave to their own health led to a lower tolerance for e-cigarette unreliability. I draw on Kleinman's local moral worlds to make sense of these findings, arguing that smoking cessation can be a risk to moral identity in violating local norms of age and gender performance. I conclude that e-cigarettes did have some potential to overcome normative barriers to smoking cessation and therefore to reduce health inequalities, at least in relation to male smoking. Further research which attends to local meanings of cessation in relation to age and gender will establish whether e-cigarettes have similar potential elsewhere.","author":[{"dropping-particle":"","family":"Thirlway","given":"Frances","non-dropping-particle":"","parse-names":false,"suffix":""}],"container-title":"Social Science and Medicine","id":"ITEM-1","issued":{"date-parts":[["2016"]]},"page":"106-113","title":"Everyday tactics in local moral worlds: E-cigarette practices in a working-class area of the UK","type":"article-journal","volume":"170"},"uris":["http://www.mendeley.com/documents/?uuid=008665d8-bcfb-469d-8c23-940c13bdbe77"]}],"mendeley":{"formattedCitation":"[22]","plainTextFormattedCitation":"[22]","previouslyFormattedCitation":"[22]"},"properties":{"noteIndex":0},"schema":"https://github.com/citation-style-language/schema/raw/master/csl-citation.json"}</w:instrText>
      </w:r>
      <w:r w:rsidR="004A780C">
        <w:rPr>
          <w:rFonts w:cs="Times New Roman"/>
        </w:rPr>
        <w:fldChar w:fldCharType="separate"/>
      </w:r>
      <w:r w:rsidR="0077457B" w:rsidRPr="0077457B">
        <w:rPr>
          <w:rFonts w:cs="Times New Roman"/>
          <w:noProof/>
        </w:rPr>
        <w:t>[22]</w:t>
      </w:r>
      <w:r w:rsidR="004A780C">
        <w:rPr>
          <w:rFonts w:cs="Times New Roman"/>
        </w:rPr>
        <w:fldChar w:fldCharType="end"/>
      </w:r>
      <w:r w:rsidR="00A4354E" w:rsidRPr="00CC3ABA">
        <w:rPr>
          <w:rFonts w:cs="Times New Roman"/>
        </w:rPr>
        <w:t>.</w:t>
      </w:r>
      <w:r w:rsidR="00840AF7">
        <w:rPr>
          <w:rFonts w:cs="Times New Roman"/>
        </w:rPr>
        <w:t xml:space="preserve"> </w:t>
      </w:r>
      <w:r w:rsidR="004B66B8">
        <w:rPr>
          <w:rFonts w:cs="Times New Roman"/>
        </w:rPr>
        <w:t>I</w:t>
      </w:r>
      <w:r w:rsidR="00866664">
        <w:rPr>
          <w:rFonts w:cs="Times New Roman"/>
        </w:rPr>
        <w:t>n a survey of 283 smokers accessi</w:t>
      </w:r>
      <w:r w:rsidR="004B66B8">
        <w:rPr>
          <w:rFonts w:cs="Times New Roman"/>
        </w:rPr>
        <w:t>ng homeless services</w:t>
      </w:r>
      <w:r w:rsidR="00AA6854">
        <w:rPr>
          <w:rFonts w:cs="Times New Roman"/>
        </w:rPr>
        <w:t xml:space="preserve"> across</w:t>
      </w:r>
      <w:r w:rsidR="00866664">
        <w:rPr>
          <w:rFonts w:cs="Times New Roman"/>
        </w:rPr>
        <w:t xml:space="preserve"> the UK, </w:t>
      </w:r>
      <w:r w:rsidR="00BA41F0">
        <w:rPr>
          <w:rFonts w:cs="Times New Roman"/>
        </w:rPr>
        <w:t xml:space="preserve">we found that, </w:t>
      </w:r>
      <w:r w:rsidR="00866664">
        <w:rPr>
          <w:rFonts w:cs="Times New Roman"/>
        </w:rPr>
        <w:t>although willingness to use EC was high, only 34% reported that they were willing or able to spend £20 or more on a starter kit</w:t>
      </w:r>
      <w:r w:rsidR="004A780C">
        <w:rPr>
          <w:rFonts w:cs="Times New Roman"/>
        </w:rPr>
        <w:t xml:space="preserve"> </w:t>
      </w:r>
      <w:r w:rsidR="004A780C">
        <w:rPr>
          <w:rFonts w:cs="Times New Roman"/>
        </w:rPr>
        <w:fldChar w:fldCharType="begin" w:fldLock="1"/>
      </w:r>
      <w:r w:rsidR="00620688">
        <w:rPr>
          <w:rFonts w:cs="Times New Roman"/>
        </w:rPr>
        <w:instrText>ADDIN CSL_CITATION {"citationItems":[{"id":"ITEM-1","itemData":{"DOI":"10.1016/j.addbeh.2019.02.020","ISSN":"18736327","abstract":"Background: Smoking is a key contributor to health and social inequalities and homeless smoking prevalence rates are 4 times higher than the general population. Research on homelessness and smoking to date has been concentrated predominantly in the US and Australia. This study aimed to describe smoking and quitting behaviour in homeless adult smokers in Great Britain. Data on perceptions of, and willingness to try, e-cigarettes were also gathered. Methods: Cross sectional survey of 283 adult smokers accessing homeless support services in Kent, the Midlands, London and Edinburgh. Participants answered a four-part survey: i) demographics; ii) current smoking behaviour and dependence (including the Fagerström Test of Cigarette Dependence [FTCD]); iii) previous quit attempts; and iv) e-cigarettes perceptions. Results: High levels of cigarette dependence were observed (FTCD: M = 7.78, sd ± 0.98). Although desire to quit was high, most had made fewer than 5 quit attempts and 90% of these lasted less than 24 h. 91.5% reported that others around them also smoked. Previous quit methods used included cold turkey (29.7%), NRT (24.7%), varenicline (22.3%) and bupropion (14.5%). 34% were willing or able to spend £20 or more for an e-cigarette and 82% had tried one in the past although 54% reported that they preferred smoking. Conclusion: We observed high nicotine dependence, few long-term quit attempts, strong desire to quit and amenability to both traditional cessation methods and e-cigarettes. Community embedded and non-routine approaches to cessation may be promising avenues promoting engagement with the homeless community. Likely barriers to uptake include low affordability, preference for cigarettes and high numbers of smoking acquaintances.","author":[{"dropping-particle":"","family":"Dawkins","given":"L.","non-dropping-particle":"","parse-names":false,"suffix":""},{"dropping-particle":"","family":"Ford","given":"A.","non-dropping-particle":"","parse-names":false,"suffix":""},{"dropping-particle":"","family":"Bauld","given":"L.","non-dropping-particle":"","parse-names":false,"suffix":""},{"dropping-particle":"","family":"Balaban","given":"S.","non-dropping-particle":"","parse-names":false,"suffix":""},{"dropping-particle":"","family":"Tyler","given":"A.","non-dropping-particle":"","parse-names":false,"suffix":""},{"dropping-particle":"","family":"Cox","given":"S.","non-dropping-particle":"","parse-names":false,"suffix":""}],"container-title":"Addictive Behaviors","id":"ITEM-1","issued":{"date-parts":[["2019"]]},"page":"35-40","title":"A cross sectional survey of smoking characteristics and quitting behaviour from a sample of homeless adults in Great Britain","type":"article-journal","volume":"95"},"uris":["http://www.mendeley.com/documents/?uuid=cc20bdfd-40b2-303b-bb02-01dd8fce177b"]}],"mendeley":{"formattedCitation":"[10]","plainTextFormattedCitation":"[10]","previouslyFormattedCitation":"[10]"},"properties":{"noteIndex":0},"schema":"https://github.com/citation-style-language/schema/raw/master/csl-citation.json"}</w:instrText>
      </w:r>
      <w:r w:rsidR="004A780C">
        <w:rPr>
          <w:rFonts w:cs="Times New Roman"/>
        </w:rPr>
        <w:fldChar w:fldCharType="separate"/>
      </w:r>
      <w:r w:rsidR="0077457B" w:rsidRPr="0077457B">
        <w:rPr>
          <w:rFonts w:cs="Times New Roman"/>
          <w:noProof/>
        </w:rPr>
        <w:t>[10]</w:t>
      </w:r>
      <w:r w:rsidR="004A780C">
        <w:rPr>
          <w:rFonts w:cs="Times New Roman"/>
        </w:rPr>
        <w:fldChar w:fldCharType="end"/>
      </w:r>
      <w:r w:rsidR="00866664">
        <w:rPr>
          <w:rFonts w:cs="Times New Roman"/>
        </w:rPr>
        <w:t xml:space="preserve">. </w:t>
      </w:r>
      <w:r w:rsidR="009D06C4">
        <w:rPr>
          <w:rFonts w:cs="Times New Roman"/>
        </w:rPr>
        <w:t xml:space="preserve">Reducing </w:t>
      </w:r>
      <w:r w:rsidR="009D06C4" w:rsidRPr="00CC3ABA">
        <w:rPr>
          <w:rFonts w:cs="Times New Roman"/>
        </w:rPr>
        <w:t>inequalities in health caused by smoking</w:t>
      </w:r>
      <w:r w:rsidR="009D06C4">
        <w:rPr>
          <w:rFonts w:cs="Times New Roman"/>
        </w:rPr>
        <w:t xml:space="preserve"> is a </w:t>
      </w:r>
      <w:r w:rsidR="00710FB3">
        <w:rPr>
          <w:rFonts w:cs="Times New Roman"/>
        </w:rPr>
        <w:t xml:space="preserve">key public </w:t>
      </w:r>
      <w:r w:rsidR="00710FB3" w:rsidRPr="00F1603E">
        <w:rPr>
          <w:rFonts w:cs="Times New Roman"/>
        </w:rPr>
        <w:t>health priority</w:t>
      </w:r>
      <w:r w:rsidR="004A780C" w:rsidRPr="00F1603E">
        <w:rPr>
          <w:rFonts w:cs="Times New Roman"/>
        </w:rPr>
        <w:t xml:space="preserve"> </w:t>
      </w:r>
      <w:r w:rsidR="00F1603E" w:rsidRPr="00F1603E">
        <w:rPr>
          <w:rFonts w:cs="Times New Roman"/>
        </w:rPr>
        <w:fldChar w:fldCharType="begin" w:fldLock="1"/>
      </w:r>
      <w:r w:rsidR="00620688">
        <w:rPr>
          <w:rFonts w:cs="Times New Roman"/>
        </w:rPr>
        <w:instrText>ADDIN CSL_CITATION {"citationItems":[{"id":"ITEM-1","itemData":{"abstract":"Our vision is to create a smokefree generation. We will have achieved this when smoking prevalence is at 5% or below. To deliver this, the government sets out the following national ambitions which will help focus tobacco control across the whole system: 1.","author":[{"dropping-particle":"","family":"Department of Health","given":"","non-dropping-particle":"","parse-names":false,"suffix":""}],"id":"ITEM-1","issue":"July","issued":{"date-parts":[["2017"]]},"number-of-pages":"1-32","title":"Towards a Smokefree Generation A Tobacco Control Plan for England","type":"report"},"uris":["http://www.mendeley.com/documents/?uuid=14424122-9558-4dde-afdc-cc35dc98b5f5"]},{"id":"ITEM-2","itemData":{"DOI":"10.1037/e611012011-001","ISSN":"0964-4563","abstract":"Following the 2010 Public Health White Paper Healthy Lives, Healthy People: Our Strategy for Public Health in England, the Tobacco Control Plan sets out what the Government will do to support efforts to reduce tobacco use over the next five years, within the context of the new public health system.","author":[{"dropping-particle":"","family":"Department of Health","given":"","non-dropping-particle":"","parse-names":false,"suffix":""}],"id":"ITEM-2","issued":{"date-parts":[["2011"]]},"number-of-pages":"1-57","title":"Healthy Lives, Healthy People: A Tobacco Control Plan for England","type":"report"},"uris":["http://www.mendeley.com/documents/?uuid=c37c1cd6-adbc-4228-96df-b3e72d7a694b"]}],"mendeley":{"formattedCitation":"[23,24]","plainTextFormattedCitation":"[23,24]","previouslyFormattedCitation":"[23,24]"},"properties":{"noteIndex":0},"schema":"https://github.com/citation-style-language/schema/raw/master/csl-citation.json"}</w:instrText>
      </w:r>
      <w:r w:rsidR="00F1603E" w:rsidRPr="00F1603E">
        <w:rPr>
          <w:rFonts w:cs="Times New Roman"/>
        </w:rPr>
        <w:fldChar w:fldCharType="separate"/>
      </w:r>
      <w:r w:rsidR="0077457B" w:rsidRPr="0077457B">
        <w:rPr>
          <w:rFonts w:cs="Times New Roman"/>
          <w:noProof/>
        </w:rPr>
        <w:t>[23,24]</w:t>
      </w:r>
      <w:r w:rsidR="00F1603E" w:rsidRPr="00F1603E">
        <w:rPr>
          <w:rFonts w:cs="Times New Roman"/>
        </w:rPr>
        <w:fldChar w:fldCharType="end"/>
      </w:r>
      <w:r w:rsidR="009D06C4">
        <w:rPr>
          <w:rFonts w:cs="Times New Roman"/>
        </w:rPr>
        <w:t xml:space="preserve"> and</w:t>
      </w:r>
      <w:r w:rsidR="00710FB3">
        <w:rPr>
          <w:rFonts w:cs="Times New Roman"/>
        </w:rPr>
        <w:t xml:space="preserve"> </w:t>
      </w:r>
      <w:r w:rsidR="009D06C4">
        <w:rPr>
          <w:rFonts w:cs="Times New Roman"/>
        </w:rPr>
        <w:t>p</w:t>
      </w:r>
      <w:r w:rsidR="009C4FD0" w:rsidRPr="00CC3ABA">
        <w:rPr>
          <w:rFonts w:cs="Times New Roman"/>
        </w:rPr>
        <w:t>romoting s</w:t>
      </w:r>
      <w:r w:rsidR="00866104" w:rsidRPr="00CC3ABA">
        <w:rPr>
          <w:rFonts w:cs="Times New Roman"/>
        </w:rPr>
        <w:t>moking cessation</w:t>
      </w:r>
      <w:r w:rsidR="00710FB3">
        <w:rPr>
          <w:rFonts w:cs="Times New Roman"/>
        </w:rPr>
        <w:t xml:space="preserve"> </w:t>
      </w:r>
      <w:r w:rsidR="009C4FD0" w:rsidRPr="00CC3ABA">
        <w:rPr>
          <w:rFonts w:cs="Times New Roman"/>
        </w:rPr>
        <w:t xml:space="preserve">in </w:t>
      </w:r>
      <w:r w:rsidR="009D06C4">
        <w:rPr>
          <w:rFonts w:cs="Times New Roman"/>
        </w:rPr>
        <w:t xml:space="preserve">disadvantaged </w:t>
      </w:r>
      <w:r w:rsidR="0029163E" w:rsidRPr="00CC3ABA">
        <w:rPr>
          <w:rFonts w:cs="Times New Roman"/>
        </w:rPr>
        <w:t>groups</w:t>
      </w:r>
      <w:r w:rsidR="00866104" w:rsidRPr="00CC3ABA">
        <w:rPr>
          <w:rFonts w:cs="Times New Roman"/>
        </w:rPr>
        <w:t xml:space="preserve"> is central to this objective.</w:t>
      </w:r>
      <w:r w:rsidR="00840AF7">
        <w:rPr>
          <w:rFonts w:cs="Times New Roman"/>
        </w:rPr>
        <w:t xml:space="preserve"> </w:t>
      </w:r>
      <w:r w:rsidR="006D1F3F">
        <w:rPr>
          <w:rFonts w:cs="Times New Roman"/>
        </w:rPr>
        <w:t>Although EC have been used in a number of positive trials with smokers in the general population and those with a mental health diagnosis</w:t>
      </w:r>
      <w:r w:rsidR="00600517">
        <w:rPr>
          <w:rFonts w:cs="Times New Roman"/>
        </w:rPr>
        <w:t xml:space="preserve"> </w:t>
      </w:r>
      <w:r w:rsidR="00600517">
        <w:rPr>
          <w:rFonts w:cs="Times New Roman"/>
        </w:rPr>
        <w:fldChar w:fldCharType="begin" w:fldLock="1"/>
      </w:r>
      <w:r w:rsidR="00620688">
        <w:rPr>
          <w:rFonts w:cs="Times New Roman"/>
        </w:rPr>
        <w:instrText>ADDIN CSL_CITATION {"citationItems":[{"id":"ITEM-1","itemData":{"author":[{"dropping-particle":"","family":"McNeill","given":"Ann","non-dropping-particle":"","parse-names":false,"suffix":""},{"dropping-particle":"","family":"Brose","given":"Leonie S","non-dropping-particle":"","parse-names":false,"suffix":""},{"dropping-particle":"","family":"Calder","given":"Robert","non-dropping-particle":"","parse-names":false,"suffix":""},{"dropping-particle":"","family":"Bauld","given":"Linda","non-dropping-particle":"","parse-names":false,"suffix":""},{"dropping-particle":"","family":"Robson","given":"Debbie","non-dropping-particle":"","parse-names":false,"suffix":""}],"id":"ITEM-1","issued":{"date-parts":[["2020"]]},"number-of-pages":"1-217","publisher-place":"London","title":"Vaping in England: an evidence update including mental health and pregnancy, March 2020: a report commissioned by Public Health England","type":"report"},"uris":["http://www.mendeley.com/documents/?uuid=d4d10137-b3dc-42e5-9df8-c4efa4c8d620"]}],"mendeley":{"formattedCitation":"[25]","plainTextFormattedCitation":"[25]","previouslyFormattedCitation":"[25]"},"properties":{"noteIndex":0},"schema":"https://github.com/citation-style-language/schema/raw/master/csl-citation.json"}</w:instrText>
      </w:r>
      <w:r w:rsidR="00600517">
        <w:rPr>
          <w:rFonts w:cs="Times New Roman"/>
        </w:rPr>
        <w:fldChar w:fldCharType="separate"/>
      </w:r>
      <w:r w:rsidR="0077457B" w:rsidRPr="0077457B">
        <w:rPr>
          <w:rFonts w:cs="Times New Roman"/>
          <w:noProof/>
        </w:rPr>
        <w:t>[25]</w:t>
      </w:r>
      <w:r w:rsidR="00600517">
        <w:rPr>
          <w:rFonts w:cs="Times New Roman"/>
        </w:rPr>
        <w:fldChar w:fldCharType="end"/>
      </w:r>
      <w:r w:rsidR="006D1F3F">
        <w:rPr>
          <w:rFonts w:cs="Times New Roman"/>
        </w:rPr>
        <w:t xml:space="preserve"> their potential for promoting smoking cessation among the homeless has not been explored.</w:t>
      </w:r>
      <w:r w:rsidR="00840AF7">
        <w:rPr>
          <w:rFonts w:cs="Times New Roman"/>
        </w:rPr>
        <w:t xml:space="preserve"> </w:t>
      </w:r>
    </w:p>
    <w:p w14:paraId="2FE048A5" w14:textId="091BBFD2" w:rsidR="00253EAA" w:rsidRDefault="00253EAA" w:rsidP="00383A84">
      <w:pPr>
        <w:spacing w:after="160" w:line="480" w:lineRule="auto"/>
        <w:jc w:val="both"/>
        <w:rPr>
          <w:rFonts w:cs="Times New Roman"/>
          <w:color w:val="000000"/>
        </w:rPr>
      </w:pPr>
      <w:r>
        <w:rPr>
          <w:rFonts w:cs="Times New Roman"/>
          <w:color w:val="000000"/>
        </w:rPr>
        <w:t>Nevertheless, the high prevalence of illicit drug and alcohol use</w:t>
      </w:r>
      <w:r w:rsidR="00710FB3">
        <w:rPr>
          <w:rFonts w:cs="Times New Roman"/>
          <w:color w:val="000000"/>
        </w:rPr>
        <w:t xml:space="preserve"> </w:t>
      </w:r>
      <w:r>
        <w:rPr>
          <w:rFonts w:cs="Times New Roman"/>
          <w:color w:val="000000"/>
        </w:rPr>
        <w:t>and other physical a</w:t>
      </w:r>
      <w:r w:rsidR="0019559D">
        <w:rPr>
          <w:rFonts w:cs="Times New Roman"/>
          <w:color w:val="000000"/>
        </w:rPr>
        <w:t>nd mental health conditions</w:t>
      </w:r>
      <w:r>
        <w:rPr>
          <w:rFonts w:cs="Times New Roman"/>
          <w:color w:val="000000"/>
        </w:rPr>
        <w:t xml:space="preserve"> among those experiencing homelessness </w:t>
      </w:r>
      <w:r w:rsidR="00D61F59">
        <w:rPr>
          <w:rFonts w:cs="Times New Roman"/>
          <w:color w:val="000000"/>
        </w:rPr>
        <w:fldChar w:fldCharType="begin" w:fldLock="1"/>
      </w:r>
      <w:r w:rsidR="00620688">
        <w:rPr>
          <w:rFonts w:cs="Times New Roman"/>
          <w:color w:val="000000"/>
        </w:rPr>
        <w:instrText>ADDIN CSL_CITATION {"citationItems":[{"id":"ITEM-1","itemData":{"DOI":"10.1503/cmaj.071294","ISSN":"08203946","abstract":"HOMELESSNESS AFFECTS TENS OF THOUSANDS OF CANADIANS and has important health implications. Homeless people are at increased risk of dying prematurely and suffer from a wide range of health problems, including seizures, chronic obstructive pulmonary disease, musculoskeletal disorders, tuberculosis, and skin and foot problems. Homeless people also face significant barriers that impair their access to health care. More research is needed to identify better ways to deliver care to this population.","author":[{"dropping-particle":"","family":"Hwang","given":"Stephen W","non-dropping-particle":"","parse-names":false,"suffix":""}],"container-title":"Cmaj","id":"ITEM-1","issue":"2","issued":{"date-parts":[["2001","1","23"]]},"page":"229-233","title":"Homelessness and health","type":"article-journal","volume":"164"},"uris":["http://www.mendeley.com/documents/?uuid=771f3e66-2307-431e-b218-5c6fbb55255a"]},{"id":"ITEM-2","itemData":{"DOI":"10.1016/S0140-6736(17)31869-X","ISSN":"1474547X","PMID":"29137869","abstract":"Background: Inclusion health focuses on people in extremely poor health due to poverty, marginalisation, and multimorbidity. We aimed to review morbidity and mortality data on four overlapping populations who experience considerable social exclusion: homeless populations, individuals with substance use disorders, sex workers, and imprisoned individuals. Methods: For this systematic review and meta-analysis, we searched MEDLINE, Embase, and the Cochrane Library for studies published between Jan 1, 2005, and Oct 1, 2015. We included only systematic reviews, meta-analyses, interventional studies, and observational studies that had morbidity and mortality outcomes, were published in English, from high-income countries, and were done in populations with a history of homelessness, imprisonment, sex work, or substance use disorder (excluding cannabis and alcohol use). Studies with only perinatal outcomes and studies of individuals with a specific health condition or those recruited from intensive care or high dependency hospital units were excluded. We screened studies using systematic review software and extracted data from published reports. Primary outcomes were measures of morbidity (prevalence or incidence) and mortality (standardised mortality ratios [SMRs] and mortality rates). Summary estimates were calculated using a random effects model. Findings: Our search identified 7946 articles, of which 337 studies were included for analysis. All-cause standardised mortality ratios were significantly increased in 91 (99%) of 92 extracted datapoints and were 11·86 (95% CI 10·42–13·30; I2=94·1%) in female individuals and 7·88 (7·03–8·74; I2=99·1%) in men. Summary SMR estimates for the International Classification of Diseases disease categories with two or more included datapoints were highest for deaths due to injury, poisoning, and other external causes, in both men (7·89; 95% CI 6·40–9·37; I2=98·1%) and women (18·72; 13·73–23·71; I2=91·5%). Disease prevalence was consistently raised across the following categories: infections (eg, highest reported was 90% for hepatitis C, 67 [65%] of 103 individuals for hepatitis B, and 133 [51%] of 263 individuals for latent tuberculosis infection), mental health (eg, highest reported was 9 [4%] of 227 individuals for schizophrenia), cardiovascular conditions (eg, highest reported was 32 [13%] of 247 individuals for coronary heart disease), and respiratory conditions (eg, highest reported was 9 [26%] of 35 individuals for asth…","author":[{"dropping-particle":"","family":"Aldridge","given":"Robert W.","non-dropping-particle":"","parse-names":false,"suffix":""},{"dropping-particle":"","family":"Story","given":"Alistair","non-dropping-particle":"","parse-names":false,"suffix":""},{"dropping-particle":"","family":"Hwang","given":"Stephen W.","non-dropping-particle":"","parse-names":false,"suffix":""},{"dropping-particle":"","family":"Nordentoft","given":"Merete","non-dropping-particle":"","parse-names":false,"suffix":""},{"dropping-particle":"","family":"Luchenski","given":"Serena A.","non-dropping-particle":"","parse-names":false,"suffix":""},{"dropping-particle":"","family":"Hartwell","given":"Greg","non-dropping-particle":"","parse-names":false,"suffix":""},{"dropping-particle":"","family":"Tweed","given":"Emily J.","non-dropping-particle":"","parse-names":false,"suffix":""},{"dropping-particle":"","family":"Lewer","given":"Dan","non-dropping-particle":"","parse-names":false,"suffix":""},{"dropping-particle":"","family":"Vittal Katikireddi","given":"Srinivasa","non-dropping-particle":"","parse-names":false,"suffix":""},{"dropping-particle":"","family":"Hayward","given":"Andrew C.","non-dropping-particle":"","parse-names":false,"suffix":""}],"container-title":"The Lancet","id":"ITEM-2","issue":"10117","issued":{"date-parts":[["2018","1","20"]]},"page":"241-250","publisher":"Elsevier Open Access","title":"Morbidity and mortality in homeless individuals, prisoners, sex workers, and individuals with substance use disorders in high-income countries: a systematic review and meta-analysis","type":"article-journal","volume":"391"},"uris":["http://www.mendeley.com/documents/?uuid=3f8df2b4-77fd-4732-b9a2-1e04df242a3e"]},{"id":"ITEM-3","itemData":{"DOI":"10.1081/ADA-120006735","author":[{"dropping-particle":"","family":"Booth","given":"Brenda M","non-dropping-particle":"","parse-names":false,"suffix":""},{"dropping-particle":"","family":"Sullivan","given":"Greer","non-dropping-particle":"","parse-names":false,"suffix":""},{"dropping-particle":"","family":"Koegel","given":"Paul","non-dropping-particle":"","parse-names":false,"suffix":""},{"dropping-particle":"","family":"Burnam","given":"Audrey","non-dropping-particle":"","parse-names":false,"suffix":""}],"container-title":"The American journal of drug and alcohol abuse","id":"ITEM-3","issue":"3","issued":{"date-parts":[["2002"]]},"page":"429-452","title":"Vulnerability factors for homelessness associated with substance dependence in a community sample of homeless adults","type":"article-journal","volume":"28"},"uris":["http://www.mendeley.com/documents/?uuid=fa602650-4524-4b0b-9188-1c3ba90554cc"]}],"mendeley":{"formattedCitation":"[26–28]","plainTextFormattedCitation":"[26–28]","previouslyFormattedCitation":"[26–28]"},"properties":{"noteIndex":0},"schema":"https://github.com/citation-style-language/schema/raw/master/csl-citation.json"}</w:instrText>
      </w:r>
      <w:r w:rsidR="00D61F59">
        <w:rPr>
          <w:rFonts w:cs="Times New Roman"/>
          <w:color w:val="000000"/>
        </w:rPr>
        <w:fldChar w:fldCharType="separate"/>
      </w:r>
      <w:r w:rsidR="0077457B" w:rsidRPr="0077457B">
        <w:rPr>
          <w:rFonts w:cs="Times New Roman"/>
          <w:noProof/>
          <w:color w:val="000000"/>
        </w:rPr>
        <w:t>[26–28]</w:t>
      </w:r>
      <w:r w:rsidR="00D61F59">
        <w:rPr>
          <w:rFonts w:cs="Times New Roman"/>
          <w:color w:val="000000"/>
        </w:rPr>
        <w:fldChar w:fldCharType="end"/>
      </w:r>
      <w:r w:rsidR="00D61F59">
        <w:rPr>
          <w:rFonts w:cs="Times New Roman"/>
          <w:color w:val="000000"/>
        </w:rPr>
        <w:t xml:space="preserve"> </w:t>
      </w:r>
      <w:r>
        <w:rPr>
          <w:rFonts w:cs="Times New Roman"/>
          <w:color w:val="000000"/>
        </w:rPr>
        <w:t>provides a further challenge for research.</w:t>
      </w:r>
      <w:r w:rsidR="00840AF7">
        <w:rPr>
          <w:rFonts w:cs="Times New Roman"/>
          <w:color w:val="000000"/>
        </w:rPr>
        <w:t xml:space="preserve"> </w:t>
      </w:r>
      <w:r>
        <w:rPr>
          <w:rFonts w:cs="Times New Roman"/>
          <w:color w:val="000000"/>
        </w:rPr>
        <w:t xml:space="preserve">Some service providers view smoking as low priority and prioritise treatment for addictions despite evidence that those with a history of other substance use are more likely to die from smoking related disease </w:t>
      </w:r>
      <w:r w:rsidR="007E642F">
        <w:rPr>
          <w:rFonts w:cs="Times New Roman"/>
          <w:color w:val="000000"/>
        </w:rPr>
        <w:fldChar w:fldCharType="begin" w:fldLock="1"/>
      </w:r>
      <w:r w:rsidR="00620688">
        <w:rPr>
          <w:rFonts w:cs="Times New Roman"/>
          <w:color w:val="000000"/>
        </w:rPr>
        <w:instrText>ADDIN CSL_CITATION {"citationItems":[{"id":"ITEM-1","itemData":{"DOI":"10.1001/jama.1996.03530380039029","abstract":"Hurt, Richard D., Kenneth P. Offord, Ivana T. Croghan, Leigh Gomez-Dahl, Thomas E. Kottke, Robert M. Morse, and L. Joseph Melton. \"","author":[{"dropping-particle":"","family":"Hurt","given":"Richard D","non-dropping-particle":"","parse-names":false,"suffix":""},{"dropping-particle":"","family":"Offoard","given":"Kenneth P","non-dropping-particle":"","parse-names":false,"suffix":""},{"dropping-particle":"","family":"Croghan","given":"Ivana T","non-dropping-particle":"","parse-names":false,"suffix":""},{"dropping-particle":"","family":"Gomez-Dahl","given":"Leigh","non-dropping-particle":"","parse-names":false,"suffix":""},{"dropping-particle":"","family":"Kottke","given":"Thomas E","non-dropping-particle":"","parse-names":false,"suffix":""},{"dropping-particle":"","family":"Morse","given":"Robert M","non-dropping-particle":"","parse-names":false,"suffix":""},{"dropping-particle":"","family":"Melton","given":"L. Joseph","non-dropping-particle":"","parse-names":false,"suffix":""}],"container-title":"Jama","id":"ITEM-1","issue":"14","issued":{"date-parts":[["1996","4","10"]]},"page":"1097-1103","title":"Mortality following inpatient addictions treatment: Role of tobacco use in a community-based cohort","type":"article-journal","volume":"275"},"uris":["http://www.mendeley.com/documents/?uuid=1dd3d186-36ca-4b56-9b7b-d04949629f2e"]}],"mendeley":{"formattedCitation":"[29]","plainTextFormattedCitation":"[29]","previouslyFormattedCitation":"[29]"},"properties":{"noteIndex":0},"schema":"https://github.com/citation-style-language/schema/raw/master/csl-citation.json"}</w:instrText>
      </w:r>
      <w:r w:rsidR="007E642F">
        <w:rPr>
          <w:rFonts w:cs="Times New Roman"/>
          <w:color w:val="000000"/>
        </w:rPr>
        <w:fldChar w:fldCharType="separate"/>
      </w:r>
      <w:r w:rsidR="0077457B" w:rsidRPr="0077457B">
        <w:rPr>
          <w:rFonts w:cs="Times New Roman"/>
          <w:noProof/>
          <w:color w:val="000000"/>
        </w:rPr>
        <w:t>[29]</w:t>
      </w:r>
      <w:r w:rsidR="007E642F">
        <w:rPr>
          <w:rFonts w:cs="Times New Roman"/>
          <w:color w:val="000000"/>
        </w:rPr>
        <w:fldChar w:fldCharType="end"/>
      </w:r>
      <w:r w:rsidRPr="007E642F">
        <w:rPr>
          <w:rFonts w:cs="Times New Roman"/>
          <w:color w:val="000000"/>
        </w:rPr>
        <w:t>.</w:t>
      </w:r>
      <w:r w:rsidR="00840AF7">
        <w:rPr>
          <w:rFonts w:cs="Times New Roman"/>
          <w:color w:val="000000"/>
        </w:rPr>
        <w:t xml:space="preserve"> </w:t>
      </w:r>
      <w:r>
        <w:rPr>
          <w:rFonts w:cs="Times New Roman"/>
          <w:color w:val="000000"/>
        </w:rPr>
        <w:t xml:space="preserve">Concerns that attempts to quit smoking may also exacerbate </w:t>
      </w:r>
      <w:r w:rsidR="00EA203D">
        <w:rPr>
          <w:rFonts w:cs="Times New Roman"/>
          <w:color w:val="000000"/>
        </w:rPr>
        <w:t xml:space="preserve">other drug use or </w:t>
      </w:r>
      <w:r>
        <w:rPr>
          <w:rFonts w:cs="Times New Roman"/>
          <w:color w:val="000000"/>
        </w:rPr>
        <w:t>underlying mental health conditions have also been expressed</w:t>
      </w:r>
      <w:r w:rsidR="008D4CD4">
        <w:rPr>
          <w:rFonts w:cs="Times New Roman"/>
          <w:color w:val="000000"/>
        </w:rPr>
        <w:t xml:space="preserve"> </w:t>
      </w:r>
      <w:r w:rsidR="008D4CD4">
        <w:rPr>
          <w:rFonts w:cs="Times New Roman"/>
          <w:color w:val="000000"/>
        </w:rPr>
        <w:fldChar w:fldCharType="begin" w:fldLock="1"/>
      </w:r>
      <w:r w:rsidR="00620688">
        <w:rPr>
          <w:rFonts w:cs="Times New Roman"/>
          <w:color w:val="000000"/>
        </w:rPr>
        <w:instrText>ADDIN CSL_CITATION {"citationItems":[{"id":"ITEM-1","itemData":{"DOI":"10.1186/1752-4458-4-23","ISSN":"17524458","abstract":"Background: The prevalence of tobacco use among individuals with mental illness remains a serious public health concern. Tobacco control has received little attention in community mental health despite the fact that many individuals with mental illness are heavy smokers and experience undue tobacco-related health consequences.Methods: This qualitative study used methods of discourse analysis to examine the perceptions of health care providers, both professionals and paraprofessionals, in relation to their roles in tobacco control in the community mental health system. Tobacco control is best conceptualised as a suite of policies and practices directed at supporting smoke free premises, smoking cessation counselling and limiting access to tobacco products. The study took place following the establishment of a new policy that restricted tobacco smoking inside all mental health facilities and on their grounds. Ninety one health care providers participated in open-ended interviews in which they described their role in tobacco control. The interview data were analyzed discursively by asking questions such as: what assumptions underlie what is being said about tobacco?Results: Five separate yet overlapping discursive frames were identified in which providers described their roles. Managing a smoke free environment emphasised the need to police and monitor the smoke free environment. Tobacco is therapeutic was a discourse that underscored the putative value of smoking for clients. Tobacco use is an individual choice located the decision to smoke with individual clients thereby negating a role in tobacco control for providers. It's someone else's role was a discourse that placed responsibility for tobacco control with others. Finally, the discourse of tobacco control as health promotion located tobacco control in a range of activities that are used to support the health of clients.Conclusions: This study provides insights into the complex factors that shape tobacco control practices in the mental health field and reinforces the need to see practice change as a matter that extends beyond the individual. The study findings highlight discourses structured by power and powerlessness in environments in which health care providers are both imposing and resisting the smoke free policy. © 2010 Johnson et al; licensee BioMed Central Ltd.","author":[{"dropping-particle":"","family":"Johnson","given":"Joy L.","non-dropping-particle":"","parse-names":false,"suffix":""},{"dropping-particle":"","family":"Moffat","given":"Barbara M.","non-dropping-particle":"","parse-names":false,"suffix":""},{"dropping-particle":"","family":"Malchy","given":"Leslie A.","non-dropping-particle":"","parse-names":false,"suffix":""}],"container-title":"International Journal of Mental Health Systems","id":"ITEM-1","issue":"23","issued":{"date-parts":[["2010","7","28"]]},"page":"1-12","title":"In the shadow of a new smoke free policy: A discourse analysis of health care providers' engagement in tobacco control in community mental health","type":"article-journal","volume":"4"},"uris":["http://www.mendeley.com/documents/?uuid=931683bc-86e0-487b-a6fb-57919ab649a1"]},{"id":"ITEM-2","itemData":{"ISSN":"0090838X","PMID":"17373414","abstract":"Despite the high prevalence of tobacco use among people with substance use disorders, tobacco dependence is often overlooked in addiction treatment programs. Several studies and a meta-analytic review have concluded that patients who receive tobacco dependence treatment during addiction treatment have better overall substance abuse treatment outcomes compared with those who do not. Barriers that contribute to the lack of attention given to this important problem include staff attitudes about and use of tobacco, lack of adequate staff training to address tobacco use, unfounded fears among treatment staff and administration regarding tobacco policies, and limited tobacco dependence treatment resources. Specific clinical-, program-, and system-level changes are recommended to fully address the problem of tobacco use among alcohol and other drug abuse patients.","author":[{"dropping-particle":"","family":"Ziedonis","given":"Douglas M.","non-dropping-particle":"","parse-names":false,"suffix":""},{"dropping-particle":"","family":"Guydish","given":"Joseph","non-dropping-particle":"","parse-names":false,"suffix":""},{"dropping-particle":"","family":"Williams","given":"Jill","non-dropping-particle":"","parse-names":false,"suffix":""},{"dropping-particle":"","family":"Steinberg","given":"Marc","non-dropping-particle":"","parse-names":false,"suffix":""},{"dropping-particle":"","family":"Foulds","given":"Jonathan","non-dropping-particle":"","parse-names":false,"suffix":""}],"container-title":"Alcohol Research &amp; Health","id":"ITEM-2","issue":"3","issued":{"date-parts":[["2006"]]},"page":"228-235","title":"Barriers and solutions to addressing tobacco dependence in addiction treatment programs","type":"article-journal","volume":"29"},"uris":["http://www.mendeley.com/documents/?uuid=29591762-0935-4c2f-b851-ccd3df35ec3a"]}],"mendeley":{"formattedCitation":"[30,31]","plainTextFormattedCitation":"[30,31]","previouslyFormattedCitation":"[30,31]"},"properties":{"noteIndex":0},"schema":"https://github.com/citation-style-language/schema/raw/master/csl-citation.json"}</w:instrText>
      </w:r>
      <w:r w:rsidR="008D4CD4">
        <w:rPr>
          <w:rFonts w:cs="Times New Roman"/>
          <w:color w:val="000000"/>
        </w:rPr>
        <w:fldChar w:fldCharType="separate"/>
      </w:r>
      <w:r w:rsidR="0077457B" w:rsidRPr="0077457B">
        <w:rPr>
          <w:rFonts w:cs="Times New Roman"/>
          <w:noProof/>
          <w:color w:val="000000"/>
        </w:rPr>
        <w:t>[30,31]</w:t>
      </w:r>
      <w:r w:rsidR="008D4CD4">
        <w:rPr>
          <w:rFonts w:cs="Times New Roman"/>
          <w:color w:val="000000"/>
        </w:rPr>
        <w:fldChar w:fldCharType="end"/>
      </w:r>
      <w:r>
        <w:rPr>
          <w:rFonts w:cs="Times New Roman"/>
          <w:color w:val="000000"/>
        </w:rPr>
        <w:t xml:space="preserve"> </w:t>
      </w:r>
      <w:r w:rsidR="00EA203D">
        <w:rPr>
          <w:rFonts w:cs="Times New Roman"/>
          <w:color w:val="000000"/>
        </w:rPr>
        <w:t>although recent evidence suggests that this is not the case</w:t>
      </w:r>
      <w:r w:rsidR="003A701C">
        <w:rPr>
          <w:rFonts w:cs="Times New Roman"/>
          <w:color w:val="000000"/>
        </w:rPr>
        <w:t xml:space="preserve"> </w:t>
      </w:r>
      <w:r w:rsidR="00001A7C">
        <w:rPr>
          <w:rFonts w:cs="Times New Roman"/>
          <w:color w:val="000000"/>
        </w:rPr>
        <w:fldChar w:fldCharType="begin" w:fldLock="1"/>
      </w:r>
      <w:r w:rsidR="00620688">
        <w:rPr>
          <w:rFonts w:cs="Times New Roman"/>
          <w:color w:val="000000"/>
        </w:rPr>
        <w:instrText>ADDIN CSL_CITATION {"citationItems":[{"id":"ITEM-1","itemData":{"DOI":"10.3109/10826084.2016.1170143","abstract":"Background—Tobacco use is higher among homeless individuals than the general population. Homeless individuals are also more likely to have symptoms of depression. Depression symptoms may add to the burden of homelessness by increasing psychological distress and serve as a barrier to quitting smoking. Objectives—The primary goal of this study was to assess the impact of depression symptoms on psychological distress in homeless smokers. The effect of depression symptoms on abstinence and the effect of Motivational Interviewing (MI) on cessation among smokers was also explored. Methods—Homeless smokers (N=430) enrolled in a smoking cessation study were randomized to Motivational Interviewing (MI) or standard care (SC). Participants received nicotine replacement therapy and were followed for 26 weeks. Participants were categorized into a depression symptoms (DS) group or control group using the Patient Health Questionnaire-9. Between group differences of perceived stress, hopelessness, confidence, craving and abstinence were assessed at weeks 8 and 26. The interaction between depression symptoms (levels: DS and control) and the intervention (levels: MI and SC) was also assessed. Results—Homeless smokers in the DS group reported higher levels of hopelessness, perceived stress, and craving. There was no effect of DS status on abstinence at week 8 or week 26. There was no significant interaction between depression symptoms (DS vs. Control) and the intervention (MI vs. SC). Conclusion—Despite reporting greater psychological distress, homeless smokers with depression symptoms in this sample had abstinence levels similar to the control group. Future research should explore protective factors among depressed smokers.","author":[{"dropping-particle":"","family":"Robinson","given":"Cendrine","non-dropping-particle":"","parse-names":false,"suffix":""},{"dropping-particle":"","family":"Rogers","given":"Charles R","non-dropping-particle":"","parse-names":false,"suffix":""},{"dropping-particle":"","family":"Okuyemi","given":"Kola","non-dropping-particle":"","parse-names":false,"suffix":""}],"container-title":"Substance Use &amp; Misuse","id":"ITEM-1","issue":"10","issued":{"date-parts":[["2016","8","23"]]},"page":"11393-1397","title":"Depression symptoms among homeless smokers: Effect of motivational interviewing","type":"article-journal","volume":"51"},"uris":["http://www.mendeley.com/documents/?uuid=cfbb472a-4be5-4c75-a4a0-985615bba899"]},{"id":"ITEM-2","itemData":{"DOI":"10.1016/j.addbeh.2016.10.012","ISSN":"18736327","abstract":"Background Historically, smoking cessation was thought to negatively impact substance use outcomes among smokers who use other substances. We sought to synthesize recent reports on this association. Methods Google Scholar, PubMed, and Cinahl were searched for studies published from 2006 to March 29, 2016 that reported impact of smoking cessation treatment or quitting smoking on substance use or substance use disorder treatment outcomes in the general population and among those in substance abuse treatment. Studies were grouped by reported impact as follows: “positive” (i.e. improved), “null” (i.e. no change), or “negative” (i.e. worsened). Results Twenty-four studies were included. Eighteen reported the impact of quitting smoking and six reported the impact of smoking cessation treatment intervention, independent of quitting, on substance use outcomes. Eleven studies (46%) reported solely positive impact; four (17%) reported solely null impact; eight (33%) reported mixed positive and null impact by analysis (combined and subgroup, n = 1); substance (n = 4); length of follow-up (n = 2); and comparison group (n = 1). One study (4%) reported mixed negative and null impact by ethnic group. No studies reported increased substance use. Conclusion Smoking cessation does not appear to have a negative effect, and often has a positive effect on substance use outcomes. Smoking cessation advice should be offered, without hesitation, to smokers who report substance use and those in treatment for substance use disorder.","author":[{"dropping-particle":"","family":"McKelvey","given":"Karma","non-dropping-particle":"","parse-names":false,"suffix":""},{"dropping-particle":"","family":"Thrul","given":"Johannes","non-dropping-particle":"","parse-names":false,"suffix":""},{"dropping-particle":"","family":"Ramo","given":"Danielle","non-dropping-particle":"","parse-names":false,"suffix":""}],"container-title":"Addictive Behaviors","id":"ITEM-2","issued":{"date-parts":[["2017","2","1"]]},"page":"161-170","publisher":"Elsevier Ltd","title":"Impact of quitting smoking and smoking cessation treatment on substance use outcomes: An updated and narrative review","type":"article-journal","volume":"65"},"uris":["http://www.mendeley.com/documents/?uuid=4db2ebe5-fe7b-4f23-869e-3e362661d397"]},{"id":"ITEM-3","itemData":{"DOI":"10.1136/bmj.g1151","ISSN":"17561833","PMID":"24524926","abstract":"Objective To investigate change in mental health after smoking cessation compared with continuing to smoke. Design Systematic review and meta-analysis of observational studies. Data sources Web of Science, Cochrane Central Register of Controlled Trials, Medline, Embase, and PsycINFO for relevant studies from inception to April 2012. Reference lists of included studies were hand searched, and authors were contacted when insufficient data were reported. Eligibility criteria for selecting studies Longitudinal studies of adults that assessed mental health before smoking cessation and at least six weeks after cessation or baseline in healthy and clinical populations. Results 26 studies that assessed mental health with questionnaires designed to measure anxiety, depression, mixed anxiety and depression, psychological quality of life, positive affect, and stress were included. Follow-up mental health scores were measured between seven weeks and nine years after baseline. Anxiety, depression, mixed anxiety and depression, and stress significantly decreased between baseline and follow-up in quitters compared with continuing smokers: the standardised mean differences (95% confidence intervals) were anxiety -0.37 (95% confidence interval -0.70 to -0.03); depression -0.25 (-0.37 to -0.12); mixed anxiety and depression -0.31 (-0.47 to -0.14); stress -0.27 (-0.40 to -0.13). Both psychological quality of life and positive affect significantly increased between baseline and follow-up in quitters compared with continuing smokers 0.22 (0.09 to 0.36) and 0.40 (0.09 to 0.71), respectively). There was no evidence that the effect size differed between the general population and populations with physical or psychiatric disorders. Conclusions Smoking cessation is associated with reduced depression, anxiety, and stress and improved positive mood and quality of life compared with continuing to smoke. The effect size seems as large for those with psychiatric disorders as those without. The effect sizes are equal or larger than those of antidepressant treatment for mood and anxiety disorders.","author":[{"dropping-particle":"","family":"Taylor","given":"Gemma","non-dropping-particle":"","parse-names":false,"suffix":""},{"dropping-particle":"","family":"McNeill","given":"Ann","non-dropping-particle":"","parse-names":false,"suffix":""},{"dropping-particle":"","family":"Girling","given":"Alan","non-dropping-particle":"","parse-names":false,"suffix":""},{"dropping-particle":"","family":"Farley","given":"Amanda","non-dropping-particle":"","parse-names":false,"suffix":""},{"dropping-particle":"","family":"Lindson-Hawley","given":"Nicola","non-dropping-particle":"","parse-names":false,"suffix":""},{"dropping-particle":"","family":"Aveyard","given":"Paul","non-dropping-particle":"","parse-names":false,"suffix":""}],"container-title":"BMJ (Online)","id":"ITEM-3","issued":{"date-parts":[["2014"]]},"title":"Change in mental health after smoking cessation: Systematic review and meta-analysis","type":"article-journal"},"uris":["http://www.mendeley.com/documents/?uuid=babbe7fc-f1fb-4551-b089-df1f3ae654bb"]}],"mendeley":{"formattedCitation":"[32–34]","plainTextFormattedCitation":"[32–34]","previouslyFormattedCitation":"[32–34]"},"properties":{"noteIndex":0},"schema":"https://github.com/citation-style-language/schema/raw/master/csl-citation.json"}</w:instrText>
      </w:r>
      <w:r w:rsidR="00001A7C">
        <w:rPr>
          <w:rFonts w:cs="Times New Roman"/>
          <w:color w:val="000000"/>
        </w:rPr>
        <w:fldChar w:fldCharType="separate"/>
      </w:r>
      <w:r w:rsidR="0077457B" w:rsidRPr="0077457B">
        <w:rPr>
          <w:rFonts w:cs="Times New Roman"/>
          <w:noProof/>
          <w:color w:val="000000"/>
        </w:rPr>
        <w:t>[32–34]</w:t>
      </w:r>
      <w:r w:rsidR="00001A7C">
        <w:rPr>
          <w:rFonts w:cs="Times New Roman"/>
          <w:color w:val="000000"/>
        </w:rPr>
        <w:fldChar w:fldCharType="end"/>
      </w:r>
      <w:r w:rsidR="00001A7C">
        <w:rPr>
          <w:rFonts w:cs="Times New Roman"/>
          <w:color w:val="000000"/>
        </w:rPr>
        <w:t>.</w:t>
      </w:r>
      <w:r w:rsidR="00EA203D">
        <w:rPr>
          <w:rFonts w:cs="Times New Roman"/>
          <w:color w:val="000000"/>
        </w:rPr>
        <w:t xml:space="preserve"> EC provision in this group could also introduce further challenges around charging, loss and breakage as well as unintended consequences such as increased vulnerability to theft and the use of the device </w:t>
      </w:r>
      <w:r>
        <w:rPr>
          <w:rFonts w:cs="Times New Roman"/>
          <w:color w:val="000000"/>
        </w:rPr>
        <w:t>for the adm</w:t>
      </w:r>
      <w:r w:rsidR="00EE3212">
        <w:rPr>
          <w:rFonts w:cs="Times New Roman"/>
          <w:color w:val="000000"/>
        </w:rPr>
        <w:t>inistration of other substances</w:t>
      </w:r>
      <w:r w:rsidR="00CF3563">
        <w:rPr>
          <w:rFonts w:cs="Times New Roman"/>
          <w:color w:val="000000"/>
        </w:rPr>
        <w:t xml:space="preserve"> </w:t>
      </w:r>
      <w:r w:rsidR="00333658">
        <w:rPr>
          <w:rFonts w:cs="Times New Roman"/>
          <w:color w:val="000000"/>
        </w:rPr>
        <w:fldChar w:fldCharType="begin" w:fldLock="1"/>
      </w:r>
      <w:r w:rsidR="00620688">
        <w:rPr>
          <w:rFonts w:cs="Times New Roman"/>
          <w:color w:val="000000"/>
        </w:rPr>
        <w:instrText>ADDIN CSL_CITATION {"citationItems":[{"id":"ITEM-1","itemData":{"DOI":"10.1093/qjmed/hcx178","ISSN":"14602393","abstract":"Background: There is limited published scientific data on vaping recreational drugs other than cannabis. A recent review suggested that 15% of people vaping cannabis have also vaped a synthetic cannabinoid receptor agonist (SCRA) and identified over 300 Internet reports of e-liquid manufacture of recreational drugs and/or new psychoactive substances (NPS). Aim: To determine the prevalence of use of electronic vaping devices for recreational drug and NPS delivery in the UK. Design: A voluntary online survey using a convenience sample of UK adult participants (aged 16 years old and over) identified by a market research company. Methods: Data was collected regarding demographics, smoking history, electronic vaping device history and recreational drug/NPS use and route of administration. Results: There were 2501 respondents. The mean (6SD) age was 46.2 6 16.8 years old. The commonest lifetime recreational drug used was Cannabis (818, 32.7%). The majority of respondents had smoked (1545, 61.8%) with 731 (29.2%) being current smokers. The most commonly used SCRA product was ‘Spice Gold’ (173, 6.9%) and SCRA compound was ADB-CHMICA (48, 1.9%). 861 (34.4%) had used an electronic vaping device; 340 (13.6%) having used them for recreational drug administration; 236 (9.4%) reporting current use. The commonest lifetime recreational drug to be vaped was cannabis (155, 65.7%), with electronic cigarettes (230, 48.2%) being the commonest reported route of SCRA compound administration. Conclusion: 9.4% of respondents currently use electronic vaping devices for recreational drug administration with 6.2% reporting lifetime cannabis vaping use. Further larger scale studies are required to help inform the appropriate treatment and primary prevention strategies.","author":[{"dropping-particle":"","family":"Blundell","given":"M.","non-dropping-particle":"","parse-names":false,"suffix":""},{"dropping-particle":"","family":"Dargan","given":"P.","non-dropping-particle":"","parse-names":false,"suffix":""},{"dropping-particle":"","family":"Wood","given":"D.","non-dropping-particle":"","parse-names":false,"suffix":""}],"container-title":"QJM: An International Journal of Medicine","id":"ITEM-1","issue":"1","issued":{"date-parts":[["2018","1","1"]]},"page":"9-14","title":"A cloud on the horizon–a survey into the use of electronic vaping devices for recreational drug and new psychoactive substance (NPS) administration","type":"article-journal","volume":"111"},"uris":["http://www.mendeley.com/documents/?uuid=6b8bf908-213d-4fb5-92e8-d4afbe8d5908"]}],"mendeley":{"formattedCitation":"[35]","plainTextFormattedCitation":"[35]","previouslyFormattedCitation":"[35]"},"properties":{"noteIndex":0},"schema":"https://github.com/citation-style-language/schema/raw/master/csl-citation.json"}</w:instrText>
      </w:r>
      <w:r w:rsidR="00333658">
        <w:rPr>
          <w:rFonts w:cs="Times New Roman"/>
          <w:color w:val="000000"/>
        </w:rPr>
        <w:fldChar w:fldCharType="separate"/>
      </w:r>
      <w:r w:rsidR="0077457B" w:rsidRPr="0077457B">
        <w:rPr>
          <w:rFonts w:cs="Times New Roman"/>
          <w:noProof/>
          <w:color w:val="000000"/>
        </w:rPr>
        <w:t>[35]</w:t>
      </w:r>
      <w:r w:rsidR="00333658">
        <w:rPr>
          <w:rFonts w:cs="Times New Roman"/>
          <w:color w:val="000000"/>
        </w:rPr>
        <w:fldChar w:fldCharType="end"/>
      </w:r>
      <w:r w:rsidR="00EE3212">
        <w:rPr>
          <w:rFonts w:cs="Times New Roman"/>
          <w:color w:val="000000"/>
        </w:rPr>
        <w:t xml:space="preserve">. </w:t>
      </w:r>
    </w:p>
    <w:p w14:paraId="4A4FB2A4" w14:textId="635D16A1" w:rsidR="00A4354E" w:rsidRPr="002C4D82" w:rsidRDefault="002C4D82" w:rsidP="00CF3563">
      <w:pPr>
        <w:spacing w:after="160" w:line="480" w:lineRule="auto"/>
        <w:jc w:val="both"/>
        <w:rPr>
          <w:rFonts w:cs="Times New Roman"/>
          <w:color w:val="000000"/>
        </w:rPr>
      </w:pPr>
      <w:r w:rsidRPr="00CC3ABA">
        <w:rPr>
          <w:rFonts w:cs="Times New Roman"/>
        </w:rPr>
        <w:t xml:space="preserve">Given </w:t>
      </w:r>
      <w:r>
        <w:rPr>
          <w:rFonts w:cs="Times New Roman"/>
        </w:rPr>
        <w:t xml:space="preserve">the poor outcomes associated with the use of traditional pharmacotherapies </w:t>
      </w:r>
      <w:r>
        <w:rPr>
          <w:rFonts w:cs="Times New Roman"/>
          <w:color w:val="000000"/>
        </w:rPr>
        <w:t xml:space="preserve">among </w:t>
      </w:r>
      <w:r w:rsidR="00F94E69">
        <w:rPr>
          <w:rFonts w:cs="Times New Roman"/>
          <w:color w:val="000000"/>
        </w:rPr>
        <w:t xml:space="preserve">people who experience </w:t>
      </w:r>
      <w:r>
        <w:rPr>
          <w:rFonts w:cs="Times New Roman"/>
          <w:color w:val="000000"/>
        </w:rPr>
        <w:t>homeless</w:t>
      </w:r>
      <w:r w:rsidR="00F94E69">
        <w:rPr>
          <w:rFonts w:cs="Times New Roman"/>
          <w:color w:val="000000"/>
        </w:rPr>
        <w:t>ness who smoke</w:t>
      </w:r>
      <w:r>
        <w:rPr>
          <w:rFonts w:cs="Times New Roman"/>
          <w:color w:val="000000"/>
        </w:rPr>
        <w:t>, the</w:t>
      </w:r>
      <w:r>
        <w:rPr>
          <w:rFonts w:cs="Times New Roman"/>
        </w:rPr>
        <w:t xml:space="preserve"> reluctance to engage with</w:t>
      </w:r>
      <w:r w:rsidR="00C86845">
        <w:rPr>
          <w:rFonts w:cs="Times New Roman"/>
        </w:rPr>
        <w:t xml:space="preserve"> SSS,</w:t>
      </w:r>
      <w:r>
        <w:rPr>
          <w:rFonts w:cs="Times New Roman"/>
          <w:color w:val="000000"/>
        </w:rPr>
        <w:t xml:space="preserve"> and the high initial start-up costs of EC, providing a free EC starter pack at a location already being accessed by this group may help to reduce health inequalities if EC can boost quit rates. Nevertheless, d</w:t>
      </w:r>
      <w:r w:rsidR="00722B21">
        <w:rPr>
          <w:rFonts w:cs="Times New Roman"/>
        </w:rPr>
        <w:t xml:space="preserve">ue </w:t>
      </w:r>
      <w:r w:rsidR="00CF3563">
        <w:rPr>
          <w:rFonts w:cs="Times New Roman"/>
        </w:rPr>
        <w:t xml:space="preserve">to the many uncertainties associated with EC use in this population, feasibility work is an important precursor to </w:t>
      </w:r>
      <w:r w:rsidR="00722B21">
        <w:rPr>
          <w:rFonts w:cs="Times New Roman"/>
        </w:rPr>
        <w:t xml:space="preserve">a definitive trial in order to </w:t>
      </w:r>
      <w:r w:rsidR="00F94E69">
        <w:rPr>
          <w:rFonts w:cs="Times New Roman"/>
        </w:rPr>
        <w:t>explore their</w:t>
      </w:r>
      <w:r w:rsidR="00CF3563">
        <w:rPr>
          <w:rFonts w:cs="Times New Roman"/>
        </w:rPr>
        <w:t xml:space="preserve"> a</w:t>
      </w:r>
      <w:r w:rsidR="00F94E69">
        <w:rPr>
          <w:rFonts w:cs="Times New Roman"/>
        </w:rPr>
        <w:t>cceptability</w:t>
      </w:r>
      <w:r w:rsidR="00CF3563">
        <w:rPr>
          <w:rFonts w:cs="Times New Roman"/>
        </w:rPr>
        <w:t xml:space="preserve"> and whether</w:t>
      </w:r>
      <w:r w:rsidR="00F94E69">
        <w:rPr>
          <w:rFonts w:cs="Times New Roman"/>
        </w:rPr>
        <w:t xml:space="preserve"> smokers experiencing homelessness </w:t>
      </w:r>
      <w:r w:rsidR="00CF3563">
        <w:rPr>
          <w:rFonts w:cs="Times New Roman"/>
        </w:rPr>
        <w:t>are willing to en</w:t>
      </w:r>
      <w:r w:rsidR="006477EE">
        <w:rPr>
          <w:rFonts w:cs="Times New Roman"/>
        </w:rPr>
        <w:t xml:space="preserve">gage with the trial procedures. </w:t>
      </w:r>
    </w:p>
    <w:p w14:paraId="6E85091A" w14:textId="77777777" w:rsidR="00A568E0" w:rsidRPr="00CC3ABA" w:rsidRDefault="00A568E0" w:rsidP="005E6D11">
      <w:pPr>
        <w:spacing w:line="480" w:lineRule="auto"/>
        <w:ind w:firstLine="720"/>
        <w:jc w:val="both"/>
        <w:rPr>
          <w:rFonts w:cs="Times New Roman"/>
          <w:b/>
        </w:rPr>
      </w:pPr>
    </w:p>
    <w:p w14:paraId="00BB2E40" w14:textId="77777777" w:rsidR="00A4354E" w:rsidRPr="00E879B4" w:rsidRDefault="00A4354E" w:rsidP="003E1C77">
      <w:pPr>
        <w:spacing w:line="480" w:lineRule="auto"/>
        <w:jc w:val="both"/>
        <w:rPr>
          <w:rFonts w:cs="Times New Roman"/>
          <w:b/>
          <w:sz w:val="32"/>
          <w:szCs w:val="32"/>
        </w:rPr>
      </w:pPr>
      <w:r w:rsidRPr="00E879B4">
        <w:rPr>
          <w:rFonts w:cs="Times New Roman"/>
          <w:b/>
          <w:sz w:val="32"/>
          <w:szCs w:val="32"/>
        </w:rPr>
        <w:t>Objectives</w:t>
      </w:r>
    </w:p>
    <w:p w14:paraId="27E9EDD8" w14:textId="089A8FF8" w:rsidR="00A4354E" w:rsidRPr="00CC3ABA" w:rsidRDefault="00A4354E" w:rsidP="003E1C77">
      <w:pPr>
        <w:spacing w:after="160" w:line="480" w:lineRule="auto"/>
        <w:jc w:val="both"/>
        <w:rPr>
          <w:rFonts w:cs="Times New Roman"/>
        </w:rPr>
      </w:pPr>
      <w:r w:rsidRPr="00CC3ABA">
        <w:rPr>
          <w:rFonts w:cs="Times New Roman"/>
        </w:rPr>
        <w:t xml:space="preserve">The overall </w:t>
      </w:r>
      <w:r w:rsidR="006477EE">
        <w:rPr>
          <w:rFonts w:cs="Times New Roman"/>
        </w:rPr>
        <w:t>aim of the research was</w:t>
      </w:r>
      <w:r w:rsidRPr="00CC3ABA">
        <w:rPr>
          <w:rFonts w:cs="Times New Roman"/>
        </w:rPr>
        <w:t xml:space="preserve"> to undertake </w:t>
      </w:r>
      <w:r w:rsidR="00D110A2" w:rsidRPr="00CC3ABA">
        <w:rPr>
          <w:rFonts w:cs="Times New Roman"/>
        </w:rPr>
        <w:t>a cluster</w:t>
      </w:r>
      <w:r w:rsidRPr="00CC3ABA">
        <w:rPr>
          <w:rFonts w:cs="Times New Roman"/>
        </w:rPr>
        <w:t xml:space="preserve">  controlled trial to evaluate the </w:t>
      </w:r>
      <w:r w:rsidR="0061130C" w:rsidRPr="00CC3ABA">
        <w:rPr>
          <w:rFonts w:cs="Times New Roman"/>
        </w:rPr>
        <w:t xml:space="preserve">feasibility </w:t>
      </w:r>
      <w:r w:rsidRPr="00CC3ABA">
        <w:rPr>
          <w:rFonts w:cs="Times New Roman"/>
        </w:rPr>
        <w:t>of supplying free EC starter kits for smoking cessation to smokers accessing homeless centres.</w:t>
      </w:r>
      <w:r w:rsidR="00DB5AA5">
        <w:rPr>
          <w:rFonts w:cs="Times New Roman"/>
        </w:rPr>
        <w:t xml:space="preserve"> </w:t>
      </w:r>
      <w:r w:rsidR="003E1C77" w:rsidRPr="00CC3ABA">
        <w:rPr>
          <w:rFonts w:cs="Times New Roman"/>
        </w:rPr>
        <w:t>The following specific objectives were specified</w:t>
      </w:r>
      <w:r w:rsidR="00777063" w:rsidRPr="00CC3ABA">
        <w:rPr>
          <w:rFonts w:cs="Times New Roman"/>
        </w:rPr>
        <w:t>.</w:t>
      </w:r>
    </w:p>
    <w:p w14:paraId="545651D5" w14:textId="77777777" w:rsidR="003E1C77" w:rsidRPr="00CC3ABA" w:rsidRDefault="003E1C77" w:rsidP="003E1C77">
      <w:pPr>
        <w:pStyle w:val="ListParagraph"/>
        <w:numPr>
          <w:ilvl w:val="0"/>
          <w:numId w:val="6"/>
        </w:numPr>
        <w:spacing w:after="160" w:line="480" w:lineRule="auto"/>
        <w:jc w:val="both"/>
        <w:rPr>
          <w:rFonts w:cs="Times New Roman"/>
          <w:sz w:val="24"/>
          <w:szCs w:val="24"/>
        </w:rPr>
      </w:pPr>
      <w:r w:rsidRPr="00CC3ABA">
        <w:rPr>
          <w:rFonts w:cs="Times New Roman"/>
          <w:sz w:val="24"/>
          <w:szCs w:val="24"/>
        </w:rPr>
        <w:t>Assess willingness of smokers to participate in the feasibility study to estimate recruitment rates and inform a future trial.</w:t>
      </w:r>
    </w:p>
    <w:p w14:paraId="0E8E3FF8" w14:textId="1347F92A" w:rsidR="003E1C77" w:rsidRPr="00CC3ABA" w:rsidRDefault="003E1C77" w:rsidP="003E1C77">
      <w:pPr>
        <w:pStyle w:val="ListParagraph"/>
        <w:numPr>
          <w:ilvl w:val="0"/>
          <w:numId w:val="6"/>
        </w:numPr>
        <w:spacing w:after="160" w:line="480" w:lineRule="auto"/>
        <w:jc w:val="both"/>
        <w:rPr>
          <w:rFonts w:cs="Times New Roman"/>
          <w:sz w:val="24"/>
          <w:szCs w:val="24"/>
        </w:rPr>
      </w:pPr>
      <w:r w:rsidRPr="00CC3ABA">
        <w:rPr>
          <w:rFonts w:cs="Times New Roman"/>
          <w:sz w:val="24"/>
          <w:szCs w:val="24"/>
        </w:rPr>
        <w:t>Assess participant retention in the</w:t>
      </w:r>
      <w:r w:rsidR="00E32870">
        <w:rPr>
          <w:rFonts w:cs="Times New Roman"/>
          <w:sz w:val="24"/>
          <w:szCs w:val="24"/>
        </w:rPr>
        <w:t xml:space="preserve"> intervention and control arms</w:t>
      </w:r>
      <w:r w:rsidRPr="00CC3ABA">
        <w:rPr>
          <w:rFonts w:cs="Times New Roman"/>
          <w:sz w:val="24"/>
          <w:szCs w:val="24"/>
        </w:rPr>
        <w:t>.</w:t>
      </w:r>
    </w:p>
    <w:p w14:paraId="0238D853" w14:textId="77777777" w:rsidR="003E1C77" w:rsidRPr="00CC3ABA" w:rsidRDefault="003E1C77" w:rsidP="003E1C77">
      <w:pPr>
        <w:pStyle w:val="ListParagraph"/>
        <w:numPr>
          <w:ilvl w:val="0"/>
          <w:numId w:val="6"/>
        </w:numPr>
        <w:spacing w:after="160" w:line="480" w:lineRule="auto"/>
        <w:jc w:val="both"/>
        <w:rPr>
          <w:rFonts w:cs="Times New Roman"/>
          <w:sz w:val="24"/>
          <w:szCs w:val="24"/>
        </w:rPr>
      </w:pPr>
      <w:r w:rsidRPr="00CC3ABA">
        <w:rPr>
          <w:rFonts w:cs="Times New Roman"/>
          <w:sz w:val="24"/>
          <w:szCs w:val="24"/>
        </w:rPr>
        <w:t>Assess the potential efficacy of supplying free e-cigarette starter kits</w:t>
      </w:r>
      <w:r w:rsidR="00A7069C">
        <w:rPr>
          <w:rFonts w:cs="Times New Roman"/>
          <w:sz w:val="24"/>
          <w:szCs w:val="24"/>
        </w:rPr>
        <w:t xml:space="preserve"> to determine the required sample size for a main trial</w:t>
      </w:r>
    </w:p>
    <w:p w14:paraId="59CFA9B7" w14:textId="77777777" w:rsidR="003E1C77" w:rsidRPr="00CC3ABA" w:rsidRDefault="003E1C77" w:rsidP="003E1C77">
      <w:pPr>
        <w:pStyle w:val="ListParagraph"/>
        <w:numPr>
          <w:ilvl w:val="0"/>
          <w:numId w:val="6"/>
        </w:numPr>
        <w:spacing w:after="160" w:line="480" w:lineRule="auto"/>
        <w:jc w:val="both"/>
        <w:rPr>
          <w:rFonts w:cs="Times New Roman"/>
          <w:sz w:val="24"/>
          <w:szCs w:val="24"/>
        </w:rPr>
      </w:pPr>
      <w:r w:rsidRPr="00CC3ABA">
        <w:rPr>
          <w:rFonts w:cs="Times New Roman"/>
          <w:sz w:val="24"/>
          <w:szCs w:val="24"/>
        </w:rPr>
        <w:t>Explore the feasibility of collecting data on contacts with health care services within this population as an input to an economic evaluation in a full RCT</w:t>
      </w:r>
    </w:p>
    <w:p w14:paraId="0EAEA8DA" w14:textId="77777777" w:rsidR="003E1C77" w:rsidRPr="00CC3ABA" w:rsidRDefault="003E1C77" w:rsidP="003E1C77">
      <w:pPr>
        <w:pStyle w:val="ListParagraph"/>
        <w:numPr>
          <w:ilvl w:val="0"/>
          <w:numId w:val="6"/>
        </w:numPr>
        <w:spacing w:after="160" w:line="480" w:lineRule="auto"/>
        <w:jc w:val="both"/>
        <w:rPr>
          <w:rFonts w:cs="Times New Roman"/>
          <w:sz w:val="24"/>
          <w:szCs w:val="24"/>
        </w:rPr>
      </w:pPr>
      <w:r w:rsidRPr="00CC3ABA">
        <w:rPr>
          <w:rFonts w:cs="Times New Roman"/>
          <w:sz w:val="24"/>
          <w:szCs w:val="24"/>
        </w:rPr>
        <w:t>Estimate the cost of providing the intervention and usual care.</w:t>
      </w:r>
    </w:p>
    <w:p w14:paraId="5D9075BB" w14:textId="2C91C4CF" w:rsidR="001C4E79" w:rsidRPr="00CC3ABA" w:rsidRDefault="00777063" w:rsidP="00D62667">
      <w:pPr>
        <w:spacing w:line="480" w:lineRule="auto"/>
        <w:jc w:val="both"/>
        <w:rPr>
          <w:rFonts w:cs="Times New Roman"/>
        </w:rPr>
      </w:pPr>
      <w:r w:rsidRPr="00CC3ABA">
        <w:rPr>
          <w:rFonts w:cs="Times New Roman"/>
        </w:rPr>
        <w:t xml:space="preserve">The study included an embedded </w:t>
      </w:r>
      <w:r w:rsidR="00043D56">
        <w:rPr>
          <w:rFonts w:cs="Times New Roman"/>
        </w:rPr>
        <w:t xml:space="preserve">qualitative </w:t>
      </w:r>
      <w:r w:rsidRPr="00CC3ABA">
        <w:rPr>
          <w:rFonts w:cs="Times New Roman"/>
        </w:rPr>
        <w:t xml:space="preserve">process evaluation in order to examine: perceived facilitators and barriers to engagement; </w:t>
      </w:r>
      <w:r w:rsidR="00923567">
        <w:rPr>
          <w:rFonts w:cs="Times New Roman"/>
        </w:rPr>
        <w:t xml:space="preserve">acceptability of the EC intervention and </w:t>
      </w:r>
      <w:r w:rsidR="00324D09">
        <w:rPr>
          <w:rFonts w:cs="Times New Roman"/>
        </w:rPr>
        <w:t>usual care (</w:t>
      </w:r>
      <w:r w:rsidR="00923567">
        <w:rPr>
          <w:rFonts w:cs="Times New Roman"/>
        </w:rPr>
        <w:t>UC</w:t>
      </w:r>
      <w:r w:rsidR="00324D09">
        <w:rPr>
          <w:rFonts w:cs="Times New Roman"/>
        </w:rPr>
        <w:t>)</w:t>
      </w:r>
      <w:r w:rsidR="00923567">
        <w:rPr>
          <w:rFonts w:cs="Times New Roman"/>
        </w:rPr>
        <w:t xml:space="preserve">; </w:t>
      </w:r>
      <w:r w:rsidRPr="00CC3ABA">
        <w:rPr>
          <w:rFonts w:cs="Times New Roman"/>
        </w:rPr>
        <w:t>the impact of local context; and service providers’ capacity to support the study.</w:t>
      </w:r>
      <w:r w:rsidR="00840AF7">
        <w:rPr>
          <w:rFonts w:cs="Times New Roman"/>
        </w:rPr>
        <w:t xml:space="preserve"> </w:t>
      </w:r>
      <w:r w:rsidRPr="00CC3ABA">
        <w:rPr>
          <w:rFonts w:cs="Times New Roman"/>
        </w:rPr>
        <w:t xml:space="preserve">These </w:t>
      </w:r>
      <w:r w:rsidR="001C4E79" w:rsidRPr="00CC3ABA">
        <w:rPr>
          <w:rFonts w:cs="Times New Roman"/>
        </w:rPr>
        <w:t>findings are reported separately.</w:t>
      </w:r>
    </w:p>
    <w:p w14:paraId="0A016C2A" w14:textId="77777777" w:rsidR="00796C0A" w:rsidRPr="00CC3ABA" w:rsidRDefault="00796C0A" w:rsidP="00D62667">
      <w:pPr>
        <w:spacing w:line="480" w:lineRule="auto"/>
        <w:jc w:val="both"/>
        <w:rPr>
          <w:rFonts w:cs="Times New Roman"/>
          <w:b/>
        </w:rPr>
      </w:pPr>
    </w:p>
    <w:p w14:paraId="739F49F1" w14:textId="6F37F703" w:rsidR="00D62667" w:rsidRPr="00E879B4" w:rsidRDefault="00D62667" w:rsidP="00D62667">
      <w:pPr>
        <w:spacing w:line="480" w:lineRule="auto"/>
        <w:jc w:val="both"/>
        <w:rPr>
          <w:rFonts w:cs="Times New Roman"/>
          <w:b/>
          <w:sz w:val="36"/>
          <w:szCs w:val="36"/>
        </w:rPr>
      </w:pPr>
      <w:r w:rsidRPr="00E879B4">
        <w:rPr>
          <w:rFonts w:cs="Times New Roman"/>
          <w:b/>
          <w:sz w:val="36"/>
          <w:szCs w:val="36"/>
        </w:rPr>
        <w:t xml:space="preserve">Materials and </w:t>
      </w:r>
      <w:r w:rsidR="00E450D7" w:rsidRPr="00E879B4">
        <w:rPr>
          <w:rFonts w:cs="Times New Roman"/>
          <w:b/>
          <w:sz w:val="36"/>
          <w:szCs w:val="36"/>
        </w:rPr>
        <w:t>m</w:t>
      </w:r>
      <w:r w:rsidRPr="00E879B4">
        <w:rPr>
          <w:rFonts w:cs="Times New Roman"/>
          <w:b/>
          <w:sz w:val="36"/>
          <w:szCs w:val="36"/>
        </w:rPr>
        <w:t>ethods</w:t>
      </w:r>
    </w:p>
    <w:p w14:paraId="40E495B7" w14:textId="77777777" w:rsidR="00866104" w:rsidRPr="00E879B4" w:rsidRDefault="00866104" w:rsidP="00D62667">
      <w:pPr>
        <w:spacing w:line="480" w:lineRule="auto"/>
        <w:jc w:val="both"/>
        <w:rPr>
          <w:rFonts w:cs="Times New Roman"/>
          <w:b/>
          <w:sz w:val="32"/>
          <w:szCs w:val="32"/>
        </w:rPr>
      </w:pPr>
      <w:r w:rsidRPr="00E879B4">
        <w:rPr>
          <w:rFonts w:cs="Times New Roman"/>
          <w:b/>
          <w:sz w:val="32"/>
          <w:szCs w:val="32"/>
        </w:rPr>
        <w:t>Study design</w:t>
      </w:r>
      <w:r w:rsidR="00A22598" w:rsidRPr="00E879B4">
        <w:rPr>
          <w:rFonts w:cs="Times New Roman"/>
          <w:b/>
          <w:sz w:val="32"/>
          <w:szCs w:val="32"/>
        </w:rPr>
        <w:t xml:space="preserve"> and sett</w:t>
      </w:r>
      <w:r w:rsidR="006A48F0" w:rsidRPr="00E879B4">
        <w:rPr>
          <w:rFonts w:cs="Times New Roman"/>
          <w:b/>
          <w:sz w:val="32"/>
          <w:szCs w:val="32"/>
        </w:rPr>
        <w:t>ing</w:t>
      </w:r>
    </w:p>
    <w:p w14:paraId="66AF59CC" w14:textId="5A812E9E" w:rsidR="00C02D88" w:rsidRPr="00CC3ABA" w:rsidRDefault="002F6AE8" w:rsidP="00C02D88">
      <w:pPr>
        <w:spacing w:line="480" w:lineRule="auto"/>
        <w:jc w:val="both"/>
        <w:rPr>
          <w:rFonts w:cs="Times New Roman"/>
        </w:rPr>
      </w:pPr>
      <w:r w:rsidRPr="58D38A21">
        <w:rPr>
          <w:rFonts w:cs="Times New Roman"/>
        </w:rPr>
        <w:t xml:space="preserve">This was a </w:t>
      </w:r>
      <w:r w:rsidR="00866104" w:rsidRPr="58D38A21">
        <w:rPr>
          <w:rFonts w:cs="Times New Roman"/>
        </w:rPr>
        <w:t>four-centre clu</w:t>
      </w:r>
      <w:r w:rsidRPr="58D38A21">
        <w:rPr>
          <w:rFonts w:cs="Times New Roman"/>
        </w:rPr>
        <w:t xml:space="preserve">ster feasibility </w:t>
      </w:r>
      <w:r w:rsidR="00E2479A" w:rsidRPr="58D38A21">
        <w:rPr>
          <w:rFonts w:cs="Times New Roman"/>
        </w:rPr>
        <w:t xml:space="preserve">trial </w:t>
      </w:r>
      <w:r w:rsidRPr="58D38A21">
        <w:rPr>
          <w:rFonts w:cs="Times New Roman"/>
        </w:rPr>
        <w:t>with a</w:t>
      </w:r>
      <w:r w:rsidR="008C2D1D" w:rsidRPr="58D38A21">
        <w:rPr>
          <w:rFonts w:cs="Times New Roman"/>
        </w:rPr>
        <w:t xml:space="preserve"> nested</w:t>
      </w:r>
      <w:r w:rsidR="006D41C9" w:rsidRPr="58D38A21">
        <w:rPr>
          <w:rFonts w:cs="Times New Roman"/>
        </w:rPr>
        <w:t xml:space="preserve"> </w:t>
      </w:r>
      <w:r w:rsidR="00043D56">
        <w:rPr>
          <w:rFonts w:cs="Times New Roman"/>
        </w:rPr>
        <w:t xml:space="preserve">qualitative </w:t>
      </w:r>
      <w:r w:rsidR="006D41C9" w:rsidRPr="58D38A21">
        <w:rPr>
          <w:rFonts w:cs="Times New Roman"/>
        </w:rPr>
        <w:t xml:space="preserve">process evaluation </w:t>
      </w:r>
      <w:r w:rsidR="00796C0A" w:rsidRPr="58D38A21">
        <w:rPr>
          <w:rFonts w:cs="Times New Roman"/>
        </w:rPr>
        <w:t>component</w:t>
      </w:r>
      <w:r w:rsidRPr="58D38A21">
        <w:rPr>
          <w:rFonts w:cs="Times New Roman"/>
        </w:rPr>
        <w:t xml:space="preserve"> (</w:t>
      </w:r>
      <w:r w:rsidR="00D62667" w:rsidRPr="58D38A21">
        <w:rPr>
          <w:rFonts w:cs="Times New Roman"/>
        </w:rPr>
        <w:t>reported separately</w:t>
      </w:r>
      <w:r w:rsidRPr="58D38A21">
        <w:rPr>
          <w:rFonts w:cs="Times New Roman"/>
        </w:rPr>
        <w:t>)</w:t>
      </w:r>
      <w:r w:rsidR="00796C0A" w:rsidRPr="58D38A21">
        <w:rPr>
          <w:rFonts w:cs="Times New Roman"/>
        </w:rPr>
        <w:t xml:space="preserve">. </w:t>
      </w:r>
      <w:r w:rsidR="005E3F66">
        <w:rPr>
          <w:rFonts w:cs="Times New Roman"/>
        </w:rPr>
        <w:t>Staff administering the intervention (or UC) nor researchers assessing outcome could be blinded to condition due to the nature of the intervention and study design.</w:t>
      </w:r>
      <w:r w:rsidR="00840AF7">
        <w:rPr>
          <w:rFonts w:cs="Times New Roman"/>
        </w:rPr>
        <w:t xml:space="preserve"> </w:t>
      </w:r>
      <w:r w:rsidR="003F2B07" w:rsidRPr="58D38A21">
        <w:rPr>
          <w:rFonts w:cs="Times New Roman"/>
        </w:rPr>
        <w:t xml:space="preserve">Participants </w:t>
      </w:r>
      <w:r w:rsidR="00D62667" w:rsidRPr="58D38A21">
        <w:rPr>
          <w:rFonts w:cs="Times New Roman"/>
        </w:rPr>
        <w:t>were</w:t>
      </w:r>
      <w:r w:rsidR="00866104" w:rsidRPr="58D38A21">
        <w:rPr>
          <w:rFonts w:cs="Times New Roman"/>
        </w:rPr>
        <w:t xml:space="preserve"> recruited from </w:t>
      </w:r>
      <w:r w:rsidR="00D84B0F" w:rsidRPr="58D38A21">
        <w:rPr>
          <w:rFonts w:cs="Times New Roman"/>
        </w:rPr>
        <w:t xml:space="preserve">four </w:t>
      </w:r>
      <w:r w:rsidR="00866104" w:rsidRPr="58D38A21">
        <w:rPr>
          <w:rFonts w:cs="Times New Roman"/>
        </w:rPr>
        <w:t xml:space="preserve">homeless centres </w:t>
      </w:r>
      <w:r w:rsidR="00D62667" w:rsidRPr="58D38A21">
        <w:rPr>
          <w:rFonts w:cs="Times New Roman"/>
        </w:rPr>
        <w:t>across the UK: two in London</w:t>
      </w:r>
      <w:r w:rsidR="008E1D39" w:rsidRPr="58D38A21">
        <w:rPr>
          <w:rFonts w:cs="Times New Roman"/>
        </w:rPr>
        <w:t xml:space="preserve"> (both residential centres), one in </w:t>
      </w:r>
      <w:r w:rsidR="007F28F2">
        <w:rPr>
          <w:rFonts w:cs="Times New Roman"/>
        </w:rPr>
        <w:t>Northampton</w:t>
      </w:r>
      <w:r w:rsidR="008E1D39" w:rsidRPr="58D38A21">
        <w:rPr>
          <w:rFonts w:cs="Times New Roman"/>
        </w:rPr>
        <w:t xml:space="preserve">, </w:t>
      </w:r>
      <w:r w:rsidR="00D62667" w:rsidRPr="58D38A21">
        <w:rPr>
          <w:rFonts w:cs="Times New Roman"/>
        </w:rPr>
        <w:t xml:space="preserve">and </w:t>
      </w:r>
      <w:r w:rsidR="005E4172" w:rsidRPr="58D38A21">
        <w:rPr>
          <w:rFonts w:cs="Times New Roman"/>
        </w:rPr>
        <w:t>one in Edinburgh</w:t>
      </w:r>
      <w:r w:rsidR="008E1D39" w:rsidRPr="58D38A21">
        <w:rPr>
          <w:rFonts w:cs="Times New Roman"/>
        </w:rPr>
        <w:t xml:space="preserve"> (both day centres)</w:t>
      </w:r>
      <w:r w:rsidR="001D0952" w:rsidRPr="58D38A21">
        <w:rPr>
          <w:rFonts w:cs="Times New Roman"/>
        </w:rPr>
        <w:t xml:space="preserve">. </w:t>
      </w:r>
      <w:r w:rsidR="00C02D88">
        <w:rPr>
          <w:rFonts w:cs="Times New Roman"/>
        </w:rPr>
        <w:t>Although we had</w:t>
      </w:r>
      <w:r w:rsidR="00011DBE">
        <w:rPr>
          <w:rFonts w:cs="Times New Roman"/>
        </w:rPr>
        <w:t xml:space="preserve"> planned to randomise the centres to </w:t>
      </w:r>
      <w:r w:rsidR="001B23AD">
        <w:rPr>
          <w:rFonts w:cs="Times New Roman"/>
        </w:rPr>
        <w:t xml:space="preserve">each </w:t>
      </w:r>
      <w:r w:rsidR="00011DBE">
        <w:rPr>
          <w:rFonts w:cs="Times New Roman"/>
        </w:rPr>
        <w:t xml:space="preserve">condition, </w:t>
      </w:r>
      <w:r w:rsidR="00C02D88">
        <w:rPr>
          <w:rFonts w:cs="Times New Roman"/>
        </w:rPr>
        <w:t xml:space="preserve">actual allocation deviated from protocol due to centre readiness </w:t>
      </w:r>
      <w:r w:rsidR="00C02D88" w:rsidRPr="58D38A21">
        <w:rPr>
          <w:rFonts w:cs="Times New Roman"/>
        </w:rPr>
        <w:t>though we balanced potential confounders and differences in environment by ensuring each cluster (EC and UC) contained one day centre and one residential unit.</w:t>
      </w:r>
      <w:r w:rsidR="00840AF7">
        <w:rPr>
          <w:rFonts w:cs="Times New Roman"/>
        </w:rPr>
        <w:t xml:space="preserve"> </w:t>
      </w:r>
    </w:p>
    <w:p w14:paraId="1C506E5E" w14:textId="25C3FA59" w:rsidR="00772E30" w:rsidRPr="00CC3ABA" w:rsidRDefault="00840AF7" w:rsidP="005E4172">
      <w:pPr>
        <w:spacing w:line="480" w:lineRule="auto"/>
        <w:jc w:val="both"/>
        <w:rPr>
          <w:rFonts w:cs="Times New Roman"/>
        </w:rPr>
      </w:pPr>
      <w:r>
        <w:rPr>
          <w:rFonts w:cs="Times New Roman"/>
        </w:rPr>
        <w:t xml:space="preserve"> </w:t>
      </w:r>
      <w:r w:rsidR="005E4172" w:rsidRPr="58D38A21">
        <w:rPr>
          <w:rFonts w:cs="Times New Roman"/>
        </w:rPr>
        <w:t>.</w:t>
      </w:r>
      <w:r>
        <w:rPr>
          <w:rFonts w:cs="Times New Roman"/>
        </w:rPr>
        <w:t xml:space="preserve"> </w:t>
      </w:r>
      <w:r w:rsidR="005E4172" w:rsidRPr="58D38A21">
        <w:rPr>
          <w:rFonts w:cs="Times New Roman"/>
        </w:rPr>
        <w:t xml:space="preserve">We allocated </w:t>
      </w:r>
      <w:r w:rsidR="00064FB3">
        <w:rPr>
          <w:rFonts w:cs="Times New Roman"/>
        </w:rPr>
        <w:t xml:space="preserve">the </w:t>
      </w:r>
      <w:r w:rsidR="005E4172" w:rsidRPr="58D38A21">
        <w:rPr>
          <w:rFonts w:cs="Times New Roman"/>
        </w:rPr>
        <w:t>first centre</w:t>
      </w:r>
      <w:r w:rsidR="00064FB3">
        <w:rPr>
          <w:rFonts w:cs="Times New Roman"/>
        </w:rPr>
        <w:t xml:space="preserve"> </w:t>
      </w:r>
      <w:r w:rsidR="00C02D88">
        <w:rPr>
          <w:rFonts w:cs="Times New Roman"/>
        </w:rPr>
        <w:t xml:space="preserve">ready to work with us </w:t>
      </w:r>
      <w:r w:rsidR="005E4172" w:rsidRPr="58D38A21">
        <w:rPr>
          <w:rFonts w:cs="Times New Roman"/>
        </w:rPr>
        <w:t xml:space="preserve">to the EC condition so that we could explore recruitment, 4-week retention and any unintended consequences associated with the intervention to determine whether to proceed with recruitment at centres </w:t>
      </w:r>
      <w:r w:rsidR="00E477E5" w:rsidRPr="58D38A21">
        <w:rPr>
          <w:rFonts w:cs="Times New Roman"/>
        </w:rPr>
        <w:t>2, 3 and 4.</w:t>
      </w:r>
      <w:r>
        <w:rPr>
          <w:rFonts w:cs="Times New Roman"/>
        </w:rPr>
        <w:t xml:space="preserve"> </w:t>
      </w:r>
      <w:r w:rsidR="00E477E5" w:rsidRPr="58D38A21">
        <w:rPr>
          <w:rFonts w:cs="Times New Roman"/>
        </w:rPr>
        <w:t>Centre 2 (Edinburgh</w:t>
      </w:r>
      <w:r w:rsidR="005E4172" w:rsidRPr="58D38A21">
        <w:rPr>
          <w:rFonts w:cs="Times New Roman"/>
        </w:rPr>
        <w:t>), as the other day centre was therefore allocated to the UC condition.</w:t>
      </w:r>
      <w:r w:rsidR="00E477E5" w:rsidRPr="58D38A21">
        <w:rPr>
          <w:rFonts w:cs="Times New Roman"/>
        </w:rPr>
        <w:t xml:space="preserve"> Centres 3 and 4 (London</w:t>
      </w:r>
      <w:r w:rsidR="005E4172" w:rsidRPr="58D38A21">
        <w:rPr>
          <w:rFonts w:cs="Times New Roman"/>
        </w:rPr>
        <w:t>) were allocated to the UC and EC arms</w:t>
      </w:r>
      <w:r w:rsidR="003C3C0C">
        <w:rPr>
          <w:rFonts w:cs="Times New Roman"/>
        </w:rPr>
        <w:t>,</w:t>
      </w:r>
      <w:r w:rsidR="005E4172" w:rsidRPr="58D38A21">
        <w:rPr>
          <w:rFonts w:cs="Times New Roman"/>
        </w:rPr>
        <w:t xml:space="preserve"> respectively.</w:t>
      </w:r>
      <w:r>
        <w:rPr>
          <w:rFonts w:cs="Times New Roman"/>
        </w:rPr>
        <w:t xml:space="preserve"> </w:t>
      </w:r>
      <w:r w:rsidR="005E4172" w:rsidRPr="58D38A21">
        <w:rPr>
          <w:rFonts w:cs="Times New Roman"/>
        </w:rPr>
        <w:t>Centre 3 was allocated to UC as it was geographically closer to the researcher who was still collecting follow up data from centre 1 and we expected lower uptake in the UC condition.</w:t>
      </w:r>
      <w:r>
        <w:rPr>
          <w:rFonts w:cs="Times New Roman"/>
        </w:rPr>
        <w:t xml:space="preserve">  </w:t>
      </w:r>
    </w:p>
    <w:p w14:paraId="54A6BA4E" w14:textId="2D62529B" w:rsidR="00772E30" w:rsidRPr="00CC3ABA" w:rsidRDefault="00772E30" w:rsidP="00772E30">
      <w:pPr>
        <w:pStyle w:val="ListParagraph"/>
        <w:spacing w:after="160" w:line="480" w:lineRule="auto"/>
        <w:ind w:left="0"/>
        <w:contextualSpacing w:val="0"/>
        <w:jc w:val="both"/>
        <w:rPr>
          <w:rFonts w:cs="Times New Roman"/>
          <w:sz w:val="24"/>
          <w:szCs w:val="24"/>
        </w:rPr>
      </w:pPr>
      <w:r w:rsidRPr="006C55B8">
        <w:rPr>
          <w:rFonts w:cs="Times New Roman"/>
          <w:sz w:val="24"/>
          <w:szCs w:val="24"/>
        </w:rPr>
        <w:t>Ethical approval was granted by London South Bank University (LSBU, REF:</w:t>
      </w:r>
      <w:r w:rsidR="00F50AA0" w:rsidRPr="006C55B8">
        <w:rPr>
          <w:rFonts w:cs="Times New Roman"/>
          <w:sz w:val="24"/>
          <w:szCs w:val="24"/>
        </w:rPr>
        <w:t xml:space="preserve"> </w:t>
      </w:r>
      <w:r w:rsidRPr="006C55B8">
        <w:rPr>
          <w:rFonts w:cs="Times New Roman"/>
          <w:sz w:val="24"/>
          <w:szCs w:val="24"/>
        </w:rPr>
        <w:t xml:space="preserve">1821) and </w:t>
      </w:r>
      <w:r w:rsidR="007F28F2" w:rsidRPr="006C55B8">
        <w:rPr>
          <w:rFonts w:cs="Times New Roman"/>
          <w:sz w:val="24"/>
          <w:szCs w:val="24"/>
        </w:rPr>
        <w:t>The Salvation Army Ethics Committee. T</w:t>
      </w:r>
      <w:r w:rsidRPr="006C55B8">
        <w:rPr>
          <w:rFonts w:cs="Times New Roman"/>
          <w:sz w:val="24"/>
          <w:szCs w:val="24"/>
        </w:rPr>
        <w:t>he protocol was published on the NIHR website in September 2018:</w:t>
      </w:r>
      <w:r w:rsidR="00F50AA0" w:rsidRPr="006C55B8">
        <w:rPr>
          <w:rFonts w:cs="Times New Roman"/>
          <w:sz w:val="24"/>
          <w:szCs w:val="24"/>
        </w:rPr>
        <w:t xml:space="preserve"> </w:t>
      </w:r>
      <w:hyperlink r:id="rId11" w:history="1">
        <w:r w:rsidRPr="006C55B8">
          <w:rPr>
            <w:rStyle w:val="Hyperlink"/>
            <w:sz w:val="24"/>
            <w:szCs w:val="24"/>
          </w:rPr>
          <w:t>https://fundingawards.nihr.ac.uk/award/17/44/29</w:t>
        </w:r>
      </w:hyperlink>
    </w:p>
    <w:p w14:paraId="1B4617FB" w14:textId="548F4CD9" w:rsidR="006A48F0" w:rsidRDefault="006A48F0" w:rsidP="00772E30">
      <w:pPr>
        <w:pStyle w:val="CommentText"/>
      </w:pPr>
    </w:p>
    <w:p w14:paraId="18840B02" w14:textId="4DFD069C" w:rsidR="009E4168" w:rsidRDefault="009E4168" w:rsidP="00772E30">
      <w:pPr>
        <w:pStyle w:val="CommentText"/>
      </w:pPr>
    </w:p>
    <w:p w14:paraId="6B12C342" w14:textId="44E6A376" w:rsidR="006A48F0" w:rsidRPr="00E879B4" w:rsidRDefault="00A22598" w:rsidP="001D0952">
      <w:pPr>
        <w:spacing w:after="160" w:line="480" w:lineRule="auto"/>
        <w:jc w:val="both"/>
        <w:rPr>
          <w:rFonts w:cs="Times New Roman"/>
          <w:b/>
          <w:sz w:val="32"/>
          <w:szCs w:val="32"/>
        </w:rPr>
      </w:pPr>
      <w:r w:rsidRPr="00E879B4">
        <w:rPr>
          <w:rFonts w:cs="Times New Roman"/>
          <w:b/>
          <w:sz w:val="32"/>
          <w:szCs w:val="32"/>
        </w:rPr>
        <w:t>Participants and r</w:t>
      </w:r>
      <w:r w:rsidR="006A48F0" w:rsidRPr="00E879B4">
        <w:rPr>
          <w:rFonts w:cs="Times New Roman"/>
          <w:b/>
          <w:sz w:val="32"/>
          <w:szCs w:val="32"/>
        </w:rPr>
        <w:t>ecruitment</w:t>
      </w:r>
    </w:p>
    <w:p w14:paraId="40F46533" w14:textId="67CD251B" w:rsidR="006A48F0" w:rsidRPr="00CC3ABA" w:rsidRDefault="002F6AE8" w:rsidP="001D0952">
      <w:pPr>
        <w:spacing w:after="160" w:line="480" w:lineRule="auto"/>
        <w:jc w:val="both"/>
        <w:rPr>
          <w:rFonts w:cs="Times New Roman"/>
        </w:rPr>
      </w:pPr>
      <w:r w:rsidRPr="00CC3ABA">
        <w:rPr>
          <w:rFonts w:cs="Times New Roman"/>
        </w:rPr>
        <w:t>E</w:t>
      </w:r>
      <w:r w:rsidR="006A48F0" w:rsidRPr="00CC3ABA">
        <w:rPr>
          <w:rFonts w:cs="Times New Roman"/>
        </w:rPr>
        <w:t>ligible participants (see below) were invited for participation by centre staff</w:t>
      </w:r>
      <w:r w:rsidRPr="00CC3ABA">
        <w:rPr>
          <w:rFonts w:cs="Times New Roman"/>
        </w:rPr>
        <w:t xml:space="preserve"> between </w:t>
      </w:r>
      <w:r w:rsidR="00A84954">
        <w:rPr>
          <w:rFonts w:cs="Times New Roman"/>
        </w:rPr>
        <w:t>7</w:t>
      </w:r>
      <w:r w:rsidR="00A84954" w:rsidRPr="00A84954">
        <w:rPr>
          <w:rFonts w:cs="Times New Roman"/>
          <w:vertAlign w:val="superscript"/>
        </w:rPr>
        <w:t>th</w:t>
      </w:r>
      <w:r w:rsidR="00A84954">
        <w:rPr>
          <w:rFonts w:cs="Times New Roman"/>
        </w:rPr>
        <w:t xml:space="preserve"> January</w:t>
      </w:r>
      <w:r w:rsidR="00772E30" w:rsidRPr="00CC3ABA">
        <w:rPr>
          <w:rFonts w:cs="Times New Roman"/>
        </w:rPr>
        <w:t xml:space="preserve"> and </w:t>
      </w:r>
      <w:r w:rsidR="00A84954">
        <w:rPr>
          <w:rFonts w:cs="Times New Roman"/>
        </w:rPr>
        <w:t>5</w:t>
      </w:r>
      <w:r w:rsidR="00A84954" w:rsidRPr="00A84954">
        <w:rPr>
          <w:rFonts w:cs="Times New Roman"/>
          <w:vertAlign w:val="superscript"/>
        </w:rPr>
        <w:t>th</w:t>
      </w:r>
      <w:r w:rsidR="003C3C0C">
        <w:rPr>
          <w:rFonts w:cs="Times New Roman"/>
          <w:vertAlign w:val="superscript"/>
        </w:rPr>
        <w:t xml:space="preserve"> </w:t>
      </w:r>
      <w:r w:rsidR="00772E30" w:rsidRPr="00CC3ABA">
        <w:rPr>
          <w:rFonts w:cs="Times New Roman"/>
        </w:rPr>
        <w:t>June</w:t>
      </w:r>
      <w:r w:rsidR="00D27D79" w:rsidRPr="00CC3ABA">
        <w:rPr>
          <w:rFonts w:cs="Times New Roman"/>
        </w:rPr>
        <w:t xml:space="preserve"> 2019</w:t>
      </w:r>
      <w:r w:rsidR="006A48F0" w:rsidRPr="00CC3ABA">
        <w:rPr>
          <w:rFonts w:cs="Times New Roman"/>
        </w:rPr>
        <w:t xml:space="preserve">. </w:t>
      </w:r>
      <w:r w:rsidR="00263B9F">
        <w:rPr>
          <w:rFonts w:cs="Times New Roman"/>
        </w:rPr>
        <w:t>Any smoker interested in using an EC to try to quit smoking or reduce their smoking was eligible to take part.</w:t>
      </w:r>
      <w:r w:rsidR="00840AF7">
        <w:rPr>
          <w:rFonts w:cs="Times New Roman"/>
        </w:rPr>
        <w:t xml:space="preserve"> </w:t>
      </w:r>
      <w:r w:rsidR="00263B9F">
        <w:rPr>
          <w:rFonts w:cs="Times New Roman"/>
        </w:rPr>
        <w:t xml:space="preserve">There was no agreement that a cessation attempt should be made and participants did not need to be motivated to quit. </w:t>
      </w:r>
      <w:r w:rsidR="006A48F0" w:rsidRPr="00CC3ABA">
        <w:rPr>
          <w:rFonts w:cs="Times New Roman"/>
        </w:rPr>
        <w:t xml:space="preserve">Those agreeing to take part were invited to consent and complete a baseline assessment </w:t>
      </w:r>
      <w:r w:rsidR="0068205C">
        <w:rPr>
          <w:rFonts w:cs="Times New Roman"/>
        </w:rPr>
        <w:t xml:space="preserve">at the homeless centre </w:t>
      </w:r>
      <w:r w:rsidR="006A48F0" w:rsidRPr="00CC3ABA">
        <w:rPr>
          <w:rFonts w:cs="Times New Roman"/>
        </w:rPr>
        <w:t>with a member of the research team at their next visit. Although centres were</w:t>
      </w:r>
      <w:r w:rsidR="006A403E">
        <w:rPr>
          <w:rFonts w:cs="Times New Roman"/>
        </w:rPr>
        <w:t xml:space="preserve"> allocated to condition</w:t>
      </w:r>
      <w:r w:rsidR="006A48F0" w:rsidRPr="00CC3ABA">
        <w:rPr>
          <w:rFonts w:cs="Times New Roman"/>
        </w:rPr>
        <w:t xml:space="preserve">, participants received the same study information sheet and consent form </w:t>
      </w:r>
      <w:r w:rsidR="00263B9F">
        <w:rPr>
          <w:rFonts w:cs="Times New Roman"/>
        </w:rPr>
        <w:t xml:space="preserve">(where they were informed that they could be allocated to either condition) </w:t>
      </w:r>
      <w:r w:rsidR="006A48F0" w:rsidRPr="00CC3ABA">
        <w:rPr>
          <w:rFonts w:cs="Times New Roman"/>
        </w:rPr>
        <w:t xml:space="preserve">and completed baseline assessments </w:t>
      </w:r>
      <w:r w:rsidR="006A48F0" w:rsidRPr="00CC3ABA">
        <w:rPr>
          <w:rFonts w:cs="Times New Roman"/>
          <w:i/>
        </w:rPr>
        <w:t>before</w:t>
      </w:r>
      <w:r w:rsidR="006A48F0" w:rsidRPr="00CC3ABA">
        <w:rPr>
          <w:rFonts w:cs="Times New Roman"/>
        </w:rPr>
        <w:t xml:space="preserve"> being told of their condition</w:t>
      </w:r>
      <w:r w:rsidR="0077346C">
        <w:rPr>
          <w:rFonts w:cs="Times New Roman"/>
        </w:rPr>
        <w:t xml:space="preserve"> (though due to the nature of the intervention and centre social dynamics, participants soon became aware of centre allocation)</w:t>
      </w:r>
      <w:r w:rsidR="006A48F0" w:rsidRPr="00CC3ABA">
        <w:rPr>
          <w:rFonts w:cs="Times New Roman"/>
        </w:rPr>
        <w:t xml:space="preserve">. </w:t>
      </w:r>
      <w:r w:rsidR="00EB0F73" w:rsidRPr="00EB0F73">
        <w:rPr>
          <w:rFonts w:cs="Times New Roman"/>
        </w:rPr>
        <w:t>Recruitment and 4 week follow ups ran sequentially across the three sites in England with 12 and 24 week follow ups overlapping.</w:t>
      </w:r>
      <w:r w:rsidR="00840AF7">
        <w:rPr>
          <w:rFonts w:cs="Times New Roman"/>
        </w:rPr>
        <w:t xml:space="preserve"> </w:t>
      </w:r>
      <w:r w:rsidR="00EB0F73" w:rsidRPr="00EB0F73">
        <w:rPr>
          <w:rFonts w:cs="Times New Roman"/>
        </w:rPr>
        <w:t>Recruitment and data collection in</w:t>
      </w:r>
      <w:r w:rsidR="005E4172">
        <w:rPr>
          <w:rFonts w:cs="Times New Roman"/>
        </w:rPr>
        <w:t xml:space="preserve"> Edinburgh</w:t>
      </w:r>
      <w:r w:rsidR="00EB0F73" w:rsidRPr="00EB0F73">
        <w:rPr>
          <w:rFonts w:cs="Times New Roman"/>
        </w:rPr>
        <w:t xml:space="preserve"> ran in parallel with the second centre in England.</w:t>
      </w:r>
      <w:r w:rsidR="00840AF7">
        <w:rPr>
          <w:rFonts w:cs="Times New Roman"/>
        </w:rPr>
        <w:t xml:space="preserve"> </w:t>
      </w:r>
    </w:p>
    <w:p w14:paraId="7ADB2DA4" w14:textId="1696A43D" w:rsidR="008E44B2" w:rsidRPr="00CC3ABA" w:rsidRDefault="008E44B2" w:rsidP="001D0952">
      <w:pPr>
        <w:spacing w:after="160" w:line="480" w:lineRule="auto"/>
        <w:jc w:val="both"/>
        <w:rPr>
          <w:rFonts w:cs="Times New Roman"/>
        </w:rPr>
      </w:pPr>
      <w:r w:rsidRPr="00E879B4">
        <w:rPr>
          <w:rFonts w:cs="Times New Roman"/>
          <w:b/>
          <w:sz w:val="28"/>
          <w:szCs w:val="28"/>
        </w:rPr>
        <w:t>Inclusion criteria</w:t>
      </w:r>
      <w:r w:rsidRPr="00CC3ABA">
        <w:rPr>
          <w:rFonts w:cs="Times New Roman"/>
        </w:rPr>
        <w:t>: aged 18</w:t>
      </w:r>
      <w:r w:rsidR="00FC3106" w:rsidRPr="00CC3ABA">
        <w:rPr>
          <w:rFonts w:cs="Times New Roman"/>
        </w:rPr>
        <w:t xml:space="preserve"> and over</w:t>
      </w:r>
      <w:r w:rsidRPr="00CC3ABA">
        <w:rPr>
          <w:rFonts w:cs="Times New Roman"/>
        </w:rPr>
        <w:t xml:space="preserve">, self-reported daily smoking (confirmed by </w:t>
      </w:r>
      <w:r w:rsidR="001B3F1D">
        <w:rPr>
          <w:rFonts w:cs="Times New Roman"/>
        </w:rPr>
        <w:t xml:space="preserve"> centre staff</w:t>
      </w:r>
      <w:r w:rsidRPr="00CC3ABA">
        <w:rPr>
          <w:rFonts w:cs="Times New Roman"/>
        </w:rPr>
        <w:t>), currently accessing homeless centre services and actively engaging with the service (determined by centre staff).</w:t>
      </w:r>
      <w:r w:rsidR="00840AF7">
        <w:rPr>
          <w:rFonts w:cs="Times New Roman"/>
        </w:rPr>
        <w:t xml:space="preserve"> </w:t>
      </w:r>
      <w:r w:rsidRPr="00CC3ABA">
        <w:rPr>
          <w:rFonts w:cs="Times New Roman"/>
        </w:rPr>
        <w:t xml:space="preserve">In order to represent this population of smokers as accurately as possible, we </w:t>
      </w:r>
      <w:r w:rsidR="001D0952" w:rsidRPr="00CC3ABA">
        <w:rPr>
          <w:rFonts w:cs="Times New Roman"/>
        </w:rPr>
        <w:t xml:space="preserve">did </w:t>
      </w:r>
      <w:r w:rsidRPr="00CC3ABA">
        <w:rPr>
          <w:rFonts w:cs="Times New Roman"/>
        </w:rPr>
        <w:t xml:space="preserve">not exclude participants on the basis of physical/mental health diagnoses or other </w:t>
      </w:r>
      <w:r w:rsidR="00A25B2C">
        <w:rPr>
          <w:rFonts w:cs="Times New Roman"/>
        </w:rPr>
        <w:t>use of substances</w:t>
      </w:r>
      <w:r w:rsidRPr="00CC3ABA">
        <w:rPr>
          <w:rFonts w:cs="Times New Roman"/>
        </w:rPr>
        <w:t>.</w:t>
      </w:r>
    </w:p>
    <w:p w14:paraId="4572DDCB" w14:textId="2C276E43" w:rsidR="000D6C9C" w:rsidRPr="00CC3ABA" w:rsidRDefault="008E44B2" w:rsidP="001C02BE">
      <w:pPr>
        <w:spacing w:before="40" w:after="160" w:line="480" w:lineRule="auto"/>
        <w:jc w:val="both"/>
        <w:rPr>
          <w:rFonts w:cs="Times New Roman"/>
        </w:rPr>
      </w:pPr>
      <w:r w:rsidRPr="00E879B4">
        <w:rPr>
          <w:rFonts w:cs="Times New Roman"/>
          <w:b/>
          <w:sz w:val="28"/>
          <w:szCs w:val="28"/>
        </w:rPr>
        <w:t>Exclusion criteria</w:t>
      </w:r>
      <w:r w:rsidRPr="00CC3ABA">
        <w:rPr>
          <w:rFonts w:cs="Times New Roman"/>
          <w:i/>
        </w:rPr>
        <w:t>:</w:t>
      </w:r>
      <w:r w:rsidR="004F1C29">
        <w:rPr>
          <w:rFonts w:cs="Times New Roman"/>
        </w:rPr>
        <w:t xml:space="preserve"> C</w:t>
      </w:r>
      <w:r w:rsidRPr="00CC3ABA">
        <w:rPr>
          <w:rFonts w:cs="Times New Roman"/>
        </w:rPr>
        <w:t>urrently using another smoking cessation aid, pregnant, unable to consent (e.g. currently intoxicated</w:t>
      </w:r>
      <w:r w:rsidR="003E6043" w:rsidRPr="00CC3ABA">
        <w:rPr>
          <w:rFonts w:cs="Times New Roman"/>
        </w:rPr>
        <w:t xml:space="preserve"> or </w:t>
      </w:r>
      <w:r w:rsidRPr="00CC3ABA">
        <w:rPr>
          <w:rFonts w:cs="Times New Roman"/>
        </w:rPr>
        <w:t>unable to speak English</w:t>
      </w:r>
      <w:r w:rsidR="003E6043" w:rsidRPr="00CC3ABA">
        <w:rPr>
          <w:rFonts w:cs="Times New Roman"/>
        </w:rPr>
        <w:t>)</w:t>
      </w:r>
      <w:r w:rsidR="00A54FAD" w:rsidRPr="00CC3ABA">
        <w:rPr>
          <w:rFonts w:cs="Times New Roman"/>
        </w:rPr>
        <w:t>; not known to centre staff</w:t>
      </w:r>
      <w:r w:rsidRPr="00CC3ABA">
        <w:rPr>
          <w:rFonts w:cs="Times New Roman"/>
        </w:rPr>
        <w:t>.</w:t>
      </w:r>
      <w:r w:rsidR="00840AF7">
        <w:rPr>
          <w:rFonts w:cs="Times New Roman"/>
        </w:rPr>
        <w:t xml:space="preserve"> </w:t>
      </w:r>
    </w:p>
    <w:p w14:paraId="62B3A044" w14:textId="7FBDB95B" w:rsidR="00866104" w:rsidRPr="00E879B4" w:rsidRDefault="00E32870" w:rsidP="003C1402">
      <w:pPr>
        <w:spacing w:line="480" w:lineRule="auto"/>
        <w:jc w:val="both"/>
        <w:rPr>
          <w:rFonts w:cs="Times New Roman"/>
          <w:b/>
          <w:sz w:val="28"/>
          <w:szCs w:val="28"/>
        </w:rPr>
      </w:pPr>
      <w:r w:rsidRPr="00E879B4">
        <w:rPr>
          <w:rFonts w:cs="Times New Roman"/>
          <w:b/>
          <w:sz w:val="28"/>
          <w:szCs w:val="28"/>
        </w:rPr>
        <w:t xml:space="preserve">Intervention </w:t>
      </w:r>
      <w:r w:rsidR="00E450D7" w:rsidRPr="00E879B4">
        <w:rPr>
          <w:rFonts w:cs="Times New Roman"/>
          <w:b/>
          <w:sz w:val="28"/>
          <w:szCs w:val="28"/>
        </w:rPr>
        <w:t>a</w:t>
      </w:r>
      <w:r w:rsidRPr="00E879B4">
        <w:rPr>
          <w:rFonts w:cs="Times New Roman"/>
          <w:b/>
          <w:sz w:val="28"/>
          <w:szCs w:val="28"/>
        </w:rPr>
        <w:t>rm</w:t>
      </w:r>
      <w:r w:rsidR="00866104" w:rsidRPr="00E879B4">
        <w:rPr>
          <w:rFonts w:cs="Times New Roman"/>
          <w:b/>
          <w:sz w:val="28"/>
          <w:szCs w:val="28"/>
        </w:rPr>
        <w:t xml:space="preserve"> – EC starter kit</w:t>
      </w:r>
    </w:p>
    <w:p w14:paraId="201843A5" w14:textId="2C7CE107" w:rsidR="0052460A" w:rsidRPr="00CC3ABA" w:rsidRDefault="00105A30" w:rsidP="0052460A">
      <w:pPr>
        <w:spacing w:before="40" w:after="160" w:line="480" w:lineRule="auto"/>
        <w:jc w:val="both"/>
        <w:rPr>
          <w:rFonts w:cs="Times New Roman"/>
        </w:rPr>
      </w:pPr>
      <w:r>
        <w:rPr>
          <w:rFonts w:cs="Times New Roman"/>
        </w:rPr>
        <w:t xml:space="preserve">Homeless centre staff </w:t>
      </w:r>
      <w:r w:rsidR="00BD242F">
        <w:rPr>
          <w:rFonts w:cs="Times New Roman"/>
        </w:rPr>
        <w:t xml:space="preserve">saw </w:t>
      </w:r>
      <w:r>
        <w:rPr>
          <w:rFonts w:cs="Times New Roman"/>
        </w:rPr>
        <w:t>p</w:t>
      </w:r>
      <w:r w:rsidR="00866104" w:rsidRPr="00CC3ABA">
        <w:rPr>
          <w:rFonts w:cs="Times New Roman"/>
        </w:rPr>
        <w:t xml:space="preserve">articipants </w:t>
      </w:r>
      <w:r w:rsidR="00BD242F">
        <w:rPr>
          <w:rFonts w:cs="Times New Roman"/>
        </w:rPr>
        <w:t xml:space="preserve">individually and provided them </w:t>
      </w:r>
      <w:r w:rsidR="00866104" w:rsidRPr="00CC3ABA">
        <w:rPr>
          <w:rFonts w:cs="Times New Roman"/>
        </w:rPr>
        <w:t>with a starter ki</w:t>
      </w:r>
      <w:r w:rsidR="00AD426C" w:rsidRPr="00CC3ABA">
        <w:rPr>
          <w:rFonts w:cs="Times New Roman"/>
        </w:rPr>
        <w:t xml:space="preserve">t </w:t>
      </w:r>
      <w:r w:rsidR="00F72EF4" w:rsidRPr="00CC3ABA">
        <w:rPr>
          <w:rFonts w:cs="Times New Roman"/>
        </w:rPr>
        <w:t>comprising a</w:t>
      </w:r>
      <w:r w:rsidR="00AD426C" w:rsidRPr="00CC3ABA">
        <w:rPr>
          <w:rFonts w:cs="Times New Roman"/>
        </w:rPr>
        <w:t xml:space="preserve"> tank-style refillable EC</w:t>
      </w:r>
      <w:r w:rsidR="0077346C">
        <w:rPr>
          <w:rFonts w:cs="Times New Roman"/>
        </w:rPr>
        <w:t xml:space="preserve"> </w:t>
      </w:r>
      <w:r w:rsidR="00CD5CC8">
        <w:rPr>
          <w:rFonts w:cs="Times New Roman"/>
        </w:rPr>
        <w:t>(</w:t>
      </w:r>
      <w:r w:rsidR="00B92A1D">
        <w:rPr>
          <w:rFonts w:cs="Times New Roman"/>
        </w:rPr>
        <w:t xml:space="preserve">worth </w:t>
      </w:r>
      <w:r w:rsidR="00CD5CC8">
        <w:rPr>
          <w:rFonts w:cs="Times New Roman"/>
        </w:rPr>
        <w:t xml:space="preserve">£20 each) </w:t>
      </w:r>
      <w:r w:rsidR="00766E44" w:rsidRPr="00CC3ABA">
        <w:rPr>
          <w:rFonts w:cs="Times New Roman"/>
        </w:rPr>
        <w:t xml:space="preserve">with a </w:t>
      </w:r>
      <w:r w:rsidR="00866104" w:rsidRPr="00CC3ABA">
        <w:rPr>
          <w:rFonts w:cs="Times New Roman"/>
        </w:rPr>
        <w:t xml:space="preserve">choice </w:t>
      </w:r>
      <w:r w:rsidR="00E641ED">
        <w:rPr>
          <w:rFonts w:cs="Times New Roman"/>
        </w:rPr>
        <w:t xml:space="preserve">of: </w:t>
      </w:r>
      <w:r w:rsidR="003E6043" w:rsidRPr="00CC3ABA">
        <w:rPr>
          <w:rFonts w:cs="Times New Roman"/>
        </w:rPr>
        <w:t xml:space="preserve">a) </w:t>
      </w:r>
      <w:r w:rsidR="00866104" w:rsidRPr="00CC3ABA">
        <w:rPr>
          <w:rFonts w:cs="Times New Roman"/>
        </w:rPr>
        <w:t>nicotine strength e-liquid</w:t>
      </w:r>
      <w:r w:rsidR="00574552" w:rsidRPr="00CC3ABA">
        <w:rPr>
          <w:rFonts w:cs="Times New Roman"/>
        </w:rPr>
        <w:t xml:space="preserve"> (2</w:t>
      </w:r>
      <w:r w:rsidR="00766E44" w:rsidRPr="00CC3ABA">
        <w:rPr>
          <w:rFonts w:cs="Times New Roman"/>
        </w:rPr>
        <w:t xml:space="preserve"> options</w:t>
      </w:r>
      <w:r w:rsidR="00DC1C41" w:rsidRPr="00CC3ABA">
        <w:rPr>
          <w:rFonts w:cs="Times New Roman"/>
        </w:rPr>
        <w:t>: 12 &amp; 18mg/mL)</w:t>
      </w:r>
      <w:r w:rsidR="00E641ED">
        <w:rPr>
          <w:rFonts w:cs="Times New Roman"/>
        </w:rPr>
        <w:t xml:space="preserve"> </w:t>
      </w:r>
      <w:r w:rsidR="00866104" w:rsidRPr="00CC3ABA">
        <w:rPr>
          <w:rFonts w:cs="Times New Roman"/>
        </w:rPr>
        <w:t xml:space="preserve">and </w:t>
      </w:r>
      <w:r w:rsidR="00766E44" w:rsidRPr="00CC3ABA">
        <w:rPr>
          <w:rFonts w:cs="Times New Roman"/>
        </w:rPr>
        <w:t xml:space="preserve">b) </w:t>
      </w:r>
      <w:r w:rsidR="009D164A" w:rsidRPr="00CC3ABA">
        <w:rPr>
          <w:rFonts w:cs="Times New Roman"/>
        </w:rPr>
        <w:t>f</w:t>
      </w:r>
      <w:r w:rsidR="00866104" w:rsidRPr="00CC3ABA">
        <w:rPr>
          <w:rFonts w:cs="Times New Roman"/>
        </w:rPr>
        <w:t>lavours</w:t>
      </w:r>
      <w:r w:rsidR="00297D25" w:rsidRPr="00CC3ABA">
        <w:rPr>
          <w:rFonts w:cs="Times New Roman"/>
        </w:rPr>
        <w:t xml:space="preserve"> (</w:t>
      </w:r>
      <w:r w:rsidR="00DC1C41" w:rsidRPr="00CC3ABA">
        <w:rPr>
          <w:rFonts w:cs="Times New Roman"/>
        </w:rPr>
        <w:t xml:space="preserve">3 </w:t>
      </w:r>
      <w:r w:rsidR="00766E44" w:rsidRPr="00CC3ABA">
        <w:rPr>
          <w:rFonts w:cs="Times New Roman"/>
        </w:rPr>
        <w:t>options</w:t>
      </w:r>
      <w:r w:rsidR="00DC1C41" w:rsidRPr="00CC3ABA">
        <w:rPr>
          <w:rFonts w:cs="Times New Roman"/>
        </w:rPr>
        <w:t>: tobacco, fruit, menthol</w:t>
      </w:r>
      <w:r w:rsidR="00766E44" w:rsidRPr="00CC3ABA">
        <w:rPr>
          <w:rFonts w:cs="Times New Roman"/>
        </w:rPr>
        <w:t>)</w:t>
      </w:r>
      <w:r w:rsidR="00FB0C52" w:rsidRPr="00CC3ABA">
        <w:rPr>
          <w:rFonts w:cs="Times New Roman"/>
        </w:rPr>
        <w:t xml:space="preserve">. They </w:t>
      </w:r>
      <w:r>
        <w:rPr>
          <w:rFonts w:cs="Times New Roman"/>
        </w:rPr>
        <w:t xml:space="preserve">also </w:t>
      </w:r>
      <w:r w:rsidR="00FB0C52" w:rsidRPr="00CC3ABA">
        <w:rPr>
          <w:rFonts w:cs="Times New Roman"/>
        </w:rPr>
        <w:t>receive</w:t>
      </w:r>
      <w:r w:rsidR="00DC1C41" w:rsidRPr="00CC3ABA">
        <w:rPr>
          <w:rFonts w:cs="Times New Roman"/>
        </w:rPr>
        <w:t>d</w:t>
      </w:r>
      <w:r w:rsidR="00FB0C52" w:rsidRPr="00CC3ABA">
        <w:rPr>
          <w:rFonts w:cs="Times New Roman"/>
        </w:rPr>
        <w:t xml:space="preserve"> an</w:t>
      </w:r>
      <w:r w:rsidR="00866104" w:rsidRPr="00CC3ABA">
        <w:rPr>
          <w:rFonts w:cs="Times New Roman"/>
        </w:rPr>
        <w:t xml:space="preserve"> explanation o</w:t>
      </w:r>
      <w:r w:rsidR="0052460A" w:rsidRPr="00CC3ABA">
        <w:rPr>
          <w:rFonts w:cs="Times New Roman"/>
        </w:rPr>
        <w:t>n</w:t>
      </w:r>
      <w:r w:rsidR="00866104" w:rsidRPr="00CC3ABA">
        <w:rPr>
          <w:rFonts w:cs="Times New Roman"/>
        </w:rPr>
        <w:t xml:space="preserve"> how to use the product and a ‘guide to e-cigare</w:t>
      </w:r>
      <w:r w:rsidR="00DC1C41" w:rsidRPr="00CC3ABA">
        <w:rPr>
          <w:rFonts w:cs="Times New Roman"/>
        </w:rPr>
        <w:t>ttes’ fact</w:t>
      </w:r>
      <w:r w:rsidR="003C3C0C">
        <w:rPr>
          <w:rFonts w:cs="Times New Roman"/>
        </w:rPr>
        <w:t xml:space="preserve"> </w:t>
      </w:r>
      <w:r w:rsidR="00DC1C41" w:rsidRPr="00CC3ABA">
        <w:rPr>
          <w:rFonts w:cs="Times New Roman"/>
        </w:rPr>
        <w:t xml:space="preserve">sheet. </w:t>
      </w:r>
      <w:r w:rsidR="00866104" w:rsidRPr="00CC3ABA">
        <w:rPr>
          <w:rFonts w:cs="Times New Roman"/>
        </w:rPr>
        <w:t>Participants w</w:t>
      </w:r>
      <w:r w:rsidR="00DC1C41" w:rsidRPr="00CC3ABA">
        <w:rPr>
          <w:rFonts w:cs="Times New Roman"/>
        </w:rPr>
        <w:t xml:space="preserve">ere </w:t>
      </w:r>
      <w:r w:rsidR="00866104" w:rsidRPr="00CC3ABA">
        <w:rPr>
          <w:rFonts w:cs="Times New Roman"/>
        </w:rPr>
        <w:t>given time to try different flavours and nicotine strengths at baseline and be permitted to switch between flavours in accordance w</w:t>
      </w:r>
      <w:r w:rsidR="00796C0A" w:rsidRPr="00CC3ABA">
        <w:rPr>
          <w:rFonts w:cs="Times New Roman"/>
        </w:rPr>
        <w:t>ith documented vaping practices</w:t>
      </w:r>
      <w:r w:rsidR="004A780C">
        <w:rPr>
          <w:rFonts w:cs="Times New Roman"/>
        </w:rPr>
        <w:t xml:space="preserve"> </w:t>
      </w:r>
      <w:r w:rsidR="004A780C">
        <w:rPr>
          <w:rFonts w:cs="Times New Roman"/>
        </w:rPr>
        <w:fldChar w:fldCharType="begin" w:fldLock="1"/>
      </w:r>
      <w:r w:rsidR="00620688">
        <w:rPr>
          <w:rFonts w:cs="Times New Roman"/>
        </w:rPr>
        <w:instrText>ADDIN CSL_CITATION {"citationItems":[{"id":"ITEM-1","itemData":{"DOI":"10.3390/ijerph10127272","ISSN":"16617827","abstract":"Background: A major characteristic of the electronic cigarette (EC) market is the availability of a large number of different flavours. This has been criticised by the public health authorities, some of whom believe that diverse flavours will attract young users and that ECs are a gateway to smoking. At the same time, several reports in the news media mention that the main purpose of flavour marketing is to attract youngsters. The importance of flavourings and their patterns of use by EC consumers have not been adequately evaluated, therefore, the purpose of this survey was to examine and understand the impact of flavourings in the EC experience of dedicated users. Methods: A questionnaire was prepared and uploaded in an online survey tool. EC users were asked to participate irrespective of their current smoking status. Participants were divided according to their smoking status at the time of participation in two subgroups: former smokers and current smokers. Results: In total, 4,618 participants were included in the analysis, with 4,515 reporting current smoking status. The vast majority (91.1%) were former smokers, while current smokers had reduced smoking consumption from 20 to 4 cigarettes per day. Both subgroups had a median smoking history of 22 years and had been using ECs for 12 months. On average they were using three different types of liquid flavours on a regular basis, with former smokers switching between flavours more frequently compared to current smokers; 69.2% of the former subgroup reported doing so on a daily basis or within the day. Fruit flavours were more popular at the time of participation, while tobacco flavours were more popular at initiation of EC use. On a scale from 1 (not at all important) to 5 (extremely important) participants answered that variability of flavours was \"very important\" (score = 4) in their effort to reduce or quit smoking. The majority reported that restricting variability will make ECs less enjoyable and more boring, while 48.5% mentioned that it would increase craving for cigarettes and 39.7% said that it would have been less likely for them to reduce or quit smoking. The number of flavours used was independently associated with smoking cessation. Conclusions: The results of this survey of dedicated users indicate that flavours are marketed in order to satisfy vapers' demand. They appear to contribute to both perceived pleasure and the effort to reduce cigarette consumption or quit smoking. Due to the f…","author":[{"dropping-particle":"","family":"Farsalinos","given":"Konstantinos E.","non-dropping-particle":"","parse-names":false,"suffix":""},{"dropping-particle":"","family":"Romagna","given":"Giorgio","non-dropping-particle":"","parse-names":false,"suffix":""},{"dropping-particle":"","family":"Tsiapras","given":"Dimitris","non-dropping-particle":"","parse-names":false,"suffix":""},{"dropping-particle":"","family":"Kyrzopoulos","given":"Stamatis","non-dropping-particle":"","parse-names":false,"suffix":""},{"dropping-particle":"","family":"Spyrou","given":"Alketa","non-dropping-particle":"","parse-names":false,"suffix":""},{"dropping-particle":"","family":"Voudris","given":"Vassilis","non-dropping-particle":"","parse-names":false,"suffix":""}],"container-title":"International Journal of Environmental Research and Public Health","id":"ITEM-1","issue":"12","issued":{"date-parts":[["2013"]]},"page":"7272-7282","title":"Impact of flavour variability on electronic cigarette use experience: An internet survey","type":"article-journal","volume":"10"},"uris":["http://www.mendeley.com/documents/?uuid=53c3fb9d-5715-4061-90bd-70cdc711b0e6"]}],"mendeley":{"formattedCitation":"[36]","plainTextFormattedCitation":"[36]","previouslyFormattedCitation":"[36]"},"properties":{"noteIndex":0},"schema":"https://github.com/citation-style-language/schema/raw/master/csl-citation.json"}</w:instrText>
      </w:r>
      <w:r w:rsidR="004A780C">
        <w:rPr>
          <w:rFonts w:cs="Times New Roman"/>
        </w:rPr>
        <w:fldChar w:fldCharType="separate"/>
      </w:r>
      <w:r w:rsidR="0077457B" w:rsidRPr="0077457B">
        <w:rPr>
          <w:rFonts w:cs="Times New Roman"/>
          <w:noProof/>
        </w:rPr>
        <w:t>[36]</w:t>
      </w:r>
      <w:r w:rsidR="004A780C">
        <w:rPr>
          <w:rFonts w:cs="Times New Roman"/>
        </w:rPr>
        <w:fldChar w:fldCharType="end"/>
      </w:r>
      <w:r w:rsidR="00866104" w:rsidRPr="00CC3ABA">
        <w:rPr>
          <w:rFonts w:cs="Times New Roman"/>
        </w:rPr>
        <w:t>.</w:t>
      </w:r>
      <w:r w:rsidR="00840AF7">
        <w:rPr>
          <w:rFonts w:cs="Times New Roman"/>
        </w:rPr>
        <w:t xml:space="preserve"> </w:t>
      </w:r>
      <w:r>
        <w:rPr>
          <w:rFonts w:cs="Times New Roman"/>
        </w:rPr>
        <w:t>S</w:t>
      </w:r>
      <w:r w:rsidR="00866104" w:rsidRPr="00CC3ABA">
        <w:rPr>
          <w:rFonts w:cs="Times New Roman"/>
        </w:rPr>
        <w:t>taff</w:t>
      </w:r>
      <w:r w:rsidR="00DC1C41" w:rsidRPr="00CC3ABA">
        <w:rPr>
          <w:rFonts w:cs="Times New Roman"/>
        </w:rPr>
        <w:t xml:space="preserve"> </w:t>
      </w:r>
      <w:r>
        <w:rPr>
          <w:rFonts w:cs="Times New Roman"/>
        </w:rPr>
        <w:t xml:space="preserve">also </w:t>
      </w:r>
      <w:r w:rsidR="00DC1C41" w:rsidRPr="00CC3ABA">
        <w:rPr>
          <w:rFonts w:cs="Times New Roman"/>
        </w:rPr>
        <w:t xml:space="preserve">provided </w:t>
      </w:r>
      <w:r w:rsidR="00866104" w:rsidRPr="00CC3ABA">
        <w:rPr>
          <w:rFonts w:cs="Times New Roman"/>
        </w:rPr>
        <w:t xml:space="preserve">participants with five 10ml bottles of e-liquids </w:t>
      </w:r>
      <w:r>
        <w:rPr>
          <w:rFonts w:cs="Times New Roman"/>
        </w:rPr>
        <w:t xml:space="preserve">(£3 each; </w:t>
      </w:r>
      <w:r w:rsidR="00866104" w:rsidRPr="00CC3ABA">
        <w:rPr>
          <w:rFonts w:cs="Times New Roman"/>
        </w:rPr>
        <w:t>approx. 7mL a day)</w:t>
      </w:r>
      <w:r>
        <w:rPr>
          <w:rFonts w:cs="Times New Roman"/>
        </w:rPr>
        <w:t xml:space="preserve"> for four weeks at weekly intervals</w:t>
      </w:r>
      <w:r w:rsidR="00866104" w:rsidRPr="00CC3ABA">
        <w:rPr>
          <w:rFonts w:cs="Times New Roman"/>
        </w:rPr>
        <w:t xml:space="preserve"> in accordance with the upper level reported i</w:t>
      </w:r>
      <w:r w:rsidR="00E641ED">
        <w:rPr>
          <w:rFonts w:cs="Times New Roman"/>
        </w:rPr>
        <w:t>n the recent UK national survey</w:t>
      </w:r>
      <w:r w:rsidR="004A780C">
        <w:rPr>
          <w:rFonts w:cs="Times New Roman"/>
        </w:rPr>
        <w:t xml:space="preserve"> </w:t>
      </w:r>
      <w:r w:rsidR="004A780C">
        <w:rPr>
          <w:rFonts w:cs="Times New Roman"/>
        </w:rPr>
        <w:fldChar w:fldCharType="begin" w:fldLock="1"/>
      </w:r>
      <w:r w:rsidR="00620688">
        <w:rPr>
          <w:rFonts w:cs="Times New Roman"/>
        </w:rPr>
        <w:instrText>ADDIN CSL_CITATION {"citationItems":[{"id":"ITEM-1","itemData":{"abstract":"ASH Fact Sheet on the use of electronic cigarettes among adults in Great Britain","author":[{"dropping-particle":"","family":"Action on Smoking and Health","given":"","non-dropping-particle":"","parse-names":false,"suffix":""}],"container-title":"ASH Factsheet","id":"ITEM-1","issued":{"date-parts":[["2017"]]},"title":"Use of Electronic Cigarettes (Vapourisers) Among Adults in Great Britain","type":"article-journal"},"uris":["http://www.mendeley.com/documents/?uuid=9572cbaf-cbb0-457c-b712-36a0adc69a2a"]}],"mendeley":{"formattedCitation":"[37]","plainTextFormattedCitation":"[37]","previouslyFormattedCitation":"[37]"},"properties":{"noteIndex":0},"schema":"https://github.com/citation-style-language/schema/raw/master/csl-citation.json"}</w:instrText>
      </w:r>
      <w:r w:rsidR="004A780C">
        <w:rPr>
          <w:rFonts w:cs="Times New Roman"/>
        </w:rPr>
        <w:fldChar w:fldCharType="separate"/>
      </w:r>
      <w:r w:rsidR="0077457B" w:rsidRPr="0077457B">
        <w:rPr>
          <w:rFonts w:cs="Times New Roman"/>
          <w:noProof/>
        </w:rPr>
        <w:t>[37]</w:t>
      </w:r>
      <w:r w:rsidR="004A780C">
        <w:rPr>
          <w:rFonts w:cs="Times New Roman"/>
        </w:rPr>
        <w:fldChar w:fldCharType="end"/>
      </w:r>
      <w:r w:rsidR="0052460A" w:rsidRPr="00CC3ABA">
        <w:rPr>
          <w:rFonts w:cs="Times New Roman"/>
        </w:rPr>
        <w:t xml:space="preserve"> and encouraged EC charging on site.</w:t>
      </w:r>
    </w:p>
    <w:p w14:paraId="5DE7DCD8" w14:textId="22AB74A2" w:rsidR="00866104" w:rsidRPr="00E879B4" w:rsidRDefault="00E32870" w:rsidP="00DC1C41">
      <w:pPr>
        <w:spacing w:after="160" w:line="480" w:lineRule="auto"/>
        <w:jc w:val="both"/>
        <w:rPr>
          <w:rFonts w:cs="Times New Roman"/>
          <w:sz w:val="28"/>
          <w:szCs w:val="28"/>
        </w:rPr>
      </w:pPr>
      <w:r w:rsidRPr="00E879B4">
        <w:rPr>
          <w:rFonts w:cs="Times New Roman"/>
          <w:b/>
          <w:sz w:val="28"/>
          <w:szCs w:val="28"/>
        </w:rPr>
        <w:t xml:space="preserve">Control </w:t>
      </w:r>
      <w:r w:rsidR="00E450D7" w:rsidRPr="00E879B4">
        <w:rPr>
          <w:rFonts w:cs="Times New Roman"/>
          <w:b/>
          <w:sz w:val="28"/>
          <w:szCs w:val="28"/>
        </w:rPr>
        <w:t>a</w:t>
      </w:r>
      <w:r w:rsidRPr="00E879B4">
        <w:rPr>
          <w:rFonts w:cs="Times New Roman"/>
          <w:b/>
          <w:sz w:val="28"/>
          <w:szCs w:val="28"/>
        </w:rPr>
        <w:t>rm</w:t>
      </w:r>
      <w:r w:rsidR="00866104" w:rsidRPr="00E879B4">
        <w:rPr>
          <w:rFonts w:cs="Times New Roman"/>
          <w:b/>
          <w:sz w:val="28"/>
          <w:szCs w:val="28"/>
        </w:rPr>
        <w:t xml:space="preserve"> – </w:t>
      </w:r>
      <w:r w:rsidR="00E450D7" w:rsidRPr="00E879B4">
        <w:rPr>
          <w:rFonts w:cs="Times New Roman"/>
          <w:b/>
          <w:sz w:val="28"/>
          <w:szCs w:val="28"/>
        </w:rPr>
        <w:t>u</w:t>
      </w:r>
      <w:r w:rsidR="00866104" w:rsidRPr="00E879B4">
        <w:rPr>
          <w:rFonts w:cs="Times New Roman"/>
          <w:b/>
          <w:sz w:val="28"/>
          <w:szCs w:val="28"/>
        </w:rPr>
        <w:t xml:space="preserve">sual </w:t>
      </w:r>
      <w:r w:rsidR="00E450D7" w:rsidRPr="00E879B4">
        <w:rPr>
          <w:rFonts w:cs="Times New Roman"/>
          <w:b/>
          <w:sz w:val="28"/>
          <w:szCs w:val="28"/>
        </w:rPr>
        <w:t>c</w:t>
      </w:r>
      <w:r w:rsidR="00866104" w:rsidRPr="00E879B4">
        <w:rPr>
          <w:rFonts w:cs="Times New Roman"/>
          <w:b/>
          <w:sz w:val="28"/>
          <w:szCs w:val="28"/>
        </w:rPr>
        <w:t xml:space="preserve">are </w:t>
      </w:r>
    </w:p>
    <w:p w14:paraId="23102463" w14:textId="614BD2C0" w:rsidR="00866104" w:rsidRPr="00CC3ABA" w:rsidRDefault="00E32870" w:rsidP="00DC1C41">
      <w:pPr>
        <w:spacing w:after="160" w:line="480" w:lineRule="auto"/>
        <w:jc w:val="both"/>
        <w:rPr>
          <w:rFonts w:cs="Times New Roman"/>
        </w:rPr>
      </w:pPr>
      <w:r>
        <w:rPr>
          <w:rFonts w:cs="Times New Roman"/>
        </w:rPr>
        <w:t>Those in the control arm</w:t>
      </w:r>
      <w:r w:rsidR="00DC1C41" w:rsidRPr="00CC3ABA">
        <w:rPr>
          <w:rFonts w:cs="Times New Roman"/>
        </w:rPr>
        <w:t xml:space="preserve"> were</w:t>
      </w:r>
      <w:r w:rsidR="00866104" w:rsidRPr="00CC3ABA">
        <w:rPr>
          <w:rFonts w:cs="Times New Roman"/>
        </w:rPr>
        <w:t xml:space="preserve"> recruited in th</w:t>
      </w:r>
      <w:r w:rsidR="00F366E9">
        <w:rPr>
          <w:rFonts w:cs="Times New Roman"/>
        </w:rPr>
        <w:t>e same way as intervention arm</w:t>
      </w:r>
      <w:r w:rsidR="00866104" w:rsidRPr="00CC3ABA">
        <w:rPr>
          <w:rFonts w:cs="Times New Roman"/>
        </w:rPr>
        <w:t xml:space="preserve"> (EC) participants</w:t>
      </w:r>
      <w:r w:rsidR="00BF4E98" w:rsidRPr="00CC3ABA">
        <w:rPr>
          <w:rFonts w:cs="Times New Roman"/>
        </w:rPr>
        <w:t xml:space="preserve"> and receive</w:t>
      </w:r>
      <w:r w:rsidR="00DC1C41" w:rsidRPr="00CC3ABA">
        <w:rPr>
          <w:rFonts w:cs="Times New Roman"/>
        </w:rPr>
        <w:t>d</w:t>
      </w:r>
      <w:r w:rsidR="00BF4E98" w:rsidRPr="00CC3ABA">
        <w:rPr>
          <w:rFonts w:cs="Times New Roman"/>
        </w:rPr>
        <w:t xml:space="preserve"> the same study information sheet and consent form.</w:t>
      </w:r>
      <w:r w:rsidR="00840AF7">
        <w:rPr>
          <w:rFonts w:cs="Times New Roman"/>
        </w:rPr>
        <w:t xml:space="preserve"> </w:t>
      </w:r>
      <w:r w:rsidR="00BF4E98" w:rsidRPr="00CC3ABA">
        <w:rPr>
          <w:rFonts w:cs="Times New Roman"/>
        </w:rPr>
        <w:t xml:space="preserve">After </w:t>
      </w:r>
      <w:r w:rsidR="00796C0A" w:rsidRPr="00CC3ABA">
        <w:rPr>
          <w:rFonts w:cs="Times New Roman"/>
        </w:rPr>
        <w:t>meeting</w:t>
      </w:r>
      <w:r w:rsidR="00BF4E98" w:rsidRPr="00CC3ABA">
        <w:rPr>
          <w:rFonts w:cs="Times New Roman"/>
        </w:rPr>
        <w:t xml:space="preserve"> the researcher to provide baseline information and being informed</w:t>
      </w:r>
      <w:r w:rsidR="00F366E9">
        <w:rPr>
          <w:rFonts w:cs="Times New Roman"/>
        </w:rPr>
        <w:t xml:space="preserve"> they are in the UC arm</w:t>
      </w:r>
      <w:r w:rsidR="00BF4E98" w:rsidRPr="00CC3ABA">
        <w:rPr>
          <w:rFonts w:cs="Times New Roman"/>
        </w:rPr>
        <w:t>, participa</w:t>
      </w:r>
      <w:r w:rsidR="0058638D" w:rsidRPr="00CC3ABA">
        <w:rPr>
          <w:rFonts w:cs="Times New Roman"/>
        </w:rPr>
        <w:t xml:space="preserve">nts </w:t>
      </w:r>
      <w:r w:rsidR="00DC1C41" w:rsidRPr="00CC3ABA">
        <w:rPr>
          <w:rFonts w:cs="Times New Roman"/>
        </w:rPr>
        <w:t xml:space="preserve">were </w:t>
      </w:r>
      <w:r w:rsidR="0058638D" w:rsidRPr="00CC3ABA">
        <w:rPr>
          <w:rFonts w:cs="Times New Roman"/>
        </w:rPr>
        <w:t>referred to the</w:t>
      </w:r>
      <w:r w:rsidR="00105A30">
        <w:rPr>
          <w:rFonts w:cs="Times New Roman"/>
        </w:rPr>
        <w:t>ir</w:t>
      </w:r>
      <w:r w:rsidR="0058638D" w:rsidRPr="00CC3ABA">
        <w:rPr>
          <w:rFonts w:cs="Times New Roman"/>
        </w:rPr>
        <w:t xml:space="preserve"> key</w:t>
      </w:r>
      <w:r w:rsidR="00BF4E98" w:rsidRPr="00CC3ABA">
        <w:rPr>
          <w:rFonts w:cs="Times New Roman"/>
        </w:rPr>
        <w:t>worker</w:t>
      </w:r>
      <w:r w:rsidR="00105A30">
        <w:rPr>
          <w:rFonts w:cs="Times New Roman"/>
        </w:rPr>
        <w:t>/other homeless centre staff</w:t>
      </w:r>
      <w:r w:rsidR="00BF4E98" w:rsidRPr="00CC3ABA">
        <w:rPr>
          <w:rFonts w:cs="Times New Roman"/>
        </w:rPr>
        <w:t xml:space="preserve"> </w:t>
      </w:r>
      <w:r w:rsidR="00E3669F">
        <w:rPr>
          <w:rFonts w:cs="Times New Roman"/>
        </w:rPr>
        <w:t xml:space="preserve">for an individual appointment </w:t>
      </w:r>
      <w:r w:rsidR="00BF4E98" w:rsidRPr="00CC3ABA">
        <w:rPr>
          <w:rFonts w:cs="Times New Roman"/>
        </w:rPr>
        <w:t xml:space="preserve">to receive </w:t>
      </w:r>
      <w:r w:rsidR="0058638D" w:rsidRPr="00CC3ABA">
        <w:rPr>
          <w:rFonts w:cs="Times New Roman"/>
        </w:rPr>
        <w:t xml:space="preserve">brief </w:t>
      </w:r>
      <w:r w:rsidR="00866104" w:rsidRPr="00CC3ABA">
        <w:rPr>
          <w:rFonts w:cs="Times New Roman"/>
        </w:rPr>
        <w:t>advice to quit</w:t>
      </w:r>
      <w:r w:rsidR="0058638D" w:rsidRPr="00CC3ABA">
        <w:rPr>
          <w:rFonts w:cs="Times New Roman"/>
        </w:rPr>
        <w:t xml:space="preserve">, </w:t>
      </w:r>
      <w:r w:rsidR="00866104" w:rsidRPr="00CC3ABA">
        <w:rPr>
          <w:rFonts w:cs="Times New Roman"/>
        </w:rPr>
        <w:t xml:space="preserve">and a ‘help-quit’ leaflet </w:t>
      </w:r>
      <w:r w:rsidR="00E32C27">
        <w:rPr>
          <w:rFonts w:cs="Times New Roman"/>
        </w:rPr>
        <w:t>(adapted from the NHS Choices website</w:t>
      </w:r>
      <w:r w:rsidR="009378C2">
        <w:rPr>
          <w:rFonts w:cs="Times New Roman"/>
        </w:rPr>
        <w:t xml:space="preserve"> </w:t>
      </w:r>
      <w:r w:rsidR="009378C2">
        <w:rPr>
          <w:rFonts w:cs="Times New Roman"/>
        </w:rPr>
        <w:fldChar w:fldCharType="begin" w:fldLock="1"/>
      </w:r>
      <w:r w:rsidR="00620688">
        <w:rPr>
          <w:rFonts w:cs="Times New Roman"/>
        </w:rPr>
        <w:instrText>ADDIN CSL_CITATION {"citationItems":[{"id":"ITEM-1","itemData":{"URL":"https://www.nhs.uk/live-well/quit-smoking/","accessed":{"date-parts":[["2020","6","17"]]},"author":[{"dropping-particle":"","family":"National Health Service","given":"","non-dropping-particle":"","parse-names":false,"suffix":""}],"container-title":"Live Well","id":"ITEM-1","issued":{"date-parts":[["2018"]]},"title":"Quit Smoking","type":"webpage"},"uris":["http://www.mendeley.com/documents/?uuid=e508d4ff-6bef-43c7-8bd0-38ba82486ded"]}],"mendeley":{"formattedCitation":"[38]","plainTextFormattedCitation":"[38]","previouslyFormattedCitation":"[38]"},"properties":{"noteIndex":0},"schema":"https://github.com/citation-style-language/schema/raw/master/csl-citation.json"}</w:instrText>
      </w:r>
      <w:r w:rsidR="009378C2">
        <w:rPr>
          <w:rFonts w:cs="Times New Roman"/>
        </w:rPr>
        <w:fldChar w:fldCharType="separate"/>
      </w:r>
      <w:r w:rsidR="0077457B" w:rsidRPr="0077457B">
        <w:rPr>
          <w:rFonts w:cs="Times New Roman"/>
          <w:noProof/>
        </w:rPr>
        <w:t>[38]</w:t>
      </w:r>
      <w:r w:rsidR="009378C2">
        <w:rPr>
          <w:rFonts w:cs="Times New Roman"/>
        </w:rPr>
        <w:fldChar w:fldCharType="end"/>
      </w:r>
      <w:r w:rsidR="00E32C27">
        <w:rPr>
          <w:rFonts w:cs="Times New Roman"/>
        </w:rPr>
        <w:t xml:space="preserve">) </w:t>
      </w:r>
      <w:r w:rsidR="00866104" w:rsidRPr="00CC3ABA">
        <w:rPr>
          <w:rFonts w:cs="Times New Roman"/>
        </w:rPr>
        <w:t>including information about the location and opening hours of the local SSS.</w:t>
      </w:r>
      <w:r w:rsidR="00840AF7">
        <w:rPr>
          <w:rFonts w:cs="Times New Roman"/>
        </w:rPr>
        <w:t xml:space="preserve"> </w:t>
      </w:r>
      <w:r w:rsidR="00866104" w:rsidRPr="00CC3ABA">
        <w:rPr>
          <w:rFonts w:cs="Times New Roman"/>
        </w:rPr>
        <w:t>Paper copies of the help-quit leaflet</w:t>
      </w:r>
      <w:r w:rsidR="00DC1C41" w:rsidRPr="00CC3ABA">
        <w:rPr>
          <w:rFonts w:cs="Times New Roman"/>
        </w:rPr>
        <w:t xml:space="preserve"> (with SSS contact details) were</w:t>
      </w:r>
      <w:r w:rsidR="00866104" w:rsidRPr="00CC3ABA">
        <w:rPr>
          <w:rFonts w:cs="Times New Roman"/>
        </w:rPr>
        <w:t xml:space="preserve"> available as posters/flyers at homeless centres.</w:t>
      </w:r>
      <w:r w:rsidR="00840AF7">
        <w:rPr>
          <w:rFonts w:cs="Times New Roman"/>
        </w:rPr>
        <w:t xml:space="preserve"> </w:t>
      </w:r>
    </w:p>
    <w:p w14:paraId="3D509C3E" w14:textId="6B17AAB2" w:rsidR="00DC1C41" w:rsidRDefault="00DC1C41" w:rsidP="00DC1C41">
      <w:pPr>
        <w:spacing w:before="40" w:line="480" w:lineRule="auto"/>
        <w:jc w:val="both"/>
        <w:rPr>
          <w:rFonts w:cs="Times New Roman"/>
        </w:rPr>
      </w:pPr>
      <w:r w:rsidRPr="00CC3ABA">
        <w:rPr>
          <w:rFonts w:cs="Times New Roman"/>
        </w:rPr>
        <w:t>To support engagement, all participant</w:t>
      </w:r>
      <w:r w:rsidR="00C150BF">
        <w:rPr>
          <w:rFonts w:cs="Times New Roman"/>
        </w:rPr>
        <w:t>s</w:t>
      </w:r>
      <w:r w:rsidRPr="00CC3ABA">
        <w:rPr>
          <w:rFonts w:cs="Times New Roman"/>
        </w:rPr>
        <w:t xml:space="preserve"> were compensated with a £15 voucher for attending each follow-up assessment as this has been shown to improve retention in othe</w:t>
      </w:r>
      <w:r w:rsidR="00E641ED">
        <w:rPr>
          <w:rFonts w:cs="Times New Roman"/>
        </w:rPr>
        <w:t>r studies with homeless smokers</w:t>
      </w:r>
      <w:r w:rsidR="007218B9">
        <w:rPr>
          <w:rFonts w:cs="Times New Roman"/>
        </w:rPr>
        <w:t xml:space="preserve"> </w:t>
      </w:r>
      <w:r w:rsidR="007218B9">
        <w:rPr>
          <w:rFonts w:cs="Times New Roman"/>
        </w:rPr>
        <w:fldChar w:fldCharType="begin" w:fldLock="1"/>
      </w:r>
      <w:r w:rsidR="00620688">
        <w:rPr>
          <w:rFonts w:cs="Times New Roman"/>
        </w:rPr>
        <w:instrText>ADDIN CSL_CITATION {"citationItems":[{"id":"ITEM-1","itemData":{"DOI":"10.1093/ntr/ntx178","ISSN":"1469994X","abstract":"Introduction: Three-quarters of homeless people smoke cigarettes. Financial incentives for smoking abstinence have appeared promising in nonexperimental studies of homeless smokers, but randomized controlled trial (RCT) data are lacking. Methods: We conducted a pilot RCT of financial incentives for homeless smokers. Incentive arm participants (N = 25) could earn escalating $15–$35 rewards for brief smoking abstinence (exhaled carbon monoxide &lt;8 parts per million) assessed 14 times over 8 weeks. Control arm participants (N = 25) were given $10 at each assessment regardless of abstinence. All participants were offered nicotine patches and counseling. The primary outcome was a repeated measure of brief smoking abstinence across 14 assessments. The secondary outcome was brief abstinence at 8 weeks. Exploratory outcomes were self-reported 1-day and 7-day abstinence from (1) any cigarette and (2) any puff of a cigarette. Other outcomes included 24-hour quit attempts, nicotine patch use, counseling attendance, and changes in alcohol and drug use. Results: Compared to control, incentive arm participants were more likely to achieve brief abstinence overall (odds ratio 7.28, 95% confidence interval 2.89 to 18.3) and at 8 weeks (48% vs. 8%, p = .004). Similar effects were seen for 1-day abstinence, but 7-day puff abstinence was negligible in both arms. Incentive arm participants made more quit attempts (p = .03). Nicotine patch use and counseling attendance were not significantly different between the groups. Alcohol and drug use did not change significantly in either group. Conclusions: Among homeless smokers, financial incentives increased brief smoking abstinence and quit attempts without worsening substance use. This approach merits further development focused on promoting sustained abstinence.","author":[{"dropping-particle":"","family":"Baggett","given":"Travis P.","non-dropping-particle":"","parse-names":false,"suffix":""},{"dropping-particle":"","family":"Chang","given":"Yuchiao","non-dropping-particle":"","parse-names":false,"suffix":""},{"dropping-particle":"","family":"Yaqubi","given":"Awesta","non-dropping-particle":"","parse-names":false,"suffix":""},{"dropping-particle":"","family":"McGlave","given":"Claire","non-dropping-particle":"","parse-names":false,"suffix":""},{"dropping-particle":"","family":"Higgins","given":"Stephen T.","non-dropping-particle":"","parse-names":false,"suffix":""},{"dropping-particle":"","family":"Rigotti","given":"Nancy A.","non-dropping-particle":"","parse-names":false,"suffix":""}],"container-title":"Nicotine and Tobacco Research","id":"ITEM-1","issued":{"date-parts":[["2018"]]},"title":"Financial incentives for smoking abstinence in homeless smokers: A pilot randomized controlled trial","type":"article-journal"},"uris":["http://www.mendeley.com/documents/?uuid=8d81e7c1-3919-4fdf-824d-c0dabedb3a69"]},{"id":"ITEM-2","itemData":{"DOI":"10.1093/ntr/ntu210","ISSN":"1469994X","abstract":"Introduction: Concerns about retention are a major barrier to conducting studies enrolling homeless individuals. Since smoking is a major problem in homeless communities and research on effective methods of promoting smoking cessation is needed, we describe strategies used to increase retention and participant characteristics associated with retention in smoking cessation study enrolling homeless adults. Methods: The parent study was a 2-group randomized controlled trial with 26-week follow-up enrolling 430 homeless smokers from emergency shelters and transitional housing units in Minneapolis/Saint Paul, MN, USA. Multiple strategies were used to increase retention, including conducting visits at convenient locations for participants, collecting several forms of contact information from participants, using a schedule that was flexible and included frequent low-intensity visits, and providing incentives. Participant demographics as well as characteristics related to tobacco and drug use and health status were analyzed for associations with retention using univariate and multivariate analysis. Results: Overall retention was 75% at 26 weeks. Factors associated with increased retention included greater age; having healthcare coverage; history of multiple homeless episodes, lower stress level; and higher PHQ-9 (Patient Health Questionnaire-9) score. A history of excessive drinking and drug use were associated with decreased retention. Conclusions: It is possible to successfully retain homeless individuals in a smoking cessation study if the study is designed with participants' needs in mind.","author":[{"dropping-particle":"","family":"Richards","given":"Christina M.","non-dropping-particle":"","parse-names":false,"suffix":""},{"dropping-particle":"","family":"Sharif","given":"Faduma","non-dropping-particle":"","parse-names":false,"suffix":""},{"dropping-particle":"","family":"Eischen","given":"Sara","non-dropping-particle":"","parse-names":false,"suffix":""},{"dropping-particle":"","family":"Thomas","given":"Janet","non-dropping-particle":"","parse-names":false,"suffix":""},{"dropping-particle":"","family":"Wang","given":"Qi","non-dropping-particle":"","parse-names":false,"suffix":""},{"dropping-particle":"","family":"Guo","given":"Hongfei","non-dropping-particle":"","parse-names":false,"suffix":""},{"dropping-particle":"","family":"Luo","given":"Xianghua","non-dropping-particle":"","parse-names":false,"suffix":""},{"dropping-particle":"","family":"Okuyemi","given":"Kolawole","non-dropping-particle":"","parse-names":false,"suffix":""}],"container-title":"Nicotine and Tobacco Research","id":"ITEM-2","issue":"9","issued":{"date-parts":[["2015","10","9"]]},"page":"1104-1111","title":"Retention of homeless smokers in the Power to Quit study","type":"article-journal","volume":"17"},"uris":["http://www.mendeley.com/documents/?uuid=761c3337-6982-4c5c-96f6-bd7de9cf733e"]}],"mendeley":{"formattedCitation":"[39,40]","plainTextFormattedCitation":"[39,40]","previouslyFormattedCitation":"[39,40]"},"properties":{"noteIndex":0},"schema":"https://github.com/citation-style-language/schema/raw/master/csl-citation.json"}</w:instrText>
      </w:r>
      <w:r w:rsidR="007218B9">
        <w:rPr>
          <w:rFonts w:cs="Times New Roman"/>
        </w:rPr>
        <w:fldChar w:fldCharType="separate"/>
      </w:r>
      <w:r w:rsidR="0077457B" w:rsidRPr="0077457B">
        <w:rPr>
          <w:rFonts w:cs="Times New Roman"/>
          <w:noProof/>
        </w:rPr>
        <w:t>[39,40]</w:t>
      </w:r>
      <w:r w:rsidR="007218B9">
        <w:rPr>
          <w:rFonts w:cs="Times New Roman"/>
        </w:rPr>
        <w:fldChar w:fldCharType="end"/>
      </w:r>
      <w:r w:rsidRPr="00CC3ABA">
        <w:rPr>
          <w:rFonts w:cs="Times New Roman"/>
        </w:rPr>
        <w:t xml:space="preserve">. </w:t>
      </w:r>
    </w:p>
    <w:p w14:paraId="05FC5984" w14:textId="77777777" w:rsidR="00610D2B" w:rsidRPr="00CC3ABA" w:rsidRDefault="00610D2B" w:rsidP="00DC1C41">
      <w:pPr>
        <w:spacing w:before="40" w:line="480" w:lineRule="auto"/>
        <w:jc w:val="both"/>
        <w:rPr>
          <w:rFonts w:cs="Times New Roman"/>
        </w:rPr>
      </w:pPr>
    </w:p>
    <w:p w14:paraId="5886CBCA" w14:textId="1B776BEC" w:rsidR="0052460A" w:rsidRPr="00E879B4" w:rsidRDefault="003F43E5" w:rsidP="0052460A">
      <w:pPr>
        <w:spacing w:before="40" w:after="60" w:line="480" w:lineRule="auto"/>
        <w:jc w:val="both"/>
        <w:rPr>
          <w:rFonts w:cs="Times New Roman"/>
          <w:b/>
          <w:sz w:val="28"/>
          <w:szCs w:val="28"/>
        </w:rPr>
      </w:pPr>
      <w:r w:rsidRPr="00E879B4">
        <w:rPr>
          <w:rFonts w:cs="Times New Roman"/>
          <w:b/>
          <w:sz w:val="28"/>
          <w:szCs w:val="28"/>
        </w:rPr>
        <w:t xml:space="preserve">Staff </w:t>
      </w:r>
      <w:r w:rsidR="00E450D7" w:rsidRPr="00E879B4">
        <w:rPr>
          <w:rFonts w:cs="Times New Roman"/>
          <w:b/>
          <w:sz w:val="28"/>
          <w:szCs w:val="28"/>
        </w:rPr>
        <w:t>t</w:t>
      </w:r>
      <w:r w:rsidRPr="00E879B4">
        <w:rPr>
          <w:rFonts w:cs="Times New Roman"/>
          <w:b/>
          <w:sz w:val="28"/>
          <w:szCs w:val="28"/>
        </w:rPr>
        <w:t>raining</w:t>
      </w:r>
      <w:r w:rsidR="00E641ED" w:rsidRPr="00E879B4">
        <w:rPr>
          <w:rFonts w:cs="Times New Roman"/>
          <w:b/>
          <w:sz w:val="28"/>
          <w:szCs w:val="28"/>
        </w:rPr>
        <w:t xml:space="preserve"> and</w:t>
      </w:r>
      <w:r w:rsidR="0052460A" w:rsidRPr="00E879B4">
        <w:rPr>
          <w:rFonts w:cs="Times New Roman"/>
          <w:b/>
          <w:sz w:val="28"/>
          <w:szCs w:val="28"/>
        </w:rPr>
        <w:t xml:space="preserve"> </w:t>
      </w:r>
      <w:r w:rsidR="00E450D7" w:rsidRPr="00E879B4">
        <w:rPr>
          <w:rFonts w:cs="Times New Roman"/>
          <w:b/>
          <w:sz w:val="28"/>
          <w:szCs w:val="28"/>
        </w:rPr>
        <w:t>d</w:t>
      </w:r>
      <w:r w:rsidR="0052460A" w:rsidRPr="00E879B4">
        <w:rPr>
          <w:rFonts w:cs="Times New Roman"/>
          <w:b/>
          <w:sz w:val="28"/>
          <w:szCs w:val="28"/>
        </w:rPr>
        <w:t xml:space="preserve">elivery of the </w:t>
      </w:r>
      <w:r w:rsidR="00E450D7" w:rsidRPr="00E879B4">
        <w:rPr>
          <w:rFonts w:cs="Times New Roman"/>
          <w:b/>
          <w:sz w:val="28"/>
          <w:szCs w:val="28"/>
        </w:rPr>
        <w:t>i</w:t>
      </w:r>
      <w:r w:rsidR="0052460A" w:rsidRPr="00E879B4">
        <w:rPr>
          <w:rFonts w:cs="Times New Roman"/>
          <w:b/>
          <w:sz w:val="28"/>
          <w:szCs w:val="28"/>
        </w:rPr>
        <w:t>ntervention:</w:t>
      </w:r>
    </w:p>
    <w:p w14:paraId="4644F959" w14:textId="18254117" w:rsidR="0052460A" w:rsidRPr="00CC3ABA" w:rsidRDefault="0052460A" w:rsidP="0052460A">
      <w:pPr>
        <w:spacing w:after="160" w:line="480" w:lineRule="auto"/>
        <w:jc w:val="both"/>
        <w:rPr>
          <w:rFonts w:cs="Times New Roman"/>
        </w:rPr>
      </w:pPr>
      <w:r w:rsidRPr="673553EE">
        <w:rPr>
          <w:rFonts w:cs="Times New Roman"/>
        </w:rPr>
        <w:t xml:space="preserve">The research team provided </w:t>
      </w:r>
      <w:r w:rsidR="003F43E5" w:rsidRPr="673553EE">
        <w:rPr>
          <w:rFonts w:cs="Times New Roman"/>
        </w:rPr>
        <w:t xml:space="preserve">education and </w:t>
      </w:r>
      <w:r w:rsidRPr="673553EE">
        <w:rPr>
          <w:rFonts w:cs="Times New Roman"/>
        </w:rPr>
        <w:t>training for staff at each centre</w:t>
      </w:r>
      <w:r w:rsidR="00E641ED">
        <w:rPr>
          <w:rFonts w:cs="Times New Roman"/>
        </w:rPr>
        <w:t xml:space="preserve"> </w:t>
      </w:r>
      <w:r w:rsidR="00F0601B" w:rsidRPr="673553EE">
        <w:rPr>
          <w:rFonts w:cs="Times New Roman"/>
        </w:rPr>
        <w:t>one to two weeks</w:t>
      </w:r>
      <w:r w:rsidR="003F43E5" w:rsidRPr="673553EE">
        <w:rPr>
          <w:rFonts w:cs="Times New Roman"/>
        </w:rPr>
        <w:t xml:space="preserve"> prior</w:t>
      </w:r>
      <w:r w:rsidR="00E641ED">
        <w:rPr>
          <w:rFonts w:cs="Times New Roman"/>
        </w:rPr>
        <w:t xml:space="preserve"> </w:t>
      </w:r>
      <w:r w:rsidR="003F43E5" w:rsidRPr="673553EE">
        <w:rPr>
          <w:rFonts w:cs="Times New Roman"/>
        </w:rPr>
        <w:t xml:space="preserve">to </w:t>
      </w:r>
      <w:r w:rsidRPr="673553EE">
        <w:rPr>
          <w:rFonts w:cs="Times New Roman"/>
        </w:rPr>
        <w:t>the beginning of the recruitment</w:t>
      </w:r>
      <w:r w:rsidR="00411A12">
        <w:rPr>
          <w:rFonts w:cs="Times New Roman"/>
        </w:rPr>
        <w:t xml:space="preserve"> period.</w:t>
      </w:r>
      <w:r w:rsidR="00E641ED">
        <w:rPr>
          <w:rFonts w:cs="Times New Roman"/>
        </w:rPr>
        <w:t xml:space="preserve"> </w:t>
      </w:r>
      <w:r w:rsidR="003F43E5" w:rsidRPr="673553EE">
        <w:rPr>
          <w:rFonts w:cs="Times New Roman"/>
        </w:rPr>
        <w:t xml:space="preserve">Training lasted approximately </w:t>
      </w:r>
      <w:r w:rsidR="00F0601B" w:rsidRPr="673553EE">
        <w:rPr>
          <w:rFonts w:cs="Times New Roman"/>
        </w:rPr>
        <w:t xml:space="preserve">75 minutes for staff in the UC arm and </w:t>
      </w:r>
      <w:r w:rsidR="00B92A1D">
        <w:rPr>
          <w:rFonts w:cs="Times New Roman"/>
        </w:rPr>
        <w:t>three</w:t>
      </w:r>
      <w:r w:rsidR="003F43E5" w:rsidRPr="673553EE">
        <w:rPr>
          <w:rFonts w:cs="Times New Roman"/>
        </w:rPr>
        <w:t xml:space="preserve"> hours for</w:t>
      </w:r>
      <w:r w:rsidR="00F0601B" w:rsidRPr="673553EE">
        <w:rPr>
          <w:rFonts w:cs="Times New Roman"/>
        </w:rPr>
        <w:t xml:space="preserve"> those</w:t>
      </w:r>
      <w:r w:rsidR="003F43E5" w:rsidRPr="673553EE">
        <w:rPr>
          <w:rFonts w:cs="Times New Roman"/>
        </w:rPr>
        <w:t xml:space="preserve"> in the EC arm</w:t>
      </w:r>
      <w:r w:rsidR="00F0601B" w:rsidRPr="673553EE">
        <w:rPr>
          <w:rFonts w:cs="Times New Roman"/>
        </w:rPr>
        <w:t xml:space="preserve">. Content for both groups of staff included information on prevalence and patterns of smoking among the wider population and people experiencing </w:t>
      </w:r>
      <w:r w:rsidR="004E6B42" w:rsidRPr="673553EE">
        <w:rPr>
          <w:rFonts w:cs="Times New Roman"/>
        </w:rPr>
        <w:t>homelessness,</w:t>
      </w:r>
      <w:r w:rsidR="00F0601B" w:rsidRPr="673553EE">
        <w:rPr>
          <w:rFonts w:cs="Times New Roman"/>
        </w:rPr>
        <w:t xml:space="preserve"> the </w:t>
      </w:r>
      <w:r w:rsidR="00F65267" w:rsidRPr="673553EE">
        <w:rPr>
          <w:rFonts w:cs="Times New Roman"/>
        </w:rPr>
        <w:t>harmful effects of smoking and benefits of quitting. The UC group received information on the role of stop smoking services and how to make a referral to local services. The EC group received information and practical advice on EC, specifically the evidence base of their use among the wi</w:t>
      </w:r>
      <w:r w:rsidR="004E6B42" w:rsidRPr="673553EE">
        <w:rPr>
          <w:rFonts w:cs="Times New Roman"/>
        </w:rPr>
        <w:t>d</w:t>
      </w:r>
      <w:r w:rsidR="00F65267" w:rsidRPr="673553EE">
        <w:rPr>
          <w:rFonts w:cs="Times New Roman"/>
        </w:rPr>
        <w:t xml:space="preserve">er population, effectiveness and safety. Also within the training session, the EC group staff were provided with information about how to deliver correct advice about EC to participants </w:t>
      </w:r>
      <w:r w:rsidR="004E6B42" w:rsidRPr="673553EE">
        <w:rPr>
          <w:rFonts w:cs="Times New Roman"/>
        </w:rPr>
        <w:t xml:space="preserve">and </w:t>
      </w:r>
      <w:r w:rsidR="00F65267" w:rsidRPr="673553EE">
        <w:rPr>
          <w:rFonts w:cs="Times New Roman"/>
        </w:rPr>
        <w:t xml:space="preserve">given </w:t>
      </w:r>
      <w:r w:rsidRPr="673553EE">
        <w:rPr>
          <w:rFonts w:cs="Times New Roman"/>
        </w:rPr>
        <w:t xml:space="preserve">a practical hands-on demonstration relating to aspects of </w:t>
      </w:r>
      <w:r w:rsidR="00F65267" w:rsidRPr="673553EE">
        <w:rPr>
          <w:rFonts w:cs="Times New Roman"/>
        </w:rPr>
        <w:t xml:space="preserve">EC assembly, </w:t>
      </w:r>
      <w:r w:rsidRPr="673553EE">
        <w:rPr>
          <w:rFonts w:cs="Times New Roman"/>
        </w:rPr>
        <w:t xml:space="preserve">use, charging and battery safety. </w:t>
      </w:r>
      <w:r w:rsidR="009378C2">
        <w:rPr>
          <w:rFonts w:cs="Times New Roman"/>
        </w:rPr>
        <w:t>Staff providing EC keywork sessions were given additional coaching and shadowing opportunities with the researcher.</w:t>
      </w:r>
      <w:r w:rsidRPr="673553EE">
        <w:rPr>
          <w:rFonts w:cs="Times New Roman"/>
        </w:rPr>
        <w:t xml:space="preserve"> </w:t>
      </w:r>
    </w:p>
    <w:p w14:paraId="5F1E9390" w14:textId="77777777" w:rsidR="0052460A" w:rsidRPr="00CC3ABA" w:rsidRDefault="0052460A" w:rsidP="0052460A">
      <w:pPr>
        <w:spacing w:line="480" w:lineRule="auto"/>
        <w:jc w:val="both"/>
        <w:rPr>
          <w:rFonts w:cs="Times New Roman"/>
          <w:b/>
        </w:rPr>
      </w:pPr>
    </w:p>
    <w:p w14:paraId="330FD90D" w14:textId="77777777" w:rsidR="003F599F" w:rsidRPr="00E879B4" w:rsidRDefault="00F04D94" w:rsidP="0052460A">
      <w:pPr>
        <w:spacing w:line="480" w:lineRule="auto"/>
        <w:jc w:val="both"/>
        <w:rPr>
          <w:rFonts w:cs="Times New Roman"/>
          <w:b/>
          <w:sz w:val="32"/>
          <w:szCs w:val="32"/>
        </w:rPr>
      </w:pPr>
      <w:r w:rsidRPr="00E879B4">
        <w:rPr>
          <w:rFonts w:cs="Times New Roman"/>
          <w:b/>
          <w:sz w:val="32"/>
          <w:szCs w:val="32"/>
        </w:rPr>
        <w:t>Data C</w:t>
      </w:r>
      <w:r w:rsidR="00CB4B53" w:rsidRPr="00E879B4">
        <w:rPr>
          <w:rFonts w:cs="Times New Roman"/>
          <w:b/>
          <w:sz w:val="32"/>
          <w:szCs w:val="32"/>
        </w:rPr>
        <w:t xml:space="preserve">ollection / </w:t>
      </w:r>
      <w:r w:rsidR="0052460A" w:rsidRPr="00E879B4">
        <w:rPr>
          <w:rFonts w:cs="Times New Roman"/>
          <w:b/>
          <w:sz w:val="32"/>
          <w:szCs w:val="32"/>
        </w:rPr>
        <w:t>M</w:t>
      </w:r>
      <w:r w:rsidR="00D76D37" w:rsidRPr="00E879B4">
        <w:rPr>
          <w:rFonts w:cs="Times New Roman"/>
          <w:b/>
          <w:sz w:val="32"/>
          <w:szCs w:val="32"/>
        </w:rPr>
        <w:t>easures</w:t>
      </w:r>
    </w:p>
    <w:p w14:paraId="0206841E" w14:textId="77777777" w:rsidR="00CB4B53" w:rsidRPr="00E879B4" w:rsidRDefault="00CB4B53" w:rsidP="00BE5AFD">
      <w:pPr>
        <w:spacing w:line="480" w:lineRule="auto"/>
        <w:jc w:val="both"/>
        <w:rPr>
          <w:rFonts w:cs="Times New Roman"/>
          <w:b/>
          <w:sz w:val="28"/>
          <w:szCs w:val="28"/>
        </w:rPr>
      </w:pPr>
      <w:r w:rsidRPr="00E879B4">
        <w:rPr>
          <w:rFonts w:cs="Times New Roman"/>
          <w:b/>
          <w:sz w:val="28"/>
          <w:szCs w:val="28"/>
        </w:rPr>
        <w:t>Baseline Measures</w:t>
      </w:r>
    </w:p>
    <w:p w14:paraId="4F0735CF" w14:textId="5B6C01D3" w:rsidR="00CB4B53" w:rsidRPr="00CC3ABA" w:rsidRDefault="00CB4B53" w:rsidP="000B1370">
      <w:pPr>
        <w:pStyle w:val="ListParagraph"/>
        <w:numPr>
          <w:ilvl w:val="0"/>
          <w:numId w:val="2"/>
        </w:numPr>
        <w:spacing w:before="40" w:after="40" w:line="480" w:lineRule="auto"/>
        <w:ind w:left="709" w:hanging="425"/>
        <w:contextualSpacing w:val="0"/>
        <w:jc w:val="both"/>
        <w:rPr>
          <w:rFonts w:cs="Times New Roman"/>
          <w:sz w:val="24"/>
          <w:szCs w:val="24"/>
        </w:rPr>
      </w:pPr>
      <w:r w:rsidRPr="00CC3ABA">
        <w:rPr>
          <w:rFonts w:cs="Times New Roman"/>
          <w:sz w:val="24"/>
          <w:szCs w:val="24"/>
        </w:rPr>
        <w:t>Demographic information and homeless status/history</w:t>
      </w:r>
      <w:r w:rsidR="006660F6">
        <w:rPr>
          <w:rFonts w:cs="Times New Roman"/>
          <w:sz w:val="24"/>
          <w:szCs w:val="24"/>
        </w:rPr>
        <w:t>.</w:t>
      </w:r>
    </w:p>
    <w:p w14:paraId="62A827E8" w14:textId="73BAB1D0" w:rsidR="00184092" w:rsidRPr="00CC3ABA" w:rsidRDefault="00184092" w:rsidP="00184092">
      <w:pPr>
        <w:pStyle w:val="ListParagraph"/>
        <w:numPr>
          <w:ilvl w:val="0"/>
          <w:numId w:val="2"/>
        </w:numPr>
        <w:spacing w:before="40" w:after="40" w:line="480" w:lineRule="auto"/>
        <w:ind w:left="709" w:hanging="425"/>
        <w:contextualSpacing w:val="0"/>
        <w:jc w:val="both"/>
        <w:rPr>
          <w:rFonts w:cs="Times New Roman"/>
          <w:color w:val="000000" w:themeColor="text1"/>
          <w:sz w:val="24"/>
          <w:szCs w:val="24"/>
        </w:rPr>
      </w:pPr>
      <w:r w:rsidRPr="00CC3ABA">
        <w:rPr>
          <w:rFonts w:cs="Times New Roman"/>
          <w:sz w:val="24"/>
          <w:szCs w:val="24"/>
        </w:rPr>
        <w:t xml:space="preserve">Cigarettes </w:t>
      </w:r>
      <w:r w:rsidR="00E31477" w:rsidRPr="00CC3ABA">
        <w:rPr>
          <w:rFonts w:cs="Times New Roman"/>
          <w:sz w:val="24"/>
          <w:szCs w:val="24"/>
        </w:rPr>
        <w:t>smoked per day</w:t>
      </w:r>
      <w:r w:rsidR="00B812E2">
        <w:rPr>
          <w:rFonts w:cs="Times New Roman"/>
          <w:sz w:val="24"/>
          <w:szCs w:val="24"/>
        </w:rPr>
        <w:t xml:space="preserve"> </w:t>
      </w:r>
      <w:r w:rsidR="00FB0D18">
        <w:rPr>
          <w:rFonts w:cs="Times New Roman"/>
          <w:sz w:val="24"/>
          <w:szCs w:val="24"/>
        </w:rPr>
        <w:t xml:space="preserve">(CPD) </w:t>
      </w:r>
      <w:r w:rsidR="00B812E2">
        <w:rPr>
          <w:rFonts w:cs="Times New Roman"/>
          <w:sz w:val="24"/>
          <w:szCs w:val="24"/>
        </w:rPr>
        <w:t>and in the last seven days</w:t>
      </w:r>
      <w:r w:rsidRPr="00CC3ABA">
        <w:rPr>
          <w:rFonts w:cs="Times New Roman"/>
          <w:sz w:val="24"/>
          <w:szCs w:val="24"/>
        </w:rPr>
        <w:t>, s</w:t>
      </w:r>
      <w:r w:rsidRPr="00CC3ABA">
        <w:rPr>
          <w:rFonts w:cs="Times New Roman"/>
          <w:color w:val="000000" w:themeColor="text1"/>
          <w:sz w:val="24"/>
          <w:szCs w:val="24"/>
        </w:rPr>
        <w:t>moking history (e.g. length of smoking, previous number of quit attempts, support used)</w:t>
      </w:r>
      <w:r w:rsidR="006229B5">
        <w:rPr>
          <w:rFonts w:cs="Times New Roman"/>
          <w:color w:val="000000" w:themeColor="text1"/>
          <w:sz w:val="24"/>
          <w:szCs w:val="24"/>
        </w:rPr>
        <w:t>, risky smoking practices (sharing cigarettes, smoking discarded cigarettes, asking strangers for cigarettes)</w:t>
      </w:r>
      <w:r w:rsidRPr="00CC3ABA">
        <w:rPr>
          <w:rFonts w:cs="Times New Roman"/>
          <w:color w:val="000000" w:themeColor="text1"/>
          <w:sz w:val="24"/>
          <w:szCs w:val="24"/>
        </w:rPr>
        <w:t xml:space="preserve"> and past and current EC use</w:t>
      </w:r>
      <w:r w:rsidR="006660F6">
        <w:rPr>
          <w:rFonts w:cs="Times New Roman"/>
          <w:color w:val="000000" w:themeColor="text1"/>
          <w:sz w:val="24"/>
          <w:szCs w:val="24"/>
        </w:rPr>
        <w:t>.</w:t>
      </w:r>
    </w:p>
    <w:p w14:paraId="680FDABA" w14:textId="4F740530" w:rsidR="00CB4B53" w:rsidRPr="00CC3ABA" w:rsidRDefault="00184092" w:rsidP="000B1370">
      <w:pPr>
        <w:pStyle w:val="ListParagraph"/>
        <w:numPr>
          <w:ilvl w:val="0"/>
          <w:numId w:val="2"/>
        </w:numPr>
        <w:spacing w:before="40" w:after="40" w:line="480" w:lineRule="auto"/>
        <w:ind w:left="709" w:hanging="425"/>
        <w:contextualSpacing w:val="0"/>
        <w:jc w:val="both"/>
        <w:rPr>
          <w:rFonts w:cs="Times New Roman"/>
          <w:sz w:val="24"/>
          <w:szCs w:val="24"/>
        </w:rPr>
      </w:pPr>
      <w:r w:rsidRPr="00CC3ABA">
        <w:rPr>
          <w:rFonts w:cs="Times New Roman"/>
          <w:sz w:val="24"/>
          <w:szCs w:val="24"/>
        </w:rPr>
        <w:t>S</w:t>
      </w:r>
      <w:r w:rsidR="00CB4B53" w:rsidRPr="00CC3ABA">
        <w:rPr>
          <w:rFonts w:cs="Times New Roman"/>
          <w:sz w:val="24"/>
          <w:szCs w:val="24"/>
        </w:rPr>
        <w:t>everity of tobacco dependence, measured by the Fagerström Test of Cigarett</w:t>
      </w:r>
      <w:r w:rsidR="006660F6">
        <w:rPr>
          <w:rFonts w:cs="Times New Roman"/>
          <w:sz w:val="24"/>
          <w:szCs w:val="24"/>
        </w:rPr>
        <w:t xml:space="preserve">e Dependence </w:t>
      </w:r>
      <w:r w:rsidR="006605A0">
        <w:rPr>
          <w:rFonts w:cs="Times New Roman"/>
          <w:sz w:val="24"/>
          <w:szCs w:val="24"/>
        </w:rPr>
        <w:fldChar w:fldCharType="begin" w:fldLock="1"/>
      </w:r>
      <w:r w:rsidR="00620688">
        <w:rPr>
          <w:rFonts w:cs="Times New Roman"/>
          <w:sz w:val="24"/>
          <w:szCs w:val="24"/>
        </w:rPr>
        <w:instrText>ADDIN CSL_CITATION {"citationItems":[{"id":"ITEM-1","itemData":{"DOI":"10.1093/ntr/ntr137","ISSN":"14622203","author":[{"dropping-particle":"","family":"Fagerström","given":"Karl","non-dropping-particle":"","parse-names":false,"suffix":""}],"container-title":"Nicotine and Tobacco Research","id":"ITEM-1","issue":"1","issued":{"date-parts":[["2012"]]},"page":"75-78","title":"Determinants of tobacco use and renaming the FTND to the Fagerström Test for Cigarette Dependence","type":"article-journal","volume":"14"},"uris":["http://www.mendeley.com/documents/?uuid=6a2eaee8-3bef-489e-bbfb-efbc0cffd930"]}],"mendeley":{"formattedCitation":"[41]","plainTextFormattedCitation":"[41]","previouslyFormattedCitation":"[41]"},"properties":{"noteIndex":0},"schema":"https://github.com/citation-style-language/schema/raw/master/csl-citation.json"}</w:instrText>
      </w:r>
      <w:r w:rsidR="006605A0">
        <w:rPr>
          <w:rFonts w:cs="Times New Roman"/>
          <w:sz w:val="24"/>
          <w:szCs w:val="24"/>
        </w:rPr>
        <w:fldChar w:fldCharType="separate"/>
      </w:r>
      <w:r w:rsidR="0077457B" w:rsidRPr="0077457B">
        <w:rPr>
          <w:rFonts w:cs="Times New Roman"/>
          <w:noProof/>
          <w:sz w:val="24"/>
          <w:szCs w:val="24"/>
        </w:rPr>
        <w:t>[41]</w:t>
      </w:r>
      <w:r w:rsidR="006605A0">
        <w:rPr>
          <w:rFonts w:cs="Times New Roman"/>
          <w:sz w:val="24"/>
          <w:szCs w:val="24"/>
        </w:rPr>
        <w:fldChar w:fldCharType="end"/>
      </w:r>
      <w:r w:rsidR="00CB4B53" w:rsidRPr="00CC3ABA">
        <w:rPr>
          <w:rFonts w:cs="Times New Roman"/>
          <w:sz w:val="24"/>
          <w:szCs w:val="24"/>
        </w:rPr>
        <w:t xml:space="preserve"> and expired carbon monoxide (CO).</w:t>
      </w:r>
      <w:r w:rsidR="00840AF7">
        <w:rPr>
          <w:rFonts w:cs="Times New Roman"/>
          <w:sz w:val="24"/>
          <w:szCs w:val="24"/>
        </w:rPr>
        <w:t xml:space="preserve"> </w:t>
      </w:r>
    </w:p>
    <w:p w14:paraId="4346FD8B" w14:textId="797FFF5D" w:rsidR="00CB4B53" w:rsidRPr="00CC3ABA" w:rsidRDefault="00CB4B53" w:rsidP="000B1370">
      <w:pPr>
        <w:pStyle w:val="ListParagraph"/>
        <w:numPr>
          <w:ilvl w:val="0"/>
          <w:numId w:val="2"/>
        </w:numPr>
        <w:spacing w:before="40" w:after="40" w:line="480" w:lineRule="auto"/>
        <w:ind w:left="709" w:hanging="425"/>
        <w:contextualSpacing w:val="0"/>
        <w:jc w:val="both"/>
        <w:rPr>
          <w:rFonts w:cs="Times New Roman"/>
          <w:sz w:val="24"/>
          <w:szCs w:val="24"/>
        </w:rPr>
      </w:pPr>
      <w:r w:rsidRPr="00CC3ABA">
        <w:rPr>
          <w:rFonts w:cs="Times New Roman"/>
          <w:sz w:val="24"/>
          <w:szCs w:val="24"/>
        </w:rPr>
        <w:t>Motivation to stop smoking, measured by the Motivation to Stop Scale</w:t>
      </w:r>
      <w:r w:rsidR="006605A0">
        <w:rPr>
          <w:rFonts w:cs="Times New Roman"/>
          <w:sz w:val="24"/>
          <w:szCs w:val="24"/>
        </w:rPr>
        <w:t xml:space="preserve"> </w:t>
      </w:r>
      <w:r w:rsidR="006605A0">
        <w:rPr>
          <w:rFonts w:cs="Times New Roman"/>
          <w:sz w:val="24"/>
          <w:szCs w:val="24"/>
        </w:rPr>
        <w:fldChar w:fldCharType="begin" w:fldLock="1"/>
      </w:r>
      <w:r w:rsidR="00620688">
        <w:rPr>
          <w:rFonts w:cs="Times New Roman"/>
          <w:sz w:val="24"/>
          <w:szCs w:val="24"/>
        </w:rPr>
        <w:instrText>ADDIN CSL_CITATION {"citationItems":[{"id":"ITEM-1","itemData":{"DOI":"10.1016/j.drugalcdep.2012.07.012","ISSN":"03768716","abstract":"Background: Many different measures of motivation to stop smoking exist but it would be desirable to have a brief version that is standard for use in population surveys and for evaluations of interventions to promote cessation. The aim of this study was to assess the predictive validity and accuracy of the single-item Motivation To Stop Scale (MTSS). Methods: This study is part of the \" Smoking Toolkit Study;\" a monthly survey of representative samples of the English population. We used data from 2483 respondents to the surveys from November 2008 to January 2011, who were smokers, used the MTSS, and were followed up 6 months later to provide information on quit attempts since baseline. The MTSS consists of one item with seven response categories ranging from 1 (lowest) to level 7 (highest level of motivation to stop smoking). Results: A total of 692 smokers (27.9% (95% CI=26.1-29.6)) made an attempt to quit smoking between baseline and 6-month follow-up. The odds of quit attempts increased linearly with increasing level of motivation at baseline (p&lt;0.001) and were 6.8 (95% CI=4.7-9.9) times higher for the highest level of motivation compared with the lowest. The accuracy of the MTSS for discriminating between smokers who did and did not attempt to quit was ROCAUC=0.67 (95% CI=0.65-0.70). Conclusions: The MTSS provides strong and accurate prediction of quit attempts and is a candidate for a standard single-item measure of motivation to stop smoking. Further research should assess the external validity of this measure in different smoking populations. © 2012 Elsevier Ireland Ltd.","author":[{"dropping-particle":"","family":"Kotz","given":"D.","non-dropping-particle":"","parse-names":false,"suffix":""},{"dropping-particle":"","family":"Brown","given":"J.","non-dropping-particle":"","parse-names":false,"suffix":""},{"dropping-particle":"","family":"West","given":"R.","non-dropping-particle":"","parse-names":false,"suffix":""}],"container-title":"Drug and Alcohol Dependence","id":"ITEM-1","issue":"1-2","issued":{"date-parts":[["2013"]]},"page":"15-19","title":"Predictive validity of the Motivation To Stop Scale (MTSS): A single-item measure of motivation to stop smoking","type":"article-journal","volume":"128"},"uris":["http://www.mendeley.com/documents/?uuid=714bb39c-f3c9-45bf-a8c8-fd8c3ce26b3e"]}],"mendeley":{"formattedCitation":"[42]","plainTextFormattedCitation":"[42]","previouslyFormattedCitation":"[42]"},"properties":{"noteIndex":0},"schema":"https://github.com/citation-style-language/schema/raw/master/csl-citation.json"}</w:instrText>
      </w:r>
      <w:r w:rsidR="006605A0">
        <w:rPr>
          <w:rFonts w:cs="Times New Roman"/>
          <w:sz w:val="24"/>
          <w:szCs w:val="24"/>
        </w:rPr>
        <w:fldChar w:fldCharType="separate"/>
      </w:r>
      <w:r w:rsidR="0077457B" w:rsidRPr="0077457B">
        <w:rPr>
          <w:rFonts w:cs="Times New Roman"/>
          <w:noProof/>
          <w:sz w:val="24"/>
          <w:szCs w:val="24"/>
        </w:rPr>
        <w:t>[42]</w:t>
      </w:r>
      <w:r w:rsidR="006605A0">
        <w:rPr>
          <w:rFonts w:cs="Times New Roman"/>
          <w:sz w:val="24"/>
          <w:szCs w:val="24"/>
        </w:rPr>
        <w:fldChar w:fldCharType="end"/>
      </w:r>
      <w:r w:rsidRPr="00CC3ABA">
        <w:rPr>
          <w:rFonts w:cs="Times New Roman"/>
          <w:sz w:val="24"/>
          <w:szCs w:val="24"/>
        </w:rPr>
        <w:t>,</w:t>
      </w:r>
      <w:r w:rsidRPr="00CC3ABA">
        <w:rPr>
          <w:rFonts w:cs="Times New Roman"/>
          <w:color w:val="2A2A2A"/>
          <w:sz w:val="24"/>
          <w:szCs w:val="24"/>
          <w:shd w:val="clear" w:color="auto" w:fill="FFFFFF"/>
        </w:rPr>
        <w:t xml:space="preserve"> a 7-level single-item instrument which incorporates</w:t>
      </w:r>
      <w:r w:rsidR="000B1370" w:rsidRPr="00CC3ABA">
        <w:rPr>
          <w:rFonts w:cs="Times New Roman"/>
          <w:color w:val="2A2A2A"/>
          <w:sz w:val="24"/>
          <w:szCs w:val="24"/>
          <w:shd w:val="clear" w:color="auto" w:fill="FFFFFF"/>
        </w:rPr>
        <w:t xml:space="preserve"> intention, desire and belief in</w:t>
      </w:r>
      <w:r w:rsidRPr="00CC3ABA">
        <w:rPr>
          <w:rFonts w:cs="Times New Roman"/>
          <w:color w:val="2A2A2A"/>
          <w:sz w:val="24"/>
          <w:szCs w:val="24"/>
          <w:shd w:val="clear" w:color="auto" w:fill="FFFFFF"/>
        </w:rPr>
        <w:t xml:space="preserve"> quit</w:t>
      </w:r>
      <w:r w:rsidR="000B1370" w:rsidRPr="00CC3ABA">
        <w:rPr>
          <w:rFonts w:cs="Times New Roman"/>
          <w:color w:val="2A2A2A"/>
          <w:sz w:val="24"/>
          <w:szCs w:val="24"/>
          <w:shd w:val="clear" w:color="auto" w:fill="FFFFFF"/>
        </w:rPr>
        <w:t>ting s</w:t>
      </w:r>
      <w:r w:rsidRPr="00CC3ABA">
        <w:rPr>
          <w:rFonts w:cs="Times New Roman"/>
          <w:color w:val="2A2A2A"/>
          <w:sz w:val="24"/>
          <w:szCs w:val="24"/>
          <w:shd w:val="clear" w:color="auto" w:fill="FFFFFF"/>
        </w:rPr>
        <w:t>moking</w:t>
      </w:r>
      <w:r w:rsidR="006660F6">
        <w:rPr>
          <w:rFonts w:cs="Times New Roman"/>
          <w:color w:val="2A2A2A"/>
          <w:sz w:val="24"/>
          <w:szCs w:val="24"/>
          <w:shd w:val="clear" w:color="auto" w:fill="FFFFFF"/>
        </w:rPr>
        <w:t>.</w:t>
      </w:r>
    </w:p>
    <w:p w14:paraId="15798D86" w14:textId="0A0B5E96" w:rsidR="00CB4B53" w:rsidRPr="00CC3ABA" w:rsidRDefault="00CB4B53" w:rsidP="000B1370">
      <w:pPr>
        <w:pStyle w:val="ListParagraph"/>
        <w:numPr>
          <w:ilvl w:val="0"/>
          <w:numId w:val="2"/>
        </w:numPr>
        <w:spacing w:before="40" w:after="40" w:line="480" w:lineRule="auto"/>
        <w:ind w:left="709" w:hanging="425"/>
        <w:contextualSpacing w:val="0"/>
        <w:jc w:val="both"/>
        <w:rPr>
          <w:rFonts w:cs="Times New Roman"/>
          <w:sz w:val="24"/>
          <w:szCs w:val="24"/>
        </w:rPr>
      </w:pPr>
      <w:r w:rsidRPr="00CC3ABA">
        <w:rPr>
          <w:rFonts w:cs="Times New Roman"/>
          <w:sz w:val="24"/>
          <w:szCs w:val="24"/>
        </w:rPr>
        <w:t>Mental health status, measured using the 9-item Pati</w:t>
      </w:r>
      <w:r w:rsidR="007323EB" w:rsidRPr="00CC3ABA">
        <w:rPr>
          <w:rFonts w:cs="Times New Roman"/>
          <w:sz w:val="24"/>
          <w:szCs w:val="24"/>
        </w:rPr>
        <w:t>ent Health Questionnaire (PHQ</w:t>
      </w:r>
      <w:r w:rsidR="00A212D7">
        <w:rPr>
          <w:rFonts w:cs="Times New Roman"/>
          <w:sz w:val="24"/>
          <w:szCs w:val="24"/>
        </w:rPr>
        <w:t>-</w:t>
      </w:r>
      <w:r w:rsidR="007323EB" w:rsidRPr="00CC3ABA">
        <w:rPr>
          <w:rFonts w:cs="Times New Roman"/>
          <w:sz w:val="24"/>
          <w:szCs w:val="24"/>
        </w:rPr>
        <w:t>9)</w:t>
      </w:r>
      <w:r w:rsidR="006605A0">
        <w:rPr>
          <w:rFonts w:cs="Times New Roman"/>
          <w:sz w:val="24"/>
          <w:szCs w:val="24"/>
        </w:rPr>
        <w:t xml:space="preserve"> </w:t>
      </w:r>
      <w:r w:rsidR="006605A0">
        <w:rPr>
          <w:rFonts w:cs="Times New Roman"/>
          <w:sz w:val="24"/>
          <w:szCs w:val="24"/>
        </w:rPr>
        <w:fldChar w:fldCharType="begin" w:fldLock="1"/>
      </w:r>
      <w:r w:rsidR="00620688">
        <w:rPr>
          <w:rFonts w:cs="Times New Roman"/>
          <w:sz w:val="24"/>
          <w:szCs w:val="24"/>
        </w:rPr>
        <w:instrText>ADDIN CSL_CITATION {"citationItems":[{"id":"ITEM-1","itemData":{"DOI":"10.3928/0048-5713-20020901-06","ISSN":"00485713","abstract":"The nine-item Patient Health Questionnaire depression scale is a dual-purpose instrument that can establish provisional depressive disorder diagnoses as well as grade depression severity.","author":[{"dropping-particle":"","family":"Kroenke","given":"Kurt","non-dropping-particle":"","parse-names":false,"suffix":""},{"dropping-particle":"","family":"Spitzer","given":"Robert L.","non-dropping-particle":"","parse-names":false,"suffix":""}],"container-title":"Psychiatric Annals","id":"ITEM-1","issue":"9","issued":{"date-parts":[["2002"]]},"page":"509-515","title":"The PHQ-9: A new depression diagnostic and severity measure","type":"article-journal","volume":"32"},"uris":["http://www.mendeley.com/documents/?uuid=3044b09e-8647-451b-b31a-da1a5312f7ac"]}],"mendeley":{"formattedCitation":"[43]","plainTextFormattedCitation":"[43]","previouslyFormattedCitation":"[43]"},"properties":{"noteIndex":0},"schema":"https://github.com/citation-style-language/schema/raw/master/csl-citation.json"}</w:instrText>
      </w:r>
      <w:r w:rsidR="006605A0">
        <w:rPr>
          <w:rFonts w:cs="Times New Roman"/>
          <w:sz w:val="24"/>
          <w:szCs w:val="24"/>
        </w:rPr>
        <w:fldChar w:fldCharType="separate"/>
      </w:r>
      <w:r w:rsidR="0077457B" w:rsidRPr="0077457B">
        <w:rPr>
          <w:rFonts w:cs="Times New Roman"/>
          <w:noProof/>
          <w:sz w:val="24"/>
          <w:szCs w:val="24"/>
        </w:rPr>
        <w:t>[43]</w:t>
      </w:r>
      <w:r w:rsidR="006605A0">
        <w:rPr>
          <w:rFonts w:cs="Times New Roman"/>
          <w:sz w:val="24"/>
          <w:szCs w:val="24"/>
        </w:rPr>
        <w:fldChar w:fldCharType="end"/>
      </w:r>
      <w:r w:rsidR="006660F6">
        <w:rPr>
          <w:rFonts w:cs="Times New Roman"/>
          <w:sz w:val="24"/>
          <w:szCs w:val="24"/>
          <w:vertAlign w:val="superscript"/>
        </w:rPr>
        <w:t xml:space="preserve"> </w:t>
      </w:r>
      <w:r w:rsidR="007323EB" w:rsidRPr="00CC3ABA">
        <w:rPr>
          <w:rFonts w:cs="Times New Roman"/>
          <w:sz w:val="24"/>
          <w:szCs w:val="24"/>
        </w:rPr>
        <w:t xml:space="preserve">for depression (total score ranging from 0 to 27 with a higher score indicating greater severity of depression) </w:t>
      </w:r>
      <w:r w:rsidRPr="00CC3ABA">
        <w:rPr>
          <w:rFonts w:cs="Times New Roman"/>
          <w:sz w:val="24"/>
          <w:szCs w:val="24"/>
        </w:rPr>
        <w:t>and the 7-item Generalised Anxiet</w:t>
      </w:r>
      <w:r w:rsidR="006660F6">
        <w:rPr>
          <w:rFonts w:cs="Times New Roman"/>
          <w:sz w:val="24"/>
          <w:szCs w:val="24"/>
        </w:rPr>
        <w:t>y Disorder (GAD</w:t>
      </w:r>
      <w:r w:rsidR="00A212D7">
        <w:rPr>
          <w:rFonts w:cs="Times New Roman"/>
          <w:sz w:val="24"/>
          <w:szCs w:val="24"/>
        </w:rPr>
        <w:t>-</w:t>
      </w:r>
      <w:r w:rsidR="006660F6">
        <w:rPr>
          <w:rFonts w:cs="Times New Roman"/>
          <w:sz w:val="24"/>
          <w:szCs w:val="24"/>
        </w:rPr>
        <w:t>7) questionnaire</w:t>
      </w:r>
      <w:r w:rsidR="006605A0">
        <w:rPr>
          <w:rFonts w:cs="Times New Roman"/>
          <w:sz w:val="24"/>
          <w:szCs w:val="24"/>
        </w:rPr>
        <w:t xml:space="preserve"> </w:t>
      </w:r>
      <w:r w:rsidR="006605A0">
        <w:rPr>
          <w:rFonts w:cs="Times New Roman"/>
          <w:sz w:val="24"/>
          <w:szCs w:val="24"/>
        </w:rPr>
        <w:fldChar w:fldCharType="begin" w:fldLock="1"/>
      </w:r>
      <w:r w:rsidR="00620688">
        <w:rPr>
          <w:rFonts w:cs="Times New Roman"/>
          <w:sz w:val="24"/>
          <w:szCs w:val="24"/>
        </w:rPr>
        <w:instrText>ADDIN CSL_CITATION {"citationItems":[{"id":"ITEM-1","itemData":{"DOI":"10.1001/archinte.166.10.1092","ISSN":"00039926","PMID":"16717171","abstract":"Background: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 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 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 Conclusion: The GAD-7 is a valid and efficient tool for screening for GAD and assessing its severity in clinical practice and research. ©2006 American Medical Association. All rights reserved.","author":[{"dropping-particle":"","family":"Spitzer","given":"Robert L.","non-dropping-particle":"","parse-names":false,"suffix":""},{"dropping-particle":"","family":"Kroenke","given":"Kurt","non-dropping-particle":"","parse-names":false,"suffix":""},{"dropping-particle":"","family":"Williams","given":"Janet B.W.","non-dropping-particle":"","parse-names":false,"suffix":""},{"dropping-particle":"","family":"Löwe","given":"Bernd","non-dropping-particle":"","parse-names":false,"suffix":""}],"container-title":"Archives of Internal Medicine","id":"ITEM-1","issued":{"date-parts":[["2006"]]},"title":"A brief measure for assessing generalized anxiety disorder: The GAD-7","type":"article-journal"},"uris":["http://www.mendeley.com/documents/?uuid=468675e5-9415-40bb-9568-dc04466db501"]}],"mendeley":{"formattedCitation":"[44]","plainTextFormattedCitation":"[44]","previouslyFormattedCitation":"[44]"},"properties":{"noteIndex":0},"schema":"https://github.com/citation-style-language/schema/raw/master/csl-citation.json"}</w:instrText>
      </w:r>
      <w:r w:rsidR="006605A0">
        <w:rPr>
          <w:rFonts w:cs="Times New Roman"/>
          <w:sz w:val="24"/>
          <w:szCs w:val="24"/>
        </w:rPr>
        <w:fldChar w:fldCharType="separate"/>
      </w:r>
      <w:r w:rsidR="0077457B" w:rsidRPr="0077457B">
        <w:rPr>
          <w:rFonts w:cs="Times New Roman"/>
          <w:noProof/>
          <w:sz w:val="24"/>
          <w:szCs w:val="24"/>
        </w:rPr>
        <w:t>[44]</w:t>
      </w:r>
      <w:r w:rsidR="006605A0">
        <w:rPr>
          <w:rFonts w:cs="Times New Roman"/>
          <w:sz w:val="24"/>
          <w:szCs w:val="24"/>
        </w:rPr>
        <w:fldChar w:fldCharType="end"/>
      </w:r>
      <w:r w:rsidR="006660F6">
        <w:rPr>
          <w:rFonts w:cs="Times New Roman"/>
          <w:sz w:val="24"/>
          <w:szCs w:val="24"/>
          <w:vertAlign w:val="superscript"/>
        </w:rPr>
        <w:t xml:space="preserve"> </w:t>
      </w:r>
      <w:r w:rsidR="007323EB" w:rsidRPr="00CC3ABA">
        <w:rPr>
          <w:rFonts w:cs="Times New Roman"/>
          <w:sz w:val="24"/>
          <w:szCs w:val="24"/>
        </w:rPr>
        <w:t>(total score ranging from 0 to 21 with a higher score indicating greater severity of anxiety).</w:t>
      </w:r>
    </w:p>
    <w:p w14:paraId="733700DA" w14:textId="0E8ADAFF" w:rsidR="00CB4B53" w:rsidRPr="00CC3ABA" w:rsidRDefault="00CB4B53" w:rsidP="000B1370">
      <w:pPr>
        <w:pStyle w:val="ListParagraph"/>
        <w:numPr>
          <w:ilvl w:val="0"/>
          <w:numId w:val="2"/>
        </w:numPr>
        <w:spacing w:before="40" w:after="40" w:line="480" w:lineRule="auto"/>
        <w:ind w:left="709" w:hanging="425"/>
        <w:contextualSpacing w:val="0"/>
        <w:jc w:val="both"/>
        <w:rPr>
          <w:rFonts w:cs="Times New Roman"/>
          <w:sz w:val="24"/>
          <w:szCs w:val="24"/>
        </w:rPr>
      </w:pPr>
      <w:r w:rsidRPr="00CC3ABA">
        <w:rPr>
          <w:rFonts w:cs="Times New Roman"/>
          <w:sz w:val="24"/>
          <w:szCs w:val="24"/>
        </w:rPr>
        <w:t>Alcohol use, measured using the Alcohol Use Disord</w:t>
      </w:r>
      <w:r w:rsidR="006660F6">
        <w:rPr>
          <w:rFonts w:cs="Times New Roman"/>
          <w:sz w:val="24"/>
          <w:szCs w:val="24"/>
        </w:rPr>
        <w:t xml:space="preserve">ers Identification Test </w:t>
      </w:r>
      <w:r w:rsidR="006660F6" w:rsidRPr="00DF16AA">
        <w:rPr>
          <w:rFonts w:cs="Times New Roman"/>
          <w:sz w:val="24"/>
          <w:szCs w:val="24"/>
        </w:rPr>
        <w:t>(AUDIT)</w:t>
      </w:r>
      <w:r w:rsidR="00E60ECF" w:rsidRPr="00DF16AA">
        <w:rPr>
          <w:rFonts w:cs="Times New Roman"/>
          <w:sz w:val="24"/>
          <w:szCs w:val="24"/>
        </w:rPr>
        <w:t xml:space="preserve"> </w:t>
      </w:r>
      <w:r w:rsidR="00DF16AA" w:rsidRPr="00DF16AA">
        <w:rPr>
          <w:rFonts w:cs="Times New Roman"/>
          <w:sz w:val="24"/>
          <w:szCs w:val="24"/>
        </w:rPr>
        <w:fldChar w:fldCharType="begin" w:fldLock="1"/>
      </w:r>
      <w:r w:rsidR="00620688">
        <w:rPr>
          <w:rFonts w:cs="Times New Roman"/>
          <w:sz w:val="24"/>
          <w:szCs w:val="24"/>
        </w:rPr>
        <w:instrText>ADDIN CSL_CITATION {"citationItems":[{"id":"ITEM-1","itemData":{"author":[{"dropping-particle":"","family":"Saunders","given":"J.B.","non-dropping-particle":"","parse-names":false,"suffix":""},{"dropping-particle":"","family":"Aasland","given":"O.G.","non-dropping-particle":"","parse-names":false,"suffix":""},{"dropping-particle":"","family":"Babor","given":"T.F.","non-dropping-particle":"","parse-names":false,"suffix":""},{"dropping-particle":"","family":"Fuente","given":"J.R.","non-dropping-particle":"","parse-names":false,"suffix":""},{"dropping-particle":"","family":"Grant","given":"M.","non-dropping-particle":"","parse-names":false,"suffix":""}],"container-title":"Addiction","id":"ITEM-1","issued":{"date-parts":[["1993","6"]]},"page":"791-804","title":"Development of the Alcohol Use Disorders Identification Test (AUDIT): WHO collaborative project on early detection of persons with harmful alcohol consumption-II","type":"article-journal","volume":"88"},"uris":["http://www.mendeley.com/documents/?uuid=56a5352a-84ef-4a1a-bb1d-7d06a4de14d8"]}],"mendeley":{"formattedCitation":"[45]","plainTextFormattedCitation":"[45]","previouslyFormattedCitation":"[45]"},"properties":{"noteIndex":0},"schema":"https://github.com/citation-style-language/schema/raw/master/csl-citation.json"}</w:instrText>
      </w:r>
      <w:r w:rsidR="00DF16AA" w:rsidRPr="00DF16AA">
        <w:rPr>
          <w:rFonts w:cs="Times New Roman"/>
          <w:sz w:val="24"/>
          <w:szCs w:val="24"/>
        </w:rPr>
        <w:fldChar w:fldCharType="separate"/>
      </w:r>
      <w:r w:rsidR="0077457B" w:rsidRPr="0077457B">
        <w:rPr>
          <w:rFonts w:cs="Times New Roman"/>
          <w:noProof/>
          <w:sz w:val="24"/>
          <w:szCs w:val="24"/>
        </w:rPr>
        <w:t>[45]</w:t>
      </w:r>
      <w:r w:rsidR="00DF16AA" w:rsidRPr="00DF16AA">
        <w:rPr>
          <w:rFonts w:cs="Times New Roman"/>
          <w:sz w:val="24"/>
          <w:szCs w:val="24"/>
        </w:rPr>
        <w:fldChar w:fldCharType="end"/>
      </w:r>
      <w:r w:rsidRPr="00DF16AA">
        <w:rPr>
          <w:rFonts w:cs="Times New Roman"/>
          <w:sz w:val="24"/>
          <w:szCs w:val="24"/>
        </w:rPr>
        <w:t>,</w:t>
      </w:r>
      <w:r w:rsidRPr="00CC3ABA">
        <w:rPr>
          <w:rFonts w:cs="Times New Roman"/>
          <w:sz w:val="24"/>
          <w:szCs w:val="24"/>
        </w:rPr>
        <w:t xml:space="preserve"> a 10-item scr</w:t>
      </w:r>
      <w:r w:rsidR="008D1B13">
        <w:rPr>
          <w:rFonts w:cs="Times New Roman"/>
          <w:sz w:val="24"/>
          <w:szCs w:val="24"/>
        </w:rPr>
        <w:t>eening instrument developed by the</w:t>
      </w:r>
      <w:r w:rsidRPr="00CC3ABA">
        <w:rPr>
          <w:rFonts w:cs="Times New Roman"/>
          <w:sz w:val="24"/>
          <w:szCs w:val="24"/>
        </w:rPr>
        <w:t xml:space="preserve"> WHO to screen for a range </w:t>
      </w:r>
      <w:r w:rsidR="000B1370" w:rsidRPr="00CC3ABA">
        <w:rPr>
          <w:rFonts w:cs="Times New Roman"/>
          <w:sz w:val="24"/>
          <w:szCs w:val="24"/>
        </w:rPr>
        <w:t>of drinking problems</w:t>
      </w:r>
      <w:r w:rsidR="005563A9" w:rsidRPr="00CC3ABA">
        <w:rPr>
          <w:rFonts w:cs="Times New Roman"/>
          <w:sz w:val="24"/>
          <w:szCs w:val="24"/>
        </w:rPr>
        <w:t xml:space="preserve">. Scores range from </w:t>
      </w:r>
      <w:r w:rsidR="00662B4F" w:rsidRPr="00CC3ABA">
        <w:rPr>
          <w:rFonts w:cs="Times New Roman"/>
          <w:sz w:val="24"/>
          <w:szCs w:val="24"/>
        </w:rPr>
        <w:t xml:space="preserve">0-40 </w:t>
      </w:r>
      <w:r w:rsidR="00683C0D" w:rsidRPr="00CC3ABA">
        <w:rPr>
          <w:rFonts w:cs="Times New Roman"/>
          <w:sz w:val="24"/>
          <w:szCs w:val="24"/>
        </w:rPr>
        <w:t xml:space="preserve">with a score of &gt;8 indicating harmful or </w:t>
      </w:r>
      <w:r w:rsidR="006660F6" w:rsidRPr="00CC3ABA">
        <w:rPr>
          <w:rFonts w:cs="Times New Roman"/>
          <w:sz w:val="24"/>
          <w:szCs w:val="24"/>
        </w:rPr>
        <w:t>hazardous</w:t>
      </w:r>
      <w:r w:rsidR="00683C0D" w:rsidRPr="00CC3ABA">
        <w:rPr>
          <w:rFonts w:cs="Times New Roman"/>
          <w:sz w:val="24"/>
          <w:szCs w:val="24"/>
        </w:rPr>
        <w:t xml:space="preserve"> drinking and &gt;13 (females) or &gt;15 (males) indicating alcohol dependence.</w:t>
      </w:r>
    </w:p>
    <w:p w14:paraId="2028ADB9" w14:textId="4B129677" w:rsidR="00CB4B53" w:rsidRPr="00CC3ABA" w:rsidRDefault="00CB4B53" w:rsidP="000B1370">
      <w:pPr>
        <w:pStyle w:val="ListParagraph"/>
        <w:numPr>
          <w:ilvl w:val="0"/>
          <w:numId w:val="2"/>
        </w:numPr>
        <w:spacing w:before="40" w:after="40" w:line="480" w:lineRule="auto"/>
        <w:ind w:left="709" w:hanging="425"/>
        <w:contextualSpacing w:val="0"/>
        <w:jc w:val="both"/>
        <w:rPr>
          <w:rFonts w:cs="Times New Roman"/>
          <w:sz w:val="24"/>
          <w:szCs w:val="24"/>
        </w:rPr>
      </w:pPr>
      <w:r w:rsidRPr="00CC3ABA">
        <w:rPr>
          <w:rFonts w:cs="Times New Roman"/>
          <w:sz w:val="24"/>
          <w:szCs w:val="24"/>
        </w:rPr>
        <w:t>Drug use measured using The Sev</w:t>
      </w:r>
      <w:r w:rsidR="006660F6">
        <w:rPr>
          <w:rFonts w:cs="Times New Roman"/>
          <w:sz w:val="24"/>
          <w:szCs w:val="24"/>
        </w:rPr>
        <w:t>erity of Dependence Scale (SDS)</w:t>
      </w:r>
      <w:r w:rsidR="00DF16AA">
        <w:rPr>
          <w:rFonts w:cs="Times New Roman"/>
          <w:sz w:val="24"/>
          <w:szCs w:val="24"/>
        </w:rPr>
        <w:t xml:space="preserve"> </w:t>
      </w:r>
      <w:r w:rsidR="00DF16AA">
        <w:rPr>
          <w:rFonts w:cs="Times New Roman"/>
          <w:sz w:val="24"/>
          <w:szCs w:val="24"/>
        </w:rPr>
        <w:fldChar w:fldCharType="begin" w:fldLock="1"/>
      </w:r>
      <w:r w:rsidR="00620688">
        <w:rPr>
          <w:rFonts w:cs="Times New Roman"/>
          <w:sz w:val="24"/>
          <w:szCs w:val="24"/>
        </w:rPr>
        <w:instrText>ADDIN CSL_CITATION {"citationItems":[{"id":"ITEM-1","itemData":{"DOI":"10.1046/j.1360-0443.1995.9056072.x","ISSN":"13600443","abstract":"The Severity of Dependence Scale (SDS) was devised to provide a short, easily administered scale which can be used to measure the degree of dependence experienced by users of different types of drugs. The SDS contains five items, all of which are explicitly concerned with psychological components of dependence. These items are specifically concerned with impaired control over drug taking and with preoccupation and anxieties about drug use. The SDS was given to five samples of drug users in London and Sydney. The samples comprised users of heroin and users of cocaine in London, and users of amphetamines and methadone maintenance patients in Sydney. The SDS satisfies a number of criteria which indicate its suitability as a measure of dependence. All SDS items had significantly with a single factor, and the total SDS score was extremely highly correlated with the single factor score. The SDS score is related to behavioural patterns of drug taking that are, in themselves, indicators of dependence, such as dose, frequency of use, duration of use, daily use and degree of contact with other drug users; it also shows criterion validity in that drug users who have sought treatment at specialist and non‐specialist agencies for drug problems have higher SDS scores than non‐treatment samples. The psychometric properties of the scale were good in all five samples, despite being applied to primary users of different classes of drug, using different recruitment procedures in different cities in different countries. Copyright © 1995, Wiley Blackwell. All rights reserved","author":[{"dropping-particle":"","family":"Gossop","given":"Michael","non-dropping-particle":"","parse-names":false,"suffix":""},{"dropping-particle":"","family":"Darke","given":"Shane","non-dropping-particle":"","parse-names":false,"suffix":""},{"dropping-particle":"","family":"Griffiths","given":"Paul","non-dropping-particle":"","parse-names":false,"suffix":""},{"dropping-particle":"","family":"Hando","given":"Julie","non-dropping-particle":"","parse-names":false,"suffix":""},{"dropping-particle":"","family":"Powis","given":"Beverley","non-dropping-particle":"","parse-names":false,"suffix":""},{"dropping-particle":"","family":"Hall","given":"Wayne","non-dropping-particle":"","parse-names":false,"suffix":""},{"dropping-particle":"","family":"Strang","given":"John","non-dropping-particle":"","parse-names":false,"suffix":""}],"container-title":"Addiction","id":"ITEM-1","issue":"5","issued":{"date-parts":[["1995"]]},"page":"607-614","title":"The Severity of Dependence Scale (SDS): Psychometric properties of the SDS in English and Australian samples of heroin, cocaine and amphetamine users","type":"article-journal","volume":"90"},"uris":["http://www.mendeley.com/documents/?uuid=0094a72f-c19d-4dcb-9305-16e5238aa6f9"]}],"mendeley":{"formattedCitation":"[46]","plainTextFormattedCitation":"[46]","previouslyFormattedCitation":"[46]"},"properties":{"noteIndex":0},"schema":"https://github.com/citation-style-language/schema/raw/master/csl-citation.json"}</w:instrText>
      </w:r>
      <w:r w:rsidR="00DF16AA">
        <w:rPr>
          <w:rFonts w:cs="Times New Roman"/>
          <w:sz w:val="24"/>
          <w:szCs w:val="24"/>
        </w:rPr>
        <w:fldChar w:fldCharType="separate"/>
      </w:r>
      <w:r w:rsidR="0077457B" w:rsidRPr="0077457B">
        <w:rPr>
          <w:rFonts w:cs="Times New Roman"/>
          <w:noProof/>
          <w:sz w:val="24"/>
          <w:szCs w:val="24"/>
        </w:rPr>
        <w:t>[46]</w:t>
      </w:r>
      <w:r w:rsidR="00DF16AA">
        <w:rPr>
          <w:rFonts w:cs="Times New Roman"/>
          <w:sz w:val="24"/>
          <w:szCs w:val="24"/>
        </w:rPr>
        <w:fldChar w:fldCharType="end"/>
      </w:r>
      <w:r w:rsidR="000B1370" w:rsidRPr="00CC3ABA">
        <w:rPr>
          <w:rFonts w:cs="Times New Roman"/>
          <w:sz w:val="24"/>
          <w:szCs w:val="24"/>
        </w:rPr>
        <w:t>, a 5</w:t>
      </w:r>
      <w:r w:rsidRPr="00CC3ABA">
        <w:rPr>
          <w:rFonts w:cs="Times New Roman"/>
          <w:sz w:val="24"/>
          <w:szCs w:val="24"/>
        </w:rPr>
        <w:t>-item screening measure of psyc</w:t>
      </w:r>
      <w:r w:rsidR="000B1370" w:rsidRPr="00CC3ABA">
        <w:rPr>
          <w:rFonts w:cs="Times New Roman"/>
          <w:sz w:val="24"/>
          <w:szCs w:val="24"/>
        </w:rPr>
        <w:t>hological aspects of dependence</w:t>
      </w:r>
      <w:r w:rsidR="006660F6">
        <w:rPr>
          <w:rFonts w:cs="Times New Roman"/>
          <w:sz w:val="24"/>
          <w:szCs w:val="24"/>
        </w:rPr>
        <w:t>.</w:t>
      </w:r>
      <w:r w:rsidR="00671B6D">
        <w:rPr>
          <w:rFonts w:cs="Times New Roman"/>
          <w:sz w:val="24"/>
          <w:szCs w:val="24"/>
        </w:rPr>
        <w:t xml:space="preserve"> Scores range from 0-15 (low to high dependence).</w:t>
      </w:r>
      <w:r w:rsidR="00DD6ED9">
        <w:rPr>
          <w:rFonts w:cs="Times New Roman"/>
          <w:sz w:val="24"/>
          <w:szCs w:val="24"/>
        </w:rPr>
        <w:t xml:space="preserve"> A 23</w:t>
      </w:r>
      <w:r w:rsidR="001745F4">
        <w:rPr>
          <w:rFonts w:cs="Times New Roman"/>
          <w:sz w:val="24"/>
          <w:szCs w:val="24"/>
        </w:rPr>
        <w:t>-</w:t>
      </w:r>
      <w:r w:rsidR="00DD6ED9">
        <w:rPr>
          <w:rFonts w:cs="Times New Roman"/>
          <w:sz w:val="24"/>
          <w:szCs w:val="24"/>
        </w:rPr>
        <w:t xml:space="preserve">item substance use inventory, the RaRE Use of Substances Table </w:t>
      </w:r>
      <w:r w:rsidR="00DD6ED9">
        <w:rPr>
          <w:rFonts w:cs="Times New Roman"/>
          <w:sz w:val="24"/>
          <w:szCs w:val="24"/>
        </w:rPr>
        <w:fldChar w:fldCharType="begin" w:fldLock="1"/>
      </w:r>
      <w:r w:rsidR="00620688">
        <w:rPr>
          <w:rFonts w:cs="Times New Roman"/>
          <w:sz w:val="24"/>
          <w:szCs w:val="24"/>
        </w:rPr>
        <w:instrText>ADDIN CSL_CITATION {"citationItems":[{"id":"ITEM-1","itemData":{"abstract":"The RaRE Study research project 2010 – 2015 is a 5-year collaboration between PACE, the LGBT+ mental health charity and an academic panel drawn from three UK universities. The study looked at risk and resilience factors for three mental health issues that affect LGBT+ people disproportionally: 1. Suicide attempts and self-harm for young LGBT+ people under 26 2. Alcohol misuse in lesbian and bisexual women 3. Body image issues for gay and bisexual men Data was collected between 2011 and 2014, through two sets of interviews with 58 people in total and a national survey of 2078 people in England. Key Findings – Suicide and Self-harm for Young LGB&amp;T People Young LGB and Trans*1 people under 26 are more likely to attempt suicide and to self-harm than their heterosexual and cisgender2 peers. What Risk Factors did RaRE find? People who attempted suicide while young reported factors that appear to correlate closely with suicidal thoughts or attempts. These were: negative experiences of coming out; homophobic and transphobic bullying; and struggles about being LGB or Trans* within the family, at school and in peer groups. In addition, participants reported that a lack of awareness and training means responses from medical or professional staff can feel inadequate. Inclusive resources, which reflect the lives and issues of young LGB&amp;T people, are sparse outside of LGBT+ specialist services. 1 ‘Trans*’ will be used throughout the report as an umbrella term for people whose gender identity and/or gender expression diverges in some way from the sex they were assigned at birth. 2 ‘Cisgender’ refers to all people whose gender matches the sex they were assigned at birth.","author":[{"dropping-particle":"","family":"Nodin","given":"Nuno","non-dropping-particle":"","parse-names":false,"suffix":""},{"dropping-particle":"","family":"Peel","given":"Elizabeth","non-dropping-particle":"","parse-names":false,"suffix":""},{"dropping-particle":"","family":"Tyler","given":"Allan","non-dropping-particle":"","parse-names":false,"suffix":""},{"dropping-particle":"","family":"Rivers","given":"Ian","non-dropping-particle":"","parse-names":false,"suffix":""}],"id":"ITEM-1","issued":{"date-parts":[["2015"]]},"number-of-pages":"1-146","publisher-place":"London","title":"The RaRE Research Report: Risk and Resilience Explored","type":"report"},"uris":["http://www.mendeley.com/documents/?uuid=e925417c-3b53-4dc2-8c2d-eef710a18d93"]}],"mendeley":{"formattedCitation":"[47]","plainTextFormattedCitation":"[47]","previouslyFormattedCitation":"[47]"},"properties":{"noteIndex":0},"schema":"https://github.com/citation-style-language/schema/raw/master/csl-citation.json"}</w:instrText>
      </w:r>
      <w:r w:rsidR="00DD6ED9">
        <w:rPr>
          <w:rFonts w:cs="Times New Roman"/>
          <w:sz w:val="24"/>
          <w:szCs w:val="24"/>
        </w:rPr>
        <w:fldChar w:fldCharType="separate"/>
      </w:r>
      <w:r w:rsidR="0077457B" w:rsidRPr="0077457B">
        <w:rPr>
          <w:rFonts w:cs="Times New Roman"/>
          <w:noProof/>
          <w:sz w:val="24"/>
          <w:szCs w:val="24"/>
        </w:rPr>
        <w:t>[47]</w:t>
      </w:r>
      <w:r w:rsidR="00DD6ED9">
        <w:rPr>
          <w:rFonts w:cs="Times New Roman"/>
          <w:sz w:val="24"/>
          <w:szCs w:val="24"/>
        </w:rPr>
        <w:fldChar w:fldCharType="end"/>
      </w:r>
      <w:r w:rsidR="00DD6ED9">
        <w:rPr>
          <w:rFonts w:cs="Times New Roman"/>
          <w:sz w:val="24"/>
          <w:szCs w:val="24"/>
        </w:rPr>
        <w:t xml:space="preserve">, recorded </w:t>
      </w:r>
      <w:r w:rsidR="001745F4">
        <w:rPr>
          <w:rFonts w:cs="Times New Roman"/>
          <w:sz w:val="24"/>
          <w:szCs w:val="24"/>
        </w:rPr>
        <w:t>types of drugs and substances consumed</w:t>
      </w:r>
      <w:r w:rsidR="00EB3455">
        <w:rPr>
          <w:rFonts w:cs="Times New Roman"/>
          <w:sz w:val="24"/>
          <w:szCs w:val="24"/>
        </w:rPr>
        <w:t>. For each item, participants indicated frequency of use,</w:t>
      </w:r>
      <w:r w:rsidR="001745F4">
        <w:rPr>
          <w:rFonts w:cs="Times New Roman"/>
          <w:sz w:val="24"/>
          <w:szCs w:val="24"/>
        </w:rPr>
        <w:t xml:space="preserve"> </w:t>
      </w:r>
      <w:r w:rsidR="00EB3455">
        <w:rPr>
          <w:rFonts w:cs="Times New Roman"/>
          <w:sz w:val="24"/>
          <w:szCs w:val="24"/>
        </w:rPr>
        <w:t>0-6</w:t>
      </w:r>
      <w:r w:rsidR="001745F4">
        <w:rPr>
          <w:rFonts w:cs="Times New Roman"/>
          <w:sz w:val="24"/>
          <w:szCs w:val="24"/>
        </w:rPr>
        <w:t xml:space="preserve"> (Never to </w:t>
      </w:r>
      <w:r w:rsidR="008D01BF">
        <w:rPr>
          <w:rFonts w:cs="Times New Roman"/>
          <w:sz w:val="24"/>
          <w:szCs w:val="24"/>
        </w:rPr>
        <w:t>Everyday). An added question recorded which substance was the referent for the SDS.</w:t>
      </w:r>
    </w:p>
    <w:p w14:paraId="539D55DE" w14:textId="77777777" w:rsidR="00894D08" w:rsidRPr="00894D08" w:rsidRDefault="00894D08" w:rsidP="00894D08">
      <w:pPr>
        <w:pStyle w:val="ListParagraph"/>
        <w:numPr>
          <w:ilvl w:val="0"/>
          <w:numId w:val="2"/>
        </w:numPr>
        <w:spacing w:before="40" w:after="40" w:line="480" w:lineRule="auto"/>
        <w:ind w:left="709" w:hanging="425"/>
        <w:contextualSpacing w:val="0"/>
        <w:jc w:val="both"/>
        <w:rPr>
          <w:rFonts w:cs="Times New Roman"/>
          <w:sz w:val="24"/>
          <w:szCs w:val="24"/>
        </w:rPr>
      </w:pPr>
      <w:r w:rsidRPr="00894D08">
        <w:rPr>
          <w:rFonts w:cs="Times New Roman"/>
          <w:sz w:val="24"/>
          <w:szCs w:val="24"/>
        </w:rPr>
        <w:t>General health care and service use measured using an adapted health care and social service utilisation questionnaire.</w:t>
      </w:r>
    </w:p>
    <w:p w14:paraId="55F40050" w14:textId="6432EA31" w:rsidR="00CB4B53" w:rsidRPr="00CC3ABA" w:rsidRDefault="00CB4B53" w:rsidP="000B1370">
      <w:pPr>
        <w:pStyle w:val="ListParagraph"/>
        <w:numPr>
          <w:ilvl w:val="0"/>
          <w:numId w:val="2"/>
        </w:numPr>
        <w:spacing w:after="160" w:line="480" w:lineRule="auto"/>
        <w:ind w:left="709" w:hanging="425"/>
        <w:contextualSpacing w:val="0"/>
        <w:jc w:val="both"/>
        <w:rPr>
          <w:rFonts w:cs="Times New Roman"/>
          <w:sz w:val="24"/>
          <w:szCs w:val="24"/>
        </w:rPr>
      </w:pPr>
      <w:r w:rsidRPr="00CC3ABA">
        <w:rPr>
          <w:rFonts w:cs="Times New Roman"/>
          <w:sz w:val="24"/>
          <w:szCs w:val="24"/>
        </w:rPr>
        <w:t>Health Related Quality of Life (HRQoL) measured using the EQ-5D-3L</w:t>
      </w:r>
      <w:r w:rsidR="00A47B94">
        <w:rPr>
          <w:rFonts w:cs="Times New Roman"/>
          <w:sz w:val="24"/>
          <w:szCs w:val="24"/>
        </w:rPr>
        <w:t xml:space="preserve"> </w:t>
      </w:r>
      <w:r w:rsidR="00A47B94">
        <w:rPr>
          <w:rFonts w:cs="Times New Roman"/>
          <w:sz w:val="24"/>
          <w:szCs w:val="24"/>
        </w:rPr>
        <w:fldChar w:fldCharType="begin" w:fldLock="1"/>
      </w:r>
      <w:r w:rsidR="00620688">
        <w:rPr>
          <w:rFonts w:cs="Times New Roman"/>
          <w:sz w:val="24"/>
          <w:szCs w:val="24"/>
        </w:rPr>
        <w:instrText>ADDIN CSL_CITATION {"citationItems":[{"id":"ITEM-1","itemData":{"DOI":"10.1016/0168-8510(90)90421-9","ISSN":"01688510","PMID":"10109801","abstract":"In the course of developing a standardised, non-disease-specific instrument for describing and valuing health states (based on the items in Table 1), the EuroQol Group (whose members are listed In the Appendix) conducted postal surveys in England, The Netherlands and Sweden which indicate a striking similarity in the relative valuations attached to 14 different health states (see Table 3). The data were collected using a visual analogue scale similar to a thermometer (see Table 2). The EuroQol Instrument Is Intended to complement other quality-of-life measures and to facilitate the collection of a common data set for reference purposes. Others interested in participating in the extension of this work are invited to contact the EuroQol Group. © 1990.","author":[{"dropping-particle":"","family":"EuroQol","given":"","non-dropping-particle":"","parse-names":false,"suffix":""}],"container-title":"Health Policy","id":"ITEM-1","issue":"3","issued":{"date-parts":[["1990"]]},"page":"199-208","title":"EuroQol - a new facility for the measurement of health-related quality of life","type":"article-journal","volume":"16"},"uris":["http://www.mendeley.com/documents/?uuid=d20e232a-61e3-454b-affb-642f15c5e610"]},{"id":"ITEM-2","itemData":{"URL":"https://euroqol.org/eq-5d-instruments/eq-5d-3l-about/","accessed":{"date-parts":[["2018","12","12"]]},"author":[{"dropping-particle":"","family":"EuroQol","given":"","non-dropping-particle":"","parse-names":false,"suffix":""}],"container-title":"EQ-5D-3L Version18 April2017","id":"ITEM-2","issued":{"date-parts":[["2017"]]},"title":"EQ-5D-3L","type":"webpage"},"uris":["http://www.mendeley.com/documents/?uuid=39f6f3ff-7804-4575-be17-9b0d87657255"]}],"mendeley":{"formattedCitation":"[48,49]","plainTextFormattedCitation":"[48,49]","previouslyFormattedCitation":"[48,49]"},"properties":{"noteIndex":0},"schema":"https://github.com/citation-style-language/schema/raw/master/csl-citation.json"}</w:instrText>
      </w:r>
      <w:r w:rsidR="00A47B94">
        <w:rPr>
          <w:rFonts w:cs="Times New Roman"/>
          <w:sz w:val="24"/>
          <w:szCs w:val="24"/>
        </w:rPr>
        <w:fldChar w:fldCharType="separate"/>
      </w:r>
      <w:r w:rsidR="0077457B" w:rsidRPr="0077457B">
        <w:rPr>
          <w:rFonts w:cs="Times New Roman"/>
          <w:noProof/>
          <w:sz w:val="24"/>
          <w:szCs w:val="24"/>
        </w:rPr>
        <w:t>[48,49]</w:t>
      </w:r>
      <w:r w:rsidR="00A47B94">
        <w:rPr>
          <w:rFonts w:cs="Times New Roman"/>
          <w:sz w:val="24"/>
          <w:szCs w:val="24"/>
        </w:rPr>
        <w:fldChar w:fldCharType="end"/>
      </w:r>
      <w:r w:rsidRPr="00CC3ABA">
        <w:rPr>
          <w:rFonts w:cs="Times New Roman"/>
          <w:sz w:val="24"/>
          <w:szCs w:val="24"/>
        </w:rPr>
        <w:t xml:space="preserve">, a </w:t>
      </w:r>
      <w:r w:rsidR="00894D08">
        <w:rPr>
          <w:rFonts w:cs="Times New Roman"/>
          <w:sz w:val="24"/>
          <w:szCs w:val="24"/>
        </w:rPr>
        <w:t>generic preference-based measure that consists of a descriptive system and a visual analogue scale (VAS). The descriptive system can be converted to a utility value</w:t>
      </w:r>
      <w:r w:rsidR="008A0E15">
        <w:rPr>
          <w:rFonts w:cs="Times New Roman"/>
          <w:sz w:val="24"/>
          <w:szCs w:val="24"/>
        </w:rPr>
        <w:t xml:space="preserve"> based on UK population tariff,</w:t>
      </w:r>
      <w:r w:rsidR="00894D08">
        <w:rPr>
          <w:rFonts w:cs="Times New Roman"/>
          <w:sz w:val="24"/>
          <w:szCs w:val="24"/>
        </w:rPr>
        <w:t xml:space="preserve"> ranging from condition worth than death (-0.594) to perfect health (1), with 0 represents death</w:t>
      </w:r>
      <w:r w:rsidR="008A0E15">
        <w:rPr>
          <w:rFonts w:cs="Times New Roman"/>
          <w:sz w:val="24"/>
          <w:szCs w:val="24"/>
        </w:rPr>
        <w:t xml:space="preserve"> </w:t>
      </w:r>
      <w:r w:rsidR="00A47B94">
        <w:rPr>
          <w:rFonts w:cs="Times New Roman"/>
          <w:sz w:val="24"/>
          <w:szCs w:val="24"/>
        </w:rPr>
        <w:fldChar w:fldCharType="begin" w:fldLock="1"/>
      </w:r>
      <w:r w:rsidR="00620688">
        <w:rPr>
          <w:rFonts w:cs="Times New Roman"/>
          <w:sz w:val="24"/>
          <w:szCs w:val="24"/>
        </w:rPr>
        <w:instrText>ADDIN CSL_CITATION {"citationItems":[{"id":"ITEM-1","itemData":{"author":[{"dropping-particle":"","family":"Dolan","given":"Paul","non-dropping-particle":"","parse-names":false,"suffix":""}],"container-title":"Medical Care","id":"ITEM-1","issue":"11","issued":{"date-parts":[["1997","11"]]},"page":"1095-1108","title":"Modeling valuations for EuroQol health states","type":"article-journal","volume":"35"},"uris":["http://www.mendeley.com/documents/?uuid=639fad45-85f3-4514-8116-9a8c2621e8b5"]}],"mendeley":{"formattedCitation":"[50]","plainTextFormattedCitation":"[50]","previouslyFormattedCitation":"[50]"},"properties":{"noteIndex":0},"schema":"https://github.com/citation-style-language/schema/raw/master/csl-citation.json"}</w:instrText>
      </w:r>
      <w:r w:rsidR="00A47B94">
        <w:rPr>
          <w:rFonts w:cs="Times New Roman"/>
          <w:sz w:val="24"/>
          <w:szCs w:val="24"/>
        </w:rPr>
        <w:fldChar w:fldCharType="separate"/>
      </w:r>
      <w:r w:rsidR="0077457B" w:rsidRPr="0077457B">
        <w:rPr>
          <w:rFonts w:cs="Times New Roman"/>
          <w:noProof/>
          <w:sz w:val="24"/>
          <w:szCs w:val="24"/>
        </w:rPr>
        <w:t>[50]</w:t>
      </w:r>
      <w:r w:rsidR="00A47B94">
        <w:rPr>
          <w:rFonts w:cs="Times New Roman"/>
          <w:sz w:val="24"/>
          <w:szCs w:val="24"/>
        </w:rPr>
        <w:fldChar w:fldCharType="end"/>
      </w:r>
      <w:r w:rsidR="00A47B94">
        <w:rPr>
          <w:rFonts w:cs="Times New Roman"/>
          <w:sz w:val="24"/>
          <w:szCs w:val="24"/>
        </w:rPr>
        <w:t>.</w:t>
      </w:r>
      <w:r w:rsidR="00894D08">
        <w:rPr>
          <w:rFonts w:cs="Times New Roman"/>
          <w:sz w:val="24"/>
          <w:szCs w:val="24"/>
        </w:rPr>
        <w:t xml:space="preserve"> Utility values at multiple time points can be used to derive quality-adjusted life years (QALYs). The EQ VAS represents perceived health on the day of administration, ranging from 0 (death) to 100 (perfect health).</w:t>
      </w:r>
    </w:p>
    <w:p w14:paraId="0CBCCEAA" w14:textId="3FFB2709" w:rsidR="006C46EE" w:rsidRPr="00CC3ABA" w:rsidRDefault="00CB4B53" w:rsidP="000B1370">
      <w:pPr>
        <w:spacing w:after="160" w:line="480" w:lineRule="auto"/>
        <w:jc w:val="both"/>
        <w:rPr>
          <w:rFonts w:cs="Times New Roman"/>
        </w:rPr>
      </w:pPr>
      <w:r w:rsidRPr="00CC3ABA">
        <w:rPr>
          <w:rFonts w:cs="Times New Roman"/>
        </w:rPr>
        <w:t>All questionnaires and measures have good psychometric properties and have been used in previous research with vulnerable populations</w:t>
      </w:r>
      <w:r w:rsidR="00A47B94">
        <w:rPr>
          <w:rFonts w:cs="Times New Roman"/>
        </w:rPr>
        <w:t xml:space="preserve"> </w:t>
      </w:r>
      <w:r w:rsidR="00A47B94">
        <w:rPr>
          <w:rFonts w:cs="Times New Roman"/>
        </w:rPr>
        <w:fldChar w:fldCharType="begin" w:fldLock="1"/>
      </w:r>
      <w:r w:rsidR="00620688">
        <w:rPr>
          <w:rFonts w:cs="Times New Roman"/>
        </w:rPr>
        <w:instrText>ADDIN CSL_CITATION {"citationItems":[{"id":"ITEM-1","itemData":{"DOI":"10.1093/ntr/ntr101","ISSN":"14622203","abstract":"Objective: To assess prevalence rates of tobacco use and dependence in a sample of homeless individuals and to investigate trends for demographic and clinical characteristics across different levels of nicotine dependence (nonsmokers vs. lowly dependent smokers vs. highly dependent smokers). Methods: A cross-sectional study of 489 homeless men and women in 3 Canadian cities. Each subject was assessed using structured clinical interviews and the Fagerström Test for Nicotine Dependence (FTND). Cochran-Armitage trend tests were applied to determine unadjusted trends in sociodemographic and clinical variables across levels of nicotine dependence. A generalized logit model was computed to adjust for potential confounding. Results: The mean age was 37.9 years; 39.2% of the participants were women. About 80.8% were current smokers; the mean FTND score was 5.0. Although no significant differences were found between nonsmokers and smokers with low nicotine dependence, smokers with high nicotine dependence were only half as likely as nonsmokers to be Aboriginal, were 2.39 times more likely to have ever been incarcerated, and 2.44 times more likely to have current drug dependence. There were significant trends for the use of cocaine, opioids, and alcohol, with nonsmokers having the lowest and highly dependent smokers having the highest rates of using these substances. Conclusions: Available public health smoking cessation treatment opportunities should be made available within health care services for the homeless. There is also a need for developing and implementing tobacco dependence treatment programs, which are accessible and tailored to meet the needs of this specific population, accounting for polysubstance use and concurrent substance dependence and mental health disorders. © The Author 2011. Published by Oxford University Press on behalf of the Society for Research on Nicotine and Tobacco. All rights reserved.","author":[{"dropping-particle":"","family":"Torchalla","given":"Iris","non-dropping-particle":"","parse-names":false,"suffix":""},{"dropping-particle":"","family":"Strehlau","given":"Verena","non-dropping-particle":"","parse-names":false,"suffix":""},{"dropping-particle":"","family":"Okoli","given":"Chizimuzo T.C.","non-dropping-particle":"","parse-names":false,"suffix":""},{"dropping-particle":"","family":"Li","given":"Kathy","non-dropping-particle":"","parse-names":false,"suffix":""},{"dropping-particle":"","family":"Schuetz","given":"Christian","non-dropping-particle":"","parse-names":false,"suffix":""},{"dropping-particle":"","family":"Krausz","given":"Michael","non-dropping-particle":"","parse-names":false,"suffix":""}],"container-title":"Nicotine and Tobacco Research","id":"ITEM-1","issued":{"date-parts":[["2011"]]},"title":"Smoking and predictors of nicotine dependence in a homeless population","type":"article-journal"},"uris":["http://www.mendeley.com/documents/?uuid=747dd117-fb69-4210-a78e-70e4be8efccc"]},{"id":"ITEM-2","itemData":{"DOI":"10.1017/S0033291713002705","ISSN":"14698978","abstract":"Background Smoking is highly prevalent in people diagnosed with schizophrenia, but the reason for this co-morbidity is currently unclear. One possible explanation is that a common abnormality underpins the development of psychosis and independently enhances the incentive motivational properties of drugs and their associated cues. This study aimed to investigate whether incentive salience attribution towards smoking cues, as assessed by attentional bias, is heightened in schizophrenia and associated with delusions and hallucinations. Method Twenty-two smokers diagnosed with schizophrenia and 23 control smokers were assessed for smoking-related attentional bias using a modified Stroop task. Craving, nicotine dependence, smoking behaviour and positive and negative symptoms of schizophrenia were also recorded. Results Both groups showed similar craving scores and smoking behaviour according to self-report and expired carbon monoxide (CO), although the patient group had higher nicotine dependence scores. Attentional bias, as evidenced by significant interference from smoking-related words on the modified Stroop task, was similar in both groups and correlated with CO levels. Attentional bias was positively related to severity of delusions but not hallucinations or other symptoms in the schizophrenia group. Conclusions This study supports the hypothesis that the development of delusions and the incentive motivational aspects of smoking may share a common biological substrate. These findings may offer some explanation for the elevated rates of smoking and other drug use in people with psychotic illness. © Cambridge University Press 2013.","author":[{"dropping-particle":"","family":"Freeman","given":"T. P.","non-dropping-particle":"","parse-names":false,"suffix":""},{"dropping-particle":"","family":"Stone","given":"J. M.","non-dropping-particle":"","parse-names":false,"suffix":""},{"dropping-particle":"","family":"Orgaz","given":"B.","non-dropping-particle":"","parse-names":false,"suffix":""},{"dropping-particle":"","family":"Noronha","given":"L. A.","non-dropping-particle":"","parse-names":false,"suffix":""},{"dropping-particle":"","family":"Minchin","given":"S. L.","non-dropping-particle":"","parse-names":false,"suffix":""},{"dropping-particle":"V.","family":"Curran","given":"H.","non-dropping-particle":"","parse-names":false,"suffix":""}],"container-title":"Psychological Medicine","id":"ITEM-2","issued":{"date-parts":[["2014"]]},"title":"Tobacco smoking in schizophrenia: Investigating the role of incentive salience","type":"article-journal"},"uris":["http://www.mendeley.com/documents/?uuid=d8435ee3-484b-488e-af66-231dbe38b8cb"]},{"id":"ITEM-3","itemData":{"DOI":"10.1186/s12913-015-0716-4","ISSN":"14726963","abstract":"Background: Homeless populations experience poorer physical and mental health, and more barriers to accessing adequate healthcare. This study investigates the health of this population, following the provision of a free to access primary care service for homeless people in Dublin (Safetynet). The health of this group will be compared to previous studies on homelessness conducted in Dublin prior to the establishment of this service (in 1997 and 2005). Methods: Participants were recruited through Safetynet clinics. A 133-item questionnaire was administered to determine participants' physical and mental well-being, use of health services and healthcare needs. Prescription data was extracted from participants' electronic health records. Results: A total of 105 participants were recruited. The majority were &lt; 45 years of age (69%), male (75%), single (52%), Irish (74%) and had children (52%). Multimorbidity was common; with 5.3 ± 2.7 (mean ± SD) physical conditions reported per person. A large proportion of participants had at some point received a formal diagnosis of a mental health condition (70%; 73/105), including depression (50%; 52/105), addiction disorder (39%), anxiety (36%; 38/105), schizophrenia (13%; 14/105) and bipolar disorder (6%; 6/105). With regards to illicit drug use, 60% (63/105) of participants reported ever using drugs, while 33% (35/105) reported being active drug users. Based on AUDIT C criteria, 53% had an alcohol problem. Compared to previous studies, participants reported more positive ratings of health (70% vs. 57% in 1997 and 46% in 2005). The proportion of participants on one or more prescription medication was higher than in previous studies (81% vs. 32% in 1997 and 49% in 2005) and there was a decrease in attendance at outpatients departments (17% vs. 27% in 2005) and a trend towards a decrease in attendance at Accident and Emergency departments (A &amp; E) (29% vs. 37% in 2005). Conclusions: This vulnerable population has many physical and mental health problems. Use of drugs, alcohol and smoking is common. Following the establishment of Safetynet, self-reported health was rated more positively, there was also a decrease in the use of A &amp; E and outpatient services and an increase in prescription medicines.","author":[{"dropping-particle":"","family":"Keogh","given":"Claire","non-dropping-particle":"","parse-names":false,"suffix":""},{"dropping-particle":"","family":"O'Brien","given":"Kirsty K.","non-dropping-particle":"","parse-names":false,"suffix":""},{"dropping-particle":"","family":"Hoban","given":"Anthony","non-dropping-particle":"","parse-names":false,"suffix":""},{"dropping-particle":"","family":"O'Carroll","given":"Austin","non-dropping-particle":"","parse-names":false,"suffix":""},{"dropping-particle":"","family":"Fahey","given":"Tom","non-dropping-particle":"","parse-names":false,"suffix":""}],"container-title":"BMC Health Services Research","id":"ITEM-3","issued":{"date-parts":[["2015"]]},"title":"Health and use of health services of people who are homeless and at risk of homelessness who receive free primary health care in Dublin 58","type":"article-journal"},"uris":["http://www.mendeley.com/documents/?uuid=7828da48-4169-4435-a95c-4530779ce617"]}],"mendeley":{"formattedCitation":"[51–53]","plainTextFormattedCitation":"[51–53]","previouslyFormattedCitation":"[51–53]"},"properties":{"noteIndex":0},"schema":"https://github.com/citation-style-language/schema/raw/master/csl-citation.json"}</w:instrText>
      </w:r>
      <w:r w:rsidR="00A47B94">
        <w:rPr>
          <w:rFonts w:cs="Times New Roman"/>
        </w:rPr>
        <w:fldChar w:fldCharType="separate"/>
      </w:r>
      <w:r w:rsidR="0077457B" w:rsidRPr="0077457B">
        <w:rPr>
          <w:rFonts w:cs="Times New Roman"/>
          <w:noProof/>
        </w:rPr>
        <w:t>[51–53]</w:t>
      </w:r>
      <w:r w:rsidR="00A47B94">
        <w:rPr>
          <w:rFonts w:cs="Times New Roman"/>
        </w:rPr>
        <w:fldChar w:fldCharType="end"/>
      </w:r>
      <w:r w:rsidRPr="00CC3ABA">
        <w:rPr>
          <w:rFonts w:cs="Times New Roman"/>
        </w:rPr>
        <w:t xml:space="preserve">. </w:t>
      </w:r>
    </w:p>
    <w:p w14:paraId="4250FBD1" w14:textId="30F7F514" w:rsidR="00CB4B53" w:rsidRPr="00CC3ABA" w:rsidRDefault="00CB4B53" w:rsidP="00F04D94">
      <w:pPr>
        <w:spacing w:after="160" w:line="480" w:lineRule="auto"/>
        <w:jc w:val="both"/>
        <w:rPr>
          <w:rFonts w:cs="Times New Roman"/>
        </w:rPr>
      </w:pPr>
      <w:r w:rsidRPr="00CC3ABA">
        <w:rPr>
          <w:rFonts w:cs="Times New Roman"/>
        </w:rPr>
        <w:t xml:space="preserve">Following completion of these baseline measures, participants </w:t>
      </w:r>
      <w:r w:rsidR="000B1370" w:rsidRPr="00CC3ABA">
        <w:rPr>
          <w:rFonts w:cs="Times New Roman"/>
        </w:rPr>
        <w:t xml:space="preserve">were informed of their allocated </w:t>
      </w:r>
      <w:r w:rsidRPr="00CC3ABA">
        <w:rPr>
          <w:rFonts w:cs="Times New Roman"/>
        </w:rPr>
        <w:t xml:space="preserve">condition and then </w:t>
      </w:r>
      <w:r w:rsidR="00184092" w:rsidRPr="00CC3ABA">
        <w:rPr>
          <w:rFonts w:cs="Times New Roman"/>
        </w:rPr>
        <w:t xml:space="preserve">met with their keyworker or other centre staff who </w:t>
      </w:r>
      <w:r w:rsidRPr="00CC3ABA">
        <w:rPr>
          <w:rFonts w:cs="Times New Roman"/>
        </w:rPr>
        <w:t>provided the EC starter kit or UC (accordin</w:t>
      </w:r>
      <w:r w:rsidR="006660F6">
        <w:rPr>
          <w:rFonts w:cs="Times New Roman"/>
        </w:rPr>
        <w:t>g to homeless centre allocation</w:t>
      </w:r>
      <w:r w:rsidRPr="00CC3ABA">
        <w:rPr>
          <w:rFonts w:cs="Times New Roman"/>
        </w:rPr>
        <w:t>).</w:t>
      </w:r>
      <w:r w:rsidR="00840AF7">
        <w:rPr>
          <w:rFonts w:cs="Times New Roman"/>
        </w:rPr>
        <w:t xml:space="preserve"> </w:t>
      </w:r>
      <w:r w:rsidRPr="00CC3ABA">
        <w:rPr>
          <w:rFonts w:cs="Times New Roman"/>
        </w:rPr>
        <w:t xml:space="preserve">A follow up appointment </w:t>
      </w:r>
      <w:r w:rsidR="00184092" w:rsidRPr="00CC3ABA">
        <w:rPr>
          <w:rFonts w:cs="Times New Roman"/>
        </w:rPr>
        <w:t xml:space="preserve">was then </w:t>
      </w:r>
      <w:r w:rsidRPr="00CC3ABA">
        <w:rPr>
          <w:rFonts w:cs="Times New Roman"/>
        </w:rPr>
        <w:t>made, and</w:t>
      </w:r>
      <w:r w:rsidR="00F04D94" w:rsidRPr="00CC3ABA">
        <w:rPr>
          <w:rFonts w:cs="Times New Roman"/>
        </w:rPr>
        <w:t xml:space="preserve"> in order to minimise attrition (where possible and where consent was given) mobile telephone numbers and email addresses were recorded in order to send text message reminders ahead of scheduled appointments.</w:t>
      </w:r>
    </w:p>
    <w:p w14:paraId="37D95346" w14:textId="77777777" w:rsidR="00F04D94" w:rsidRPr="00E879B4" w:rsidRDefault="00F04D94" w:rsidP="00AF4C86">
      <w:pPr>
        <w:spacing w:after="160" w:line="480" w:lineRule="auto"/>
        <w:jc w:val="both"/>
        <w:rPr>
          <w:rFonts w:cs="Times New Roman"/>
          <w:sz w:val="28"/>
          <w:szCs w:val="28"/>
        </w:rPr>
      </w:pPr>
      <w:r w:rsidRPr="00E879B4">
        <w:rPr>
          <w:rFonts w:cs="Times New Roman"/>
          <w:b/>
          <w:sz w:val="28"/>
          <w:szCs w:val="28"/>
        </w:rPr>
        <w:t>Follow Up Data Collection</w:t>
      </w:r>
    </w:p>
    <w:p w14:paraId="275C6FCF" w14:textId="1714D56F" w:rsidR="00BE5AFD" w:rsidRPr="00CC3ABA" w:rsidRDefault="00C538AF" w:rsidP="00AF4C86">
      <w:pPr>
        <w:spacing w:after="160" w:line="480" w:lineRule="auto"/>
        <w:jc w:val="both"/>
        <w:rPr>
          <w:rFonts w:cs="Times New Roman"/>
          <w:i/>
        </w:rPr>
      </w:pPr>
      <w:r>
        <w:rPr>
          <w:rFonts w:cs="Times New Roman"/>
        </w:rPr>
        <w:t xml:space="preserve">Follow up data was </w:t>
      </w:r>
      <w:r w:rsidR="003C3A02">
        <w:rPr>
          <w:rFonts w:cs="Times New Roman"/>
        </w:rPr>
        <w:t xml:space="preserve">collected at weeks 4, 12 and 24 </w:t>
      </w:r>
      <w:r>
        <w:rPr>
          <w:rFonts w:cs="Times New Roman"/>
        </w:rPr>
        <w:t xml:space="preserve">between </w:t>
      </w:r>
      <w:r w:rsidR="003C3A02">
        <w:rPr>
          <w:rFonts w:cs="Times New Roman"/>
        </w:rPr>
        <w:t>4</w:t>
      </w:r>
      <w:r w:rsidR="003C3A02" w:rsidRPr="003C3A02">
        <w:rPr>
          <w:rFonts w:cs="Times New Roman"/>
          <w:vertAlign w:val="superscript"/>
        </w:rPr>
        <w:t>th</w:t>
      </w:r>
      <w:r w:rsidR="003C3A02">
        <w:rPr>
          <w:rFonts w:cs="Times New Roman"/>
        </w:rPr>
        <w:t xml:space="preserve"> February and 20</w:t>
      </w:r>
      <w:r w:rsidR="003C3A02" w:rsidRPr="003C3A02">
        <w:rPr>
          <w:rFonts w:cs="Times New Roman"/>
          <w:vertAlign w:val="superscript"/>
        </w:rPr>
        <w:t>th</w:t>
      </w:r>
      <w:r w:rsidR="003C3A02">
        <w:rPr>
          <w:rFonts w:cs="Times New Roman"/>
        </w:rPr>
        <w:t xml:space="preserve"> November 2019. The</w:t>
      </w:r>
      <w:r w:rsidR="00184092" w:rsidRPr="00CC3ABA">
        <w:rPr>
          <w:rFonts w:cs="Times New Roman"/>
        </w:rPr>
        <w:t xml:space="preserve"> following </w:t>
      </w:r>
      <w:r w:rsidR="00CB4B53" w:rsidRPr="00CC3ABA">
        <w:rPr>
          <w:rFonts w:cs="Times New Roman"/>
        </w:rPr>
        <w:t>information</w:t>
      </w:r>
      <w:r w:rsidR="006660F6">
        <w:rPr>
          <w:rFonts w:cs="Times New Roman"/>
        </w:rPr>
        <w:t xml:space="preserve"> </w:t>
      </w:r>
      <w:r w:rsidR="00184092" w:rsidRPr="00CC3ABA">
        <w:rPr>
          <w:rFonts w:cs="Times New Roman"/>
        </w:rPr>
        <w:t>was collected</w:t>
      </w:r>
      <w:r w:rsidR="00CB4B53" w:rsidRPr="00CC3ABA">
        <w:rPr>
          <w:rFonts w:cs="Times New Roman"/>
        </w:rPr>
        <w:t>: se</w:t>
      </w:r>
      <w:r w:rsidR="00AF4C86" w:rsidRPr="00CC3ABA">
        <w:rPr>
          <w:rFonts w:cs="Times New Roman"/>
        </w:rPr>
        <w:t xml:space="preserve">lf-reported smoking abstinence; </w:t>
      </w:r>
      <w:r w:rsidR="00CB4B53" w:rsidRPr="00CC3ABA">
        <w:rPr>
          <w:rFonts w:cs="Times New Roman"/>
        </w:rPr>
        <w:t>number of cigarettes smoked</w:t>
      </w:r>
      <w:r w:rsidR="00AF4C86" w:rsidRPr="00CC3ABA">
        <w:rPr>
          <w:rFonts w:cs="Times New Roman"/>
        </w:rPr>
        <w:t>; breath CO levels; engagement with the local SSS;</w:t>
      </w:r>
      <w:r w:rsidR="00CB4B53" w:rsidRPr="00CC3ABA">
        <w:rPr>
          <w:rFonts w:cs="Times New Roman"/>
        </w:rPr>
        <w:t xml:space="preserve"> use of EC and other tobacco/nicot</w:t>
      </w:r>
      <w:r w:rsidR="00AF4C86" w:rsidRPr="00CC3ABA">
        <w:rPr>
          <w:rFonts w:cs="Times New Roman"/>
        </w:rPr>
        <w:t>ine containing products;</w:t>
      </w:r>
      <w:r w:rsidR="00684AAB" w:rsidRPr="00CC3ABA">
        <w:rPr>
          <w:rFonts w:cs="Times New Roman"/>
        </w:rPr>
        <w:t xml:space="preserve"> general health care and service use; </w:t>
      </w:r>
      <w:r w:rsidR="00AF4C86" w:rsidRPr="00CC3ABA">
        <w:rPr>
          <w:rFonts w:cs="Times New Roman"/>
        </w:rPr>
        <w:t>HRQoL</w:t>
      </w:r>
      <w:r w:rsidR="005E1A6A">
        <w:rPr>
          <w:rFonts w:cs="Times New Roman"/>
        </w:rPr>
        <w:t xml:space="preserve"> (EQ-5D-3L)</w:t>
      </w:r>
      <w:r w:rsidR="00AF4C86" w:rsidRPr="00CC3ABA">
        <w:rPr>
          <w:rFonts w:cs="Times New Roman"/>
        </w:rPr>
        <w:t>; mental health status</w:t>
      </w:r>
      <w:r w:rsidR="00684AAB" w:rsidRPr="00CC3ABA">
        <w:rPr>
          <w:rFonts w:cs="Times New Roman"/>
        </w:rPr>
        <w:t xml:space="preserve"> (GAD</w:t>
      </w:r>
      <w:r w:rsidR="00F363F1">
        <w:rPr>
          <w:rFonts w:cs="Times New Roman"/>
        </w:rPr>
        <w:t>-</w:t>
      </w:r>
      <w:r w:rsidR="00684AAB" w:rsidRPr="00CC3ABA">
        <w:rPr>
          <w:rFonts w:cs="Times New Roman"/>
        </w:rPr>
        <w:t>7, PHQ</w:t>
      </w:r>
      <w:r w:rsidR="00F363F1">
        <w:rPr>
          <w:rFonts w:cs="Times New Roman"/>
        </w:rPr>
        <w:t>-</w:t>
      </w:r>
      <w:r w:rsidR="00684AAB" w:rsidRPr="00CC3ABA">
        <w:rPr>
          <w:rFonts w:cs="Times New Roman"/>
        </w:rPr>
        <w:t>9)</w:t>
      </w:r>
      <w:r w:rsidR="00AF4C86" w:rsidRPr="00CC3ABA">
        <w:rPr>
          <w:rFonts w:cs="Times New Roman"/>
        </w:rPr>
        <w:t>; other drug use</w:t>
      </w:r>
      <w:r w:rsidR="00684AAB" w:rsidRPr="00CC3ABA">
        <w:rPr>
          <w:rFonts w:cs="Times New Roman"/>
        </w:rPr>
        <w:t>/dependence (AUDIT, SDS); direct and indirect staff contact time</w:t>
      </w:r>
      <w:r w:rsidR="007B458C" w:rsidRPr="00CC3ABA">
        <w:rPr>
          <w:rFonts w:cs="Times New Roman"/>
        </w:rPr>
        <w:t>.</w:t>
      </w:r>
      <w:r w:rsidR="00840AF7">
        <w:rPr>
          <w:rFonts w:cs="Times New Roman"/>
        </w:rPr>
        <w:t xml:space="preserve"> </w:t>
      </w:r>
      <w:r w:rsidR="00AF4C86" w:rsidRPr="00CC3ABA">
        <w:rPr>
          <w:rFonts w:cs="Times New Roman"/>
        </w:rPr>
        <w:t xml:space="preserve">For those in the EC arm, we additionally measured </w:t>
      </w:r>
      <w:r w:rsidR="00B47782" w:rsidRPr="00CC3ABA">
        <w:rPr>
          <w:rFonts w:cs="Times New Roman"/>
        </w:rPr>
        <w:t xml:space="preserve">12 </w:t>
      </w:r>
      <w:r w:rsidR="00AF4C86" w:rsidRPr="00CC3ABA">
        <w:rPr>
          <w:rFonts w:cs="Times New Roman"/>
        </w:rPr>
        <w:t xml:space="preserve">positive </w:t>
      </w:r>
      <w:r w:rsidR="00B47782" w:rsidRPr="00CC3ABA">
        <w:rPr>
          <w:rFonts w:cs="Times New Roman"/>
        </w:rPr>
        <w:t xml:space="preserve">(e.g. </w:t>
      </w:r>
      <w:r w:rsidR="00E95821" w:rsidRPr="00CC3ABA">
        <w:rPr>
          <w:rFonts w:cs="Times New Roman"/>
        </w:rPr>
        <w:t xml:space="preserve">throat hit, satisfaction, pleasant, craving reduction) </w:t>
      </w:r>
      <w:r w:rsidR="00AF4C86" w:rsidRPr="00CC3ABA">
        <w:rPr>
          <w:rFonts w:cs="Times New Roman"/>
        </w:rPr>
        <w:t xml:space="preserve">and </w:t>
      </w:r>
      <w:r w:rsidR="00E95821" w:rsidRPr="00CC3ABA">
        <w:rPr>
          <w:rFonts w:cs="Times New Roman"/>
        </w:rPr>
        <w:t>21 negative</w:t>
      </w:r>
      <w:r w:rsidR="00AF4C86" w:rsidRPr="00CC3ABA">
        <w:rPr>
          <w:rFonts w:cs="Times New Roman"/>
        </w:rPr>
        <w:t xml:space="preserve"> effects </w:t>
      </w:r>
      <w:r w:rsidR="00E95821" w:rsidRPr="00CC3ABA">
        <w:rPr>
          <w:rFonts w:cs="Times New Roman"/>
        </w:rPr>
        <w:t xml:space="preserve">(e.g. mouth/throat irritation, nausea, headache, heartburn) </w:t>
      </w:r>
      <w:r w:rsidR="00AF4C86" w:rsidRPr="00CC3ABA">
        <w:rPr>
          <w:rFonts w:cs="Times New Roman"/>
        </w:rPr>
        <w:t xml:space="preserve">of EC </w:t>
      </w:r>
      <w:r w:rsidR="000A4218">
        <w:rPr>
          <w:rFonts w:cs="Times New Roman"/>
        </w:rPr>
        <w:t xml:space="preserve">use </w:t>
      </w:r>
      <w:r w:rsidR="00CB4B53" w:rsidRPr="00CC3ABA">
        <w:rPr>
          <w:rFonts w:cs="Times New Roman"/>
        </w:rPr>
        <w:t xml:space="preserve">using a Visual Analogue Scales (VAS) </w:t>
      </w:r>
      <w:r w:rsidR="00E95821" w:rsidRPr="00CC3ABA">
        <w:rPr>
          <w:rFonts w:cs="Times New Roman"/>
        </w:rPr>
        <w:t xml:space="preserve">and summed to create a percentage score </w:t>
      </w:r>
      <w:r w:rsidR="006660F6">
        <w:rPr>
          <w:rFonts w:cs="Times New Roman"/>
        </w:rPr>
        <w:t xml:space="preserve">(higher score = </w:t>
      </w:r>
      <w:r w:rsidR="00B3415D" w:rsidRPr="00CC3ABA">
        <w:rPr>
          <w:rFonts w:cs="Times New Roman"/>
        </w:rPr>
        <w:t xml:space="preserve">higher positive or negative effect) </w:t>
      </w:r>
      <w:r w:rsidR="00CB4B53" w:rsidRPr="00CC3ABA">
        <w:rPr>
          <w:rFonts w:cs="Times New Roman"/>
        </w:rPr>
        <w:t>as used in our previous studies</w:t>
      </w:r>
      <w:r w:rsidR="006660F6">
        <w:rPr>
          <w:rFonts w:cs="Times New Roman"/>
        </w:rPr>
        <w:t xml:space="preserve"> </w:t>
      </w:r>
      <w:r w:rsidR="00AF0BE0">
        <w:rPr>
          <w:rFonts w:cs="Times New Roman"/>
        </w:rPr>
        <w:fldChar w:fldCharType="begin" w:fldLock="1"/>
      </w:r>
      <w:r w:rsidR="00620688">
        <w:rPr>
          <w:rFonts w:cs="Times New Roman"/>
        </w:rPr>
        <w:instrText>ADDIN CSL_CITATION {"citationItems":[{"id":"ITEM-1","itemData":{"DOI":"10.1007/s00213-013-3249-8","ISSN":"00333158","abstract":"Rationale: Electronic cigarettes are becoming increasingly popular among smokers worldwide. Commonly reported reasons for use include the following: to quit smoking, to avoid relapse, to reduce urge to smoke, or as a perceived lower-risk alternative to smoking. Few studies, however, have explored whether electronic cigarettes (e-cigarettes) deliver measurable levels of nicotine to the blood. Objective: This study aims to explore in experienced users the effect of using an 18-mg/ml nicotine first-generation e-cigarette on blood nicotine, tobacco withdrawal symptoms, and urge to smoke. Methods: Fourteen regular e-cigarette users (three females), who are abstinent from smoking and e-cigarette use for 12 h, each completed a 2.5 h testing session. Blood was sampled, and questionnaires were completed (tobacco-related withdrawal symptoms, urge to smoke, positive and negative subjective effects) at four stages: baseline, 10 puffs, 60 min of ad lib use and a 60-min rest period. Results: Complete sets of blood were obtained from seven participants. Plasma nicotine concentration rose significantly from a mean of 0.74 ng/ml at baseline to 6.77 ng/ml 10 min after 10 puffs, reaching a mean maximum of 13.91 ng/ml by the end of the ad lib puffing period. Tobacco-related withdrawal symptoms and urge to smoke were significantly reduced; direct positive effects were strongly endorsed, and there was very low reporting of adverse effects. Conclusions: These findings demonstrate reliable blood nicotine delivery after the acute use of this brand/model of e-cigarette in a sample of regular users. Future studies might usefully quantify nicotine delivery in relation to inhalation technique and the relationship with successful smoking cessation/harm reduction. © 2013 Springer-Verlag Berlin Heidelberg.","author":[{"dropping-particle":"","family":"Dawkins","given":"Lynne","non-dropping-particle":"","parse-names":false,"suffix":""},{"dropping-particle":"","family":"Corcoran","given":"Olivia","non-dropping-particle":"","parse-names":false,"suffix":""}],"container-title":"Psychopharmacology","id":"ITEM-1","issue":"2","issued":{"date-parts":[["2014","1"]]},"page":"401-407","title":"Acute electronic cigarette use: Nicotine delivery and subjective effects in regular users","type":"article-journal","volume":"231"},"uris":["http://www.mendeley.com/documents/?uuid=3206f7fb-3dd3-42b0-afc2-0b9e42ec06fd"]},{"id":"ITEM-2","itemData":{"DOI":"10.1111/add.14271","ISSN":"13600443","PMID":"29882257","abstract":"Aims: To compare the effects of (i) high versus low nicotine concentration e-liquid, (ii) fixed versus adjustable power and (iii) the interaction between the two on: (a) vaping behaviour, (b) subjective effects, (c) nicotine intake and (d) exposure to acrolein and formaldehyde in e-cigarette users vaping in their everyday setting. Design: Counterbalanced, repeated measures with four conditions: (i) low nicotine (6 mg/ml)/fixed power; (ii) low nicotine/adjustable power; (iii) high nicotine (18 mg/ml)/fixed power; and (iv) high nicotine/adjustable power. Setting: London and the South East, England. Participants: Twenty experienced e-cigarette users (recruited between September 2016 and February 2017) vaped ad libitum using an eVic Supreme™ with a ‘Nautilus Aspire’ tank over 4 weeks (1 week per condition). Measurements: Puffing patterns [daily puff number (PN), puff duration (PD), interpuff interval (IPI)], ml of e-liquid consumed, changes to power (where permitted) and subjective effects (urge to vape, nicotine withdrawal symptoms) were measured in each condition. Nicotine intake was measured via salivary cotinine. 3-Hydroxypropylmercapturic acid (3-HPMA), a metabolite of the toxicant acrolein, and formate, a metabolite of the carcinogen formaldehyde, were measured in urine. Findings: There was a significant nicotine concentration × power interaction for PD (P &lt; 0.01). PD was longer with low nicotine/fixed power compared with (i) high nicotine/fixed power (P &lt; 0.001) and (ii) low nicotine/adjustable power (P &lt; 0.01). PN and liquid consumed were higher in the low versus high nicotine condition (main effect of nicotine, P &lt; 0.05). Urge to vape and withdrawal symptoms were lower, and nicotine intake was higher, in the high nicotine condition (main effects of nicotine: P &lt; 0.01). While acrolein levels did not differ, there was a significant nicotine × power interaction for formaldehyde (P &lt; 0.05). Conclusions: Use of a lower nicotine concentration e-liquid may be associated with compensatory behaviour (e.g. higher number and duration of puffs) and increases in negative affect, urge to vape and formaldehyde exposure.","author":[{"dropping-particle":"","family":"Dawkins","given":"Lynne","non-dropping-particle":"","parse-names":false,"suffix":""},{"dropping-particle":"","family":"Cox","given":"Sharon","non-dropping-particle":"","parse-names":false,"suffix":""},{"dropping-particle":"","family":"Goniewicz","given":"Maciej","non-dropping-particle":"","parse-names":false,"suffix":""},{"dropping-particle":"","family":"McRobbie","given":"Hayden","non-dropping-particle":"","parse-names":false,"suffix":""},{"dropping-particle":"","family":"Kimber","given":"Catherine","non-dropping-particle":"","parse-names":false,"suffix":""},{"dropping-particle":"","family":"Doig","given":"Mira","non-dropping-particle":"","parse-names":false,"suffix":""},{"dropping-particle":"","family":"Kośmider","given":"Leon","non-dropping-particle":"","parse-names":false,"suffix":""}],"container-title":"Addiction","id":"ITEM-2","issue":"10","issued":{"date-parts":[["2018"]]},"page":"1874-1882","title":"‘Real-world’ compensatory behaviour with low nicotine concentration e-liquid: subjective effects and nicotine, acrolein and formaldehyde exposure","type":"article-journal","volume":"113"},"uris":["http://www.mendeley.com/documents/?uuid=9ceb1a01-1893-4b49-b636-9ce0e59e038a"]}],"mendeley":{"formattedCitation":"[54,55]","plainTextFormattedCitation":"[54,55]","previouslyFormattedCitation":"[54,55]"},"properties":{"noteIndex":0},"schema":"https://github.com/citation-style-language/schema/raw/master/csl-citation.json"}</w:instrText>
      </w:r>
      <w:r w:rsidR="00AF0BE0">
        <w:rPr>
          <w:rFonts w:cs="Times New Roman"/>
        </w:rPr>
        <w:fldChar w:fldCharType="separate"/>
      </w:r>
      <w:r w:rsidR="0077457B" w:rsidRPr="0077457B">
        <w:rPr>
          <w:rFonts w:cs="Times New Roman"/>
          <w:noProof/>
        </w:rPr>
        <w:t>[54,55]</w:t>
      </w:r>
      <w:r w:rsidR="00AF0BE0">
        <w:rPr>
          <w:rFonts w:cs="Times New Roman"/>
        </w:rPr>
        <w:fldChar w:fldCharType="end"/>
      </w:r>
      <w:r w:rsidR="00AF0BE0">
        <w:rPr>
          <w:rFonts w:cs="Times New Roman"/>
        </w:rPr>
        <w:t>.</w:t>
      </w:r>
      <w:r w:rsidR="00840AF7">
        <w:rPr>
          <w:rFonts w:cs="Times New Roman"/>
        </w:rPr>
        <w:t xml:space="preserve"> </w:t>
      </w:r>
      <w:r w:rsidR="00E95821" w:rsidRPr="00CC3ABA">
        <w:rPr>
          <w:rFonts w:cs="Times New Roman"/>
        </w:rPr>
        <w:t>T</w:t>
      </w:r>
      <w:r w:rsidR="00AF4C86" w:rsidRPr="00CC3ABA">
        <w:rPr>
          <w:rFonts w:cs="Times New Roman"/>
        </w:rPr>
        <w:t xml:space="preserve">o </w:t>
      </w:r>
      <w:r w:rsidR="00CB4B53" w:rsidRPr="00CC3ABA">
        <w:rPr>
          <w:rFonts w:cs="Times New Roman"/>
        </w:rPr>
        <w:t>further monitor risk and adverse effects</w:t>
      </w:r>
      <w:r w:rsidR="00DB26DA" w:rsidRPr="00CC3ABA">
        <w:rPr>
          <w:rFonts w:cs="Times New Roman"/>
        </w:rPr>
        <w:t xml:space="preserve"> (e.g. EC theft, exchanges, use for other substances)</w:t>
      </w:r>
      <w:r w:rsidR="00CB4B53" w:rsidRPr="00CC3ABA">
        <w:rPr>
          <w:rFonts w:cs="Times New Roman"/>
        </w:rPr>
        <w:t>, we utilise</w:t>
      </w:r>
      <w:r w:rsidR="00AF4C86" w:rsidRPr="00CC3ABA">
        <w:rPr>
          <w:rFonts w:cs="Times New Roman"/>
        </w:rPr>
        <w:t>d</w:t>
      </w:r>
      <w:r w:rsidR="00CB4B53" w:rsidRPr="00CC3ABA">
        <w:rPr>
          <w:rFonts w:cs="Times New Roman"/>
        </w:rPr>
        <w:t xml:space="preserve"> a purposefully developed unintended consequences checklist</w:t>
      </w:r>
      <w:r w:rsidR="00CB4B53" w:rsidRPr="008F1306">
        <w:rPr>
          <w:rFonts w:cs="Times New Roman"/>
        </w:rPr>
        <w:t>.</w:t>
      </w:r>
      <w:r w:rsidR="00CB4B53" w:rsidRPr="00CC3ABA">
        <w:rPr>
          <w:rFonts w:cs="Times New Roman"/>
        </w:rPr>
        <w:t xml:space="preserve"> </w:t>
      </w:r>
      <w:r w:rsidR="00F04D94" w:rsidRPr="00CC3ABA">
        <w:rPr>
          <w:rFonts w:cs="Times New Roman"/>
        </w:rPr>
        <w:t>A</w:t>
      </w:r>
      <w:r w:rsidR="000608A0" w:rsidRPr="00CC3ABA">
        <w:rPr>
          <w:rFonts w:cs="Times New Roman"/>
        </w:rPr>
        <w:t xml:space="preserve"> £15 love to shop voucher</w:t>
      </w:r>
      <w:r w:rsidR="00F04D94" w:rsidRPr="00CC3ABA">
        <w:rPr>
          <w:rFonts w:cs="Times New Roman"/>
        </w:rPr>
        <w:t xml:space="preserve"> was provided for each follow up</w:t>
      </w:r>
      <w:r w:rsidR="000608A0" w:rsidRPr="00CC3ABA">
        <w:rPr>
          <w:rFonts w:cs="Times New Roman"/>
        </w:rPr>
        <w:t>.</w:t>
      </w:r>
    </w:p>
    <w:p w14:paraId="5415EFED" w14:textId="77777777" w:rsidR="00E3669F" w:rsidRDefault="00E3669F" w:rsidP="006C46EE">
      <w:pPr>
        <w:spacing w:after="160" w:line="480" w:lineRule="auto"/>
        <w:jc w:val="both"/>
        <w:rPr>
          <w:rFonts w:cs="Times New Roman"/>
          <w:b/>
          <w:i/>
        </w:rPr>
      </w:pPr>
    </w:p>
    <w:p w14:paraId="203A27B3" w14:textId="41D5976C" w:rsidR="006C46EE" w:rsidRPr="00E879B4" w:rsidRDefault="00AD267A" w:rsidP="006C46EE">
      <w:pPr>
        <w:spacing w:after="160" w:line="480" w:lineRule="auto"/>
        <w:jc w:val="both"/>
        <w:rPr>
          <w:rFonts w:cs="Times New Roman"/>
          <w:b/>
          <w:sz w:val="28"/>
          <w:szCs w:val="28"/>
        </w:rPr>
      </w:pPr>
      <w:r w:rsidRPr="00E879B4">
        <w:rPr>
          <w:rFonts w:cs="Times New Roman"/>
          <w:b/>
          <w:sz w:val="28"/>
          <w:szCs w:val="28"/>
        </w:rPr>
        <w:t>Feasibility</w:t>
      </w:r>
      <w:r w:rsidR="006C46EE" w:rsidRPr="00E879B4">
        <w:rPr>
          <w:rFonts w:cs="Times New Roman"/>
          <w:b/>
          <w:sz w:val="28"/>
          <w:szCs w:val="28"/>
        </w:rPr>
        <w:t xml:space="preserve"> </w:t>
      </w:r>
      <w:r w:rsidRPr="00E879B4">
        <w:rPr>
          <w:rFonts w:cs="Times New Roman"/>
          <w:b/>
          <w:sz w:val="28"/>
          <w:szCs w:val="28"/>
        </w:rPr>
        <w:t>O</w:t>
      </w:r>
      <w:r w:rsidR="006C46EE" w:rsidRPr="00E879B4">
        <w:rPr>
          <w:rFonts w:cs="Times New Roman"/>
          <w:b/>
          <w:sz w:val="28"/>
          <w:szCs w:val="28"/>
        </w:rPr>
        <w:t xml:space="preserve">utcome </w:t>
      </w:r>
      <w:r w:rsidRPr="00E879B4">
        <w:rPr>
          <w:rFonts w:cs="Times New Roman"/>
          <w:b/>
          <w:sz w:val="28"/>
          <w:szCs w:val="28"/>
        </w:rPr>
        <w:t>M</w:t>
      </w:r>
      <w:r w:rsidR="006C46EE" w:rsidRPr="00E879B4">
        <w:rPr>
          <w:rFonts w:cs="Times New Roman"/>
          <w:b/>
          <w:sz w:val="28"/>
          <w:szCs w:val="28"/>
        </w:rPr>
        <w:t>easures</w:t>
      </w:r>
    </w:p>
    <w:p w14:paraId="7211CD26" w14:textId="448C085C" w:rsidR="001A7D52" w:rsidRPr="00CC3ABA" w:rsidRDefault="00F04D94" w:rsidP="006C46EE">
      <w:pPr>
        <w:pStyle w:val="ListParagraph"/>
        <w:numPr>
          <w:ilvl w:val="0"/>
          <w:numId w:val="9"/>
        </w:numPr>
        <w:spacing w:after="160" w:line="480" w:lineRule="auto"/>
        <w:ind w:left="426"/>
        <w:jc w:val="both"/>
        <w:rPr>
          <w:rFonts w:cs="Times New Roman"/>
          <w:sz w:val="24"/>
          <w:szCs w:val="24"/>
        </w:rPr>
      </w:pPr>
      <w:r w:rsidRPr="00CC3ABA">
        <w:rPr>
          <w:rFonts w:cs="Times New Roman"/>
          <w:sz w:val="24"/>
          <w:szCs w:val="24"/>
        </w:rPr>
        <w:t>To assess willi</w:t>
      </w:r>
      <w:r w:rsidR="00E3669F">
        <w:rPr>
          <w:rFonts w:cs="Times New Roman"/>
          <w:sz w:val="24"/>
          <w:szCs w:val="24"/>
        </w:rPr>
        <w:t>ngness to take part in the trial</w:t>
      </w:r>
      <w:r w:rsidRPr="00CC3ABA">
        <w:rPr>
          <w:rFonts w:cs="Times New Roman"/>
          <w:sz w:val="24"/>
          <w:szCs w:val="24"/>
        </w:rPr>
        <w:t>, we recorded the number of people who were asked</w:t>
      </w:r>
      <w:r w:rsidR="001A7D52" w:rsidRPr="00CC3ABA">
        <w:rPr>
          <w:rFonts w:cs="Times New Roman"/>
          <w:sz w:val="24"/>
          <w:szCs w:val="24"/>
        </w:rPr>
        <w:t>,</w:t>
      </w:r>
      <w:r w:rsidRPr="00CC3ABA">
        <w:rPr>
          <w:rFonts w:cs="Times New Roman"/>
          <w:sz w:val="24"/>
          <w:szCs w:val="24"/>
        </w:rPr>
        <w:t xml:space="preserve"> and the number who consented</w:t>
      </w:r>
      <w:r w:rsidR="001A7D52" w:rsidRPr="00CC3ABA">
        <w:rPr>
          <w:rFonts w:cs="Times New Roman"/>
          <w:sz w:val="24"/>
          <w:szCs w:val="24"/>
        </w:rPr>
        <w:t>,</w:t>
      </w:r>
      <w:r w:rsidRPr="00CC3ABA">
        <w:rPr>
          <w:rFonts w:cs="Times New Roman"/>
          <w:sz w:val="24"/>
          <w:szCs w:val="24"/>
        </w:rPr>
        <w:t xml:space="preserve"> to take part.</w:t>
      </w:r>
    </w:p>
    <w:p w14:paraId="2FF823D1" w14:textId="154CB41B" w:rsidR="00F04D94" w:rsidRPr="00CC3ABA" w:rsidRDefault="001A7D52" w:rsidP="006C46EE">
      <w:pPr>
        <w:pStyle w:val="ListParagraph"/>
        <w:numPr>
          <w:ilvl w:val="0"/>
          <w:numId w:val="9"/>
        </w:numPr>
        <w:spacing w:after="160" w:line="480" w:lineRule="auto"/>
        <w:ind w:left="426"/>
        <w:jc w:val="both"/>
        <w:rPr>
          <w:rFonts w:cs="Times New Roman"/>
          <w:sz w:val="24"/>
          <w:szCs w:val="24"/>
        </w:rPr>
      </w:pPr>
      <w:r w:rsidRPr="00CC3ABA">
        <w:rPr>
          <w:rFonts w:cs="Times New Roman"/>
          <w:sz w:val="24"/>
          <w:szCs w:val="24"/>
        </w:rPr>
        <w:t xml:space="preserve">Retention and engagement was measured by recording a) the proportion of participants: i) still using </w:t>
      </w:r>
      <w:r w:rsidR="000A4218">
        <w:rPr>
          <w:rFonts w:cs="Times New Roman"/>
          <w:sz w:val="24"/>
          <w:szCs w:val="24"/>
        </w:rPr>
        <w:t>EC</w:t>
      </w:r>
      <w:r w:rsidR="00EE1582">
        <w:rPr>
          <w:rFonts w:cs="Times New Roman"/>
          <w:sz w:val="24"/>
          <w:szCs w:val="24"/>
        </w:rPr>
        <w:t xml:space="preserve"> in the intervention arm</w:t>
      </w:r>
      <w:r w:rsidRPr="00CC3ABA">
        <w:rPr>
          <w:rFonts w:cs="Times New Roman"/>
          <w:sz w:val="24"/>
          <w:szCs w:val="24"/>
        </w:rPr>
        <w:t xml:space="preserve"> and ii) who had</w:t>
      </w:r>
      <w:r w:rsidR="00EE1582">
        <w:rPr>
          <w:rFonts w:cs="Times New Roman"/>
          <w:sz w:val="24"/>
          <w:szCs w:val="24"/>
        </w:rPr>
        <w:t xml:space="preserve"> visited the SSS in the UC arm</w:t>
      </w:r>
      <w:r w:rsidRPr="00CC3ABA">
        <w:rPr>
          <w:rFonts w:cs="Times New Roman"/>
          <w:sz w:val="24"/>
          <w:szCs w:val="24"/>
        </w:rPr>
        <w:t>; and b) the proportion of participants who completed assessment measures in each arm at each time point.</w:t>
      </w:r>
      <w:r w:rsidR="00840AF7">
        <w:rPr>
          <w:rFonts w:cs="Times New Roman"/>
          <w:sz w:val="24"/>
          <w:szCs w:val="24"/>
        </w:rPr>
        <w:t xml:space="preserve"> </w:t>
      </w:r>
    </w:p>
    <w:p w14:paraId="5D82C9E3" w14:textId="62869FB9" w:rsidR="00F04D94" w:rsidRPr="00CC3ABA" w:rsidRDefault="001A7D52" w:rsidP="00234677">
      <w:pPr>
        <w:pStyle w:val="ListParagraph"/>
        <w:numPr>
          <w:ilvl w:val="0"/>
          <w:numId w:val="9"/>
        </w:numPr>
        <w:spacing w:after="160" w:line="480" w:lineRule="auto"/>
        <w:ind w:left="426"/>
        <w:jc w:val="both"/>
        <w:rPr>
          <w:rFonts w:cs="Times New Roman"/>
          <w:b/>
          <w:i/>
          <w:sz w:val="24"/>
          <w:szCs w:val="24"/>
        </w:rPr>
      </w:pPr>
      <w:r w:rsidRPr="00CC3ABA">
        <w:rPr>
          <w:rFonts w:cs="Times New Roman"/>
          <w:sz w:val="24"/>
          <w:szCs w:val="24"/>
        </w:rPr>
        <w:t xml:space="preserve">To assess the potential efficacy of supplying free EC starter kits, </w:t>
      </w:r>
      <w:r w:rsidR="00234677" w:rsidRPr="00CC3ABA">
        <w:rPr>
          <w:rFonts w:cs="Times New Roman"/>
          <w:sz w:val="24"/>
          <w:szCs w:val="24"/>
        </w:rPr>
        <w:t xml:space="preserve">at each follow up point, </w:t>
      </w:r>
      <w:r w:rsidRPr="00CC3ABA">
        <w:rPr>
          <w:rFonts w:cs="Times New Roman"/>
          <w:sz w:val="24"/>
          <w:szCs w:val="24"/>
        </w:rPr>
        <w:t xml:space="preserve">we </w:t>
      </w:r>
      <w:r w:rsidR="00082556" w:rsidRPr="00CC3ABA">
        <w:rPr>
          <w:rFonts w:cs="Times New Roman"/>
          <w:sz w:val="24"/>
          <w:szCs w:val="24"/>
        </w:rPr>
        <w:t xml:space="preserve">recorded: a) CO-validated </w:t>
      </w:r>
      <w:r w:rsidR="00121A0B">
        <w:rPr>
          <w:rFonts w:cs="Times New Roman"/>
          <w:sz w:val="24"/>
          <w:szCs w:val="24"/>
        </w:rPr>
        <w:t xml:space="preserve">(&lt;8ppm) </w:t>
      </w:r>
      <w:r w:rsidR="00082556" w:rsidRPr="00CC3ABA">
        <w:rPr>
          <w:rFonts w:cs="Times New Roman"/>
          <w:sz w:val="24"/>
          <w:szCs w:val="24"/>
        </w:rPr>
        <w:t xml:space="preserve">sustained abstinence </w:t>
      </w:r>
      <w:r w:rsidR="007B7B10" w:rsidRPr="00CC3ABA">
        <w:rPr>
          <w:rFonts w:cs="Times New Roman"/>
          <w:sz w:val="24"/>
          <w:szCs w:val="24"/>
        </w:rPr>
        <w:t>(</w:t>
      </w:r>
      <w:r w:rsidR="00082556" w:rsidRPr="00CC3ABA">
        <w:rPr>
          <w:rFonts w:cs="Times New Roman"/>
          <w:sz w:val="24"/>
          <w:szCs w:val="24"/>
        </w:rPr>
        <w:t>from 2-weeks post-quit date allowing up to 5 slips</w:t>
      </w:r>
      <w:r w:rsidR="004C5683">
        <w:rPr>
          <w:rFonts w:cs="Times New Roman"/>
          <w:sz w:val="24"/>
          <w:szCs w:val="24"/>
        </w:rPr>
        <w:t>; the gold ‘Russell Standard’ in smoking cessation research</w:t>
      </w:r>
      <w:r w:rsidR="007B7B10" w:rsidRPr="00CC3ABA">
        <w:rPr>
          <w:rFonts w:cs="Times New Roman"/>
          <w:sz w:val="24"/>
          <w:szCs w:val="24"/>
        </w:rPr>
        <w:t>)</w:t>
      </w:r>
      <w:r w:rsidR="007736F9">
        <w:rPr>
          <w:rFonts w:cs="Times New Roman"/>
          <w:sz w:val="24"/>
          <w:szCs w:val="24"/>
        </w:rPr>
        <w:t xml:space="preserve"> </w:t>
      </w:r>
      <w:r w:rsidR="007736F9">
        <w:rPr>
          <w:rFonts w:cs="Times New Roman"/>
          <w:sz w:val="24"/>
          <w:szCs w:val="24"/>
        </w:rPr>
        <w:fldChar w:fldCharType="begin" w:fldLock="1"/>
      </w:r>
      <w:r w:rsidR="00620688">
        <w:rPr>
          <w:rFonts w:cs="Times New Roman"/>
          <w:sz w:val="24"/>
          <w:szCs w:val="24"/>
        </w:rPr>
        <w:instrText>ADDIN CSL_CITATION {"citationItems":[{"id":"ITEM-1","itemData":{"DOI":"10.1111/j.1360-0443.2004.00995.x","PMID":"15733243","abstract":"Smoking cessation treatment is now integrated into many health-care systems and a major research effort is under way to improve current success rates. Until now results from randomized clinical trials have been reported in many different ways, leading to problems of interpretation. We propose six standard criteria comprising the 'Russell Standard' (RS). These criteria are applicable to trials of cessation aids where participants have a defined target quit date and there is face-to-face contact with researchers or clinic staff, as follows. (1) Follow-up for 6 months (RS6) or 12 months (RS12) from the target quit date or the end of a predefined 'grace period'; (2) self-report of smoking abstinence over the whole follow-up period allowing up to five cigarettes in total; (3) biochemical verification of abstinence at least at the 6-month or 12-month follow-up point; (4) use of an 'intention-to-treat' approach in which data from all randomized smokers are included in the analysis unless they have died or moved to an untraceable address (participants who are included in the analysis are counted as smokers if their smoking status at the final follow-up cannot be determined); (5) following-up 'protocol violators' and using their true smoking status in the analysis; and (6) collecting follow-up data blind to smokers' allocation to trial group. We believe that these criteria provide the best compromise between practicability and surrogacy for long-term cessation and will enable meaningful comparison between studies. There may be good reasons why other outcome criteria would also be reported, and studies that involve interventions with special groups or where there is no designated target quit date or face to face contact would need to adapt these criteria accordingly.","author":[{"dropping-particle":"","family":"West","given":"Robert J.","non-dropping-particle":"","parse-names":false,"suffix":""},{"dropping-particle":"","family":"Hajek","given":"Peter","non-dropping-particle":"","parse-names":false,"suffix":""},{"dropping-particle":"","family":"Stead","given":"Lindsay","non-dropping-particle":"","parse-names":false,"suffix":""},{"dropping-particle":"","family":"Stapleton","given":"John","non-dropping-particle":"","parse-names":false,"suffix":""}],"container-title":"Addiction","id":"ITEM-1","issue":"3","issued":{"date-parts":[["2005","3"]]},"page":"299-303","title":"Outcome criteria in smoking cessation trials: Proposal for a common standard","type":"article-journal","volume":"100"},"uris":["http://www.mendeley.com/documents/?uuid=64513993-82af-428c-8655-7547118f1f47"]}],"mendeley":{"formattedCitation":"[56]","plainTextFormattedCitation":"[56]","previouslyFormattedCitation":"[56]"},"properties":{"noteIndex":0},"schema":"https://github.com/citation-style-language/schema/raw/master/csl-citation.json"}</w:instrText>
      </w:r>
      <w:r w:rsidR="007736F9">
        <w:rPr>
          <w:rFonts w:cs="Times New Roman"/>
          <w:sz w:val="24"/>
          <w:szCs w:val="24"/>
        </w:rPr>
        <w:fldChar w:fldCharType="separate"/>
      </w:r>
      <w:r w:rsidR="0077457B" w:rsidRPr="0077457B">
        <w:rPr>
          <w:rFonts w:cs="Times New Roman"/>
          <w:noProof/>
          <w:sz w:val="24"/>
          <w:szCs w:val="24"/>
        </w:rPr>
        <w:t>[56]</w:t>
      </w:r>
      <w:r w:rsidR="007736F9">
        <w:rPr>
          <w:rFonts w:cs="Times New Roman"/>
          <w:sz w:val="24"/>
          <w:szCs w:val="24"/>
        </w:rPr>
        <w:fldChar w:fldCharType="end"/>
      </w:r>
      <w:r w:rsidR="008D1AAF">
        <w:rPr>
          <w:rFonts w:cs="Times New Roman"/>
          <w:sz w:val="24"/>
          <w:szCs w:val="24"/>
        </w:rPr>
        <w:t xml:space="preserve">; </w:t>
      </w:r>
      <w:r w:rsidR="00082556" w:rsidRPr="00CC3ABA">
        <w:rPr>
          <w:rFonts w:cs="Times New Roman"/>
          <w:sz w:val="24"/>
          <w:szCs w:val="24"/>
        </w:rPr>
        <w:t xml:space="preserve">b) </w:t>
      </w:r>
      <w:r w:rsidR="008D1AAF">
        <w:rPr>
          <w:rFonts w:cs="Times New Roman"/>
          <w:sz w:val="24"/>
          <w:szCs w:val="24"/>
        </w:rPr>
        <w:t xml:space="preserve">CO-validated </w:t>
      </w:r>
      <w:r w:rsidR="00082556" w:rsidRPr="00CC3ABA">
        <w:rPr>
          <w:rFonts w:cs="Times New Roman"/>
          <w:sz w:val="24"/>
          <w:szCs w:val="24"/>
        </w:rPr>
        <w:t>7-day point prevalence abstinence (i.e. no smoking at all in the last 7 days)</w:t>
      </w:r>
      <w:r w:rsidR="004C5683">
        <w:rPr>
          <w:rFonts w:cs="Times New Roman"/>
          <w:sz w:val="24"/>
          <w:szCs w:val="24"/>
        </w:rPr>
        <w:t>, the most commonly reported outcome measure in studies of smoking cessation in people experiencing</w:t>
      </w:r>
      <w:r w:rsidR="000C13FB">
        <w:rPr>
          <w:rFonts w:cs="Times New Roman"/>
          <w:sz w:val="24"/>
          <w:szCs w:val="24"/>
        </w:rPr>
        <w:t xml:space="preserve"> homelessness </w:t>
      </w:r>
      <w:r w:rsidR="007736F9">
        <w:rPr>
          <w:rFonts w:cs="Times New Roman"/>
          <w:sz w:val="24"/>
          <w:szCs w:val="24"/>
        </w:rPr>
        <w:fldChar w:fldCharType="begin" w:fldLock="1"/>
      </w:r>
      <w:r w:rsidR="006B3DFD">
        <w:rPr>
          <w:rFonts w:cs="Times New Roman"/>
          <w:sz w:val="24"/>
          <w:szCs w:val="24"/>
        </w:rPr>
        <w:instrText>ADDIN CSL_CITATION {"citationItems":[{"id":"ITEM-1","itemData":{"DOI":"10.1017/jsc.2020.11","ISSN":"18342612","abstract":"Background To date, there has been no review of the research evidence examining smoking cessation among homeless adults. The current review aimed to: (i) estimate smoking prevalence in homeless populations; (ii) explore the efficacy of smoking cessation and smoking reduction interventions for homeless individuals; and (iii) describe the barriers and facilitators to smoking cessation and smoking reduction.MethodSystematic review of peer-reviewed research. Data sources included electronic academic databases. Search terms: 'smoking' AND 'homeless' AND 'tobacco', including adult (18+ years) smokers accessing homeless support services.ResultsFifty-three studies met the inclusion criteria (n = 46 USA). Data could not be meta-analysed due to large methodological inconsistencies and the lack of randomised controlled trials. Smoking prevalence ranged from 57% to 82%. Although there was no clear evidence on which cessation methods work best, layered approaches with additions to usual care seemed to offer modest enhancements in quit rates. Key barriers to cessation exist around the priority of smoking, beliefs around negative impact on mental health and substance use, and environmental influences.ConclusionsHomeless smokers will benefit from layered interventions which support many of their competing needs. To best understand what works, future recommendations include the need for consensus on the reporting of cessation outcomes.","author":[{"dropping-particle":"","family":"Soar","given":"Kirstie","non-dropping-particle":"","parse-names":false,"suffix":""},{"dropping-particle":"","family":"Dawkins","given":"Lynne","non-dropping-particle":"","parse-names":false,"suffix":""},{"dropping-particle":"","family":"Robson","given":"Deborah","non-dropping-particle":"","parse-names":false,"suffix":""},{"dropping-particle":"","family":"Cox","given":"Sharon","non-dropping-particle":"","parse-names":false,"suffix":""}],"container-title":"Journal of Smoking Cessation","id":"ITEM-1","issue":"2","issued":{"date-parts":[["2020","6"]]},"page":"94-108","title":"Smoking amongst adults experiencing homelessness: A systematic review of prevalence rates, interventions and the barriers and facilitators to quitting and staying quit","type":"article-journal","volume":"15"},"uris":["http://www.mendeley.com/documents/?uuid=c6e8e830-ea4e-47c7-9eee-b069b89d9900"]}],"mendeley":{"formattedCitation":"[6]","plainTextFormattedCitation":"[6]","previouslyFormattedCitation":"[6]"},"properties":{"noteIndex":0},"schema":"https://github.com/citation-style-language/schema/raw/master/csl-citation.json"}</w:instrText>
      </w:r>
      <w:r w:rsidR="007736F9">
        <w:rPr>
          <w:rFonts w:cs="Times New Roman"/>
          <w:sz w:val="24"/>
          <w:szCs w:val="24"/>
        </w:rPr>
        <w:fldChar w:fldCharType="separate"/>
      </w:r>
      <w:r w:rsidR="006B3DFD" w:rsidRPr="006B3DFD">
        <w:rPr>
          <w:rFonts w:cs="Times New Roman"/>
          <w:noProof/>
          <w:sz w:val="24"/>
          <w:szCs w:val="24"/>
        </w:rPr>
        <w:t>[6]</w:t>
      </w:r>
      <w:r w:rsidR="007736F9">
        <w:rPr>
          <w:rFonts w:cs="Times New Roman"/>
          <w:sz w:val="24"/>
          <w:szCs w:val="24"/>
        </w:rPr>
        <w:fldChar w:fldCharType="end"/>
      </w:r>
      <w:r w:rsidR="00234677" w:rsidRPr="00CC3ABA">
        <w:rPr>
          <w:rFonts w:cs="Times New Roman"/>
          <w:sz w:val="24"/>
          <w:szCs w:val="24"/>
        </w:rPr>
        <w:t>; and</w:t>
      </w:r>
      <w:r w:rsidR="006660F6">
        <w:rPr>
          <w:rFonts w:cs="Times New Roman"/>
          <w:sz w:val="24"/>
          <w:szCs w:val="24"/>
        </w:rPr>
        <w:t xml:space="preserve"> </w:t>
      </w:r>
      <w:r w:rsidR="00234677" w:rsidRPr="00CC3ABA">
        <w:rPr>
          <w:rFonts w:cs="Times New Roman"/>
          <w:sz w:val="24"/>
          <w:szCs w:val="24"/>
        </w:rPr>
        <w:t>c) the proportion achieving 50% smoking reduction</w:t>
      </w:r>
      <w:r w:rsidR="004C5683">
        <w:rPr>
          <w:rFonts w:cs="Times New Roman"/>
          <w:sz w:val="24"/>
          <w:szCs w:val="24"/>
        </w:rPr>
        <w:t xml:space="preserve">, a common outcome measure used in EC cessation studies </w:t>
      </w:r>
      <w:r w:rsidR="009E4932">
        <w:rPr>
          <w:rFonts w:cs="Times New Roman"/>
          <w:sz w:val="24"/>
          <w:szCs w:val="24"/>
        </w:rPr>
        <w:fldChar w:fldCharType="begin" w:fldLock="1"/>
      </w:r>
      <w:r w:rsidR="00620688">
        <w:rPr>
          <w:rFonts w:cs="Times New Roman"/>
          <w:sz w:val="24"/>
          <w:szCs w:val="24"/>
        </w:rPr>
        <w:instrText>ADDIN CSL_CITATION {"citationItems":[{"id":"ITEM-1","itemData":{"DOI":"10.1136/bmj.b1024","ISSN":"17561833","abstract":"Objective: To determine the effectiveness and safety of nicotine replacement therapy assisted reduction to stop smoking. Design: Systematic review of randomised controlled trials. Data sources: Cochrane Library, Medline, Embase, CINAHL, PsychINFO, Science Citation Index, registries of ongoing trials, reference lists, the drug company that sponsored most of the trials, and clinical experts. Review methods: Eligible studies were published or unpublished randomised controlled trials that enrolled smokers who declared no intention to quit smoking in the short term, and compared nicotine replacement therapy (with or without motivational support) with placebo, no treatment, other pharmacological therapy, or motivational support, and reported quit rates. Two reviewers independently applied eligibility criteria. One reviewer assessed study quality and extracted data and these processes were checked by a second reviewer. The primary outcome, six months sustained abstinence from smoking beginning during treatment, was assessed by individual patient data analysis. Other outcomes were cessation and reduction at end of follow-up, and adverse events. Data synthesis: Seven placebo controlled randomised controlled trials were included (four used nicotine replacement therapy gum, two nicotine replacement therapy inhaler, and one free choice of therapy). They were reduction studies that reported smoking cessation as a secondary outcome. The trials enrolled a total of 2767 smokers, gave nicotine replacement therapy for 6-18 months, and lasted 12-26 months. 6.75% of smokers receiving nicotine replacement therapy attained sustained abstinence for six months, twice the rate of those receiving placebo (relative risk (fixed effects) 2.06, 95% confidence interval 1.34 to 3.15; (random effects) 1.99, 1.01 to 3.91; five trials). The number needed to treat was 29. All other cessation and reduction outcomes were significantly more likely in smokers given nicotine replacement therapy than those given placebo. There were no statistically significant differences in adverse events (death, odds ratio 1.00, 95% confidence interval 0.25 to 4.02; serious adverse events, 1.16, 0.79 to 1.50; and discontinuation because of adverse events, 1.25, 0.64 to 2.51) except nausea, which was more common with nicotine replacement therapy (8.7% v 5.3%; odds ratio 1.69, 95% confidence interval 1.21 to 2.36). Conclusions: Available trials indicate that nicotine replacement therapy is an effective interven…","author":[{"dropping-particle":"","family":"Moore","given":"David","non-dropping-particle":"","parse-names":false,"suffix":""},{"dropping-particle":"","family":"Aveyard","given":"Paul","non-dropping-particle":"","parse-names":false,"suffix":""},{"dropping-particle":"","family":"Connock","given":"Martin","non-dropping-particle":"","parse-names":false,"suffix":""},{"dropping-particle":"","family":"Wang","given":"Dechao","non-dropping-particle":"","parse-names":false,"suffix":""},{"dropping-particle":"","family":"Fry-Smith","given":"Anne","non-dropping-particle":"","parse-names":false,"suffix":""},{"dropping-particle":"","family":"Barton","given":"Pelham","non-dropping-particle":"","parse-names":false,"suffix":""}],"container-title":"BMJ (Online)","id":"ITEM-1","issue":"b1024","issued":{"date-parts":[["2009","4","2"]]},"page":"1-9","title":"Effectiveness and safety of nicotine replacement therapy assisted reduction to stop smoking: Systematic review and meta-analysis","type":"article-journal","volume":"338"},"uris":["http://www.mendeley.com/documents/?uuid=50a37c31-3834-410a-8e1c-d76e3f930618"]}],"mendeley":{"formattedCitation":"[57]","plainTextFormattedCitation":"[57]","previouslyFormattedCitation":"[57]"},"properties":{"noteIndex":0},"schema":"https://github.com/citation-style-language/schema/raw/master/csl-citation.json"}</w:instrText>
      </w:r>
      <w:r w:rsidR="009E4932">
        <w:rPr>
          <w:rFonts w:cs="Times New Roman"/>
          <w:sz w:val="24"/>
          <w:szCs w:val="24"/>
        </w:rPr>
        <w:fldChar w:fldCharType="separate"/>
      </w:r>
      <w:r w:rsidR="0077457B" w:rsidRPr="0077457B">
        <w:rPr>
          <w:rFonts w:cs="Times New Roman"/>
          <w:noProof/>
          <w:sz w:val="24"/>
          <w:szCs w:val="24"/>
        </w:rPr>
        <w:t>[57]</w:t>
      </w:r>
      <w:r w:rsidR="009E4932">
        <w:rPr>
          <w:rFonts w:cs="Times New Roman"/>
          <w:sz w:val="24"/>
          <w:szCs w:val="24"/>
        </w:rPr>
        <w:fldChar w:fldCharType="end"/>
      </w:r>
      <w:r w:rsidR="00234677" w:rsidRPr="00CC3ABA">
        <w:rPr>
          <w:rFonts w:cs="Times New Roman"/>
          <w:sz w:val="24"/>
          <w:szCs w:val="24"/>
        </w:rPr>
        <w:t xml:space="preserve"> (calculated by subtracting CPD at follow up from baseline).</w:t>
      </w:r>
    </w:p>
    <w:p w14:paraId="7D87F5CF" w14:textId="77777777" w:rsidR="00234677" w:rsidRPr="00CC3ABA" w:rsidRDefault="00234677" w:rsidP="00234677">
      <w:pPr>
        <w:pStyle w:val="ListParagraph"/>
        <w:numPr>
          <w:ilvl w:val="0"/>
          <w:numId w:val="9"/>
        </w:numPr>
        <w:spacing w:after="160" w:line="480" w:lineRule="auto"/>
        <w:ind w:left="426"/>
        <w:jc w:val="both"/>
        <w:rPr>
          <w:rFonts w:cs="Times New Roman"/>
          <w:b/>
          <w:i/>
          <w:sz w:val="24"/>
          <w:szCs w:val="24"/>
        </w:rPr>
      </w:pPr>
      <w:r w:rsidRPr="00CC3ABA">
        <w:rPr>
          <w:rFonts w:cs="Times New Roman"/>
          <w:sz w:val="24"/>
          <w:szCs w:val="24"/>
        </w:rPr>
        <w:t>To explore the feasibility of collecting data on contacts with health care services we recorded participant utilisation of primary and secondary health care services using a self-report questionnaire</w:t>
      </w:r>
    </w:p>
    <w:p w14:paraId="63EDF910" w14:textId="77777777" w:rsidR="008C2D1D" w:rsidRPr="00CC3ABA" w:rsidRDefault="00234677" w:rsidP="008C2D1D">
      <w:pPr>
        <w:pStyle w:val="ListParagraph"/>
        <w:numPr>
          <w:ilvl w:val="0"/>
          <w:numId w:val="9"/>
        </w:numPr>
        <w:spacing w:after="160" w:line="480" w:lineRule="auto"/>
        <w:ind w:left="426"/>
        <w:jc w:val="both"/>
        <w:rPr>
          <w:rFonts w:cs="Times New Roman"/>
          <w:b/>
          <w:i/>
          <w:sz w:val="24"/>
          <w:szCs w:val="24"/>
        </w:rPr>
      </w:pPr>
      <w:r w:rsidRPr="00CC3ABA">
        <w:rPr>
          <w:rFonts w:cs="Times New Roman"/>
          <w:sz w:val="24"/>
          <w:szCs w:val="24"/>
        </w:rPr>
        <w:t>Staff contact time, non-contact time and other resources used in the delivery including staff costs, e-cigarettes and other costs incurred was collected to provide an indicative cost of the intervention.</w:t>
      </w:r>
    </w:p>
    <w:p w14:paraId="3B78C62F" w14:textId="69AE82E7" w:rsidR="008C2D1D" w:rsidRDefault="008C2D1D" w:rsidP="008C2D1D">
      <w:pPr>
        <w:spacing w:line="480" w:lineRule="auto"/>
        <w:jc w:val="both"/>
        <w:rPr>
          <w:rFonts w:cs="Times New Roman"/>
        </w:rPr>
      </w:pPr>
    </w:p>
    <w:p w14:paraId="66E0BC05" w14:textId="77777777" w:rsidR="00E3669F" w:rsidRPr="00CC3ABA" w:rsidRDefault="00E3669F" w:rsidP="008C2D1D">
      <w:pPr>
        <w:spacing w:line="480" w:lineRule="auto"/>
        <w:jc w:val="both"/>
        <w:rPr>
          <w:rFonts w:cs="Times New Roman"/>
        </w:rPr>
      </w:pPr>
    </w:p>
    <w:p w14:paraId="2357DE14" w14:textId="77777777" w:rsidR="00164DF3" w:rsidRPr="00E879B4" w:rsidRDefault="00164DF3" w:rsidP="00BE5AFD">
      <w:pPr>
        <w:spacing w:line="480" w:lineRule="auto"/>
        <w:jc w:val="both"/>
        <w:rPr>
          <w:rFonts w:cs="Times New Roman"/>
          <w:b/>
          <w:sz w:val="32"/>
          <w:szCs w:val="32"/>
        </w:rPr>
      </w:pPr>
      <w:r w:rsidRPr="00E879B4">
        <w:rPr>
          <w:rFonts w:cs="Times New Roman"/>
          <w:b/>
          <w:sz w:val="32"/>
          <w:szCs w:val="32"/>
        </w:rPr>
        <w:t>Sample size</w:t>
      </w:r>
    </w:p>
    <w:p w14:paraId="7CEF7968" w14:textId="7FB8AE4D" w:rsidR="00164DF3" w:rsidRPr="00CC3ABA" w:rsidRDefault="00531348" w:rsidP="003E4ABF">
      <w:pPr>
        <w:spacing w:after="160" w:line="480" w:lineRule="auto"/>
        <w:jc w:val="both"/>
        <w:rPr>
          <w:rFonts w:cs="Times New Roman"/>
        </w:rPr>
      </w:pPr>
      <w:r w:rsidRPr="00CC3ABA">
        <w:rPr>
          <w:rFonts w:cs="Times New Roman"/>
        </w:rPr>
        <w:t>As this is a feasibility study, a formal power calculation based on detecting evi</w:t>
      </w:r>
      <w:r w:rsidR="00BE5AFD" w:rsidRPr="00CC3ABA">
        <w:rPr>
          <w:rFonts w:cs="Times New Roman"/>
        </w:rPr>
        <w:t xml:space="preserve">dence for efficacy was not </w:t>
      </w:r>
      <w:r w:rsidRPr="00CC3ABA">
        <w:rPr>
          <w:rFonts w:cs="Times New Roman"/>
        </w:rPr>
        <w:t>conducted</w:t>
      </w:r>
      <w:r w:rsidR="003F2B07" w:rsidRPr="00CC3ABA">
        <w:rPr>
          <w:rFonts w:cs="Times New Roman"/>
        </w:rPr>
        <w:t>; indeed, an aim of the feasibility study was to calculate the required sample size (and an intra class correlation coefficient (ICC) for a possible future definitive cluster RCT.</w:t>
      </w:r>
      <w:r w:rsidR="00840AF7">
        <w:rPr>
          <w:rFonts w:cs="Times New Roman"/>
        </w:rPr>
        <w:t xml:space="preserve"> </w:t>
      </w:r>
      <w:r w:rsidR="003F2B07" w:rsidRPr="00CC3ABA">
        <w:rPr>
          <w:rFonts w:cs="Times New Roman"/>
        </w:rPr>
        <w:t xml:space="preserve">Our original recruitment goal was 120 </w:t>
      </w:r>
      <w:r w:rsidR="000E71BA" w:rsidRPr="00CC3ABA">
        <w:rPr>
          <w:rFonts w:cs="Times New Roman"/>
        </w:rPr>
        <w:t xml:space="preserve">within a </w:t>
      </w:r>
      <w:r w:rsidR="00020DFC">
        <w:rPr>
          <w:rFonts w:cs="Times New Roman"/>
        </w:rPr>
        <w:t>5</w:t>
      </w:r>
      <w:r w:rsidR="000E71BA" w:rsidRPr="00CC3ABA">
        <w:rPr>
          <w:rFonts w:cs="Times New Roman"/>
        </w:rPr>
        <w:t xml:space="preserve"> month period</w:t>
      </w:r>
      <w:r w:rsidR="000E71BA">
        <w:rPr>
          <w:rFonts w:cs="Times New Roman"/>
        </w:rPr>
        <w:t>; that is, approximately</w:t>
      </w:r>
      <w:r w:rsidR="003F2B07" w:rsidRPr="00CC3ABA">
        <w:rPr>
          <w:rFonts w:cs="Times New Roman"/>
        </w:rPr>
        <w:t xml:space="preserve"> 30 per centre</w:t>
      </w:r>
      <w:r w:rsidR="000E71BA">
        <w:rPr>
          <w:rFonts w:cs="Times New Roman"/>
        </w:rPr>
        <w:t>, with sampling from centres taking place</w:t>
      </w:r>
      <w:r w:rsidR="005A2F6E">
        <w:rPr>
          <w:rFonts w:cs="Times New Roman"/>
        </w:rPr>
        <w:t xml:space="preserve"> consecutively</w:t>
      </w:r>
      <w:r w:rsidR="001C02BE" w:rsidRPr="00CC3ABA">
        <w:rPr>
          <w:rFonts w:cs="Times New Roman"/>
        </w:rPr>
        <w:t>. This</w:t>
      </w:r>
      <w:r w:rsidR="00371C4D">
        <w:rPr>
          <w:rFonts w:cs="Times New Roman"/>
        </w:rPr>
        <w:t xml:space="preserve"> </w:t>
      </w:r>
      <w:r w:rsidR="003F2B07" w:rsidRPr="00CC3ABA">
        <w:rPr>
          <w:rFonts w:cs="Times New Roman"/>
        </w:rPr>
        <w:t xml:space="preserve">was </w:t>
      </w:r>
      <w:r w:rsidR="00BE5AFD" w:rsidRPr="00CC3ABA">
        <w:rPr>
          <w:rFonts w:cs="Times New Roman"/>
        </w:rPr>
        <w:t>based on our</w:t>
      </w:r>
      <w:r w:rsidRPr="00CC3ABA">
        <w:rPr>
          <w:rFonts w:cs="Times New Roman"/>
        </w:rPr>
        <w:t xml:space="preserve"> prelimina</w:t>
      </w:r>
      <w:r w:rsidR="00285F22" w:rsidRPr="00CC3ABA">
        <w:rPr>
          <w:rFonts w:cs="Times New Roman"/>
        </w:rPr>
        <w:t xml:space="preserve">ry scoping work suggesting that </w:t>
      </w:r>
      <w:r w:rsidRPr="00CC3ABA">
        <w:rPr>
          <w:rFonts w:cs="Times New Roman"/>
        </w:rPr>
        <w:t>each homeless centre has contact with between 25 and 120 home</w:t>
      </w:r>
      <w:r w:rsidR="00BE5AFD" w:rsidRPr="00CC3ABA">
        <w:rPr>
          <w:rFonts w:cs="Times New Roman"/>
        </w:rPr>
        <w:t>less clients</w:t>
      </w:r>
      <w:r w:rsidR="00CB4B53" w:rsidRPr="00CC3ABA">
        <w:rPr>
          <w:rFonts w:cs="Times New Roman"/>
        </w:rPr>
        <w:t xml:space="preserve"> every day</w:t>
      </w:r>
      <w:r w:rsidR="00BE5AFD" w:rsidRPr="00CC3ABA">
        <w:rPr>
          <w:rFonts w:cs="Times New Roman"/>
        </w:rPr>
        <w:t xml:space="preserve"> of whom</w:t>
      </w:r>
      <w:r w:rsidRPr="00CC3ABA">
        <w:rPr>
          <w:rFonts w:cs="Times New Roman"/>
        </w:rPr>
        <w:t xml:space="preserve"> 70-90% are likely to be smokers.</w:t>
      </w:r>
      <w:r w:rsidR="00371C4D">
        <w:rPr>
          <w:rFonts w:cs="Times New Roman"/>
        </w:rPr>
        <w:t xml:space="preserve"> </w:t>
      </w:r>
      <w:r w:rsidRPr="00CC3ABA">
        <w:rPr>
          <w:rFonts w:cs="Times New Roman"/>
        </w:rPr>
        <w:t>Other studies in homeless populations have reported follow-up rates ranging between 24% and 88% (depending on the location of visits, provision of incentives &amp; use of prompts, see Richa</w:t>
      </w:r>
      <w:r w:rsidR="00371C4D">
        <w:rPr>
          <w:rFonts w:cs="Times New Roman"/>
        </w:rPr>
        <w:t>rds et al. 2015</w:t>
      </w:r>
      <w:r w:rsidR="009E4932">
        <w:rPr>
          <w:rFonts w:cs="Times New Roman"/>
        </w:rPr>
        <w:t xml:space="preserve"> </w:t>
      </w:r>
      <w:r w:rsidR="007218B9">
        <w:rPr>
          <w:rFonts w:cs="Times New Roman"/>
        </w:rPr>
        <w:fldChar w:fldCharType="begin" w:fldLock="1"/>
      </w:r>
      <w:r w:rsidR="00620688">
        <w:rPr>
          <w:rFonts w:cs="Times New Roman"/>
        </w:rPr>
        <w:instrText>ADDIN CSL_CITATION {"citationItems":[{"id":"ITEM-1","itemData":{"DOI":"10.1093/ntr/ntu210","ISSN":"1469994X","abstract":"Introduction: Concerns about retention are a major barrier to conducting studies enrolling homeless individuals. Since smoking is a major problem in homeless communities and research on effective methods of promoting smoking cessation is needed, we describe strategies used to increase retention and participant characteristics associated with retention in smoking cessation study enrolling homeless adults. Methods: The parent study was a 2-group randomized controlled trial with 26-week follow-up enrolling 430 homeless smokers from emergency shelters and transitional housing units in Minneapolis/Saint Paul, MN, USA. Multiple strategies were used to increase retention, including conducting visits at convenient locations for participants, collecting several forms of contact information from participants, using a schedule that was flexible and included frequent low-intensity visits, and providing incentives. Participant demographics as well as characteristics related to tobacco and drug use and health status were analyzed for associations with retention using univariate and multivariate analysis. Results: Overall retention was 75% at 26 weeks. Factors associated with increased retention included greater age; having healthcare coverage; history of multiple homeless episodes, lower stress level; and higher PHQ-9 (Patient Health Questionnaire-9) score. A history of excessive drinking and drug use were associated with decreased retention. Conclusions: It is possible to successfully retain homeless individuals in a smoking cessation study if the study is designed with participants' needs in mind.","author":[{"dropping-particle":"","family":"Richards","given":"Christina M.","non-dropping-particle":"","parse-names":false,"suffix":""},{"dropping-particle":"","family":"Sharif","given":"Faduma","non-dropping-particle":"","parse-names":false,"suffix":""},{"dropping-particle":"","family":"Eischen","given":"Sara","non-dropping-particle":"","parse-names":false,"suffix":""},{"dropping-particle":"","family":"Thomas","given":"Janet","non-dropping-particle":"","parse-names":false,"suffix":""},{"dropping-particle":"","family":"Wang","given":"Qi","non-dropping-particle":"","parse-names":false,"suffix":""},{"dropping-particle":"","family":"Guo","given":"Hongfei","non-dropping-particle":"","parse-names":false,"suffix":""},{"dropping-particle":"","family":"Luo","given":"Xianghua","non-dropping-particle":"","parse-names":false,"suffix":""},{"dropping-particle":"","family":"Okuyemi","given":"Kolawole","non-dropping-particle":"","parse-names":false,"suffix":""}],"container-title":"Nicotine and Tobacco Research","id":"ITEM-1","issue":"9","issued":{"date-parts":[["2015","10","9"]]},"page":"1104-1111","title":"Retention of homeless smokers in the Power to Quit study","type":"article-journal","volume":"17"},"uris":["http://www.mendeley.com/documents/?uuid=761c3337-6982-4c5c-96f6-bd7de9cf733e"]}],"mendeley":{"formattedCitation":"[40]","plainTextFormattedCitation":"[40]","previouslyFormattedCitation":"[40]"},"properties":{"noteIndex":0},"schema":"https://github.com/citation-style-language/schema/raw/master/csl-citation.json"}</w:instrText>
      </w:r>
      <w:r w:rsidR="007218B9">
        <w:rPr>
          <w:rFonts w:cs="Times New Roman"/>
        </w:rPr>
        <w:fldChar w:fldCharType="separate"/>
      </w:r>
      <w:r w:rsidR="0077457B" w:rsidRPr="0077457B">
        <w:rPr>
          <w:rFonts w:cs="Times New Roman"/>
          <w:noProof/>
        </w:rPr>
        <w:t>[40]</w:t>
      </w:r>
      <w:r w:rsidR="007218B9">
        <w:rPr>
          <w:rFonts w:cs="Times New Roman"/>
        </w:rPr>
        <w:fldChar w:fldCharType="end"/>
      </w:r>
      <w:r w:rsidRPr="00CC3ABA">
        <w:rPr>
          <w:rFonts w:cs="Times New Roman"/>
        </w:rPr>
        <w:t xml:space="preserve">). </w:t>
      </w:r>
      <w:r w:rsidR="005E6D11" w:rsidRPr="00CC3ABA">
        <w:rPr>
          <w:rFonts w:cs="Times New Roman"/>
        </w:rPr>
        <w:t>Therefore,</w:t>
      </w:r>
      <w:r w:rsidRPr="00CC3ABA">
        <w:rPr>
          <w:rFonts w:cs="Times New Roman"/>
        </w:rPr>
        <w:t xml:space="preserve"> estimating that 50% of those who agree </w:t>
      </w:r>
      <w:r w:rsidR="00A50BDA">
        <w:rPr>
          <w:rFonts w:cs="Times New Roman"/>
        </w:rPr>
        <w:t xml:space="preserve">would </w:t>
      </w:r>
      <w:r w:rsidRPr="00CC3ABA">
        <w:rPr>
          <w:rFonts w:cs="Times New Roman"/>
        </w:rPr>
        <w:t xml:space="preserve">drop out in the period between consenting to participate and the final follow up at 24 weeks, the sample size at the final follow up </w:t>
      </w:r>
      <w:r w:rsidR="003F2B07" w:rsidRPr="00CC3ABA">
        <w:rPr>
          <w:rFonts w:cs="Times New Roman"/>
        </w:rPr>
        <w:t xml:space="preserve">was </w:t>
      </w:r>
      <w:r w:rsidR="000C4DB5">
        <w:rPr>
          <w:rFonts w:cs="Times New Roman"/>
        </w:rPr>
        <w:t xml:space="preserve">estimated to be a </w:t>
      </w:r>
      <w:r w:rsidR="003F2B07" w:rsidRPr="00CC3ABA">
        <w:rPr>
          <w:rFonts w:cs="Times New Roman"/>
        </w:rPr>
        <w:t>minimum</w:t>
      </w:r>
      <w:r w:rsidR="000C4DB5">
        <w:rPr>
          <w:rFonts w:cs="Times New Roman"/>
        </w:rPr>
        <w:t xml:space="preserve"> of 60</w:t>
      </w:r>
      <w:r w:rsidR="003F2B07" w:rsidRPr="00CC3ABA">
        <w:rPr>
          <w:rFonts w:cs="Times New Roman"/>
        </w:rPr>
        <w:t>. This was</w:t>
      </w:r>
      <w:r w:rsidRPr="00CC3ABA">
        <w:rPr>
          <w:rFonts w:cs="Times New Roman"/>
        </w:rPr>
        <w:t xml:space="preserve"> a pragmatically chosen sample size, based on the information available</w:t>
      </w:r>
      <w:r w:rsidR="00BE5AFD" w:rsidRPr="00CC3ABA">
        <w:rPr>
          <w:rFonts w:cs="Times New Roman"/>
        </w:rPr>
        <w:t xml:space="preserve"> to us at the time</w:t>
      </w:r>
      <w:r w:rsidRPr="00CC3ABA">
        <w:rPr>
          <w:rFonts w:cs="Times New Roman"/>
        </w:rPr>
        <w:t>, to allow us to identify evidence of feasibility, recruitment rates and any problems with the intervention or research methods.</w:t>
      </w:r>
      <w:r w:rsidR="00840AF7">
        <w:rPr>
          <w:rFonts w:cs="Times New Roman"/>
        </w:rPr>
        <w:t xml:space="preserve"> </w:t>
      </w:r>
    </w:p>
    <w:p w14:paraId="42F340A3" w14:textId="77777777" w:rsidR="0072231B" w:rsidRPr="00CC3ABA" w:rsidRDefault="0072231B" w:rsidP="003E4ABF">
      <w:pPr>
        <w:spacing w:after="160" w:line="480" w:lineRule="auto"/>
        <w:jc w:val="both"/>
        <w:rPr>
          <w:rFonts w:cs="Times New Roman"/>
        </w:rPr>
      </w:pPr>
    </w:p>
    <w:p w14:paraId="5DF3D888" w14:textId="77777777" w:rsidR="003E4ABF" w:rsidRPr="00E879B4" w:rsidRDefault="008C2D1D" w:rsidP="008D1AAF">
      <w:pPr>
        <w:spacing w:line="480" w:lineRule="auto"/>
        <w:jc w:val="both"/>
        <w:rPr>
          <w:rFonts w:cs="Times New Roman"/>
          <w:b/>
          <w:sz w:val="32"/>
          <w:szCs w:val="32"/>
        </w:rPr>
      </w:pPr>
      <w:r w:rsidRPr="00E879B4">
        <w:rPr>
          <w:rFonts w:cs="Times New Roman"/>
          <w:b/>
          <w:sz w:val="32"/>
          <w:szCs w:val="32"/>
        </w:rPr>
        <w:t>Data analysis</w:t>
      </w:r>
    </w:p>
    <w:p w14:paraId="6EC6BF75" w14:textId="1A704CA7" w:rsidR="00555257" w:rsidRPr="008D1AAF" w:rsidRDefault="00724C1F" w:rsidP="008D1AAF">
      <w:pPr>
        <w:pStyle w:val="ListParagraph"/>
        <w:spacing w:after="0" w:line="480" w:lineRule="auto"/>
        <w:ind w:left="0"/>
        <w:contextualSpacing w:val="0"/>
        <w:jc w:val="both"/>
        <w:rPr>
          <w:rFonts w:cs="Times New Roman"/>
          <w:sz w:val="24"/>
          <w:szCs w:val="24"/>
        </w:rPr>
      </w:pPr>
      <w:r w:rsidRPr="008D1AAF">
        <w:rPr>
          <w:rFonts w:cs="Times New Roman"/>
          <w:sz w:val="24"/>
          <w:szCs w:val="24"/>
        </w:rPr>
        <w:t xml:space="preserve">Our </w:t>
      </w:r>
      <w:r w:rsidR="00555257" w:rsidRPr="008D1AAF">
        <w:rPr>
          <w:rFonts w:cs="Times New Roman"/>
          <w:sz w:val="24"/>
          <w:szCs w:val="24"/>
        </w:rPr>
        <w:t>feasibility data</w:t>
      </w:r>
      <w:r w:rsidRPr="008D1AAF">
        <w:rPr>
          <w:rFonts w:cs="Times New Roman"/>
          <w:sz w:val="24"/>
          <w:szCs w:val="24"/>
        </w:rPr>
        <w:t xml:space="preserve"> </w:t>
      </w:r>
      <w:r w:rsidR="00456354">
        <w:rPr>
          <w:rFonts w:cs="Times New Roman"/>
          <w:sz w:val="24"/>
          <w:szCs w:val="24"/>
        </w:rPr>
        <w:t>were</w:t>
      </w:r>
      <w:r w:rsidR="00456354" w:rsidRPr="008D1AAF">
        <w:rPr>
          <w:rFonts w:cs="Times New Roman"/>
          <w:sz w:val="24"/>
          <w:szCs w:val="24"/>
        </w:rPr>
        <w:t xml:space="preserve"> </w:t>
      </w:r>
      <w:r w:rsidRPr="008D1AAF">
        <w:rPr>
          <w:rFonts w:cs="Times New Roman"/>
          <w:sz w:val="24"/>
          <w:szCs w:val="24"/>
        </w:rPr>
        <w:t>analysed according to our protocol</w:t>
      </w:r>
      <w:r w:rsidR="00371C4D">
        <w:rPr>
          <w:rFonts w:cs="Times New Roman"/>
          <w:sz w:val="24"/>
          <w:szCs w:val="24"/>
        </w:rPr>
        <w:t xml:space="preserve"> </w:t>
      </w:r>
      <w:hyperlink r:id="rId12" w:history="1">
        <w:r w:rsidR="008D1AAF" w:rsidRPr="008D1AAF">
          <w:rPr>
            <w:rStyle w:val="Hyperlink"/>
            <w:sz w:val="24"/>
            <w:szCs w:val="24"/>
          </w:rPr>
          <w:t>https://fundingawards.nihr.ac.uk/award/17/44/29</w:t>
        </w:r>
      </w:hyperlink>
      <w:r w:rsidR="00CE3ECF" w:rsidRPr="008D1AAF">
        <w:rPr>
          <w:rFonts w:cs="Times New Roman"/>
          <w:sz w:val="24"/>
          <w:szCs w:val="24"/>
        </w:rPr>
        <w:t>.</w:t>
      </w:r>
      <w:r w:rsidR="00840AF7">
        <w:rPr>
          <w:rFonts w:cs="Times New Roman"/>
          <w:sz w:val="24"/>
          <w:szCs w:val="24"/>
        </w:rPr>
        <w:t xml:space="preserve"> </w:t>
      </w:r>
      <w:r w:rsidR="00CE3ECF" w:rsidRPr="008D1AAF">
        <w:rPr>
          <w:rFonts w:cs="Times New Roman"/>
          <w:sz w:val="24"/>
          <w:szCs w:val="24"/>
        </w:rPr>
        <w:t xml:space="preserve">To address objectives 1 and 2 willingness to participate and retention, we present frequency information regarding the number of </w:t>
      </w:r>
      <w:r w:rsidR="00371C4D">
        <w:rPr>
          <w:rFonts w:cs="Times New Roman"/>
          <w:sz w:val="24"/>
          <w:szCs w:val="24"/>
        </w:rPr>
        <w:t xml:space="preserve">eligible </w:t>
      </w:r>
      <w:r w:rsidR="00CE3ECF" w:rsidRPr="008D1AAF">
        <w:rPr>
          <w:rFonts w:cs="Times New Roman"/>
          <w:sz w:val="24"/>
          <w:szCs w:val="24"/>
        </w:rPr>
        <w:t>smokers who</w:t>
      </w:r>
      <w:r w:rsidR="002465FE" w:rsidRPr="008D1AAF">
        <w:rPr>
          <w:rFonts w:cs="Times New Roman"/>
          <w:sz w:val="24"/>
          <w:szCs w:val="24"/>
        </w:rPr>
        <w:t>:</w:t>
      </w:r>
      <w:r w:rsidR="00371C4D">
        <w:rPr>
          <w:rFonts w:cs="Times New Roman"/>
          <w:sz w:val="24"/>
          <w:szCs w:val="24"/>
        </w:rPr>
        <w:t xml:space="preserve"> </w:t>
      </w:r>
      <w:r w:rsidR="002465FE" w:rsidRPr="008D1AAF">
        <w:rPr>
          <w:rFonts w:cs="Times New Roman"/>
          <w:sz w:val="24"/>
          <w:szCs w:val="24"/>
        </w:rPr>
        <w:t xml:space="preserve">i) were </w:t>
      </w:r>
      <w:r w:rsidR="00CE3ECF" w:rsidRPr="008D1AAF">
        <w:rPr>
          <w:rFonts w:cs="Times New Roman"/>
          <w:sz w:val="24"/>
          <w:szCs w:val="24"/>
        </w:rPr>
        <w:t xml:space="preserve">invited to take part; </w:t>
      </w:r>
      <w:r w:rsidR="002465FE" w:rsidRPr="008D1AAF">
        <w:rPr>
          <w:rFonts w:cs="Times New Roman"/>
          <w:sz w:val="24"/>
          <w:szCs w:val="24"/>
        </w:rPr>
        <w:t xml:space="preserve">ii) </w:t>
      </w:r>
      <w:r w:rsidR="00CE3ECF" w:rsidRPr="008D1AAF">
        <w:rPr>
          <w:rFonts w:cs="Times New Roman"/>
          <w:sz w:val="24"/>
          <w:szCs w:val="24"/>
        </w:rPr>
        <w:t>consented/</w:t>
      </w:r>
      <w:r w:rsidR="00555257" w:rsidRPr="008D1AAF">
        <w:rPr>
          <w:rFonts w:cs="Times New Roman"/>
          <w:sz w:val="24"/>
          <w:szCs w:val="24"/>
        </w:rPr>
        <w:t>complet</w:t>
      </w:r>
      <w:r w:rsidR="00CE3ECF" w:rsidRPr="008D1AAF">
        <w:rPr>
          <w:rFonts w:cs="Times New Roman"/>
          <w:sz w:val="24"/>
          <w:szCs w:val="24"/>
        </w:rPr>
        <w:t xml:space="preserve">ed the baseline assessment; </w:t>
      </w:r>
      <w:r w:rsidR="002465FE" w:rsidRPr="008D1AAF">
        <w:rPr>
          <w:rFonts w:cs="Times New Roman"/>
          <w:sz w:val="24"/>
          <w:szCs w:val="24"/>
        </w:rPr>
        <w:t>iii) attended and completed each follow up; and iv) were still engaging with the treatment/UC at each follow up.</w:t>
      </w:r>
    </w:p>
    <w:p w14:paraId="59ABD47A" w14:textId="3DB48F50" w:rsidR="00555257" w:rsidRPr="00CC3ABA" w:rsidRDefault="00555257" w:rsidP="002465FE">
      <w:pPr>
        <w:spacing w:after="160" w:line="480" w:lineRule="auto"/>
        <w:jc w:val="both"/>
        <w:rPr>
          <w:rFonts w:cs="Times New Roman"/>
        </w:rPr>
      </w:pPr>
      <w:r w:rsidRPr="00CC3ABA">
        <w:rPr>
          <w:rFonts w:cs="Times New Roman"/>
        </w:rPr>
        <w:t xml:space="preserve">Baseline </w:t>
      </w:r>
      <w:r w:rsidR="002465FE" w:rsidRPr="00CC3ABA">
        <w:rPr>
          <w:rFonts w:cs="Times New Roman"/>
        </w:rPr>
        <w:t xml:space="preserve">demographic information is </w:t>
      </w:r>
      <w:r w:rsidRPr="00CC3ABA">
        <w:rPr>
          <w:rFonts w:cs="Times New Roman"/>
        </w:rPr>
        <w:t>summarised using frequencies and descriptive statisti</w:t>
      </w:r>
      <w:r w:rsidR="002465FE" w:rsidRPr="00CC3ABA">
        <w:rPr>
          <w:rFonts w:cs="Times New Roman"/>
        </w:rPr>
        <w:t>cs and the arms (EC v UC) are</w:t>
      </w:r>
      <w:r w:rsidR="00E32C27">
        <w:rPr>
          <w:rFonts w:cs="Times New Roman"/>
        </w:rPr>
        <w:t xml:space="preserve"> compared using</w:t>
      </w:r>
      <w:r w:rsidR="006C6A61">
        <w:rPr>
          <w:rFonts w:cs="Times New Roman"/>
        </w:rPr>
        <w:t xml:space="preserve"> </w:t>
      </w:r>
      <w:r w:rsidR="00E32C27">
        <w:rPr>
          <w:rFonts w:cs="Times New Roman"/>
        </w:rPr>
        <w:t>t-tests</w:t>
      </w:r>
      <w:r w:rsidR="00147DDC">
        <w:rPr>
          <w:rFonts w:cs="Times New Roman"/>
        </w:rPr>
        <w:t xml:space="preserve">, </w:t>
      </w:r>
      <w:r w:rsidR="006C6A61">
        <w:rPr>
          <w:rFonts w:cs="Times New Roman"/>
        </w:rPr>
        <w:t>Mann</w:t>
      </w:r>
      <w:r w:rsidR="00147DDC">
        <w:rPr>
          <w:rFonts w:cs="Times New Roman"/>
        </w:rPr>
        <w:t>-</w:t>
      </w:r>
      <w:r w:rsidR="006C6A61">
        <w:rPr>
          <w:rFonts w:cs="Times New Roman"/>
        </w:rPr>
        <w:t xml:space="preserve"> Whitney U tests</w:t>
      </w:r>
      <w:r w:rsidR="00840AF7">
        <w:rPr>
          <w:rFonts w:cs="Times New Roman"/>
        </w:rPr>
        <w:t xml:space="preserve"> </w:t>
      </w:r>
      <w:r w:rsidR="00371C4D">
        <w:rPr>
          <w:rFonts w:cs="Times New Roman"/>
        </w:rPr>
        <w:t xml:space="preserve"> </w:t>
      </w:r>
      <w:r w:rsidR="00FD6CF5">
        <w:rPr>
          <w:rFonts w:cs="Times New Roman"/>
        </w:rPr>
        <w:t xml:space="preserve">or Fisher’s Exact test </w:t>
      </w:r>
      <w:r w:rsidRPr="00CC3ABA">
        <w:rPr>
          <w:rFonts w:cs="Times New Roman"/>
        </w:rPr>
        <w:t>as appropriate.</w:t>
      </w:r>
      <w:r w:rsidR="000D6118" w:rsidRPr="00CC3ABA">
        <w:rPr>
          <w:rFonts w:cs="Times New Roman"/>
        </w:rPr>
        <w:t xml:space="preserve"> </w:t>
      </w:r>
      <w:r w:rsidR="00840AF7">
        <w:rPr>
          <w:rFonts w:cs="Times New Roman"/>
        </w:rPr>
        <w:t xml:space="preserve"> </w:t>
      </w:r>
      <w:r w:rsidR="008D1AAF">
        <w:rPr>
          <w:rFonts w:cs="Times New Roman"/>
        </w:rPr>
        <w:t>E</w:t>
      </w:r>
      <w:r w:rsidR="000D6118" w:rsidRPr="00CC3ABA">
        <w:rPr>
          <w:rFonts w:cs="Times New Roman"/>
        </w:rPr>
        <w:t xml:space="preserve">C effects are summarised descriptively. </w:t>
      </w:r>
    </w:p>
    <w:p w14:paraId="30033898" w14:textId="1D2D3111" w:rsidR="00555257" w:rsidRPr="00CC3ABA" w:rsidRDefault="00555257" w:rsidP="002465FE">
      <w:pPr>
        <w:autoSpaceDE w:val="0"/>
        <w:autoSpaceDN w:val="0"/>
        <w:adjustRightInd w:val="0"/>
        <w:spacing w:after="160" w:line="480" w:lineRule="auto"/>
        <w:jc w:val="both"/>
        <w:rPr>
          <w:rFonts w:cs="Times New Roman"/>
        </w:rPr>
      </w:pPr>
      <w:r w:rsidRPr="00CC3ABA">
        <w:rPr>
          <w:rFonts w:cs="Times New Roman"/>
        </w:rPr>
        <w:t>To assess the potential efficacy of supplying free EC starter kits and to inform the sample size for a future larger trial</w:t>
      </w:r>
      <w:r w:rsidR="002465FE" w:rsidRPr="00CC3ABA">
        <w:rPr>
          <w:rFonts w:cs="Times New Roman"/>
        </w:rPr>
        <w:t xml:space="preserve"> (objective 3)</w:t>
      </w:r>
      <w:r w:rsidRPr="00CC3ABA">
        <w:rPr>
          <w:rFonts w:cs="Times New Roman"/>
        </w:rPr>
        <w:t>, we summarise the</w:t>
      </w:r>
      <w:r w:rsidR="00D80EB3" w:rsidRPr="00CC3ABA">
        <w:rPr>
          <w:rFonts w:cs="Times New Roman"/>
        </w:rPr>
        <w:t xml:space="preserve"> proportion</w:t>
      </w:r>
      <w:r w:rsidRPr="00CC3ABA">
        <w:rPr>
          <w:rFonts w:cs="Times New Roman"/>
        </w:rPr>
        <w:t xml:space="preserve"> of participants reporting sustained smoking abstinence (CO verified)</w:t>
      </w:r>
      <w:r w:rsidR="00D80EB3" w:rsidRPr="00CC3ABA">
        <w:rPr>
          <w:rFonts w:cs="Times New Roman"/>
        </w:rPr>
        <w:t>, 7-day point prevalence abstinence,</w:t>
      </w:r>
      <w:r w:rsidRPr="00CC3ABA">
        <w:rPr>
          <w:rFonts w:cs="Times New Roman"/>
        </w:rPr>
        <w:t xml:space="preserve"> and a 50% re</w:t>
      </w:r>
      <w:r w:rsidR="002465FE" w:rsidRPr="00CC3ABA">
        <w:rPr>
          <w:rFonts w:cs="Times New Roman"/>
        </w:rPr>
        <w:t>duction in smoking in each arm</w:t>
      </w:r>
      <w:r w:rsidRPr="00CC3ABA">
        <w:rPr>
          <w:rFonts w:cs="Times New Roman"/>
        </w:rPr>
        <w:t xml:space="preserve"> at each follow up time point. </w:t>
      </w:r>
      <w:r w:rsidR="00A86C4C">
        <w:rPr>
          <w:rFonts w:cs="Times New Roman"/>
        </w:rPr>
        <w:t>The main sample size calculation is based on 24 week sustained abstinence using</w:t>
      </w:r>
      <w:r w:rsidRPr="00CC3ABA">
        <w:rPr>
          <w:rFonts w:cs="Times New Roman"/>
        </w:rPr>
        <w:t xml:space="preserve"> intention to treat analysis; that is, all those randomised </w:t>
      </w:r>
      <w:r w:rsidR="002465FE" w:rsidRPr="00CC3ABA">
        <w:rPr>
          <w:rFonts w:cs="Times New Roman"/>
        </w:rPr>
        <w:t xml:space="preserve">are </w:t>
      </w:r>
      <w:r w:rsidRPr="00CC3ABA">
        <w:rPr>
          <w:rFonts w:cs="Times New Roman"/>
        </w:rPr>
        <w:t xml:space="preserve">included in the analysis as belonging to the group to which they were randomised and those with missing outcome data </w:t>
      </w:r>
      <w:r w:rsidR="002465FE" w:rsidRPr="00CC3ABA">
        <w:rPr>
          <w:rFonts w:cs="Times New Roman"/>
        </w:rPr>
        <w:t xml:space="preserve">were </w:t>
      </w:r>
      <w:r w:rsidRPr="00CC3ABA">
        <w:rPr>
          <w:rFonts w:cs="Times New Roman"/>
        </w:rPr>
        <w:t>treated as</w:t>
      </w:r>
      <w:r w:rsidR="00023804">
        <w:rPr>
          <w:rFonts w:cs="Times New Roman"/>
        </w:rPr>
        <w:t xml:space="preserve"> smokers</w:t>
      </w:r>
      <w:r w:rsidRPr="00CC3ABA">
        <w:rPr>
          <w:rFonts w:cs="Times New Roman"/>
        </w:rPr>
        <w:t xml:space="preserve">. The </w:t>
      </w:r>
      <w:r w:rsidR="00850F1A">
        <w:rPr>
          <w:rFonts w:cs="Times New Roman"/>
        </w:rPr>
        <w:t xml:space="preserve">planned </w:t>
      </w:r>
      <w:r w:rsidRPr="00CC3ABA">
        <w:rPr>
          <w:rFonts w:cs="Times New Roman"/>
        </w:rPr>
        <w:t xml:space="preserve">analysis </w:t>
      </w:r>
      <w:r w:rsidR="00850F1A">
        <w:rPr>
          <w:rFonts w:cs="Times New Roman"/>
        </w:rPr>
        <w:t xml:space="preserve">was to </w:t>
      </w:r>
      <w:r w:rsidR="002465FE" w:rsidRPr="00CC3ABA">
        <w:rPr>
          <w:rFonts w:cs="Times New Roman"/>
        </w:rPr>
        <w:t xml:space="preserve">use </w:t>
      </w:r>
      <w:r w:rsidRPr="00CC3ABA">
        <w:rPr>
          <w:rFonts w:cs="Times New Roman"/>
        </w:rPr>
        <w:t xml:space="preserve">generalised linear mixed effects models </w:t>
      </w:r>
      <w:r w:rsidR="00850F1A">
        <w:rPr>
          <w:rFonts w:cs="Times New Roman"/>
        </w:rPr>
        <w:t>to estimate</w:t>
      </w:r>
      <w:r w:rsidRPr="00CC3ABA">
        <w:rPr>
          <w:rFonts w:cs="Times New Roman"/>
        </w:rPr>
        <w:t xml:space="preserve"> the clustering of observations within centres. From these </w:t>
      </w:r>
      <w:r w:rsidR="00850F1A" w:rsidRPr="00CC3ABA">
        <w:rPr>
          <w:rFonts w:cs="Times New Roman"/>
        </w:rPr>
        <w:t xml:space="preserve">models </w:t>
      </w:r>
      <w:r w:rsidR="00850F1A">
        <w:rPr>
          <w:rFonts w:cs="Times New Roman"/>
        </w:rPr>
        <w:t>we would also</w:t>
      </w:r>
      <w:r w:rsidRPr="00CC3ABA">
        <w:rPr>
          <w:rFonts w:cs="Times New Roman"/>
        </w:rPr>
        <w:t xml:space="preserve"> estimate the effect size of the intervention after adjustment for covariates. The ICC </w:t>
      </w:r>
      <w:r w:rsidR="00850F1A">
        <w:rPr>
          <w:rFonts w:cs="Times New Roman"/>
        </w:rPr>
        <w:t xml:space="preserve">was to be </w:t>
      </w:r>
      <w:r w:rsidRPr="00CC3ABA">
        <w:rPr>
          <w:rFonts w:cs="Times New Roman"/>
        </w:rPr>
        <w:t xml:space="preserve">estimated from the random intercept model. </w:t>
      </w:r>
    </w:p>
    <w:p w14:paraId="069EE4C2" w14:textId="0D1E43FA" w:rsidR="00555257" w:rsidRPr="00CC3ABA" w:rsidRDefault="003E1C77" w:rsidP="002465FE">
      <w:pPr>
        <w:spacing w:after="160" w:line="480" w:lineRule="auto"/>
        <w:jc w:val="both"/>
        <w:rPr>
          <w:rFonts w:cs="Times New Roman"/>
        </w:rPr>
      </w:pPr>
      <w:r w:rsidRPr="00CC3ABA">
        <w:rPr>
          <w:rFonts w:cs="Times New Roman"/>
        </w:rPr>
        <w:t xml:space="preserve">To </w:t>
      </w:r>
      <w:r w:rsidR="003A1A47">
        <w:rPr>
          <w:rFonts w:cs="Times New Roman"/>
        </w:rPr>
        <w:t>explore feasibility of collecting data using self-report questionnaire</w:t>
      </w:r>
      <w:r w:rsidRPr="00CC3ABA">
        <w:rPr>
          <w:rFonts w:cs="Times New Roman"/>
        </w:rPr>
        <w:t>, w</w:t>
      </w:r>
      <w:r w:rsidR="00555257" w:rsidRPr="00CC3ABA">
        <w:rPr>
          <w:rFonts w:cs="Times New Roman"/>
        </w:rPr>
        <w:t>e</w:t>
      </w:r>
      <w:r w:rsidR="00475A5F">
        <w:rPr>
          <w:rFonts w:cs="Times New Roman"/>
        </w:rPr>
        <w:t xml:space="preserve"> administered</w:t>
      </w:r>
      <w:r w:rsidR="00555257" w:rsidRPr="00CC3ABA">
        <w:rPr>
          <w:rFonts w:cs="Times New Roman"/>
        </w:rPr>
        <w:t xml:space="preserve"> EQ-5D-3L</w:t>
      </w:r>
      <w:r w:rsidR="00475A5F">
        <w:rPr>
          <w:rFonts w:cs="Times New Roman"/>
        </w:rPr>
        <w:t xml:space="preserve"> and healthcare and social service questionnaire to participants and examined the completeness of the responses</w:t>
      </w:r>
      <w:r w:rsidR="005E1A6A">
        <w:rPr>
          <w:rFonts w:cs="Times New Roman"/>
        </w:rPr>
        <w:t xml:space="preserve"> and the frequency of each service use</w:t>
      </w:r>
      <w:r w:rsidR="00475A5F">
        <w:rPr>
          <w:rFonts w:cs="Times New Roman"/>
        </w:rPr>
        <w:t>.</w:t>
      </w:r>
      <w:r w:rsidR="003C272D">
        <w:rPr>
          <w:rFonts w:cs="Times New Roman"/>
        </w:rPr>
        <w:t xml:space="preserve"> </w:t>
      </w:r>
      <w:r w:rsidR="005E1A6A">
        <w:rPr>
          <w:rFonts w:cs="Times New Roman"/>
        </w:rPr>
        <w:t xml:space="preserve">We presented </w:t>
      </w:r>
      <w:r w:rsidR="00555257" w:rsidRPr="00CC3ABA">
        <w:rPr>
          <w:rFonts w:cs="Times New Roman"/>
        </w:rPr>
        <w:t>QALYs</w:t>
      </w:r>
      <w:r w:rsidR="005E1A6A">
        <w:rPr>
          <w:rFonts w:cs="Times New Roman"/>
        </w:rPr>
        <w:t xml:space="preserve"> derived from EQ-5D-3L</w:t>
      </w:r>
      <w:r w:rsidR="00555257" w:rsidRPr="00CC3ABA">
        <w:rPr>
          <w:rFonts w:cs="Times New Roman"/>
        </w:rPr>
        <w:t xml:space="preserve"> using the area under the curve </w:t>
      </w:r>
      <w:r w:rsidR="005E1A6A">
        <w:rPr>
          <w:rFonts w:cs="Times New Roman"/>
        </w:rPr>
        <w:t>approach</w:t>
      </w:r>
      <w:r w:rsidR="008A0E15">
        <w:rPr>
          <w:rFonts w:cs="Times New Roman"/>
        </w:rPr>
        <w:t xml:space="preserve"> </w:t>
      </w:r>
      <w:r w:rsidR="005D5C99">
        <w:rPr>
          <w:rFonts w:cs="Times New Roman"/>
        </w:rPr>
        <w:fldChar w:fldCharType="begin" w:fldLock="1"/>
      </w:r>
      <w:r w:rsidR="00620688">
        <w:rPr>
          <w:rFonts w:cs="Times New Roman"/>
        </w:rPr>
        <w:instrText>ADDIN CSL_CITATION {"citationItems":[{"id":"ITEM-1","itemData":{"abstract":"Economic evaluations alongside randomised controlled trials (RCTs) are increasingly being designed to prospectively collect patient–specific resource use and preference‐based health status (utility) data. This paper examines the ways in which preference‐based health status (utility) data are used to generate quality adjusted life years (QALYs). A literature review was carried out which identified 23 published cost utility analyses suitable for inclusion. The methodology employed to calculate QALYs was not always consistent, as well as being poorly reported. The use of different methodologies in the calculation of QALYs may influence the magnitude and direction of results of evaluations. Analysts need to be consistent and fully transparent in the methodology chosen to calculate QALYs.","author":[{"dropping-particle":"","family":"Richardson","given":"Gerald","non-dropping-particle":"","parse-names":false,"suffix":""},{"dropping-particle":"","family":"Manca","given":"Andrea","non-dropping-particle":"","parse-names":false,"suffix":""}],"container-title":"Health Economics","id":"ITEM-1","issue":"12","issued":{"date-parts":[["2004","4","5"]]},"page":"1203-1210","title":"Calculation of quality adjusted life years in the published literature: A review of methodology and transparency","type":"article-journal","volume":"13"},"uris":["http://www.mendeley.com/documents/?uuid=ab9832db-52f9-421b-a8e7-2a718599c6f5"]}],"mendeley":{"formattedCitation":"[58]","plainTextFormattedCitation":"[58]","previouslyFormattedCitation":"[58]"},"properties":{"noteIndex":0},"schema":"https://github.com/citation-style-language/schema/raw/master/csl-citation.json"}</w:instrText>
      </w:r>
      <w:r w:rsidR="005D5C99">
        <w:rPr>
          <w:rFonts w:cs="Times New Roman"/>
        </w:rPr>
        <w:fldChar w:fldCharType="separate"/>
      </w:r>
      <w:r w:rsidR="0077457B" w:rsidRPr="0077457B">
        <w:rPr>
          <w:rFonts w:cs="Times New Roman"/>
          <w:noProof/>
        </w:rPr>
        <w:t>[58]</w:t>
      </w:r>
      <w:r w:rsidR="005D5C99">
        <w:rPr>
          <w:rFonts w:cs="Times New Roman"/>
        </w:rPr>
        <w:fldChar w:fldCharType="end"/>
      </w:r>
      <w:r w:rsidR="005E1A6A">
        <w:rPr>
          <w:rFonts w:cs="Times New Roman"/>
        </w:rPr>
        <w:t xml:space="preserve"> and costs of general healthcare services at each time point, by arm, to show a preliminary profile of cost</w:t>
      </w:r>
      <w:r w:rsidR="008A0E15">
        <w:rPr>
          <w:rFonts w:cs="Times New Roman"/>
        </w:rPr>
        <w:t>s</w:t>
      </w:r>
      <w:r w:rsidR="005E1A6A">
        <w:rPr>
          <w:rFonts w:cs="Times New Roman"/>
        </w:rPr>
        <w:t xml:space="preserve"> and HRQoL</w:t>
      </w:r>
      <w:r w:rsidR="00555257" w:rsidRPr="00CC3ABA">
        <w:rPr>
          <w:rFonts w:cs="Times New Roman"/>
        </w:rPr>
        <w:t>.</w:t>
      </w:r>
      <w:r w:rsidR="003C272D">
        <w:rPr>
          <w:rFonts w:cs="Times New Roman"/>
        </w:rPr>
        <w:t xml:space="preserve"> </w:t>
      </w:r>
      <w:r w:rsidR="003A1A47">
        <w:rPr>
          <w:rFonts w:cs="Times New Roman"/>
        </w:rPr>
        <w:t>To provide an indicative cost of intervention, w</w:t>
      </w:r>
      <w:r w:rsidR="00555257" w:rsidRPr="00CC3ABA">
        <w:rPr>
          <w:rFonts w:cs="Times New Roman"/>
        </w:rPr>
        <w:t xml:space="preserve">e </w:t>
      </w:r>
      <w:r w:rsidR="003A1A47">
        <w:rPr>
          <w:rFonts w:cs="Times New Roman"/>
        </w:rPr>
        <w:t xml:space="preserve">estimated </w:t>
      </w:r>
      <w:r w:rsidR="00555257" w:rsidRPr="00CC3ABA">
        <w:rPr>
          <w:rFonts w:cs="Times New Roman"/>
        </w:rPr>
        <w:t xml:space="preserve">the costs of </w:t>
      </w:r>
      <w:r w:rsidR="005E1A6A">
        <w:rPr>
          <w:rFonts w:cs="Times New Roman"/>
        </w:rPr>
        <w:t>pre-intervention training and intervention delivery</w:t>
      </w:r>
      <w:r w:rsidR="003A1A47">
        <w:rPr>
          <w:rFonts w:cs="Times New Roman"/>
        </w:rPr>
        <w:t>, based on relevant staff activities</w:t>
      </w:r>
      <w:r w:rsidR="005E1A6A">
        <w:rPr>
          <w:rFonts w:cs="Times New Roman"/>
        </w:rPr>
        <w:t>.</w:t>
      </w:r>
    </w:p>
    <w:p w14:paraId="472D1448" w14:textId="62F38943" w:rsidR="00724C1F" w:rsidRDefault="00850F1A" w:rsidP="009E4168">
      <w:pPr>
        <w:spacing w:before="40" w:after="160" w:line="480" w:lineRule="auto"/>
        <w:jc w:val="both"/>
        <w:rPr>
          <w:rFonts w:cs="Times New Roman"/>
        </w:rPr>
      </w:pPr>
      <w:r>
        <w:rPr>
          <w:rFonts w:cs="Times New Roman"/>
        </w:rPr>
        <w:t>For the primary outcome</w:t>
      </w:r>
      <w:r w:rsidR="00166A34">
        <w:rPr>
          <w:rFonts w:cs="Times New Roman"/>
        </w:rPr>
        <w:t>,</w:t>
      </w:r>
      <w:r>
        <w:rPr>
          <w:rFonts w:cs="Times New Roman"/>
        </w:rPr>
        <w:t xml:space="preserve"> participants lost to follow up were assumed to be smoking and included at follow up. For assessment of the relationship between other variables and outcomes, cases with missing data were excluded from the analysis.</w:t>
      </w:r>
      <w:r w:rsidR="007A3AD9">
        <w:rPr>
          <w:rFonts w:cs="Times New Roman"/>
        </w:rPr>
        <w:t xml:space="preserve"> Data were analysed in SPSS and STATA.</w:t>
      </w:r>
    </w:p>
    <w:p w14:paraId="33E5BE89" w14:textId="77777777" w:rsidR="00610D2B" w:rsidRPr="00CC3ABA" w:rsidRDefault="00610D2B" w:rsidP="009E4168">
      <w:pPr>
        <w:spacing w:before="40" w:after="160" w:line="480" w:lineRule="auto"/>
        <w:jc w:val="both"/>
        <w:rPr>
          <w:rFonts w:cs="Times New Roman"/>
        </w:rPr>
      </w:pPr>
    </w:p>
    <w:p w14:paraId="276FE9F2" w14:textId="77777777" w:rsidR="003F599F" w:rsidRPr="00E879B4" w:rsidRDefault="00460E48" w:rsidP="00460E48">
      <w:pPr>
        <w:spacing w:line="480" w:lineRule="auto"/>
        <w:jc w:val="both"/>
        <w:rPr>
          <w:rFonts w:cs="Times New Roman"/>
          <w:b/>
          <w:sz w:val="36"/>
          <w:szCs w:val="36"/>
        </w:rPr>
      </w:pPr>
      <w:r w:rsidRPr="00E879B4">
        <w:rPr>
          <w:rFonts w:cs="Times New Roman"/>
          <w:b/>
          <w:sz w:val="36"/>
          <w:szCs w:val="36"/>
        </w:rPr>
        <w:t>Results</w:t>
      </w:r>
    </w:p>
    <w:p w14:paraId="0B6EAFF3" w14:textId="77777777" w:rsidR="00232FC6" w:rsidRPr="00E879B4" w:rsidRDefault="00232FC6" w:rsidP="00A8589B">
      <w:pPr>
        <w:spacing w:after="160" w:line="480" w:lineRule="auto"/>
        <w:jc w:val="both"/>
        <w:rPr>
          <w:rFonts w:cs="Times New Roman"/>
          <w:b/>
          <w:sz w:val="32"/>
          <w:szCs w:val="32"/>
        </w:rPr>
      </w:pPr>
      <w:r w:rsidRPr="00E879B4">
        <w:rPr>
          <w:rFonts w:cs="Times New Roman"/>
          <w:b/>
          <w:sz w:val="32"/>
          <w:szCs w:val="32"/>
        </w:rPr>
        <w:t>Recruitment</w:t>
      </w:r>
    </w:p>
    <w:p w14:paraId="3060B83F" w14:textId="63F848DA" w:rsidR="007B1E2F" w:rsidRDefault="007B1E2F" w:rsidP="00A8589B">
      <w:pPr>
        <w:spacing w:after="160" w:line="480" w:lineRule="auto"/>
        <w:jc w:val="both"/>
        <w:rPr>
          <w:rFonts w:cs="Times New Roman"/>
        </w:rPr>
      </w:pPr>
      <w:r w:rsidRPr="00CC3ABA">
        <w:rPr>
          <w:rFonts w:cs="Times New Roman"/>
        </w:rPr>
        <w:t>One hundred and seventy seven participants were invited to participate (106 in the EC arm and</w:t>
      </w:r>
      <w:r w:rsidR="00285F22" w:rsidRPr="00CC3ABA">
        <w:rPr>
          <w:rFonts w:cs="Times New Roman"/>
        </w:rPr>
        <w:t xml:space="preserve"> 71 in the UC arm).</w:t>
      </w:r>
      <w:r w:rsidR="00840AF7">
        <w:rPr>
          <w:rFonts w:cs="Times New Roman"/>
        </w:rPr>
        <w:t xml:space="preserve"> </w:t>
      </w:r>
      <w:r w:rsidR="00285F22" w:rsidRPr="00CC3ABA">
        <w:rPr>
          <w:rFonts w:cs="Times New Roman"/>
        </w:rPr>
        <w:t>Of these</w:t>
      </w:r>
      <w:r w:rsidR="00232FC6" w:rsidRPr="00CC3ABA">
        <w:rPr>
          <w:rFonts w:cs="Times New Roman"/>
        </w:rPr>
        <w:t>,</w:t>
      </w:r>
      <w:r w:rsidR="003C272D">
        <w:rPr>
          <w:rFonts w:cs="Times New Roman"/>
        </w:rPr>
        <w:t xml:space="preserve"> </w:t>
      </w:r>
      <w:r w:rsidR="00F87CF6">
        <w:rPr>
          <w:rFonts w:cs="Times New Roman"/>
        </w:rPr>
        <w:t>24</w:t>
      </w:r>
      <w:r w:rsidR="00272CC7">
        <w:rPr>
          <w:rFonts w:cs="Times New Roman"/>
        </w:rPr>
        <w:t xml:space="preserve"> were not eligible (16 in the EC arm; 8 in the UC arm).</w:t>
      </w:r>
      <w:r w:rsidR="00840AF7">
        <w:rPr>
          <w:rFonts w:cs="Times New Roman"/>
        </w:rPr>
        <w:t xml:space="preserve"> </w:t>
      </w:r>
      <w:r w:rsidR="0038786E">
        <w:rPr>
          <w:rFonts w:cs="Times New Roman"/>
        </w:rPr>
        <w:t xml:space="preserve">Reasons for exclusion were: persons presenting were non-smokers, pregnant, unknown to centre staff, </w:t>
      </w:r>
      <w:r w:rsidR="00C43CAF">
        <w:rPr>
          <w:rFonts w:cs="Times New Roman"/>
        </w:rPr>
        <w:t>assessed to be unable to provide informed consent due to levels of intoxication, or assessed by staff to have high mental health risk or self-care burden.</w:t>
      </w:r>
      <w:r w:rsidR="00840AF7">
        <w:rPr>
          <w:rFonts w:cs="Times New Roman"/>
        </w:rPr>
        <w:t xml:space="preserve"> </w:t>
      </w:r>
      <w:r w:rsidR="00272CC7">
        <w:rPr>
          <w:rFonts w:cs="Times New Roman"/>
        </w:rPr>
        <w:t xml:space="preserve">Of the 153 eligible participants, </w:t>
      </w:r>
      <w:r w:rsidR="00285F22" w:rsidRPr="00CC3ABA">
        <w:rPr>
          <w:rFonts w:cs="Times New Roman"/>
        </w:rPr>
        <w:t>80</w:t>
      </w:r>
      <w:r w:rsidRPr="00CC3ABA">
        <w:rPr>
          <w:rFonts w:cs="Times New Roman"/>
        </w:rPr>
        <w:t xml:space="preserve"> consented</w:t>
      </w:r>
      <w:r w:rsidR="003D00F3">
        <w:rPr>
          <w:rFonts w:cs="Times New Roman"/>
        </w:rPr>
        <w:t xml:space="preserve">, </w:t>
      </w:r>
      <w:r w:rsidR="00272CC7">
        <w:rPr>
          <w:rFonts w:cs="Times New Roman"/>
        </w:rPr>
        <w:t>completed baseline assessments and were randomised</w:t>
      </w:r>
      <w:r w:rsidR="003D00F3">
        <w:rPr>
          <w:rFonts w:cs="Times New Roman"/>
        </w:rPr>
        <w:t>: 48 (53</w:t>
      </w:r>
      <w:r w:rsidRPr="00CC3ABA">
        <w:rPr>
          <w:rFonts w:cs="Times New Roman"/>
        </w:rPr>
        <w:t>%) in the EC arm and 3</w:t>
      </w:r>
      <w:r w:rsidR="00944D11" w:rsidRPr="00CC3ABA">
        <w:rPr>
          <w:rFonts w:cs="Times New Roman"/>
        </w:rPr>
        <w:t>2</w:t>
      </w:r>
      <w:r w:rsidR="00F87CF6">
        <w:rPr>
          <w:rFonts w:cs="Times New Roman"/>
        </w:rPr>
        <w:t xml:space="preserve"> (51</w:t>
      </w:r>
      <w:r w:rsidR="00944D11" w:rsidRPr="00CC3ABA">
        <w:rPr>
          <w:rFonts w:cs="Times New Roman"/>
        </w:rPr>
        <w:t>%) in the UC arm.</w:t>
      </w:r>
      <w:r w:rsidR="00840AF7">
        <w:rPr>
          <w:rFonts w:cs="Times New Roman"/>
        </w:rPr>
        <w:t xml:space="preserve"> </w:t>
      </w:r>
      <w:r w:rsidR="00944D11" w:rsidRPr="00CC3ABA">
        <w:rPr>
          <w:rFonts w:cs="Times New Roman"/>
        </w:rPr>
        <w:t>Fig 1</w:t>
      </w:r>
      <w:r w:rsidRPr="00CC3ABA">
        <w:rPr>
          <w:rFonts w:cs="Times New Roman"/>
        </w:rPr>
        <w:t xml:space="preserve"> shows the CONSORT flow diagram</w:t>
      </w:r>
      <w:r w:rsidR="00F0516B" w:rsidRPr="00CC3ABA">
        <w:rPr>
          <w:rFonts w:cs="Times New Roman"/>
        </w:rPr>
        <w:t xml:space="preserve"> and </w:t>
      </w:r>
      <w:r w:rsidR="00FA5F7F" w:rsidRPr="00CC3ABA">
        <w:rPr>
          <w:rFonts w:cs="Times New Roman"/>
        </w:rPr>
        <w:t>recruitment and retention figures by centre</w:t>
      </w:r>
      <w:r w:rsidR="00C3593D">
        <w:rPr>
          <w:rFonts w:cs="Times New Roman"/>
        </w:rPr>
        <w:t xml:space="preserve"> can be found in Supporting information (S1)</w:t>
      </w:r>
      <w:r w:rsidRPr="00CC3ABA">
        <w:rPr>
          <w:rFonts w:cs="Times New Roman"/>
        </w:rPr>
        <w:t xml:space="preserve">. </w:t>
      </w:r>
    </w:p>
    <w:p w14:paraId="79BCE7B3" w14:textId="2C7515BA" w:rsidR="00E4260B" w:rsidRDefault="00E4260B" w:rsidP="00A8589B">
      <w:pPr>
        <w:spacing w:after="160" w:line="480" w:lineRule="auto"/>
        <w:jc w:val="both"/>
        <w:rPr>
          <w:rFonts w:cs="Times New Roman"/>
        </w:rPr>
      </w:pPr>
    </w:p>
    <w:p w14:paraId="22CF4C40" w14:textId="4334FC03" w:rsidR="00E4260B" w:rsidRPr="00CC3ABA" w:rsidRDefault="00E4260B" w:rsidP="00A8589B">
      <w:pPr>
        <w:spacing w:after="160" w:line="480" w:lineRule="auto"/>
        <w:jc w:val="both"/>
        <w:rPr>
          <w:rFonts w:cs="Times New Roman"/>
        </w:rPr>
      </w:pPr>
      <w:r>
        <w:rPr>
          <w:rFonts w:cs="Times New Roman"/>
        </w:rPr>
        <w:t>Fig 1: CONSORT flow diagram</w:t>
      </w:r>
      <w:r w:rsidR="00B577C4">
        <w:rPr>
          <w:rFonts w:cs="Times New Roman"/>
        </w:rPr>
        <w:t xml:space="preserve"> here</w:t>
      </w:r>
    </w:p>
    <w:p w14:paraId="098920DB" w14:textId="0AA03BE5" w:rsidR="00C70198" w:rsidRDefault="00C70198" w:rsidP="00A8589B">
      <w:pPr>
        <w:spacing w:after="160" w:line="480" w:lineRule="auto"/>
        <w:jc w:val="both"/>
        <w:rPr>
          <w:rFonts w:cs="Times New Roman"/>
        </w:rPr>
      </w:pPr>
    </w:p>
    <w:p w14:paraId="40268487" w14:textId="6EFF1929" w:rsidR="00610D2B" w:rsidRDefault="00610D2B" w:rsidP="00A8589B">
      <w:pPr>
        <w:spacing w:after="160" w:line="480" w:lineRule="auto"/>
        <w:jc w:val="both"/>
        <w:rPr>
          <w:rFonts w:cs="Times New Roman"/>
        </w:rPr>
      </w:pPr>
    </w:p>
    <w:p w14:paraId="4B752438" w14:textId="77777777" w:rsidR="00610D2B" w:rsidRPr="00CC3ABA" w:rsidRDefault="00610D2B" w:rsidP="00A8589B">
      <w:pPr>
        <w:spacing w:after="160" w:line="480" w:lineRule="auto"/>
        <w:jc w:val="both"/>
        <w:rPr>
          <w:rFonts w:cs="Times New Roman"/>
        </w:rPr>
      </w:pPr>
    </w:p>
    <w:p w14:paraId="6CBE2E79" w14:textId="77777777" w:rsidR="00460E48" w:rsidRPr="00E879B4" w:rsidRDefault="00885B6E" w:rsidP="00A8589B">
      <w:pPr>
        <w:spacing w:after="160" w:line="480" w:lineRule="auto"/>
        <w:jc w:val="both"/>
        <w:rPr>
          <w:rFonts w:cs="Times New Roman"/>
          <w:b/>
          <w:sz w:val="32"/>
          <w:szCs w:val="32"/>
        </w:rPr>
      </w:pPr>
      <w:r w:rsidRPr="00E879B4">
        <w:rPr>
          <w:rFonts w:cs="Times New Roman"/>
          <w:b/>
          <w:sz w:val="32"/>
          <w:szCs w:val="32"/>
        </w:rPr>
        <w:t>Demographic and smoking related</w:t>
      </w:r>
      <w:r w:rsidR="00A8589B" w:rsidRPr="00E879B4">
        <w:rPr>
          <w:rFonts w:cs="Times New Roman"/>
          <w:b/>
          <w:sz w:val="32"/>
          <w:szCs w:val="32"/>
        </w:rPr>
        <w:t xml:space="preserve"> characteristics</w:t>
      </w:r>
    </w:p>
    <w:p w14:paraId="5709CBA5" w14:textId="06D0C77E" w:rsidR="00362DDA" w:rsidRDefault="003E1C77" w:rsidP="00A8589B">
      <w:pPr>
        <w:spacing w:after="160" w:line="480" w:lineRule="auto"/>
        <w:jc w:val="both"/>
        <w:rPr>
          <w:rFonts w:cs="Times New Roman"/>
        </w:rPr>
      </w:pPr>
      <w:r w:rsidRPr="00CC3ABA">
        <w:rPr>
          <w:rFonts w:cs="Times New Roman"/>
        </w:rPr>
        <w:t xml:space="preserve">As </w:t>
      </w:r>
      <w:r w:rsidR="00036C30" w:rsidRPr="00CC3ABA">
        <w:rPr>
          <w:rFonts w:cs="Times New Roman"/>
        </w:rPr>
        <w:t xml:space="preserve">presented in </w:t>
      </w:r>
      <w:r w:rsidR="00704F0C">
        <w:rPr>
          <w:rFonts w:cs="Times New Roman"/>
        </w:rPr>
        <w:t>T</w:t>
      </w:r>
      <w:r w:rsidR="00036C30" w:rsidRPr="00CC3ABA">
        <w:rPr>
          <w:rFonts w:cs="Times New Roman"/>
        </w:rPr>
        <w:t>able 1, the mean age for the total sample was</w:t>
      </w:r>
      <w:r w:rsidR="00C70198" w:rsidRPr="00CC3ABA">
        <w:rPr>
          <w:rFonts w:cs="Times New Roman"/>
        </w:rPr>
        <w:t xml:space="preserve"> 42.66 years and </w:t>
      </w:r>
      <w:r w:rsidR="00036C30" w:rsidRPr="00CC3ABA">
        <w:rPr>
          <w:rFonts w:cs="Times New Roman"/>
        </w:rPr>
        <w:t>65% were male</w:t>
      </w:r>
      <w:r w:rsidR="00A81D21">
        <w:rPr>
          <w:rFonts w:cs="Times New Roman"/>
        </w:rPr>
        <w:t>.</w:t>
      </w:r>
      <w:r w:rsidR="00C70198" w:rsidRPr="00CC3ABA">
        <w:rPr>
          <w:rFonts w:cs="Times New Roman"/>
        </w:rPr>
        <w:t xml:space="preserve"> Participants were primarily white (76.3%), heterosexual (85%) </w:t>
      </w:r>
      <w:r w:rsidR="008338A5" w:rsidRPr="00CC3ABA">
        <w:rPr>
          <w:rFonts w:cs="Times New Roman"/>
        </w:rPr>
        <w:t>and 37.6% were educated to A-level (or equivalent) or higher.</w:t>
      </w:r>
      <w:r w:rsidR="00FB7926">
        <w:rPr>
          <w:rFonts w:cs="Times New Roman"/>
        </w:rPr>
        <w:t xml:space="preserve"> </w:t>
      </w:r>
      <w:r w:rsidR="00036C30" w:rsidRPr="00CC3ABA">
        <w:rPr>
          <w:rFonts w:cs="Times New Roman"/>
        </w:rPr>
        <w:t xml:space="preserve">Employment status varied </w:t>
      </w:r>
      <w:r w:rsidR="00C70198" w:rsidRPr="00CC3ABA">
        <w:rPr>
          <w:rFonts w:cs="Times New Roman"/>
        </w:rPr>
        <w:t>with only 2.5% currently in paid employmen</w:t>
      </w:r>
      <w:r w:rsidR="008338A5" w:rsidRPr="00CC3ABA">
        <w:rPr>
          <w:rFonts w:cs="Times New Roman"/>
        </w:rPr>
        <w:t>t and 97.5% were in receipt of public funds (</w:t>
      </w:r>
      <w:r w:rsidR="004C0523">
        <w:rPr>
          <w:rFonts w:cs="Times New Roman"/>
        </w:rPr>
        <w:t xml:space="preserve">welfare </w:t>
      </w:r>
      <w:r w:rsidR="008338A5" w:rsidRPr="00CC3ABA">
        <w:rPr>
          <w:rFonts w:cs="Times New Roman"/>
        </w:rPr>
        <w:t>benefits).</w:t>
      </w:r>
      <w:r w:rsidR="00FB7926">
        <w:rPr>
          <w:rFonts w:cs="Times New Roman"/>
        </w:rPr>
        <w:t xml:space="preserve"> </w:t>
      </w:r>
      <w:r w:rsidR="008338A5" w:rsidRPr="00CC3ABA">
        <w:rPr>
          <w:rFonts w:cs="Times New Roman"/>
        </w:rPr>
        <w:t>Just over half of the sample (60%) were currently housed in supported accommodation or in a hostel</w:t>
      </w:r>
      <w:r w:rsidR="00885B6E" w:rsidRPr="00CC3ABA">
        <w:rPr>
          <w:rFonts w:cs="Times New Roman"/>
        </w:rPr>
        <w:t>.</w:t>
      </w:r>
      <w:r w:rsidR="00840AF7">
        <w:rPr>
          <w:rFonts w:cs="Times New Roman"/>
        </w:rPr>
        <w:t xml:space="preserve"> </w:t>
      </w:r>
      <w:r w:rsidR="00E36FD3" w:rsidRPr="00CC3ABA">
        <w:rPr>
          <w:rFonts w:cs="Times New Roman"/>
        </w:rPr>
        <w:t xml:space="preserve">Seventy-four percent </w:t>
      </w:r>
      <w:r w:rsidR="00885B6E" w:rsidRPr="00CC3ABA">
        <w:rPr>
          <w:rFonts w:cs="Times New Roman"/>
        </w:rPr>
        <w:t>of the sample r</w:t>
      </w:r>
      <w:r w:rsidR="00E36FD3" w:rsidRPr="00CC3ABA">
        <w:rPr>
          <w:rFonts w:cs="Times New Roman"/>
        </w:rPr>
        <w:t>eported a long-standing illness</w:t>
      </w:r>
      <w:r w:rsidR="00885B6E" w:rsidRPr="00CC3ABA">
        <w:rPr>
          <w:rFonts w:cs="Times New Roman"/>
        </w:rPr>
        <w:t xml:space="preserve">, </w:t>
      </w:r>
      <w:r w:rsidR="008338A5" w:rsidRPr="00CC3ABA">
        <w:rPr>
          <w:rFonts w:cs="Times New Roman"/>
        </w:rPr>
        <w:t>38.8% had been admitted to hospital due to mental illness</w:t>
      </w:r>
      <w:r w:rsidR="00E36FD3" w:rsidRPr="00CC3ABA">
        <w:rPr>
          <w:rFonts w:cs="Times New Roman"/>
        </w:rPr>
        <w:t xml:space="preserve"> and 50% had previously spent time in prison</w:t>
      </w:r>
      <w:r w:rsidR="008338A5" w:rsidRPr="00CC3ABA">
        <w:rPr>
          <w:rFonts w:cs="Times New Roman"/>
        </w:rPr>
        <w:t>.</w:t>
      </w:r>
      <w:r w:rsidR="00840AF7">
        <w:rPr>
          <w:rFonts w:cs="Times New Roman"/>
        </w:rPr>
        <w:t xml:space="preserve"> </w:t>
      </w:r>
      <w:r w:rsidR="0091661F" w:rsidRPr="00CC3ABA">
        <w:rPr>
          <w:rFonts w:cs="Times New Roman"/>
        </w:rPr>
        <w:t xml:space="preserve">The mean number of cigarettes smoked per day was 20 and most participants reported that they had started smoking </w:t>
      </w:r>
      <w:r w:rsidR="00FC1E32" w:rsidRPr="00CC3ABA">
        <w:rPr>
          <w:rFonts w:cs="Times New Roman"/>
        </w:rPr>
        <w:t>during their teenage years (M=15 years)</w:t>
      </w:r>
      <w:r w:rsidR="0091661F" w:rsidRPr="00CC3ABA">
        <w:rPr>
          <w:rFonts w:cs="Times New Roman"/>
        </w:rPr>
        <w:t>.</w:t>
      </w:r>
      <w:r w:rsidR="00840AF7">
        <w:rPr>
          <w:rFonts w:cs="Times New Roman"/>
        </w:rPr>
        <w:t xml:space="preserve"> </w:t>
      </w:r>
      <w:r w:rsidR="0091661F" w:rsidRPr="00CC3ABA">
        <w:rPr>
          <w:rFonts w:cs="Times New Roman"/>
        </w:rPr>
        <w:t>Baseline expired CO was 20.29 ppm and the mean FTCD score was 5.51. Fifty five percent reported that they shared cigarettes</w:t>
      </w:r>
      <w:r w:rsidR="007F1327" w:rsidRPr="00CC3ABA">
        <w:rPr>
          <w:rFonts w:cs="Times New Roman"/>
        </w:rPr>
        <w:t>, 43</w:t>
      </w:r>
      <w:r w:rsidR="0091661F" w:rsidRPr="00CC3ABA">
        <w:rPr>
          <w:rFonts w:cs="Times New Roman"/>
        </w:rPr>
        <w:t xml:space="preserve">% reported that they had smoked discarded cigarettes </w:t>
      </w:r>
      <w:r w:rsidR="00FC1E32" w:rsidRPr="00CC3ABA">
        <w:rPr>
          <w:rFonts w:cs="Times New Roman"/>
        </w:rPr>
        <w:t xml:space="preserve">and </w:t>
      </w:r>
      <w:r w:rsidR="007F1327" w:rsidRPr="00CC3ABA">
        <w:rPr>
          <w:rFonts w:cs="Times New Roman"/>
        </w:rPr>
        <w:t>40% had</w:t>
      </w:r>
      <w:r w:rsidR="0091661F" w:rsidRPr="00CC3ABA">
        <w:rPr>
          <w:rFonts w:cs="Times New Roman"/>
        </w:rPr>
        <w:t xml:space="preserve"> asked strangers for cigarettes </w:t>
      </w:r>
      <w:r w:rsidR="007F1327" w:rsidRPr="00CC3ABA">
        <w:rPr>
          <w:rFonts w:cs="Times New Roman"/>
        </w:rPr>
        <w:t>at least occasionally</w:t>
      </w:r>
      <w:r w:rsidR="0091661F" w:rsidRPr="00CC3ABA">
        <w:rPr>
          <w:rFonts w:cs="Times New Roman"/>
        </w:rPr>
        <w:t>.</w:t>
      </w:r>
      <w:r w:rsidR="00840AF7">
        <w:rPr>
          <w:rFonts w:cs="Times New Roman"/>
        </w:rPr>
        <w:t xml:space="preserve"> </w:t>
      </w:r>
      <w:r w:rsidR="0091661F" w:rsidRPr="00CC3ABA">
        <w:rPr>
          <w:rFonts w:cs="Times New Roman"/>
        </w:rPr>
        <w:t xml:space="preserve">Motivation to stop smoking (MTSS) varied </w:t>
      </w:r>
      <w:r w:rsidR="00BF3333" w:rsidRPr="00CC3ABA">
        <w:rPr>
          <w:rFonts w:cs="Times New Roman"/>
        </w:rPr>
        <w:t>considerably although only 6.3% reported that they did not want to stop smoking.</w:t>
      </w:r>
      <w:r w:rsidR="00FB7926">
        <w:rPr>
          <w:rFonts w:cs="Times New Roman"/>
        </w:rPr>
        <w:t xml:space="preserve"> </w:t>
      </w:r>
      <w:r w:rsidR="002A0449" w:rsidRPr="00CC3ABA">
        <w:rPr>
          <w:rFonts w:cs="Times New Roman"/>
        </w:rPr>
        <w:t xml:space="preserve">Mean scores on the </w:t>
      </w:r>
      <w:r w:rsidR="00FB0D18">
        <w:rPr>
          <w:rFonts w:cs="Times New Roman"/>
        </w:rPr>
        <w:t>GAD-7</w:t>
      </w:r>
      <w:r w:rsidR="002A0449" w:rsidRPr="00CC3ABA">
        <w:rPr>
          <w:rFonts w:cs="Times New Roman"/>
        </w:rPr>
        <w:t xml:space="preserve"> (11.22) and </w:t>
      </w:r>
      <w:r w:rsidR="00FB0D18">
        <w:rPr>
          <w:rFonts w:cs="Times New Roman"/>
        </w:rPr>
        <w:t>PHQ-9</w:t>
      </w:r>
      <w:r w:rsidR="002A0449" w:rsidRPr="00CC3ABA">
        <w:rPr>
          <w:rFonts w:cs="Times New Roman"/>
        </w:rPr>
        <w:t xml:space="preserve"> (12.93) were in the moderate/moderately severe range for anxiety and depression and the mean AUDIT score (9.22) suggests that on average, participants were drinking at harmful/hazardous levels.</w:t>
      </w:r>
      <w:r w:rsidR="00840AF7">
        <w:rPr>
          <w:rFonts w:cs="Times New Roman"/>
        </w:rPr>
        <w:t xml:space="preserve"> </w:t>
      </w:r>
      <w:r w:rsidR="002006AD" w:rsidRPr="00CC3ABA">
        <w:rPr>
          <w:rFonts w:cs="Times New Roman"/>
        </w:rPr>
        <w:t xml:space="preserve">The </w:t>
      </w:r>
      <w:r w:rsidR="00436A41">
        <w:rPr>
          <w:rFonts w:cs="Times New Roman"/>
        </w:rPr>
        <w:t xml:space="preserve">EC and UC </w:t>
      </w:r>
      <w:r w:rsidR="002006AD" w:rsidRPr="00CC3ABA">
        <w:rPr>
          <w:rFonts w:cs="Times New Roman"/>
        </w:rPr>
        <w:t>arms differed on several variables: the proportion of participants who had previously spent time in prison or who had a long-standing illness, disab</w:t>
      </w:r>
      <w:r w:rsidR="008F7ABE" w:rsidRPr="00CC3ABA">
        <w:rPr>
          <w:rFonts w:cs="Times New Roman"/>
        </w:rPr>
        <w:t>ility or</w:t>
      </w:r>
      <w:r w:rsidR="002006AD" w:rsidRPr="00CC3ABA">
        <w:rPr>
          <w:rFonts w:cs="Times New Roman"/>
        </w:rPr>
        <w:t xml:space="preserve"> infirmity was s</w:t>
      </w:r>
      <w:r w:rsidR="00FB0D18">
        <w:rPr>
          <w:rFonts w:cs="Times New Roman"/>
        </w:rPr>
        <w:t>ignificantly higher in the UC than</w:t>
      </w:r>
      <w:r w:rsidR="002006AD" w:rsidRPr="00CC3ABA">
        <w:rPr>
          <w:rFonts w:cs="Times New Roman"/>
        </w:rPr>
        <w:t xml:space="preserve"> EC arm. UC arm participants also </w:t>
      </w:r>
      <w:r w:rsidR="004047A8" w:rsidRPr="00CC3ABA">
        <w:rPr>
          <w:rFonts w:cs="Times New Roman"/>
        </w:rPr>
        <w:t>scored higher on anxiety and substance dependence</w:t>
      </w:r>
      <w:r w:rsidR="002006AD" w:rsidRPr="00CC3ABA">
        <w:rPr>
          <w:rFonts w:cs="Times New Roman"/>
        </w:rPr>
        <w:t xml:space="preserve"> and were less motivated to quit smoking</w:t>
      </w:r>
      <w:r w:rsidR="000C4D20" w:rsidRPr="00CC3ABA">
        <w:rPr>
          <w:rFonts w:cs="Times New Roman"/>
        </w:rPr>
        <w:t xml:space="preserve"> (see </w:t>
      </w:r>
      <w:r w:rsidR="00704F0C">
        <w:rPr>
          <w:rFonts w:cs="Times New Roman"/>
        </w:rPr>
        <w:t>T</w:t>
      </w:r>
      <w:r w:rsidR="000C4D20" w:rsidRPr="00CC3ABA">
        <w:rPr>
          <w:rFonts w:cs="Times New Roman"/>
        </w:rPr>
        <w:t>able 1)</w:t>
      </w:r>
      <w:r w:rsidR="002006AD" w:rsidRPr="00CC3ABA">
        <w:rPr>
          <w:rFonts w:cs="Times New Roman"/>
        </w:rPr>
        <w:t>.</w:t>
      </w:r>
      <w:r w:rsidR="00840AF7">
        <w:rPr>
          <w:rFonts w:cs="Times New Roman"/>
        </w:rPr>
        <w:t xml:space="preserve"> </w:t>
      </w:r>
    </w:p>
    <w:p w14:paraId="1281D5C3" w14:textId="75016D4A" w:rsidR="00610D2B" w:rsidRDefault="00610D2B" w:rsidP="00A8589B">
      <w:pPr>
        <w:spacing w:after="160" w:line="480" w:lineRule="auto"/>
        <w:jc w:val="both"/>
        <w:rPr>
          <w:rFonts w:cs="Times New Roman"/>
        </w:rPr>
      </w:pPr>
    </w:p>
    <w:p w14:paraId="52CAB10F" w14:textId="77777777" w:rsidR="00610D2B" w:rsidRPr="00CC3ABA" w:rsidRDefault="00610D2B" w:rsidP="00A8589B">
      <w:pPr>
        <w:spacing w:after="160" w:line="480" w:lineRule="auto"/>
        <w:jc w:val="both"/>
        <w:rPr>
          <w:rFonts w:cs="Times New Roman"/>
        </w:rPr>
      </w:pPr>
    </w:p>
    <w:p w14:paraId="5D9899B1" w14:textId="77777777" w:rsidR="0093472F" w:rsidRPr="00FD49A8" w:rsidRDefault="0093472F" w:rsidP="0093472F">
      <w:pPr>
        <w:spacing w:after="120"/>
        <w:rPr>
          <w:b/>
        </w:rPr>
      </w:pPr>
      <w:r>
        <w:rPr>
          <w:b/>
        </w:rPr>
        <w:t>Table 1: Participant Baseline Characteristics</w:t>
      </w:r>
    </w:p>
    <w:tbl>
      <w:tblPr>
        <w:tblStyle w:val="TableGrid"/>
        <w:tblW w:w="9599" w:type="dxa"/>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464"/>
        <w:gridCol w:w="1465"/>
        <w:gridCol w:w="1465"/>
        <w:gridCol w:w="810"/>
      </w:tblGrid>
      <w:tr w:rsidR="0093472F" w:rsidRPr="004F1D9E" w14:paraId="710A4B1D" w14:textId="77777777" w:rsidTr="00B861C5">
        <w:tc>
          <w:tcPr>
            <w:tcW w:w="4395" w:type="dxa"/>
            <w:tcBorders>
              <w:top w:val="single" w:sz="4" w:space="0" w:color="auto"/>
              <w:bottom w:val="single" w:sz="4" w:space="0" w:color="auto"/>
            </w:tcBorders>
          </w:tcPr>
          <w:p w14:paraId="424D0061" w14:textId="77777777" w:rsidR="0093472F" w:rsidRPr="004F1D9E" w:rsidRDefault="0093472F" w:rsidP="00B861C5">
            <w:pPr>
              <w:rPr>
                <w:sz w:val="20"/>
                <w:szCs w:val="20"/>
              </w:rPr>
            </w:pPr>
          </w:p>
        </w:tc>
        <w:tc>
          <w:tcPr>
            <w:tcW w:w="1464" w:type="dxa"/>
            <w:tcBorders>
              <w:top w:val="single" w:sz="4" w:space="0" w:color="auto"/>
              <w:bottom w:val="single" w:sz="4" w:space="0" w:color="auto"/>
            </w:tcBorders>
          </w:tcPr>
          <w:p w14:paraId="1F14645A" w14:textId="77777777" w:rsidR="0093472F" w:rsidRPr="004F1D9E" w:rsidRDefault="0093472F" w:rsidP="00B861C5">
            <w:pPr>
              <w:jc w:val="center"/>
              <w:rPr>
                <w:sz w:val="20"/>
                <w:szCs w:val="20"/>
              </w:rPr>
            </w:pPr>
            <w:r w:rsidRPr="004F1D9E">
              <w:rPr>
                <w:sz w:val="20"/>
                <w:szCs w:val="20"/>
              </w:rPr>
              <w:t>Total N=80</w:t>
            </w:r>
          </w:p>
        </w:tc>
        <w:tc>
          <w:tcPr>
            <w:tcW w:w="1465" w:type="dxa"/>
            <w:tcBorders>
              <w:top w:val="single" w:sz="4" w:space="0" w:color="auto"/>
              <w:bottom w:val="single" w:sz="4" w:space="0" w:color="auto"/>
            </w:tcBorders>
          </w:tcPr>
          <w:p w14:paraId="6C5AA5BD" w14:textId="77777777" w:rsidR="0093472F" w:rsidRPr="004F1D9E" w:rsidRDefault="0093472F" w:rsidP="00B861C5">
            <w:pPr>
              <w:jc w:val="center"/>
              <w:rPr>
                <w:sz w:val="20"/>
                <w:szCs w:val="20"/>
              </w:rPr>
            </w:pPr>
            <w:r w:rsidRPr="004F1D9E">
              <w:rPr>
                <w:sz w:val="20"/>
                <w:szCs w:val="20"/>
              </w:rPr>
              <w:t>EC arm</w:t>
            </w:r>
          </w:p>
        </w:tc>
        <w:tc>
          <w:tcPr>
            <w:tcW w:w="1465" w:type="dxa"/>
            <w:tcBorders>
              <w:top w:val="single" w:sz="4" w:space="0" w:color="auto"/>
              <w:bottom w:val="single" w:sz="4" w:space="0" w:color="auto"/>
            </w:tcBorders>
          </w:tcPr>
          <w:p w14:paraId="6C9523B7" w14:textId="77777777" w:rsidR="0093472F" w:rsidRPr="004F1D9E" w:rsidRDefault="0093472F" w:rsidP="00B861C5">
            <w:pPr>
              <w:jc w:val="center"/>
              <w:rPr>
                <w:sz w:val="20"/>
                <w:szCs w:val="20"/>
              </w:rPr>
            </w:pPr>
            <w:r w:rsidRPr="004F1D9E">
              <w:rPr>
                <w:sz w:val="20"/>
                <w:szCs w:val="20"/>
              </w:rPr>
              <w:t>UC arm</w:t>
            </w:r>
          </w:p>
        </w:tc>
        <w:tc>
          <w:tcPr>
            <w:tcW w:w="810" w:type="dxa"/>
            <w:tcBorders>
              <w:top w:val="single" w:sz="4" w:space="0" w:color="auto"/>
              <w:bottom w:val="single" w:sz="4" w:space="0" w:color="auto"/>
            </w:tcBorders>
          </w:tcPr>
          <w:p w14:paraId="30881E97" w14:textId="77777777" w:rsidR="0093472F" w:rsidRPr="004F1D9E" w:rsidRDefault="0093472F" w:rsidP="00B861C5">
            <w:pPr>
              <w:jc w:val="center"/>
              <w:rPr>
                <w:sz w:val="20"/>
                <w:szCs w:val="20"/>
              </w:rPr>
            </w:pPr>
            <w:r w:rsidRPr="004F1D9E">
              <w:rPr>
                <w:sz w:val="20"/>
                <w:szCs w:val="20"/>
              </w:rPr>
              <w:t>P value</w:t>
            </w:r>
          </w:p>
        </w:tc>
      </w:tr>
      <w:tr w:rsidR="0093472F" w:rsidRPr="004F1D9E" w14:paraId="4ECD7BC1" w14:textId="77777777" w:rsidTr="00B861C5">
        <w:tc>
          <w:tcPr>
            <w:tcW w:w="4395" w:type="dxa"/>
            <w:tcBorders>
              <w:top w:val="single" w:sz="4" w:space="0" w:color="auto"/>
            </w:tcBorders>
          </w:tcPr>
          <w:p w14:paraId="32F08395" w14:textId="77777777" w:rsidR="0093472F" w:rsidRPr="004F1D9E" w:rsidRDefault="0093472F" w:rsidP="00B861C5">
            <w:pPr>
              <w:rPr>
                <w:sz w:val="20"/>
                <w:szCs w:val="20"/>
              </w:rPr>
            </w:pPr>
            <w:r w:rsidRPr="004F1D9E">
              <w:rPr>
                <w:sz w:val="20"/>
                <w:szCs w:val="20"/>
              </w:rPr>
              <w:t>Age (in years): mean (SD)</w:t>
            </w:r>
          </w:p>
        </w:tc>
        <w:tc>
          <w:tcPr>
            <w:tcW w:w="1464" w:type="dxa"/>
            <w:tcBorders>
              <w:top w:val="single" w:sz="4" w:space="0" w:color="auto"/>
            </w:tcBorders>
          </w:tcPr>
          <w:p w14:paraId="4FF4C245" w14:textId="77777777" w:rsidR="0093472F" w:rsidRPr="004F1D9E" w:rsidRDefault="0093472F" w:rsidP="00B861C5">
            <w:pPr>
              <w:jc w:val="center"/>
              <w:rPr>
                <w:sz w:val="20"/>
                <w:szCs w:val="20"/>
              </w:rPr>
            </w:pPr>
            <w:r w:rsidRPr="004F1D9E">
              <w:rPr>
                <w:sz w:val="20"/>
                <w:szCs w:val="20"/>
              </w:rPr>
              <w:t>42.66 (10.79)</w:t>
            </w:r>
          </w:p>
        </w:tc>
        <w:tc>
          <w:tcPr>
            <w:tcW w:w="1465" w:type="dxa"/>
            <w:tcBorders>
              <w:top w:val="single" w:sz="4" w:space="0" w:color="auto"/>
            </w:tcBorders>
          </w:tcPr>
          <w:p w14:paraId="7BCDB46B" w14:textId="77777777" w:rsidR="0093472F" w:rsidRPr="004F1D9E" w:rsidRDefault="0093472F" w:rsidP="00B861C5">
            <w:pPr>
              <w:jc w:val="center"/>
              <w:rPr>
                <w:sz w:val="20"/>
                <w:szCs w:val="20"/>
              </w:rPr>
            </w:pPr>
            <w:r>
              <w:rPr>
                <w:sz w:val="20"/>
                <w:szCs w:val="20"/>
              </w:rPr>
              <w:t>42.75 (10.90)</w:t>
            </w:r>
          </w:p>
        </w:tc>
        <w:tc>
          <w:tcPr>
            <w:tcW w:w="1465" w:type="dxa"/>
            <w:tcBorders>
              <w:top w:val="single" w:sz="4" w:space="0" w:color="auto"/>
            </w:tcBorders>
          </w:tcPr>
          <w:p w14:paraId="1D8F6788" w14:textId="77777777" w:rsidR="0093472F" w:rsidRPr="004F1D9E" w:rsidRDefault="0093472F" w:rsidP="00B861C5">
            <w:pPr>
              <w:jc w:val="center"/>
              <w:rPr>
                <w:sz w:val="20"/>
                <w:szCs w:val="20"/>
              </w:rPr>
            </w:pPr>
            <w:r>
              <w:rPr>
                <w:sz w:val="20"/>
                <w:szCs w:val="20"/>
              </w:rPr>
              <w:t>42.53 (10.78)</w:t>
            </w:r>
          </w:p>
        </w:tc>
        <w:tc>
          <w:tcPr>
            <w:tcW w:w="810" w:type="dxa"/>
            <w:tcBorders>
              <w:top w:val="single" w:sz="4" w:space="0" w:color="auto"/>
            </w:tcBorders>
          </w:tcPr>
          <w:p w14:paraId="21838D39" w14:textId="6C99F12D" w:rsidR="0093472F" w:rsidRPr="004F1D9E" w:rsidRDefault="0093472F" w:rsidP="00B861C5">
            <w:pPr>
              <w:jc w:val="center"/>
              <w:rPr>
                <w:sz w:val="20"/>
                <w:szCs w:val="20"/>
              </w:rPr>
            </w:pPr>
            <w:r>
              <w:rPr>
                <w:sz w:val="20"/>
                <w:szCs w:val="20"/>
              </w:rPr>
              <w:t>.93</w:t>
            </w:r>
          </w:p>
        </w:tc>
      </w:tr>
      <w:tr w:rsidR="0093472F" w:rsidRPr="004F1D9E" w14:paraId="0DAFF737" w14:textId="77777777" w:rsidTr="00B861C5">
        <w:tc>
          <w:tcPr>
            <w:tcW w:w="4395" w:type="dxa"/>
          </w:tcPr>
          <w:p w14:paraId="3C116FDC" w14:textId="77777777" w:rsidR="0093472F" w:rsidRPr="004F1D9E" w:rsidRDefault="0093472F" w:rsidP="00B861C5">
            <w:pPr>
              <w:rPr>
                <w:sz w:val="20"/>
                <w:szCs w:val="20"/>
              </w:rPr>
            </w:pPr>
            <w:r w:rsidRPr="004F1D9E">
              <w:rPr>
                <w:sz w:val="20"/>
                <w:szCs w:val="20"/>
              </w:rPr>
              <w:t>Gender: N (%)</w:t>
            </w:r>
          </w:p>
          <w:p w14:paraId="03FD0F1C" w14:textId="33A0C38E" w:rsidR="0093472F" w:rsidRPr="004F1D9E" w:rsidRDefault="00840AF7" w:rsidP="00B861C5">
            <w:pPr>
              <w:rPr>
                <w:sz w:val="20"/>
                <w:szCs w:val="20"/>
              </w:rPr>
            </w:pPr>
            <w:r>
              <w:rPr>
                <w:sz w:val="20"/>
                <w:szCs w:val="20"/>
              </w:rPr>
              <w:t xml:space="preserve"> </w:t>
            </w:r>
            <w:r w:rsidR="0093472F" w:rsidRPr="004F1D9E">
              <w:rPr>
                <w:sz w:val="20"/>
                <w:szCs w:val="20"/>
              </w:rPr>
              <w:t>Female</w:t>
            </w:r>
          </w:p>
          <w:p w14:paraId="1E3963E4" w14:textId="397AF3C8" w:rsidR="0093472F" w:rsidRPr="004F1D9E" w:rsidRDefault="00840AF7" w:rsidP="00B861C5">
            <w:pPr>
              <w:rPr>
                <w:sz w:val="20"/>
                <w:szCs w:val="20"/>
              </w:rPr>
            </w:pPr>
            <w:r>
              <w:rPr>
                <w:sz w:val="20"/>
                <w:szCs w:val="20"/>
              </w:rPr>
              <w:t xml:space="preserve"> </w:t>
            </w:r>
            <w:r w:rsidR="0093472F" w:rsidRPr="004F1D9E">
              <w:rPr>
                <w:sz w:val="20"/>
                <w:szCs w:val="20"/>
              </w:rPr>
              <w:t>Male</w:t>
            </w:r>
          </w:p>
        </w:tc>
        <w:tc>
          <w:tcPr>
            <w:tcW w:w="1464" w:type="dxa"/>
          </w:tcPr>
          <w:p w14:paraId="1AB9D695" w14:textId="77777777" w:rsidR="0093472F" w:rsidRPr="004F1D9E" w:rsidRDefault="0093472F" w:rsidP="00B861C5">
            <w:pPr>
              <w:jc w:val="center"/>
              <w:rPr>
                <w:sz w:val="20"/>
                <w:szCs w:val="20"/>
              </w:rPr>
            </w:pPr>
          </w:p>
          <w:p w14:paraId="6669C0CF" w14:textId="77777777" w:rsidR="0093472F" w:rsidRDefault="0093472F" w:rsidP="00B861C5">
            <w:pPr>
              <w:jc w:val="center"/>
              <w:rPr>
                <w:sz w:val="20"/>
                <w:szCs w:val="20"/>
              </w:rPr>
            </w:pPr>
            <w:r w:rsidRPr="53AC113B">
              <w:rPr>
                <w:sz w:val="20"/>
                <w:szCs w:val="20"/>
              </w:rPr>
              <w:t>28 (35)</w:t>
            </w:r>
          </w:p>
          <w:p w14:paraId="0216A543" w14:textId="77777777" w:rsidR="0093472F" w:rsidRPr="004F1D9E" w:rsidRDefault="0093472F" w:rsidP="00B861C5">
            <w:pPr>
              <w:jc w:val="center"/>
              <w:rPr>
                <w:sz w:val="20"/>
                <w:szCs w:val="20"/>
              </w:rPr>
            </w:pPr>
            <w:r w:rsidRPr="53B7B716">
              <w:rPr>
                <w:sz w:val="20"/>
                <w:szCs w:val="20"/>
              </w:rPr>
              <w:t>52 (65)</w:t>
            </w:r>
          </w:p>
        </w:tc>
        <w:tc>
          <w:tcPr>
            <w:tcW w:w="1465" w:type="dxa"/>
          </w:tcPr>
          <w:p w14:paraId="39CEA992" w14:textId="77777777" w:rsidR="0093472F" w:rsidRDefault="0093472F" w:rsidP="00B861C5">
            <w:pPr>
              <w:jc w:val="center"/>
              <w:rPr>
                <w:sz w:val="20"/>
                <w:szCs w:val="20"/>
              </w:rPr>
            </w:pPr>
          </w:p>
          <w:p w14:paraId="484C22A7" w14:textId="77777777" w:rsidR="0093472F" w:rsidRDefault="0093472F" w:rsidP="00B861C5">
            <w:pPr>
              <w:jc w:val="center"/>
              <w:rPr>
                <w:sz w:val="20"/>
                <w:szCs w:val="20"/>
              </w:rPr>
            </w:pPr>
            <w:r>
              <w:rPr>
                <w:sz w:val="20"/>
                <w:szCs w:val="20"/>
              </w:rPr>
              <w:t>19 (40)</w:t>
            </w:r>
          </w:p>
          <w:p w14:paraId="2BDA3EA1" w14:textId="77777777" w:rsidR="0093472F" w:rsidRPr="004F1D9E" w:rsidRDefault="0093472F" w:rsidP="00B861C5">
            <w:pPr>
              <w:jc w:val="center"/>
              <w:rPr>
                <w:sz w:val="20"/>
                <w:szCs w:val="20"/>
              </w:rPr>
            </w:pPr>
            <w:r>
              <w:rPr>
                <w:sz w:val="20"/>
                <w:szCs w:val="20"/>
              </w:rPr>
              <w:t>29 (60)</w:t>
            </w:r>
          </w:p>
        </w:tc>
        <w:tc>
          <w:tcPr>
            <w:tcW w:w="1465" w:type="dxa"/>
          </w:tcPr>
          <w:p w14:paraId="6EA177C8" w14:textId="77777777" w:rsidR="0093472F" w:rsidRDefault="0093472F" w:rsidP="00B861C5">
            <w:pPr>
              <w:jc w:val="center"/>
              <w:rPr>
                <w:sz w:val="20"/>
                <w:szCs w:val="20"/>
              </w:rPr>
            </w:pPr>
          </w:p>
          <w:p w14:paraId="437D36EE" w14:textId="77777777" w:rsidR="0093472F" w:rsidRDefault="0093472F" w:rsidP="00B861C5">
            <w:pPr>
              <w:jc w:val="center"/>
              <w:rPr>
                <w:sz w:val="20"/>
                <w:szCs w:val="20"/>
              </w:rPr>
            </w:pPr>
            <w:r>
              <w:rPr>
                <w:sz w:val="20"/>
                <w:szCs w:val="20"/>
              </w:rPr>
              <w:t>9 (28.13)</w:t>
            </w:r>
          </w:p>
          <w:p w14:paraId="35B12B4B" w14:textId="77777777" w:rsidR="0093472F" w:rsidRPr="004F1D9E" w:rsidRDefault="0093472F" w:rsidP="00B861C5">
            <w:pPr>
              <w:jc w:val="center"/>
              <w:rPr>
                <w:sz w:val="20"/>
                <w:szCs w:val="20"/>
              </w:rPr>
            </w:pPr>
            <w:r>
              <w:rPr>
                <w:sz w:val="20"/>
                <w:szCs w:val="20"/>
              </w:rPr>
              <w:t>23 (71.88)</w:t>
            </w:r>
          </w:p>
        </w:tc>
        <w:tc>
          <w:tcPr>
            <w:tcW w:w="810" w:type="dxa"/>
          </w:tcPr>
          <w:p w14:paraId="68D6A620" w14:textId="77777777" w:rsidR="0093472F" w:rsidRPr="00DA1F8F" w:rsidRDefault="0093472F" w:rsidP="00B861C5">
            <w:pPr>
              <w:jc w:val="center"/>
              <w:rPr>
                <w:sz w:val="20"/>
                <w:szCs w:val="20"/>
              </w:rPr>
            </w:pPr>
            <w:r w:rsidRPr="00DA1F8F">
              <w:rPr>
                <w:sz w:val="20"/>
                <w:szCs w:val="20"/>
              </w:rPr>
              <w:t>.34</w:t>
            </w:r>
          </w:p>
        </w:tc>
      </w:tr>
      <w:tr w:rsidR="0093472F" w:rsidRPr="004F1D9E" w14:paraId="23590321" w14:textId="77777777" w:rsidTr="00B861C5">
        <w:tc>
          <w:tcPr>
            <w:tcW w:w="4395" w:type="dxa"/>
          </w:tcPr>
          <w:p w14:paraId="32ABA770" w14:textId="77777777" w:rsidR="0093472F" w:rsidRPr="004F1D9E" w:rsidRDefault="0093472F" w:rsidP="00B861C5">
            <w:pPr>
              <w:rPr>
                <w:sz w:val="20"/>
                <w:szCs w:val="20"/>
              </w:rPr>
            </w:pPr>
            <w:r w:rsidRPr="004F1D9E">
              <w:rPr>
                <w:sz w:val="20"/>
                <w:szCs w:val="20"/>
              </w:rPr>
              <w:t>Employment status N (%)</w:t>
            </w:r>
          </w:p>
          <w:p w14:paraId="7E433ED6" w14:textId="3CE7074A" w:rsidR="0093472F" w:rsidRPr="004F1D9E" w:rsidRDefault="00840AF7" w:rsidP="00B861C5">
            <w:pPr>
              <w:rPr>
                <w:sz w:val="20"/>
                <w:szCs w:val="20"/>
              </w:rPr>
            </w:pPr>
            <w:r>
              <w:rPr>
                <w:sz w:val="20"/>
                <w:szCs w:val="20"/>
              </w:rPr>
              <w:t xml:space="preserve"> </w:t>
            </w:r>
            <w:r w:rsidR="0093472F" w:rsidRPr="004F1D9E">
              <w:rPr>
                <w:sz w:val="20"/>
                <w:szCs w:val="20"/>
              </w:rPr>
              <w:t xml:space="preserve">Full time school or college </w:t>
            </w:r>
          </w:p>
          <w:p w14:paraId="74CE9F0F" w14:textId="060F6E3D" w:rsidR="0093472F" w:rsidRPr="004F1D9E" w:rsidRDefault="00840AF7" w:rsidP="00B861C5">
            <w:pPr>
              <w:rPr>
                <w:sz w:val="20"/>
                <w:szCs w:val="20"/>
              </w:rPr>
            </w:pPr>
            <w:r>
              <w:rPr>
                <w:sz w:val="20"/>
                <w:szCs w:val="20"/>
              </w:rPr>
              <w:t xml:space="preserve"> </w:t>
            </w:r>
            <w:r w:rsidR="0093472F" w:rsidRPr="004F1D9E">
              <w:rPr>
                <w:sz w:val="20"/>
                <w:szCs w:val="20"/>
              </w:rPr>
              <w:t>Paid employment/self-employed</w:t>
            </w:r>
          </w:p>
          <w:p w14:paraId="35B90473" w14:textId="1904D129" w:rsidR="0093472F" w:rsidRPr="004F1D9E" w:rsidRDefault="00840AF7" w:rsidP="00B861C5">
            <w:pPr>
              <w:rPr>
                <w:sz w:val="20"/>
                <w:szCs w:val="20"/>
              </w:rPr>
            </w:pPr>
            <w:r>
              <w:rPr>
                <w:sz w:val="20"/>
                <w:szCs w:val="20"/>
              </w:rPr>
              <w:t xml:space="preserve"> </w:t>
            </w:r>
            <w:r w:rsidR="0093472F" w:rsidRPr="004F1D9E">
              <w:rPr>
                <w:sz w:val="20"/>
                <w:szCs w:val="20"/>
              </w:rPr>
              <w:t>Government training scheme</w:t>
            </w:r>
          </w:p>
          <w:p w14:paraId="15EC8F50" w14:textId="68D8D1CE" w:rsidR="0093472F" w:rsidRPr="004F1D9E" w:rsidRDefault="00840AF7" w:rsidP="00B861C5">
            <w:pPr>
              <w:rPr>
                <w:sz w:val="20"/>
                <w:szCs w:val="20"/>
              </w:rPr>
            </w:pPr>
            <w:r>
              <w:rPr>
                <w:sz w:val="20"/>
                <w:szCs w:val="20"/>
              </w:rPr>
              <w:t xml:space="preserve"> </w:t>
            </w:r>
            <w:r w:rsidR="0093472F" w:rsidRPr="004F1D9E">
              <w:rPr>
                <w:sz w:val="20"/>
                <w:szCs w:val="20"/>
              </w:rPr>
              <w:t>Unpaid or voluntary work</w:t>
            </w:r>
          </w:p>
          <w:p w14:paraId="2F42BA3E" w14:textId="60F5C9B7" w:rsidR="0093472F" w:rsidRPr="004F1D9E" w:rsidRDefault="00840AF7" w:rsidP="00B861C5">
            <w:pPr>
              <w:rPr>
                <w:sz w:val="20"/>
                <w:szCs w:val="20"/>
              </w:rPr>
            </w:pPr>
            <w:r>
              <w:rPr>
                <w:sz w:val="20"/>
                <w:szCs w:val="20"/>
              </w:rPr>
              <w:t xml:space="preserve"> </w:t>
            </w:r>
            <w:r w:rsidR="0093472F" w:rsidRPr="004F1D9E">
              <w:rPr>
                <w:sz w:val="20"/>
                <w:szCs w:val="20"/>
              </w:rPr>
              <w:t>Waiting to work, already obtained</w:t>
            </w:r>
          </w:p>
          <w:p w14:paraId="2DEFAF9F" w14:textId="50485150" w:rsidR="0093472F" w:rsidRPr="004F1D9E" w:rsidRDefault="00840AF7" w:rsidP="00B861C5">
            <w:pPr>
              <w:rPr>
                <w:sz w:val="20"/>
                <w:szCs w:val="20"/>
              </w:rPr>
            </w:pPr>
            <w:r>
              <w:rPr>
                <w:sz w:val="20"/>
                <w:szCs w:val="20"/>
              </w:rPr>
              <w:t xml:space="preserve"> </w:t>
            </w:r>
            <w:r w:rsidR="0093472F" w:rsidRPr="004F1D9E">
              <w:rPr>
                <w:sz w:val="20"/>
                <w:szCs w:val="20"/>
              </w:rPr>
              <w:t>Looking for work/training scheme</w:t>
            </w:r>
          </w:p>
          <w:p w14:paraId="5F312B18" w14:textId="0164501E" w:rsidR="0093472F" w:rsidRPr="004F1D9E" w:rsidRDefault="00840AF7" w:rsidP="00B861C5">
            <w:pPr>
              <w:rPr>
                <w:sz w:val="20"/>
                <w:szCs w:val="20"/>
              </w:rPr>
            </w:pPr>
            <w:r>
              <w:rPr>
                <w:sz w:val="20"/>
                <w:szCs w:val="20"/>
              </w:rPr>
              <w:t xml:space="preserve"> </w:t>
            </w:r>
            <w:r w:rsidR="0093472F" w:rsidRPr="004F1D9E">
              <w:rPr>
                <w:sz w:val="20"/>
                <w:szCs w:val="20"/>
              </w:rPr>
              <w:t>Prevented by temporary sickness/injury</w:t>
            </w:r>
          </w:p>
          <w:p w14:paraId="7C4F2ABB" w14:textId="00625184" w:rsidR="0093472F" w:rsidRPr="004F1D9E" w:rsidRDefault="00840AF7" w:rsidP="00B861C5">
            <w:pPr>
              <w:rPr>
                <w:sz w:val="20"/>
                <w:szCs w:val="20"/>
              </w:rPr>
            </w:pPr>
            <w:r>
              <w:rPr>
                <w:sz w:val="20"/>
                <w:szCs w:val="20"/>
              </w:rPr>
              <w:t xml:space="preserve"> </w:t>
            </w:r>
            <w:r w:rsidR="0093472F" w:rsidRPr="004F1D9E">
              <w:rPr>
                <w:sz w:val="20"/>
                <w:szCs w:val="20"/>
              </w:rPr>
              <w:t xml:space="preserve">Permanently unable to work </w:t>
            </w:r>
          </w:p>
          <w:p w14:paraId="0427412C" w14:textId="172B23AA" w:rsidR="0093472F" w:rsidRPr="004F1D9E" w:rsidRDefault="00840AF7" w:rsidP="00B861C5">
            <w:pPr>
              <w:rPr>
                <w:sz w:val="20"/>
                <w:szCs w:val="20"/>
              </w:rPr>
            </w:pPr>
            <w:r>
              <w:rPr>
                <w:sz w:val="20"/>
                <w:szCs w:val="20"/>
              </w:rPr>
              <w:t xml:space="preserve"> </w:t>
            </w:r>
            <w:r w:rsidR="0093472F" w:rsidRPr="004F1D9E">
              <w:rPr>
                <w:sz w:val="20"/>
                <w:szCs w:val="20"/>
              </w:rPr>
              <w:t>Unemployed and not looking for work</w:t>
            </w:r>
            <w:r>
              <w:rPr>
                <w:sz w:val="20"/>
                <w:szCs w:val="20"/>
              </w:rPr>
              <w:t xml:space="preserve"> </w:t>
            </w:r>
          </w:p>
          <w:p w14:paraId="70FBE490" w14:textId="6D03F876" w:rsidR="0093472F" w:rsidRPr="004F1D9E" w:rsidRDefault="00840AF7" w:rsidP="00B861C5">
            <w:pPr>
              <w:rPr>
                <w:sz w:val="20"/>
                <w:szCs w:val="20"/>
              </w:rPr>
            </w:pPr>
            <w:r>
              <w:rPr>
                <w:sz w:val="20"/>
                <w:szCs w:val="20"/>
              </w:rPr>
              <w:t xml:space="preserve"> </w:t>
            </w:r>
            <w:r w:rsidR="0093472F" w:rsidRPr="004F1D9E">
              <w:rPr>
                <w:sz w:val="20"/>
                <w:szCs w:val="20"/>
              </w:rPr>
              <w:t>Other</w:t>
            </w:r>
          </w:p>
        </w:tc>
        <w:tc>
          <w:tcPr>
            <w:tcW w:w="1464" w:type="dxa"/>
          </w:tcPr>
          <w:p w14:paraId="0A7C4F45" w14:textId="77777777" w:rsidR="0093472F" w:rsidRPr="004F1D9E" w:rsidRDefault="0093472F" w:rsidP="00B861C5">
            <w:pPr>
              <w:jc w:val="center"/>
              <w:rPr>
                <w:sz w:val="20"/>
                <w:szCs w:val="20"/>
              </w:rPr>
            </w:pPr>
          </w:p>
          <w:p w14:paraId="5DF9AD5B" w14:textId="77777777" w:rsidR="0093472F" w:rsidRPr="004F1D9E" w:rsidRDefault="0093472F" w:rsidP="00B861C5">
            <w:pPr>
              <w:jc w:val="center"/>
              <w:rPr>
                <w:sz w:val="20"/>
                <w:szCs w:val="20"/>
              </w:rPr>
            </w:pPr>
            <w:r w:rsidRPr="004F1D9E">
              <w:rPr>
                <w:sz w:val="20"/>
                <w:szCs w:val="20"/>
              </w:rPr>
              <w:t>0 (0)</w:t>
            </w:r>
          </w:p>
          <w:p w14:paraId="4E7C6B1A" w14:textId="77777777" w:rsidR="0093472F" w:rsidRPr="004F1D9E" w:rsidRDefault="0093472F" w:rsidP="00B861C5">
            <w:pPr>
              <w:jc w:val="center"/>
              <w:rPr>
                <w:sz w:val="20"/>
                <w:szCs w:val="20"/>
              </w:rPr>
            </w:pPr>
            <w:r w:rsidRPr="004F1D9E">
              <w:rPr>
                <w:sz w:val="20"/>
                <w:szCs w:val="20"/>
              </w:rPr>
              <w:t>2 (2.5)</w:t>
            </w:r>
          </w:p>
          <w:p w14:paraId="1625A5A1" w14:textId="77777777" w:rsidR="0093472F" w:rsidRPr="004F1D9E" w:rsidRDefault="0093472F" w:rsidP="00B861C5">
            <w:pPr>
              <w:jc w:val="center"/>
              <w:rPr>
                <w:sz w:val="20"/>
                <w:szCs w:val="20"/>
              </w:rPr>
            </w:pPr>
            <w:r w:rsidRPr="004F1D9E">
              <w:rPr>
                <w:sz w:val="20"/>
                <w:szCs w:val="20"/>
              </w:rPr>
              <w:t>2 (2.5)</w:t>
            </w:r>
          </w:p>
          <w:p w14:paraId="3D4FDB85" w14:textId="77777777" w:rsidR="0093472F" w:rsidRPr="004F1D9E" w:rsidRDefault="0093472F" w:rsidP="00B861C5">
            <w:pPr>
              <w:jc w:val="center"/>
              <w:rPr>
                <w:sz w:val="20"/>
                <w:szCs w:val="20"/>
              </w:rPr>
            </w:pPr>
            <w:r w:rsidRPr="004F1D9E">
              <w:rPr>
                <w:sz w:val="20"/>
                <w:szCs w:val="20"/>
              </w:rPr>
              <w:t>9 (11.3)</w:t>
            </w:r>
          </w:p>
          <w:p w14:paraId="3BA5427A" w14:textId="77777777" w:rsidR="0093472F" w:rsidRPr="004F1D9E" w:rsidRDefault="0093472F" w:rsidP="00B861C5">
            <w:pPr>
              <w:jc w:val="center"/>
              <w:rPr>
                <w:sz w:val="20"/>
                <w:szCs w:val="20"/>
              </w:rPr>
            </w:pPr>
            <w:r w:rsidRPr="004F1D9E">
              <w:rPr>
                <w:sz w:val="20"/>
                <w:szCs w:val="20"/>
              </w:rPr>
              <w:t>1 (1.3)</w:t>
            </w:r>
          </w:p>
          <w:p w14:paraId="4DF40EE6" w14:textId="77777777" w:rsidR="0093472F" w:rsidRPr="004F1D9E" w:rsidRDefault="0093472F" w:rsidP="00B861C5">
            <w:pPr>
              <w:jc w:val="center"/>
              <w:rPr>
                <w:sz w:val="20"/>
                <w:szCs w:val="20"/>
              </w:rPr>
            </w:pPr>
            <w:r w:rsidRPr="004F1D9E">
              <w:rPr>
                <w:sz w:val="20"/>
                <w:szCs w:val="20"/>
              </w:rPr>
              <w:t>12 (15</w:t>
            </w:r>
            <w:r>
              <w:rPr>
                <w:sz w:val="20"/>
                <w:szCs w:val="20"/>
              </w:rPr>
              <w:t>.0</w:t>
            </w:r>
            <w:r w:rsidRPr="004F1D9E">
              <w:rPr>
                <w:sz w:val="20"/>
                <w:szCs w:val="20"/>
              </w:rPr>
              <w:t>)</w:t>
            </w:r>
          </w:p>
          <w:p w14:paraId="26EC5975" w14:textId="77777777" w:rsidR="0093472F" w:rsidRPr="004F1D9E" w:rsidRDefault="0093472F" w:rsidP="00B861C5">
            <w:pPr>
              <w:jc w:val="center"/>
              <w:rPr>
                <w:sz w:val="20"/>
                <w:szCs w:val="20"/>
              </w:rPr>
            </w:pPr>
            <w:r w:rsidRPr="004F1D9E">
              <w:rPr>
                <w:sz w:val="20"/>
                <w:szCs w:val="20"/>
              </w:rPr>
              <w:t>5 (6.3)</w:t>
            </w:r>
          </w:p>
          <w:p w14:paraId="5430B76B" w14:textId="77777777" w:rsidR="0093472F" w:rsidRPr="004F1D9E" w:rsidRDefault="0093472F" w:rsidP="00B861C5">
            <w:pPr>
              <w:jc w:val="center"/>
              <w:rPr>
                <w:sz w:val="20"/>
                <w:szCs w:val="20"/>
              </w:rPr>
            </w:pPr>
            <w:r>
              <w:rPr>
                <w:sz w:val="20"/>
                <w:szCs w:val="20"/>
              </w:rPr>
              <w:t>38</w:t>
            </w:r>
            <w:r w:rsidRPr="004F1D9E">
              <w:rPr>
                <w:sz w:val="20"/>
                <w:szCs w:val="20"/>
              </w:rPr>
              <w:t xml:space="preserve"> (</w:t>
            </w:r>
            <w:r>
              <w:rPr>
                <w:sz w:val="20"/>
                <w:szCs w:val="20"/>
              </w:rPr>
              <w:t>47.5</w:t>
            </w:r>
            <w:r w:rsidRPr="004F1D9E">
              <w:rPr>
                <w:sz w:val="20"/>
                <w:szCs w:val="20"/>
              </w:rPr>
              <w:t>)</w:t>
            </w:r>
          </w:p>
          <w:p w14:paraId="6BF95C82" w14:textId="77777777" w:rsidR="0093472F" w:rsidRPr="004F1D9E" w:rsidRDefault="0093472F" w:rsidP="00B861C5">
            <w:pPr>
              <w:jc w:val="center"/>
              <w:rPr>
                <w:sz w:val="20"/>
                <w:szCs w:val="20"/>
              </w:rPr>
            </w:pPr>
            <w:r w:rsidRPr="004F1D9E">
              <w:rPr>
                <w:sz w:val="20"/>
                <w:szCs w:val="20"/>
              </w:rPr>
              <w:t>5 (6.3)</w:t>
            </w:r>
          </w:p>
          <w:p w14:paraId="585EE2DB" w14:textId="77777777" w:rsidR="0093472F" w:rsidRPr="004F1D9E" w:rsidRDefault="0093472F" w:rsidP="00B861C5">
            <w:pPr>
              <w:jc w:val="center"/>
              <w:rPr>
                <w:sz w:val="20"/>
                <w:szCs w:val="20"/>
              </w:rPr>
            </w:pPr>
            <w:r w:rsidRPr="004F1D9E">
              <w:rPr>
                <w:sz w:val="20"/>
                <w:szCs w:val="20"/>
              </w:rPr>
              <w:t>6 (7.5)</w:t>
            </w:r>
          </w:p>
        </w:tc>
        <w:tc>
          <w:tcPr>
            <w:tcW w:w="1465" w:type="dxa"/>
          </w:tcPr>
          <w:p w14:paraId="4B31E0AC" w14:textId="77777777" w:rsidR="0093472F" w:rsidRDefault="0093472F" w:rsidP="00B861C5">
            <w:pPr>
              <w:jc w:val="center"/>
              <w:rPr>
                <w:sz w:val="20"/>
                <w:szCs w:val="20"/>
              </w:rPr>
            </w:pPr>
          </w:p>
          <w:p w14:paraId="5384FCA7" w14:textId="77777777" w:rsidR="0093472F" w:rsidRDefault="0093472F" w:rsidP="00B861C5">
            <w:pPr>
              <w:jc w:val="center"/>
              <w:rPr>
                <w:sz w:val="20"/>
                <w:szCs w:val="20"/>
              </w:rPr>
            </w:pPr>
            <w:r>
              <w:rPr>
                <w:sz w:val="20"/>
                <w:szCs w:val="20"/>
              </w:rPr>
              <w:t>0 (0)</w:t>
            </w:r>
          </w:p>
          <w:p w14:paraId="2FDD682A" w14:textId="77777777" w:rsidR="0093472F" w:rsidRDefault="0093472F" w:rsidP="00B861C5">
            <w:pPr>
              <w:jc w:val="center"/>
              <w:rPr>
                <w:sz w:val="20"/>
                <w:szCs w:val="20"/>
              </w:rPr>
            </w:pPr>
            <w:r>
              <w:rPr>
                <w:sz w:val="20"/>
                <w:szCs w:val="20"/>
              </w:rPr>
              <w:t>2 (4.16)</w:t>
            </w:r>
          </w:p>
          <w:p w14:paraId="5BF1D066" w14:textId="77777777" w:rsidR="0093472F" w:rsidRDefault="0093472F" w:rsidP="00B861C5">
            <w:pPr>
              <w:jc w:val="center"/>
              <w:rPr>
                <w:sz w:val="20"/>
                <w:szCs w:val="20"/>
              </w:rPr>
            </w:pPr>
            <w:r>
              <w:rPr>
                <w:sz w:val="20"/>
                <w:szCs w:val="20"/>
              </w:rPr>
              <w:t>1 (2.08)</w:t>
            </w:r>
          </w:p>
          <w:p w14:paraId="66D4BB49" w14:textId="77777777" w:rsidR="0093472F" w:rsidRDefault="0093472F" w:rsidP="00B861C5">
            <w:pPr>
              <w:jc w:val="center"/>
              <w:rPr>
                <w:sz w:val="20"/>
                <w:szCs w:val="20"/>
              </w:rPr>
            </w:pPr>
            <w:r>
              <w:rPr>
                <w:sz w:val="20"/>
                <w:szCs w:val="20"/>
              </w:rPr>
              <w:t>9 (18.75)</w:t>
            </w:r>
          </w:p>
          <w:p w14:paraId="0A21BE62" w14:textId="77777777" w:rsidR="0093472F" w:rsidRDefault="0093472F" w:rsidP="00B861C5">
            <w:pPr>
              <w:jc w:val="center"/>
              <w:rPr>
                <w:sz w:val="20"/>
                <w:szCs w:val="20"/>
              </w:rPr>
            </w:pPr>
            <w:r>
              <w:rPr>
                <w:sz w:val="20"/>
                <w:szCs w:val="20"/>
              </w:rPr>
              <w:t>1 (2.08)</w:t>
            </w:r>
          </w:p>
          <w:p w14:paraId="4B91676E" w14:textId="77777777" w:rsidR="0093472F" w:rsidRDefault="0093472F" w:rsidP="00B861C5">
            <w:pPr>
              <w:jc w:val="center"/>
              <w:rPr>
                <w:sz w:val="20"/>
                <w:szCs w:val="20"/>
              </w:rPr>
            </w:pPr>
            <w:r>
              <w:rPr>
                <w:sz w:val="20"/>
                <w:szCs w:val="20"/>
              </w:rPr>
              <w:t>7 (14.58)</w:t>
            </w:r>
          </w:p>
          <w:p w14:paraId="2439B8C9" w14:textId="77777777" w:rsidR="0093472F" w:rsidRDefault="0093472F" w:rsidP="00B861C5">
            <w:pPr>
              <w:jc w:val="center"/>
              <w:rPr>
                <w:sz w:val="20"/>
                <w:szCs w:val="20"/>
              </w:rPr>
            </w:pPr>
            <w:r>
              <w:rPr>
                <w:sz w:val="20"/>
                <w:szCs w:val="20"/>
              </w:rPr>
              <w:t>2 (4.16)</w:t>
            </w:r>
          </w:p>
          <w:p w14:paraId="5572B7FB" w14:textId="77777777" w:rsidR="0093472F" w:rsidRDefault="0093472F" w:rsidP="00B861C5">
            <w:pPr>
              <w:jc w:val="center"/>
              <w:rPr>
                <w:sz w:val="20"/>
                <w:szCs w:val="20"/>
              </w:rPr>
            </w:pPr>
            <w:r>
              <w:rPr>
                <w:sz w:val="20"/>
                <w:szCs w:val="20"/>
              </w:rPr>
              <w:t>21 (43.75)</w:t>
            </w:r>
          </w:p>
          <w:p w14:paraId="2D090488" w14:textId="77777777" w:rsidR="0093472F" w:rsidRDefault="0093472F" w:rsidP="00B861C5">
            <w:pPr>
              <w:jc w:val="center"/>
              <w:rPr>
                <w:sz w:val="20"/>
                <w:szCs w:val="20"/>
              </w:rPr>
            </w:pPr>
            <w:r>
              <w:rPr>
                <w:sz w:val="20"/>
                <w:szCs w:val="20"/>
              </w:rPr>
              <w:t>3 (6.25)</w:t>
            </w:r>
          </w:p>
          <w:p w14:paraId="4DFFA1E8" w14:textId="77777777" w:rsidR="0093472F" w:rsidRPr="004F1D9E" w:rsidRDefault="0093472F" w:rsidP="00B861C5">
            <w:pPr>
              <w:jc w:val="center"/>
              <w:rPr>
                <w:sz w:val="20"/>
                <w:szCs w:val="20"/>
              </w:rPr>
            </w:pPr>
            <w:r>
              <w:rPr>
                <w:sz w:val="20"/>
                <w:szCs w:val="20"/>
              </w:rPr>
              <w:t>2 (4.16)</w:t>
            </w:r>
          </w:p>
        </w:tc>
        <w:tc>
          <w:tcPr>
            <w:tcW w:w="1465" w:type="dxa"/>
          </w:tcPr>
          <w:p w14:paraId="62F32C94" w14:textId="77777777" w:rsidR="0093472F" w:rsidRDefault="0093472F" w:rsidP="00B861C5">
            <w:pPr>
              <w:jc w:val="center"/>
              <w:rPr>
                <w:sz w:val="20"/>
                <w:szCs w:val="20"/>
              </w:rPr>
            </w:pPr>
          </w:p>
          <w:p w14:paraId="260207CD" w14:textId="77777777" w:rsidR="0093472F" w:rsidRDefault="0093472F" w:rsidP="00B861C5">
            <w:pPr>
              <w:jc w:val="center"/>
              <w:rPr>
                <w:sz w:val="20"/>
                <w:szCs w:val="20"/>
              </w:rPr>
            </w:pPr>
            <w:r>
              <w:rPr>
                <w:sz w:val="20"/>
                <w:szCs w:val="20"/>
              </w:rPr>
              <w:t>0 (0)</w:t>
            </w:r>
          </w:p>
          <w:p w14:paraId="36F21BBD" w14:textId="77777777" w:rsidR="0093472F" w:rsidRDefault="0093472F" w:rsidP="00B861C5">
            <w:pPr>
              <w:jc w:val="center"/>
              <w:rPr>
                <w:sz w:val="20"/>
                <w:szCs w:val="20"/>
              </w:rPr>
            </w:pPr>
            <w:r>
              <w:rPr>
                <w:sz w:val="20"/>
                <w:szCs w:val="20"/>
              </w:rPr>
              <w:t>0 (0)</w:t>
            </w:r>
          </w:p>
          <w:p w14:paraId="011EFA74" w14:textId="77777777" w:rsidR="0093472F" w:rsidRDefault="0093472F" w:rsidP="00B861C5">
            <w:pPr>
              <w:jc w:val="center"/>
              <w:rPr>
                <w:sz w:val="20"/>
                <w:szCs w:val="20"/>
              </w:rPr>
            </w:pPr>
            <w:r>
              <w:rPr>
                <w:sz w:val="20"/>
                <w:szCs w:val="20"/>
              </w:rPr>
              <w:t>1 (3.13)</w:t>
            </w:r>
          </w:p>
          <w:p w14:paraId="1C7AF0FC" w14:textId="77777777" w:rsidR="0093472F" w:rsidRDefault="0093472F" w:rsidP="00B861C5">
            <w:pPr>
              <w:jc w:val="center"/>
              <w:rPr>
                <w:sz w:val="20"/>
                <w:szCs w:val="20"/>
              </w:rPr>
            </w:pPr>
            <w:r>
              <w:rPr>
                <w:sz w:val="20"/>
                <w:szCs w:val="20"/>
              </w:rPr>
              <w:t>0 (0)</w:t>
            </w:r>
          </w:p>
          <w:p w14:paraId="337BB9E8" w14:textId="77777777" w:rsidR="0093472F" w:rsidRDefault="0093472F" w:rsidP="00B861C5">
            <w:pPr>
              <w:jc w:val="center"/>
              <w:rPr>
                <w:sz w:val="20"/>
                <w:szCs w:val="20"/>
              </w:rPr>
            </w:pPr>
            <w:r>
              <w:rPr>
                <w:sz w:val="20"/>
                <w:szCs w:val="20"/>
              </w:rPr>
              <w:t>0 (0)</w:t>
            </w:r>
          </w:p>
          <w:p w14:paraId="2C97CDC4" w14:textId="77777777" w:rsidR="0093472F" w:rsidRDefault="0093472F" w:rsidP="00B861C5">
            <w:pPr>
              <w:jc w:val="center"/>
              <w:rPr>
                <w:sz w:val="20"/>
                <w:szCs w:val="20"/>
              </w:rPr>
            </w:pPr>
            <w:r>
              <w:rPr>
                <w:sz w:val="20"/>
                <w:szCs w:val="20"/>
              </w:rPr>
              <w:t>5 (15.63)</w:t>
            </w:r>
          </w:p>
          <w:p w14:paraId="56BD972E" w14:textId="77777777" w:rsidR="0093472F" w:rsidRDefault="0093472F" w:rsidP="00B861C5">
            <w:pPr>
              <w:jc w:val="center"/>
              <w:rPr>
                <w:sz w:val="20"/>
                <w:szCs w:val="20"/>
              </w:rPr>
            </w:pPr>
            <w:r>
              <w:rPr>
                <w:sz w:val="20"/>
                <w:szCs w:val="20"/>
              </w:rPr>
              <w:t>3 (9.38)</w:t>
            </w:r>
          </w:p>
          <w:p w14:paraId="425DA008" w14:textId="77777777" w:rsidR="0093472F" w:rsidRDefault="0093472F" w:rsidP="00B861C5">
            <w:pPr>
              <w:jc w:val="center"/>
              <w:rPr>
                <w:sz w:val="20"/>
                <w:szCs w:val="20"/>
              </w:rPr>
            </w:pPr>
            <w:r>
              <w:rPr>
                <w:sz w:val="20"/>
                <w:szCs w:val="20"/>
              </w:rPr>
              <w:t>17 (53.13)</w:t>
            </w:r>
          </w:p>
          <w:p w14:paraId="1CD12CAC" w14:textId="77777777" w:rsidR="0093472F" w:rsidRDefault="0093472F" w:rsidP="00B861C5">
            <w:pPr>
              <w:jc w:val="center"/>
              <w:rPr>
                <w:sz w:val="20"/>
                <w:szCs w:val="20"/>
              </w:rPr>
            </w:pPr>
            <w:r>
              <w:rPr>
                <w:sz w:val="20"/>
                <w:szCs w:val="20"/>
              </w:rPr>
              <w:t>2 (6.25)</w:t>
            </w:r>
          </w:p>
          <w:p w14:paraId="1FAB8D31" w14:textId="77777777" w:rsidR="0093472F" w:rsidRPr="004F1D9E" w:rsidRDefault="0093472F" w:rsidP="00B861C5">
            <w:pPr>
              <w:jc w:val="center"/>
              <w:rPr>
                <w:sz w:val="20"/>
                <w:szCs w:val="20"/>
              </w:rPr>
            </w:pPr>
            <w:r>
              <w:rPr>
                <w:sz w:val="20"/>
                <w:szCs w:val="20"/>
              </w:rPr>
              <w:t>4 (12.5)</w:t>
            </w:r>
          </w:p>
        </w:tc>
        <w:tc>
          <w:tcPr>
            <w:tcW w:w="810" w:type="dxa"/>
          </w:tcPr>
          <w:p w14:paraId="135447F3" w14:textId="77777777" w:rsidR="0093472F" w:rsidRPr="00DA1F8F" w:rsidRDefault="0093472F" w:rsidP="00B861C5">
            <w:pPr>
              <w:ind w:left="62"/>
              <w:jc w:val="center"/>
              <w:rPr>
                <w:sz w:val="20"/>
                <w:szCs w:val="20"/>
              </w:rPr>
            </w:pPr>
            <w:r w:rsidRPr="00DA1F8F">
              <w:rPr>
                <w:sz w:val="20"/>
                <w:szCs w:val="20"/>
              </w:rPr>
              <w:t>.11</w:t>
            </w:r>
          </w:p>
        </w:tc>
      </w:tr>
      <w:tr w:rsidR="0093472F" w:rsidRPr="004F1D9E" w14:paraId="0A467D93" w14:textId="77777777" w:rsidTr="00B861C5">
        <w:tc>
          <w:tcPr>
            <w:tcW w:w="4395" w:type="dxa"/>
          </w:tcPr>
          <w:p w14:paraId="28D9D844" w14:textId="77777777" w:rsidR="0093472F" w:rsidRPr="004F1D9E" w:rsidRDefault="0093472F" w:rsidP="00B861C5">
            <w:pPr>
              <w:rPr>
                <w:sz w:val="20"/>
                <w:szCs w:val="20"/>
              </w:rPr>
            </w:pPr>
            <w:r w:rsidRPr="004F1D9E">
              <w:rPr>
                <w:sz w:val="20"/>
                <w:szCs w:val="20"/>
              </w:rPr>
              <w:t>Current sleeping situation (last 7 days): N (%)*</w:t>
            </w:r>
          </w:p>
          <w:p w14:paraId="484A62EC" w14:textId="4C5FC08D" w:rsidR="0093472F" w:rsidRPr="004F1D9E" w:rsidRDefault="00840AF7" w:rsidP="00B861C5">
            <w:pPr>
              <w:rPr>
                <w:sz w:val="20"/>
                <w:szCs w:val="20"/>
              </w:rPr>
            </w:pPr>
            <w:r>
              <w:rPr>
                <w:sz w:val="20"/>
                <w:szCs w:val="20"/>
              </w:rPr>
              <w:t xml:space="preserve"> </w:t>
            </w:r>
            <w:r w:rsidR="0093472F" w:rsidRPr="004F1D9E">
              <w:rPr>
                <w:sz w:val="20"/>
                <w:szCs w:val="20"/>
              </w:rPr>
              <w:t>Sleeping rough on streets/park</w:t>
            </w:r>
          </w:p>
          <w:p w14:paraId="68C1D6BE" w14:textId="106ABA77" w:rsidR="0093472F" w:rsidRPr="004F1D9E" w:rsidRDefault="00840AF7" w:rsidP="00B861C5">
            <w:pPr>
              <w:rPr>
                <w:sz w:val="20"/>
                <w:szCs w:val="20"/>
              </w:rPr>
            </w:pPr>
            <w:r>
              <w:rPr>
                <w:sz w:val="20"/>
                <w:szCs w:val="20"/>
              </w:rPr>
              <w:t xml:space="preserve"> </w:t>
            </w:r>
            <w:r w:rsidR="0093472F" w:rsidRPr="004F1D9E">
              <w:rPr>
                <w:sz w:val="20"/>
                <w:szCs w:val="20"/>
              </w:rPr>
              <w:t>Hostel or supported accommodation</w:t>
            </w:r>
          </w:p>
          <w:p w14:paraId="6F581D26" w14:textId="69802784" w:rsidR="0093472F" w:rsidRPr="004F1D9E" w:rsidRDefault="00840AF7" w:rsidP="00B861C5">
            <w:pPr>
              <w:rPr>
                <w:sz w:val="20"/>
                <w:szCs w:val="20"/>
              </w:rPr>
            </w:pPr>
            <w:r>
              <w:rPr>
                <w:sz w:val="20"/>
                <w:szCs w:val="20"/>
              </w:rPr>
              <w:t xml:space="preserve"> </w:t>
            </w:r>
            <w:r w:rsidR="0093472F" w:rsidRPr="004F1D9E">
              <w:rPr>
                <w:sz w:val="20"/>
                <w:szCs w:val="20"/>
              </w:rPr>
              <w:t>Sleeping on somebody’s floor/sofa</w:t>
            </w:r>
          </w:p>
          <w:p w14:paraId="22632AC0" w14:textId="7478ED4F" w:rsidR="0093472F" w:rsidRPr="004F1D9E" w:rsidRDefault="00840AF7" w:rsidP="00B861C5">
            <w:pPr>
              <w:rPr>
                <w:sz w:val="20"/>
                <w:szCs w:val="20"/>
              </w:rPr>
            </w:pPr>
            <w:r>
              <w:rPr>
                <w:sz w:val="20"/>
                <w:szCs w:val="20"/>
              </w:rPr>
              <w:t xml:space="preserve"> </w:t>
            </w:r>
            <w:r w:rsidR="0093472F" w:rsidRPr="004F1D9E">
              <w:rPr>
                <w:sz w:val="20"/>
                <w:szCs w:val="20"/>
              </w:rPr>
              <w:t>Emergency accommodation (refuge, shelter)</w:t>
            </w:r>
          </w:p>
          <w:p w14:paraId="516BC99C" w14:textId="5E34E14A" w:rsidR="0093472F" w:rsidRPr="004F1D9E" w:rsidRDefault="00840AF7" w:rsidP="00B861C5">
            <w:pPr>
              <w:rPr>
                <w:sz w:val="20"/>
                <w:szCs w:val="20"/>
              </w:rPr>
            </w:pPr>
            <w:r>
              <w:rPr>
                <w:sz w:val="20"/>
                <w:szCs w:val="20"/>
              </w:rPr>
              <w:t xml:space="preserve"> </w:t>
            </w:r>
            <w:r w:rsidR="0093472F" w:rsidRPr="004F1D9E">
              <w:rPr>
                <w:sz w:val="20"/>
                <w:szCs w:val="20"/>
              </w:rPr>
              <w:t>B&amp;B or temporary accommodation</w:t>
            </w:r>
          </w:p>
          <w:p w14:paraId="2F2258EA" w14:textId="2DB3BBCF" w:rsidR="0093472F" w:rsidRPr="004F1D9E" w:rsidRDefault="00840AF7" w:rsidP="00B861C5">
            <w:pPr>
              <w:rPr>
                <w:sz w:val="20"/>
                <w:szCs w:val="20"/>
              </w:rPr>
            </w:pPr>
            <w:r>
              <w:rPr>
                <w:sz w:val="20"/>
                <w:szCs w:val="20"/>
              </w:rPr>
              <w:t xml:space="preserve"> </w:t>
            </w:r>
            <w:r w:rsidR="0093472F" w:rsidRPr="004F1D9E">
              <w:rPr>
                <w:sz w:val="20"/>
                <w:szCs w:val="20"/>
              </w:rPr>
              <w:t>Housed – own tenancy</w:t>
            </w:r>
          </w:p>
          <w:p w14:paraId="53B9CA6B" w14:textId="6338CB90" w:rsidR="0093472F" w:rsidRPr="004F1D9E" w:rsidRDefault="00840AF7" w:rsidP="00B861C5">
            <w:pPr>
              <w:rPr>
                <w:sz w:val="20"/>
                <w:szCs w:val="20"/>
              </w:rPr>
            </w:pPr>
            <w:r>
              <w:rPr>
                <w:sz w:val="20"/>
                <w:szCs w:val="20"/>
              </w:rPr>
              <w:t xml:space="preserve"> </w:t>
            </w:r>
            <w:r w:rsidR="0093472F" w:rsidRPr="004F1D9E">
              <w:rPr>
                <w:sz w:val="20"/>
                <w:szCs w:val="20"/>
              </w:rPr>
              <w:t>Other</w:t>
            </w:r>
          </w:p>
        </w:tc>
        <w:tc>
          <w:tcPr>
            <w:tcW w:w="1464" w:type="dxa"/>
          </w:tcPr>
          <w:p w14:paraId="19975AAB" w14:textId="77777777" w:rsidR="0093472F" w:rsidRPr="004F1D9E" w:rsidRDefault="0093472F" w:rsidP="00B861C5">
            <w:pPr>
              <w:jc w:val="center"/>
              <w:rPr>
                <w:sz w:val="20"/>
                <w:szCs w:val="20"/>
              </w:rPr>
            </w:pPr>
          </w:p>
          <w:p w14:paraId="5E7E05E5" w14:textId="77777777" w:rsidR="0093472F" w:rsidRPr="004F1D9E" w:rsidRDefault="0093472F" w:rsidP="00B861C5">
            <w:pPr>
              <w:jc w:val="center"/>
              <w:rPr>
                <w:sz w:val="20"/>
                <w:szCs w:val="20"/>
              </w:rPr>
            </w:pPr>
            <w:r w:rsidRPr="004F1D9E">
              <w:rPr>
                <w:sz w:val="20"/>
                <w:szCs w:val="20"/>
              </w:rPr>
              <w:t>7 (8.8)</w:t>
            </w:r>
          </w:p>
          <w:p w14:paraId="23B50FBD" w14:textId="77777777" w:rsidR="0093472F" w:rsidRPr="004F1D9E" w:rsidRDefault="0093472F" w:rsidP="00B861C5">
            <w:pPr>
              <w:jc w:val="center"/>
              <w:rPr>
                <w:sz w:val="20"/>
                <w:szCs w:val="20"/>
              </w:rPr>
            </w:pPr>
            <w:r w:rsidRPr="004F1D9E">
              <w:rPr>
                <w:sz w:val="20"/>
                <w:szCs w:val="20"/>
              </w:rPr>
              <w:t>48 (60)</w:t>
            </w:r>
          </w:p>
          <w:p w14:paraId="74298E90" w14:textId="77777777" w:rsidR="0093472F" w:rsidRPr="004F1D9E" w:rsidRDefault="0093472F" w:rsidP="00B861C5">
            <w:pPr>
              <w:jc w:val="center"/>
              <w:rPr>
                <w:sz w:val="20"/>
                <w:szCs w:val="20"/>
              </w:rPr>
            </w:pPr>
            <w:r w:rsidRPr="004F1D9E">
              <w:rPr>
                <w:sz w:val="20"/>
                <w:szCs w:val="20"/>
              </w:rPr>
              <w:t>3 (3.8)</w:t>
            </w:r>
          </w:p>
          <w:p w14:paraId="794F2065" w14:textId="77777777" w:rsidR="0093472F" w:rsidRPr="004F1D9E" w:rsidRDefault="0093472F" w:rsidP="00B861C5">
            <w:pPr>
              <w:jc w:val="center"/>
              <w:rPr>
                <w:sz w:val="20"/>
                <w:szCs w:val="20"/>
              </w:rPr>
            </w:pPr>
            <w:r w:rsidRPr="004F1D9E">
              <w:rPr>
                <w:sz w:val="20"/>
                <w:szCs w:val="20"/>
              </w:rPr>
              <w:t>9 (11.3)</w:t>
            </w:r>
          </w:p>
          <w:p w14:paraId="6B9ACD15" w14:textId="77777777" w:rsidR="0093472F" w:rsidRPr="004F1D9E" w:rsidRDefault="0093472F" w:rsidP="00B861C5">
            <w:pPr>
              <w:jc w:val="center"/>
              <w:rPr>
                <w:sz w:val="20"/>
                <w:szCs w:val="20"/>
              </w:rPr>
            </w:pPr>
            <w:r w:rsidRPr="004F1D9E">
              <w:rPr>
                <w:sz w:val="20"/>
                <w:szCs w:val="20"/>
              </w:rPr>
              <w:t>2 (2.5)</w:t>
            </w:r>
          </w:p>
          <w:p w14:paraId="2CBA8B5A" w14:textId="77777777" w:rsidR="0093472F" w:rsidRPr="004F1D9E" w:rsidRDefault="0093472F" w:rsidP="00B861C5">
            <w:pPr>
              <w:jc w:val="center"/>
              <w:rPr>
                <w:sz w:val="20"/>
                <w:szCs w:val="20"/>
              </w:rPr>
            </w:pPr>
            <w:r w:rsidRPr="004F1D9E">
              <w:rPr>
                <w:sz w:val="20"/>
                <w:szCs w:val="20"/>
              </w:rPr>
              <w:t>18 (22.5)</w:t>
            </w:r>
          </w:p>
          <w:p w14:paraId="0B80C4C1" w14:textId="77777777" w:rsidR="0093472F" w:rsidRPr="004F1D9E" w:rsidRDefault="0093472F" w:rsidP="00B861C5">
            <w:pPr>
              <w:jc w:val="center"/>
              <w:rPr>
                <w:sz w:val="20"/>
                <w:szCs w:val="20"/>
              </w:rPr>
            </w:pPr>
            <w:r w:rsidRPr="004F1D9E">
              <w:rPr>
                <w:sz w:val="20"/>
                <w:szCs w:val="20"/>
              </w:rPr>
              <w:t>2 (2.5)</w:t>
            </w:r>
          </w:p>
        </w:tc>
        <w:tc>
          <w:tcPr>
            <w:tcW w:w="1465" w:type="dxa"/>
          </w:tcPr>
          <w:p w14:paraId="6608D769" w14:textId="77777777" w:rsidR="0093472F" w:rsidRPr="00E0771A" w:rsidRDefault="0093472F" w:rsidP="00B861C5">
            <w:pPr>
              <w:jc w:val="center"/>
              <w:rPr>
                <w:sz w:val="20"/>
                <w:szCs w:val="20"/>
              </w:rPr>
            </w:pPr>
          </w:p>
          <w:p w14:paraId="7C3CB2EE" w14:textId="77777777" w:rsidR="0093472F" w:rsidRPr="00E0771A" w:rsidRDefault="0093472F" w:rsidP="00B861C5">
            <w:pPr>
              <w:jc w:val="center"/>
              <w:rPr>
                <w:sz w:val="20"/>
                <w:szCs w:val="20"/>
              </w:rPr>
            </w:pPr>
            <w:r w:rsidRPr="00E0771A">
              <w:rPr>
                <w:sz w:val="20"/>
                <w:szCs w:val="20"/>
              </w:rPr>
              <w:t>3</w:t>
            </w:r>
            <w:r>
              <w:rPr>
                <w:sz w:val="20"/>
                <w:szCs w:val="20"/>
              </w:rPr>
              <w:t xml:space="preserve"> (6.25)</w:t>
            </w:r>
          </w:p>
          <w:p w14:paraId="3FA941DB" w14:textId="77777777" w:rsidR="0093472F" w:rsidRPr="00E0771A" w:rsidRDefault="0093472F" w:rsidP="00B861C5">
            <w:pPr>
              <w:jc w:val="center"/>
              <w:rPr>
                <w:sz w:val="20"/>
                <w:szCs w:val="20"/>
              </w:rPr>
            </w:pPr>
            <w:r w:rsidRPr="00E0771A">
              <w:rPr>
                <w:sz w:val="20"/>
                <w:szCs w:val="20"/>
              </w:rPr>
              <w:t>31</w:t>
            </w:r>
            <w:r>
              <w:rPr>
                <w:sz w:val="20"/>
                <w:szCs w:val="20"/>
              </w:rPr>
              <w:t xml:space="preserve"> (64.58)</w:t>
            </w:r>
          </w:p>
          <w:p w14:paraId="5B504FE4" w14:textId="77777777" w:rsidR="0093472F" w:rsidRPr="00E0771A" w:rsidRDefault="0093472F" w:rsidP="00B861C5">
            <w:pPr>
              <w:jc w:val="center"/>
              <w:rPr>
                <w:sz w:val="20"/>
                <w:szCs w:val="20"/>
              </w:rPr>
            </w:pPr>
            <w:r w:rsidRPr="00E0771A">
              <w:rPr>
                <w:sz w:val="20"/>
                <w:szCs w:val="20"/>
              </w:rPr>
              <w:t>1</w:t>
            </w:r>
            <w:r>
              <w:rPr>
                <w:sz w:val="20"/>
                <w:szCs w:val="20"/>
              </w:rPr>
              <w:t xml:space="preserve"> (2.08)</w:t>
            </w:r>
          </w:p>
          <w:p w14:paraId="3315B5CC" w14:textId="77777777" w:rsidR="0093472F" w:rsidRPr="00E0771A" w:rsidRDefault="0093472F" w:rsidP="00B861C5">
            <w:pPr>
              <w:jc w:val="center"/>
              <w:rPr>
                <w:sz w:val="20"/>
                <w:szCs w:val="20"/>
              </w:rPr>
            </w:pPr>
            <w:r w:rsidRPr="00E0771A">
              <w:rPr>
                <w:sz w:val="20"/>
                <w:szCs w:val="20"/>
              </w:rPr>
              <w:t>8</w:t>
            </w:r>
            <w:r>
              <w:rPr>
                <w:sz w:val="20"/>
                <w:szCs w:val="20"/>
              </w:rPr>
              <w:t xml:space="preserve"> (16.66)</w:t>
            </w:r>
          </w:p>
          <w:p w14:paraId="62EC1006" w14:textId="77777777" w:rsidR="0093472F" w:rsidRPr="00E0771A" w:rsidRDefault="0093472F" w:rsidP="00B861C5">
            <w:pPr>
              <w:jc w:val="center"/>
              <w:rPr>
                <w:sz w:val="20"/>
                <w:szCs w:val="20"/>
              </w:rPr>
            </w:pPr>
            <w:r w:rsidRPr="00E0771A">
              <w:rPr>
                <w:sz w:val="20"/>
                <w:szCs w:val="20"/>
              </w:rPr>
              <w:t>1</w:t>
            </w:r>
            <w:r>
              <w:rPr>
                <w:sz w:val="20"/>
                <w:szCs w:val="20"/>
              </w:rPr>
              <w:t xml:space="preserve"> (2.08)</w:t>
            </w:r>
          </w:p>
          <w:p w14:paraId="152FA9DF" w14:textId="77777777" w:rsidR="0093472F" w:rsidRPr="00E0771A" w:rsidRDefault="0093472F" w:rsidP="00B861C5">
            <w:pPr>
              <w:jc w:val="center"/>
              <w:rPr>
                <w:sz w:val="20"/>
                <w:szCs w:val="20"/>
              </w:rPr>
            </w:pPr>
            <w:r w:rsidRPr="00E0771A">
              <w:rPr>
                <w:sz w:val="20"/>
                <w:szCs w:val="20"/>
              </w:rPr>
              <w:t>8</w:t>
            </w:r>
            <w:r>
              <w:rPr>
                <w:sz w:val="20"/>
                <w:szCs w:val="20"/>
              </w:rPr>
              <w:t xml:space="preserve"> (16.66)</w:t>
            </w:r>
          </w:p>
          <w:p w14:paraId="609494DF" w14:textId="77777777" w:rsidR="0093472F" w:rsidRPr="00E0771A" w:rsidRDefault="0093472F" w:rsidP="00B861C5">
            <w:pPr>
              <w:jc w:val="center"/>
              <w:rPr>
                <w:sz w:val="20"/>
                <w:szCs w:val="20"/>
              </w:rPr>
            </w:pPr>
            <w:r w:rsidRPr="00E0771A">
              <w:rPr>
                <w:sz w:val="20"/>
                <w:szCs w:val="20"/>
              </w:rPr>
              <w:t>2</w:t>
            </w:r>
            <w:r>
              <w:rPr>
                <w:sz w:val="20"/>
                <w:szCs w:val="20"/>
              </w:rPr>
              <w:t xml:space="preserve"> (4.16)</w:t>
            </w:r>
          </w:p>
        </w:tc>
        <w:tc>
          <w:tcPr>
            <w:tcW w:w="1465" w:type="dxa"/>
          </w:tcPr>
          <w:p w14:paraId="3F200614" w14:textId="77777777" w:rsidR="0093472F" w:rsidRPr="00E0771A" w:rsidRDefault="0093472F" w:rsidP="00B861C5">
            <w:pPr>
              <w:jc w:val="center"/>
              <w:rPr>
                <w:sz w:val="20"/>
                <w:szCs w:val="20"/>
              </w:rPr>
            </w:pPr>
          </w:p>
          <w:p w14:paraId="4A9609A7" w14:textId="77777777" w:rsidR="0093472F" w:rsidRPr="00E0771A" w:rsidRDefault="0093472F" w:rsidP="00B861C5">
            <w:pPr>
              <w:jc w:val="center"/>
              <w:rPr>
                <w:sz w:val="20"/>
                <w:szCs w:val="20"/>
              </w:rPr>
            </w:pPr>
            <w:r w:rsidRPr="00E0771A">
              <w:rPr>
                <w:sz w:val="20"/>
                <w:szCs w:val="20"/>
              </w:rPr>
              <w:t>4</w:t>
            </w:r>
            <w:r>
              <w:rPr>
                <w:sz w:val="20"/>
                <w:szCs w:val="20"/>
              </w:rPr>
              <w:t xml:space="preserve"> (12.5)</w:t>
            </w:r>
          </w:p>
          <w:p w14:paraId="78FD2415" w14:textId="77777777" w:rsidR="0093472F" w:rsidRPr="00E0771A" w:rsidRDefault="0093472F" w:rsidP="00B861C5">
            <w:pPr>
              <w:jc w:val="center"/>
              <w:rPr>
                <w:sz w:val="20"/>
                <w:szCs w:val="20"/>
              </w:rPr>
            </w:pPr>
            <w:r w:rsidRPr="00E0771A">
              <w:rPr>
                <w:sz w:val="20"/>
                <w:szCs w:val="20"/>
              </w:rPr>
              <w:t>17</w:t>
            </w:r>
            <w:r>
              <w:rPr>
                <w:sz w:val="20"/>
                <w:szCs w:val="20"/>
              </w:rPr>
              <w:t xml:space="preserve"> (53.13)</w:t>
            </w:r>
          </w:p>
          <w:p w14:paraId="225E205C" w14:textId="77777777" w:rsidR="0093472F" w:rsidRPr="00E0771A" w:rsidRDefault="0093472F" w:rsidP="00B861C5">
            <w:pPr>
              <w:jc w:val="center"/>
              <w:rPr>
                <w:sz w:val="20"/>
                <w:szCs w:val="20"/>
              </w:rPr>
            </w:pPr>
            <w:r w:rsidRPr="00E0771A">
              <w:rPr>
                <w:sz w:val="20"/>
                <w:szCs w:val="20"/>
              </w:rPr>
              <w:t>2</w:t>
            </w:r>
            <w:r>
              <w:rPr>
                <w:sz w:val="20"/>
                <w:szCs w:val="20"/>
              </w:rPr>
              <w:t xml:space="preserve"> (6.25)</w:t>
            </w:r>
          </w:p>
          <w:p w14:paraId="100C1E1A" w14:textId="77777777" w:rsidR="0093472F" w:rsidRPr="00E0771A" w:rsidRDefault="0093472F" w:rsidP="00B861C5">
            <w:pPr>
              <w:jc w:val="center"/>
              <w:rPr>
                <w:sz w:val="20"/>
                <w:szCs w:val="20"/>
              </w:rPr>
            </w:pPr>
            <w:r w:rsidRPr="00E0771A">
              <w:rPr>
                <w:sz w:val="20"/>
                <w:szCs w:val="20"/>
              </w:rPr>
              <w:t>1</w:t>
            </w:r>
            <w:r>
              <w:rPr>
                <w:sz w:val="20"/>
                <w:szCs w:val="20"/>
              </w:rPr>
              <w:t xml:space="preserve"> (3.13)</w:t>
            </w:r>
          </w:p>
          <w:p w14:paraId="3BEB7328" w14:textId="77777777" w:rsidR="0093472F" w:rsidRPr="00E0771A" w:rsidRDefault="0093472F" w:rsidP="00B861C5">
            <w:pPr>
              <w:jc w:val="center"/>
              <w:rPr>
                <w:sz w:val="20"/>
                <w:szCs w:val="20"/>
              </w:rPr>
            </w:pPr>
            <w:r w:rsidRPr="00E0771A">
              <w:rPr>
                <w:sz w:val="20"/>
                <w:szCs w:val="20"/>
              </w:rPr>
              <w:t>1</w:t>
            </w:r>
            <w:r>
              <w:rPr>
                <w:sz w:val="20"/>
                <w:szCs w:val="20"/>
              </w:rPr>
              <w:t xml:space="preserve"> (3.13)</w:t>
            </w:r>
          </w:p>
          <w:p w14:paraId="52ADA9B6" w14:textId="77777777" w:rsidR="0093472F" w:rsidRPr="00E0771A" w:rsidRDefault="0093472F" w:rsidP="00B861C5">
            <w:pPr>
              <w:jc w:val="center"/>
              <w:rPr>
                <w:sz w:val="20"/>
                <w:szCs w:val="20"/>
              </w:rPr>
            </w:pPr>
            <w:r w:rsidRPr="00E0771A">
              <w:rPr>
                <w:sz w:val="20"/>
                <w:szCs w:val="20"/>
              </w:rPr>
              <w:t>10</w:t>
            </w:r>
            <w:r>
              <w:rPr>
                <w:sz w:val="20"/>
                <w:szCs w:val="20"/>
              </w:rPr>
              <w:t xml:space="preserve"> (31.25)</w:t>
            </w:r>
          </w:p>
          <w:p w14:paraId="6B547F56" w14:textId="77777777" w:rsidR="0093472F" w:rsidRPr="00E0771A" w:rsidRDefault="0093472F" w:rsidP="00B861C5">
            <w:pPr>
              <w:jc w:val="center"/>
              <w:rPr>
                <w:sz w:val="20"/>
                <w:szCs w:val="20"/>
              </w:rPr>
            </w:pPr>
            <w:r w:rsidRPr="00E0771A">
              <w:rPr>
                <w:sz w:val="20"/>
                <w:szCs w:val="20"/>
              </w:rPr>
              <w:t>0</w:t>
            </w:r>
            <w:r>
              <w:rPr>
                <w:sz w:val="20"/>
                <w:szCs w:val="20"/>
              </w:rPr>
              <w:t xml:space="preserve"> (0)</w:t>
            </w:r>
          </w:p>
        </w:tc>
        <w:tc>
          <w:tcPr>
            <w:tcW w:w="810" w:type="dxa"/>
          </w:tcPr>
          <w:p w14:paraId="23A5E661" w14:textId="77777777" w:rsidR="0093472F" w:rsidRPr="00DA1F8F" w:rsidRDefault="0093472F" w:rsidP="00B861C5">
            <w:pPr>
              <w:jc w:val="center"/>
              <w:rPr>
                <w:sz w:val="20"/>
                <w:szCs w:val="20"/>
              </w:rPr>
            </w:pPr>
          </w:p>
          <w:p w14:paraId="2E83CC84" w14:textId="77777777" w:rsidR="0093472F" w:rsidRPr="00DA1F8F" w:rsidRDefault="0093472F" w:rsidP="00B861C5">
            <w:pPr>
              <w:jc w:val="center"/>
              <w:rPr>
                <w:sz w:val="20"/>
                <w:szCs w:val="20"/>
              </w:rPr>
            </w:pPr>
            <w:r w:rsidRPr="00DA1F8F">
              <w:rPr>
                <w:sz w:val="20"/>
                <w:szCs w:val="20"/>
              </w:rPr>
              <w:t>.42</w:t>
            </w:r>
          </w:p>
          <w:p w14:paraId="11499D0D" w14:textId="77777777" w:rsidR="0093472F" w:rsidRPr="00DA1F8F" w:rsidRDefault="0093472F" w:rsidP="00B861C5">
            <w:pPr>
              <w:jc w:val="center"/>
              <w:rPr>
                <w:sz w:val="20"/>
                <w:szCs w:val="20"/>
              </w:rPr>
            </w:pPr>
            <w:r w:rsidRPr="00DA1F8F">
              <w:rPr>
                <w:sz w:val="20"/>
                <w:szCs w:val="20"/>
              </w:rPr>
              <w:t>.36</w:t>
            </w:r>
          </w:p>
          <w:p w14:paraId="501ABEEF" w14:textId="77777777" w:rsidR="0093472F" w:rsidRPr="00DA1F8F" w:rsidRDefault="0093472F" w:rsidP="00B861C5">
            <w:pPr>
              <w:jc w:val="center"/>
              <w:rPr>
                <w:sz w:val="20"/>
                <w:szCs w:val="20"/>
              </w:rPr>
            </w:pPr>
            <w:r w:rsidRPr="00DA1F8F">
              <w:rPr>
                <w:sz w:val="20"/>
                <w:szCs w:val="20"/>
              </w:rPr>
              <w:t>.56</w:t>
            </w:r>
          </w:p>
          <w:p w14:paraId="2D1BAE0B" w14:textId="77777777" w:rsidR="0093472F" w:rsidRPr="00DA1F8F" w:rsidRDefault="0093472F" w:rsidP="00B861C5">
            <w:pPr>
              <w:jc w:val="center"/>
              <w:rPr>
                <w:sz w:val="20"/>
                <w:szCs w:val="20"/>
              </w:rPr>
            </w:pPr>
            <w:r w:rsidRPr="00DA1F8F">
              <w:rPr>
                <w:sz w:val="20"/>
                <w:szCs w:val="20"/>
              </w:rPr>
              <w:t>.08</w:t>
            </w:r>
          </w:p>
          <w:p w14:paraId="19F09FF5" w14:textId="77777777" w:rsidR="0093472F" w:rsidRPr="00DA1F8F" w:rsidRDefault="0093472F" w:rsidP="00B861C5">
            <w:pPr>
              <w:jc w:val="center"/>
              <w:rPr>
                <w:sz w:val="20"/>
                <w:szCs w:val="20"/>
              </w:rPr>
            </w:pPr>
            <w:r w:rsidRPr="00DA1F8F">
              <w:rPr>
                <w:sz w:val="20"/>
                <w:szCs w:val="20"/>
              </w:rPr>
              <w:t>1.00</w:t>
            </w:r>
          </w:p>
          <w:p w14:paraId="3F354A2D" w14:textId="77777777" w:rsidR="0093472F" w:rsidRPr="00DA1F8F" w:rsidRDefault="0093472F" w:rsidP="00B861C5">
            <w:pPr>
              <w:jc w:val="center"/>
              <w:rPr>
                <w:sz w:val="20"/>
                <w:szCs w:val="20"/>
              </w:rPr>
            </w:pPr>
            <w:r w:rsidRPr="00DA1F8F">
              <w:rPr>
                <w:sz w:val="20"/>
                <w:szCs w:val="20"/>
              </w:rPr>
              <w:t>.17</w:t>
            </w:r>
          </w:p>
          <w:p w14:paraId="7A6B87D2" w14:textId="77777777" w:rsidR="0093472F" w:rsidRPr="00DA1F8F" w:rsidRDefault="0093472F" w:rsidP="00B861C5">
            <w:pPr>
              <w:jc w:val="center"/>
              <w:rPr>
                <w:sz w:val="20"/>
                <w:szCs w:val="20"/>
              </w:rPr>
            </w:pPr>
            <w:r w:rsidRPr="00DA1F8F">
              <w:rPr>
                <w:sz w:val="20"/>
                <w:szCs w:val="20"/>
              </w:rPr>
              <w:t>.51</w:t>
            </w:r>
          </w:p>
        </w:tc>
      </w:tr>
      <w:tr w:rsidR="0093472F" w:rsidRPr="004F1D9E" w14:paraId="2B558238" w14:textId="77777777" w:rsidTr="00B861C5">
        <w:tc>
          <w:tcPr>
            <w:tcW w:w="4395" w:type="dxa"/>
          </w:tcPr>
          <w:p w14:paraId="4D4C34A9" w14:textId="77777777" w:rsidR="0093472F" w:rsidRPr="004F1D9E" w:rsidRDefault="0093472F" w:rsidP="00B861C5">
            <w:pPr>
              <w:rPr>
                <w:sz w:val="20"/>
                <w:szCs w:val="20"/>
              </w:rPr>
            </w:pPr>
            <w:r w:rsidRPr="004F1D9E">
              <w:rPr>
                <w:sz w:val="20"/>
                <w:szCs w:val="20"/>
              </w:rPr>
              <w:t>Backgrounds: N (%)*</w:t>
            </w:r>
          </w:p>
          <w:p w14:paraId="7F8D2370" w14:textId="14E64B93" w:rsidR="0093472F" w:rsidRPr="004F1D9E" w:rsidRDefault="00840AF7" w:rsidP="00B861C5">
            <w:pPr>
              <w:rPr>
                <w:sz w:val="20"/>
                <w:szCs w:val="20"/>
              </w:rPr>
            </w:pPr>
            <w:r>
              <w:rPr>
                <w:sz w:val="20"/>
                <w:szCs w:val="20"/>
              </w:rPr>
              <w:t xml:space="preserve"> </w:t>
            </w:r>
            <w:r w:rsidR="0093472F" w:rsidRPr="004F1D9E">
              <w:rPr>
                <w:sz w:val="20"/>
                <w:szCs w:val="20"/>
              </w:rPr>
              <w:t>Spent time in prison</w:t>
            </w:r>
          </w:p>
          <w:p w14:paraId="64957D0A" w14:textId="61EE0E55" w:rsidR="0093472F" w:rsidRPr="004F1D9E" w:rsidRDefault="00840AF7" w:rsidP="00B861C5">
            <w:pPr>
              <w:rPr>
                <w:sz w:val="20"/>
                <w:szCs w:val="20"/>
              </w:rPr>
            </w:pPr>
            <w:r>
              <w:rPr>
                <w:sz w:val="20"/>
                <w:szCs w:val="20"/>
              </w:rPr>
              <w:t xml:space="preserve"> </w:t>
            </w:r>
            <w:r w:rsidR="0093472F" w:rsidRPr="004F1D9E">
              <w:rPr>
                <w:sz w:val="20"/>
                <w:szCs w:val="20"/>
              </w:rPr>
              <w:t>Spent time in secure/young offender unit</w:t>
            </w:r>
          </w:p>
          <w:p w14:paraId="55EAE47D" w14:textId="04A8BB1C" w:rsidR="0093472F" w:rsidRPr="004F1D9E" w:rsidRDefault="00840AF7" w:rsidP="00B861C5">
            <w:pPr>
              <w:rPr>
                <w:sz w:val="20"/>
                <w:szCs w:val="20"/>
              </w:rPr>
            </w:pPr>
            <w:r>
              <w:rPr>
                <w:sz w:val="20"/>
                <w:szCs w:val="20"/>
              </w:rPr>
              <w:t xml:space="preserve"> </w:t>
            </w:r>
            <w:r w:rsidR="0093472F" w:rsidRPr="004F1D9E">
              <w:rPr>
                <w:sz w:val="20"/>
                <w:szCs w:val="20"/>
              </w:rPr>
              <w:t>Spent time in local authority care</w:t>
            </w:r>
          </w:p>
          <w:p w14:paraId="2F4C72EB" w14:textId="581EC7AF" w:rsidR="0093472F" w:rsidRPr="004F1D9E" w:rsidRDefault="00840AF7" w:rsidP="00B861C5">
            <w:pPr>
              <w:rPr>
                <w:sz w:val="20"/>
                <w:szCs w:val="20"/>
              </w:rPr>
            </w:pPr>
            <w:r>
              <w:rPr>
                <w:sz w:val="20"/>
                <w:szCs w:val="20"/>
              </w:rPr>
              <w:t xml:space="preserve"> </w:t>
            </w:r>
            <w:r w:rsidR="0093472F" w:rsidRPr="004F1D9E">
              <w:rPr>
                <w:sz w:val="20"/>
                <w:szCs w:val="20"/>
              </w:rPr>
              <w:t>Spent time in the armed forces</w:t>
            </w:r>
          </w:p>
          <w:p w14:paraId="22E15D3E" w14:textId="2FDF6C5A" w:rsidR="0093472F" w:rsidRPr="004F1D9E" w:rsidRDefault="00840AF7" w:rsidP="00B861C5">
            <w:pPr>
              <w:rPr>
                <w:sz w:val="20"/>
                <w:szCs w:val="20"/>
              </w:rPr>
            </w:pPr>
            <w:r>
              <w:rPr>
                <w:sz w:val="20"/>
                <w:szCs w:val="20"/>
              </w:rPr>
              <w:t xml:space="preserve"> </w:t>
            </w:r>
            <w:r w:rsidR="0093472F" w:rsidRPr="004F1D9E">
              <w:rPr>
                <w:sz w:val="20"/>
                <w:szCs w:val="20"/>
              </w:rPr>
              <w:t>Admitted to hospital due to mental illness</w:t>
            </w:r>
          </w:p>
          <w:p w14:paraId="3AC2CC05" w14:textId="294C8220" w:rsidR="0093472F" w:rsidRPr="004F1D9E" w:rsidRDefault="00840AF7" w:rsidP="00B861C5">
            <w:pPr>
              <w:rPr>
                <w:sz w:val="20"/>
                <w:szCs w:val="20"/>
              </w:rPr>
            </w:pPr>
            <w:r>
              <w:rPr>
                <w:sz w:val="20"/>
                <w:szCs w:val="20"/>
              </w:rPr>
              <w:t xml:space="preserve"> </w:t>
            </w:r>
            <w:r w:rsidR="0093472F" w:rsidRPr="004F1D9E">
              <w:rPr>
                <w:sz w:val="20"/>
                <w:szCs w:val="20"/>
              </w:rPr>
              <w:t>Been a victim of domestic violence</w:t>
            </w:r>
          </w:p>
        </w:tc>
        <w:tc>
          <w:tcPr>
            <w:tcW w:w="1464" w:type="dxa"/>
          </w:tcPr>
          <w:p w14:paraId="5E19B401" w14:textId="77777777" w:rsidR="0093472F" w:rsidRPr="004F1D9E" w:rsidRDefault="0093472F" w:rsidP="00B861C5">
            <w:pPr>
              <w:jc w:val="center"/>
              <w:rPr>
                <w:sz w:val="20"/>
                <w:szCs w:val="20"/>
              </w:rPr>
            </w:pPr>
          </w:p>
          <w:p w14:paraId="1B1B828D" w14:textId="77777777" w:rsidR="0093472F" w:rsidRPr="004F1D9E" w:rsidRDefault="0093472F" w:rsidP="00B861C5">
            <w:pPr>
              <w:jc w:val="center"/>
              <w:rPr>
                <w:sz w:val="20"/>
                <w:szCs w:val="20"/>
              </w:rPr>
            </w:pPr>
            <w:r w:rsidRPr="004F1D9E">
              <w:rPr>
                <w:sz w:val="20"/>
                <w:szCs w:val="20"/>
              </w:rPr>
              <w:t>40 (50)</w:t>
            </w:r>
          </w:p>
          <w:p w14:paraId="096C1C30" w14:textId="77777777" w:rsidR="0093472F" w:rsidRPr="004F1D9E" w:rsidRDefault="0093472F" w:rsidP="00B861C5">
            <w:pPr>
              <w:jc w:val="center"/>
              <w:rPr>
                <w:sz w:val="20"/>
                <w:szCs w:val="20"/>
              </w:rPr>
            </w:pPr>
            <w:r w:rsidRPr="004F1D9E">
              <w:rPr>
                <w:sz w:val="20"/>
                <w:szCs w:val="20"/>
              </w:rPr>
              <w:t>18 (22.5)</w:t>
            </w:r>
          </w:p>
          <w:p w14:paraId="1382236C" w14:textId="77777777" w:rsidR="0093472F" w:rsidRPr="004F1D9E" w:rsidRDefault="0093472F" w:rsidP="00B861C5">
            <w:pPr>
              <w:jc w:val="center"/>
              <w:rPr>
                <w:sz w:val="20"/>
                <w:szCs w:val="20"/>
              </w:rPr>
            </w:pPr>
            <w:r w:rsidRPr="004F1D9E">
              <w:rPr>
                <w:sz w:val="20"/>
                <w:szCs w:val="20"/>
              </w:rPr>
              <w:t>17 (21.3)</w:t>
            </w:r>
          </w:p>
          <w:p w14:paraId="0295B2BE" w14:textId="77777777" w:rsidR="0093472F" w:rsidRPr="004F1D9E" w:rsidRDefault="0093472F" w:rsidP="00B861C5">
            <w:pPr>
              <w:jc w:val="center"/>
              <w:rPr>
                <w:sz w:val="20"/>
                <w:szCs w:val="20"/>
              </w:rPr>
            </w:pPr>
            <w:r w:rsidRPr="004F1D9E">
              <w:rPr>
                <w:sz w:val="20"/>
                <w:szCs w:val="20"/>
              </w:rPr>
              <w:t>7 (8.8)</w:t>
            </w:r>
          </w:p>
          <w:p w14:paraId="43F6C198" w14:textId="77777777" w:rsidR="0093472F" w:rsidRDefault="0093472F" w:rsidP="00B861C5">
            <w:pPr>
              <w:jc w:val="center"/>
              <w:rPr>
                <w:sz w:val="20"/>
                <w:szCs w:val="20"/>
              </w:rPr>
            </w:pPr>
            <w:r w:rsidRPr="004F1D9E">
              <w:rPr>
                <w:sz w:val="20"/>
                <w:szCs w:val="20"/>
              </w:rPr>
              <w:t>31 (38.8)</w:t>
            </w:r>
          </w:p>
          <w:p w14:paraId="6C6DC241" w14:textId="77777777" w:rsidR="0093472F" w:rsidRPr="004F1D9E" w:rsidRDefault="0093472F" w:rsidP="00B861C5">
            <w:pPr>
              <w:jc w:val="center"/>
              <w:rPr>
                <w:sz w:val="20"/>
                <w:szCs w:val="20"/>
              </w:rPr>
            </w:pPr>
            <w:r>
              <w:rPr>
                <w:sz w:val="20"/>
                <w:szCs w:val="20"/>
              </w:rPr>
              <w:t>31 (38.8)</w:t>
            </w:r>
          </w:p>
        </w:tc>
        <w:tc>
          <w:tcPr>
            <w:tcW w:w="1465" w:type="dxa"/>
          </w:tcPr>
          <w:p w14:paraId="49C226E2" w14:textId="77777777" w:rsidR="0093472F" w:rsidRDefault="0093472F" w:rsidP="00B861C5">
            <w:pPr>
              <w:jc w:val="center"/>
              <w:rPr>
                <w:sz w:val="20"/>
                <w:szCs w:val="20"/>
              </w:rPr>
            </w:pPr>
          </w:p>
          <w:p w14:paraId="385A7BE7" w14:textId="77777777" w:rsidR="0093472F" w:rsidRDefault="0093472F" w:rsidP="00B861C5">
            <w:pPr>
              <w:jc w:val="center"/>
              <w:rPr>
                <w:sz w:val="20"/>
                <w:szCs w:val="20"/>
              </w:rPr>
            </w:pPr>
            <w:r>
              <w:rPr>
                <w:sz w:val="20"/>
                <w:szCs w:val="20"/>
              </w:rPr>
              <w:t>19 (40)</w:t>
            </w:r>
          </w:p>
          <w:p w14:paraId="0250118E" w14:textId="77777777" w:rsidR="0093472F" w:rsidRDefault="0093472F" w:rsidP="00B861C5">
            <w:pPr>
              <w:jc w:val="center"/>
              <w:rPr>
                <w:sz w:val="20"/>
                <w:szCs w:val="20"/>
              </w:rPr>
            </w:pPr>
            <w:r>
              <w:rPr>
                <w:sz w:val="20"/>
                <w:szCs w:val="20"/>
              </w:rPr>
              <w:t>9 (18.75)</w:t>
            </w:r>
          </w:p>
          <w:p w14:paraId="54BE36BF" w14:textId="77777777" w:rsidR="0093472F" w:rsidRDefault="0093472F" w:rsidP="00B861C5">
            <w:pPr>
              <w:jc w:val="center"/>
              <w:rPr>
                <w:sz w:val="20"/>
                <w:szCs w:val="20"/>
              </w:rPr>
            </w:pPr>
            <w:r>
              <w:rPr>
                <w:sz w:val="20"/>
                <w:szCs w:val="20"/>
              </w:rPr>
              <w:t>7 (14.58)</w:t>
            </w:r>
          </w:p>
          <w:p w14:paraId="20472624" w14:textId="77777777" w:rsidR="0093472F" w:rsidRDefault="0093472F" w:rsidP="00B861C5">
            <w:pPr>
              <w:jc w:val="center"/>
              <w:rPr>
                <w:sz w:val="20"/>
                <w:szCs w:val="20"/>
              </w:rPr>
            </w:pPr>
            <w:r>
              <w:rPr>
                <w:sz w:val="20"/>
                <w:szCs w:val="20"/>
              </w:rPr>
              <w:t>3 (6.25)</w:t>
            </w:r>
          </w:p>
          <w:p w14:paraId="648EFB02" w14:textId="77777777" w:rsidR="0093472F" w:rsidRDefault="0093472F" w:rsidP="00B861C5">
            <w:pPr>
              <w:jc w:val="center"/>
              <w:rPr>
                <w:sz w:val="20"/>
                <w:szCs w:val="20"/>
              </w:rPr>
            </w:pPr>
            <w:r>
              <w:rPr>
                <w:sz w:val="20"/>
                <w:szCs w:val="20"/>
              </w:rPr>
              <w:t>18 (37.5)</w:t>
            </w:r>
          </w:p>
          <w:p w14:paraId="5C4063F3" w14:textId="77777777" w:rsidR="0093472F" w:rsidRPr="004F1D9E" w:rsidRDefault="0093472F" w:rsidP="00B861C5">
            <w:pPr>
              <w:jc w:val="center"/>
              <w:rPr>
                <w:sz w:val="20"/>
                <w:szCs w:val="20"/>
              </w:rPr>
            </w:pPr>
            <w:r>
              <w:rPr>
                <w:sz w:val="20"/>
                <w:szCs w:val="20"/>
              </w:rPr>
              <w:t>18 (37.5)</w:t>
            </w:r>
          </w:p>
        </w:tc>
        <w:tc>
          <w:tcPr>
            <w:tcW w:w="1465" w:type="dxa"/>
          </w:tcPr>
          <w:p w14:paraId="2D475485" w14:textId="77777777" w:rsidR="0093472F" w:rsidRDefault="0093472F" w:rsidP="00B861C5">
            <w:pPr>
              <w:jc w:val="center"/>
              <w:rPr>
                <w:sz w:val="20"/>
                <w:szCs w:val="20"/>
              </w:rPr>
            </w:pPr>
          </w:p>
          <w:p w14:paraId="248233BB" w14:textId="77777777" w:rsidR="0093472F" w:rsidRDefault="0093472F" w:rsidP="00B861C5">
            <w:pPr>
              <w:jc w:val="center"/>
              <w:rPr>
                <w:sz w:val="20"/>
                <w:szCs w:val="20"/>
              </w:rPr>
            </w:pPr>
            <w:r>
              <w:rPr>
                <w:sz w:val="20"/>
                <w:szCs w:val="20"/>
              </w:rPr>
              <w:t>21 (65.63)</w:t>
            </w:r>
          </w:p>
          <w:p w14:paraId="3207565D" w14:textId="77777777" w:rsidR="0093472F" w:rsidRDefault="0093472F" w:rsidP="00B861C5">
            <w:pPr>
              <w:jc w:val="center"/>
              <w:rPr>
                <w:sz w:val="20"/>
                <w:szCs w:val="20"/>
              </w:rPr>
            </w:pPr>
            <w:r>
              <w:rPr>
                <w:sz w:val="20"/>
                <w:szCs w:val="20"/>
              </w:rPr>
              <w:t>9 (28.13)</w:t>
            </w:r>
          </w:p>
          <w:p w14:paraId="5E8907EC" w14:textId="77777777" w:rsidR="0093472F" w:rsidRDefault="0093472F" w:rsidP="00B861C5">
            <w:pPr>
              <w:jc w:val="center"/>
              <w:rPr>
                <w:sz w:val="20"/>
                <w:szCs w:val="20"/>
              </w:rPr>
            </w:pPr>
            <w:r>
              <w:rPr>
                <w:sz w:val="20"/>
                <w:szCs w:val="20"/>
              </w:rPr>
              <w:t>10 (31.25)</w:t>
            </w:r>
          </w:p>
          <w:p w14:paraId="4A01D647" w14:textId="77777777" w:rsidR="0093472F" w:rsidRDefault="0093472F" w:rsidP="00B861C5">
            <w:pPr>
              <w:jc w:val="center"/>
              <w:rPr>
                <w:sz w:val="20"/>
                <w:szCs w:val="20"/>
              </w:rPr>
            </w:pPr>
            <w:r>
              <w:rPr>
                <w:sz w:val="20"/>
                <w:szCs w:val="20"/>
              </w:rPr>
              <w:t>4 (12.5)</w:t>
            </w:r>
          </w:p>
          <w:p w14:paraId="43865110" w14:textId="77777777" w:rsidR="0093472F" w:rsidRDefault="0093472F" w:rsidP="00B861C5">
            <w:pPr>
              <w:jc w:val="center"/>
              <w:rPr>
                <w:sz w:val="20"/>
                <w:szCs w:val="20"/>
              </w:rPr>
            </w:pPr>
            <w:r>
              <w:rPr>
                <w:sz w:val="20"/>
                <w:szCs w:val="20"/>
              </w:rPr>
              <w:t>13 (40.63)</w:t>
            </w:r>
          </w:p>
          <w:p w14:paraId="12E0A28A" w14:textId="77777777" w:rsidR="0093472F" w:rsidRPr="004F1D9E" w:rsidRDefault="0093472F" w:rsidP="00B861C5">
            <w:pPr>
              <w:jc w:val="center"/>
              <w:rPr>
                <w:sz w:val="20"/>
                <w:szCs w:val="20"/>
              </w:rPr>
            </w:pPr>
            <w:r>
              <w:rPr>
                <w:sz w:val="20"/>
                <w:szCs w:val="20"/>
              </w:rPr>
              <w:t>13 (40.63)</w:t>
            </w:r>
          </w:p>
        </w:tc>
        <w:tc>
          <w:tcPr>
            <w:tcW w:w="810" w:type="dxa"/>
          </w:tcPr>
          <w:p w14:paraId="4EC845CC" w14:textId="77777777" w:rsidR="0093472F" w:rsidRPr="00DA1F8F" w:rsidRDefault="0093472F" w:rsidP="00B861C5">
            <w:pPr>
              <w:jc w:val="center"/>
              <w:rPr>
                <w:sz w:val="20"/>
                <w:szCs w:val="20"/>
              </w:rPr>
            </w:pPr>
          </w:p>
          <w:p w14:paraId="742A8FC1" w14:textId="77777777" w:rsidR="0093472F" w:rsidRPr="00DA1F8F" w:rsidRDefault="0093472F" w:rsidP="00B861C5">
            <w:pPr>
              <w:jc w:val="center"/>
              <w:rPr>
                <w:sz w:val="20"/>
                <w:szCs w:val="20"/>
              </w:rPr>
            </w:pPr>
            <w:r w:rsidRPr="00DA1F8F">
              <w:rPr>
                <w:sz w:val="20"/>
                <w:szCs w:val="20"/>
              </w:rPr>
              <w:t>.</w:t>
            </w:r>
            <w:r w:rsidRPr="00DA1F8F">
              <w:rPr>
                <w:b/>
                <w:sz w:val="20"/>
                <w:szCs w:val="20"/>
              </w:rPr>
              <w:t>04</w:t>
            </w:r>
          </w:p>
          <w:p w14:paraId="1FD9C77E" w14:textId="77777777" w:rsidR="0093472F" w:rsidRPr="00DA1F8F" w:rsidRDefault="0093472F" w:rsidP="00B861C5">
            <w:pPr>
              <w:jc w:val="center"/>
              <w:rPr>
                <w:sz w:val="20"/>
                <w:szCs w:val="20"/>
              </w:rPr>
            </w:pPr>
            <w:r w:rsidRPr="00DA1F8F">
              <w:rPr>
                <w:sz w:val="20"/>
                <w:szCs w:val="20"/>
              </w:rPr>
              <w:t>.41</w:t>
            </w:r>
          </w:p>
          <w:p w14:paraId="00C6E14D" w14:textId="77777777" w:rsidR="0093472F" w:rsidRPr="00DA1F8F" w:rsidRDefault="0093472F" w:rsidP="00B861C5">
            <w:pPr>
              <w:jc w:val="center"/>
              <w:rPr>
                <w:sz w:val="20"/>
                <w:szCs w:val="20"/>
              </w:rPr>
            </w:pPr>
            <w:r w:rsidRPr="00DA1F8F">
              <w:rPr>
                <w:sz w:val="20"/>
                <w:szCs w:val="20"/>
              </w:rPr>
              <w:t>.10</w:t>
            </w:r>
          </w:p>
          <w:p w14:paraId="68BE071C" w14:textId="77777777" w:rsidR="0093472F" w:rsidRPr="00DA1F8F" w:rsidRDefault="0093472F" w:rsidP="00B861C5">
            <w:pPr>
              <w:jc w:val="center"/>
              <w:rPr>
                <w:sz w:val="20"/>
                <w:szCs w:val="20"/>
              </w:rPr>
            </w:pPr>
            <w:r w:rsidRPr="00DA1F8F">
              <w:rPr>
                <w:sz w:val="20"/>
                <w:szCs w:val="20"/>
              </w:rPr>
              <w:t>.43</w:t>
            </w:r>
          </w:p>
          <w:p w14:paraId="5D23A998" w14:textId="77777777" w:rsidR="0093472F" w:rsidRPr="00DA1F8F" w:rsidRDefault="0093472F" w:rsidP="00B861C5">
            <w:pPr>
              <w:jc w:val="center"/>
              <w:rPr>
                <w:sz w:val="20"/>
                <w:szCs w:val="20"/>
              </w:rPr>
            </w:pPr>
            <w:r w:rsidRPr="00DA1F8F">
              <w:rPr>
                <w:sz w:val="20"/>
                <w:szCs w:val="20"/>
              </w:rPr>
              <w:t>1.00</w:t>
            </w:r>
          </w:p>
          <w:p w14:paraId="3C2E0B27" w14:textId="77777777" w:rsidR="0093472F" w:rsidRPr="00DA1F8F" w:rsidRDefault="0093472F" w:rsidP="00B861C5">
            <w:pPr>
              <w:jc w:val="center"/>
              <w:rPr>
                <w:sz w:val="20"/>
                <w:szCs w:val="20"/>
              </w:rPr>
            </w:pPr>
            <w:r w:rsidRPr="00DA1F8F">
              <w:rPr>
                <w:sz w:val="20"/>
                <w:szCs w:val="20"/>
              </w:rPr>
              <w:t>1.00</w:t>
            </w:r>
          </w:p>
          <w:p w14:paraId="4D6EB654" w14:textId="77777777" w:rsidR="0093472F" w:rsidRPr="00DA1F8F" w:rsidRDefault="0093472F" w:rsidP="00B861C5">
            <w:pPr>
              <w:jc w:val="center"/>
              <w:rPr>
                <w:sz w:val="20"/>
                <w:szCs w:val="20"/>
              </w:rPr>
            </w:pPr>
          </w:p>
        </w:tc>
      </w:tr>
      <w:tr w:rsidR="0093472F" w:rsidRPr="004F1D9E" w14:paraId="279F0016" w14:textId="77777777" w:rsidTr="00B861C5">
        <w:tc>
          <w:tcPr>
            <w:tcW w:w="4395" w:type="dxa"/>
          </w:tcPr>
          <w:p w14:paraId="0A715FAF" w14:textId="77777777" w:rsidR="0093472F" w:rsidRPr="004F1D9E" w:rsidRDefault="0093472F" w:rsidP="00B861C5">
            <w:pPr>
              <w:rPr>
                <w:sz w:val="20"/>
                <w:szCs w:val="20"/>
              </w:rPr>
            </w:pPr>
            <w:r w:rsidRPr="004F1D9E">
              <w:rPr>
                <w:sz w:val="20"/>
                <w:szCs w:val="20"/>
              </w:rPr>
              <w:t>Highest level of education: N (%)</w:t>
            </w:r>
          </w:p>
          <w:p w14:paraId="3A707F09" w14:textId="77777777" w:rsidR="0093472F" w:rsidRPr="004F1D9E" w:rsidRDefault="0093472F" w:rsidP="00B861C5">
            <w:pPr>
              <w:rPr>
                <w:sz w:val="20"/>
                <w:szCs w:val="20"/>
              </w:rPr>
            </w:pPr>
            <w:r w:rsidRPr="004F1D9E">
              <w:rPr>
                <w:sz w:val="20"/>
                <w:szCs w:val="20"/>
              </w:rPr>
              <w:t xml:space="preserve"> School (</w:t>
            </w:r>
            <w:r>
              <w:rPr>
                <w:sz w:val="20"/>
                <w:szCs w:val="20"/>
              </w:rPr>
              <w:t>s</w:t>
            </w:r>
            <w:r w:rsidRPr="004F1D9E">
              <w:rPr>
                <w:sz w:val="20"/>
                <w:szCs w:val="20"/>
              </w:rPr>
              <w:t>topped prior to GCSE/standard grade</w:t>
            </w:r>
          </w:p>
          <w:p w14:paraId="08C65A88" w14:textId="77777777" w:rsidR="0093472F" w:rsidRPr="004F1D9E" w:rsidRDefault="0093472F" w:rsidP="00B861C5">
            <w:pPr>
              <w:rPr>
                <w:sz w:val="20"/>
                <w:szCs w:val="20"/>
              </w:rPr>
            </w:pPr>
            <w:r w:rsidRPr="004F1D9E">
              <w:rPr>
                <w:sz w:val="20"/>
                <w:szCs w:val="20"/>
              </w:rPr>
              <w:t xml:space="preserve"> School (GCSE/Standard grade)</w:t>
            </w:r>
          </w:p>
          <w:p w14:paraId="3C8BDA37" w14:textId="77777777" w:rsidR="0093472F" w:rsidRPr="004F1D9E" w:rsidRDefault="0093472F" w:rsidP="00B861C5">
            <w:pPr>
              <w:rPr>
                <w:sz w:val="20"/>
                <w:szCs w:val="20"/>
              </w:rPr>
            </w:pPr>
            <w:r w:rsidRPr="004F1D9E">
              <w:rPr>
                <w:sz w:val="20"/>
                <w:szCs w:val="20"/>
              </w:rPr>
              <w:t xml:space="preserve"> College (A-level/FE/Highers)</w:t>
            </w:r>
          </w:p>
          <w:p w14:paraId="5C3F3C68" w14:textId="7728DFC3" w:rsidR="0093472F" w:rsidRPr="004F1D9E" w:rsidRDefault="0093472F" w:rsidP="00B861C5">
            <w:pPr>
              <w:rPr>
                <w:sz w:val="20"/>
                <w:szCs w:val="20"/>
              </w:rPr>
            </w:pPr>
            <w:r w:rsidRPr="004F1D9E">
              <w:rPr>
                <w:sz w:val="20"/>
                <w:szCs w:val="20"/>
              </w:rPr>
              <w:t xml:space="preserve"> University</w:t>
            </w:r>
            <w:r w:rsidR="00840AF7">
              <w:rPr>
                <w:sz w:val="20"/>
                <w:szCs w:val="20"/>
              </w:rPr>
              <w:t xml:space="preserve"> </w:t>
            </w:r>
            <w:r w:rsidRPr="004F1D9E">
              <w:rPr>
                <w:sz w:val="20"/>
                <w:szCs w:val="20"/>
              </w:rPr>
              <w:t>(degree level)</w:t>
            </w:r>
          </w:p>
          <w:p w14:paraId="00FD461D" w14:textId="761D2962" w:rsidR="0093472F" w:rsidRPr="004F1D9E" w:rsidRDefault="0093472F" w:rsidP="00B861C5">
            <w:pPr>
              <w:rPr>
                <w:sz w:val="20"/>
                <w:szCs w:val="20"/>
              </w:rPr>
            </w:pPr>
            <w:r w:rsidRPr="004F1D9E">
              <w:rPr>
                <w:sz w:val="20"/>
                <w:szCs w:val="20"/>
              </w:rPr>
              <w:t xml:space="preserve"> University</w:t>
            </w:r>
            <w:r w:rsidR="00840AF7">
              <w:rPr>
                <w:sz w:val="20"/>
                <w:szCs w:val="20"/>
              </w:rPr>
              <w:t xml:space="preserve"> </w:t>
            </w:r>
            <w:r w:rsidRPr="004F1D9E">
              <w:rPr>
                <w:sz w:val="20"/>
                <w:szCs w:val="20"/>
              </w:rPr>
              <w:t>(post-graduate, higher level)</w:t>
            </w:r>
          </w:p>
        </w:tc>
        <w:tc>
          <w:tcPr>
            <w:tcW w:w="1464" w:type="dxa"/>
          </w:tcPr>
          <w:p w14:paraId="0F778255" w14:textId="77777777" w:rsidR="0093472F" w:rsidRPr="004F1D9E" w:rsidRDefault="0093472F" w:rsidP="00B861C5">
            <w:pPr>
              <w:jc w:val="center"/>
              <w:rPr>
                <w:sz w:val="20"/>
                <w:szCs w:val="20"/>
              </w:rPr>
            </w:pPr>
          </w:p>
          <w:p w14:paraId="76CFA868" w14:textId="77777777" w:rsidR="0093472F" w:rsidRPr="004F1D9E" w:rsidRDefault="0093472F" w:rsidP="00B861C5">
            <w:pPr>
              <w:jc w:val="center"/>
              <w:rPr>
                <w:sz w:val="20"/>
                <w:szCs w:val="20"/>
              </w:rPr>
            </w:pPr>
            <w:r w:rsidRPr="004F1D9E">
              <w:rPr>
                <w:sz w:val="20"/>
                <w:szCs w:val="20"/>
              </w:rPr>
              <w:t>24 (30)</w:t>
            </w:r>
          </w:p>
          <w:p w14:paraId="177C8599" w14:textId="77777777" w:rsidR="0093472F" w:rsidRPr="004F1D9E" w:rsidRDefault="0093472F" w:rsidP="00B861C5">
            <w:pPr>
              <w:jc w:val="center"/>
              <w:rPr>
                <w:sz w:val="20"/>
                <w:szCs w:val="20"/>
              </w:rPr>
            </w:pPr>
            <w:r w:rsidRPr="004F1D9E">
              <w:rPr>
                <w:sz w:val="20"/>
                <w:szCs w:val="20"/>
              </w:rPr>
              <w:t>26 (32.5)</w:t>
            </w:r>
          </w:p>
          <w:p w14:paraId="1F1DF85B" w14:textId="77777777" w:rsidR="0093472F" w:rsidRPr="004F1D9E" w:rsidRDefault="0093472F" w:rsidP="00B861C5">
            <w:pPr>
              <w:jc w:val="center"/>
              <w:rPr>
                <w:sz w:val="20"/>
                <w:szCs w:val="20"/>
              </w:rPr>
            </w:pPr>
            <w:r w:rsidRPr="004F1D9E">
              <w:rPr>
                <w:sz w:val="20"/>
                <w:szCs w:val="20"/>
              </w:rPr>
              <w:t>25 (31.3)</w:t>
            </w:r>
          </w:p>
          <w:p w14:paraId="5BCD7042" w14:textId="77777777" w:rsidR="0093472F" w:rsidRPr="004F1D9E" w:rsidRDefault="0093472F" w:rsidP="00B861C5">
            <w:pPr>
              <w:jc w:val="center"/>
              <w:rPr>
                <w:sz w:val="20"/>
                <w:szCs w:val="20"/>
              </w:rPr>
            </w:pPr>
            <w:r w:rsidRPr="004F1D9E">
              <w:rPr>
                <w:sz w:val="20"/>
                <w:szCs w:val="20"/>
              </w:rPr>
              <w:t>4 (5)</w:t>
            </w:r>
          </w:p>
          <w:p w14:paraId="73586C77" w14:textId="77777777" w:rsidR="0093472F" w:rsidRPr="004F1D9E" w:rsidRDefault="0093472F" w:rsidP="00B861C5">
            <w:pPr>
              <w:jc w:val="center"/>
              <w:rPr>
                <w:sz w:val="20"/>
                <w:szCs w:val="20"/>
              </w:rPr>
            </w:pPr>
            <w:r w:rsidRPr="004F1D9E">
              <w:rPr>
                <w:sz w:val="20"/>
                <w:szCs w:val="20"/>
              </w:rPr>
              <w:t>1 (1.3)</w:t>
            </w:r>
          </w:p>
        </w:tc>
        <w:tc>
          <w:tcPr>
            <w:tcW w:w="1465" w:type="dxa"/>
          </w:tcPr>
          <w:p w14:paraId="2245FEED" w14:textId="77777777" w:rsidR="0093472F" w:rsidRDefault="0093472F" w:rsidP="00B861C5">
            <w:pPr>
              <w:jc w:val="center"/>
              <w:rPr>
                <w:sz w:val="20"/>
                <w:szCs w:val="20"/>
              </w:rPr>
            </w:pPr>
          </w:p>
          <w:p w14:paraId="7251A0F0" w14:textId="77777777" w:rsidR="0093472F" w:rsidRDefault="0093472F" w:rsidP="00B861C5">
            <w:pPr>
              <w:jc w:val="center"/>
              <w:rPr>
                <w:sz w:val="20"/>
                <w:szCs w:val="20"/>
              </w:rPr>
            </w:pPr>
            <w:r>
              <w:rPr>
                <w:sz w:val="20"/>
                <w:szCs w:val="20"/>
              </w:rPr>
              <w:t>17 (35.42)</w:t>
            </w:r>
          </w:p>
          <w:p w14:paraId="40980508" w14:textId="77777777" w:rsidR="0093472F" w:rsidRDefault="0093472F" w:rsidP="00B861C5">
            <w:pPr>
              <w:jc w:val="center"/>
              <w:rPr>
                <w:sz w:val="20"/>
                <w:szCs w:val="20"/>
              </w:rPr>
            </w:pPr>
            <w:r>
              <w:rPr>
                <w:sz w:val="20"/>
                <w:szCs w:val="20"/>
              </w:rPr>
              <w:t>13 (27.08)</w:t>
            </w:r>
          </w:p>
          <w:p w14:paraId="2305E8D6" w14:textId="77777777" w:rsidR="0093472F" w:rsidRDefault="0093472F" w:rsidP="00B861C5">
            <w:pPr>
              <w:jc w:val="center"/>
              <w:rPr>
                <w:sz w:val="20"/>
                <w:szCs w:val="20"/>
              </w:rPr>
            </w:pPr>
            <w:r>
              <w:rPr>
                <w:sz w:val="20"/>
                <w:szCs w:val="20"/>
              </w:rPr>
              <w:t>15 (31.25)</w:t>
            </w:r>
          </w:p>
          <w:p w14:paraId="34C226EB" w14:textId="77777777" w:rsidR="0093472F" w:rsidRDefault="0093472F" w:rsidP="00B861C5">
            <w:pPr>
              <w:jc w:val="center"/>
              <w:rPr>
                <w:sz w:val="20"/>
                <w:szCs w:val="20"/>
              </w:rPr>
            </w:pPr>
            <w:r>
              <w:rPr>
                <w:sz w:val="20"/>
                <w:szCs w:val="20"/>
              </w:rPr>
              <w:t>3 (6.25)</w:t>
            </w:r>
          </w:p>
          <w:p w14:paraId="175BE2A9" w14:textId="77777777" w:rsidR="0093472F" w:rsidRPr="004F1D9E" w:rsidRDefault="0093472F" w:rsidP="00B861C5">
            <w:pPr>
              <w:jc w:val="center"/>
              <w:rPr>
                <w:sz w:val="20"/>
                <w:szCs w:val="20"/>
              </w:rPr>
            </w:pPr>
            <w:r>
              <w:rPr>
                <w:sz w:val="20"/>
                <w:szCs w:val="20"/>
              </w:rPr>
              <w:t>0 (0)</w:t>
            </w:r>
          </w:p>
        </w:tc>
        <w:tc>
          <w:tcPr>
            <w:tcW w:w="1465" w:type="dxa"/>
          </w:tcPr>
          <w:p w14:paraId="3B132657" w14:textId="77777777" w:rsidR="0093472F" w:rsidRDefault="0093472F" w:rsidP="00B861C5">
            <w:pPr>
              <w:jc w:val="center"/>
              <w:rPr>
                <w:sz w:val="20"/>
                <w:szCs w:val="20"/>
              </w:rPr>
            </w:pPr>
          </w:p>
          <w:p w14:paraId="68B2B33E" w14:textId="77777777" w:rsidR="0093472F" w:rsidRDefault="0093472F" w:rsidP="00B861C5">
            <w:pPr>
              <w:jc w:val="center"/>
              <w:rPr>
                <w:sz w:val="20"/>
                <w:szCs w:val="20"/>
              </w:rPr>
            </w:pPr>
            <w:r>
              <w:rPr>
                <w:sz w:val="20"/>
                <w:szCs w:val="20"/>
              </w:rPr>
              <w:t>7 (21.88)</w:t>
            </w:r>
          </w:p>
          <w:p w14:paraId="2A9330FC" w14:textId="77777777" w:rsidR="0093472F" w:rsidRDefault="0093472F" w:rsidP="00B861C5">
            <w:pPr>
              <w:jc w:val="center"/>
              <w:rPr>
                <w:sz w:val="20"/>
                <w:szCs w:val="20"/>
              </w:rPr>
            </w:pPr>
            <w:r>
              <w:rPr>
                <w:sz w:val="20"/>
                <w:szCs w:val="20"/>
              </w:rPr>
              <w:t>13 (40.63)</w:t>
            </w:r>
          </w:p>
          <w:p w14:paraId="6BCAF6C1" w14:textId="77777777" w:rsidR="0093472F" w:rsidRDefault="0093472F" w:rsidP="00B861C5">
            <w:pPr>
              <w:jc w:val="center"/>
              <w:rPr>
                <w:sz w:val="20"/>
                <w:szCs w:val="20"/>
              </w:rPr>
            </w:pPr>
            <w:r>
              <w:rPr>
                <w:sz w:val="20"/>
                <w:szCs w:val="20"/>
              </w:rPr>
              <w:t>10 (31.25)</w:t>
            </w:r>
          </w:p>
          <w:p w14:paraId="646947B1" w14:textId="77777777" w:rsidR="0093472F" w:rsidRDefault="0093472F" w:rsidP="00B861C5">
            <w:pPr>
              <w:jc w:val="center"/>
              <w:rPr>
                <w:sz w:val="20"/>
                <w:szCs w:val="20"/>
              </w:rPr>
            </w:pPr>
            <w:r>
              <w:rPr>
                <w:sz w:val="20"/>
                <w:szCs w:val="20"/>
              </w:rPr>
              <w:t>1 (3.13)</w:t>
            </w:r>
          </w:p>
          <w:p w14:paraId="35F03BA0" w14:textId="77777777" w:rsidR="0093472F" w:rsidRPr="004F1D9E" w:rsidRDefault="0093472F" w:rsidP="00B861C5">
            <w:pPr>
              <w:jc w:val="center"/>
              <w:rPr>
                <w:sz w:val="20"/>
                <w:szCs w:val="20"/>
              </w:rPr>
            </w:pPr>
            <w:r>
              <w:rPr>
                <w:sz w:val="20"/>
                <w:szCs w:val="20"/>
              </w:rPr>
              <w:t>1 (3.13)</w:t>
            </w:r>
          </w:p>
        </w:tc>
        <w:tc>
          <w:tcPr>
            <w:tcW w:w="810" w:type="dxa"/>
          </w:tcPr>
          <w:p w14:paraId="5C2C394C" w14:textId="77777777" w:rsidR="0093472F" w:rsidRPr="00DA1F8F" w:rsidRDefault="0093472F" w:rsidP="00B861C5">
            <w:pPr>
              <w:jc w:val="center"/>
              <w:rPr>
                <w:sz w:val="20"/>
                <w:szCs w:val="20"/>
              </w:rPr>
            </w:pPr>
            <w:r w:rsidRPr="00DA1F8F">
              <w:rPr>
                <w:sz w:val="20"/>
                <w:szCs w:val="20"/>
              </w:rPr>
              <w:t>.40</w:t>
            </w:r>
          </w:p>
        </w:tc>
      </w:tr>
      <w:tr w:rsidR="0093472F" w:rsidRPr="004F1D9E" w14:paraId="7A3E7C37" w14:textId="77777777" w:rsidTr="00B861C5">
        <w:tc>
          <w:tcPr>
            <w:tcW w:w="4395" w:type="dxa"/>
          </w:tcPr>
          <w:p w14:paraId="19D31FEA" w14:textId="77777777" w:rsidR="0093472F" w:rsidRPr="004F1D9E" w:rsidRDefault="0093472F" w:rsidP="00B861C5">
            <w:pPr>
              <w:rPr>
                <w:sz w:val="20"/>
                <w:szCs w:val="20"/>
              </w:rPr>
            </w:pPr>
            <w:r w:rsidRPr="004F1D9E">
              <w:rPr>
                <w:sz w:val="20"/>
                <w:szCs w:val="20"/>
              </w:rPr>
              <w:t>Ethnicity: N (%)</w:t>
            </w:r>
          </w:p>
          <w:p w14:paraId="537C1844" w14:textId="57C98405" w:rsidR="0093472F" w:rsidRPr="004F1D9E" w:rsidRDefault="00840AF7" w:rsidP="00B861C5">
            <w:pPr>
              <w:rPr>
                <w:sz w:val="20"/>
                <w:szCs w:val="20"/>
              </w:rPr>
            </w:pPr>
            <w:r>
              <w:rPr>
                <w:sz w:val="20"/>
                <w:szCs w:val="20"/>
              </w:rPr>
              <w:t xml:space="preserve"> </w:t>
            </w:r>
            <w:r w:rsidR="0093472F" w:rsidRPr="004F1D9E">
              <w:rPr>
                <w:sz w:val="20"/>
                <w:szCs w:val="20"/>
              </w:rPr>
              <w:t xml:space="preserve">White </w:t>
            </w:r>
          </w:p>
          <w:p w14:paraId="5ABBD4C0" w14:textId="68DA918D" w:rsidR="0093472F" w:rsidRPr="004F1D9E" w:rsidRDefault="00840AF7" w:rsidP="00B861C5">
            <w:pPr>
              <w:rPr>
                <w:sz w:val="20"/>
                <w:szCs w:val="20"/>
              </w:rPr>
            </w:pPr>
            <w:r>
              <w:rPr>
                <w:sz w:val="20"/>
                <w:szCs w:val="20"/>
              </w:rPr>
              <w:t xml:space="preserve"> </w:t>
            </w:r>
            <w:r w:rsidR="0093472F" w:rsidRPr="004F1D9E">
              <w:rPr>
                <w:sz w:val="20"/>
                <w:szCs w:val="20"/>
              </w:rPr>
              <w:t xml:space="preserve">Asian/Asian British </w:t>
            </w:r>
          </w:p>
          <w:p w14:paraId="72DDA0BD" w14:textId="240EB0FB" w:rsidR="0093472F" w:rsidRPr="004F1D9E" w:rsidRDefault="00840AF7" w:rsidP="00B861C5">
            <w:pPr>
              <w:rPr>
                <w:sz w:val="20"/>
                <w:szCs w:val="20"/>
              </w:rPr>
            </w:pPr>
            <w:r>
              <w:rPr>
                <w:sz w:val="20"/>
                <w:szCs w:val="20"/>
              </w:rPr>
              <w:t xml:space="preserve"> </w:t>
            </w:r>
            <w:r w:rsidR="0093472F" w:rsidRPr="004F1D9E">
              <w:rPr>
                <w:sz w:val="20"/>
                <w:szCs w:val="20"/>
              </w:rPr>
              <w:t xml:space="preserve">Black/Black British </w:t>
            </w:r>
          </w:p>
          <w:p w14:paraId="3B6C6E71" w14:textId="62A85018" w:rsidR="0093472F" w:rsidRPr="004F1D9E" w:rsidRDefault="00840AF7" w:rsidP="00B861C5">
            <w:pPr>
              <w:rPr>
                <w:sz w:val="20"/>
                <w:szCs w:val="20"/>
              </w:rPr>
            </w:pPr>
            <w:r>
              <w:rPr>
                <w:sz w:val="20"/>
                <w:szCs w:val="20"/>
              </w:rPr>
              <w:t xml:space="preserve"> </w:t>
            </w:r>
            <w:r w:rsidR="0093472F" w:rsidRPr="004F1D9E">
              <w:rPr>
                <w:sz w:val="20"/>
                <w:szCs w:val="20"/>
              </w:rPr>
              <w:t>Mixed race/multiple ethnic groups</w:t>
            </w:r>
          </w:p>
        </w:tc>
        <w:tc>
          <w:tcPr>
            <w:tcW w:w="1464" w:type="dxa"/>
          </w:tcPr>
          <w:p w14:paraId="49D5C196" w14:textId="77777777" w:rsidR="0093472F" w:rsidRPr="004F1D9E" w:rsidRDefault="0093472F" w:rsidP="00B861C5">
            <w:pPr>
              <w:jc w:val="center"/>
              <w:rPr>
                <w:sz w:val="20"/>
                <w:szCs w:val="20"/>
              </w:rPr>
            </w:pPr>
          </w:p>
          <w:p w14:paraId="28707DD9" w14:textId="77777777" w:rsidR="0093472F" w:rsidRPr="004F1D9E" w:rsidRDefault="0093472F" w:rsidP="00B861C5">
            <w:pPr>
              <w:jc w:val="center"/>
              <w:rPr>
                <w:sz w:val="20"/>
                <w:szCs w:val="20"/>
              </w:rPr>
            </w:pPr>
            <w:r w:rsidRPr="004F1D9E">
              <w:rPr>
                <w:sz w:val="20"/>
                <w:szCs w:val="20"/>
              </w:rPr>
              <w:t>61 (76.3)</w:t>
            </w:r>
          </w:p>
          <w:p w14:paraId="7E98A5F3" w14:textId="77777777" w:rsidR="0093472F" w:rsidRPr="004F1D9E" w:rsidRDefault="0093472F" w:rsidP="00B861C5">
            <w:pPr>
              <w:jc w:val="center"/>
              <w:rPr>
                <w:sz w:val="20"/>
                <w:szCs w:val="20"/>
              </w:rPr>
            </w:pPr>
            <w:r w:rsidRPr="004F1D9E">
              <w:rPr>
                <w:sz w:val="20"/>
                <w:szCs w:val="20"/>
              </w:rPr>
              <w:t>2 (2.6)</w:t>
            </w:r>
          </w:p>
          <w:p w14:paraId="41235D5A" w14:textId="77777777" w:rsidR="0093472F" w:rsidRPr="004F1D9E" w:rsidRDefault="0093472F" w:rsidP="00B861C5">
            <w:pPr>
              <w:jc w:val="center"/>
              <w:rPr>
                <w:sz w:val="20"/>
                <w:szCs w:val="20"/>
              </w:rPr>
            </w:pPr>
            <w:r w:rsidRPr="004F1D9E">
              <w:rPr>
                <w:sz w:val="20"/>
                <w:szCs w:val="20"/>
              </w:rPr>
              <w:t>9 (11.4)</w:t>
            </w:r>
          </w:p>
          <w:p w14:paraId="04C12C20" w14:textId="77777777" w:rsidR="0093472F" w:rsidRPr="004F1D9E" w:rsidRDefault="0093472F" w:rsidP="00B861C5">
            <w:pPr>
              <w:jc w:val="center"/>
              <w:rPr>
                <w:sz w:val="20"/>
                <w:szCs w:val="20"/>
              </w:rPr>
            </w:pPr>
            <w:r w:rsidRPr="004F1D9E">
              <w:rPr>
                <w:sz w:val="20"/>
                <w:szCs w:val="20"/>
              </w:rPr>
              <w:t>8 (10.2)</w:t>
            </w:r>
          </w:p>
        </w:tc>
        <w:tc>
          <w:tcPr>
            <w:tcW w:w="1465" w:type="dxa"/>
          </w:tcPr>
          <w:p w14:paraId="01C686B8" w14:textId="77777777" w:rsidR="0093472F" w:rsidRDefault="0093472F" w:rsidP="00B861C5">
            <w:pPr>
              <w:jc w:val="center"/>
              <w:rPr>
                <w:sz w:val="20"/>
                <w:szCs w:val="20"/>
              </w:rPr>
            </w:pPr>
          </w:p>
          <w:p w14:paraId="382AF213" w14:textId="77777777" w:rsidR="0093472F" w:rsidRDefault="0093472F" w:rsidP="00B861C5">
            <w:pPr>
              <w:jc w:val="center"/>
              <w:rPr>
                <w:sz w:val="20"/>
                <w:szCs w:val="20"/>
              </w:rPr>
            </w:pPr>
            <w:r>
              <w:rPr>
                <w:sz w:val="20"/>
                <w:szCs w:val="20"/>
              </w:rPr>
              <w:t>35 (72.92)</w:t>
            </w:r>
          </w:p>
          <w:p w14:paraId="62958357" w14:textId="77777777" w:rsidR="0093472F" w:rsidRDefault="0093472F" w:rsidP="00B861C5">
            <w:pPr>
              <w:jc w:val="center"/>
              <w:rPr>
                <w:sz w:val="20"/>
                <w:szCs w:val="20"/>
              </w:rPr>
            </w:pPr>
            <w:r>
              <w:rPr>
                <w:sz w:val="20"/>
                <w:szCs w:val="20"/>
              </w:rPr>
              <w:t>6 (12.50)</w:t>
            </w:r>
          </w:p>
          <w:p w14:paraId="1CDC998B" w14:textId="77777777" w:rsidR="0093472F" w:rsidRDefault="0093472F" w:rsidP="00B861C5">
            <w:pPr>
              <w:jc w:val="center"/>
              <w:rPr>
                <w:sz w:val="20"/>
                <w:szCs w:val="20"/>
              </w:rPr>
            </w:pPr>
            <w:r>
              <w:rPr>
                <w:sz w:val="20"/>
                <w:szCs w:val="20"/>
              </w:rPr>
              <w:t>2 (4.17))</w:t>
            </w:r>
          </w:p>
          <w:p w14:paraId="55FB236A" w14:textId="77777777" w:rsidR="0093472F" w:rsidRPr="004F1D9E" w:rsidRDefault="0093472F" w:rsidP="00B861C5">
            <w:pPr>
              <w:jc w:val="center"/>
              <w:rPr>
                <w:sz w:val="20"/>
                <w:szCs w:val="20"/>
              </w:rPr>
            </w:pPr>
            <w:r>
              <w:rPr>
                <w:sz w:val="20"/>
                <w:szCs w:val="20"/>
              </w:rPr>
              <w:t>5 (10.42)</w:t>
            </w:r>
          </w:p>
        </w:tc>
        <w:tc>
          <w:tcPr>
            <w:tcW w:w="1465" w:type="dxa"/>
          </w:tcPr>
          <w:p w14:paraId="1E8A8302" w14:textId="77777777" w:rsidR="0093472F" w:rsidRDefault="0093472F" w:rsidP="00B861C5">
            <w:pPr>
              <w:jc w:val="center"/>
              <w:rPr>
                <w:sz w:val="20"/>
                <w:szCs w:val="20"/>
              </w:rPr>
            </w:pPr>
          </w:p>
          <w:p w14:paraId="42D0B3FA" w14:textId="77777777" w:rsidR="0093472F" w:rsidRDefault="0093472F" w:rsidP="00B861C5">
            <w:pPr>
              <w:jc w:val="center"/>
              <w:rPr>
                <w:sz w:val="20"/>
                <w:szCs w:val="20"/>
              </w:rPr>
            </w:pPr>
            <w:r>
              <w:rPr>
                <w:sz w:val="20"/>
                <w:szCs w:val="20"/>
              </w:rPr>
              <w:t>26 (81.25)</w:t>
            </w:r>
          </w:p>
          <w:p w14:paraId="5B9545E6" w14:textId="77777777" w:rsidR="0093472F" w:rsidRDefault="0093472F" w:rsidP="00B861C5">
            <w:pPr>
              <w:jc w:val="center"/>
              <w:rPr>
                <w:sz w:val="20"/>
                <w:szCs w:val="20"/>
              </w:rPr>
            </w:pPr>
            <w:r>
              <w:rPr>
                <w:sz w:val="20"/>
                <w:szCs w:val="20"/>
              </w:rPr>
              <w:t>2 (6.25)</w:t>
            </w:r>
          </w:p>
          <w:p w14:paraId="08A77EB8" w14:textId="77777777" w:rsidR="0093472F" w:rsidRDefault="0093472F" w:rsidP="00B861C5">
            <w:pPr>
              <w:jc w:val="center"/>
              <w:rPr>
                <w:sz w:val="20"/>
                <w:szCs w:val="20"/>
              </w:rPr>
            </w:pPr>
            <w:r>
              <w:rPr>
                <w:sz w:val="20"/>
                <w:szCs w:val="20"/>
              </w:rPr>
              <w:t>0 (0)</w:t>
            </w:r>
          </w:p>
          <w:p w14:paraId="1CB51D7B" w14:textId="77777777" w:rsidR="0093472F" w:rsidRPr="004F1D9E" w:rsidRDefault="0093472F" w:rsidP="00B861C5">
            <w:pPr>
              <w:jc w:val="center"/>
              <w:rPr>
                <w:sz w:val="20"/>
                <w:szCs w:val="20"/>
              </w:rPr>
            </w:pPr>
            <w:r>
              <w:rPr>
                <w:sz w:val="20"/>
                <w:szCs w:val="20"/>
              </w:rPr>
              <w:t>4 (12.5)</w:t>
            </w:r>
          </w:p>
        </w:tc>
        <w:tc>
          <w:tcPr>
            <w:tcW w:w="810" w:type="dxa"/>
          </w:tcPr>
          <w:p w14:paraId="6B38B9D8" w14:textId="77777777" w:rsidR="0093472F" w:rsidRPr="00DA1F8F" w:rsidRDefault="0093472F" w:rsidP="00B861C5">
            <w:pPr>
              <w:jc w:val="center"/>
              <w:rPr>
                <w:sz w:val="20"/>
                <w:szCs w:val="20"/>
              </w:rPr>
            </w:pPr>
            <w:r w:rsidRPr="00DA1F8F">
              <w:rPr>
                <w:sz w:val="20"/>
                <w:szCs w:val="20"/>
              </w:rPr>
              <w:t>.64</w:t>
            </w:r>
          </w:p>
        </w:tc>
      </w:tr>
      <w:tr w:rsidR="0093472F" w:rsidRPr="004F1D9E" w14:paraId="077F5DA6" w14:textId="77777777" w:rsidTr="00B861C5">
        <w:tc>
          <w:tcPr>
            <w:tcW w:w="4395" w:type="dxa"/>
          </w:tcPr>
          <w:p w14:paraId="4A3047C9" w14:textId="77777777" w:rsidR="0093472F" w:rsidRPr="004F1D9E" w:rsidRDefault="0093472F" w:rsidP="00B861C5">
            <w:pPr>
              <w:rPr>
                <w:sz w:val="20"/>
                <w:szCs w:val="20"/>
              </w:rPr>
            </w:pPr>
            <w:r w:rsidRPr="004F1D9E">
              <w:rPr>
                <w:sz w:val="20"/>
                <w:szCs w:val="20"/>
              </w:rPr>
              <w:t>Sexual Orientation: N (%)</w:t>
            </w:r>
          </w:p>
          <w:p w14:paraId="393EC2F6" w14:textId="6E158A6C" w:rsidR="0093472F" w:rsidRPr="004F1D9E" w:rsidRDefault="00840AF7" w:rsidP="00B861C5">
            <w:pPr>
              <w:rPr>
                <w:sz w:val="20"/>
                <w:szCs w:val="20"/>
              </w:rPr>
            </w:pPr>
            <w:r>
              <w:rPr>
                <w:sz w:val="20"/>
                <w:szCs w:val="20"/>
              </w:rPr>
              <w:t xml:space="preserve"> </w:t>
            </w:r>
            <w:r w:rsidR="0093472F" w:rsidRPr="004F1D9E">
              <w:rPr>
                <w:sz w:val="20"/>
                <w:szCs w:val="20"/>
              </w:rPr>
              <w:t>Heterosexual or straight</w:t>
            </w:r>
          </w:p>
          <w:p w14:paraId="37CA2225" w14:textId="4B6C4C0B" w:rsidR="0093472F" w:rsidRPr="004F1D9E" w:rsidRDefault="00840AF7" w:rsidP="00B861C5">
            <w:pPr>
              <w:rPr>
                <w:sz w:val="20"/>
                <w:szCs w:val="20"/>
              </w:rPr>
            </w:pPr>
            <w:r>
              <w:rPr>
                <w:sz w:val="20"/>
                <w:szCs w:val="20"/>
              </w:rPr>
              <w:t xml:space="preserve"> </w:t>
            </w:r>
            <w:r w:rsidR="0093472F" w:rsidRPr="004F1D9E">
              <w:rPr>
                <w:sz w:val="20"/>
                <w:szCs w:val="20"/>
              </w:rPr>
              <w:t>Gay or lesbian</w:t>
            </w:r>
          </w:p>
          <w:p w14:paraId="608CC9EB" w14:textId="14AE10C0" w:rsidR="0093472F" w:rsidRPr="004F1D9E" w:rsidRDefault="00840AF7" w:rsidP="00B861C5">
            <w:pPr>
              <w:rPr>
                <w:sz w:val="20"/>
                <w:szCs w:val="20"/>
              </w:rPr>
            </w:pPr>
            <w:r>
              <w:rPr>
                <w:sz w:val="20"/>
                <w:szCs w:val="20"/>
              </w:rPr>
              <w:t xml:space="preserve"> </w:t>
            </w:r>
            <w:r w:rsidR="0093472F" w:rsidRPr="004F1D9E">
              <w:rPr>
                <w:sz w:val="20"/>
                <w:szCs w:val="20"/>
              </w:rPr>
              <w:t>Bi-sexual</w:t>
            </w:r>
          </w:p>
          <w:p w14:paraId="142B2C78" w14:textId="74C5458D" w:rsidR="0093472F" w:rsidRPr="004F1D9E" w:rsidRDefault="00840AF7" w:rsidP="00B861C5">
            <w:pPr>
              <w:rPr>
                <w:sz w:val="20"/>
                <w:szCs w:val="20"/>
              </w:rPr>
            </w:pPr>
            <w:r>
              <w:rPr>
                <w:sz w:val="20"/>
                <w:szCs w:val="20"/>
              </w:rPr>
              <w:t xml:space="preserve"> </w:t>
            </w:r>
            <w:r w:rsidR="0093472F" w:rsidRPr="004F1D9E">
              <w:rPr>
                <w:sz w:val="20"/>
                <w:szCs w:val="20"/>
              </w:rPr>
              <w:t>Prefer to self-define</w:t>
            </w:r>
          </w:p>
          <w:p w14:paraId="5755A0E1" w14:textId="4F0A2E14" w:rsidR="0093472F" w:rsidRPr="004F1D9E" w:rsidRDefault="00840AF7" w:rsidP="00B861C5">
            <w:pPr>
              <w:rPr>
                <w:sz w:val="20"/>
                <w:szCs w:val="20"/>
              </w:rPr>
            </w:pPr>
            <w:r>
              <w:rPr>
                <w:sz w:val="20"/>
                <w:szCs w:val="20"/>
              </w:rPr>
              <w:t xml:space="preserve"> </w:t>
            </w:r>
            <w:r w:rsidR="0093472F" w:rsidRPr="004F1D9E">
              <w:rPr>
                <w:sz w:val="20"/>
                <w:szCs w:val="20"/>
              </w:rPr>
              <w:t>Prefer not to say</w:t>
            </w:r>
          </w:p>
          <w:p w14:paraId="0B09B4CE" w14:textId="549698D8" w:rsidR="0093472F" w:rsidRPr="004F1D9E" w:rsidRDefault="00840AF7" w:rsidP="00B861C5">
            <w:pPr>
              <w:rPr>
                <w:sz w:val="20"/>
                <w:szCs w:val="20"/>
              </w:rPr>
            </w:pPr>
            <w:r>
              <w:rPr>
                <w:sz w:val="20"/>
                <w:szCs w:val="20"/>
              </w:rPr>
              <w:t xml:space="preserve"> </w:t>
            </w:r>
            <w:r w:rsidR="0093472F" w:rsidRPr="004F1D9E">
              <w:rPr>
                <w:sz w:val="20"/>
                <w:szCs w:val="20"/>
              </w:rPr>
              <w:t>Missing</w:t>
            </w:r>
          </w:p>
        </w:tc>
        <w:tc>
          <w:tcPr>
            <w:tcW w:w="1464" w:type="dxa"/>
          </w:tcPr>
          <w:p w14:paraId="0E69E6E1" w14:textId="77777777" w:rsidR="0093472F" w:rsidRPr="004F1D9E" w:rsidRDefault="0093472F" w:rsidP="00B861C5">
            <w:pPr>
              <w:jc w:val="center"/>
              <w:rPr>
                <w:sz w:val="20"/>
                <w:szCs w:val="20"/>
              </w:rPr>
            </w:pPr>
          </w:p>
          <w:p w14:paraId="0FCB0761" w14:textId="77777777" w:rsidR="0093472F" w:rsidRPr="004F1D9E" w:rsidRDefault="0093472F" w:rsidP="00B861C5">
            <w:pPr>
              <w:jc w:val="center"/>
              <w:rPr>
                <w:sz w:val="20"/>
                <w:szCs w:val="20"/>
              </w:rPr>
            </w:pPr>
            <w:r w:rsidRPr="004F1D9E">
              <w:rPr>
                <w:sz w:val="20"/>
                <w:szCs w:val="20"/>
              </w:rPr>
              <w:t>68 (85)</w:t>
            </w:r>
          </w:p>
          <w:p w14:paraId="7AE6CC35" w14:textId="77777777" w:rsidR="0093472F" w:rsidRPr="004F1D9E" w:rsidRDefault="0093472F" w:rsidP="00B861C5">
            <w:pPr>
              <w:jc w:val="center"/>
              <w:rPr>
                <w:sz w:val="20"/>
                <w:szCs w:val="20"/>
              </w:rPr>
            </w:pPr>
            <w:r w:rsidRPr="004F1D9E">
              <w:rPr>
                <w:sz w:val="20"/>
                <w:szCs w:val="20"/>
              </w:rPr>
              <w:t>1 (1.3)</w:t>
            </w:r>
          </w:p>
          <w:p w14:paraId="03350166" w14:textId="77777777" w:rsidR="0093472F" w:rsidRPr="004F1D9E" w:rsidRDefault="0093472F" w:rsidP="00B861C5">
            <w:pPr>
              <w:jc w:val="center"/>
              <w:rPr>
                <w:sz w:val="20"/>
                <w:szCs w:val="20"/>
              </w:rPr>
            </w:pPr>
            <w:r w:rsidRPr="004F1D9E">
              <w:rPr>
                <w:sz w:val="20"/>
                <w:szCs w:val="20"/>
              </w:rPr>
              <w:t>3 (3.8)</w:t>
            </w:r>
          </w:p>
          <w:p w14:paraId="23834826" w14:textId="77777777" w:rsidR="0093472F" w:rsidRPr="004F1D9E" w:rsidRDefault="0093472F" w:rsidP="00B861C5">
            <w:pPr>
              <w:jc w:val="center"/>
              <w:rPr>
                <w:sz w:val="20"/>
                <w:szCs w:val="20"/>
              </w:rPr>
            </w:pPr>
            <w:r w:rsidRPr="004F1D9E">
              <w:rPr>
                <w:sz w:val="20"/>
                <w:szCs w:val="20"/>
              </w:rPr>
              <w:t>3 (3.8)</w:t>
            </w:r>
          </w:p>
          <w:p w14:paraId="7E73A615" w14:textId="77777777" w:rsidR="0093472F" w:rsidRPr="004F1D9E" w:rsidRDefault="0093472F" w:rsidP="00B861C5">
            <w:pPr>
              <w:jc w:val="center"/>
              <w:rPr>
                <w:sz w:val="20"/>
                <w:szCs w:val="20"/>
              </w:rPr>
            </w:pPr>
            <w:r w:rsidRPr="004F1D9E">
              <w:rPr>
                <w:sz w:val="20"/>
                <w:szCs w:val="20"/>
              </w:rPr>
              <w:t>3 (3.8)</w:t>
            </w:r>
          </w:p>
          <w:p w14:paraId="35B76106" w14:textId="77777777" w:rsidR="0093472F" w:rsidRPr="004F1D9E" w:rsidRDefault="0093472F" w:rsidP="00B861C5">
            <w:pPr>
              <w:jc w:val="center"/>
              <w:rPr>
                <w:sz w:val="20"/>
                <w:szCs w:val="20"/>
              </w:rPr>
            </w:pPr>
            <w:r w:rsidRPr="004F1D9E">
              <w:rPr>
                <w:sz w:val="20"/>
                <w:szCs w:val="20"/>
              </w:rPr>
              <w:t>2 (2.5)</w:t>
            </w:r>
          </w:p>
        </w:tc>
        <w:tc>
          <w:tcPr>
            <w:tcW w:w="1465" w:type="dxa"/>
          </w:tcPr>
          <w:p w14:paraId="57120483" w14:textId="77777777" w:rsidR="0093472F" w:rsidRDefault="0093472F" w:rsidP="00B861C5">
            <w:pPr>
              <w:jc w:val="center"/>
              <w:rPr>
                <w:sz w:val="20"/>
                <w:szCs w:val="20"/>
              </w:rPr>
            </w:pPr>
          </w:p>
          <w:p w14:paraId="6943ED8E" w14:textId="77777777" w:rsidR="0093472F" w:rsidRDefault="0093472F" w:rsidP="00B861C5">
            <w:pPr>
              <w:jc w:val="center"/>
              <w:rPr>
                <w:sz w:val="20"/>
                <w:szCs w:val="20"/>
              </w:rPr>
            </w:pPr>
            <w:r>
              <w:rPr>
                <w:sz w:val="20"/>
                <w:szCs w:val="20"/>
              </w:rPr>
              <w:t>40 (83.33)</w:t>
            </w:r>
          </w:p>
          <w:p w14:paraId="6DFD43DD" w14:textId="77777777" w:rsidR="0093472F" w:rsidRDefault="0093472F" w:rsidP="00B861C5">
            <w:pPr>
              <w:jc w:val="center"/>
              <w:rPr>
                <w:sz w:val="20"/>
                <w:szCs w:val="20"/>
              </w:rPr>
            </w:pPr>
            <w:r>
              <w:rPr>
                <w:sz w:val="20"/>
                <w:szCs w:val="20"/>
              </w:rPr>
              <w:t>1 (2.08)</w:t>
            </w:r>
          </w:p>
          <w:p w14:paraId="282168FA" w14:textId="77777777" w:rsidR="0093472F" w:rsidRDefault="0093472F" w:rsidP="00B861C5">
            <w:pPr>
              <w:jc w:val="center"/>
              <w:rPr>
                <w:sz w:val="20"/>
                <w:szCs w:val="20"/>
              </w:rPr>
            </w:pPr>
            <w:r>
              <w:rPr>
                <w:sz w:val="20"/>
                <w:szCs w:val="20"/>
              </w:rPr>
              <w:t>2 (4.16)</w:t>
            </w:r>
          </w:p>
          <w:p w14:paraId="24C503AE" w14:textId="77777777" w:rsidR="0093472F" w:rsidRDefault="0093472F" w:rsidP="00B861C5">
            <w:pPr>
              <w:jc w:val="center"/>
              <w:rPr>
                <w:sz w:val="20"/>
                <w:szCs w:val="20"/>
              </w:rPr>
            </w:pPr>
            <w:r>
              <w:rPr>
                <w:sz w:val="20"/>
                <w:szCs w:val="20"/>
              </w:rPr>
              <w:t>2 (4.16)</w:t>
            </w:r>
          </w:p>
          <w:p w14:paraId="352B0147" w14:textId="77777777" w:rsidR="0093472F" w:rsidRDefault="0093472F" w:rsidP="00B861C5">
            <w:pPr>
              <w:jc w:val="center"/>
              <w:rPr>
                <w:sz w:val="20"/>
                <w:szCs w:val="20"/>
              </w:rPr>
            </w:pPr>
            <w:r>
              <w:rPr>
                <w:sz w:val="20"/>
                <w:szCs w:val="20"/>
              </w:rPr>
              <w:t>3 (6.25)</w:t>
            </w:r>
          </w:p>
          <w:p w14:paraId="4DDCDD2E" w14:textId="77777777" w:rsidR="0093472F" w:rsidRPr="004F1D9E" w:rsidRDefault="0093472F" w:rsidP="00B861C5">
            <w:pPr>
              <w:jc w:val="center"/>
              <w:rPr>
                <w:sz w:val="20"/>
                <w:szCs w:val="20"/>
              </w:rPr>
            </w:pPr>
            <w:r>
              <w:rPr>
                <w:sz w:val="20"/>
                <w:szCs w:val="20"/>
              </w:rPr>
              <w:t>0 (0)</w:t>
            </w:r>
          </w:p>
        </w:tc>
        <w:tc>
          <w:tcPr>
            <w:tcW w:w="1465" w:type="dxa"/>
          </w:tcPr>
          <w:p w14:paraId="2D1E0621" w14:textId="77777777" w:rsidR="0093472F" w:rsidRDefault="0093472F" w:rsidP="00B861C5">
            <w:pPr>
              <w:jc w:val="center"/>
              <w:rPr>
                <w:sz w:val="20"/>
                <w:szCs w:val="20"/>
              </w:rPr>
            </w:pPr>
          </w:p>
          <w:p w14:paraId="73DDE059" w14:textId="77777777" w:rsidR="0093472F" w:rsidRDefault="0093472F" w:rsidP="00B861C5">
            <w:pPr>
              <w:jc w:val="center"/>
              <w:rPr>
                <w:sz w:val="20"/>
                <w:szCs w:val="20"/>
              </w:rPr>
            </w:pPr>
            <w:r>
              <w:rPr>
                <w:sz w:val="20"/>
                <w:szCs w:val="20"/>
              </w:rPr>
              <w:t>28 (87.5)</w:t>
            </w:r>
          </w:p>
          <w:p w14:paraId="21F4B7A9" w14:textId="77777777" w:rsidR="0093472F" w:rsidRDefault="0093472F" w:rsidP="00B861C5">
            <w:pPr>
              <w:jc w:val="center"/>
              <w:rPr>
                <w:sz w:val="20"/>
                <w:szCs w:val="20"/>
              </w:rPr>
            </w:pPr>
            <w:r>
              <w:rPr>
                <w:sz w:val="20"/>
                <w:szCs w:val="20"/>
              </w:rPr>
              <w:t>0 (0)</w:t>
            </w:r>
          </w:p>
          <w:p w14:paraId="443695A7" w14:textId="77777777" w:rsidR="0093472F" w:rsidRDefault="0093472F" w:rsidP="00B861C5">
            <w:pPr>
              <w:jc w:val="center"/>
              <w:rPr>
                <w:sz w:val="20"/>
                <w:szCs w:val="20"/>
              </w:rPr>
            </w:pPr>
            <w:r>
              <w:rPr>
                <w:sz w:val="20"/>
                <w:szCs w:val="20"/>
              </w:rPr>
              <w:t>1 (3.13)</w:t>
            </w:r>
          </w:p>
          <w:p w14:paraId="7D17F78A" w14:textId="77777777" w:rsidR="0093472F" w:rsidRDefault="0093472F" w:rsidP="00B861C5">
            <w:pPr>
              <w:jc w:val="center"/>
              <w:rPr>
                <w:sz w:val="20"/>
                <w:szCs w:val="20"/>
              </w:rPr>
            </w:pPr>
            <w:r>
              <w:rPr>
                <w:sz w:val="20"/>
                <w:szCs w:val="20"/>
              </w:rPr>
              <w:t>1 (3.13)</w:t>
            </w:r>
          </w:p>
          <w:p w14:paraId="1B805B1A" w14:textId="77777777" w:rsidR="0093472F" w:rsidRDefault="0093472F" w:rsidP="00B861C5">
            <w:pPr>
              <w:jc w:val="center"/>
              <w:rPr>
                <w:sz w:val="20"/>
                <w:szCs w:val="20"/>
              </w:rPr>
            </w:pPr>
            <w:r>
              <w:rPr>
                <w:sz w:val="20"/>
                <w:szCs w:val="20"/>
              </w:rPr>
              <w:t>0 (0)</w:t>
            </w:r>
          </w:p>
          <w:p w14:paraId="2633B290" w14:textId="77777777" w:rsidR="0093472F" w:rsidRPr="004F1D9E" w:rsidRDefault="0093472F" w:rsidP="00B861C5">
            <w:pPr>
              <w:jc w:val="center"/>
              <w:rPr>
                <w:sz w:val="20"/>
                <w:szCs w:val="20"/>
              </w:rPr>
            </w:pPr>
            <w:r>
              <w:rPr>
                <w:sz w:val="20"/>
                <w:szCs w:val="20"/>
              </w:rPr>
              <w:t>2 (6.25)</w:t>
            </w:r>
          </w:p>
        </w:tc>
        <w:tc>
          <w:tcPr>
            <w:tcW w:w="810" w:type="dxa"/>
          </w:tcPr>
          <w:p w14:paraId="2856080B" w14:textId="77777777" w:rsidR="0093472F" w:rsidRPr="00DA1F8F" w:rsidRDefault="0093472F" w:rsidP="00B861C5">
            <w:pPr>
              <w:jc w:val="center"/>
              <w:rPr>
                <w:sz w:val="20"/>
                <w:szCs w:val="20"/>
              </w:rPr>
            </w:pPr>
            <w:r w:rsidRPr="00DA1F8F">
              <w:rPr>
                <w:sz w:val="20"/>
                <w:szCs w:val="20"/>
              </w:rPr>
              <w:t>.81</w:t>
            </w:r>
          </w:p>
        </w:tc>
      </w:tr>
      <w:tr w:rsidR="0093472F" w:rsidRPr="004F1D9E" w14:paraId="59257AD8" w14:textId="77777777" w:rsidTr="00B861C5">
        <w:tc>
          <w:tcPr>
            <w:tcW w:w="4395" w:type="dxa"/>
          </w:tcPr>
          <w:p w14:paraId="3C386001" w14:textId="77777777" w:rsidR="0093472F" w:rsidRPr="004F1D9E" w:rsidRDefault="0093472F" w:rsidP="00B861C5">
            <w:pPr>
              <w:rPr>
                <w:sz w:val="20"/>
                <w:szCs w:val="20"/>
              </w:rPr>
            </w:pPr>
            <w:r w:rsidRPr="004F1D9E">
              <w:rPr>
                <w:sz w:val="20"/>
                <w:szCs w:val="20"/>
              </w:rPr>
              <w:t>Immigration Status: N (%)</w:t>
            </w:r>
          </w:p>
          <w:p w14:paraId="59C7D0C4" w14:textId="30727FAB" w:rsidR="0093472F" w:rsidRPr="004F1D9E" w:rsidRDefault="00840AF7" w:rsidP="00B861C5">
            <w:pPr>
              <w:rPr>
                <w:sz w:val="20"/>
                <w:szCs w:val="20"/>
              </w:rPr>
            </w:pPr>
            <w:r>
              <w:rPr>
                <w:sz w:val="20"/>
                <w:szCs w:val="20"/>
              </w:rPr>
              <w:t xml:space="preserve"> </w:t>
            </w:r>
            <w:r w:rsidR="0093472F" w:rsidRPr="004F1D9E">
              <w:rPr>
                <w:sz w:val="20"/>
                <w:szCs w:val="20"/>
              </w:rPr>
              <w:t>UK National</w:t>
            </w:r>
          </w:p>
          <w:p w14:paraId="726CC439" w14:textId="7F819463" w:rsidR="0093472F" w:rsidRPr="004F1D9E" w:rsidRDefault="00840AF7" w:rsidP="00B861C5">
            <w:pPr>
              <w:rPr>
                <w:sz w:val="20"/>
                <w:szCs w:val="20"/>
              </w:rPr>
            </w:pPr>
            <w:r>
              <w:rPr>
                <w:sz w:val="20"/>
                <w:szCs w:val="20"/>
              </w:rPr>
              <w:t xml:space="preserve"> </w:t>
            </w:r>
            <w:r w:rsidR="0093472F" w:rsidRPr="004F1D9E">
              <w:rPr>
                <w:sz w:val="20"/>
                <w:szCs w:val="20"/>
              </w:rPr>
              <w:t>European Economic Area (EEA) national</w:t>
            </w:r>
          </w:p>
        </w:tc>
        <w:tc>
          <w:tcPr>
            <w:tcW w:w="1464" w:type="dxa"/>
          </w:tcPr>
          <w:p w14:paraId="51B0B2D8" w14:textId="77777777" w:rsidR="0093472F" w:rsidRPr="004F1D9E" w:rsidRDefault="0093472F" w:rsidP="00B861C5">
            <w:pPr>
              <w:jc w:val="center"/>
              <w:rPr>
                <w:sz w:val="20"/>
                <w:szCs w:val="20"/>
              </w:rPr>
            </w:pPr>
          </w:p>
          <w:p w14:paraId="02C9F74B" w14:textId="77777777" w:rsidR="0093472F" w:rsidRPr="004F1D9E" w:rsidRDefault="0093472F" w:rsidP="00B861C5">
            <w:pPr>
              <w:jc w:val="center"/>
              <w:rPr>
                <w:sz w:val="20"/>
                <w:szCs w:val="20"/>
              </w:rPr>
            </w:pPr>
            <w:r w:rsidRPr="004F1D9E">
              <w:rPr>
                <w:sz w:val="20"/>
                <w:szCs w:val="20"/>
              </w:rPr>
              <w:t>74 (92.5)</w:t>
            </w:r>
          </w:p>
          <w:p w14:paraId="19209E2A" w14:textId="77777777" w:rsidR="0093472F" w:rsidRPr="004F1D9E" w:rsidRDefault="0093472F" w:rsidP="00B861C5">
            <w:pPr>
              <w:jc w:val="center"/>
              <w:rPr>
                <w:sz w:val="20"/>
                <w:szCs w:val="20"/>
              </w:rPr>
            </w:pPr>
            <w:r w:rsidRPr="004F1D9E">
              <w:rPr>
                <w:sz w:val="20"/>
                <w:szCs w:val="20"/>
              </w:rPr>
              <w:t>6 (7.5)</w:t>
            </w:r>
          </w:p>
        </w:tc>
        <w:tc>
          <w:tcPr>
            <w:tcW w:w="1465" w:type="dxa"/>
          </w:tcPr>
          <w:p w14:paraId="1360614B" w14:textId="77777777" w:rsidR="0093472F" w:rsidRDefault="0093472F" w:rsidP="00B861C5">
            <w:pPr>
              <w:jc w:val="center"/>
              <w:rPr>
                <w:sz w:val="20"/>
                <w:szCs w:val="20"/>
              </w:rPr>
            </w:pPr>
          </w:p>
          <w:p w14:paraId="73812EEB" w14:textId="77777777" w:rsidR="0093472F" w:rsidRDefault="0093472F" w:rsidP="00B861C5">
            <w:pPr>
              <w:jc w:val="center"/>
              <w:rPr>
                <w:sz w:val="20"/>
                <w:szCs w:val="20"/>
              </w:rPr>
            </w:pPr>
            <w:r>
              <w:rPr>
                <w:sz w:val="20"/>
                <w:szCs w:val="20"/>
              </w:rPr>
              <w:t>45 (93.75)</w:t>
            </w:r>
          </w:p>
          <w:p w14:paraId="3DF1E1CF" w14:textId="77777777" w:rsidR="0093472F" w:rsidRPr="004F1D9E" w:rsidRDefault="0093472F" w:rsidP="00B861C5">
            <w:pPr>
              <w:jc w:val="center"/>
              <w:rPr>
                <w:sz w:val="20"/>
                <w:szCs w:val="20"/>
              </w:rPr>
            </w:pPr>
            <w:r>
              <w:rPr>
                <w:sz w:val="20"/>
                <w:szCs w:val="20"/>
              </w:rPr>
              <w:t>3 (6.25)</w:t>
            </w:r>
          </w:p>
        </w:tc>
        <w:tc>
          <w:tcPr>
            <w:tcW w:w="1465" w:type="dxa"/>
          </w:tcPr>
          <w:p w14:paraId="0370A688" w14:textId="77777777" w:rsidR="0093472F" w:rsidRDefault="0093472F" w:rsidP="00B861C5">
            <w:pPr>
              <w:jc w:val="center"/>
              <w:rPr>
                <w:sz w:val="20"/>
                <w:szCs w:val="20"/>
              </w:rPr>
            </w:pPr>
          </w:p>
          <w:p w14:paraId="13B16B34" w14:textId="77777777" w:rsidR="0093472F" w:rsidRDefault="0093472F" w:rsidP="00B861C5">
            <w:pPr>
              <w:jc w:val="center"/>
              <w:rPr>
                <w:sz w:val="20"/>
                <w:szCs w:val="20"/>
              </w:rPr>
            </w:pPr>
            <w:r>
              <w:rPr>
                <w:sz w:val="20"/>
                <w:szCs w:val="20"/>
              </w:rPr>
              <w:t>29 (90.63)</w:t>
            </w:r>
          </w:p>
          <w:p w14:paraId="54418085" w14:textId="0870824D" w:rsidR="0093472F" w:rsidRPr="004F1D9E" w:rsidRDefault="0093472F" w:rsidP="00610D2B">
            <w:pPr>
              <w:jc w:val="center"/>
              <w:rPr>
                <w:sz w:val="20"/>
                <w:szCs w:val="20"/>
              </w:rPr>
            </w:pPr>
            <w:r>
              <w:rPr>
                <w:sz w:val="20"/>
                <w:szCs w:val="20"/>
              </w:rPr>
              <w:t>3 (9.38)</w:t>
            </w:r>
          </w:p>
        </w:tc>
        <w:tc>
          <w:tcPr>
            <w:tcW w:w="810" w:type="dxa"/>
          </w:tcPr>
          <w:p w14:paraId="6FEC5929" w14:textId="77777777" w:rsidR="0093472F" w:rsidRPr="00DA1F8F" w:rsidRDefault="0093472F" w:rsidP="00B861C5">
            <w:pPr>
              <w:jc w:val="center"/>
              <w:rPr>
                <w:sz w:val="20"/>
                <w:szCs w:val="20"/>
              </w:rPr>
            </w:pPr>
            <w:r w:rsidRPr="00DA1F8F">
              <w:rPr>
                <w:sz w:val="20"/>
                <w:szCs w:val="20"/>
              </w:rPr>
              <w:t>.68</w:t>
            </w:r>
          </w:p>
        </w:tc>
      </w:tr>
      <w:tr w:rsidR="0093472F" w:rsidRPr="004F1D9E" w14:paraId="6771332F" w14:textId="77777777" w:rsidTr="00B861C5">
        <w:tc>
          <w:tcPr>
            <w:tcW w:w="4395" w:type="dxa"/>
          </w:tcPr>
          <w:p w14:paraId="0DE6A18A" w14:textId="77777777" w:rsidR="0093472F" w:rsidRPr="004F1D9E" w:rsidRDefault="0093472F" w:rsidP="00B861C5">
            <w:pPr>
              <w:rPr>
                <w:sz w:val="20"/>
                <w:szCs w:val="20"/>
              </w:rPr>
            </w:pPr>
            <w:r w:rsidRPr="004F1D9E">
              <w:rPr>
                <w:sz w:val="20"/>
                <w:szCs w:val="20"/>
              </w:rPr>
              <w:t>Receiving public Funds (Benefits): N (%)</w:t>
            </w:r>
          </w:p>
          <w:p w14:paraId="63CFE247" w14:textId="00ECD97E" w:rsidR="0093472F" w:rsidRPr="004F1D9E" w:rsidRDefault="00840AF7" w:rsidP="00B861C5">
            <w:pPr>
              <w:rPr>
                <w:sz w:val="20"/>
                <w:szCs w:val="20"/>
              </w:rPr>
            </w:pPr>
            <w:r>
              <w:rPr>
                <w:sz w:val="20"/>
                <w:szCs w:val="20"/>
              </w:rPr>
              <w:t xml:space="preserve"> </w:t>
            </w:r>
            <w:r w:rsidR="0093472F" w:rsidRPr="004F1D9E">
              <w:rPr>
                <w:sz w:val="20"/>
                <w:szCs w:val="20"/>
              </w:rPr>
              <w:t>Yes</w:t>
            </w:r>
          </w:p>
          <w:p w14:paraId="3928B202" w14:textId="19605EB7" w:rsidR="0093472F" w:rsidRPr="004F1D9E" w:rsidRDefault="00840AF7" w:rsidP="00B861C5">
            <w:pPr>
              <w:rPr>
                <w:sz w:val="20"/>
                <w:szCs w:val="20"/>
              </w:rPr>
            </w:pPr>
            <w:r>
              <w:rPr>
                <w:sz w:val="20"/>
                <w:szCs w:val="20"/>
              </w:rPr>
              <w:t xml:space="preserve"> </w:t>
            </w:r>
            <w:r w:rsidR="0093472F" w:rsidRPr="004F1D9E">
              <w:rPr>
                <w:sz w:val="20"/>
                <w:szCs w:val="20"/>
              </w:rPr>
              <w:t>No</w:t>
            </w:r>
          </w:p>
        </w:tc>
        <w:tc>
          <w:tcPr>
            <w:tcW w:w="1464" w:type="dxa"/>
          </w:tcPr>
          <w:p w14:paraId="6941C600" w14:textId="77777777" w:rsidR="0093472F" w:rsidRPr="004F1D9E" w:rsidRDefault="0093472F" w:rsidP="00B861C5">
            <w:pPr>
              <w:jc w:val="center"/>
              <w:rPr>
                <w:sz w:val="20"/>
                <w:szCs w:val="20"/>
              </w:rPr>
            </w:pPr>
          </w:p>
          <w:p w14:paraId="1B55CE96" w14:textId="77777777" w:rsidR="0093472F" w:rsidRPr="004F1D9E" w:rsidRDefault="0093472F" w:rsidP="00B861C5">
            <w:pPr>
              <w:jc w:val="center"/>
              <w:rPr>
                <w:sz w:val="20"/>
                <w:szCs w:val="20"/>
              </w:rPr>
            </w:pPr>
            <w:r w:rsidRPr="004F1D9E">
              <w:rPr>
                <w:sz w:val="20"/>
                <w:szCs w:val="20"/>
              </w:rPr>
              <w:t>78 (97.5)</w:t>
            </w:r>
          </w:p>
          <w:p w14:paraId="45E30923" w14:textId="77777777" w:rsidR="0093472F" w:rsidRPr="004F1D9E" w:rsidRDefault="0093472F" w:rsidP="00B861C5">
            <w:pPr>
              <w:jc w:val="center"/>
              <w:rPr>
                <w:sz w:val="20"/>
                <w:szCs w:val="20"/>
              </w:rPr>
            </w:pPr>
            <w:r w:rsidRPr="004F1D9E">
              <w:rPr>
                <w:sz w:val="20"/>
                <w:szCs w:val="20"/>
              </w:rPr>
              <w:t>2 (2.5)</w:t>
            </w:r>
          </w:p>
        </w:tc>
        <w:tc>
          <w:tcPr>
            <w:tcW w:w="1465" w:type="dxa"/>
          </w:tcPr>
          <w:p w14:paraId="31E269D8" w14:textId="77777777" w:rsidR="0093472F" w:rsidRDefault="0093472F" w:rsidP="00B861C5">
            <w:pPr>
              <w:jc w:val="center"/>
              <w:rPr>
                <w:sz w:val="20"/>
                <w:szCs w:val="20"/>
              </w:rPr>
            </w:pPr>
          </w:p>
          <w:p w14:paraId="56034D0C" w14:textId="77777777" w:rsidR="0093472F" w:rsidRDefault="0093472F" w:rsidP="00B861C5">
            <w:pPr>
              <w:jc w:val="center"/>
              <w:rPr>
                <w:sz w:val="20"/>
                <w:szCs w:val="20"/>
              </w:rPr>
            </w:pPr>
            <w:r>
              <w:rPr>
                <w:sz w:val="20"/>
                <w:szCs w:val="20"/>
              </w:rPr>
              <w:t>48 (100)</w:t>
            </w:r>
          </w:p>
          <w:p w14:paraId="57AFAD6F" w14:textId="77777777" w:rsidR="0093472F" w:rsidRPr="004F1D9E" w:rsidRDefault="0093472F" w:rsidP="00B861C5">
            <w:pPr>
              <w:jc w:val="center"/>
              <w:rPr>
                <w:sz w:val="20"/>
                <w:szCs w:val="20"/>
              </w:rPr>
            </w:pPr>
            <w:r>
              <w:rPr>
                <w:sz w:val="20"/>
                <w:szCs w:val="20"/>
              </w:rPr>
              <w:t>0 (0)</w:t>
            </w:r>
          </w:p>
        </w:tc>
        <w:tc>
          <w:tcPr>
            <w:tcW w:w="1465" w:type="dxa"/>
          </w:tcPr>
          <w:p w14:paraId="099D60A2" w14:textId="77777777" w:rsidR="0093472F" w:rsidRDefault="0093472F" w:rsidP="00B861C5">
            <w:pPr>
              <w:jc w:val="center"/>
              <w:rPr>
                <w:sz w:val="20"/>
                <w:szCs w:val="20"/>
              </w:rPr>
            </w:pPr>
          </w:p>
          <w:p w14:paraId="7590CA24" w14:textId="77777777" w:rsidR="0093472F" w:rsidRDefault="0093472F" w:rsidP="00B861C5">
            <w:pPr>
              <w:jc w:val="center"/>
              <w:rPr>
                <w:sz w:val="20"/>
                <w:szCs w:val="20"/>
              </w:rPr>
            </w:pPr>
            <w:r>
              <w:rPr>
                <w:sz w:val="20"/>
                <w:szCs w:val="20"/>
              </w:rPr>
              <w:t>30 (93.75)</w:t>
            </w:r>
          </w:p>
          <w:p w14:paraId="4EA7B61F" w14:textId="77777777" w:rsidR="0093472F" w:rsidRPr="004F1D9E" w:rsidRDefault="0093472F" w:rsidP="00B861C5">
            <w:pPr>
              <w:jc w:val="center"/>
              <w:rPr>
                <w:sz w:val="20"/>
                <w:szCs w:val="20"/>
              </w:rPr>
            </w:pPr>
            <w:r>
              <w:rPr>
                <w:sz w:val="20"/>
                <w:szCs w:val="20"/>
              </w:rPr>
              <w:t>2 (6.25)</w:t>
            </w:r>
          </w:p>
        </w:tc>
        <w:tc>
          <w:tcPr>
            <w:tcW w:w="810" w:type="dxa"/>
          </w:tcPr>
          <w:p w14:paraId="1302A499" w14:textId="77777777" w:rsidR="0093472F" w:rsidRPr="00DA1F8F" w:rsidRDefault="0093472F" w:rsidP="00B861C5">
            <w:pPr>
              <w:jc w:val="center"/>
              <w:rPr>
                <w:sz w:val="20"/>
                <w:szCs w:val="20"/>
              </w:rPr>
            </w:pPr>
            <w:r w:rsidRPr="00DA1F8F">
              <w:rPr>
                <w:sz w:val="20"/>
                <w:szCs w:val="20"/>
              </w:rPr>
              <w:t>.16</w:t>
            </w:r>
          </w:p>
        </w:tc>
      </w:tr>
      <w:tr w:rsidR="0093472F" w:rsidRPr="004F1D9E" w14:paraId="5D9D4464" w14:textId="77777777" w:rsidTr="00B861C5">
        <w:tc>
          <w:tcPr>
            <w:tcW w:w="4395" w:type="dxa"/>
          </w:tcPr>
          <w:p w14:paraId="7CC5755A" w14:textId="77777777" w:rsidR="0093472F" w:rsidRPr="004F1D9E" w:rsidRDefault="0093472F" w:rsidP="00B861C5">
            <w:pPr>
              <w:rPr>
                <w:sz w:val="20"/>
                <w:szCs w:val="20"/>
              </w:rPr>
            </w:pPr>
            <w:r w:rsidRPr="004F1D9E">
              <w:rPr>
                <w:sz w:val="20"/>
                <w:szCs w:val="20"/>
              </w:rPr>
              <w:t>Long-standing illness, disability, infirmity: N (%)</w:t>
            </w:r>
          </w:p>
          <w:p w14:paraId="3E33F163" w14:textId="211E3ED7" w:rsidR="0093472F" w:rsidRPr="004F1D9E" w:rsidRDefault="00840AF7" w:rsidP="00B861C5">
            <w:pPr>
              <w:rPr>
                <w:sz w:val="20"/>
                <w:szCs w:val="20"/>
              </w:rPr>
            </w:pPr>
            <w:r>
              <w:rPr>
                <w:sz w:val="20"/>
                <w:szCs w:val="20"/>
              </w:rPr>
              <w:t xml:space="preserve"> </w:t>
            </w:r>
            <w:r w:rsidR="0093472F" w:rsidRPr="004F1D9E">
              <w:rPr>
                <w:sz w:val="20"/>
                <w:szCs w:val="20"/>
              </w:rPr>
              <w:t>Yes</w:t>
            </w:r>
          </w:p>
          <w:p w14:paraId="69C027D2" w14:textId="205D9177" w:rsidR="0093472F" w:rsidRPr="004F1D9E" w:rsidRDefault="00840AF7" w:rsidP="00B861C5">
            <w:pPr>
              <w:rPr>
                <w:sz w:val="20"/>
                <w:szCs w:val="20"/>
              </w:rPr>
            </w:pPr>
            <w:r>
              <w:rPr>
                <w:sz w:val="20"/>
                <w:szCs w:val="20"/>
              </w:rPr>
              <w:t xml:space="preserve"> </w:t>
            </w:r>
            <w:r w:rsidR="0093472F" w:rsidRPr="004F1D9E">
              <w:rPr>
                <w:sz w:val="20"/>
                <w:szCs w:val="20"/>
              </w:rPr>
              <w:t>No</w:t>
            </w:r>
          </w:p>
          <w:p w14:paraId="0BC4A0B9" w14:textId="40A24BC6" w:rsidR="0093472F" w:rsidRPr="004F1D9E" w:rsidRDefault="00840AF7" w:rsidP="00B861C5">
            <w:pPr>
              <w:rPr>
                <w:sz w:val="20"/>
                <w:szCs w:val="20"/>
              </w:rPr>
            </w:pPr>
            <w:r>
              <w:rPr>
                <w:sz w:val="20"/>
                <w:szCs w:val="20"/>
              </w:rPr>
              <w:t xml:space="preserve"> </w:t>
            </w:r>
            <w:r w:rsidR="0093472F" w:rsidRPr="004F1D9E">
              <w:rPr>
                <w:sz w:val="20"/>
                <w:szCs w:val="20"/>
              </w:rPr>
              <w:t>Prefer to self-define</w:t>
            </w:r>
          </w:p>
          <w:p w14:paraId="11568F3C" w14:textId="2D41BC57" w:rsidR="0093472F" w:rsidRPr="004F1D9E" w:rsidRDefault="00840AF7" w:rsidP="00B861C5">
            <w:pPr>
              <w:rPr>
                <w:sz w:val="20"/>
                <w:szCs w:val="20"/>
              </w:rPr>
            </w:pPr>
            <w:r>
              <w:rPr>
                <w:sz w:val="20"/>
                <w:szCs w:val="20"/>
              </w:rPr>
              <w:t xml:space="preserve"> </w:t>
            </w:r>
            <w:r w:rsidR="0093472F" w:rsidRPr="004F1D9E">
              <w:rPr>
                <w:sz w:val="20"/>
                <w:szCs w:val="20"/>
              </w:rPr>
              <w:t>Prefer not to say</w:t>
            </w:r>
          </w:p>
        </w:tc>
        <w:tc>
          <w:tcPr>
            <w:tcW w:w="1464" w:type="dxa"/>
          </w:tcPr>
          <w:p w14:paraId="40C1A2D9" w14:textId="77777777" w:rsidR="0093472F" w:rsidRPr="004F1D9E" w:rsidRDefault="0093472F" w:rsidP="00B861C5">
            <w:pPr>
              <w:jc w:val="center"/>
              <w:rPr>
                <w:sz w:val="20"/>
                <w:szCs w:val="20"/>
              </w:rPr>
            </w:pPr>
          </w:p>
          <w:p w14:paraId="5F91458F" w14:textId="77777777" w:rsidR="0093472F" w:rsidRPr="004F1D9E" w:rsidRDefault="0093472F" w:rsidP="00B861C5">
            <w:pPr>
              <w:jc w:val="center"/>
              <w:rPr>
                <w:sz w:val="20"/>
                <w:szCs w:val="20"/>
              </w:rPr>
            </w:pPr>
            <w:r w:rsidRPr="004F1D9E">
              <w:rPr>
                <w:sz w:val="20"/>
                <w:szCs w:val="20"/>
              </w:rPr>
              <w:t>59 (73.8)</w:t>
            </w:r>
          </w:p>
          <w:p w14:paraId="632659E9" w14:textId="77777777" w:rsidR="0093472F" w:rsidRPr="004F1D9E" w:rsidRDefault="0093472F" w:rsidP="00B861C5">
            <w:pPr>
              <w:jc w:val="center"/>
              <w:rPr>
                <w:sz w:val="20"/>
                <w:szCs w:val="20"/>
              </w:rPr>
            </w:pPr>
            <w:r w:rsidRPr="004F1D9E">
              <w:rPr>
                <w:sz w:val="20"/>
                <w:szCs w:val="20"/>
              </w:rPr>
              <w:t>16 (20)</w:t>
            </w:r>
          </w:p>
          <w:p w14:paraId="51542D1D" w14:textId="77777777" w:rsidR="0093472F" w:rsidRPr="004F1D9E" w:rsidRDefault="0093472F" w:rsidP="00B861C5">
            <w:pPr>
              <w:jc w:val="center"/>
              <w:rPr>
                <w:sz w:val="20"/>
                <w:szCs w:val="20"/>
              </w:rPr>
            </w:pPr>
            <w:r w:rsidRPr="004F1D9E">
              <w:rPr>
                <w:sz w:val="20"/>
                <w:szCs w:val="20"/>
              </w:rPr>
              <w:t>4 (5)</w:t>
            </w:r>
          </w:p>
          <w:p w14:paraId="255399D6" w14:textId="77777777" w:rsidR="0093472F" w:rsidRPr="004F1D9E" w:rsidRDefault="0093472F" w:rsidP="00B861C5">
            <w:pPr>
              <w:jc w:val="center"/>
              <w:rPr>
                <w:sz w:val="20"/>
                <w:szCs w:val="20"/>
              </w:rPr>
            </w:pPr>
            <w:r w:rsidRPr="004F1D9E">
              <w:rPr>
                <w:sz w:val="20"/>
                <w:szCs w:val="20"/>
              </w:rPr>
              <w:t>1 (1.3)</w:t>
            </w:r>
          </w:p>
        </w:tc>
        <w:tc>
          <w:tcPr>
            <w:tcW w:w="1465" w:type="dxa"/>
          </w:tcPr>
          <w:p w14:paraId="13417A97" w14:textId="77777777" w:rsidR="0093472F" w:rsidRDefault="0093472F" w:rsidP="00B861C5">
            <w:pPr>
              <w:jc w:val="center"/>
              <w:rPr>
                <w:sz w:val="20"/>
                <w:szCs w:val="20"/>
              </w:rPr>
            </w:pPr>
          </w:p>
          <w:p w14:paraId="5208B025" w14:textId="77777777" w:rsidR="0093472F" w:rsidRDefault="0093472F" w:rsidP="00B861C5">
            <w:pPr>
              <w:jc w:val="center"/>
              <w:rPr>
                <w:sz w:val="20"/>
                <w:szCs w:val="20"/>
              </w:rPr>
            </w:pPr>
            <w:r>
              <w:rPr>
                <w:sz w:val="20"/>
                <w:szCs w:val="20"/>
              </w:rPr>
              <w:t>30 (62.5)</w:t>
            </w:r>
          </w:p>
          <w:p w14:paraId="325A6B9C" w14:textId="77777777" w:rsidR="0093472F" w:rsidRDefault="0093472F" w:rsidP="00B861C5">
            <w:pPr>
              <w:jc w:val="center"/>
              <w:rPr>
                <w:sz w:val="20"/>
                <w:szCs w:val="20"/>
              </w:rPr>
            </w:pPr>
            <w:r>
              <w:rPr>
                <w:sz w:val="20"/>
                <w:szCs w:val="20"/>
              </w:rPr>
              <w:t>13 (27.08)</w:t>
            </w:r>
          </w:p>
          <w:p w14:paraId="51DF164A" w14:textId="77777777" w:rsidR="0093472F" w:rsidRDefault="0093472F" w:rsidP="00B861C5">
            <w:pPr>
              <w:jc w:val="center"/>
              <w:rPr>
                <w:sz w:val="20"/>
                <w:szCs w:val="20"/>
              </w:rPr>
            </w:pPr>
            <w:r>
              <w:rPr>
                <w:sz w:val="20"/>
                <w:szCs w:val="20"/>
              </w:rPr>
              <w:t>4 (8.33)</w:t>
            </w:r>
          </w:p>
          <w:p w14:paraId="7666EDD2" w14:textId="77777777" w:rsidR="0093472F" w:rsidRPr="004F1D9E" w:rsidRDefault="0093472F" w:rsidP="00B861C5">
            <w:pPr>
              <w:jc w:val="center"/>
              <w:rPr>
                <w:sz w:val="20"/>
                <w:szCs w:val="20"/>
              </w:rPr>
            </w:pPr>
            <w:r>
              <w:rPr>
                <w:sz w:val="20"/>
                <w:szCs w:val="20"/>
              </w:rPr>
              <w:t>1 (2.08)</w:t>
            </w:r>
          </w:p>
        </w:tc>
        <w:tc>
          <w:tcPr>
            <w:tcW w:w="1465" w:type="dxa"/>
          </w:tcPr>
          <w:p w14:paraId="65BE826E" w14:textId="77777777" w:rsidR="0093472F" w:rsidRDefault="0093472F" w:rsidP="00B861C5">
            <w:pPr>
              <w:jc w:val="center"/>
              <w:rPr>
                <w:sz w:val="20"/>
                <w:szCs w:val="20"/>
              </w:rPr>
            </w:pPr>
          </w:p>
          <w:p w14:paraId="589E9A97" w14:textId="77777777" w:rsidR="0093472F" w:rsidRDefault="0093472F" w:rsidP="00B861C5">
            <w:pPr>
              <w:jc w:val="center"/>
              <w:rPr>
                <w:sz w:val="20"/>
                <w:szCs w:val="20"/>
              </w:rPr>
            </w:pPr>
            <w:r>
              <w:rPr>
                <w:sz w:val="20"/>
                <w:szCs w:val="20"/>
              </w:rPr>
              <w:t>29 (90.63)</w:t>
            </w:r>
          </w:p>
          <w:p w14:paraId="579D6A85" w14:textId="77777777" w:rsidR="0093472F" w:rsidRDefault="0093472F" w:rsidP="00B861C5">
            <w:pPr>
              <w:jc w:val="center"/>
              <w:rPr>
                <w:sz w:val="20"/>
                <w:szCs w:val="20"/>
              </w:rPr>
            </w:pPr>
            <w:r>
              <w:rPr>
                <w:sz w:val="20"/>
                <w:szCs w:val="20"/>
              </w:rPr>
              <w:t>3 (9.38)</w:t>
            </w:r>
          </w:p>
          <w:p w14:paraId="4D0C5E16" w14:textId="77777777" w:rsidR="0093472F" w:rsidRDefault="0093472F" w:rsidP="00B861C5">
            <w:pPr>
              <w:jc w:val="center"/>
              <w:rPr>
                <w:sz w:val="20"/>
                <w:szCs w:val="20"/>
              </w:rPr>
            </w:pPr>
            <w:r>
              <w:rPr>
                <w:sz w:val="20"/>
                <w:szCs w:val="20"/>
              </w:rPr>
              <w:t>0 (0)</w:t>
            </w:r>
          </w:p>
          <w:p w14:paraId="6E824FCD" w14:textId="77777777" w:rsidR="0093472F" w:rsidRPr="004F1D9E" w:rsidRDefault="0093472F" w:rsidP="00B861C5">
            <w:pPr>
              <w:jc w:val="center"/>
              <w:rPr>
                <w:sz w:val="20"/>
                <w:szCs w:val="20"/>
              </w:rPr>
            </w:pPr>
            <w:r>
              <w:rPr>
                <w:sz w:val="20"/>
                <w:szCs w:val="20"/>
              </w:rPr>
              <w:t>0 (0)</w:t>
            </w:r>
          </w:p>
        </w:tc>
        <w:tc>
          <w:tcPr>
            <w:tcW w:w="810" w:type="dxa"/>
          </w:tcPr>
          <w:p w14:paraId="183C5533" w14:textId="77777777" w:rsidR="0093472F" w:rsidRPr="00DA1F8F" w:rsidRDefault="0093472F" w:rsidP="00B861C5">
            <w:pPr>
              <w:jc w:val="center"/>
              <w:rPr>
                <w:b/>
                <w:sz w:val="20"/>
                <w:szCs w:val="20"/>
              </w:rPr>
            </w:pPr>
            <w:r w:rsidRPr="00DA1F8F">
              <w:rPr>
                <w:b/>
                <w:sz w:val="20"/>
                <w:szCs w:val="20"/>
              </w:rPr>
              <w:t>.02</w:t>
            </w:r>
          </w:p>
        </w:tc>
      </w:tr>
      <w:tr w:rsidR="0093472F" w:rsidRPr="004F1D9E" w14:paraId="7DEB1ADB" w14:textId="77777777" w:rsidTr="00B861C5">
        <w:tc>
          <w:tcPr>
            <w:tcW w:w="4395" w:type="dxa"/>
          </w:tcPr>
          <w:p w14:paraId="75559960" w14:textId="77777777" w:rsidR="0093472F" w:rsidRPr="004F1D9E" w:rsidRDefault="0093472F" w:rsidP="00B861C5">
            <w:pPr>
              <w:rPr>
                <w:sz w:val="20"/>
                <w:szCs w:val="20"/>
              </w:rPr>
            </w:pPr>
            <w:r w:rsidRPr="004F1D9E">
              <w:rPr>
                <w:sz w:val="20"/>
                <w:szCs w:val="20"/>
              </w:rPr>
              <w:t>Number of cigarettes/day: mean (SD)</w:t>
            </w:r>
          </w:p>
        </w:tc>
        <w:tc>
          <w:tcPr>
            <w:tcW w:w="1464" w:type="dxa"/>
          </w:tcPr>
          <w:p w14:paraId="6FE9EB0A" w14:textId="77777777" w:rsidR="0093472F" w:rsidRPr="004F1D9E" w:rsidRDefault="0093472F" w:rsidP="00B861C5">
            <w:pPr>
              <w:jc w:val="center"/>
              <w:rPr>
                <w:sz w:val="20"/>
                <w:szCs w:val="20"/>
              </w:rPr>
            </w:pPr>
            <w:r w:rsidRPr="004F1D9E">
              <w:rPr>
                <w:sz w:val="20"/>
                <w:szCs w:val="20"/>
              </w:rPr>
              <w:t>20.07 (15.33)</w:t>
            </w:r>
          </w:p>
        </w:tc>
        <w:tc>
          <w:tcPr>
            <w:tcW w:w="1465" w:type="dxa"/>
          </w:tcPr>
          <w:p w14:paraId="7BEABF83" w14:textId="77777777" w:rsidR="0093472F" w:rsidRPr="004F1D9E" w:rsidRDefault="0093472F" w:rsidP="00B861C5">
            <w:pPr>
              <w:jc w:val="center"/>
              <w:rPr>
                <w:sz w:val="20"/>
                <w:szCs w:val="20"/>
              </w:rPr>
            </w:pPr>
            <w:r>
              <w:rPr>
                <w:sz w:val="20"/>
                <w:szCs w:val="20"/>
              </w:rPr>
              <w:t>20.5 (16.78)</w:t>
            </w:r>
          </w:p>
        </w:tc>
        <w:tc>
          <w:tcPr>
            <w:tcW w:w="1465" w:type="dxa"/>
          </w:tcPr>
          <w:p w14:paraId="77C1FF8B" w14:textId="77777777" w:rsidR="0093472F" w:rsidRPr="004F1D9E" w:rsidRDefault="0093472F" w:rsidP="00B861C5">
            <w:pPr>
              <w:jc w:val="center"/>
              <w:rPr>
                <w:sz w:val="20"/>
                <w:szCs w:val="20"/>
              </w:rPr>
            </w:pPr>
            <w:r>
              <w:rPr>
                <w:sz w:val="20"/>
                <w:szCs w:val="20"/>
              </w:rPr>
              <w:t>19.41 (13.07)</w:t>
            </w:r>
          </w:p>
        </w:tc>
        <w:tc>
          <w:tcPr>
            <w:tcW w:w="810" w:type="dxa"/>
          </w:tcPr>
          <w:p w14:paraId="68757A8B" w14:textId="68C64F25" w:rsidR="0093472F" w:rsidRPr="00DA1F8F" w:rsidRDefault="0093472F" w:rsidP="00B861C5">
            <w:pPr>
              <w:jc w:val="center"/>
              <w:rPr>
                <w:sz w:val="20"/>
                <w:szCs w:val="20"/>
              </w:rPr>
            </w:pPr>
            <w:r w:rsidRPr="00DA1F8F">
              <w:rPr>
                <w:sz w:val="20"/>
                <w:szCs w:val="20"/>
              </w:rPr>
              <w:t>.86</w:t>
            </w:r>
          </w:p>
        </w:tc>
      </w:tr>
      <w:tr w:rsidR="0093472F" w:rsidRPr="004F1D9E" w14:paraId="4F6BA752" w14:textId="77777777" w:rsidTr="00B861C5">
        <w:tc>
          <w:tcPr>
            <w:tcW w:w="4395" w:type="dxa"/>
          </w:tcPr>
          <w:p w14:paraId="3F724722" w14:textId="77777777" w:rsidR="0093472F" w:rsidRPr="004F1D9E" w:rsidRDefault="0093472F" w:rsidP="00B861C5">
            <w:pPr>
              <w:rPr>
                <w:sz w:val="20"/>
                <w:szCs w:val="20"/>
              </w:rPr>
            </w:pPr>
            <w:r w:rsidRPr="004F1D9E">
              <w:rPr>
                <w:sz w:val="20"/>
                <w:szCs w:val="20"/>
              </w:rPr>
              <w:t>Expired CO: mean (SD)</w:t>
            </w:r>
          </w:p>
        </w:tc>
        <w:tc>
          <w:tcPr>
            <w:tcW w:w="1464" w:type="dxa"/>
          </w:tcPr>
          <w:p w14:paraId="1E1FBBB2" w14:textId="77777777" w:rsidR="0093472F" w:rsidRPr="004F1D9E" w:rsidRDefault="0093472F" w:rsidP="00B861C5">
            <w:pPr>
              <w:jc w:val="center"/>
              <w:rPr>
                <w:sz w:val="20"/>
                <w:szCs w:val="20"/>
              </w:rPr>
            </w:pPr>
            <w:r w:rsidRPr="004F1D9E">
              <w:rPr>
                <w:sz w:val="20"/>
                <w:szCs w:val="20"/>
              </w:rPr>
              <w:t>20.29 (10.04)</w:t>
            </w:r>
          </w:p>
        </w:tc>
        <w:tc>
          <w:tcPr>
            <w:tcW w:w="1465" w:type="dxa"/>
          </w:tcPr>
          <w:p w14:paraId="4270550F" w14:textId="77777777" w:rsidR="0093472F" w:rsidRPr="004F1D9E" w:rsidRDefault="0093472F" w:rsidP="00B861C5">
            <w:pPr>
              <w:jc w:val="center"/>
              <w:rPr>
                <w:sz w:val="20"/>
                <w:szCs w:val="20"/>
              </w:rPr>
            </w:pPr>
            <w:r>
              <w:rPr>
                <w:sz w:val="20"/>
                <w:szCs w:val="20"/>
              </w:rPr>
              <w:t>19.60 (9.58)</w:t>
            </w:r>
          </w:p>
        </w:tc>
        <w:tc>
          <w:tcPr>
            <w:tcW w:w="1465" w:type="dxa"/>
          </w:tcPr>
          <w:p w14:paraId="6A7BFF88" w14:textId="77777777" w:rsidR="0093472F" w:rsidRPr="004F1D9E" w:rsidRDefault="0093472F" w:rsidP="00B861C5">
            <w:pPr>
              <w:jc w:val="center"/>
              <w:rPr>
                <w:sz w:val="20"/>
                <w:szCs w:val="20"/>
              </w:rPr>
            </w:pPr>
            <w:r>
              <w:rPr>
                <w:sz w:val="20"/>
                <w:szCs w:val="20"/>
              </w:rPr>
              <w:t>21.31 (10.77)</w:t>
            </w:r>
          </w:p>
        </w:tc>
        <w:tc>
          <w:tcPr>
            <w:tcW w:w="810" w:type="dxa"/>
          </w:tcPr>
          <w:p w14:paraId="3206F181" w14:textId="1AD72BC4" w:rsidR="0093472F" w:rsidRPr="00DA1F8F" w:rsidRDefault="0093472F" w:rsidP="00B861C5">
            <w:pPr>
              <w:jc w:val="center"/>
              <w:rPr>
                <w:sz w:val="20"/>
                <w:szCs w:val="20"/>
              </w:rPr>
            </w:pPr>
            <w:r w:rsidRPr="00DA1F8F">
              <w:rPr>
                <w:sz w:val="20"/>
                <w:szCs w:val="20"/>
              </w:rPr>
              <w:t>.46</w:t>
            </w:r>
          </w:p>
        </w:tc>
      </w:tr>
      <w:tr w:rsidR="0093472F" w:rsidRPr="004F1D9E" w14:paraId="5962D144" w14:textId="77777777" w:rsidTr="00B861C5">
        <w:tc>
          <w:tcPr>
            <w:tcW w:w="4395" w:type="dxa"/>
          </w:tcPr>
          <w:p w14:paraId="10AF1B55" w14:textId="77777777" w:rsidR="0093472F" w:rsidRPr="004F1D9E" w:rsidRDefault="0093472F" w:rsidP="00B861C5">
            <w:pPr>
              <w:rPr>
                <w:sz w:val="20"/>
                <w:szCs w:val="20"/>
              </w:rPr>
            </w:pPr>
            <w:r w:rsidRPr="004F1D9E">
              <w:rPr>
                <w:sz w:val="20"/>
                <w:szCs w:val="20"/>
              </w:rPr>
              <w:t>FTCD: mean (SD)</w:t>
            </w:r>
          </w:p>
        </w:tc>
        <w:tc>
          <w:tcPr>
            <w:tcW w:w="1464" w:type="dxa"/>
          </w:tcPr>
          <w:p w14:paraId="28B8346B" w14:textId="77777777" w:rsidR="0093472F" w:rsidRPr="004F1D9E" w:rsidRDefault="0093472F" w:rsidP="00B861C5">
            <w:pPr>
              <w:jc w:val="center"/>
              <w:rPr>
                <w:sz w:val="20"/>
                <w:szCs w:val="20"/>
              </w:rPr>
            </w:pPr>
            <w:r w:rsidRPr="004F1D9E">
              <w:rPr>
                <w:sz w:val="20"/>
                <w:szCs w:val="20"/>
              </w:rPr>
              <w:t>5.51 (2.47)</w:t>
            </w:r>
          </w:p>
        </w:tc>
        <w:tc>
          <w:tcPr>
            <w:tcW w:w="1465" w:type="dxa"/>
          </w:tcPr>
          <w:p w14:paraId="3DBFAA9D" w14:textId="77777777" w:rsidR="0093472F" w:rsidRPr="004F1D9E" w:rsidRDefault="0093472F" w:rsidP="00B861C5">
            <w:pPr>
              <w:jc w:val="center"/>
              <w:rPr>
                <w:sz w:val="20"/>
                <w:szCs w:val="20"/>
              </w:rPr>
            </w:pPr>
            <w:r>
              <w:rPr>
                <w:sz w:val="20"/>
                <w:szCs w:val="20"/>
              </w:rPr>
              <w:t>5.24 (2.53)</w:t>
            </w:r>
          </w:p>
        </w:tc>
        <w:tc>
          <w:tcPr>
            <w:tcW w:w="1465" w:type="dxa"/>
          </w:tcPr>
          <w:p w14:paraId="7D011648" w14:textId="77777777" w:rsidR="0093472F" w:rsidRPr="004F1D9E" w:rsidRDefault="0093472F" w:rsidP="00B861C5">
            <w:pPr>
              <w:jc w:val="center"/>
              <w:rPr>
                <w:sz w:val="20"/>
                <w:szCs w:val="20"/>
              </w:rPr>
            </w:pPr>
            <w:r>
              <w:rPr>
                <w:sz w:val="20"/>
                <w:szCs w:val="20"/>
              </w:rPr>
              <w:t>6.13 (2.35)</w:t>
            </w:r>
          </w:p>
        </w:tc>
        <w:tc>
          <w:tcPr>
            <w:tcW w:w="810" w:type="dxa"/>
          </w:tcPr>
          <w:p w14:paraId="2DC0D2C6" w14:textId="3ADF50FA" w:rsidR="0093472F" w:rsidRPr="00DA1F8F" w:rsidRDefault="0093472F" w:rsidP="00B861C5">
            <w:pPr>
              <w:jc w:val="center"/>
              <w:rPr>
                <w:sz w:val="20"/>
                <w:szCs w:val="20"/>
              </w:rPr>
            </w:pPr>
            <w:r w:rsidRPr="00DA1F8F">
              <w:rPr>
                <w:sz w:val="20"/>
                <w:szCs w:val="20"/>
              </w:rPr>
              <w:t>.12</w:t>
            </w:r>
          </w:p>
        </w:tc>
      </w:tr>
      <w:tr w:rsidR="0093472F" w:rsidRPr="004F1D9E" w14:paraId="3A416593" w14:textId="77777777" w:rsidTr="00B861C5">
        <w:tc>
          <w:tcPr>
            <w:tcW w:w="4395" w:type="dxa"/>
          </w:tcPr>
          <w:p w14:paraId="3F0307A7" w14:textId="77777777" w:rsidR="0093472F" w:rsidRPr="004F1D9E" w:rsidRDefault="0093472F" w:rsidP="00B861C5">
            <w:pPr>
              <w:rPr>
                <w:sz w:val="20"/>
                <w:szCs w:val="20"/>
              </w:rPr>
            </w:pPr>
            <w:r w:rsidRPr="007F5927">
              <w:rPr>
                <w:sz w:val="20"/>
                <w:szCs w:val="20"/>
              </w:rPr>
              <w:t>Age started smoking: mean (SD)</w:t>
            </w:r>
          </w:p>
        </w:tc>
        <w:tc>
          <w:tcPr>
            <w:tcW w:w="1464" w:type="dxa"/>
          </w:tcPr>
          <w:p w14:paraId="7249655C" w14:textId="77777777" w:rsidR="0093472F" w:rsidRPr="004F1D9E" w:rsidRDefault="0093472F" w:rsidP="00B861C5">
            <w:pPr>
              <w:jc w:val="center"/>
              <w:rPr>
                <w:sz w:val="20"/>
                <w:szCs w:val="20"/>
              </w:rPr>
            </w:pPr>
            <w:r>
              <w:rPr>
                <w:sz w:val="20"/>
                <w:szCs w:val="20"/>
              </w:rPr>
              <w:t>15.17 (5.47)</w:t>
            </w:r>
          </w:p>
        </w:tc>
        <w:tc>
          <w:tcPr>
            <w:tcW w:w="1465" w:type="dxa"/>
          </w:tcPr>
          <w:p w14:paraId="04C27682" w14:textId="77777777" w:rsidR="0093472F" w:rsidRPr="004F1D9E" w:rsidRDefault="0093472F" w:rsidP="00B861C5">
            <w:pPr>
              <w:jc w:val="center"/>
              <w:rPr>
                <w:sz w:val="20"/>
                <w:szCs w:val="20"/>
              </w:rPr>
            </w:pPr>
            <w:r>
              <w:rPr>
                <w:sz w:val="20"/>
                <w:szCs w:val="20"/>
              </w:rPr>
              <w:t>16.02 (6.30)</w:t>
            </w:r>
          </w:p>
        </w:tc>
        <w:tc>
          <w:tcPr>
            <w:tcW w:w="1465" w:type="dxa"/>
          </w:tcPr>
          <w:p w14:paraId="334904E9" w14:textId="77777777" w:rsidR="0093472F" w:rsidRPr="004F1D9E" w:rsidRDefault="0093472F" w:rsidP="00B861C5">
            <w:pPr>
              <w:jc w:val="center"/>
              <w:rPr>
                <w:sz w:val="20"/>
                <w:szCs w:val="20"/>
              </w:rPr>
            </w:pPr>
            <w:r>
              <w:rPr>
                <w:sz w:val="20"/>
                <w:szCs w:val="20"/>
              </w:rPr>
              <w:t>13.92 (3.72)</w:t>
            </w:r>
          </w:p>
        </w:tc>
        <w:tc>
          <w:tcPr>
            <w:tcW w:w="810" w:type="dxa"/>
          </w:tcPr>
          <w:p w14:paraId="134E3484" w14:textId="0D0A0F70" w:rsidR="0093472F" w:rsidRPr="00DA1F8F" w:rsidRDefault="0093472F" w:rsidP="00B861C5">
            <w:pPr>
              <w:jc w:val="center"/>
              <w:rPr>
                <w:sz w:val="20"/>
                <w:szCs w:val="20"/>
              </w:rPr>
            </w:pPr>
            <w:r w:rsidRPr="00DA1F8F">
              <w:rPr>
                <w:sz w:val="20"/>
                <w:szCs w:val="20"/>
              </w:rPr>
              <w:t>.09</w:t>
            </w:r>
          </w:p>
        </w:tc>
      </w:tr>
      <w:tr w:rsidR="0093472F" w:rsidRPr="004F1D9E" w14:paraId="21407A76" w14:textId="77777777" w:rsidTr="00B861C5">
        <w:tc>
          <w:tcPr>
            <w:tcW w:w="4395" w:type="dxa"/>
          </w:tcPr>
          <w:p w14:paraId="79E28606" w14:textId="77777777" w:rsidR="0093472F" w:rsidRPr="004F1D9E" w:rsidRDefault="0093472F" w:rsidP="00B861C5">
            <w:pPr>
              <w:rPr>
                <w:sz w:val="20"/>
                <w:szCs w:val="20"/>
              </w:rPr>
            </w:pPr>
            <w:r w:rsidRPr="004F1D9E">
              <w:rPr>
                <w:sz w:val="20"/>
                <w:szCs w:val="20"/>
              </w:rPr>
              <w:t>Sharing cigarettes: N (%)</w:t>
            </w:r>
          </w:p>
          <w:p w14:paraId="023C9B48" w14:textId="4B0CFF8F" w:rsidR="0093472F" w:rsidRPr="004F1D9E" w:rsidRDefault="00840AF7" w:rsidP="00B861C5">
            <w:pPr>
              <w:rPr>
                <w:sz w:val="20"/>
                <w:szCs w:val="20"/>
              </w:rPr>
            </w:pPr>
            <w:r>
              <w:rPr>
                <w:sz w:val="20"/>
                <w:szCs w:val="20"/>
              </w:rPr>
              <w:t xml:space="preserve"> </w:t>
            </w:r>
            <w:r w:rsidR="0093472F" w:rsidRPr="004F1D9E">
              <w:rPr>
                <w:sz w:val="20"/>
                <w:szCs w:val="20"/>
              </w:rPr>
              <w:t>Not at all</w:t>
            </w:r>
          </w:p>
          <w:p w14:paraId="6A1DB973" w14:textId="4CB4FECB" w:rsidR="0093472F" w:rsidRPr="004F1D9E" w:rsidRDefault="00840AF7" w:rsidP="00B861C5">
            <w:pPr>
              <w:rPr>
                <w:sz w:val="20"/>
                <w:szCs w:val="20"/>
              </w:rPr>
            </w:pPr>
            <w:r>
              <w:rPr>
                <w:sz w:val="20"/>
                <w:szCs w:val="20"/>
              </w:rPr>
              <w:t xml:space="preserve"> </w:t>
            </w:r>
            <w:r w:rsidR="0093472F" w:rsidRPr="004F1D9E">
              <w:rPr>
                <w:sz w:val="20"/>
                <w:szCs w:val="20"/>
              </w:rPr>
              <w:t>Occasionally</w:t>
            </w:r>
          </w:p>
          <w:p w14:paraId="116055A3" w14:textId="569F9686" w:rsidR="0093472F" w:rsidRPr="004F1D9E" w:rsidRDefault="00840AF7" w:rsidP="00B861C5">
            <w:pPr>
              <w:rPr>
                <w:sz w:val="20"/>
                <w:szCs w:val="20"/>
              </w:rPr>
            </w:pPr>
            <w:r>
              <w:rPr>
                <w:sz w:val="20"/>
                <w:szCs w:val="20"/>
              </w:rPr>
              <w:t xml:space="preserve"> </w:t>
            </w:r>
            <w:r w:rsidR="0093472F" w:rsidRPr="004F1D9E">
              <w:rPr>
                <w:sz w:val="20"/>
                <w:szCs w:val="20"/>
              </w:rPr>
              <w:t>Regularly</w:t>
            </w:r>
          </w:p>
          <w:p w14:paraId="37C20510" w14:textId="435E7848" w:rsidR="0093472F" w:rsidRPr="004F1D9E" w:rsidRDefault="00840AF7" w:rsidP="00B861C5">
            <w:pPr>
              <w:rPr>
                <w:sz w:val="20"/>
                <w:szCs w:val="20"/>
              </w:rPr>
            </w:pPr>
            <w:r>
              <w:rPr>
                <w:sz w:val="20"/>
                <w:szCs w:val="20"/>
              </w:rPr>
              <w:t xml:space="preserve"> </w:t>
            </w:r>
            <w:r w:rsidR="0093472F" w:rsidRPr="004F1D9E">
              <w:rPr>
                <w:sz w:val="20"/>
                <w:szCs w:val="20"/>
              </w:rPr>
              <w:t>Daily</w:t>
            </w:r>
          </w:p>
        </w:tc>
        <w:tc>
          <w:tcPr>
            <w:tcW w:w="1464" w:type="dxa"/>
          </w:tcPr>
          <w:p w14:paraId="29490F28" w14:textId="77777777" w:rsidR="0093472F" w:rsidRDefault="0093472F" w:rsidP="00B861C5">
            <w:pPr>
              <w:jc w:val="center"/>
              <w:rPr>
                <w:sz w:val="20"/>
                <w:szCs w:val="20"/>
              </w:rPr>
            </w:pPr>
          </w:p>
          <w:p w14:paraId="72D72AEC" w14:textId="77777777" w:rsidR="0093472F" w:rsidRDefault="0093472F" w:rsidP="00B861C5">
            <w:pPr>
              <w:jc w:val="center"/>
              <w:rPr>
                <w:sz w:val="20"/>
                <w:szCs w:val="20"/>
              </w:rPr>
            </w:pPr>
            <w:r>
              <w:rPr>
                <w:sz w:val="20"/>
                <w:szCs w:val="20"/>
              </w:rPr>
              <w:t>35 (43.8)</w:t>
            </w:r>
          </w:p>
          <w:p w14:paraId="4396A52F" w14:textId="77777777" w:rsidR="0093472F" w:rsidRDefault="0093472F" w:rsidP="00B861C5">
            <w:pPr>
              <w:jc w:val="center"/>
              <w:rPr>
                <w:sz w:val="20"/>
                <w:szCs w:val="20"/>
              </w:rPr>
            </w:pPr>
            <w:r>
              <w:rPr>
                <w:sz w:val="20"/>
                <w:szCs w:val="20"/>
              </w:rPr>
              <w:t>18 (22.5)</w:t>
            </w:r>
          </w:p>
          <w:p w14:paraId="054BC2E3" w14:textId="77777777" w:rsidR="0093472F" w:rsidRDefault="0093472F" w:rsidP="00B861C5">
            <w:pPr>
              <w:jc w:val="center"/>
              <w:rPr>
                <w:sz w:val="20"/>
                <w:szCs w:val="20"/>
              </w:rPr>
            </w:pPr>
            <w:r>
              <w:rPr>
                <w:sz w:val="20"/>
                <w:szCs w:val="20"/>
              </w:rPr>
              <w:t>7 (8.8)</w:t>
            </w:r>
          </w:p>
          <w:p w14:paraId="46802487" w14:textId="77777777" w:rsidR="0093472F" w:rsidRPr="004F1D9E" w:rsidRDefault="0093472F" w:rsidP="00B861C5">
            <w:pPr>
              <w:jc w:val="center"/>
              <w:rPr>
                <w:sz w:val="20"/>
                <w:szCs w:val="20"/>
              </w:rPr>
            </w:pPr>
            <w:r>
              <w:rPr>
                <w:sz w:val="20"/>
                <w:szCs w:val="20"/>
              </w:rPr>
              <w:t>19 (23.8)</w:t>
            </w:r>
          </w:p>
        </w:tc>
        <w:tc>
          <w:tcPr>
            <w:tcW w:w="1465" w:type="dxa"/>
          </w:tcPr>
          <w:p w14:paraId="3D06335F" w14:textId="77777777" w:rsidR="0093472F" w:rsidRDefault="0093472F" w:rsidP="00B861C5">
            <w:pPr>
              <w:jc w:val="center"/>
              <w:rPr>
                <w:sz w:val="20"/>
                <w:szCs w:val="20"/>
              </w:rPr>
            </w:pPr>
          </w:p>
          <w:p w14:paraId="31EDA5AB" w14:textId="77777777" w:rsidR="0093472F" w:rsidRDefault="0093472F" w:rsidP="00B861C5">
            <w:pPr>
              <w:jc w:val="center"/>
              <w:rPr>
                <w:sz w:val="20"/>
                <w:szCs w:val="20"/>
              </w:rPr>
            </w:pPr>
            <w:r>
              <w:rPr>
                <w:sz w:val="20"/>
                <w:szCs w:val="20"/>
              </w:rPr>
              <w:t>25 (52.08)</w:t>
            </w:r>
          </w:p>
          <w:p w14:paraId="04F96904" w14:textId="77777777" w:rsidR="0093472F" w:rsidRDefault="0093472F" w:rsidP="00B861C5">
            <w:pPr>
              <w:jc w:val="center"/>
              <w:rPr>
                <w:sz w:val="20"/>
                <w:szCs w:val="20"/>
              </w:rPr>
            </w:pPr>
            <w:r>
              <w:rPr>
                <w:sz w:val="20"/>
                <w:szCs w:val="20"/>
              </w:rPr>
              <w:t>10 (20.83)</w:t>
            </w:r>
          </w:p>
          <w:p w14:paraId="6F3E7466" w14:textId="77777777" w:rsidR="0093472F" w:rsidRDefault="0093472F" w:rsidP="00B861C5">
            <w:pPr>
              <w:jc w:val="center"/>
              <w:rPr>
                <w:sz w:val="20"/>
                <w:szCs w:val="20"/>
              </w:rPr>
            </w:pPr>
            <w:r>
              <w:rPr>
                <w:sz w:val="20"/>
                <w:szCs w:val="20"/>
              </w:rPr>
              <w:t>3 (6.25)</w:t>
            </w:r>
          </w:p>
          <w:p w14:paraId="4A0464DD" w14:textId="77777777" w:rsidR="0093472F" w:rsidRPr="004F1D9E" w:rsidRDefault="0093472F" w:rsidP="00B861C5">
            <w:pPr>
              <w:jc w:val="center"/>
              <w:rPr>
                <w:sz w:val="20"/>
                <w:szCs w:val="20"/>
              </w:rPr>
            </w:pPr>
            <w:r>
              <w:rPr>
                <w:sz w:val="20"/>
                <w:szCs w:val="20"/>
              </w:rPr>
              <w:t>9 (18.75)</w:t>
            </w:r>
          </w:p>
        </w:tc>
        <w:tc>
          <w:tcPr>
            <w:tcW w:w="1465" w:type="dxa"/>
          </w:tcPr>
          <w:p w14:paraId="259E5D36" w14:textId="77777777" w:rsidR="0093472F" w:rsidRDefault="0093472F" w:rsidP="00B861C5">
            <w:pPr>
              <w:jc w:val="center"/>
              <w:rPr>
                <w:sz w:val="20"/>
                <w:szCs w:val="20"/>
              </w:rPr>
            </w:pPr>
          </w:p>
          <w:p w14:paraId="476A9BCF" w14:textId="77777777" w:rsidR="0093472F" w:rsidRDefault="0093472F" w:rsidP="00B861C5">
            <w:pPr>
              <w:jc w:val="center"/>
              <w:rPr>
                <w:sz w:val="20"/>
                <w:szCs w:val="20"/>
              </w:rPr>
            </w:pPr>
            <w:r>
              <w:rPr>
                <w:sz w:val="20"/>
                <w:szCs w:val="20"/>
              </w:rPr>
              <w:t>9 (28.13)</w:t>
            </w:r>
          </w:p>
          <w:p w14:paraId="5FE84112" w14:textId="77777777" w:rsidR="0093472F" w:rsidRDefault="0093472F" w:rsidP="00B861C5">
            <w:pPr>
              <w:jc w:val="center"/>
              <w:rPr>
                <w:sz w:val="20"/>
                <w:szCs w:val="20"/>
              </w:rPr>
            </w:pPr>
            <w:r>
              <w:rPr>
                <w:sz w:val="20"/>
                <w:szCs w:val="20"/>
              </w:rPr>
              <w:t>7 (21.88)</w:t>
            </w:r>
          </w:p>
          <w:p w14:paraId="6C152674" w14:textId="77777777" w:rsidR="0093472F" w:rsidRDefault="0093472F" w:rsidP="00B861C5">
            <w:pPr>
              <w:jc w:val="center"/>
              <w:rPr>
                <w:sz w:val="20"/>
                <w:szCs w:val="20"/>
              </w:rPr>
            </w:pPr>
            <w:r>
              <w:rPr>
                <w:sz w:val="20"/>
                <w:szCs w:val="20"/>
              </w:rPr>
              <w:t>5 (15.63)</w:t>
            </w:r>
          </w:p>
          <w:p w14:paraId="027124F5" w14:textId="77777777" w:rsidR="0093472F" w:rsidRPr="004F1D9E" w:rsidRDefault="0093472F" w:rsidP="00B861C5">
            <w:pPr>
              <w:jc w:val="center"/>
              <w:rPr>
                <w:sz w:val="20"/>
                <w:szCs w:val="20"/>
              </w:rPr>
            </w:pPr>
            <w:r>
              <w:rPr>
                <w:sz w:val="20"/>
                <w:szCs w:val="20"/>
              </w:rPr>
              <w:t>11 (34.38)</w:t>
            </w:r>
          </w:p>
        </w:tc>
        <w:tc>
          <w:tcPr>
            <w:tcW w:w="810" w:type="dxa"/>
          </w:tcPr>
          <w:p w14:paraId="49A3855F" w14:textId="77777777" w:rsidR="0093472F" w:rsidRPr="00DA1F8F" w:rsidRDefault="0093472F" w:rsidP="00B861C5">
            <w:pPr>
              <w:jc w:val="center"/>
              <w:rPr>
                <w:sz w:val="20"/>
                <w:szCs w:val="20"/>
              </w:rPr>
            </w:pPr>
            <w:r w:rsidRPr="00DA1F8F">
              <w:rPr>
                <w:sz w:val="20"/>
                <w:szCs w:val="20"/>
              </w:rPr>
              <w:t>.10</w:t>
            </w:r>
          </w:p>
        </w:tc>
      </w:tr>
      <w:tr w:rsidR="0093472F" w:rsidRPr="004F1D9E" w14:paraId="0CD1EFB6" w14:textId="77777777" w:rsidTr="00B861C5">
        <w:tc>
          <w:tcPr>
            <w:tcW w:w="4395" w:type="dxa"/>
          </w:tcPr>
          <w:p w14:paraId="41A6CF64" w14:textId="77777777" w:rsidR="0093472F" w:rsidRPr="004F1D9E" w:rsidRDefault="0093472F" w:rsidP="00B861C5">
            <w:pPr>
              <w:rPr>
                <w:sz w:val="20"/>
                <w:szCs w:val="20"/>
              </w:rPr>
            </w:pPr>
            <w:r w:rsidRPr="004F1D9E">
              <w:rPr>
                <w:sz w:val="20"/>
                <w:szCs w:val="20"/>
              </w:rPr>
              <w:t>Smoke discarded cigarettes: N (%)</w:t>
            </w:r>
          </w:p>
          <w:p w14:paraId="376F16F4" w14:textId="1A3947B0" w:rsidR="0093472F" w:rsidRPr="004F1D9E" w:rsidRDefault="00840AF7" w:rsidP="00B861C5">
            <w:pPr>
              <w:rPr>
                <w:sz w:val="20"/>
                <w:szCs w:val="20"/>
              </w:rPr>
            </w:pPr>
            <w:r>
              <w:rPr>
                <w:sz w:val="20"/>
                <w:szCs w:val="20"/>
              </w:rPr>
              <w:t xml:space="preserve"> </w:t>
            </w:r>
            <w:r w:rsidR="0093472F" w:rsidRPr="004F1D9E">
              <w:rPr>
                <w:sz w:val="20"/>
                <w:szCs w:val="20"/>
              </w:rPr>
              <w:t>Not at all</w:t>
            </w:r>
          </w:p>
          <w:p w14:paraId="3BD0707F" w14:textId="227FE323" w:rsidR="0093472F" w:rsidRPr="004F1D9E" w:rsidRDefault="00840AF7" w:rsidP="00B861C5">
            <w:pPr>
              <w:rPr>
                <w:sz w:val="20"/>
                <w:szCs w:val="20"/>
              </w:rPr>
            </w:pPr>
            <w:r>
              <w:rPr>
                <w:sz w:val="20"/>
                <w:szCs w:val="20"/>
              </w:rPr>
              <w:t xml:space="preserve"> </w:t>
            </w:r>
            <w:r w:rsidR="0093472F" w:rsidRPr="004F1D9E">
              <w:rPr>
                <w:sz w:val="20"/>
                <w:szCs w:val="20"/>
              </w:rPr>
              <w:t>Occasionally</w:t>
            </w:r>
          </w:p>
          <w:p w14:paraId="46789A84" w14:textId="1F397209" w:rsidR="0093472F" w:rsidRPr="004F1D9E" w:rsidRDefault="00840AF7" w:rsidP="00B861C5">
            <w:pPr>
              <w:rPr>
                <w:sz w:val="20"/>
                <w:szCs w:val="20"/>
              </w:rPr>
            </w:pPr>
            <w:r>
              <w:rPr>
                <w:sz w:val="20"/>
                <w:szCs w:val="20"/>
              </w:rPr>
              <w:t xml:space="preserve"> </w:t>
            </w:r>
            <w:r w:rsidR="0093472F" w:rsidRPr="004F1D9E">
              <w:rPr>
                <w:sz w:val="20"/>
                <w:szCs w:val="20"/>
              </w:rPr>
              <w:t>Regularly</w:t>
            </w:r>
          </w:p>
          <w:p w14:paraId="1BCCA6C0" w14:textId="79D87F35" w:rsidR="0093472F" w:rsidRPr="004F1D9E" w:rsidRDefault="00840AF7" w:rsidP="00B861C5">
            <w:pPr>
              <w:rPr>
                <w:sz w:val="20"/>
                <w:szCs w:val="20"/>
              </w:rPr>
            </w:pPr>
            <w:r>
              <w:rPr>
                <w:sz w:val="20"/>
                <w:szCs w:val="20"/>
              </w:rPr>
              <w:t xml:space="preserve"> </w:t>
            </w:r>
            <w:r w:rsidR="0093472F" w:rsidRPr="004F1D9E">
              <w:rPr>
                <w:sz w:val="20"/>
                <w:szCs w:val="20"/>
              </w:rPr>
              <w:t xml:space="preserve">Daily </w:t>
            </w:r>
          </w:p>
        </w:tc>
        <w:tc>
          <w:tcPr>
            <w:tcW w:w="1464" w:type="dxa"/>
          </w:tcPr>
          <w:p w14:paraId="1525E3B4" w14:textId="77777777" w:rsidR="0093472F" w:rsidRDefault="0093472F" w:rsidP="00B861C5">
            <w:pPr>
              <w:jc w:val="center"/>
              <w:rPr>
                <w:sz w:val="20"/>
                <w:szCs w:val="20"/>
              </w:rPr>
            </w:pPr>
          </w:p>
          <w:p w14:paraId="699D1C99" w14:textId="77777777" w:rsidR="0093472F" w:rsidRDefault="0093472F" w:rsidP="00B861C5">
            <w:pPr>
              <w:jc w:val="center"/>
              <w:rPr>
                <w:sz w:val="20"/>
                <w:szCs w:val="20"/>
              </w:rPr>
            </w:pPr>
            <w:r>
              <w:rPr>
                <w:sz w:val="20"/>
                <w:szCs w:val="20"/>
              </w:rPr>
              <w:t>45 (56.3)</w:t>
            </w:r>
          </w:p>
          <w:p w14:paraId="4B5EF9DD" w14:textId="77777777" w:rsidR="0093472F" w:rsidRDefault="0093472F" w:rsidP="00B861C5">
            <w:pPr>
              <w:jc w:val="center"/>
              <w:rPr>
                <w:sz w:val="20"/>
                <w:szCs w:val="20"/>
              </w:rPr>
            </w:pPr>
            <w:r>
              <w:rPr>
                <w:sz w:val="20"/>
                <w:szCs w:val="20"/>
              </w:rPr>
              <w:t>22 (27.5)</w:t>
            </w:r>
          </w:p>
          <w:p w14:paraId="15A47CC9" w14:textId="77777777" w:rsidR="0093472F" w:rsidRDefault="0093472F" w:rsidP="00B861C5">
            <w:pPr>
              <w:jc w:val="center"/>
              <w:rPr>
                <w:sz w:val="20"/>
                <w:szCs w:val="20"/>
              </w:rPr>
            </w:pPr>
            <w:r>
              <w:rPr>
                <w:sz w:val="20"/>
                <w:szCs w:val="20"/>
              </w:rPr>
              <w:t>7 (8.8)</w:t>
            </w:r>
          </w:p>
          <w:p w14:paraId="6253FB44" w14:textId="77777777" w:rsidR="0093472F" w:rsidRPr="004F1D9E" w:rsidRDefault="0093472F" w:rsidP="00B861C5">
            <w:pPr>
              <w:jc w:val="center"/>
              <w:rPr>
                <w:sz w:val="20"/>
                <w:szCs w:val="20"/>
              </w:rPr>
            </w:pPr>
            <w:r>
              <w:rPr>
                <w:sz w:val="20"/>
                <w:szCs w:val="20"/>
              </w:rPr>
              <w:t>5 (6.3)</w:t>
            </w:r>
          </w:p>
        </w:tc>
        <w:tc>
          <w:tcPr>
            <w:tcW w:w="1465" w:type="dxa"/>
          </w:tcPr>
          <w:p w14:paraId="4ADB4E26" w14:textId="77777777" w:rsidR="0093472F" w:rsidRDefault="0093472F" w:rsidP="00B861C5">
            <w:pPr>
              <w:jc w:val="center"/>
              <w:rPr>
                <w:sz w:val="20"/>
                <w:szCs w:val="20"/>
              </w:rPr>
            </w:pPr>
          </w:p>
          <w:p w14:paraId="5A51D79A" w14:textId="77777777" w:rsidR="0093472F" w:rsidRDefault="0093472F" w:rsidP="00B861C5">
            <w:pPr>
              <w:jc w:val="center"/>
              <w:rPr>
                <w:sz w:val="20"/>
                <w:szCs w:val="20"/>
              </w:rPr>
            </w:pPr>
            <w:r>
              <w:rPr>
                <w:sz w:val="20"/>
                <w:szCs w:val="20"/>
              </w:rPr>
              <w:t>30 (62.5)</w:t>
            </w:r>
          </w:p>
          <w:p w14:paraId="10C919F2" w14:textId="77777777" w:rsidR="0093472F" w:rsidRDefault="0093472F" w:rsidP="00B861C5">
            <w:pPr>
              <w:jc w:val="center"/>
              <w:rPr>
                <w:sz w:val="20"/>
                <w:szCs w:val="20"/>
              </w:rPr>
            </w:pPr>
            <w:r>
              <w:rPr>
                <w:sz w:val="20"/>
                <w:szCs w:val="20"/>
              </w:rPr>
              <w:t>12 (25)</w:t>
            </w:r>
          </w:p>
          <w:p w14:paraId="0DF51B14" w14:textId="77777777" w:rsidR="0093472F" w:rsidRDefault="0093472F" w:rsidP="00B861C5">
            <w:pPr>
              <w:jc w:val="center"/>
              <w:rPr>
                <w:sz w:val="20"/>
                <w:szCs w:val="20"/>
              </w:rPr>
            </w:pPr>
            <w:r>
              <w:rPr>
                <w:sz w:val="20"/>
                <w:szCs w:val="20"/>
              </w:rPr>
              <w:t>3 (6.25)</w:t>
            </w:r>
          </w:p>
          <w:p w14:paraId="0F1C90A8" w14:textId="77777777" w:rsidR="0093472F" w:rsidRPr="004F1D9E" w:rsidRDefault="0093472F" w:rsidP="00B861C5">
            <w:pPr>
              <w:jc w:val="center"/>
              <w:rPr>
                <w:sz w:val="20"/>
                <w:szCs w:val="20"/>
              </w:rPr>
            </w:pPr>
            <w:r>
              <w:rPr>
                <w:sz w:val="20"/>
                <w:szCs w:val="20"/>
              </w:rPr>
              <w:t>2 (4.16)</w:t>
            </w:r>
          </w:p>
        </w:tc>
        <w:tc>
          <w:tcPr>
            <w:tcW w:w="1465" w:type="dxa"/>
          </w:tcPr>
          <w:p w14:paraId="55E62DF5" w14:textId="77777777" w:rsidR="0093472F" w:rsidRDefault="0093472F" w:rsidP="00B861C5">
            <w:pPr>
              <w:jc w:val="center"/>
              <w:rPr>
                <w:sz w:val="20"/>
                <w:szCs w:val="20"/>
              </w:rPr>
            </w:pPr>
          </w:p>
          <w:p w14:paraId="7A7E014B" w14:textId="77777777" w:rsidR="0093472F" w:rsidRDefault="0093472F" w:rsidP="00B861C5">
            <w:pPr>
              <w:jc w:val="center"/>
              <w:rPr>
                <w:sz w:val="20"/>
                <w:szCs w:val="20"/>
              </w:rPr>
            </w:pPr>
            <w:r>
              <w:rPr>
                <w:sz w:val="20"/>
                <w:szCs w:val="20"/>
              </w:rPr>
              <w:t>15 (46.88)</w:t>
            </w:r>
          </w:p>
          <w:p w14:paraId="4F048CA9" w14:textId="77777777" w:rsidR="0093472F" w:rsidRDefault="0093472F" w:rsidP="00B861C5">
            <w:pPr>
              <w:jc w:val="center"/>
              <w:rPr>
                <w:sz w:val="20"/>
                <w:szCs w:val="20"/>
              </w:rPr>
            </w:pPr>
            <w:r>
              <w:rPr>
                <w:sz w:val="20"/>
                <w:szCs w:val="20"/>
              </w:rPr>
              <w:t>10 (31.25)</w:t>
            </w:r>
          </w:p>
          <w:p w14:paraId="7C951751" w14:textId="77777777" w:rsidR="0093472F" w:rsidRDefault="0093472F" w:rsidP="00B861C5">
            <w:pPr>
              <w:jc w:val="center"/>
              <w:rPr>
                <w:sz w:val="20"/>
                <w:szCs w:val="20"/>
              </w:rPr>
            </w:pPr>
            <w:r>
              <w:rPr>
                <w:sz w:val="20"/>
                <w:szCs w:val="20"/>
              </w:rPr>
              <w:t>4 (12.5)</w:t>
            </w:r>
          </w:p>
          <w:p w14:paraId="7EAC7C27" w14:textId="77777777" w:rsidR="0093472F" w:rsidRPr="004F1D9E" w:rsidRDefault="0093472F" w:rsidP="00B861C5">
            <w:pPr>
              <w:jc w:val="center"/>
              <w:rPr>
                <w:sz w:val="20"/>
                <w:szCs w:val="20"/>
              </w:rPr>
            </w:pPr>
            <w:r>
              <w:rPr>
                <w:sz w:val="20"/>
                <w:szCs w:val="20"/>
              </w:rPr>
              <w:t>3 (9.38)</w:t>
            </w:r>
          </w:p>
        </w:tc>
        <w:tc>
          <w:tcPr>
            <w:tcW w:w="810" w:type="dxa"/>
          </w:tcPr>
          <w:p w14:paraId="3A23DC94" w14:textId="77777777" w:rsidR="0093472F" w:rsidRPr="00DA1F8F" w:rsidRDefault="0093472F" w:rsidP="00B861C5">
            <w:pPr>
              <w:jc w:val="center"/>
              <w:rPr>
                <w:sz w:val="20"/>
                <w:szCs w:val="20"/>
              </w:rPr>
            </w:pPr>
            <w:r w:rsidRPr="00DA1F8F">
              <w:rPr>
                <w:sz w:val="20"/>
                <w:szCs w:val="20"/>
              </w:rPr>
              <w:t>.43</w:t>
            </w:r>
          </w:p>
        </w:tc>
      </w:tr>
      <w:tr w:rsidR="0093472F" w:rsidRPr="004F1D9E" w14:paraId="501F5501" w14:textId="77777777" w:rsidTr="00B861C5">
        <w:tc>
          <w:tcPr>
            <w:tcW w:w="4395" w:type="dxa"/>
          </w:tcPr>
          <w:p w14:paraId="6CE5D9B4" w14:textId="77777777" w:rsidR="0093472F" w:rsidRPr="00373A18" w:rsidRDefault="0093472F" w:rsidP="00B861C5">
            <w:pPr>
              <w:rPr>
                <w:sz w:val="20"/>
                <w:szCs w:val="20"/>
              </w:rPr>
            </w:pPr>
            <w:r w:rsidRPr="00373A18">
              <w:rPr>
                <w:sz w:val="20"/>
                <w:szCs w:val="20"/>
              </w:rPr>
              <w:t>Ask strangers for cigarettes: N (%)</w:t>
            </w:r>
          </w:p>
          <w:p w14:paraId="48DDBE42" w14:textId="01952073" w:rsidR="0093472F" w:rsidRPr="00373A18" w:rsidRDefault="00840AF7" w:rsidP="00B861C5">
            <w:pPr>
              <w:rPr>
                <w:sz w:val="20"/>
                <w:szCs w:val="20"/>
              </w:rPr>
            </w:pPr>
            <w:r>
              <w:rPr>
                <w:sz w:val="20"/>
                <w:szCs w:val="20"/>
              </w:rPr>
              <w:t xml:space="preserve"> </w:t>
            </w:r>
            <w:r w:rsidR="0093472F" w:rsidRPr="00373A18">
              <w:rPr>
                <w:sz w:val="20"/>
                <w:szCs w:val="20"/>
              </w:rPr>
              <w:t>Not at all</w:t>
            </w:r>
          </w:p>
          <w:p w14:paraId="7DD8CB28" w14:textId="510A898F" w:rsidR="0093472F" w:rsidRPr="00373A18" w:rsidRDefault="00840AF7" w:rsidP="00B861C5">
            <w:pPr>
              <w:rPr>
                <w:sz w:val="20"/>
                <w:szCs w:val="20"/>
              </w:rPr>
            </w:pPr>
            <w:r>
              <w:rPr>
                <w:sz w:val="20"/>
                <w:szCs w:val="20"/>
              </w:rPr>
              <w:t xml:space="preserve"> </w:t>
            </w:r>
            <w:r w:rsidR="0093472F" w:rsidRPr="00373A18">
              <w:rPr>
                <w:sz w:val="20"/>
                <w:szCs w:val="20"/>
              </w:rPr>
              <w:t>Occasionally</w:t>
            </w:r>
          </w:p>
          <w:p w14:paraId="00F6ADEE" w14:textId="1C4C0C1E" w:rsidR="0093472F" w:rsidRPr="00373A18" w:rsidRDefault="00840AF7" w:rsidP="00B861C5">
            <w:pPr>
              <w:rPr>
                <w:sz w:val="20"/>
                <w:szCs w:val="20"/>
              </w:rPr>
            </w:pPr>
            <w:r>
              <w:rPr>
                <w:sz w:val="20"/>
                <w:szCs w:val="20"/>
              </w:rPr>
              <w:t xml:space="preserve"> </w:t>
            </w:r>
            <w:r w:rsidR="0093472F" w:rsidRPr="00373A18">
              <w:rPr>
                <w:sz w:val="20"/>
                <w:szCs w:val="20"/>
              </w:rPr>
              <w:t xml:space="preserve">Regularly </w:t>
            </w:r>
          </w:p>
          <w:p w14:paraId="127B2242" w14:textId="2C799FAF" w:rsidR="0093472F" w:rsidRPr="004F1D9E" w:rsidRDefault="00840AF7" w:rsidP="00B861C5">
            <w:pPr>
              <w:rPr>
                <w:sz w:val="20"/>
                <w:szCs w:val="20"/>
              </w:rPr>
            </w:pPr>
            <w:r>
              <w:rPr>
                <w:sz w:val="20"/>
                <w:szCs w:val="20"/>
              </w:rPr>
              <w:t xml:space="preserve"> </w:t>
            </w:r>
            <w:r w:rsidR="0093472F" w:rsidRPr="00373A18">
              <w:rPr>
                <w:sz w:val="20"/>
                <w:szCs w:val="20"/>
              </w:rPr>
              <w:t>Daily</w:t>
            </w:r>
            <w:r w:rsidR="0093472F" w:rsidRPr="004F1D9E">
              <w:rPr>
                <w:sz w:val="20"/>
                <w:szCs w:val="20"/>
              </w:rPr>
              <w:t xml:space="preserve"> </w:t>
            </w:r>
          </w:p>
        </w:tc>
        <w:tc>
          <w:tcPr>
            <w:tcW w:w="1464" w:type="dxa"/>
          </w:tcPr>
          <w:p w14:paraId="18DE0A8F" w14:textId="77777777" w:rsidR="0093472F" w:rsidRDefault="0093472F" w:rsidP="00B861C5">
            <w:pPr>
              <w:jc w:val="center"/>
              <w:rPr>
                <w:sz w:val="20"/>
                <w:szCs w:val="20"/>
              </w:rPr>
            </w:pPr>
          </w:p>
          <w:p w14:paraId="1947C0FE" w14:textId="77777777" w:rsidR="0093472F" w:rsidRDefault="0093472F" w:rsidP="00B861C5">
            <w:pPr>
              <w:jc w:val="center"/>
              <w:rPr>
                <w:sz w:val="20"/>
                <w:szCs w:val="20"/>
              </w:rPr>
            </w:pPr>
            <w:r>
              <w:rPr>
                <w:sz w:val="20"/>
                <w:szCs w:val="20"/>
              </w:rPr>
              <w:t>47 (58.8)</w:t>
            </w:r>
          </w:p>
          <w:p w14:paraId="70C39278" w14:textId="77777777" w:rsidR="0093472F" w:rsidRDefault="0093472F" w:rsidP="00B861C5">
            <w:pPr>
              <w:jc w:val="center"/>
              <w:rPr>
                <w:sz w:val="20"/>
                <w:szCs w:val="20"/>
              </w:rPr>
            </w:pPr>
            <w:r>
              <w:rPr>
                <w:sz w:val="20"/>
                <w:szCs w:val="20"/>
              </w:rPr>
              <w:t>21 (26.3)</w:t>
            </w:r>
          </w:p>
          <w:p w14:paraId="19D70503" w14:textId="77777777" w:rsidR="0093472F" w:rsidRDefault="0093472F" w:rsidP="00B861C5">
            <w:pPr>
              <w:jc w:val="center"/>
              <w:rPr>
                <w:sz w:val="20"/>
                <w:szCs w:val="20"/>
              </w:rPr>
            </w:pPr>
            <w:r>
              <w:rPr>
                <w:sz w:val="20"/>
                <w:szCs w:val="20"/>
              </w:rPr>
              <w:t>5 (6.3)</w:t>
            </w:r>
          </w:p>
          <w:p w14:paraId="68E80640" w14:textId="77777777" w:rsidR="0093472F" w:rsidRPr="004F1D9E" w:rsidRDefault="0093472F" w:rsidP="00B861C5">
            <w:pPr>
              <w:jc w:val="center"/>
              <w:rPr>
                <w:sz w:val="20"/>
                <w:szCs w:val="20"/>
              </w:rPr>
            </w:pPr>
            <w:r>
              <w:rPr>
                <w:sz w:val="20"/>
                <w:szCs w:val="20"/>
              </w:rPr>
              <w:t>6 (7.5)</w:t>
            </w:r>
          </w:p>
        </w:tc>
        <w:tc>
          <w:tcPr>
            <w:tcW w:w="1465" w:type="dxa"/>
          </w:tcPr>
          <w:p w14:paraId="2844AE00" w14:textId="77777777" w:rsidR="0093472F" w:rsidRDefault="0093472F" w:rsidP="00B861C5">
            <w:pPr>
              <w:jc w:val="center"/>
              <w:rPr>
                <w:sz w:val="20"/>
                <w:szCs w:val="20"/>
              </w:rPr>
            </w:pPr>
          </w:p>
          <w:p w14:paraId="6DD40D4A" w14:textId="77777777" w:rsidR="0093472F" w:rsidRDefault="0093472F" w:rsidP="00B861C5">
            <w:pPr>
              <w:jc w:val="center"/>
              <w:rPr>
                <w:sz w:val="20"/>
                <w:szCs w:val="20"/>
              </w:rPr>
            </w:pPr>
            <w:r>
              <w:rPr>
                <w:sz w:val="20"/>
                <w:szCs w:val="20"/>
              </w:rPr>
              <w:t>31 (64.58)</w:t>
            </w:r>
          </w:p>
          <w:p w14:paraId="7B0EC12C" w14:textId="77777777" w:rsidR="0093472F" w:rsidRDefault="0093472F" w:rsidP="00B861C5">
            <w:pPr>
              <w:jc w:val="center"/>
              <w:rPr>
                <w:sz w:val="20"/>
                <w:szCs w:val="20"/>
              </w:rPr>
            </w:pPr>
            <w:r>
              <w:rPr>
                <w:sz w:val="20"/>
                <w:szCs w:val="20"/>
              </w:rPr>
              <w:t>12 (25)</w:t>
            </w:r>
          </w:p>
          <w:p w14:paraId="0015A767" w14:textId="77777777" w:rsidR="0093472F" w:rsidRDefault="0093472F" w:rsidP="00B861C5">
            <w:pPr>
              <w:jc w:val="center"/>
              <w:rPr>
                <w:sz w:val="20"/>
                <w:szCs w:val="20"/>
              </w:rPr>
            </w:pPr>
            <w:r>
              <w:rPr>
                <w:sz w:val="20"/>
                <w:szCs w:val="20"/>
              </w:rPr>
              <w:t>2 (4.16)</w:t>
            </w:r>
          </w:p>
          <w:p w14:paraId="59C3DBFB" w14:textId="77777777" w:rsidR="0093472F" w:rsidRPr="004F1D9E" w:rsidRDefault="0093472F" w:rsidP="00B861C5">
            <w:pPr>
              <w:jc w:val="center"/>
              <w:rPr>
                <w:sz w:val="20"/>
                <w:szCs w:val="20"/>
              </w:rPr>
            </w:pPr>
            <w:r>
              <w:rPr>
                <w:sz w:val="20"/>
                <w:szCs w:val="20"/>
              </w:rPr>
              <w:t>2 (4.16)</w:t>
            </w:r>
          </w:p>
        </w:tc>
        <w:tc>
          <w:tcPr>
            <w:tcW w:w="1465" w:type="dxa"/>
          </w:tcPr>
          <w:p w14:paraId="49DB038D" w14:textId="77777777" w:rsidR="0093472F" w:rsidRDefault="0093472F" w:rsidP="00B861C5">
            <w:pPr>
              <w:jc w:val="center"/>
              <w:rPr>
                <w:sz w:val="20"/>
                <w:szCs w:val="20"/>
              </w:rPr>
            </w:pPr>
          </w:p>
          <w:p w14:paraId="722417C1" w14:textId="77777777" w:rsidR="0093472F" w:rsidRDefault="0093472F" w:rsidP="00B861C5">
            <w:pPr>
              <w:jc w:val="center"/>
              <w:rPr>
                <w:sz w:val="20"/>
                <w:szCs w:val="20"/>
              </w:rPr>
            </w:pPr>
            <w:r>
              <w:rPr>
                <w:sz w:val="20"/>
                <w:szCs w:val="20"/>
              </w:rPr>
              <w:t>16 (50)</w:t>
            </w:r>
          </w:p>
          <w:p w14:paraId="6DB037A7" w14:textId="77777777" w:rsidR="0093472F" w:rsidRDefault="0093472F" w:rsidP="00B861C5">
            <w:pPr>
              <w:jc w:val="center"/>
              <w:rPr>
                <w:sz w:val="20"/>
                <w:szCs w:val="20"/>
              </w:rPr>
            </w:pPr>
            <w:r>
              <w:rPr>
                <w:sz w:val="20"/>
                <w:szCs w:val="20"/>
              </w:rPr>
              <w:t>9 (28.13)</w:t>
            </w:r>
          </w:p>
          <w:p w14:paraId="1C53FB47" w14:textId="77777777" w:rsidR="0093472F" w:rsidRDefault="0093472F" w:rsidP="00B861C5">
            <w:pPr>
              <w:jc w:val="center"/>
              <w:rPr>
                <w:sz w:val="20"/>
                <w:szCs w:val="20"/>
              </w:rPr>
            </w:pPr>
            <w:r>
              <w:rPr>
                <w:sz w:val="20"/>
                <w:szCs w:val="20"/>
              </w:rPr>
              <w:t>3 (9.38)</w:t>
            </w:r>
          </w:p>
          <w:p w14:paraId="5CDBA523" w14:textId="77777777" w:rsidR="0093472F" w:rsidRPr="004F1D9E" w:rsidRDefault="0093472F" w:rsidP="00B861C5">
            <w:pPr>
              <w:jc w:val="center"/>
              <w:rPr>
                <w:sz w:val="20"/>
                <w:szCs w:val="20"/>
              </w:rPr>
            </w:pPr>
            <w:r>
              <w:rPr>
                <w:sz w:val="20"/>
                <w:szCs w:val="20"/>
              </w:rPr>
              <w:t>4 (12.5)</w:t>
            </w:r>
          </w:p>
        </w:tc>
        <w:tc>
          <w:tcPr>
            <w:tcW w:w="810" w:type="dxa"/>
          </w:tcPr>
          <w:p w14:paraId="715B2174" w14:textId="77777777" w:rsidR="0093472F" w:rsidRPr="00DA1F8F" w:rsidRDefault="0093472F" w:rsidP="00B861C5">
            <w:pPr>
              <w:jc w:val="center"/>
              <w:rPr>
                <w:sz w:val="20"/>
                <w:szCs w:val="20"/>
              </w:rPr>
            </w:pPr>
            <w:r w:rsidRPr="00DA1F8F">
              <w:rPr>
                <w:sz w:val="20"/>
                <w:szCs w:val="20"/>
              </w:rPr>
              <w:t>.35</w:t>
            </w:r>
          </w:p>
        </w:tc>
      </w:tr>
      <w:tr w:rsidR="0093472F" w:rsidRPr="004F1D9E" w14:paraId="1DE10F28" w14:textId="77777777" w:rsidTr="00B861C5">
        <w:tc>
          <w:tcPr>
            <w:tcW w:w="4395" w:type="dxa"/>
          </w:tcPr>
          <w:p w14:paraId="5D0CD690" w14:textId="77777777" w:rsidR="0093472F" w:rsidRPr="004F1D9E" w:rsidRDefault="0093472F" w:rsidP="00B861C5">
            <w:pPr>
              <w:rPr>
                <w:sz w:val="20"/>
                <w:szCs w:val="20"/>
              </w:rPr>
            </w:pPr>
            <w:r w:rsidRPr="004F1D9E">
              <w:rPr>
                <w:sz w:val="20"/>
                <w:szCs w:val="20"/>
              </w:rPr>
              <w:t>MTSS: N (%)</w:t>
            </w:r>
          </w:p>
          <w:p w14:paraId="50902BED" w14:textId="77777777" w:rsidR="0093472F" w:rsidRPr="004F1D9E" w:rsidRDefault="0093472F" w:rsidP="00B861C5">
            <w:pPr>
              <w:rPr>
                <w:sz w:val="20"/>
                <w:szCs w:val="20"/>
              </w:rPr>
            </w:pPr>
            <w:r w:rsidRPr="004F1D9E">
              <w:rPr>
                <w:sz w:val="20"/>
                <w:szCs w:val="20"/>
              </w:rPr>
              <w:t xml:space="preserve"> I don’t want to stop smoking</w:t>
            </w:r>
          </w:p>
          <w:p w14:paraId="45F2063A" w14:textId="77777777" w:rsidR="0093472F" w:rsidRPr="004F1D9E" w:rsidRDefault="0093472F" w:rsidP="00B861C5">
            <w:pPr>
              <w:rPr>
                <w:sz w:val="20"/>
                <w:szCs w:val="20"/>
              </w:rPr>
            </w:pPr>
            <w:r w:rsidRPr="004F1D9E">
              <w:rPr>
                <w:sz w:val="20"/>
                <w:szCs w:val="20"/>
              </w:rPr>
              <w:t xml:space="preserve"> I think I should stop but don’t really want to</w:t>
            </w:r>
          </w:p>
          <w:p w14:paraId="70E5C4D2" w14:textId="77777777" w:rsidR="0093472F" w:rsidRPr="004F1D9E" w:rsidRDefault="0093472F" w:rsidP="00B861C5">
            <w:pPr>
              <w:rPr>
                <w:sz w:val="20"/>
                <w:szCs w:val="20"/>
              </w:rPr>
            </w:pPr>
            <w:r w:rsidRPr="004F1D9E">
              <w:rPr>
                <w:sz w:val="20"/>
                <w:szCs w:val="20"/>
              </w:rPr>
              <w:t xml:space="preserve"> I want to stop but haven’t thought about when</w:t>
            </w:r>
          </w:p>
          <w:p w14:paraId="39BC9FC1" w14:textId="77777777" w:rsidR="0093472F" w:rsidRDefault="0093472F" w:rsidP="00B861C5">
            <w:pPr>
              <w:rPr>
                <w:sz w:val="20"/>
                <w:szCs w:val="20"/>
              </w:rPr>
            </w:pPr>
            <w:r w:rsidRPr="004F1D9E">
              <w:rPr>
                <w:sz w:val="20"/>
                <w:szCs w:val="20"/>
              </w:rPr>
              <w:t xml:space="preserve"> I really want to stop but I don’t know when I will</w:t>
            </w:r>
          </w:p>
          <w:p w14:paraId="14498582" w14:textId="77777777" w:rsidR="0093472F" w:rsidRDefault="0093472F" w:rsidP="00B861C5">
            <w:pPr>
              <w:rPr>
                <w:sz w:val="20"/>
                <w:szCs w:val="20"/>
              </w:rPr>
            </w:pPr>
            <w:r>
              <w:rPr>
                <w:sz w:val="20"/>
                <w:szCs w:val="20"/>
              </w:rPr>
              <w:t xml:space="preserve"> I want to stop smoking and hope to soon</w:t>
            </w:r>
          </w:p>
          <w:p w14:paraId="63939042" w14:textId="77777777" w:rsidR="0093472F" w:rsidRDefault="0093472F" w:rsidP="00B861C5">
            <w:pPr>
              <w:rPr>
                <w:sz w:val="20"/>
                <w:szCs w:val="20"/>
              </w:rPr>
            </w:pPr>
            <w:r>
              <w:rPr>
                <w:sz w:val="20"/>
                <w:szCs w:val="20"/>
              </w:rPr>
              <w:t xml:space="preserve"> I really want to stop &amp; intend to within 3 months</w:t>
            </w:r>
          </w:p>
          <w:p w14:paraId="2F12317C" w14:textId="77777777" w:rsidR="0093472F" w:rsidRDefault="0093472F" w:rsidP="00B861C5">
            <w:pPr>
              <w:rPr>
                <w:sz w:val="20"/>
                <w:szCs w:val="20"/>
              </w:rPr>
            </w:pPr>
            <w:r>
              <w:rPr>
                <w:sz w:val="20"/>
                <w:szCs w:val="20"/>
              </w:rPr>
              <w:t xml:space="preserve"> I really want to stop and intend to within 1 month</w:t>
            </w:r>
          </w:p>
          <w:p w14:paraId="68011F09" w14:textId="77777777" w:rsidR="0093472F" w:rsidRPr="004F1D9E" w:rsidRDefault="0093472F" w:rsidP="00B861C5">
            <w:pPr>
              <w:rPr>
                <w:sz w:val="20"/>
                <w:szCs w:val="20"/>
              </w:rPr>
            </w:pPr>
            <w:r>
              <w:rPr>
                <w:sz w:val="20"/>
                <w:szCs w:val="20"/>
              </w:rPr>
              <w:t xml:space="preserve"> Missing</w:t>
            </w:r>
          </w:p>
        </w:tc>
        <w:tc>
          <w:tcPr>
            <w:tcW w:w="1464" w:type="dxa"/>
          </w:tcPr>
          <w:p w14:paraId="0E1096EE" w14:textId="77777777" w:rsidR="0093472F" w:rsidRDefault="0093472F" w:rsidP="00B861C5">
            <w:pPr>
              <w:jc w:val="center"/>
              <w:rPr>
                <w:sz w:val="20"/>
                <w:szCs w:val="20"/>
              </w:rPr>
            </w:pPr>
          </w:p>
          <w:p w14:paraId="2D7AE933" w14:textId="77777777" w:rsidR="0093472F" w:rsidRDefault="0093472F" w:rsidP="00B861C5">
            <w:pPr>
              <w:jc w:val="center"/>
              <w:rPr>
                <w:sz w:val="20"/>
                <w:szCs w:val="20"/>
              </w:rPr>
            </w:pPr>
            <w:r>
              <w:rPr>
                <w:sz w:val="20"/>
                <w:szCs w:val="20"/>
              </w:rPr>
              <w:t>5 (6.3)</w:t>
            </w:r>
          </w:p>
          <w:p w14:paraId="5F5120F8" w14:textId="77777777" w:rsidR="0093472F" w:rsidRDefault="0093472F" w:rsidP="00B861C5">
            <w:pPr>
              <w:jc w:val="center"/>
              <w:rPr>
                <w:sz w:val="20"/>
                <w:szCs w:val="20"/>
              </w:rPr>
            </w:pPr>
            <w:r>
              <w:rPr>
                <w:sz w:val="20"/>
                <w:szCs w:val="20"/>
              </w:rPr>
              <w:t>8 (10)</w:t>
            </w:r>
          </w:p>
          <w:p w14:paraId="466AA2F5" w14:textId="77777777" w:rsidR="0093472F" w:rsidRDefault="0093472F" w:rsidP="00B861C5">
            <w:pPr>
              <w:jc w:val="center"/>
              <w:rPr>
                <w:sz w:val="20"/>
                <w:szCs w:val="20"/>
              </w:rPr>
            </w:pPr>
            <w:r>
              <w:rPr>
                <w:sz w:val="20"/>
                <w:szCs w:val="20"/>
              </w:rPr>
              <w:t>14 (17.5)</w:t>
            </w:r>
          </w:p>
          <w:p w14:paraId="03FA7B2E" w14:textId="77777777" w:rsidR="0093472F" w:rsidRDefault="0093472F" w:rsidP="00B861C5">
            <w:pPr>
              <w:jc w:val="center"/>
              <w:rPr>
                <w:sz w:val="20"/>
                <w:szCs w:val="20"/>
              </w:rPr>
            </w:pPr>
            <w:r>
              <w:rPr>
                <w:sz w:val="20"/>
                <w:szCs w:val="20"/>
              </w:rPr>
              <w:t>11 (13.8)</w:t>
            </w:r>
          </w:p>
          <w:p w14:paraId="3B5455F3" w14:textId="77777777" w:rsidR="0093472F" w:rsidRDefault="0093472F" w:rsidP="00B861C5">
            <w:pPr>
              <w:jc w:val="center"/>
              <w:rPr>
                <w:sz w:val="20"/>
                <w:szCs w:val="20"/>
              </w:rPr>
            </w:pPr>
            <w:r>
              <w:rPr>
                <w:sz w:val="20"/>
                <w:szCs w:val="20"/>
              </w:rPr>
              <w:t>18 (22.5)</w:t>
            </w:r>
          </w:p>
          <w:p w14:paraId="2D7214A2" w14:textId="77777777" w:rsidR="0093472F" w:rsidRDefault="0093472F" w:rsidP="00B861C5">
            <w:pPr>
              <w:jc w:val="center"/>
              <w:rPr>
                <w:sz w:val="20"/>
                <w:szCs w:val="20"/>
              </w:rPr>
            </w:pPr>
            <w:r>
              <w:rPr>
                <w:sz w:val="20"/>
                <w:szCs w:val="20"/>
              </w:rPr>
              <w:t>7 (8.8)</w:t>
            </w:r>
          </w:p>
          <w:p w14:paraId="0C8E5E07" w14:textId="77777777" w:rsidR="0093472F" w:rsidRDefault="0093472F" w:rsidP="00B861C5">
            <w:pPr>
              <w:jc w:val="center"/>
              <w:rPr>
                <w:sz w:val="20"/>
                <w:szCs w:val="20"/>
              </w:rPr>
            </w:pPr>
            <w:r>
              <w:rPr>
                <w:sz w:val="20"/>
                <w:szCs w:val="20"/>
              </w:rPr>
              <w:t>14 (17.5)</w:t>
            </w:r>
          </w:p>
          <w:p w14:paraId="4CB9D77B" w14:textId="77777777" w:rsidR="0093472F" w:rsidRPr="004F1D9E" w:rsidRDefault="0093472F" w:rsidP="00B861C5">
            <w:pPr>
              <w:jc w:val="center"/>
              <w:rPr>
                <w:sz w:val="20"/>
                <w:szCs w:val="20"/>
              </w:rPr>
            </w:pPr>
            <w:r>
              <w:rPr>
                <w:sz w:val="20"/>
                <w:szCs w:val="20"/>
              </w:rPr>
              <w:t>3 (3.8)</w:t>
            </w:r>
          </w:p>
        </w:tc>
        <w:tc>
          <w:tcPr>
            <w:tcW w:w="1465" w:type="dxa"/>
          </w:tcPr>
          <w:p w14:paraId="108C7895" w14:textId="77777777" w:rsidR="0093472F" w:rsidRDefault="0093472F" w:rsidP="00B861C5">
            <w:pPr>
              <w:jc w:val="center"/>
              <w:rPr>
                <w:sz w:val="20"/>
                <w:szCs w:val="20"/>
              </w:rPr>
            </w:pPr>
          </w:p>
          <w:p w14:paraId="77FA9902" w14:textId="77777777" w:rsidR="0093472F" w:rsidRDefault="0093472F" w:rsidP="00B861C5">
            <w:pPr>
              <w:jc w:val="center"/>
              <w:rPr>
                <w:sz w:val="20"/>
                <w:szCs w:val="20"/>
              </w:rPr>
            </w:pPr>
            <w:r>
              <w:rPr>
                <w:sz w:val="20"/>
                <w:szCs w:val="20"/>
              </w:rPr>
              <w:t>1 (2.08)</w:t>
            </w:r>
          </w:p>
          <w:p w14:paraId="63CCDA5C" w14:textId="77777777" w:rsidR="0093472F" w:rsidRDefault="0093472F" w:rsidP="00B861C5">
            <w:pPr>
              <w:jc w:val="center"/>
              <w:rPr>
                <w:sz w:val="20"/>
                <w:szCs w:val="20"/>
              </w:rPr>
            </w:pPr>
            <w:r>
              <w:rPr>
                <w:sz w:val="20"/>
                <w:szCs w:val="20"/>
              </w:rPr>
              <w:t>4 (8.33)</w:t>
            </w:r>
          </w:p>
          <w:p w14:paraId="44E1E658" w14:textId="77777777" w:rsidR="0093472F" w:rsidRDefault="0093472F" w:rsidP="00B861C5">
            <w:pPr>
              <w:jc w:val="center"/>
              <w:rPr>
                <w:sz w:val="20"/>
                <w:szCs w:val="20"/>
              </w:rPr>
            </w:pPr>
            <w:r>
              <w:rPr>
                <w:sz w:val="20"/>
                <w:szCs w:val="20"/>
              </w:rPr>
              <w:t>6 (12.5)</w:t>
            </w:r>
          </w:p>
          <w:p w14:paraId="294E9F87" w14:textId="77777777" w:rsidR="0093472F" w:rsidRDefault="0093472F" w:rsidP="00B861C5">
            <w:pPr>
              <w:jc w:val="center"/>
              <w:rPr>
                <w:sz w:val="20"/>
                <w:szCs w:val="20"/>
              </w:rPr>
            </w:pPr>
            <w:r>
              <w:rPr>
                <w:sz w:val="20"/>
                <w:szCs w:val="20"/>
              </w:rPr>
              <w:t>3 (6.25)</w:t>
            </w:r>
          </w:p>
          <w:p w14:paraId="484AC48D" w14:textId="77777777" w:rsidR="0093472F" w:rsidRDefault="0093472F" w:rsidP="00B861C5">
            <w:pPr>
              <w:jc w:val="center"/>
              <w:rPr>
                <w:sz w:val="20"/>
                <w:szCs w:val="20"/>
              </w:rPr>
            </w:pPr>
            <w:r>
              <w:rPr>
                <w:sz w:val="20"/>
                <w:szCs w:val="20"/>
              </w:rPr>
              <w:t>16 (33.33)</w:t>
            </w:r>
          </w:p>
          <w:p w14:paraId="77632C23" w14:textId="77777777" w:rsidR="0093472F" w:rsidRDefault="0093472F" w:rsidP="00B861C5">
            <w:pPr>
              <w:jc w:val="center"/>
              <w:rPr>
                <w:sz w:val="20"/>
                <w:szCs w:val="20"/>
              </w:rPr>
            </w:pPr>
            <w:r>
              <w:rPr>
                <w:sz w:val="20"/>
                <w:szCs w:val="20"/>
              </w:rPr>
              <w:t>5 (10.42)</w:t>
            </w:r>
          </w:p>
          <w:p w14:paraId="32A12F87" w14:textId="77777777" w:rsidR="0093472F" w:rsidRDefault="0093472F" w:rsidP="00B861C5">
            <w:pPr>
              <w:jc w:val="center"/>
              <w:rPr>
                <w:sz w:val="20"/>
                <w:szCs w:val="20"/>
              </w:rPr>
            </w:pPr>
            <w:r>
              <w:rPr>
                <w:sz w:val="20"/>
                <w:szCs w:val="20"/>
              </w:rPr>
              <w:t>11 (22.92)</w:t>
            </w:r>
          </w:p>
          <w:p w14:paraId="6CA92EC6" w14:textId="77777777" w:rsidR="0093472F" w:rsidRPr="004F1D9E" w:rsidRDefault="0093472F" w:rsidP="00B861C5">
            <w:pPr>
              <w:jc w:val="center"/>
              <w:rPr>
                <w:sz w:val="20"/>
                <w:szCs w:val="20"/>
              </w:rPr>
            </w:pPr>
            <w:r>
              <w:rPr>
                <w:sz w:val="20"/>
                <w:szCs w:val="20"/>
              </w:rPr>
              <w:t>2 (4.16)</w:t>
            </w:r>
          </w:p>
        </w:tc>
        <w:tc>
          <w:tcPr>
            <w:tcW w:w="1465" w:type="dxa"/>
          </w:tcPr>
          <w:p w14:paraId="31744EE0" w14:textId="77777777" w:rsidR="0093472F" w:rsidRDefault="0093472F" w:rsidP="00B861C5">
            <w:pPr>
              <w:jc w:val="center"/>
              <w:rPr>
                <w:sz w:val="20"/>
                <w:szCs w:val="20"/>
              </w:rPr>
            </w:pPr>
          </w:p>
          <w:p w14:paraId="5602C569" w14:textId="77777777" w:rsidR="0093472F" w:rsidRDefault="0093472F" w:rsidP="00B861C5">
            <w:pPr>
              <w:jc w:val="center"/>
              <w:rPr>
                <w:sz w:val="20"/>
                <w:szCs w:val="20"/>
              </w:rPr>
            </w:pPr>
            <w:r>
              <w:rPr>
                <w:sz w:val="20"/>
                <w:szCs w:val="20"/>
              </w:rPr>
              <w:t>4 (12.5)</w:t>
            </w:r>
          </w:p>
          <w:p w14:paraId="435C2569" w14:textId="77777777" w:rsidR="0093472F" w:rsidRDefault="0093472F" w:rsidP="00B861C5">
            <w:pPr>
              <w:jc w:val="center"/>
              <w:rPr>
                <w:sz w:val="20"/>
                <w:szCs w:val="20"/>
              </w:rPr>
            </w:pPr>
            <w:r>
              <w:rPr>
                <w:sz w:val="20"/>
                <w:szCs w:val="20"/>
              </w:rPr>
              <w:t>4 (12.5)</w:t>
            </w:r>
          </w:p>
          <w:p w14:paraId="411405EF" w14:textId="77777777" w:rsidR="0093472F" w:rsidRDefault="0093472F" w:rsidP="00B861C5">
            <w:pPr>
              <w:jc w:val="center"/>
              <w:rPr>
                <w:sz w:val="20"/>
                <w:szCs w:val="20"/>
              </w:rPr>
            </w:pPr>
            <w:r>
              <w:rPr>
                <w:sz w:val="20"/>
                <w:szCs w:val="20"/>
              </w:rPr>
              <w:t>4 (12.5)</w:t>
            </w:r>
          </w:p>
          <w:p w14:paraId="38348508" w14:textId="77777777" w:rsidR="0093472F" w:rsidRDefault="0093472F" w:rsidP="00B861C5">
            <w:pPr>
              <w:jc w:val="center"/>
              <w:rPr>
                <w:sz w:val="20"/>
                <w:szCs w:val="20"/>
              </w:rPr>
            </w:pPr>
            <w:r>
              <w:rPr>
                <w:sz w:val="20"/>
                <w:szCs w:val="20"/>
              </w:rPr>
              <w:t>8 (25)</w:t>
            </w:r>
          </w:p>
          <w:p w14:paraId="51E04A43" w14:textId="77777777" w:rsidR="0093472F" w:rsidRDefault="0093472F" w:rsidP="00B861C5">
            <w:pPr>
              <w:jc w:val="center"/>
              <w:rPr>
                <w:sz w:val="20"/>
                <w:szCs w:val="20"/>
              </w:rPr>
            </w:pPr>
            <w:r>
              <w:rPr>
                <w:sz w:val="20"/>
                <w:szCs w:val="20"/>
              </w:rPr>
              <w:t>5 (15.63)</w:t>
            </w:r>
          </w:p>
          <w:p w14:paraId="248DDBAF" w14:textId="77777777" w:rsidR="0093472F" w:rsidRDefault="0093472F" w:rsidP="00B861C5">
            <w:pPr>
              <w:jc w:val="center"/>
              <w:rPr>
                <w:sz w:val="20"/>
                <w:szCs w:val="20"/>
              </w:rPr>
            </w:pPr>
            <w:r>
              <w:rPr>
                <w:sz w:val="20"/>
                <w:szCs w:val="20"/>
              </w:rPr>
              <w:t>3 (9.38)</w:t>
            </w:r>
          </w:p>
          <w:p w14:paraId="71319F43" w14:textId="77777777" w:rsidR="0093472F" w:rsidRDefault="0093472F" w:rsidP="00B861C5">
            <w:pPr>
              <w:jc w:val="center"/>
              <w:rPr>
                <w:sz w:val="20"/>
                <w:szCs w:val="20"/>
              </w:rPr>
            </w:pPr>
            <w:r>
              <w:rPr>
                <w:sz w:val="20"/>
                <w:szCs w:val="20"/>
              </w:rPr>
              <w:t>3 (9.38)</w:t>
            </w:r>
          </w:p>
          <w:p w14:paraId="17B7D39D" w14:textId="77777777" w:rsidR="0093472F" w:rsidRPr="004F1D9E" w:rsidRDefault="0093472F" w:rsidP="00B861C5">
            <w:pPr>
              <w:jc w:val="center"/>
              <w:rPr>
                <w:sz w:val="20"/>
                <w:szCs w:val="20"/>
              </w:rPr>
            </w:pPr>
            <w:r>
              <w:rPr>
                <w:sz w:val="20"/>
                <w:szCs w:val="20"/>
              </w:rPr>
              <w:t>1 (3.13)</w:t>
            </w:r>
          </w:p>
        </w:tc>
        <w:tc>
          <w:tcPr>
            <w:tcW w:w="810" w:type="dxa"/>
          </w:tcPr>
          <w:p w14:paraId="023DF4B2" w14:textId="77777777" w:rsidR="0093472F" w:rsidRPr="00DA1F8F" w:rsidRDefault="0093472F" w:rsidP="00B861C5">
            <w:pPr>
              <w:jc w:val="center"/>
              <w:rPr>
                <w:b/>
                <w:sz w:val="20"/>
                <w:szCs w:val="20"/>
              </w:rPr>
            </w:pPr>
            <w:r w:rsidRPr="00DA1F8F">
              <w:rPr>
                <w:b/>
                <w:sz w:val="20"/>
                <w:szCs w:val="20"/>
              </w:rPr>
              <w:t>.04</w:t>
            </w:r>
          </w:p>
        </w:tc>
      </w:tr>
      <w:tr w:rsidR="0093472F" w:rsidRPr="004F1D9E" w14:paraId="1E63AFED" w14:textId="77777777" w:rsidTr="00B861C5">
        <w:tc>
          <w:tcPr>
            <w:tcW w:w="4395" w:type="dxa"/>
          </w:tcPr>
          <w:p w14:paraId="5E0F37BD" w14:textId="77777777" w:rsidR="0093472F" w:rsidRDefault="0093472F" w:rsidP="00B861C5">
            <w:pPr>
              <w:rPr>
                <w:sz w:val="20"/>
                <w:szCs w:val="20"/>
              </w:rPr>
            </w:pPr>
            <w:r>
              <w:rPr>
                <w:sz w:val="20"/>
                <w:szCs w:val="20"/>
              </w:rPr>
              <w:t>Importance of quitting at this attempt: N (%)</w:t>
            </w:r>
          </w:p>
          <w:p w14:paraId="08DA4613" w14:textId="50EFCCAC" w:rsidR="0093472F" w:rsidRDefault="00840AF7" w:rsidP="00B861C5">
            <w:pPr>
              <w:rPr>
                <w:sz w:val="20"/>
                <w:szCs w:val="20"/>
              </w:rPr>
            </w:pPr>
            <w:r>
              <w:rPr>
                <w:sz w:val="20"/>
                <w:szCs w:val="20"/>
              </w:rPr>
              <w:t xml:space="preserve"> </w:t>
            </w:r>
            <w:r w:rsidR="0093472F">
              <w:rPr>
                <w:sz w:val="20"/>
                <w:szCs w:val="20"/>
              </w:rPr>
              <w:t>Desperately important</w:t>
            </w:r>
          </w:p>
          <w:p w14:paraId="38BEF668" w14:textId="1A8BC2FF" w:rsidR="0093472F" w:rsidRDefault="00840AF7" w:rsidP="00B861C5">
            <w:pPr>
              <w:rPr>
                <w:sz w:val="20"/>
                <w:szCs w:val="20"/>
              </w:rPr>
            </w:pPr>
            <w:r>
              <w:rPr>
                <w:sz w:val="20"/>
                <w:szCs w:val="20"/>
              </w:rPr>
              <w:t xml:space="preserve"> </w:t>
            </w:r>
            <w:r w:rsidR="0093472F">
              <w:rPr>
                <w:sz w:val="20"/>
                <w:szCs w:val="20"/>
              </w:rPr>
              <w:t>Very important</w:t>
            </w:r>
          </w:p>
          <w:p w14:paraId="10FFD3C5" w14:textId="7EC46250" w:rsidR="0093472F" w:rsidRDefault="00840AF7" w:rsidP="00B861C5">
            <w:pPr>
              <w:rPr>
                <w:sz w:val="20"/>
                <w:szCs w:val="20"/>
              </w:rPr>
            </w:pPr>
            <w:r>
              <w:rPr>
                <w:sz w:val="20"/>
                <w:szCs w:val="20"/>
              </w:rPr>
              <w:t xml:space="preserve"> </w:t>
            </w:r>
            <w:r w:rsidR="0093472F">
              <w:rPr>
                <w:sz w:val="20"/>
                <w:szCs w:val="20"/>
              </w:rPr>
              <w:t>Quite important</w:t>
            </w:r>
          </w:p>
          <w:p w14:paraId="416BD3D4" w14:textId="4EFC814F" w:rsidR="0093472F" w:rsidRPr="004F1D9E" w:rsidRDefault="00840AF7" w:rsidP="00B861C5">
            <w:pPr>
              <w:rPr>
                <w:sz w:val="20"/>
                <w:szCs w:val="20"/>
              </w:rPr>
            </w:pPr>
            <w:r>
              <w:rPr>
                <w:sz w:val="20"/>
                <w:szCs w:val="20"/>
              </w:rPr>
              <w:t xml:space="preserve"> </w:t>
            </w:r>
            <w:r w:rsidR="0093472F">
              <w:rPr>
                <w:sz w:val="20"/>
                <w:szCs w:val="20"/>
              </w:rPr>
              <w:t>Not at all important</w:t>
            </w:r>
          </w:p>
        </w:tc>
        <w:tc>
          <w:tcPr>
            <w:tcW w:w="1464" w:type="dxa"/>
          </w:tcPr>
          <w:p w14:paraId="60AA4CBF" w14:textId="77777777" w:rsidR="0093472F" w:rsidRDefault="0093472F" w:rsidP="00B861C5">
            <w:pPr>
              <w:jc w:val="center"/>
              <w:rPr>
                <w:sz w:val="20"/>
                <w:szCs w:val="20"/>
              </w:rPr>
            </w:pPr>
          </w:p>
          <w:p w14:paraId="004F2856" w14:textId="77777777" w:rsidR="0093472F" w:rsidRDefault="0093472F" w:rsidP="00B861C5">
            <w:pPr>
              <w:jc w:val="center"/>
              <w:rPr>
                <w:sz w:val="20"/>
                <w:szCs w:val="20"/>
              </w:rPr>
            </w:pPr>
            <w:r>
              <w:rPr>
                <w:sz w:val="20"/>
                <w:szCs w:val="20"/>
              </w:rPr>
              <w:t>13 (16.3)</w:t>
            </w:r>
          </w:p>
          <w:p w14:paraId="77CB22C3" w14:textId="77777777" w:rsidR="0093472F" w:rsidRDefault="0093472F" w:rsidP="00B861C5">
            <w:pPr>
              <w:jc w:val="center"/>
              <w:rPr>
                <w:sz w:val="20"/>
                <w:szCs w:val="20"/>
              </w:rPr>
            </w:pPr>
            <w:r>
              <w:rPr>
                <w:sz w:val="20"/>
                <w:szCs w:val="20"/>
              </w:rPr>
              <w:t>38 (47.5)</w:t>
            </w:r>
          </w:p>
          <w:p w14:paraId="47018389" w14:textId="77777777" w:rsidR="0093472F" w:rsidRDefault="0093472F" w:rsidP="00B861C5">
            <w:pPr>
              <w:jc w:val="center"/>
              <w:rPr>
                <w:sz w:val="20"/>
                <w:szCs w:val="20"/>
              </w:rPr>
            </w:pPr>
            <w:r>
              <w:rPr>
                <w:sz w:val="20"/>
                <w:szCs w:val="20"/>
              </w:rPr>
              <w:t>19 (23.8)</w:t>
            </w:r>
          </w:p>
          <w:p w14:paraId="201FE7D4" w14:textId="77777777" w:rsidR="0093472F" w:rsidRPr="004F1D9E" w:rsidRDefault="0093472F" w:rsidP="00B861C5">
            <w:pPr>
              <w:jc w:val="center"/>
              <w:rPr>
                <w:sz w:val="20"/>
                <w:szCs w:val="20"/>
              </w:rPr>
            </w:pPr>
            <w:r>
              <w:rPr>
                <w:sz w:val="20"/>
                <w:szCs w:val="20"/>
              </w:rPr>
              <w:t>8 (10)</w:t>
            </w:r>
          </w:p>
        </w:tc>
        <w:tc>
          <w:tcPr>
            <w:tcW w:w="1465" w:type="dxa"/>
          </w:tcPr>
          <w:p w14:paraId="030D6751" w14:textId="77777777" w:rsidR="0093472F" w:rsidRDefault="0093472F" w:rsidP="00B861C5">
            <w:pPr>
              <w:jc w:val="center"/>
              <w:rPr>
                <w:sz w:val="20"/>
                <w:szCs w:val="20"/>
              </w:rPr>
            </w:pPr>
          </w:p>
          <w:p w14:paraId="344143DA" w14:textId="77777777" w:rsidR="0093472F" w:rsidRDefault="0093472F" w:rsidP="00B861C5">
            <w:pPr>
              <w:jc w:val="center"/>
              <w:rPr>
                <w:sz w:val="20"/>
                <w:szCs w:val="20"/>
              </w:rPr>
            </w:pPr>
            <w:r>
              <w:rPr>
                <w:sz w:val="20"/>
                <w:szCs w:val="20"/>
              </w:rPr>
              <w:t>10 (20.83)</w:t>
            </w:r>
          </w:p>
          <w:p w14:paraId="46D4C93B" w14:textId="77777777" w:rsidR="0093472F" w:rsidRDefault="0093472F" w:rsidP="00B861C5">
            <w:pPr>
              <w:jc w:val="center"/>
              <w:rPr>
                <w:sz w:val="20"/>
                <w:szCs w:val="20"/>
              </w:rPr>
            </w:pPr>
            <w:r>
              <w:rPr>
                <w:sz w:val="20"/>
                <w:szCs w:val="20"/>
              </w:rPr>
              <w:t>25 (52.08)</w:t>
            </w:r>
          </w:p>
          <w:p w14:paraId="6C38AE67" w14:textId="77777777" w:rsidR="0093472F" w:rsidRDefault="0093472F" w:rsidP="00B861C5">
            <w:pPr>
              <w:jc w:val="center"/>
              <w:rPr>
                <w:sz w:val="20"/>
                <w:szCs w:val="20"/>
              </w:rPr>
            </w:pPr>
            <w:r>
              <w:rPr>
                <w:sz w:val="20"/>
                <w:szCs w:val="20"/>
              </w:rPr>
              <w:t>7 (14.58)</w:t>
            </w:r>
          </w:p>
          <w:p w14:paraId="55879AAE" w14:textId="77777777" w:rsidR="0093472F" w:rsidRPr="004F1D9E" w:rsidRDefault="0093472F" w:rsidP="00B861C5">
            <w:pPr>
              <w:jc w:val="center"/>
              <w:rPr>
                <w:sz w:val="20"/>
                <w:szCs w:val="20"/>
              </w:rPr>
            </w:pPr>
            <w:r>
              <w:rPr>
                <w:sz w:val="20"/>
                <w:szCs w:val="20"/>
              </w:rPr>
              <w:t>5 (10.42)</w:t>
            </w:r>
          </w:p>
        </w:tc>
        <w:tc>
          <w:tcPr>
            <w:tcW w:w="1465" w:type="dxa"/>
          </w:tcPr>
          <w:p w14:paraId="4E45E964" w14:textId="77777777" w:rsidR="0093472F" w:rsidRDefault="0093472F" w:rsidP="00B861C5">
            <w:pPr>
              <w:jc w:val="center"/>
              <w:rPr>
                <w:sz w:val="20"/>
                <w:szCs w:val="20"/>
              </w:rPr>
            </w:pPr>
            <w:r>
              <w:rPr>
                <w:sz w:val="20"/>
                <w:szCs w:val="20"/>
              </w:rPr>
              <w:t xml:space="preserve"> </w:t>
            </w:r>
          </w:p>
          <w:p w14:paraId="6B17758C" w14:textId="77777777" w:rsidR="0093472F" w:rsidRDefault="0093472F" w:rsidP="00B861C5">
            <w:pPr>
              <w:jc w:val="center"/>
              <w:rPr>
                <w:sz w:val="20"/>
                <w:szCs w:val="20"/>
              </w:rPr>
            </w:pPr>
            <w:r>
              <w:rPr>
                <w:sz w:val="20"/>
                <w:szCs w:val="20"/>
              </w:rPr>
              <w:t>3 (9.38)</w:t>
            </w:r>
          </w:p>
          <w:p w14:paraId="7E055BFD" w14:textId="77777777" w:rsidR="0093472F" w:rsidRDefault="0093472F" w:rsidP="00B861C5">
            <w:pPr>
              <w:jc w:val="center"/>
              <w:rPr>
                <w:sz w:val="20"/>
                <w:szCs w:val="20"/>
              </w:rPr>
            </w:pPr>
            <w:r>
              <w:rPr>
                <w:sz w:val="20"/>
                <w:szCs w:val="20"/>
              </w:rPr>
              <w:t>15 (46.88)</w:t>
            </w:r>
          </w:p>
          <w:p w14:paraId="2EA6FAEA" w14:textId="77777777" w:rsidR="0093472F" w:rsidRDefault="0093472F" w:rsidP="00B861C5">
            <w:pPr>
              <w:jc w:val="center"/>
              <w:rPr>
                <w:sz w:val="20"/>
                <w:szCs w:val="20"/>
              </w:rPr>
            </w:pPr>
            <w:r>
              <w:rPr>
                <w:sz w:val="20"/>
                <w:szCs w:val="20"/>
              </w:rPr>
              <w:t>10 (31.25)</w:t>
            </w:r>
          </w:p>
          <w:p w14:paraId="56F49C2D" w14:textId="77777777" w:rsidR="0093472F" w:rsidRPr="004F1D9E" w:rsidRDefault="0093472F" w:rsidP="00B861C5">
            <w:pPr>
              <w:jc w:val="center"/>
              <w:rPr>
                <w:sz w:val="20"/>
                <w:szCs w:val="20"/>
              </w:rPr>
            </w:pPr>
            <w:r>
              <w:rPr>
                <w:sz w:val="20"/>
                <w:szCs w:val="20"/>
              </w:rPr>
              <w:t>3 (9.38)</w:t>
            </w:r>
          </w:p>
        </w:tc>
        <w:tc>
          <w:tcPr>
            <w:tcW w:w="810" w:type="dxa"/>
          </w:tcPr>
          <w:p w14:paraId="01185AE5" w14:textId="77777777" w:rsidR="0093472F" w:rsidRPr="00DA1F8F" w:rsidRDefault="0093472F" w:rsidP="00B861C5">
            <w:pPr>
              <w:jc w:val="center"/>
              <w:rPr>
                <w:sz w:val="20"/>
                <w:szCs w:val="20"/>
              </w:rPr>
            </w:pPr>
            <w:r w:rsidRPr="00DA1F8F">
              <w:rPr>
                <w:sz w:val="20"/>
                <w:szCs w:val="20"/>
              </w:rPr>
              <w:t>.25</w:t>
            </w:r>
          </w:p>
        </w:tc>
      </w:tr>
      <w:tr w:rsidR="0093472F" w:rsidRPr="004F1D9E" w14:paraId="0D797FC8" w14:textId="77777777" w:rsidTr="00B861C5">
        <w:tc>
          <w:tcPr>
            <w:tcW w:w="4395" w:type="dxa"/>
          </w:tcPr>
          <w:p w14:paraId="7160DB6E" w14:textId="77777777" w:rsidR="0093472F" w:rsidRPr="00AF0C1D" w:rsidRDefault="0093472F" w:rsidP="00B861C5">
            <w:pPr>
              <w:rPr>
                <w:sz w:val="20"/>
                <w:szCs w:val="20"/>
              </w:rPr>
            </w:pPr>
            <w:r w:rsidRPr="00AF0C1D">
              <w:rPr>
                <w:sz w:val="20"/>
                <w:szCs w:val="20"/>
              </w:rPr>
              <w:t>Determination to quit at this attempt: N (%)</w:t>
            </w:r>
          </w:p>
          <w:p w14:paraId="2BCF097B" w14:textId="47F9A36B" w:rsidR="0093472F" w:rsidRPr="00AF0C1D" w:rsidRDefault="00840AF7" w:rsidP="00B861C5">
            <w:pPr>
              <w:rPr>
                <w:sz w:val="20"/>
                <w:szCs w:val="20"/>
              </w:rPr>
            </w:pPr>
            <w:r>
              <w:rPr>
                <w:sz w:val="20"/>
                <w:szCs w:val="20"/>
              </w:rPr>
              <w:t xml:space="preserve"> </w:t>
            </w:r>
            <w:r w:rsidR="0093472F" w:rsidRPr="00AF0C1D">
              <w:rPr>
                <w:sz w:val="20"/>
                <w:szCs w:val="20"/>
              </w:rPr>
              <w:t>Extremely determined</w:t>
            </w:r>
          </w:p>
          <w:p w14:paraId="40AB6EF4" w14:textId="4EFF130A" w:rsidR="0093472F" w:rsidRPr="00AF0C1D" w:rsidRDefault="00840AF7" w:rsidP="00B861C5">
            <w:pPr>
              <w:rPr>
                <w:sz w:val="20"/>
                <w:szCs w:val="20"/>
              </w:rPr>
            </w:pPr>
            <w:r>
              <w:rPr>
                <w:sz w:val="20"/>
                <w:szCs w:val="20"/>
              </w:rPr>
              <w:t xml:space="preserve"> </w:t>
            </w:r>
            <w:r w:rsidR="0093472F" w:rsidRPr="00AF0C1D">
              <w:rPr>
                <w:sz w:val="20"/>
                <w:szCs w:val="20"/>
              </w:rPr>
              <w:t>Very determined</w:t>
            </w:r>
          </w:p>
          <w:p w14:paraId="0BCC541F" w14:textId="2A8A584D" w:rsidR="0093472F" w:rsidRPr="00AF0C1D" w:rsidRDefault="00840AF7" w:rsidP="00B861C5">
            <w:pPr>
              <w:rPr>
                <w:sz w:val="20"/>
                <w:szCs w:val="20"/>
              </w:rPr>
            </w:pPr>
            <w:r>
              <w:rPr>
                <w:sz w:val="20"/>
                <w:szCs w:val="20"/>
              </w:rPr>
              <w:t xml:space="preserve"> </w:t>
            </w:r>
            <w:r w:rsidR="0093472F" w:rsidRPr="00AF0C1D">
              <w:rPr>
                <w:sz w:val="20"/>
                <w:szCs w:val="20"/>
              </w:rPr>
              <w:t>Quite determined</w:t>
            </w:r>
          </w:p>
          <w:p w14:paraId="38C3D5B2" w14:textId="186A4A82" w:rsidR="0093472F" w:rsidRDefault="00840AF7" w:rsidP="00B861C5">
            <w:pPr>
              <w:rPr>
                <w:sz w:val="20"/>
                <w:szCs w:val="20"/>
              </w:rPr>
            </w:pPr>
            <w:r>
              <w:rPr>
                <w:sz w:val="20"/>
                <w:szCs w:val="20"/>
              </w:rPr>
              <w:t xml:space="preserve"> </w:t>
            </w:r>
            <w:r w:rsidR="0093472F" w:rsidRPr="00AF0C1D">
              <w:rPr>
                <w:sz w:val="20"/>
                <w:szCs w:val="20"/>
              </w:rPr>
              <w:t>Not at all determined</w:t>
            </w:r>
          </w:p>
          <w:p w14:paraId="4BE9DC7D" w14:textId="40B90A1C" w:rsidR="0093472F" w:rsidRDefault="00840AF7" w:rsidP="00B861C5">
            <w:pPr>
              <w:rPr>
                <w:sz w:val="20"/>
                <w:szCs w:val="20"/>
              </w:rPr>
            </w:pPr>
            <w:r>
              <w:rPr>
                <w:sz w:val="20"/>
                <w:szCs w:val="20"/>
              </w:rPr>
              <w:t xml:space="preserve"> </w:t>
            </w:r>
            <w:r w:rsidR="0093472F">
              <w:rPr>
                <w:sz w:val="20"/>
                <w:szCs w:val="20"/>
              </w:rPr>
              <w:t>Missing</w:t>
            </w:r>
          </w:p>
          <w:p w14:paraId="65BC848B" w14:textId="15C5A672" w:rsidR="0093472F" w:rsidRPr="004F1D9E" w:rsidRDefault="00840AF7" w:rsidP="00B861C5">
            <w:pPr>
              <w:rPr>
                <w:sz w:val="20"/>
                <w:szCs w:val="20"/>
              </w:rPr>
            </w:pPr>
            <w:r>
              <w:rPr>
                <w:sz w:val="20"/>
                <w:szCs w:val="20"/>
              </w:rPr>
              <w:t xml:space="preserve"> </w:t>
            </w:r>
          </w:p>
        </w:tc>
        <w:tc>
          <w:tcPr>
            <w:tcW w:w="1464" w:type="dxa"/>
          </w:tcPr>
          <w:p w14:paraId="0C35C03C" w14:textId="77777777" w:rsidR="0093472F" w:rsidRDefault="0093472F" w:rsidP="00B861C5">
            <w:pPr>
              <w:jc w:val="center"/>
              <w:rPr>
                <w:sz w:val="20"/>
                <w:szCs w:val="20"/>
              </w:rPr>
            </w:pPr>
          </w:p>
          <w:p w14:paraId="051C7B51" w14:textId="77777777" w:rsidR="0093472F" w:rsidRDefault="0093472F" w:rsidP="00B861C5">
            <w:pPr>
              <w:jc w:val="center"/>
              <w:rPr>
                <w:sz w:val="20"/>
                <w:szCs w:val="20"/>
              </w:rPr>
            </w:pPr>
            <w:r>
              <w:rPr>
                <w:sz w:val="20"/>
                <w:szCs w:val="20"/>
              </w:rPr>
              <w:t>19 (23.8)</w:t>
            </w:r>
          </w:p>
          <w:p w14:paraId="30B38AC6" w14:textId="77777777" w:rsidR="0093472F" w:rsidRDefault="0093472F" w:rsidP="00B861C5">
            <w:pPr>
              <w:jc w:val="center"/>
              <w:rPr>
                <w:sz w:val="20"/>
                <w:szCs w:val="20"/>
              </w:rPr>
            </w:pPr>
            <w:r>
              <w:rPr>
                <w:sz w:val="20"/>
                <w:szCs w:val="20"/>
              </w:rPr>
              <w:t>26 (32.5)</w:t>
            </w:r>
          </w:p>
          <w:p w14:paraId="72DF982E" w14:textId="77777777" w:rsidR="0093472F" w:rsidRDefault="0093472F" w:rsidP="00B861C5">
            <w:pPr>
              <w:jc w:val="center"/>
              <w:rPr>
                <w:sz w:val="20"/>
                <w:szCs w:val="20"/>
              </w:rPr>
            </w:pPr>
            <w:r>
              <w:rPr>
                <w:sz w:val="20"/>
                <w:szCs w:val="20"/>
              </w:rPr>
              <w:t>24 (30.5)</w:t>
            </w:r>
          </w:p>
          <w:p w14:paraId="06DE1D24" w14:textId="77777777" w:rsidR="0093472F" w:rsidRDefault="0093472F" w:rsidP="00B861C5">
            <w:pPr>
              <w:jc w:val="center"/>
              <w:rPr>
                <w:sz w:val="20"/>
                <w:szCs w:val="20"/>
              </w:rPr>
            </w:pPr>
            <w:r>
              <w:rPr>
                <w:sz w:val="20"/>
                <w:szCs w:val="20"/>
              </w:rPr>
              <w:t>8 (10.0)</w:t>
            </w:r>
          </w:p>
          <w:p w14:paraId="1210AE72" w14:textId="77777777" w:rsidR="0093472F" w:rsidRPr="004F1D9E" w:rsidRDefault="0093472F" w:rsidP="00B861C5">
            <w:pPr>
              <w:jc w:val="center"/>
              <w:rPr>
                <w:sz w:val="20"/>
                <w:szCs w:val="20"/>
              </w:rPr>
            </w:pPr>
            <w:r>
              <w:rPr>
                <w:sz w:val="20"/>
                <w:szCs w:val="20"/>
              </w:rPr>
              <w:t>3 (3.8)</w:t>
            </w:r>
          </w:p>
        </w:tc>
        <w:tc>
          <w:tcPr>
            <w:tcW w:w="1465" w:type="dxa"/>
          </w:tcPr>
          <w:p w14:paraId="25010004" w14:textId="77777777" w:rsidR="0093472F" w:rsidRDefault="0093472F" w:rsidP="00B861C5">
            <w:pPr>
              <w:jc w:val="center"/>
              <w:rPr>
                <w:sz w:val="20"/>
                <w:szCs w:val="20"/>
              </w:rPr>
            </w:pPr>
          </w:p>
          <w:p w14:paraId="326A6090" w14:textId="77777777" w:rsidR="0093472F" w:rsidRDefault="0093472F" w:rsidP="00B861C5">
            <w:pPr>
              <w:jc w:val="center"/>
              <w:rPr>
                <w:sz w:val="20"/>
                <w:szCs w:val="20"/>
              </w:rPr>
            </w:pPr>
            <w:r>
              <w:rPr>
                <w:sz w:val="20"/>
                <w:szCs w:val="20"/>
              </w:rPr>
              <w:t>13 (27.08)</w:t>
            </w:r>
          </w:p>
          <w:p w14:paraId="36073640" w14:textId="77777777" w:rsidR="0093472F" w:rsidRDefault="0093472F" w:rsidP="00B861C5">
            <w:pPr>
              <w:jc w:val="center"/>
              <w:rPr>
                <w:sz w:val="20"/>
                <w:szCs w:val="20"/>
              </w:rPr>
            </w:pPr>
            <w:r>
              <w:rPr>
                <w:sz w:val="20"/>
                <w:szCs w:val="20"/>
              </w:rPr>
              <w:t>16 (33.33)</w:t>
            </w:r>
          </w:p>
          <w:p w14:paraId="4DB90918" w14:textId="77777777" w:rsidR="0093472F" w:rsidRDefault="0093472F" w:rsidP="00B861C5">
            <w:pPr>
              <w:jc w:val="center"/>
              <w:rPr>
                <w:sz w:val="20"/>
                <w:szCs w:val="20"/>
              </w:rPr>
            </w:pPr>
            <w:r>
              <w:rPr>
                <w:sz w:val="20"/>
                <w:szCs w:val="20"/>
              </w:rPr>
              <w:t>14 (29.16)</w:t>
            </w:r>
          </w:p>
          <w:p w14:paraId="4E9EC15F" w14:textId="77777777" w:rsidR="0093472F" w:rsidRDefault="0093472F" w:rsidP="00B861C5">
            <w:pPr>
              <w:jc w:val="center"/>
              <w:rPr>
                <w:sz w:val="20"/>
                <w:szCs w:val="20"/>
              </w:rPr>
            </w:pPr>
            <w:r>
              <w:rPr>
                <w:sz w:val="20"/>
                <w:szCs w:val="20"/>
              </w:rPr>
              <w:t>3 (6.25)</w:t>
            </w:r>
          </w:p>
          <w:p w14:paraId="3B6D49AE" w14:textId="77777777" w:rsidR="0093472F" w:rsidRPr="004F1D9E" w:rsidRDefault="0093472F" w:rsidP="00B861C5">
            <w:pPr>
              <w:jc w:val="center"/>
              <w:rPr>
                <w:sz w:val="20"/>
                <w:szCs w:val="20"/>
              </w:rPr>
            </w:pPr>
          </w:p>
        </w:tc>
        <w:tc>
          <w:tcPr>
            <w:tcW w:w="1465" w:type="dxa"/>
          </w:tcPr>
          <w:p w14:paraId="6AB06ED3" w14:textId="77777777" w:rsidR="0093472F" w:rsidRDefault="0093472F" w:rsidP="00B861C5">
            <w:pPr>
              <w:jc w:val="center"/>
              <w:rPr>
                <w:sz w:val="20"/>
                <w:szCs w:val="20"/>
              </w:rPr>
            </w:pPr>
          </w:p>
          <w:p w14:paraId="0D9893F5" w14:textId="77777777" w:rsidR="0093472F" w:rsidRDefault="0093472F" w:rsidP="00B861C5">
            <w:pPr>
              <w:jc w:val="center"/>
              <w:rPr>
                <w:sz w:val="20"/>
                <w:szCs w:val="20"/>
              </w:rPr>
            </w:pPr>
            <w:r>
              <w:rPr>
                <w:sz w:val="20"/>
                <w:szCs w:val="20"/>
              </w:rPr>
              <w:t>6 (18.75)</w:t>
            </w:r>
          </w:p>
          <w:p w14:paraId="3170E8C9" w14:textId="77777777" w:rsidR="0093472F" w:rsidRDefault="0093472F" w:rsidP="00B861C5">
            <w:pPr>
              <w:jc w:val="center"/>
              <w:rPr>
                <w:sz w:val="20"/>
                <w:szCs w:val="20"/>
              </w:rPr>
            </w:pPr>
            <w:r>
              <w:rPr>
                <w:sz w:val="20"/>
                <w:szCs w:val="20"/>
              </w:rPr>
              <w:t>10 (31.25)</w:t>
            </w:r>
          </w:p>
          <w:p w14:paraId="539F2522" w14:textId="77777777" w:rsidR="0093472F" w:rsidRDefault="0093472F" w:rsidP="00B861C5">
            <w:pPr>
              <w:jc w:val="center"/>
              <w:rPr>
                <w:sz w:val="20"/>
                <w:szCs w:val="20"/>
              </w:rPr>
            </w:pPr>
            <w:r>
              <w:rPr>
                <w:sz w:val="20"/>
                <w:szCs w:val="20"/>
              </w:rPr>
              <w:t>10 (31.25)</w:t>
            </w:r>
          </w:p>
          <w:p w14:paraId="1B607972" w14:textId="77777777" w:rsidR="0093472F" w:rsidRDefault="0093472F" w:rsidP="00B861C5">
            <w:pPr>
              <w:jc w:val="center"/>
              <w:rPr>
                <w:sz w:val="20"/>
                <w:szCs w:val="20"/>
              </w:rPr>
            </w:pPr>
            <w:r>
              <w:rPr>
                <w:sz w:val="20"/>
                <w:szCs w:val="20"/>
              </w:rPr>
              <w:t>5 (15.63)</w:t>
            </w:r>
          </w:p>
          <w:p w14:paraId="5F1FDA10" w14:textId="77777777" w:rsidR="0093472F" w:rsidRPr="004F1D9E" w:rsidRDefault="0093472F" w:rsidP="00B861C5">
            <w:pPr>
              <w:jc w:val="center"/>
              <w:rPr>
                <w:sz w:val="20"/>
                <w:szCs w:val="20"/>
              </w:rPr>
            </w:pPr>
          </w:p>
        </w:tc>
        <w:tc>
          <w:tcPr>
            <w:tcW w:w="810" w:type="dxa"/>
          </w:tcPr>
          <w:p w14:paraId="63FD74DF" w14:textId="77777777" w:rsidR="0093472F" w:rsidRPr="00DA1F8F" w:rsidRDefault="0093472F" w:rsidP="00B861C5">
            <w:pPr>
              <w:jc w:val="center"/>
              <w:rPr>
                <w:sz w:val="20"/>
                <w:szCs w:val="20"/>
              </w:rPr>
            </w:pPr>
            <w:r w:rsidRPr="00DA1F8F">
              <w:rPr>
                <w:sz w:val="20"/>
                <w:szCs w:val="20"/>
              </w:rPr>
              <w:t>.52</w:t>
            </w:r>
          </w:p>
        </w:tc>
      </w:tr>
      <w:tr w:rsidR="0093472F" w:rsidRPr="004F1D9E" w14:paraId="178C463E" w14:textId="77777777" w:rsidTr="00B861C5">
        <w:tc>
          <w:tcPr>
            <w:tcW w:w="4395" w:type="dxa"/>
          </w:tcPr>
          <w:p w14:paraId="0927DD4C" w14:textId="77777777" w:rsidR="0093472F" w:rsidRDefault="0093472F" w:rsidP="00B861C5">
            <w:pPr>
              <w:rPr>
                <w:sz w:val="20"/>
                <w:szCs w:val="20"/>
              </w:rPr>
            </w:pPr>
            <w:r>
              <w:rPr>
                <w:sz w:val="20"/>
                <w:szCs w:val="20"/>
              </w:rPr>
              <w:t>Self-rated c</w:t>
            </w:r>
            <w:r w:rsidRPr="004F1D9E">
              <w:rPr>
                <w:sz w:val="20"/>
                <w:szCs w:val="20"/>
              </w:rPr>
              <w:t>ha</w:t>
            </w:r>
            <w:r>
              <w:rPr>
                <w:sz w:val="20"/>
                <w:szCs w:val="20"/>
              </w:rPr>
              <w:t>nce</w:t>
            </w:r>
            <w:r w:rsidRPr="004F1D9E">
              <w:rPr>
                <w:sz w:val="20"/>
                <w:szCs w:val="20"/>
              </w:rPr>
              <w:t xml:space="preserve"> of quitting</w:t>
            </w:r>
            <w:r>
              <w:rPr>
                <w:sz w:val="20"/>
                <w:szCs w:val="20"/>
              </w:rPr>
              <w:t xml:space="preserve"> </w:t>
            </w:r>
          </w:p>
          <w:p w14:paraId="59616494" w14:textId="40F79D46" w:rsidR="0093472F" w:rsidRPr="004F1D9E" w:rsidRDefault="0093472F" w:rsidP="00B861C5">
            <w:pPr>
              <w:rPr>
                <w:sz w:val="20"/>
                <w:szCs w:val="20"/>
              </w:rPr>
            </w:pPr>
            <w:r>
              <w:rPr>
                <w:sz w:val="20"/>
                <w:szCs w:val="20"/>
              </w:rPr>
              <w:t xml:space="preserve">(1 = very low – 6 = extremely high): </w:t>
            </w:r>
            <w:r w:rsidR="00853A93">
              <w:rPr>
                <w:sz w:val="20"/>
                <w:szCs w:val="20"/>
              </w:rPr>
              <w:t>median (IQR</w:t>
            </w:r>
            <w:r>
              <w:rPr>
                <w:sz w:val="20"/>
                <w:szCs w:val="20"/>
              </w:rPr>
              <w:t>)</w:t>
            </w:r>
          </w:p>
        </w:tc>
        <w:tc>
          <w:tcPr>
            <w:tcW w:w="1464" w:type="dxa"/>
          </w:tcPr>
          <w:p w14:paraId="085C75E8" w14:textId="77777777" w:rsidR="0093472F" w:rsidRDefault="0093472F" w:rsidP="00B861C5">
            <w:pPr>
              <w:jc w:val="center"/>
              <w:rPr>
                <w:sz w:val="20"/>
                <w:szCs w:val="20"/>
              </w:rPr>
            </w:pPr>
          </w:p>
          <w:p w14:paraId="5E240D96" w14:textId="5C259BE1" w:rsidR="0093472F" w:rsidRPr="004F1D9E" w:rsidRDefault="00853A93" w:rsidP="00B861C5">
            <w:pPr>
              <w:jc w:val="center"/>
              <w:rPr>
                <w:sz w:val="20"/>
                <w:szCs w:val="20"/>
              </w:rPr>
            </w:pPr>
            <w:r>
              <w:rPr>
                <w:sz w:val="20"/>
                <w:szCs w:val="20"/>
              </w:rPr>
              <w:t>4</w:t>
            </w:r>
            <w:r w:rsidR="0093472F" w:rsidRPr="004F1D9E">
              <w:rPr>
                <w:sz w:val="20"/>
                <w:szCs w:val="20"/>
              </w:rPr>
              <w:t xml:space="preserve"> (</w:t>
            </w:r>
            <w:r>
              <w:rPr>
                <w:sz w:val="20"/>
                <w:szCs w:val="20"/>
              </w:rPr>
              <w:t>2</w:t>
            </w:r>
            <w:r w:rsidR="0093472F" w:rsidRPr="004F1D9E">
              <w:rPr>
                <w:sz w:val="20"/>
                <w:szCs w:val="20"/>
              </w:rPr>
              <w:t>)</w:t>
            </w:r>
          </w:p>
        </w:tc>
        <w:tc>
          <w:tcPr>
            <w:tcW w:w="1465" w:type="dxa"/>
          </w:tcPr>
          <w:p w14:paraId="282A1833" w14:textId="77777777" w:rsidR="0093472F" w:rsidRDefault="0093472F" w:rsidP="00B861C5">
            <w:pPr>
              <w:jc w:val="center"/>
              <w:rPr>
                <w:sz w:val="20"/>
                <w:szCs w:val="20"/>
              </w:rPr>
            </w:pPr>
          </w:p>
          <w:p w14:paraId="71EF14CC" w14:textId="25E866AE" w:rsidR="0093472F" w:rsidRPr="004F1D9E" w:rsidRDefault="00853A93" w:rsidP="00B861C5">
            <w:pPr>
              <w:jc w:val="center"/>
              <w:rPr>
                <w:sz w:val="20"/>
                <w:szCs w:val="20"/>
              </w:rPr>
            </w:pPr>
            <w:r>
              <w:rPr>
                <w:sz w:val="20"/>
                <w:szCs w:val="20"/>
              </w:rPr>
              <w:t>4</w:t>
            </w:r>
            <w:r w:rsidR="0093472F">
              <w:rPr>
                <w:sz w:val="20"/>
                <w:szCs w:val="20"/>
              </w:rPr>
              <w:t>(1)</w:t>
            </w:r>
          </w:p>
        </w:tc>
        <w:tc>
          <w:tcPr>
            <w:tcW w:w="1465" w:type="dxa"/>
          </w:tcPr>
          <w:p w14:paraId="7BFDBFC1" w14:textId="77777777" w:rsidR="0093472F" w:rsidRDefault="0093472F" w:rsidP="00B861C5">
            <w:pPr>
              <w:jc w:val="center"/>
              <w:rPr>
                <w:sz w:val="20"/>
                <w:szCs w:val="20"/>
              </w:rPr>
            </w:pPr>
          </w:p>
          <w:p w14:paraId="50B253D0" w14:textId="302CB323" w:rsidR="0093472F" w:rsidRPr="004F1D9E" w:rsidRDefault="00853A93" w:rsidP="00B861C5">
            <w:pPr>
              <w:jc w:val="center"/>
              <w:rPr>
                <w:sz w:val="20"/>
                <w:szCs w:val="20"/>
              </w:rPr>
            </w:pPr>
            <w:r>
              <w:rPr>
                <w:sz w:val="20"/>
                <w:szCs w:val="20"/>
              </w:rPr>
              <w:t>4</w:t>
            </w:r>
            <w:r w:rsidR="0093472F">
              <w:rPr>
                <w:sz w:val="20"/>
                <w:szCs w:val="20"/>
              </w:rPr>
              <w:t xml:space="preserve"> (1)</w:t>
            </w:r>
          </w:p>
        </w:tc>
        <w:tc>
          <w:tcPr>
            <w:tcW w:w="810" w:type="dxa"/>
          </w:tcPr>
          <w:p w14:paraId="64462069" w14:textId="77777777" w:rsidR="0093472F" w:rsidRPr="00DA1F8F" w:rsidRDefault="0093472F" w:rsidP="00B861C5">
            <w:pPr>
              <w:jc w:val="center"/>
              <w:rPr>
                <w:sz w:val="20"/>
                <w:szCs w:val="20"/>
              </w:rPr>
            </w:pPr>
          </w:p>
          <w:p w14:paraId="715651C7" w14:textId="7F36EB42" w:rsidR="0093472F" w:rsidRPr="00DA1F8F" w:rsidRDefault="00853A93" w:rsidP="00B861C5">
            <w:pPr>
              <w:jc w:val="center"/>
              <w:rPr>
                <w:sz w:val="20"/>
                <w:szCs w:val="20"/>
              </w:rPr>
            </w:pPr>
            <w:r>
              <w:rPr>
                <w:sz w:val="20"/>
                <w:szCs w:val="20"/>
              </w:rPr>
              <w:t>.23</w:t>
            </w:r>
          </w:p>
        </w:tc>
      </w:tr>
      <w:tr w:rsidR="0093472F" w:rsidRPr="004F1D9E" w14:paraId="190FA659" w14:textId="77777777" w:rsidTr="00B861C5">
        <w:tc>
          <w:tcPr>
            <w:tcW w:w="4395" w:type="dxa"/>
          </w:tcPr>
          <w:p w14:paraId="7B6F713E" w14:textId="78EC2E0C" w:rsidR="0093472F" w:rsidRPr="004F1D9E" w:rsidRDefault="0093472F" w:rsidP="00B861C5">
            <w:pPr>
              <w:rPr>
                <w:sz w:val="20"/>
                <w:szCs w:val="20"/>
              </w:rPr>
            </w:pPr>
            <w:r w:rsidRPr="53AC113B">
              <w:rPr>
                <w:sz w:val="20"/>
                <w:szCs w:val="20"/>
              </w:rPr>
              <w:t>GAD</w:t>
            </w:r>
            <w:r w:rsidR="00A212D7">
              <w:rPr>
                <w:sz w:val="20"/>
                <w:szCs w:val="20"/>
              </w:rPr>
              <w:t>-</w:t>
            </w:r>
            <w:r>
              <w:rPr>
                <w:sz w:val="20"/>
                <w:szCs w:val="20"/>
              </w:rPr>
              <w:t>7</w:t>
            </w:r>
            <w:r w:rsidRPr="53AC113B">
              <w:rPr>
                <w:sz w:val="20"/>
                <w:szCs w:val="20"/>
              </w:rPr>
              <w:t xml:space="preserve">: </w:t>
            </w:r>
            <w:r w:rsidR="00BF6736">
              <w:rPr>
                <w:sz w:val="20"/>
                <w:szCs w:val="20"/>
              </w:rPr>
              <w:t>median (IQR)</w:t>
            </w:r>
          </w:p>
        </w:tc>
        <w:tc>
          <w:tcPr>
            <w:tcW w:w="1464" w:type="dxa"/>
          </w:tcPr>
          <w:p w14:paraId="7D58449E" w14:textId="1A696C15" w:rsidR="0093472F" w:rsidRPr="004F1D9E" w:rsidRDefault="0093472F" w:rsidP="00B861C5">
            <w:pPr>
              <w:jc w:val="center"/>
              <w:rPr>
                <w:sz w:val="20"/>
                <w:szCs w:val="20"/>
              </w:rPr>
            </w:pPr>
            <w:r w:rsidRPr="53AC113B">
              <w:rPr>
                <w:sz w:val="20"/>
                <w:szCs w:val="20"/>
              </w:rPr>
              <w:t>11 (</w:t>
            </w:r>
            <w:r w:rsidR="00853A93">
              <w:rPr>
                <w:sz w:val="20"/>
                <w:szCs w:val="20"/>
              </w:rPr>
              <w:t>13</w:t>
            </w:r>
          </w:p>
        </w:tc>
        <w:tc>
          <w:tcPr>
            <w:tcW w:w="1465" w:type="dxa"/>
          </w:tcPr>
          <w:p w14:paraId="3E4D4D38" w14:textId="71F7628B" w:rsidR="0093472F" w:rsidRPr="004F1D9E" w:rsidRDefault="00853A93" w:rsidP="00B861C5">
            <w:pPr>
              <w:jc w:val="center"/>
              <w:rPr>
                <w:sz w:val="20"/>
                <w:szCs w:val="20"/>
              </w:rPr>
            </w:pPr>
            <w:r>
              <w:rPr>
                <w:sz w:val="20"/>
                <w:szCs w:val="20"/>
              </w:rPr>
              <w:t>10</w:t>
            </w:r>
            <w:r w:rsidR="0093472F">
              <w:rPr>
                <w:sz w:val="20"/>
                <w:szCs w:val="20"/>
              </w:rPr>
              <w:t xml:space="preserve"> (</w:t>
            </w:r>
            <w:r>
              <w:rPr>
                <w:sz w:val="20"/>
                <w:szCs w:val="20"/>
              </w:rPr>
              <w:t>11</w:t>
            </w:r>
            <w:r w:rsidR="0093472F">
              <w:rPr>
                <w:sz w:val="20"/>
                <w:szCs w:val="20"/>
              </w:rPr>
              <w:t>)</w:t>
            </w:r>
          </w:p>
        </w:tc>
        <w:tc>
          <w:tcPr>
            <w:tcW w:w="1465" w:type="dxa"/>
          </w:tcPr>
          <w:p w14:paraId="369845DF" w14:textId="37436900" w:rsidR="0093472F" w:rsidRPr="004F1D9E" w:rsidRDefault="00853A93" w:rsidP="00B861C5">
            <w:pPr>
              <w:jc w:val="center"/>
              <w:rPr>
                <w:sz w:val="20"/>
                <w:szCs w:val="20"/>
              </w:rPr>
            </w:pPr>
            <w:r>
              <w:rPr>
                <w:sz w:val="20"/>
                <w:szCs w:val="20"/>
              </w:rPr>
              <w:t>16</w:t>
            </w:r>
            <w:r w:rsidR="0093472F">
              <w:rPr>
                <w:sz w:val="20"/>
                <w:szCs w:val="20"/>
              </w:rPr>
              <w:t xml:space="preserve"> (</w:t>
            </w:r>
            <w:r>
              <w:rPr>
                <w:sz w:val="20"/>
                <w:szCs w:val="20"/>
              </w:rPr>
              <w:t>13</w:t>
            </w:r>
            <w:r w:rsidR="0093472F">
              <w:rPr>
                <w:sz w:val="20"/>
                <w:szCs w:val="20"/>
              </w:rPr>
              <w:t>)</w:t>
            </w:r>
          </w:p>
        </w:tc>
        <w:tc>
          <w:tcPr>
            <w:tcW w:w="810" w:type="dxa"/>
          </w:tcPr>
          <w:p w14:paraId="0ABD3E67" w14:textId="301FFE51" w:rsidR="0093472F" w:rsidRPr="00DA1F8F" w:rsidRDefault="0093472F" w:rsidP="00B861C5">
            <w:pPr>
              <w:jc w:val="center"/>
              <w:rPr>
                <w:b/>
                <w:sz w:val="20"/>
                <w:szCs w:val="20"/>
              </w:rPr>
            </w:pPr>
            <w:r w:rsidRPr="00DA1F8F">
              <w:rPr>
                <w:b/>
                <w:sz w:val="20"/>
                <w:szCs w:val="20"/>
              </w:rPr>
              <w:t>.0</w:t>
            </w:r>
            <w:r w:rsidR="00F63E2B">
              <w:rPr>
                <w:b/>
                <w:sz w:val="20"/>
                <w:szCs w:val="20"/>
              </w:rPr>
              <w:t>3</w:t>
            </w:r>
          </w:p>
        </w:tc>
      </w:tr>
      <w:tr w:rsidR="0093472F" w:rsidRPr="004F1D9E" w14:paraId="39CC115C" w14:textId="77777777" w:rsidTr="00B861C5">
        <w:tc>
          <w:tcPr>
            <w:tcW w:w="4395" w:type="dxa"/>
          </w:tcPr>
          <w:p w14:paraId="086D6F44" w14:textId="566C30AE" w:rsidR="0093472F" w:rsidRPr="004F1D9E" w:rsidRDefault="0093472F" w:rsidP="00B861C5">
            <w:pPr>
              <w:rPr>
                <w:sz w:val="20"/>
                <w:szCs w:val="20"/>
              </w:rPr>
            </w:pPr>
            <w:r w:rsidRPr="53AC113B">
              <w:rPr>
                <w:sz w:val="20"/>
                <w:szCs w:val="20"/>
              </w:rPr>
              <w:t>PHQ</w:t>
            </w:r>
            <w:r w:rsidR="00A212D7">
              <w:rPr>
                <w:sz w:val="20"/>
                <w:szCs w:val="20"/>
              </w:rPr>
              <w:t>-</w:t>
            </w:r>
            <w:r>
              <w:rPr>
                <w:sz w:val="20"/>
                <w:szCs w:val="20"/>
              </w:rPr>
              <w:t>9</w:t>
            </w:r>
            <w:r w:rsidRPr="53AC113B">
              <w:rPr>
                <w:sz w:val="20"/>
                <w:szCs w:val="20"/>
              </w:rPr>
              <w:t xml:space="preserve">: </w:t>
            </w:r>
            <w:r w:rsidR="00BF6736">
              <w:rPr>
                <w:sz w:val="20"/>
                <w:szCs w:val="20"/>
              </w:rPr>
              <w:t>median (IQR)</w:t>
            </w:r>
          </w:p>
        </w:tc>
        <w:tc>
          <w:tcPr>
            <w:tcW w:w="1464" w:type="dxa"/>
          </w:tcPr>
          <w:p w14:paraId="69522964" w14:textId="3C76F1B4" w:rsidR="0093472F" w:rsidRPr="004F1D9E" w:rsidRDefault="00853A93" w:rsidP="00B861C5">
            <w:pPr>
              <w:jc w:val="center"/>
              <w:rPr>
                <w:sz w:val="20"/>
                <w:szCs w:val="20"/>
              </w:rPr>
            </w:pPr>
            <w:r>
              <w:rPr>
                <w:sz w:val="20"/>
                <w:szCs w:val="20"/>
              </w:rPr>
              <w:t>14</w:t>
            </w:r>
            <w:r w:rsidR="00840AF7">
              <w:rPr>
                <w:sz w:val="20"/>
                <w:szCs w:val="20"/>
              </w:rPr>
              <w:t xml:space="preserve"> </w:t>
            </w:r>
            <w:r w:rsidR="0093472F" w:rsidRPr="53AC113B">
              <w:rPr>
                <w:sz w:val="20"/>
                <w:szCs w:val="20"/>
              </w:rPr>
              <w:t>(</w:t>
            </w:r>
            <w:r>
              <w:rPr>
                <w:sz w:val="20"/>
                <w:szCs w:val="20"/>
              </w:rPr>
              <w:t>14.5</w:t>
            </w:r>
            <w:r w:rsidR="0093472F" w:rsidRPr="53AC113B">
              <w:rPr>
                <w:sz w:val="20"/>
                <w:szCs w:val="20"/>
              </w:rPr>
              <w:t>)</w:t>
            </w:r>
          </w:p>
        </w:tc>
        <w:tc>
          <w:tcPr>
            <w:tcW w:w="1465" w:type="dxa"/>
          </w:tcPr>
          <w:p w14:paraId="100AC92F" w14:textId="7946B394" w:rsidR="0093472F" w:rsidRPr="004F1D9E" w:rsidRDefault="00853A93" w:rsidP="00B861C5">
            <w:pPr>
              <w:jc w:val="center"/>
              <w:rPr>
                <w:sz w:val="20"/>
                <w:szCs w:val="20"/>
              </w:rPr>
            </w:pPr>
            <w:r>
              <w:rPr>
                <w:sz w:val="20"/>
                <w:szCs w:val="20"/>
              </w:rPr>
              <w:t xml:space="preserve">13.5 </w:t>
            </w:r>
            <w:r w:rsidR="0093472F">
              <w:rPr>
                <w:sz w:val="20"/>
                <w:szCs w:val="20"/>
              </w:rPr>
              <w:t>(</w:t>
            </w:r>
            <w:r>
              <w:rPr>
                <w:sz w:val="20"/>
                <w:szCs w:val="20"/>
              </w:rPr>
              <w:t>(13)</w:t>
            </w:r>
          </w:p>
        </w:tc>
        <w:tc>
          <w:tcPr>
            <w:tcW w:w="1465" w:type="dxa"/>
          </w:tcPr>
          <w:p w14:paraId="08D4BA1D" w14:textId="2587D455" w:rsidR="0093472F" w:rsidRPr="004F1D9E" w:rsidRDefault="00853A93" w:rsidP="00B861C5">
            <w:pPr>
              <w:jc w:val="center"/>
              <w:rPr>
                <w:sz w:val="20"/>
                <w:szCs w:val="20"/>
              </w:rPr>
            </w:pPr>
            <w:r>
              <w:rPr>
                <w:sz w:val="20"/>
                <w:szCs w:val="20"/>
              </w:rPr>
              <w:t>15.5</w:t>
            </w:r>
            <w:r w:rsidR="0093472F">
              <w:rPr>
                <w:sz w:val="20"/>
                <w:szCs w:val="20"/>
              </w:rPr>
              <w:t xml:space="preserve"> (</w:t>
            </w:r>
            <w:r>
              <w:rPr>
                <w:sz w:val="20"/>
                <w:szCs w:val="20"/>
              </w:rPr>
              <w:t>16</w:t>
            </w:r>
            <w:r w:rsidR="0093472F">
              <w:rPr>
                <w:sz w:val="20"/>
                <w:szCs w:val="20"/>
              </w:rPr>
              <w:t>)</w:t>
            </w:r>
          </w:p>
        </w:tc>
        <w:tc>
          <w:tcPr>
            <w:tcW w:w="810" w:type="dxa"/>
          </w:tcPr>
          <w:p w14:paraId="63F49A30" w14:textId="288D917F" w:rsidR="0093472F" w:rsidRPr="00DA1F8F" w:rsidRDefault="0093472F" w:rsidP="00B861C5">
            <w:pPr>
              <w:jc w:val="center"/>
              <w:rPr>
                <w:sz w:val="20"/>
                <w:szCs w:val="20"/>
              </w:rPr>
            </w:pPr>
            <w:r w:rsidRPr="00DA1F8F">
              <w:rPr>
                <w:sz w:val="20"/>
                <w:szCs w:val="20"/>
              </w:rPr>
              <w:t>.</w:t>
            </w:r>
            <w:r w:rsidR="00BF6736">
              <w:rPr>
                <w:sz w:val="20"/>
                <w:szCs w:val="20"/>
              </w:rPr>
              <w:t>4</w:t>
            </w:r>
            <w:r w:rsidRPr="00DA1F8F">
              <w:rPr>
                <w:sz w:val="20"/>
                <w:szCs w:val="20"/>
              </w:rPr>
              <w:t>5</w:t>
            </w:r>
          </w:p>
        </w:tc>
      </w:tr>
      <w:tr w:rsidR="0093472F" w:rsidRPr="004F1D9E" w14:paraId="12249D94" w14:textId="77777777" w:rsidTr="00B861C5">
        <w:tc>
          <w:tcPr>
            <w:tcW w:w="4395" w:type="dxa"/>
          </w:tcPr>
          <w:p w14:paraId="64C2BBCE" w14:textId="5A139079" w:rsidR="0093472F" w:rsidRPr="004F1D9E" w:rsidRDefault="0093472F" w:rsidP="00B861C5">
            <w:pPr>
              <w:rPr>
                <w:sz w:val="20"/>
                <w:szCs w:val="20"/>
              </w:rPr>
            </w:pPr>
            <w:r w:rsidRPr="53AC113B">
              <w:rPr>
                <w:sz w:val="20"/>
                <w:szCs w:val="20"/>
              </w:rPr>
              <w:t xml:space="preserve">AUDIT: </w:t>
            </w:r>
            <w:r w:rsidR="00BF6736">
              <w:rPr>
                <w:sz w:val="20"/>
                <w:szCs w:val="20"/>
              </w:rPr>
              <w:t>median (IQR)</w:t>
            </w:r>
          </w:p>
        </w:tc>
        <w:tc>
          <w:tcPr>
            <w:tcW w:w="1464" w:type="dxa"/>
          </w:tcPr>
          <w:p w14:paraId="1DABAF52" w14:textId="59A3722E" w:rsidR="0093472F" w:rsidRPr="004F1D9E" w:rsidRDefault="00BF6736" w:rsidP="00B861C5">
            <w:pPr>
              <w:jc w:val="center"/>
              <w:rPr>
                <w:sz w:val="20"/>
                <w:szCs w:val="20"/>
              </w:rPr>
            </w:pPr>
            <w:r>
              <w:rPr>
                <w:sz w:val="20"/>
                <w:szCs w:val="20"/>
              </w:rPr>
              <w:t>5.5</w:t>
            </w:r>
            <w:r w:rsidR="0093472F" w:rsidRPr="53AC113B">
              <w:rPr>
                <w:sz w:val="20"/>
                <w:szCs w:val="20"/>
              </w:rPr>
              <w:t xml:space="preserve"> (1</w:t>
            </w:r>
            <w:r>
              <w:rPr>
                <w:sz w:val="20"/>
                <w:szCs w:val="20"/>
              </w:rPr>
              <w:t>3</w:t>
            </w:r>
            <w:r w:rsidR="0093472F" w:rsidRPr="53AC113B">
              <w:rPr>
                <w:sz w:val="20"/>
                <w:szCs w:val="20"/>
              </w:rPr>
              <w:t>)</w:t>
            </w:r>
          </w:p>
        </w:tc>
        <w:tc>
          <w:tcPr>
            <w:tcW w:w="1465" w:type="dxa"/>
          </w:tcPr>
          <w:p w14:paraId="5E719C54" w14:textId="796821BF" w:rsidR="0093472F" w:rsidRPr="004F1D9E" w:rsidRDefault="00BF6736" w:rsidP="00B861C5">
            <w:pPr>
              <w:jc w:val="center"/>
              <w:rPr>
                <w:sz w:val="20"/>
                <w:szCs w:val="20"/>
              </w:rPr>
            </w:pPr>
            <w:r>
              <w:rPr>
                <w:sz w:val="20"/>
                <w:szCs w:val="20"/>
              </w:rPr>
              <w:t>5</w:t>
            </w:r>
            <w:r w:rsidR="0093472F">
              <w:rPr>
                <w:sz w:val="20"/>
                <w:szCs w:val="20"/>
              </w:rPr>
              <w:t xml:space="preserve"> (</w:t>
            </w:r>
            <w:r>
              <w:rPr>
                <w:sz w:val="20"/>
                <w:szCs w:val="20"/>
              </w:rPr>
              <w:t>17</w:t>
            </w:r>
            <w:r w:rsidR="0093472F">
              <w:rPr>
                <w:sz w:val="20"/>
                <w:szCs w:val="20"/>
              </w:rPr>
              <w:t>)</w:t>
            </w:r>
          </w:p>
        </w:tc>
        <w:tc>
          <w:tcPr>
            <w:tcW w:w="1465" w:type="dxa"/>
          </w:tcPr>
          <w:p w14:paraId="47871D8E" w14:textId="0C42D805" w:rsidR="0093472F" w:rsidRPr="004F1D9E" w:rsidRDefault="00BF6736" w:rsidP="00B861C5">
            <w:pPr>
              <w:jc w:val="center"/>
              <w:rPr>
                <w:sz w:val="20"/>
                <w:szCs w:val="20"/>
              </w:rPr>
            </w:pPr>
            <w:r>
              <w:rPr>
                <w:sz w:val="20"/>
                <w:szCs w:val="20"/>
              </w:rPr>
              <w:t>6.5</w:t>
            </w:r>
            <w:r w:rsidR="0093472F">
              <w:rPr>
                <w:sz w:val="20"/>
                <w:szCs w:val="20"/>
              </w:rPr>
              <w:t xml:space="preserve"> (</w:t>
            </w:r>
            <w:r>
              <w:rPr>
                <w:sz w:val="20"/>
                <w:szCs w:val="20"/>
              </w:rPr>
              <w:t>11</w:t>
            </w:r>
            <w:r w:rsidR="0093472F">
              <w:rPr>
                <w:sz w:val="20"/>
                <w:szCs w:val="20"/>
              </w:rPr>
              <w:t>)</w:t>
            </w:r>
          </w:p>
        </w:tc>
        <w:tc>
          <w:tcPr>
            <w:tcW w:w="810" w:type="dxa"/>
          </w:tcPr>
          <w:p w14:paraId="25859EAA" w14:textId="349F5179" w:rsidR="0093472F" w:rsidRPr="004F1D9E" w:rsidRDefault="00BF6736" w:rsidP="00B861C5">
            <w:pPr>
              <w:jc w:val="center"/>
              <w:rPr>
                <w:sz w:val="20"/>
                <w:szCs w:val="20"/>
              </w:rPr>
            </w:pPr>
            <w:r>
              <w:rPr>
                <w:sz w:val="20"/>
                <w:szCs w:val="20"/>
              </w:rPr>
              <w:t>1.0</w:t>
            </w:r>
          </w:p>
        </w:tc>
      </w:tr>
      <w:tr w:rsidR="0093472F" w:rsidRPr="004F1D9E" w14:paraId="5061BE6B" w14:textId="77777777" w:rsidTr="00B861C5">
        <w:tc>
          <w:tcPr>
            <w:tcW w:w="4395" w:type="dxa"/>
          </w:tcPr>
          <w:p w14:paraId="21BDE4A0" w14:textId="5F056C9E" w:rsidR="0093472F" w:rsidRPr="004F1D9E" w:rsidRDefault="0093472F" w:rsidP="00B861C5">
            <w:pPr>
              <w:rPr>
                <w:sz w:val="20"/>
                <w:szCs w:val="20"/>
              </w:rPr>
            </w:pPr>
            <w:r w:rsidRPr="53AC113B">
              <w:rPr>
                <w:sz w:val="20"/>
                <w:szCs w:val="20"/>
              </w:rPr>
              <w:t xml:space="preserve">SDS: </w:t>
            </w:r>
            <w:r w:rsidR="00BF6736">
              <w:rPr>
                <w:sz w:val="20"/>
                <w:szCs w:val="20"/>
              </w:rPr>
              <w:t>median (IQR)</w:t>
            </w:r>
          </w:p>
        </w:tc>
        <w:tc>
          <w:tcPr>
            <w:tcW w:w="1464" w:type="dxa"/>
          </w:tcPr>
          <w:p w14:paraId="0CF887E6" w14:textId="415B1E18" w:rsidR="0093472F" w:rsidRPr="004F1D9E" w:rsidRDefault="00BF6736" w:rsidP="00B861C5">
            <w:pPr>
              <w:jc w:val="center"/>
              <w:rPr>
                <w:sz w:val="20"/>
                <w:szCs w:val="20"/>
              </w:rPr>
            </w:pPr>
            <w:r>
              <w:rPr>
                <w:sz w:val="20"/>
                <w:szCs w:val="20"/>
              </w:rPr>
              <w:t>3</w:t>
            </w:r>
            <w:r w:rsidR="0093472F" w:rsidRPr="53AC113B">
              <w:rPr>
                <w:sz w:val="20"/>
                <w:szCs w:val="20"/>
              </w:rPr>
              <w:t xml:space="preserve"> (5</w:t>
            </w:r>
            <w:r>
              <w:rPr>
                <w:sz w:val="20"/>
                <w:szCs w:val="20"/>
              </w:rPr>
              <w:t>.5</w:t>
            </w:r>
            <w:r w:rsidR="00840AF7">
              <w:rPr>
                <w:sz w:val="20"/>
                <w:szCs w:val="20"/>
              </w:rPr>
              <w:t xml:space="preserve"> </w:t>
            </w:r>
            <w:r w:rsidR="0093472F" w:rsidRPr="53AC113B">
              <w:rPr>
                <w:sz w:val="20"/>
                <w:szCs w:val="20"/>
              </w:rPr>
              <w:t>)</w:t>
            </w:r>
          </w:p>
        </w:tc>
        <w:tc>
          <w:tcPr>
            <w:tcW w:w="1465" w:type="dxa"/>
          </w:tcPr>
          <w:p w14:paraId="358237C1" w14:textId="56D82D38" w:rsidR="0093472F" w:rsidRPr="004F1D9E" w:rsidRDefault="00BF6736" w:rsidP="00B861C5">
            <w:pPr>
              <w:jc w:val="center"/>
              <w:rPr>
                <w:sz w:val="20"/>
                <w:szCs w:val="20"/>
              </w:rPr>
            </w:pPr>
            <w:r>
              <w:rPr>
                <w:sz w:val="20"/>
                <w:szCs w:val="20"/>
              </w:rPr>
              <w:t>2</w:t>
            </w:r>
            <w:r w:rsidR="0093472F">
              <w:rPr>
                <w:sz w:val="20"/>
                <w:szCs w:val="20"/>
              </w:rPr>
              <w:t xml:space="preserve"> (</w:t>
            </w:r>
            <w:r>
              <w:rPr>
                <w:sz w:val="20"/>
                <w:szCs w:val="20"/>
              </w:rPr>
              <w:t>7</w:t>
            </w:r>
            <w:r w:rsidR="0093472F">
              <w:rPr>
                <w:sz w:val="20"/>
                <w:szCs w:val="20"/>
              </w:rPr>
              <w:t>)</w:t>
            </w:r>
          </w:p>
        </w:tc>
        <w:tc>
          <w:tcPr>
            <w:tcW w:w="1465" w:type="dxa"/>
          </w:tcPr>
          <w:p w14:paraId="5FA1BF9A" w14:textId="74895C87" w:rsidR="0093472F" w:rsidRPr="004F1D9E" w:rsidRDefault="00BF6736" w:rsidP="00B861C5">
            <w:pPr>
              <w:jc w:val="center"/>
              <w:rPr>
                <w:sz w:val="20"/>
                <w:szCs w:val="20"/>
              </w:rPr>
            </w:pPr>
            <w:r>
              <w:rPr>
                <w:sz w:val="20"/>
                <w:szCs w:val="20"/>
              </w:rPr>
              <w:t>8</w:t>
            </w:r>
            <w:r w:rsidR="0093472F">
              <w:rPr>
                <w:sz w:val="20"/>
                <w:szCs w:val="20"/>
              </w:rPr>
              <w:t xml:space="preserve"> (</w:t>
            </w:r>
            <w:r>
              <w:rPr>
                <w:sz w:val="20"/>
                <w:szCs w:val="20"/>
              </w:rPr>
              <w:t>8</w:t>
            </w:r>
            <w:r w:rsidR="0093472F">
              <w:rPr>
                <w:sz w:val="20"/>
                <w:szCs w:val="20"/>
              </w:rPr>
              <w:t>)</w:t>
            </w:r>
          </w:p>
        </w:tc>
        <w:tc>
          <w:tcPr>
            <w:tcW w:w="810" w:type="dxa"/>
          </w:tcPr>
          <w:p w14:paraId="5B4064A4" w14:textId="77777777" w:rsidR="0093472F" w:rsidRPr="00CA025B" w:rsidRDefault="0093472F" w:rsidP="00B861C5">
            <w:pPr>
              <w:jc w:val="center"/>
              <w:rPr>
                <w:b/>
                <w:sz w:val="20"/>
                <w:szCs w:val="20"/>
              </w:rPr>
            </w:pPr>
            <w:r w:rsidRPr="00CA025B">
              <w:rPr>
                <w:b/>
                <w:sz w:val="20"/>
                <w:szCs w:val="20"/>
              </w:rPr>
              <w:t>&lt;.01</w:t>
            </w:r>
          </w:p>
        </w:tc>
      </w:tr>
    </w:tbl>
    <w:p w14:paraId="50D2FCB7" w14:textId="14B4FC52" w:rsidR="0093472F" w:rsidRPr="0093472F" w:rsidRDefault="0093472F" w:rsidP="0093472F">
      <w:pPr>
        <w:rPr>
          <w:sz w:val="20"/>
          <w:szCs w:val="20"/>
        </w:rPr>
      </w:pPr>
      <w:r w:rsidRPr="0093472F">
        <w:rPr>
          <w:sz w:val="20"/>
          <w:szCs w:val="20"/>
        </w:rPr>
        <w:t xml:space="preserve">*Participants could select more than one option. MTSS = Motivation to Stop Smoking Scale: </w:t>
      </w:r>
      <w:r w:rsidR="00FB0D18">
        <w:rPr>
          <w:sz w:val="20"/>
          <w:szCs w:val="20"/>
        </w:rPr>
        <w:t>GAD-7</w:t>
      </w:r>
      <w:r w:rsidRPr="0093472F">
        <w:rPr>
          <w:sz w:val="20"/>
          <w:szCs w:val="20"/>
        </w:rPr>
        <w:t xml:space="preserve"> = Generalised Anxiety Disorder Questionnaire: </w:t>
      </w:r>
      <w:r w:rsidR="00FB0D18">
        <w:rPr>
          <w:sz w:val="20"/>
          <w:szCs w:val="20"/>
        </w:rPr>
        <w:t>PHQ-9</w:t>
      </w:r>
      <w:r w:rsidRPr="0093472F">
        <w:rPr>
          <w:sz w:val="20"/>
          <w:szCs w:val="20"/>
        </w:rPr>
        <w:t xml:space="preserve"> = Patient Health Questionnaire; AUDIT = Alcohol Use Disorders Identification Test; SDS = Severity of Dependence Scale</w:t>
      </w:r>
    </w:p>
    <w:p w14:paraId="2DD6642A" w14:textId="4058687E" w:rsidR="003E1C77" w:rsidRPr="00610D2B" w:rsidRDefault="0093472F" w:rsidP="00610D2B">
      <w:pPr>
        <w:rPr>
          <w:sz w:val="20"/>
          <w:szCs w:val="20"/>
        </w:rPr>
      </w:pPr>
      <w:r w:rsidRPr="0093472F">
        <w:rPr>
          <w:sz w:val="20"/>
          <w:szCs w:val="20"/>
        </w:rPr>
        <w:t>T-tests/Mann Whitney U used for continuous variables. Fishers Exact Test used for categorical variables.</w:t>
      </w:r>
    </w:p>
    <w:p w14:paraId="14CD7654" w14:textId="77777777" w:rsidR="00356855" w:rsidRPr="00E879B4" w:rsidRDefault="00356855" w:rsidP="00A8589B">
      <w:pPr>
        <w:spacing w:after="160" w:line="480" w:lineRule="auto"/>
        <w:jc w:val="both"/>
        <w:rPr>
          <w:rFonts w:cs="Times New Roman"/>
          <w:b/>
          <w:sz w:val="32"/>
          <w:szCs w:val="32"/>
        </w:rPr>
      </w:pPr>
      <w:r w:rsidRPr="00E879B4">
        <w:rPr>
          <w:rFonts w:cs="Times New Roman"/>
          <w:b/>
          <w:sz w:val="32"/>
          <w:szCs w:val="32"/>
        </w:rPr>
        <w:t xml:space="preserve">Follow up and </w:t>
      </w:r>
      <w:r w:rsidR="00A22598" w:rsidRPr="00E879B4">
        <w:rPr>
          <w:rFonts w:cs="Times New Roman"/>
          <w:b/>
          <w:sz w:val="32"/>
          <w:szCs w:val="32"/>
        </w:rPr>
        <w:t>r</w:t>
      </w:r>
      <w:r w:rsidRPr="00E879B4">
        <w:rPr>
          <w:rFonts w:cs="Times New Roman"/>
          <w:b/>
          <w:sz w:val="32"/>
          <w:szCs w:val="32"/>
        </w:rPr>
        <w:t>etention</w:t>
      </w:r>
    </w:p>
    <w:p w14:paraId="29412A8A" w14:textId="58276F7B" w:rsidR="00D67BF0" w:rsidRDefault="001C2134" w:rsidP="00A8589B">
      <w:pPr>
        <w:spacing w:after="160" w:line="480" w:lineRule="auto"/>
        <w:jc w:val="both"/>
        <w:rPr>
          <w:rFonts w:cs="Times New Roman"/>
        </w:rPr>
      </w:pPr>
      <w:r>
        <w:rPr>
          <w:rFonts w:cs="Times New Roman"/>
        </w:rPr>
        <w:t>R</w:t>
      </w:r>
      <w:r w:rsidR="00BC0259" w:rsidRPr="00CC3ABA">
        <w:rPr>
          <w:rFonts w:cs="Times New Roman"/>
        </w:rPr>
        <w:t xml:space="preserve">etention rates </w:t>
      </w:r>
      <w:r>
        <w:rPr>
          <w:rFonts w:cs="Times New Roman"/>
        </w:rPr>
        <w:t xml:space="preserve">(percentage of those allocated) </w:t>
      </w:r>
      <w:r w:rsidR="00BC0259" w:rsidRPr="00CC3ABA">
        <w:rPr>
          <w:rFonts w:cs="Times New Roman"/>
        </w:rPr>
        <w:t xml:space="preserve">were 75%, 65% and 59% respectively at 4, 12 and 24 weeks </w:t>
      </w:r>
      <w:r w:rsidR="00944D11" w:rsidRPr="00CC3ABA">
        <w:rPr>
          <w:rFonts w:cs="Times New Roman"/>
        </w:rPr>
        <w:t xml:space="preserve">and </w:t>
      </w:r>
      <w:r w:rsidR="005435F1" w:rsidRPr="00CC3ABA">
        <w:rPr>
          <w:rFonts w:cs="Times New Roman"/>
        </w:rPr>
        <w:t xml:space="preserve">retention was </w:t>
      </w:r>
      <w:r w:rsidR="00944D11" w:rsidRPr="00CC3ABA">
        <w:rPr>
          <w:rFonts w:cs="Times New Roman"/>
        </w:rPr>
        <w:t xml:space="preserve">higher in the EC arm. Loss to follow up </w:t>
      </w:r>
      <w:r w:rsidR="005435F1" w:rsidRPr="00CC3ABA">
        <w:rPr>
          <w:rFonts w:cs="Times New Roman"/>
        </w:rPr>
        <w:t xml:space="preserve">occurred mainly between 12 and 24 weeks in the UC arm primarily because participants were no longer attending the </w:t>
      </w:r>
      <w:r w:rsidR="00D67BF0">
        <w:rPr>
          <w:rFonts w:cs="Times New Roman"/>
        </w:rPr>
        <w:t xml:space="preserve">homeless </w:t>
      </w:r>
      <w:r w:rsidR="005435F1" w:rsidRPr="00CC3ABA">
        <w:rPr>
          <w:rFonts w:cs="Times New Roman"/>
        </w:rPr>
        <w:t>service</w:t>
      </w:r>
      <w:r w:rsidR="00CE1AAF">
        <w:rPr>
          <w:rFonts w:cs="Times New Roman"/>
        </w:rPr>
        <w:t xml:space="preserve">. The flow of participants through the study is shown in the </w:t>
      </w:r>
      <w:r>
        <w:rPr>
          <w:rFonts w:cs="Times New Roman"/>
        </w:rPr>
        <w:t xml:space="preserve">CONSORT </w:t>
      </w:r>
      <w:r w:rsidR="00CE1AAF">
        <w:rPr>
          <w:rFonts w:cs="Times New Roman"/>
        </w:rPr>
        <w:t xml:space="preserve">diagram in </w:t>
      </w:r>
      <w:r w:rsidR="00704F0C">
        <w:rPr>
          <w:rFonts w:cs="Times New Roman"/>
        </w:rPr>
        <w:t>Fig</w:t>
      </w:r>
      <w:r w:rsidR="005435F1" w:rsidRPr="00CC3ABA">
        <w:rPr>
          <w:rFonts w:cs="Times New Roman"/>
        </w:rPr>
        <w:t xml:space="preserve"> 1</w:t>
      </w:r>
      <w:r w:rsidR="00CE1AAF">
        <w:rPr>
          <w:rFonts w:cs="Times New Roman"/>
        </w:rPr>
        <w:t xml:space="preserve"> and retention rates at each centre are shown in </w:t>
      </w:r>
      <w:r w:rsidR="00704F0C">
        <w:rPr>
          <w:rFonts w:cs="Times New Roman"/>
        </w:rPr>
        <w:t>supporting information (S1)</w:t>
      </w:r>
      <w:r w:rsidR="005435F1" w:rsidRPr="00CC3ABA">
        <w:rPr>
          <w:rFonts w:cs="Times New Roman"/>
        </w:rPr>
        <w:t xml:space="preserve">. </w:t>
      </w:r>
    </w:p>
    <w:p w14:paraId="465F8996" w14:textId="587764B5" w:rsidR="00944D11" w:rsidRDefault="00D67BF0" w:rsidP="00A8589B">
      <w:pPr>
        <w:spacing w:after="160" w:line="480" w:lineRule="auto"/>
        <w:jc w:val="both"/>
        <w:rPr>
          <w:rFonts w:cs="Times New Roman"/>
        </w:rPr>
      </w:pPr>
      <w:r>
        <w:rPr>
          <w:rFonts w:cs="Times New Roman"/>
        </w:rPr>
        <w:t xml:space="preserve">Of those </w:t>
      </w:r>
      <w:r w:rsidR="007648A1" w:rsidRPr="00CC3ABA">
        <w:rPr>
          <w:rFonts w:cs="Times New Roman"/>
        </w:rPr>
        <w:t xml:space="preserve">participants in the EC arm </w:t>
      </w:r>
      <w:r>
        <w:rPr>
          <w:rFonts w:cs="Times New Roman"/>
        </w:rPr>
        <w:t>who attended follow ups</w:t>
      </w:r>
      <w:r w:rsidR="007648A1">
        <w:rPr>
          <w:rFonts w:cs="Times New Roman"/>
        </w:rPr>
        <w:t xml:space="preserve"> and answered the question:</w:t>
      </w:r>
      <w:r>
        <w:rPr>
          <w:rFonts w:cs="Times New Roman"/>
        </w:rPr>
        <w:t xml:space="preserve"> </w:t>
      </w:r>
      <w:r w:rsidR="007648A1">
        <w:rPr>
          <w:rFonts w:cs="Times New Roman"/>
        </w:rPr>
        <w:t>33/39 (85</w:t>
      </w:r>
      <w:r w:rsidR="00944D11" w:rsidRPr="00CC3ABA">
        <w:rPr>
          <w:rFonts w:cs="Times New Roman"/>
        </w:rPr>
        <w:t>%</w:t>
      </w:r>
      <w:r w:rsidR="007648A1">
        <w:rPr>
          <w:rFonts w:cs="Times New Roman"/>
        </w:rPr>
        <w:t xml:space="preserve">), 28/34 (82%) and 22/35 (63%) </w:t>
      </w:r>
      <w:r w:rsidR="00944D11" w:rsidRPr="00CC3ABA">
        <w:rPr>
          <w:rFonts w:cs="Times New Roman"/>
        </w:rPr>
        <w:t xml:space="preserve">reported that they still had the e-cigarette that we provided </w:t>
      </w:r>
      <w:r>
        <w:rPr>
          <w:rFonts w:cs="Times New Roman"/>
        </w:rPr>
        <w:t xml:space="preserve">at </w:t>
      </w:r>
      <w:r w:rsidR="007648A1">
        <w:rPr>
          <w:rFonts w:cs="Times New Roman"/>
        </w:rPr>
        <w:t>4, 12 and 24 weeks respectively.</w:t>
      </w:r>
      <w:r w:rsidR="00840AF7">
        <w:rPr>
          <w:rFonts w:cs="Times New Roman"/>
        </w:rPr>
        <w:t xml:space="preserve"> </w:t>
      </w:r>
      <w:r w:rsidR="00F7098E">
        <w:rPr>
          <w:rFonts w:cs="Times New Roman"/>
        </w:rPr>
        <w:t>The number of participants who</w:t>
      </w:r>
      <w:r w:rsidR="00944D11" w:rsidRPr="00CC3ABA">
        <w:rPr>
          <w:rFonts w:cs="Times New Roman"/>
        </w:rPr>
        <w:t xml:space="preserve"> reported that they were still using an e-cigarette (either the one we provided or a different one)</w:t>
      </w:r>
      <w:r w:rsidR="00F7098E">
        <w:rPr>
          <w:rFonts w:cs="Times New Roman"/>
        </w:rPr>
        <w:t xml:space="preserve"> was 37/39 (95%),</w:t>
      </w:r>
      <w:r w:rsidR="00823DB5">
        <w:rPr>
          <w:rFonts w:cs="Times New Roman"/>
        </w:rPr>
        <w:t xml:space="preserve"> 30</w:t>
      </w:r>
      <w:r w:rsidR="00F7098E">
        <w:rPr>
          <w:rFonts w:cs="Times New Roman"/>
        </w:rPr>
        <w:t>/33 (91%) and 27/34 (79%) at 4, 12 and 24 week respectively</w:t>
      </w:r>
      <w:r w:rsidR="00944D11" w:rsidRPr="00CC3ABA">
        <w:rPr>
          <w:rFonts w:cs="Times New Roman"/>
        </w:rPr>
        <w:t>.</w:t>
      </w:r>
      <w:r w:rsidR="00840AF7">
        <w:rPr>
          <w:rFonts w:cs="Times New Roman"/>
        </w:rPr>
        <w:t xml:space="preserve"> </w:t>
      </w:r>
      <w:r w:rsidR="00944D11" w:rsidRPr="00CC3ABA">
        <w:rPr>
          <w:rFonts w:cs="Times New Roman"/>
        </w:rPr>
        <w:t xml:space="preserve">In the UC arm, </w:t>
      </w:r>
      <w:r w:rsidR="00F7098E">
        <w:rPr>
          <w:rFonts w:cs="Times New Roman"/>
        </w:rPr>
        <w:t>4/16 (25%) participants who attended the 4</w:t>
      </w:r>
      <w:r w:rsidR="00020DFC">
        <w:rPr>
          <w:rFonts w:cs="Times New Roman"/>
        </w:rPr>
        <w:t xml:space="preserve"> </w:t>
      </w:r>
      <w:r w:rsidR="00F7098E">
        <w:rPr>
          <w:rFonts w:cs="Times New Roman"/>
        </w:rPr>
        <w:t>week follow up</w:t>
      </w:r>
      <w:r w:rsidR="00944D11" w:rsidRPr="00CC3ABA">
        <w:rPr>
          <w:rFonts w:cs="Times New Roman"/>
        </w:rPr>
        <w:t xml:space="preserve"> reported that they had followed the recommendation to attend the SSS</w:t>
      </w:r>
      <w:r w:rsidR="00972F69">
        <w:rPr>
          <w:rFonts w:cs="Times New Roman"/>
        </w:rPr>
        <w:t>. No additional participants attended between weeks 4 and 24 (although 2 of the 4 initial attendees reporting attending more than once).</w:t>
      </w:r>
    </w:p>
    <w:p w14:paraId="775F5C80" w14:textId="77777777" w:rsidR="009776EB" w:rsidRPr="009776EB" w:rsidRDefault="009776EB" w:rsidP="00A8589B">
      <w:pPr>
        <w:spacing w:after="160" w:line="480" w:lineRule="auto"/>
        <w:jc w:val="both"/>
        <w:rPr>
          <w:rFonts w:cs="Times New Roman"/>
        </w:rPr>
      </w:pPr>
    </w:p>
    <w:p w14:paraId="5A2E1A74" w14:textId="78D663DB" w:rsidR="00356855" w:rsidRPr="00E879B4" w:rsidRDefault="00D93D12" w:rsidP="00A8589B">
      <w:pPr>
        <w:spacing w:after="160" w:line="480" w:lineRule="auto"/>
        <w:jc w:val="both"/>
        <w:rPr>
          <w:rFonts w:cs="Times New Roman"/>
          <w:b/>
          <w:sz w:val="32"/>
          <w:szCs w:val="32"/>
        </w:rPr>
      </w:pPr>
      <w:r w:rsidRPr="00E879B4">
        <w:rPr>
          <w:rFonts w:cs="Times New Roman"/>
          <w:b/>
          <w:sz w:val="32"/>
          <w:szCs w:val="32"/>
        </w:rPr>
        <w:t xml:space="preserve">E-cigarette </w:t>
      </w:r>
      <w:r w:rsidR="00F578FB" w:rsidRPr="00E879B4">
        <w:rPr>
          <w:rFonts w:cs="Times New Roman"/>
          <w:b/>
          <w:sz w:val="32"/>
          <w:szCs w:val="32"/>
        </w:rPr>
        <w:t xml:space="preserve">use, </w:t>
      </w:r>
      <w:r w:rsidRPr="00E879B4">
        <w:rPr>
          <w:rFonts w:cs="Times New Roman"/>
          <w:b/>
          <w:sz w:val="32"/>
          <w:szCs w:val="32"/>
        </w:rPr>
        <w:t>e</w:t>
      </w:r>
      <w:r w:rsidR="00356855" w:rsidRPr="00E879B4">
        <w:rPr>
          <w:rFonts w:cs="Times New Roman"/>
          <w:b/>
          <w:sz w:val="32"/>
          <w:szCs w:val="32"/>
        </w:rPr>
        <w:t>ffects</w:t>
      </w:r>
      <w:r w:rsidR="00591B43" w:rsidRPr="00E879B4">
        <w:rPr>
          <w:rFonts w:cs="Times New Roman"/>
          <w:b/>
          <w:sz w:val="32"/>
          <w:szCs w:val="32"/>
        </w:rPr>
        <w:t xml:space="preserve"> and</w:t>
      </w:r>
      <w:r w:rsidRPr="00E879B4">
        <w:rPr>
          <w:rFonts w:cs="Times New Roman"/>
          <w:b/>
          <w:sz w:val="32"/>
          <w:szCs w:val="32"/>
        </w:rPr>
        <w:t xml:space="preserve"> unintended consequences</w:t>
      </w:r>
      <w:r w:rsidR="00442147" w:rsidRPr="00E879B4">
        <w:rPr>
          <w:rFonts w:cs="Times New Roman"/>
          <w:b/>
          <w:sz w:val="32"/>
          <w:szCs w:val="32"/>
        </w:rPr>
        <w:t xml:space="preserve"> in the EC arm</w:t>
      </w:r>
    </w:p>
    <w:p w14:paraId="35B9C19D" w14:textId="74D85444" w:rsidR="00B3415D" w:rsidRPr="00CC3ABA" w:rsidRDefault="00442147" w:rsidP="00A8589B">
      <w:pPr>
        <w:spacing w:after="160" w:line="480" w:lineRule="auto"/>
        <w:jc w:val="both"/>
        <w:rPr>
          <w:rFonts w:cs="Times New Roman"/>
        </w:rPr>
      </w:pPr>
      <w:r>
        <w:rPr>
          <w:rFonts w:cs="Times New Roman"/>
        </w:rPr>
        <w:t>A</w:t>
      </w:r>
      <w:r w:rsidR="00B47782" w:rsidRPr="00CC3ABA">
        <w:rPr>
          <w:rFonts w:cs="Times New Roman"/>
        </w:rPr>
        <w:t xml:space="preserve">t 4 weeks, </w:t>
      </w:r>
      <w:r w:rsidR="00421663">
        <w:rPr>
          <w:rFonts w:cs="Times New Roman"/>
        </w:rPr>
        <w:t xml:space="preserve">of those attending follow up appointments (N=39) </w:t>
      </w:r>
      <w:r w:rsidR="008001C7" w:rsidRPr="00CC3ABA">
        <w:rPr>
          <w:rFonts w:cs="Times New Roman"/>
        </w:rPr>
        <w:t xml:space="preserve">three </w:t>
      </w:r>
      <w:r w:rsidR="00421663">
        <w:rPr>
          <w:rFonts w:cs="Times New Roman"/>
        </w:rPr>
        <w:t>(8</w:t>
      </w:r>
      <w:r w:rsidR="00B47782" w:rsidRPr="00CC3ABA">
        <w:rPr>
          <w:rFonts w:cs="Times New Roman"/>
        </w:rPr>
        <w:t>%) participants reported that they had lost their e-c</w:t>
      </w:r>
      <w:r w:rsidR="00421663">
        <w:rPr>
          <w:rFonts w:cs="Times New Roman"/>
        </w:rPr>
        <w:t>igarette, three (8</w:t>
      </w:r>
      <w:r w:rsidR="00B47782" w:rsidRPr="00CC3ABA">
        <w:rPr>
          <w:rFonts w:cs="Times New Roman"/>
        </w:rPr>
        <w:t>%) reported t</w:t>
      </w:r>
      <w:r w:rsidR="00421663">
        <w:rPr>
          <w:rFonts w:cs="Times New Roman"/>
        </w:rPr>
        <w:t>hat it had been stolen, one (3%) had swapped it and 14 (36</w:t>
      </w:r>
      <w:r w:rsidR="00B47782" w:rsidRPr="00CC3ABA">
        <w:rPr>
          <w:rFonts w:cs="Times New Roman"/>
        </w:rPr>
        <w:t>%) reported that it had broken</w:t>
      </w:r>
      <w:r w:rsidR="00CE1AAF">
        <w:rPr>
          <w:rFonts w:cs="Times New Roman"/>
        </w:rPr>
        <w:t xml:space="preserve"> (see </w:t>
      </w:r>
      <w:r w:rsidR="00704F0C">
        <w:rPr>
          <w:rFonts w:cs="Times New Roman"/>
        </w:rPr>
        <w:t>T</w:t>
      </w:r>
      <w:r w:rsidR="00CE1AAF">
        <w:rPr>
          <w:rFonts w:cs="Times New Roman"/>
        </w:rPr>
        <w:t>able 2</w:t>
      </w:r>
      <w:r w:rsidR="00421663">
        <w:rPr>
          <w:rFonts w:cs="Times New Roman"/>
        </w:rPr>
        <w:t>)</w:t>
      </w:r>
      <w:r w:rsidR="00B47782" w:rsidRPr="00CC3ABA">
        <w:rPr>
          <w:rFonts w:cs="Times New Roman"/>
        </w:rPr>
        <w:t>.</w:t>
      </w:r>
      <w:r w:rsidR="00840AF7">
        <w:rPr>
          <w:rFonts w:cs="Times New Roman"/>
        </w:rPr>
        <w:t xml:space="preserve"> </w:t>
      </w:r>
      <w:r w:rsidR="00B47782" w:rsidRPr="00CC3ABA">
        <w:rPr>
          <w:rFonts w:cs="Times New Roman"/>
        </w:rPr>
        <w:t xml:space="preserve">The most frequently reported reason for breakage was </w:t>
      </w:r>
      <w:r w:rsidR="002D3A3F" w:rsidRPr="00CC3ABA">
        <w:rPr>
          <w:rFonts w:cs="Times New Roman"/>
        </w:rPr>
        <w:t xml:space="preserve">that </w:t>
      </w:r>
      <w:r w:rsidR="00B47782" w:rsidRPr="00CC3ABA">
        <w:rPr>
          <w:rFonts w:cs="Times New Roman"/>
        </w:rPr>
        <w:t>the e-cigarette had been dropped and the glass tank broke.</w:t>
      </w:r>
      <w:r w:rsidR="00840AF7">
        <w:rPr>
          <w:rFonts w:cs="Times New Roman"/>
        </w:rPr>
        <w:t xml:space="preserve"> </w:t>
      </w:r>
      <w:r w:rsidR="00A84964" w:rsidRPr="00CC3ABA">
        <w:rPr>
          <w:rFonts w:cs="Times New Roman"/>
        </w:rPr>
        <w:t>Three of 3</w:t>
      </w:r>
      <w:r w:rsidR="00421663">
        <w:rPr>
          <w:rFonts w:cs="Times New Roman"/>
        </w:rPr>
        <w:t>9 (8</w:t>
      </w:r>
      <w:r w:rsidR="00A84964" w:rsidRPr="00CC3ABA">
        <w:rPr>
          <w:rFonts w:cs="Times New Roman"/>
        </w:rPr>
        <w:t>%) participants reported that they had purchased the</w:t>
      </w:r>
      <w:r w:rsidR="00421663">
        <w:rPr>
          <w:rFonts w:cs="Times New Roman"/>
        </w:rPr>
        <w:t>ir own EC at 4-weeks, 4/34 (12</w:t>
      </w:r>
      <w:r w:rsidR="00A84964" w:rsidRPr="00CC3ABA">
        <w:rPr>
          <w:rFonts w:cs="Times New Roman"/>
        </w:rPr>
        <w:t>%) at 12 weeks and 11/35 (31%) at 24 weeks.</w:t>
      </w:r>
      <w:r w:rsidR="00840AF7">
        <w:rPr>
          <w:rFonts w:cs="Times New Roman"/>
        </w:rPr>
        <w:t xml:space="preserve"> </w:t>
      </w:r>
      <w:r w:rsidR="00B47782" w:rsidRPr="00CC3ABA">
        <w:rPr>
          <w:rFonts w:cs="Times New Roman"/>
        </w:rPr>
        <w:t>No participants reported adding any other substance to their e-cigarette at any follow up time point although two reported that they had previously added THC or CBD oil to a different device.</w:t>
      </w:r>
      <w:r w:rsidR="00840AF7">
        <w:rPr>
          <w:rFonts w:cs="Times New Roman"/>
        </w:rPr>
        <w:t xml:space="preserve"> </w:t>
      </w:r>
      <w:r w:rsidR="00B3415D" w:rsidRPr="00CC3ABA">
        <w:rPr>
          <w:rFonts w:cs="Times New Roman"/>
        </w:rPr>
        <w:t xml:space="preserve">Self-reported negative effects were rare with a mean percentage score </w:t>
      </w:r>
      <w:r w:rsidR="00336FE0" w:rsidRPr="00CC3ABA">
        <w:rPr>
          <w:rFonts w:cs="Times New Roman"/>
        </w:rPr>
        <w:t>of 13.73 (12.95) at 4 weeks</w:t>
      </w:r>
      <w:r w:rsidR="008506BA">
        <w:rPr>
          <w:rFonts w:cs="Times New Roman"/>
        </w:rPr>
        <w:t xml:space="preserve"> (</w:t>
      </w:r>
      <w:r w:rsidR="00704F0C">
        <w:rPr>
          <w:rFonts w:cs="Times New Roman"/>
        </w:rPr>
        <w:t>T</w:t>
      </w:r>
      <w:r w:rsidR="00477CE9">
        <w:rPr>
          <w:rFonts w:cs="Times New Roman"/>
        </w:rPr>
        <w:t xml:space="preserve">able 3; </w:t>
      </w:r>
      <w:r w:rsidR="008506BA">
        <w:rPr>
          <w:rFonts w:cs="Times New Roman"/>
        </w:rPr>
        <w:t>data from 12 and 24 weeks are not presented as this fell beyond the period of our e-liquid provision but are available upon request)</w:t>
      </w:r>
      <w:r w:rsidR="00336FE0" w:rsidRPr="00CC3ABA">
        <w:rPr>
          <w:rFonts w:cs="Times New Roman"/>
        </w:rPr>
        <w:t>.</w:t>
      </w:r>
      <w:r w:rsidR="00840AF7">
        <w:rPr>
          <w:rFonts w:cs="Times New Roman"/>
        </w:rPr>
        <w:t xml:space="preserve"> </w:t>
      </w:r>
      <w:r w:rsidR="00336FE0" w:rsidRPr="00CC3ABA">
        <w:rPr>
          <w:rFonts w:cs="Times New Roman"/>
        </w:rPr>
        <w:t xml:space="preserve">The </w:t>
      </w:r>
      <w:r w:rsidR="00A05D51" w:rsidRPr="00CC3ABA">
        <w:rPr>
          <w:rFonts w:cs="Times New Roman"/>
        </w:rPr>
        <w:t>highest scoring negative effect</w:t>
      </w:r>
      <w:r w:rsidR="00336FE0" w:rsidRPr="00CC3ABA">
        <w:rPr>
          <w:rFonts w:cs="Times New Roman"/>
        </w:rPr>
        <w:t xml:space="preserve"> was ‘nervous’ (M=19.97 SD=29.01) followed by ‘headache’ (M=18.54, SD=28.49).</w:t>
      </w:r>
      <w:r w:rsidR="00840AF7">
        <w:rPr>
          <w:rFonts w:cs="Times New Roman"/>
        </w:rPr>
        <w:t xml:space="preserve"> </w:t>
      </w:r>
      <w:r w:rsidR="00336FE0" w:rsidRPr="00CC3ABA">
        <w:rPr>
          <w:rFonts w:cs="Times New Roman"/>
        </w:rPr>
        <w:t>In terms of positive effects</w:t>
      </w:r>
      <w:r w:rsidR="00477CE9">
        <w:rPr>
          <w:rFonts w:cs="Times New Roman"/>
        </w:rPr>
        <w:t xml:space="preserve"> (table 3)</w:t>
      </w:r>
      <w:r w:rsidR="00336FE0" w:rsidRPr="00CC3ABA">
        <w:rPr>
          <w:rFonts w:cs="Times New Roman"/>
        </w:rPr>
        <w:t>, the mean total</w:t>
      </w:r>
      <w:r w:rsidR="00A05D51" w:rsidRPr="00CC3ABA">
        <w:rPr>
          <w:rFonts w:cs="Times New Roman"/>
        </w:rPr>
        <w:t xml:space="preserve"> percentage</w:t>
      </w:r>
      <w:r w:rsidR="00336FE0" w:rsidRPr="00CC3ABA">
        <w:rPr>
          <w:rFonts w:cs="Times New Roman"/>
        </w:rPr>
        <w:t xml:space="preserve"> score was</w:t>
      </w:r>
      <w:r w:rsidR="00591B43">
        <w:rPr>
          <w:rFonts w:cs="Times New Roman"/>
        </w:rPr>
        <w:t xml:space="preserve"> </w:t>
      </w:r>
      <w:r w:rsidR="001E5849" w:rsidRPr="00CC3ABA">
        <w:rPr>
          <w:rFonts w:cs="Times New Roman"/>
        </w:rPr>
        <w:t>49.51 (18.39).</w:t>
      </w:r>
      <w:r w:rsidR="00840AF7">
        <w:rPr>
          <w:rFonts w:cs="Times New Roman"/>
        </w:rPr>
        <w:t xml:space="preserve"> </w:t>
      </w:r>
      <w:r w:rsidR="006626DE" w:rsidRPr="00CC3ABA">
        <w:rPr>
          <w:rFonts w:cs="Times New Roman"/>
        </w:rPr>
        <w:t>T</w:t>
      </w:r>
      <w:r w:rsidR="00A05D51" w:rsidRPr="00CC3ABA">
        <w:rPr>
          <w:rFonts w:cs="Times New Roman"/>
        </w:rPr>
        <w:t xml:space="preserve">he highest scoring positive effects were </w:t>
      </w:r>
      <w:r w:rsidR="006626DE" w:rsidRPr="00CC3ABA">
        <w:rPr>
          <w:rFonts w:cs="Times New Roman"/>
        </w:rPr>
        <w:t>‘pleasant’ (M=73.79, SD=22.60) and ‘tastes good’ (71.92, SD=25.21) and the lowest scoring positive effect was ‘tastes like my usual brand’ (M=19.97, SD 29.85)</w:t>
      </w:r>
      <w:r w:rsidR="00A05D51" w:rsidRPr="00CC3ABA">
        <w:rPr>
          <w:rFonts w:cs="Times New Roman"/>
        </w:rPr>
        <w:t xml:space="preserve">. </w:t>
      </w:r>
    </w:p>
    <w:p w14:paraId="3CBB0511" w14:textId="01A010CB" w:rsidR="0093472F" w:rsidRPr="0093472F" w:rsidRDefault="0093472F" w:rsidP="0093472F">
      <w:pPr>
        <w:spacing w:after="120"/>
        <w:rPr>
          <w:b/>
        </w:rPr>
      </w:pPr>
      <w:r w:rsidRPr="0093472F">
        <w:rPr>
          <w:rFonts w:cs="Times New Roman"/>
          <w:b/>
        </w:rPr>
        <w:t xml:space="preserve">Table 2: </w:t>
      </w:r>
      <w:r w:rsidRPr="0093472F">
        <w:rPr>
          <w:b/>
        </w:rPr>
        <w:t xml:space="preserve">E-cigarette </w:t>
      </w:r>
      <w:r w:rsidR="00D03548">
        <w:rPr>
          <w:b/>
        </w:rPr>
        <w:t xml:space="preserve">events </w:t>
      </w:r>
      <w:r w:rsidRPr="0093472F">
        <w:rPr>
          <w:b/>
        </w:rPr>
        <w:t>at 4, 12 and 24 weeks</w:t>
      </w:r>
    </w:p>
    <w:tbl>
      <w:tblPr>
        <w:tblStyle w:val="TableGrid"/>
        <w:tblW w:w="0" w:type="auto"/>
        <w:tblLook w:val="04A0" w:firstRow="1" w:lastRow="0" w:firstColumn="1" w:lastColumn="0" w:noHBand="0" w:noVBand="1"/>
      </w:tblPr>
      <w:tblGrid>
        <w:gridCol w:w="3114"/>
        <w:gridCol w:w="1872"/>
        <w:gridCol w:w="2015"/>
      </w:tblGrid>
      <w:tr w:rsidR="0093472F" w:rsidRPr="00CC0532" w14:paraId="6370E2CE" w14:textId="77777777" w:rsidTr="00B861C5">
        <w:tc>
          <w:tcPr>
            <w:tcW w:w="3114" w:type="dxa"/>
          </w:tcPr>
          <w:p w14:paraId="6DBE3896" w14:textId="77777777" w:rsidR="0093472F" w:rsidRPr="00CC0532" w:rsidRDefault="0093472F" w:rsidP="00B861C5">
            <w:pPr>
              <w:rPr>
                <w:sz w:val="24"/>
                <w:szCs w:val="24"/>
              </w:rPr>
            </w:pPr>
            <w:r w:rsidRPr="00CC0532">
              <w:rPr>
                <w:b/>
                <w:sz w:val="24"/>
                <w:szCs w:val="24"/>
              </w:rPr>
              <w:t>4-weeks</w:t>
            </w:r>
            <w:r w:rsidRPr="00CC0532">
              <w:rPr>
                <w:sz w:val="24"/>
                <w:szCs w:val="24"/>
              </w:rPr>
              <w:t>:</w:t>
            </w:r>
          </w:p>
          <w:p w14:paraId="358DC369" w14:textId="77777777" w:rsidR="0093472F" w:rsidRPr="00CC0532" w:rsidRDefault="0093472F" w:rsidP="00B861C5">
            <w:pPr>
              <w:rPr>
                <w:b/>
                <w:sz w:val="24"/>
                <w:szCs w:val="24"/>
                <w:vertAlign w:val="superscript"/>
              </w:rPr>
            </w:pPr>
          </w:p>
        </w:tc>
        <w:tc>
          <w:tcPr>
            <w:tcW w:w="3887" w:type="dxa"/>
            <w:gridSpan w:val="2"/>
          </w:tcPr>
          <w:p w14:paraId="1A8E62CC" w14:textId="77777777" w:rsidR="0093472F" w:rsidRPr="00CC0532" w:rsidRDefault="0093472F" w:rsidP="00B861C5">
            <w:pPr>
              <w:jc w:val="center"/>
              <w:rPr>
                <w:b/>
                <w:sz w:val="24"/>
                <w:szCs w:val="24"/>
              </w:rPr>
            </w:pPr>
            <w:r w:rsidRPr="00CC0532">
              <w:rPr>
                <w:b/>
                <w:sz w:val="24"/>
                <w:szCs w:val="24"/>
              </w:rPr>
              <w:t>YES</w:t>
            </w:r>
          </w:p>
        </w:tc>
      </w:tr>
      <w:tr w:rsidR="0093472F" w:rsidRPr="00CC0532" w14:paraId="24345F08" w14:textId="77777777" w:rsidTr="00B861C5">
        <w:tc>
          <w:tcPr>
            <w:tcW w:w="3114" w:type="dxa"/>
          </w:tcPr>
          <w:p w14:paraId="7CB9E99A" w14:textId="77777777" w:rsidR="0093472F" w:rsidRPr="00CC0532" w:rsidRDefault="0093472F" w:rsidP="00B861C5">
            <w:pPr>
              <w:rPr>
                <w:sz w:val="24"/>
                <w:szCs w:val="24"/>
              </w:rPr>
            </w:pPr>
          </w:p>
        </w:tc>
        <w:tc>
          <w:tcPr>
            <w:tcW w:w="1872" w:type="dxa"/>
            <w:tcBorders>
              <w:right w:val="nil"/>
            </w:tcBorders>
          </w:tcPr>
          <w:p w14:paraId="0343A0F3" w14:textId="77777777" w:rsidR="0093472F" w:rsidRPr="00CC0532" w:rsidRDefault="0093472F" w:rsidP="00B861C5">
            <w:pPr>
              <w:jc w:val="center"/>
              <w:rPr>
                <w:b/>
                <w:sz w:val="24"/>
                <w:szCs w:val="24"/>
              </w:rPr>
            </w:pPr>
            <w:r w:rsidRPr="00CC0532">
              <w:rPr>
                <w:b/>
                <w:sz w:val="24"/>
                <w:szCs w:val="24"/>
              </w:rPr>
              <w:t>N</w:t>
            </w:r>
          </w:p>
        </w:tc>
        <w:tc>
          <w:tcPr>
            <w:tcW w:w="2015" w:type="dxa"/>
            <w:tcBorders>
              <w:left w:val="nil"/>
            </w:tcBorders>
          </w:tcPr>
          <w:p w14:paraId="5482423F" w14:textId="77777777" w:rsidR="0093472F" w:rsidRPr="00CC0532" w:rsidRDefault="0093472F" w:rsidP="00B861C5">
            <w:pPr>
              <w:jc w:val="center"/>
              <w:rPr>
                <w:b/>
                <w:sz w:val="24"/>
                <w:szCs w:val="24"/>
              </w:rPr>
            </w:pPr>
            <w:r w:rsidRPr="00CC0532">
              <w:rPr>
                <w:b/>
                <w:sz w:val="24"/>
                <w:szCs w:val="24"/>
              </w:rPr>
              <w:t>%</w:t>
            </w:r>
          </w:p>
        </w:tc>
      </w:tr>
      <w:tr w:rsidR="0093472F" w:rsidRPr="00CC0532" w14:paraId="25F2B978" w14:textId="77777777" w:rsidTr="00B861C5">
        <w:tc>
          <w:tcPr>
            <w:tcW w:w="3114" w:type="dxa"/>
          </w:tcPr>
          <w:p w14:paraId="082E6EDB" w14:textId="77777777" w:rsidR="0093472F" w:rsidRPr="00CC0532" w:rsidRDefault="0093472F" w:rsidP="00B861C5">
            <w:pPr>
              <w:rPr>
                <w:sz w:val="24"/>
                <w:szCs w:val="24"/>
              </w:rPr>
            </w:pPr>
            <w:r w:rsidRPr="00CC0532">
              <w:rPr>
                <w:sz w:val="24"/>
                <w:szCs w:val="24"/>
              </w:rPr>
              <w:t>E-cig lost: N (%)</w:t>
            </w:r>
          </w:p>
        </w:tc>
        <w:tc>
          <w:tcPr>
            <w:tcW w:w="1872" w:type="dxa"/>
            <w:tcBorders>
              <w:right w:val="nil"/>
            </w:tcBorders>
          </w:tcPr>
          <w:p w14:paraId="785F7CD4" w14:textId="77777777" w:rsidR="0093472F" w:rsidRPr="00CC0532" w:rsidRDefault="0093472F" w:rsidP="00B861C5">
            <w:pPr>
              <w:jc w:val="center"/>
              <w:rPr>
                <w:sz w:val="24"/>
                <w:szCs w:val="24"/>
              </w:rPr>
            </w:pPr>
            <w:r w:rsidRPr="00CC0532">
              <w:rPr>
                <w:sz w:val="24"/>
                <w:szCs w:val="24"/>
              </w:rPr>
              <w:t>3/39</w:t>
            </w:r>
          </w:p>
        </w:tc>
        <w:tc>
          <w:tcPr>
            <w:tcW w:w="2015" w:type="dxa"/>
            <w:tcBorders>
              <w:left w:val="nil"/>
            </w:tcBorders>
          </w:tcPr>
          <w:p w14:paraId="0244D6D7" w14:textId="77777777" w:rsidR="0093472F" w:rsidRPr="00CC0532" w:rsidRDefault="0093472F" w:rsidP="00B861C5">
            <w:pPr>
              <w:jc w:val="center"/>
              <w:rPr>
                <w:sz w:val="24"/>
                <w:szCs w:val="24"/>
              </w:rPr>
            </w:pPr>
            <w:r w:rsidRPr="00CC0532">
              <w:rPr>
                <w:sz w:val="24"/>
                <w:szCs w:val="24"/>
              </w:rPr>
              <w:t>8</w:t>
            </w:r>
          </w:p>
        </w:tc>
      </w:tr>
      <w:tr w:rsidR="0093472F" w:rsidRPr="00CC0532" w14:paraId="6E6F0B00" w14:textId="77777777" w:rsidTr="00B861C5">
        <w:tc>
          <w:tcPr>
            <w:tcW w:w="3114" w:type="dxa"/>
          </w:tcPr>
          <w:p w14:paraId="6BC1EF62" w14:textId="77777777" w:rsidR="0093472F" w:rsidRPr="00CC0532" w:rsidRDefault="0093472F" w:rsidP="00B861C5">
            <w:pPr>
              <w:rPr>
                <w:sz w:val="24"/>
                <w:szCs w:val="24"/>
              </w:rPr>
            </w:pPr>
            <w:r w:rsidRPr="00CC0532">
              <w:rPr>
                <w:sz w:val="24"/>
                <w:szCs w:val="24"/>
              </w:rPr>
              <w:t>E-cig stolen: N (%)</w:t>
            </w:r>
          </w:p>
        </w:tc>
        <w:tc>
          <w:tcPr>
            <w:tcW w:w="1872" w:type="dxa"/>
            <w:tcBorders>
              <w:right w:val="nil"/>
            </w:tcBorders>
          </w:tcPr>
          <w:p w14:paraId="0A097BB0" w14:textId="77777777" w:rsidR="0093472F" w:rsidRPr="00CC0532" w:rsidRDefault="0093472F" w:rsidP="00B861C5">
            <w:pPr>
              <w:jc w:val="center"/>
              <w:rPr>
                <w:sz w:val="24"/>
                <w:szCs w:val="24"/>
              </w:rPr>
            </w:pPr>
            <w:r w:rsidRPr="00CC0532">
              <w:rPr>
                <w:sz w:val="24"/>
                <w:szCs w:val="24"/>
              </w:rPr>
              <w:t>3/39</w:t>
            </w:r>
          </w:p>
        </w:tc>
        <w:tc>
          <w:tcPr>
            <w:tcW w:w="2015" w:type="dxa"/>
            <w:tcBorders>
              <w:left w:val="nil"/>
            </w:tcBorders>
          </w:tcPr>
          <w:p w14:paraId="28DAD6CC" w14:textId="77777777" w:rsidR="0093472F" w:rsidRPr="00CC0532" w:rsidRDefault="0093472F" w:rsidP="00B861C5">
            <w:pPr>
              <w:jc w:val="center"/>
              <w:rPr>
                <w:sz w:val="24"/>
                <w:szCs w:val="24"/>
              </w:rPr>
            </w:pPr>
            <w:r w:rsidRPr="00CC0532">
              <w:rPr>
                <w:sz w:val="24"/>
                <w:szCs w:val="24"/>
              </w:rPr>
              <w:t>8</w:t>
            </w:r>
          </w:p>
        </w:tc>
      </w:tr>
      <w:tr w:rsidR="0093472F" w:rsidRPr="00CC0532" w14:paraId="3FA14995" w14:textId="77777777" w:rsidTr="00B861C5">
        <w:tc>
          <w:tcPr>
            <w:tcW w:w="3114" w:type="dxa"/>
          </w:tcPr>
          <w:p w14:paraId="3505F65D" w14:textId="77777777" w:rsidR="0093472F" w:rsidRPr="00CC0532" w:rsidRDefault="0093472F" w:rsidP="00B861C5">
            <w:pPr>
              <w:rPr>
                <w:sz w:val="24"/>
                <w:szCs w:val="24"/>
              </w:rPr>
            </w:pPr>
            <w:r w:rsidRPr="00CC0532">
              <w:rPr>
                <w:sz w:val="24"/>
                <w:szCs w:val="24"/>
              </w:rPr>
              <w:t>Sold: N (%)</w:t>
            </w:r>
          </w:p>
        </w:tc>
        <w:tc>
          <w:tcPr>
            <w:tcW w:w="1872" w:type="dxa"/>
            <w:tcBorders>
              <w:right w:val="nil"/>
            </w:tcBorders>
          </w:tcPr>
          <w:p w14:paraId="40C90EE6" w14:textId="77777777" w:rsidR="0093472F" w:rsidRPr="00CC0532" w:rsidRDefault="0093472F" w:rsidP="00B861C5">
            <w:pPr>
              <w:jc w:val="center"/>
              <w:rPr>
                <w:sz w:val="24"/>
                <w:szCs w:val="24"/>
              </w:rPr>
            </w:pPr>
            <w:r w:rsidRPr="00CC0532">
              <w:rPr>
                <w:sz w:val="24"/>
                <w:szCs w:val="24"/>
              </w:rPr>
              <w:t>0/39</w:t>
            </w:r>
          </w:p>
        </w:tc>
        <w:tc>
          <w:tcPr>
            <w:tcW w:w="2015" w:type="dxa"/>
            <w:tcBorders>
              <w:left w:val="nil"/>
            </w:tcBorders>
          </w:tcPr>
          <w:p w14:paraId="7C4D6179" w14:textId="77777777" w:rsidR="0093472F" w:rsidRPr="00CC0532" w:rsidRDefault="0093472F" w:rsidP="00B861C5">
            <w:pPr>
              <w:jc w:val="center"/>
              <w:rPr>
                <w:sz w:val="24"/>
                <w:szCs w:val="24"/>
              </w:rPr>
            </w:pPr>
            <w:r w:rsidRPr="00CC0532">
              <w:rPr>
                <w:sz w:val="24"/>
                <w:szCs w:val="24"/>
              </w:rPr>
              <w:t>0</w:t>
            </w:r>
          </w:p>
        </w:tc>
      </w:tr>
      <w:tr w:rsidR="0093472F" w:rsidRPr="00CC0532" w14:paraId="6056841A" w14:textId="77777777" w:rsidTr="00B861C5">
        <w:tc>
          <w:tcPr>
            <w:tcW w:w="3114" w:type="dxa"/>
          </w:tcPr>
          <w:p w14:paraId="29909EE4" w14:textId="77777777" w:rsidR="0093472F" w:rsidRPr="00CC0532" w:rsidRDefault="0093472F" w:rsidP="00B861C5">
            <w:pPr>
              <w:rPr>
                <w:sz w:val="24"/>
                <w:szCs w:val="24"/>
              </w:rPr>
            </w:pPr>
            <w:r w:rsidRPr="00CC0532">
              <w:rPr>
                <w:sz w:val="24"/>
                <w:szCs w:val="24"/>
              </w:rPr>
              <w:t>Exchanged/swapped: N (%)</w:t>
            </w:r>
          </w:p>
        </w:tc>
        <w:tc>
          <w:tcPr>
            <w:tcW w:w="1872" w:type="dxa"/>
            <w:tcBorders>
              <w:right w:val="nil"/>
            </w:tcBorders>
          </w:tcPr>
          <w:p w14:paraId="2C2C486D" w14:textId="77777777" w:rsidR="0093472F" w:rsidRPr="00CC0532" w:rsidRDefault="0093472F" w:rsidP="00B861C5">
            <w:pPr>
              <w:jc w:val="center"/>
              <w:rPr>
                <w:sz w:val="24"/>
                <w:szCs w:val="24"/>
              </w:rPr>
            </w:pPr>
            <w:r w:rsidRPr="00CC0532">
              <w:rPr>
                <w:sz w:val="24"/>
                <w:szCs w:val="24"/>
              </w:rPr>
              <w:t>1/39</w:t>
            </w:r>
          </w:p>
        </w:tc>
        <w:tc>
          <w:tcPr>
            <w:tcW w:w="2015" w:type="dxa"/>
            <w:tcBorders>
              <w:left w:val="nil"/>
            </w:tcBorders>
          </w:tcPr>
          <w:p w14:paraId="39E34EE5" w14:textId="77777777" w:rsidR="0093472F" w:rsidRPr="00CC0532" w:rsidRDefault="0093472F" w:rsidP="00B861C5">
            <w:pPr>
              <w:jc w:val="center"/>
              <w:rPr>
                <w:sz w:val="24"/>
                <w:szCs w:val="24"/>
              </w:rPr>
            </w:pPr>
            <w:r w:rsidRPr="00CC0532">
              <w:rPr>
                <w:sz w:val="24"/>
                <w:szCs w:val="24"/>
              </w:rPr>
              <w:t>3</w:t>
            </w:r>
          </w:p>
        </w:tc>
      </w:tr>
      <w:tr w:rsidR="0093472F" w:rsidRPr="00CC0532" w14:paraId="09A61C2E" w14:textId="77777777" w:rsidTr="00B861C5">
        <w:tc>
          <w:tcPr>
            <w:tcW w:w="3114" w:type="dxa"/>
          </w:tcPr>
          <w:p w14:paraId="7216BC46" w14:textId="77777777" w:rsidR="0093472F" w:rsidRPr="00CC0532" w:rsidRDefault="0093472F" w:rsidP="00B861C5">
            <w:pPr>
              <w:rPr>
                <w:sz w:val="24"/>
                <w:szCs w:val="24"/>
              </w:rPr>
            </w:pPr>
            <w:r w:rsidRPr="00CC0532">
              <w:rPr>
                <w:sz w:val="24"/>
                <w:szCs w:val="24"/>
              </w:rPr>
              <w:t>Given away N (%)</w:t>
            </w:r>
          </w:p>
        </w:tc>
        <w:tc>
          <w:tcPr>
            <w:tcW w:w="1872" w:type="dxa"/>
            <w:tcBorders>
              <w:right w:val="nil"/>
            </w:tcBorders>
          </w:tcPr>
          <w:p w14:paraId="6D41B9AB" w14:textId="77777777" w:rsidR="0093472F" w:rsidRPr="00CC0532" w:rsidRDefault="0093472F" w:rsidP="00B861C5">
            <w:pPr>
              <w:jc w:val="center"/>
              <w:rPr>
                <w:sz w:val="24"/>
                <w:szCs w:val="24"/>
              </w:rPr>
            </w:pPr>
            <w:r w:rsidRPr="00CC0532">
              <w:rPr>
                <w:sz w:val="24"/>
                <w:szCs w:val="24"/>
              </w:rPr>
              <w:t>0/39</w:t>
            </w:r>
          </w:p>
        </w:tc>
        <w:tc>
          <w:tcPr>
            <w:tcW w:w="2015" w:type="dxa"/>
            <w:tcBorders>
              <w:left w:val="nil"/>
            </w:tcBorders>
          </w:tcPr>
          <w:p w14:paraId="0D7CD939" w14:textId="77777777" w:rsidR="0093472F" w:rsidRPr="00CC0532" w:rsidRDefault="0093472F" w:rsidP="00B861C5">
            <w:pPr>
              <w:jc w:val="center"/>
              <w:rPr>
                <w:sz w:val="24"/>
                <w:szCs w:val="24"/>
              </w:rPr>
            </w:pPr>
            <w:r w:rsidRPr="00CC0532">
              <w:rPr>
                <w:sz w:val="24"/>
                <w:szCs w:val="24"/>
              </w:rPr>
              <w:t>0</w:t>
            </w:r>
          </w:p>
        </w:tc>
      </w:tr>
      <w:tr w:rsidR="0093472F" w:rsidRPr="00CC0532" w14:paraId="5366D559" w14:textId="77777777" w:rsidTr="00B861C5">
        <w:tc>
          <w:tcPr>
            <w:tcW w:w="3114" w:type="dxa"/>
          </w:tcPr>
          <w:p w14:paraId="4493B43A" w14:textId="77777777" w:rsidR="0093472F" w:rsidRPr="00CC0532" w:rsidRDefault="0093472F" w:rsidP="00B861C5">
            <w:pPr>
              <w:rPr>
                <w:sz w:val="24"/>
                <w:szCs w:val="24"/>
              </w:rPr>
            </w:pPr>
            <w:r w:rsidRPr="00CC0532">
              <w:rPr>
                <w:sz w:val="24"/>
                <w:szCs w:val="24"/>
              </w:rPr>
              <w:t>Broken: N (%)</w:t>
            </w:r>
          </w:p>
        </w:tc>
        <w:tc>
          <w:tcPr>
            <w:tcW w:w="1872" w:type="dxa"/>
            <w:tcBorders>
              <w:right w:val="nil"/>
            </w:tcBorders>
          </w:tcPr>
          <w:p w14:paraId="7175F2A7" w14:textId="77777777" w:rsidR="0093472F" w:rsidRPr="00CC0532" w:rsidRDefault="0093472F" w:rsidP="00B861C5">
            <w:pPr>
              <w:jc w:val="center"/>
              <w:rPr>
                <w:sz w:val="24"/>
                <w:szCs w:val="24"/>
              </w:rPr>
            </w:pPr>
            <w:r w:rsidRPr="00CC0532">
              <w:rPr>
                <w:sz w:val="24"/>
                <w:szCs w:val="24"/>
              </w:rPr>
              <w:t>14/39</w:t>
            </w:r>
          </w:p>
        </w:tc>
        <w:tc>
          <w:tcPr>
            <w:tcW w:w="2015" w:type="dxa"/>
            <w:tcBorders>
              <w:left w:val="nil"/>
            </w:tcBorders>
          </w:tcPr>
          <w:p w14:paraId="54EAEBD9" w14:textId="77777777" w:rsidR="0093472F" w:rsidRPr="00CC0532" w:rsidRDefault="0093472F" w:rsidP="00B861C5">
            <w:pPr>
              <w:jc w:val="center"/>
              <w:rPr>
                <w:sz w:val="24"/>
                <w:szCs w:val="24"/>
              </w:rPr>
            </w:pPr>
            <w:r w:rsidRPr="00CC0532">
              <w:rPr>
                <w:sz w:val="24"/>
                <w:szCs w:val="24"/>
              </w:rPr>
              <w:t>36</w:t>
            </w:r>
          </w:p>
        </w:tc>
      </w:tr>
      <w:tr w:rsidR="0093472F" w:rsidRPr="00CC0532" w14:paraId="678F34B8" w14:textId="77777777" w:rsidTr="00B861C5">
        <w:tc>
          <w:tcPr>
            <w:tcW w:w="3114" w:type="dxa"/>
          </w:tcPr>
          <w:p w14:paraId="2B13984A" w14:textId="77777777" w:rsidR="0093472F" w:rsidRPr="00CC0532" w:rsidRDefault="0093472F" w:rsidP="00B861C5">
            <w:pPr>
              <w:rPr>
                <w:sz w:val="24"/>
                <w:szCs w:val="24"/>
              </w:rPr>
            </w:pPr>
            <w:r w:rsidRPr="00CC0532">
              <w:rPr>
                <w:sz w:val="24"/>
                <w:szCs w:val="24"/>
              </w:rPr>
              <w:t>Added substance?: N (%)</w:t>
            </w:r>
          </w:p>
        </w:tc>
        <w:tc>
          <w:tcPr>
            <w:tcW w:w="1872" w:type="dxa"/>
            <w:tcBorders>
              <w:right w:val="nil"/>
            </w:tcBorders>
          </w:tcPr>
          <w:p w14:paraId="29C62A5F" w14:textId="77777777" w:rsidR="0093472F" w:rsidRPr="00CC0532" w:rsidRDefault="0093472F" w:rsidP="00B861C5">
            <w:pPr>
              <w:jc w:val="center"/>
              <w:rPr>
                <w:sz w:val="24"/>
                <w:szCs w:val="24"/>
              </w:rPr>
            </w:pPr>
            <w:r w:rsidRPr="00CC0532">
              <w:rPr>
                <w:sz w:val="24"/>
                <w:szCs w:val="24"/>
              </w:rPr>
              <w:t>0/39</w:t>
            </w:r>
          </w:p>
        </w:tc>
        <w:tc>
          <w:tcPr>
            <w:tcW w:w="2015" w:type="dxa"/>
            <w:tcBorders>
              <w:left w:val="nil"/>
            </w:tcBorders>
          </w:tcPr>
          <w:p w14:paraId="32545009" w14:textId="77777777" w:rsidR="0093472F" w:rsidRPr="00CC0532" w:rsidRDefault="0093472F" w:rsidP="00B861C5">
            <w:pPr>
              <w:jc w:val="center"/>
              <w:rPr>
                <w:sz w:val="24"/>
                <w:szCs w:val="24"/>
              </w:rPr>
            </w:pPr>
            <w:r w:rsidRPr="00CC0532">
              <w:rPr>
                <w:sz w:val="24"/>
                <w:szCs w:val="24"/>
              </w:rPr>
              <w:t>0</w:t>
            </w:r>
          </w:p>
        </w:tc>
      </w:tr>
      <w:tr w:rsidR="0093472F" w:rsidRPr="00CC0532" w14:paraId="692BB594" w14:textId="77777777" w:rsidTr="00B861C5">
        <w:tc>
          <w:tcPr>
            <w:tcW w:w="3114" w:type="dxa"/>
          </w:tcPr>
          <w:p w14:paraId="7BE673AC" w14:textId="77777777" w:rsidR="0093472F" w:rsidRPr="00CC0532" w:rsidRDefault="0093472F" w:rsidP="00B861C5">
            <w:pPr>
              <w:rPr>
                <w:sz w:val="24"/>
                <w:szCs w:val="24"/>
              </w:rPr>
            </w:pPr>
          </w:p>
        </w:tc>
        <w:tc>
          <w:tcPr>
            <w:tcW w:w="1872" w:type="dxa"/>
            <w:tcBorders>
              <w:right w:val="nil"/>
            </w:tcBorders>
          </w:tcPr>
          <w:p w14:paraId="52F07EDA" w14:textId="77777777" w:rsidR="0093472F" w:rsidRPr="00CC0532" w:rsidRDefault="0093472F" w:rsidP="00B861C5">
            <w:pPr>
              <w:jc w:val="center"/>
              <w:rPr>
                <w:sz w:val="24"/>
                <w:szCs w:val="24"/>
              </w:rPr>
            </w:pPr>
          </w:p>
        </w:tc>
        <w:tc>
          <w:tcPr>
            <w:tcW w:w="2015" w:type="dxa"/>
            <w:tcBorders>
              <w:left w:val="nil"/>
            </w:tcBorders>
          </w:tcPr>
          <w:p w14:paraId="6F3F444A" w14:textId="77777777" w:rsidR="0093472F" w:rsidRPr="00CC0532" w:rsidRDefault="0093472F" w:rsidP="00B861C5">
            <w:pPr>
              <w:jc w:val="center"/>
              <w:rPr>
                <w:sz w:val="24"/>
                <w:szCs w:val="24"/>
              </w:rPr>
            </w:pPr>
          </w:p>
        </w:tc>
      </w:tr>
      <w:tr w:rsidR="0093472F" w:rsidRPr="00CC0532" w14:paraId="2B3982C2" w14:textId="77777777" w:rsidTr="00B861C5">
        <w:tc>
          <w:tcPr>
            <w:tcW w:w="3114" w:type="dxa"/>
          </w:tcPr>
          <w:p w14:paraId="4CE1E1C8" w14:textId="77777777" w:rsidR="0093472F" w:rsidRPr="00CC0532" w:rsidRDefault="0093472F" w:rsidP="00B861C5">
            <w:pPr>
              <w:rPr>
                <w:b/>
                <w:sz w:val="24"/>
                <w:szCs w:val="24"/>
              </w:rPr>
            </w:pPr>
            <w:r w:rsidRPr="00CC0532">
              <w:rPr>
                <w:b/>
                <w:sz w:val="24"/>
                <w:szCs w:val="24"/>
              </w:rPr>
              <w:t>12 weeks*</w:t>
            </w:r>
          </w:p>
        </w:tc>
        <w:tc>
          <w:tcPr>
            <w:tcW w:w="1872" w:type="dxa"/>
            <w:tcBorders>
              <w:right w:val="nil"/>
            </w:tcBorders>
          </w:tcPr>
          <w:p w14:paraId="109F8888" w14:textId="77777777" w:rsidR="0093472F" w:rsidRPr="00CC0532" w:rsidRDefault="0093472F" w:rsidP="00B861C5">
            <w:pPr>
              <w:jc w:val="center"/>
              <w:rPr>
                <w:sz w:val="24"/>
                <w:szCs w:val="24"/>
              </w:rPr>
            </w:pPr>
          </w:p>
        </w:tc>
        <w:tc>
          <w:tcPr>
            <w:tcW w:w="2015" w:type="dxa"/>
            <w:tcBorders>
              <w:left w:val="nil"/>
            </w:tcBorders>
          </w:tcPr>
          <w:p w14:paraId="534578D6" w14:textId="77777777" w:rsidR="0093472F" w:rsidRPr="00CC0532" w:rsidRDefault="0093472F" w:rsidP="00B861C5">
            <w:pPr>
              <w:jc w:val="center"/>
              <w:rPr>
                <w:sz w:val="24"/>
                <w:szCs w:val="24"/>
              </w:rPr>
            </w:pPr>
          </w:p>
        </w:tc>
      </w:tr>
      <w:tr w:rsidR="0093472F" w:rsidRPr="00CC0532" w14:paraId="7A706D48" w14:textId="77777777" w:rsidTr="00B861C5">
        <w:tc>
          <w:tcPr>
            <w:tcW w:w="3114" w:type="dxa"/>
          </w:tcPr>
          <w:p w14:paraId="585A1E39" w14:textId="77777777" w:rsidR="0093472F" w:rsidRPr="00CC0532" w:rsidRDefault="0093472F" w:rsidP="00B861C5">
            <w:pPr>
              <w:rPr>
                <w:sz w:val="24"/>
                <w:szCs w:val="24"/>
              </w:rPr>
            </w:pPr>
            <w:r w:rsidRPr="00CC0532">
              <w:rPr>
                <w:sz w:val="24"/>
                <w:szCs w:val="24"/>
              </w:rPr>
              <w:t>E-cig lost (%)</w:t>
            </w:r>
          </w:p>
        </w:tc>
        <w:tc>
          <w:tcPr>
            <w:tcW w:w="1872" w:type="dxa"/>
            <w:tcBorders>
              <w:right w:val="nil"/>
            </w:tcBorders>
          </w:tcPr>
          <w:p w14:paraId="14465111" w14:textId="77777777" w:rsidR="0093472F" w:rsidRPr="00CC0532" w:rsidRDefault="0093472F" w:rsidP="00B861C5">
            <w:pPr>
              <w:jc w:val="center"/>
              <w:rPr>
                <w:sz w:val="24"/>
                <w:szCs w:val="24"/>
              </w:rPr>
            </w:pPr>
            <w:r w:rsidRPr="00CC0532">
              <w:rPr>
                <w:sz w:val="24"/>
                <w:szCs w:val="24"/>
              </w:rPr>
              <w:t>2 /32</w:t>
            </w:r>
          </w:p>
        </w:tc>
        <w:tc>
          <w:tcPr>
            <w:tcW w:w="2015" w:type="dxa"/>
            <w:tcBorders>
              <w:left w:val="nil"/>
            </w:tcBorders>
          </w:tcPr>
          <w:p w14:paraId="68A0C347" w14:textId="77777777" w:rsidR="0093472F" w:rsidRPr="00CC0532" w:rsidRDefault="0093472F" w:rsidP="00B861C5">
            <w:pPr>
              <w:jc w:val="center"/>
              <w:rPr>
                <w:sz w:val="24"/>
                <w:szCs w:val="24"/>
              </w:rPr>
            </w:pPr>
            <w:r w:rsidRPr="00CC0532">
              <w:rPr>
                <w:sz w:val="24"/>
                <w:szCs w:val="24"/>
              </w:rPr>
              <w:t>6</w:t>
            </w:r>
          </w:p>
        </w:tc>
      </w:tr>
      <w:tr w:rsidR="0093472F" w:rsidRPr="00CC0532" w14:paraId="5051C765" w14:textId="77777777" w:rsidTr="00B861C5">
        <w:tc>
          <w:tcPr>
            <w:tcW w:w="3114" w:type="dxa"/>
          </w:tcPr>
          <w:p w14:paraId="461D51FA" w14:textId="77777777" w:rsidR="0093472F" w:rsidRPr="00CC0532" w:rsidRDefault="0093472F" w:rsidP="00B861C5">
            <w:pPr>
              <w:rPr>
                <w:sz w:val="24"/>
                <w:szCs w:val="24"/>
              </w:rPr>
            </w:pPr>
            <w:r w:rsidRPr="00CC0532">
              <w:rPr>
                <w:sz w:val="24"/>
                <w:szCs w:val="24"/>
              </w:rPr>
              <w:t>E-cig stolen</w:t>
            </w:r>
          </w:p>
        </w:tc>
        <w:tc>
          <w:tcPr>
            <w:tcW w:w="1872" w:type="dxa"/>
            <w:tcBorders>
              <w:right w:val="nil"/>
            </w:tcBorders>
          </w:tcPr>
          <w:p w14:paraId="6DDEB02B" w14:textId="77777777" w:rsidR="0093472F" w:rsidRPr="00CC0532" w:rsidRDefault="0093472F" w:rsidP="00B861C5">
            <w:pPr>
              <w:jc w:val="center"/>
              <w:rPr>
                <w:sz w:val="24"/>
                <w:szCs w:val="24"/>
              </w:rPr>
            </w:pPr>
            <w:r w:rsidRPr="00CC0532">
              <w:rPr>
                <w:sz w:val="24"/>
                <w:szCs w:val="24"/>
              </w:rPr>
              <w:t>1/32</w:t>
            </w:r>
          </w:p>
        </w:tc>
        <w:tc>
          <w:tcPr>
            <w:tcW w:w="2015" w:type="dxa"/>
            <w:tcBorders>
              <w:left w:val="nil"/>
            </w:tcBorders>
          </w:tcPr>
          <w:p w14:paraId="13196559" w14:textId="77777777" w:rsidR="0093472F" w:rsidRPr="00CC0532" w:rsidRDefault="0093472F" w:rsidP="00B861C5">
            <w:pPr>
              <w:jc w:val="center"/>
              <w:rPr>
                <w:sz w:val="24"/>
                <w:szCs w:val="24"/>
              </w:rPr>
            </w:pPr>
            <w:r w:rsidRPr="00CC0532">
              <w:rPr>
                <w:sz w:val="24"/>
                <w:szCs w:val="24"/>
              </w:rPr>
              <w:t>3</w:t>
            </w:r>
          </w:p>
        </w:tc>
      </w:tr>
      <w:tr w:rsidR="0093472F" w:rsidRPr="00CC0532" w14:paraId="1827508F" w14:textId="77777777" w:rsidTr="00B861C5">
        <w:tc>
          <w:tcPr>
            <w:tcW w:w="3114" w:type="dxa"/>
          </w:tcPr>
          <w:p w14:paraId="6C5B5324" w14:textId="77777777" w:rsidR="0093472F" w:rsidRPr="00CC0532" w:rsidRDefault="0093472F" w:rsidP="00B861C5">
            <w:pPr>
              <w:rPr>
                <w:sz w:val="24"/>
                <w:szCs w:val="24"/>
              </w:rPr>
            </w:pPr>
            <w:r w:rsidRPr="00CC0532">
              <w:rPr>
                <w:sz w:val="24"/>
                <w:szCs w:val="24"/>
              </w:rPr>
              <w:t>Sold</w:t>
            </w:r>
          </w:p>
        </w:tc>
        <w:tc>
          <w:tcPr>
            <w:tcW w:w="1872" w:type="dxa"/>
            <w:tcBorders>
              <w:right w:val="nil"/>
            </w:tcBorders>
          </w:tcPr>
          <w:p w14:paraId="06918A09" w14:textId="77777777" w:rsidR="0093472F" w:rsidRPr="00CC0532" w:rsidRDefault="0093472F" w:rsidP="00B861C5">
            <w:pPr>
              <w:jc w:val="center"/>
              <w:rPr>
                <w:sz w:val="24"/>
                <w:szCs w:val="24"/>
              </w:rPr>
            </w:pPr>
            <w:r w:rsidRPr="00CC0532">
              <w:rPr>
                <w:sz w:val="24"/>
                <w:szCs w:val="24"/>
              </w:rPr>
              <w:t>0/32</w:t>
            </w:r>
          </w:p>
        </w:tc>
        <w:tc>
          <w:tcPr>
            <w:tcW w:w="2015" w:type="dxa"/>
            <w:tcBorders>
              <w:left w:val="nil"/>
            </w:tcBorders>
          </w:tcPr>
          <w:p w14:paraId="18693BC9" w14:textId="77777777" w:rsidR="0093472F" w:rsidRPr="00CC0532" w:rsidRDefault="0093472F" w:rsidP="00B861C5">
            <w:pPr>
              <w:jc w:val="center"/>
              <w:rPr>
                <w:sz w:val="24"/>
                <w:szCs w:val="24"/>
              </w:rPr>
            </w:pPr>
            <w:r w:rsidRPr="00CC0532">
              <w:rPr>
                <w:sz w:val="24"/>
                <w:szCs w:val="24"/>
              </w:rPr>
              <w:t>0</w:t>
            </w:r>
          </w:p>
        </w:tc>
      </w:tr>
      <w:tr w:rsidR="0093472F" w:rsidRPr="00CC0532" w14:paraId="2F63F98D" w14:textId="77777777" w:rsidTr="00B861C5">
        <w:tc>
          <w:tcPr>
            <w:tcW w:w="3114" w:type="dxa"/>
          </w:tcPr>
          <w:p w14:paraId="374A3CD1" w14:textId="77777777" w:rsidR="0093472F" w:rsidRPr="00CC0532" w:rsidRDefault="0093472F" w:rsidP="00B861C5">
            <w:pPr>
              <w:rPr>
                <w:sz w:val="24"/>
                <w:szCs w:val="24"/>
              </w:rPr>
            </w:pPr>
            <w:r w:rsidRPr="00CC0532">
              <w:rPr>
                <w:sz w:val="24"/>
                <w:szCs w:val="24"/>
              </w:rPr>
              <w:t>Exchanged/swapped</w:t>
            </w:r>
          </w:p>
        </w:tc>
        <w:tc>
          <w:tcPr>
            <w:tcW w:w="1872" w:type="dxa"/>
            <w:tcBorders>
              <w:right w:val="nil"/>
            </w:tcBorders>
          </w:tcPr>
          <w:p w14:paraId="360BE09D" w14:textId="77777777" w:rsidR="0093472F" w:rsidRPr="00CC0532" w:rsidRDefault="0093472F" w:rsidP="00B861C5">
            <w:pPr>
              <w:jc w:val="center"/>
              <w:rPr>
                <w:sz w:val="24"/>
                <w:szCs w:val="24"/>
              </w:rPr>
            </w:pPr>
            <w:r w:rsidRPr="00CC0532">
              <w:rPr>
                <w:sz w:val="24"/>
                <w:szCs w:val="24"/>
              </w:rPr>
              <w:t>0/32</w:t>
            </w:r>
          </w:p>
        </w:tc>
        <w:tc>
          <w:tcPr>
            <w:tcW w:w="2015" w:type="dxa"/>
            <w:tcBorders>
              <w:left w:val="nil"/>
            </w:tcBorders>
          </w:tcPr>
          <w:p w14:paraId="00B4B3D7" w14:textId="77777777" w:rsidR="0093472F" w:rsidRPr="00CC0532" w:rsidRDefault="0093472F" w:rsidP="00B861C5">
            <w:pPr>
              <w:jc w:val="center"/>
              <w:rPr>
                <w:sz w:val="24"/>
                <w:szCs w:val="24"/>
              </w:rPr>
            </w:pPr>
            <w:r w:rsidRPr="00CC0532">
              <w:rPr>
                <w:sz w:val="24"/>
                <w:szCs w:val="24"/>
              </w:rPr>
              <w:t>0</w:t>
            </w:r>
          </w:p>
        </w:tc>
      </w:tr>
      <w:tr w:rsidR="0093472F" w:rsidRPr="00CC0532" w14:paraId="244E08EA" w14:textId="77777777" w:rsidTr="00B861C5">
        <w:tc>
          <w:tcPr>
            <w:tcW w:w="3114" w:type="dxa"/>
          </w:tcPr>
          <w:p w14:paraId="296963C7" w14:textId="77777777" w:rsidR="0093472F" w:rsidRPr="00CC0532" w:rsidRDefault="0093472F" w:rsidP="00B861C5">
            <w:pPr>
              <w:rPr>
                <w:sz w:val="24"/>
                <w:szCs w:val="24"/>
              </w:rPr>
            </w:pPr>
            <w:r w:rsidRPr="00CC0532">
              <w:rPr>
                <w:sz w:val="24"/>
                <w:szCs w:val="24"/>
              </w:rPr>
              <w:t>Given away</w:t>
            </w:r>
          </w:p>
        </w:tc>
        <w:tc>
          <w:tcPr>
            <w:tcW w:w="1872" w:type="dxa"/>
            <w:tcBorders>
              <w:right w:val="nil"/>
            </w:tcBorders>
          </w:tcPr>
          <w:p w14:paraId="4B258832" w14:textId="77777777" w:rsidR="0093472F" w:rsidRPr="00CC0532" w:rsidRDefault="0093472F" w:rsidP="00B861C5">
            <w:pPr>
              <w:jc w:val="center"/>
              <w:rPr>
                <w:sz w:val="24"/>
                <w:szCs w:val="24"/>
              </w:rPr>
            </w:pPr>
            <w:r w:rsidRPr="00CC0532">
              <w:rPr>
                <w:sz w:val="24"/>
                <w:szCs w:val="24"/>
              </w:rPr>
              <w:t>1/32</w:t>
            </w:r>
          </w:p>
        </w:tc>
        <w:tc>
          <w:tcPr>
            <w:tcW w:w="2015" w:type="dxa"/>
            <w:tcBorders>
              <w:left w:val="nil"/>
            </w:tcBorders>
          </w:tcPr>
          <w:p w14:paraId="79E6BF83" w14:textId="77777777" w:rsidR="0093472F" w:rsidRPr="00CC0532" w:rsidRDefault="0093472F" w:rsidP="00B861C5">
            <w:pPr>
              <w:jc w:val="center"/>
              <w:rPr>
                <w:sz w:val="24"/>
                <w:szCs w:val="24"/>
              </w:rPr>
            </w:pPr>
            <w:r w:rsidRPr="00CC0532">
              <w:rPr>
                <w:sz w:val="24"/>
                <w:szCs w:val="24"/>
              </w:rPr>
              <w:t>3</w:t>
            </w:r>
          </w:p>
        </w:tc>
      </w:tr>
      <w:tr w:rsidR="0093472F" w:rsidRPr="00CC0532" w14:paraId="21FACB21" w14:textId="77777777" w:rsidTr="00B861C5">
        <w:tc>
          <w:tcPr>
            <w:tcW w:w="3114" w:type="dxa"/>
          </w:tcPr>
          <w:p w14:paraId="60B8CA74" w14:textId="77777777" w:rsidR="0093472F" w:rsidRPr="00CC0532" w:rsidRDefault="0093472F" w:rsidP="00B861C5">
            <w:pPr>
              <w:rPr>
                <w:sz w:val="24"/>
                <w:szCs w:val="24"/>
              </w:rPr>
            </w:pPr>
            <w:r w:rsidRPr="00CC0532">
              <w:rPr>
                <w:sz w:val="24"/>
                <w:szCs w:val="24"/>
              </w:rPr>
              <w:t>Broken</w:t>
            </w:r>
          </w:p>
        </w:tc>
        <w:tc>
          <w:tcPr>
            <w:tcW w:w="1872" w:type="dxa"/>
            <w:tcBorders>
              <w:right w:val="nil"/>
            </w:tcBorders>
          </w:tcPr>
          <w:p w14:paraId="2C3BAEFD" w14:textId="77777777" w:rsidR="0093472F" w:rsidRPr="00CC0532" w:rsidRDefault="0093472F" w:rsidP="00B861C5">
            <w:pPr>
              <w:jc w:val="center"/>
              <w:rPr>
                <w:sz w:val="24"/>
                <w:szCs w:val="24"/>
              </w:rPr>
            </w:pPr>
            <w:r w:rsidRPr="00CC0532">
              <w:rPr>
                <w:sz w:val="24"/>
                <w:szCs w:val="24"/>
              </w:rPr>
              <w:t>11/31</w:t>
            </w:r>
          </w:p>
        </w:tc>
        <w:tc>
          <w:tcPr>
            <w:tcW w:w="2015" w:type="dxa"/>
            <w:tcBorders>
              <w:left w:val="nil"/>
            </w:tcBorders>
          </w:tcPr>
          <w:p w14:paraId="08B4FA81" w14:textId="77777777" w:rsidR="0093472F" w:rsidRPr="00CC0532" w:rsidRDefault="0093472F" w:rsidP="00B861C5">
            <w:pPr>
              <w:jc w:val="center"/>
              <w:rPr>
                <w:sz w:val="24"/>
                <w:szCs w:val="24"/>
              </w:rPr>
            </w:pPr>
            <w:r w:rsidRPr="00CC0532">
              <w:rPr>
                <w:sz w:val="24"/>
                <w:szCs w:val="24"/>
              </w:rPr>
              <w:t>35</w:t>
            </w:r>
          </w:p>
        </w:tc>
      </w:tr>
      <w:tr w:rsidR="0093472F" w:rsidRPr="00CC0532" w14:paraId="28CEC8D2" w14:textId="77777777" w:rsidTr="00B861C5">
        <w:tc>
          <w:tcPr>
            <w:tcW w:w="3114" w:type="dxa"/>
          </w:tcPr>
          <w:p w14:paraId="2D4F8788" w14:textId="77777777" w:rsidR="0093472F" w:rsidRPr="00CC0532" w:rsidRDefault="0093472F" w:rsidP="00B861C5">
            <w:pPr>
              <w:rPr>
                <w:sz w:val="24"/>
                <w:szCs w:val="24"/>
              </w:rPr>
            </w:pPr>
            <w:r w:rsidRPr="00CC0532">
              <w:rPr>
                <w:sz w:val="24"/>
                <w:szCs w:val="24"/>
              </w:rPr>
              <w:t>Added substance?</w:t>
            </w:r>
          </w:p>
        </w:tc>
        <w:tc>
          <w:tcPr>
            <w:tcW w:w="1872" w:type="dxa"/>
            <w:tcBorders>
              <w:right w:val="nil"/>
            </w:tcBorders>
          </w:tcPr>
          <w:p w14:paraId="5F0F3E60" w14:textId="77777777" w:rsidR="0093472F" w:rsidRPr="00CC0532" w:rsidRDefault="0093472F" w:rsidP="00B861C5">
            <w:pPr>
              <w:jc w:val="center"/>
              <w:rPr>
                <w:sz w:val="24"/>
                <w:szCs w:val="24"/>
              </w:rPr>
            </w:pPr>
            <w:r w:rsidRPr="00CC0532">
              <w:rPr>
                <w:sz w:val="24"/>
                <w:szCs w:val="24"/>
              </w:rPr>
              <w:t>0/34</w:t>
            </w:r>
          </w:p>
        </w:tc>
        <w:tc>
          <w:tcPr>
            <w:tcW w:w="2015" w:type="dxa"/>
            <w:tcBorders>
              <w:left w:val="nil"/>
            </w:tcBorders>
          </w:tcPr>
          <w:p w14:paraId="66D8DE23" w14:textId="77777777" w:rsidR="0093472F" w:rsidRPr="00CC0532" w:rsidRDefault="0093472F" w:rsidP="00B861C5">
            <w:pPr>
              <w:jc w:val="center"/>
              <w:rPr>
                <w:sz w:val="24"/>
                <w:szCs w:val="24"/>
              </w:rPr>
            </w:pPr>
            <w:r w:rsidRPr="00CC0532">
              <w:rPr>
                <w:sz w:val="24"/>
                <w:szCs w:val="24"/>
              </w:rPr>
              <w:t>0</w:t>
            </w:r>
          </w:p>
        </w:tc>
      </w:tr>
      <w:tr w:rsidR="0093472F" w:rsidRPr="00CC0532" w14:paraId="149C4442" w14:textId="77777777" w:rsidTr="00B861C5">
        <w:tc>
          <w:tcPr>
            <w:tcW w:w="3114" w:type="dxa"/>
          </w:tcPr>
          <w:p w14:paraId="1FFAED8B" w14:textId="77777777" w:rsidR="0093472F" w:rsidRPr="00CC0532" w:rsidRDefault="0093472F" w:rsidP="00B861C5">
            <w:pPr>
              <w:rPr>
                <w:sz w:val="24"/>
                <w:szCs w:val="24"/>
              </w:rPr>
            </w:pPr>
          </w:p>
        </w:tc>
        <w:tc>
          <w:tcPr>
            <w:tcW w:w="1872" w:type="dxa"/>
            <w:tcBorders>
              <w:right w:val="nil"/>
            </w:tcBorders>
          </w:tcPr>
          <w:p w14:paraId="7877AB62" w14:textId="77777777" w:rsidR="0093472F" w:rsidRPr="00CC0532" w:rsidRDefault="0093472F" w:rsidP="00B861C5">
            <w:pPr>
              <w:jc w:val="center"/>
              <w:rPr>
                <w:sz w:val="24"/>
                <w:szCs w:val="24"/>
              </w:rPr>
            </w:pPr>
          </w:p>
        </w:tc>
        <w:tc>
          <w:tcPr>
            <w:tcW w:w="2015" w:type="dxa"/>
            <w:tcBorders>
              <w:left w:val="nil"/>
            </w:tcBorders>
          </w:tcPr>
          <w:p w14:paraId="21F6D028" w14:textId="77777777" w:rsidR="0093472F" w:rsidRPr="00CC0532" w:rsidRDefault="0093472F" w:rsidP="00B861C5">
            <w:pPr>
              <w:jc w:val="center"/>
              <w:rPr>
                <w:sz w:val="24"/>
                <w:szCs w:val="24"/>
              </w:rPr>
            </w:pPr>
          </w:p>
        </w:tc>
      </w:tr>
      <w:tr w:rsidR="0093472F" w:rsidRPr="00CC0532" w14:paraId="0A8E3D67" w14:textId="77777777" w:rsidTr="00B861C5">
        <w:tc>
          <w:tcPr>
            <w:tcW w:w="3114" w:type="dxa"/>
          </w:tcPr>
          <w:p w14:paraId="49F35485" w14:textId="77777777" w:rsidR="0093472F" w:rsidRPr="00CC0532" w:rsidRDefault="0093472F" w:rsidP="00B861C5">
            <w:pPr>
              <w:rPr>
                <w:b/>
                <w:sz w:val="24"/>
                <w:szCs w:val="24"/>
              </w:rPr>
            </w:pPr>
            <w:r w:rsidRPr="00CC0532">
              <w:rPr>
                <w:b/>
                <w:sz w:val="24"/>
                <w:szCs w:val="24"/>
              </w:rPr>
              <w:t xml:space="preserve">24 weeks* </w:t>
            </w:r>
          </w:p>
        </w:tc>
        <w:tc>
          <w:tcPr>
            <w:tcW w:w="1872" w:type="dxa"/>
            <w:tcBorders>
              <w:right w:val="nil"/>
            </w:tcBorders>
          </w:tcPr>
          <w:p w14:paraId="16FE432B" w14:textId="77777777" w:rsidR="0093472F" w:rsidRPr="00CC0532" w:rsidRDefault="0093472F" w:rsidP="00B861C5">
            <w:pPr>
              <w:jc w:val="center"/>
              <w:rPr>
                <w:sz w:val="24"/>
                <w:szCs w:val="24"/>
              </w:rPr>
            </w:pPr>
          </w:p>
        </w:tc>
        <w:tc>
          <w:tcPr>
            <w:tcW w:w="2015" w:type="dxa"/>
            <w:tcBorders>
              <w:left w:val="nil"/>
            </w:tcBorders>
          </w:tcPr>
          <w:p w14:paraId="33637BB9" w14:textId="77777777" w:rsidR="0093472F" w:rsidRPr="00CC0532" w:rsidRDefault="0093472F" w:rsidP="00B861C5">
            <w:pPr>
              <w:jc w:val="center"/>
              <w:rPr>
                <w:sz w:val="24"/>
                <w:szCs w:val="24"/>
              </w:rPr>
            </w:pPr>
          </w:p>
        </w:tc>
      </w:tr>
      <w:tr w:rsidR="0093472F" w:rsidRPr="00CC0532" w14:paraId="4796E5C4" w14:textId="77777777" w:rsidTr="00B861C5">
        <w:tc>
          <w:tcPr>
            <w:tcW w:w="3114" w:type="dxa"/>
          </w:tcPr>
          <w:p w14:paraId="0DD6600E" w14:textId="77777777" w:rsidR="0093472F" w:rsidRPr="00CC0532" w:rsidRDefault="0093472F" w:rsidP="00B861C5">
            <w:pPr>
              <w:rPr>
                <w:sz w:val="24"/>
                <w:szCs w:val="24"/>
              </w:rPr>
            </w:pPr>
            <w:r w:rsidRPr="00CC0532">
              <w:rPr>
                <w:sz w:val="24"/>
                <w:szCs w:val="24"/>
              </w:rPr>
              <w:t>E-cig lost (%)</w:t>
            </w:r>
          </w:p>
        </w:tc>
        <w:tc>
          <w:tcPr>
            <w:tcW w:w="1872" w:type="dxa"/>
            <w:tcBorders>
              <w:right w:val="nil"/>
            </w:tcBorders>
          </w:tcPr>
          <w:p w14:paraId="742F9F12" w14:textId="77777777" w:rsidR="0093472F" w:rsidRPr="00CC0532" w:rsidRDefault="0093472F" w:rsidP="00B861C5">
            <w:pPr>
              <w:jc w:val="center"/>
              <w:rPr>
                <w:sz w:val="24"/>
                <w:szCs w:val="24"/>
              </w:rPr>
            </w:pPr>
            <w:r w:rsidRPr="00CC0532">
              <w:rPr>
                <w:sz w:val="24"/>
                <w:szCs w:val="24"/>
              </w:rPr>
              <w:t>2/33</w:t>
            </w:r>
          </w:p>
        </w:tc>
        <w:tc>
          <w:tcPr>
            <w:tcW w:w="2015" w:type="dxa"/>
            <w:tcBorders>
              <w:left w:val="nil"/>
            </w:tcBorders>
          </w:tcPr>
          <w:p w14:paraId="61F67943" w14:textId="77777777" w:rsidR="0093472F" w:rsidRPr="00CC0532" w:rsidRDefault="0093472F" w:rsidP="00B861C5">
            <w:pPr>
              <w:jc w:val="center"/>
              <w:rPr>
                <w:sz w:val="24"/>
                <w:szCs w:val="24"/>
              </w:rPr>
            </w:pPr>
            <w:r w:rsidRPr="00CC0532">
              <w:rPr>
                <w:sz w:val="24"/>
                <w:szCs w:val="24"/>
              </w:rPr>
              <w:t>6</w:t>
            </w:r>
          </w:p>
        </w:tc>
      </w:tr>
      <w:tr w:rsidR="0093472F" w:rsidRPr="00CC0532" w14:paraId="2A2A8C40" w14:textId="77777777" w:rsidTr="00B861C5">
        <w:tc>
          <w:tcPr>
            <w:tcW w:w="3114" w:type="dxa"/>
          </w:tcPr>
          <w:p w14:paraId="02F975A9" w14:textId="77777777" w:rsidR="0093472F" w:rsidRPr="00CC0532" w:rsidRDefault="0093472F" w:rsidP="00B861C5">
            <w:pPr>
              <w:rPr>
                <w:sz w:val="24"/>
                <w:szCs w:val="24"/>
              </w:rPr>
            </w:pPr>
            <w:r w:rsidRPr="00CC0532">
              <w:rPr>
                <w:sz w:val="24"/>
                <w:szCs w:val="24"/>
              </w:rPr>
              <w:t>E-cig stolen</w:t>
            </w:r>
          </w:p>
        </w:tc>
        <w:tc>
          <w:tcPr>
            <w:tcW w:w="1872" w:type="dxa"/>
            <w:tcBorders>
              <w:right w:val="nil"/>
            </w:tcBorders>
          </w:tcPr>
          <w:p w14:paraId="372385A0" w14:textId="77777777" w:rsidR="0093472F" w:rsidRPr="00CC0532" w:rsidRDefault="0093472F" w:rsidP="00B861C5">
            <w:pPr>
              <w:jc w:val="center"/>
              <w:rPr>
                <w:sz w:val="24"/>
                <w:szCs w:val="24"/>
              </w:rPr>
            </w:pPr>
            <w:r w:rsidRPr="00CC0532">
              <w:rPr>
                <w:sz w:val="24"/>
                <w:szCs w:val="24"/>
              </w:rPr>
              <w:t>2/33</w:t>
            </w:r>
          </w:p>
        </w:tc>
        <w:tc>
          <w:tcPr>
            <w:tcW w:w="2015" w:type="dxa"/>
            <w:tcBorders>
              <w:left w:val="nil"/>
            </w:tcBorders>
          </w:tcPr>
          <w:p w14:paraId="68CA0B90" w14:textId="77777777" w:rsidR="0093472F" w:rsidRPr="00CC0532" w:rsidRDefault="0093472F" w:rsidP="00B861C5">
            <w:pPr>
              <w:jc w:val="center"/>
              <w:rPr>
                <w:sz w:val="24"/>
                <w:szCs w:val="24"/>
              </w:rPr>
            </w:pPr>
            <w:r w:rsidRPr="00CC0532">
              <w:rPr>
                <w:sz w:val="24"/>
                <w:szCs w:val="24"/>
              </w:rPr>
              <w:t>6</w:t>
            </w:r>
          </w:p>
        </w:tc>
      </w:tr>
      <w:tr w:rsidR="0093472F" w:rsidRPr="00CC0532" w14:paraId="3DFF3EAC" w14:textId="77777777" w:rsidTr="00B861C5">
        <w:tc>
          <w:tcPr>
            <w:tcW w:w="3114" w:type="dxa"/>
          </w:tcPr>
          <w:p w14:paraId="3D532D2C" w14:textId="77777777" w:rsidR="0093472F" w:rsidRPr="00CC0532" w:rsidRDefault="0093472F" w:rsidP="00B861C5">
            <w:pPr>
              <w:rPr>
                <w:sz w:val="24"/>
                <w:szCs w:val="24"/>
              </w:rPr>
            </w:pPr>
            <w:r w:rsidRPr="00CC0532">
              <w:rPr>
                <w:sz w:val="24"/>
                <w:szCs w:val="24"/>
              </w:rPr>
              <w:t>Sold</w:t>
            </w:r>
          </w:p>
        </w:tc>
        <w:tc>
          <w:tcPr>
            <w:tcW w:w="1872" w:type="dxa"/>
            <w:tcBorders>
              <w:right w:val="nil"/>
            </w:tcBorders>
          </w:tcPr>
          <w:p w14:paraId="3AF8B41F" w14:textId="77777777" w:rsidR="0093472F" w:rsidRPr="00CC0532" w:rsidRDefault="0093472F" w:rsidP="00B861C5">
            <w:pPr>
              <w:jc w:val="center"/>
              <w:rPr>
                <w:sz w:val="24"/>
                <w:szCs w:val="24"/>
              </w:rPr>
            </w:pPr>
            <w:r w:rsidRPr="00CC0532">
              <w:rPr>
                <w:sz w:val="24"/>
                <w:szCs w:val="24"/>
              </w:rPr>
              <w:t>0/33</w:t>
            </w:r>
          </w:p>
        </w:tc>
        <w:tc>
          <w:tcPr>
            <w:tcW w:w="2015" w:type="dxa"/>
            <w:tcBorders>
              <w:left w:val="nil"/>
            </w:tcBorders>
          </w:tcPr>
          <w:p w14:paraId="7222D982" w14:textId="77777777" w:rsidR="0093472F" w:rsidRPr="00CC0532" w:rsidRDefault="0093472F" w:rsidP="00B861C5">
            <w:pPr>
              <w:jc w:val="center"/>
              <w:rPr>
                <w:sz w:val="24"/>
                <w:szCs w:val="24"/>
              </w:rPr>
            </w:pPr>
            <w:r w:rsidRPr="00CC0532">
              <w:rPr>
                <w:sz w:val="24"/>
                <w:szCs w:val="24"/>
              </w:rPr>
              <w:t>0</w:t>
            </w:r>
          </w:p>
        </w:tc>
      </w:tr>
      <w:tr w:rsidR="0093472F" w:rsidRPr="00CC0532" w14:paraId="6F927874" w14:textId="77777777" w:rsidTr="00B861C5">
        <w:tc>
          <w:tcPr>
            <w:tcW w:w="3114" w:type="dxa"/>
          </w:tcPr>
          <w:p w14:paraId="04141C70" w14:textId="77777777" w:rsidR="0093472F" w:rsidRPr="00CC0532" w:rsidRDefault="0093472F" w:rsidP="00B861C5">
            <w:pPr>
              <w:rPr>
                <w:sz w:val="24"/>
                <w:szCs w:val="24"/>
              </w:rPr>
            </w:pPr>
            <w:r w:rsidRPr="00CC0532">
              <w:rPr>
                <w:sz w:val="24"/>
                <w:szCs w:val="24"/>
              </w:rPr>
              <w:t>Exchanged/swapped</w:t>
            </w:r>
          </w:p>
        </w:tc>
        <w:tc>
          <w:tcPr>
            <w:tcW w:w="1872" w:type="dxa"/>
            <w:tcBorders>
              <w:right w:val="nil"/>
            </w:tcBorders>
          </w:tcPr>
          <w:p w14:paraId="1293A0E6" w14:textId="77777777" w:rsidR="0093472F" w:rsidRPr="00CC0532" w:rsidRDefault="0093472F" w:rsidP="00B861C5">
            <w:pPr>
              <w:jc w:val="center"/>
              <w:rPr>
                <w:sz w:val="24"/>
                <w:szCs w:val="24"/>
              </w:rPr>
            </w:pPr>
            <w:r w:rsidRPr="00CC0532">
              <w:rPr>
                <w:sz w:val="24"/>
                <w:szCs w:val="24"/>
              </w:rPr>
              <w:t>0/33</w:t>
            </w:r>
          </w:p>
        </w:tc>
        <w:tc>
          <w:tcPr>
            <w:tcW w:w="2015" w:type="dxa"/>
            <w:tcBorders>
              <w:left w:val="nil"/>
            </w:tcBorders>
          </w:tcPr>
          <w:p w14:paraId="44905179" w14:textId="77777777" w:rsidR="0093472F" w:rsidRPr="00CC0532" w:rsidRDefault="0093472F" w:rsidP="00B861C5">
            <w:pPr>
              <w:jc w:val="center"/>
              <w:rPr>
                <w:sz w:val="24"/>
                <w:szCs w:val="24"/>
              </w:rPr>
            </w:pPr>
            <w:r w:rsidRPr="00CC0532">
              <w:rPr>
                <w:sz w:val="24"/>
                <w:szCs w:val="24"/>
              </w:rPr>
              <w:t>0</w:t>
            </w:r>
          </w:p>
        </w:tc>
      </w:tr>
      <w:tr w:rsidR="0093472F" w:rsidRPr="00CC0532" w14:paraId="161C2F42" w14:textId="77777777" w:rsidTr="00B861C5">
        <w:tc>
          <w:tcPr>
            <w:tcW w:w="3114" w:type="dxa"/>
          </w:tcPr>
          <w:p w14:paraId="6123F0C0" w14:textId="77777777" w:rsidR="0093472F" w:rsidRPr="00CC0532" w:rsidRDefault="0093472F" w:rsidP="00B861C5">
            <w:pPr>
              <w:rPr>
                <w:sz w:val="24"/>
                <w:szCs w:val="24"/>
              </w:rPr>
            </w:pPr>
            <w:r w:rsidRPr="00CC0532">
              <w:rPr>
                <w:sz w:val="24"/>
                <w:szCs w:val="24"/>
              </w:rPr>
              <w:t>Given away</w:t>
            </w:r>
          </w:p>
        </w:tc>
        <w:tc>
          <w:tcPr>
            <w:tcW w:w="1872" w:type="dxa"/>
            <w:tcBorders>
              <w:right w:val="nil"/>
            </w:tcBorders>
          </w:tcPr>
          <w:p w14:paraId="3AD7E445" w14:textId="77777777" w:rsidR="0093472F" w:rsidRPr="00CC0532" w:rsidRDefault="0093472F" w:rsidP="00B861C5">
            <w:pPr>
              <w:jc w:val="center"/>
              <w:rPr>
                <w:sz w:val="24"/>
                <w:szCs w:val="24"/>
              </w:rPr>
            </w:pPr>
            <w:r w:rsidRPr="00CC0532">
              <w:rPr>
                <w:sz w:val="24"/>
                <w:szCs w:val="24"/>
              </w:rPr>
              <w:t>2/33</w:t>
            </w:r>
          </w:p>
        </w:tc>
        <w:tc>
          <w:tcPr>
            <w:tcW w:w="2015" w:type="dxa"/>
            <w:tcBorders>
              <w:left w:val="nil"/>
            </w:tcBorders>
          </w:tcPr>
          <w:p w14:paraId="075D01D6" w14:textId="77777777" w:rsidR="0093472F" w:rsidRPr="00CC0532" w:rsidRDefault="0093472F" w:rsidP="00B861C5">
            <w:pPr>
              <w:jc w:val="center"/>
              <w:rPr>
                <w:sz w:val="24"/>
                <w:szCs w:val="24"/>
              </w:rPr>
            </w:pPr>
            <w:r w:rsidRPr="00CC0532">
              <w:rPr>
                <w:sz w:val="24"/>
                <w:szCs w:val="24"/>
              </w:rPr>
              <w:t>6</w:t>
            </w:r>
          </w:p>
        </w:tc>
      </w:tr>
      <w:tr w:rsidR="0093472F" w:rsidRPr="00CC0532" w14:paraId="236328A0" w14:textId="77777777" w:rsidTr="00B861C5">
        <w:tc>
          <w:tcPr>
            <w:tcW w:w="3114" w:type="dxa"/>
          </w:tcPr>
          <w:p w14:paraId="524DB983" w14:textId="77777777" w:rsidR="0093472F" w:rsidRPr="00CC0532" w:rsidRDefault="0093472F" w:rsidP="00B861C5">
            <w:pPr>
              <w:rPr>
                <w:sz w:val="24"/>
                <w:szCs w:val="24"/>
              </w:rPr>
            </w:pPr>
            <w:r w:rsidRPr="00CC0532">
              <w:rPr>
                <w:sz w:val="24"/>
                <w:szCs w:val="24"/>
              </w:rPr>
              <w:t>Broken</w:t>
            </w:r>
          </w:p>
        </w:tc>
        <w:tc>
          <w:tcPr>
            <w:tcW w:w="1872" w:type="dxa"/>
            <w:tcBorders>
              <w:right w:val="nil"/>
            </w:tcBorders>
          </w:tcPr>
          <w:p w14:paraId="0AD2BBD2" w14:textId="77777777" w:rsidR="0093472F" w:rsidRPr="00CC0532" w:rsidRDefault="0093472F" w:rsidP="00B861C5">
            <w:pPr>
              <w:jc w:val="center"/>
              <w:rPr>
                <w:sz w:val="24"/>
                <w:szCs w:val="24"/>
              </w:rPr>
            </w:pPr>
            <w:r w:rsidRPr="00CC0532">
              <w:rPr>
                <w:sz w:val="24"/>
                <w:szCs w:val="24"/>
              </w:rPr>
              <w:t>11/33</w:t>
            </w:r>
          </w:p>
        </w:tc>
        <w:tc>
          <w:tcPr>
            <w:tcW w:w="2015" w:type="dxa"/>
            <w:tcBorders>
              <w:left w:val="nil"/>
            </w:tcBorders>
          </w:tcPr>
          <w:p w14:paraId="517C29F9" w14:textId="77777777" w:rsidR="0093472F" w:rsidRPr="00CC0532" w:rsidRDefault="0093472F" w:rsidP="00B861C5">
            <w:pPr>
              <w:jc w:val="center"/>
              <w:rPr>
                <w:sz w:val="24"/>
                <w:szCs w:val="24"/>
              </w:rPr>
            </w:pPr>
            <w:r w:rsidRPr="00CC0532">
              <w:rPr>
                <w:sz w:val="24"/>
                <w:szCs w:val="24"/>
              </w:rPr>
              <w:t>33</w:t>
            </w:r>
          </w:p>
        </w:tc>
      </w:tr>
      <w:tr w:rsidR="0093472F" w:rsidRPr="00CC0532" w14:paraId="4F37BA77" w14:textId="77777777" w:rsidTr="00B861C5">
        <w:tc>
          <w:tcPr>
            <w:tcW w:w="3114" w:type="dxa"/>
          </w:tcPr>
          <w:p w14:paraId="2E1A3C92" w14:textId="77777777" w:rsidR="0093472F" w:rsidRPr="00CC0532" w:rsidRDefault="0093472F" w:rsidP="00B861C5">
            <w:pPr>
              <w:rPr>
                <w:sz w:val="24"/>
                <w:szCs w:val="24"/>
              </w:rPr>
            </w:pPr>
            <w:r w:rsidRPr="00CC0532">
              <w:rPr>
                <w:sz w:val="24"/>
                <w:szCs w:val="24"/>
              </w:rPr>
              <w:t>Added substance?</w:t>
            </w:r>
          </w:p>
        </w:tc>
        <w:tc>
          <w:tcPr>
            <w:tcW w:w="1872" w:type="dxa"/>
            <w:tcBorders>
              <w:right w:val="nil"/>
            </w:tcBorders>
          </w:tcPr>
          <w:p w14:paraId="3F927A97" w14:textId="77777777" w:rsidR="0093472F" w:rsidRPr="00CC0532" w:rsidRDefault="0093472F" w:rsidP="00B861C5">
            <w:pPr>
              <w:jc w:val="center"/>
              <w:rPr>
                <w:sz w:val="24"/>
                <w:szCs w:val="24"/>
              </w:rPr>
            </w:pPr>
            <w:r w:rsidRPr="00CC0532">
              <w:rPr>
                <w:sz w:val="24"/>
                <w:szCs w:val="24"/>
              </w:rPr>
              <w:t>0/34</w:t>
            </w:r>
          </w:p>
        </w:tc>
        <w:tc>
          <w:tcPr>
            <w:tcW w:w="2015" w:type="dxa"/>
            <w:tcBorders>
              <w:left w:val="nil"/>
            </w:tcBorders>
          </w:tcPr>
          <w:p w14:paraId="7175CC9E" w14:textId="77777777" w:rsidR="0093472F" w:rsidRPr="00CC0532" w:rsidRDefault="0093472F" w:rsidP="00B861C5">
            <w:pPr>
              <w:jc w:val="center"/>
              <w:rPr>
                <w:sz w:val="24"/>
                <w:szCs w:val="24"/>
              </w:rPr>
            </w:pPr>
            <w:r w:rsidRPr="00CC0532">
              <w:rPr>
                <w:sz w:val="24"/>
                <w:szCs w:val="24"/>
              </w:rPr>
              <w:t>0</w:t>
            </w:r>
          </w:p>
        </w:tc>
      </w:tr>
      <w:tr w:rsidR="0093472F" w:rsidRPr="00CC0532" w14:paraId="779F3B16" w14:textId="77777777" w:rsidTr="00B861C5">
        <w:tc>
          <w:tcPr>
            <w:tcW w:w="3114" w:type="dxa"/>
          </w:tcPr>
          <w:p w14:paraId="27F944D1" w14:textId="77777777" w:rsidR="0093472F" w:rsidRPr="00CC0532" w:rsidRDefault="0093472F" w:rsidP="00B861C5">
            <w:pPr>
              <w:rPr>
                <w:sz w:val="24"/>
                <w:szCs w:val="24"/>
              </w:rPr>
            </w:pPr>
          </w:p>
        </w:tc>
        <w:tc>
          <w:tcPr>
            <w:tcW w:w="1872" w:type="dxa"/>
            <w:tcBorders>
              <w:right w:val="nil"/>
            </w:tcBorders>
          </w:tcPr>
          <w:p w14:paraId="20D1DABF" w14:textId="77777777" w:rsidR="0093472F" w:rsidRPr="00CC0532" w:rsidRDefault="0093472F" w:rsidP="00B861C5">
            <w:pPr>
              <w:jc w:val="center"/>
              <w:rPr>
                <w:sz w:val="24"/>
                <w:szCs w:val="24"/>
              </w:rPr>
            </w:pPr>
          </w:p>
        </w:tc>
        <w:tc>
          <w:tcPr>
            <w:tcW w:w="2015" w:type="dxa"/>
            <w:tcBorders>
              <w:left w:val="nil"/>
            </w:tcBorders>
          </w:tcPr>
          <w:p w14:paraId="2DC19C8B" w14:textId="77777777" w:rsidR="0093472F" w:rsidRPr="00CC0532" w:rsidRDefault="0093472F" w:rsidP="00B861C5">
            <w:pPr>
              <w:jc w:val="center"/>
              <w:rPr>
                <w:sz w:val="24"/>
                <w:szCs w:val="24"/>
              </w:rPr>
            </w:pPr>
          </w:p>
        </w:tc>
      </w:tr>
    </w:tbl>
    <w:p w14:paraId="51E4BA0F" w14:textId="515B5E8F" w:rsidR="00274F85" w:rsidRDefault="00274F85" w:rsidP="0093472F">
      <w:pPr>
        <w:rPr>
          <w:sz w:val="20"/>
          <w:szCs w:val="20"/>
        </w:rPr>
      </w:pPr>
      <w:r>
        <w:rPr>
          <w:sz w:val="20"/>
          <w:szCs w:val="20"/>
        </w:rPr>
        <w:t>N = number reporting / number who attended that session</w:t>
      </w:r>
    </w:p>
    <w:p w14:paraId="32AABCD8" w14:textId="699D481F" w:rsidR="0093472F" w:rsidRPr="0093472F" w:rsidRDefault="0093472F" w:rsidP="0093472F">
      <w:pPr>
        <w:rPr>
          <w:sz w:val="20"/>
          <w:szCs w:val="20"/>
        </w:rPr>
      </w:pPr>
      <w:r w:rsidRPr="0093472F">
        <w:rPr>
          <w:sz w:val="20"/>
          <w:szCs w:val="20"/>
        </w:rPr>
        <w:t xml:space="preserve">* Although participants were asked “since the last meeting”, some of the 12 and 24 week responses relate to breakages, loss etc. from the previous time point so these cannot be considered additional breakages, losses etc. Some participants reported exchanging or giving away devices because they broke. Some participants reported replacing devices which subsequently broke or were lost, stolen etc. </w:t>
      </w:r>
    </w:p>
    <w:p w14:paraId="1890D676" w14:textId="4122CD02" w:rsidR="00CB5794" w:rsidRDefault="00CB5794" w:rsidP="00A8589B">
      <w:pPr>
        <w:spacing w:after="160" w:line="480" w:lineRule="auto"/>
        <w:jc w:val="both"/>
        <w:rPr>
          <w:rFonts w:cs="Times New Roman"/>
          <w:b/>
        </w:rPr>
      </w:pPr>
    </w:p>
    <w:p w14:paraId="4F02F7A6" w14:textId="43464A56" w:rsidR="00CB5794" w:rsidRPr="00A818BB" w:rsidRDefault="00CB5794" w:rsidP="00CB5794">
      <w:pPr>
        <w:rPr>
          <w:rFonts w:cs="Arial"/>
          <w:b/>
        </w:rPr>
      </w:pPr>
      <w:r>
        <w:rPr>
          <w:rFonts w:cs="Arial"/>
          <w:b/>
        </w:rPr>
        <w:t xml:space="preserve">Table 3: </w:t>
      </w:r>
      <w:r w:rsidRPr="00A818BB">
        <w:rPr>
          <w:rFonts w:cs="Arial"/>
          <w:b/>
        </w:rPr>
        <w:t>Self-reported negative and positive effects at week 4 in the E-cigarette arm.</w:t>
      </w:r>
      <w:r w:rsidR="00274F85">
        <w:rPr>
          <w:rFonts w:cs="Arial"/>
          <w:b/>
        </w:rPr>
        <w:t xml:space="preserve"> (N=39)</w:t>
      </w:r>
      <w:r w:rsidR="00840AF7">
        <w:rPr>
          <w:rFonts w:cs="Arial"/>
          <w:b/>
        </w:rPr>
        <w:t xml:space="preserve"> </w:t>
      </w:r>
      <w:r w:rsidRPr="00A818BB">
        <w:rPr>
          <w:rFonts w:cs="Arial"/>
          <w:b/>
        </w:rPr>
        <w:t>Scores are expressed as a percentage converted from Visual Analogue Scales.</w:t>
      </w:r>
    </w:p>
    <w:p w14:paraId="3FE37A04" w14:textId="77777777" w:rsidR="00CB5794" w:rsidRDefault="00CB5794" w:rsidP="00CB5794"/>
    <w:tbl>
      <w:tblPr>
        <w:tblStyle w:val="TableGrid"/>
        <w:tblW w:w="0" w:type="auto"/>
        <w:tblLook w:val="04A0" w:firstRow="1" w:lastRow="0" w:firstColumn="1" w:lastColumn="0" w:noHBand="0" w:noVBand="1"/>
      </w:tblPr>
      <w:tblGrid>
        <w:gridCol w:w="2177"/>
        <w:gridCol w:w="2096"/>
        <w:gridCol w:w="676"/>
        <w:gridCol w:w="2054"/>
        <w:gridCol w:w="2007"/>
      </w:tblGrid>
      <w:tr w:rsidR="00CB5794" w:rsidRPr="00F23EF7" w14:paraId="50B552E6" w14:textId="77777777" w:rsidTr="0038786E">
        <w:tc>
          <w:tcPr>
            <w:tcW w:w="2180" w:type="dxa"/>
          </w:tcPr>
          <w:p w14:paraId="14CCB5B6" w14:textId="77777777" w:rsidR="00CB5794" w:rsidRPr="00F23EF7" w:rsidRDefault="00CB5794" w:rsidP="0038786E">
            <w:pPr>
              <w:jc w:val="center"/>
              <w:rPr>
                <w:rFonts w:cs="Arial"/>
                <w:b/>
                <w:sz w:val="24"/>
                <w:szCs w:val="24"/>
              </w:rPr>
            </w:pPr>
            <w:r w:rsidRPr="00F23EF7">
              <w:rPr>
                <w:rFonts w:cs="Arial"/>
                <w:b/>
                <w:sz w:val="24"/>
                <w:szCs w:val="24"/>
              </w:rPr>
              <w:t>Negative Effect</w:t>
            </w:r>
          </w:p>
        </w:tc>
        <w:tc>
          <w:tcPr>
            <w:tcW w:w="2181" w:type="dxa"/>
          </w:tcPr>
          <w:p w14:paraId="0C63BAD2" w14:textId="77777777" w:rsidR="00CB5794" w:rsidRPr="00F23EF7" w:rsidRDefault="00CB5794" w:rsidP="0038786E">
            <w:pPr>
              <w:jc w:val="center"/>
              <w:rPr>
                <w:rFonts w:cs="Arial"/>
                <w:b/>
                <w:sz w:val="24"/>
                <w:szCs w:val="24"/>
              </w:rPr>
            </w:pPr>
            <w:r w:rsidRPr="00F23EF7">
              <w:rPr>
                <w:rFonts w:cs="Arial"/>
                <w:b/>
                <w:sz w:val="24"/>
                <w:szCs w:val="24"/>
              </w:rPr>
              <w:t>Mean (SD)</w:t>
            </w:r>
          </w:p>
        </w:tc>
        <w:tc>
          <w:tcPr>
            <w:tcW w:w="709" w:type="dxa"/>
          </w:tcPr>
          <w:p w14:paraId="6902CA80" w14:textId="77777777" w:rsidR="00CB5794" w:rsidRPr="00F23EF7" w:rsidRDefault="00CB5794" w:rsidP="0038786E">
            <w:pPr>
              <w:jc w:val="center"/>
              <w:rPr>
                <w:rFonts w:cs="Arial"/>
                <w:b/>
                <w:sz w:val="24"/>
                <w:szCs w:val="24"/>
              </w:rPr>
            </w:pPr>
          </w:p>
        </w:tc>
        <w:tc>
          <w:tcPr>
            <w:tcW w:w="2086" w:type="dxa"/>
          </w:tcPr>
          <w:p w14:paraId="2B1F83E4" w14:textId="77777777" w:rsidR="00CB5794" w:rsidRPr="00F23EF7" w:rsidRDefault="00CB5794" w:rsidP="0038786E">
            <w:pPr>
              <w:jc w:val="center"/>
              <w:rPr>
                <w:rFonts w:cs="Arial"/>
                <w:b/>
                <w:sz w:val="24"/>
                <w:szCs w:val="24"/>
              </w:rPr>
            </w:pPr>
            <w:r w:rsidRPr="00F23EF7">
              <w:rPr>
                <w:rFonts w:cs="Arial"/>
                <w:b/>
                <w:sz w:val="24"/>
                <w:szCs w:val="24"/>
              </w:rPr>
              <w:t>Positive Effect</w:t>
            </w:r>
          </w:p>
        </w:tc>
        <w:tc>
          <w:tcPr>
            <w:tcW w:w="2086" w:type="dxa"/>
          </w:tcPr>
          <w:p w14:paraId="7313912D" w14:textId="77777777" w:rsidR="00CB5794" w:rsidRPr="00F23EF7" w:rsidRDefault="00CB5794" w:rsidP="0038786E">
            <w:pPr>
              <w:jc w:val="center"/>
              <w:rPr>
                <w:rFonts w:cs="Arial"/>
                <w:b/>
                <w:sz w:val="24"/>
                <w:szCs w:val="24"/>
              </w:rPr>
            </w:pPr>
            <w:r w:rsidRPr="00F23EF7">
              <w:rPr>
                <w:rFonts w:cs="Arial"/>
                <w:b/>
                <w:sz w:val="24"/>
                <w:szCs w:val="24"/>
              </w:rPr>
              <w:t>Mean (SD)</w:t>
            </w:r>
          </w:p>
        </w:tc>
      </w:tr>
      <w:tr w:rsidR="00CB5794" w:rsidRPr="00F23EF7" w14:paraId="029615E8" w14:textId="77777777" w:rsidTr="0038786E">
        <w:tc>
          <w:tcPr>
            <w:tcW w:w="2180" w:type="dxa"/>
          </w:tcPr>
          <w:p w14:paraId="573A1C97" w14:textId="77777777" w:rsidR="00CB5794" w:rsidRPr="00F23EF7" w:rsidRDefault="00CB5794" w:rsidP="0038786E">
            <w:pPr>
              <w:rPr>
                <w:rStyle w:val="normaltextrun"/>
                <w:rFonts w:cs="Arial"/>
                <w:color w:val="000000"/>
                <w:sz w:val="24"/>
                <w:szCs w:val="24"/>
              </w:rPr>
            </w:pPr>
            <w:r w:rsidRPr="00F23EF7">
              <w:rPr>
                <w:rStyle w:val="contextualspellingandgrammarerror"/>
                <w:rFonts w:cs="Arial"/>
                <w:color w:val="000000"/>
                <w:sz w:val="24"/>
                <w:szCs w:val="24"/>
                <w:shd w:val="clear" w:color="auto" w:fill="FFFFFF"/>
              </w:rPr>
              <w:t>Nervous</w:t>
            </w:r>
            <w:r w:rsidRPr="00F23EF7">
              <w:rPr>
                <w:rStyle w:val="normaltextrun"/>
                <w:rFonts w:cs="Arial"/>
                <w:color w:val="000000"/>
                <w:sz w:val="24"/>
                <w:szCs w:val="24"/>
              </w:rPr>
              <w:t xml:space="preserve"> </w:t>
            </w:r>
          </w:p>
        </w:tc>
        <w:tc>
          <w:tcPr>
            <w:tcW w:w="2181" w:type="dxa"/>
          </w:tcPr>
          <w:p w14:paraId="6B67C14B" w14:textId="77777777" w:rsidR="00CB5794" w:rsidRPr="00F23EF7" w:rsidRDefault="00CB5794" w:rsidP="0038786E">
            <w:pPr>
              <w:jc w:val="center"/>
              <w:rPr>
                <w:rFonts w:cs="Arial"/>
                <w:sz w:val="24"/>
                <w:szCs w:val="24"/>
              </w:rPr>
            </w:pPr>
            <w:r w:rsidRPr="00F23EF7">
              <w:rPr>
                <w:rFonts w:cs="Arial"/>
                <w:sz w:val="24"/>
                <w:szCs w:val="24"/>
              </w:rPr>
              <w:t>19.97 (29.01)</w:t>
            </w:r>
          </w:p>
        </w:tc>
        <w:tc>
          <w:tcPr>
            <w:tcW w:w="709" w:type="dxa"/>
          </w:tcPr>
          <w:p w14:paraId="066F3E6E" w14:textId="77777777" w:rsidR="00CB5794" w:rsidRPr="00F23EF7" w:rsidRDefault="00CB5794" w:rsidP="0038786E">
            <w:pPr>
              <w:rPr>
                <w:rFonts w:cs="Arial"/>
                <w:sz w:val="24"/>
                <w:szCs w:val="24"/>
              </w:rPr>
            </w:pPr>
          </w:p>
        </w:tc>
        <w:tc>
          <w:tcPr>
            <w:tcW w:w="2086" w:type="dxa"/>
          </w:tcPr>
          <w:p w14:paraId="74BAAFE4" w14:textId="77777777" w:rsidR="00CB5794" w:rsidRPr="00F23EF7" w:rsidRDefault="00CB5794" w:rsidP="0038786E">
            <w:pPr>
              <w:rPr>
                <w:rFonts w:cs="Arial"/>
                <w:sz w:val="24"/>
                <w:szCs w:val="24"/>
              </w:rPr>
            </w:pPr>
            <w:r w:rsidRPr="00F23EF7">
              <w:rPr>
                <w:rFonts w:cs="Arial"/>
                <w:sz w:val="24"/>
                <w:szCs w:val="24"/>
              </w:rPr>
              <w:t>Pleasant</w:t>
            </w:r>
          </w:p>
        </w:tc>
        <w:tc>
          <w:tcPr>
            <w:tcW w:w="2086" w:type="dxa"/>
          </w:tcPr>
          <w:p w14:paraId="38FAA4EE" w14:textId="77777777" w:rsidR="00CB5794" w:rsidRPr="00F23EF7" w:rsidRDefault="00CB5794" w:rsidP="0038786E">
            <w:pPr>
              <w:jc w:val="center"/>
              <w:rPr>
                <w:rFonts w:cs="Arial"/>
                <w:sz w:val="24"/>
                <w:szCs w:val="24"/>
              </w:rPr>
            </w:pPr>
            <w:r w:rsidRPr="00F23EF7">
              <w:rPr>
                <w:rFonts w:cs="Arial"/>
                <w:sz w:val="24"/>
                <w:szCs w:val="24"/>
              </w:rPr>
              <w:t>73.79 (22.60)</w:t>
            </w:r>
          </w:p>
        </w:tc>
      </w:tr>
      <w:tr w:rsidR="00CB5794" w:rsidRPr="00F23EF7" w14:paraId="6E272112" w14:textId="77777777" w:rsidTr="0038786E">
        <w:tc>
          <w:tcPr>
            <w:tcW w:w="2180" w:type="dxa"/>
          </w:tcPr>
          <w:p w14:paraId="52D317C8" w14:textId="77777777" w:rsidR="00CB5794" w:rsidRPr="00F23EF7" w:rsidRDefault="00CB5794" w:rsidP="0038786E">
            <w:pPr>
              <w:rPr>
                <w:rStyle w:val="normaltextrun"/>
                <w:rFonts w:cs="Arial"/>
                <w:color w:val="000000"/>
                <w:sz w:val="24"/>
                <w:szCs w:val="24"/>
              </w:rPr>
            </w:pPr>
            <w:r w:rsidRPr="00F23EF7">
              <w:rPr>
                <w:rStyle w:val="normaltextrun"/>
                <w:rFonts w:cs="Arial"/>
                <w:color w:val="000000"/>
                <w:sz w:val="24"/>
                <w:szCs w:val="24"/>
              </w:rPr>
              <w:t>Headache</w:t>
            </w:r>
          </w:p>
        </w:tc>
        <w:tc>
          <w:tcPr>
            <w:tcW w:w="2181" w:type="dxa"/>
          </w:tcPr>
          <w:p w14:paraId="07443DD6" w14:textId="77777777" w:rsidR="00CB5794" w:rsidRPr="00F23EF7" w:rsidRDefault="00CB5794" w:rsidP="0038786E">
            <w:pPr>
              <w:jc w:val="center"/>
              <w:rPr>
                <w:rFonts w:cs="Arial"/>
                <w:sz w:val="24"/>
                <w:szCs w:val="24"/>
              </w:rPr>
            </w:pPr>
            <w:r w:rsidRPr="00F23EF7">
              <w:rPr>
                <w:rFonts w:cs="Arial"/>
                <w:sz w:val="24"/>
                <w:szCs w:val="24"/>
              </w:rPr>
              <w:t>18.54 (28.49)</w:t>
            </w:r>
          </w:p>
        </w:tc>
        <w:tc>
          <w:tcPr>
            <w:tcW w:w="709" w:type="dxa"/>
          </w:tcPr>
          <w:p w14:paraId="6004ED9E" w14:textId="77777777" w:rsidR="00CB5794" w:rsidRPr="00F23EF7" w:rsidRDefault="00CB5794" w:rsidP="0038786E">
            <w:pPr>
              <w:rPr>
                <w:rFonts w:cs="Arial"/>
                <w:sz w:val="24"/>
                <w:szCs w:val="24"/>
              </w:rPr>
            </w:pPr>
          </w:p>
        </w:tc>
        <w:tc>
          <w:tcPr>
            <w:tcW w:w="2086" w:type="dxa"/>
          </w:tcPr>
          <w:p w14:paraId="381CAD0D" w14:textId="77777777" w:rsidR="00CB5794" w:rsidRPr="00F23EF7" w:rsidRDefault="00CB5794" w:rsidP="0038786E">
            <w:pPr>
              <w:rPr>
                <w:rFonts w:cs="Arial"/>
                <w:sz w:val="24"/>
                <w:szCs w:val="24"/>
              </w:rPr>
            </w:pPr>
            <w:r w:rsidRPr="00F23EF7">
              <w:rPr>
                <w:rFonts w:cs="Arial"/>
                <w:sz w:val="24"/>
                <w:szCs w:val="24"/>
              </w:rPr>
              <w:t>Tastes good</w:t>
            </w:r>
          </w:p>
        </w:tc>
        <w:tc>
          <w:tcPr>
            <w:tcW w:w="2086" w:type="dxa"/>
          </w:tcPr>
          <w:p w14:paraId="3F279FB8" w14:textId="77777777" w:rsidR="00CB5794" w:rsidRPr="00F23EF7" w:rsidRDefault="00CB5794" w:rsidP="0038786E">
            <w:pPr>
              <w:jc w:val="center"/>
              <w:rPr>
                <w:rFonts w:cs="Arial"/>
                <w:sz w:val="24"/>
                <w:szCs w:val="24"/>
              </w:rPr>
            </w:pPr>
            <w:r w:rsidRPr="00F23EF7">
              <w:rPr>
                <w:rFonts w:cs="Arial"/>
                <w:sz w:val="24"/>
                <w:szCs w:val="24"/>
              </w:rPr>
              <w:t>71.92 (25.21)</w:t>
            </w:r>
          </w:p>
        </w:tc>
      </w:tr>
      <w:tr w:rsidR="00CB5794" w:rsidRPr="00F23EF7" w14:paraId="476EA9CA" w14:textId="77777777" w:rsidTr="0038786E">
        <w:tc>
          <w:tcPr>
            <w:tcW w:w="2180" w:type="dxa"/>
          </w:tcPr>
          <w:p w14:paraId="6E2C9776" w14:textId="77777777" w:rsidR="00CB5794" w:rsidRPr="00F23EF7" w:rsidRDefault="00CB5794" w:rsidP="0038786E">
            <w:pPr>
              <w:rPr>
                <w:rStyle w:val="normaltextrun"/>
                <w:rFonts w:cs="Arial"/>
                <w:color w:val="000000"/>
                <w:sz w:val="24"/>
                <w:szCs w:val="24"/>
              </w:rPr>
            </w:pPr>
            <w:r w:rsidRPr="00F23EF7">
              <w:rPr>
                <w:rStyle w:val="contextualspellingandgrammarerror"/>
                <w:rFonts w:cs="Arial"/>
                <w:color w:val="000000"/>
                <w:sz w:val="24"/>
                <w:szCs w:val="24"/>
              </w:rPr>
              <w:t>Sweaty</w:t>
            </w:r>
          </w:p>
        </w:tc>
        <w:tc>
          <w:tcPr>
            <w:tcW w:w="2181" w:type="dxa"/>
          </w:tcPr>
          <w:p w14:paraId="3FBB87AC" w14:textId="77777777" w:rsidR="00CB5794" w:rsidRPr="00F23EF7" w:rsidRDefault="00CB5794" w:rsidP="0038786E">
            <w:pPr>
              <w:jc w:val="center"/>
              <w:rPr>
                <w:rFonts w:cs="Arial"/>
                <w:sz w:val="24"/>
                <w:szCs w:val="24"/>
              </w:rPr>
            </w:pPr>
            <w:r w:rsidRPr="00F23EF7">
              <w:rPr>
                <w:rFonts w:cs="Arial"/>
                <w:sz w:val="24"/>
                <w:szCs w:val="24"/>
              </w:rPr>
              <w:t>18.46 (22.73)</w:t>
            </w:r>
          </w:p>
        </w:tc>
        <w:tc>
          <w:tcPr>
            <w:tcW w:w="709" w:type="dxa"/>
          </w:tcPr>
          <w:p w14:paraId="1850AA6D" w14:textId="77777777" w:rsidR="00CB5794" w:rsidRPr="00F23EF7" w:rsidRDefault="00CB5794" w:rsidP="0038786E">
            <w:pPr>
              <w:rPr>
                <w:rFonts w:cs="Arial"/>
                <w:sz w:val="24"/>
                <w:szCs w:val="24"/>
              </w:rPr>
            </w:pPr>
          </w:p>
        </w:tc>
        <w:tc>
          <w:tcPr>
            <w:tcW w:w="2086" w:type="dxa"/>
          </w:tcPr>
          <w:p w14:paraId="69A6E260" w14:textId="77777777" w:rsidR="00CB5794" w:rsidRPr="00F23EF7" w:rsidRDefault="00CB5794" w:rsidP="0038786E">
            <w:pPr>
              <w:rPr>
                <w:rFonts w:cs="Arial"/>
                <w:sz w:val="24"/>
                <w:szCs w:val="24"/>
              </w:rPr>
            </w:pPr>
            <w:r w:rsidRPr="00F23EF7">
              <w:rPr>
                <w:rFonts w:cs="Arial"/>
                <w:sz w:val="24"/>
                <w:szCs w:val="24"/>
              </w:rPr>
              <w:t>Satisfying</w:t>
            </w:r>
          </w:p>
        </w:tc>
        <w:tc>
          <w:tcPr>
            <w:tcW w:w="2086" w:type="dxa"/>
          </w:tcPr>
          <w:p w14:paraId="4247615B" w14:textId="77777777" w:rsidR="00CB5794" w:rsidRPr="00F23EF7" w:rsidRDefault="00CB5794" w:rsidP="0038786E">
            <w:pPr>
              <w:jc w:val="center"/>
              <w:rPr>
                <w:rFonts w:cs="Arial"/>
                <w:sz w:val="24"/>
                <w:szCs w:val="24"/>
              </w:rPr>
            </w:pPr>
            <w:r w:rsidRPr="00F23EF7">
              <w:rPr>
                <w:rFonts w:cs="Arial"/>
                <w:sz w:val="24"/>
                <w:szCs w:val="24"/>
              </w:rPr>
              <w:t>70.56 (26.84)</w:t>
            </w:r>
          </w:p>
        </w:tc>
      </w:tr>
      <w:tr w:rsidR="00CB5794" w:rsidRPr="00F23EF7" w14:paraId="215D0EA6" w14:textId="77777777" w:rsidTr="0038786E">
        <w:tc>
          <w:tcPr>
            <w:tcW w:w="2180" w:type="dxa"/>
          </w:tcPr>
          <w:p w14:paraId="7B747A07" w14:textId="77777777" w:rsidR="00CB5794" w:rsidRPr="00F23EF7" w:rsidRDefault="00CB5794" w:rsidP="0038786E">
            <w:pPr>
              <w:rPr>
                <w:rStyle w:val="normaltextrun"/>
                <w:rFonts w:cs="Arial"/>
                <w:color w:val="000000"/>
                <w:sz w:val="24"/>
                <w:szCs w:val="24"/>
              </w:rPr>
            </w:pPr>
            <w:r w:rsidRPr="00F23EF7">
              <w:rPr>
                <w:rStyle w:val="contextualspellingandgrammarerror"/>
                <w:rFonts w:cs="Arial"/>
                <w:color w:val="000000"/>
                <w:sz w:val="24"/>
                <w:szCs w:val="24"/>
              </w:rPr>
              <w:t>Weak</w:t>
            </w:r>
          </w:p>
        </w:tc>
        <w:tc>
          <w:tcPr>
            <w:tcW w:w="2181" w:type="dxa"/>
          </w:tcPr>
          <w:p w14:paraId="3E7A61F8" w14:textId="77777777" w:rsidR="00CB5794" w:rsidRPr="00F23EF7" w:rsidRDefault="00CB5794" w:rsidP="0038786E">
            <w:pPr>
              <w:jc w:val="center"/>
              <w:rPr>
                <w:rFonts w:cs="Arial"/>
                <w:sz w:val="24"/>
                <w:szCs w:val="24"/>
              </w:rPr>
            </w:pPr>
            <w:r w:rsidRPr="00F23EF7">
              <w:rPr>
                <w:rFonts w:cs="Arial"/>
                <w:sz w:val="24"/>
                <w:szCs w:val="24"/>
              </w:rPr>
              <w:t>18.13 (21.56)</w:t>
            </w:r>
          </w:p>
        </w:tc>
        <w:tc>
          <w:tcPr>
            <w:tcW w:w="709" w:type="dxa"/>
          </w:tcPr>
          <w:p w14:paraId="780D31A5" w14:textId="77777777" w:rsidR="00CB5794" w:rsidRPr="00F23EF7" w:rsidRDefault="00CB5794" w:rsidP="0038786E">
            <w:pPr>
              <w:rPr>
                <w:rFonts w:cs="Arial"/>
                <w:sz w:val="24"/>
                <w:szCs w:val="24"/>
              </w:rPr>
            </w:pPr>
          </w:p>
        </w:tc>
        <w:tc>
          <w:tcPr>
            <w:tcW w:w="2086" w:type="dxa"/>
          </w:tcPr>
          <w:p w14:paraId="2D367CE1" w14:textId="77777777" w:rsidR="00CB5794" w:rsidRPr="00F23EF7" w:rsidRDefault="00CB5794" w:rsidP="0038786E">
            <w:pPr>
              <w:rPr>
                <w:rFonts w:cs="Arial"/>
                <w:sz w:val="24"/>
                <w:szCs w:val="24"/>
              </w:rPr>
            </w:pPr>
            <w:r w:rsidRPr="00F23EF7">
              <w:rPr>
                <w:rFonts w:cs="Arial"/>
                <w:sz w:val="24"/>
                <w:szCs w:val="24"/>
              </w:rPr>
              <w:t>Craving</w:t>
            </w:r>
          </w:p>
        </w:tc>
        <w:tc>
          <w:tcPr>
            <w:tcW w:w="2086" w:type="dxa"/>
          </w:tcPr>
          <w:p w14:paraId="1E6199FC" w14:textId="77777777" w:rsidR="00CB5794" w:rsidRPr="00F23EF7" w:rsidRDefault="00CB5794" w:rsidP="0038786E">
            <w:pPr>
              <w:jc w:val="center"/>
              <w:rPr>
                <w:rFonts w:cs="Arial"/>
                <w:sz w:val="24"/>
                <w:szCs w:val="24"/>
              </w:rPr>
            </w:pPr>
            <w:r w:rsidRPr="00F23EF7">
              <w:rPr>
                <w:rFonts w:cs="Arial"/>
                <w:sz w:val="24"/>
                <w:szCs w:val="24"/>
              </w:rPr>
              <w:t>69.49 (30.66)</w:t>
            </w:r>
          </w:p>
        </w:tc>
      </w:tr>
      <w:tr w:rsidR="00CB5794" w:rsidRPr="00F23EF7" w14:paraId="62A25A3C" w14:textId="77777777" w:rsidTr="0038786E">
        <w:tc>
          <w:tcPr>
            <w:tcW w:w="2180" w:type="dxa"/>
          </w:tcPr>
          <w:p w14:paraId="0A07AF54" w14:textId="77777777" w:rsidR="00CB5794" w:rsidRPr="00F23EF7" w:rsidRDefault="00CB5794" w:rsidP="0038786E">
            <w:pPr>
              <w:rPr>
                <w:rStyle w:val="contextualspellingandgrammarerror"/>
                <w:rFonts w:cs="Arial"/>
                <w:color w:val="000000"/>
                <w:sz w:val="24"/>
                <w:szCs w:val="24"/>
              </w:rPr>
            </w:pPr>
            <w:r w:rsidRPr="00F23EF7">
              <w:rPr>
                <w:rStyle w:val="normaltextrun"/>
                <w:rFonts w:cs="Arial"/>
                <w:color w:val="000000"/>
                <w:sz w:val="24"/>
                <w:szCs w:val="24"/>
              </w:rPr>
              <w:t>Nausea</w:t>
            </w:r>
          </w:p>
        </w:tc>
        <w:tc>
          <w:tcPr>
            <w:tcW w:w="2181" w:type="dxa"/>
          </w:tcPr>
          <w:p w14:paraId="63DDE5C2" w14:textId="77777777" w:rsidR="00CB5794" w:rsidRPr="00F23EF7" w:rsidRDefault="00CB5794" w:rsidP="0038786E">
            <w:pPr>
              <w:jc w:val="center"/>
              <w:rPr>
                <w:rFonts w:cs="Arial"/>
                <w:sz w:val="24"/>
                <w:szCs w:val="24"/>
              </w:rPr>
            </w:pPr>
            <w:r w:rsidRPr="00F23EF7">
              <w:rPr>
                <w:rFonts w:cs="Arial"/>
                <w:sz w:val="24"/>
                <w:szCs w:val="24"/>
              </w:rPr>
              <w:t>17.38 (25.45)</w:t>
            </w:r>
          </w:p>
        </w:tc>
        <w:tc>
          <w:tcPr>
            <w:tcW w:w="709" w:type="dxa"/>
          </w:tcPr>
          <w:p w14:paraId="52C41ED0" w14:textId="77777777" w:rsidR="00CB5794" w:rsidRPr="00F23EF7" w:rsidRDefault="00CB5794" w:rsidP="0038786E">
            <w:pPr>
              <w:rPr>
                <w:rFonts w:cs="Arial"/>
                <w:sz w:val="24"/>
                <w:szCs w:val="24"/>
              </w:rPr>
            </w:pPr>
          </w:p>
        </w:tc>
        <w:tc>
          <w:tcPr>
            <w:tcW w:w="2086" w:type="dxa"/>
          </w:tcPr>
          <w:p w14:paraId="48DEFB83" w14:textId="77777777" w:rsidR="00CB5794" w:rsidRPr="00F23EF7" w:rsidRDefault="00CB5794" w:rsidP="0038786E">
            <w:pPr>
              <w:rPr>
                <w:rFonts w:cs="Arial"/>
                <w:sz w:val="24"/>
                <w:szCs w:val="24"/>
              </w:rPr>
            </w:pPr>
            <w:r w:rsidRPr="00F23EF7">
              <w:rPr>
                <w:rFonts w:cs="Arial"/>
                <w:sz w:val="24"/>
                <w:szCs w:val="24"/>
              </w:rPr>
              <w:t>Calmer</w:t>
            </w:r>
          </w:p>
        </w:tc>
        <w:tc>
          <w:tcPr>
            <w:tcW w:w="2086" w:type="dxa"/>
          </w:tcPr>
          <w:p w14:paraId="2D63A449" w14:textId="77777777" w:rsidR="00CB5794" w:rsidRPr="00F23EF7" w:rsidRDefault="00CB5794" w:rsidP="0038786E">
            <w:pPr>
              <w:jc w:val="center"/>
              <w:rPr>
                <w:rFonts w:cs="Arial"/>
                <w:sz w:val="24"/>
                <w:szCs w:val="24"/>
              </w:rPr>
            </w:pPr>
            <w:r w:rsidRPr="00F23EF7">
              <w:rPr>
                <w:rFonts w:cs="Arial"/>
                <w:sz w:val="24"/>
                <w:szCs w:val="24"/>
              </w:rPr>
              <w:t>53.38 (33.50)</w:t>
            </w:r>
          </w:p>
        </w:tc>
      </w:tr>
      <w:tr w:rsidR="00CB5794" w:rsidRPr="00F23EF7" w14:paraId="1EAFB6BD" w14:textId="77777777" w:rsidTr="0038786E">
        <w:tc>
          <w:tcPr>
            <w:tcW w:w="2180" w:type="dxa"/>
          </w:tcPr>
          <w:p w14:paraId="096CA836" w14:textId="77777777" w:rsidR="00CB5794" w:rsidRPr="00F23EF7" w:rsidRDefault="00CB5794" w:rsidP="0038786E">
            <w:pPr>
              <w:rPr>
                <w:rStyle w:val="eop"/>
                <w:rFonts w:cs="Arial"/>
                <w:color w:val="000000"/>
                <w:sz w:val="24"/>
                <w:szCs w:val="24"/>
              </w:rPr>
            </w:pPr>
            <w:r w:rsidRPr="00F23EF7">
              <w:rPr>
                <w:rStyle w:val="normaltextrun"/>
                <w:rFonts w:cs="Arial"/>
                <w:color w:val="000000"/>
                <w:sz w:val="24"/>
                <w:szCs w:val="24"/>
              </w:rPr>
              <w:t>Heart pounding</w:t>
            </w:r>
          </w:p>
        </w:tc>
        <w:tc>
          <w:tcPr>
            <w:tcW w:w="2181" w:type="dxa"/>
          </w:tcPr>
          <w:p w14:paraId="287DCF20" w14:textId="77777777" w:rsidR="00CB5794" w:rsidRPr="00F23EF7" w:rsidRDefault="00CB5794" w:rsidP="0038786E">
            <w:pPr>
              <w:jc w:val="center"/>
              <w:rPr>
                <w:rFonts w:cs="Arial"/>
                <w:sz w:val="24"/>
                <w:szCs w:val="24"/>
              </w:rPr>
            </w:pPr>
            <w:r w:rsidRPr="00F23EF7">
              <w:rPr>
                <w:rFonts w:cs="Arial"/>
                <w:sz w:val="24"/>
                <w:szCs w:val="24"/>
              </w:rPr>
              <w:t>17.36 (28.30)</w:t>
            </w:r>
          </w:p>
        </w:tc>
        <w:tc>
          <w:tcPr>
            <w:tcW w:w="709" w:type="dxa"/>
          </w:tcPr>
          <w:p w14:paraId="7D7FB83E" w14:textId="77777777" w:rsidR="00CB5794" w:rsidRPr="00F23EF7" w:rsidRDefault="00CB5794" w:rsidP="0038786E">
            <w:pPr>
              <w:rPr>
                <w:rFonts w:cs="Arial"/>
                <w:sz w:val="24"/>
                <w:szCs w:val="24"/>
              </w:rPr>
            </w:pPr>
          </w:p>
        </w:tc>
        <w:tc>
          <w:tcPr>
            <w:tcW w:w="2086" w:type="dxa"/>
          </w:tcPr>
          <w:p w14:paraId="27CC1684" w14:textId="77777777" w:rsidR="00CB5794" w:rsidRPr="00F23EF7" w:rsidRDefault="00CB5794" w:rsidP="0038786E">
            <w:pPr>
              <w:rPr>
                <w:rFonts w:cs="Arial"/>
                <w:sz w:val="24"/>
                <w:szCs w:val="24"/>
              </w:rPr>
            </w:pPr>
            <w:r w:rsidRPr="00F23EF7">
              <w:rPr>
                <w:rFonts w:cs="Arial"/>
                <w:sz w:val="24"/>
                <w:szCs w:val="24"/>
              </w:rPr>
              <w:t>Nicotine hit</w:t>
            </w:r>
          </w:p>
        </w:tc>
        <w:tc>
          <w:tcPr>
            <w:tcW w:w="2086" w:type="dxa"/>
          </w:tcPr>
          <w:p w14:paraId="5B888052" w14:textId="77777777" w:rsidR="00CB5794" w:rsidRPr="00F23EF7" w:rsidRDefault="00CB5794" w:rsidP="0038786E">
            <w:pPr>
              <w:jc w:val="center"/>
              <w:rPr>
                <w:rFonts w:cs="Arial"/>
                <w:sz w:val="24"/>
                <w:szCs w:val="24"/>
              </w:rPr>
            </w:pPr>
            <w:r w:rsidRPr="00F23EF7">
              <w:rPr>
                <w:rFonts w:cs="Arial"/>
                <w:sz w:val="24"/>
                <w:szCs w:val="24"/>
              </w:rPr>
              <w:t>52.05 (36.95)</w:t>
            </w:r>
          </w:p>
        </w:tc>
      </w:tr>
      <w:tr w:rsidR="00CB5794" w:rsidRPr="00F23EF7" w14:paraId="483D3A5B" w14:textId="77777777" w:rsidTr="0038786E">
        <w:tc>
          <w:tcPr>
            <w:tcW w:w="2180" w:type="dxa"/>
          </w:tcPr>
          <w:p w14:paraId="5602282E" w14:textId="77777777" w:rsidR="00CB5794" w:rsidRPr="00F23EF7" w:rsidRDefault="00CB5794" w:rsidP="0038786E">
            <w:pPr>
              <w:rPr>
                <w:rStyle w:val="contextualspellingandgrammarerror"/>
                <w:rFonts w:cs="Arial"/>
                <w:color w:val="000000"/>
                <w:sz w:val="24"/>
                <w:szCs w:val="24"/>
              </w:rPr>
            </w:pPr>
            <w:r w:rsidRPr="00F23EF7">
              <w:rPr>
                <w:rStyle w:val="contextualspellingandgrammarerror"/>
                <w:rFonts w:cs="Arial"/>
                <w:color w:val="000000"/>
                <w:sz w:val="24"/>
                <w:szCs w:val="24"/>
              </w:rPr>
              <w:t>Light headed</w:t>
            </w:r>
          </w:p>
        </w:tc>
        <w:tc>
          <w:tcPr>
            <w:tcW w:w="2181" w:type="dxa"/>
          </w:tcPr>
          <w:p w14:paraId="2BCC5D68" w14:textId="77777777" w:rsidR="00CB5794" w:rsidRPr="00F23EF7" w:rsidRDefault="00CB5794" w:rsidP="0038786E">
            <w:pPr>
              <w:jc w:val="center"/>
              <w:rPr>
                <w:rFonts w:cs="Arial"/>
                <w:sz w:val="24"/>
                <w:szCs w:val="24"/>
              </w:rPr>
            </w:pPr>
            <w:r w:rsidRPr="00F23EF7">
              <w:rPr>
                <w:rFonts w:cs="Arial"/>
                <w:sz w:val="24"/>
                <w:szCs w:val="24"/>
              </w:rPr>
              <w:t>14.67 (20.55)</w:t>
            </w:r>
          </w:p>
        </w:tc>
        <w:tc>
          <w:tcPr>
            <w:tcW w:w="709" w:type="dxa"/>
          </w:tcPr>
          <w:p w14:paraId="5A281973" w14:textId="77777777" w:rsidR="00CB5794" w:rsidRPr="00F23EF7" w:rsidRDefault="00CB5794" w:rsidP="0038786E">
            <w:pPr>
              <w:rPr>
                <w:rFonts w:cs="Arial"/>
                <w:sz w:val="24"/>
                <w:szCs w:val="24"/>
              </w:rPr>
            </w:pPr>
          </w:p>
        </w:tc>
        <w:tc>
          <w:tcPr>
            <w:tcW w:w="2086" w:type="dxa"/>
          </w:tcPr>
          <w:p w14:paraId="4F65333C" w14:textId="77777777" w:rsidR="00CB5794" w:rsidRPr="00F23EF7" w:rsidRDefault="00CB5794" w:rsidP="0038786E">
            <w:pPr>
              <w:rPr>
                <w:rFonts w:cs="Arial"/>
                <w:sz w:val="24"/>
                <w:szCs w:val="24"/>
              </w:rPr>
            </w:pPr>
            <w:r w:rsidRPr="00F23EF7">
              <w:rPr>
                <w:rFonts w:cs="Arial"/>
                <w:sz w:val="24"/>
                <w:szCs w:val="24"/>
              </w:rPr>
              <w:t>Throat hit</w:t>
            </w:r>
          </w:p>
        </w:tc>
        <w:tc>
          <w:tcPr>
            <w:tcW w:w="2086" w:type="dxa"/>
          </w:tcPr>
          <w:p w14:paraId="786B5232" w14:textId="77777777" w:rsidR="00CB5794" w:rsidRPr="00F23EF7" w:rsidRDefault="00CB5794" w:rsidP="0038786E">
            <w:pPr>
              <w:jc w:val="center"/>
              <w:rPr>
                <w:rFonts w:cs="Arial"/>
                <w:sz w:val="24"/>
                <w:szCs w:val="24"/>
              </w:rPr>
            </w:pPr>
            <w:r w:rsidRPr="00F23EF7">
              <w:rPr>
                <w:rFonts w:cs="Arial"/>
                <w:sz w:val="24"/>
                <w:szCs w:val="24"/>
              </w:rPr>
              <w:t>47.77 (34.48)</w:t>
            </w:r>
          </w:p>
        </w:tc>
      </w:tr>
      <w:tr w:rsidR="00CB5794" w:rsidRPr="00F23EF7" w14:paraId="23E1BD06" w14:textId="77777777" w:rsidTr="0038786E">
        <w:tc>
          <w:tcPr>
            <w:tcW w:w="2180" w:type="dxa"/>
          </w:tcPr>
          <w:p w14:paraId="6FF48800" w14:textId="77777777" w:rsidR="00CB5794" w:rsidRPr="00F23EF7" w:rsidRDefault="00CB5794" w:rsidP="0038786E">
            <w:pPr>
              <w:rPr>
                <w:rStyle w:val="contextualspellingandgrammarerror"/>
                <w:rFonts w:cs="Arial"/>
                <w:color w:val="000000"/>
                <w:sz w:val="24"/>
                <w:szCs w:val="24"/>
              </w:rPr>
            </w:pPr>
            <w:r w:rsidRPr="00F23EF7">
              <w:rPr>
                <w:rStyle w:val="normaltextrun"/>
                <w:rFonts w:cs="Arial"/>
                <w:color w:val="000000"/>
                <w:sz w:val="24"/>
                <w:szCs w:val="24"/>
              </w:rPr>
              <w:t>C</w:t>
            </w:r>
            <w:r w:rsidRPr="00F23EF7">
              <w:rPr>
                <w:rStyle w:val="normaltextrun"/>
                <w:rFonts w:cs="Arial"/>
                <w:color w:val="000000"/>
                <w:sz w:val="24"/>
                <w:szCs w:val="24"/>
                <w:shd w:val="clear" w:color="auto" w:fill="FFFFFF"/>
              </w:rPr>
              <w:t>onfused</w:t>
            </w:r>
          </w:p>
        </w:tc>
        <w:tc>
          <w:tcPr>
            <w:tcW w:w="2181" w:type="dxa"/>
          </w:tcPr>
          <w:p w14:paraId="13126B21" w14:textId="77777777" w:rsidR="00CB5794" w:rsidRPr="00F23EF7" w:rsidRDefault="00CB5794" w:rsidP="0038786E">
            <w:pPr>
              <w:jc w:val="center"/>
              <w:rPr>
                <w:rFonts w:cs="Arial"/>
                <w:sz w:val="24"/>
                <w:szCs w:val="24"/>
              </w:rPr>
            </w:pPr>
            <w:r w:rsidRPr="00F23EF7">
              <w:rPr>
                <w:rFonts w:cs="Arial"/>
                <w:sz w:val="24"/>
                <w:szCs w:val="24"/>
              </w:rPr>
              <w:t>14.21 (21.94)</w:t>
            </w:r>
          </w:p>
        </w:tc>
        <w:tc>
          <w:tcPr>
            <w:tcW w:w="709" w:type="dxa"/>
          </w:tcPr>
          <w:p w14:paraId="44A47FAB" w14:textId="77777777" w:rsidR="00CB5794" w:rsidRPr="00F23EF7" w:rsidRDefault="00CB5794" w:rsidP="0038786E">
            <w:pPr>
              <w:rPr>
                <w:rFonts w:cs="Arial"/>
                <w:sz w:val="24"/>
                <w:szCs w:val="24"/>
              </w:rPr>
            </w:pPr>
          </w:p>
        </w:tc>
        <w:tc>
          <w:tcPr>
            <w:tcW w:w="2086" w:type="dxa"/>
          </w:tcPr>
          <w:p w14:paraId="75C2A32D" w14:textId="77777777" w:rsidR="00CB5794" w:rsidRPr="00F23EF7" w:rsidRDefault="00CB5794" w:rsidP="0038786E">
            <w:pPr>
              <w:rPr>
                <w:rFonts w:cs="Arial"/>
                <w:sz w:val="24"/>
                <w:szCs w:val="24"/>
              </w:rPr>
            </w:pPr>
            <w:r w:rsidRPr="00F23EF7">
              <w:rPr>
                <w:rFonts w:cs="Arial"/>
                <w:sz w:val="24"/>
                <w:szCs w:val="24"/>
              </w:rPr>
              <w:t>Concentration</w:t>
            </w:r>
          </w:p>
        </w:tc>
        <w:tc>
          <w:tcPr>
            <w:tcW w:w="2086" w:type="dxa"/>
          </w:tcPr>
          <w:p w14:paraId="46FAF04E" w14:textId="77777777" w:rsidR="00CB5794" w:rsidRPr="00F23EF7" w:rsidRDefault="00CB5794" w:rsidP="0038786E">
            <w:pPr>
              <w:jc w:val="center"/>
              <w:rPr>
                <w:rFonts w:cs="Arial"/>
                <w:sz w:val="24"/>
                <w:szCs w:val="24"/>
              </w:rPr>
            </w:pPr>
            <w:r w:rsidRPr="00F23EF7">
              <w:rPr>
                <w:rFonts w:cs="Arial"/>
                <w:sz w:val="24"/>
                <w:szCs w:val="24"/>
              </w:rPr>
              <w:t>46.08 (37.37)</w:t>
            </w:r>
          </w:p>
        </w:tc>
      </w:tr>
      <w:tr w:rsidR="00CB5794" w:rsidRPr="00F23EF7" w14:paraId="6E9B2C61" w14:textId="77777777" w:rsidTr="0038786E">
        <w:tc>
          <w:tcPr>
            <w:tcW w:w="2180" w:type="dxa"/>
          </w:tcPr>
          <w:p w14:paraId="261D5D1B" w14:textId="77777777" w:rsidR="00CB5794" w:rsidRPr="00F23EF7" w:rsidRDefault="00CB5794" w:rsidP="0038786E">
            <w:pPr>
              <w:rPr>
                <w:rStyle w:val="normaltextrun"/>
                <w:rFonts w:cs="Arial"/>
                <w:color w:val="000000"/>
                <w:sz w:val="24"/>
                <w:szCs w:val="24"/>
              </w:rPr>
            </w:pPr>
            <w:r w:rsidRPr="00F23EF7">
              <w:rPr>
                <w:rFonts w:cs="Arial"/>
                <w:sz w:val="24"/>
                <w:szCs w:val="24"/>
              </w:rPr>
              <w:t>Dizzy</w:t>
            </w:r>
          </w:p>
        </w:tc>
        <w:tc>
          <w:tcPr>
            <w:tcW w:w="2181" w:type="dxa"/>
          </w:tcPr>
          <w:p w14:paraId="4F89AB0D" w14:textId="77777777" w:rsidR="00CB5794" w:rsidRPr="00F23EF7" w:rsidRDefault="00CB5794" w:rsidP="0038786E">
            <w:pPr>
              <w:jc w:val="center"/>
              <w:rPr>
                <w:rFonts w:cs="Arial"/>
                <w:sz w:val="24"/>
                <w:szCs w:val="24"/>
              </w:rPr>
            </w:pPr>
            <w:r w:rsidRPr="00F23EF7">
              <w:rPr>
                <w:rFonts w:cs="Arial"/>
                <w:sz w:val="24"/>
                <w:szCs w:val="24"/>
              </w:rPr>
              <w:t>14.10 (21.66)</w:t>
            </w:r>
          </w:p>
        </w:tc>
        <w:tc>
          <w:tcPr>
            <w:tcW w:w="709" w:type="dxa"/>
          </w:tcPr>
          <w:p w14:paraId="6F73EE2E" w14:textId="77777777" w:rsidR="00CB5794" w:rsidRPr="00F23EF7" w:rsidRDefault="00CB5794" w:rsidP="0038786E">
            <w:pPr>
              <w:rPr>
                <w:rFonts w:cs="Arial"/>
                <w:sz w:val="24"/>
                <w:szCs w:val="24"/>
              </w:rPr>
            </w:pPr>
          </w:p>
        </w:tc>
        <w:tc>
          <w:tcPr>
            <w:tcW w:w="2086" w:type="dxa"/>
          </w:tcPr>
          <w:p w14:paraId="4D856075" w14:textId="77777777" w:rsidR="00CB5794" w:rsidRPr="00F23EF7" w:rsidRDefault="00CB5794" w:rsidP="0038786E">
            <w:pPr>
              <w:rPr>
                <w:rFonts w:cs="Arial"/>
                <w:sz w:val="24"/>
                <w:szCs w:val="24"/>
              </w:rPr>
            </w:pPr>
            <w:r w:rsidRPr="00F23EF7">
              <w:rPr>
                <w:rFonts w:cs="Arial"/>
                <w:sz w:val="24"/>
                <w:szCs w:val="24"/>
              </w:rPr>
              <w:t>Awake</w:t>
            </w:r>
          </w:p>
        </w:tc>
        <w:tc>
          <w:tcPr>
            <w:tcW w:w="2086" w:type="dxa"/>
          </w:tcPr>
          <w:p w14:paraId="10D24B30" w14:textId="77777777" w:rsidR="00CB5794" w:rsidRPr="00F23EF7" w:rsidRDefault="00CB5794" w:rsidP="0038786E">
            <w:pPr>
              <w:jc w:val="center"/>
              <w:rPr>
                <w:rFonts w:cs="Arial"/>
                <w:sz w:val="24"/>
                <w:szCs w:val="24"/>
              </w:rPr>
            </w:pPr>
            <w:r w:rsidRPr="00F23EF7">
              <w:rPr>
                <w:rFonts w:cs="Arial"/>
                <w:sz w:val="24"/>
                <w:szCs w:val="24"/>
              </w:rPr>
              <w:t>37.95 (36.84)</w:t>
            </w:r>
          </w:p>
        </w:tc>
      </w:tr>
      <w:tr w:rsidR="00CB5794" w:rsidRPr="00F23EF7" w14:paraId="018352ED" w14:textId="77777777" w:rsidTr="0038786E">
        <w:tc>
          <w:tcPr>
            <w:tcW w:w="2180" w:type="dxa"/>
          </w:tcPr>
          <w:p w14:paraId="52026B11" w14:textId="77777777" w:rsidR="00CB5794" w:rsidRPr="00F23EF7" w:rsidRDefault="00CB5794" w:rsidP="0038786E">
            <w:pPr>
              <w:rPr>
                <w:rStyle w:val="normaltextrun"/>
                <w:rFonts w:cs="Arial"/>
                <w:color w:val="000000"/>
                <w:sz w:val="24"/>
                <w:szCs w:val="24"/>
              </w:rPr>
            </w:pPr>
            <w:r w:rsidRPr="00F23EF7">
              <w:rPr>
                <w:rStyle w:val="normaltextrun"/>
                <w:rFonts w:cs="Arial"/>
                <w:color w:val="000000"/>
                <w:sz w:val="24"/>
                <w:szCs w:val="24"/>
                <w:shd w:val="clear" w:color="auto" w:fill="FFFFFF"/>
              </w:rPr>
              <w:t>Hiccups</w:t>
            </w:r>
          </w:p>
        </w:tc>
        <w:tc>
          <w:tcPr>
            <w:tcW w:w="2181" w:type="dxa"/>
          </w:tcPr>
          <w:p w14:paraId="41D23F52" w14:textId="77777777" w:rsidR="00CB5794" w:rsidRPr="00F23EF7" w:rsidRDefault="00CB5794" w:rsidP="0038786E">
            <w:pPr>
              <w:jc w:val="center"/>
              <w:rPr>
                <w:rFonts w:cs="Arial"/>
                <w:sz w:val="24"/>
                <w:szCs w:val="24"/>
              </w:rPr>
            </w:pPr>
            <w:r w:rsidRPr="00F23EF7">
              <w:rPr>
                <w:rFonts w:cs="Arial"/>
                <w:sz w:val="24"/>
                <w:szCs w:val="24"/>
              </w:rPr>
              <w:t>14.00 (23.53)</w:t>
            </w:r>
          </w:p>
        </w:tc>
        <w:tc>
          <w:tcPr>
            <w:tcW w:w="709" w:type="dxa"/>
          </w:tcPr>
          <w:p w14:paraId="39D405F4" w14:textId="77777777" w:rsidR="00CB5794" w:rsidRPr="00F23EF7" w:rsidRDefault="00CB5794" w:rsidP="0038786E">
            <w:pPr>
              <w:rPr>
                <w:rFonts w:cs="Arial"/>
                <w:sz w:val="24"/>
                <w:szCs w:val="24"/>
              </w:rPr>
            </w:pPr>
          </w:p>
        </w:tc>
        <w:tc>
          <w:tcPr>
            <w:tcW w:w="2086" w:type="dxa"/>
          </w:tcPr>
          <w:p w14:paraId="15F54154" w14:textId="77777777" w:rsidR="00CB5794" w:rsidRPr="00F23EF7" w:rsidRDefault="00CB5794" w:rsidP="0038786E">
            <w:pPr>
              <w:rPr>
                <w:rFonts w:cs="Arial"/>
                <w:sz w:val="24"/>
                <w:szCs w:val="24"/>
              </w:rPr>
            </w:pPr>
            <w:r w:rsidRPr="00F23EF7">
              <w:rPr>
                <w:rFonts w:cs="Arial"/>
                <w:sz w:val="24"/>
                <w:szCs w:val="24"/>
              </w:rPr>
              <w:t>Hunger</w:t>
            </w:r>
          </w:p>
        </w:tc>
        <w:tc>
          <w:tcPr>
            <w:tcW w:w="2086" w:type="dxa"/>
          </w:tcPr>
          <w:p w14:paraId="7CD7E544" w14:textId="77777777" w:rsidR="00CB5794" w:rsidRPr="00F23EF7" w:rsidRDefault="00CB5794" w:rsidP="0038786E">
            <w:pPr>
              <w:jc w:val="center"/>
              <w:rPr>
                <w:rFonts w:cs="Arial"/>
                <w:sz w:val="24"/>
                <w:szCs w:val="24"/>
              </w:rPr>
            </w:pPr>
            <w:r w:rsidRPr="00F23EF7">
              <w:rPr>
                <w:rFonts w:cs="Arial"/>
                <w:sz w:val="24"/>
                <w:szCs w:val="24"/>
              </w:rPr>
              <w:t>27.95 (31.83)</w:t>
            </w:r>
          </w:p>
        </w:tc>
      </w:tr>
      <w:tr w:rsidR="00CB5794" w:rsidRPr="00F23EF7" w14:paraId="4E9AD1C0" w14:textId="77777777" w:rsidTr="0038786E">
        <w:tc>
          <w:tcPr>
            <w:tcW w:w="2180" w:type="dxa"/>
          </w:tcPr>
          <w:p w14:paraId="2610ECE5" w14:textId="77777777" w:rsidR="00CB5794" w:rsidRPr="00F23EF7" w:rsidRDefault="00CB5794" w:rsidP="0038786E">
            <w:pPr>
              <w:rPr>
                <w:rStyle w:val="normaltextrun"/>
                <w:rFonts w:cs="Arial"/>
                <w:color w:val="000000"/>
                <w:sz w:val="24"/>
                <w:szCs w:val="24"/>
              </w:rPr>
            </w:pPr>
            <w:r w:rsidRPr="00F23EF7">
              <w:rPr>
                <w:rStyle w:val="contextualspellingandgrammarerror"/>
                <w:rFonts w:cs="Arial"/>
                <w:color w:val="000000"/>
                <w:sz w:val="24"/>
                <w:szCs w:val="24"/>
                <w:shd w:val="clear" w:color="auto" w:fill="FFFFFF"/>
              </w:rPr>
              <w:t>Stomach ache</w:t>
            </w:r>
          </w:p>
        </w:tc>
        <w:tc>
          <w:tcPr>
            <w:tcW w:w="2181" w:type="dxa"/>
          </w:tcPr>
          <w:p w14:paraId="725CD9C4" w14:textId="77777777" w:rsidR="00CB5794" w:rsidRPr="00F23EF7" w:rsidRDefault="00CB5794" w:rsidP="0038786E">
            <w:pPr>
              <w:jc w:val="center"/>
              <w:rPr>
                <w:rFonts w:cs="Arial"/>
                <w:sz w:val="24"/>
                <w:szCs w:val="24"/>
              </w:rPr>
            </w:pPr>
            <w:r w:rsidRPr="00F23EF7">
              <w:rPr>
                <w:rFonts w:cs="Arial"/>
                <w:sz w:val="24"/>
                <w:szCs w:val="24"/>
              </w:rPr>
              <w:t>13.59 (20.89)</w:t>
            </w:r>
          </w:p>
        </w:tc>
        <w:tc>
          <w:tcPr>
            <w:tcW w:w="709" w:type="dxa"/>
          </w:tcPr>
          <w:p w14:paraId="6F1B31F8" w14:textId="77777777" w:rsidR="00CB5794" w:rsidRPr="00F23EF7" w:rsidRDefault="00CB5794" w:rsidP="0038786E">
            <w:pPr>
              <w:rPr>
                <w:rFonts w:cs="Arial"/>
                <w:sz w:val="24"/>
                <w:szCs w:val="24"/>
              </w:rPr>
            </w:pPr>
          </w:p>
        </w:tc>
        <w:tc>
          <w:tcPr>
            <w:tcW w:w="2086" w:type="dxa"/>
          </w:tcPr>
          <w:p w14:paraId="0158DFC6" w14:textId="77777777" w:rsidR="00CB5794" w:rsidRPr="00F23EF7" w:rsidRDefault="00CB5794" w:rsidP="0038786E">
            <w:pPr>
              <w:rPr>
                <w:rFonts w:cs="Arial"/>
                <w:sz w:val="24"/>
                <w:szCs w:val="24"/>
              </w:rPr>
            </w:pPr>
            <w:r w:rsidRPr="00F23EF7">
              <w:rPr>
                <w:rFonts w:cs="Arial"/>
                <w:sz w:val="24"/>
                <w:szCs w:val="24"/>
              </w:rPr>
              <w:t>Feels like usual brand/model</w:t>
            </w:r>
          </w:p>
        </w:tc>
        <w:tc>
          <w:tcPr>
            <w:tcW w:w="2086" w:type="dxa"/>
          </w:tcPr>
          <w:p w14:paraId="498D58F7" w14:textId="77777777" w:rsidR="00CB5794" w:rsidRPr="00F23EF7" w:rsidRDefault="00CB5794" w:rsidP="0038786E">
            <w:pPr>
              <w:jc w:val="center"/>
              <w:rPr>
                <w:rFonts w:cs="Arial"/>
                <w:sz w:val="24"/>
                <w:szCs w:val="24"/>
              </w:rPr>
            </w:pPr>
            <w:r w:rsidRPr="00F23EF7">
              <w:rPr>
                <w:rFonts w:cs="Arial"/>
                <w:sz w:val="24"/>
                <w:szCs w:val="24"/>
              </w:rPr>
              <w:t>23.15 (32.18)</w:t>
            </w:r>
          </w:p>
        </w:tc>
      </w:tr>
      <w:tr w:rsidR="00CB5794" w:rsidRPr="00F23EF7" w14:paraId="3351182F" w14:textId="77777777" w:rsidTr="0038786E">
        <w:tc>
          <w:tcPr>
            <w:tcW w:w="2180" w:type="dxa"/>
          </w:tcPr>
          <w:p w14:paraId="246D85C6" w14:textId="77777777" w:rsidR="00CB5794" w:rsidRPr="00F23EF7" w:rsidRDefault="00CB5794" w:rsidP="0038786E">
            <w:pPr>
              <w:rPr>
                <w:rStyle w:val="normaltextrun"/>
                <w:rFonts w:cs="Arial"/>
                <w:color w:val="000000"/>
                <w:sz w:val="24"/>
                <w:szCs w:val="24"/>
              </w:rPr>
            </w:pPr>
            <w:r w:rsidRPr="00F23EF7">
              <w:rPr>
                <w:rStyle w:val="normaltextrun"/>
                <w:rFonts w:cs="Arial"/>
                <w:color w:val="000000"/>
                <w:sz w:val="24"/>
                <w:szCs w:val="24"/>
                <w:shd w:val="clear" w:color="auto" w:fill="FFFFFF"/>
              </w:rPr>
              <w:t>Salivation</w:t>
            </w:r>
          </w:p>
        </w:tc>
        <w:tc>
          <w:tcPr>
            <w:tcW w:w="2181" w:type="dxa"/>
          </w:tcPr>
          <w:p w14:paraId="18B1BA4C" w14:textId="77777777" w:rsidR="00CB5794" w:rsidRPr="00F23EF7" w:rsidRDefault="00CB5794" w:rsidP="0038786E">
            <w:pPr>
              <w:jc w:val="center"/>
              <w:rPr>
                <w:rFonts w:cs="Arial"/>
                <w:sz w:val="24"/>
                <w:szCs w:val="24"/>
              </w:rPr>
            </w:pPr>
            <w:r w:rsidRPr="00F23EF7">
              <w:rPr>
                <w:rFonts w:cs="Arial"/>
                <w:sz w:val="24"/>
                <w:szCs w:val="24"/>
              </w:rPr>
              <w:t>13.46 (21.40)</w:t>
            </w:r>
          </w:p>
        </w:tc>
        <w:tc>
          <w:tcPr>
            <w:tcW w:w="709" w:type="dxa"/>
          </w:tcPr>
          <w:p w14:paraId="7544C661" w14:textId="77777777" w:rsidR="00CB5794" w:rsidRPr="00F23EF7" w:rsidRDefault="00CB5794" w:rsidP="0038786E">
            <w:pPr>
              <w:rPr>
                <w:rFonts w:cs="Arial"/>
                <w:sz w:val="24"/>
                <w:szCs w:val="24"/>
              </w:rPr>
            </w:pPr>
          </w:p>
        </w:tc>
        <w:tc>
          <w:tcPr>
            <w:tcW w:w="2086" w:type="dxa"/>
          </w:tcPr>
          <w:p w14:paraId="6A7B7018" w14:textId="77777777" w:rsidR="00CB5794" w:rsidRPr="00F23EF7" w:rsidRDefault="00CB5794" w:rsidP="0038786E">
            <w:pPr>
              <w:rPr>
                <w:rFonts w:cs="Arial"/>
                <w:sz w:val="24"/>
                <w:szCs w:val="24"/>
              </w:rPr>
            </w:pPr>
            <w:r w:rsidRPr="00F23EF7">
              <w:rPr>
                <w:rFonts w:cs="Arial"/>
                <w:sz w:val="24"/>
                <w:szCs w:val="24"/>
              </w:rPr>
              <w:t>Tastes like usual brand/model</w:t>
            </w:r>
          </w:p>
        </w:tc>
        <w:tc>
          <w:tcPr>
            <w:tcW w:w="2086" w:type="dxa"/>
          </w:tcPr>
          <w:p w14:paraId="1C884879" w14:textId="77777777" w:rsidR="00CB5794" w:rsidRPr="00F23EF7" w:rsidRDefault="00CB5794" w:rsidP="0038786E">
            <w:pPr>
              <w:jc w:val="center"/>
              <w:rPr>
                <w:rFonts w:cs="Arial"/>
                <w:sz w:val="24"/>
                <w:szCs w:val="24"/>
              </w:rPr>
            </w:pPr>
            <w:r w:rsidRPr="00F23EF7">
              <w:rPr>
                <w:rFonts w:cs="Arial"/>
                <w:sz w:val="24"/>
                <w:szCs w:val="24"/>
              </w:rPr>
              <w:t>19.97 (29.85)</w:t>
            </w:r>
          </w:p>
        </w:tc>
      </w:tr>
      <w:tr w:rsidR="00CB5794" w:rsidRPr="00F23EF7" w14:paraId="2D87591E" w14:textId="77777777" w:rsidTr="0038786E">
        <w:tc>
          <w:tcPr>
            <w:tcW w:w="2180" w:type="dxa"/>
          </w:tcPr>
          <w:p w14:paraId="49198ED4" w14:textId="77777777" w:rsidR="00CB5794" w:rsidRPr="00F23EF7" w:rsidRDefault="00CB5794" w:rsidP="0038786E">
            <w:pPr>
              <w:rPr>
                <w:sz w:val="24"/>
                <w:szCs w:val="24"/>
              </w:rPr>
            </w:pPr>
            <w:r w:rsidRPr="00F23EF7">
              <w:rPr>
                <w:sz w:val="24"/>
                <w:szCs w:val="24"/>
              </w:rPr>
              <w:t>Mouth irritation</w:t>
            </w:r>
          </w:p>
        </w:tc>
        <w:tc>
          <w:tcPr>
            <w:tcW w:w="2181" w:type="dxa"/>
          </w:tcPr>
          <w:p w14:paraId="748926FD" w14:textId="77777777" w:rsidR="00CB5794" w:rsidRPr="00F23EF7" w:rsidRDefault="00CB5794" w:rsidP="0038786E">
            <w:pPr>
              <w:jc w:val="center"/>
              <w:rPr>
                <w:rFonts w:cs="Arial"/>
                <w:sz w:val="24"/>
                <w:szCs w:val="24"/>
              </w:rPr>
            </w:pPr>
            <w:r w:rsidRPr="00F23EF7">
              <w:rPr>
                <w:rFonts w:cs="Arial"/>
                <w:sz w:val="24"/>
                <w:szCs w:val="24"/>
              </w:rPr>
              <w:t>13.38 (22.25)</w:t>
            </w:r>
          </w:p>
        </w:tc>
        <w:tc>
          <w:tcPr>
            <w:tcW w:w="709" w:type="dxa"/>
          </w:tcPr>
          <w:p w14:paraId="4CA9BF28" w14:textId="77777777" w:rsidR="00CB5794" w:rsidRPr="00F23EF7" w:rsidRDefault="00CB5794" w:rsidP="0038786E">
            <w:pPr>
              <w:rPr>
                <w:rFonts w:cs="Arial"/>
                <w:sz w:val="24"/>
                <w:szCs w:val="24"/>
              </w:rPr>
            </w:pPr>
          </w:p>
        </w:tc>
        <w:tc>
          <w:tcPr>
            <w:tcW w:w="2086" w:type="dxa"/>
          </w:tcPr>
          <w:p w14:paraId="27173621" w14:textId="77777777" w:rsidR="00CB5794" w:rsidRPr="00F23EF7" w:rsidRDefault="00CB5794" w:rsidP="0038786E">
            <w:pPr>
              <w:rPr>
                <w:rFonts w:cs="Arial"/>
                <w:sz w:val="24"/>
                <w:szCs w:val="24"/>
              </w:rPr>
            </w:pPr>
          </w:p>
        </w:tc>
        <w:tc>
          <w:tcPr>
            <w:tcW w:w="2086" w:type="dxa"/>
          </w:tcPr>
          <w:p w14:paraId="4084463D" w14:textId="77777777" w:rsidR="00CB5794" w:rsidRPr="00F23EF7" w:rsidRDefault="00CB5794" w:rsidP="0038786E">
            <w:pPr>
              <w:jc w:val="center"/>
              <w:rPr>
                <w:rFonts w:cs="Arial"/>
                <w:sz w:val="24"/>
                <w:szCs w:val="24"/>
              </w:rPr>
            </w:pPr>
          </w:p>
        </w:tc>
      </w:tr>
      <w:tr w:rsidR="00CB5794" w:rsidRPr="00F23EF7" w14:paraId="195F6D53" w14:textId="77777777" w:rsidTr="0038786E">
        <w:tc>
          <w:tcPr>
            <w:tcW w:w="2180" w:type="dxa"/>
          </w:tcPr>
          <w:p w14:paraId="3C72AE43" w14:textId="7A9EA2F9" w:rsidR="00CB5794" w:rsidRPr="00F23EF7" w:rsidRDefault="00CB5794" w:rsidP="0038786E">
            <w:pPr>
              <w:rPr>
                <w:sz w:val="24"/>
                <w:szCs w:val="24"/>
              </w:rPr>
            </w:pPr>
            <w:r w:rsidRPr="00F23EF7">
              <w:rPr>
                <w:sz w:val="24"/>
                <w:szCs w:val="24"/>
              </w:rPr>
              <w:t>Flatulence/bloating</w:t>
            </w:r>
            <w:r w:rsidR="00840AF7">
              <w:rPr>
                <w:sz w:val="24"/>
                <w:szCs w:val="24"/>
              </w:rPr>
              <w:t xml:space="preserve"> </w:t>
            </w:r>
          </w:p>
        </w:tc>
        <w:tc>
          <w:tcPr>
            <w:tcW w:w="2181" w:type="dxa"/>
          </w:tcPr>
          <w:p w14:paraId="16941C6E" w14:textId="77777777" w:rsidR="00CB5794" w:rsidRPr="00F23EF7" w:rsidRDefault="00CB5794" w:rsidP="0038786E">
            <w:pPr>
              <w:jc w:val="center"/>
              <w:rPr>
                <w:rFonts w:cs="Arial"/>
                <w:sz w:val="24"/>
                <w:szCs w:val="24"/>
              </w:rPr>
            </w:pPr>
            <w:r w:rsidRPr="00F23EF7">
              <w:rPr>
                <w:rFonts w:cs="Arial"/>
                <w:sz w:val="24"/>
                <w:szCs w:val="24"/>
              </w:rPr>
              <w:t>13.36 (23.65)</w:t>
            </w:r>
          </w:p>
        </w:tc>
        <w:tc>
          <w:tcPr>
            <w:tcW w:w="709" w:type="dxa"/>
          </w:tcPr>
          <w:p w14:paraId="4B136481" w14:textId="77777777" w:rsidR="00CB5794" w:rsidRPr="00F23EF7" w:rsidRDefault="00CB5794" w:rsidP="0038786E">
            <w:pPr>
              <w:rPr>
                <w:rFonts w:cs="Arial"/>
                <w:sz w:val="24"/>
                <w:szCs w:val="24"/>
              </w:rPr>
            </w:pPr>
          </w:p>
        </w:tc>
        <w:tc>
          <w:tcPr>
            <w:tcW w:w="2086" w:type="dxa"/>
          </w:tcPr>
          <w:p w14:paraId="420379B6" w14:textId="77777777" w:rsidR="00CB5794" w:rsidRPr="00F23EF7" w:rsidRDefault="00CB5794" w:rsidP="0038786E">
            <w:pPr>
              <w:rPr>
                <w:rFonts w:cs="Arial"/>
                <w:sz w:val="24"/>
                <w:szCs w:val="24"/>
              </w:rPr>
            </w:pPr>
          </w:p>
        </w:tc>
        <w:tc>
          <w:tcPr>
            <w:tcW w:w="2086" w:type="dxa"/>
          </w:tcPr>
          <w:p w14:paraId="1A611496" w14:textId="77777777" w:rsidR="00CB5794" w:rsidRPr="00F23EF7" w:rsidRDefault="00CB5794" w:rsidP="0038786E">
            <w:pPr>
              <w:jc w:val="center"/>
              <w:rPr>
                <w:rFonts w:cs="Arial"/>
                <w:sz w:val="24"/>
                <w:szCs w:val="24"/>
              </w:rPr>
            </w:pPr>
          </w:p>
        </w:tc>
      </w:tr>
      <w:tr w:rsidR="00CB5794" w:rsidRPr="00F23EF7" w14:paraId="3CDC7017" w14:textId="77777777" w:rsidTr="0038786E">
        <w:tc>
          <w:tcPr>
            <w:tcW w:w="2180" w:type="dxa"/>
          </w:tcPr>
          <w:p w14:paraId="7CF1D0C8" w14:textId="77777777" w:rsidR="00CB5794" w:rsidRPr="00F23EF7" w:rsidRDefault="00CB5794" w:rsidP="0038786E">
            <w:pPr>
              <w:rPr>
                <w:sz w:val="24"/>
                <w:szCs w:val="24"/>
              </w:rPr>
            </w:pPr>
            <w:r w:rsidRPr="00F23EF7">
              <w:rPr>
                <w:sz w:val="24"/>
                <w:szCs w:val="24"/>
              </w:rPr>
              <w:t>Throat irritation</w:t>
            </w:r>
          </w:p>
        </w:tc>
        <w:tc>
          <w:tcPr>
            <w:tcW w:w="2181" w:type="dxa"/>
          </w:tcPr>
          <w:p w14:paraId="63E37B5F" w14:textId="77777777" w:rsidR="00CB5794" w:rsidRPr="00F23EF7" w:rsidRDefault="00CB5794" w:rsidP="0038786E">
            <w:pPr>
              <w:jc w:val="center"/>
              <w:rPr>
                <w:rFonts w:cs="Arial"/>
                <w:sz w:val="24"/>
                <w:szCs w:val="24"/>
              </w:rPr>
            </w:pPr>
            <w:r w:rsidRPr="00F23EF7">
              <w:rPr>
                <w:rFonts w:cs="Arial"/>
                <w:sz w:val="24"/>
                <w:szCs w:val="24"/>
              </w:rPr>
              <w:t>12.49 (17.54)</w:t>
            </w:r>
          </w:p>
        </w:tc>
        <w:tc>
          <w:tcPr>
            <w:tcW w:w="709" w:type="dxa"/>
          </w:tcPr>
          <w:p w14:paraId="2900C8F3" w14:textId="77777777" w:rsidR="00CB5794" w:rsidRPr="00F23EF7" w:rsidRDefault="00CB5794" w:rsidP="0038786E">
            <w:pPr>
              <w:rPr>
                <w:rFonts w:cs="Arial"/>
                <w:sz w:val="24"/>
                <w:szCs w:val="24"/>
              </w:rPr>
            </w:pPr>
          </w:p>
        </w:tc>
        <w:tc>
          <w:tcPr>
            <w:tcW w:w="2086" w:type="dxa"/>
          </w:tcPr>
          <w:p w14:paraId="1E29D929" w14:textId="77777777" w:rsidR="00CB5794" w:rsidRPr="00F23EF7" w:rsidRDefault="00CB5794" w:rsidP="0038786E">
            <w:pPr>
              <w:rPr>
                <w:rFonts w:cs="Arial"/>
                <w:sz w:val="24"/>
                <w:szCs w:val="24"/>
              </w:rPr>
            </w:pPr>
          </w:p>
        </w:tc>
        <w:tc>
          <w:tcPr>
            <w:tcW w:w="2086" w:type="dxa"/>
          </w:tcPr>
          <w:p w14:paraId="467CCD4A" w14:textId="77777777" w:rsidR="00CB5794" w:rsidRPr="00F23EF7" w:rsidRDefault="00CB5794" w:rsidP="0038786E">
            <w:pPr>
              <w:jc w:val="center"/>
              <w:rPr>
                <w:rFonts w:cs="Arial"/>
                <w:sz w:val="24"/>
                <w:szCs w:val="24"/>
              </w:rPr>
            </w:pPr>
          </w:p>
        </w:tc>
      </w:tr>
      <w:tr w:rsidR="00CB5794" w:rsidRPr="00F23EF7" w14:paraId="5F1F82BC" w14:textId="77777777" w:rsidTr="0038786E">
        <w:tc>
          <w:tcPr>
            <w:tcW w:w="2180" w:type="dxa"/>
          </w:tcPr>
          <w:p w14:paraId="6FC504E2" w14:textId="77777777" w:rsidR="00CB5794" w:rsidRPr="00F23EF7" w:rsidRDefault="00CB5794" w:rsidP="0038786E">
            <w:pPr>
              <w:rPr>
                <w:sz w:val="24"/>
                <w:szCs w:val="24"/>
              </w:rPr>
            </w:pPr>
            <w:r w:rsidRPr="00F23EF7">
              <w:rPr>
                <w:sz w:val="24"/>
                <w:szCs w:val="24"/>
              </w:rPr>
              <w:t>Cold hands/feet</w:t>
            </w:r>
          </w:p>
        </w:tc>
        <w:tc>
          <w:tcPr>
            <w:tcW w:w="2181" w:type="dxa"/>
          </w:tcPr>
          <w:p w14:paraId="74594CD5" w14:textId="77777777" w:rsidR="00CB5794" w:rsidRPr="00F23EF7" w:rsidRDefault="00CB5794" w:rsidP="0038786E">
            <w:pPr>
              <w:jc w:val="center"/>
              <w:rPr>
                <w:rFonts w:cs="Arial"/>
                <w:sz w:val="24"/>
                <w:szCs w:val="24"/>
              </w:rPr>
            </w:pPr>
            <w:r w:rsidRPr="00F23EF7">
              <w:rPr>
                <w:rFonts w:cs="Arial"/>
                <w:sz w:val="24"/>
                <w:szCs w:val="24"/>
              </w:rPr>
              <w:t>11.31 (22.04)</w:t>
            </w:r>
          </w:p>
        </w:tc>
        <w:tc>
          <w:tcPr>
            <w:tcW w:w="709" w:type="dxa"/>
          </w:tcPr>
          <w:p w14:paraId="20E5759A" w14:textId="77777777" w:rsidR="00CB5794" w:rsidRPr="00F23EF7" w:rsidRDefault="00CB5794" w:rsidP="0038786E">
            <w:pPr>
              <w:rPr>
                <w:rFonts w:cs="Arial"/>
                <w:sz w:val="24"/>
                <w:szCs w:val="24"/>
              </w:rPr>
            </w:pPr>
          </w:p>
        </w:tc>
        <w:tc>
          <w:tcPr>
            <w:tcW w:w="2086" w:type="dxa"/>
          </w:tcPr>
          <w:p w14:paraId="1DDD4FEB" w14:textId="77777777" w:rsidR="00CB5794" w:rsidRPr="00F23EF7" w:rsidRDefault="00CB5794" w:rsidP="0038786E">
            <w:pPr>
              <w:rPr>
                <w:rFonts w:cs="Arial"/>
                <w:sz w:val="24"/>
                <w:szCs w:val="24"/>
              </w:rPr>
            </w:pPr>
          </w:p>
        </w:tc>
        <w:tc>
          <w:tcPr>
            <w:tcW w:w="2086" w:type="dxa"/>
          </w:tcPr>
          <w:p w14:paraId="4E4F9BF9" w14:textId="77777777" w:rsidR="00CB5794" w:rsidRPr="00F23EF7" w:rsidRDefault="00CB5794" w:rsidP="0038786E">
            <w:pPr>
              <w:jc w:val="center"/>
              <w:rPr>
                <w:rFonts w:cs="Arial"/>
                <w:sz w:val="24"/>
                <w:szCs w:val="24"/>
              </w:rPr>
            </w:pPr>
          </w:p>
        </w:tc>
      </w:tr>
      <w:tr w:rsidR="00CB5794" w:rsidRPr="00F23EF7" w14:paraId="31291400" w14:textId="77777777" w:rsidTr="0038786E">
        <w:tc>
          <w:tcPr>
            <w:tcW w:w="2180" w:type="dxa"/>
          </w:tcPr>
          <w:p w14:paraId="56E759FC" w14:textId="77777777" w:rsidR="00CB5794" w:rsidRPr="00F23EF7" w:rsidRDefault="00CB5794" w:rsidP="0038786E">
            <w:pPr>
              <w:rPr>
                <w:sz w:val="24"/>
                <w:szCs w:val="24"/>
              </w:rPr>
            </w:pPr>
            <w:r w:rsidRPr="00F23EF7">
              <w:rPr>
                <w:sz w:val="24"/>
                <w:szCs w:val="24"/>
              </w:rPr>
              <w:t>Palpitations</w:t>
            </w:r>
          </w:p>
        </w:tc>
        <w:tc>
          <w:tcPr>
            <w:tcW w:w="2181" w:type="dxa"/>
          </w:tcPr>
          <w:p w14:paraId="047403C6" w14:textId="77777777" w:rsidR="00CB5794" w:rsidRPr="00F23EF7" w:rsidRDefault="00CB5794" w:rsidP="0038786E">
            <w:pPr>
              <w:jc w:val="center"/>
              <w:rPr>
                <w:rFonts w:cs="Arial"/>
                <w:sz w:val="24"/>
                <w:szCs w:val="24"/>
              </w:rPr>
            </w:pPr>
            <w:r w:rsidRPr="00F23EF7">
              <w:rPr>
                <w:rFonts w:cs="Arial"/>
                <w:sz w:val="24"/>
                <w:szCs w:val="24"/>
              </w:rPr>
              <w:t>10.44 (15.91)</w:t>
            </w:r>
          </w:p>
        </w:tc>
        <w:tc>
          <w:tcPr>
            <w:tcW w:w="709" w:type="dxa"/>
          </w:tcPr>
          <w:p w14:paraId="71C173A1" w14:textId="77777777" w:rsidR="00CB5794" w:rsidRPr="00F23EF7" w:rsidRDefault="00CB5794" w:rsidP="0038786E">
            <w:pPr>
              <w:rPr>
                <w:rFonts w:cs="Arial"/>
                <w:sz w:val="24"/>
                <w:szCs w:val="24"/>
              </w:rPr>
            </w:pPr>
          </w:p>
        </w:tc>
        <w:tc>
          <w:tcPr>
            <w:tcW w:w="2086" w:type="dxa"/>
          </w:tcPr>
          <w:p w14:paraId="257DEA3D" w14:textId="77777777" w:rsidR="00CB5794" w:rsidRPr="00F23EF7" w:rsidRDefault="00CB5794" w:rsidP="0038786E">
            <w:pPr>
              <w:rPr>
                <w:rFonts w:cs="Arial"/>
                <w:sz w:val="24"/>
                <w:szCs w:val="24"/>
              </w:rPr>
            </w:pPr>
          </w:p>
        </w:tc>
        <w:tc>
          <w:tcPr>
            <w:tcW w:w="2086" w:type="dxa"/>
          </w:tcPr>
          <w:p w14:paraId="6A8FFEA6" w14:textId="77777777" w:rsidR="00CB5794" w:rsidRPr="00F23EF7" w:rsidRDefault="00CB5794" w:rsidP="0038786E">
            <w:pPr>
              <w:jc w:val="center"/>
              <w:rPr>
                <w:rFonts w:cs="Arial"/>
                <w:sz w:val="24"/>
                <w:szCs w:val="24"/>
              </w:rPr>
            </w:pPr>
          </w:p>
        </w:tc>
      </w:tr>
      <w:tr w:rsidR="00CB5794" w:rsidRPr="00F23EF7" w14:paraId="40A604CA" w14:textId="77777777" w:rsidTr="0038786E">
        <w:tc>
          <w:tcPr>
            <w:tcW w:w="2180" w:type="dxa"/>
          </w:tcPr>
          <w:p w14:paraId="0FF11AD8" w14:textId="77777777" w:rsidR="00CB5794" w:rsidRPr="00F23EF7" w:rsidRDefault="00CB5794" w:rsidP="0038786E">
            <w:pPr>
              <w:rPr>
                <w:sz w:val="24"/>
                <w:szCs w:val="24"/>
              </w:rPr>
            </w:pPr>
            <w:r w:rsidRPr="00F23EF7">
              <w:rPr>
                <w:sz w:val="24"/>
                <w:szCs w:val="24"/>
              </w:rPr>
              <w:t>Aching jaw</w:t>
            </w:r>
          </w:p>
        </w:tc>
        <w:tc>
          <w:tcPr>
            <w:tcW w:w="2181" w:type="dxa"/>
          </w:tcPr>
          <w:p w14:paraId="2F9F97F4" w14:textId="77777777" w:rsidR="00CB5794" w:rsidRPr="00F23EF7" w:rsidRDefault="00CB5794" w:rsidP="0038786E">
            <w:pPr>
              <w:jc w:val="center"/>
              <w:rPr>
                <w:rFonts w:cs="Arial"/>
                <w:sz w:val="24"/>
                <w:szCs w:val="24"/>
              </w:rPr>
            </w:pPr>
            <w:r w:rsidRPr="00F23EF7">
              <w:rPr>
                <w:rFonts w:cs="Arial"/>
                <w:sz w:val="24"/>
                <w:szCs w:val="24"/>
              </w:rPr>
              <w:t>9.49 (20.42)</w:t>
            </w:r>
          </w:p>
        </w:tc>
        <w:tc>
          <w:tcPr>
            <w:tcW w:w="709" w:type="dxa"/>
          </w:tcPr>
          <w:p w14:paraId="18952A0F" w14:textId="77777777" w:rsidR="00CB5794" w:rsidRPr="00F23EF7" w:rsidRDefault="00CB5794" w:rsidP="0038786E">
            <w:pPr>
              <w:rPr>
                <w:rFonts w:cs="Arial"/>
                <w:sz w:val="24"/>
                <w:szCs w:val="24"/>
              </w:rPr>
            </w:pPr>
          </w:p>
        </w:tc>
        <w:tc>
          <w:tcPr>
            <w:tcW w:w="2086" w:type="dxa"/>
          </w:tcPr>
          <w:p w14:paraId="2D7B40B1" w14:textId="77777777" w:rsidR="00CB5794" w:rsidRPr="00F23EF7" w:rsidRDefault="00CB5794" w:rsidP="0038786E">
            <w:pPr>
              <w:rPr>
                <w:rFonts w:cs="Arial"/>
                <w:sz w:val="24"/>
                <w:szCs w:val="24"/>
              </w:rPr>
            </w:pPr>
          </w:p>
        </w:tc>
        <w:tc>
          <w:tcPr>
            <w:tcW w:w="2086" w:type="dxa"/>
          </w:tcPr>
          <w:p w14:paraId="6C6D8577" w14:textId="77777777" w:rsidR="00CB5794" w:rsidRPr="00F23EF7" w:rsidRDefault="00CB5794" w:rsidP="0038786E">
            <w:pPr>
              <w:jc w:val="center"/>
              <w:rPr>
                <w:rFonts w:cs="Arial"/>
                <w:sz w:val="24"/>
                <w:szCs w:val="24"/>
              </w:rPr>
            </w:pPr>
          </w:p>
        </w:tc>
      </w:tr>
      <w:tr w:rsidR="00CB5794" w:rsidRPr="00F23EF7" w14:paraId="1859798D" w14:textId="77777777" w:rsidTr="0038786E">
        <w:tc>
          <w:tcPr>
            <w:tcW w:w="2180" w:type="dxa"/>
          </w:tcPr>
          <w:p w14:paraId="3C129C37" w14:textId="77777777" w:rsidR="00CB5794" w:rsidRPr="00F23EF7" w:rsidRDefault="00CB5794" w:rsidP="0038786E">
            <w:pPr>
              <w:rPr>
                <w:sz w:val="24"/>
                <w:szCs w:val="24"/>
              </w:rPr>
            </w:pPr>
            <w:r w:rsidRPr="00F23EF7">
              <w:rPr>
                <w:sz w:val="24"/>
                <w:szCs w:val="24"/>
              </w:rPr>
              <w:t>Heartburn</w:t>
            </w:r>
          </w:p>
        </w:tc>
        <w:tc>
          <w:tcPr>
            <w:tcW w:w="2181" w:type="dxa"/>
          </w:tcPr>
          <w:p w14:paraId="30FFB3DC" w14:textId="77777777" w:rsidR="00CB5794" w:rsidRPr="00F23EF7" w:rsidRDefault="00CB5794" w:rsidP="0038786E">
            <w:pPr>
              <w:jc w:val="center"/>
              <w:rPr>
                <w:rFonts w:cs="Arial"/>
                <w:sz w:val="24"/>
                <w:szCs w:val="24"/>
              </w:rPr>
            </w:pPr>
            <w:r w:rsidRPr="00F23EF7">
              <w:rPr>
                <w:rFonts w:cs="Arial"/>
                <w:sz w:val="24"/>
                <w:szCs w:val="24"/>
              </w:rPr>
              <w:t>9.26 (12.88)</w:t>
            </w:r>
          </w:p>
        </w:tc>
        <w:tc>
          <w:tcPr>
            <w:tcW w:w="709" w:type="dxa"/>
          </w:tcPr>
          <w:p w14:paraId="5CA3DC82" w14:textId="77777777" w:rsidR="00CB5794" w:rsidRPr="00F23EF7" w:rsidRDefault="00CB5794" w:rsidP="0038786E">
            <w:pPr>
              <w:rPr>
                <w:rFonts w:cs="Arial"/>
                <w:sz w:val="24"/>
                <w:szCs w:val="24"/>
              </w:rPr>
            </w:pPr>
          </w:p>
        </w:tc>
        <w:tc>
          <w:tcPr>
            <w:tcW w:w="2086" w:type="dxa"/>
          </w:tcPr>
          <w:p w14:paraId="154F3C0C" w14:textId="77777777" w:rsidR="00CB5794" w:rsidRPr="00F23EF7" w:rsidRDefault="00CB5794" w:rsidP="0038786E">
            <w:pPr>
              <w:rPr>
                <w:rFonts w:cs="Arial"/>
                <w:sz w:val="24"/>
                <w:szCs w:val="24"/>
              </w:rPr>
            </w:pPr>
          </w:p>
        </w:tc>
        <w:tc>
          <w:tcPr>
            <w:tcW w:w="2086" w:type="dxa"/>
          </w:tcPr>
          <w:p w14:paraId="1BBF6384" w14:textId="77777777" w:rsidR="00CB5794" w:rsidRPr="00F23EF7" w:rsidRDefault="00CB5794" w:rsidP="0038786E">
            <w:pPr>
              <w:jc w:val="center"/>
              <w:rPr>
                <w:rFonts w:cs="Arial"/>
                <w:sz w:val="24"/>
                <w:szCs w:val="24"/>
              </w:rPr>
            </w:pPr>
          </w:p>
        </w:tc>
      </w:tr>
      <w:tr w:rsidR="00CB5794" w:rsidRPr="00F23EF7" w14:paraId="6FA84D8D" w14:textId="77777777" w:rsidTr="0038786E">
        <w:tc>
          <w:tcPr>
            <w:tcW w:w="2180" w:type="dxa"/>
          </w:tcPr>
          <w:p w14:paraId="3B98CB59" w14:textId="77777777" w:rsidR="00CB5794" w:rsidRPr="00F23EF7" w:rsidRDefault="00CB5794" w:rsidP="0038786E">
            <w:pPr>
              <w:rPr>
                <w:sz w:val="24"/>
                <w:szCs w:val="24"/>
              </w:rPr>
            </w:pPr>
            <w:r w:rsidRPr="00F23EF7">
              <w:rPr>
                <w:sz w:val="24"/>
                <w:szCs w:val="24"/>
              </w:rPr>
              <w:t>Diarrhoea</w:t>
            </w:r>
          </w:p>
        </w:tc>
        <w:tc>
          <w:tcPr>
            <w:tcW w:w="2181" w:type="dxa"/>
          </w:tcPr>
          <w:p w14:paraId="6FBDE6DA" w14:textId="77777777" w:rsidR="00CB5794" w:rsidRPr="00F23EF7" w:rsidRDefault="00CB5794" w:rsidP="0038786E">
            <w:pPr>
              <w:jc w:val="center"/>
              <w:rPr>
                <w:rFonts w:cs="Arial"/>
                <w:sz w:val="24"/>
                <w:szCs w:val="24"/>
              </w:rPr>
            </w:pPr>
            <w:r w:rsidRPr="00F23EF7">
              <w:rPr>
                <w:rFonts w:cs="Arial"/>
                <w:sz w:val="24"/>
                <w:szCs w:val="24"/>
              </w:rPr>
              <w:t>9.13 (16.46)</w:t>
            </w:r>
          </w:p>
        </w:tc>
        <w:tc>
          <w:tcPr>
            <w:tcW w:w="709" w:type="dxa"/>
          </w:tcPr>
          <w:p w14:paraId="634E2B02" w14:textId="77777777" w:rsidR="00CB5794" w:rsidRPr="00F23EF7" w:rsidRDefault="00CB5794" w:rsidP="0038786E">
            <w:pPr>
              <w:rPr>
                <w:rFonts w:cs="Arial"/>
                <w:sz w:val="24"/>
                <w:szCs w:val="24"/>
              </w:rPr>
            </w:pPr>
          </w:p>
        </w:tc>
        <w:tc>
          <w:tcPr>
            <w:tcW w:w="2086" w:type="dxa"/>
          </w:tcPr>
          <w:p w14:paraId="48D4E8A2" w14:textId="77777777" w:rsidR="00CB5794" w:rsidRPr="00F23EF7" w:rsidRDefault="00CB5794" w:rsidP="0038786E">
            <w:pPr>
              <w:rPr>
                <w:rFonts w:cs="Arial"/>
                <w:sz w:val="24"/>
                <w:szCs w:val="24"/>
              </w:rPr>
            </w:pPr>
          </w:p>
        </w:tc>
        <w:tc>
          <w:tcPr>
            <w:tcW w:w="2086" w:type="dxa"/>
          </w:tcPr>
          <w:p w14:paraId="2AED60D3" w14:textId="77777777" w:rsidR="00CB5794" w:rsidRPr="00F23EF7" w:rsidRDefault="00CB5794" w:rsidP="0038786E">
            <w:pPr>
              <w:jc w:val="center"/>
              <w:rPr>
                <w:rFonts w:cs="Arial"/>
                <w:sz w:val="24"/>
                <w:szCs w:val="24"/>
              </w:rPr>
            </w:pPr>
          </w:p>
        </w:tc>
      </w:tr>
      <w:tr w:rsidR="00CB5794" w:rsidRPr="00F23EF7" w14:paraId="0ACD55E0" w14:textId="77777777" w:rsidTr="0038786E">
        <w:tc>
          <w:tcPr>
            <w:tcW w:w="2180" w:type="dxa"/>
          </w:tcPr>
          <w:p w14:paraId="26B3FE54" w14:textId="77777777" w:rsidR="00CB5794" w:rsidRPr="00F23EF7" w:rsidRDefault="00CB5794" w:rsidP="0038786E">
            <w:pPr>
              <w:rPr>
                <w:sz w:val="24"/>
                <w:szCs w:val="24"/>
              </w:rPr>
            </w:pPr>
            <w:r w:rsidRPr="00F23EF7">
              <w:rPr>
                <w:sz w:val="24"/>
                <w:szCs w:val="24"/>
              </w:rPr>
              <w:t>Vomiting</w:t>
            </w:r>
          </w:p>
        </w:tc>
        <w:tc>
          <w:tcPr>
            <w:tcW w:w="2181" w:type="dxa"/>
          </w:tcPr>
          <w:p w14:paraId="6230A9C4" w14:textId="77777777" w:rsidR="00CB5794" w:rsidRPr="00F23EF7" w:rsidRDefault="00CB5794" w:rsidP="0038786E">
            <w:pPr>
              <w:jc w:val="center"/>
              <w:rPr>
                <w:rFonts w:cs="Arial"/>
                <w:sz w:val="24"/>
                <w:szCs w:val="24"/>
              </w:rPr>
            </w:pPr>
            <w:r w:rsidRPr="00F23EF7">
              <w:rPr>
                <w:rFonts w:cs="Arial"/>
                <w:sz w:val="24"/>
                <w:szCs w:val="24"/>
              </w:rPr>
              <w:t>5.59 (9.66)</w:t>
            </w:r>
          </w:p>
        </w:tc>
        <w:tc>
          <w:tcPr>
            <w:tcW w:w="709" w:type="dxa"/>
          </w:tcPr>
          <w:p w14:paraId="7FEDA874" w14:textId="77777777" w:rsidR="00CB5794" w:rsidRPr="00F23EF7" w:rsidRDefault="00CB5794" w:rsidP="0038786E">
            <w:pPr>
              <w:rPr>
                <w:rFonts w:cs="Arial"/>
                <w:sz w:val="24"/>
                <w:szCs w:val="24"/>
              </w:rPr>
            </w:pPr>
          </w:p>
        </w:tc>
        <w:tc>
          <w:tcPr>
            <w:tcW w:w="2086" w:type="dxa"/>
          </w:tcPr>
          <w:p w14:paraId="5B646BB1" w14:textId="77777777" w:rsidR="00CB5794" w:rsidRPr="00F23EF7" w:rsidRDefault="00CB5794" w:rsidP="0038786E">
            <w:pPr>
              <w:rPr>
                <w:rFonts w:cs="Arial"/>
                <w:sz w:val="24"/>
                <w:szCs w:val="24"/>
              </w:rPr>
            </w:pPr>
          </w:p>
        </w:tc>
        <w:tc>
          <w:tcPr>
            <w:tcW w:w="2086" w:type="dxa"/>
          </w:tcPr>
          <w:p w14:paraId="36844163" w14:textId="77777777" w:rsidR="00CB5794" w:rsidRPr="00F23EF7" w:rsidRDefault="00CB5794" w:rsidP="0038786E">
            <w:pPr>
              <w:jc w:val="center"/>
              <w:rPr>
                <w:rFonts w:cs="Arial"/>
                <w:sz w:val="24"/>
                <w:szCs w:val="24"/>
              </w:rPr>
            </w:pPr>
          </w:p>
        </w:tc>
      </w:tr>
      <w:tr w:rsidR="00CB5794" w:rsidRPr="00F23EF7" w14:paraId="028F976F" w14:textId="77777777" w:rsidTr="0038786E">
        <w:tc>
          <w:tcPr>
            <w:tcW w:w="2180" w:type="dxa"/>
          </w:tcPr>
          <w:p w14:paraId="02641CDD" w14:textId="77777777" w:rsidR="00CB5794" w:rsidRPr="00F23EF7" w:rsidRDefault="00CB5794" w:rsidP="0038786E">
            <w:pPr>
              <w:rPr>
                <w:sz w:val="24"/>
                <w:szCs w:val="24"/>
              </w:rPr>
            </w:pPr>
            <w:r w:rsidRPr="00F23EF7">
              <w:rPr>
                <w:sz w:val="24"/>
                <w:szCs w:val="24"/>
              </w:rPr>
              <w:t>TOTAL</w:t>
            </w:r>
          </w:p>
        </w:tc>
        <w:tc>
          <w:tcPr>
            <w:tcW w:w="2181" w:type="dxa"/>
          </w:tcPr>
          <w:p w14:paraId="55B3FD63" w14:textId="77777777" w:rsidR="00CB5794" w:rsidRPr="00F23EF7" w:rsidRDefault="00CB5794" w:rsidP="0038786E">
            <w:pPr>
              <w:jc w:val="center"/>
              <w:rPr>
                <w:rFonts w:cs="Arial"/>
                <w:sz w:val="24"/>
                <w:szCs w:val="24"/>
              </w:rPr>
            </w:pPr>
            <w:r w:rsidRPr="00F23EF7">
              <w:rPr>
                <w:rFonts w:cs="Arial"/>
                <w:sz w:val="24"/>
                <w:szCs w:val="24"/>
              </w:rPr>
              <w:t>13.73 (12.95)</w:t>
            </w:r>
          </w:p>
        </w:tc>
        <w:tc>
          <w:tcPr>
            <w:tcW w:w="709" w:type="dxa"/>
          </w:tcPr>
          <w:p w14:paraId="750C9428" w14:textId="77777777" w:rsidR="00CB5794" w:rsidRPr="00F23EF7" w:rsidRDefault="00CB5794" w:rsidP="0038786E">
            <w:pPr>
              <w:rPr>
                <w:rFonts w:cs="Arial"/>
                <w:sz w:val="24"/>
                <w:szCs w:val="24"/>
              </w:rPr>
            </w:pPr>
          </w:p>
        </w:tc>
        <w:tc>
          <w:tcPr>
            <w:tcW w:w="2086" w:type="dxa"/>
          </w:tcPr>
          <w:p w14:paraId="7E9CC787" w14:textId="77777777" w:rsidR="00CB5794" w:rsidRPr="00F23EF7" w:rsidRDefault="00CB5794" w:rsidP="0038786E">
            <w:pPr>
              <w:rPr>
                <w:rFonts w:cs="Arial"/>
                <w:sz w:val="24"/>
                <w:szCs w:val="24"/>
              </w:rPr>
            </w:pPr>
            <w:r w:rsidRPr="00F23EF7">
              <w:rPr>
                <w:rFonts w:cs="Arial"/>
                <w:sz w:val="24"/>
                <w:szCs w:val="24"/>
              </w:rPr>
              <w:t>TOTAL</w:t>
            </w:r>
          </w:p>
        </w:tc>
        <w:tc>
          <w:tcPr>
            <w:tcW w:w="2086" w:type="dxa"/>
          </w:tcPr>
          <w:p w14:paraId="5F9F6FC4" w14:textId="77777777" w:rsidR="00CB5794" w:rsidRPr="00F23EF7" w:rsidRDefault="00CB5794" w:rsidP="0038786E">
            <w:pPr>
              <w:jc w:val="center"/>
              <w:rPr>
                <w:rFonts w:cs="Arial"/>
                <w:sz w:val="24"/>
                <w:szCs w:val="24"/>
              </w:rPr>
            </w:pPr>
            <w:r w:rsidRPr="00F23EF7">
              <w:rPr>
                <w:rFonts w:cs="Arial"/>
                <w:sz w:val="24"/>
                <w:szCs w:val="24"/>
              </w:rPr>
              <w:t>49.51 (18.39)</w:t>
            </w:r>
          </w:p>
        </w:tc>
      </w:tr>
      <w:tr w:rsidR="00CB5794" w:rsidRPr="00F23EF7" w14:paraId="0A7734E3" w14:textId="77777777" w:rsidTr="0038786E">
        <w:tc>
          <w:tcPr>
            <w:tcW w:w="2180" w:type="dxa"/>
          </w:tcPr>
          <w:p w14:paraId="59B14002" w14:textId="77777777" w:rsidR="00CB5794" w:rsidRPr="00F23EF7" w:rsidRDefault="00CB5794" w:rsidP="0038786E">
            <w:pPr>
              <w:rPr>
                <w:sz w:val="24"/>
                <w:szCs w:val="24"/>
              </w:rPr>
            </w:pPr>
          </w:p>
        </w:tc>
        <w:tc>
          <w:tcPr>
            <w:tcW w:w="2181" w:type="dxa"/>
          </w:tcPr>
          <w:p w14:paraId="7FF17FE4" w14:textId="77777777" w:rsidR="00CB5794" w:rsidRPr="00F23EF7" w:rsidRDefault="00CB5794" w:rsidP="0038786E">
            <w:pPr>
              <w:jc w:val="center"/>
              <w:rPr>
                <w:rFonts w:cs="Arial"/>
                <w:sz w:val="24"/>
                <w:szCs w:val="24"/>
              </w:rPr>
            </w:pPr>
          </w:p>
        </w:tc>
        <w:tc>
          <w:tcPr>
            <w:tcW w:w="709" w:type="dxa"/>
          </w:tcPr>
          <w:p w14:paraId="6EC445A3" w14:textId="77777777" w:rsidR="00CB5794" w:rsidRPr="00F23EF7" w:rsidRDefault="00CB5794" w:rsidP="0038786E">
            <w:pPr>
              <w:rPr>
                <w:rFonts w:cs="Arial"/>
                <w:sz w:val="24"/>
                <w:szCs w:val="24"/>
              </w:rPr>
            </w:pPr>
          </w:p>
        </w:tc>
        <w:tc>
          <w:tcPr>
            <w:tcW w:w="2086" w:type="dxa"/>
          </w:tcPr>
          <w:p w14:paraId="7AB06922" w14:textId="77777777" w:rsidR="00CB5794" w:rsidRPr="00F23EF7" w:rsidRDefault="00CB5794" w:rsidP="0038786E">
            <w:pPr>
              <w:rPr>
                <w:rFonts w:cs="Arial"/>
                <w:sz w:val="24"/>
                <w:szCs w:val="24"/>
              </w:rPr>
            </w:pPr>
          </w:p>
        </w:tc>
        <w:tc>
          <w:tcPr>
            <w:tcW w:w="2086" w:type="dxa"/>
          </w:tcPr>
          <w:p w14:paraId="5CBE4558" w14:textId="77777777" w:rsidR="00CB5794" w:rsidRPr="00F23EF7" w:rsidRDefault="00CB5794" w:rsidP="0038786E">
            <w:pPr>
              <w:jc w:val="center"/>
              <w:rPr>
                <w:rFonts w:cs="Arial"/>
                <w:sz w:val="24"/>
                <w:szCs w:val="24"/>
              </w:rPr>
            </w:pPr>
          </w:p>
        </w:tc>
      </w:tr>
    </w:tbl>
    <w:p w14:paraId="1A349BDE" w14:textId="77777777" w:rsidR="00CB5794" w:rsidRPr="007061C9" w:rsidRDefault="00CB5794" w:rsidP="00CB5794">
      <w:pPr>
        <w:rPr>
          <w:rFonts w:ascii="Arial" w:hAnsi="Arial" w:cs="Arial"/>
        </w:rPr>
      </w:pPr>
    </w:p>
    <w:p w14:paraId="472CDFB8" w14:textId="37741ABF" w:rsidR="0093472F" w:rsidRDefault="0093472F" w:rsidP="00A8589B">
      <w:pPr>
        <w:spacing w:after="160" w:line="480" w:lineRule="auto"/>
        <w:jc w:val="both"/>
        <w:rPr>
          <w:rFonts w:cs="Times New Roman"/>
          <w:b/>
        </w:rPr>
      </w:pPr>
    </w:p>
    <w:p w14:paraId="7C32D86A" w14:textId="77777777" w:rsidR="009776EB" w:rsidRDefault="009776EB" w:rsidP="00A8589B">
      <w:pPr>
        <w:spacing w:after="160" w:line="480" w:lineRule="auto"/>
        <w:jc w:val="both"/>
        <w:rPr>
          <w:rFonts w:cs="Times New Roman"/>
          <w:b/>
        </w:rPr>
      </w:pPr>
    </w:p>
    <w:p w14:paraId="2B65D54E" w14:textId="232B1762" w:rsidR="008338A5" w:rsidRPr="00E879B4" w:rsidRDefault="008338A5" w:rsidP="00A8589B">
      <w:pPr>
        <w:spacing w:after="160" w:line="480" w:lineRule="auto"/>
        <w:jc w:val="both"/>
        <w:rPr>
          <w:rFonts w:cs="Times New Roman"/>
          <w:b/>
          <w:sz w:val="32"/>
          <w:szCs w:val="32"/>
        </w:rPr>
      </w:pPr>
      <w:r w:rsidRPr="00E879B4">
        <w:rPr>
          <w:rFonts w:cs="Times New Roman"/>
          <w:b/>
          <w:sz w:val="32"/>
          <w:szCs w:val="32"/>
        </w:rPr>
        <w:t>M</w:t>
      </w:r>
      <w:r w:rsidR="00683C0D" w:rsidRPr="00E879B4">
        <w:rPr>
          <w:rFonts w:cs="Times New Roman"/>
          <w:b/>
          <w:sz w:val="32"/>
          <w:szCs w:val="32"/>
        </w:rPr>
        <w:t>ental h</w:t>
      </w:r>
      <w:r w:rsidR="007323EB" w:rsidRPr="00E879B4">
        <w:rPr>
          <w:rFonts w:cs="Times New Roman"/>
          <w:b/>
          <w:sz w:val="32"/>
          <w:szCs w:val="32"/>
        </w:rPr>
        <w:t>ealth and substance use</w:t>
      </w:r>
    </w:p>
    <w:p w14:paraId="7CB4CEA0" w14:textId="741613BD" w:rsidR="007323EB" w:rsidRDefault="007323EB" w:rsidP="00A8589B">
      <w:pPr>
        <w:spacing w:after="160" w:line="480" w:lineRule="auto"/>
        <w:jc w:val="both"/>
        <w:rPr>
          <w:rFonts w:cs="Times New Roman"/>
        </w:rPr>
      </w:pPr>
      <w:r w:rsidRPr="00CC3ABA">
        <w:rPr>
          <w:rFonts w:cs="Times New Roman"/>
        </w:rPr>
        <w:t>Mean (S</w:t>
      </w:r>
      <w:r w:rsidR="00683C0D" w:rsidRPr="00CC3ABA">
        <w:rPr>
          <w:rFonts w:cs="Times New Roman"/>
        </w:rPr>
        <w:t xml:space="preserve">D) scores for the mental health </w:t>
      </w:r>
      <w:r w:rsidRPr="00CC3ABA">
        <w:rPr>
          <w:rFonts w:cs="Times New Roman"/>
        </w:rPr>
        <w:t xml:space="preserve">and substance use </w:t>
      </w:r>
      <w:r w:rsidR="00683C0D" w:rsidRPr="00CC3ABA">
        <w:rPr>
          <w:rFonts w:cs="Times New Roman"/>
        </w:rPr>
        <w:t xml:space="preserve">measures </w:t>
      </w:r>
      <w:r w:rsidR="00487DF9" w:rsidRPr="00CC3ABA">
        <w:rPr>
          <w:rFonts w:cs="Times New Roman"/>
        </w:rPr>
        <w:t xml:space="preserve">for those participants who were retained in the study through to the 24 week follow up </w:t>
      </w:r>
      <w:r w:rsidR="00683C0D" w:rsidRPr="00CC3ABA">
        <w:rPr>
          <w:rFonts w:cs="Times New Roman"/>
        </w:rPr>
        <w:t xml:space="preserve">are presented in </w:t>
      </w:r>
      <w:r w:rsidR="00704F0C">
        <w:rPr>
          <w:rFonts w:cs="Times New Roman"/>
        </w:rPr>
        <w:t>T</w:t>
      </w:r>
      <w:r w:rsidR="00683C0D" w:rsidRPr="00CC3ABA">
        <w:rPr>
          <w:rFonts w:cs="Times New Roman"/>
        </w:rPr>
        <w:t xml:space="preserve">able </w:t>
      </w:r>
      <w:r w:rsidR="00683C0D" w:rsidRPr="00CD4A51">
        <w:rPr>
          <w:rFonts w:cs="Times New Roman"/>
        </w:rPr>
        <w:t>4</w:t>
      </w:r>
      <w:r w:rsidR="008C0CDC" w:rsidRPr="00CD4A51">
        <w:rPr>
          <w:rFonts w:cs="Times New Roman"/>
        </w:rPr>
        <w:t>.</w:t>
      </w:r>
      <w:r w:rsidR="00840AF7">
        <w:rPr>
          <w:rFonts w:cs="Times New Roman"/>
        </w:rPr>
        <w:t xml:space="preserve"> </w:t>
      </w:r>
      <w:r w:rsidR="008C0CDC" w:rsidRPr="00CC3ABA">
        <w:rPr>
          <w:rFonts w:cs="Times New Roman"/>
        </w:rPr>
        <w:t xml:space="preserve">Both </w:t>
      </w:r>
      <w:r w:rsidR="00FB0D18">
        <w:rPr>
          <w:rFonts w:cs="Times New Roman"/>
        </w:rPr>
        <w:t>GAD-7</w:t>
      </w:r>
      <w:r w:rsidR="008C0CDC" w:rsidRPr="00CC3ABA">
        <w:rPr>
          <w:rFonts w:cs="Times New Roman"/>
        </w:rPr>
        <w:t xml:space="preserve"> anxiety and </w:t>
      </w:r>
      <w:r w:rsidR="00FB0D18">
        <w:rPr>
          <w:rFonts w:cs="Times New Roman"/>
        </w:rPr>
        <w:t>PHQ-9</w:t>
      </w:r>
      <w:r w:rsidR="008C0CDC" w:rsidRPr="00CC3ABA">
        <w:rPr>
          <w:rFonts w:cs="Times New Roman"/>
        </w:rPr>
        <w:t xml:space="preserve"> depression scores </w:t>
      </w:r>
      <w:r w:rsidR="00CE1AAF">
        <w:rPr>
          <w:rFonts w:cs="Times New Roman"/>
        </w:rPr>
        <w:t xml:space="preserve">showed a </w:t>
      </w:r>
      <w:r w:rsidR="00487DF9" w:rsidRPr="00CC3ABA">
        <w:rPr>
          <w:rFonts w:cs="Times New Roman"/>
        </w:rPr>
        <w:t>steadily</w:t>
      </w:r>
      <w:r w:rsidR="00CE1AAF">
        <w:rPr>
          <w:rFonts w:cs="Times New Roman"/>
        </w:rPr>
        <w:t xml:space="preserve"> decline </w:t>
      </w:r>
      <w:r w:rsidR="008C0CDC" w:rsidRPr="00CC3ABA">
        <w:rPr>
          <w:rFonts w:cs="Times New Roman"/>
        </w:rPr>
        <w:t xml:space="preserve">from baseline </w:t>
      </w:r>
      <w:r w:rsidR="00487DF9" w:rsidRPr="00CC3ABA">
        <w:rPr>
          <w:rFonts w:cs="Times New Roman"/>
        </w:rPr>
        <w:t>to the 24 week follow up.</w:t>
      </w:r>
      <w:r w:rsidR="00840AF7">
        <w:rPr>
          <w:rFonts w:cs="Times New Roman"/>
        </w:rPr>
        <w:t xml:space="preserve"> </w:t>
      </w:r>
      <w:r w:rsidR="00487DF9" w:rsidRPr="00CC3ABA">
        <w:rPr>
          <w:rFonts w:cs="Times New Roman"/>
        </w:rPr>
        <w:t xml:space="preserve">A similar decline in AUDIT scores was also evident </w:t>
      </w:r>
      <w:r w:rsidR="00884784" w:rsidRPr="00CC3ABA">
        <w:rPr>
          <w:rFonts w:cs="Times New Roman"/>
        </w:rPr>
        <w:t xml:space="preserve">although SDS remained stable. </w:t>
      </w:r>
    </w:p>
    <w:p w14:paraId="60376A4F" w14:textId="6DC98F51" w:rsidR="00CC0532" w:rsidRPr="008730EC" w:rsidRDefault="00CC0532" w:rsidP="008730EC">
      <w:pPr>
        <w:spacing w:after="120"/>
        <w:rPr>
          <w:b/>
        </w:rPr>
      </w:pPr>
      <w:r>
        <w:rPr>
          <w:rFonts w:cs="Times New Roman"/>
          <w:b/>
        </w:rPr>
        <w:t xml:space="preserve">Table 4: Mental health and substance use </w:t>
      </w:r>
      <w:r w:rsidR="008730EC" w:rsidRPr="008730EC">
        <w:rPr>
          <w:b/>
        </w:rPr>
        <w:t>at baseline and each follow up time point for the e-cigarette (EC) and usual care (UC) arms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3"/>
        <w:gridCol w:w="1651"/>
        <w:gridCol w:w="1652"/>
        <w:gridCol w:w="1652"/>
      </w:tblGrid>
      <w:tr w:rsidR="00610D2B" w:rsidRPr="00E75631" w14:paraId="7DE36B19" w14:textId="77777777" w:rsidTr="00064FB3">
        <w:tc>
          <w:tcPr>
            <w:tcW w:w="2403" w:type="dxa"/>
            <w:tcBorders>
              <w:top w:val="single" w:sz="4" w:space="0" w:color="auto"/>
              <w:bottom w:val="single" w:sz="4" w:space="0" w:color="auto"/>
            </w:tcBorders>
          </w:tcPr>
          <w:p w14:paraId="261224E8" w14:textId="77777777" w:rsidR="00610D2B" w:rsidRPr="00E75631" w:rsidRDefault="00610D2B" w:rsidP="00B861C5">
            <w:pPr>
              <w:jc w:val="center"/>
              <w:rPr>
                <w:rFonts w:cs="Arial"/>
                <w:b/>
                <w:sz w:val="24"/>
                <w:szCs w:val="24"/>
              </w:rPr>
            </w:pPr>
          </w:p>
        </w:tc>
        <w:tc>
          <w:tcPr>
            <w:tcW w:w="1651" w:type="dxa"/>
            <w:tcBorders>
              <w:top w:val="single" w:sz="4" w:space="0" w:color="auto"/>
              <w:bottom w:val="single" w:sz="4" w:space="0" w:color="auto"/>
            </w:tcBorders>
          </w:tcPr>
          <w:p w14:paraId="211EA2E9" w14:textId="77777777" w:rsidR="00610D2B" w:rsidRPr="00E75631" w:rsidRDefault="00610D2B" w:rsidP="00B861C5">
            <w:pPr>
              <w:jc w:val="center"/>
              <w:rPr>
                <w:rFonts w:cs="Arial"/>
                <w:b/>
                <w:sz w:val="24"/>
                <w:szCs w:val="24"/>
              </w:rPr>
            </w:pPr>
            <w:r w:rsidRPr="00E75631">
              <w:rPr>
                <w:rFonts w:cs="Arial"/>
                <w:b/>
                <w:sz w:val="24"/>
                <w:szCs w:val="24"/>
              </w:rPr>
              <w:t xml:space="preserve">Total </w:t>
            </w:r>
          </w:p>
        </w:tc>
        <w:tc>
          <w:tcPr>
            <w:tcW w:w="1652" w:type="dxa"/>
            <w:tcBorders>
              <w:top w:val="single" w:sz="4" w:space="0" w:color="auto"/>
              <w:bottom w:val="single" w:sz="4" w:space="0" w:color="auto"/>
            </w:tcBorders>
          </w:tcPr>
          <w:p w14:paraId="2F5C9B30" w14:textId="77777777" w:rsidR="00610D2B" w:rsidRPr="00E75631" w:rsidRDefault="00610D2B" w:rsidP="00B861C5">
            <w:pPr>
              <w:jc w:val="center"/>
              <w:rPr>
                <w:rFonts w:cs="Arial"/>
                <w:b/>
                <w:sz w:val="24"/>
                <w:szCs w:val="24"/>
              </w:rPr>
            </w:pPr>
            <w:r w:rsidRPr="00E75631">
              <w:rPr>
                <w:rFonts w:cs="Arial"/>
                <w:b/>
                <w:sz w:val="24"/>
                <w:szCs w:val="24"/>
              </w:rPr>
              <w:t>EC Arm</w:t>
            </w:r>
          </w:p>
        </w:tc>
        <w:tc>
          <w:tcPr>
            <w:tcW w:w="1652" w:type="dxa"/>
            <w:tcBorders>
              <w:top w:val="single" w:sz="4" w:space="0" w:color="auto"/>
              <w:bottom w:val="single" w:sz="4" w:space="0" w:color="auto"/>
            </w:tcBorders>
          </w:tcPr>
          <w:p w14:paraId="0EBA526A" w14:textId="77777777" w:rsidR="00610D2B" w:rsidRPr="00E75631" w:rsidRDefault="00610D2B" w:rsidP="00B861C5">
            <w:pPr>
              <w:jc w:val="center"/>
              <w:rPr>
                <w:rFonts w:cs="Arial"/>
                <w:b/>
                <w:sz w:val="24"/>
                <w:szCs w:val="24"/>
              </w:rPr>
            </w:pPr>
            <w:r w:rsidRPr="00E75631">
              <w:rPr>
                <w:rFonts w:cs="Arial"/>
                <w:b/>
                <w:sz w:val="24"/>
                <w:szCs w:val="24"/>
              </w:rPr>
              <w:t>UC Arm</w:t>
            </w:r>
          </w:p>
        </w:tc>
      </w:tr>
      <w:tr w:rsidR="00610D2B" w:rsidRPr="00E75631" w14:paraId="6323DB4B" w14:textId="77777777" w:rsidTr="00064FB3">
        <w:tc>
          <w:tcPr>
            <w:tcW w:w="2403" w:type="dxa"/>
            <w:tcBorders>
              <w:top w:val="single" w:sz="4" w:space="0" w:color="auto"/>
            </w:tcBorders>
          </w:tcPr>
          <w:p w14:paraId="189091B3" w14:textId="41DDCC66" w:rsidR="00610D2B" w:rsidRPr="00E75631" w:rsidRDefault="00610D2B" w:rsidP="00B861C5">
            <w:pPr>
              <w:rPr>
                <w:rFonts w:cs="Arial"/>
                <w:b/>
                <w:sz w:val="24"/>
                <w:szCs w:val="24"/>
              </w:rPr>
            </w:pPr>
            <w:r>
              <w:rPr>
                <w:rFonts w:cs="Arial"/>
                <w:b/>
                <w:sz w:val="24"/>
                <w:szCs w:val="24"/>
              </w:rPr>
              <w:t>GAD-7</w:t>
            </w:r>
          </w:p>
          <w:p w14:paraId="7D323DFD" w14:textId="77777777" w:rsidR="00610D2B" w:rsidRPr="00E75631" w:rsidRDefault="00610D2B" w:rsidP="00B861C5">
            <w:pPr>
              <w:rPr>
                <w:rFonts w:cs="Arial"/>
                <w:b/>
                <w:sz w:val="24"/>
                <w:szCs w:val="24"/>
              </w:rPr>
            </w:pPr>
            <w:r w:rsidRPr="00E75631">
              <w:rPr>
                <w:rFonts w:cs="Arial"/>
                <w:sz w:val="24"/>
                <w:szCs w:val="24"/>
              </w:rPr>
              <w:t>N</w:t>
            </w:r>
          </w:p>
        </w:tc>
        <w:tc>
          <w:tcPr>
            <w:tcW w:w="1651" w:type="dxa"/>
            <w:tcBorders>
              <w:top w:val="single" w:sz="4" w:space="0" w:color="auto"/>
            </w:tcBorders>
          </w:tcPr>
          <w:p w14:paraId="0B811B6F" w14:textId="77777777" w:rsidR="00610D2B" w:rsidRPr="00E75631" w:rsidRDefault="00610D2B" w:rsidP="00B861C5">
            <w:pPr>
              <w:rPr>
                <w:rFonts w:cs="Arial"/>
                <w:sz w:val="24"/>
                <w:szCs w:val="24"/>
              </w:rPr>
            </w:pPr>
          </w:p>
          <w:p w14:paraId="73062300" w14:textId="77777777" w:rsidR="00610D2B" w:rsidRPr="00E75631" w:rsidRDefault="00610D2B" w:rsidP="00B861C5">
            <w:pPr>
              <w:rPr>
                <w:rFonts w:cs="Arial"/>
                <w:sz w:val="24"/>
                <w:szCs w:val="24"/>
              </w:rPr>
            </w:pPr>
            <w:r w:rsidRPr="00E75631">
              <w:rPr>
                <w:rFonts w:cs="Arial"/>
                <w:sz w:val="24"/>
                <w:szCs w:val="24"/>
              </w:rPr>
              <w:t>37</w:t>
            </w:r>
          </w:p>
        </w:tc>
        <w:tc>
          <w:tcPr>
            <w:tcW w:w="1652" w:type="dxa"/>
            <w:tcBorders>
              <w:top w:val="single" w:sz="4" w:space="0" w:color="auto"/>
            </w:tcBorders>
          </w:tcPr>
          <w:p w14:paraId="4D79A13F" w14:textId="77777777" w:rsidR="00610D2B" w:rsidRPr="00E75631" w:rsidRDefault="00610D2B" w:rsidP="00B861C5">
            <w:pPr>
              <w:rPr>
                <w:rFonts w:cs="Arial"/>
                <w:sz w:val="24"/>
                <w:szCs w:val="24"/>
              </w:rPr>
            </w:pPr>
          </w:p>
          <w:p w14:paraId="4E2BDD9B" w14:textId="77777777" w:rsidR="00610D2B" w:rsidRPr="00E75631" w:rsidRDefault="00610D2B" w:rsidP="00B861C5">
            <w:pPr>
              <w:rPr>
                <w:rFonts w:cs="Arial"/>
                <w:sz w:val="24"/>
                <w:szCs w:val="24"/>
              </w:rPr>
            </w:pPr>
            <w:r w:rsidRPr="00E75631">
              <w:rPr>
                <w:rFonts w:cs="Arial"/>
                <w:sz w:val="24"/>
                <w:szCs w:val="24"/>
              </w:rPr>
              <w:t>27</w:t>
            </w:r>
          </w:p>
        </w:tc>
        <w:tc>
          <w:tcPr>
            <w:tcW w:w="1652" w:type="dxa"/>
            <w:tcBorders>
              <w:top w:val="single" w:sz="4" w:space="0" w:color="auto"/>
            </w:tcBorders>
          </w:tcPr>
          <w:p w14:paraId="03E1567C" w14:textId="77777777" w:rsidR="00610D2B" w:rsidRPr="00E75631" w:rsidRDefault="00610D2B" w:rsidP="00B861C5">
            <w:pPr>
              <w:rPr>
                <w:rFonts w:cs="Arial"/>
                <w:sz w:val="24"/>
                <w:szCs w:val="24"/>
              </w:rPr>
            </w:pPr>
          </w:p>
          <w:p w14:paraId="76BF77FC" w14:textId="77777777" w:rsidR="00610D2B" w:rsidRPr="00E75631" w:rsidRDefault="00610D2B" w:rsidP="00B861C5">
            <w:pPr>
              <w:rPr>
                <w:rFonts w:cs="Arial"/>
                <w:sz w:val="24"/>
                <w:szCs w:val="24"/>
              </w:rPr>
            </w:pPr>
            <w:r w:rsidRPr="00E75631">
              <w:rPr>
                <w:rFonts w:cs="Arial"/>
                <w:sz w:val="24"/>
                <w:szCs w:val="24"/>
              </w:rPr>
              <w:t>10</w:t>
            </w:r>
          </w:p>
        </w:tc>
      </w:tr>
      <w:tr w:rsidR="00610D2B" w:rsidRPr="00E75631" w14:paraId="417B9A1F" w14:textId="77777777" w:rsidTr="00064FB3">
        <w:tc>
          <w:tcPr>
            <w:tcW w:w="2403" w:type="dxa"/>
          </w:tcPr>
          <w:p w14:paraId="71A0C4E1" w14:textId="77777777" w:rsidR="00610D2B" w:rsidRPr="00E75631" w:rsidRDefault="00610D2B" w:rsidP="00B861C5">
            <w:pPr>
              <w:rPr>
                <w:rFonts w:cs="Arial"/>
                <w:sz w:val="24"/>
                <w:szCs w:val="24"/>
              </w:rPr>
            </w:pPr>
            <w:r w:rsidRPr="00E75631">
              <w:rPr>
                <w:rFonts w:cs="Arial"/>
                <w:sz w:val="24"/>
                <w:szCs w:val="24"/>
              </w:rPr>
              <w:t xml:space="preserve"> Baseline: Mean (SD)</w:t>
            </w:r>
          </w:p>
        </w:tc>
        <w:tc>
          <w:tcPr>
            <w:tcW w:w="1651" w:type="dxa"/>
          </w:tcPr>
          <w:p w14:paraId="3FADD683" w14:textId="77777777" w:rsidR="00610D2B" w:rsidRPr="00E75631" w:rsidRDefault="00610D2B" w:rsidP="00B861C5">
            <w:pPr>
              <w:rPr>
                <w:rFonts w:cs="Arial"/>
                <w:sz w:val="24"/>
                <w:szCs w:val="24"/>
              </w:rPr>
            </w:pPr>
            <w:r w:rsidRPr="00E75631">
              <w:rPr>
                <w:rFonts w:cs="Arial"/>
                <w:sz w:val="24"/>
                <w:szCs w:val="24"/>
              </w:rPr>
              <w:t>10.08 (6.91)</w:t>
            </w:r>
          </w:p>
        </w:tc>
        <w:tc>
          <w:tcPr>
            <w:tcW w:w="1652" w:type="dxa"/>
          </w:tcPr>
          <w:p w14:paraId="0B0B334A" w14:textId="77777777" w:rsidR="00610D2B" w:rsidRPr="00E75631" w:rsidRDefault="00610D2B" w:rsidP="00B861C5">
            <w:pPr>
              <w:rPr>
                <w:rFonts w:cs="Arial"/>
                <w:sz w:val="24"/>
                <w:szCs w:val="24"/>
              </w:rPr>
            </w:pPr>
            <w:r w:rsidRPr="00E75631">
              <w:rPr>
                <w:rFonts w:cs="Arial"/>
                <w:sz w:val="24"/>
                <w:szCs w:val="24"/>
              </w:rPr>
              <w:t>8.48 (6.81)</w:t>
            </w:r>
          </w:p>
        </w:tc>
        <w:tc>
          <w:tcPr>
            <w:tcW w:w="1652" w:type="dxa"/>
          </w:tcPr>
          <w:p w14:paraId="47BB4D3D" w14:textId="77777777" w:rsidR="00610D2B" w:rsidRPr="00E75631" w:rsidRDefault="00610D2B" w:rsidP="00B861C5">
            <w:pPr>
              <w:rPr>
                <w:rFonts w:cs="Arial"/>
                <w:sz w:val="24"/>
                <w:szCs w:val="24"/>
              </w:rPr>
            </w:pPr>
            <w:r w:rsidRPr="00E75631">
              <w:rPr>
                <w:rFonts w:cs="Arial"/>
                <w:sz w:val="24"/>
                <w:szCs w:val="24"/>
              </w:rPr>
              <w:t>14.40 (5.36)</w:t>
            </w:r>
          </w:p>
        </w:tc>
      </w:tr>
      <w:tr w:rsidR="00610D2B" w:rsidRPr="00E75631" w14:paraId="5951B637" w14:textId="77777777" w:rsidTr="00064FB3">
        <w:tc>
          <w:tcPr>
            <w:tcW w:w="2403" w:type="dxa"/>
          </w:tcPr>
          <w:p w14:paraId="3DD47765" w14:textId="77777777" w:rsidR="00610D2B" w:rsidRPr="00E75631" w:rsidRDefault="00610D2B" w:rsidP="00B861C5">
            <w:pPr>
              <w:rPr>
                <w:rFonts w:cs="Arial"/>
                <w:sz w:val="24"/>
                <w:szCs w:val="24"/>
              </w:rPr>
            </w:pPr>
            <w:r w:rsidRPr="00E75631">
              <w:rPr>
                <w:rFonts w:cs="Arial"/>
                <w:sz w:val="24"/>
                <w:szCs w:val="24"/>
              </w:rPr>
              <w:t xml:space="preserve"> 4 weeks: Mean (SD)</w:t>
            </w:r>
          </w:p>
        </w:tc>
        <w:tc>
          <w:tcPr>
            <w:tcW w:w="1651" w:type="dxa"/>
          </w:tcPr>
          <w:p w14:paraId="1AF53942" w14:textId="77777777" w:rsidR="00610D2B" w:rsidRPr="00E75631" w:rsidRDefault="00610D2B" w:rsidP="00B861C5">
            <w:pPr>
              <w:rPr>
                <w:rFonts w:cs="Arial"/>
                <w:sz w:val="24"/>
                <w:szCs w:val="24"/>
              </w:rPr>
            </w:pPr>
            <w:r w:rsidRPr="00E75631">
              <w:rPr>
                <w:rFonts w:cs="Arial"/>
                <w:sz w:val="24"/>
                <w:szCs w:val="24"/>
              </w:rPr>
              <w:t>9.11 (6.81)</w:t>
            </w:r>
          </w:p>
        </w:tc>
        <w:tc>
          <w:tcPr>
            <w:tcW w:w="1652" w:type="dxa"/>
          </w:tcPr>
          <w:p w14:paraId="4CA24B1A" w14:textId="77777777" w:rsidR="00610D2B" w:rsidRPr="00E75631" w:rsidRDefault="00610D2B" w:rsidP="00B861C5">
            <w:pPr>
              <w:rPr>
                <w:rFonts w:cs="Arial"/>
                <w:sz w:val="24"/>
                <w:szCs w:val="24"/>
              </w:rPr>
            </w:pPr>
            <w:r w:rsidRPr="00E75631">
              <w:rPr>
                <w:rFonts w:cs="Arial"/>
                <w:sz w:val="24"/>
                <w:szCs w:val="24"/>
              </w:rPr>
              <w:t>7.15 6.38)</w:t>
            </w:r>
          </w:p>
        </w:tc>
        <w:tc>
          <w:tcPr>
            <w:tcW w:w="1652" w:type="dxa"/>
          </w:tcPr>
          <w:p w14:paraId="09281225" w14:textId="77777777" w:rsidR="00610D2B" w:rsidRPr="00E75631" w:rsidRDefault="00610D2B" w:rsidP="00B861C5">
            <w:pPr>
              <w:rPr>
                <w:rFonts w:cs="Arial"/>
                <w:sz w:val="24"/>
                <w:szCs w:val="24"/>
              </w:rPr>
            </w:pPr>
            <w:r w:rsidRPr="00E75631">
              <w:rPr>
                <w:rFonts w:cs="Arial"/>
                <w:sz w:val="24"/>
                <w:szCs w:val="24"/>
              </w:rPr>
              <w:t>14.40 (5.02)</w:t>
            </w:r>
          </w:p>
        </w:tc>
      </w:tr>
      <w:tr w:rsidR="00610D2B" w:rsidRPr="00E75631" w14:paraId="654A28C2" w14:textId="77777777" w:rsidTr="00064FB3">
        <w:tc>
          <w:tcPr>
            <w:tcW w:w="2403" w:type="dxa"/>
          </w:tcPr>
          <w:p w14:paraId="2EC840C3" w14:textId="77777777" w:rsidR="00610D2B" w:rsidRPr="00E75631" w:rsidRDefault="00610D2B" w:rsidP="00B861C5">
            <w:pPr>
              <w:rPr>
                <w:rFonts w:cs="Arial"/>
                <w:sz w:val="24"/>
                <w:szCs w:val="24"/>
              </w:rPr>
            </w:pPr>
            <w:r w:rsidRPr="00E75631">
              <w:rPr>
                <w:rFonts w:cs="Arial"/>
                <w:sz w:val="24"/>
                <w:szCs w:val="24"/>
              </w:rPr>
              <w:t xml:space="preserve"> 12 weeks: Mean (SD)</w:t>
            </w:r>
          </w:p>
        </w:tc>
        <w:tc>
          <w:tcPr>
            <w:tcW w:w="1651" w:type="dxa"/>
          </w:tcPr>
          <w:p w14:paraId="53693814" w14:textId="77777777" w:rsidR="00610D2B" w:rsidRPr="00E75631" w:rsidRDefault="00610D2B" w:rsidP="00B861C5">
            <w:pPr>
              <w:rPr>
                <w:rFonts w:cs="Arial"/>
                <w:sz w:val="24"/>
                <w:szCs w:val="24"/>
              </w:rPr>
            </w:pPr>
            <w:r w:rsidRPr="00E75631">
              <w:rPr>
                <w:rFonts w:cs="Arial"/>
                <w:sz w:val="24"/>
                <w:szCs w:val="24"/>
              </w:rPr>
              <w:t>8.27 (7.12)</w:t>
            </w:r>
          </w:p>
        </w:tc>
        <w:tc>
          <w:tcPr>
            <w:tcW w:w="1652" w:type="dxa"/>
          </w:tcPr>
          <w:p w14:paraId="06993CCC" w14:textId="77777777" w:rsidR="00610D2B" w:rsidRPr="00E75631" w:rsidRDefault="00610D2B" w:rsidP="00B861C5">
            <w:pPr>
              <w:rPr>
                <w:rFonts w:cs="Arial"/>
                <w:sz w:val="24"/>
                <w:szCs w:val="24"/>
              </w:rPr>
            </w:pPr>
            <w:r w:rsidRPr="00E75631">
              <w:rPr>
                <w:rFonts w:cs="Arial"/>
                <w:sz w:val="24"/>
                <w:szCs w:val="24"/>
              </w:rPr>
              <w:t>6.44 (6.54)</w:t>
            </w:r>
          </w:p>
        </w:tc>
        <w:tc>
          <w:tcPr>
            <w:tcW w:w="1652" w:type="dxa"/>
          </w:tcPr>
          <w:p w14:paraId="3FBE164E" w14:textId="77777777" w:rsidR="00610D2B" w:rsidRPr="00E75631" w:rsidRDefault="00610D2B" w:rsidP="00B861C5">
            <w:pPr>
              <w:rPr>
                <w:rFonts w:cs="Arial"/>
                <w:sz w:val="24"/>
                <w:szCs w:val="24"/>
              </w:rPr>
            </w:pPr>
            <w:r w:rsidRPr="00E75631">
              <w:rPr>
                <w:rFonts w:cs="Arial"/>
                <w:sz w:val="24"/>
                <w:szCs w:val="24"/>
              </w:rPr>
              <w:t>13.20 (6.49)</w:t>
            </w:r>
          </w:p>
        </w:tc>
      </w:tr>
      <w:tr w:rsidR="00610D2B" w:rsidRPr="00E75631" w14:paraId="296CF106" w14:textId="77777777" w:rsidTr="00064FB3">
        <w:tc>
          <w:tcPr>
            <w:tcW w:w="2403" w:type="dxa"/>
          </w:tcPr>
          <w:p w14:paraId="690A804D" w14:textId="77777777" w:rsidR="00610D2B" w:rsidRPr="00E75631" w:rsidRDefault="00610D2B" w:rsidP="00B861C5">
            <w:pPr>
              <w:rPr>
                <w:rFonts w:cs="Arial"/>
                <w:sz w:val="24"/>
                <w:szCs w:val="24"/>
              </w:rPr>
            </w:pPr>
            <w:r w:rsidRPr="00E75631">
              <w:rPr>
                <w:rFonts w:cs="Arial"/>
                <w:sz w:val="24"/>
                <w:szCs w:val="24"/>
              </w:rPr>
              <w:t xml:space="preserve"> 24 weeks: Mean (SD)</w:t>
            </w:r>
          </w:p>
        </w:tc>
        <w:tc>
          <w:tcPr>
            <w:tcW w:w="1651" w:type="dxa"/>
          </w:tcPr>
          <w:p w14:paraId="52E90468" w14:textId="77777777" w:rsidR="00610D2B" w:rsidRPr="00E75631" w:rsidRDefault="00610D2B" w:rsidP="00B861C5">
            <w:pPr>
              <w:rPr>
                <w:rFonts w:cs="Arial"/>
                <w:sz w:val="24"/>
                <w:szCs w:val="24"/>
              </w:rPr>
            </w:pPr>
            <w:r w:rsidRPr="00E75631">
              <w:rPr>
                <w:rFonts w:cs="Arial"/>
                <w:sz w:val="24"/>
                <w:szCs w:val="24"/>
              </w:rPr>
              <w:t>7.54 (6.64)</w:t>
            </w:r>
          </w:p>
        </w:tc>
        <w:tc>
          <w:tcPr>
            <w:tcW w:w="1652" w:type="dxa"/>
          </w:tcPr>
          <w:p w14:paraId="505ADBFA" w14:textId="77777777" w:rsidR="00610D2B" w:rsidRPr="00E75631" w:rsidRDefault="00610D2B" w:rsidP="00B861C5">
            <w:pPr>
              <w:rPr>
                <w:rFonts w:cs="Arial"/>
                <w:sz w:val="24"/>
                <w:szCs w:val="24"/>
              </w:rPr>
            </w:pPr>
            <w:r w:rsidRPr="00E75631">
              <w:rPr>
                <w:rFonts w:cs="Arial"/>
                <w:sz w:val="24"/>
                <w:szCs w:val="24"/>
              </w:rPr>
              <w:t>5.63 (6.34)</w:t>
            </w:r>
          </w:p>
        </w:tc>
        <w:tc>
          <w:tcPr>
            <w:tcW w:w="1652" w:type="dxa"/>
          </w:tcPr>
          <w:p w14:paraId="48B5E9A0" w14:textId="77777777" w:rsidR="00610D2B" w:rsidRPr="00E75631" w:rsidRDefault="00610D2B" w:rsidP="00B861C5">
            <w:pPr>
              <w:rPr>
                <w:rFonts w:cs="Arial"/>
                <w:sz w:val="24"/>
                <w:szCs w:val="24"/>
              </w:rPr>
            </w:pPr>
            <w:r w:rsidRPr="00E75631">
              <w:rPr>
                <w:rFonts w:cs="Arial"/>
                <w:sz w:val="24"/>
                <w:szCs w:val="24"/>
              </w:rPr>
              <w:t>12.70 (4.42)</w:t>
            </w:r>
          </w:p>
        </w:tc>
      </w:tr>
      <w:tr w:rsidR="00610D2B" w:rsidRPr="00E75631" w14:paraId="7E2768D1" w14:textId="77777777" w:rsidTr="00064FB3">
        <w:tc>
          <w:tcPr>
            <w:tcW w:w="2403" w:type="dxa"/>
          </w:tcPr>
          <w:p w14:paraId="53674CDE" w14:textId="77777777" w:rsidR="00610D2B" w:rsidRPr="00E75631" w:rsidRDefault="00610D2B" w:rsidP="00B861C5">
            <w:pPr>
              <w:rPr>
                <w:rFonts w:cs="Arial"/>
                <w:sz w:val="24"/>
                <w:szCs w:val="24"/>
              </w:rPr>
            </w:pPr>
          </w:p>
        </w:tc>
        <w:tc>
          <w:tcPr>
            <w:tcW w:w="1651" w:type="dxa"/>
          </w:tcPr>
          <w:p w14:paraId="3CFCCABF" w14:textId="77777777" w:rsidR="00610D2B" w:rsidRPr="00E75631" w:rsidRDefault="00610D2B" w:rsidP="00B861C5">
            <w:pPr>
              <w:rPr>
                <w:rFonts w:cs="Arial"/>
                <w:sz w:val="24"/>
                <w:szCs w:val="24"/>
              </w:rPr>
            </w:pPr>
          </w:p>
        </w:tc>
        <w:tc>
          <w:tcPr>
            <w:tcW w:w="1652" w:type="dxa"/>
          </w:tcPr>
          <w:p w14:paraId="48FAE305" w14:textId="77777777" w:rsidR="00610D2B" w:rsidRPr="00E75631" w:rsidRDefault="00610D2B" w:rsidP="00B861C5">
            <w:pPr>
              <w:rPr>
                <w:rFonts w:cs="Arial"/>
                <w:sz w:val="24"/>
                <w:szCs w:val="24"/>
              </w:rPr>
            </w:pPr>
          </w:p>
        </w:tc>
        <w:tc>
          <w:tcPr>
            <w:tcW w:w="1652" w:type="dxa"/>
          </w:tcPr>
          <w:p w14:paraId="5BE4044A" w14:textId="77777777" w:rsidR="00610D2B" w:rsidRPr="00E75631" w:rsidRDefault="00610D2B" w:rsidP="00B861C5">
            <w:pPr>
              <w:rPr>
                <w:rFonts w:cs="Arial"/>
                <w:sz w:val="24"/>
                <w:szCs w:val="24"/>
              </w:rPr>
            </w:pPr>
          </w:p>
        </w:tc>
      </w:tr>
      <w:tr w:rsidR="00610D2B" w:rsidRPr="00E75631" w14:paraId="50F76E1E" w14:textId="77777777" w:rsidTr="00064FB3">
        <w:tc>
          <w:tcPr>
            <w:tcW w:w="2403" w:type="dxa"/>
          </w:tcPr>
          <w:p w14:paraId="48ED1D6D" w14:textId="52DC45E9" w:rsidR="00610D2B" w:rsidRPr="00E75631" w:rsidRDefault="00610D2B" w:rsidP="00B861C5">
            <w:pPr>
              <w:rPr>
                <w:rFonts w:cs="Arial"/>
                <w:b/>
                <w:sz w:val="24"/>
                <w:szCs w:val="24"/>
              </w:rPr>
            </w:pPr>
            <w:r>
              <w:rPr>
                <w:rFonts w:cs="Arial"/>
                <w:b/>
                <w:sz w:val="24"/>
                <w:szCs w:val="24"/>
              </w:rPr>
              <w:t>PHQ-9</w:t>
            </w:r>
          </w:p>
          <w:p w14:paraId="4B8EB00B" w14:textId="77777777" w:rsidR="00610D2B" w:rsidRPr="00E75631" w:rsidRDefault="00610D2B" w:rsidP="00B861C5">
            <w:pPr>
              <w:rPr>
                <w:rFonts w:cs="Arial"/>
                <w:sz w:val="24"/>
                <w:szCs w:val="24"/>
              </w:rPr>
            </w:pPr>
            <w:r w:rsidRPr="00E75631">
              <w:rPr>
                <w:rFonts w:cs="Arial"/>
                <w:sz w:val="24"/>
                <w:szCs w:val="24"/>
              </w:rPr>
              <w:t>N</w:t>
            </w:r>
          </w:p>
        </w:tc>
        <w:tc>
          <w:tcPr>
            <w:tcW w:w="1651" w:type="dxa"/>
          </w:tcPr>
          <w:p w14:paraId="3C0480D8" w14:textId="77777777" w:rsidR="00610D2B" w:rsidRPr="00E75631" w:rsidRDefault="00610D2B" w:rsidP="00B861C5">
            <w:pPr>
              <w:rPr>
                <w:rFonts w:cs="Arial"/>
                <w:sz w:val="24"/>
                <w:szCs w:val="24"/>
              </w:rPr>
            </w:pPr>
          </w:p>
          <w:p w14:paraId="13CFB90F" w14:textId="77777777" w:rsidR="00610D2B" w:rsidRPr="00E75631" w:rsidRDefault="00610D2B" w:rsidP="00B861C5">
            <w:pPr>
              <w:rPr>
                <w:rFonts w:cs="Arial"/>
                <w:sz w:val="24"/>
                <w:szCs w:val="24"/>
              </w:rPr>
            </w:pPr>
            <w:r w:rsidRPr="00E75631">
              <w:rPr>
                <w:rFonts w:cs="Arial"/>
                <w:sz w:val="24"/>
                <w:szCs w:val="24"/>
              </w:rPr>
              <w:t>36</w:t>
            </w:r>
          </w:p>
          <w:p w14:paraId="22FB3F14" w14:textId="77777777" w:rsidR="00610D2B" w:rsidRPr="00E75631" w:rsidRDefault="00610D2B" w:rsidP="00B861C5">
            <w:pPr>
              <w:rPr>
                <w:rFonts w:cs="Arial"/>
                <w:sz w:val="24"/>
                <w:szCs w:val="24"/>
              </w:rPr>
            </w:pPr>
          </w:p>
        </w:tc>
        <w:tc>
          <w:tcPr>
            <w:tcW w:w="1652" w:type="dxa"/>
          </w:tcPr>
          <w:p w14:paraId="1BAFB8CF" w14:textId="77777777" w:rsidR="00610D2B" w:rsidRPr="00E75631" w:rsidRDefault="00610D2B" w:rsidP="00B861C5">
            <w:pPr>
              <w:rPr>
                <w:rFonts w:cs="Arial"/>
                <w:sz w:val="24"/>
                <w:szCs w:val="24"/>
              </w:rPr>
            </w:pPr>
          </w:p>
          <w:p w14:paraId="3F51AF2C" w14:textId="77777777" w:rsidR="00610D2B" w:rsidRPr="00E75631" w:rsidRDefault="00610D2B" w:rsidP="00B861C5">
            <w:pPr>
              <w:rPr>
                <w:rFonts w:cs="Arial"/>
                <w:sz w:val="24"/>
                <w:szCs w:val="24"/>
              </w:rPr>
            </w:pPr>
            <w:r w:rsidRPr="00E75631">
              <w:rPr>
                <w:rFonts w:cs="Arial"/>
                <w:sz w:val="24"/>
                <w:szCs w:val="24"/>
              </w:rPr>
              <w:t>25</w:t>
            </w:r>
          </w:p>
        </w:tc>
        <w:tc>
          <w:tcPr>
            <w:tcW w:w="1652" w:type="dxa"/>
          </w:tcPr>
          <w:p w14:paraId="3BB9F9E2" w14:textId="77777777" w:rsidR="00610D2B" w:rsidRPr="00E75631" w:rsidRDefault="00610D2B" w:rsidP="00B861C5">
            <w:pPr>
              <w:rPr>
                <w:rFonts w:cs="Arial"/>
                <w:sz w:val="24"/>
                <w:szCs w:val="24"/>
              </w:rPr>
            </w:pPr>
          </w:p>
          <w:p w14:paraId="68B43734" w14:textId="77777777" w:rsidR="00610D2B" w:rsidRPr="00E75631" w:rsidRDefault="00610D2B" w:rsidP="00B861C5">
            <w:pPr>
              <w:rPr>
                <w:rFonts w:cs="Arial"/>
                <w:sz w:val="24"/>
                <w:szCs w:val="24"/>
              </w:rPr>
            </w:pPr>
            <w:r w:rsidRPr="00E75631">
              <w:rPr>
                <w:rFonts w:cs="Arial"/>
                <w:sz w:val="24"/>
                <w:szCs w:val="24"/>
              </w:rPr>
              <w:t>11</w:t>
            </w:r>
          </w:p>
        </w:tc>
      </w:tr>
      <w:tr w:rsidR="00610D2B" w:rsidRPr="00E75631" w14:paraId="25C65A4C" w14:textId="77777777" w:rsidTr="00064FB3">
        <w:tc>
          <w:tcPr>
            <w:tcW w:w="2403" w:type="dxa"/>
          </w:tcPr>
          <w:p w14:paraId="3F485016" w14:textId="77777777" w:rsidR="00610D2B" w:rsidRPr="00E75631" w:rsidRDefault="00610D2B" w:rsidP="00B861C5">
            <w:pPr>
              <w:rPr>
                <w:rFonts w:cs="Arial"/>
                <w:sz w:val="24"/>
                <w:szCs w:val="24"/>
              </w:rPr>
            </w:pPr>
            <w:r w:rsidRPr="00E75631">
              <w:rPr>
                <w:rFonts w:cs="Arial"/>
                <w:sz w:val="24"/>
                <w:szCs w:val="24"/>
              </w:rPr>
              <w:t xml:space="preserve"> Baseline: Mean (SD)</w:t>
            </w:r>
          </w:p>
        </w:tc>
        <w:tc>
          <w:tcPr>
            <w:tcW w:w="1651" w:type="dxa"/>
          </w:tcPr>
          <w:p w14:paraId="54353801" w14:textId="77777777" w:rsidR="00610D2B" w:rsidRPr="00E75631" w:rsidRDefault="00610D2B" w:rsidP="00B861C5">
            <w:pPr>
              <w:rPr>
                <w:rFonts w:cs="Arial"/>
                <w:sz w:val="24"/>
                <w:szCs w:val="24"/>
              </w:rPr>
            </w:pPr>
            <w:r w:rsidRPr="00E75631">
              <w:rPr>
                <w:rFonts w:cs="Arial"/>
                <w:sz w:val="24"/>
                <w:szCs w:val="24"/>
              </w:rPr>
              <w:t>11.53 (8.26)</w:t>
            </w:r>
          </w:p>
        </w:tc>
        <w:tc>
          <w:tcPr>
            <w:tcW w:w="1652" w:type="dxa"/>
          </w:tcPr>
          <w:p w14:paraId="18B25A4E" w14:textId="77777777" w:rsidR="00610D2B" w:rsidRPr="00E75631" w:rsidRDefault="00610D2B" w:rsidP="00B861C5">
            <w:pPr>
              <w:rPr>
                <w:rFonts w:cs="Arial"/>
                <w:sz w:val="24"/>
                <w:szCs w:val="24"/>
              </w:rPr>
            </w:pPr>
            <w:r w:rsidRPr="00E75631">
              <w:rPr>
                <w:rFonts w:cs="Arial"/>
                <w:sz w:val="24"/>
                <w:szCs w:val="24"/>
              </w:rPr>
              <w:t>10.76 (8.34)</w:t>
            </w:r>
          </w:p>
        </w:tc>
        <w:tc>
          <w:tcPr>
            <w:tcW w:w="1652" w:type="dxa"/>
          </w:tcPr>
          <w:p w14:paraId="0D3F10F2" w14:textId="77777777" w:rsidR="00610D2B" w:rsidRPr="00E75631" w:rsidRDefault="00610D2B" w:rsidP="00B861C5">
            <w:pPr>
              <w:rPr>
                <w:rFonts w:cs="Arial"/>
                <w:sz w:val="24"/>
                <w:szCs w:val="24"/>
              </w:rPr>
            </w:pPr>
            <w:r w:rsidRPr="00E75631">
              <w:rPr>
                <w:rFonts w:cs="Arial"/>
                <w:sz w:val="24"/>
                <w:szCs w:val="24"/>
              </w:rPr>
              <w:t>13.27 (8.17)</w:t>
            </w:r>
          </w:p>
        </w:tc>
      </w:tr>
      <w:tr w:rsidR="00610D2B" w:rsidRPr="00E75631" w14:paraId="12D8A362" w14:textId="77777777" w:rsidTr="00064FB3">
        <w:tc>
          <w:tcPr>
            <w:tcW w:w="2403" w:type="dxa"/>
          </w:tcPr>
          <w:p w14:paraId="4582CB7C" w14:textId="77777777" w:rsidR="00610D2B" w:rsidRPr="00E75631" w:rsidRDefault="00610D2B" w:rsidP="00B861C5">
            <w:pPr>
              <w:rPr>
                <w:rFonts w:cs="Arial"/>
                <w:sz w:val="24"/>
                <w:szCs w:val="24"/>
              </w:rPr>
            </w:pPr>
            <w:r w:rsidRPr="00E75631">
              <w:rPr>
                <w:rFonts w:cs="Arial"/>
                <w:sz w:val="24"/>
                <w:szCs w:val="24"/>
              </w:rPr>
              <w:t xml:space="preserve"> 4 weeks: Mean (SD)</w:t>
            </w:r>
          </w:p>
        </w:tc>
        <w:tc>
          <w:tcPr>
            <w:tcW w:w="1651" w:type="dxa"/>
          </w:tcPr>
          <w:p w14:paraId="45C51E87" w14:textId="77777777" w:rsidR="00610D2B" w:rsidRPr="00E75631" w:rsidRDefault="00610D2B" w:rsidP="00B861C5">
            <w:pPr>
              <w:rPr>
                <w:rFonts w:cs="Arial"/>
                <w:sz w:val="24"/>
                <w:szCs w:val="24"/>
              </w:rPr>
            </w:pPr>
            <w:r w:rsidRPr="00E75631">
              <w:rPr>
                <w:rFonts w:cs="Arial"/>
                <w:sz w:val="24"/>
                <w:szCs w:val="24"/>
              </w:rPr>
              <w:t>10.53 (7.62)</w:t>
            </w:r>
          </w:p>
        </w:tc>
        <w:tc>
          <w:tcPr>
            <w:tcW w:w="1652" w:type="dxa"/>
          </w:tcPr>
          <w:p w14:paraId="3630E9A6" w14:textId="77777777" w:rsidR="00610D2B" w:rsidRPr="00E75631" w:rsidRDefault="00610D2B" w:rsidP="00B861C5">
            <w:pPr>
              <w:rPr>
                <w:rFonts w:cs="Arial"/>
                <w:sz w:val="24"/>
                <w:szCs w:val="24"/>
              </w:rPr>
            </w:pPr>
            <w:r w:rsidRPr="00E75631">
              <w:rPr>
                <w:rFonts w:cs="Arial"/>
                <w:sz w:val="24"/>
                <w:szCs w:val="24"/>
              </w:rPr>
              <w:t>9.08 (7.76)</w:t>
            </w:r>
          </w:p>
        </w:tc>
        <w:tc>
          <w:tcPr>
            <w:tcW w:w="1652" w:type="dxa"/>
          </w:tcPr>
          <w:p w14:paraId="0D805F86" w14:textId="77777777" w:rsidR="00610D2B" w:rsidRPr="00E75631" w:rsidRDefault="00610D2B" w:rsidP="00B861C5">
            <w:pPr>
              <w:rPr>
                <w:rFonts w:cs="Arial"/>
                <w:sz w:val="24"/>
                <w:szCs w:val="24"/>
              </w:rPr>
            </w:pPr>
            <w:r w:rsidRPr="00E75631">
              <w:rPr>
                <w:rFonts w:cs="Arial"/>
                <w:sz w:val="24"/>
                <w:szCs w:val="24"/>
              </w:rPr>
              <w:t>13.82 (6.46)</w:t>
            </w:r>
          </w:p>
        </w:tc>
      </w:tr>
      <w:tr w:rsidR="00610D2B" w:rsidRPr="00E75631" w14:paraId="44BB4FAF" w14:textId="77777777" w:rsidTr="00064FB3">
        <w:tc>
          <w:tcPr>
            <w:tcW w:w="2403" w:type="dxa"/>
          </w:tcPr>
          <w:p w14:paraId="1C009057" w14:textId="77777777" w:rsidR="00610D2B" w:rsidRPr="00E75631" w:rsidRDefault="00610D2B" w:rsidP="00B861C5">
            <w:pPr>
              <w:rPr>
                <w:rFonts w:cs="Arial"/>
                <w:sz w:val="24"/>
                <w:szCs w:val="24"/>
              </w:rPr>
            </w:pPr>
            <w:r w:rsidRPr="00E75631">
              <w:rPr>
                <w:rFonts w:cs="Arial"/>
                <w:sz w:val="24"/>
                <w:szCs w:val="24"/>
              </w:rPr>
              <w:t xml:space="preserve"> 12 weeks: Mean (SD)</w:t>
            </w:r>
          </w:p>
        </w:tc>
        <w:tc>
          <w:tcPr>
            <w:tcW w:w="1651" w:type="dxa"/>
          </w:tcPr>
          <w:p w14:paraId="5CAE13C0" w14:textId="77777777" w:rsidR="00610D2B" w:rsidRPr="00E75631" w:rsidRDefault="00610D2B" w:rsidP="00B861C5">
            <w:pPr>
              <w:rPr>
                <w:rFonts w:cs="Arial"/>
                <w:sz w:val="24"/>
                <w:szCs w:val="24"/>
              </w:rPr>
            </w:pPr>
            <w:r w:rsidRPr="00E75631">
              <w:rPr>
                <w:rFonts w:cs="Arial"/>
                <w:sz w:val="24"/>
                <w:szCs w:val="24"/>
              </w:rPr>
              <w:t>9.92 (8.03)</w:t>
            </w:r>
          </w:p>
        </w:tc>
        <w:tc>
          <w:tcPr>
            <w:tcW w:w="1652" w:type="dxa"/>
          </w:tcPr>
          <w:p w14:paraId="1D3884CB" w14:textId="77777777" w:rsidR="00610D2B" w:rsidRPr="00E75631" w:rsidRDefault="00610D2B" w:rsidP="00B861C5">
            <w:pPr>
              <w:rPr>
                <w:rFonts w:cs="Arial"/>
                <w:sz w:val="24"/>
                <w:szCs w:val="24"/>
              </w:rPr>
            </w:pPr>
            <w:r w:rsidRPr="00E75631">
              <w:rPr>
                <w:rFonts w:cs="Arial"/>
                <w:sz w:val="24"/>
                <w:szCs w:val="24"/>
              </w:rPr>
              <w:t>8.36 (7.53)</w:t>
            </w:r>
          </w:p>
        </w:tc>
        <w:tc>
          <w:tcPr>
            <w:tcW w:w="1652" w:type="dxa"/>
          </w:tcPr>
          <w:p w14:paraId="1C4B23A2" w14:textId="77777777" w:rsidR="00610D2B" w:rsidRPr="00E75631" w:rsidRDefault="00610D2B" w:rsidP="00B861C5">
            <w:pPr>
              <w:rPr>
                <w:rFonts w:cs="Arial"/>
                <w:sz w:val="24"/>
                <w:szCs w:val="24"/>
              </w:rPr>
            </w:pPr>
            <w:r w:rsidRPr="00E75631">
              <w:rPr>
                <w:rFonts w:cs="Arial"/>
                <w:sz w:val="24"/>
                <w:szCs w:val="24"/>
              </w:rPr>
              <w:t>13.45 (8.37)</w:t>
            </w:r>
          </w:p>
        </w:tc>
      </w:tr>
      <w:tr w:rsidR="00610D2B" w:rsidRPr="00E75631" w14:paraId="6D09F2E2" w14:textId="77777777" w:rsidTr="00064FB3">
        <w:tc>
          <w:tcPr>
            <w:tcW w:w="2403" w:type="dxa"/>
          </w:tcPr>
          <w:p w14:paraId="60ECC01E" w14:textId="77777777" w:rsidR="00610D2B" w:rsidRPr="00E75631" w:rsidRDefault="00610D2B" w:rsidP="00B861C5">
            <w:pPr>
              <w:rPr>
                <w:rFonts w:cs="Arial"/>
                <w:sz w:val="24"/>
                <w:szCs w:val="24"/>
              </w:rPr>
            </w:pPr>
            <w:r w:rsidRPr="00E75631">
              <w:rPr>
                <w:rFonts w:cs="Arial"/>
                <w:sz w:val="24"/>
                <w:szCs w:val="24"/>
              </w:rPr>
              <w:t xml:space="preserve"> 24 weeks: Mean (SD)</w:t>
            </w:r>
          </w:p>
        </w:tc>
        <w:tc>
          <w:tcPr>
            <w:tcW w:w="1651" w:type="dxa"/>
          </w:tcPr>
          <w:p w14:paraId="75932D0A" w14:textId="77777777" w:rsidR="00610D2B" w:rsidRPr="00E75631" w:rsidRDefault="00610D2B" w:rsidP="00B861C5">
            <w:pPr>
              <w:rPr>
                <w:rFonts w:cs="Arial"/>
                <w:sz w:val="24"/>
                <w:szCs w:val="24"/>
              </w:rPr>
            </w:pPr>
            <w:r w:rsidRPr="00E75631">
              <w:rPr>
                <w:rFonts w:cs="Arial"/>
                <w:sz w:val="24"/>
                <w:szCs w:val="24"/>
              </w:rPr>
              <w:t>8.25 (7.38)</w:t>
            </w:r>
          </w:p>
        </w:tc>
        <w:tc>
          <w:tcPr>
            <w:tcW w:w="1652" w:type="dxa"/>
          </w:tcPr>
          <w:p w14:paraId="2A33D949" w14:textId="77777777" w:rsidR="00610D2B" w:rsidRPr="00E75631" w:rsidRDefault="00610D2B" w:rsidP="00B861C5">
            <w:pPr>
              <w:rPr>
                <w:rFonts w:cs="Arial"/>
                <w:sz w:val="24"/>
                <w:szCs w:val="24"/>
              </w:rPr>
            </w:pPr>
            <w:r w:rsidRPr="00E75631">
              <w:rPr>
                <w:rFonts w:cs="Arial"/>
                <w:sz w:val="24"/>
                <w:szCs w:val="24"/>
              </w:rPr>
              <w:t>7.12 (7.22)</w:t>
            </w:r>
          </w:p>
        </w:tc>
        <w:tc>
          <w:tcPr>
            <w:tcW w:w="1652" w:type="dxa"/>
          </w:tcPr>
          <w:p w14:paraId="22239AB7" w14:textId="77777777" w:rsidR="00610D2B" w:rsidRPr="00E75631" w:rsidRDefault="00610D2B" w:rsidP="00B861C5">
            <w:pPr>
              <w:rPr>
                <w:rFonts w:cs="Arial"/>
                <w:sz w:val="24"/>
                <w:szCs w:val="24"/>
              </w:rPr>
            </w:pPr>
            <w:r w:rsidRPr="00E75631">
              <w:rPr>
                <w:rFonts w:cs="Arial"/>
                <w:sz w:val="24"/>
                <w:szCs w:val="24"/>
              </w:rPr>
              <w:t>10.82 (7.23)</w:t>
            </w:r>
          </w:p>
        </w:tc>
      </w:tr>
      <w:tr w:rsidR="00610D2B" w:rsidRPr="00E75631" w14:paraId="03327857" w14:textId="77777777" w:rsidTr="00064FB3">
        <w:tc>
          <w:tcPr>
            <w:tcW w:w="2403" w:type="dxa"/>
          </w:tcPr>
          <w:p w14:paraId="31B7CBD4" w14:textId="77777777" w:rsidR="00610D2B" w:rsidRPr="00E75631" w:rsidRDefault="00610D2B" w:rsidP="00B861C5">
            <w:pPr>
              <w:rPr>
                <w:rFonts w:cs="Arial"/>
                <w:sz w:val="24"/>
                <w:szCs w:val="24"/>
              </w:rPr>
            </w:pPr>
          </w:p>
        </w:tc>
        <w:tc>
          <w:tcPr>
            <w:tcW w:w="1651" w:type="dxa"/>
          </w:tcPr>
          <w:p w14:paraId="73134414" w14:textId="77777777" w:rsidR="00610D2B" w:rsidRPr="00E75631" w:rsidRDefault="00610D2B" w:rsidP="00B861C5">
            <w:pPr>
              <w:rPr>
                <w:rFonts w:cs="Arial"/>
                <w:sz w:val="24"/>
                <w:szCs w:val="24"/>
              </w:rPr>
            </w:pPr>
          </w:p>
        </w:tc>
        <w:tc>
          <w:tcPr>
            <w:tcW w:w="1652" w:type="dxa"/>
          </w:tcPr>
          <w:p w14:paraId="452798B8" w14:textId="77777777" w:rsidR="00610D2B" w:rsidRPr="00E75631" w:rsidRDefault="00610D2B" w:rsidP="00B861C5">
            <w:pPr>
              <w:rPr>
                <w:rFonts w:cs="Arial"/>
                <w:sz w:val="24"/>
                <w:szCs w:val="24"/>
              </w:rPr>
            </w:pPr>
          </w:p>
        </w:tc>
        <w:tc>
          <w:tcPr>
            <w:tcW w:w="1652" w:type="dxa"/>
          </w:tcPr>
          <w:p w14:paraId="1B1AA296" w14:textId="77777777" w:rsidR="00610D2B" w:rsidRPr="00E75631" w:rsidRDefault="00610D2B" w:rsidP="00B861C5">
            <w:pPr>
              <w:rPr>
                <w:rFonts w:cs="Arial"/>
                <w:sz w:val="24"/>
                <w:szCs w:val="24"/>
              </w:rPr>
            </w:pPr>
          </w:p>
        </w:tc>
      </w:tr>
      <w:tr w:rsidR="00610D2B" w:rsidRPr="00E75631" w14:paraId="1FC625B8" w14:textId="77777777" w:rsidTr="00064FB3">
        <w:tc>
          <w:tcPr>
            <w:tcW w:w="2403" w:type="dxa"/>
          </w:tcPr>
          <w:p w14:paraId="423F6557" w14:textId="77777777" w:rsidR="00610D2B" w:rsidRPr="00E75631" w:rsidRDefault="00610D2B" w:rsidP="00B861C5">
            <w:pPr>
              <w:rPr>
                <w:rFonts w:cs="Arial"/>
                <w:b/>
                <w:sz w:val="24"/>
                <w:szCs w:val="24"/>
              </w:rPr>
            </w:pPr>
            <w:r w:rsidRPr="00E75631">
              <w:rPr>
                <w:rFonts w:cs="Arial"/>
                <w:b/>
                <w:sz w:val="24"/>
                <w:szCs w:val="24"/>
              </w:rPr>
              <w:t>AUDIT</w:t>
            </w:r>
          </w:p>
          <w:p w14:paraId="151F9C3E" w14:textId="77777777" w:rsidR="00610D2B" w:rsidRPr="00E75631" w:rsidRDefault="00610D2B" w:rsidP="00B861C5">
            <w:pPr>
              <w:rPr>
                <w:rFonts w:cs="Arial"/>
                <w:sz w:val="24"/>
                <w:szCs w:val="24"/>
              </w:rPr>
            </w:pPr>
            <w:r w:rsidRPr="00E75631">
              <w:rPr>
                <w:rFonts w:cs="Arial"/>
                <w:sz w:val="24"/>
                <w:szCs w:val="24"/>
              </w:rPr>
              <w:t>N</w:t>
            </w:r>
          </w:p>
          <w:p w14:paraId="78B9B4A3" w14:textId="77777777" w:rsidR="00610D2B" w:rsidRPr="00E75631" w:rsidRDefault="00610D2B" w:rsidP="00B861C5">
            <w:pPr>
              <w:rPr>
                <w:rFonts w:cs="Arial"/>
                <w:sz w:val="24"/>
                <w:szCs w:val="24"/>
              </w:rPr>
            </w:pPr>
          </w:p>
        </w:tc>
        <w:tc>
          <w:tcPr>
            <w:tcW w:w="1651" w:type="dxa"/>
          </w:tcPr>
          <w:p w14:paraId="0753C150" w14:textId="77777777" w:rsidR="00610D2B" w:rsidRPr="00E75631" w:rsidRDefault="00610D2B" w:rsidP="00B861C5">
            <w:pPr>
              <w:rPr>
                <w:rFonts w:cs="Arial"/>
                <w:sz w:val="24"/>
                <w:szCs w:val="24"/>
              </w:rPr>
            </w:pPr>
          </w:p>
          <w:p w14:paraId="332BC359" w14:textId="77777777" w:rsidR="00610D2B" w:rsidRPr="00E75631" w:rsidRDefault="00610D2B" w:rsidP="00B861C5">
            <w:pPr>
              <w:rPr>
                <w:rFonts w:cs="Arial"/>
                <w:sz w:val="24"/>
                <w:szCs w:val="24"/>
              </w:rPr>
            </w:pPr>
            <w:r w:rsidRPr="00E75631">
              <w:rPr>
                <w:rFonts w:cs="Arial"/>
                <w:sz w:val="24"/>
                <w:szCs w:val="24"/>
              </w:rPr>
              <w:t>35</w:t>
            </w:r>
          </w:p>
        </w:tc>
        <w:tc>
          <w:tcPr>
            <w:tcW w:w="1652" w:type="dxa"/>
          </w:tcPr>
          <w:p w14:paraId="30F20A65" w14:textId="77777777" w:rsidR="00610D2B" w:rsidRPr="00E75631" w:rsidRDefault="00610D2B" w:rsidP="00B861C5">
            <w:pPr>
              <w:rPr>
                <w:rFonts w:cs="Arial"/>
                <w:sz w:val="24"/>
                <w:szCs w:val="24"/>
              </w:rPr>
            </w:pPr>
          </w:p>
          <w:p w14:paraId="50858F18" w14:textId="77777777" w:rsidR="00610D2B" w:rsidRPr="00E75631" w:rsidRDefault="00610D2B" w:rsidP="00B861C5">
            <w:pPr>
              <w:rPr>
                <w:rFonts w:cs="Arial"/>
                <w:sz w:val="24"/>
                <w:szCs w:val="24"/>
              </w:rPr>
            </w:pPr>
            <w:r w:rsidRPr="00E75631">
              <w:rPr>
                <w:rFonts w:cs="Arial"/>
                <w:sz w:val="24"/>
                <w:szCs w:val="24"/>
              </w:rPr>
              <w:t>24</w:t>
            </w:r>
          </w:p>
        </w:tc>
        <w:tc>
          <w:tcPr>
            <w:tcW w:w="1652" w:type="dxa"/>
          </w:tcPr>
          <w:p w14:paraId="2ECF73B8" w14:textId="77777777" w:rsidR="00610D2B" w:rsidRPr="00E75631" w:rsidRDefault="00610D2B" w:rsidP="00B861C5">
            <w:pPr>
              <w:rPr>
                <w:rFonts w:cs="Arial"/>
                <w:sz w:val="24"/>
                <w:szCs w:val="24"/>
              </w:rPr>
            </w:pPr>
          </w:p>
          <w:p w14:paraId="6797382D" w14:textId="77777777" w:rsidR="00610D2B" w:rsidRPr="00E75631" w:rsidRDefault="00610D2B" w:rsidP="00B861C5">
            <w:pPr>
              <w:rPr>
                <w:rFonts w:cs="Arial"/>
                <w:sz w:val="24"/>
                <w:szCs w:val="24"/>
              </w:rPr>
            </w:pPr>
            <w:r w:rsidRPr="00E75631">
              <w:rPr>
                <w:rFonts w:cs="Arial"/>
                <w:sz w:val="24"/>
                <w:szCs w:val="24"/>
              </w:rPr>
              <w:t>11</w:t>
            </w:r>
          </w:p>
        </w:tc>
      </w:tr>
      <w:tr w:rsidR="00610D2B" w:rsidRPr="00E75631" w14:paraId="065AC95B" w14:textId="77777777" w:rsidTr="00064FB3">
        <w:tc>
          <w:tcPr>
            <w:tcW w:w="2403" w:type="dxa"/>
          </w:tcPr>
          <w:p w14:paraId="0FA1C230" w14:textId="77777777" w:rsidR="00610D2B" w:rsidRPr="00E75631" w:rsidRDefault="00610D2B" w:rsidP="00B861C5">
            <w:pPr>
              <w:rPr>
                <w:rFonts w:cs="Arial"/>
                <w:sz w:val="24"/>
                <w:szCs w:val="24"/>
              </w:rPr>
            </w:pPr>
            <w:r w:rsidRPr="00E75631">
              <w:rPr>
                <w:rFonts w:cs="Arial"/>
                <w:sz w:val="24"/>
                <w:szCs w:val="24"/>
              </w:rPr>
              <w:t xml:space="preserve"> Baseline: Mean (SD)</w:t>
            </w:r>
          </w:p>
        </w:tc>
        <w:tc>
          <w:tcPr>
            <w:tcW w:w="1651" w:type="dxa"/>
          </w:tcPr>
          <w:p w14:paraId="4BA363B5" w14:textId="77777777" w:rsidR="00610D2B" w:rsidRPr="00E75631" w:rsidRDefault="00610D2B" w:rsidP="00B861C5">
            <w:pPr>
              <w:rPr>
                <w:rFonts w:cs="Arial"/>
                <w:sz w:val="24"/>
                <w:szCs w:val="24"/>
              </w:rPr>
            </w:pPr>
            <w:r w:rsidRPr="00E75631">
              <w:rPr>
                <w:rFonts w:cs="Arial"/>
                <w:sz w:val="24"/>
                <w:szCs w:val="24"/>
              </w:rPr>
              <w:t>10.60 (11.07)</w:t>
            </w:r>
          </w:p>
        </w:tc>
        <w:tc>
          <w:tcPr>
            <w:tcW w:w="1652" w:type="dxa"/>
          </w:tcPr>
          <w:p w14:paraId="56350067" w14:textId="77777777" w:rsidR="00610D2B" w:rsidRPr="00E75631" w:rsidRDefault="00610D2B" w:rsidP="00B861C5">
            <w:pPr>
              <w:rPr>
                <w:rFonts w:cs="Arial"/>
                <w:sz w:val="24"/>
                <w:szCs w:val="24"/>
              </w:rPr>
            </w:pPr>
            <w:r w:rsidRPr="00E75631">
              <w:rPr>
                <w:rFonts w:cs="Arial"/>
                <w:sz w:val="24"/>
                <w:szCs w:val="24"/>
              </w:rPr>
              <w:t>11.83 (12.15)</w:t>
            </w:r>
          </w:p>
        </w:tc>
        <w:tc>
          <w:tcPr>
            <w:tcW w:w="1652" w:type="dxa"/>
          </w:tcPr>
          <w:p w14:paraId="4A5D4D9A" w14:textId="77777777" w:rsidR="00610D2B" w:rsidRPr="00E75631" w:rsidRDefault="00610D2B" w:rsidP="00B861C5">
            <w:pPr>
              <w:rPr>
                <w:rFonts w:cs="Arial"/>
                <w:sz w:val="24"/>
                <w:szCs w:val="24"/>
              </w:rPr>
            </w:pPr>
            <w:r w:rsidRPr="00E75631">
              <w:rPr>
                <w:rFonts w:cs="Arial"/>
                <w:sz w:val="24"/>
                <w:szCs w:val="24"/>
              </w:rPr>
              <w:t>7.91 (8.08)</w:t>
            </w:r>
          </w:p>
        </w:tc>
      </w:tr>
      <w:tr w:rsidR="00610D2B" w:rsidRPr="00E75631" w14:paraId="2BE9DA1D" w14:textId="77777777" w:rsidTr="00064FB3">
        <w:tc>
          <w:tcPr>
            <w:tcW w:w="2403" w:type="dxa"/>
          </w:tcPr>
          <w:p w14:paraId="63EB65B9" w14:textId="77777777" w:rsidR="00610D2B" w:rsidRPr="00E75631" w:rsidRDefault="00610D2B" w:rsidP="00B861C5">
            <w:pPr>
              <w:rPr>
                <w:rFonts w:cs="Arial"/>
                <w:sz w:val="24"/>
                <w:szCs w:val="24"/>
              </w:rPr>
            </w:pPr>
            <w:r w:rsidRPr="00E75631">
              <w:rPr>
                <w:rFonts w:cs="Arial"/>
                <w:sz w:val="24"/>
                <w:szCs w:val="24"/>
              </w:rPr>
              <w:t xml:space="preserve"> 4 weeks: Mean (SD)</w:t>
            </w:r>
          </w:p>
        </w:tc>
        <w:tc>
          <w:tcPr>
            <w:tcW w:w="1651" w:type="dxa"/>
          </w:tcPr>
          <w:p w14:paraId="58AA56DA" w14:textId="77777777" w:rsidR="00610D2B" w:rsidRPr="00E75631" w:rsidRDefault="00610D2B" w:rsidP="00B861C5">
            <w:pPr>
              <w:rPr>
                <w:rFonts w:cs="Arial"/>
                <w:sz w:val="24"/>
                <w:szCs w:val="24"/>
              </w:rPr>
            </w:pPr>
            <w:r w:rsidRPr="00E75631">
              <w:rPr>
                <w:rFonts w:cs="Arial"/>
                <w:sz w:val="24"/>
                <w:szCs w:val="24"/>
              </w:rPr>
              <w:t>7.86 (9.34)</w:t>
            </w:r>
          </w:p>
        </w:tc>
        <w:tc>
          <w:tcPr>
            <w:tcW w:w="1652" w:type="dxa"/>
          </w:tcPr>
          <w:p w14:paraId="19D2D193" w14:textId="77777777" w:rsidR="00610D2B" w:rsidRPr="00E75631" w:rsidRDefault="00610D2B" w:rsidP="00B861C5">
            <w:pPr>
              <w:rPr>
                <w:rFonts w:cs="Arial"/>
                <w:sz w:val="24"/>
                <w:szCs w:val="24"/>
              </w:rPr>
            </w:pPr>
            <w:r w:rsidRPr="00E75631">
              <w:rPr>
                <w:rFonts w:cs="Arial"/>
                <w:sz w:val="24"/>
                <w:szCs w:val="24"/>
              </w:rPr>
              <w:t>9.08 (9.76)</w:t>
            </w:r>
          </w:p>
        </w:tc>
        <w:tc>
          <w:tcPr>
            <w:tcW w:w="1652" w:type="dxa"/>
          </w:tcPr>
          <w:p w14:paraId="47BEA8DA" w14:textId="77777777" w:rsidR="00610D2B" w:rsidRPr="00E75631" w:rsidRDefault="00610D2B" w:rsidP="00B861C5">
            <w:pPr>
              <w:rPr>
                <w:rFonts w:cs="Arial"/>
                <w:sz w:val="24"/>
                <w:szCs w:val="24"/>
              </w:rPr>
            </w:pPr>
            <w:r w:rsidRPr="00E75631">
              <w:rPr>
                <w:rFonts w:cs="Arial"/>
                <w:sz w:val="24"/>
                <w:szCs w:val="24"/>
              </w:rPr>
              <w:t>5.18 (8.48)</w:t>
            </w:r>
          </w:p>
        </w:tc>
      </w:tr>
      <w:tr w:rsidR="00610D2B" w:rsidRPr="00E75631" w14:paraId="5455621D" w14:textId="77777777" w:rsidTr="00064FB3">
        <w:tc>
          <w:tcPr>
            <w:tcW w:w="2403" w:type="dxa"/>
          </w:tcPr>
          <w:p w14:paraId="45615DC8" w14:textId="77777777" w:rsidR="00610D2B" w:rsidRPr="00E75631" w:rsidRDefault="00610D2B" w:rsidP="00B861C5">
            <w:pPr>
              <w:rPr>
                <w:rFonts w:cs="Arial"/>
                <w:sz w:val="24"/>
                <w:szCs w:val="24"/>
              </w:rPr>
            </w:pPr>
            <w:r w:rsidRPr="00E75631">
              <w:rPr>
                <w:rFonts w:cs="Arial"/>
                <w:sz w:val="24"/>
                <w:szCs w:val="24"/>
              </w:rPr>
              <w:t xml:space="preserve"> 12 weeks: Mean (SD)</w:t>
            </w:r>
          </w:p>
        </w:tc>
        <w:tc>
          <w:tcPr>
            <w:tcW w:w="1651" w:type="dxa"/>
          </w:tcPr>
          <w:p w14:paraId="435793ED" w14:textId="77777777" w:rsidR="00610D2B" w:rsidRPr="00E75631" w:rsidRDefault="00610D2B" w:rsidP="00B861C5">
            <w:pPr>
              <w:rPr>
                <w:rFonts w:cs="Arial"/>
                <w:sz w:val="24"/>
                <w:szCs w:val="24"/>
              </w:rPr>
            </w:pPr>
            <w:r w:rsidRPr="00E75631">
              <w:rPr>
                <w:rFonts w:cs="Arial"/>
                <w:sz w:val="24"/>
                <w:szCs w:val="24"/>
              </w:rPr>
              <w:t>8.57 (9.72)</w:t>
            </w:r>
          </w:p>
        </w:tc>
        <w:tc>
          <w:tcPr>
            <w:tcW w:w="1652" w:type="dxa"/>
          </w:tcPr>
          <w:p w14:paraId="11D2D5E0" w14:textId="77777777" w:rsidR="00610D2B" w:rsidRPr="00E75631" w:rsidRDefault="00610D2B" w:rsidP="00B861C5">
            <w:pPr>
              <w:rPr>
                <w:rFonts w:cs="Arial"/>
                <w:sz w:val="24"/>
                <w:szCs w:val="24"/>
              </w:rPr>
            </w:pPr>
            <w:r w:rsidRPr="00E75631">
              <w:rPr>
                <w:rFonts w:cs="Arial"/>
                <w:sz w:val="24"/>
                <w:szCs w:val="24"/>
              </w:rPr>
              <w:t>10.29 (10.37)</w:t>
            </w:r>
          </w:p>
        </w:tc>
        <w:tc>
          <w:tcPr>
            <w:tcW w:w="1652" w:type="dxa"/>
          </w:tcPr>
          <w:p w14:paraId="60639FA1" w14:textId="77777777" w:rsidR="00610D2B" w:rsidRPr="00E75631" w:rsidRDefault="00610D2B" w:rsidP="00B861C5">
            <w:pPr>
              <w:rPr>
                <w:rFonts w:cs="Arial"/>
                <w:sz w:val="24"/>
                <w:szCs w:val="24"/>
              </w:rPr>
            </w:pPr>
            <w:r w:rsidRPr="00E75631">
              <w:rPr>
                <w:rFonts w:cs="Arial"/>
                <w:sz w:val="24"/>
                <w:szCs w:val="24"/>
              </w:rPr>
              <w:t>4.82 (7.15)</w:t>
            </w:r>
          </w:p>
        </w:tc>
      </w:tr>
      <w:tr w:rsidR="00610D2B" w:rsidRPr="00E75631" w14:paraId="4951814E" w14:textId="77777777" w:rsidTr="00064FB3">
        <w:tc>
          <w:tcPr>
            <w:tcW w:w="2403" w:type="dxa"/>
          </w:tcPr>
          <w:p w14:paraId="6AA1C807" w14:textId="77777777" w:rsidR="00610D2B" w:rsidRPr="00E75631" w:rsidRDefault="00610D2B" w:rsidP="00B861C5">
            <w:pPr>
              <w:rPr>
                <w:rFonts w:cs="Arial"/>
                <w:sz w:val="24"/>
                <w:szCs w:val="24"/>
              </w:rPr>
            </w:pPr>
            <w:r w:rsidRPr="00E75631">
              <w:rPr>
                <w:rFonts w:cs="Arial"/>
                <w:sz w:val="24"/>
                <w:szCs w:val="24"/>
              </w:rPr>
              <w:t xml:space="preserve"> 24 weeks: Mean (SD)</w:t>
            </w:r>
          </w:p>
        </w:tc>
        <w:tc>
          <w:tcPr>
            <w:tcW w:w="1651" w:type="dxa"/>
          </w:tcPr>
          <w:p w14:paraId="5B83980C" w14:textId="77777777" w:rsidR="00610D2B" w:rsidRPr="00E75631" w:rsidRDefault="00610D2B" w:rsidP="00B861C5">
            <w:pPr>
              <w:rPr>
                <w:rFonts w:cs="Arial"/>
                <w:sz w:val="24"/>
                <w:szCs w:val="24"/>
              </w:rPr>
            </w:pPr>
            <w:r w:rsidRPr="00E75631">
              <w:rPr>
                <w:rFonts w:cs="Arial"/>
                <w:sz w:val="24"/>
                <w:szCs w:val="24"/>
              </w:rPr>
              <w:t>8.00 (8.47)</w:t>
            </w:r>
          </w:p>
        </w:tc>
        <w:tc>
          <w:tcPr>
            <w:tcW w:w="1652" w:type="dxa"/>
          </w:tcPr>
          <w:p w14:paraId="626CE697" w14:textId="77777777" w:rsidR="00610D2B" w:rsidRPr="00E75631" w:rsidRDefault="00610D2B" w:rsidP="00B861C5">
            <w:pPr>
              <w:rPr>
                <w:rFonts w:cs="Arial"/>
                <w:sz w:val="24"/>
                <w:szCs w:val="24"/>
              </w:rPr>
            </w:pPr>
            <w:r w:rsidRPr="00E75631">
              <w:rPr>
                <w:rFonts w:cs="Arial"/>
                <w:sz w:val="24"/>
                <w:szCs w:val="24"/>
              </w:rPr>
              <w:t>8.92 (8.83)</w:t>
            </w:r>
          </w:p>
        </w:tc>
        <w:tc>
          <w:tcPr>
            <w:tcW w:w="1652" w:type="dxa"/>
          </w:tcPr>
          <w:p w14:paraId="06D70DB8" w14:textId="77777777" w:rsidR="00610D2B" w:rsidRPr="00E75631" w:rsidRDefault="00610D2B" w:rsidP="00B861C5">
            <w:pPr>
              <w:rPr>
                <w:rFonts w:cs="Arial"/>
                <w:sz w:val="24"/>
                <w:szCs w:val="24"/>
              </w:rPr>
            </w:pPr>
            <w:r w:rsidRPr="00E75631">
              <w:rPr>
                <w:rFonts w:cs="Arial"/>
                <w:sz w:val="24"/>
                <w:szCs w:val="24"/>
              </w:rPr>
              <w:t>6.00 (7.64)</w:t>
            </w:r>
          </w:p>
        </w:tc>
      </w:tr>
      <w:tr w:rsidR="00610D2B" w:rsidRPr="00E75631" w14:paraId="11B1D71C" w14:textId="77777777" w:rsidTr="00064FB3">
        <w:tc>
          <w:tcPr>
            <w:tcW w:w="2403" w:type="dxa"/>
          </w:tcPr>
          <w:p w14:paraId="56DA74AA" w14:textId="77777777" w:rsidR="00610D2B" w:rsidRPr="00E75631" w:rsidRDefault="00610D2B" w:rsidP="00B861C5">
            <w:pPr>
              <w:rPr>
                <w:rFonts w:cs="Arial"/>
                <w:sz w:val="24"/>
                <w:szCs w:val="24"/>
              </w:rPr>
            </w:pPr>
          </w:p>
        </w:tc>
        <w:tc>
          <w:tcPr>
            <w:tcW w:w="1651" w:type="dxa"/>
          </w:tcPr>
          <w:p w14:paraId="15BA7ABF" w14:textId="77777777" w:rsidR="00610D2B" w:rsidRPr="00E75631" w:rsidRDefault="00610D2B" w:rsidP="00B861C5">
            <w:pPr>
              <w:rPr>
                <w:rFonts w:cs="Arial"/>
                <w:sz w:val="24"/>
                <w:szCs w:val="24"/>
              </w:rPr>
            </w:pPr>
          </w:p>
        </w:tc>
        <w:tc>
          <w:tcPr>
            <w:tcW w:w="1652" w:type="dxa"/>
          </w:tcPr>
          <w:p w14:paraId="2E03B4D3" w14:textId="77777777" w:rsidR="00610D2B" w:rsidRPr="00E75631" w:rsidRDefault="00610D2B" w:rsidP="00B861C5">
            <w:pPr>
              <w:rPr>
                <w:rFonts w:cs="Arial"/>
                <w:sz w:val="24"/>
                <w:szCs w:val="24"/>
              </w:rPr>
            </w:pPr>
          </w:p>
        </w:tc>
        <w:tc>
          <w:tcPr>
            <w:tcW w:w="1652" w:type="dxa"/>
          </w:tcPr>
          <w:p w14:paraId="5F3CC869" w14:textId="77777777" w:rsidR="00610D2B" w:rsidRPr="00E75631" w:rsidRDefault="00610D2B" w:rsidP="00B861C5">
            <w:pPr>
              <w:rPr>
                <w:rFonts w:cs="Arial"/>
                <w:sz w:val="24"/>
                <w:szCs w:val="24"/>
              </w:rPr>
            </w:pPr>
          </w:p>
        </w:tc>
      </w:tr>
      <w:tr w:rsidR="00610D2B" w:rsidRPr="00E75631" w14:paraId="40A4A238" w14:textId="77777777" w:rsidTr="00064FB3">
        <w:tc>
          <w:tcPr>
            <w:tcW w:w="2403" w:type="dxa"/>
          </w:tcPr>
          <w:p w14:paraId="6E9603B8" w14:textId="77777777" w:rsidR="00610D2B" w:rsidRPr="00E75631" w:rsidRDefault="00610D2B" w:rsidP="00B861C5">
            <w:pPr>
              <w:rPr>
                <w:rFonts w:cs="Arial"/>
                <w:b/>
                <w:sz w:val="24"/>
                <w:szCs w:val="24"/>
              </w:rPr>
            </w:pPr>
            <w:r w:rsidRPr="00E75631">
              <w:rPr>
                <w:rFonts w:cs="Arial"/>
                <w:b/>
                <w:sz w:val="24"/>
                <w:szCs w:val="24"/>
              </w:rPr>
              <w:t>SDS</w:t>
            </w:r>
          </w:p>
          <w:p w14:paraId="0C198CAD" w14:textId="77777777" w:rsidR="00610D2B" w:rsidRPr="00E75631" w:rsidRDefault="00610D2B" w:rsidP="00B861C5">
            <w:pPr>
              <w:rPr>
                <w:rFonts w:cs="Arial"/>
                <w:sz w:val="24"/>
                <w:szCs w:val="24"/>
              </w:rPr>
            </w:pPr>
            <w:r w:rsidRPr="00E75631">
              <w:rPr>
                <w:rFonts w:cs="Arial"/>
                <w:sz w:val="24"/>
                <w:szCs w:val="24"/>
              </w:rPr>
              <w:t>N</w:t>
            </w:r>
          </w:p>
        </w:tc>
        <w:tc>
          <w:tcPr>
            <w:tcW w:w="1651" w:type="dxa"/>
          </w:tcPr>
          <w:p w14:paraId="4B3692CD" w14:textId="77777777" w:rsidR="00610D2B" w:rsidRPr="00E75631" w:rsidRDefault="00610D2B" w:rsidP="00B861C5">
            <w:pPr>
              <w:rPr>
                <w:rFonts w:cs="Arial"/>
                <w:sz w:val="24"/>
                <w:szCs w:val="24"/>
              </w:rPr>
            </w:pPr>
          </w:p>
          <w:p w14:paraId="07AAA708" w14:textId="77777777" w:rsidR="00610D2B" w:rsidRPr="00E75631" w:rsidRDefault="00610D2B" w:rsidP="00B861C5">
            <w:pPr>
              <w:rPr>
                <w:rFonts w:cs="Arial"/>
                <w:sz w:val="24"/>
                <w:szCs w:val="24"/>
              </w:rPr>
            </w:pPr>
            <w:r w:rsidRPr="00E75631">
              <w:rPr>
                <w:rFonts w:cs="Arial"/>
                <w:sz w:val="24"/>
                <w:szCs w:val="24"/>
              </w:rPr>
              <w:t>37</w:t>
            </w:r>
          </w:p>
        </w:tc>
        <w:tc>
          <w:tcPr>
            <w:tcW w:w="1652" w:type="dxa"/>
          </w:tcPr>
          <w:p w14:paraId="38D6883E" w14:textId="77777777" w:rsidR="00610D2B" w:rsidRPr="00E75631" w:rsidRDefault="00610D2B" w:rsidP="00B861C5">
            <w:pPr>
              <w:rPr>
                <w:rFonts w:cs="Arial"/>
                <w:sz w:val="24"/>
                <w:szCs w:val="24"/>
              </w:rPr>
            </w:pPr>
          </w:p>
          <w:p w14:paraId="19357E0E" w14:textId="77777777" w:rsidR="00610D2B" w:rsidRPr="00E75631" w:rsidRDefault="00610D2B" w:rsidP="00B861C5">
            <w:pPr>
              <w:rPr>
                <w:rFonts w:cs="Arial"/>
                <w:sz w:val="24"/>
                <w:szCs w:val="24"/>
              </w:rPr>
            </w:pPr>
            <w:r w:rsidRPr="00E75631">
              <w:rPr>
                <w:rFonts w:cs="Arial"/>
                <w:sz w:val="24"/>
                <w:szCs w:val="24"/>
              </w:rPr>
              <w:t>27</w:t>
            </w:r>
          </w:p>
        </w:tc>
        <w:tc>
          <w:tcPr>
            <w:tcW w:w="1652" w:type="dxa"/>
          </w:tcPr>
          <w:p w14:paraId="34319629" w14:textId="77777777" w:rsidR="00610D2B" w:rsidRPr="00E75631" w:rsidRDefault="00610D2B" w:rsidP="00B861C5">
            <w:pPr>
              <w:rPr>
                <w:rFonts w:cs="Arial"/>
                <w:sz w:val="24"/>
                <w:szCs w:val="24"/>
              </w:rPr>
            </w:pPr>
          </w:p>
          <w:p w14:paraId="6D5A69C6" w14:textId="77777777" w:rsidR="00610D2B" w:rsidRPr="00E75631" w:rsidRDefault="00610D2B" w:rsidP="00B861C5">
            <w:pPr>
              <w:rPr>
                <w:rFonts w:cs="Arial"/>
                <w:sz w:val="24"/>
                <w:szCs w:val="24"/>
              </w:rPr>
            </w:pPr>
            <w:r w:rsidRPr="00E75631">
              <w:rPr>
                <w:rFonts w:cs="Arial"/>
                <w:sz w:val="24"/>
                <w:szCs w:val="24"/>
              </w:rPr>
              <w:t>10</w:t>
            </w:r>
          </w:p>
        </w:tc>
      </w:tr>
      <w:tr w:rsidR="00610D2B" w:rsidRPr="00E75631" w14:paraId="15D37BF7" w14:textId="77777777" w:rsidTr="00064FB3">
        <w:tc>
          <w:tcPr>
            <w:tcW w:w="2403" w:type="dxa"/>
          </w:tcPr>
          <w:p w14:paraId="06F027D9" w14:textId="77777777" w:rsidR="00610D2B" w:rsidRPr="00E75631" w:rsidRDefault="00610D2B" w:rsidP="00B861C5">
            <w:pPr>
              <w:rPr>
                <w:rFonts w:cs="Arial"/>
                <w:sz w:val="24"/>
                <w:szCs w:val="24"/>
              </w:rPr>
            </w:pPr>
            <w:r w:rsidRPr="00E75631">
              <w:rPr>
                <w:rFonts w:cs="Arial"/>
                <w:sz w:val="24"/>
                <w:szCs w:val="24"/>
              </w:rPr>
              <w:t xml:space="preserve"> Baseline: Mean (SD)</w:t>
            </w:r>
          </w:p>
        </w:tc>
        <w:tc>
          <w:tcPr>
            <w:tcW w:w="1651" w:type="dxa"/>
          </w:tcPr>
          <w:p w14:paraId="463559B8" w14:textId="77777777" w:rsidR="00610D2B" w:rsidRPr="00E75631" w:rsidRDefault="00610D2B" w:rsidP="00B861C5">
            <w:pPr>
              <w:rPr>
                <w:rFonts w:cs="Arial"/>
                <w:sz w:val="24"/>
                <w:szCs w:val="24"/>
              </w:rPr>
            </w:pPr>
            <w:r w:rsidRPr="00E75631">
              <w:rPr>
                <w:rFonts w:cs="Arial"/>
                <w:sz w:val="24"/>
                <w:szCs w:val="24"/>
              </w:rPr>
              <w:t>3.81 (5.05)</w:t>
            </w:r>
          </w:p>
        </w:tc>
        <w:tc>
          <w:tcPr>
            <w:tcW w:w="1652" w:type="dxa"/>
          </w:tcPr>
          <w:p w14:paraId="07BFAFEE" w14:textId="77777777" w:rsidR="00610D2B" w:rsidRPr="00E75631" w:rsidRDefault="00610D2B" w:rsidP="00B861C5">
            <w:pPr>
              <w:rPr>
                <w:rFonts w:cs="Arial"/>
                <w:sz w:val="24"/>
                <w:szCs w:val="24"/>
              </w:rPr>
            </w:pPr>
            <w:r w:rsidRPr="00E75631">
              <w:rPr>
                <w:rFonts w:cs="Arial"/>
                <w:sz w:val="24"/>
                <w:szCs w:val="24"/>
              </w:rPr>
              <w:t>3.15 (4.33)</w:t>
            </w:r>
          </w:p>
        </w:tc>
        <w:tc>
          <w:tcPr>
            <w:tcW w:w="1652" w:type="dxa"/>
          </w:tcPr>
          <w:p w14:paraId="5FCCE6E5" w14:textId="77777777" w:rsidR="00610D2B" w:rsidRPr="00E75631" w:rsidRDefault="00610D2B" w:rsidP="00B861C5">
            <w:pPr>
              <w:rPr>
                <w:rFonts w:cs="Arial"/>
                <w:sz w:val="24"/>
                <w:szCs w:val="24"/>
              </w:rPr>
            </w:pPr>
            <w:r w:rsidRPr="00E75631">
              <w:rPr>
                <w:rFonts w:cs="Arial"/>
                <w:sz w:val="24"/>
                <w:szCs w:val="24"/>
              </w:rPr>
              <w:t>5.50 (6.52)</w:t>
            </w:r>
          </w:p>
        </w:tc>
      </w:tr>
      <w:tr w:rsidR="00610D2B" w:rsidRPr="00E75631" w14:paraId="2F54D2A8" w14:textId="77777777" w:rsidTr="00064FB3">
        <w:tc>
          <w:tcPr>
            <w:tcW w:w="2403" w:type="dxa"/>
          </w:tcPr>
          <w:p w14:paraId="6D47751D" w14:textId="77777777" w:rsidR="00610D2B" w:rsidRPr="00E75631" w:rsidRDefault="00610D2B" w:rsidP="00B861C5">
            <w:pPr>
              <w:rPr>
                <w:rFonts w:cs="Arial"/>
                <w:sz w:val="24"/>
                <w:szCs w:val="24"/>
              </w:rPr>
            </w:pPr>
            <w:r w:rsidRPr="00E75631">
              <w:rPr>
                <w:rFonts w:cs="Arial"/>
                <w:sz w:val="24"/>
                <w:szCs w:val="24"/>
              </w:rPr>
              <w:t xml:space="preserve"> 4 weeks: Mean (SD)</w:t>
            </w:r>
          </w:p>
        </w:tc>
        <w:tc>
          <w:tcPr>
            <w:tcW w:w="1651" w:type="dxa"/>
          </w:tcPr>
          <w:p w14:paraId="6964D730" w14:textId="77777777" w:rsidR="00610D2B" w:rsidRPr="00E75631" w:rsidRDefault="00610D2B" w:rsidP="00B861C5">
            <w:pPr>
              <w:rPr>
                <w:rFonts w:cs="Arial"/>
                <w:sz w:val="24"/>
                <w:szCs w:val="24"/>
              </w:rPr>
            </w:pPr>
            <w:r w:rsidRPr="00E75631">
              <w:rPr>
                <w:rFonts w:cs="Arial"/>
                <w:sz w:val="24"/>
                <w:szCs w:val="24"/>
              </w:rPr>
              <w:t>3.19 (4.48)</w:t>
            </w:r>
          </w:p>
        </w:tc>
        <w:tc>
          <w:tcPr>
            <w:tcW w:w="1652" w:type="dxa"/>
          </w:tcPr>
          <w:p w14:paraId="5CA03DCD" w14:textId="77777777" w:rsidR="00610D2B" w:rsidRPr="00E75631" w:rsidRDefault="00610D2B" w:rsidP="00B861C5">
            <w:pPr>
              <w:rPr>
                <w:rFonts w:cs="Arial"/>
                <w:sz w:val="24"/>
                <w:szCs w:val="24"/>
              </w:rPr>
            </w:pPr>
            <w:r w:rsidRPr="00E75631">
              <w:rPr>
                <w:rFonts w:cs="Arial"/>
                <w:sz w:val="24"/>
                <w:szCs w:val="24"/>
              </w:rPr>
              <w:t>2.81 (4.51)</w:t>
            </w:r>
          </w:p>
        </w:tc>
        <w:tc>
          <w:tcPr>
            <w:tcW w:w="1652" w:type="dxa"/>
          </w:tcPr>
          <w:p w14:paraId="0A6FDADC" w14:textId="77777777" w:rsidR="00610D2B" w:rsidRPr="00E75631" w:rsidRDefault="00610D2B" w:rsidP="00B861C5">
            <w:pPr>
              <w:rPr>
                <w:rFonts w:cs="Arial"/>
                <w:sz w:val="24"/>
                <w:szCs w:val="24"/>
              </w:rPr>
            </w:pPr>
            <w:r w:rsidRPr="00E75631">
              <w:rPr>
                <w:rFonts w:cs="Arial"/>
                <w:sz w:val="24"/>
                <w:szCs w:val="24"/>
              </w:rPr>
              <w:t>4.20 (4.49)</w:t>
            </w:r>
          </w:p>
        </w:tc>
      </w:tr>
      <w:tr w:rsidR="00610D2B" w:rsidRPr="00E75631" w14:paraId="1C928179" w14:textId="77777777" w:rsidTr="00064FB3">
        <w:tc>
          <w:tcPr>
            <w:tcW w:w="2403" w:type="dxa"/>
          </w:tcPr>
          <w:p w14:paraId="64224987" w14:textId="77777777" w:rsidR="00610D2B" w:rsidRPr="00E75631" w:rsidRDefault="00610D2B" w:rsidP="00B861C5">
            <w:pPr>
              <w:rPr>
                <w:rFonts w:cs="Arial"/>
                <w:sz w:val="24"/>
                <w:szCs w:val="24"/>
              </w:rPr>
            </w:pPr>
            <w:r w:rsidRPr="00E75631">
              <w:rPr>
                <w:rFonts w:cs="Arial"/>
                <w:sz w:val="24"/>
                <w:szCs w:val="24"/>
              </w:rPr>
              <w:t xml:space="preserve"> 12 weeks: Mean (SD)</w:t>
            </w:r>
          </w:p>
        </w:tc>
        <w:tc>
          <w:tcPr>
            <w:tcW w:w="1651" w:type="dxa"/>
          </w:tcPr>
          <w:p w14:paraId="126BA7BF" w14:textId="77777777" w:rsidR="00610D2B" w:rsidRPr="00E75631" w:rsidRDefault="00610D2B" w:rsidP="00B861C5">
            <w:pPr>
              <w:rPr>
                <w:rFonts w:cs="Arial"/>
                <w:sz w:val="24"/>
                <w:szCs w:val="24"/>
              </w:rPr>
            </w:pPr>
            <w:r w:rsidRPr="00E75631">
              <w:rPr>
                <w:rFonts w:cs="Arial"/>
                <w:sz w:val="24"/>
                <w:szCs w:val="24"/>
              </w:rPr>
              <w:t>3.78 (4.15)</w:t>
            </w:r>
          </w:p>
        </w:tc>
        <w:tc>
          <w:tcPr>
            <w:tcW w:w="1652" w:type="dxa"/>
          </w:tcPr>
          <w:p w14:paraId="470F0CD9" w14:textId="77777777" w:rsidR="00610D2B" w:rsidRPr="00E75631" w:rsidRDefault="00610D2B" w:rsidP="00B861C5">
            <w:pPr>
              <w:rPr>
                <w:rFonts w:cs="Arial"/>
                <w:sz w:val="24"/>
                <w:szCs w:val="24"/>
              </w:rPr>
            </w:pPr>
            <w:r w:rsidRPr="00E75631">
              <w:rPr>
                <w:rFonts w:cs="Arial"/>
                <w:sz w:val="24"/>
                <w:szCs w:val="24"/>
              </w:rPr>
              <w:t>3.35 (4.05)</w:t>
            </w:r>
          </w:p>
        </w:tc>
        <w:tc>
          <w:tcPr>
            <w:tcW w:w="1652" w:type="dxa"/>
          </w:tcPr>
          <w:p w14:paraId="276CBF18" w14:textId="77777777" w:rsidR="00610D2B" w:rsidRPr="00E75631" w:rsidRDefault="00610D2B" w:rsidP="00B861C5">
            <w:pPr>
              <w:rPr>
                <w:rFonts w:cs="Arial"/>
                <w:sz w:val="24"/>
                <w:szCs w:val="24"/>
              </w:rPr>
            </w:pPr>
            <w:r w:rsidRPr="00E75631">
              <w:rPr>
                <w:rFonts w:cs="Arial"/>
                <w:sz w:val="24"/>
                <w:szCs w:val="24"/>
              </w:rPr>
              <w:t>4.90 (4.41)</w:t>
            </w:r>
          </w:p>
        </w:tc>
      </w:tr>
      <w:tr w:rsidR="00610D2B" w:rsidRPr="00E75631" w14:paraId="4E2240AB" w14:textId="77777777" w:rsidTr="00064FB3">
        <w:tc>
          <w:tcPr>
            <w:tcW w:w="2403" w:type="dxa"/>
          </w:tcPr>
          <w:p w14:paraId="3B7DBCEC" w14:textId="77777777" w:rsidR="00610D2B" w:rsidRPr="00E75631" w:rsidRDefault="00610D2B" w:rsidP="00B861C5">
            <w:pPr>
              <w:rPr>
                <w:rFonts w:cs="Arial"/>
                <w:sz w:val="24"/>
                <w:szCs w:val="24"/>
              </w:rPr>
            </w:pPr>
            <w:r w:rsidRPr="00E75631">
              <w:rPr>
                <w:rFonts w:cs="Arial"/>
                <w:sz w:val="24"/>
                <w:szCs w:val="24"/>
              </w:rPr>
              <w:t xml:space="preserve"> 24 weeks: Mean (SD)</w:t>
            </w:r>
          </w:p>
        </w:tc>
        <w:tc>
          <w:tcPr>
            <w:tcW w:w="1651" w:type="dxa"/>
          </w:tcPr>
          <w:p w14:paraId="61C58BE4" w14:textId="77777777" w:rsidR="00610D2B" w:rsidRPr="00E75631" w:rsidRDefault="00610D2B" w:rsidP="00B861C5">
            <w:pPr>
              <w:rPr>
                <w:rFonts w:cs="Arial"/>
                <w:sz w:val="24"/>
                <w:szCs w:val="24"/>
              </w:rPr>
            </w:pPr>
            <w:r w:rsidRPr="00E75631">
              <w:rPr>
                <w:rFonts w:cs="Arial"/>
                <w:sz w:val="24"/>
                <w:szCs w:val="24"/>
              </w:rPr>
              <w:t>3.78 (4.33)</w:t>
            </w:r>
          </w:p>
        </w:tc>
        <w:tc>
          <w:tcPr>
            <w:tcW w:w="1652" w:type="dxa"/>
          </w:tcPr>
          <w:p w14:paraId="729481B7" w14:textId="77777777" w:rsidR="00610D2B" w:rsidRPr="00E75631" w:rsidRDefault="00610D2B" w:rsidP="00B861C5">
            <w:pPr>
              <w:rPr>
                <w:rFonts w:cs="Arial"/>
                <w:sz w:val="24"/>
                <w:szCs w:val="24"/>
              </w:rPr>
            </w:pPr>
            <w:r w:rsidRPr="00E75631">
              <w:rPr>
                <w:rFonts w:cs="Arial"/>
                <w:sz w:val="24"/>
                <w:szCs w:val="24"/>
              </w:rPr>
              <w:t>3.23 (4.46)</w:t>
            </w:r>
          </w:p>
        </w:tc>
        <w:tc>
          <w:tcPr>
            <w:tcW w:w="1652" w:type="dxa"/>
          </w:tcPr>
          <w:p w14:paraId="46414C28" w14:textId="77777777" w:rsidR="00610D2B" w:rsidRPr="00E75631" w:rsidRDefault="00610D2B" w:rsidP="00B861C5">
            <w:pPr>
              <w:rPr>
                <w:rFonts w:cs="Arial"/>
                <w:sz w:val="24"/>
                <w:szCs w:val="24"/>
              </w:rPr>
            </w:pPr>
            <w:r w:rsidRPr="00E75631">
              <w:rPr>
                <w:rFonts w:cs="Arial"/>
                <w:sz w:val="24"/>
                <w:szCs w:val="24"/>
              </w:rPr>
              <w:t>5.20 (3.82)</w:t>
            </w:r>
          </w:p>
        </w:tc>
      </w:tr>
      <w:tr w:rsidR="00610D2B" w:rsidRPr="00E75631" w14:paraId="261662D0" w14:textId="77777777" w:rsidTr="00064FB3">
        <w:tc>
          <w:tcPr>
            <w:tcW w:w="2403" w:type="dxa"/>
          </w:tcPr>
          <w:p w14:paraId="1317BAB6" w14:textId="77777777" w:rsidR="00610D2B" w:rsidRPr="00E75631" w:rsidRDefault="00610D2B" w:rsidP="00B861C5">
            <w:pPr>
              <w:rPr>
                <w:rFonts w:cs="Arial"/>
                <w:sz w:val="24"/>
                <w:szCs w:val="24"/>
              </w:rPr>
            </w:pPr>
          </w:p>
        </w:tc>
        <w:tc>
          <w:tcPr>
            <w:tcW w:w="1651" w:type="dxa"/>
          </w:tcPr>
          <w:p w14:paraId="1062A2C0" w14:textId="77777777" w:rsidR="00610D2B" w:rsidRPr="00E75631" w:rsidRDefault="00610D2B" w:rsidP="00B861C5">
            <w:pPr>
              <w:rPr>
                <w:rFonts w:cs="Arial"/>
                <w:sz w:val="24"/>
                <w:szCs w:val="24"/>
              </w:rPr>
            </w:pPr>
          </w:p>
        </w:tc>
        <w:tc>
          <w:tcPr>
            <w:tcW w:w="1652" w:type="dxa"/>
          </w:tcPr>
          <w:p w14:paraId="330A4FEE" w14:textId="77777777" w:rsidR="00610D2B" w:rsidRPr="00E75631" w:rsidRDefault="00610D2B" w:rsidP="00B861C5">
            <w:pPr>
              <w:rPr>
                <w:rFonts w:cs="Arial"/>
                <w:sz w:val="24"/>
                <w:szCs w:val="24"/>
              </w:rPr>
            </w:pPr>
          </w:p>
        </w:tc>
        <w:tc>
          <w:tcPr>
            <w:tcW w:w="1652" w:type="dxa"/>
          </w:tcPr>
          <w:p w14:paraId="2DA92F6F" w14:textId="77777777" w:rsidR="00610D2B" w:rsidRPr="00E75631" w:rsidRDefault="00610D2B" w:rsidP="00B861C5">
            <w:pPr>
              <w:rPr>
                <w:rFonts w:cs="Arial"/>
                <w:sz w:val="24"/>
                <w:szCs w:val="24"/>
              </w:rPr>
            </w:pPr>
          </w:p>
        </w:tc>
      </w:tr>
    </w:tbl>
    <w:p w14:paraId="751B248F" w14:textId="3B410A0C" w:rsidR="009D571C" w:rsidRPr="0093472F" w:rsidRDefault="00FB0D18" w:rsidP="009D571C">
      <w:pPr>
        <w:rPr>
          <w:sz w:val="20"/>
          <w:szCs w:val="20"/>
        </w:rPr>
      </w:pPr>
      <w:r>
        <w:rPr>
          <w:sz w:val="20"/>
          <w:szCs w:val="20"/>
        </w:rPr>
        <w:t>GAD-7</w:t>
      </w:r>
      <w:r w:rsidR="009D571C" w:rsidRPr="0093472F">
        <w:rPr>
          <w:sz w:val="20"/>
          <w:szCs w:val="20"/>
        </w:rPr>
        <w:t xml:space="preserve"> = Generalised Anxiety Disorder Questionnaire: </w:t>
      </w:r>
      <w:r>
        <w:rPr>
          <w:sz w:val="20"/>
          <w:szCs w:val="20"/>
        </w:rPr>
        <w:t>PHQ-9</w:t>
      </w:r>
      <w:r w:rsidR="009D571C" w:rsidRPr="0093472F">
        <w:rPr>
          <w:sz w:val="20"/>
          <w:szCs w:val="20"/>
        </w:rPr>
        <w:t xml:space="preserve"> = Patient Health Questionnaire; AUDIT = Alcohol Use Disorders Identification Test; SDS = Severity of Dependence Scale</w:t>
      </w:r>
    </w:p>
    <w:p w14:paraId="3F67C04B" w14:textId="160A6CFD" w:rsidR="002B3E66" w:rsidRPr="009D571C" w:rsidRDefault="002B3E66" w:rsidP="00A8589B">
      <w:pPr>
        <w:spacing w:after="160" w:line="480" w:lineRule="auto"/>
        <w:jc w:val="both"/>
        <w:rPr>
          <w:rFonts w:cs="Times New Roman"/>
        </w:rPr>
      </w:pPr>
    </w:p>
    <w:p w14:paraId="0A48D3F1" w14:textId="74F5190E" w:rsidR="00C773C1" w:rsidRPr="00E879B4" w:rsidRDefault="00C773C1" w:rsidP="00A8589B">
      <w:pPr>
        <w:spacing w:after="160" w:line="480" w:lineRule="auto"/>
        <w:jc w:val="both"/>
        <w:rPr>
          <w:rFonts w:cs="Times New Roman"/>
          <w:b/>
          <w:sz w:val="32"/>
          <w:szCs w:val="32"/>
        </w:rPr>
      </w:pPr>
      <w:r w:rsidRPr="00E879B4">
        <w:rPr>
          <w:rFonts w:cs="Times New Roman"/>
          <w:b/>
          <w:sz w:val="32"/>
          <w:szCs w:val="32"/>
        </w:rPr>
        <w:t>Sm</w:t>
      </w:r>
      <w:r w:rsidR="00381B5E" w:rsidRPr="00E879B4">
        <w:rPr>
          <w:rFonts w:cs="Times New Roman"/>
          <w:b/>
          <w:sz w:val="32"/>
          <w:szCs w:val="32"/>
        </w:rPr>
        <w:t>oking o</w:t>
      </w:r>
      <w:r w:rsidRPr="00E879B4">
        <w:rPr>
          <w:rFonts w:cs="Times New Roman"/>
          <w:b/>
          <w:sz w:val="32"/>
          <w:szCs w:val="32"/>
        </w:rPr>
        <w:t xml:space="preserve">utcome </w:t>
      </w:r>
      <w:r w:rsidR="00381B5E" w:rsidRPr="00E879B4">
        <w:rPr>
          <w:rFonts w:cs="Times New Roman"/>
          <w:b/>
          <w:sz w:val="32"/>
          <w:szCs w:val="32"/>
        </w:rPr>
        <w:t>d</w:t>
      </w:r>
      <w:r w:rsidRPr="00E879B4">
        <w:rPr>
          <w:rFonts w:cs="Times New Roman"/>
          <w:b/>
          <w:sz w:val="32"/>
          <w:szCs w:val="32"/>
        </w:rPr>
        <w:t>ata</w:t>
      </w:r>
    </w:p>
    <w:p w14:paraId="26F77E19" w14:textId="109F6A5B" w:rsidR="00DE4A10" w:rsidRDefault="002A7A78" w:rsidP="00A8589B">
      <w:pPr>
        <w:spacing w:after="160" w:line="480" w:lineRule="auto"/>
        <w:jc w:val="both"/>
        <w:rPr>
          <w:rFonts w:cs="Times New Roman"/>
        </w:rPr>
      </w:pPr>
      <w:r w:rsidRPr="00CC3ABA">
        <w:rPr>
          <w:rFonts w:cs="Times New Roman"/>
        </w:rPr>
        <w:t>Table 5 prese</w:t>
      </w:r>
      <w:r w:rsidR="001F1AC4">
        <w:rPr>
          <w:rFonts w:cs="Times New Roman"/>
        </w:rPr>
        <w:t>nts the smoking related outcome</w:t>
      </w:r>
      <w:r w:rsidRPr="00CC3ABA">
        <w:rPr>
          <w:rFonts w:cs="Times New Roman"/>
        </w:rPr>
        <w:t xml:space="preserve"> measures.</w:t>
      </w:r>
      <w:r w:rsidR="00840AF7">
        <w:rPr>
          <w:rFonts w:cs="Times New Roman"/>
        </w:rPr>
        <w:t xml:space="preserve"> </w:t>
      </w:r>
      <w:r w:rsidR="00DE7C12">
        <w:rPr>
          <w:rFonts w:cs="Times New Roman"/>
        </w:rPr>
        <w:t>Of those who could be followed up, t</w:t>
      </w:r>
      <w:r w:rsidR="00DE4A10" w:rsidRPr="00CC3ABA">
        <w:rPr>
          <w:rFonts w:cs="Times New Roman"/>
        </w:rPr>
        <w:t>he CO vali</w:t>
      </w:r>
      <w:r w:rsidRPr="00CC3ABA">
        <w:rPr>
          <w:rFonts w:cs="Times New Roman"/>
        </w:rPr>
        <w:t>dated sustained abstinence rate at 24 weeks was 3/35 (11%) for the EC arm and 0/12 (0%) for the UC arm. Assuming that all those with missing follow up data were smoking</w:t>
      </w:r>
      <w:r w:rsidR="00202683">
        <w:rPr>
          <w:rFonts w:cs="Times New Roman"/>
        </w:rPr>
        <w:t xml:space="preserve"> (intention to treat)</w:t>
      </w:r>
      <w:r w:rsidRPr="00CC3ABA">
        <w:rPr>
          <w:rFonts w:cs="Times New Roman"/>
        </w:rPr>
        <w:t>, the 24 week sustained abstinence rate was 6.25% (3/48) in the EC arm vs. 0/32 (0%) in the UC arm. Seven day point prevalence rates at 24 weeks were the same as s</w:t>
      </w:r>
      <w:r w:rsidR="00D625E2" w:rsidRPr="00CC3ABA">
        <w:rPr>
          <w:rFonts w:cs="Times New Roman"/>
        </w:rPr>
        <w:t>ustained abstinence rates.</w:t>
      </w:r>
      <w:r w:rsidR="00840AF7">
        <w:rPr>
          <w:rFonts w:cs="Times New Roman"/>
        </w:rPr>
        <w:t xml:space="preserve"> </w:t>
      </w:r>
      <w:r w:rsidR="00D625E2" w:rsidRPr="00CC3ABA">
        <w:rPr>
          <w:rFonts w:cs="Times New Roman"/>
        </w:rPr>
        <w:t>The percentage of participants who reported &gt;50% reduction in CPD from baseline to 24 week follow up was 43% in the EC arm and 25% in the UC arm.</w:t>
      </w:r>
      <w:r w:rsidR="00840AF7">
        <w:rPr>
          <w:rFonts w:cs="Times New Roman"/>
        </w:rPr>
        <w:t xml:space="preserve"> </w:t>
      </w:r>
      <w:r w:rsidR="00D625E2" w:rsidRPr="00CC3ABA">
        <w:rPr>
          <w:rFonts w:cs="Times New Roman"/>
        </w:rPr>
        <w:t xml:space="preserve">The percentage of those with &gt;50% reduction in expired CO was a little lower and similar </w:t>
      </w:r>
      <w:r w:rsidR="0056680D">
        <w:rPr>
          <w:rFonts w:cs="Times New Roman"/>
        </w:rPr>
        <w:t>in the two</w:t>
      </w:r>
      <w:r w:rsidR="0056680D" w:rsidRPr="00CC3ABA">
        <w:rPr>
          <w:rFonts w:cs="Times New Roman"/>
        </w:rPr>
        <w:t xml:space="preserve"> </w:t>
      </w:r>
      <w:r w:rsidR="00D625E2" w:rsidRPr="00CC3ABA">
        <w:rPr>
          <w:rFonts w:cs="Times New Roman"/>
        </w:rPr>
        <w:t>groups (EC= 20%; UC= 25%).</w:t>
      </w:r>
      <w:r w:rsidR="00301E66">
        <w:rPr>
          <w:rFonts w:cs="Times New Roman"/>
        </w:rPr>
        <w:t xml:space="preserve"> The number of people reporting that they shared cigarettes remained relatively stable across the 24 weeks although reports of smoking discarded cigarettes and asking strangers for cigarettes decreased (data in </w:t>
      </w:r>
      <w:r w:rsidR="00704F0C">
        <w:rPr>
          <w:rFonts w:cs="Times New Roman"/>
        </w:rPr>
        <w:t>supporting information S2</w:t>
      </w:r>
      <w:r w:rsidR="00301E66">
        <w:rPr>
          <w:rFonts w:cs="Times New Roman"/>
        </w:rPr>
        <w:t>).</w:t>
      </w:r>
    </w:p>
    <w:p w14:paraId="46220762" w14:textId="77777777" w:rsidR="008730EC" w:rsidRPr="008730EC" w:rsidRDefault="008730EC" w:rsidP="008730EC">
      <w:pPr>
        <w:spacing w:after="120"/>
        <w:rPr>
          <w:b/>
        </w:rPr>
      </w:pPr>
      <w:r w:rsidRPr="008730EC">
        <w:rPr>
          <w:b/>
        </w:rPr>
        <w:t>Table 5: Frequencies and percentages for smoking related outcome variables at baseline and each follow up time point for the e-cigarette (EC) and usual care (UC) arms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256"/>
        <w:gridCol w:w="1913"/>
        <w:gridCol w:w="1914"/>
      </w:tblGrid>
      <w:tr w:rsidR="008730EC" w:rsidRPr="008730EC" w14:paraId="3D0DC804" w14:textId="77777777" w:rsidTr="00B861C5">
        <w:tc>
          <w:tcPr>
            <w:tcW w:w="3256" w:type="dxa"/>
            <w:tcBorders>
              <w:top w:val="single" w:sz="4" w:space="0" w:color="auto"/>
              <w:bottom w:val="single" w:sz="4" w:space="0" w:color="auto"/>
            </w:tcBorders>
          </w:tcPr>
          <w:p w14:paraId="2282151E" w14:textId="77777777" w:rsidR="008730EC" w:rsidRPr="008730EC" w:rsidRDefault="008730EC" w:rsidP="00B861C5">
            <w:pPr>
              <w:jc w:val="center"/>
              <w:rPr>
                <w:rFonts w:cs="Arial"/>
                <w:b/>
                <w:sz w:val="24"/>
                <w:szCs w:val="24"/>
              </w:rPr>
            </w:pPr>
          </w:p>
        </w:tc>
        <w:tc>
          <w:tcPr>
            <w:tcW w:w="1913" w:type="dxa"/>
            <w:tcBorders>
              <w:top w:val="single" w:sz="4" w:space="0" w:color="auto"/>
              <w:bottom w:val="single" w:sz="4" w:space="0" w:color="auto"/>
            </w:tcBorders>
          </w:tcPr>
          <w:p w14:paraId="7370E38E" w14:textId="77777777" w:rsidR="008730EC" w:rsidRPr="008730EC" w:rsidRDefault="008730EC" w:rsidP="00B861C5">
            <w:pPr>
              <w:jc w:val="center"/>
              <w:rPr>
                <w:rFonts w:cs="Arial"/>
                <w:b/>
                <w:sz w:val="24"/>
                <w:szCs w:val="24"/>
              </w:rPr>
            </w:pPr>
            <w:r w:rsidRPr="008730EC">
              <w:rPr>
                <w:rFonts w:cs="Arial"/>
                <w:b/>
                <w:sz w:val="24"/>
                <w:szCs w:val="24"/>
              </w:rPr>
              <w:t>EC Arm</w:t>
            </w:r>
          </w:p>
        </w:tc>
        <w:tc>
          <w:tcPr>
            <w:tcW w:w="1914" w:type="dxa"/>
            <w:tcBorders>
              <w:top w:val="single" w:sz="4" w:space="0" w:color="auto"/>
              <w:bottom w:val="single" w:sz="4" w:space="0" w:color="auto"/>
            </w:tcBorders>
          </w:tcPr>
          <w:p w14:paraId="4CD6BF9D" w14:textId="77777777" w:rsidR="008730EC" w:rsidRPr="008730EC" w:rsidRDefault="008730EC" w:rsidP="00B861C5">
            <w:pPr>
              <w:jc w:val="center"/>
              <w:rPr>
                <w:rFonts w:cs="Arial"/>
                <w:b/>
                <w:sz w:val="24"/>
                <w:szCs w:val="24"/>
              </w:rPr>
            </w:pPr>
            <w:r w:rsidRPr="008730EC">
              <w:rPr>
                <w:rFonts w:cs="Arial"/>
                <w:b/>
                <w:sz w:val="24"/>
                <w:szCs w:val="24"/>
              </w:rPr>
              <w:t>UC Arm</w:t>
            </w:r>
          </w:p>
          <w:p w14:paraId="6581BBC8" w14:textId="77777777" w:rsidR="008730EC" w:rsidRPr="008730EC" w:rsidRDefault="008730EC" w:rsidP="00B861C5">
            <w:pPr>
              <w:jc w:val="center"/>
              <w:rPr>
                <w:rFonts w:cs="Arial"/>
                <w:b/>
                <w:sz w:val="24"/>
                <w:szCs w:val="24"/>
              </w:rPr>
            </w:pPr>
          </w:p>
        </w:tc>
      </w:tr>
      <w:tr w:rsidR="008730EC" w:rsidRPr="008730EC" w14:paraId="1972917D" w14:textId="77777777" w:rsidTr="00B861C5">
        <w:tc>
          <w:tcPr>
            <w:tcW w:w="3256" w:type="dxa"/>
            <w:tcBorders>
              <w:top w:val="single" w:sz="4" w:space="0" w:color="auto"/>
            </w:tcBorders>
          </w:tcPr>
          <w:p w14:paraId="54BF0B8E" w14:textId="77777777" w:rsidR="008730EC" w:rsidRPr="008730EC" w:rsidRDefault="008730EC" w:rsidP="00B861C5">
            <w:pPr>
              <w:rPr>
                <w:rFonts w:cs="Arial"/>
                <w:b/>
                <w:sz w:val="24"/>
                <w:szCs w:val="24"/>
              </w:rPr>
            </w:pPr>
            <w:r w:rsidRPr="008730EC">
              <w:rPr>
                <w:rFonts w:cs="Arial"/>
                <w:b/>
                <w:sz w:val="24"/>
                <w:szCs w:val="24"/>
              </w:rPr>
              <w:t>Sustained abstinence</w:t>
            </w:r>
          </w:p>
        </w:tc>
        <w:tc>
          <w:tcPr>
            <w:tcW w:w="1913" w:type="dxa"/>
            <w:tcBorders>
              <w:top w:val="single" w:sz="4" w:space="0" w:color="auto"/>
            </w:tcBorders>
          </w:tcPr>
          <w:p w14:paraId="402B3914" w14:textId="77777777" w:rsidR="008730EC" w:rsidRPr="008730EC" w:rsidRDefault="008730EC" w:rsidP="00B861C5">
            <w:pPr>
              <w:rPr>
                <w:rFonts w:cs="Arial"/>
                <w:sz w:val="24"/>
                <w:szCs w:val="24"/>
              </w:rPr>
            </w:pPr>
          </w:p>
        </w:tc>
        <w:tc>
          <w:tcPr>
            <w:tcW w:w="1914" w:type="dxa"/>
            <w:tcBorders>
              <w:top w:val="single" w:sz="4" w:space="0" w:color="auto"/>
            </w:tcBorders>
          </w:tcPr>
          <w:p w14:paraId="55397CB8" w14:textId="77777777" w:rsidR="008730EC" w:rsidRPr="008730EC" w:rsidRDefault="008730EC" w:rsidP="00B861C5">
            <w:pPr>
              <w:rPr>
                <w:rFonts w:cs="Arial"/>
                <w:sz w:val="24"/>
                <w:szCs w:val="24"/>
              </w:rPr>
            </w:pPr>
          </w:p>
        </w:tc>
      </w:tr>
      <w:tr w:rsidR="008730EC" w:rsidRPr="008730EC" w14:paraId="5CADB5B4" w14:textId="77777777" w:rsidTr="00B861C5">
        <w:tc>
          <w:tcPr>
            <w:tcW w:w="3256" w:type="dxa"/>
          </w:tcPr>
          <w:p w14:paraId="5B441870" w14:textId="77777777" w:rsidR="008730EC" w:rsidRPr="008730EC" w:rsidRDefault="008730EC" w:rsidP="00B861C5">
            <w:pPr>
              <w:rPr>
                <w:rFonts w:cs="Arial"/>
                <w:sz w:val="24"/>
                <w:szCs w:val="24"/>
              </w:rPr>
            </w:pPr>
            <w:r w:rsidRPr="008730EC">
              <w:rPr>
                <w:rFonts w:cs="Arial"/>
                <w:sz w:val="24"/>
                <w:szCs w:val="24"/>
              </w:rPr>
              <w:t xml:space="preserve"> 4 weeks: N (%)</w:t>
            </w:r>
          </w:p>
        </w:tc>
        <w:tc>
          <w:tcPr>
            <w:tcW w:w="1913" w:type="dxa"/>
          </w:tcPr>
          <w:p w14:paraId="5E6A6B16" w14:textId="77777777" w:rsidR="008730EC" w:rsidRPr="008730EC" w:rsidRDefault="008730EC" w:rsidP="00B861C5">
            <w:pPr>
              <w:jc w:val="center"/>
              <w:rPr>
                <w:rFonts w:cs="Arial"/>
                <w:sz w:val="24"/>
                <w:szCs w:val="24"/>
              </w:rPr>
            </w:pPr>
            <w:r w:rsidRPr="008730EC">
              <w:rPr>
                <w:rFonts w:cs="Arial"/>
                <w:sz w:val="24"/>
                <w:szCs w:val="24"/>
              </w:rPr>
              <w:t>8/39 (21%)</w:t>
            </w:r>
          </w:p>
        </w:tc>
        <w:tc>
          <w:tcPr>
            <w:tcW w:w="1914" w:type="dxa"/>
          </w:tcPr>
          <w:p w14:paraId="339B0223" w14:textId="6B288CBB" w:rsidR="008730EC" w:rsidRPr="008730EC" w:rsidRDefault="008730EC" w:rsidP="00E7158C">
            <w:pPr>
              <w:jc w:val="center"/>
              <w:rPr>
                <w:rFonts w:cs="Arial"/>
                <w:sz w:val="24"/>
                <w:szCs w:val="24"/>
              </w:rPr>
            </w:pPr>
            <w:r w:rsidRPr="008730EC">
              <w:rPr>
                <w:rFonts w:cs="Arial"/>
                <w:sz w:val="24"/>
                <w:szCs w:val="24"/>
              </w:rPr>
              <w:t xml:space="preserve">0 </w:t>
            </w:r>
            <w:r w:rsidR="00E7158C">
              <w:rPr>
                <w:rFonts w:cs="Arial"/>
                <w:sz w:val="24"/>
                <w:szCs w:val="24"/>
              </w:rPr>
              <w:t>/ (0</w:t>
            </w:r>
            <w:r w:rsidRPr="008730EC">
              <w:rPr>
                <w:rFonts w:cs="Arial"/>
                <w:sz w:val="24"/>
                <w:szCs w:val="24"/>
              </w:rPr>
              <w:t>%)</w:t>
            </w:r>
          </w:p>
        </w:tc>
      </w:tr>
      <w:tr w:rsidR="008730EC" w:rsidRPr="008730EC" w14:paraId="2AD071A4" w14:textId="77777777" w:rsidTr="00B861C5">
        <w:tc>
          <w:tcPr>
            <w:tcW w:w="3256" w:type="dxa"/>
          </w:tcPr>
          <w:p w14:paraId="0F20B50D" w14:textId="77777777" w:rsidR="008730EC" w:rsidRPr="008730EC" w:rsidRDefault="008730EC" w:rsidP="00B861C5">
            <w:pPr>
              <w:rPr>
                <w:rFonts w:cs="Arial"/>
                <w:sz w:val="24"/>
                <w:szCs w:val="24"/>
              </w:rPr>
            </w:pPr>
            <w:r w:rsidRPr="008730EC">
              <w:rPr>
                <w:rFonts w:cs="Arial"/>
                <w:sz w:val="24"/>
                <w:szCs w:val="24"/>
              </w:rPr>
              <w:t xml:space="preserve"> 12 weeks: N (%)</w:t>
            </w:r>
          </w:p>
        </w:tc>
        <w:tc>
          <w:tcPr>
            <w:tcW w:w="1913" w:type="dxa"/>
          </w:tcPr>
          <w:p w14:paraId="74CE7475" w14:textId="77777777" w:rsidR="008730EC" w:rsidRPr="008730EC" w:rsidRDefault="008730EC" w:rsidP="00B861C5">
            <w:pPr>
              <w:jc w:val="center"/>
              <w:rPr>
                <w:rFonts w:cs="Arial"/>
                <w:sz w:val="24"/>
                <w:szCs w:val="24"/>
              </w:rPr>
            </w:pPr>
            <w:r w:rsidRPr="008730EC">
              <w:rPr>
                <w:rFonts w:cs="Arial"/>
                <w:sz w:val="24"/>
                <w:szCs w:val="24"/>
              </w:rPr>
              <w:t>2/34 (6%)</w:t>
            </w:r>
          </w:p>
        </w:tc>
        <w:tc>
          <w:tcPr>
            <w:tcW w:w="1914" w:type="dxa"/>
          </w:tcPr>
          <w:p w14:paraId="2F56AA4F" w14:textId="1428B0AA" w:rsidR="008730EC" w:rsidRPr="008730EC" w:rsidRDefault="008730EC" w:rsidP="00B861C5">
            <w:pPr>
              <w:jc w:val="center"/>
              <w:rPr>
                <w:rFonts w:cs="Arial"/>
                <w:sz w:val="24"/>
                <w:szCs w:val="24"/>
              </w:rPr>
            </w:pPr>
            <w:r w:rsidRPr="008730EC">
              <w:rPr>
                <w:rFonts w:cs="Arial"/>
                <w:sz w:val="24"/>
                <w:szCs w:val="24"/>
              </w:rPr>
              <w:t>0</w:t>
            </w:r>
            <w:r w:rsidR="003108CE">
              <w:rPr>
                <w:rFonts w:cs="Arial"/>
                <w:sz w:val="24"/>
                <w:szCs w:val="24"/>
              </w:rPr>
              <w:t xml:space="preserve"> </w:t>
            </w:r>
            <w:r w:rsidR="00E7158C">
              <w:rPr>
                <w:rFonts w:cs="Arial"/>
                <w:sz w:val="24"/>
                <w:szCs w:val="24"/>
              </w:rPr>
              <w:t>/(0</w:t>
            </w:r>
            <w:r w:rsidRPr="008730EC">
              <w:rPr>
                <w:rFonts w:cs="Arial"/>
                <w:sz w:val="24"/>
                <w:szCs w:val="24"/>
              </w:rPr>
              <w:t>%)</w:t>
            </w:r>
          </w:p>
        </w:tc>
      </w:tr>
      <w:tr w:rsidR="008730EC" w:rsidRPr="008730EC" w14:paraId="294D3EF0" w14:textId="77777777" w:rsidTr="00B861C5">
        <w:tc>
          <w:tcPr>
            <w:tcW w:w="3256" w:type="dxa"/>
          </w:tcPr>
          <w:p w14:paraId="19A46B5C" w14:textId="77777777" w:rsidR="008730EC" w:rsidRPr="008730EC" w:rsidRDefault="008730EC" w:rsidP="00B861C5">
            <w:pPr>
              <w:rPr>
                <w:rFonts w:cs="Arial"/>
                <w:sz w:val="24"/>
                <w:szCs w:val="24"/>
              </w:rPr>
            </w:pPr>
            <w:r w:rsidRPr="008730EC">
              <w:rPr>
                <w:rFonts w:cs="Arial"/>
                <w:sz w:val="24"/>
                <w:szCs w:val="24"/>
              </w:rPr>
              <w:t xml:space="preserve"> 24 weeks: N (%)</w:t>
            </w:r>
          </w:p>
        </w:tc>
        <w:tc>
          <w:tcPr>
            <w:tcW w:w="1913" w:type="dxa"/>
          </w:tcPr>
          <w:p w14:paraId="53B76689" w14:textId="77777777" w:rsidR="008730EC" w:rsidRPr="008730EC" w:rsidRDefault="008730EC" w:rsidP="00B861C5">
            <w:pPr>
              <w:jc w:val="center"/>
              <w:rPr>
                <w:rFonts w:cs="Arial"/>
                <w:sz w:val="24"/>
                <w:szCs w:val="24"/>
              </w:rPr>
            </w:pPr>
            <w:r w:rsidRPr="008730EC">
              <w:rPr>
                <w:rFonts w:cs="Arial"/>
                <w:sz w:val="24"/>
                <w:szCs w:val="24"/>
              </w:rPr>
              <w:t>3/35 (11%)</w:t>
            </w:r>
          </w:p>
        </w:tc>
        <w:tc>
          <w:tcPr>
            <w:tcW w:w="1914" w:type="dxa"/>
          </w:tcPr>
          <w:p w14:paraId="3DE585DD" w14:textId="21CF1524" w:rsidR="008730EC" w:rsidRPr="008730EC" w:rsidRDefault="008730EC" w:rsidP="00B861C5">
            <w:pPr>
              <w:jc w:val="center"/>
              <w:rPr>
                <w:rFonts w:cs="Arial"/>
                <w:sz w:val="24"/>
                <w:szCs w:val="24"/>
              </w:rPr>
            </w:pPr>
            <w:r w:rsidRPr="008730EC">
              <w:rPr>
                <w:rFonts w:cs="Arial"/>
                <w:sz w:val="24"/>
                <w:szCs w:val="24"/>
              </w:rPr>
              <w:t>0</w:t>
            </w:r>
            <w:r w:rsidR="003108CE">
              <w:rPr>
                <w:rFonts w:cs="Arial"/>
                <w:sz w:val="24"/>
                <w:szCs w:val="24"/>
              </w:rPr>
              <w:t xml:space="preserve"> </w:t>
            </w:r>
            <w:r w:rsidR="00E7158C">
              <w:rPr>
                <w:rFonts w:cs="Arial"/>
                <w:sz w:val="24"/>
                <w:szCs w:val="24"/>
              </w:rPr>
              <w:t>/ (0</w:t>
            </w:r>
            <w:r w:rsidRPr="008730EC">
              <w:rPr>
                <w:rFonts w:cs="Arial"/>
                <w:sz w:val="24"/>
                <w:szCs w:val="24"/>
              </w:rPr>
              <w:t>%)</w:t>
            </w:r>
          </w:p>
        </w:tc>
      </w:tr>
      <w:tr w:rsidR="008730EC" w:rsidRPr="008730EC" w14:paraId="1F6677A4" w14:textId="77777777" w:rsidTr="00B861C5">
        <w:tc>
          <w:tcPr>
            <w:tcW w:w="3256" w:type="dxa"/>
          </w:tcPr>
          <w:p w14:paraId="137433E3" w14:textId="77777777" w:rsidR="008730EC" w:rsidRPr="008730EC" w:rsidRDefault="008730EC" w:rsidP="00B861C5">
            <w:pPr>
              <w:rPr>
                <w:rFonts w:cs="Arial"/>
                <w:sz w:val="24"/>
                <w:szCs w:val="24"/>
              </w:rPr>
            </w:pPr>
          </w:p>
        </w:tc>
        <w:tc>
          <w:tcPr>
            <w:tcW w:w="1913" w:type="dxa"/>
          </w:tcPr>
          <w:p w14:paraId="6BF755DE" w14:textId="77777777" w:rsidR="008730EC" w:rsidRPr="008730EC" w:rsidRDefault="008730EC" w:rsidP="00B861C5">
            <w:pPr>
              <w:rPr>
                <w:rFonts w:cs="Arial"/>
                <w:sz w:val="24"/>
                <w:szCs w:val="24"/>
              </w:rPr>
            </w:pPr>
          </w:p>
        </w:tc>
        <w:tc>
          <w:tcPr>
            <w:tcW w:w="1914" w:type="dxa"/>
          </w:tcPr>
          <w:p w14:paraId="0AA60DA7" w14:textId="77777777" w:rsidR="008730EC" w:rsidRPr="008730EC" w:rsidRDefault="008730EC" w:rsidP="00B861C5">
            <w:pPr>
              <w:rPr>
                <w:rFonts w:cs="Arial"/>
                <w:sz w:val="24"/>
                <w:szCs w:val="24"/>
              </w:rPr>
            </w:pPr>
          </w:p>
        </w:tc>
      </w:tr>
      <w:tr w:rsidR="008730EC" w:rsidRPr="008730EC" w14:paraId="781EAD0B" w14:textId="77777777" w:rsidTr="00B861C5">
        <w:tc>
          <w:tcPr>
            <w:tcW w:w="3256" w:type="dxa"/>
          </w:tcPr>
          <w:p w14:paraId="39089C5B" w14:textId="77777777" w:rsidR="008730EC" w:rsidRPr="008730EC" w:rsidRDefault="008730EC" w:rsidP="00B861C5">
            <w:pPr>
              <w:rPr>
                <w:rFonts w:cs="Arial"/>
                <w:sz w:val="24"/>
                <w:szCs w:val="24"/>
              </w:rPr>
            </w:pPr>
            <w:r w:rsidRPr="008730EC">
              <w:rPr>
                <w:rFonts w:cs="Arial"/>
                <w:b/>
                <w:sz w:val="24"/>
                <w:szCs w:val="24"/>
              </w:rPr>
              <w:t>7 day point prevalence</w:t>
            </w:r>
          </w:p>
        </w:tc>
        <w:tc>
          <w:tcPr>
            <w:tcW w:w="1913" w:type="dxa"/>
          </w:tcPr>
          <w:p w14:paraId="1A63175E" w14:textId="77777777" w:rsidR="008730EC" w:rsidRPr="008730EC" w:rsidRDefault="008730EC" w:rsidP="00B861C5">
            <w:pPr>
              <w:rPr>
                <w:rFonts w:cs="Arial"/>
                <w:sz w:val="24"/>
                <w:szCs w:val="24"/>
              </w:rPr>
            </w:pPr>
          </w:p>
        </w:tc>
        <w:tc>
          <w:tcPr>
            <w:tcW w:w="1914" w:type="dxa"/>
          </w:tcPr>
          <w:p w14:paraId="66842F7D" w14:textId="77777777" w:rsidR="008730EC" w:rsidRPr="008730EC" w:rsidRDefault="008730EC" w:rsidP="00B861C5">
            <w:pPr>
              <w:rPr>
                <w:rFonts w:cs="Arial"/>
                <w:sz w:val="24"/>
                <w:szCs w:val="24"/>
              </w:rPr>
            </w:pPr>
          </w:p>
        </w:tc>
      </w:tr>
      <w:tr w:rsidR="008730EC" w:rsidRPr="008730EC" w14:paraId="33D01659" w14:textId="77777777" w:rsidTr="00B861C5">
        <w:tc>
          <w:tcPr>
            <w:tcW w:w="3256" w:type="dxa"/>
          </w:tcPr>
          <w:p w14:paraId="4BE168A5" w14:textId="77777777" w:rsidR="008730EC" w:rsidRPr="008730EC" w:rsidRDefault="008730EC" w:rsidP="00B861C5">
            <w:pPr>
              <w:rPr>
                <w:rFonts w:cs="Arial"/>
                <w:sz w:val="24"/>
                <w:szCs w:val="24"/>
              </w:rPr>
            </w:pPr>
            <w:r w:rsidRPr="008730EC">
              <w:rPr>
                <w:rFonts w:cs="Arial"/>
                <w:sz w:val="24"/>
                <w:szCs w:val="24"/>
              </w:rPr>
              <w:t xml:space="preserve"> 4 weeks</w:t>
            </w:r>
          </w:p>
        </w:tc>
        <w:tc>
          <w:tcPr>
            <w:tcW w:w="1913" w:type="dxa"/>
          </w:tcPr>
          <w:p w14:paraId="21786047" w14:textId="77777777" w:rsidR="008730EC" w:rsidRPr="008730EC" w:rsidRDefault="008730EC" w:rsidP="00B861C5">
            <w:pPr>
              <w:jc w:val="center"/>
              <w:rPr>
                <w:rFonts w:cs="Arial"/>
                <w:sz w:val="24"/>
                <w:szCs w:val="24"/>
              </w:rPr>
            </w:pPr>
            <w:r w:rsidRPr="008730EC">
              <w:rPr>
                <w:rFonts w:cs="Arial"/>
                <w:sz w:val="24"/>
                <w:szCs w:val="24"/>
              </w:rPr>
              <w:t>7/39 (18%)</w:t>
            </w:r>
          </w:p>
        </w:tc>
        <w:tc>
          <w:tcPr>
            <w:tcW w:w="1914" w:type="dxa"/>
          </w:tcPr>
          <w:p w14:paraId="22125192" w14:textId="180C1D3D" w:rsidR="008730EC" w:rsidRPr="008730EC" w:rsidRDefault="008730EC" w:rsidP="00E7158C">
            <w:pPr>
              <w:jc w:val="center"/>
              <w:rPr>
                <w:rFonts w:cs="Arial"/>
                <w:sz w:val="24"/>
                <w:szCs w:val="24"/>
              </w:rPr>
            </w:pPr>
            <w:r w:rsidRPr="008730EC">
              <w:rPr>
                <w:rFonts w:cs="Arial"/>
                <w:sz w:val="24"/>
                <w:szCs w:val="24"/>
              </w:rPr>
              <w:t>0</w:t>
            </w:r>
            <w:r w:rsidR="003108CE">
              <w:rPr>
                <w:rFonts w:cs="Arial"/>
                <w:sz w:val="24"/>
                <w:szCs w:val="24"/>
              </w:rPr>
              <w:t xml:space="preserve"> </w:t>
            </w:r>
            <w:r w:rsidR="00E7158C">
              <w:rPr>
                <w:rFonts w:cs="Arial"/>
                <w:sz w:val="24"/>
                <w:szCs w:val="24"/>
              </w:rPr>
              <w:t>/ (0</w:t>
            </w:r>
            <w:r w:rsidRPr="008730EC">
              <w:rPr>
                <w:rFonts w:cs="Arial"/>
                <w:sz w:val="24"/>
                <w:szCs w:val="24"/>
              </w:rPr>
              <w:t>%)</w:t>
            </w:r>
          </w:p>
        </w:tc>
      </w:tr>
      <w:tr w:rsidR="008730EC" w:rsidRPr="008730EC" w14:paraId="22EB880C" w14:textId="77777777" w:rsidTr="00B861C5">
        <w:tc>
          <w:tcPr>
            <w:tcW w:w="3256" w:type="dxa"/>
          </w:tcPr>
          <w:p w14:paraId="50F612AC" w14:textId="77777777" w:rsidR="008730EC" w:rsidRPr="008730EC" w:rsidRDefault="008730EC" w:rsidP="00B861C5">
            <w:pPr>
              <w:rPr>
                <w:rFonts w:cs="Arial"/>
                <w:sz w:val="24"/>
                <w:szCs w:val="24"/>
              </w:rPr>
            </w:pPr>
            <w:r w:rsidRPr="008730EC">
              <w:rPr>
                <w:rFonts w:cs="Arial"/>
                <w:sz w:val="24"/>
                <w:szCs w:val="24"/>
              </w:rPr>
              <w:t xml:space="preserve"> 12 weeks</w:t>
            </w:r>
          </w:p>
        </w:tc>
        <w:tc>
          <w:tcPr>
            <w:tcW w:w="1913" w:type="dxa"/>
          </w:tcPr>
          <w:p w14:paraId="0B372F1F" w14:textId="77777777" w:rsidR="008730EC" w:rsidRPr="008730EC" w:rsidRDefault="008730EC" w:rsidP="00B861C5">
            <w:pPr>
              <w:jc w:val="center"/>
              <w:rPr>
                <w:rFonts w:cs="Arial"/>
                <w:sz w:val="24"/>
                <w:szCs w:val="24"/>
              </w:rPr>
            </w:pPr>
            <w:r w:rsidRPr="008730EC">
              <w:rPr>
                <w:rFonts w:cs="Arial"/>
                <w:sz w:val="24"/>
                <w:szCs w:val="24"/>
              </w:rPr>
              <w:t>5/34 (15%)</w:t>
            </w:r>
          </w:p>
        </w:tc>
        <w:tc>
          <w:tcPr>
            <w:tcW w:w="1914" w:type="dxa"/>
          </w:tcPr>
          <w:p w14:paraId="5F177B8C" w14:textId="6651E0E8" w:rsidR="008730EC" w:rsidRPr="008730EC" w:rsidRDefault="008730EC" w:rsidP="00B861C5">
            <w:pPr>
              <w:jc w:val="center"/>
              <w:rPr>
                <w:rFonts w:cs="Arial"/>
                <w:sz w:val="24"/>
                <w:szCs w:val="24"/>
              </w:rPr>
            </w:pPr>
            <w:r w:rsidRPr="008730EC">
              <w:rPr>
                <w:rFonts w:cs="Arial"/>
                <w:sz w:val="24"/>
                <w:szCs w:val="24"/>
              </w:rPr>
              <w:t>0</w:t>
            </w:r>
            <w:r w:rsidR="003108CE">
              <w:rPr>
                <w:rFonts w:cs="Arial"/>
                <w:sz w:val="24"/>
                <w:szCs w:val="24"/>
              </w:rPr>
              <w:t xml:space="preserve"> </w:t>
            </w:r>
            <w:r w:rsidR="00E7158C">
              <w:rPr>
                <w:rFonts w:cs="Arial"/>
                <w:sz w:val="24"/>
                <w:szCs w:val="24"/>
              </w:rPr>
              <w:t>/ (0</w:t>
            </w:r>
            <w:r w:rsidRPr="008730EC">
              <w:rPr>
                <w:rFonts w:cs="Arial"/>
                <w:sz w:val="24"/>
                <w:szCs w:val="24"/>
              </w:rPr>
              <w:t>%)</w:t>
            </w:r>
          </w:p>
        </w:tc>
      </w:tr>
      <w:tr w:rsidR="008730EC" w:rsidRPr="008730EC" w14:paraId="7CE8A43C" w14:textId="77777777" w:rsidTr="00B861C5">
        <w:tc>
          <w:tcPr>
            <w:tcW w:w="3256" w:type="dxa"/>
          </w:tcPr>
          <w:p w14:paraId="40CEF433" w14:textId="77777777" w:rsidR="008730EC" w:rsidRPr="008730EC" w:rsidRDefault="008730EC" w:rsidP="00B861C5">
            <w:pPr>
              <w:rPr>
                <w:rFonts w:cs="Arial"/>
                <w:sz w:val="24"/>
                <w:szCs w:val="24"/>
              </w:rPr>
            </w:pPr>
            <w:r w:rsidRPr="008730EC">
              <w:rPr>
                <w:rFonts w:cs="Arial"/>
                <w:sz w:val="24"/>
                <w:szCs w:val="24"/>
              </w:rPr>
              <w:t xml:space="preserve"> 24 weeks</w:t>
            </w:r>
          </w:p>
        </w:tc>
        <w:tc>
          <w:tcPr>
            <w:tcW w:w="1913" w:type="dxa"/>
          </w:tcPr>
          <w:p w14:paraId="5E7B1913" w14:textId="77777777" w:rsidR="008730EC" w:rsidRPr="008730EC" w:rsidRDefault="008730EC" w:rsidP="00B861C5">
            <w:pPr>
              <w:jc w:val="center"/>
              <w:rPr>
                <w:rFonts w:cs="Arial"/>
                <w:sz w:val="24"/>
                <w:szCs w:val="24"/>
              </w:rPr>
            </w:pPr>
            <w:r w:rsidRPr="008730EC">
              <w:rPr>
                <w:rFonts w:cs="Arial"/>
                <w:sz w:val="24"/>
                <w:szCs w:val="24"/>
              </w:rPr>
              <w:t>3/35 (9%)</w:t>
            </w:r>
          </w:p>
        </w:tc>
        <w:tc>
          <w:tcPr>
            <w:tcW w:w="1914" w:type="dxa"/>
          </w:tcPr>
          <w:p w14:paraId="337DD1DC" w14:textId="0663A28F" w:rsidR="008730EC" w:rsidRPr="008730EC" w:rsidRDefault="008730EC" w:rsidP="00B861C5">
            <w:pPr>
              <w:jc w:val="center"/>
              <w:rPr>
                <w:rFonts w:cs="Arial"/>
                <w:sz w:val="24"/>
                <w:szCs w:val="24"/>
              </w:rPr>
            </w:pPr>
            <w:r w:rsidRPr="008730EC">
              <w:rPr>
                <w:rFonts w:cs="Arial"/>
                <w:sz w:val="24"/>
                <w:szCs w:val="24"/>
              </w:rPr>
              <w:t>0</w:t>
            </w:r>
            <w:r w:rsidR="003108CE">
              <w:rPr>
                <w:rFonts w:cs="Arial"/>
                <w:sz w:val="24"/>
                <w:szCs w:val="24"/>
              </w:rPr>
              <w:t xml:space="preserve"> </w:t>
            </w:r>
            <w:r w:rsidR="00E7158C">
              <w:rPr>
                <w:rFonts w:cs="Arial"/>
                <w:sz w:val="24"/>
                <w:szCs w:val="24"/>
              </w:rPr>
              <w:t>/(0</w:t>
            </w:r>
            <w:r w:rsidRPr="008730EC">
              <w:rPr>
                <w:rFonts w:cs="Arial"/>
                <w:sz w:val="24"/>
                <w:szCs w:val="24"/>
              </w:rPr>
              <w:t>%)</w:t>
            </w:r>
          </w:p>
        </w:tc>
      </w:tr>
      <w:tr w:rsidR="008730EC" w:rsidRPr="008730EC" w14:paraId="168EB047" w14:textId="77777777" w:rsidTr="00B861C5">
        <w:tc>
          <w:tcPr>
            <w:tcW w:w="3256" w:type="dxa"/>
          </w:tcPr>
          <w:p w14:paraId="03F17E4C" w14:textId="77777777" w:rsidR="008730EC" w:rsidRPr="008730EC" w:rsidRDefault="008730EC" w:rsidP="00B861C5">
            <w:pPr>
              <w:rPr>
                <w:rFonts w:cs="Arial"/>
                <w:sz w:val="24"/>
                <w:szCs w:val="24"/>
              </w:rPr>
            </w:pPr>
          </w:p>
        </w:tc>
        <w:tc>
          <w:tcPr>
            <w:tcW w:w="1913" w:type="dxa"/>
          </w:tcPr>
          <w:p w14:paraId="6286DDAF" w14:textId="77777777" w:rsidR="008730EC" w:rsidRPr="008730EC" w:rsidRDefault="008730EC" w:rsidP="00B861C5">
            <w:pPr>
              <w:rPr>
                <w:rFonts w:cs="Arial"/>
                <w:sz w:val="24"/>
                <w:szCs w:val="24"/>
              </w:rPr>
            </w:pPr>
          </w:p>
        </w:tc>
        <w:tc>
          <w:tcPr>
            <w:tcW w:w="1914" w:type="dxa"/>
          </w:tcPr>
          <w:p w14:paraId="6AF365A1" w14:textId="77777777" w:rsidR="008730EC" w:rsidRPr="008730EC" w:rsidRDefault="008730EC" w:rsidP="00B861C5">
            <w:pPr>
              <w:rPr>
                <w:rFonts w:cs="Arial"/>
                <w:sz w:val="24"/>
                <w:szCs w:val="24"/>
              </w:rPr>
            </w:pPr>
          </w:p>
        </w:tc>
      </w:tr>
      <w:tr w:rsidR="008730EC" w:rsidRPr="008730EC" w14:paraId="1F00D0D6" w14:textId="77777777" w:rsidTr="00B861C5">
        <w:tc>
          <w:tcPr>
            <w:tcW w:w="3256" w:type="dxa"/>
          </w:tcPr>
          <w:p w14:paraId="7B0D3EB9" w14:textId="77777777" w:rsidR="008730EC" w:rsidRPr="008730EC" w:rsidRDefault="008730EC" w:rsidP="00B861C5">
            <w:pPr>
              <w:rPr>
                <w:rFonts w:cs="Arial"/>
                <w:b/>
                <w:sz w:val="24"/>
                <w:szCs w:val="24"/>
              </w:rPr>
            </w:pPr>
            <w:r w:rsidRPr="008730EC">
              <w:rPr>
                <w:rFonts w:cs="Arial"/>
                <w:b/>
                <w:sz w:val="24"/>
                <w:szCs w:val="24"/>
              </w:rPr>
              <w:t>50% reduction in CPD</w:t>
            </w:r>
          </w:p>
        </w:tc>
        <w:tc>
          <w:tcPr>
            <w:tcW w:w="1913" w:type="dxa"/>
          </w:tcPr>
          <w:p w14:paraId="462C427B" w14:textId="77777777" w:rsidR="008730EC" w:rsidRPr="008730EC" w:rsidRDefault="008730EC" w:rsidP="00B861C5">
            <w:pPr>
              <w:rPr>
                <w:rFonts w:cs="Arial"/>
                <w:sz w:val="24"/>
                <w:szCs w:val="24"/>
              </w:rPr>
            </w:pPr>
          </w:p>
        </w:tc>
        <w:tc>
          <w:tcPr>
            <w:tcW w:w="1914" w:type="dxa"/>
          </w:tcPr>
          <w:p w14:paraId="2AFF4B84" w14:textId="77777777" w:rsidR="008730EC" w:rsidRPr="008730EC" w:rsidRDefault="008730EC" w:rsidP="00B861C5">
            <w:pPr>
              <w:rPr>
                <w:rFonts w:cs="Arial"/>
                <w:sz w:val="24"/>
                <w:szCs w:val="24"/>
              </w:rPr>
            </w:pPr>
          </w:p>
        </w:tc>
      </w:tr>
      <w:tr w:rsidR="008730EC" w:rsidRPr="008730EC" w14:paraId="4D8A4FD5" w14:textId="77777777" w:rsidTr="00B861C5">
        <w:tc>
          <w:tcPr>
            <w:tcW w:w="3256" w:type="dxa"/>
          </w:tcPr>
          <w:p w14:paraId="7D5858F6" w14:textId="77777777" w:rsidR="008730EC" w:rsidRPr="008730EC" w:rsidRDefault="008730EC" w:rsidP="00B861C5">
            <w:pPr>
              <w:rPr>
                <w:rFonts w:cs="Arial"/>
                <w:sz w:val="24"/>
                <w:szCs w:val="24"/>
              </w:rPr>
            </w:pPr>
            <w:r w:rsidRPr="008730EC">
              <w:rPr>
                <w:rFonts w:cs="Arial"/>
                <w:sz w:val="24"/>
                <w:szCs w:val="24"/>
              </w:rPr>
              <w:t xml:space="preserve"> 4 weeks</w:t>
            </w:r>
          </w:p>
        </w:tc>
        <w:tc>
          <w:tcPr>
            <w:tcW w:w="1913" w:type="dxa"/>
          </w:tcPr>
          <w:p w14:paraId="4159D08D" w14:textId="77777777" w:rsidR="008730EC" w:rsidRPr="008730EC" w:rsidRDefault="008730EC" w:rsidP="00B861C5">
            <w:pPr>
              <w:jc w:val="center"/>
              <w:rPr>
                <w:rFonts w:cs="Arial"/>
                <w:sz w:val="24"/>
                <w:szCs w:val="24"/>
              </w:rPr>
            </w:pPr>
            <w:r w:rsidRPr="008730EC">
              <w:rPr>
                <w:rFonts w:cs="Arial"/>
                <w:sz w:val="24"/>
                <w:szCs w:val="24"/>
              </w:rPr>
              <w:t>21/39 (54%)</w:t>
            </w:r>
          </w:p>
        </w:tc>
        <w:tc>
          <w:tcPr>
            <w:tcW w:w="1914" w:type="dxa"/>
          </w:tcPr>
          <w:p w14:paraId="2DA27C61" w14:textId="77777777" w:rsidR="008730EC" w:rsidRPr="008730EC" w:rsidRDefault="008730EC" w:rsidP="00B861C5">
            <w:pPr>
              <w:jc w:val="center"/>
              <w:rPr>
                <w:rFonts w:cs="Arial"/>
                <w:sz w:val="24"/>
                <w:szCs w:val="24"/>
              </w:rPr>
            </w:pPr>
            <w:r w:rsidRPr="008730EC">
              <w:rPr>
                <w:rFonts w:cs="Arial"/>
                <w:sz w:val="24"/>
                <w:szCs w:val="24"/>
              </w:rPr>
              <w:t>4/21 (19%)</w:t>
            </w:r>
          </w:p>
        </w:tc>
      </w:tr>
      <w:tr w:rsidR="008730EC" w:rsidRPr="008730EC" w14:paraId="218B3928" w14:textId="77777777" w:rsidTr="00B861C5">
        <w:tc>
          <w:tcPr>
            <w:tcW w:w="3256" w:type="dxa"/>
          </w:tcPr>
          <w:p w14:paraId="4E2579DE" w14:textId="77777777" w:rsidR="008730EC" w:rsidRPr="008730EC" w:rsidRDefault="008730EC" w:rsidP="00B861C5">
            <w:pPr>
              <w:rPr>
                <w:rFonts w:cs="Arial"/>
                <w:sz w:val="24"/>
                <w:szCs w:val="24"/>
              </w:rPr>
            </w:pPr>
            <w:r w:rsidRPr="008730EC">
              <w:rPr>
                <w:rFonts w:cs="Arial"/>
                <w:sz w:val="24"/>
                <w:szCs w:val="24"/>
              </w:rPr>
              <w:t xml:space="preserve"> 12 weeks</w:t>
            </w:r>
          </w:p>
        </w:tc>
        <w:tc>
          <w:tcPr>
            <w:tcW w:w="1913" w:type="dxa"/>
          </w:tcPr>
          <w:p w14:paraId="0EC10B2C" w14:textId="77777777" w:rsidR="008730EC" w:rsidRPr="008730EC" w:rsidRDefault="008730EC" w:rsidP="00B861C5">
            <w:pPr>
              <w:jc w:val="center"/>
              <w:rPr>
                <w:rFonts w:cs="Arial"/>
                <w:sz w:val="24"/>
                <w:szCs w:val="24"/>
              </w:rPr>
            </w:pPr>
            <w:r w:rsidRPr="008730EC">
              <w:rPr>
                <w:rFonts w:cs="Arial"/>
                <w:sz w:val="24"/>
                <w:szCs w:val="24"/>
              </w:rPr>
              <w:t>20/34 (59%)</w:t>
            </w:r>
          </w:p>
        </w:tc>
        <w:tc>
          <w:tcPr>
            <w:tcW w:w="1914" w:type="dxa"/>
          </w:tcPr>
          <w:p w14:paraId="1ED66271" w14:textId="77777777" w:rsidR="008730EC" w:rsidRPr="008730EC" w:rsidRDefault="008730EC" w:rsidP="00B861C5">
            <w:pPr>
              <w:jc w:val="center"/>
              <w:rPr>
                <w:rFonts w:cs="Arial"/>
                <w:sz w:val="24"/>
                <w:szCs w:val="24"/>
              </w:rPr>
            </w:pPr>
            <w:r w:rsidRPr="008730EC">
              <w:rPr>
                <w:rFonts w:cs="Arial"/>
                <w:sz w:val="24"/>
                <w:szCs w:val="24"/>
              </w:rPr>
              <w:t>4/18 (22%)</w:t>
            </w:r>
          </w:p>
        </w:tc>
      </w:tr>
      <w:tr w:rsidR="008730EC" w:rsidRPr="008730EC" w14:paraId="5A752E4E" w14:textId="77777777" w:rsidTr="00B861C5">
        <w:tc>
          <w:tcPr>
            <w:tcW w:w="3256" w:type="dxa"/>
          </w:tcPr>
          <w:p w14:paraId="751C7E88" w14:textId="77777777" w:rsidR="008730EC" w:rsidRPr="008730EC" w:rsidRDefault="008730EC" w:rsidP="00B861C5">
            <w:pPr>
              <w:rPr>
                <w:rFonts w:cs="Arial"/>
                <w:sz w:val="24"/>
                <w:szCs w:val="24"/>
              </w:rPr>
            </w:pPr>
            <w:r w:rsidRPr="008730EC">
              <w:rPr>
                <w:rFonts w:cs="Arial"/>
                <w:sz w:val="24"/>
                <w:szCs w:val="24"/>
              </w:rPr>
              <w:t xml:space="preserve"> 24 weeks</w:t>
            </w:r>
          </w:p>
        </w:tc>
        <w:tc>
          <w:tcPr>
            <w:tcW w:w="1913" w:type="dxa"/>
          </w:tcPr>
          <w:p w14:paraId="612F20CA" w14:textId="77777777" w:rsidR="008730EC" w:rsidRPr="008730EC" w:rsidRDefault="008730EC" w:rsidP="00B861C5">
            <w:pPr>
              <w:jc w:val="center"/>
              <w:rPr>
                <w:rFonts w:cs="Arial"/>
                <w:sz w:val="24"/>
                <w:szCs w:val="24"/>
              </w:rPr>
            </w:pPr>
            <w:r w:rsidRPr="008730EC">
              <w:rPr>
                <w:rFonts w:cs="Arial"/>
                <w:sz w:val="24"/>
                <w:szCs w:val="24"/>
              </w:rPr>
              <w:t>15/35 (43%)</w:t>
            </w:r>
          </w:p>
        </w:tc>
        <w:tc>
          <w:tcPr>
            <w:tcW w:w="1914" w:type="dxa"/>
          </w:tcPr>
          <w:p w14:paraId="6809C91C" w14:textId="77777777" w:rsidR="008730EC" w:rsidRPr="008730EC" w:rsidRDefault="008730EC" w:rsidP="00B861C5">
            <w:pPr>
              <w:jc w:val="center"/>
              <w:rPr>
                <w:rFonts w:cs="Arial"/>
                <w:sz w:val="24"/>
                <w:szCs w:val="24"/>
              </w:rPr>
            </w:pPr>
            <w:r w:rsidRPr="008730EC">
              <w:rPr>
                <w:rFonts w:cs="Arial"/>
                <w:sz w:val="24"/>
                <w:szCs w:val="24"/>
              </w:rPr>
              <w:t>3/12 (25%)</w:t>
            </w:r>
          </w:p>
        </w:tc>
      </w:tr>
      <w:tr w:rsidR="008730EC" w:rsidRPr="008730EC" w14:paraId="1D485880" w14:textId="77777777" w:rsidTr="00B861C5">
        <w:tc>
          <w:tcPr>
            <w:tcW w:w="3256" w:type="dxa"/>
          </w:tcPr>
          <w:p w14:paraId="5C7E5F32" w14:textId="77777777" w:rsidR="008730EC" w:rsidRPr="008730EC" w:rsidRDefault="008730EC" w:rsidP="00B861C5">
            <w:pPr>
              <w:rPr>
                <w:rFonts w:cs="Arial"/>
                <w:sz w:val="24"/>
                <w:szCs w:val="24"/>
              </w:rPr>
            </w:pPr>
          </w:p>
        </w:tc>
        <w:tc>
          <w:tcPr>
            <w:tcW w:w="1913" w:type="dxa"/>
          </w:tcPr>
          <w:p w14:paraId="7716DA7A" w14:textId="77777777" w:rsidR="008730EC" w:rsidRPr="008730EC" w:rsidRDefault="008730EC" w:rsidP="00B861C5">
            <w:pPr>
              <w:jc w:val="center"/>
              <w:rPr>
                <w:rFonts w:cs="Arial"/>
                <w:sz w:val="24"/>
                <w:szCs w:val="24"/>
              </w:rPr>
            </w:pPr>
          </w:p>
        </w:tc>
        <w:tc>
          <w:tcPr>
            <w:tcW w:w="1914" w:type="dxa"/>
          </w:tcPr>
          <w:p w14:paraId="42C867F1" w14:textId="77777777" w:rsidR="008730EC" w:rsidRPr="008730EC" w:rsidRDefault="008730EC" w:rsidP="00B861C5">
            <w:pPr>
              <w:jc w:val="center"/>
              <w:rPr>
                <w:rFonts w:cs="Arial"/>
                <w:sz w:val="24"/>
                <w:szCs w:val="24"/>
              </w:rPr>
            </w:pPr>
          </w:p>
        </w:tc>
      </w:tr>
      <w:tr w:rsidR="008730EC" w:rsidRPr="008730EC" w14:paraId="1B96B181" w14:textId="77777777" w:rsidTr="00B861C5">
        <w:tc>
          <w:tcPr>
            <w:tcW w:w="3256" w:type="dxa"/>
          </w:tcPr>
          <w:p w14:paraId="7B77F911" w14:textId="77777777" w:rsidR="008730EC" w:rsidRPr="008730EC" w:rsidRDefault="008730EC" w:rsidP="00B861C5">
            <w:pPr>
              <w:rPr>
                <w:rFonts w:cs="Arial"/>
                <w:b/>
                <w:sz w:val="24"/>
                <w:szCs w:val="24"/>
              </w:rPr>
            </w:pPr>
            <w:r w:rsidRPr="008730EC">
              <w:rPr>
                <w:rFonts w:cs="Arial"/>
                <w:b/>
                <w:sz w:val="24"/>
                <w:szCs w:val="24"/>
              </w:rPr>
              <w:t>50% reduction in expired CO</w:t>
            </w:r>
          </w:p>
        </w:tc>
        <w:tc>
          <w:tcPr>
            <w:tcW w:w="1913" w:type="dxa"/>
          </w:tcPr>
          <w:p w14:paraId="449B07D2" w14:textId="77777777" w:rsidR="008730EC" w:rsidRPr="008730EC" w:rsidRDefault="008730EC" w:rsidP="00B861C5">
            <w:pPr>
              <w:jc w:val="center"/>
              <w:rPr>
                <w:rFonts w:cs="Arial"/>
                <w:sz w:val="24"/>
                <w:szCs w:val="24"/>
              </w:rPr>
            </w:pPr>
          </w:p>
        </w:tc>
        <w:tc>
          <w:tcPr>
            <w:tcW w:w="1914" w:type="dxa"/>
          </w:tcPr>
          <w:p w14:paraId="0A87ECDE" w14:textId="77777777" w:rsidR="008730EC" w:rsidRPr="008730EC" w:rsidRDefault="008730EC" w:rsidP="00B861C5">
            <w:pPr>
              <w:jc w:val="center"/>
              <w:rPr>
                <w:rFonts w:cs="Arial"/>
                <w:sz w:val="24"/>
                <w:szCs w:val="24"/>
              </w:rPr>
            </w:pPr>
          </w:p>
        </w:tc>
      </w:tr>
      <w:tr w:rsidR="008730EC" w:rsidRPr="008730EC" w14:paraId="74DE8AA5" w14:textId="77777777" w:rsidTr="00B861C5">
        <w:tc>
          <w:tcPr>
            <w:tcW w:w="3256" w:type="dxa"/>
          </w:tcPr>
          <w:p w14:paraId="7F2465D2" w14:textId="77777777" w:rsidR="008730EC" w:rsidRPr="008730EC" w:rsidRDefault="008730EC" w:rsidP="00B861C5">
            <w:pPr>
              <w:rPr>
                <w:rFonts w:cs="Arial"/>
                <w:sz w:val="24"/>
                <w:szCs w:val="24"/>
              </w:rPr>
            </w:pPr>
            <w:r w:rsidRPr="008730EC">
              <w:rPr>
                <w:rFonts w:cs="Arial"/>
                <w:sz w:val="24"/>
                <w:szCs w:val="24"/>
              </w:rPr>
              <w:t xml:space="preserve"> 4 weeks</w:t>
            </w:r>
          </w:p>
        </w:tc>
        <w:tc>
          <w:tcPr>
            <w:tcW w:w="1913" w:type="dxa"/>
          </w:tcPr>
          <w:p w14:paraId="32631FD4" w14:textId="77777777" w:rsidR="008730EC" w:rsidRPr="008730EC" w:rsidRDefault="008730EC" w:rsidP="00B861C5">
            <w:pPr>
              <w:jc w:val="center"/>
              <w:rPr>
                <w:rFonts w:cs="Arial"/>
                <w:sz w:val="24"/>
                <w:szCs w:val="24"/>
              </w:rPr>
            </w:pPr>
            <w:r w:rsidRPr="008730EC">
              <w:rPr>
                <w:rFonts w:cs="Arial"/>
                <w:sz w:val="24"/>
                <w:szCs w:val="24"/>
              </w:rPr>
              <w:t>10/39 (26%)</w:t>
            </w:r>
          </w:p>
        </w:tc>
        <w:tc>
          <w:tcPr>
            <w:tcW w:w="1914" w:type="dxa"/>
          </w:tcPr>
          <w:p w14:paraId="1FC8C948" w14:textId="77777777" w:rsidR="008730EC" w:rsidRPr="008730EC" w:rsidRDefault="008730EC" w:rsidP="00B861C5">
            <w:pPr>
              <w:jc w:val="center"/>
              <w:rPr>
                <w:rFonts w:cs="Arial"/>
                <w:sz w:val="24"/>
                <w:szCs w:val="24"/>
              </w:rPr>
            </w:pPr>
            <w:r w:rsidRPr="008730EC">
              <w:rPr>
                <w:rFonts w:cs="Arial"/>
                <w:sz w:val="24"/>
                <w:szCs w:val="24"/>
              </w:rPr>
              <w:t>2/21 (10%)</w:t>
            </w:r>
          </w:p>
        </w:tc>
      </w:tr>
      <w:tr w:rsidR="008730EC" w:rsidRPr="008730EC" w14:paraId="194C9155" w14:textId="77777777" w:rsidTr="00B861C5">
        <w:tc>
          <w:tcPr>
            <w:tcW w:w="3256" w:type="dxa"/>
          </w:tcPr>
          <w:p w14:paraId="1879E4B0" w14:textId="77777777" w:rsidR="008730EC" w:rsidRPr="008730EC" w:rsidRDefault="008730EC" w:rsidP="00B861C5">
            <w:pPr>
              <w:rPr>
                <w:rFonts w:cs="Arial"/>
                <w:sz w:val="24"/>
                <w:szCs w:val="24"/>
              </w:rPr>
            </w:pPr>
            <w:r w:rsidRPr="008730EC">
              <w:rPr>
                <w:rFonts w:cs="Arial"/>
                <w:sz w:val="24"/>
                <w:szCs w:val="24"/>
              </w:rPr>
              <w:t xml:space="preserve"> 12 weeks</w:t>
            </w:r>
          </w:p>
        </w:tc>
        <w:tc>
          <w:tcPr>
            <w:tcW w:w="1913" w:type="dxa"/>
          </w:tcPr>
          <w:p w14:paraId="1746FA73" w14:textId="77777777" w:rsidR="008730EC" w:rsidRPr="008730EC" w:rsidRDefault="008730EC" w:rsidP="00B861C5">
            <w:pPr>
              <w:jc w:val="center"/>
              <w:rPr>
                <w:rFonts w:cs="Arial"/>
                <w:sz w:val="24"/>
                <w:szCs w:val="24"/>
              </w:rPr>
            </w:pPr>
            <w:r w:rsidRPr="008730EC">
              <w:rPr>
                <w:rFonts w:cs="Arial"/>
                <w:sz w:val="24"/>
                <w:szCs w:val="24"/>
              </w:rPr>
              <w:t>7/34 (21%)</w:t>
            </w:r>
          </w:p>
        </w:tc>
        <w:tc>
          <w:tcPr>
            <w:tcW w:w="1914" w:type="dxa"/>
          </w:tcPr>
          <w:p w14:paraId="1902BE55" w14:textId="77777777" w:rsidR="008730EC" w:rsidRPr="008730EC" w:rsidRDefault="008730EC" w:rsidP="00B861C5">
            <w:pPr>
              <w:jc w:val="center"/>
              <w:rPr>
                <w:rFonts w:cs="Arial"/>
                <w:sz w:val="24"/>
                <w:szCs w:val="24"/>
              </w:rPr>
            </w:pPr>
            <w:r w:rsidRPr="008730EC">
              <w:rPr>
                <w:rFonts w:cs="Arial"/>
                <w:sz w:val="24"/>
                <w:szCs w:val="24"/>
              </w:rPr>
              <w:t>1/18 (6%)</w:t>
            </w:r>
          </w:p>
        </w:tc>
      </w:tr>
      <w:tr w:rsidR="008730EC" w:rsidRPr="008730EC" w14:paraId="5E6E68D4" w14:textId="77777777" w:rsidTr="00B861C5">
        <w:tc>
          <w:tcPr>
            <w:tcW w:w="3256" w:type="dxa"/>
          </w:tcPr>
          <w:p w14:paraId="2970242D" w14:textId="77777777" w:rsidR="008730EC" w:rsidRPr="008730EC" w:rsidRDefault="008730EC" w:rsidP="00B861C5">
            <w:pPr>
              <w:rPr>
                <w:rFonts w:cs="Arial"/>
                <w:sz w:val="24"/>
                <w:szCs w:val="24"/>
              </w:rPr>
            </w:pPr>
            <w:r w:rsidRPr="008730EC">
              <w:rPr>
                <w:rFonts w:cs="Arial"/>
                <w:sz w:val="24"/>
                <w:szCs w:val="24"/>
              </w:rPr>
              <w:t xml:space="preserve"> 24 weeks</w:t>
            </w:r>
          </w:p>
        </w:tc>
        <w:tc>
          <w:tcPr>
            <w:tcW w:w="1913" w:type="dxa"/>
          </w:tcPr>
          <w:p w14:paraId="4E2891F6" w14:textId="77777777" w:rsidR="008730EC" w:rsidRPr="008730EC" w:rsidRDefault="008730EC" w:rsidP="00B861C5">
            <w:pPr>
              <w:jc w:val="center"/>
              <w:rPr>
                <w:rFonts w:cs="Arial"/>
                <w:sz w:val="24"/>
                <w:szCs w:val="24"/>
              </w:rPr>
            </w:pPr>
            <w:r w:rsidRPr="008730EC">
              <w:rPr>
                <w:rFonts w:cs="Arial"/>
                <w:sz w:val="24"/>
                <w:szCs w:val="24"/>
              </w:rPr>
              <w:t>7/35 (20%)</w:t>
            </w:r>
          </w:p>
        </w:tc>
        <w:tc>
          <w:tcPr>
            <w:tcW w:w="1914" w:type="dxa"/>
          </w:tcPr>
          <w:p w14:paraId="05746C61" w14:textId="77777777" w:rsidR="008730EC" w:rsidRPr="008730EC" w:rsidRDefault="008730EC" w:rsidP="00B861C5">
            <w:pPr>
              <w:jc w:val="center"/>
              <w:rPr>
                <w:rFonts w:cs="Arial"/>
                <w:sz w:val="24"/>
                <w:szCs w:val="24"/>
              </w:rPr>
            </w:pPr>
            <w:r w:rsidRPr="008730EC">
              <w:rPr>
                <w:rFonts w:cs="Arial"/>
                <w:sz w:val="24"/>
                <w:szCs w:val="24"/>
              </w:rPr>
              <w:t>3/12 (25%)</w:t>
            </w:r>
          </w:p>
        </w:tc>
      </w:tr>
      <w:tr w:rsidR="008730EC" w:rsidRPr="008730EC" w14:paraId="484422DF" w14:textId="77777777" w:rsidTr="00B861C5">
        <w:tc>
          <w:tcPr>
            <w:tcW w:w="3256" w:type="dxa"/>
          </w:tcPr>
          <w:p w14:paraId="4CB87192" w14:textId="77777777" w:rsidR="008730EC" w:rsidRPr="008730EC" w:rsidRDefault="008730EC" w:rsidP="00B861C5">
            <w:pPr>
              <w:rPr>
                <w:rFonts w:cs="Arial"/>
                <w:sz w:val="24"/>
                <w:szCs w:val="24"/>
              </w:rPr>
            </w:pPr>
          </w:p>
        </w:tc>
        <w:tc>
          <w:tcPr>
            <w:tcW w:w="1913" w:type="dxa"/>
          </w:tcPr>
          <w:p w14:paraId="5AE9BEBC" w14:textId="77777777" w:rsidR="008730EC" w:rsidRPr="008730EC" w:rsidRDefault="008730EC" w:rsidP="00B861C5">
            <w:pPr>
              <w:rPr>
                <w:rFonts w:cs="Arial"/>
                <w:sz w:val="24"/>
                <w:szCs w:val="24"/>
              </w:rPr>
            </w:pPr>
          </w:p>
        </w:tc>
        <w:tc>
          <w:tcPr>
            <w:tcW w:w="1914" w:type="dxa"/>
          </w:tcPr>
          <w:p w14:paraId="54472430" w14:textId="77777777" w:rsidR="008730EC" w:rsidRPr="008730EC" w:rsidRDefault="008730EC" w:rsidP="00B861C5">
            <w:pPr>
              <w:rPr>
                <w:rFonts w:cs="Arial"/>
                <w:sz w:val="24"/>
                <w:szCs w:val="24"/>
              </w:rPr>
            </w:pPr>
          </w:p>
        </w:tc>
      </w:tr>
    </w:tbl>
    <w:p w14:paraId="78FAB241" w14:textId="4E57E981" w:rsidR="008730EC" w:rsidRPr="00064FB3" w:rsidRDefault="00274F85" w:rsidP="008730EC">
      <w:pPr>
        <w:rPr>
          <w:rFonts w:ascii="Arial" w:hAnsi="Arial"/>
        </w:rPr>
      </w:pPr>
      <w:r>
        <w:rPr>
          <w:rFonts w:ascii="Arial" w:hAnsi="Arial" w:cs="Arial"/>
          <w:sz w:val="20"/>
          <w:szCs w:val="20"/>
        </w:rPr>
        <w:t>N = number meeting criteria / number attending the session</w:t>
      </w:r>
    </w:p>
    <w:p w14:paraId="2EB9A708" w14:textId="7D72F6AA" w:rsidR="00412F7B" w:rsidRDefault="00412F7B" w:rsidP="00A8589B">
      <w:pPr>
        <w:spacing w:after="160" w:line="480" w:lineRule="auto"/>
        <w:jc w:val="both"/>
        <w:rPr>
          <w:rFonts w:cs="Times New Roman"/>
        </w:rPr>
      </w:pPr>
    </w:p>
    <w:p w14:paraId="363F7684" w14:textId="77777777" w:rsidR="00FD6CF5" w:rsidRPr="00E879B4" w:rsidRDefault="00FD6CF5" w:rsidP="00A8589B">
      <w:pPr>
        <w:spacing w:after="160" w:line="480" w:lineRule="auto"/>
        <w:jc w:val="both"/>
        <w:rPr>
          <w:rFonts w:cs="Times New Roman"/>
          <w:b/>
          <w:bCs/>
          <w:sz w:val="32"/>
          <w:szCs w:val="32"/>
        </w:rPr>
      </w:pPr>
      <w:r w:rsidRPr="00E879B4">
        <w:rPr>
          <w:rFonts w:cs="Times New Roman"/>
          <w:b/>
          <w:bCs/>
          <w:sz w:val="32"/>
          <w:szCs w:val="32"/>
        </w:rPr>
        <w:t>Intraclass correlation coefficient estimation</w:t>
      </w:r>
    </w:p>
    <w:p w14:paraId="46F2020B" w14:textId="3CA43FE5" w:rsidR="004814D8" w:rsidRPr="00E668C6" w:rsidRDefault="00FD6CF5" w:rsidP="00A8589B">
      <w:pPr>
        <w:spacing w:after="160" w:line="480" w:lineRule="auto"/>
        <w:jc w:val="both"/>
      </w:pPr>
      <w:r>
        <w:rPr>
          <w:rFonts w:cs="Times New Roman"/>
        </w:rPr>
        <w:t xml:space="preserve">The planned analysis included the fitting of a binary logistic mixed effects models for the purpose of estimating the intraclass correlation coefficient based on the random intercept. It was not possible to achieve convergence for the </w:t>
      </w:r>
      <w:r w:rsidR="00E51663">
        <w:rPr>
          <w:rFonts w:cs="Times New Roman"/>
        </w:rPr>
        <w:t>m</w:t>
      </w:r>
      <w:r>
        <w:rPr>
          <w:rFonts w:cs="Times New Roman"/>
        </w:rPr>
        <w:t>ixed effect</w:t>
      </w:r>
      <w:r w:rsidR="00E51663">
        <w:rPr>
          <w:rFonts w:cs="Times New Roman"/>
        </w:rPr>
        <w:t>s</w:t>
      </w:r>
      <w:r>
        <w:rPr>
          <w:rFonts w:cs="Times New Roman"/>
        </w:rPr>
        <w:t xml:space="preserve"> model within the attained sample so the intraclass correlation coefficient is calculated by th</w:t>
      </w:r>
      <w:r w:rsidRPr="00765759">
        <w:rPr>
          <w:rFonts w:cs="Times New Roman"/>
        </w:rPr>
        <w:t xml:space="preserve">e </w:t>
      </w:r>
      <w:r w:rsidRPr="00765759">
        <w:t>Fleiss-Cuzick method</w:t>
      </w:r>
      <w:r w:rsidR="00765759" w:rsidRPr="00765759">
        <w:t xml:space="preserve"> </w:t>
      </w:r>
      <w:r w:rsidR="00765759" w:rsidRPr="00765759">
        <w:fldChar w:fldCharType="begin" w:fldLock="1"/>
      </w:r>
      <w:r w:rsidR="00620688">
        <w:instrText>ADDIN CSL_CITATION {"citationItems":[{"id":"ITEM-1","itemData":{"DOI":"10.1016/j.cct.2012.05.004.","author":[{"dropping-particle":"","family":"Wu","given":"Sheng","non-dropping-particle":"","parse-names":false,"suffix":""},{"dropping-particle":"","family":"Crespi","given":"Catherine M","non-dropping-particle":"","parse-names":false,"suffix":""},{"dropping-particle":"","family":"Wong","given":"Weng Kee","non-dropping-particle":"","parse-names":false,"suffix":""}],"container-title":"Contemporary Clinical Trials","id":"ITEM-1","issue":"5","issued":{"date-parts":[["2012","9","1"]]},"page":"869-880","title":"Comparison of methods for estimating the intraclass correlation coefficient for binary responses in cancer prevention cluster randomized trials","type":"article-journal","volume":"33"},"uris":["http://www.mendeley.com/documents/?uuid=f1f7f482-cfb2-4e9f-aad0-575e5c1e459f"]}],"mendeley":{"formattedCitation":"[59]","plainTextFormattedCitation":"[59]","previouslyFormattedCitation":"[59]"},"properties":{"noteIndex":0},"schema":"https://github.com/citation-style-language/schema/raw/master/csl-citation.json"}</w:instrText>
      </w:r>
      <w:r w:rsidR="00765759" w:rsidRPr="00765759">
        <w:fldChar w:fldCharType="separate"/>
      </w:r>
      <w:r w:rsidR="0077457B" w:rsidRPr="0077457B">
        <w:rPr>
          <w:noProof/>
        </w:rPr>
        <w:t>[59]</w:t>
      </w:r>
      <w:r w:rsidR="00765759" w:rsidRPr="00765759">
        <w:fldChar w:fldCharType="end"/>
      </w:r>
      <w:r w:rsidRPr="00765759">
        <w:t xml:space="preserve"> and the point</w:t>
      </w:r>
      <w:r>
        <w:t xml:space="preserve"> estimate is 0.0157.</w:t>
      </w:r>
      <w:r w:rsidR="00BA571D">
        <w:t xml:space="preserve"> The intra class correlation coefficient </w:t>
      </w:r>
      <w:r w:rsidR="00E51663">
        <w:t>is</w:t>
      </w:r>
      <w:r w:rsidR="00BA571D">
        <w:t xml:space="preserve"> the ‘proportion of the total variance in the outcome attributable to variance between clusters’ </w:t>
      </w:r>
      <w:r w:rsidR="00620688">
        <w:fldChar w:fldCharType="begin" w:fldLock="1"/>
      </w:r>
      <w:r w:rsidR="00620688">
        <w:instrText>ADDIN CSL_CITATION {"citationItems":[{"id":"ITEM-1","itemData":{"DOI":"10.1016/j.cct.2012.05.004.","author":[{"dropping-particle":"","family":"Wu","given":"Sheng","non-dropping-particle":"","parse-names":false,"suffix":""},{"dropping-particle":"","family":"Crespi","given":"Catherine M","non-dropping-particle":"","parse-names":false,"suffix":""},{"dropping-particle":"","family":"Wong","given":"Weng Kee","non-dropping-particle":"","parse-names":false,"suffix":""}],"container-title":"Contemporary Clinical Trials","id":"ITEM-1","issue":"5","issued":{"date-parts":[["2012","9","1"]]},"page":"869-880","title":"Comparison of methods for estimating the intraclass correlation coefficient for binary responses in cancer prevention cluster randomized trials","type":"article-journal","volume":"33"},"uris":["http://www.mendeley.com/documents/?uuid=f1f7f482-cfb2-4e9f-aad0-575e5c1e459f"]}],"mendeley":{"formattedCitation":"[59]","plainTextFormattedCitation":"[59]","previouslyFormattedCitation":"[59]"},"properties":{"noteIndex":0},"schema":"https://github.com/citation-style-language/schema/raw/master/csl-citation.json"}</w:instrText>
      </w:r>
      <w:r w:rsidR="00620688">
        <w:fldChar w:fldCharType="separate"/>
      </w:r>
      <w:r w:rsidR="00620688" w:rsidRPr="00620688">
        <w:rPr>
          <w:noProof/>
        </w:rPr>
        <w:t>[59]</w:t>
      </w:r>
      <w:r w:rsidR="00620688">
        <w:fldChar w:fldCharType="end"/>
      </w:r>
      <w:r w:rsidR="00147DDC">
        <w:t>.</w:t>
      </w:r>
      <w:r w:rsidR="00E51663">
        <w:t xml:space="preserve"> Although the estimated ICC is relatively small </w:t>
      </w:r>
      <w:r w:rsidR="00840AF7">
        <w:fldChar w:fldCharType="begin" w:fldLock="1"/>
      </w:r>
      <w:r w:rsidR="00840AF7">
        <w:instrText>ADDIN CSL_CITATION {"citationItems":[{"id":"ITEM-1","itemData":{"DOI":"10.1370/afm.1347","ISSN":"15441717","abstract":"PURPOSE Researchers who conduct cluster-randomized studies must account for clustering during study planning; failure to do so can result in insufficient study power. To plan adequately, investigators need accurate estimates of clustering in the form of intraclass correlation coefficients (ICCs). METHODS We used data for 5,042 patients, from 61 practices in 8 practicebased research networks, obtained from the Prescription for Health program, sponsored by the Robert Wood Johnson Fund, to estimate ICCs for demographic and behavioral variables and for physician and practice characteristics. We used an approach similar to analysis of variance to calculate ICCs for binary variables and mixed models that directly estimated between-and within-cluster variances to calculate ICCs for continuous variables. RESULTS ICCs indicating substantial within-practice clustering were calculated for age (ICC = 0.151), race (ICC = 0.265), and such behaviors as smoking (ICC = 0.118) and unhealthy diet (ICC = 0.206). Patients' intent-to-change behaviors related to smoking, diet, or exercise were less clustered (ICCs ≤0.007). Within-network ICCs were generally smaller, refl ecting heterogeneity among practices within the same network. ICCs for practice-level measures indicated that practices within networks were relatively homogenous with respect to practice type (ICC = 0.29) and the use of electronic medical records (ICC = 0.23), but less homogenous with respect to size and rates of physician and staff turnover. CONCLUSION ICCs for patient behaviors and intent to change those behaviors were generally less than 0.1. Though small, such ICCs are not trivial; if cluster sizes are large, even small levels of clustering that is unaccounted for reduces the statistical power of a cluster-randomized study.","author":[{"dropping-particle":"","family":"Thompson","given":"David M.","non-dropping-particle":"","parse-names":false,"suffix":""},{"dropping-particle":"","family":"Fernald","given":"Douglas H.","non-dropping-particle":"","parse-names":false,"suffix":""},{"dropping-particle":"","family":"Mold","given":"James W.","non-dropping-particle":"","parse-names":false,"suffix":""}],"container-title":"Annals of Family Medicine","id":"ITEM-1","issue":"3","issued":{"date-parts":[["2012"]]},"page":"235-240","title":"Intraclass correlation coefficients typical of cluster-randomized studies: Estimates from the Robert Wood Johnson Prescription for Health projects","type":"article-journal","volume":"10"},"uris":["http://www.mendeley.com/documents/?uuid=229a147d-30af-40a3-859e-fa0041440e26"]}],"mendeley":{"formattedCitation":"[60]","plainTextFormattedCitation":"[60]","previouslyFormattedCitation":"[60]"},"properties":{"noteIndex":0},"schema":"https://github.com/citation-style-language/schema/raw/master/csl-citation.json"}</w:instrText>
      </w:r>
      <w:r w:rsidR="00840AF7">
        <w:fldChar w:fldCharType="separate"/>
      </w:r>
      <w:r w:rsidR="00840AF7" w:rsidRPr="00840AF7">
        <w:rPr>
          <w:noProof/>
        </w:rPr>
        <w:t>[60]</w:t>
      </w:r>
      <w:r w:rsidR="00840AF7">
        <w:fldChar w:fldCharType="end"/>
      </w:r>
      <w:r w:rsidR="00E51663">
        <w:t xml:space="preserve"> neglecting to factor this in to the sample size calculation for a full scale cluster randomised controlled trial would result in reduced statistical power.</w:t>
      </w:r>
    </w:p>
    <w:p w14:paraId="4D4536B0" w14:textId="422D5B59" w:rsidR="00381B5E" w:rsidRPr="00E879B4" w:rsidRDefault="00EE1582" w:rsidP="00A8589B">
      <w:pPr>
        <w:spacing w:after="160" w:line="480" w:lineRule="auto"/>
        <w:jc w:val="both"/>
        <w:rPr>
          <w:rFonts w:cs="Times New Roman"/>
          <w:b/>
          <w:sz w:val="32"/>
          <w:szCs w:val="32"/>
        </w:rPr>
      </w:pPr>
      <w:r w:rsidRPr="00E879B4">
        <w:rPr>
          <w:rFonts w:cs="Times New Roman"/>
          <w:b/>
          <w:sz w:val="32"/>
          <w:szCs w:val="32"/>
        </w:rPr>
        <w:t>E-cigarette use in the UC arm</w:t>
      </w:r>
    </w:p>
    <w:p w14:paraId="644A0C57" w14:textId="6EEF8D8E" w:rsidR="009520B4" w:rsidRDefault="00381B5E" w:rsidP="00A8589B">
      <w:pPr>
        <w:spacing w:after="160" w:line="480" w:lineRule="auto"/>
        <w:jc w:val="both"/>
        <w:rPr>
          <w:rFonts w:cs="Times New Roman"/>
        </w:rPr>
      </w:pPr>
      <w:r w:rsidRPr="00CC3ABA">
        <w:rPr>
          <w:rFonts w:cs="Times New Roman"/>
        </w:rPr>
        <w:t>Four of the 21 UC participants (19%) tested at the 4-week follow up reported that they had purchased an EC.</w:t>
      </w:r>
      <w:r w:rsidR="00840AF7">
        <w:rPr>
          <w:rFonts w:cs="Times New Roman"/>
        </w:rPr>
        <w:t xml:space="preserve"> </w:t>
      </w:r>
      <w:r w:rsidRPr="00CC3ABA">
        <w:rPr>
          <w:rFonts w:cs="Times New Roman"/>
        </w:rPr>
        <w:t>At 12 and 24 weeks respectively a further 1/18 (5.6%) and 2/12 (16.7%) reported that they had made an EC purchase.</w:t>
      </w:r>
      <w:r w:rsidR="00840AF7">
        <w:rPr>
          <w:rFonts w:cs="Times New Roman"/>
        </w:rPr>
        <w:t xml:space="preserve"> </w:t>
      </w:r>
      <w:r w:rsidRPr="00CC3ABA">
        <w:rPr>
          <w:rFonts w:cs="Times New Roman"/>
        </w:rPr>
        <w:t>Any use of an EC</w:t>
      </w:r>
      <w:r w:rsidR="00DE7C12">
        <w:rPr>
          <w:rFonts w:cs="Times New Roman"/>
        </w:rPr>
        <w:t xml:space="preserve"> during the study period</w:t>
      </w:r>
      <w:r w:rsidRPr="00CC3ABA">
        <w:rPr>
          <w:rFonts w:cs="Times New Roman"/>
        </w:rPr>
        <w:t xml:space="preserve"> was reported by </w:t>
      </w:r>
      <w:r w:rsidR="00187B94">
        <w:rPr>
          <w:rFonts w:cs="Times New Roman"/>
        </w:rPr>
        <w:t xml:space="preserve">9/14 (64%) </w:t>
      </w:r>
      <w:r w:rsidRPr="00CC3ABA">
        <w:rPr>
          <w:rFonts w:cs="Times New Roman"/>
        </w:rPr>
        <w:t xml:space="preserve">participants at 4 weeks, </w:t>
      </w:r>
      <w:r w:rsidR="00187B94">
        <w:rPr>
          <w:rFonts w:cs="Times New Roman"/>
        </w:rPr>
        <w:t xml:space="preserve">5/18 (28%) </w:t>
      </w:r>
      <w:r w:rsidRPr="00CC3ABA">
        <w:rPr>
          <w:rFonts w:cs="Times New Roman"/>
        </w:rPr>
        <w:t xml:space="preserve">at 12 weeks and </w:t>
      </w:r>
      <w:r w:rsidR="00187B94">
        <w:rPr>
          <w:rFonts w:cs="Times New Roman"/>
        </w:rPr>
        <w:t xml:space="preserve">4/12 (33%) </w:t>
      </w:r>
      <w:r w:rsidR="00A64D0E" w:rsidRPr="00CC3ABA">
        <w:rPr>
          <w:rFonts w:cs="Times New Roman"/>
        </w:rPr>
        <w:t>participants at 24 weeks.</w:t>
      </w:r>
      <w:r w:rsidR="00840AF7">
        <w:rPr>
          <w:rFonts w:cs="Times New Roman"/>
        </w:rPr>
        <w:t xml:space="preserve"> </w:t>
      </w:r>
    </w:p>
    <w:p w14:paraId="7716703A" w14:textId="77777777" w:rsidR="009776EB" w:rsidRPr="009520B4" w:rsidRDefault="009776EB" w:rsidP="00A8589B">
      <w:pPr>
        <w:spacing w:after="160" w:line="480" w:lineRule="auto"/>
        <w:jc w:val="both"/>
        <w:rPr>
          <w:rFonts w:cs="Times New Roman"/>
        </w:rPr>
      </w:pPr>
    </w:p>
    <w:p w14:paraId="16936457" w14:textId="77777777" w:rsidR="00724C1F" w:rsidRPr="00E879B4" w:rsidRDefault="008E40A8" w:rsidP="00A8589B">
      <w:pPr>
        <w:spacing w:after="160" w:line="480" w:lineRule="auto"/>
        <w:jc w:val="both"/>
        <w:rPr>
          <w:rFonts w:cs="Times New Roman"/>
          <w:b/>
          <w:sz w:val="32"/>
          <w:szCs w:val="32"/>
        </w:rPr>
      </w:pPr>
      <w:r w:rsidRPr="00E879B4">
        <w:rPr>
          <w:rFonts w:cs="Times New Roman"/>
          <w:b/>
          <w:sz w:val="32"/>
          <w:szCs w:val="32"/>
        </w:rPr>
        <w:t>Data collection for</w:t>
      </w:r>
      <w:r w:rsidR="00724C1F" w:rsidRPr="00E879B4">
        <w:rPr>
          <w:rFonts w:cs="Times New Roman"/>
          <w:b/>
          <w:sz w:val="32"/>
          <w:szCs w:val="32"/>
        </w:rPr>
        <w:t xml:space="preserve"> an economic evaluation</w:t>
      </w:r>
    </w:p>
    <w:p w14:paraId="2F7D2AC8" w14:textId="77777777" w:rsidR="004E1740" w:rsidRDefault="009D7483" w:rsidP="004E1740">
      <w:pPr>
        <w:spacing w:after="160" w:line="480" w:lineRule="auto"/>
        <w:jc w:val="both"/>
        <w:rPr>
          <w:rFonts w:cs="Times New Roman"/>
          <w:bCs/>
        </w:rPr>
      </w:pPr>
      <w:r>
        <w:rPr>
          <w:rFonts w:cs="Times New Roman"/>
          <w:bCs/>
        </w:rPr>
        <w:t>Missing</w:t>
      </w:r>
      <w:r w:rsidR="008A0E15">
        <w:rPr>
          <w:rFonts w:cs="Times New Roman"/>
          <w:bCs/>
        </w:rPr>
        <w:t xml:space="preserve"> information on both EQ-5D-3L and general healthcare services questionnaire was </w:t>
      </w:r>
      <w:r>
        <w:rPr>
          <w:rFonts w:cs="Times New Roman"/>
          <w:bCs/>
        </w:rPr>
        <w:t>largel</w:t>
      </w:r>
      <w:r w:rsidR="008A0E15">
        <w:rPr>
          <w:rFonts w:cs="Times New Roman"/>
          <w:bCs/>
        </w:rPr>
        <w:t>y due to participants</w:t>
      </w:r>
      <w:r>
        <w:rPr>
          <w:rFonts w:cs="Times New Roman"/>
          <w:bCs/>
        </w:rPr>
        <w:t>’</w:t>
      </w:r>
      <w:r w:rsidR="008A0E15">
        <w:rPr>
          <w:rFonts w:cs="Times New Roman"/>
          <w:bCs/>
        </w:rPr>
        <w:t xml:space="preserve"> absen</w:t>
      </w:r>
      <w:r>
        <w:rPr>
          <w:rFonts w:cs="Times New Roman"/>
          <w:bCs/>
        </w:rPr>
        <w:t>ce</w:t>
      </w:r>
      <w:r w:rsidR="008A0E15">
        <w:rPr>
          <w:rFonts w:cs="Times New Roman"/>
          <w:bCs/>
        </w:rPr>
        <w:t xml:space="preserve"> at the time of interviews. For those who attended the interview, </w:t>
      </w:r>
      <w:r w:rsidR="004E1740">
        <w:rPr>
          <w:rFonts w:cs="Times New Roman"/>
          <w:bCs/>
        </w:rPr>
        <w:t xml:space="preserve">there were </w:t>
      </w:r>
      <w:r>
        <w:rPr>
          <w:rFonts w:cs="Times New Roman"/>
          <w:bCs/>
        </w:rPr>
        <w:t>few</w:t>
      </w:r>
      <w:r w:rsidR="004E1740">
        <w:rPr>
          <w:rFonts w:cs="Times New Roman"/>
          <w:bCs/>
        </w:rPr>
        <w:t xml:space="preserve"> cases of item</w:t>
      </w:r>
      <w:r>
        <w:rPr>
          <w:rFonts w:cs="Times New Roman"/>
          <w:bCs/>
        </w:rPr>
        <w:t>s</w:t>
      </w:r>
      <w:r w:rsidR="004E1740">
        <w:rPr>
          <w:rFonts w:cs="Times New Roman"/>
          <w:bCs/>
        </w:rPr>
        <w:t xml:space="preserve"> missing.</w:t>
      </w:r>
    </w:p>
    <w:p w14:paraId="6FDF17F0" w14:textId="68457F5C" w:rsidR="004E1740" w:rsidRDefault="004E1740" w:rsidP="004E1740">
      <w:pPr>
        <w:spacing w:after="160" w:line="480" w:lineRule="auto"/>
        <w:jc w:val="both"/>
        <w:rPr>
          <w:rFonts w:cs="Times New Roman"/>
          <w:bCs/>
        </w:rPr>
      </w:pPr>
      <w:r w:rsidRPr="004E1740">
        <w:rPr>
          <w:rFonts w:cs="Times New Roman"/>
          <w:bCs/>
        </w:rPr>
        <w:t>Among</w:t>
      </w:r>
      <w:r w:rsidR="009D7483">
        <w:rPr>
          <w:rFonts w:cs="Times New Roman"/>
          <w:bCs/>
        </w:rPr>
        <w:t>st</w:t>
      </w:r>
      <w:r w:rsidRPr="004E1740">
        <w:rPr>
          <w:rFonts w:cs="Times New Roman"/>
          <w:bCs/>
        </w:rPr>
        <w:t xml:space="preserve"> observed cases, </w:t>
      </w:r>
      <w:r>
        <w:rPr>
          <w:rFonts w:cs="Times New Roman"/>
          <w:bCs/>
        </w:rPr>
        <w:t>t</w:t>
      </w:r>
      <w:r w:rsidRPr="004E1740">
        <w:rPr>
          <w:rFonts w:cs="Times New Roman"/>
          <w:bCs/>
        </w:rPr>
        <w:t xml:space="preserve">he proportion of participants </w:t>
      </w:r>
      <w:r w:rsidR="009D7483">
        <w:rPr>
          <w:rFonts w:cs="Times New Roman"/>
          <w:bCs/>
        </w:rPr>
        <w:t>scoring</w:t>
      </w:r>
      <w:r w:rsidRPr="004E1740">
        <w:rPr>
          <w:rFonts w:cs="Times New Roman"/>
          <w:bCs/>
        </w:rPr>
        <w:t xml:space="preserve"> no problem </w:t>
      </w:r>
      <w:r w:rsidR="003F1310">
        <w:rPr>
          <w:rFonts w:cs="Times New Roman"/>
          <w:bCs/>
        </w:rPr>
        <w:t xml:space="preserve">on EQ-5D-3L </w:t>
      </w:r>
      <w:r w:rsidRPr="004E1740">
        <w:rPr>
          <w:rFonts w:cs="Times New Roman"/>
          <w:bCs/>
        </w:rPr>
        <w:t xml:space="preserve">was consistently higher in the EC arm than the UC arm across all domains and all time points. </w:t>
      </w:r>
      <w:r w:rsidR="009D7483">
        <w:rPr>
          <w:rFonts w:cs="Times New Roman"/>
          <w:bCs/>
        </w:rPr>
        <w:t>Consequently</w:t>
      </w:r>
      <w:r w:rsidR="00C50666">
        <w:rPr>
          <w:rFonts w:cs="Times New Roman"/>
          <w:bCs/>
        </w:rPr>
        <w:t>,</w:t>
      </w:r>
      <w:r w:rsidR="0021757C">
        <w:rPr>
          <w:rFonts w:cs="Times New Roman"/>
          <w:bCs/>
        </w:rPr>
        <w:t xml:space="preserve"> </w:t>
      </w:r>
      <w:r w:rsidRPr="004E1740">
        <w:rPr>
          <w:rFonts w:cs="Times New Roman"/>
          <w:bCs/>
        </w:rPr>
        <w:t>mean utility score</w:t>
      </w:r>
      <w:r w:rsidR="008E40A8">
        <w:rPr>
          <w:rFonts w:cs="Times New Roman"/>
          <w:bCs/>
        </w:rPr>
        <w:t>s</w:t>
      </w:r>
      <w:r w:rsidR="0021757C">
        <w:rPr>
          <w:rFonts w:cs="Times New Roman"/>
          <w:bCs/>
        </w:rPr>
        <w:t xml:space="preserve"> </w:t>
      </w:r>
      <w:r w:rsidRPr="004E1740">
        <w:rPr>
          <w:rFonts w:cs="Times New Roman"/>
          <w:bCs/>
        </w:rPr>
        <w:t xml:space="preserve">in the EC arm </w:t>
      </w:r>
      <w:r w:rsidR="009D7483">
        <w:rPr>
          <w:rFonts w:cs="Times New Roman"/>
          <w:bCs/>
        </w:rPr>
        <w:t xml:space="preserve">were higher </w:t>
      </w:r>
      <w:r w:rsidRPr="004E1740">
        <w:rPr>
          <w:rFonts w:cs="Times New Roman"/>
          <w:bCs/>
        </w:rPr>
        <w:t>among</w:t>
      </w:r>
      <w:r w:rsidR="009D7483">
        <w:rPr>
          <w:rFonts w:cs="Times New Roman"/>
          <w:bCs/>
        </w:rPr>
        <w:t>st</w:t>
      </w:r>
      <w:r w:rsidRPr="004E1740">
        <w:rPr>
          <w:rFonts w:cs="Times New Roman"/>
          <w:bCs/>
        </w:rPr>
        <w:t xml:space="preserve"> those compet</w:t>
      </w:r>
      <w:r w:rsidR="009D7483">
        <w:rPr>
          <w:rFonts w:cs="Times New Roman"/>
          <w:bCs/>
        </w:rPr>
        <w:t>ing</w:t>
      </w:r>
      <w:r w:rsidRPr="004E1740">
        <w:rPr>
          <w:rFonts w:cs="Times New Roman"/>
          <w:bCs/>
        </w:rPr>
        <w:t xml:space="preserve"> the measure (</w:t>
      </w:r>
      <w:r w:rsidR="00704F0C">
        <w:rPr>
          <w:rFonts w:cs="Times New Roman"/>
          <w:bCs/>
        </w:rPr>
        <w:t>T</w:t>
      </w:r>
      <w:r w:rsidR="00CD4A51">
        <w:rPr>
          <w:rFonts w:cs="Times New Roman"/>
          <w:bCs/>
        </w:rPr>
        <w:t>able 6</w:t>
      </w:r>
      <w:r w:rsidRPr="004E1740">
        <w:rPr>
          <w:rFonts w:cs="Times New Roman"/>
          <w:bCs/>
        </w:rPr>
        <w:t xml:space="preserve">). </w:t>
      </w:r>
      <w:r w:rsidR="009D7483">
        <w:rPr>
          <w:rFonts w:cs="Times New Roman"/>
          <w:bCs/>
        </w:rPr>
        <w:t xml:space="preserve">For </w:t>
      </w:r>
      <w:r w:rsidRPr="004E1740">
        <w:rPr>
          <w:rFonts w:cs="Times New Roman"/>
          <w:bCs/>
        </w:rPr>
        <w:t>those complet</w:t>
      </w:r>
      <w:r w:rsidR="009D7483">
        <w:rPr>
          <w:rFonts w:cs="Times New Roman"/>
          <w:bCs/>
        </w:rPr>
        <w:t>ing</w:t>
      </w:r>
      <w:r w:rsidRPr="004E1740">
        <w:rPr>
          <w:rFonts w:cs="Times New Roman"/>
          <w:bCs/>
        </w:rPr>
        <w:t xml:space="preserve"> EQ-5D-3L at all time points, mean QALY was 0.195 (SD 0.097) in the UC </w:t>
      </w:r>
      <w:r w:rsidR="00C257F5">
        <w:rPr>
          <w:rFonts w:cs="Times New Roman"/>
          <w:bCs/>
        </w:rPr>
        <w:t>arm</w:t>
      </w:r>
      <w:r w:rsidRPr="004E1740">
        <w:rPr>
          <w:rFonts w:cs="Times New Roman"/>
          <w:bCs/>
        </w:rPr>
        <w:t xml:space="preserve"> (n=11) and 0.315 (SD 0.120) in the EC </w:t>
      </w:r>
      <w:r w:rsidR="00C257F5">
        <w:rPr>
          <w:rFonts w:cs="Times New Roman"/>
          <w:bCs/>
        </w:rPr>
        <w:t>arm</w:t>
      </w:r>
      <w:r w:rsidRPr="004E1740">
        <w:rPr>
          <w:rFonts w:cs="Times New Roman"/>
          <w:bCs/>
        </w:rPr>
        <w:t xml:space="preserve"> (n=26), over 24 weeks.</w:t>
      </w:r>
    </w:p>
    <w:p w14:paraId="5CA657DC" w14:textId="68E4DA8B" w:rsidR="00C50666" w:rsidRPr="002365FC" w:rsidRDefault="00CD4A51" w:rsidP="002365FC">
      <w:pPr>
        <w:spacing w:after="120"/>
        <w:jc w:val="both"/>
        <w:rPr>
          <w:rFonts w:cs="Times New Roman"/>
          <w:b/>
          <w:bCs/>
        </w:rPr>
      </w:pPr>
      <w:r w:rsidRPr="002365FC">
        <w:rPr>
          <w:rFonts w:cs="Times New Roman"/>
          <w:b/>
          <w:bCs/>
        </w:rPr>
        <w:t>Table 6:</w:t>
      </w:r>
      <w:r w:rsidR="00C50666" w:rsidRPr="002365FC">
        <w:rPr>
          <w:rFonts w:cs="Times New Roman"/>
          <w:b/>
          <w:bCs/>
        </w:rPr>
        <w:t xml:space="preserve"> Mean EQ-5D-3L utility value, EQ VAS and costs of general healthcare and social services at each time point, by arm</w:t>
      </w:r>
    </w:p>
    <w:tbl>
      <w:tblPr>
        <w:tblStyle w:val="TableGrid"/>
        <w:tblW w:w="8926" w:type="dxa"/>
        <w:tblLook w:val="04A0" w:firstRow="1" w:lastRow="0" w:firstColumn="1" w:lastColumn="0" w:noHBand="0" w:noVBand="1"/>
      </w:tblPr>
      <w:tblGrid>
        <w:gridCol w:w="1271"/>
        <w:gridCol w:w="798"/>
        <w:gridCol w:w="1580"/>
        <w:gridCol w:w="1308"/>
        <w:gridCol w:w="567"/>
        <w:gridCol w:w="1701"/>
        <w:gridCol w:w="1701"/>
      </w:tblGrid>
      <w:tr w:rsidR="00C50666" w:rsidRPr="00605CB5" w14:paraId="71A6F804" w14:textId="77777777" w:rsidTr="00F02772">
        <w:trPr>
          <w:trHeight w:val="300"/>
        </w:trPr>
        <w:tc>
          <w:tcPr>
            <w:tcW w:w="1271" w:type="dxa"/>
            <w:vMerge w:val="restart"/>
            <w:noWrap/>
          </w:tcPr>
          <w:p w14:paraId="74856E8E" w14:textId="77777777" w:rsidR="00C50666" w:rsidRPr="00484205" w:rsidRDefault="00C50666" w:rsidP="00F02772"/>
        </w:tc>
        <w:tc>
          <w:tcPr>
            <w:tcW w:w="3686" w:type="dxa"/>
            <w:gridSpan w:val="3"/>
          </w:tcPr>
          <w:p w14:paraId="3DEF4369" w14:textId="77777777" w:rsidR="00C50666" w:rsidRPr="00484205" w:rsidRDefault="00C50666" w:rsidP="00F02772">
            <w:r w:rsidRPr="00484205">
              <w:t>UC (n=32)</w:t>
            </w:r>
          </w:p>
        </w:tc>
        <w:tc>
          <w:tcPr>
            <w:tcW w:w="3969" w:type="dxa"/>
            <w:gridSpan w:val="3"/>
            <w:noWrap/>
            <w:hideMark/>
          </w:tcPr>
          <w:p w14:paraId="1EF9D682" w14:textId="77777777" w:rsidR="00C50666" w:rsidRPr="00484205" w:rsidRDefault="00C50666" w:rsidP="00F02772">
            <w:r w:rsidRPr="00484205">
              <w:t>EC (n=48)</w:t>
            </w:r>
          </w:p>
        </w:tc>
      </w:tr>
      <w:tr w:rsidR="00C50666" w:rsidRPr="00605CB5" w14:paraId="6ED77462" w14:textId="77777777" w:rsidTr="00F02772">
        <w:trPr>
          <w:trHeight w:val="201"/>
        </w:trPr>
        <w:tc>
          <w:tcPr>
            <w:tcW w:w="1271" w:type="dxa"/>
            <w:vMerge/>
            <w:noWrap/>
            <w:hideMark/>
          </w:tcPr>
          <w:p w14:paraId="2D859389" w14:textId="77777777" w:rsidR="00C50666" w:rsidRPr="00484205" w:rsidRDefault="00C50666" w:rsidP="00F02772"/>
        </w:tc>
        <w:tc>
          <w:tcPr>
            <w:tcW w:w="798" w:type="dxa"/>
            <w:vAlign w:val="center"/>
          </w:tcPr>
          <w:p w14:paraId="7879BFC4" w14:textId="77777777" w:rsidR="00C50666" w:rsidRPr="00484205" w:rsidRDefault="00C50666" w:rsidP="00F02772">
            <w:r w:rsidRPr="00484205">
              <w:t>n</w:t>
            </w:r>
          </w:p>
        </w:tc>
        <w:tc>
          <w:tcPr>
            <w:tcW w:w="2888" w:type="dxa"/>
            <w:gridSpan w:val="2"/>
          </w:tcPr>
          <w:p w14:paraId="71BEA99A" w14:textId="77777777" w:rsidR="00C50666" w:rsidRPr="00484205" w:rsidRDefault="00C50666" w:rsidP="00F02772">
            <w:r w:rsidRPr="00484205">
              <w:t>Mean (SD)</w:t>
            </w:r>
          </w:p>
        </w:tc>
        <w:tc>
          <w:tcPr>
            <w:tcW w:w="567" w:type="dxa"/>
            <w:noWrap/>
            <w:vAlign w:val="center"/>
            <w:hideMark/>
          </w:tcPr>
          <w:p w14:paraId="3A7D6C43" w14:textId="77777777" w:rsidR="00C50666" w:rsidRPr="00484205" w:rsidRDefault="00C50666" w:rsidP="00F02772">
            <w:r w:rsidRPr="00484205">
              <w:t>n</w:t>
            </w:r>
          </w:p>
        </w:tc>
        <w:tc>
          <w:tcPr>
            <w:tcW w:w="3402" w:type="dxa"/>
            <w:gridSpan w:val="2"/>
            <w:noWrap/>
            <w:hideMark/>
          </w:tcPr>
          <w:p w14:paraId="78AF0ECB" w14:textId="77777777" w:rsidR="00C50666" w:rsidRPr="00484205" w:rsidRDefault="00C50666" w:rsidP="00F02772">
            <w:r w:rsidRPr="00484205">
              <w:t>Mean (SD)</w:t>
            </w:r>
          </w:p>
        </w:tc>
      </w:tr>
      <w:tr w:rsidR="00C50666" w:rsidRPr="00605CB5" w14:paraId="3383DD46" w14:textId="77777777" w:rsidTr="00F02772">
        <w:trPr>
          <w:trHeight w:val="300"/>
        </w:trPr>
        <w:tc>
          <w:tcPr>
            <w:tcW w:w="8926" w:type="dxa"/>
            <w:gridSpan w:val="7"/>
            <w:noWrap/>
          </w:tcPr>
          <w:p w14:paraId="5A98D081" w14:textId="77777777" w:rsidR="00C50666" w:rsidRPr="00484205" w:rsidRDefault="00C50666" w:rsidP="00F02772">
            <w:r>
              <w:t>EQ-5D-3L</w:t>
            </w:r>
          </w:p>
        </w:tc>
      </w:tr>
      <w:tr w:rsidR="00C50666" w:rsidRPr="00605CB5" w14:paraId="696FD124" w14:textId="77777777" w:rsidTr="00F02772">
        <w:trPr>
          <w:trHeight w:val="300"/>
        </w:trPr>
        <w:tc>
          <w:tcPr>
            <w:tcW w:w="1271" w:type="dxa"/>
            <w:noWrap/>
          </w:tcPr>
          <w:p w14:paraId="64CC9C4C" w14:textId="77777777" w:rsidR="00C50666" w:rsidRPr="00484205" w:rsidRDefault="00C50666" w:rsidP="00F02772"/>
        </w:tc>
        <w:tc>
          <w:tcPr>
            <w:tcW w:w="798" w:type="dxa"/>
          </w:tcPr>
          <w:p w14:paraId="1894EF98" w14:textId="77777777" w:rsidR="00C50666" w:rsidRPr="00484205" w:rsidRDefault="00C50666" w:rsidP="00F02772"/>
        </w:tc>
        <w:tc>
          <w:tcPr>
            <w:tcW w:w="1580" w:type="dxa"/>
            <w:tcBorders>
              <w:right w:val="dotted" w:sz="4" w:space="0" w:color="auto"/>
            </w:tcBorders>
          </w:tcPr>
          <w:p w14:paraId="24B867D9" w14:textId="77777777" w:rsidR="00C50666" w:rsidRPr="00484205" w:rsidRDefault="00C50666" w:rsidP="00F02772">
            <w:r w:rsidRPr="00484205">
              <w:t>Utility</w:t>
            </w:r>
          </w:p>
        </w:tc>
        <w:tc>
          <w:tcPr>
            <w:tcW w:w="1308" w:type="dxa"/>
            <w:tcBorders>
              <w:left w:val="dotted" w:sz="4" w:space="0" w:color="auto"/>
            </w:tcBorders>
          </w:tcPr>
          <w:p w14:paraId="5174AA33" w14:textId="63320B76" w:rsidR="00C50666" w:rsidRPr="00484205" w:rsidRDefault="00736E7A" w:rsidP="00F02772">
            <w:r>
              <w:t xml:space="preserve">EQ </w:t>
            </w:r>
            <w:r w:rsidR="00C50666" w:rsidRPr="00484205">
              <w:t>VAS</w:t>
            </w:r>
          </w:p>
        </w:tc>
        <w:tc>
          <w:tcPr>
            <w:tcW w:w="567" w:type="dxa"/>
            <w:noWrap/>
          </w:tcPr>
          <w:p w14:paraId="03B2537A" w14:textId="77777777" w:rsidR="00C50666" w:rsidRPr="00484205" w:rsidRDefault="00C50666" w:rsidP="00F02772"/>
        </w:tc>
        <w:tc>
          <w:tcPr>
            <w:tcW w:w="1701" w:type="dxa"/>
            <w:tcBorders>
              <w:right w:val="dotted" w:sz="4" w:space="0" w:color="auto"/>
            </w:tcBorders>
            <w:noWrap/>
          </w:tcPr>
          <w:p w14:paraId="6B3926D7" w14:textId="77777777" w:rsidR="00C50666" w:rsidRPr="00484205" w:rsidRDefault="00C50666" w:rsidP="00F02772">
            <w:r w:rsidRPr="00484205">
              <w:t>Utility</w:t>
            </w:r>
          </w:p>
        </w:tc>
        <w:tc>
          <w:tcPr>
            <w:tcW w:w="1701" w:type="dxa"/>
            <w:tcBorders>
              <w:left w:val="dotted" w:sz="4" w:space="0" w:color="auto"/>
            </w:tcBorders>
          </w:tcPr>
          <w:p w14:paraId="0A93F6CD" w14:textId="6BA31AD9" w:rsidR="00C50666" w:rsidRPr="00484205" w:rsidRDefault="00736E7A" w:rsidP="00F02772">
            <w:r>
              <w:t xml:space="preserve">EQ </w:t>
            </w:r>
            <w:r w:rsidR="00C50666" w:rsidRPr="00484205">
              <w:t>VAS</w:t>
            </w:r>
          </w:p>
        </w:tc>
      </w:tr>
      <w:tr w:rsidR="00C50666" w:rsidRPr="00605CB5" w14:paraId="4E92187D" w14:textId="77777777" w:rsidTr="00F02772">
        <w:trPr>
          <w:trHeight w:val="300"/>
        </w:trPr>
        <w:tc>
          <w:tcPr>
            <w:tcW w:w="1271" w:type="dxa"/>
            <w:noWrap/>
            <w:hideMark/>
          </w:tcPr>
          <w:p w14:paraId="01B7348A" w14:textId="77777777" w:rsidR="00C50666" w:rsidRPr="00484205" w:rsidRDefault="00C50666" w:rsidP="00F02772">
            <w:r w:rsidRPr="00484205">
              <w:t>Baseline</w:t>
            </w:r>
          </w:p>
        </w:tc>
        <w:tc>
          <w:tcPr>
            <w:tcW w:w="798" w:type="dxa"/>
          </w:tcPr>
          <w:p w14:paraId="6C67392B" w14:textId="77777777" w:rsidR="00C50666" w:rsidRPr="00484205" w:rsidRDefault="00C50666" w:rsidP="00F02772">
            <w:r w:rsidRPr="00484205">
              <w:t>31</w:t>
            </w:r>
          </w:p>
        </w:tc>
        <w:tc>
          <w:tcPr>
            <w:tcW w:w="1580" w:type="dxa"/>
            <w:tcBorders>
              <w:right w:val="dotted" w:sz="4" w:space="0" w:color="auto"/>
            </w:tcBorders>
          </w:tcPr>
          <w:p w14:paraId="4F0918D0" w14:textId="77777777" w:rsidR="00C50666" w:rsidRPr="00484205" w:rsidRDefault="00C50666" w:rsidP="00F02772">
            <w:r w:rsidRPr="00484205">
              <w:t>0.394 (0.362)</w:t>
            </w:r>
          </w:p>
        </w:tc>
        <w:tc>
          <w:tcPr>
            <w:tcW w:w="1308" w:type="dxa"/>
            <w:tcBorders>
              <w:left w:val="dotted" w:sz="4" w:space="0" w:color="auto"/>
            </w:tcBorders>
          </w:tcPr>
          <w:p w14:paraId="2B09CD96" w14:textId="77777777" w:rsidR="00C50666" w:rsidRPr="00484205" w:rsidRDefault="00C50666" w:rsidP="00F02772">
            <w:r w:rsidRPr="00484205">
              <w:t>57.0 (21.7)</w:t>
            </w:r>
          </w:p>
        </w:tc>
        <w:tc>
          <w:tcPr>
            <w:tcW w:w="567" w:type="dxa"/>
            <w:noWrap/>
            <w:hideMark/>
          </w:tcPr>
          <w:p w14:paraId="3220CE28" w14:textId="77777777" w:rsidR="00C50666" w:rsidRPr="00484205" w:rsidRDefault="00C50666" w:rsidP="00F02772">
            <w:r w:rsidRPr="00484205">
              <w:t>46</w:t>
            </w:r>
          </w:p>
        </w:tc>
        <w:tc>
          <w:tcPr>
            <w:tcW w:w="1701" w:type="dxa"/>
            <w:tcBorders>
              <w:right w:val="dotted" w:sz="4" w:space="0" w:color="auto"/>
            </w:tcBorders>
            <w:noWrap/>
            <w:hideMark/>
          </w:tcPr>
          <w:p w14:paraId="2F91A621" w14:textId="77777777" w:rsidR="00C50666" w:rsidRPr="00484205" w:rsidRDefault="00C50666" w:rsidP="00F02772">
            <w:r w:rsidRPr="00484205">
              <w:t>0.548 (0.341)</w:t>
            </w:r>
          </w:p>
        </w:tc>
        <w:tc>
          <w:tcPr>
            <w:tcW w:w="1701" w:type="dxa"/>
            <w:tcBorders>
              <w:left w:val="dotted" w:sz="4" w:space="0" w:color="auto"/>
            </w:tcBorders>
          </w:tcPr>
          <w:p w14:paraId="019F126A" w14:textId="77777777" w:rsidR="00C50666" w:rsidRPr="00484205" w:rsidRDefault="00C50666" w:rsidP="00F02772">
            <w:r w:rsidRPr="00484205">
              <w:t>52.7 (20.7)</w:t>
            </w:r>
          </w:p>
        </w:tc>
      </w:tr>
      <w:tr w:rsidR="00C50666" w:rsidRPr="00605CB5" w14:paraId="3EECFFA6" w14:textId="77777777" w:rsidTr="00F02772">
        <w:trPr>
          <w:trHeight w:val="300"/>
        </w:trPr>
        <w:tc>
          <w:tcPr>
            <w:tcW w:w="1271" w:type="dxa"/>
            <w:noWrap/>
            <w:hideMark/>
          </w:tcPr>
          <w:p w14:paraId="55C26527" w14:textId="77777777" w:rsidR="00C50666" w:rsidRPr="00484205" w:rsidRDefault="00C50666" w:rsidP="00F02772">
            <w:r w:rsidRPr="00484205">
              <w:t>4 weeks</w:t>
            </w:r>
          </w:p>
        </w:tc>
        <w:tc>
          <w:tcPr>
            <w:tcW w:w="798" w:type="dxa"/>
          </w:tcPr>
          <w:p w14:paraId="1DAF6422" w14:textId="77777777" w:rsidR="00C50666" w:rsidRPr="00484205" w:rsidRDefault="00C50666" w:rsidP="00F02772">
            <w:r w:rsidRPr="00484205">
              <w:t>21</w:t>
            </w:r>
          </w:p>
        </w:tc>
        <w:tc>
          <w:tcPr>
            <w:tcW w:w="1580" w:type="dxa"/>
            <w:tcBorders>
              <w:right w:val="dotted" w:sz="4" w:space="0" w:color="auto"/>
            </w:tcBorders>
          </w:tcPr>
          <w:p w14:paraId="6CA13375" w14:textId="77777777" w:rsidR="00C50666" w:rsidRPr="00484205" w:rsidRDefault="00C50666" w:rsidP="00F02772">
            <w:r w:rsidRPr="00484205">
              <w:t>0.330 (0.308)</w:t>
            </w:r>
          </w:p>
        </w:tc>
        <w:tc>
          <w:tcPr>
            <w:tcW w:w="1308" w:type="dxa"/>
            <w:tcBorders>
              <w:left w:val="dotted" w:sz="4" w:space="0" w:color="auto"/>
            </w:tcBorders>
          </w:tcPr>
          <w:p w14:paraId="7F3FF7CD" w14:textId="77777777" w:rsidR="00C50666" w:rsidRPr="00484205" w:rsidRDefault="00C50666" w:rsidP="00F02772">
            <w:r w:rsidRPr="00484205">
              <w:t>48.6 (24.7)</w:t>
            </w:r>
          </w:p>
        </w:tc>
        <w:tc>
          <w:tcPr>
            <w:tcW w:w="567" w:type="dxa"/>
            <w:noWrap/>
            <w:hideMark/>
          </w:tcPr>
          <w:p w14:paraId="54126DAE" w14:textId="77777777" w:rsidR="00C50666" w:rsidRPr="00484205" w:rsidRDefault="00C50666" w:rsidP="00F02772">
            <w:r w:rsidRPr="00484205">
              <w:t>39</w:t>
            </w:r>
          </w:p>
        </w:tc>
        <w:tc>
          <w:tcPr>
            <w:tcW w:w="1701" w:type="dxa"/>
            <w:tcBorders>
              <w:right w:val="dotted" w:sz="4" w:space="0" w:color="auto"/>
            </w:tcBorders>
            <w:noWrap/>
            <w:hideMark/>
          </w:tcPr>
          <w:p w14:paraId="62068FF0" w14:textId="77777777" w:rsidR="00C50666" w:rsidRPr="00484205" w:rsidRDefault="00C50666" w:rsidP="00F02772">
            <w:r w:rsidRPr="00484205">
              <w:t>0.602 (0.346)</w:t>
            </w:r>
          </w:p>
        </w:tc>
        <w:tc>
          <w:tcPr>
            <w:tcW w:w="1701" w:type="dxa"/>
            <w:tcBorders>
              <w:left w:val="dotted" w:sz="4" w:space="0" w:color="auto"/>
            </w:tcBorders>
          </w:tcPr>
          <w:p w14:paraId="30CCE153" w14:textId="77777777" w:rsidR="00C50666" w:rsidRPr="00484205" w:rsidRDefault="00C50666" w:rsidP="00F02772">
            <w:r w:rsidRPr="00484205">
              <w:t>61.4 (21.5)</w:t>
            </w:r>
          </w:p>
        </w:tc>
      </w:tr>
      <w:tr w:rsidR="00C50666" w:rsidRPr="00605CB5" w14:paraId="5F32FA46" w14:textId="77777777" w:rsidTr="00F02772">
        <w:trPr>
          <w:trHeight w:val="300"/>
        </w:trPr>
        <w:tc>
          <w:tcPr>
            <w:tcW w:w="1271" w:type="dxa"/>
            <w:noWrap/>
            <w:hideMark/>
          </w:tcPr>
          <w:p w14:paraId="25185C9F" w14:textId="77777777" w:rsidR="00C50666" w:rsidRPr="00484205" w:rsidRDefault="00C50666" w:rsidP="00F02772">
            <w:r w:rsidRPr="00484205">
              <w:t>12 weeks</w:t>
            </w:r>
          </w:p>
        </w:tc>
        <w:tc>
          <w:tcPr>
            <w:tcW w:w="798" w:type="dxa"/>
          </w:tcPr>
          <w:p w14:paraId="32A60705" w14:textId="77777777" w:rsidR="00C50666" w:rsidRPr="00484205" w:rsidRDefault="00C50666" w:rsidP="00F02772">
            <w:r w:rsidRPr="00484205">
              <w:t>18</w:t>
            </w:r>
          </w:p>
        </w:tc>
        <w:tc>
          <w:tcPr>
            <w:tcW w:w="1580" w:type="dxa"/>
            <w:tcBorders>
              <w:right w:val="dotted" w:sz="4" w:space="0" w:color="auto"/>
            </w:tcBorders>
          </w:tcPr>
          <w:p w14:paraId="26681AB1" w14:textId="77777777" w:rsidR="00C50666" w:rsidRPr="00484205" w:rsidRDefault="00C50666" w:rsidP="00F02772">
            <w:r w:rsidRPr="00484205">
              <w:t>0.350 (0.351)</w:t>
            </w:r>
          </w:p>
        </w:tc>
        <w:tc>
          <w:tcPr>
            <w:tcW w:w="1308" w:type="dxa"/>
            <w:tcBorders>
              <w:left w:val="dotted" w:sz="4" w:space="0" w:color="auto"/>
            </w:tcBorders>
          </w:tcPr>
          <w:p w14:paraId="02D4C3E8" w14:textId="77777777" w:rsidR="00C50666" w:rsidRPr="00484205" w:rsidRDefault="00C50666" w:rsidP="00F02772">
            <w:r w:rsidRPr="00484205">
              <w:t>59.3 (22.7)</w:t>
            </w:r>
          </w:p>
        </w:tc>
        <w:tc>
          <w:tcPr>
            <w:tcW w:w="567" w:type="dxa"/>
            <w:noWrap/>
            <w:hideMark/>
          </w:tcPr>
          <w:p w14:paraId="376C5953" w14:textId="77777777" w:rsidR="00C50666" w:rsidRPr="00484205" w:rsidRDefault="00C50666" w:rsidP="00F02772">
            <w:r w:rsidRPr="00484205">
              <w:t>33</w:t>
            </w:r>
          </w:p>
        </w:tc>
        <w:tc>
          <w:tcPr>
            <w:tcW w:w="1701" w:type="dxa"/>
            <w:tcBorders>
              <w:right w:val="dotted" w:sz="4" w:space="0" w:color="auto"/>
            </w:tcBorders>
            <w:noWrap/>
            <w:hideMark/>
          </w:tcPr>
          <w:p w14:paraId="52AB87EA" w14:textId="77777777" w:rsidR="00C50666" w:rsidRPr="00484205" w:rsidRDefault="00C50666" w:rsidP="00F02772">
            <w:r w:rsidRPr="00484205">
              <w:t>0.683 (0.309)</w:t>
            </w:r>
          </w:p>
        </w:tc>
        <w:tc>
          <w:tcPr>
            <w:tcW w:w="1701" w:type="dxa"/>
            <w:tcBorders>
              <w:left w:val="dotted" w:sz="4" w:space="0" w:color="auto"/>
            </w:tcBorders>
          </w:tcPr>
          <w:p w14:paraId="198A06C9" w14:textId="77777777" w:rsidR="00C50666" w:rsidRPr="00484205" w:rsidRDefault="00C50666" w:rsidP="00F02772">
            <w:r w:rsidRPr="00484205">
              <w:t>65.6 (21.3)</w:t>
            </w:r>
          </w:p>
        </w:tc>
      </w:tr>
      <w:tr w:rsidR="00C50666" w:rsidRPr="00605CB5" w14:paraId="6AD8251D" w14:textId="77777777" w:rsidTr="00F02772">
        <w:trPr>
          <w:trHeight w:val="300"/>
        </w:trPr>
        <w:tc>
          <w:tcPr>
            <w:tcW w:w="1271" w:type="dxa"/>
            <w:noWrap/>
            <w:hideMark/>
          </w:tcPr>
          <w:p w14:paraId="41B8448B" w14:textId="77777777" w:rsidR="00C50666" w:rsidRPr="00484205" w:rsidRDefault="00C50666" w:rsidP="00F02772">
            <w:r w:rsidRPr="00484205">
              <w:t>24 weeks</w:t>
            </w:r>
          </w:p>
        </w:tc>
        <w:tc>
          <w:tcPr>
            <w:tcW w:w="798" w:type="dxa"/>
          </w:tcPr>
          <w:p w14:paraId="552A5EAA" w14:textId="77777777" w:rsidR="00C50666" w:rsidRPr="00484205" w:rsidRDefault="00C50666" w:rsidP="00F02772">
            <w:r w:rsidRPr="00484205">
              <w:t>12</w:t>
            </w:r>
          </w:p>
        </w:tc>
        <w:tc>
          <w:tcPr>
            <w:tcW w:w="1580" w:type="dxa"/>
            <w:tcBorders>
              <w:right w:val="dotted" w:sz="4" w:space="0" w:color="auto"/>
            </w:tcBorders>
          </w:tcPr>
          <w:p w14:paraId="557E7540" w14:textId="77777777" w:rsidR="00C50666" w:rsidRPr="00484205" w:rsidRDefault="00C50666" w:rsidP="00F02772">
            <w:r w:rsidRPr="00484205">
              <w:t>0.619 (0.238)</w:t>
            </w:r>
          </w:p>
        </w:tc>
        <w:tc>
          <w:tcPr>
            <w:tcW w:w="1308" w:type="dxa"/>
            <w:tcBorders>
              <w:left w:val="dotted" w:sz="4" w:space="0" w:color="auto"/>
            </w:tcBorders>
          </w:tcPr>
          <w:p w14:paraId="6F64FBC1" w14:textId="77777777" w:rsidR="00C50666" w:rsidRPr="00484205" w:rsidRDefault="00C50666" w:rsidP="00F02772">
            <w:r w:rsidRPr="00484205">
              <w:t>61.0 (22.5)</w:t>
            </w:r>
          </w:p>
        </w:tc>
        <w:tc>
          <w:tcPr>
            <w:tcW w:w="567" w:type="dxa"/>
            <w:noWrap/>
            <w:hideMark/>
          </w:tcPr>
          <w:p w14:paraId="101AFD59" w14:textId="77777777" w:rsidR="00C50666" w:rsidRPr="00484205" w:rsidRDefault="00C50666" w:rsidP="00F02772">
            <w:r w:rsidRPr="00484205">
              <w:t>34</w:t>
            </w:r>
          </w:p>
        </w:tc>
        <w:tc>
          <w:tcPr>
            <w:tcW w:w="1701" w:type="dxa"/>
            <w:tcBorders>
              <w:right w:val="dotted" w:sz="4" w:space="0" w:color="auto"/>
            </w:tcBorders>
            <w:noWrap/>
            <w:hideMark/>
          </w:tcPr>
          <w:p w14:paraId="7675F7E6" w14:textId="77777777" w:rsidR="00C50666" w:rsidRPr="00484205" w:rsidRDefault="00C50666" w:rsidP="00F02772">
            <w:r w:rsidRPr="00484205">
              <w:t>0.653 (0.363)</w:t>
            </w:r>
          </w:p>
        </w:tc>
        <w:tc>
          <w:tcPr>
            <w:tcW w:w="1701" w:type="dxa"/>
            <w:tcBorders>
              <w:left w:val="dotted" w:sz="4" w:space="0" w:color="auto"/>
            </w:tcBorders>
          </w:tcPr>
          <w:p w14:paraId="26B43814" w14:textId="77777777" w:rsidR="00C50666" w:rsidRPr="00484205" w:rsidRDefault="00C50666" w:rsidP="00F02772">
            <w:r w:rsidRPr="00484205">
              <w:t>61.8 (21.6)</w:t>
            </w:r>
          </w:p>
        </w:tc>
      </w:tr>
      <w:tr w:rsidR="00C50666" w14:paraId="13F6DBB8" w14:textId="77777777" w:rsidTr="00F02772">
        <w:tc>
          <w:tcPr>
            <w:tcW w:w="8926" w:type="dxa"/>
            <w:gridSpan w:val="7"/>
          </w:tcPr>
          <w:p w14:paraId="0114BF2D" w14:textId="77777777" w:rsidR="00C50666" w:rsidRDefault="00C50666" w:rsidP="00F02772">
            <w:pPr>
              <w:rPr>
                <w:rFonts w:eastAsia="Yu Mincho"/>
                <w:lang w:eastAsia="ja-JP"/>
              </w:rPr>
            </w:pPr>
            <w:r>
              <w:rPr>
                <w:rFonts w:eastAsia="Yu Mincho"/>
                <w:lang w:eastAsia="ja-JP"/>
              </w:rPr>
              <w:t>Costs of general healthcare and social services</w:t>
            </w:r>
          </w:p>
        </w:tc>
      </w:tr>
      <w:tr w:rsidR="00C50666" w14:paraId="140AA844" w14:textId="77777777" w:rsidTr="00F02772">
        <w:tc>
          <w:tcPr>
            <w:tcW w:w="1271" w:type="dxa"/>
          </w:tcPr>
          <w:p w14:paraId="0057E86E" w14:textId="77777777" w:rsidR="00C50666" w:rsidRDefault="00C50666" w:rsidP="00F02772">
            <w:pPr>
              <w:rPr>
                <w:rFonts w:eastAsia="Yu Mincho"/>
                <w:lang w:eastAsia="ja-JP"/>
              </w:rPr>
            </w:pPr>
          </w:p>
        </w:tc>
        <w:tc>
          <w:tcPr>
            <w:tcW w:w="798" w:type="dxa"/>
          </w:tcPr>
          <w:p w14:paraId="477C86FC" w14:textId="77777777" w:rsidR="00C50666" w:rsidRDefault="00C50666" w:rsidP="00F02772">
            <w:pPr>
              <w:rPr>
                <w:rFonts w:eastAsia="Yu Mincho"/>
                <w:lang w:eastAsia="ja-JP"/>
              </w:rPr>
            </w:pPr>
          </w:p>
        </w:tc>
        <w:tc>
          <w:tcPr>
            <w:tcW w:w="2888" w:type="dxa"/>
            <w:gridSpan w:val="2"/>
          </w:tcPr>
          <w:p w14:paraId="0F534A87" w14:textId="77777777" w:rsidR="00C50666" w:rsidRDefault="00C50666" w:rsidP="00F02772">
            <w:pPr>
              <w:rPr>
                <w:rFonts w:eastAsia="Yu Mincho"/>
                <w:lang w:eastAsia="ja-JP"/>
              </w:rPr>
            </w:pPr>
            <w:r>
              <w:rPr>
                <w:rFonts w:eastAsia="Yu Mincho"/>
                <w:lang w:eastAsia="ja-JP"/>
              </w:rPr>
              <w:t>Costs</w:t>
            </w:r>
          </w:p>
        </w:tc>
        <w:tc>
          <w:tcPr>
            <w:tcW w:w="567" w:type="dxa"/>
          </w:tcPr>
          <w:p w14:paraId="095EE67A" w14:textId="77777777" w:rsidR="00C50666" w:rsidRDefault="00C50666" w:rsidP="00F02772">
            <w:pPr>
              <w:rPr>
                <w:rFonts w:eastAsia="Yu Mincho"/>
                <w:lang w:eastAsia="ja-JP"/>
              </w:rPr>
            </w:pPr>
          </w:p>
        </w:tc>
        <w:tc>
          <w:tcPr>
            <w:tcW w:w="3402" w:type="dxa"/>
            <w:gridSpan w:val="2"/>
          </w:tcPr>
          <w:p w14:paraId="18BC8A19" w14:textId="77777777" w:rsidR="00C50666" w:rsidRDefault="00C50666" w:rsidP="00F02772">
            <w:pPr>
              <w:rPr>
                <w:rFonts w:eastAsia="Yu Mincho"/>
                <w:lang w:eastAsia="ja-JP"/>
              </w:rPr>
            </w:pPr>
            <w:r>
              <w:rPr>
                <w:rFonts w:eastAsia="Yu Mincho"/>
                <w:lang w:eastAsia="ja-JP"/>
              </w:rPr>
              <w:t>Costs</w:t>
            </w:r>
          </w:p>
        </w:tc>
      </w:tr>
      <w:tr w:rsidR="00C50666" w14:paraId="4E2C22D5" w14:textId="77777777" w:rsidTr="00F02772">
        <w:tc>
          <w:tcPr>
            <w:tcW w:w="1271" w:type="dxa"/>
          </w:tcPr>
          <w:p w14:paraId="77E6019B" w14:textId="77777777" w:rsidR="00C50666" w:rsidRDefault="00C50666" w:rsidP="00F02772">
            <w:pPr>
              <w:rPr>
                <w:rFonts w:eastAsia="Yu Mincho"/>
                <w:lang w:eastAsia="ja-JP"/>
              </w:rPr>
            </w:pPr>
            <w:r>
              <w:rPr>
                <w:rFonts w:eastAsia="Yu Mincho"/>
                <w:lang w:eastAsia="ja-JP"/>
              </w:rPr>
              <w:t>Baseline</w:t>
            </w:r>
          </w:p>
        </w:tc>
        <w:tc>
          <w:tcPr>
            <w:tcW w:w="798" w:type="dxa"/>
          </w:tcPr>
          <w:p w14:paraId="4DD88D65" w14:textId="77777777" w:rsidR="00C50666" w:rsidRDefault="00C50666" w:rsidP="00F02772">
            <w:pPr>
              <w:rPr>
                <w:rFonts w:eastAsia="Yu Mincho"/>
                <w:lang w:eastAsia="ja-JP"/>
              </w:rPr>
            </w:pPr>
            <w:r>
              <w:rPr>
                <w:rFonts w:eastAsia="Yu Mincho"/>
                <w:lang w:eastAsia="ja-JP"/>
              </w:rPr>
              <w:t>31</w:t>
            </w:r>
          </w:p>
        </w:tc>
        <w:tc>
          <w:tcPr>
            <w:tcW w:w="2888" w:type="dxa"/>
            <w:gridSpan w:val="2"/>
          </w:tcPr>
          <w:p w14:paraId="07B53FB9" w14:textId="77777777" w:rsidR="00C50666" w:rsidRDefault="00C50666" w:rsidP="00F02772">
            <w:pPr>
              <w:rPr>
                <w:rFonts w:eastAsia="Yu Mincho"/>
                <w:lang w:eastAsia="ja-JP"/>
              </w:rPr>
            </w:pPr>
            <w:r>
              <w:rPr>
                <w:rFonts w:eastAsia="Yu Mincho"/>
                <w:lang w:eastAsia="ja-JP"/>
              </w:rPr>
              <w:t>£1,480 (£3,188)</w:t>
            </w:r>
          </w:p>
        </w:tc>
        <w:tc>
          <w:tcPr>
            <w:tcW w:w="567" w:type="dxa"/>
          </w:tcPr>
          <w:p w14:paraId="4F5A627D" w14:textId="77777777" w:rsidR="00C50666" w:rsidRDefault="00C50666" w:rsidP="00F02772">
            <w:pPr>
              <w:rPr>
                <w:rFonts w:eastAsia="Yu Mincho"/>
                <w:lang w:eastAsia="ja-JP"/>
              </w:rPr>
            </w:pPr>
            <w:r>
              <w:rPr>
                <w:rFonts w:eastAsia="Yu Mincho"/>
                <w:lang w:eastAsia="ja-JP"/>
              </w:rPr>
              <w:t>47</w:t>
            </w:r>
          </w:p>
        </w:tc>
        <w:tc>
          <w:tcPr>
            <w:tcW w:w="3402" w:type="dxa"/>
            <w:gridSpan w:val="2"/>
          </w:tcPr>
          <w:p w14:paraId="59813DC9" w14:textId="77777777" w:rsidR="00C50666" w:rsidRDefault="00C50666" w:rsidP="00F02772">
            <w:pPr>
              <w:rPr>
                <w:rFonts w:eastAsia="Yu Mincho"/>
                <w:lang w:eastAsia="ja-JP"/>
              </w:rPr>
            </w:pPr>
            <w:r>
              <w:rPr>
                <w:rFonts w:eastAsia="Yu Mincho"/>
                <w:lang w:eastAsia="ja-JP"/>
              </w:rPr>
              <w:t>£518 (£754)</w:t>
            </w:r>
          </w:p>
        </w:tc>
      </w:tr>
      <w:tr w:rsidR="00C50666" w14:paraId="3F4542A1" w14:textId="77777777" w:rsidTr="00F02772">
        <w:tc>
          <w:tcPr>
            <w:tcW w:w="1271" w:type="dxa"/>
          </w:tcPr>
          <w:p w14:paraId="0E4124EA" w14:textId="77777777" w:rsidR="00C50666" w:rsidRDefault="00C50666" w:rsidP="00F02772">
            <w:pPr>
              <w:rPr>
                <w:rFonts w:eastAsia="Yu Mincho"/>
                <w:lang w:eastAsia="ja-JP"/>
              </w:rPr>
            </w:pPr>
            <w:r>
              <w:rPr>
                <w:rFonts w:eastAsia="Yu Mincho"/>
                <w:lang w:eastAsia="ja-JP"/>
              </w:rPr>
              <w:t>4 weeks</w:t>
            </w:r>
          </w:p>
        </w:tc>
        <w:tc>
          <w:tcPr>
            <w:tcW w:w="798" w:type="dxa"/>
          </w:tcPr>
          <w:p w14:paraId="7431EF2F" w14:textId="77777777" w:rsidR="00C50666" w:rsidRDefault="00C50666" w:rsidP="00F02772">
            <w:pPr>
              <w:rPr>
                <w:rFonts w:eastAsia="Yu Mincho"/>
                <w:lang w:eastAsia="ja-JP"/>
              </w:rPr>
            </w:pPr>
            <w:r>
              <w:rPr>
                <w:rFonts w:eastAsia="Yu Mincho"/>
                <w:lang w:eastAsia="ja-JP"/>
              </w:rPr>
              <w:t>21</w:t>
            </w:r>
          </w:p>
        </w:tc>
        <w:tc>
          <w:tcPr>
            <w:tcW w:w="2888" w:type="dxa"/>
            <w:gridSpan w:val="2"/>
          </w:tcPr>
          <w:p w14:paraId="3AB1D789" w14:textId="77777777" w:rsidR="00C50666" w:rsidRDefault="00C50666" w:rsidP="00F02772">
            <w:pPr>
              <w:rPr>
                <w:rFonts w:eastAsia="Yu Mincho"/>
                <w:lang w:eastAsia="ja-JP"/>
              </w:rPr>
            </w:pPr>
            <w:r>
              <w:rPr>
                <w:rFonts w:eastAsia="Yu Mincho"/>
                <w:lang w:eastAsia="ja-JP"/>
              </w:rPr>
              <w:t>£1,559 (£4,489)</w:t>
            </w:r>
          </w:p>
        </w:tc>
        <w:tc>
          <w:tcPr>
            <w:tcW w:w="567" w:type="dxa"/>
          </w:tcPr>
          <w:p w14:paraId="53A6672E" w14:textId="77777777" w:rsidR="00C50666" w:rsidRDefault="00C50666" w:rsidP="00F02772">
            <w:pPr>
              <w:rPr>
                <w:rFonts w:eastAsia="Yu Mincho"/>
                <w:lang w:eastAsia="ja-JP"/>
              </w:rPr>
            </w:pPr>
            <w:r>
              <w:rPr>
                <w:rFonts w:eastAsia="Yu Mincho"/>
                <w:lang w:eastAsia="ja-JP"/>
              </w:rPr>
              <w:t>39</w:t>
            </w:r>
          </w:p>
        </w:tc>
        <w:tc>
          <w:tcPr>
            <w:tcW w:w="3402" w:type="dxa"/>
            <w:gridSpan w:val="2"/>
          </w:tcPr>
          <w:p w14:paraId="31D12355" w14:textId="77777777" w:rsidR="00C50666" w:rsidRDefault="00C50666" w:rsidP="00F02772">
            <w:pPr>
              <w:rPr>
                <w:rFonts w:eastAsia="Yu Mincho"/>
                <w:lang w:eastAsia="ja-JP"/>
              </w:rPr>
            </w:pPr>
            <w:r>
              <w:rPr>
                <w:rFonts w:eastAsia="Yu Mincho"/>
                <w:lang w:eastAsia="ja-JP"/>
              </w:rPr>
              <w:t>£539 (£987)</w:t>
            </w:r>
          </w:p>
        </w:tc>
      </w:tr>
      <w:tr w:rsidR="00C50666" w14:paraId="03139450" w14:textId="77777777" w:rsidTr="00F02772">
        <w:tc>
          <w:tcPr>
            <w:tcW w:w="1271" w:type="dxa"/>
          </w:tcPr>
          <w:p w14:paraId="5F19F0A7" w14:textId="77777777" w:rsidR="00C50666" w:rsidRDefault="00C50666" w:rsidP="00F02772">
            <w:pPr>
              <w:rPr>
                <w:rFonts w:eastAsia="Yu Mincho"/>
                <w:lang w:eastAsia="ja-JP"/>
              </w:rPr>
            </w:pPr>
            <w:r>
              <w:rPr>
                <w:rFonts w:eastAsia="Yu Mincho"/>
                <w:lang w:eastAsia="ja-JP"/>
              </w:rPr>
              <w:t>12 weeks</w:t>
            </w:r>
          </w:p>
        </w:tc>
        <w:tc>
          <w:tcPr>
            <w:tcW w:w="798" w:type="dxa"/>
          </w:tcPr>
          <w:p w14:paraId="01323287" w14:textId="77777777" w:rsidR="00C50666" w:rsidRDefault="00C50666" w:rsidP="00F02772">
            <w:pPr>
              <w:rPr>
                <w:rFonts w:eastAsia="Yu Mincho"/>
                <w:lang w:eastAsia="ja-JP"/>
              </w:rPr>
            </w:pPr>
            <w:r>
              <w:rPr>
                <w:rFonts w:eastAsia="Yu Mincho"/>
                <w:lang w:eastAsia="ja-JP"/>
              </w:rPr>
              <w:t>18</w:t>
            </w:r>
          </w:p>
        </w:tc>
        <w:tc>
          <w:tcPr>
            <w:tcW w:w="2888" w:type="dxa"/>
            <w:gridSpan w:val="2"/>
          </w:tcPr>
          <w:p w14:paraId="7DC9222E" w14:textId="77777777" w:rsidR="00C50666" w:rsidRDefault="00C50666" w:rsidP="00F02772">
            <w:pPr>
              <w:rPr>
                <w:rFonts w:eastAsia="Yu Mincho"/>
                <w:lang w:eastAsia="ja-JP"/>
              </w:rPr>
            </w:pPr>
            <w:r>
              <w:rPr>
                <w:rFonts w:eastAsia="Yu Mincho"/>
                <w:lang w:eastAsia="ja-JP"/>
              </w:rPr>
              <w:t>£957 (£1,849)</w:t>
            </w:r>
          </w:p>
        </w:tc>
        <w:tc>
          <w:tcPr>
            <w:tcW w:w="567" w:type="dxa"/>
          </w:tcPr>
          <w:p w14:paraId="2831474F" w14:textId="77777777" w:rsidR="00C50666" w:rsidRDefault="00C50666" w:rsidP="00F02772">
            <w:pPr>
              <w:rPr>
                <w:rFonts w:eastAsia="Yu Mincho"/>
                <w:lang w:eastAsia="ja-JP"/>
              </w:rPr>
            </w:pPr>
            <w:r>
              <w:rPr>
                <w:rFonts w:eastAsia="Yu Mincho"/>
                <w:lang w:eastAsia="ja-JP"/>
              </w:rPr>
              <w:t>34</w:t>
            </w:r>
          </w:p>
        </w:tc>
        <w:tc>
          <w:tcPr>
            <w:tcW w:w="3402" w:type="dxa"/>
            <w:gridSpan w:val="2"/>
          </w:tcPr>
          <w:p w14:paraId="058965D0" w14:textId="77777777" w:rsidR="00C50666" w:rsidRDefault="00C50666" w:rsidP="00F02772">
            <w:pPr>
              <w:rPr>
                <w:rFonts w:eastAsia="Yu Mincho"/>
                <w:lang w:eastAsia="ja-JP"/>
              </w:rPr>
            </w:pPr>
            <w:r>
              <w:rPr>
                <w:rFonts w:eastAsia="Yu Mincho"/>
                <w:lang w:eastAsia="ja-JP"/>
              </w:rPr>
              <w:t>£682 (£885)</w:t>
            </w:r>
          </w:p>
        </w:tc>
      </w:tr>
      <w:tr w:rsidR="00C50666" w14:paraId="0719306E" w14:textId="77777777" w:rsidTr="00F02772">
        <w:tc>
          <w:tcPr>
            <w:tcW w:w="1271" w:type="dxa"/>
          </w:tcPr>
          <w:p w14:paraId="212D79EF" w14:textId="77777777" w:rsidR="00C50666" w:rsidRDefault="00C50666" w:rsidP="00F02772">
            <w:pPr>
              <w:rPr>
                <w:rFonts w:eastAsia="Yu Mincho"/>
                <w:lang w:eastAsia="ja-JP"/>
              </w:rPr>
            </w:pPr>
            <w:r>
              <w:rPr>
                <w:rFonts w:eastAsia="Yu Mincho"/>
                <w:lang w:eastAsia="ja-JP"/>
              </w:rPr>
              <w:t>24 weeks</w:t>
            </w:r>
          </w:p>
        </w:tc>
        <w:tc>
          <w:tcPr>
            <w:tcW w:w="798" w:type="dxa"/>
          </w:tcPr>
          <w:p w14:paraId="68AB9A7E" w14:textId="77777777" w:rsidR="00C50666" w:rsidRDefault="00C50666" w:rsidP="00F02772">
            <w:pPr>
              <w:rPr>
                <w:rFonts w:eastAsia="Yu Mincho"/>
                <w:lang w:eastAsia="ja-JP"/>
              </w:rPr>
            </w:pPr>
            <w:r>
              <w:rPr>
                <w:rFonts w:eastAsia="Yu Mincho"/>
                <w:lang w:eastAsia="ja-JP"/>
              </w:rPr>
              <w:t>12</w:t>
            </w:r>
          </w:p>
        </w:tc>
        <w:tc>
          <w:tcPr>
            <w:tcW w:w="2888" w:type="dxa"/>
            <w:gridSpan w:val="2"/>
          </w:tcPr>
          <w:p w14:paraId="1A52CE5C" w14:textId="77777777" w:rsidR="00C50666" w:rsidRDefault="00C50666" w:rsidP="00F02772">
            <w:pPr>
              <w:rPr>
                <w:rFonts w:eastAsia="Yu Mincho"/>
                <w:lang w:eastAsia="ja-JP"/>
              </w:rPr>
            </w:pPr>
            <w:r>
              <w:rPr>
                <w:rFonts w:eastAsia="Yu Mincho"/>
                <w:lang w:eastAsia="ja-JP"/>
              </w:rPr>
              <w:t>£1,207 (£1,494)</w:t>
            </w:r>
          </w:p>
        </w:tc>
        <w:tc>
          <w:tcPr>
            <w:tcW w:w="567" w:type="dxa"/>
          </w:tcPr>
          <w:p w14:paraId="75C35930" w14:textId="77777777" w:rsidR="00C50666" w:rsidRDefault="00C50666" w:rsidP="00F02772">
            <w:pPr>
              <w:rPr>
                <w:rFonts w:eastAsia="Yu Mincho"/>
                <w:lang w:eastAsia="ja-JP"/>
              </w:rPr>
            </w:pPr>
            <w:r>
              <w:rPr>
                <w:rFonts w:eastAsia="Yu Mincho"/>
                <w:lang w:eastAsia="ja-JP"/>
              </w:rPr>
              <w:t>35</w:t>
            </w:r>
          </w:p>
        </w:tc>
        <w:tc>
          <w:tcPr>
            <w:tcW w:w="3402" w:type="dxa"/>
            <w:gridSpan w:val="2"/>
          </w:tcPr>
          <w:p w14:paraId="6241885D" w14:textId="77777777" w:rsidR="00C50666" w:rsidRDefault="00C50666" w:rsidP="00F02772">
            <w:pPr>
              <w:rPr>
                <w:rFonts w:eastAsia="Yu Mincho"/>
                <w:lang w:eastAsia="ja-JP"/>
              </w:rPr>
            </w:pPr>
            <w:r>
              <w:rPr>
                <w:rFonts w:eastAsia="Yu Mincho"/>
                <w:lang w:eastAsia="ja-JP"/>
              </w:rPr>
              <w:t>£1,172 (£1,952)</w:t>
            </w:r>
          </w:p>
        </w:tc>
      </w:tr>
    </w:tbl>
    <w:p w14:paraId="6C639ADD" w14:textId="77777777" w:rsidR="00C50666" w:rsidRDefault="00C50666" w:rsidP="004E1740">
      <w:pPr>
        <w:spacing w:after="160" w:line="480" w:lineRule="auto"/>
        <w:jc w:val="both"/>
        <w:rPr>
          <w:rFonts w:cs="Times New Roman"/>
          <w:bCs/>
        </w:rPr>
      </w:pPr>
    </w:p>
    <w:p w14:paraId="0BB86CF6" w14:textId="182DBD30" w:rsidR="00656790" w:rsidRDefault="00E312F4" w:rsidP="004E1740">
      <w:pPr>
        <w:spacing w:after="160" w:line="480" w:lineRule="auto"/>
        <w:jc w:val="both"/>
      </w:pPr>
      <w:r>
        <w:rPr>
          <w:rFonts w:cs="Times New Roman"/>
          <w:bCs/>
        </w:rPr>
        <w:t>Compared with the EC arm, the UC arm showed an indication of relying more on SSS</w:t>
      </w:r>
      <w:r w:rsidR="000C1137">
        <w:rPr>
          <w:rFonts w:cs="Times New Roman"/>
          <w:bCs/>
        </w:rPr>
        <w:t xml:space="preserve"> and NRT. When the EC arm were no longer offered sessions from keyworkers, they turned to </w:t>
      </w:r>
      <w:r w:rsidR="000C1137">
        <w:t>GPs, practice nurses or pharmacists</w:t>
      </w:r>
      <w:r w:rsidR="000C1137">
        <w:rPr>
          <w:rFonts w:cs="Times New Roman"/>
          <w:bCs/>
        </w:rPr>
        <w:t xml:space="preserve"> for help </w:t>
      </w:r>
      <w:r w:rsidR="00C50666">
        <w:rPr>
          <w:rFonts w:cs="Times New Roman"/>
          <w:bCs/>
        </w:rPr>
        <w:t>(</w:t>
      </w:r>
      <w:r w:rsidR="00CD4A51">
        <w:rPr>
          <w:rFonts w:cs="Times New Roman"/>
          <w:bCs/>
        </w:rPr>
        <w:t>see supplementary t</w:t>
      </w:r>
      <w:r w:rsidR="00444E92">
        <w:rPr>
          <w:rFonts w:cs="Times New Roman"/>
          <w:bCs/>
        </w:rPr>
        <w:t>able 3</w:t>
      </w:r>
      <w:r w:rsidR="00C50666">
        <w:rPr>
          <w:rFonts w:cs="Times New Roman"/>
          <w:bCs/>
        </w:rPr>
        <w:t>)</w:t>
      </w:r>
      <w:r w:rsidR="00420370">
        <w:rPr>
          <w:rFonts w:cs="Times New Roman"/>
          <w:bCs/>
        </w:rPr>
        <w:t>.</w:t>
      </w:r>
      <w:r w:rsidR="0021757C">
        <w:rPr>
          <w:rFonts w:cs="Times New Roman"/>
          <w:bCs/>
        </w:rPr>
        <w:t xml:space="preserve"> </w:t>
      </w:r>
      <w:r w:rsidR="009D7483">
        <w:t>No use of</w:t>
      </w:r>
      <w:r w:rsidR="002A32FA">
        <w:t xml:space="preserve"> NHS </w:t>
      </w:r>
      <w:r w:rsidR="00C50666">
        <w:t xml:space="preserve">SSS </w:t>
      </w:r>
      <w:r w:rsidR="002A32FA">
        <w:t>helpline</w:t>
      </w:r>
      <w:r w:rsidR="009D7483">
        <w:t>s was reported</w:t>
      </w:r>
      <w:r w:rsidR="002A32FA">
        <w:t xml:space="preserve"> throughout the study period.</w:t>
      </w:r>
    </w:p>
    <w:p w14:paraId="3D38C8B9" w14:textId="245ABC5A" w:rsidR="00E03FE8" w:rsidRDefault="00F758DE" w:rsidP="004E1740">
      <w:pPr>
        <w:spacing w:after="160" w:line="480" w:lineRule="auto"/>
        <w:jc w:val="both"/>
      </w:pPr>
      <w:r>
        <w:t xml:space="preserve">Community-based services </w:t>
      </w:r>
      <w:r w:rsidR="009D7483">
        <w:t>(</w:t>
      </w:r>
      <w:r>
        <w:t>maternity service, sex health clinic, early intervention team, detox/rehab unit</w:t>
      </w:r>
      <w:r w:rsidR="009D7483">
        <w:t>)</w:t>
      </w:r>
      <w:r>
        <w:t xml:space="preserve"> were rarely used </w:t>
      </w:r>
      <w:r w:rsidR="009D7483">
        <w:t>in</w:t>
      </w:r>
      <w:r>
        <w:t xml:space="preserve"> either arm. </w:t>
      </w:r>
      <w:r w:rsidR="00614260">
        <w:t xml:space="preserve">Other services such as drug and alcohol service, adult mental health team and housing team were used more often. While GP and practice nurse services were used more frequently, home visits were rare. The majority of participants in either arm received at least one prescription at each time point. </w:t>
      </w:r>
      <w:r w:rsidR="003D1E13">
        <w:t>Accident and Emergency (</w:t>
      </w:r>
      <w:r w:rsidR="00614260">
        <w:t>A &amp; E</w:t>
      </w:r>
      <w:r w:rsidR="003D1E13">
        <w:t>)</w:t>
      </w:r>
      <w:r w:rsidR="00614260">
        <w:t xml:space="preserve"> </w:t>
      </w:r>
      <w:r w:rsidR="009D7483">
        <w:t>and</w:t>
      </w:r>
      <w:r w:rsidR="00614260">
        <w:t xml:space="preserve"> hospital </w:t>
      </w:r>
      <w:r w:rsidR="008521FF">
        <w:t>visits were reported in both arms at all time points</w:t>
      </w:r>
      <w:r w:rsidR="00614260">
        <w:t>.</w:t>
      </w:r>
    </w:p>
    <w:p w14:paraId="107634AF" w14:textId="4D33CF1A" w:rsidR="001438BA" w:rsidRDefault="00C257F5" w:rsidP="001438BA">
      <w:pPr>
        <w:spacing w:after="160" w:line="480" w:lineRule="auto"/>
        <w:jc w:val="both"/>
      </w:pPr>
      <w:r w:rsidRPr="00C257F5">
        <w:t>The mean costs among observed cases were consistently higher in th</w:t>
      </w:r>
      <w:r w:rsidR="00A1076E">
        <w:t>e UC arm</w:t>
      </w:r>
      <w:r w:rsidRPr="00C257F5">
        <w:t xml:space="preserve"> than in the EC </w:t>
      </w:r>
      <w:r w:rsidR="00A1076E">
        <w:t>arm</w:t>
      </w:r>
      <w:r w:rsidRPr="00C257F5">
        <w:t xml:space="preserve"> (</w:t>
      </w:r>
      <w:r w:rsidR="00704F0C">
        <w:t>T</w:t>
      </w:r>
      <w:r w:rsidR="00816FA2">
        <w:t>able 6</w:t>
      </w:r>
      <w:r w:rsidRPr="00C257F5">
        <w:t xml:space="preserve">). The difference </w:t>
      </w:r>
      <w:r w:rsidR="00A1076E">
        <w:t>up to 12</w:t>
      </w:r>
      <w:r w:rsidRPr="00C257F5">
        <w:t xml:space="preserve"> weeks was mostly due to the longer hospital stay in the UC </w:t>
      </w:r>
      <w:r w:rsidR="00A1076E">
        <w:t>arm</w:t>
      </w:r>
      <w:r w:rsidRPr="00C257F5">
        <w:t xml:space="preserve">. At 24 weeks, </w:t>
      </w:r>
      <w:r w:rsidR="00A1076E">
        <w:t xml:space="preserve">although </w:t>
      </w:r>
      <w:r w:rsidRPr="00C257F5">
        <w:t xml:space="preserve">the mean cost of hospital stay and drug/alcohol service in the EC </w:t>
      </w:r>
      <w:r w:rsidR="00A1076E">
        <w:t>arm</w:t>
      </w:r>
      <w:r w:rsidRPr="00C257F5">
        <w:t xml:space="preserve"> was much higher</w:t>
      </w:r>
      <w:r w:rsidR="00A1076E">
        <w:t>,</w:t>
      </w:r>
      <w:r w:rsidRPr="00C257F5">
        <w:t xml:space="preserve"> the mean cost of A &amp; E, early intervention team and adult mental health team</w:t>
      </w:r>
      <w:r w:rsidR="001438BA">
        <w:t xml:space="preserve"> offset the reducing costs in other services </w:t>
      </w:r>
      <w:r w:rsidR="001438BA" w:rsidRPr="00C257F5">
        <w:t xml:space="preserve">in the UC </w:t>
      </w:r>
      <w:r w:rsidR="001438BA">
        <w:t>arm</w:t>
      </w:r>
      <w:r w:rsidR="001438BA" w:rsidRPr="00C257F5">
        <w:t>.</w:t>
      </w:r>
    </w:p>
    <w:p w14:paraId="32B01A7B" w14:textId="28F06A6E" w:rsidR="00C257F5" w:rsidRPr="00E668C6" w:rsidRDefault="00C257F5" w:rsidP="00C257F5">
      <w:pPr>
        <w:spacing w:after="160" w:line="480" w:lineRule="auto"/>
        <w:jc w:val="both"/>
      </w:pPr>
    </w:p>
    <w:p w14:paraId="28F4C0AB" w14:textId="77777777" w:rsidR="008521FF" w:rsidRPr="00E879B4" w:rsidRDefault="008521FF" w:rsidP="00C257F5">
      <w:pPr>
        <w:spacing w:after="160" w:line="480" w:lineRule="auto"/>
        <w:jc w:val="both"/>
        <w:rPr>
          <w:rFonts w:cs="Times New Roman"/>
          <w:b/>
          <w:sz w:val="32"/>
          <w:szCs w:val="32"/>
        </w:rPr>
      </w:pPr>
      <w:r w:rsidRPr="00E879B4">
        <w:rPr>
          <w:rFonts w:cs="Times New Roman"/>
          <w:b/>
          <w:sz w:val="32"/>
          <w:szCs w:val="32"/>
        </w:rPr>
        <w:t>Costs of the intervention</w:t>
      </w:r>
    </w:p>
    <w:p w14:paraId="4637D91E" w14:textId="74655692" w:rsidR="00C1249E" w:rsidRPr="00C1249E" w:rsidRDefault="00A1076E" w:rsidP="00C1249E">
      <w:pPr>
        <w:spacing w:after="160" w:line="480" w:lineRule="auto"/>
        <w:jc w:val="both"/>
        <w:rPr>
          <w:rFonts w:cs="Times New Roman"/>
          <w:bCs/>
        </w:rPr>
      </w:pPr>
      <w:r w:rsidRPr="00A1076E">
        <w:rPr>
          <w:rFonts w:cs="Times New Roman"/>
          <w:bCs/>
        </w:rPr>
        <w:t>The costs of staff time in delivering EC training was £1,04</w:t>
      </w:r>
      <w:r w:rsidR="009D7483">
        <w:rPr>
          <w:rFonts w:cs="Times New Roman"/>
          <w:bCs/>
        </w:rPr>
        <w:t xml:space="preserve">1 </w:t>
      </w:r>
      <w:r w:rsidRPr="00A1076E">
        <w:rPr>
          <w:rFonts w:cs="Times New Roman"/>
          <w:bCs/>
        </w:rPr>
        <w:t>in total and UC training was £24</w:t>
      </w:r>
      <w:r w:rsidR="00E312F4">
        <w:rPr>
          <w:rFonts w:cs="Times New Roman"/>
          <w:bCs/>
        </w:rPr>
        <w:t>7</w:t>
      </w:r>
      <w:r w:rsidRPr="00A1076E">
        <w:rPr>
          <w:rFonts w:cs="Times New Roman"/>
          <w:bCs/>
        </w:rPr>
        <w:t xml:space="preserve">. The </w:t>
      </w:r>
      <w:r w:rsidR="00C1249E">
        <w:rPr>
          <w:rFonts w:cs="Times New Roman"/>
          <w:bCs/>
        </w:rPr>
        <w:t xml:space="preserve">costs of </w:t>
      </w:r>
      <w:r w:rsidRPr="00A1076E">
        <w:rPr>
          <w:rFonts w:cs="Times New Roman"/>
          <w:bCs/>
        </w:rPr>
        <w:t xml:space="preserve">staff time </w:t>
      </w:r>
      <w:r w:rsidR="00C1249E">
        <w:rPr>
          <w:rFonts w:cs="Times New Roman"/>
          <w:bCs/>
        </w:rPr>
        <w:t>in attending the training</w:t>
      </w:r>
      <w:r w:rsidRPr="00A1076E">
        <w:rPr>
          <w:rFonts w:cs="Times New Roman"/>
          <w:bCs/>
        </w:rPr>
        <w:t xml:space="preserve"> were £</w:t>
      </w:r>
      <w:r w:rsidR="009D7483">
        <w:rPr>
          <w:rFonts w:cs="Times New Roman"/>
          <w:bCs/>
        </w:rPr>
        <w:t>803</w:t>
      </w:r>
      <w:r w:rsidRPr="00A1076E">
        <w:rPr>
          <w:rFonts w:cs="Times New Roman"/>
          <w:bCs/>
        </w:rPr>
        <w:t xml:space="preserve"> in the EC </w:t>
      </w:r>
      <w:r w:rsidR="00C1249E">
        <w:rPr>
          <w:rFonts w:cs="Times New Roman"/>
          <w:bCs/>
        </w:rPr>
        <w:t>arm</w:t>
      </w:r>
      <w:r w:rsidRPr="00A1076E">
        <w:rPr>
          <w:rFonts w:cs="Times New Roman"/>
          <w:bCs/>
        </w:rPr>
        <w:t xml:space="preserve"> and £18</w:t>
      </w:r>
      <w:r w:rsidR="009D7483">
        <w:rPr>
          <w:rFonts w:cs="Times New Roman"/>
          <w:bCs/>
        </w:rPr>
        <w:t xml:space="preserve">5 </w:t>
      </w:r>
      <w:r w:rsidRPr="00A1076E">
        <w:rPr>
          <w:rFonts w:cs="Times New Roman"/>
          <w:bCs/>
        </w:rPr>
        <w:t xml:space="preserve">in the UC </w:t>
      </w:r>
      <w:r w:rsidR="00C1249E">
        <w:rPr>
          <w:rFonts w:cs="Times New Roman"/>
          <w:bCs/>
        </w:rPr>
        <w:t>arm</w:t>
      </w:r>
      <w:r w:rsidRPr="00A1076E">
        <w:rPr>
          <w:rFonts w:cs="Times New Roman"/>
          <w:bCs/>
        </w:rPr>
        <w:t>.</w:t>
      </w:r>
      <w:r w:rsidR="00C1249E">
        <w:rPr>
          <w:rFonts w:cs="Times New Roman"/>
          <w:bCs/>
        </w:rPr>
        <w:t xml:space="preserve"> T</w:t>
      </w:r>
      <w:r w:rsidRPr="00A1076E">
        <w:rPr>
          <w:rFonts w:cs="Times New Roman"/>
          <w:bCs/>
        </w:rPr>
        <w:t xml:space="preserve">he costs of e-cigarette and e-liquid </w:t>
      </w:r>
      <w:r w:rsidR="0084765A">
        <w:rPr>
          <w:rFonts w:cs="Times New Roman"/>
          <w:bCs/>
        </w:rPr>
        <w:t xml:space="preserve">used </w:t>
      </w:r>
      <w:r w:rsidRPr="00A1076E">
        <w:rPr>
          <w:rFonts w:cs="Times New Roman"/>
          <w:bCs/>
        </w:rPr>
        <w:t xml:space="preserve">were £138. The pamphlets </w:t>
      </w:r>
      <w:r w:rsidR="00C1249E">
        <w:rPr>
          <w:rFonts w:cs="Times New Roman"/>
          <w:bCs/>
        </w:rPr>
        <w:t>for</w:t>
      </w:r>
      <w:r w:rsidRPr="00A1076E">
        <w:rPr>
          <w:rFonts w:cs="Times New Roman"/>
          <w:bCs/>
        </w:rPr>
        <w:t xml:space="preserve"> EC training </w:t>
      </w:r>
      <w:r w:rsidR="00C1249E">
        <w:rPr>
          <w:rFonts w:cs="Times New Roman"/>
          <w:bCs/>
        </w:rPr>
        <w:t>were printed at</w:t>
      </w:r>
      <w:r w:rsidRPr="00A1076E">
        <w:rPr>
          <w:rFonts w:cs="Times New Roman"/>
          <w:bCs/>
        </w:rPr>
        <w:t xml:space="preserve"> £8 in total</w:t>
      </w:r>
      <w:r w:rsidR="0084765A">
        <w:rPr>
          <w:rFonts w:cs="Times New Roman"/>
          <w:bCs/>
        </w:rPr>
        <w:t xml:space="preserve"> and</w:t>
      </w:r>
      <w:r w:rsidRPr="00A1076E">
        <w:rPr>
          <w:rFonts w:cs="Times New Roman"/>
          <w:bCs/>
        </w:rPr>
        <w:t xml:space="preserve"> for UC training at £2.40 in total. </w:t>
      </w:r>
      <w:r w:rsidR="00C1249E" w:rsidRPr="00A1076E">
        <w:rPr>
          <w:rFonts w:cs="Times New Roman"/>
          <w:bCs/>
        </w:rPr>
        <w:t>In EC training, six e-cigarette devices</w:t>
      </w:r>
      <w:r w:rsidR="00C1249E">
        <w:rPr>
          <w:rFonts w:cs="Times New Roman"/>
          <w:bCs/>
        </w:rPr>
        <w:t xml:space="preserve"> were given to the centre staff who smoke,</w:t>
      </w:r>
      <w:r w:rsidR="00C1249E" w:rsidRPr="00A1076E">
        <w:rPr>
          <w:rFonts w:cs="Times New Roman"/>
          <w:bCs/>
        </w:rPr>
        <w:t xml:space="preserve"> cost</w:t>
      </w:r>
      <w:r w:rsidR="00C1249E">
        <w:rPr>
          <w:rFonts w:cs="Times New Roman"/>
          <w:bCs/>
        </w:rPr>
        <w:t>ing</w:t>
      </w:r>
      <w:r w:rsidR="00C1249E" w:rsidRPr="00A1076E">
        <w:rPr>
          <w:rFonts w:cs="Times New Roman"/>
          <w:bCs/>
        </w:rPr>
        <w:t xml:space="preserve"> £120.</w:t>
      </w:r>
      <w:r w:rsidRPr="00A1076E">
        <w:rPr>
          <w:rFonts w:cs="Times New Roman"/>
          <w:bCs/>
        </w:rPr>
        <w:t xml:space="preserve">The costs of </w:t>
      </w:r>
      <w:r w:rsidR="00C1249E">
        <w:rPr>
          <w:rFonts w:cs="Times New Roman"/>
          <w:bCs/>
        </w:rPr>
        <w:t>inter-city travelling, travelling time, accommodation and meals</w:t>
      </w:r>
      <w:r w:rsidRPr="00A1076E">
        <w:rPr>
          <w:rFonts w:cs="Times New Roman"/>
          <w:bCs/>
        </w:rPr>
        <w:t xml:space="preserve"> were </w:t>
      </w:r>
      <w:r w:rsidR="00C1249E">
        <w:rPr>
          <w:rFonts w:cs="Times New Roman"/>
          <w:bCs/>
        </w:rPr>
        <w:t xml:space="preserve">estimated at </w:t>
      </w:r>
      <w:r w:rsidRPr="00A1076E">
        <w:rPr>
          <w:rFonts w:cs="Times New Roman"/>
          <w:bCs/>
        </w:rPr>
        <w:t>£29</w:t>
      </w:r>
      <w:r w:rsidR="00E312F4">
        <w:rPr>
          <w:rFonts w:cs="Times New Roman"/>
          <w:bCs/>
        </w:rPr>
        <w:t>4</w:t>
      </w:r>
      <w:r w:rsidRPr="00A1076E">
        <w:rPr>
          <w:rFonts w:cs="Times New Roman"/>
          <w:bCs/>
        </w:rPr>
        <w:t xml:space="preserve"> in </w:t>
      </w:r>
      <w:r w:rsidR="0084765A">
        <w:rPr>
          <w:rFonts w:cs="Times New Roman"/>
          <w:bCs/>
        </w:rPr>
        <w:t xml:space="preserve">the </w:t>
      </w:r>
      <w:r w:rsidRPr="00A1076E">
        <w:rPr>
          <w:rFonts w:cs="Times New Roman"/>
          <w:bCs/>
        </w:rPr>
        <w:t xml:space="preserve">EC </w:t>
      </w:r>
      <w:r w:rsidR="00C1249E">
        <w:rPr>
          <w:rFonts w:cs="Times New Roman"/>
          <w:bCs/>
        </w:rPr>
        <w:t>arm</w:t>
      </w:r>
      <w:r w:rsidRPr="00A1076E">
        <w:rPr>
          <w:rFonts w:cs="Times New Roman"/>
          <w:bCs/>
        </w:rPr>
        <w:t xml:space="preserve"> and £1,14</w:t>
      </w:r>
      <w:r w:rsidR="009D7483">
        <w:rPr>
          <w:rFonts w:cs="Times New Roman"/>
          <w:bCs/>
        </w:rPr>
        <w:t>3</w:t>
      </w:r>
      <w:r w:rsidRPr="00A1076E">
        <w:rPr>
          <w:rFonts w:cs="Times New Roman"/>
          <w:bCs/>
        </w:rPr>
        <w:t xml:space="preserve"> in</w:t>
      </w:r>
      <w:r w:rsidR="0084765A">
        <w:rPr>
          <w:rFonts w:cs="Times New Roman"/>
          <w:bCs/>
        </w:rPr>
        <w:t xml:space="preserve"> the</w:t>
      </w:r>
      <w:r w:rsidRPr="00A1076E">
        <w:rPr>
          <w:rFonts w:cs="Times New Roman"/>
          <w:bCs/>
        </w:rPr>
        <w:t xml:space="preserve"> UC </w:t>
      </w:r>
      <w:r w:rsidR="00C1249E">
        <w:rPr>
          <w:rFonts w:cs="Times New Roman"/>
          <w:bCs/>
        </w:rPr>
        <w:t>arm</w:t>
      </w:r>
      <w:r w:rsidRPr="00A1076E">
        <w:rPr>
          <w:rFonts w:cs="Times New Roman"/>
          <w:bCs/>
        </w:rPr>
        <w:t>.</w:t>
      </w:r>
      <w:r w:rsidR="0021757C">
        <w:rPr>
          <w:rFonts w:cs="Times New Roman"/>
          <w:bCs/>
        </w:rPr>
        <w:t xml:space="preserve"> </w:t>
      </w:r>
      <w:r w:rsidRPr="00A1076E">
        <w:rPr>
          <w:rFonts w:cs="Times New Roman"/>
          <w:bCs/>
        </w:rPr>
        <w:t xml:space="preserve">In total, the training costs for the UC </w:t>
      </w:r>
      <w:r w:rsidR="0084765A">
        <w:rPr>
          <w:rFonts w:cs="Times New Roman"/>
          <w:bCs/>
        </w:rPr>
        <w:t>arm</w:t>
      </w:r>
      <w:r w:rsidRPr="00A1076E">
        <w:rPr>
          <w:rFonts w:cs="Times New Roman"/>
          <w:bCs/>
        </w:rPr>
        <w:t xml:space="preserve"> were £1,57</w:t>
      </w:r>
      <w:r w:rsidR="009D7483">
        <w:rPr>
          <w:rFonts w:cs="Times New Roman"/>
          <w:bCs/>
        </w:rPr>
        <w:t>7</w:t>
      </w:r>
      <w:r w:rsidRPr="00A1076E">
        <w:rPr>
          <w:rFonts w:cs="Times New Roman"/>
          <w:bCs/>
        </w:rPr>
        <w:t xml:space="preserve"> and for the EC </w:t>
      </w:r>
      <w:r w:rsidR="0084765A">
        <w:rPr>
          <w:rFonts w:cs="Times New Roman"/>
          <w:bCs/>
        </w:rPr>
        <w:t>arm</w:t>
      </w:r>
      <w:r w:rsidRPr="00A1076E">
        <w:rPr>
          <w:rFonts w:cs="Times New Roman"/>
          <w:bCs/>
        </w:rPr>
        <w:t xml:space="preserve"> £2,403. Allocating evenly to participants in each </w:t>
      </w:r>
      <w:r w:rsidR="0084765A">
        <w:rPr>
          <w:rFonts w:cs="Times New Roman"/>
          <w:bCs/>
        </w:rPr>
        <w:t>arm</w:t>
      </w:r>
      <w:r w:rsidRPr="00A1076E">
        <w:rPr>
          <w:rFonts w:cs="Times New Roman"/>
          <w:bCs/>
        </w:rPr>
        <w:t xml:space="preserve">, it was £49.27 per participant in the UC </w:t>
      </w:r>
      <w:r w:rsidR="0084765A">
        <w:rPr>
          <w:rFonts w:cs="Times New Roman"/>
          <w:bCs/>
        </w:rPr>
        <w:t>arm</w:t>
      </w:r>
      <w:r w:rsidRPr="00A1076E">
        <w:rPr>
          <w:rFonts w:cs="Times New Roman"/>
          <w:bCs/>
        </w:rPr>
        <w:t xml:space="preserve"> and £50.07 per participant in the EC </w:t>
      </w:r>
      <w:r w:rsidR="0084765A">
        <w:rPr>
          <w:rFonts w:cs="Times New Roman"/>
          <w:bCs/>
        </w:rPr>
        <w:t>arm</w:t>
      </w:r>
      <w:r w:rsidR="00C1249E">
        <w:rPr>
          <w:rFonts w:cs="Times New Roman"/>
          <w:bCs/>
        </w:rPr>
        <w:t>.</w:t>
      </w:r>
      <w:r w:rsidR="00320C1D">
        <w:rPr>
          <w:rFonts w:cs="Times New Roman"/>
          <w:bCs/>
        </w:rPr>
        <w:t xml:space="preserve"> </w:t>
      </w:r>
      <w:r w:rsidR="00C1249E" w:rsidRPr="00C1249E">
        <w:rPr>
          <w:rFonts w:cs="Times New Roman"/>
          <w:bCs/>
        </w:rPr>
        <w:t xml:space="preserve">Due to the staff capability, the data on delivery sessions were not collected in the UC </w:t>
      </w:r>
      <w:r w:rsidR="00C1249E">
        <w:rPr>
          <w:rFonts w:cs="Times New Roman"/>
          <w:bCs/>
        </w:rPr>
        <w:t>arm</w:t>
      </w:r>
      <w:r w:rsidR="00C1249E" w:rsidRPr="00C1249E">
        <w:rPr>
          <w:rFonts w:cs="Times New Roman"/>
          <w:bCs/>
        </w:rPr>
        <w:t>. We therefore did not know the attendance of weekly sessions (visit 0-3)</w:t>
      </w:r>
      <w:r w:rsidR="00320C1D">
        <w:rPr>
          <w:rFonts w:cs="Times New Roman"/>
          <w:bCs/>
        </w:rPr>
        <w:t>.</w:t>
      </w:r>
    </w:p>
    <w:p w14:paraId="679140D8" w14:textId="67576703" w:rsidR="00C1249E" w:rsidRPr="00C1249E" w:rsidRDefault="00C1249E" w:rsidP="00C1249E">
      <w:pPr>
        <w:spacing w:after="160" w:line="480" w:lineRule="auto"/>
        <w:jc w:val="both"/>
        <w:rPr>
          <w:rFonts w:cs="Times New Roman"/>
          <w:bCs/>
        </w:rPr>
      </w:pPr>
      <w:r w:rsidRPr="00C1249E">
        <w:rPr>
          <w:rFonts w:cs="Times New Roman"/>
          <w:bCs/>
        </w:rPr>
        <w:t xml:space="preserve">For the EC </w:t>
      </w:r>
      <w:r>
        <w:rPr>
          <w:rFonts w:cs="Times New Roman"/>
          <w:bCs/>
        </w:rPr>
        <w:t>arm</w:t>
      </w:r>
      <w:r w:rsidRPr="00C1249E">
        <w:rPr>
          <w:rFonts w:cs="Times New Roman"/>
          <w:bCs/>
        </w:rPr>
        <w:t>,</w:t>
      </w:r>
      <w:r w:rsidR="0021757C">
        <w:rPr>
          <w:rFonts w:cs="Times New Roman"/>
          <w:bCs/>
        </w:rPr>
        <w:t xml:space="preserve"> </w:t>
      </w:r>
      <w:r w:rsidR="001054DA" w:rsidRPr="00C1249E">
        <w:rPr>
          <w:rFonts w:cs="Times New Roman"/>
          <w:bCs/>
        </w:rPr>
        <w:t>47</w:t>
      </w:r>
      <w:r w:rsidR="001054DA">
        <w:rPr>
          <w:rFonts w:cs="Times New Roman"/>
          <w:bCs/>
        </w:rPr>
        <w:t xml:space="preserve"> out of 48</w:t>
      </w:r>
      <w:r w:rsidR="001054DA" w:rsidRPr="00C1249E">
        <w:rPr>
          <w:rFonts w:cs="Times New Roman"/>
          <w:bCs/>
        </w:rPr>
        <w:t xml:space="preserve"> participants attended visit 0</w:t>
      </w:r>
      <w:r w:rsidR="0051586B">
        <w:rPr>
          <w:rFonts w:cs="Times New Roman"/>
          <w:bCs/>
        </w:rPr>
        <w:t xml:space="preserve">with staff </w:t>
      </w:r>
      <w:r w:rsidR="001054DA" w:rsidRPr="00C1249E">
        <w:rPr>
          <w:rFonts w:cs="Times New Roman"/>
          <w:bCs/>
        </w:rPr>
        <w:t>and received an EC starter kit and five bottles of e-liquid</w:t>
      </w:r>
      <w:r w:rsidR="008E6758">
        <w:rPr>
          <w:rFonts w:cs="Times New Roman"/>
          <w:bCs/>
        </w:rPr>
        <w:t xml:space="preserve"> (235 bottles in total)</w:t>
      </w:r>
      <w:r w:rsidR="001054DA">
        <w:rPr>
          <w:rFonts w:cs="Times New Roman"/>
          <w:bCs/>
        </w:rPr>
        <w:t>,</w:t>
      </w:r>
      <w:r w:rsidR="001054DA" w:rsidRPr="00C1249E">
        <w:rPr>
          <w:rFonts w:cs="Times New Roman"/>
          <w:bCs/>
        </w:rPr>
        <w:t xml:space="preserve"> 46 </w:t>
      </w:r>
      <w:r w:rsidR="001054DA">
        <w:rPr>
          <w:rFonts w:cs="Times New Roman"/>
          <w:bCs/>
        </w:rPr>
        <w:t>of which</w:t>
      </w:r>
      <w:r w:rsidR="001054DA" w:rsidRPr="00C1249E">
        <w:rPr>
          <w:rFonts w:cs="Times New Roman"/>
          <w:bCs/>
        </w:rPr>
        <w:t xml:space="preserve"> also received pamphlets of e-cigarette device instruction</w:t>
      </w:r>
      <w:r w:rsidR="001054DA">
        <w:rPr>
          <w:rFonts w:cs="Times New Roman"/>
          <w:bCs/>
        </w:rPr>
        <w:t xml:space="preserve"> with one missing</w:t>
      </w:r>
      <w:r w:rsidRPr="00C1249E">
        <w:rPr>
          <w:rFonts w:cs="Times New Roman"/>
          <w:bCs/>
        </w:rPr>
        <w:t>.</w:t>
      </w:r>
      <w:r w:rsidR="008E6758">
        <w:rPr>
          <w:rFonts w:cs="Times New Roman"/>
          <w:bCs/>
        </w:rPr>
        <w:t xml:space="preserve"> At visits 1, 2 and 3, an additional 147, 114 and 110 bottles of e-liquid were supplied totalling 606 across the four </w:t>
      </w:r>
      <w:r w:rsidR="00320C1D">
        <w:rPr>
          <w:rFonts w:cs="Times New Roman"/>
          <w:bCs/>
        </w:rPr>
        <w:t xml:space="preserve">weeks (see </w:t>
      </w:r>
      <w:r w:rsidR="00704F0C">
        <w:rPr>
          <w:rFonts w:cs="Times New Roman"/>
          <w:bCs/>
        </w:rPr>
        <w:t>S4</w:t>
      </w:r>
      <w:r w:rsidR="008E6758">
        <w:rPr>
          <w:rFonts w:cs="Times New Roman"/>
          <w:bCs/>
        </w:rPr>
        <w:t xml:space="preserve"> for a breakdown of flavours and nicotine strengths supplied at each time point).</w:t>
      </w:r>
      <w:r w:rsidR="00840AF7">
        <w:rPr>
          <w:rFonts w:cs="Times New Roman"/>
          <w:bCs/>
        </w:rPr>
        <w:t xml:space="preserve"> </w:t>
      </w:r>
      <w:r w:rsidR="0005543E">
        <w:rPr>
          <w:rFonts w:cs="Times New Roman"/>
          <w:bCs/>
        </w:rPr>
        <w:t xml:space="preserve">Except for missing or absent at visit, </w:t>
      </w:r>
      <w:r w:rsidR="001054DA">
        <w:rPr>
          <w:rFonts w:cs="Times New Roman"/>
          <w:bCs/>
        </w:rPr>
        <w:t xml:space="preserve">the mean duration of visit 0 was </w:t>
      </w:r>
      <w:r w:rsidR="001054DA" w:rsidRPr="00C1249E">
        <w:rPr>
          <w:rFonts w:cs="Times New Roman"/>
          <w:bCs/>
        </w:rPr>
        <w:t>25 minutes (SD 16 minutes, range 7-80</w:t>
      </w:r>
      <w:r w:rsidR="001054DA">
        <w:rPr>
          <w:rFonts w:cs="Times New Roman"/>
          <w:bCs/>
        </w:rPr>
        <w:t>, n=46</w:t>
      </w:r>
      <w:r w:rsidR="001054DA" w:rsidRPr="00C1249E">
        <w:rPr>
          <w:rFonts w:cs="Times New Roman"/>
          <w:bCs/>
        </w:rPr>
        <w:t>)</w:t>
      </w:r>
      <w:r w:rsidR="001054DA">
        <w:rPr>
          <w:rFonts w:cs="Times New Roman"/>
          <w:bCs/>
        </w:rPr>
        <w:t xml:space="preserve">, of visit 1 was </w:t>
      </w:r>
      <w:r w:rsidR="001054DA" w:rsidRPr="00C1249E">
        <w:rPr>
          <w:rFonts w:cs="Times New Roman"/>
          <w:bCs/>
        </w:rPr>
        <w:t>8 minutes (SD 4 minutes, range 1-20</w:t>
      </w:r>
      <w:r w:rsidR="001054DA">
        <w:rPr>
          <w:rFonts w:cs="Times New Roman"/>
          <w:bCs/>
        </w:rPr>
        <w:t>, n=29</w:t>
      </w:r>
      <w:r w:rsidR="001054DA" w:rsidRPr="00C1249E">
        <w:rPr>
          <w:rFonts w:cs="Times New Roman"/>
          <w:bCs/>
        </w:rPr>
        <w:t>)</w:t>
      </w:r>
      <w:r w:rsidR="001054DA">
        <w:rPr>
          <w:rFonts w:cs="Times New Roman"/>
          <w:bCs/>
        </w:rPr>
        <w:t xml:space="preserve">, of visit 2 was </w:t>
      </w:r>
      <w:r w:rsidR="001054DA" w:rsidRPr="00C1249E">
        <w:rPr>
          <w:rFonts w:cs="Times New Roman"/>
          <w:bCs/>
        </w:rPr>
        <w:t>6 minutes (SD 3 minutes, range 1-15</w:t>
      </w:r>
      <w:r w:rsidR="001054DA">
        <w:rPr>
          <w:rFonts w:cs="Times New Roman"/>
          <w:bCs/>
        </w:rPr>
        <w:t>, n=21</w:t>
      </w:r>
      <w:r w:rsidR="001054DA" w:rsidRPr="00C1249E">
        <w:rPr>
          <w:rFonts w:cs="Times New Roman"/>
          <w:bCs/>
        </w:rPr>
        <w:t>)</w:t>
      </w:r>
      <w:r w:rsidR="001054DA">
        <w:rPr>
          <w:rFonts w:cs="Times New Roman"/>
          <w:bCs/>
        </w:rPr>
        <w:t xml:space="preserve">, and of visit 3 was </w:t>
      </w:r>
      <w:r w:rsidR="001054DA" w:rsidRPr="00C1249E">
        <w:rPr>
          <w:rFonts w:cs="Times New Roman"/>
          <w:bCs/>
        </w:rPr>
        <w:t>5 minutes (SD 2 minutes, range 2-10</w:t>
      </w:r>
      <w:r w:rsidR="001054DA">
        <w:rPr>
          <w:rFonts w:cs="Times New Roman"/>
          <w:bCs/>
        </w:rPr>
        <w:t>, n=20</w:t>
      </w:r>
      <w:r w:rsidR="001054DA" w:rsidRPr="00C1249E">
        <w:rPr>
          <w:rFonts w:cs="Times New Roman"/>
          <w:bCs/>
        </w:rPr>
        <w:t>).</w:t>
      </w:r>
      <w:r w:rsidR="0051586B">
        <w:rPr>
          <w:rFonts w:cs="Times New Roman"/>
          <w:bCs/>
        </w:rPr>
        <w:t xml:space="preserve"> Visits 1-3 were fairly short as they mainly involved supplying further bottles of e-liquid.</w:t>
      </w:r>
    </w:p>
    <w:p w14:paraId="4A717C5B" w14:textId="77777777" w:rsidR="0005543E" w:rsidRDefault="00C1249E" w:rsidP="00C1249E">
      <w:pPr>
        <w:spacing w:after="160" w:line="480" w:lineRule="auto"/>
        <w:jc w:val="both"/>
        <w:rPr>
          <w:rFonts w:cs="Times New Roman"/>
          <w:bCs/>
        </w:rPr>
      </w:pPr>
      <w:r w:rsidRPr="00C1249E">
        <w:rPr>
          <w:rFonts w:cs="Times New Roman"/>
          <w:bCs/>
        </w:rPr>
        <w:t xml:space="preserve">The mean costs of EC starter kit and e-liquid were £57.46 (SD £19.91) among the 48 participants in the EC </w:t>
      </w:r>
      <w:r w:rsidR="0005543E">
        <w:rPr>
          <w:rFonts w:cs="Times New Roman"/>
          <w:bCs/>
        </w:rPr>
        <w:t>arm</w:t>
      </w:r>
      <w:r w:rsidRPr="00C1249E">
        <w:rPr>
          <w:rFonts w:cs="Times New Roman"/>
          <w:bCs/>
        </w:rPr>
        <w:t xml:space="preserve">. The mean cost of pamphlet was £0.39 (SD £0.06) among 47 participants in the </w:t>
      </w:r>
      <w:r w:rsidR="0005543E">
        <w:rPr>
          <w:rFonts w:cs="Times New Roman"/>
          <w:bCs/>
        </w:rPr>
        <w:t>arm</w:t>
      </w:r>
      <w:r w:rsidRPr="00C1249E">
        <w:rPr>
          <w:rFonts w:cs="Times New Roman"/>
          <w:bCs/>
        </w:rPr>
        <w:t>. The mean costs of sessions were £7.51 (SD £4.60) among 43 participants. The costs of intervention delivery were therefore estimated for 43 participants whose data were complete in this part and it was £64.35 (SD £22.89) per participant.</w:t>
      </w:r>
    </w:p>
    <w:p w14:paraId="7EBC7962" w14:textId="77777777" w:rsidR="00C1249E" w:rsidRPr="004E1740" w:rsidRDefault="00C1249E" w:rsidP="00C1249E">
      <w:pPr>
        <w:spacing w:after="160" w:line="480" w:lineRule="auto"/>
        <w:jc w:val="both"/>
        <w:rPr>
          <w:rFonts w:cs="Times New Roman"/>
          <w:bCs/>
        </w:rPr>
      </w:pPr>
      <w:r w:rsidRPr="00C1249E">
        <w:rPr>
          <w:rFonts w:cs="Times New Roman"/>
          <w:bCs/>
        </w:rPr>
        <w:t>In total, the mean costs of EC intervention, including training and delivery, were</w:t>
      </w:r>
      <w:r w:rsidR="001054DA">
        <w:rPr>
          <w:rFonts w:cs="Times New Roman"/>
          <w:bCs/>
        </w:rPr>
        <w:t xml:space="preserve"> estimated to be</w:t>
      </w:r>
      <w:r w:rsidRPr="00C1249E">
        <w:rPr>
          <w:rFonts w:cs="Times New Roman"/>
          <w:bCs/>
        </w:rPr>
        <w:t xml:space="preserve"> £114.42 (SD £22.89) among 43 participants in the EC </w:t>
      </w:r>
      <w:r w:rsidR="0005543E">
        <w:rPr>
          <w:rFonts w:cs="Times New Roman"/>
          <w:bCs/>
        </w:rPr>
        <w:t>arm</w:t>
      </w:r>
      <w:r w:rsidR="001054DA">
        <w:rPr>
          <w:rFonts w:cs="Times New Roman"/>
          <w:bCs/>
        </w:rPr>
        <w:t>, with five participants with incomplete information</w:t>
      </w:r>
      <w:r>
        <w:rPr>
          <w:rFonts w:cs="Times New Roman"/>
          <w:bCs/>
        </w:rPr>
        <w:t>.</w:t>
      </w:r>
    </w:p>
    <w:p w14:paraId="1F89AC00" w14:textId="21D34275" w:rsidR="002B3E66" w:rsidRDefault="002B3E66" w:rsidP="00A8589B">
      <w:pPr>
        <w:spacing w:after="160" w:line="480" w:lineRule="auto"/>
        <w:jc w:val="both"/>
        <w:rPr>
          <w:rFonts w:cs="Times New Roman"/>
          <w:b/>
          <w:i/>
        </w:rPr>
      </w:pPr>
    </w:p>
    <w:p w14:paraId="40A93994" w14:textId="3A851724" w:rsidR="009776EB" w:rsidRDefault="009776EB" w:rsidP="00A8589B">
      <w:pPr>
        <w:spacing w:after="160" w:line="480" w:lineRule="auto"/>
        <w:jc w:val="both"/>
        <w:rPr>
          <w:rFonts w:cs="Times New Roman"/>
          <w:b/>
          <w:i/>
        </w:rPr>
      </w:pPr>
    </w:p>
    <w:p w14:paraId="1ED585C4" w14:textId="77777777" w:rsidR="009776EB" w:rsidRPr="00CC3ABA" w:rsidRDefault="009776EB" w:rsidP="00A8589B">
      <w:pPr>
        <w:spacing w:after="160" w:line="480" w:lineRule="auto"/>
        <w:jc w:val="both"/>
        <w:rPr>
          <w:rFonts w:cs="Times New Roman"/>
          <w:b/>
          <w:i/>
        </w:rPr>
      </w:pPr>
    </w:p>
    <w:p w14:paraId="7F98382A" w14:textId="77777777" w:rsidR="00356855" w:rsidRPr="00E879B4" w:rsidRDefault="00356855" w:rsidP="00A8589B">
      <w:pPr>
        <w:spacing w:after="160" w:line="480" w:lineRule="auto"/>
        <w:jc w:val="both"/>
        <w:rPr>
          <w:rFonts w:cs="Times New Roman"/>
          <w:b/>
          <w:sz w:val="32"/>
          <w:szCs w:val="32"/>
        </w:rPr>
      </w:pPr>
      <w:r w:rsidRPr="00E879B4">
        <w:rPr>
          <w:rFonts w:cs="Times New Roman"/>
          <w:b/>
          <w:sz w:val="32"/>
          <w:szCs w:val="32"/>
        </w:rPr>
        <w:t>Main RCT sample size calculation</w:t>
      </w:r>
    </w:p>
    <w:p w14:paraId="0DAF9DFE" w14:textId="5AEDF036" w:rsidR="002277BE" w:rsidRDefault="002277BE" w:rsidP="00FB215E">
      <w:pPr>
        <w:spacing w:line="480" w:lineRule="auto"/>
        <w:jc w:val="both"/>
      </w:pPr>
      <w:r>
        <w:t>Based on the proportions with sustained CO va</w:t>
      </w:r>
      <w:r w:rsidR="00F372BD">
        <w:t>lidated abstinence in each arm</w:t>
      </w:r>
      <w:r>
        <w:t xml:space="preserve"> (6.25% in intervention 0% in usual care) and assuming 0.05 alpha, 90% power and intraclass correlation coefficient of 0.01, 12 participants per cluster (the feasibility study average) a full trial would require 16 sites per arm, and the study would need to enrol 192 participants per arm, 384 participants in total. ICC is estimated at 0.01 as it is anticipated the inclusion of individual level predictors will further reduce the ICC from the estimate calculated without adjustment.</w:t>
      </w:r>
    </w:p>
    <w:p w14:paraId="254CE122" w14:textId="77777777" w:rsidR="002277BE" w:rsidRDefault="002277BE" w:rsidP="00FB215E">
      <w:pPr>
        <w:spacing w:line="480" w:lineRule="auto"/>
        <w:jc w:val="both"/>
      </w:pPr>
      <w:r>
        <w:t>This sample size estimate assumes equal cluster sizes. These estimates are not adjusted for attrition as it is anticipated that the primary analysis will be by intention to treat and participants lost to follow up assumed to have relapsed entailing no loss of power.</w:t>
      </w:r>
    </w:p>
    <w:p w14:paraId="005B91E3" w14:textId="4887A9EF" w:rsidR="003F599F" w:rsidRPr="00CC3ABA" w:rsidRDefault="003F599F" w:rsidP="00FB215E">
      <w:pPr>
        <w:spacing w:line="480" w:lineRule="auto"/>
        <w:jc w:val="both"/>
        <w:rPr>
          <w:rFonts w:cs="Times New Roman"/>
          <w:b/>
        </w:rPr>
      </w:pPr>
    </w:p>
    <w:p w14:paraId="53F87280" w14:textId="77777777" w:rsidR="00944D11" w:rsidRPr="00E879B4" w:rsidRDefault="003F599F" w:rsidP="00777063">
      <w:pPr>
        <w:spacing w:line="480" w:lineRule="auto"/>
        <w:jc w:val="both"/>
        <w:rPr>
          <w:rFonts w:cs="Times New Roman"/>
          <w:b/>
          <w:sz w:val="36"/>
          <w:szCs w:val="36"/>
        </w:rPr>
      </w:pPr>
      <w:r w:rsidRPr="00E879B4">
        <w:rPr>
          <w:rFonts w:cs="Times New Roman"/>
          <w:b/>
          <w:sz w:val="36"/>
          <w:szCs w:val="36"/>
        </w:rPr>
        <w:t>Discussion</w:t>
      </w:r>
    </w:p>
    <w:p w14:paraId="7D4D8BD0" w14:textId="7002C893" w:rsidR="002A7D78" w:rsidRPr="00CC3ABA" w:rsidRDefault="00863876" w:rsidP="00E668C6">
      <w:pPr>
        <w:spacing w:after="160" w:line="480" w:lineRule="auto"/>
        <w:jc w:val="both"/>
        <w:rPr>
          <w:rFonts w:cs="Times New Roman"/>
        </w:rPr>
      </w:pPr>
      <w:r w:rsidRPr="379A9D01">
        <w:rPr>
          <w:rFonts w:cs="Times New Roman"/>
        </w:rPr>
        <w:t xml:space="preserve">In the first attempt worldwide </w:t>
      </w:r>
      <w:r w:rsidR="00E608A3" w:rsidRPr="379A9D01">
        <w:rPr>
          <w:rFonts w:cs="Times New Roman"/>
        </w:rPr>
        <w:t>to explore supplying free EC starter kits to smokers accessing homeless centres, t</w:t>
      </w:r>
      <w:r w:rsidR="0041686E" w:rsidRPr="379A9D01">
        <w:rPr>
          <w:rFonts w:cs="Times New Roman"/>
        </w:rPr>
        <w:t xml:space="preserve">his </w:t>
      </w:r>
      <w:r w:rsidR="002A4414" w:rsidRPr="379A9D01">
        <w:rPr>
          <w:rFonts w:cs="Times New Roman"/>
        </w:rPr>
        <w:t xml:space="preserve">feasibility </w:t>
      </w:r>
      <w:r w:rsidR="00E24CC6" w:rsidRPr="379A9D01">
        <w:rPr>
          <w:rFonts w:cs="Times New Roman"/>
        </w:rPr>
        <w:t xml:space="preserve">trial </w:t>
      </w:r>
      <w:r w:rsidR="00777063" w:rsidRPr="379A9D01">
        <w:rPr>
          <w:rFonts w:cs="Times New Roman"/>
        </w:rPr>
        <w:t>captured data on</w:t>
      </w:r>
      <w:r w:rsidR="002A4414" w:rsidRPr="379A9D01">
        <w:rPr>
          <w:rFonts w:cs="Times New Roman"/>
        </w:rPr>
        <w:t xml:space="preserve"> participant recruitment, retention, </w:t>
      </w:r>
      <w:r w:rsidR="00777063" w:rsidRPr="379A9D01">
        <w:rPr>
          <w:rFonts w:cs="Times New Roman"/>
        </w:rPr>
        <w:t>engagement and</w:t>
      </w:r>
      <w:r w:rsidR="002A4414" w:rsidRPr="379A9D01">
        <w:rPr>
          <w:rFonts w:cs="Times New Roman"/>
        </w:rPr>
        <w:t xml:space="preserve"> preliminary eff</w:t>
      </w:r>
      <w:r w:rsidR="00DE7C12" w:rsidRPr="379A9D01">
        <w:rPr>
          <w:rFonts w:cs="Times New Roman"/>
        </w:rPr>
        <w:t xml:space="preserve">icacy </w:t>
      </w:r>
      <w:r w:rsidR="002A4414" w:rsidRPr="379A9D01">
        <w:rPr>
          <w:rFonts w:cs="Times New Roman"/>
        </w:rPr>
        <w:t xml:space="preserve">and </w:t>
      </w:r>
      <w:r w:rsidR="00777063" w:rsidRPr="379A9D01">
        <w:rPr>
          <w:rFonts w:cs="Times New Roman"/>
        </w:rPr>
        <w:t>cost-effectiveness</w:t>
      </w:r>
      <w:r w:rsidR="000951DF" w:rsidRPr="379A9D01">
        <w:rPr>
          <w:rFonts w:cs="Times New Roman"/>
        </w:rPr>
        <w:t>.</w:t>
      </w:r>
      <w:r w:rsidR="00840AF7">
        <w:rPr>
          <w:rFonts w:cs="Times New Roman"/>
        </w:rPr>
        <w:t xml:space="preserve"> </w:t>
      </w:r>
    </w:p>
    <w:p w14:paraId="31E91EFD" w14:textId="49B5E64B" w:rsidR="002A7D78" w:rsidRPr="00CC3ABA" w:rsidRDefault="00F0516B" w:rsidP="00E668C6">
      <w:pPr>
        <w:spacing w:after="160" w:line="480" w:lineRule="auto"/>
        <w:jc w:val="both"/>
        <w:rPr>
          <w:rFonts w:cs="Times New Roman"/>
        </w:rPr>
      </w:pPr>
      <w:r w:rsidRPr="379A9D01">
        <w:rPr>
          <w:rFonts w:cs="Times New Roman"/>
        </w:rPr>
        <w:t>In terms of willingness to participate, just</w:t>
      </w:r>
      <w:r w:rsidR="00BC7FD9">
        <w:rPr>
          <w:rFonts w:cs="Times New Roman"/>
        </w:rPr>
        <w:t xml:space="preserve"> over half</w:t>
      </w:r>
      <w:r w:rsidR="0056534A" w:rsidRPr="379A9D01">
        <w:rPr>
          <w:rFonts w:cs="Times New Roman"/>
        </w:rPr>
        <w:t xml:space="preserve"> of </w:t>
      </w:r>
      <w:r w:rsidR="00BC7FD9">
        <w:rPr>
          <w:rFonts w:cs="Times New Roman"/>
        </w:rPr>
        <w:t xml:space="preserve">eligible participants </w:t>
      </w:r>
      <w:r w:rsidR="0056534A" w:rsidRPr="379A9D01">
        <w:rPr>
          <w:rFonts w:cs="Times New Roman"/>
        </w:rPr>
        <w:t>invited,</w:t>
      </w:r>
      <w:r w:rsidRPr="379A9D01">
        <w:rPr>
          <w:rFonts w:cs="Times New Roman"/>
        </w:rPr>
        <w:t xml:space="preserve"> consented to take part and completed baseline assessments.</w:t>
      </w:r>
      <w:r w:rsidR="00840AF7">
        <w:rPr>
          <w:rFonts w:cs="Times New Roman"/>
        </w:rPr>
        <w:t xml:space="preserve"> </w:t>
      </w:r>
      <w:r w:rsidR="00E608A3" w:rsidRPr="379A9D01">
        <w:rPr>
          <w:rFonts w:cs="Times New Roman"/>
        </w:rPr>
        <w:t xml:space="preserve">The </w:t>
      </w:r>
      <w:r w:rsidR="00E43729" w:rsidRPr="379A9D01">
        <w:rPr>
          <w:rFonts w:cs="Times New Roman"/>
        </w:rPr>
        <w:t xml:space="preserve">study also provided useful information and insights into the types of homeless centres to include in a future main </w:t>
      </w:r>
      <w:r w:rsidR="00E24CC6" w:rsidRPr="379A9D01">
        <w:rPr>
          <w:rFonts w:cs="Times New Roman"/>
        </w:rPr>
        <w:t>c</w:t>
      </w:r>
      <w:r w:rsidR="00E43729" w:rsidRPr="379A9D01">
        <w:rPr>
          <w:rFonts w:cs="Times New Roman"/>
        </w:rPr>
        <w:t xml:space="preserve">RCT; the </w:t>
      </w:r>
      <w:r w:rsidR="00E608A3" w:rsidRPr="379A9D01">
        <w:rPr>
          <w:rFonts w:cs="Times New Roman"/>
        </w:rPr>
        <w:t>number of eligible participants varied considerably across centres</w:t>
      </w:r>
      <w:r w:rsidR="002B32C5" w:rsidRPr="379A9D01">
        <w:rPr>
          <w:rFonts w:cs="Times New Roman"/>
        </w:rPr>
        <w:t xml:space="preserve"> with the two residential centres</w:t>
      </w:r>
      <w:r w:rsidR="00721A82">
        <w:rPr>
          <w:rFonts w:cs="Times New Roman"/>
        </w:rPr>
        <w:t xml:space="preserve"> </w:t>
      </w:r>
      <w:r w:rsidR="002B32C5" w:rsidRPr="379A9D01">
        <w:rPr>
          <w:rFonts w:cs="Times New Roman"/>
        </w:rPr>
        <w:t xml:space="preserve">offering fewer eligible participants (due to </w:t>
      </w:r>
      <w:r w:rsidR="00302200" w:rsidRPr="379A9D01">
        <w:rPr>
          <w:rFonts w:cs="Times New Roman"/>
        </w:rPr>
        <w:t xml:space="preserve">both </w:t>
      </w:r>
      <w:r w:rsidR="002B32C5" w:rsidRPr="379A9D01">
        <w:rPr>
          <w:rFonts w:cs="Times New Roman"/>
        </w:rPr>
        <w:t>the smaller size of the centres and a lower proportion of smokers).</w:t>
      </w:r>
      <w:r w:rsidR="00840AF7">
        <w:rPr>
          <w:rFonts w:cs="Times New Roman"/>
        </w:rPr>
        <w:t xml:space="preserve"> </w:t>
      </w:r>
      <w:r w:rsidR="002B32C5" w:rsidRPr="379A9D01">
        <w:rPr>
          <w:rFonts w:cs="Times New Roman"/>
        </w:rPr>
        <w:t xml:space="preserve">The </w:t>
      </w:r>
      <w:r w:rsidR="0056534A" w:rsidRPr="379A9D01">
        <w:rPr>
          <w:rFonts w:cs="Times New Roman"/>
        </w:rPr>
        <w:t>two</w:t>
      </w:r>
      <w:r w:rsidR="00721A82">
        <w:rPr>
          <w:rFonts w:cs="Times New Roman"/>
        </w:rPr>
        <w:t xml:space="preserve"> </w:t>
      </w:r>
      <w:r w:rsidR="0056534A" w:rsidRPr="379A9D01">
        <w:rPr>
          <w:rFonts w:cs="Times New Roman"/>
        </w:rPr>
        <w:t>day</w:t>
      </w:r>
      <w:r w:rsidR="0084765A">
        <w:rPr>
          <w:rFonts w:cs="Times New Roman"/>
        </w:rPr>
        <w:t>-</w:t>
      </w:r>
      <w:r w:rsidR="0056534A" w:rsidRPr="379A9D01">
        <w:rPr>
          <w:rFonts w:cs="Times New Roman"/>
        </w:rPr>
        <w:t xml:space="preserve">care </w:t>
      </w:r>
      <w:r w:rsidR="00B96470">
        <w:rPr>
          <w:rFonts w:cs="Times New Roman"/>
        </w:rPr>
        <w:t xml:space="preserve">centres </w:t>
      </w:r>
      <w:r w:rsidR="0056534A" w:rsidRPr="379A9D01">
        <w:rPr>
          <w:rFonts w:cs="Times New Roman"/>
        </w:rPr>
        <w:t>were the most successful in terms of recruitment</w:t>
      </w:r>
      <w:r w:rsidR="002B32C5" w:rsidRPr="379A9D01">
        <w:rPr>
          <w:rFonts w:cs="Times New Roman"/>
        </w:rPr>
        <w:t>, together</w:t>
      </w:r>
      <w:r w:rsidR="0056534A" w:rsidRPr="379A9D01">
        <w:rPr>
          <w:rFonts w:cs="Times New Roman"/>
        </w:rPr>
        <w:t xml:space="preserve"> accounting for </w:t>
      </w:r>
      <w:r w:rsidR="00FA2693">
        <w:rPr>
          <w:rFonts w:cs="Times New Roman"/>
        </w:rPr>
        <w:t>over two thirds</w:t>
      </w:r>
      <w:r w:rsidR="0056534A" w:rsidRPr="379A9D01">
        <w:rPr>
          <w:rFonts w:cs="Times New Roman"/>
        </w:rPr>
        <w:t xml:space="preserve"> of the </w:t>
      </w:r>
      <w:r w:rsidR="00302200" w:rsidRPr="379A9D01">
        <w:rPr>
          <w:rFonts w:cs="Times New Roman"/>
        </w:rPr>
        <w:t>total sample.</w:t>
      </w:r>
      <w:r w:rsidR="00840AF7">
        <w:rPr>
          <w:rFonts w:cs="Times New Roman"/>
        </w:rPr>
        <w:t xml:space="preserve"> </w:t>
      </w:r>
      <w:r w:rsidR="00E43729" w:rsidRPr="379A9D01">
        <w:rPr>
          <w:rFonts w:cs="Times New Roman"/>
        </w:rPr>
        <w:t xml:space="preserve">Willingness to engage in the study at the </w:t>
      </w:r>
      <w:r w:rsidR="00B96470">
        <w:rPr>
          <w:rFonts w:cs="Times New Roman"/>
        </w:rPr>
        <w:t xml:space="preserve">centre </w:t>
      </w:r>
      <w:r w:rsidR="003922D0">
        <w:rPr>
          <w:rFonts w:cs="Times New Roman"/>
        </w:rPr>
        <w:t>in Northampton</w:t>
      </w:r>
      <w:r w:rsidR="00B96470">
        <w:rPr>
          <w:rFonts w:cs="Times New Roman"/>
        </w:rPr>
        <w:t xml:space="preserve"> </w:t>
      </w:r>
      <w:r w:rsidR="00E43729" w:rsidRPr="379A9D01">
        <w:rPr>
          <w:rFonts w:cs="Times New Roman"/>
        </w:rPr>
        <w:t>was particularly high and</w:t>
      </w:r>
      <w:r w:rsidR="00302200" w:rsidRPr="379A9D01">
        <w:rPr>
          <w:rFonts w:cs="Times New Roman"/>
        </w:rPr>
        <w:t xml:space="preserve"> participants </w:t>
      </w:r>
      <w:r w:rsidR="00E43729" w:rsidRPr="379A9D01">
        <w:rPr>
          <w:rFonts w:cs="Times New Roman"/>
        </w:rPr>
        <w:t xml:space="preserve">on the waiting list </w:t>
      </w:r>
      <w:r w:rsidR="00302200" w:rsidRPr="379A9D01">
        <w:rPr>
          <w:rFonts w:cs="Times New Roman"/>
        </w:rPr>
        <w:t xml:space="preserve">could not be recruited to the study due to </w:t>
      </w:r>
      <w:r w:rsidR="00445AF3">
        <w:rPr>
          <w:rFonts w:cs="Times New Roman"/>
        </w:rPr>
        <w:t>criteria of recruiting across different sites</w:t>
      </w:r>
      <w:r w:rsidR="00302200" w:rsidRPr="379A9D01">
        <w:rPr>
          <w:rFonts w:cs="Times New Roman"/>
        </w:rPr>
        <w:t>.</w:t>
      </w:r>
      <w:r w:rsidR="00840AF7">
        <w:rPr>
          <w:rFonts w:cs="Times New Roman"/>
        </w:rPr>
        <w:t xml:space="preserve"> </w:t>
      </w:r>
      <w:r w:rsidR="002B32C5" w:rsidRPr="379A9D01">
        <w:rPr>
          <w:rFonts w:cs="Times New Roman"/>
        </w:rPr>
        <w:t>That we were able to recruit 80 participant</w:t>
      </w:r>
      <w:r w:rsidR="00302200" w:rsidRPr="379A9D01">
        <w:rPr>
          <w:rFonts w:cs="Times New Roman"/>
        </w:rPr>
        <w:t xml:space="preserve">s </w:t>
      </w:r>
      <w:r w:rsidR="00E43729" w:rsidRPr="379A9D01">
        <w:rPr>
          <w:rFonts w:cs="Times New Roman"/>
        </w:rPr>
        <w:t xml:space="preserve">across four centres </w:t>
      </w:r>
      <w:r w:rsidR="00302200" w:rsidRPr="379A9D01">
        <w:rPr>
          <w:rFonts w:cs="Times New Roman"/>
        </w:rPr>
        <w:t xml:space="preserve">in a five-month period despite </w:t>
      </w:r>
      <w:r w:rsidR="00E43729" w:rsidRPr="379A9D01">
        <w:rPr>
          <w:rFonts w:cs="Times New Roman"/>
        </w:rPr>
        <w:t>the limited pool of participants at the residential centres is encouraging for a future main trial.</w:t>
      </w:r>
    </w:p>
    <w:p w14:paraId="3333B6FE" w14:textId="2C7D72C4" w:rsidR="002A7D78" w:rsidRPr="00CC3ABA" w:rsidRDefault="00C57C26" w:rsidP="00E668C6">
      <w:pPr>
        <w:spacing w:after="160" w:line="480" w:lineRule="auto"/>
        <w:jc w:val="both"/>
        <w:rPr>
          <w:rFonts w:cs="Times New Roman"/>
        </w:rPr>
      </w:pPr>
      <w:r w:rsidRPr="379A9D01">
        <w:rPr>
          <w:rFonts w:cs="Times New Roman"/>
        </w:rPr>
        <w:t xml:space="preserve">Retention is </w:t>
      </w:r>
      <w:r w:rsidR="00E846DE" w:rsidRPr="379A9D01">
        <w:rPr>
          <w:rFonts w:cs="Times New Roman"/>
        </w:rPr>
        <w:t>likely to be an issue</w:t>
      </w:r>
      <w:r w:rsidR="00721A82">
        <w:rPr>
          <w:rFonts w:cs="Times New Roman"/>
        </w:rPr>
        <w:t xml:space="preserve"> </w:t>
      </w:r>
      <w:r w:rsidR="00F038EF" w:rsidRPr="379A9D01">
        <w:rPr>
          <w:rFonts w:cs="Times New Roman"/>
        </w:rPr>
        <w:t xml:space="preserve">when engaging with </w:t>
      </w:r>
      <w:r w:rsidR="0037254B">
        <w:rPr>
          <w:rFonts w:cs="Times New Roman"/>
        </w:rPr>
        <w:t xml:space="preserve">people accessing </w:t>
      </w:r>
      <w:r w:rsidR="00F038EF" w:rsidRPr="379A9D01">
        <w:rPr>
          <w:rFonts w:cs="Times New Roman"/>
        </w:rPr>
        <w:t xml:space="preserve">homeless </w:t>
      </w:r>
      <w:r w:rsidR="0037254B">
        <w:rPr>
          <w:rFonts w:cs="Times New Roman"/>
        </w:rPr>
        <w:t xml:space="preserve">centres as their </w:t>
      </w:r>
      <w:r w:rsidR="00F038EF" w:rsidRPr="379A9D01">
        <w:rPr>
          <w:rFonts w:cs="Times New Roman"/>
        </w:rPr>
        <w:t>circumstances can be unpredictable and quickly liable to change. The overall 24 week total retention rate was 59% which c</w:t>
      </w:r>
      <w:r w:rsidR="00FA2693">
        <w:rPr>
          <w:rFonts w:cs="Times New Roman"/>
        </w:rPr>
        <w:t>ompares favourably with</w:t>
      </w:r>
      <w:r w:rsidR="00F038EF" w:rsidRPr="379A9D01">
        <w:rPr>
          <w:rFonts w:cs="Times New Roman"/>
        </w:rPr>
        <w:t xml:space="preserve"> other smoking cessation studies in</w:t>
      </w:r>
      <w:r w:rsidR="00457436">
        <w:rPr>
          <w:rFonts w:cs="Times New Roman"/>
        </w:rPr>
        <w:t xml:space="preserve"> this population </w:t>
      </w:r>
      <w:r w:rsidR="006B3DFD">
        <w:rPr>
          <w:rFonts w:cs="Times New Roman"/>
        </w:rPr>
        <w:fldChar w:fldCharType="begin" w:fldLock="1"/>
      </w:r>
      <w:r w:rsidR="006B3DFD">
        <w:rPr>
          <w:rFonts w:cs="Times New Roman"/>
        </w:rPr>
        <w:instrText>ADDIN CSL_CITATION {"citationItems":[{"id":"ITEM-1","itemData":{"DOI":"10.1017/jsc.2020.11","ISSN":"18342612","abstract":"Background To date, there has been no review of the research evidence examining smoking cessation among homeless adults. The current review aimed to: (i) estimate smoking prevalence in homeless populations; (ii) explore the efficacy of smoking cessation and smoking reduction interventions for homeless individuals; and (iii) describe the barriers and facilitators to smoking cessation and smoking reduction.MethodSystematic review of peer-reviewed research. Data sources included electronic academic databases. Search terms: 'smoking' AND 'homeless' AND 'tobacco', including adult (18+ years) smokers accessing homeless support services.ResultsFifty-three studies met the inclusion criteria (n = 46 USA). Data could not be meta-analysed due to large methodological inconsistencies and the lack of randomised controlled trials. Smoking prevalence ranged from 57% to 82%. Although there was no clear evidence on which cessation methods work best, layered approaches with additions to usual care seemed to offer modest enhancements in quit rates. Key barriers to cessation exist around the priority of smoking, beliefs around negative impact on mental health and substance use, and environmental influences.ConclusionsHomeless smokers will benefit from layered interventions which support many of their competing needs. To best understand what works, future recommendations include the need for consensus on the reporting of cessation outcomes.","author":[{"dropping-particle":"","family":"Soar","given":"Kirstie","non-dropping-particle":"","parse-names":false,"suffix":""},{"dropping-particle":"","family":"Dawkins","given":"Lynne","non-dropping-particle":"","parse-names":false,"suffix":""},{"dropping-particle":"","family":"Robson","given":"Deborah","non-dropping-particle":"","parse-names":false,"suffix":""},{"dropping-particle":"","family":"Cox","given":"Sharon","non-dropping-particle":"","parse-names":false,"suffix":""}],"container-title":"Journal of Smoking Cessation","id":"ITEM-1","issue":"2","issued":{"date-parts":[["2020","6"]]},"page":"94-108","title":"Smoking amongst adults experiencing homelessness: A systematic review of prevalence rates, interventions and the barriers and facilitators to quitting and staying quit","type":"article-journal","volume":"15"},"uris":["http://www.mendeley.com/documents/?uuid=c6e8e830-ea4e-47c7-9eee-b069b89d9900"]}],"mendeley":{"formattedCitation":"[6]","plainTextFormattedCitation":"[6]","previouslyFormattedCitation":"[6]"},"properties":{"noteIndex":0},"schema":"https://github.com/citation-style-language/schema/raw/master/csl-citation.json"}</w:instrText>
      </w:r>
      <w:r w:rsidR="006B3DFD">
        <w:rPr>
          <w:rFonts w:cs="Times New Roman"/>
        </w:rPr>
        <w:fldChar w:fldCharType="separate"/>
      </w:r>
      <w:r w:rsidR="006B3DFD" w:rsidRPr="006B3DFD">
        <w:rPr>
          <w:rFonts w:cs="Times New Roman"/>
          <w:noProof/>
        </w:rPr>
        <w:t>[6]</w:t>
      </w:r>
      <w:r w:rsidR="006B3DFD">
        <w:rPr>
          <w:rFonts w:cs="Times New Roman"/>
        </w:rPr>
        <w:fldChar w:fldCharType="end"/>
      </w:r>
      <w:r w:rsidR="00F038EF" w:rsidRPr="379A9D01">
        <w:rPr>
          <w:rFonts w:cs="Times New Roman"/>
        </w:rPr>
        <w:t>.</w:t>
      </w:r>
      <w:r w:rsidR="00840AF7">
        <w:rPr>
          <w:rFonts w:cs="Times New Roman"/>
        </w:rPr>
        <w:t xml:space="preserve"> </w:t>
      </w:r>
      <w:r w:rsidR="00A53586" w:rsidRPr="379A9D01">
        <w:rPr>
          <w:rFonts w:cs="Times New Roman"/>
        </w:rPr>
        <w:t>Retention was also much higher in the EC compared with the UC arm</w:t>
      </w:r>
      <w:r w:rsidR="00A117D4" w:rsidRPr="379A9D01">
        <w:rPr>
          <w:rFonts w:cs="Times New Roman"/>
        </w:rPr>
        <w:t>.</w:t>
      </w:r>
      <w:r w:rsidR="00840AF7">
        <w:rPr>
          <w:rFonts w:cs="Times New Roman"/>
        </w:rPr>
        <w:t xml:space="preserve"> </w:t>
      </w:r>
      <w:r w:rsidR="00A117D4" w:rsidRPr="379A9D01">
        <w:rPr>
          <w:rFonts w:cs="Times New Roman"/>
        </w:rPr>
        <w:t>This could reflect the nature of the intervention although the arms also differed on several important baseline characteristics with the UC group evidencing higher levels of long-standing illness, time spent in prison,  substance dependence and anxiety which may militate against follow up attendance.</w:t>
      </w:r>
      <w:r w:rsidR="00840AF7">
        <w:rPr>
          <w:rFonts w:cs="Times New Roman"/>
        </w:rPr>
        <w:t xml:space="preserve"> </w:t>
      </w:r>
      <w:r w:rsidR="00A117D4" w:rsidRPr="379A9D01">
        <w:rPr>
          <w:rFonts w:cs="Times New Roman"/>
        </w:rPr>
        <w:t>However, there were also differences in retention rates between the 2 UC</w:t>
      </w:r>
      <w:r w:rsidR="00721A82">
        <w:rPr>
          <w:rFonts w:cs="Times New Roman"/>
        </w:rPr>
        <w:t xml:space="preserve"> centres</w:t>
      </w:r>
      <w:r w:rsidR="00A117D4" w:rsidRPr="379A9D01">
        <w:rPr>
          <w:rFonts w:cs="Times New Roman"/>
        </w:rPr>
        <w:t xml:space="preserve"> and the </w:t>
      </w:r>
      <w:r w:rsidR="00A53586" w:rsidRPr="379A9D01">
        <w:rPr>
          <w:rFonts w:cs="Times New Roman"/>
        </w:rPr>
        <w:t xml:space="preserve">difference </w:t>
      </w:r>
      <w:r w:rsidR="00A117D4" w:rsidRPr="379A9D01">
        <w:rPr>
          <w:rFonts w:cs="Times New Roman"/>
        </w:rPr>
        <w:t xml:space="preserve">in retention between arms </w:t>
      </w:r>
      <w:r w:rsidR="00A53586" w:rsidRPr="379A9D01">
        <w:rPr>
          <w:rFonts w:cs="Times New Roman"/>
        </w:rPr>
        <w:t xml:space="preserve">was driven largely by the low </w:t>
      </w:r>
      <w:r w:rsidR="00D208F9" w:rsidRPr="379A9D01">
        <w:rPr>
          <w:rFonts w:cs="Times New Roman"/>
        </w:rPr>
        <w:t xml:space="preserve">24 week follow up rate at the Edinburgh </w:t>
      </w:r>
      <w:r w:rsidR="00436967">
        <w:rPr>
          <w:rFonts w:cs="Times New Roman"/>
        </w:rPr>
        <w:t>centre</w:t>
      </w:r>
      <w:r w:rsidR="009C5884">
        <w:rPr>
          <w:rFonts w:cs="Times New Roman"/>
        </w:rPr>
        <w:t xml:space="preserve"> </w:t>
      </w:r>
      <w:r w:rsidR="00D208F9" w:rsidRPr="379A9D01">
        <w:rPr>
          <w:rFonts w:cs="Times New Roman"/>
        </w:rPr>
        <w:t xml:space="preserve">where, despite our </w:t>
      </w:r>
      <w:r w:rsidR="004750AF" w:rsidRPr="379A9D01">
        <w:rPr>
          <w:rFonts w:cs="Times New Roman"/>
        </w:rPr>
        <w:t xml:space="preserve">best </w:t>
      </w:r>
      <w:r w:rsidR="00D208F9" w:rsidRPr="379A9D01">
        <w:rPr>
          <w:rFonts w:cs="Times New Roman"/>
        </w:rPr>
        <w:t>efforts (text message reminders, incentives), many participants had moved on and were no longer accessing the homeless centre services.</w:t>
      </w:r>
      <w:r w:rsidR="00840AF7">
        <w:rPr>
          <w:rFonts w:cs="Times New Roman"/>
        </w:rPr>
        <w:t xml:space="preserve"> </w:t>
      </w:r>
    </w:p>
    <w:p w14:paraId="61FFF408" w14:textId="5478B1B7" w:rsidR="002A7D78" w:rsidRPr="00CC3ABA" w:rsidRDefault="00D208F9" w:rsidP="002A7D78">
      <w:pPr>
        <w:spacing w:after="160" w:line="480" w:lineRule="auto"/>
        <w:jc w:val="both"/>
        <w:rPr>
          <w:rFonts w:cs="Times New Roman"/>
        </w:rPr>
      </w:pPr>
      <w:r w:rsidRPr="379A9D01">
        <w:rPr>
          <w:rFonts w:cs="Times New Roman"/>
        </w:rPr>
        <w:t>Given the</w:t>
      </w:r>
      <w:r w:rsidR="00F038EF" w:rsidRPr="379A9D01">
        <w:rPr>
          <w:rFonts w:cs="Times New Roman"/>
        </w:rPr>
        <w:t xml:space="preserve"> clinical and environmental factors specific to this population</w:t>
      </w:r>
      <w:r w:rsidR="00053B23" w:rsidRPr="379A9D01">
        <w:rPr>
          <w:rFonts w:cs="Times New Roman"/>
        </w:rPr>
        <w:t>,</w:t>
      </w:r>
      <w:r w:rsidR="00721A82">
        <w:rPr>
          <w:rFonts w:cs="Times New Roman"/>
        </w:rPr>
        <w:t xml:space="preserve"> </w:t>
      </w:r>
      <w:r w:rsidR="00BD4E24" w:rsidRPr="379A9D01">
        <w:rPr>
          <w:rFonts w:cs="Times New Roman"/>
        </w:rPr>
        <w:t xml:space="preserve">it </w:t>
      </w:r>
      <w:r w:rsidRPr="379A9D01">
        <w:rPr>
          <w:rFonts w:cs="Times New Roman"/>
        </w:rPr>
        <w:t>was</w:t>
      </w:r>
      <w:r w:rsidR="00BD4E24" w:rsidRPr="379A9D01">
        <w:rPr>
          <w:rFonts w:cs="Times New Roman"/>
        </w:rPr>
        <w:t xml:space="preserve"> recognised that EC may become lost, damaged, sold</w:t>
      </w:r>
      <w:r w:rsidR="00ED06F8">
        <w:rPr>
          <w:rFonts w:cs="Times New Roman"/>
        </w:rPr>
        <w:t>,</w:t>
      </w:r>
      <w:r w:rsidR="00BD4E24" w:rsidRPr="379A9D01">
        <w:rPr>
          <w:rFonts w:cs="Times New Roman"/>
        </w:rPr>
        <w:t xml:space="preserve"> or stolen. </w:t>
      </w:r>
      <w:r w:rsidR="00CA68AF" w:rsidRPr="379A9D01">
        <w:rPr>
          <w:rFonts w:cs="Times New Roman"/>
        </w:rPr>
        <w:t xml:space="preserve">Encouragingly, </w:t>
      </w:r>
      <w:r w:rsidR="00053B23" w:rsidRPr="379A9D01">
        <w:rPr>
          <w:rFonts w:cs="Times New Roman"/>
        </w:rPr>
        <w:t xml:space="preserve">reports of selling, exchanging or </w:t>
      </w:r>
      <w:r w:rsidR="00AF2153" w:rsidRPr="379A9D01">
        <w:rPr>
          <w:rFonts w:cs="Times New Roman"/>
        </w:rPr>
        <w:t xml:space="preserve">theft </w:t>
      </w:r>
      <w:r w:rsidR="00053B23" w:rsidRPr="379A9D01">
        <w:rPr>
          <w:rFonts w:cs="Times New Roman"/>
        </w:rPr>
        <w:t>were infrequent. Although some reported breakages</w:t>
      </w:r>
      <w:r w:rsidR="2A562A7D" w:rsidRPr="379A9D01">
        <w:rPr>
          <w:rFonts w:cs="Times New Roman"/>
        </w:rPr>
        <w:t xml:space="preserve">, </w:t>
      </w:r>
      <w:r w:rsidR="00053B23" w:rsidRPr="379A9D01">
        <w:rPr>
          <w:rFonts w:cs="Times New Roman"/>
        </w:rPr>
        <w:t xml:space="preserve">most </w:t>
      </w:r>
      <w:r w:rsidR="00AF2153" w:rsidRPr="379A9D01">
        <w:rPr>
          <w:rFonts w:cs="Times New Roman"/>
        </w:rPr>
        <w:t>commonly through dropping the device</w:t>
      </w:r>
      <w:r w:rsidR="343CA818" w:rsidRPr="379A9D01">
        <w:rPr>
          <w:rFonts w:cs="Times New Roman"/>
        </w:rPr>
        <w:t xml:space="preserve"> which lead to broken tanks</w:t>
      </w:r>
      <w:r w:rsidR="0CF7B4F7" w:rsidRPr="379A9D01">
        <w:rPr>
          <w:rFonts w:cs="Times New Roman"/>
        </w:rPr>
        <w:t xml:space="preserve"> and electrical faults</w:t>
      </w:r>
      <w:r w:rsidR="343CA818" w:rsidRPr="379A9D01">
        <w:rPr>
          <w:rFonts w:cs="Times New Roman"/>
        </w:rPr>
        <w:t>,</w:t>
      </w:r>
      <w:r w:rsidR="00721A82">
        <w:rPr>
          <w:rFonts w:cs="Times New Roman"/>
        </w:rPr>
        <w:t xml:space="preserve"> </w:t>
      </w:r>
      <w:r w:rsidR="00CA68AF" w:rsidRPr="379A9D01">
        <w:rPr>
          <w:rFonts w:cs="Times New Roman"/>
        </w:rPr>
        <w:t xml:space="preserve">the majority </w:t>
      </w:r>
      <w:r w:rsidR="2B71E580" w:rsidRPr="379A9D01">
        <w:rPr>
          <w:rFonts w:cs="Times New Roman"/>
        </w:rPr>
        <w:t xml:space="preserve">of participants </w:t>
      </w:r>
      <w:r w:rsidR="00CA68AF" w:rsidRPr="379A9D01">
        <w:rPr>
          <w:rFonts w:cs="Times New Roman"/>
        </w:rPr>
        <w:t>still had and were still using</w:t>
      </w:r>
      <w:r w:rsidR="00053B23" w:rsidRPr="379A9D01">
        <w:rPr>
          <w:rFonts w:cs="Times New Roman"/>
        </w:rPr>
        <w:t xml:space="preserve"> either the</w:t>
      </w:r>
      <w:r w:rsidR="00CA68AF" w:rsidRPr="379A9D01">
        <w:rPr>
          <w:rFonts w:cs="Times New Roman"/>
        </w:rPr>
        <w:t xml:space="preserve"> EC that we provided</w:t>
      </w:r>
      <w:r w:rsidR="00053B23" w:rsidRPr="379A9D01">
        <w:rPr>
          <w:rFonts w:cs="Times New Roman"/>
        </w:rPr>
        <w:t xml:space="preserve"> or a different one.</w:t>
      </w:r>
      <w:r w:rsidR="00840AF7">
        <w:rPr>
          <w:rFonts w:cs="Times New Roman"/>
        </w:rPr>
        <w:t xml:space="preserve"> </w:t>
      </w:r>
      <w:r w:rsidR="00053B23" w:rsidRPr="379A9D01">
        <w:rPr>
          <w:rFonts w:cs="Times New Roman"/>
        </w:rPr>
        <w:t xml:space="preserve">Critically, use continued </w:t>
      </w:r>
      <w:r w:rsidR="00CA68AF" w:rsidRPr="379A9D01">
        <w:rPr>
          <w:rFonts w:cs="Times New Roman"/>
        </w:rPr>
        <w:t>after the end of the 4-week e-liquid supply period</w:t>
      </w:r>
      <w:r w:rsidR="00053B23" w:rsidRPr="379A9D01">
        <w:rPr>
          <w:rFonts w:cs="Times New Roman"/>
        </w:rPr>
        <w:t xml:space="preserve"> suggesting that </w:t>
      </w:r>
      <w:r w:rsidR="44036B6C" w:rsidRPr="379A9D01">
        <w:rPr>
          <w:rFonts w:cs="Times New Roman"/>
        </w:rPr>
        <w:t>our participants</w:t>
      </w:r>
      <w:r w:rsidR="00721A82">
        <w:rPr>
          <w:rFonts w:cs="Times New Roman"/>
        </w:rPr>
        <w:t xml:space="preserve"> </w:t>
      </w:r>
      <w:r w:rsidR="01BC0D8D" w:rsidRPr="379A9D01">
        <w:rPr>
          <w:rFonts w:cs="Times New Roman"/>
        </w:rPr>
        <w:t>were</w:t>
      </w:r>
      <w:r w:rsidR="00053B23" w:rsidRPr="379A9D01">
        <w:rPr>
          <w:rFonts w:cs="Times New Roman"/>
        </w:rPr>
        <w:t xml:space="preserve"> willing to source their own e-liquid after the initial start-up costs </w:t>
      </w:r>
      <w:r w:rsidR="00836AC2" w:rsidRPr="379A9D01">
        <w:rPr>
          <w:rFonts w:cs="Times New Roman"/>
        </w:rPr>
        <w:t>are covered</w:t>
      </w:r>
      <w:r w:rsidR="00CA68AF" w:rsidRPr="379A9D01">
        <w:rPr>
          <w:rFonts w:cs="Times New Roman"/>
        </w:rPr>
        <w:t>.</w:t>
      </w:r>
      <w:r w:rsidR="00840AF7">
        <w:rPr>
          <w:rFonts w:cs="Times New Roman"/>
        </w:rPr>
        <w:t xml:space="preserve"> </w:t>
      </w:r>
    </w:p>
    <w:p w14:paraId="3341B4DE" w14:textId="70211BDD" w:rsidR="004622D4" w:rsidRPr="00CC3ABA" w:rsidRDefault="6306703B" w:rsidP="004622D4">
      <w:pPr>
        <w:spacing w:after="160" w:line="480" w:lineRule="auto"/>
        <w:jc w:val="both"/>
        <w:rPr>
          <w:rFonts w:cs="Times New Roman"/>
        </w:rPr>
      </w:pPr>
      <w:r w:rsidRPr="379A9D01">
        <w:rPr>
          <w:rFonts w:cs="Times New Roman"/>
        </w:rPr>
        <w:t xml:space="preserve">One </w:t>
      </w:r>
      <w:r w:rsidR="2FF516BE" w:rsidRPr="379A9D01">
        <w:rPr>
          <w:rFonts w:cs="Times New Roman"/>
        </w:rPr>
        <w:t>c</w:t>
      </w:r>
      <w:r w:rsidR="002A7D78" w:rsidRPr="379A9D01">
        <w:rPr>
          <w:rFonts w:cs="Times New Roman"/>
        </w:rPr>
        <w:t>oncern</w:t>
      </w:r>
      <w:r w:rsidR="4E691A35" w:rsidRPr="379A9D01">
        <w:rPr>
          <w:rFonts w:cs="Times New Roman"/>
        </w:rPr>
        <w:t xml:space="preserve"> that was not borne out,</w:t>
      </w:r>
      <w:r w:rsidR="00721A82">
        <w:rPr>
          <w:rFonts w:cs="Times New Roman"/>
        </w:rPr>
        <w:t xml:space="preserve"> </w:t>
      </w:r>
      <w:r w:rsidR="4BE5C516" w:rsidRPr="379A9D01">
        <w:rPr>
          <w:rFonts w:cs="Times New Roman"/>
        </w:rPr>
        <w:t>was</w:t>
      </w:r>
      <w:r w:rsidR="002A7D78" w:rsidRPr="379A9D01">
        <w:rPr>
          <w:rFonts w:cs="Times New Roman"/>
        </w:rPr>
        <w:t xml:space="preserve"> that </w:t>
      </w:r>
      <w:r w:rsidR="00685752" w:rsidRPr="379A9D01">
        <w:rPr>
          <w:rFonts w:cs="Times New Roman"/>
        </w:rPr>
        <w:t xml:space="preserve">since 40% of </w:t>
      </w:r>
      <w:r w:rsidR="21E47BF1" w:rsidRPr="379A9D01">
        <w:rPr>
          <w:rFonts w:cs="Times New Roman"/>
        </w:rPr>
        <w:t>smokers experiencing homelessness</w:t>
      </w:r>
      <w:r w:rsidR="00721A82">
        <w:rPr>
          <w:rFonts w:cs="Times New Roman"/>
        </w:rPr>
        <w:t xml:space="preserve"> </w:t>
      </w:r>
      <w:r w:rsidR="0FF07AB9" w:rsidRPr="379A9D01">
        <w:rPr>
          <w:rFonts w:cs="Times New Roman"/>
        </w:rPr>
        <w:t>are dependent on</w:t>
      </w:r>
      <w:r w:rsidR="00685752" w:rsidRPr="379A9D01">
        <w:rPr>
          <w:rFonts w:cs="Times New Roman"/>
        </w:rPr>
        <w:t xml:space="preserve"> other substances</w:t>
      </w:r>
      <w:r w:rsidR="00A01FAE">
        <w:rPr>
          <w:rFonts w:cs="Times New Roman"/>
        </w:rPr>
        <w:t xml:space="preserve"> </w:t>
      </w:r>
      <w:r w:rsidR="00A01FAE">
        <w:rPr>
          <w:rFonts w:cs="Times New Roman"/>
        </w:rPr>
        <w:fldChar w:fldCharType="begin" w:fldLock="1"/>
      </w:r>
      <w:r w:rsidR="00840AF7">
        <w:rPr>
          <w:rFonts w:cs="Times New Roman"/>
        </w:rPr>
        <w:instrText>ADDIN CSL_CITATION {"citationItems":[{"id":"ITEM-1","itemData":{"DOI":"10.1016/j.drugalcdep.2015.06.036","ISSN":"18790046","abstract":"Background: This study of homeless youth uses quantitative data to estimate the prevalence of high-risk smoking practices (obtaining or using cigarettes in a way that increase exposure to toxins and/or susceptibility to infectious diseases) and identify characteristics associated in particular with sniping (smoking discarded cigarettes), and qualitative data to describe why and how homeless youth engage in sniping. Methods: A probability sample of 292 homeless youth smokers in Los Angeles County completed a self-administered survey, and a separate convenience sample of 27 homeless youth who were lifetime smokers participated in focus groups. Survey participants reported on background characteristics, smoking cognitions, and high-risk smoking practices. Focus group participants described how they obtained cigarettes and responses relevant to sniping were coded. Results: Survey results indicated that nearly all youth engaged in at least one high-risk smoking practice, with three-quarters having sniped cigarettes in the past 30 days. Sniping was more frequent among youth with less negative smoking attitudes (. b=. -0.29, 95% CI. =. -0.55 to -0.04, p=. 0.02), greater nicotine dependence (. b=. 0.11, 95% CI. =. 0.00 to 0.23, p=. 0.046), lower income (. b=. -0.05, 95% CI. =. -0.09 to -0.01, p=. 0.02), and more severe drug abuse (. b=. 0.15, 95% CI. =. 0.04, 0.26, p=. 0.01). Focus groups data indicated that youth snipe because it provides cheap and easy access to tobacco, and use specific strategies to mitigate the perceived health risks of sniping. Conclusions: Sniping and other high-risk smoking practices deserve further attention among homeless youth, particularly those already facing greater health threats due to factors such as nicotine dependence, lower income, and drug abuse.","author":[{"dropping-particle":"","family":"Tucker","given":"Joan S.","non-dropping-particle":"","parse-names":false,"suffix":""},{"dropping-particle":"","family":"Shadel","given":"William G.","non-dropping-particle":"","parse-names":false,"suffix":""},{"dropping-particle":"","family":"Golinelli","given":"Daniela","non-dropping-particle":"","parse-names":false,"suffix":""},{"dropping-particle":"","family":"Mullins","given":"Leslie","non-dropping-particle":"","parse-names":false,"suffix":""},{"dropping-particle":"","family":"Ewing","given":"Brett","non-dropping-particle":"","parse-names":false,"suffix":""}],"container-title":"Drug and Alcohol Dependence","id":"ITEM-1","issued":{"date-parts":[["2015"]]},"page":"105-110","title":"Sniping and other high-risk smoking practices among homeless youth","type":"article-journal","volume":"154"},"uris":["http://www.mendeley.com/documents/?uuid=5d7c80e2-0dcd-40f4-a6df-c508d5843b19"]}],"mendeley":{"formattedCitation":"[61]","plainTextFormattedCitation":"[61]","previouslyFormattedCitation":"[61]"},"properties":{"noteIndex":0},"schema":"https://github.com/citation-style-language/schema/raw/master/csl-citation.json"}</w:instrText>
      </w:r>
      <w:r w:rsidR="00A01FAE">
        <w:rPr>
          <w:rFonts w:cs="Times New Roman"/>
        </w:rPr>
        <w:fldChar w:fldCharType="separate"/>
      </w:r>
      <w:r w:rsidR="00840AF7" w:rsidRPr="00840AF7">
        <w:rPr>
          <w:rFonts w:cs="Times New Roman"/>
          <w:noProof/>
        </w:rPr>
        <w:t>[61]</w:t>
      </w:r>
      <w:r w:rsidR="00A01FAE">
        <w:rPr>
          <w:rFonts w:cs="Times New Roman"/>
        </w:rPr>
        <w:fldChar w:fldCharType="end"/>
      </w:r>
      <w:r w:rsidR="00E07ED0" w:rsidRPr="379A9D01">
        <w:rPr>
          <w:rFonts w:cs="Times New Roman"/>
        </w:rPr>
        <w:t>, there may be a temptation to use the EC</w:t>
      </w:r>
      <w:r w:rsidR="004622D4" w:rsidRPr="379A9D01">
        <w:rPr>
          <w:rFonts w:cs="Times New Roman"/>
        </w:rPr>
        <w:t xml:space="preserve"> for </w:t>
      </w:r>
      <w:r w:rsidR="2582A187" w:rsidRPr="379A9D01">
        <w:rPr>
          <w:rFonts w:cs="Times New Roman"/>
        </w:rPr>
        <w:t>vaping</w:t>
      </w:r>
      <w:r w:rsidR="004622D4" w:rsidRPr="379A9D01">
        <w:rPr>
          <w:rFonts w:cs="Times New Roman"/>
        </w:rPr>
        <w:t xml:space="preserve"> illicit drugs</w:t>
      </w:r>
      <w:r w:rsidR="00721A82">
        <w:rPr>
          <w:rFonts w:cs="Times New Roman"/>
        </w:rPr>
        <w:t xml:space="preserve"> </w:t>
      </w:r>
      <w:r w:rsidR="07119023" w:rsidRPr="379A9D01">
        <w:rPr>
          <w:rFonts w:cs="Times New Roman"/>
        </w:rPr>
        <w:t>.</w:t>
      </w:r>
      <w:r w:rsidR="004622D4" w:rsidRPr="379A9D01">
        <w:rPr>
          <w:rFonts w:eastAsia="Calibri" w:cs="Times New Roman"/>
        </w:rPr>
        <w:t>This is a trend that has been described in recent years by drug users in online forums, blogs and videos, though there is very little research on the topic. A recent study (a modest online survey using a convenience sample in the UK), reported that 39.5% of those using an EC had used it for recreational drug administration in their life time</w:t>
      </w:r>
      <w:r w:rsidR="00333658">
        <w:rPr>
          <w:rFonts w:eastAsia="Calibri" w:cs="Times New Roman"/>
        </w:rPr>
        <w:t xml:space="preserve"> </w:t>
      </w:r>
      <w:r w:rsidR="00333658">
        <w:rPr>
          <w:rFonts w:eastAsia="Calibri" w:cs="Times New Roman"/>
        </w:rPr>
        <w:fldChar w:fldCharType="begin" w:fldLock="1"/>
      </w:r>
      <w:r w:rsidR="00620688">
        <w:rPr>
          <w:rFonts w:eastAsia="Calibri" w:cs="Times New Roman"/>
        </w:rPr>
        <w:instrText>ADDIN CSL_CITATION {"citationItems":[{"id":"ITEM-1","itemData":{"DOI":"10.1093/qjmed/hcx178","ISSN":"14602393","abstract":"Background: There is limited published scientific data on vaping recreational drugs other than cannabis. A recent review suggested that 15% of people vaping cannabis have also vaped a synthetic cannabinoid receptor agonist (SCRA) and identified over 300 Internet reports of e-liquid manufacture of recreational drugs and/or new psychoactive substances (NPS). Aim: To determine the prevalence of use of electronic vaping devices for recreational drug and NPS delivery in the UK. Design: A voluntary online survey using a convenience sample of UK adult participants (aged 16 years old and over) identified by a market research company. Methods: Data was collected regarding demographics, smoking history, electronic vaping device history and recreational drug/NPS use and route of administration. Results: There were 2501 respondents. The mean (6SD) age was 46.2 6 16.8 years old. The commonest lifetime recreational drug used was Cannabis (818, 32.7%). The majority of respondents had smoked (1545, 61.8%) with 731 (29.2%) being current smokers. The most commonly used SCRA product was ‘Spice Gold’ (173, 6.9%) and SCRA compound was ADB-CHMICA (48, 1.9%). 861 (34.4%) had used an electronic vaping device; 340 (13.6%) having used them for recreational drug administration; 236 (9.4%) reporting current use. The commonest lifetime recreational drug to be vaped was cannabis (155, 65.7%), with electronic cigarettes (230, 48.2%) being the commonest reported route of SCRA compound administration. Conclusion: 9.4% of respondents currently use electronic vaping devices for recreational drug administration with 6.2% reporting lifetime cannabis vaping use. Further larger scale studies are required to help inform the appropriate treatment and primary prevention strategies.","author":[{"dropping-particle":"","family":"Blundell","given":"M.","non-dropping-particle":"","parse-names":false,"suffix":""},{"dropping-particle":"","family":"Dargan","given":"P.","non-dropping-particle":"","parse-names":false,"suffix":""},{"dropping-particle":"","family":"Wood","given":"D.","non-dropping-particle":"","parse-names":false,"suffix":""}],"container-title":"QJM: An International Journal of Medicine","id":"ITEM-1","issue":"1","issued":{"date-parts":[["2018","1","1"]]},"page":"9-14","title":"A cloud on the horizon–a survey into the use of electronic vaping devices for recreational drug and new psychoactive substance (NPS) administration","type":"article-journal","volume":"111"},"uris":["http://www.mendeley.com/documents/?uuid=6b8bf908-213d-4fb5-92e8-d4afbe8d5908"]}],"mendeley":{"formattedCitation":"[35]","plainTextFormattedCitation":"[35]","previouslyFormattedCitation":"[35]"},"properties":{"noteIndex":0},"schema":"https://github.com/citation-style-language/schema/raw/master/csl-citation.json"}</w:instrText>
      </w:r>
      <w:r w:rsidR="00333658">
        <w:rPr>
          <w:rFonts w:eastAsia="Calibri" w:cs="Times New Roman"/>
        </w:rPr>
        <w:fldChar w:fldCharType="separate"/>
      </w:r>
      <w:r w:rsidR="0077457B" w:rsidRPr="0077457B">
        <w:rPr>
          <w:rFonts w:eastAsia="Calibri" w:cs="Times New Roman"/>
          <w:noProof/>
        </w:rPr>
        <w:t>[35]</w:t>
      </w:r>
      <w:r w:rsidR="00333658">
        <w:rPr>
          <w:rFonts w:eastAsia="Calibri" w:cs="Times New Roman"/>
        </w:rPr>
        <w:fldChar w:fldCharType="end"/>
      </w:r>
      <w:r w:rsidR="004622D4" w:rsidRPr="379A9D01">
        <w:rPr>
          <w:rFonts w:eastAsia="Calibri" w:cs="Times New Roman"/>
        </w:rPr>
        <w:t>.</w:t>
      </w:r>
      <w:r w:rsidR="00840AF7">
        <w:rPr>
          <w:rFonts w:eastAsia="Calibri" w:cs="Times New Roman"/>
        </w:rPr>
        <w:t xml:space="preserve"> </w:t>
      </w:r>
      <w:r w:rsidR="004622D4" w:rsidRPr="379A9D01">
        <w:rPr>
          <w:rFonts w:eastAsia="Calibri" w:cs="Times New Roman"/>
        </w:rPr>
        <w:t>Most commonly reported was cannabis vaping; 18% of EC users reported lifetime use and 10.6% had used in the last 30 days.</w:t>
      </w:r>
      <w:r w:rsidR="00840AF7">
        <w:rPr>
          <w:rFonts w:eastAsia="Calibri" w:cs="Times New Roman"/>
        </w:rPr>
        <w:t xml:space="preserve"> </w:t>
      </w:r>
      <w:r w:rsidR="00903585" w:rsidRPr="379A9D01">
        <w:rPr>
          <w:rFonts w:eastAsia="Calibri" w:cs="Times New Roman"/>
        </w:rPr>
        <w:t xml:space="preserve">Although cannabis use was common in our sample, no participants reported adding cannabis (synthetic or otherwise) or any other illicit drug to the EC </w:t>
      </w:r>
      <w:r w:rsidR="00436967">
        <w:rPr>
          <w:rFonts w:eastAsia="Calibri" w:cs="Times New Roman"/>
        </w:rPr>
        <w:t xml:space="preserve">provided by the study </w:t>
      </w:r>
      <w:r w:rsidR="00903585" w:rsidRPr="379A9D01">
        <w:rPr>
          <w:rFonts w:eastAsia="Calibri" w:cs="Times New Roman"/>
        </w:rPr>
        <w:t xml:space="preserve">during the 24 week study period. </w:t>
      </w:r>
    </w:p>
    <w:p w14:paraId="7AC479F1" w14:textId="7070268A" w:rsidR="000951DF" w:rsidRPr="00CC3ABA" w:rsidRDefault="7A0EA751" w:rsidP="00927D4A">
      <w:pPr>
        <w:spacing w:after="160" w:line="480" w:lineRule="auto"/>
        <w:jc w:val="both"/>
        <w:rPr>
          <w:rFonts w:cs="Times New Roman"/>
        </w:rPr>
      </w:pPr>
      <w:r w:rsidRPr="379A9D01">
        <w:rPr>
          <w:rFonts w:cs="Times New Roman"/>
        </w:rPr>
        <w:t>Encouragingly</w:t>
      </w:r>
      <w:r w:rsidR="009D2D8D" w:rsidRPr="379A9D01">
        <w:rPr>
          <w:rFonts w:cs="Times New Roman"/>
        </w:rPr>
        <w:t>, EC were well tolerated with high scores for</w:t>
      </w:r>
      <w:r w:rsidR="00880CD1" w:rsidRPr="379A9D01">
        <w:rPr>
          <w:rFonts w:cs="Times New Roman"/>
        </w:rPr>
        <w:t xml:space="preserve"> self-reported positive effects e</w:t>
      </w:r>
      <w:r w:rsidR="007F4346">
        <w:rPr>
          <w:rFonts w:cs="Times New Roman"/>
        </w:rPr>
        <w:t>.</w:t>
      </w:r>
      <w:r w:rsidR="00880CD1" w:rsidRPr="379A9D01">
        <w:rPr>
          <w:rFonts w:cs="Times New Roman"/>
        </w:rPr>
        <w:t>g</w:t>
      </w:r>
      <w:r w:rsidR="007F4346">
        <w:rPr>
          <w:rFonts w:cs="Times New Roman"/>
        </w:rPr>
        <w:t>.</w:t>
      </w:r>
      <w:r w:rsidR="009D2D8D" w:rsidRPr="379A9D01">
        <w:rPr>
          <w:rFonts w:cs="Times New Roman"/>
        </w:rPr>
        <w:t xml:space="preserve"> ‘pleasant’ and ‘tastes good</w:t>
      </w:r>
      <w:r w:rsidR="00927D4A" w:rsidRPr="379A9D01">
        <w:rPr>
          <w:rFonts w:cs="Times New Roman"/>
        </w:rPr>
        <w:t>’</w:t>
      </w:r>
      <w:r w:rsidR="009D2D8D" w:rsidRPr="379A9D01">
        <w:rPr>
          <w:rFonts w:cs="Times New Roman"/>
        </w:rPr>
        <w:t>.</w:t>
      </w:r>
      <w:r w:rsidR="00840AF7">
        <w:rPr>
          <w:rFonts w:cs="Times New Roman"/>
        </w:rPr>
        <w:t xml:space="preserve"> </w:t>
      </w:r>
      <w:r w:rsidR="009D2D8D" w:rsidRPr="379A9D01">
        <w:rPr>
          <w:rFonts w:cs="Times New Roman"/>
        </w:rPr>
        <w:t>Self-reported negative effects were rare; the highest scoring items on our VAS of negative effects were nausea and headache, both with an average severity score of less than 20%.</w:t>
      </w:r>
      <w:r w:rsidR="00840AF7">
        <w:rPr>
          <w:rFonts w:cs="Times New Roman"/>
        </w:rPr>
        <w:t xml:space="preserve"> </w:t>
      </w:r>
      <w:r w:rsidR="009D2D8D" w:rsidRPr="379A9D01">
        <w:rPr>
          <w:rFonts w:cs="Times New Roman"/>
        </w:rPr>
        <w:t xml:space="preserve">Interestingly, </w:t>
      </w:r>
      <w:r w:rsidR="00303894" w:rsidRPr="379A9D01">
        <w:rPr>
          <w:rFonts w:cs="Times New Roman"/>
        </w:rPr>
        <w:t>these symptoms differ to those reported in other studies</w:t>
      </w:r>
      <w:r w:rsidR="007B6D5B" w:rsidRPr="379A9D01">
        <w:rPr>
          <w:rFonts w:cs="Times New Roman"/>
        </w:rPr>
        <w:t>; u</w:t>
      </w:r>
      <w:r w:rsidR="00927D4A" w:rsidRPr="379A9D01">
        <w:rPr>
          <w:rFonts w:cs="Times New Roman"/>
        </w:rPr>
        <w:t xml:space="preserve">sing the same VAS for negative effects, we have previously found that </w:t>
      </w:r>
      <w:r w:rsidR="006E4DEA" w:rsidRPr="379A9D01">
        <w:rPr>
          <w:rFonts w:cs="Times New Roman"/>
        </w:rPr>
        <w:t>throat irritation, mouth irritation and light-headedness are generally the most commonly experienced negative effects in smokers and EC users (although ratings are still low) whilst nervousness and headache are less typical</w:t>
      </w:r>
      <w:r w:rsidR="00ED06F8">
        <w:rPr>
          <w:rFonts w:cs="Times New Roman"/>
        </w:rPr>
        <w:t xml:space="preserve"> </w:t>
      </w:r>
      <w:r w:rsidR="001676F6">
        <w:rPr>
          <w:rFonts w:cs="Times New Roman"/>
        </w:rPr>
        <w:fldChar w:fldCharType="begin" w:fldLock="1"/>
      </w:r>
      <w:r w:rsidR="00840AF7">
        <w:rPr>
          <w:rFonts w:cs="Times New Roman"/>
        </w:rPr>
        <w:instrText>ADDIN CSL_CITATION {"citationItems":[{"id":"ITEM-1","itemData":{"DOI":"10.1111/add.12150","ISSN":"09652140","abstract":"Aims: To characterize e-cigarette use, users and effects in a sample of Electronic Cigarette Company (TECC) and Totally Wicked E-Liquid (TWEL) users. Design and setting: Online survey hosted at the University of East London with links from TECC/TWEL websites from September 2011 to May 2012. Measurements: Online questionnaire. Participants: One thousand three hundred and forty-seven respondents from 33 countries (72% European), mean age 43 years, 70% male, 96% Causacian, 44% educated to degree level or above. Findings: Seventy-four percent of participants reported not smoking for at least a few weeks since using the e-cigarette and 70% reported reduced urge to smoke. Seventy-two percent of participants used a 'tank' system, most commonly, the eGo-C (23%). Mean duration of use was 10 months. Only 1% reported exclusive use of non-nicotine (0mg) containing liquid. E-cigarettes were generally considered to be satisfying to use; elicit few side effects; be healthier than smoking; improve cough/breathing; and be associated with low levels of craving. Among ex-smokers, 'time to first vape' was significantly longer than 'time to first cigarette' (t1104=11.16, P&lt;0.001) suggesting a lower level of dependence to e-cigarettes. Ex-smokers reported significantly greater reduction in craving than current smokers (χ21=133.66, P&lt;0.0007) although few other differences emerged between these groups. Compared with males, females opted more for chocolate/sweet flavours (χ21=16.16, P&lt;0.001) and liked the e-cigarette because it resembles a cigarette (χ23=42.65, P&lt;0.001). Conclusions: E-cigarettes are used primarily for smoking cessation, but for a longer duration than nicotine replacement therapy, and users believe them to be safer than smoking. © 2013 Society for the Study of Addiction.","author":[{"dropping-particle":"","family":"Dawkins","given":"Lynne","non-dropping-particle":"","parse-names":false,"suffix":""},{"dropping-particle":"","family":"Turner","given":"John","non-dropping-particle":"","parse-names":false,"suffix":""},{"dropping-particle":"","family":"Roberts","given":"Amanda","non-dropping-particle":"","parse-names":false,"suffix":""},{"dropping-particle":"","family":"Soar","given":"Kirstie","non-dropping-particle":"","parse-names":false,"suffix":""}],"container-title":"Addiction","id":"ITEM-1","issue":"6","issued":{"date-parts":[["2013"]]},"page":"1115-1125","title":"'Vaping' profiles and preferences: An online survey of electronic cigarette users","type":"article-journal","volume":"108"},"uris":["http://www.mendeley.com/documents/?uuid=b303d9fb-013d-474a-af3c-82e74af892fc"]},{"id":"ITEM-2","itemData":{"DOI":"10.1007/s00213-013-3249-8","ISSN":"00333158","abstract":"Rationale: Electronic cigarettes are becoming increasingly popular among smokers worldwide. Commonly reported reasons for use include the following: to quit smoking, to avoid relapse, to reduce urge to smoke, or as a perceived lower-risk alternative to smoking. Few studies, however, have explored whether electronic cigarettes (e-cigarettes) deliver measurable levels of nicotine to the blood. Objective: This study aims to explore in experienced users the effect of using an 18-mg/ml nicotine first-generation e-cigarette on blood nicotine, tobacco withdrawal symptoms, and urge to smoke. Methods: Fourteen regular e-cigarette users (three females), who are abstinent from smoking and e-cigarette use for 12 h, each completed a 2.5 h testing session. Blood was sampled, and questionnaires were completed (tobacco-related withdrawal symptoms, urge to smoke, positive and negative subjective effects) at four stages: baseline, 10 puffs, 60 min of ad lib use and a 60-min rest period. Results: Complete sets of blood were obtained from seven participants. Plasma nicotine concentration rose significantly from a mean of 0.74 ng/ml at baseline to 6.77 ng/ml 10 min after 10 puffs, reaching a mean maximum of 13.91 ng/ml by the end of the ad lib puffing period. Tobacco-related withdrawal symptoms and urge to smoke were significantly reduced; direct positive effects were strongly endorsed, and there was very low reporting of adverse effects. Conclusions: These findings demonstrate reliable blood nicotine delivery after the acute use of this brand/model of e-cigarette in a sample of regular users. Future studies might usefully quantify nicotine delivery in relation to inhalation technique and the relationship with successful smoking cessation/harm reduction. © 2013 Springer-Verlag Berlin Heidelberg.","author":[{"dropping-particle":"","family":"Dawkins","given":"Lynne","non-dropping-particle":"","parse-names":false,"suffix":""},{"dropping-particle":"","family":"Corcoran","given":"Olivia","non-dropping-particle":"","parse-names":false,"suffix":""}],"container-title":"Psychopharmacology","id":"ITEM-2","issue":"2","issued":{"date-parts":[["2014","1"]]},"page":"401-407","title":"Acute electronic cigarette use: Nicotine delivery and subjective effects in regular users","type":"article-journal","volume":"231"},"uris":["http://www.mendeley.com/documents/?uuid=cea4819a-f377-438e-a4a4-e97b4e7f1f99"]},{"id":"ITEM-3","itemData":{"DOI":"10.1007/s00213-016-4338-2","ISSN":"14322072","PMID":"27235016","abstract":"Rationale: Self-titration is well documented in the tobacco literature. The extent to which e-cigarette users (vapers) self-titrate is unknown. Objective: This study explored the effects of high and low nicotine strength liquid on puffing topography, nicotine delivery and subjective effects in experienced vapers. Methods: Eleven experienced male vapers completed 60 min of ad libitum vaping under low (6 mg/mL) and high (24 mg/mL) nicotine liquid conditions in two separate sessions. Measurements included puffing topography (puff number, puff duration, volume of liquid consumed) and changes in plasma nicotine levels, craving, withdrawal symptoms, self-reported hit, satisfaction and adverse effects. Results: Liquid consumption and puff number were higher and puff duration longer, in the low nicotine strength condition (all ps &lt; 0.01). The mean difference in nicotine boost from baseline in the low condition was 8.59 (7.52) ng/mL, 16.99 (11.72) ng/mL and 22.03 (16.19) ng/mL at 10, 30 and 60 min, respectively. Corresponding values for the high condition were 33.77 (34.88) ng/mL, 35.48 (28.31) ng/mL and 43.57 (34.78) ng/mL (ps &lt; 0.05). There were no statistically significant differences between conditions in self-reported craving, withdrawal symptoms, satisfaction, hit or adverse effects. Conclusions: Vapers engaged in compensatory puffing with lower nicotine strength liquid, doubling their consumption. Whilst compensatory puffing was sufficient to reduce craving and withdrawal discomfort, self-titration was incomplete with significantly higher plasma nicotine levels in the high condition.","author":[{"dropping-particle":"","family":"Dawkins","given":"Lynne E.","non-dropping-particle":"","parse-names":false,"suffix":""},{"dropping-particle":"","family":"Kimber","given":"Catherine F.","non-dropping-particle":"","parse-names":false,"suffix":""},{"dropping-particle":"","family":"Doig","given":"Mira","non-dropping-particle":"","parse-names":false,"suffix":""},{"dropping-particle":"","family":"Feyerabend","given":"Colin","non-dropping-particle":"","parse-names":false,"suffix":""},{"dropping-particle":"","family":"Corcoran","given":"Olivia","non-dropping-particle":"","parse-names":false,"suffix":""}],"container-title":"Psychopharmacology","id":"ITEM-3","issue":"15-16","issued":{"date-parts":[["2016"]]},"page":"2933-2941","title":"Self-titration by experienced e-cigarette users: blood nicotine delivery and subjective effects","type":"article-journal","volume":"233"},"uris":["http://www.mendeley.com/documents/?uuid=d88f3990-7e02-47dc-b9d7-e52241755489"]}],"mendeley":{"formattedCitation":"[54,62,63]","plainTextFormattedCitation":"[54,62,63]","previouslyFormattedCitation":"[54,62,63]"},"properties":{"noteIndex":0},"schema":"https://github.com/citation-style-language/schema/raw/master/csl-citation.json"}</w:instrText>
      </w:r>
      <w:r w:rsidR="001676F6">
        <w:rPr>
          <w:rFonts w:cs="Times New Roman"/>
        </w:rPr>
        <w:fldChar w:fldCharType="separate"/>
      </w:r>
      <w:r w:rsidR="00840AF7" w:rsidRPr="00840AF7">
        <w:rPr>
          <w:rFonts w:cs="Times New Roman"/>
          <w:noProof/>
        </w:rPr>
        <w:t>[54,62,63]</w:t>
      </w:r>
      <w:r w:rsidR="001676F6">
        <w:rPr>
          <w:rFonts w:cs="Times New Roman"/>
        </w:rPr>
        <w:fldChar w:fldCharType="end"/>
      </w:r>
      <w:r w:rsidR="006E4DEA" w:rsidRPr="379A9D01">
        <w:rPr>
          <w:rFonts w:cs="Times New Roman"/>
        </w:rPr>
        <w:t>.</w:t>
      </w:r>
    </w:p>
    <w:p w14:paraId="5E8715D3" w14:textId="63FDE44C" w:rsidR="00C04526" w:rsidRPr="00CC3ABA" w:rsidRDefault="00DD3C9A" w:rsidP="00C27C19">
      <w:pPr>
        <w:spacing w:after="160" w:line="480" w:lineRule="auto"/>
        <w:jc w:val="both"/>
        <w:rPr>
          <w:rFonts w:cs="Times New Roman"/>
        </w:rPr>
      </w:pPr>
      <w:r w:rsidRPr="379A9D01">
        <w:rPr>
          <w:rFonts w:cs="Times New Roman"/>
        </w:rPr>
        <w:t>As expected, our sample scored highly on measures of anxiety, depression</w:t>
      </w:r>
      <w:r w:rsidR="00D11AED" w:rsidRPr="379A9D01">
        <w:rPr>
          <w:rFonts w:cs="Times New Roman"/>
        </w:rPr>
        <w:t>, a</w:t>
      </w:r>
      <w:r w:rsidRPr="379A9D01">
        <w:rPr>
          <w:rFonts w:cs="Times New Roman"/>
        </w:rPr>
        <w:t>lc</w:t>
      </w:r>
      <w:r w:rsidR="000B0B87">
        <w:rPr>
          <w:rFonts w:cs="Times New Roman"/>
        </w:rPr>
        <w:t>ohol</w:t>
      </w:r>
      <w:r w:rsidRPr="379A9D01">
        <w:rPr>
          <w:rFonts w:cs="Times New Roman"/>
        </w:rPr>
        <w:t xml:space="preserve"> </w:t>
      </w:r>
      <w:r w:rsidR="00D11AED" w:rsidRPr="379A9D01">
        <w:rPr>
          <w:rFonts w:cs="Times New Roman"/>
        </w:rPr>
        <w:t xml:space="preserve">misuse </w:t>
      </w:r>
      <w:r w:rsidRPr="379A9D01">
        <w:rPr>
          <w:rFonts w:cs="Times New Roman"/>
        </w:rPr>
        <w:t>and substance</w:t>
      </w:r>
      <w:r w:rsidR="00D11AED" w:rsidRPr="379A9D01">
        <w:rPr>
          <w:rFonts w:cs="Times New Roman"/>
        </w:rPr>
        <w:t xml:space="preserve"> disorder</w:t>
      </w:r>
      <w:r w:rsidR="001F1B5D" w:rsidRPr="379A9D01">
        <w:rPr>
          <w:rFonts w:cs="Times New Roman"/>
        </w:rPr>
        <w:t xml:space="preserve"> at baseline</w:t>
      </w:r>
      <w:r w:rsidRPr="379A9D01">
        <w:rPr>
          <w:rFonts w:cs="Times New Roman"/>
        </w:rPr>
        <w:t>.</w:t>
      </w:r>
      <w:r w:rsidR="00721A82">
        <w:rPr>
          <w:rFonts w:cs="Times New Roman"/>
        </w:rPr>
        <w:t xml:space="preserve"> </w:t>
      </w:r>
      <w:r w:rsidR="00C27C19" w:rsidRPr="379A9D01">
        <w:rPr>
          <w:rFonts w:cs="Times New Roman"/>
        </w:rPr>
        <w:t>Encouragingly</w:t>
      </w:r>
      <w:r w:rsidR="001F1B5D" w:rsidRPr="379A9D01">
        <w:rPr>
          <w:rFonts w:cs="Times New Roman"/>
        </w:rPr>
        <w:t xml:space="preserve">, illicit </w:t>
      </w:r>
      <w:r w:rsidR="00C27C19" w:rsidRPr="379A9D01">
        <w:rPr>
          <w:rFonts w:cs="Times New Roman"/>
        </w:rPr>
        <w:t xml:space="preserve">substance </w:t>
      </w:r>
      <w:r w:rsidR="001F1B5D" w:rsidRPr="379A9D01">
        <w:rPr>
          <w:rFonts w:cs="Times New Roman"/>
        </w:rPr>
        <w:t>use (SDS) remained stable over time and</w:t>
      </w:r>
      <w:r w:rsidR="00296B16">
        <w:rPr>
          <w:rFonts w:cs="Times New Roman"/>
        </w:rPr>
        <w:t xml:space="preserve"> </w:t>
      </w:r>
      <w:r w:rsidR="00FB0D18">
        <w:rPr>
          <w:rFonts w:cs="Times New Roman"/>
        </w:rPr>
        <w:t>GAD-7</w:t>
      </w:r>
      <w:r w:rsidR="001F1B5D" w:rsidRPr="379A9D01">
        <w:rPr>
          <w:rFonts w:cs="Times New Roman"/>
        </w:rPr>
        <w:t xml:space="preserve">, </w:t>
      </w:r>
      <w:r w:rsidR="00FB0D18">
        <w:rPr>
          <w:rFonts w:cs="Times New Roman"/>
        </w:rPr>
        <w:t>PHQ-9</w:t>
      </w:r>
      <w:r w:rsidR="001F1B5D" w:rsidRPr="379A9D01">
        <w:rPr>
          <w:rFonts w:cs="Times New Roman"/>
        </w:rPr>
        <w:t xml:space="preserve"> and AUDIT scores declined</w:t>
      </w:r>
      <w:r w:rsidR="00C27C19" w:rsidRPr="379A9D01">
        <w:rPr>
          <w:rFonts w:cs="Times New Roman"/>
        </w:rPr>
        <w:t xml:space="preserve"> from baseline to follow up suggesting that mental health and alcohol misuse do not get worse during a quit attempt and  show</w:t>
      </w:r>
      <w:r w:rsidR="00593DEF">
        <w:rPr>
          <w:rFonts w:cs="Times New Roman"/>
        </w:rPr>
        <w:t>ed</w:t>
      </w:r>
      <w:r w:rsidR="00C27C19" w:rsidRPr="379A9D01">
        <w:rPr>
          <w:rFonts w:cs="Times New Roman"/>
        </w:rPr>
        <w:t xml:space="preserve"> a slight improvement. </w:t>
      </w:r>
      <w:r w:rsidR="00B96470" w:rsidRPr="379A9D01">
        <w:rPr>
          <w:rFonts w:cs="Times New Roman"/>
        </w:rPr>
        <w:t>This is consistent with previous research which has demonstrated that stopping smoking is associated with an improvement in mental health symptoms</w:t>
      </w:r>
      <w:r w:rsidR="001676F6">
        <w:rPr>
          <w:rFonts w:cs="Times New Roman"/>
        </w:rPr>
        <w:fldChar w:fldCharType="begin" w:fldLock="1"/>
      </w:r>
      <w:r w:rsidR="00620688">
        <w:rPr>
          <w:rFonts w:cs="Times New Roman"/>
        </w:rPr>
        <w:instrText>ADDIN CSL_CITATION {"citationItems":[{"id":"ITEM-1","itemData":{"DOI":"10.1136/bmj.g1151","ISSN":"17561833","PMID":"24524926","abstract":"Objective To investigate change in mental health after smoking cessation compared with continuing to smoke. Design Systematic review and meta-analysis of observational studies. Data sources Web of Science, Cochrane Central Register of Controlled Trials, Medline, Embase, and PsycINFO for relevant studies from inception to April 2012. Reference lists of included studies were hand searched, and authors were contacted when insufficient data were reported. Eligibility criteria for selecting studies Longitudinal studies of adults that assessed mental health before smoking cessation and at least six weeks after cessation or baseline in healthy and clinical populations. Results 26 studies that assessed mental health with questionnaires designed to measure anxiety, depression, mixed anxiety and depression, psychological quality of life, positive affect, and stress were included. Follow-up mental health scores were measured between seven weeks and nine years after baseline. Anxiety, depression, mixed anxiety and depression, and stress significantly decreased between baseline and follow-up in quitters compared with continuing smokers: the standardised mean differences (95% confidence intervals) were anxiety -0.37 (95% confidence interval -0.70 to -0.03); depression -0.25 (-0.37 to -0.12); mixed anxiety and depression -0.31 (-0.47 to -0.14); stress -0.27 (-0.40 to -0.13). Both psychological quality of life and positive affect significantly increased between baseline and follow-up in quitters compared with continuing smokers 0.22 (0.09 to 0.36) and 0.40 (0.09 to 0.71), respectively). There was no evidence that the effect size differed between the general population and populations with physical or psychiatric disorders. Conclusions Smoking cessation is associated with reduced depression, anxiety, and stress and improved positive mood and quality of life compared with continuing to smoke. The effect size seems as large for those with psychiatric disorders as those without. The effect sizes are equal or larger than those of antidepressant treatment for mood and anxiety disorders.","author":[{"dropping-particle":"","family":"Taylor","given":"Gemma","non-dropping-particle":"","parse-names":false,"suffix":""},{"dropping-particle":"","family":"McNeill","given":"Ann","non-dropping-particle":"","parse-names":false,"suffix":""},{"dropping-particle":"","family":"Girling","given":"Alan","non-dropping-particle":"","parse-names":false,"suffix":""},{"dropping-particle":"","family":"Farley","given":"Amanda","non-dropping-particle":"","parse-names":false,"suffix":""},{"dropping-particle":"","family":"Lindson-Hawley","given":"Nicola","non-dropping-particle":"","parse-names":false,"suffix":""},{"dropping-particle":"","family":"Aveyard","given":"Paul","non-dropping-particle":"","parse-names":false,"suffix":""}],"container-title":"BMJ (Online)","id":"ITEM-1","issued":{"date-parts":[["2014"]]},"title":"Change in mental health after smoking cessation: Systematic review and meta-analysis","type":"article-journal"},"uris":["http://www.mendeley.com/documents/?uuid=babbe7fc-f1fb-4551-b089-df1f3ae654bb"]}],"mendeley":{"formattedCitation":"[34]","plainTextFormattedCitation":"[34]","previouslyFormattedCitation":"[34]"},"properties":{"noteIndex":0},"schema":"https://github.com/citation-style-language/schema/raw/master/csl-citation.json"}</w:instrText>
      </w:r>
      <w:r w:rsidR="001676F6">
        <w:rPr>
          <w:rFonts w:cs="Times New Roman"/>
        </w:rPr>
        <w:fldChar w:fldCharType="separate"/>
      </w:r>
      <w:r w:rsidR="0077457B" w:rsidRPr="0077457B">
        <w:rPr>
          <w:rFonts w:cs="Times New Roman"/>
          <w:noProof/>
        </w:rPr>
        <w:t>[34]</w:t>
      </w:r>
      <w:r w:rsidR="001676F6">
        <w:rPr>
          <w:rFonts w:cs="Times New Roman"/>
        </w:rPr>
        <w:fldChar w:fldCharType="end"/>
      </w:r>
      <w:r w:rsidR="00B96470">
        <w:rPr>
          <w:rFonts w:cs="Times New Roman"/>
        </w:rPr>
        <w:t>.</w:t>
      </w:r>
      <w:r w:rsidR="00840AF7">
        <w:rPr>
          <w:rFonts w:cs="Times New Roman"/>
        </w:rPr>
        <w:t xml:space="preserve"> </w:t>
      </w:r>
      <w:r w:rsidR="3EE348D6" w:rsidRPr="379A9D01">
        <w:rPr>
          <w:rFonts w:cs="Times New Roman"/>
        </w:rPr>
        <w:t>This is an important finding</w:t>
      </w:r>
      <w:r w:rsidR="00B96470">
        <w:rPr>
          <w:rFonts w:cs="Times New Roman"/>
        </w:rPr>
        <w:t>;</w:t>
      </w:r>
      <w:r w:rsidR="3EE348D6" w:rsidRPr="379A9D01">
        <w:rPr>
          <w:rFonts w:cs="Times New Roman"/>
        </w:rPr>
        <w:t xml:space="preserve"> in our recent systematic review, </w:t>
      </w:r>
      <w:r w:rsidR="00B96470">
        <w:rPr>
          <w:rFonts w:cs="Times New Roman"/>
        </w:rPr>
        <w:t xml:space="preserve">we report that </w:t>
      </w:r>
      <w:r w:rsidR="3EE348D6" w:rsidRPr="379A9D01">
        <w:rPr>
          <w:rFonts w:cs="Times New Roman"/>
        </w:rPr>
        <w:t xml:space="preserve">professionals working within the homeless sector are </w:t>
      </w:r>
      <w:r w:rsidR="00B96470">
        <w:rPr>
          <w:rFonts w:cs="Times New Roman"/>
        </w:rPr>
        <w:t xml:space="preserve">often </w:t>
      </w:r>
      <w:r w:rsidR="3EE348D6" w:rsidRPr="379A9D01">
        <w:rPr>
          <w:rFonts w:cs="Times New Roman"/>
        </w:rPr>
        <w:t>con</w:t>
      </w:r>
      <w:r w:rsidR="000C1CD1">
        <w:rPr>
          <w:rFonts w:cs="Times New Roman"/>
        </w:rPr>
        <w:t>cerned about</w:t>
      </w:r>
      <w:r w:rsidR="3EE348D6" w:rsidRPr="379A9D01">
        <w:rPr>
          <w:rFonts w:cs="Times New Roman"/>
        </w:rPr>
        <w:t xml:space="preserve"> worsening mental illness or current substance use </w:t>
      </w:r>
      <w:r w:rsidR="006B3DFD">
        <w:rPr>
          <w:rFonts w:cs="Times New Roman"/>
        </w:rPr>
        <w:fldChar w:fldCharType="begin" w:fldLock="1"/>
      </w:r>
      <w:r w:rsidR="006B3DFD">
        <w:rPr>
          <w:rFonts w:cs="Times New Roman"/>
        </w:rPr>
        <w:instrText>ADDIN CSL_CITATION {"citationItems":[{"id":"ITEM-1","itemData":{"DOI":"10.1017/jsc.2020.11","ISSN":"18342612","abstract":"Background To date, there has been no review of the research evidence examining smoking cessation among homeless adults. The current review aimed to: (i) estimate smoking prevalence in homeless populations; (ii) explore the efficacy of smoking cessation and smoking reduction interventions for homeless individuals; and (iii) describe the barriers and facilitators to smoking cessation and smoking reduction.MethodSystematic review of peer-reviewed research. Data sources included electronic academic databases. Search terms: 'smoking' AND 'homeless' AND 'tobacco', including adult (18+ years) smokers accessing homeless support services.ResultsFifty-three studies met the inclusion criteria (n = 46 USA). Data could not be meta-analysed due to large methodological inconsistencies and the lack of randomised controlled trials. Smoking prevalence ranged from 57% to 82%. Although there was no clear evidence on which cessation methods work best, layered approaches with additions to usual care seemed to offer modest enhancements in quit rates. Key barriers to cessation exist around the priority of smoking, beliefs around negative impact on mental health and substance use, and environmental influences.ConclusionsHomeless smokers will benefit from layered interventions which support many of their competing needs. To best understand what works, future recommendations include the need for consensus on the reporting of cessation outcomes.","author":[{"dropping-particle":"","family":"Soar","given":"Kirstie","non-dropping-particle":"","parse-names":false,"suffix":""},{"dropping-particle":"","family":"Dawkins","given":"Lynne","non-dropping-particle":"","parse-names":false,"suffix":""},{"dropping-particle":"","family":"Robson","given":"Deborah","non-dropping-particle":"","parse-names":false,"suffix":""},{"dropping-particle":"","family":"Cox","given":"Sharon","non-dropping-particle":"","parse-names":false,"suffix":""}],"container-title":"Journal of Smoking Cessation","id":"ITEM-1","issue":"2","issued":{"date-parts":[["2020","6"]]},"page":"94-108","title":"Smoking amongst adults experiencing homelessness: A systematic review of prevalence rates, interventions and the barriers and facilitators to quitting and staying quit","type":"article-journal","volume":"15"},"uris":["http://www.mendeley.com/documents/?uuid=c6e8e830-ea4e-47c7-9eee-b069b89d9900"]}],"mendeley":{"formattedCitation":"[6]","plainTextFormattedCitation":"[6]","previouslyFormattedCitation":"[6]"},"properties":{"noteIndex":0},"schema":"https://github.com/citation-style-language/schema/raw/master/csl-citation.json"}</w:instrText>
      </w:r>
      <w:r w:rsidR="006B3DFD">
        <w:rPr>
          <w:rFonts w:cs="Times New Roman"/>
        </w:rPr>
        <w:fldChar w:fldCharType="separate"/>
      </w:r>
      <w:r w:rsidR="006B3DFD" w:rsidRPr="006B3DFD">
        <w:rPr>
          <w:rFonts w:cs="Times New Roman"/>
          <w:noProof/>
        </w:rPr>
        <w:t>[6]</w:t>
      </w:r>
      <w:r w:rsidR="006B3DFD">
        <w:rPr>
          <w:rFonts w:cs="Times New Roman"/>
        </w:rPr>
        <w:fldChar w:fldCharType="end"/>
      </w:r>
      <w:r w:rsidR="5E27BC21" w:rsidRPr="379A9D01">
        <w:rPr>
          <w:rFonts w:cs="Times New Roman"/>
        </w:rPr>
        <w:t xml:space="preserve"> and this has been a key barrier to both starting discussions around smoking and also implementing smoking cessation programmes</w:t>
      </w:r>
      <w:r w:rsidR="7FF6D66D" w:rsidRPr="379A9D01">
        <w:rPr>
          <w:rFonts w:cs="Times New Roman"/>
        </w:rPr>
        <w:t>.</w:t>
      </w:r>
      <w:r w:rsidR="31EDB4E2" w:rsidRPr="379A9D01">
        <w:rPr>
          <w:rFonts w:cs="Times New Roman"/>
        </w:rPr>
        <w:t xml:space="preserve"> Health professionals should find the growing evidence that smoking cessation does not counter progress with other mental health symptoms</w:t>
      </w:r>
      <w:r w:rsidR="65E5D7A7" w:rsidRPr="379A9D01">
        <w:rPr>
          <w:rFonts w:cs="Times New Roman"/>
        </w:rPr>
        <w:t xml:space="preserve"> in adults with complex needs</w:t>
      </w:r>
      <w:r w:rsidR="31EDB4E2" w:rsidRPr="379A9D01">
        <w:rPr>
          <w:rFonts w:cs="Times New Roman"/>
        </w:rPr>
        <w:t xml:space="preserve"> reassuring. </w:t>
      </w:r>
      <w:r w:rsidR="00020AEA">
        <w:rPr>
          <w:rFonts w:cs="Times New Roman"/>
        </w:rPr>
        <w:t xml:space="preserve">The potential benefits of cessation on mental wellbeing would be explored in a future trial. </w:t>
      </w:r>
    </w:p>
    <w:p w14:paraId="7F5D227B" w14:textId="17B99EB3" w:rsidR="00FB215E" w:rsidRPr="00FB215E" w:rsidRDefault="00676671" w:rsidP="00FB215E">
      <w:pPr>
        <w:spacing w:after="160" w:line="480" w:lineRule="auto"/>
        <w:jc w:val="both"/>
        <w:rPr>
          <w:rFonts w:cs="Times New Roman"/>
        </w:rPr>
      </w:pPr>
      <w:r w:rsidRPr="00CC3ABA">
        <w:rPr>
          <w:rFonts w:cs="Times New Roman"/>
        </w:rPr>
        <w:t>E-cigarettes were well-received in the EC arm with the majority reporting that they still had, and were still us</w:t>
      </w:r>
      <w:r w:rsidR="001F1B5D">
        <w:rPr>
          <w:rFonts w:cs="Times New Roman"/>
        </w:rPr>
        <w:t xml:space="preserve">ing, </w:t>
      </w:r>
      <w:r w:rsidRPr="00CC3ABA">
        <w:rPr>
          <w:rFonts w:cs="Times New Roman"/>
        </w:rPr>
        <w:t>the e-cigarette at</w:t>
      </w:r>
      <w:r w:rsidR="000553C6">
        <w:rPr>
          <w:rFonts w:cs="Times New Roman"/>
        </w:rPr>
        <w:t xml:space="preserve"> the 24 week follow up.</w:t>
      </w:r>
      <w:r w:rsidR="00840AF7">
        <w:rPr>
          <w:rFonts w:cs="Times New Roman"/>
        </w:rPr>
        <w:t xml:space="preserve"> </w:t>
      </w:r>
      <w:r w:rsidR="000553C6">
        <w:rPr>
          <w:rFonts w:cs="Times New Roman"/>
        </w:rPr>
        <w:t xml:space="preserve">By 24 </w:t>
      </w:r>
      <w:r w:rsidRPr="00CC3ABA">
        <w:rPr>
          <w:rFonts w:cs="Times New Roman"/>
        </w:rPr>
        <w:t>weeks, 31% had also made their own EC purchase which may explain why the number of people reporting use exceeded those who reported that they still had the EC we supplied.</w:t>
      </w:r>
      <w:r w:rsidR="00840AF7">
        <w:rPr>
          <w:rFonts w:cs="Times New Roman"/>
        </w:rPr>
        <w:t xml:space="preserve"> </w:t>
      </w:r>
      <w:r w:rsidR="007E7463" w:rsidRPr="00CC3ABA">
        <w:rPr>
          <w:rFonts w:cs="Times New Roman"/>
        </w:rPr>
        <w:t xml:space="preserve">As has been reported in </w:t>
      </w:r>
      <w:r w:rsidR="007E7463" w:rsidRPr="00431FF3">
        <w:rPr>
          <w:rFonts w:cs="Times New Roman"/>
        </w:rPr>
        <w:t>other feasibility studies of EC</w:t>
      </w:r>
      <w:r w:rsidR="00431FF3" w:rsidRPr="00431FF3">
        <w:rPr>
          <w:rFonts w:cs="Times New Roman"/>
        </w:rPr>
        <w:t xml:space="preserve"> </w:t>
      </w:r>
      <w:r w:rsidR="00431FF3" w:rsidRPr="00431FF3">
        <w:rPr>
          <w:rStyle w:val="CommentReference"/>
          <w:sz w:val="24"/>
          <w:szCs w:val="24"/>
        </w:rPr>
        <w:fldChar w:fldCharType="begin" w:fldLock="1"/>
      </w:r>
      <w:r w:rsidR="00840AF7">
        <w:rPr>
          <w:rStyle w:val="CommentReference"/>
          <w:sz w:val="24"/>
          <w:szCs w:val="24"/>
        </w:rPr>
        <w:instrText>ADDIN CSL_CITATION {"citationItems":[{"id":"ITEM-1","itemData":{"DOI":"10.1186/s40814-019-0451-4","ISSN":"20555784","abstract":"Background: Tobacco smoking is a major risk factor for several oral diseases, including periodontitis, and electronic cigarettes (e-cigarettes) are increasingly being used for smoking cessation. This study aimed to assess the viability of delivering and evaluating an e-cigarette intervention for smoking cessation within the dental setting, prior to a definitive study. Methods: A feasibility study, comprising a pilot randomised controlled trial and qualitative process evaluation, was conducted over 22 months in the Newcastle upon Tyne Hospitals NHS Dental Clinical Research Facility, UK. The pilot trial comprised a two-armed, parallel group, individually randomised, controlled trial, with 1:1 allocation. Participant eligibility criteria included being a tobacco smoker, having periodontitis and not currently using an e-cigarette. All participants received standard non-surgical periodontal therapies and brief smoking cessation advice. The intervention group additionally received an e-cigarette starter kit with brief training. Proposed outcomes for a future definitive trial, in terms of smoking behaviour and periodontal/oral health, were collected over 6 months to assess data yield and quality and estimates of parameters. Analyses were descriptive, with 95% confidence intervals presented, where appropriate. Results: Eighty participants were successfully recruited from a range of dental settings. Participant retention was 73% (n = 58; 95% CI 62-81%) at 6 months. The e-cigarette intervention was well received, with usage rates of 90% (n = 36; 95% CI 77-96%) at quit date. Twenty percent (n = 8; 95% CI 11-35%) of participants in the control group used an e-cigarette at some point during the study (against advice). The majority of the outcome measures were successfully collected, apart from a weekly smoking questionnaire (only 30% of participants achieved ≥ 80% completion). Reductions in expired air carbon monoxide over 6 months of 6 ppm (95% CI 1-10 ppm) and 12 ppm (95% CI 8-16 ppm) were observed in the control and intervention groups, respectively. Rates of abstinence (carbon monoxide-verified continuous abstinence for 6months) for the two groups were 5% (n = 2; 95% CI 1-17%; control group) and 15% (n = 6; 95% CI 7-29%; intervention group). Conclusions: Data suggest that a definitive trial is feasible and that the intervention may improve smoking quit rates. Insights were gained into how best to conduct the definitive trial and estimates of parameters to inform…","author":[{"dropping-particle":"","family":"Holliday","given":"Richard","non-dropping-particle":"","parse-names":false,"suffix":""},{"dropping-particle":"","family":"Preshaw","given":"Philip M.","non-dropping-particle":"","parse-names":false,"suffix":""},{"dropping-particle":"","family":"Ryan","given":"Vicky","non-dropping-particle":"","parse-names":false,"suffix":""},{"dropping-particle":"","family":"Sniehotta","given":"Falko F.","non-dropping-particle":"","parse-names":false,"suffix":""},{"dropping-particle":"","family":"McDonald","given":"Suzanne","non-dropping-particle":"","parse-names":false,"suffix":""},{"dropping-particle":"","family":"Bauld","given":"Linda","non-dropping-particle":"","parse-names":false,"suffix":""},{"dropping-particle":"","family":"McColl","given":"Elaine","non-dropping-particle":"","parse-names":false,"suffix":""},{"dropping-particle":"","family":"McColl","given":"Elaine","non-dropping-particle":"","parse-names":false,"suffix":""}],"container-title":"Pilot and Feasibility Studies","id":"ITEM-1","issue":"1","issued":{"date-parts":[["2019","6","4"]]},"page":"1-14","publisher":"Pilot and Feasibility Studies","title":"A feasibility study with embedded pilot randomised controlled trial and process evaluation of electronic cigarettes for smoking cessation in patients with periodontitis","type":"article-journal","volume":"5"},"uris":["http://www.mendeley.com/documents/?uuid=730b94ce-1ba3-4767-9a20-d4258c69faa1"]}],"mendeley":{"formattedCitation":"[64]","plainTextFormattedCitation":"[64]","previouslyFormattedCitation":"[64]"},"properties":{"noteIndex":0},"schema":"https://github.com/citation-style-language/schema/raw/master/csl-citation.json"}</w:instrText>
      </w:r>
      <w:r w:rsidR="00431FF3" w:rsidRPr="00431FF3">
        <w:rPr>
          <w:rStyle w:val="CommentReference"/>
          <w:sz w:val="24"/>
          <w:szCs w:val="24"/>
        </w:rPr>
        <w:fldChar w:fldCharType="separate"/>
      </w:r>
      <w:r w:rsidR="00840AF7" w:rsidRPr="00840AF7">
        <w:rPr>
          <w:rStyle w:val="CommentReference"/>
          <w:noProof/>
          <w:sz w:val="24"/>
          <w:szCs w:val="24"/>
        </w:rPr>
        <w:t>[64]</w:t>
      </w:r>
      <w:r w:rsidR="00431FF3" w:rsidRPr="00431FF3">
        <w:rPr>
          <w:rStyle w:val="CommentReference"/>
          <w:sz w:val="24"/>
          <w:szCs w:val="24"/>
        </w:rPr>
        <w:fldChar w:fldCharType="end"/>
      </w:r>
      <w:r w:rsidRPr="00431FF3">
        <w:rPr>
          <w:rFonts w:cs="Times New Roman"/>
        </w:rPr>
        <w:t>,</w:t>
      </w:r>
      <w:r w:rsidRPr="00CC3ABA">
        <w:rPr>
          <w:rFonts w:cs="Times New Roman"/>
        </w:rPr>
        <w:t xml:space="preserve"> </w:t>
      </w:r>
      <w:r w:rsidR="00125C7E" w:rsidRPr="00CC3ABA">
        <w:rPr>
          <w:rFonts w:cs="Times New Roman"/>
        </w:rPr>
        <w:t xml:space="preserve">and despite our cluster design, </w:t>
      </w:r>
      <w:r w:rsidRPr="00CC3ABA">
        <w:rPr>
          <w:rFonts w:cs="Times New Roman"/>
        </w:rPr>
        <w:t>EC use was also commonly repor</w:t>
      </w:r>
      <w:r w:rsidR="00587E94">
        <w:rPr>
          <w:rFonts w:cs="Times New Roman"/>
        </w:rPr>
        <w:t>ted in the UC arm</w:t>
      </w:r>
      <w:r w:rsidRPr="00CC3ABA">
        <w:rPr>
          <w:rFonts w:cs="Times New Roman"/>
        </w:rPr>
        <w:t>.</w:t>
      </w:r>
      <w:r w:rsidR="00840AF7">
        <w:rPr>
          <w:rFonts w:cs="Times New Roman"/>
        </w:rPr>
        <w:t xml:space="preserve"> </w:t>
      </w:r>
      <w:r w:rsidRPr="00CC3ABA">
        <w:rPr>
          <w:rFonts w:cs="Times New Roman"/>
        </w:rPr>
        <w:t xml:space="preserve">We did not explore the extent of </w:t>
      </w:r>
      <w:r w:rsidR="007E7463" w:rsidRPr="00CC3ABA">
        <w:rPr>
          <w:rFonts w:cs="Times New Roman"/>
        </w:rPr>
        <w:t xml:space="preserve">this </w:t>
      </w:r>
      <w:r w:rsidRPr="00CC3ABA">
        <w:rPr>
          <w:rFonts w:cs="Times New Roman"/>
        </w:rPr>
        <w:t xml:space="preserve">use </w:t>
      </w:r>
      <w:r w:rsidR="00125C7E" w:rsidRPr="00CC3ABA">
        <w:rPr>
          <w:rFonts w:cs="Times New Roman"/>
        </w:rPr>
        <w:t xml:space="preserve">(e.g. </w:t>
      </w:r>
      <w:r w:rsidR="00144DB2" w:rsidRPr="00CC3ABA">
        <w:rPr>
          <w:rFonts w:cs="Times New Roman"/>
        </w:rPr>
        <w:t>regular use of their own device or just a few puffs of someone else’s</w:t>
      </w:r>
      <w:r w:rsidR="00125C7E" w:rsidRPr="00CC3ABA">
        <w:rPr>
          <w:rFonts w:cs="Times New Roman"/>
        </w:rPr>
        <w:t>) and we did not explicitly ask UC participants not to use an EC</w:t>
      </w:r>
      <w:r w:rsidR="00144DB2" w:rsidRPr="00CC3ABA">
        <w:rPr>
          <w:rFonts w:cs="Times New Roman"/>
        </w:rPr>
        <w:t>.</w:t>
      </w:r>
      <w:r w:rsidR="00840AF7">
        <w:rPr>
          <w:rFonts w:cs="Times New Roman"/>
        </w:rPr>
        <w:t xml:space="preserve"> </w:t>
      </w:r>
      <w:r w:rsidR="00286F37">
        <w:rPr>
          <w:rFonts w:cs="Times New Roman"/>
        </w:rPr>
        <w:t>H</w:t>
      </w:r>
      <w:r w:rsidR="00FB215E" w:rsidRPr="00FB215E">
        <w:rPr>
          <w:rFonts w:cs="Times New Roman"/>
        </w:rPr>
        <w:t>owever, none of the UC participants received the EC intervention as delivered (i.e. a free EC starter kit offered at homeless centres).</w:t>
      </w:r>
      <w:r w:rsidR="00840AF7">
        <w:rPr>
          <w:rFonts w:cs="Times New Roman"/>
        </w:rPr>
        <w:t xml:space="preserve"> </w:t>
      </w:r>
      <w:r w:rsidR="00FB215E" w:rsidRPr="00FB215E">
        <w:rPr>
          <w:rFonts w:cs="Times New Roman"/>
        </w:rPr>
        <w:t>Although contamination across arms can be a problem for many RCTs, supported use of an EC is increasingly being incorporated into the ‘usual care’ offered by SSS and should not, therefore invalidate our findings.</w:t>
      </w:r>
      <w:r w:rsidR="00840AF7">
        <w:rPr>
          <w:rFonts w:cs="Times New Roman"/>
        </w:rPr>
        <w:t xml:space="preserve"> </w:t>
      </w:r>
      <w:r w:rsidR="00FB215E" w:rsidRPr="00FB215E">
        <w:rPr>
          <w:rFonts w:cs="Times New Roman"/>
        </w:rPr>
        <w:t>The pragmatic question that will be explored in a main trial will be whether the provision of a free EC starter kit</w:t>
      </w:r>
      <w:r w:rsidR="007F4346">
        <w:rPr>
          <w:rFonts w:cs="Times New Roman"/>
        </w:rPr>
        <w:t>,</w:t>
      </w:r>
      <w:r w:rsidR="00FB215E" w:rsidRPr="00FB215E">
        <w:rPr>
          <w:rFonts w:cs="Times New Roman"/>
        </w:rPr>
        <w:t xml:space="preserve"> offered at a location already being accessed by </w:t>
      </w:r>
      <w:r w:rsidR="007F4346">
        <w:rPr>
          <w:rFonts w:cs="Times New Roman"/>
        </w:rPr>
        <w:t xml:space="preserve">people experiencing </w:t>
      </w:r>
      <w:r w:rsidR="00FB215E" w:rsidRPr="00FB215E">
        <w:rPr>
          <w:rFonts w:cs="Times New Roman"/>
        </w:rPr>
        <w:t>homeless</w:t>
      </w:r>
      <w:r w:rsidR="007F4346">
        <w:rPr>
          <w:rFonts w:cs="Times New Roman"/>
        </w:rPr>
        <w:t>ness,</w:t>
      </w:r>
      <w:r w:rsidR="00FB215E" w:rsidRPr="00FB215E">
        <w:rPr>
          <w:rFonts w:cs="Times New Roman"/>
        </w:rPr>
        <w:t xml:space="preserve"> can increase smoking cessation rates over usual care</w:t>
      </w:r>
    </w:p>
    <w:p w14:paraId="328CA047" w14:textId="57DF0228" w:rsidR="00E668C6" w:rsidRDefault="00E43D39" w:rsidP="00676671">
      <w:pPr>
        <w:spacing w:after="160" w:line="480" w:lineRule="auto"/>
        <w:jc w:val="both"/>
        <w:rPr>
          <w:rFonts w:cs="Times New Roman"/>
        </w:rPr>
      </w:pPr>
      <w:r w:rsidRPr="00CC3ABA">
        <w:rPr>
          <w:rFonts w:cs="Times New Roman"/>
        </w:rPr>
        <w:t xml:space="preserve">Our feasibility study results suggest that the EC intervention may have the potential </w:t>
      </w:r>
      <w:r w:rsidR="00FD6658" w:rsidRPr="00CC3ABA">
        <w:rPr>
          <w:rFonts w:cs="Times New Roman"/>
        </w:rPr>
        <w:t>to enhance smoking cessation rates in this population with a 6% sustained CO-verified abstinence rate at 24 weeks (intention to treat) compared to 0% in the UC group.</w:t>
      </w:r>
      <w:r w:rsidR="00840AF7">
        <w:rPr>
          <w:rFonts w:cs="Times New Roman"/>
        </w:rPr>
        <w:t xml:space="preserve"> </w:t>
      </w:r>
      <w:r w:rsidR="000548D9" w:rsidRPr="00CC3ABA">
        <w:rPr>
          <w:rFonts w:cs="Times New Roman"/>
        </w:rPr>
        <w:t>Although cessation rates were low, if similar effects are found in a fully powered RCT, this could substantially contribute to reducing smoking-related inequalities</w:t>
      </w:r>
      <w:r w:rsidR="00A568E0">
        <w:rPr>
          <w:rFonts w:cs="Times New Roman"/>
        </w:rPr>
        <w:t xml:space="preserve"> given the high rates of smoking in this population</w:t>
      </w:r>
      <w:r w:rsidR="000548D9" w:rsidRPr="00CC3ABA">
        <w:rPr>
          <w:rFonts w:cs="Times New Roman"/>
        </w:rPr>
        <w:t xml:space="preserve">. </w:t>
      </w:r>
      <w:r w:rsidR="00FD6658" w:rsidRPr="00CC3ABA">
        <w:rPr>
          <w:rFonts w:cs="Times New Roman"/>
        </w:rPr>
        <w:t xml:space="preserve">Notably, no other smoking cessation studies with </w:t>
      </w:r>
      <w:r w:rsidR="007F4346">
        <w:rPr>
          <w:rFonts w:cs="Times New Roman"/>
        </w:rPr>
        <w:t xml:space="preserve">people experiencing homelessness </w:t>
      </w:r>
      <w:r w:rsidR="00FD6658" w:rsidRPr="00CC3ABA">
        <w:rPr>
          <w:rFonts w:cs="Times New Roman"/>
        </w:rPr>
        <w:t xml:space="preserve">have reported continuous abstinence for 6 </w:t>
      </w:r>
      <w:r w:rsidR="007F0F7A" w:rsidRPr="00CC3ABA">
        <w:rPr>
          <w:rFonts w:cs="Times New Roman"/>
        </w:rPr>
        <w:t xml:space="preserve">months </w:t>
      </w:r>
      <w:r w:rsidR="006B3DFD">
        <w:rPr>
          <w:rFonts w:cs="Times New Roman"/>
        </w:rPr>
        <w:fldChar w:fldCharType="begin" w:fldLock="1"/>
      </w:r>
      <w:r w:rsidR="006B3DFD">
        <w:rPr>
          <w:rFonts w:cs="Times New Roman"/>
        </w:rPr>
        <w:instrText>ADDIN CSL_CITATION {"citationItems":[{"id":"ITEM-1","itemData":{"DOI":"10.1017/jsc.2020.11","ISSN":"18342612","abstract":"Background To date, there has been no review of the research evidence examining smoking cessation among homeless adults. The current review aimed to: (i) estimate smoking prevalence in homeless populations; (ii) explore the efficacy of smoking cessation and smoking reduction interventions for homeless individuals; and (iii) describe the barriers and facilitators to smoking cessation and smoking reduction.MethodSystematic review of peer-reviewed research. Data sources included electronic academic databases. Search terms: 'smoking' AND 'homeless' AND 'tobacco', including adult (18+ years) smokers accessing homeless support services.ResultsFifty-three studies met the inclusion criteria (n = 46 USA). Data could not be meta-analysed due to large methodological inconsistencies and the lack of randomised controlled trials. Smoking prevalence ranged from 57% to 82%. Although there was no clear evidence on which cessation methods work best, layered approaches with additions to usual care seemed to offer modest enhancements in quit rates. Key barriers to cessation exist around the priority of smoking, beliefs around negative impact on mental health and substance use, and environmental influences.ConclusionsHomeless smokers will benefit from layered interventions which support many of their competing needs. To best understand what works, future recommendations include the need for consensus on the reporting of cessation outcomes.","author":[{"dropping-particle":"","family":"Soar","given":"Kirstie","non-dropping-particle":"","parse-names":false,"suffix":""},{"dropping-particle":"","family":"Dawkins","given":"Lynne","non-dropping-particle":"","parse-names":false,"suffix":""},{"dropping-particle":"","family":"Robson","given":"Deborah","non-dropping-particle":"","parse-names":false,"suffix":""},{"dropping-particle":"","family":"Cox","given":"Sharon","non-dropping-particle":"","parse-names":false,"suffix":""}],"container-title":"Journal of Smoking Cessation","id":"ITEM-1","issue":"2","issued":{"date-parts":[["2020","6"]]},"page":"94-108","title":"Smoking amongst adults experiencing homelessness: A systematic review of prevalence rates, interventions and the barriers and facilitators to quitting and staying quit","type":"article-journal","volume":"15"},"uris":["http://www.mendeley.com/documents/?uuid=c6e8e830-ea4e-47c7-9eee-b069b89d9900"]}],"mendeley":{"formattedCitation":"[6]","plainTextFormattedCitation":"[6]","previouslyFormattedCitation":"[6]"},"properties":{"noteIndex":0},"schema":"https://github.com/citation-style-language/schema/raw/master/csl-citation.json"}</w:instrText>
      </w:r>
      <w:r w:rsidR="006B3DFD">
        <w:rPr>
          <w:rFonts w:cs="Times New Roman"/>
        </w:rPr>
        <w:fldChar w:fldCharType="separate"/>
      </w:r>
      <w:r w:rsidR="006B3DFD" w:rsidRPr="006B3DFD">
        <w:rPr>
          <w:rFonts w:cs="Times New Roman"/>
          <w:noProof/>
        </w:rPr>
        <w:t>[6]</w:t>
      </w:r>
      <w:r w:rsidR="006B3DFD">
        <w:rPr>
          <w:rFonts w:cs="Times New Roman"/>
        </w:rPr>
        <w:fldChar w:fldCharType="end"/>
      </w:r>
      <w:r w:rsidR="005A5C6C" w:rsidRPr="00CC3ABA">
        <w:rPr>
          <w:rFonts w:cs="Times New Roman"/>
        </w:rPr>
        <w:t>.</w:t>
      </w:r>
      <w:r w:rsidR="00840AF7">
        <w:rPr>
          <w:rFonts w:cs="Times New Roman"/>
        </w:rPr>
        <w:t xml:space="preserve"> </w:t>
      </w:r>
      <w:r w:rsidR="005A5C6C" w:rsidRPr="00CC3ABA">
        <w:rPr>
          <w:rFonts w:cs="Times New Roman"/>
        </w:rPr>
        <w:t>However</w:t>
      </w:r>
      <w:r w:rsidR="000B0B87">
        <w:rPr>
          <w:rFonts w:cs="Times New Roman"/>
        </w:rPr>
        <w:t>,</w:t>
      </w:r>
      <w:r w:rsidR="005A5C6C" w:rsidRPr="00CC3ABA">
        <w:rPr>
          <w:rFonts w:cs="Times New Roman"/>
        </w:rPr>
        <w:t xml:space="preserve"> </w:t>
      </w:r>
      <w:r w:rsidR="00FD6658" w:rsidRPr="00CC3ABA">
        <w:rPr>
          <w:rFonts w:cs="Times New Roman"/>
        </w:rPr>
        <w:t>our results compare favourably with the 24-hour point prevalence abstinence rate</w:t>
      </w:r>
      <w:r w:rsidR="007F0F7A" w:rsidRPr="00CC3ABA">
        <w:rPr>
          <w:rFonts w:cs="Times New Roman"/>
        </w:rPr>
        <w:t xml:space="preserve"> (</w:t>
      </w:r>
      <w:r w:rsidR="00FD6658" w:rsidRPr="00CC3ABA">
        <w:rPr>
          <w:rFonts w:cs="Times New Roman"/>
        </w:rPr>
        <w:t>4%</w:t>
      </w:r>
      <w:r w:rsidR="007F0F7A" w:rsidRPr="00CC3ABA">
        <w:rPr>
          <w:rFonts w:cs="Times New Roman"/>
        </w:rPr>
        <w:t>)</w:t>
      </w:r>
      <w:r w:rsidR="00FD6658" w:rsidRPr="00CC3ABA">
        <w:rPr>
          <w:rFonts w:cs="Times New Roman"/>
        </w:rPr>
        <w:t xml:space="preserve"> reported </w:t>
      </w:r>
      <w:r w:rsidR="007F0F7A" w:rsidRPr="00CC3ABA">
        <w:rPr>
          <w:rFonts w:cs="Times New Roman"/>
        </w:rPr>
        <w:t xml:space="preserve">at 26 weeks </w:t>
      </w:r>
      <w:r w:rsidR="00FD6658" w:rsidRPr="00CC3ABA">
        <w:rPr>
          <w:rFonts w:cs="Times New Roman"/>
        </w:rPr>
        <w:t>by Segan et al.</w:t>
      </w:r>
      <w:r w:rsidR="005A5C6C" w:rsidRPr="00CC3ABA">
        <w:rPr>
          <w:rFonts w:cs="Times New Roman"/>
        </w:rPr>
        <w:t xml:space="preserve"> </w:t>
      </w:r>
      <w:r w:rsidR="006B3DFD">
        <w:rPr>
          <w:rFonts w:cs="Times New Roman"/>
        </w:rPr>
        <w:fldChar w:fldCharType="begin" w:fldLock="1"/>
      </w:r>
      <w:r w:rsidR="00620688">
        <w:rPr>
          <w:rFonts w:cs="Times New Roman"/>
        </w:rPr>
        <w:instrText>ADDIN CSL_CITATION {"citationItems":[{"id":"ITEM-1","itemData":{"DOI":"10.1093/ntr/ntv062","ISSN":"1469994X","abstract":"Introduction: Few homeless programs offer smoking cessation treatment. This study examined the feasibility, acceptability, and effectiveness of a smoking cessation treatment model delivered by staffof a homeless persons' program. Methods: Fourteen nurses from Melbourne's Royal District Nursing Service Homeless Persons' Program recruited 49 clients into a 12-week program offering weekly nurse-delivered smoking cessation appointments with intermittent carbon monoxide measurements, doctor-prescribed free nicotine patch, bupropion or varenicline, and Quitline phone support. Surveys were completed at program enrolment, end of program (EoP, 3 months) and 6 months post-enrolment. Results: Clients attended on average 6.7 nurse-delivered appointments. Most used pharmacotherapy (69%, n = 34) and Quitline (61%, n = 30, average 8.4 calls among users). Using all-cases analyses 29% had made a quit attempt by EoP; 24-hour point prevalence abstinence rates were 6% at EoP and 4% at 6 months (no participants achieved sustained cessation), and 29% reported 50% consumption reduction at 6 months, the latter positively associated with increased Quitline use. Tobacco consumption and money spent on tobacco halved by EoP with similar levels maintained at 6 months. Discarded butt smoking reduced. Using within-subjects analyses, all participants reported either the same or less symptoms of anxiety at EoP compared to baseline and 92% reported the same or less depressive symptoms. Conclusions: Integrating nurse support with readily accessible cessation interventions (government subsidized pharmacotherapy plus Quitline) was feasible and acceptable. While quit rates were low, treatment benefits included harm-reduction (reduced consumption and butt smoking), significant financial savings, and psychological benefits (improved or stable mood).","author":[{"dropping-particle":"","family":"Segan","given":"Catherine Jane","non-dropping-particle":"","parse-names":false,"suffix":""},{"dropping-particle":"","family":"Maddox","given":"Sarah","non-dropping-particle":"","parse-names":false,"suffix":""},{"dropping-particle":"","family":"Borland","given":"Ron","non-dropping-particle":"","parse-names":false,"suffix":""}],"container-title":"Nicotine and Tobacco Research","id":"ITEM-1","issue":"8","issued":{"date-parts":[["2015"]]},"page":"996-1001","title":"Homeless clients benefit from smoking cessation treatment delivered by a homeless persons' program","type":"article-journal","volume":"17"},"uris":["http://www.mendeley.com/documents/?uuid=8a0df040-40c9-4d1b-9953-ac531c58fe3f"]}],"mendeley":{"formattedCitation":"[13]","plainTextFormattedCitation":"[13]","previouslyFormattedCitation":"[13]"},"properties":{"noteIndex":0},"schema":"https://github.com/citation-style-language/schema/raw/master/csl-citation.json"}</w:instrText>
      </w:r>
      <w:r w:rsidR="006B3DFD">
        <w:rPr>
          <w:rFonts w:cs="Times New Roman"/>
        </w:rPr>
        <w:fldChar w:fldCharType="separate"/>
      </w:r>
      <w:r w:rsidR="0077457B" w:rsidRPr="0077457B">
        <w:rPr>
          <w:rFonts w:cs="Times New Roman"/>
          <w:noProof/>
        </w:rPr>
        <w:t>[13]</w:t>
      </w:r>
      <w:r w:rsidR="006B3DFD">
        <w:rPr>
          <w:rFonts w:cs="Times New Roman"/>
        </w:rPr>
        <w:fldChar w:fldCharType="end"/>
      </w:r>
      <w:r w:rsidR="00461D11">
        <w:rPr>
          <w:rFonts w:cs="Times New Roman"/>
        </w:rPr>
        <w:t xml:space="preserve"> </w:t>
      </w:r>
      <w:r w:rsidR="005A5C6C" w:rsidRPr="00CC3ABA">
        <w:rPr>
          <w:rFonts w:cs="Times New Roman"/>
        </w:rPr>
        <w:t xml:space="preserve">and the </w:t>
      </w:r>
      <w:r w:rsidR="008C7854" w:rsidRPr="00CC3ABA">
        <w:rPr>
          <w:rFonts w:cs="Times New Roman"/>
        </w:rPr>
        <w:t xml:space="preserve">5.6% and 9.3% </w:t>
      </w:r>
      <w:r w:rsidR="005A5C6C" w:rsidRPr="00CC3ABA">
        <w:rPr>
          <w:rFonts w:cs="Times New Roman"/>
        </w:rPr>
        <w:t xml:space="preserve">7-day point prevalence </w:t>
      </w:r>
      <w:r w:rsidR="007F0F7A" w:rsidRPr="00CC3ABA">
        <w:rPr>
          <w:rFonts w:cs="Times New Roman"/>
        </w:rPr>
        <w:t xml:space="preserve">at 26 weeks </w:t>
      </w:r>
      <w:r w:rsidR="00E237F0" w:rsidRPr="00CC3ABA">
        <w:rPr>
          <w:rFonts w:cs="Times New Roman"/>
        </w:rPr>
        <w:t xml:space="preserve">in a larger sample of 430 smokers </w:t>
      </w:r>
      <w:r w:rsidR="00573E56">
        <w:rPr>
          <w:rFonts w:cs="Times New Roman"/>
        </w:rPr>
        <w:t xml:space="preserve">experiencing homelessness who received either </w:t>
      </w:r>
      <w:r w:rsidR="008C7854" w:rsidRPr="00CC3ABA">
        <w:rPr>
          <w:rFonts w:cs="Times New Roman"/>
        </w:rPr>
        <w:t xml:space="preserve">NRT </w:t>
      </w:r>
      <w:r w:rsidR="00573E56">
        <w:rPr>
          <w:rFonts w:cs="Times New Roman"/>
        </w:rPr>
        <w:t>or</w:t>
      </w:r>
      <w:r w:rsidR="008C7854" w:rsidRPr="00CC3ABA">
        <w:rPr>
          <w:rFonts w:cs="Times New Roman"/>
        </w:rPr>
        <w:t xml:space="preserve"> motivational interviewing</w:t>
      </w:r>
      <w:r w:rsidR="00573E56">
        <w:rPr>
          <w:rFonts w:cs="Times New Roman"/>
        </w:rPr>
        <w:t xml:space="preserve"> </w:t>
      </w:r>
      <w:r w:rsidR="008C7854" w:rsidRPr="00CC3ABA">
        <w:rPr>
          <w:rFonts w:cs="Times New Roman"/>
        </w:rPr>
        <w:t xml:space="preserve">+ NRT </w:t>
      </w:r>
      <w:r w:rsidR="000548D9" w:rsidRPr="00CC3ABA">
        <w:rPr>
          <w:rFonts w:cs="Times New Roman"/>
        </w:rPr>
        <w:t xml:space="preserve">respectively </w:t>
      </w:r>
      <w:r w:rsidR="006B3DFD">
        <w:rPr>
          <w:rFonts w:cs="Times New Roman"/>
        </w:rPr>
        <w:fldChar w:fldCharType="begin" w:fldLock="1"/>
      </w:r>
      <w:r w:rsidR="00620688">
        <w:rPr>
          <w:rFonts w:cs="Times New Roman"/>
        </w:rPr>
        <w:instrText>ADDIN CSL_CITATION {"citationItems":[{"id":"ITEM-1","itemData":{"DOI":"10.1111/add.12140","ISSN":"09652140","abstract":"Aims: To assess the effects of adding motivational interviewing (MI) counseling to nicotine patch for smoking cessation among homeless smokers. Design: Two-group randomized controlled trial with 26-week follow-up. Participants and setting: A total of 430 homeless smokers from emergency shelters and transitional housing units in Minneapolis/St Paul, Minnesota, USA. Intervention and measurements: All participants received 8-week treatment of 21-mg nicotine patch. In addition, participants in the intervention group received six individual sessions of MI counseling which aimed to increase adherence to nicotine patches and to motivate cessation. Participants in the standard care control group received one session of brief advice to quit smoking. Primary outcome was 7-day abstinence from cigarette smoking at 26 weeks, as validated by exhaled carbon monoxide and salivary cotinine. Findings: Using intention-to-treat analysis, verified 7-day abstinence rate at week 26 for the intervention group was non-significantly higher than for the control group (9.3% versus 5.6%, P=0.15). Among participants who did not quit smoking, reduction in number of cigarettes from baseline to week 26 was equally high in both study groups (-13.7±11.9 for MI versus -13.5±16.2 for standard care). Conclusions: Adding motivational interviewing counseling to nicotine patch did not increase smoking rate significantly at 26-week follow-up for homeless smokers. © 2013 Society for the Study of Addiction.","author":[{"dropping-particle":"","family":"Okuyemi","given":"Kolawole S.","non-dropping-particle":"","parse-names":false,"suffix":""},{"dropping-particle":"","family":"Goldade","given":"Kate","non-dropping-particle":"","parse-names":false,"suffix":""},{"dropping-particle":"","family":"Whembolua","given":"Guy Lucien","non-dropping-particle":"","parse-names":false,"suffix":""},{"dropping-particle":"","family":"Thomas","given":"Janet L.","non-dropping-particle":"","parse-names":false,"suffix":""},{"dropping-particle":"","family":"Eischen","given":"Sara","non-dropping-particle":"","parse-names":false,"suffix":""},{"dropping-particle":"","family":"Sewali","given":"Barrett","non-dropping-particle":"","parse-names":false,"suffix":""},{"dropping-particle":"","family":"Guo","given":"Hongfei","non-dropping-particle":"","parse-names":false,"suffix":""},{"dropping-particle":"","family":"Connett","given":"John E.","non-dropping-particle":"","parse-names":false,"suffix":""},{"dropping-particle":"","family":"Grant","given":"Jon","non-dropping-particle":"","parse-names":false,"suffix":""},{"dropping-particle":"","family":"Ahluwalia","given":"Jasjit S.","non-dropping-particle":"","parse-names":false,"suffix":""},{"dropping-particle":"","family":"Resnicow","given":"Ken","non-dropping-particle":"","parse-names":false,"suffix":""},{"dropping-particle":"","family":"Owen","given":"Greg","non-dropping-particle":"","parse-names":false,"suffix":""},{"dropping-particle":"","family":"Gelberg","given":"Lillian","non-dropping-particle":"","parse-names":false,"suffix":""},{"dropping-particle":"","family":"Jarlais","given":"Don","non-dropping-particle":"Des","parse-names":false,"suffix":""}],"container-title":"Addiction","id":"ITEM-1","issue":"6","issued":{"date-parts":[["2013","6"]]},"page":"1136-1144","title":"Motivational interviewing to enhance nicotine patch treatment for smoking cessation among homeless smokers: A randomized controlled trial","type":"article-journal","volume":"108"},"uris":["http://www.mendeley.com/documents/?uuid=21b8b8bc-1ed4-42c2-9806-5bd68680ef2b"]}],"mendeley":{"formattedCitation":"[12]","plainTextFormattedCitation":"[12]","previouslyFormattedCitation":"[12]"},"properties":{"noteIndex":0},"schema":"https://github.com/citation-style-language/schema/raw/master/csl-citation.json"}</w:instrText>
      </w:r>
      <w:r w:rsidR="006B3DFD">
        <w:rPr>
          <w:rFonts w:cs="Times New Roman"/>
        </w:rPr>
        <w:fldChar w:fldCharType="separate"/>
      </w:r>
      <w:r w:rsidR="0077457B" w:rsidRPr="0077457B">
        <w:rPr>
          <w:rFonts w:cs="Times New Roman"/>
          <w:noProof/>
        </w:rPr>
        <w:t>[12]</w:t>
      </w:r>
      <w:r w:rsidR="006B3DFD">
        <w:rPr>
          <w:rFonts w:cs="Times New Roman"/>
        </w:rPr>
        <w:fldChar w:fldCharType="end"/>
      </w:r>
      <w:r w:rsidR="008C7854" w:rsidRPr="00CC3ABA">
        <w:rPr>
          <w:rFonts w:cs="Times New Roman"/>
        </w:rPr>
        <w:t>.</w:t>
      </w:r>
    </w:p>
    <w:p w14:paraId="3DC339D5" w14:textId="486BEAF5" w:rsidR="00BC3C1E" w:rsidRDefault="009D7483" w:rsidP="00676671">
      <w:pPr>
        <w:spacing w:after="160" w:line="480" w:lineRule="auto"/>
        <w:jc w:val="both"/>
        <w:rPr>
          <w:rFonts w:cs="Times New Roman"/>
        </w:rPr>
      </w:pPr>
      <w:r>
        <w:rPr>
          <w:rFonts w:cs="Times New Roman"/>
        </w:rPr>
        <w:t>C</w:t>
      </w:r>
      <w:r w:rsidR="006A3A9A">
        <w:rPr>
          <w:rFonts w:cs="Times New Roman"/>
        </w:rPr>
        <w:t xml:space="preserve">ompletion </w:t>
      </w:r>
      <w:r w:rsidR="00CD5CC8">
        <w:rPr>
          <w:rFonts w:cs="Times New Roman"/>
        </w:rPr>
        <w:t>rate</w:t>
      </w:r>
      <w:r>
        <w:rPr>
          <w:rFonts w:cs="Times New Roman"/>
        </w:rPr>
        <w:t>s</w:t>
      </w:r>
      <w:r w:rsidR="00537AEC">
        <w:rPr>
          <w:rFonts w:cs="Times New Roman"/>
        </w:rPr>
        <w:t xml:space="preserve"> </w:t>
      </w:r>
      <w:r w:rsidR="006A3A9A">
        <w:rPr>
          <w:rFonts w:cs="Times New Roman"/>
        </w:rPr>
        <w:t xml:space="preserve">of HRQoL and general healthcare and social services </w:t>
      </w:r>
      <w:r w:rsidR="00CD5CC8">
        <w:rPr>
          <w:rFonts w:cs="Times New Roman"/>
        </w:rPr>
        <w:t>questionnaire</w:t>
      </w:r>
      <w:r w:rsidR="006A3A9A">
        <w:rPr>
          <w:rFonts w:cs="Times New Roman"/>
        </w:rPr>
        <w:t>s</w:t>
      </w:r>
      <w:r w:rsidR="00537AEC">
        <w:rPr>
          <w:rFonts w:cs="Times New Roman"/>
        </w:rPr>
        <w:t xml:space="preserve"> </w:t>
      </w:r>
      <w:r w:rsidR="006A3A9A">
        <w:rPr>
          <w:rFonts w:cs="Times New Roman"/>
        </w:rPr>
        <w:t>suggest that the use of these measures was feasible</w:t>
      </w:r>
      <w:r w:rsidR="0047673C">
        <w:rPr>
          <w:rFonts w:cs="Times New Roman"/>
        </w:rPr>
        <w:t xml:space="preserve"> in this population</w:t>
      </w:r>
      <w:r w:rsidR="006A3A9A">
        <w:rPr>
          <w:rFonts w:cs="Times New Roman"/>
        </w:rPr>
        <w:t xml:space="preserve">. The responses from the participants also </w:t>
      </w:r>
      <w:r>
        <w:rPr>
          <w:rFonts w:cs="Times New Roman"/>
        </w:rPr>
        <w:t>indicated</w:t>
      </w:r>
      <w:r w:rsidR="00537AEC">
        <w:rPr>
          <w:rFonts w:cs="Times New Roman"/>
        </w:rPr>
        <w:t xml:space="preserve"> </w:t>
      </w:r>
      <w:r w:rsidR="00CE2811">
        <w:rPr>
          <w:rFonts w:cs="Times New Roman"/>
        </w:rPr>
        <w:t xml:space="preserve">the services they most relied on and </w:t>
      </w:r>
      <w:r w:rsidR="006A3A9A">
        <w:rPr>
          <w:rFonts w:cs="Times New Roman"/>
        </w:rPr>
        <w:t>the direction of future refinement</w:t>
      </w:r>
      <w:r w:rsidR="00CE2811">
        <w:rPr>
          <w:rFonts w:cs="Times New Roman"/>
        </w:rPr>
        <w:t xml:space="preserve"> for data collection</w:t>
      </w:r>
      <w:r w:rsidR="006A3A9A">
        <w:rPr>
          <w:rFonts w:cs="Times New Roman"/>
        </w:rPr>
        <w:t xml:space="preserve">. Due to the </w:t>
      </w:r>
      <w:r w:rsidR="00CE2811">
        <w:rPr>
          <w:rFonts w:cs="Times New Roman"/>
        </w:rPr>
        <w:t>situation</w:t>
      </w:r>
      <w:r w:rsidR="006A3A9A">
        <w:rPr>
          <w:rFonts w:cs="Times New Roman"/>
        </w:rPr>
        <w:t xml:space="preserve"> this population</w:t>
      </w:r>
      <w:r w:rsidR="00CE2811">
        <w:rPr>
          <w:rFonts w:cs="Times New Roman"/>
        </w:rPr>
        <w:t xml:space="preserve"> find themselves in</w:t>
      </w:r>
      <w:r w:rsidR="006A3A9A">
        <w:rPr>
          <w:rFonts w:cs="Times New Roman"/>
        </w:rPr>
        <w:t xml:space="preserve">, certain services (e.g. home visit from GP) </w:t>
      </w:r>
      <w:r w:rsidR="00CD5CC8">
        <w:rPr>
          <w:rFonts w:cs="Times New Roman"/>
        </w:rPr>
        <w:t>appear less</w:t>
      </w:r>
      <w:r w:rsidR="006A3A9A">
        <w:rPr>
          <w:rFonts w:cs="Times New Roman"/>
        </w:rPr>
        <w:t xml:space="preserve"> relevant and others</w:t>
      </w:r>
      <w:r w:rsidR="00CE2811">
        <w:rPr>
          <w:rFonts w:cs="Times New Roman"/>
        </w:rPr>
        <w:t xml:space="preserve"> such as A &amp; E and hospital stay, should be considered for</w:t>
      </w:r>
      <w:r w:rsidR="006A3A9A">
        <w:rPr>
          <w:rFonts w:cs="Times New Roman"/>
        </w:rPr>
        <w:t xml:space="preserve"> more detailed investigati</w:t>
      </w:r>
      <w:r w:rsidR="00CE2811">
        <w:rPr>
          <w:rFonts w:cs="Times New Roman"/>
        </w:rPr>
        <w:t>on</w:t>
      </w:r>
      <w:r w:rsidR="006A3A9A">
        <w:rPr>
          <w:rFonts w:cs="Times New Roman"/>
        </w:rPr>
        <w:t>.</w:t>
      </w:r>
      <w:r w:rsidR="00CE2811">
        <w:rPr>
          <w:rFonts w:cs="Times New Roman"/>
        </w:rPr>
        <w:t xml:space="preserve"> Although the participants in the UC arm seemed to show a higher general healthcare and social services costs and worse quality of life, it should be noted that these results were based on observed cases and the retention in the UC arm was not as good as in the EC arm. It was </w:t>
      </w:r>
      <w:r w:rsidR="0047673C">
        <w:rPr>
          <w:rFonts w:cs="Times New Roman"/>
        </w:rPr>
        <w:t xml:space="preserve">also </w:t>
      </w:r>
      <w:r w:rsidR="00CE2811">
        <w:rPr>
          <w:rFonts w:cs="Times New Roman"/>
        </w:rPr>
        <w:t xml:space="preserve">unclear if the baseline imbalance between arms was due to insufficient sample size or </w:t>
      </w:r>
      <w:r w:rsidR="00BD3A02">
        <w:rPr>
          <w:rFonts w:cs="Times New Roman"/>
        </w:rPr>
        <w:t xml:space="preserve">imbalance in other </w:t>
      </w:r>
      <w:r w:rsidR="00CD5CC8">
        <w:rPr>
          <w:rFonts w:cs="Times New Roman"/>
        </w:rPr>
        <w:t>characteristics</w:t>
      </w:r>
      <w:r w:rsidR="00CE2811">
        <w:rPr>
          <w:rFonts w:cs="Times New Roman"/>
        </w:rPr>
        <w:t>.</w:t>
      </w:r>
    </w:p>
    <w:p w14:paraId="058E8323" w14:textId="1F2C79E6" w:rsidR="00BF637E" w:rsidRPr="00CC3ABA" w:rsidRDefault="00CE2811" w:rsidP="00676671">
      <w:pPr>
        <w:spacing w:after="160" w:line="480" w:lineRule="auto"/>
        <w:jc w:val="both"/>
        <w:rPr>
          <w:rFonts w:cs="Times New Roman"/>
        </w:rPr>
      </w:pPr>
      <w:r>
        <w:rPr>
          <w:rFonts w:cs="Times New Roman"/>
        </w:rPr>
        <w:t xml:space="preserve">Nearly half of the total costs of intervention </w:t>
      </w:r>
      <w:r w:rsidR="005F62E2">
        <w:rPr>
          <w:rFonts w:cs="Times New Roman"/>
        </w:rPr>
        <w:t xml:space="preserve">were contributed by training. This could be </w:t>
      </w:r>
      <w:r w:rsidR="00FA2E18">
        <w:rPr>
          <w:rFonts w:cs="Times New Roman"/>
        </w:rPr>
        <w:t xml:space="preserve">slightly </w:t>
      </w:r>
      <w:r w:rsidR="005F62E2">
        <w:rPr>
          <w:rFonts w:cs="Times New Roman"/>
        </w:rPr>
        <w:t xml:space="preserve">underestimated as </w:t>
      </w:r>
      <w:r w:rsidR="00CD5CC8">
        <w:rPr>
          <w:rFonts w:cs="Times New Roman"/>
        </w:rPr>
        <w:t>we did not include</w:t>
      </w:r>
      <w:r w:rsidR="005F62E2">
        <w:rPr>
          <w:rFonts w:cs="Times New Roman"/>
        </w:rPr>
        <w:t xml:space="preserve"> administration tasks done</w:t>
      </w:r>
      <w:r w:rsidR="00FA2E18">
        <w:rPr>
          <w:rFonts w:cs="Times New Roman"/>
        </w:rPr>
        <w:t xml:space="preserve">, in person, </w:t>
      </w:r>
      <w:r w:rsidR="00B66E19">
        <w:rPr>
          <w:rFonts w:cs="Times New Roman"/>
        </w:rPr>
        <w:t xml:space="preserve">with </w:t>
      </w:r>
      <w:r w:rsidR="00FA2E18">
        <w:rPr>
          <w:rFonts w:cs="Times New Roman"/>
        </w:rPr>
        <w:t>e-mail or by phone,</w:t>
      </w:r>
      <w:r w:rsidR="005F62E2">
        <w:rPr>
          <w:rFonts w:cs="Times New Roman"/>
        </w:rPr>
        <w:t xml:space="preserve"> before </w:t>
      </w:r>
      <w:r w:rsidR="0047673C">
        <w:rPr>
          <w:rFonts w:cs="Times New Roman"/>
        </w:rPr>
        <w:t xml:space="preserve">and after </w:t>
      </w:r>
      <w:r w:rsidR="00FA2E18">
        <w:rPr>
          <w:rFonts w:cs="Times New Roman"/>
        </w:rPr>
        <w:t xml:space="preserve">actual </w:t>
      </w:r>
      <w:r w:rsidR="005F62E2">
        <w:rPr>
          <w:rFonts w:cs="Times New Roman"/>
        </w:rPr>
        <w:t>training delivery</w:t>
      </w:r>
      <w:r w:rsidR="00FA2E18">
        <w:rPr>
          <w:rFonts w:cs="Times New Roman"/>
        </w:rPr>
        <w:t xml:space="preserve">. However, this should not add much to the mean costs after allocating evenly to all participants. </w:t>
      </w:r>
      <w:r w:rsidR="009D7483">
        <w:rPr>
          <w:rFonts w:cs="Times New Roman"/>
        </w:rPr>
        <w:t>I</w:t>
      </w:r>
      <w:r w:rsidR="00FA2E18">
        <w:rPr>
          <w:rFonts w:cs="Times New Roman"/>
        </w:rPr>
        <w:t xml:space="preserve">nsufficient </w:t>
      </w:r>
      <w:r w:rsidR="00CD5CC8">
        <w:rPr>
          <w:rFonts w:cs="Times New Roman"/>
        </w:rPr>
        <w:t>estimation</w:t>
      </w:r>
      <w:r w:rsidR="00FA2E18">
        <w:rPr>
          <w:rFonts w:cs="Times New Roman"/>
        </w:rPr>
        <w:t xml:space="preserve"> of the workload in participating centres</w:t>
      </w:r>
      <w:r w:rsidR="00752044">
        <w:rPr>
          <w:rFonts w:cs="Times New Roman"/>
        </w:rPr>
        <w:t xml:space="preserve"> meant that</w:t>
      </w:r>
      <w:r w:rsidR="00FA2E18">
        <w:rPr>
          <w:rFonts w:cs="Times New Roman"/>
        </w:rPr>
        <w:t xml:space="preserve"> we were unable to capture what was happening in the UC arm in terms of their contacts with </w:t>
      </w:r>
      <w:r w:rsidR="00CD5CC8">
        <w:rPr>
          <w:rFonts w:cs="Times New Roman"/>
        </w:rPr>
        <w:t>participants</w:t>
      </w:r>
      <w:r w:rsidR="0047673C">
        <w:rPr>
          <w:rFonts w:cs="Times New Roman"/>
        </w:rPr>
        <w:t xml:space="preserve"> and how much efforts the keyworkers might have made</w:t>
      </w:r>
      <w:r w:rsidR="00FA2E18">
        <w:rPr>
          <w:rFonts w:cs="Times New Roman"/>
        </w:rPr>
        <w:t>.</w:t>
      </w:r>
      <w:r w:rsidR="00537AEC">
        <w:rPr>
          <w:rFonts w:cs="Times New Roman"/>
        </w:rPr>
        <w:t xml:space="preserve"> </w:t>
      </w:r>
      <w:r w:rsidR="00FA2E18">
        <w:rPr>
          <w:rFonts w:cs="Times New Roman"/>
        </w:rPr>
        <w:t xml:space="preserve">From self-reported SSS use, </w:t>
      </w:r>
      <w:r w:rsidR="00F970E4">
        <w:rPr>
          <w:rFonts w:cs="Times New Roman"/>
        </w:rPr>
        <w:t>few participants in the UC arm sought SSS for quitting</w:t>
      </w:r>
      <w:r w:rsidR="00BD3A02">
        <w:rPr>
          <w:rFonts w:cs="Times New Roman"/>
        </w:rPr>
        <w:t xml:space="preserve"> and they did not ask for help from GP services either after 4 weeks</w:t>
      </w:r>
      <w:r w:rsidR="00FA2E18">
        <w:rPr>
          <w:rFonts w:cs="Times New Roman"/>
        </w:rPr>
        <w:t xml:space="preserve">. </w:t>
      </w:r>
      <w:r w:rsidR="00F970E4">
        <w:rPr>
          <w:rFonts w:cs="Times New Roman"/>
        </w:rPr>
        <w:t>While t</w:t>
      </w:r>
      <w:r w:rsidR="00FA2E18">
        <w:rPr>
          <w:rFonts w:cs="Times New Roman"/>
        </w:rPr>
        <w:t xml:space="preserve">he EC arm did not seek SSS </w:t>
      </w:r>
      <w:r w:rsidR="00F970E4">
        <w:rPr>
          <w:rFonts w:cs="Times New Roman"/>
        </w:rPr>
        <w:t>at all during the study</w:t>
      </w:r>
      <w:r w:rsidR="00FA2E18">
        <w:rPr>
          <w:rFonts w:cs="Times New Roman"/>
        </w:rPr>
        <w:t xml:space="preserve"> period</w:t>
      </w:r>
      <w:r w:rsidR="00F970E4">
        <w:rPr>
          <w:rFonts w:cs="Times New Roman"/>
        </w:rPr>
        <w:t xml:space="preserve">, they seemed to </w:t>
      </w:r>
      <w:r w:rsidR="00752044">
        <w:rPr>
          <w:rFonts w:cs="Times New Roman"/>
        </w:rPr>
        <w:t>resort to</w:t>
      </w:r>
      <w:r w:rsidR="00F970E4">
        <w:rPr>
          <w:rFonts w:cs="Times New Roman"/>
        </w:rPr>
        <w:t xml:space="preserve"> GP services</w:t>
      </w:r>
      <w:r w:rsidR="00537AEC">
        <w:rPr>
          <w:rFonts w:cs="Times New Roman"/>
        </w:rPr>
        <w:t xml:space="preserve"> </w:t>
      </w:r>
      <w:r w:rsidR="00F970E4">
        <w:rPr>
          <w:rFonts w:cs="Times New Roman"/>
        </w:rPr>
        <w:t>when</w:t>
      </w:r>
      <w:r w:rsidR="00FA2E18">
        <w:rPr>
          <w:rFonts w:cs="Times New Roman"/>
        </w:rPr>
        <w:t xml:space="preserve"> they were </w:t>
      </w:r>
      <w:r w:rsidR="00F970E4">
        <w:rPr>
          <w:rFonts w:cs="Times New Roman"/>
        </w:rPr>
        <w:t xml:space="preserve">no longer </w:t>
      </w:r>
      <w:r w:rsidR="00FA2E18">
        <w:rPr>
          <w:rFonts w:cs="Times New Roman"/>
        </w:rPr>
        <w:t>offered help by their keyworkers in the centre.</w:t>
      </w:r>
      <w:r w:rsidR="00BD3A02">
        <w:rPr>
          <w:rFonts w:cs="Times New Roman"/>
        </w:rPr>
        <w:t xml:space="preserve"> This might indicate an attempt to keep on the efforts by some participants in the EC arm.</w:t>
      </w:r>
    </w:p>
    <w:p w14:paraId="474998A0" w14:textId="06852FD4" w:rsidR="001C16B7" w:rsidRPr="009520B4" w:rsidRDefault="001C16B7" w:rsidP="00F121F9">
      <w:pPr>
        <w:spacing w:after="160" w:line="480" w:lineRule="auto"/>
        <w:jc w:val="both"/>
        <w:rPr>
          <w:rFonts w:cs="Times New Roman"/>
        </w:rPr>
      </w:pPr>
      <w:r w:rsidRPr="673553EE">
        <w:rPr>
          <w:rFonts w:cs="Times New Roman"/>
        </w:rPr>
        <w:t>To our knowledge, this is the first</w:t>
      </w:r>
      <w:r w:rsidR="00AF1EF8" w:rsidRPr="673553EE">
        <w:rPr>
          <w:rFonts w:cs="Times New Roman"/>
        </w:rPr>
        <w:t xml:space="preserve"> study </w:t>
      </w:r>
      <w:r w:rsidR="00AC05EB">
        <w:rPr>
          <w:rFonts w:cs="Times New Roman"/>
        </w:rPr>
        <w:t>in the UK to engage with people</w:t>
      </w:r>
      <w:r w:rsidR="00AF1EF8" w:rsidRPr="673553EE">
        <w:rPr>
          <w:rFonts w:cs="Times New Roman"/>
        </w:rPr>
        <w:t xml:space="preserve"> accessing homeless services to support smoking cessation, and the first worldwide to explore the feasibility of supplying free EC starter kits.</w:t>
      </w:r>
      <w:r w:rsidR="00840AF7">
        <w:rPr>
          <w:rFonts w:cs="Times New Roman"/>
        </w:rPr>
        <w:t xml:space="preserve"> </w:t>
      </w:r>
      <w:r w:rsidR="00D61A65" w:rsidRPr="673553EE">
        <w:rPr>
          <w:rFonts w:cs="Times New Roman"/>
        </w:rPr>
        <w:t xml:space="preserve">It is also the first to collect data on sustained abstinence for </w:t>
      </w:r>
      <w:r w:rsidR="00587E94">
        <w:rPr>
          <w:rFonts w:cs="Times New Roman"/>
        </w:rPr>
        <w:t>six</w:t>
      </w:r>
      <w:r w:rsidR="00D61A65" w:rsidRPr="673553EE">
        <w:rPr>
          <w:rFonts w:cs="Times New Roman"/>
        </w:rPr>
        <w:t xml:space="preserve"> months, the Russell </w:t>
      </w:r>
      <w:r w:rsidR="00587E94">
        <w:rPr>
          <w:rFonts w:cs="Times New Roman"/>
        </w:rPr>
        <w:t xml:space="preserve">gold </w:t>
      </w:r>
      <w:r w:rsidR="00D61A65" w:rsidRPr="673553EE">
        <w:rPr>
          <w:rFonts w:cs="Times New Roman"/>
        </w:rPr>
        <w:t>standard usually adopted for smoking cessation studies</w:t>
      </w:r>
      <w:r w:rsidR="00C03246">
        <w:rPr>
          <w:rFonts w:cs="Times New Roman"/>
        </w:rPr>
        <w:t xml:space="preserve"> </w:t>
      </w:r>
      <w:r w:rsidR="00C03246">
        <w:rPr>
          <w:rFonts w:cs="Times New Roman"/>
        </w:rPr>
        <w:fldChar w:fldCharType="begin" w:fldLock="1"/>
      </w:r>
      <w:r w:rsidR="00840AF7">
        <w:rPr>
          <w:rFonts w:cs="Times New Roman"/>
        </w:rPr>
        <w:instrText>ADDIN CSL_CITATION {"citationItems":[{"id":"ITEM-1","itemData":{"DOI":"10.1111/j.1360-0443.2004.00995.x","PMID":"15733243","abstract":"Smoking cessation treatment is now integrated into many health-care systems and a major research effort is under way to improve current success rates. Until now results from randomized clinical trials have been reported in many different ways, leading to problems of interpretation. We propose six standard criteria comprising the 'Russell Standard' (RS). These criteria are applicable to trials of cessation aids where participants have a defined target quit date and there is face-to-face contact with researchers or clinic staff, as follows. (1) Follow-up for 6 months (RS6) or 12 months (RS12) from the target quit date or the end of a predefined 'grace period'; (2) self-report of smoking abstinence over the whole follow-up period allowing up to five cigarettes in total; (3) biochemical verification of abstinence at least at the 6-month or 12-month follow-up point; (4) use of an 'intention-to-treat' approach in which data from all randomized smokers are included in the analysis unless they have died or moved to an untraceable address (participants who are included in the analysis are counted as smokers if their smoking status at the final follow-up cannot be determined); (5) following-up 'protocol violators' and using their true smoking status in the analysis; and (6) collecting follow-up data blind to smokers' allocation to trial group. We believe that these criteria provide the best compromise between practicability and surrogacy for long-term cessation and will enable meaningful comparison between studies. There may be good reasons why other outcome criteria would also be reported, and studies that involve interventions with special groups or where there is no designated target quit date or face to face contact would need to adapt these criteria accordingly.","author":[{"dropping-particle":"","family":"West","given":"Robert J.","non-dropping-particle":"","parse-names":false,"suffix":""},{"dropping-particle":"","family":"Hajek","given":"Peter","non-dropping-particle":"","parse-names":false,"suffix":""},{"dropping-particle":"","family":"Stead","given":"Lindsay","non-dropping-particle":"","parse-names":false,"suffix":""},{"dropping-particle":"","family":"Stapleton","given":"John","non-dropping-particle":"","parse-names":false,"suffix":""}],"container-title":"Addiction","id":"ITEM-1","issue":"3","issued":{"date-parts":[["2005","3"]]},"page":"299-303","title":"Outcome criteria in smoking cessation trials: Proposal for a common standard","type":"article-journal","volume":"100"},"uris":["http://www.mendeley.com/documents/?uuid=70287ad0-4bb0-4d27-944a-ee761f5d7cf6"]}],"mendeley":{"formattedCitation":"[65]","plainTextFormattedCitation":"[65]","previouslyFormattedCitation":"[65]"},"properties":{"noteIndex":0},"schema":"https://github.com/citation-style-language/schema/raw/master/csl-citation.json"}</w:instrText>
      </w:r>
      <w:r w:rsidR="00C03246">
        <w:rPr>
          <w:rFonts w:cs="Times New Roman"/>
        </w:rPr>
        <w:fldChar w:fldCharType="separate"/>
      </w:r>
      <w:r w:rsidR="00840AF7" w:rsidRPr="00840AF7">
        <w:rPr>
          <w:rFonts w:cs="Times New Roman"/>
          <w:noProof/>
        </w:rPr>
        <w:t>[65]</w:t>
      </w:r>
      <w:r w:rsidR="00C03246">
        <w:rPr>
          <w:rFonts w:cs="Times New Roman"/>
        </w:rPr>
        <w:fldChar w:fldCharType="end"/>
      </w:r>
      <w:r w:rsidR="00D61A65" w:rsidRPr="673553EE">
        <w:rPr>
          <w:rFonts w:cs="Times New Roman"/>
        </w:rPr>
        <w:t>.</w:t>
      </w:r>
      <w:r w:rsidR="00537AEC">
        <w:rPr>
          <w:rFonts w:cs="Times New Roman"/>
        </w:rPr>
        <w:t xml:space="preserve"> </w:t>
      </w:r>
      <w:r w:rsidR="00F578FB" w:rsidRPr="673553EE">
        <w:rPr>
          <w:rFonts w:cs="Times New Roman"/>
        </w:rPr>
        <w:t xml:space="preserve">Recruitment, retention, engagement and cessation rates compared favourably with </w:t>
      </w:r>
      <w:r w:rsidR="00AD7874" w:rsidRPr="673553EE">
        <w:rPr>
          <w:rFonts w:cs="Times New Roman"/>
        </w:rPr>
        <w:t>previous studies</w:t>
      </w:r>
      <w:r w:rsidR="00F578FB" w:rsidRPr="673553EE">
        <w:rPr>
          <w:rFonts w:cs="Times New Roman"/>
        </w:rPr>
        <w:t>.</w:t>
      </w:r>
      <w:r w:rsidR="00840AF7">
        <w:rPr>
          <w:rFonts w:cs="Times New Roman"/>
        </w:rPr>
        <w:t xml:space="preserve"> </w:t>
      </w:r>
      <w:r w:rsidR="00F578FB" w:rsidRPr="673553EE">
        <w:rPr>
          <w:rFonts w:cs="Times New Roman"/>
        </w:rPr>
        <w:t xml:space="preserve">Our participants were open </w:t>
      </w:r>
      <w:r w:rsidR="003A06B9" w:rsidRPr="673553EE">
        <w:rPr>
          <w:rFonts w:cs="Times New Roman"/>
        </w:rPr>
        <w:t xml:space="preserve">and willing </w:t>
      </w:r>
      <w:r w:rsidR="00F578FB" w:rsidRPr="673553EE">
        <w:rPr>
          <w:rFonts w:cs="Times New Roman"/>
        </w:rPr>
        <w:t>to using EC and there w</w:t>
      </w:r>
      <w:r w:rsidR="003A06B9" w:rsidRPr="673553EE">
        <w:rPr>
          <w:rFonts w:cs="Times New Roman"/>
        </w:rPr>
        <w:t>ere very few unintended consequences (e.g. device theft, adding illicit substances or deterioration in mental health).</w:t>
      </w:r>
      <w:r w:rsidR="00840AF7">
        <w:rPr>
          <w:rFonts w:cs="Times New Roman"/>
        </w:rPr>
        <w:t xml:space="preserve"> </w:t>
      </w:r>
      <w:r w:rsidR="003A06B9" w:rsidRPr="673553EE">
        <w:rPr>
          <w:rFonts w:cs="Times New Roman"/>
        </w:rPr>
        <w:t xml:space="preserve"> However, there were several limitations.</w:t>
      </w:r>
      <w:r w:rsidR="00840AF7">
        <w:rPr>
          <w:rFonts w:cs="Times New Roman"/>
        </w:rPr>
        <w:t xml:space="preserve"> </w:t>
      </w:r>
      <w:r w:rsidR="003A06B9" w:rsidRPr="673553EE">
        <w:rPr>
          <w:rFonts w:cs="Times New Roman"/>
        </w:rPr>
        <w:t xml:space="preserve">Firstly, as a feasibility cluster randomised </w:t>
      </w:r>
      <w:r w:rsidR="00587E94">
        <w:rPr>
          <w:rFonts w:cs="Times New Roman"/>
        </w:rPr>
        <w:t>trial</w:t>
      </w:r>
      <w:r w:rsidR="003A06B9" w:rsidRPr="673553EE">
        <w:rPr>
          <w:rFonts w:cs="Times New Roman"/>
        </w:rPr>
        <w:t xml:space="preserve">, we did not meet our original target recruitment rate. Nevertheless, this was a pragmatically chosen target based on information available to us at the time </w:t>
      </w:r>
      <w:r w:rsidR="00BE234C" w:rsidRPr="673553EE">
        <w:rPr>
          <w:rFonts w:cs="Times New Roman"/>
        </w:rPr>
        <w:t>and there was further interest in participation if our schedule had allowed the researchers to remain on site for a longer period.</w:t>
      </w:r>
      <w:r w:rsidR="00840AF7">
        <w:rPr>
          <w:rFonts w:cs="Times New Roman"/>
        </w:rPr>
        <w:t xml:space="preserve"> </w:t>
      </w:r>
      <w:r w:rsidR="00BE234C" w:rsidRPr="673553EE">
        <w:rPr>
          <w:rFonts w:cs="Times New Roman"/>
        </w:rPr>
        <w:t>Secondly, and relatedly, recruitment and retention differed across sites.</w:t>
      </w:r>
      <w:r w:rsidR="00840AF7">
        <w:rPr>
          <w:rFonts w:cs="Times New Roman"/>
        </w:rPr>
        <w:t xml:space="preserve"> </w:t>
      </w:r>
      <w:r w:rsidR="00BE234C" w:rsidRPr="673553EE">
        <w:rPr>
          <w:rFonts w:cs="Times New Roman"/>
        </w:rPr>
        <w:t>This is an important finding, which, along with the results of our process evaluation (reported elsewhere) will assist us in carefully selecting sites (e.g. day-care only) in a future main trial.</w:t>
      </w:r>
      <w:r w:rsidR="00840AF7">
        <w:rPr>
          <w:rFonts w:cs="Times New Roman"/>
        </w:rPr>
        <w:t xml:space="preserve"> </w:t>
      </w:r>
      <w:r w:rsidR="00BE234C" w:rsidRPr="673553EE">
        <w:rPr>
          <w:rFonts w:cs="Times New Roman"/>
        </w:rPr>
        <w:t>Thirdly,</w:t>
      </w:r>
      <w:r w:rsidR="003B6260" w:rsidRPr="673553EE">
        <w:rPr>
          <w:rFonts w:cs="Times New Roman"/>
        </w:rPr>
        <w:t xml:space="preserve"> our arms differed on some important baseline characteristics.</w:t>
      </w:r>
      <w:r w:rsidR="00840AF7">
        <w:rPr>
          <w:rFonts w:cs="Times New Roman"/>
        </w:rPr>
        <w:t xml:space="preserve"> </w:t>
      </w:r>
      <w:r w:rsidR="003B6260" w:rsidRPr="673553EE">
        <w:rPr>
          <w:rFonts w:cs="Times New Roman"/>
        </w:rPr>
        <w:t>However, our intention was not to formally compare cessation rates between arms, but to inform the sample size and number of clusters required for a main trial.</w:t>
      </w:r>
      <w:r w:rsidR="00537AEC">
        <w:rPr>
          <w:rFonts w:cs="Times New Roman"/>
        </w:rPr>
        <w:t xml:space="preserve"> </w:t>
      </w:r>
      <w:r w:rsidR="003B6260" w:rsidRPr="673553EE">
        <w:rPr>
          <w:rFonts w:cs="Times New Roman"/>
        </w:rPr>
        <w:t xml:space="preserve">Fourthly, </w:t>
      </w:r>
      <w:r w:rsidR="00BE234C" w:rsidRPr="673553EE">
        <w:rPr>
          <w:rFonts w:cs="Times New Roman"/>
        </w:rPr>
        <w:t>there was evidence of cross-contamination with EC use in the UC arm. This is a common issue in EC assisted smoking cessation research and one that will be carefully considered in the design of a future main trial.</w:t>
      </w:r>
      <w:r w:rsidR="00840AF7">
        <w:rPr>
          <w:rFonts w:cs="Times New Roman"/>
        </w:rPr>
        <w:t xml:space="preserve"> </w:t>
      </w:r>
      <w:r w:rsidR="003B6260" w:rsidRPr="673553EE">
        <w:rPr>
          <w:rFonts w:cs="Times New Roman"/>
        </w:rPr>
        <w:t>Finally, blinding was not possible for the measurement of outcomes which may have led to assessment bias or differential efforts on the part of researchers in contacting participants for follow up.</w:t>
      </w:r>
      <w:r w:rsidR="00840AF7">
        <w:rPr>
          <w:rFonts w:cs="Times New Roman"/>
        </w:rPr>
        <w:t xml:space="preserve"> </w:t>
      </w:r>
      <w:r w:rsidR="003B6260" w:rsidRPr="673553EE">
        <w:rPr>
          <w:rFonts w:cs="Times New Roman"/>
        </w:rPr>
        <w:t>Nevertheless, although follow up rates did differ between the arms, this appeared to be due to site differences rather than differences between treatment groups per se.</w:t>
      </w:r>
      <w:r w:rsidR="00840AF7">
        <w:rPr>
          <w:rFonts w:cs="Times New Roman"/>
        </w:rPr>
        <w:t xml:space="preserve"> </w:t>
      </w:r>
      <w:r w:rsidR="009520B4" w:rsidRPr="009520B4">
        <w:rPr>
          <w:rFonts w:cs="Times New Roman"/>
        </w:rPr>
        <w:t xml:space="preserve">In terms of generalisability, although our sample was relatively small, </w:t>
      </w:r>
      <w:r w:rsidR="009520B4" w:rsidRPr="009520B4">
        <w:rPr>
          <w:rFonts w:cstheme="minorHAnsi"/>
          <w:color w:val="000000" w:themeColor="text1"/>
        </w:rPr>
        <w:t>the data are drawn from three geographically distinct areas of GB, from a variety of different centres and the sample demographics match those of the wider homeless population (homeless.org).</w:t>
      </w:r>
    </w:p>
    <w:p w14:paraId="42C4C94C" w14:textId="2684DE20" w:rsidR="00477949" w:rsidRPr="00E879B4" w:rsidRDefault="00477949" w:rsidP="0092147E">
      <w:pPr>
        <w:spacing w:after="160" w:line="480" w:lineRule="auto"/>
        <w:jc w:val="both"/>
        <w:rPr>
          <w:rFonts w:cs="Times New Roman"/>
          <w:b/>
          <w:sz w:val="36"/>
          <w:szCs w:val="36"/>
        </w:rPr>
      </w:pPr>
      <w:r>
        <w:rPr>
          <w:rFonts w:cs="Times New Roman"/>
          <w:b/>
          <w:sz w:val="36"/>
          <w:szCs w:val="36"/>
        </w:rPr>
        <w:t>Conclusions</w:t>
      </w:r>
    </w:p>
    <w:p w14:paraId="6D7113D4" w14:textId="15A7461B" w:rsidR="00D61A65" w:rsidRPr="00CC3ABA" w:rsidRDefault="00477949" w:rsidP="0092147E">
      <w:pPr>
        <w:spacing w:after="160" w:line="480" w:lineRule="auto"/>
        <w:jc w:val="both"/>
        <w:rPr>
          <w:rFonts w:cs="Times New Roman"/>
        </w:rPr>
      </w:pPr>
      <w:r>
        <w:rPr>
          <w:rFonts w:cs="Times New Roman"/>
        </w:rPr>
        <w:t>O</w:t>
      </w:r>
      <w:r w:rsidR="0092147E" w:rsidRPr="00CC3ABA">
        <w:rPr>
          <w:rFonts w:cs="Times New Roman"/>
        </w:rPr>
        <w:t>ur study demonstrated promising evidence of</w:t>
      </w:r>
      <w:r w:rsidR="00537AEC">
        <w:rPr>
          <w:rFonts w:cs="Times New Roman"/>
        </w:rPr>
        <w:t xml:space="preserve"> acceptability and efficacy</w:t>
      </w:r>
      <w:r w:rsidR="0092147E" w:rsidRPr="00CC3ABA">
        <w:rPr>
          <w:rFonts w:cs="Times New Roman"/>
        </w:rPr>
        <w:t xml:space="preserve"> </w:t>
      </w:r>
      <w:r w:rsidR="00D61A65" w:rsidRPr="00CC3ABA">
        <w:rPr>
          <w:rFonts w:cs="Times New Roman"/>
        </w:rPr>
        <w:t xml:space="preserve">of offering free </w:t>
      </w:r>
      <w:r w:rsidR="009B5141" w:rsidRPr="00CC3ABA">
        <w:rPr>
          <w:rFonts w:cs="Times New Roman"/>
        </w:rPr>
        <w:t xml:space="preserve">EC </w:t>
      </w:r>
      <w:r w:rsidR="00D61A65" w:rsidRPr="00CC3ABA">
        <w:rPr>
          <w:rFonts w:cs="Times New Roman"/>
        </w:rPr>
        <w:t>starter kits to</w:t>
      </w:r>
      <w:r w:rsidR="00AC05EB">
        <w:rPr>
          <w:rFonts w:cs="Times New Roman"/>
        </w:rPr>
        <w:t xml:space="preserve"> smokers accessing homelessness centres, a group that are among </w:t>
      </w:r>
      <w:r w:rsidR="009B5141" w:rsidRPr="00CC3ABA">
        <w:rPr>
          <w:rFonts w:cs="Times New Roman"/>
        </w:rPr>
        <w:t>the most vulnerable and hard to reach in the UK.</w:t>
      </w:r>
      <w:r w:rsidR="00D61A65" w:rsidRPr="00CC3ABA">
        <w:rPr>
          <w:rFonts w:cs="Times New Roman"/>
        </w:rPr>
        <w:t xml:space="preserve"> The findings of the study will be used to help inform the design of a main trial to definitively explore the</w:t>
      </w:r>
      <w:r w:rsidR="00AC05EB">
        <w:rPr>
          <w:rFonts w:cs="Times New Roman"/>
        </w:rPr>
        <w:t xml:space="preserve"> efficacy</w:t>
      </w:r>
      <w:r w:rsidR="00D61A65" w:rsidRPr="00CC3ABA">
        <w:rPr>
          <w:rFonts w:cs="Times New Roman"/>
        </w:rPr>
        <w:t xml:space="preserve"> of supplying EC starter kits to smokers accessing homeless services for smoking cessation in the UK.</w:t>
      </w:r>
    </w:p>
    <w:p w14:paraId="451862C4" w14:textId="1EB55F28" w:rsidR="00E668C6" w:rsidRDefault="00E668C6" w:rsidP="0092147E">
      <w:pPr>
        <w:spacing w:after="160" w:line="480" w:lineRule="auto"/>
        <w:jc w:val="both"/>
        <w:rPr>
          <w:rFonts w:cs="Times New Roman"/>
        </w:rPr>
      </w:pPr>
    </w:p>
    <w:p w14:paraId="3496BB67" w14:textId="77777777" w:rsidR="005306E0" w:rsidRPr="00E879B4" w:rsidRDefault="005306E0" w:rsidP="005306E0">
      <w:pPr>
        <w:spacing w:line="480" w:lineRule="auto"/>
        <w:jc w:val="both"/>
        <w:rPr>
          <w:rFonts w:cs="Times New Roman"/>
          <w:b/>
          <w:sz w:val="36"/>
          <w:szCs w:val="36"/>
        </w:rPr>
      </w:pPr>
      <w:r w:rsidRPr="00E879B4">
        <w:rPr>
          <w:rFonts w:cs="Times New Roman"/>
          <w:b/>
          <w:sz w:val="36"/>
          <w:szCs w:val="36"/>
        </w:rPr>
        <w:t>Acknowledgements</w:t>
      </w:r>
    </w:p>
    <w:p w14:paraId="16A0EDFE" w14:textId="5C49F991" w:rsidR="00F8121D" w:rsidRPr="00E12BE1" w:rsidRDefault="003F1EB5" w:rsidP="00E668C6">
      <w:pPr>
        <w:pStyle w:val="paragraph"/>
        <w:spacing w:before="0" w:beforeAutospacing="0" w:after="160" w:afterAutospacing="0" w:line="480" w:lineRule="auto"/>
        <w:jc w:val="both"/>
        <w:textAlignment w:val="baseline"/>
        <w:rPr>
          <w:rFonts w:ascii="Segoe UI" w:hAnsi="Segoe UI" w:cs="Segoe UI"/>
        </w:rPr>
      </w:pPr>
      <w:r>
        <w:rPr>
          <w:rStyle w:val="normaltextrun"/>
          <w:rFonts w:ascii="Calibri" w:hAnsi="Calibri" w:cs="Segoe UI"/>
        </w:rPr>
        <w:t>W</w:t>
      </w:r>
      <w:r w:rsidR="00F8121D" w:rsidRPr="00E12BE1">
        <w:rPr>
          <w:rStyle w:val="normaltextrun"/>
          <w:rFonts w:ascii="Calibri" w:hAnsi="Calibri" w:cs="Segoe UI"/>
        </w:rPr>
        <w:t>e would like to thank the following for their support throughout the research process: Alicja Pytlik</w:t>
      </w:r>
      <w:r w:rsidR="00F8121D" w:rsidRPr="00E12BE1">
        <w:rPr>
          <w:rStyle w:val="textrun"/>
          <w:rFonts w:ascii="Calibri" w:hAnsi="Calibri" w:cs="Segoe UI"/>
        </w:rPr>
        <w:t>, Dr Catherine Kimber, and Emily Hussey.</w:t>
      </w:r>
    </w:p>
    <w:p w14:paraId="6AE28ECD" w14:textId="764C33B0" w:rsidR="00F8121D" w:rsidRPr="00E12BE1" w:rsidRDefault="00F8121D" w:rsidP="00E668C6">
      <w:pPr>
        <w:pStyle w:val="paragraph"/>
        <w:spacing w:before="0" w:beforeAutospacing="0" w:after="160" w:afterAutospacing="0" w:line="480" w:lineRule="auto"/>
        <w:jc w:val="both"/>
        <w:textAlignment w:val="baseline"/>
        <w:rPr>
          <w:rFonts w:ascii="Segoe UI" w:hAnsi="Segoe UI" w:cs="Segoe UI"/>
        </w:rPr>
      </w:pPr>
      <w:r w:rsidRPr="00E12BE1">
        <w:rPr>
          <w:rStyle w:val="textrun"/>
          <w:rFonts w:ascii="Calibri" w:hAnsi="Calibri" w:cs="Segoe UI"/>
        </w:rPr>
        <w:t>We would especially like to thank the homeless charities involved: The Hope Centre, St Mungo’s and The Salvat</w:t>
      </w:r>
      <w:r w:rsidR="0016654A" w:rsidRPr="00E12BE1">
        <w:rPr>
          <w:rStyle w:val="textrun"/>
          <w:rFonts w:ascii="Calibri" w:hAnsi="Calibri" w:cs="Segoe UI"/>
        </w:rPr>
        <w:t xml:space="preserve">ion </w:t>
      </w:r>
      <w:r w:rsidRPr="00E12BE1">
        <w:rPr>
          <w:rStyle w:val="textrun"/>
          <w:rFonts w:ascii="Calibri" w:hAnsi="Calibri" w:cs="Segoe UI"/>
        </w:rPr>
        <w:t>Army, and the support workers who provided exceptional levels of assistance and continual support.</w:t>
      </w:r>
      <w:r w:rsidR="00840AF7">
        <w:rPr>
          <w:rStyle w:val="textrun"/>
          <w:rFonts w:ascii="Calibri" w:hAnsi="Calibri" w:cs="Segoe UI"/>
        </w:rPr>
        <w:t xml:space="preserve"> </w:t>
      </w:r>
    </w:p>
    <w:p w14:paraId="108D3940" w14:textId="389246B4" w:rsidR="00F8121D" w:rsidRPr="00E12BE1" w:rsidRDefault="00F8121D" w:rsidP="00F8121D">
      <w:pPr>
        <w:pStyle w:val="paragraph"/>
        <w:spacing w:before="0" w:beforeAutospacing="0" w:after="0" w:afterAutospacing="0" w:line="480" w:lineRule="auto"/>
        <w:jc w:val="both"/>
        <w:textAlignment w:val="baseline"/>
        <w:rPr>
          <w:rFonts w:ascii="Segoe UI" w:hAnsi="Segoe UI" w:cs="Segoe UI"/>
        </w:rPr>
      </w:pPr>
      <w:r w:rsidRPr="00E12BE1">
        <w:rPr>
          <w:rStyle w:val="textrun"/>
          <w:rFonts w:ascii="Calibri" w:hAnsi="Calibri" w:cs="Segoe UI"/>
        </w:rPr>
        <w:t>We would also like to thank our Trial Steering Committee (TSC) </w:t>
      </w:r>
      <w:r w:rsidR="00E422ED" w:rsidRPr="00E12BE1">
        <w:rPr>
          <w:rStyle w:val="textrun"/>
          <w:rFonts w:ascii="Calibri" w:hAnsi="Calibri" w:cs="Segoe UI"/>
        </w:rPr>
        <w:t xml:space="preserve">members </w:t>
      </w:r>
      <w:r w:rsidRPr="00E12BE1">
        <w:rPr>
          <w:rStyle w:val="textrun"/>
          <w:rFonts w:ascii="Calibri" w:hAnsi="Calibri" w:cs="Segoe UI"/>
        </w:rPr>
        <w:t xml:space="preserve">for their counsel and advice throughout the process. </w:t>
      </w:r>
    </w:p>
    <w:p w14:paraId="1A6FD9D7" w14:textId="57AC1118" w:rsidR="005306E0" w:rsidRPr="00CC3ABA" w:rsidRDefault="005306E0" w:rsidP="00E668C6">
      <w:pPr>
        <w:spacing w:line="480" w:lineRule="auto"/>
        <w:jc w:val="both"/>
        <w:rPr>
          <w:rFonts w:cs="Times New Roman"/>
          <w:b/>
        </w:rPr>
      </w:pPr>
    </w:p>
    <w:p w14:paraId="5004D99B" w14:textId="77777777" w:rsidR="002A4414" w:rsidRPr="00CC3ABA" w:rsidRDefault="002A4414" w:rsidP="005E6D11">
      <w:pPr>
        <w:spacing w:line="480" w:lineRule="auto"/>
        <w:ind w:firstLine="720"/>
        <w:jc w:val="both"/>
        <w:rPr>
          <w:rFonts w:cs="Times New Roman"/>
          <w:b/>
        </w:rPr>
      </w:pPr>
    </w:p>
    <w:p w14:paraId="651CFA9B" w14:textId="69C33A09" w:rsidR="00297D25" w:rsidRPr="00E879B4" w:rsidRDefault="00297D25" w:rsidP="00297D25">
      <w:pPr>
        <w:spacing w:line="480" w:lineRule="auto"/>
        <w:rPr>
          <w:rFonts w:cs="Times New Roman"/>
          <w:b/>
          <w:sz w:val="36"/>
          <w:szCs w:val="36"/>
        </w:rPr>
      </w:pPr>
      <w:r w:rsidRPr="00E879B4">
        <w:rPr>
          <w:rFonts w:cs="Times New Roman"/>
          <w:b/>
          <w:sz w:val="36"/>
          <w:szCs w:val="36"/>
        </w:rPr>
        <w:t>References:</w:t>
      </w:r>
    </w:p>
    <w:p w14:paraId="3928149A" w14:textId="5F61CC23" w:rsidR="00840AF7" w:rsidRPr="00840AF7" w:rsidRDefault="00930364" w:rsidP="00840AF7">
      <w:pPr>
        <w:widowControl w:val="0"/>
        <w:autoSpaceDE w:val="0"/>
        <w:autoSpaceDN w:val="0"/>
        <w:adjustRightInd w:val="0"/>
        <w:spacing w:line="480" w:lineRule="auto"/>
        <w:ind w:left="640" w:hanging="640"/>
        <w:rPr>
          <w:rFonts w:ascii="Calibri" w:hAnsi="Calibri" w:cs="Calibri"/>
          <w:noProof/>
        </w:rPr>
      </w:pPr>
      <w:r>
        <w:rPr>
          <w:rFonts w:cs="Times New Roman"/>
        </w:rPr>
        <w:fldChar w:fldCharType="begin" w:fldLock="1"/>
      </w:r>
      <w:r>
        <w:rPr>
          <w:rFonts w:cs="Times New Roman"/>
        </w:rPr>
        <w:instrText xml:space="preserve">ADDIN Mendeley Bibliography CSL_BIBLIOGRAPHY </w:instrText>
      </w:r>
      <w:r>
        <w:rPr>
          <w:rFonts w:cs="Times New Roman"/>
        </w:rPr>
        <w:fldChar w:fldCharType="separate"/>
      </w:r>
      <w:r w:rsidR="00840AF7" w:rsidRPr="00840AF7">
        <w:rPr>
          <w:rFonts w:ascii="Calibri" w:hAnsi="Calibri" w:cs="Calibri"/>
          <w:noProof/>
        </w:rPr>
        <w:t xml:space="preserve">1. </w:t>
      </w:r>
      <w:r w:rsidR="00840AF7" w:rsidRPr="00840AF7">
        <w:rPr>
          <w:rFonts w:ascii="Calibri" w:hAnsi="Calibri" w:cs="Calibri"/>
          <w:noProof/>
        </w:rPr>
        <w:tab/>
        <w:t>Cornish D, Brookman A, Horto M, Scanlon S. Adult smoking habits in the UK: 2018 [Internet]. 2018 [cited 2020 May 11]. Available from: https://www.ons.gov.uk/peoplepopulationandcommunity/healthandsocialcare/healthandlifeexpectancies/bulletins/adultsmokinghabitsingreatbritain/2018</w:t>
      </w:r>
    </w:p>
    <w:p w14:paraId="51AB1935"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 </w:t>
      </w:r>
      <w:r w:rsidRPr="00840AF7">
        <w:rPr>
          <w:rFonts w:ascii="Calibri" w:hAnsi="Calibri" w:cs="Calibri"/>
          <w:noProof/>
        </w:rPr>
        <w:tab/>
        <w:t xml:space="preserve">Harker K, Cheeseman H. Shifting culture and taking action to reduce smoking and premature death among people with a mental health condition. J Public Ment Health. 2016; </w:t>
      </w:r>
    </w:p>
    <w:p w14:paraId="2BF2E81D"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 </w:t>
      </w:r>
      <w:r w:rsidRPr="00840AF7">
        <w:rPr>
          <w:rFonts w:ascii="Calibri" w:hAnsi="Calibri" w:cs="Calibri"/>
          <w:noProof/>
        </w:rPr>
        <w:tab/>
        <w:t xml:space="preserve">Foulds J, Gandhi KK, Steinberg MB, Richardson DL, Williams JM, Burke M V., et al. Factors associated with quitting smoking at a tobacco dependence treatment clinic. Am J Health Behav. 2006;30(4):400–12. </w:t>
      </w:r>
    </w:p>
    <w:p w14:paraId="20BF5C8E"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 </w:t>
      </w:r>
      <w:r w:rsidRPr="00840AF7">
        <w:rPr>
          <w:rFonts w:ascii="Calibri" w:hAnsi="Calibri" w:cs="Calibri"/>
          <w:noProof/>
        </w:rPr>
        <w:tab/>
        <w:t>Brose LS, McEwen A. Neighbourhood deprivation and outcomes of stop smoking support - An observational study. PLoS One [Internet]. 2016;11(1):1–10. Available from: https://www.ncbi.nlm.nih.gov/pmc/articles/PMC4732751/pdf/pone.0148194.pdf</w:t>
      </w:r>
    </w:p>
    <w:p w14:paraId="684E7A04"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 </w:t>
      </w:r>
      <w:r w:rsidRPr="00840AF7">
        <w:rPr>
          <w:rFonts w:ascii="Calibri" w:hAnsi="Calibri" w:cs="Calibri"/>
          <w:noProof/>
        </w:rPr>
        <w:tab/>
        <w:t>Public Health England. Health Matters: Quitting and smoking in England [Internet]. Gov.uk:Health and social care: Public health: Health improvement: Smoking. 2015 [cited 2017 Dec 3]. Available from: https://www.gov.uk/government/publications/health-matters-smoking-and-quitting-in-england/smoking-and-quitting-in-england</w:t>
      </w:r>
    </w:p>
    <w:p w14:paraId="25ABE1C4"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6. </w:t>
      </w:r>
      <w:r w:rsidRPr="00840AF7">
        <w:rPr>
          <w:rFonts w:ascii="Calibri" w:hAnsi="Calibri" w:cs="Calibri"/>
          <w:noProof/>
        </w:rPr>
        <w:tab/>
        <w:t>Soar K, Dawkins L, Robson D, Cox S. Smoking amongst adults experiencing homelessness: A systematic review of prevalence rates, interventions and the barriers and facilitators to quitting and staying quit. J Smok Cessat [Internet]. 2020 Jun [cited 2020 Apr 23];15(2):94–108. Available from: https://www.cambridge.org/core/journals/journal-of-smoking-cessation/article/smoking-amongst-adults-experiencing-homelessness-a-systematic-review-of-prevalence-rates-interventions-and-the-barriers-and-facilitators-to-quitting-and-staying-quit/5DF8012E78FC</w:t>
      </w:r>
    </w:p>
    <w:p w14:paraId="4E00EEC6"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7. </w:t>
      </w:r>
      <w:r w:rsidRPr="00840AF7">
        <w:rPr>
          <w:rFonts w:ascii="Calibri" w:hAnsi="Calibri" w:cs="Calibri"/>
          <w:noProof/>
        </w:rPr>
        <w:tab/>
        <w:t>Homeless Link. Health Needs Audit - explore the data | Homeless Link [Internet]. [cited 2020 Apr 16]. Available from: https://www.homeless.org.uk/facts/homelessness-in-numbers/health-needs-audit-explore-data</w:t>
      </w:r>
    </w:p>
    <w:p w14:paraId="14D50237"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8. </w:t>
      </w:r>
      <w:r w:rsidRPr="00840AF7">
        <w:rPr>
          <w:rFonts w:ascii="Calibri" w:hAnsi="Calibri" w:cs="Calibri"/>
          <w:noProof/>
        </w:rPr>
        <w:tab/>
        <w:t xml:space="preserve">Arnsten JH, Reid K, Bierer M, Rigotti N. Smoking behavior and interest in quitting among homeless smokers. Addict Behav. 2004;29(6):1155–61. </w:t>
      </w:r>
    </w:p>
    <w:p w14:paraId="4AC2BB1E"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9. </w:t>
      </w:r>
      <w:r w:rsidRPr="00840AF7">
        <w:rPr>
          <w:rFonts w:ascii="Calibri" w:hAnsi="Calibri" w:cs="Calibri"/>
          <w:noProof/>
        </w:rPr>
        <w:tab/>
        <w:t xml:space="preserve">Connor SE, Cook RL, Herbert MI, Neal SM, Williams JT. Smoking cessation in a homeless population: There is a will, but is there a way? J Gen Intern Med. 2002;17(5):369–72. </w:t>
      </w:r>
    </w:p>
    <w:p w14:paraId="2B913E26"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10. </w:t>
      </w:r>
      <w:r w:rsidRPr="00840AF7">
        <w:rPr>
          <w:rFonts w:ascii="Calibri" w:hAnsi="Calibri" w:cs="Calibri"/>
          <w:noProof/>
        </w:rPr>
        <w:tab/>
        <w:t>Dawkins L, Ford A, Bauld L, Balaban S, Tyler A, Cox S. A cross sectional survey of smoking characteristics and quitting behaviour from a sample of homeless adults in Great Britain. Addict Behav [Internet]. 2019;95:35–40. Available from: https://www.sciencedirect.com/science/article/pii/S0306460318312632?casa_token=jZrFeFE6X5kAAAAA:Y7cZ2xlDBIQjh08hlgB9LW7jOXvhvJKvOwVrpjaW3oJEPOCFgOVS9NuF3mJ3tIyDp_QpDhI</w:t>
      </w:r>
    </w:p>
    <w:p w14:paraId="7E09FFE2"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11. </w:t>
      </w:r>
      <w:r w:rsidRPr="00840AF7">
        <w:rPr>
          <w:rFonts w:ascii="Calibri" w:hAnsi="Calibri" w:cs="Calibri"/>
          <w:noProof/>
        </w:rPr>
        <w:tab/>
        <w:t>Department of Health Office of the Chief Analyst. Healthcare for Single Homeless People [Internet]. London; 2010 [cited 2020 Jun 10]. Available from: https://www.housinglin.org.uk/_assets/Resources/Housing/Support_materials/Other_reports_and_guidance/Healthcare_for_single_homeless_people.pdf</w:t>
      </w:r>
    </w:p>
    <w:p w14:paraId="60AA7743"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12. </w:t>
      </w:r>
      <w:r w:rsidRPr="00840AF7">
        <w:rPr>
          <w:rFonts w:ascii="Calibri" w:hAnsi="Calibri" w:cs="Calibri"/>
          <w:noProof/>
        </w:rPr>
        <w:tab/>
        <w:t xml:space="preserve">Okuyemi KS, Goldade K, Whembolua GL, Thomas JL, Eischen S, Sewali B, et al. Motivational interviewing to enhance nicotine patch treatment for smoking cessation among homeless smokers: A randomized controlled trial. Addiction. 2013 Jun;108(6):1136–44. </w:t>
      </w:r>
    </w:p>
    <w:p w14:paraId="06AE306B"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13. </w:t>
      </w:r>
      <w:r w:rsidRPr="00840AF7">
        <w:rPr>
          <w:rFonts w:ascii="Calibri" w:hAnsi="Calibri" w:cs="Calibri"/>
          <w:noProof/>
        </w:rPr>
        <w:tab/>
        <w:t xml:space="preserve">Segan CJ, Maddox S, Borland R. Homeless clients benefit from smoking cessation treatment delivered by a homeless persons’ program. Nicotine Tob Res. 2015;17(8):996–1001. </w:t>
      </w:r>
    </w:p>
    <w:p w14:paraId="63841BA3"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14. </w:t>
      </w:r>
      <w:r w:rsidRPr="00840AF7">
        <w:rPr>
          <w:rFonts w:ascii="Calibri" w:hAnsi="Calibri" w:cs="Calibri"/>
          <w:noProof/>
        </w:rPr>
        <w:tab/>
        <w:t>Shelley D, Cantrell J, Warn D, Wong S. Smoking cessation among sheltered homeless: A pilot. Am J Health Behav [Internet]. 2010;34(5):544–52. Available from: https://www.ncbi.nlm.nih.gov/pmc/articles/PMC2882631/</w:t>
      </w:r>
    </w:p>
    <w:p w14:paraId="5E2520D8"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15. </w:t>
      </w:r>
      <w:r w:rsidRPr="00840AF7">
        <w:rPr>
          <w:rFonts w:ascii="Calibri" w:hAnsi="Calibri" w:cs="Calibri"/>
          <w:noProof/>
        </w:rPr>
        <w:tab/>
        <w:t>Carpenter VL, Hertzberg JS, Kirby AC, Calhoun PS, Moore SD, Dennis MF, et al. Multicomponent smoking cessation treatment including mobile contingency management in homeless veterans. J Clin Psychiatry [Internet]. 2015 Jul [cited 2020 Jun 10];76(7):959–64. Available from: https://www.ncbi.nlm.nih.gov/pmc/articles/PMC4522209/</w:t>
      </w:r>
    </w:p>
    <w:p w14:paraId="5169D622"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16. </w:t>
      </w:r>
      <w:r w:rsidRPr="00840AF7">
        <w:rPr>
          <w:rFonts w:ascii="Calibri" w:hAnsi="Calibri" w:cs="Calibri"/>
          <w:noProof/>
        </w:rPr>
        <w:tab/>
        <w:t xml:space="preserve">Boland VC, Mattick RP, McRobbie H, Siahpush M, Courtney RJ. “I’m not strong enough; I’m not good enough. I can’t do this, I’m failing”: A qualitative study of low-socioeconomic status smokers’ experiences with accesssing cessation support and the role for alternative technology-based support. Int J Equity Health. 2017;16(1):196. </w:t>
      </w:r>
    </w:p>
    <w:p w14:paraId="6448C41F"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17. </w:t>
      </w:r>
      <w:r w:rsidRPr="00840AF7">
        <w:rPr>
          <w:rFonts w:ascii="Calibri" w:hAnsi="Calibri" w:cs="Calibri"/>
          <w:noProof/>
        </w:rPr>
        <w:tab/>
        <w:t xml:space="preserve">Collins SE, Orfaly VE, Wu T, Chang S, Hardy R V., Nash A, et al. Content analysis of homeless smokers’ perspectives on established and alternative smoking interventions. Int J Drug Policy. 2018;1(51):10–7. </w:t>
      </w:r>
    </w:p>
    <w:p w14:paraId="5698B712"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18. </w:t>
      </w:r>
      <w:r w:rsidRPr="00840AF7">
        <w:rPr>
          <w:rFonts w:ascii="Calibri" w:hAnsi="Calibri" w:cs="Calibri"/>
          <w:noProof/>
        </w:rPr>
        <w:tab/>
        <w:t>Action on smoking and health. Use of e-cigarettes (vaporisers) among adults in Great Britain [Internet]. 2019 [cited 2020 Mar 12]. p. 1–18. Available from: https://ash.org.uk/information-and-resources/fact-sheets/statistical/use-of-e-cigarettes-among-adults-in-great-britain-2019/</w:t>
      </w:r>
    </w:p>
    <w:p w14:paraId="3BB41743"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19. </w:t>
      </w:r>
      <w:r w:rsidRPr="00840AF7">
        <w:rPr>
          <w:rFonts w:ascii="Calibri" w:hAnsi="Calibri" w:cs="Calibri"/>
          <w:noProof/>
        </w:rPr>
        <w:tab/>
        <w:t>West RJ, Beard E, Kale D, Brown J. Trends in electronic cigarette use in England [Internet]. Smoking in England Latest Statistics. 2020 [cited 2020 Jun 10]. p. 1–33. Available from: http://www.smokinginengland.info/latest-statistics/</w:t>
      </w:r>
    </w:p>
    <w:p w14:paraId="06ED4A7F"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20. </w:t>
      </w:r>
      <w:r w:rsidRPr="00840AF7">
        <w:rPr>
          <w:rFonts w:ascii="Calibri" w:hAnsi="Calibri" w:cs="Calibri"/>
          <w:noProof/>
        </w:rPr>
        <w:tab/>
        <w:t>Hajek P, Phillips-Waller A, Przulj D, Pesola F, Smith KM, Bisal N, et al. A randomized trial of E-cigarettes versus nicotine-replacement therapy. N Engl J Med [Internet]. 2019 Feb;380(7):629–37. Available from: https://www.nejm.org/doi/full/10.1056/NEJMoa1808779</w:t>
      </w:r>
    </w:p>
    <w:p w14:paraId="584FA5DA"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21. </w:t>
      </w:r>
      <w:r w:rsidRPr="00840AF7">
        <w:rPr>
          <w:rFonts w:ascii="Calibri" w:hAnsi="Calibri" w:cs="Calibri"/>
          <w:noProof/>
        </w:rPr>
        <w:tab/>
        <w:t xml:space="preserve">Weaver SR, Majeed BA, Pechacek TF, Nyman AL, Gregory KR, Eriksen MP. Use of electronic nicotine delivery systems and other tobacco products among USA adults, 2014: Results from a national survey. Int J Public Health. 2016;61(2):77–188. </w:t>
      </w:r>
    </w:p>
    <w:p w14:paraId="029A937C"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22. </w:t>
      </w:r>
      <w:r w:rsidRPr="00840AF7">
        <w:rPr>
          <w:rFonts w:ascii="Calibri" w:hAnsi="Calibri" w:cs="Calibri"/>
          <w:noProof/>
        </w:rPr>
        <w:tab/>
        <w:t xml:space="preserve">Thirlway F. Everyday tactics in local moral worlds: E-cigarette practices in a working-class area of the UK. Soc Sci Med. 2016;170:106–13. </w:t>
      </w:r>
    </w:p>
    <w:p w14:paraId="7F18B61D"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23. </w:t>
      </w:r>
      <w:r w:rsidRPr="00840AF7">
        <w:rPr>
          <w:rFonts w:ascii="Calibri" w:hAnsi="Calibri" w:cs="Calibri"/>
          <w:noProof/>
        </w:rPr>
        <w:tab/>
        <w:t>Department of Health. Towards a Smokefree Generation A Tobacco Control Plan for England [Internet]. 2017 [cited 2020 Jun 17]. Available from: https://www.gov.uk/government/publications/towards-a-smoke-free-generation-tobacco-control-plan-for-england</w:t>
      </w:r>
    </w:p>
    <w:p w14:paraId="720F6DF8"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24. </w:t>
      </w:r>
      <w:r w:rsidRPr="00840AF7">
        <w:rPr>
          <w:rFonts w:ascii="Calibri" w:hAnsi="Calibri" w:cs="Calibri"/>
          <w:noProof/>
        </w:rPr>
        <w:tab/>
        <w:t>Department of Health. Healthy Lives, Healthy People: A Tobacco Control Plan for England [Internet]. 2011 [cited 2020 Jun 17]. Available from: http://www.dh.gov.uk/en/Publicationsandstatistics/Publications/PublicationsPolicyAndGuidance/DH_124917</w:t>
      </w:r>
    </w:p>
    <w:p w14:paraId="54FAC88A"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25. </w:t>
      </w:r>
      <w:r w:rsidRPr="00840AF7">
        <w:rPr>
          <w:rFonts w:ascii="Calibri" w:hAnsi="Calibri" w:cs="Calibri"/>
          <w:noProof/>
        </w:rPr>
        <w:tab/>
        <w:t>McNeill A, Brose LS, Calder R, Bauld L, Robson D. Vaping in England: an evidence update including mental health and pregnancy, March 2020: a report commissioned by Public Health England [Internet]. London; 2020. Available from: https://assets.publishing.service.gov.uk/government/uploads/system/uploads/attachment_data/file/869401/Vaping_in_England_evidence_update_March_2020.pdf</w:t>
      </w:r>
    </w:p>
    <w:p w14:paraId="33EC434E"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26. </w:t>
      </w:r>
      <w:r w:rsidRPr="00840AF7">
        <w:rPr>
          <w:rFonts w:ascii="Calibri" w:hAnsi="Calibri" w:cs="Calibri"/>
          <w:noProof/>
        </w:rPr>
        <w:tab/>
        <w:t>Hwang SW. Homelessness and health. Cmaj [Internet]. 2001 Jan 23 [cited 2020 Jun 15];164(2):229–33. Available from: https://www.cmaj.ca/content/cmaj/164/2/229.full.pdf</w:t>
      </w:r>
    </w:p>
    <w:p w14:paraId="09DED3C4"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27. </w:t>
      </w:r>
      <w:r w:rsidRPr="00840AF7">
        <w:rPr>
          <w:rFonts w:ascii="Calibri" w:hAnsi="Calibri" w:cs="Calibri"/>
          <w:noProof/>
        </w:rPr>
        <w:tab/>
        <w:t>Aldridge RW, Story A, Hwang SW, Nordentoft M, Luchenski SA, Hartwell G, et al. Morbidity and mortality in homeless individuals, prisoners, sex workers, and individuals with substance use disorders in high-income countries: a systematic review and meta-analysis. Lancet [Internet]. 2018 Jan 20;391(10117):241–50. Available from: http://dx.doi.org/10.1016/S0140-6736(17)31869-X</w:t>
      </w:r>
    </w:p>
    <w:p w14:paraId="446EC42B"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28. </w:t>
      </w:r>
      <w:r w:rsidRPr="00840AF7">
        <w:rPr>
          <w:rFonts w:ascii="Calibri" w:hAnsi="Calibri" w:cs="Calibri"/>
          <w:noProof/>
        </w:rPr>
        <w:tab/>
        <w:t>Booth BM, Sullivan G, Koegel P, Burnam A. Vulnerability factors for homelessness associated with substance dependence in a community sample of homeless adults. Am J Drug Alcohol Abuse [Internet]. 2002;28(3):429–52. Available from: https://www.tandfonline.com/doi/abs/10.1081/ADA-120006735</w:t>
      </w:r>
    </w:p>
    <w:p w14:paraId="686887C6"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29. </w:t>
      </w:r>
      <w:r w:rsidRPr="00840AF7">
        <w:rPr>
          <w:rFonts w:ascii="Calibri" w:hAnsi="Calibri" w:cs="Calibri"/>
          <w:noProof/>
        </w:rPr>
        <w:tab/>
        <w:t>Hurt RD, Offoard KP, Croghan IT, Gomez-Dahl L, Kottke TE, Morse RM, et al. Mortality following inpatient addictions treatment: Role of tobacco use in a community-based cohort. Jama [Internet]. 1996 Apr 10;275(14):1097–103. Available from: https://jamanetwork.com/journals/jama/article-abstract/400024</w:t>
      </w:r>
    </w:p>
    <w:p w14:paraId="0D2DB530"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30. </w:t>
      </w:r>
      <w:r w:rsidRPr="00840AF7">
        <w:rPr>
          <w:rFonts w:ascii="Calibri" w:hAnsi="Calibri" w:cs="Calibri"/>
          <w:noProof/>
        </w:rPr>
        <w:tab/>
        <w:t>Johnson JL, Moffat BM, Malchy LA. In the shadow of a new smoke free policy: A discourse analysis of health care providers’ engagement in tobacco control in community mental health. Int J Ment Health Syst [Internet]. 2010 Jul 28 [cited 2020 Jun 15];4(23):1–12. Available from: https://ijmhs.biomedcentral.com/articles/10.1186/1752-4458-4-23</w:t>
      </w:r>
    </w:p>
    <w:p w14:paraId="2D8CA863"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31. </w:t>
      </w:r>
      <w:r w:rsidRPr="00840AF7">
        <w:rPr>
          <w:rFonts w:ascii="Calibri" w:hAnsi="Calibri" w:cs="Calibri"/>
          <w:noProof/>
        </w:rPr>
        <w:tab/>
        <w:t>Ziedonis DM, Guydish J, Williams J, Steinberg M, Foulds J. Barriers and solutions to addressing tobacco dependence in addiction treatment programs. Alcohol Res Heal [Internet]. 2006 [cited 2020 Jun 17];29(3):228–35. Available from: https://www.ncbi.nlm.nih.gov/pmc/articles/PMC6527042/</w:t>
      </w:r>
    </w:p>
    <w:p w14:paraId="0824AF6A"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32. </w:t>
      </w:r>
      <w:r w:rsidRPr="00840AF7">
        <w:rPr>
          <w:rFonts w:ascii="Calibri" w:hAnsi="Calibri" w:cs="Calibri"/>
          <w:noProof/>
        </w:rPr>
        <w:tab/>
        <w:t>Robinson C, Rogers CR, Okuyemi K. Depression symptoms among homeless smokers: Effect of motivational interviewing. Subst Use Misuse [Internet]. 2016 Aug 23 [cited 2020 Jun 15];51(10):11393–7. Available from: https://www.ncbi.nlm.nih.gov/pmc/articles/PMC4929022/</w:t>
      </w:r>
    </w:p>
    <w:p w14:paraId="026A39FF"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33. </w:t>
      </w:r>
      <w:r w:rsidRPr="00840AF7">
        <w:rPr>
          <w:rFonts w:ascii="Calibri" w:hAnsi="Calibri" w:cs="Calibri"/>
          <w:noProof/>
        </w:rPr>
        <w:tab/>
        <w:t>McKelvey K, Thrul J, Ramo D. Impact of quitting smoking and smoking cessation treatment on substance use outcomes: An updated and narrative review. Addict Behav [Internet]. 2017 Feb 1 [cited 2020 Jun 15];65:161–70. Available from: http://dx.doi.org/10.1016/j.addbeh.2016.10.012</w:t>
      </w:r>
    </w:p>
    <w:p w14:paraId="403F9FDD"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34. </w:t>
      </w:r>
      <w:r w:rsidRPr="00840AF7">
        <w:rPr>
          <w:rFonts w:ascii="Calibri" w:hAnsi="Calibri" w:cs="Calibri"/>
          <w:noProof/>
        </w:rPr>
        <w:tab/>
        <w:t xml:space="preserve">Taylor G, McNeill A, Girling A, Farley A, Lindson-Hawley N, Aveyard P. Change in mental health after smoking cessation: Systematic review and meta-analysis. BMJ. 2014; </w:t>
      </w:r>
    </w:p>
    <w:p w14:paraId="63E4ABEA"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35. </w:t>
      </w:r>
      <w:r w:rsidRPr="00840AF7">
        <w:rPr>
          <w:rFonts w:ascii="Calibri" w:hAnsi="Calibri" w:cs="Calibri"/>
          <w:noProof/>
        </w:rPr>
        <w:tab/>
        <w:t>Blundell M, Dargan P, Wood D. A cloud on the horizon–a survey into the use of electronic vaping devices for recreational drug and new psychoactive substance (NPS) administration. QJM An Int J Med [Internet]. 2018 Jan 1 [cited 2020 Jun 15];111(1):9–14. Available from: https://academic.oup.com/qjmed/article/111/1/9/4158164</w:t>
      </w:r>
    </w:p>
    <w:p w14:paraId="56A41D8D"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36. </w:t>
      </w:r>
      <w:r w:rsidRPr="00840AF7">
        <w:rPr>
          <w:rFonts w:ascii="Calibri" w:hAnsi="Calibri" w:cs="Calibri"/>
          <w:noProof/>
        </w:rPr>
        <w:tab/>
        <w:t xml:space="preserve">Farsalinos KE, Romagna G, Tsiapras D, Kyrzopoulos S, Spyrou A, Voudris V. Impact of flavour variability on electronic cigarette use experience: An internet survey. Int J Environ Res Public Health. 2013;10(12):7272–82. </w:t>
      </w:r>
    </w:p>
    <w:p w14:paraId="710E997D"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37. </w:t>
      </w:r>
      <w:r w:rsidRPr="00840AF7">
        <w:rPr>
          <w:rFonts w:ascii="Calibri" w:hAnsi="Calibri" w:cs="Calibri"/>
          <w:noProof/>
        </w:rPr>
        <w:tab/>
        <w:t xml:space="preserve">Action on Smoking and Health. Use of Electronic Cigarettes (Vapourisers) Among Adults in Great Britain. ASH Factsheet. 2017; </w:t>
      </w:r>
    </w:p>
    <w:p w14:paraId="5823467F"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38. </w:t>
      </w:r>
      <w:r w:rsidRPr="00840AF7">
        <w:rPr>
          <w:rFonts w:ascii="Calibri" w:hAnsi="Calibri" w:cs="Calibri"/>
          <w:noProof/>
        </w:rPr>
        <w:tab/>
        <w:t>National Health Service. Quit Smoking [Internet]. Live Well. 2018 [cited 2020 Jun 17]. Available from: https://www.nhs.uk/live-well/quit-smoking/</w:t>
      </w:r>
    </w:p>
    <w:p w14:paraId="5C545A2A"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39. </w:t>
      </w:r>
      <w:r w:rsidRPr="00840AF7">
        <w:rPr>
          <w:rFonts w:ascii="Calibri" w:hAnsi="Calibri" w:cs="Calibri"/>
          <w:noProof/>
        </w:rPr>
        <w:tab/>
        <w:t xml:space="preserve">Baggett TP, Chang Y, Yaqubi A, McGlave C, Higgins ST, Rigotti NA. Financial incentives for smoking abstinence in homeless smokers: A pilot randomized controlled trial. Nicotine Tob Res. 2018; </w:t>
      </w:r>
    </w:p>
    <w:p w14:paraId="2B13E9E8"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40. </w:t>
      </w:r>
      <w:r w:rsidRPr="00840AF7">
        <w:rPr>
          <w:rFonts w:ascii="Calibri" w:hAnsi="Calibri" w:cs="Calibri"/>
          <w:noProof/>
        </w:rPr>
        <w:tab/>
        <w:t>Richards CM, Sharif F, Eischen S, Thomas J, Wang Q, Guo H, et al. Retention of homeless smokers in the Power to Quit study. Nicotine Tob Res [Internet]. 2015 Oct 9 [cited 2020 Jun 15];17(9):1104–11. Available from: https://www.ncbi.nlm.nih.gov/pmc/articles/PMC4627484/pdf/ntu210.pdf</w:t>
      </w:r>
    </w:p>
    <w:p w14:paraId="36012B4B"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41. </w:t>
      </w:r>
      <w:r w:rsidRPr="00840AF7">
        <w:rPr>
          <w:rFonts w:ascii="Calibri" w:hAnsi="Calibri" w:cs="Calibri"/>
          <w:noProof/>
        </w:rPr>
        <w:tab/>
        <w:t xml:space="preserve">Fagerström K. Determinants of tobacco use and renaming the FTND to the Fagerström Test for Cigarette Dependence. Nicotine Tob Res. 2012;14(1):75–8. </w:t>
      </w:r>
    </w:p>
    <w:p w14:paraId="65E6B70F"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42. </w:t>
      </w:r>
      <w:r w:rsidRPr="00840AF7">
        <w:rPr>
          <w:rFonts w:ascii="Calibri" w:hAnsi="Calibri" w:cs="Calibri"/>
          <w:noProof/>
        </w:rPr>
        <w:tab/>
        <w:t xml:space="preserve">Kotz D, Brown J, West R. Predictive validity of the Motivation To Stop Scale (MTSS): A single-item measure of motivation to stop smoking. Drug Alcohol Depend. 2013;128(1–2):15–9. </w:t>
      </w:r>
    </w:p>
    <w:p w14:paraId="5F0999FB"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43. </w:t>
      </w:r>
      <w:r w:rsidRPr="00840AF7">
        <w:rPr>
          <w:rFonts w:ascii="Calibri" w:hAnsi="Calibri" w:cs="Calibri"/>
          <w:noProof/>
        </w:rPr>
        <w:tab/>
        <w:t xml:space="preserve">Kroenke K, Spitzer RL. The PHQ-9: A new depression diagnostic and severity measure. Psychiatr Ann. 2002;32(9):509–15. </w:t>
      </w:r>
    </w:p>
    <w:p w14:paraId="0E6522BB"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44. </w:t>
      </w:r>
      <w:r w:rsidRPr="00840AF7">
        <w:rPr>
          <w:rFonts w:ascii="Calibri" w:hAnsi="Calibri" w:cs="Calibri"/>
          <w:noProof/>
        </w:rPr>
        <w:tab/>
        <w:t xml:space="preserve">Spitzer RL, Kroenke K, Williams JBW, Löwe B. A brief measure for assessing generalized anxiety disorder: The GAD-7. Arch Intern Med. 2006; </w:t>
      </w:r>
    </w:p>
    <w:p w14:paraId="58F20CAA"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45. </w:t>
      </w:r>
      <w:r w:rsidRPr="00840AF7">
        <w:rPr>
          <w:rFonts w:ascii="Calibri" w:hAnsi="Calibri" w:cs="Calibri"/>
          <w:noProof/>
        </w:rPr>
        <w:tab/>
        <w:t xml:space="preserve">Saunders JB, Aasland OG, Babor TF, Fuente JR, Grant M. Development of the Alcohol Use Disorders Identification Test (AUDIT): WHO collaborative project on early detection of persons with harmful alcohol consumption-II. Addiction. 1993 Jun;88:791–804. </w:t>
      </w:r>
    </w:p>
    <w:p w14:paraId="58DCC074"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46. </w:t>
      </w:r>
      <w:r w:rsidRPr="00840AF7">
        <w:rPr>
          <w:rFonts w:ascii="Calibri" w:hAnsi="Calibri" w:cs="Calibri"/>
          <w:noProof/>
        </w:rPr>
        <w:tab/>
        <w:t xml:space="preserve">Gossop M, Darke S, Griffiths P, Hando J, Powis B, Hall W, et al. The Severity of Dependence Scale (SDS): Psychometric properties of the SDS in English and Australian samples of heroin, cocaine and amphetamine users. Addiction. 1995;90(5):607–14. </w:t>
      </w:r>
    </w:p>
    <w:p w14:paraId="27D01528"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47. </w:t>
      </w:r>
      <w:r w:rsidRPr="00840AF7">
        <w:rPr>
          <w:rFonts w:ascii="Calibri" w:hAnsi="Calibri" w:cs="Calibri"/>
          <w:noProof/>
        </w:rPr>
        <w:tab/>
        <w:t>Nodin N, Peel E, Tyler A, Rivers I. The RaRE Research Report: Risk and Resilience Explored [Internet]. London; 2015 [cited 2020 Jun 16]. Available from: https://openresearch.lsbu.ac.uk/download/b9904f6f84a51fe2db1a91b4b1e0604d0ccc1bc950d5cb42f62e4126d14cad67/2851990/RARE Research Report_PACE 20150422 corrected.pdf</w:t>
      </w:r>
    </w:p>
    <w:p w14:paraId="74C87266"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48. </w:t>
      </w:r>
      <w:r w:rsidRPr="00840AF7">
        <w:rPr>
          <w:rFonts w:ascii="Calibri" w:hAnsi="Calibri" w:cs="Calibri"/>
          <w:noProof/>
        </w:rPr>
        <w:tab/>
        <w:t xml:space="preserve">EuroQol. EuroQol - a new facility for the measurement of health-related quality of life. Health Policy (New York). 1990;16(3):199–208. </w:t>
      </w:r>
    </w:p>
    <w:p w14:paraId="48D9AF36"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49. </w:t>
      </w:r>
      <w:r w:rsidRPr="00840AF7">
        <w:rPr>
          <w:rFonts w:ascii="Calibri" w:hAnsi="Calibri" w:cs="Calibri"/>
          <w:noProof/>
        </w:rPr>
        <w:tab/>
        <w:t>EuroQol. EQ-5D-3L [Internet]. EQ-5D-3L Version18 April2017. 2017 [cited 2018 Dec 12]. Available from: https://euroqol.org/eq-5d-instruments/eq-5d-3l-about/</w:t>
      </w:r>
    </w:p>
    <w:p w14:paraId="622383B5"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50. </w:t>
      </w:r>
      <w:r w:rsidRPr="00840AF7">
        <w:rPr>
          <w:rFonts w:ascii="Calibri" w:hAnsi="Calibri" w:cs="Calibri"/>
          <w:noProof/>
        </w:rPr>
        <w:tab/>
        <w:t>Dolan P. Modeling valuations for EuroQol health states. Med Care [Internet]. 1997 Nov [cited 2020 May 12];35(11):1095–108. Available from: http://www.jstor.org/stable/3767472</w:t>
      </w:r>
    </w:p>
    <w:p w14:paraId="07808F79"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51. </w:t>
      </w:r>
      <w:r w:rsidRPr="00840AF7">
        <w:rPr>
          <w:rFonts w:ascii="Calibri" w:hAnsi="Calibri" w:cs="Calibri"/>
          <w:noProof/>
        </w:rPr>
        <w:tab/>
        <w:t xml:space="preserve">Torchalla I, Strehlau V, Okoli CTC, Li K, Schuetz C, Krausz M. Smoking and predictors of nicotine dependence in a homeless population. Nicotine Tob Res. 2011; </w:t>
      </w:r>
    </w:p>
    <w:p w14:paraId="6A0CCAD4"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52. </w:t>
      </w:r>
      <w:r w:rsidRPr="00840AF7">
        <w:rPr>
          <w:rFonts w:ascii="Calibri" w:hAnsi="Calibri" w:cs="Calibri"/>
          <w:noProof/>
        </w:rPr>
        <w:tab/>
        <w:t xml:space="preserve">Freeman TP, Stone JM, Orgaz B, Noronha LA, Minchin SL, Curran H V. Tobacco smoking in schizophrenia: Investigating the role of incentive salience. Psychol Med. 2014; </w:t>
      </w:r>
    </w:p>
    <w:p w14:paraId="07CE17DD"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53. </w:t>
      </w:r>
      <w:r w:rsidRPr="00840AF7">
        <w:rPr>
          <w:rFonts w:ascii="Calibri" w:hAnsi="Calibri" w:cs="Calibri"/>
          <w:noProof/>
        </w:rPr>
        <w:tab/>
        <w:t xml:space="preserve">Keogh C, O’Brien KK, Hoban A, O’Carroll A, Fahey T. Health and use of health services of people who are homeless and at risk of homelessness who receive free primary health care in Dublin 58. BMC Health Serv Res. 2015; </w:t>
      </w:r>
    </w:p>
    <w:p w14:paraId="08761B88"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54. </w:t>
      </w:r>
      <w:r w:rsidRPr="00840AF7">
        <w:rPr>
          <w:rFonts w:ascii="Calibri" w:hAnsi="Calibri" w:cs="Calibri"/>
          <w:noProof/>
        </w:rPr>
        <w:tab/>
        <w:t>Dawkins L, Corcoran O. Acute electronic cigarette use: Nicotine delivery and subjective effects in regular users. Psychopharmacology (Berl) [Internet]. 2014 Jan;231(2):401–7. Available from: https://repository.uel.ac.uk/download/c99c54a4be7fdbd6ffd1fc1b6a9ce3e43b709fef9e190f52efef61f4c0c0831c/333718/Dawkins%2520and%2520Corcoran_ecig_accepted%2520version.pdf</w:t>
      </w:r>
    </w:p>
    <w:p w14:paraId="360AE442"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55. </w:t>
      </w:r>
      <w:r w:rsidRPr="00840AF7">
        <w:rPr>
          <w:rFonts w:ascii="Calibri" w:hAnsi="Calibri" w:cs="Calibri"/>
          <w:noProof/>
        </w:rPr>
        <w:tab/>
        <w:t xml:space="preserve">Dawkins L, Cox S, Goniewicz M, McRobbie H, Kimber C, Doig M, et al. ‘Real-world’ compensatory behaviour with low nicotine concentration e-liquid: subjective effects and nicotine, acrolein and formaldehyde exposure. Addiction. 2018;113(10):1874–82. </w:t>
      </w:r>
    </w:p>
    <w:p w14:paraId="5AE38620"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56. </w:t>
      </w:r>
      <w:r w:rsidRPr="00840AF7">
        <w:rPr>
          <w:rFonts w:ascii="Calibri" w:hAnsi="Calibri" w:cs="Calibri"/>
          <w:noProof/>
        </w:rPr>
        <w:tab/>
        <w:t>West RJ, Hajek P, Stead L, Stapleton J. Outcome criteria in smoking cessation trials: Proposal for a common standard. Addiction [Internet]. 2005 Mar;100(3):299–303. Available from: https://pubmed.ncbi.nlm.nih.gov/15733243/</w:t>
      </w:r>
    </w:p>
    <w:p w14:paraId="659D64C5"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57. </w:t>
      </w:r>
      <w:r w:rsidRPr="00840AF7">
        <w:rPr>
          <w:rFonts w:ascii="Calibri" w:hAnsi="Calibri" w:cs="Calibri"/>
          <w:noProof/>
        </w:rPr>
        <w:tab/>
        <w:t>Moore D, Aveyard P, Connock M, Wang D, Fry-Smith A, Barton P. Effectiveness and safety of nicotine replacement therapy assisted reduction to stop smoking: Systematic review and meta-analysis. BMJ [Internet]. 2009 Apr 2 [cited 2020 Jun 15];338(b1024):1–9. Available from: https://www.bmj.com/content/bmj/338/bmj.b1024.full.pdf</w:t>
      </w:r>
    </w:p>
    <w:p w14:paraId="622FD007"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58. </w:t>
      </w:r>
      <w:r w:rsidRPr="00840AF7">
        <w:rPr>
          <w:rFonts w:ascii="Calibri" w:hAnsi="Calibri" w:cs="Calibri"/>
          <w:noProof/>
        </w:rPr>
        <w:tab/>
        <w:t>Richardson G, Manca A. Calculation of quality adjusted life years in the published literature: A review of methodology and transparency. Health Econ [Internet]. 2004 Apr 5;13(12):1203–10. Available from: https://onlinelibrary.wiley.com/doi/abs/10.1002/hec.901</w:t>
      </w:r>
    </w:p>
    <w:p w14:paraId="5F4C7D0D"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59. </w:t>
      </w:r>
      <w:r w:rsidRPr="00840AF7">
        <w:rPr>
          <w:rFonts w:ascii="Calibri" w:hAnsi="Calibri" w:cs="Calibri"/>
          <w:noProof/>
        </w:rPr>
        <w:tab/>
        <w:t>Wu S, Crespi CM, Wong WK. Comparison of methods for estimating the intraclass correlation coefficient for binary responses in cancer prevention cluster randomized trials. Contemp Clin Trials [Internet]. 2012 Sep 1 [cited 2020 Jun 17];33(5):869–80. Available from: https://www.ncbi.nlm.nih.gov/pmc/articles/PMC3426610/</w:t>
      </w:r>
    </w:p>
    <w:p w14:paraId="146633C4"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60. </w:t>
      </w:r>
      <w:r w:rsidRPr="00840AF7">
        <w:rPr>
          <w:rFonts w:ascii="Calibri" w:hAnsi="Calibri" w:cs="Calibri"/>
          <w:noProof/>
        </w:rPr>
        <w:tab/>
        <w:t xml:space="preserve">Thompson DM, Fernald DH, Mold JW. Intraclass correlation coefficients typical of cluster-randomized studies: Estimates from the Robert Wood Johnson Prescription for Health projects. Ann Fam Med. 2012;10(3):235–40. </w:t>
      </w:r>
    </w:p>
    <w:p w14:paraId="2FDCAA17"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61. </w:t>
      </w:r>
      <w:r w:rsidRPr="00840AF7">
        <w:rPr>
          <w:rFonts w:ascii="Calibri" w:hAnsi="Calibri" w:cs="Calibri"/>
          <w:noProof/>
        </w:rPr>
        <w:tab/>
        <w:t xml:space="preserve">Tucker JS, Shadel WG, Golinelli D, Mullins L, Ewing B. Sniping and other high-risk smoking practices among homeless youth. Drug Alcohol Depend. 2015;154:105–10. </w:t>
      </w:r>
    </w:p>
    <w:p w14:paraId="3F75FD90"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62. </w:t>
      </w:r>
      <w:r w:rsidRPr="00840AF7">
        <w:rPr>
          <w:rFonts w:ascii="Calibri" w:hAnsi="Calibri" w:cs="Calibri"/>
          <w:noProof/>
        </w:rPr>
        <w:tab/>
        <w:t xml:space="preserve">Dawkins L, Turner J, Roberts A, Soar K. “Vaping” profiles and preferences: An online survey of electronic cigarette users. Addiction. 2013;108(6):1115–25. </w:t>
      </w:r>
    </w:p>
    <w:p w14:paraId="2C8D428C"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63. </w:t>
      </w:r>
      <w:r w:rsidRPr="00840AF7">
        <w:rPr>
          <w:rFonts w:ascii="Calibri" w:hAnsi="Calibri" w:cs="Calibri"/>
          <w:noProof/>
        </w:rPr>
        <w:tab/>
        <w:t>Dawkins LE, Kimber CF, Doig M, Feyerabend C, Corcoran O. Self-titration by experienced e-cigarette users: blood nicotine delivery and subjective effects. Psychopharmacology (Berl) [Internet]. 2016;233(15–16):2933–41. Available from: https://repository.uel.ac.uk/download/092099f4776ff1980aa58c51344f9ee1336fc76a866913041d566d98783f026c/335223/Dawkins_et_al_nicotine_titration_final_accepted_version_no_highlighting.pdf</w:t>
      </w:r>
    </w:p>
    <w:p w14:paraId="423EC868"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64. </w:t>
      </w:r>
      <w:r w:rsidRPr="00840AF7">
        <w:rPr>
          <w:rFonts w:ascii="Calibri" w:hAnsi="Calibri" w:cs="Calibri"/>
          <w:noProof/>
        </w:rPr>
        <w:tab/>
        <w:t>Holliday R, Preshaw PM, Ryan V, Sniehotta FF, McDonald S, Bauld L, et al. A feasibility study with embedded pilot randomised controlled trial and process evaluation of electronic cigarettes for smoking cessation in patients with periodontitis. Pilot Feasibility Stud [Internet]. 2019 Jun 4 [cited 2020 Jun 17];5(1):1–14. Available from: https://pilotfeasibilitystudies.biomedcentral.com/articles/10.1186/s40814-019-0451-4</w:t>
      </w:r>
    </w:p>
    <w:p w14:paraId="7D9B058F" w14:textId="77777777" w:rsidR="00840AF7" w:rsidRPr="00840AF7" w:rsidRDefault="00840AF7" w:rsidP="00840AF7">
      <w:pPr>
        <w:widowControl w:val="0"/>
        <w:autoSpaceDE w:val="0"/>
        <w:autoSpaceDN w:val="0"/>
        <w:adjustRightInd w:val="0"/>
        <w:spacing w:line="480" w:lineRule="auto"/>
        <w:ind w:left="640" w:hanging="640"/>
        <w:rPr>
          <w:rFonts w:ascii="Calibri" w:hAnsi="Calibri" w:cs="Calibri"/>
          <w:noProof/>
        </w:rPr>
      </w:pPr>
      <w:r w:rsidRPr="00840AF7">
        <w:rPr>
          <w:rFonts w:ascii="Calibri" w:hAnsi="Calibri" w:cs="Calibri"/>
          <w:noProof/>
        </w:rPr>
        <w:t xml:space="preserve">65. </w:t>
      </w:r>
      <w:r w:rsidRPr="00840AF7">
        <w:rPr>
          <w:rFonts w:ascii="Calibri" w:hAnsi="Calibri" w:cs="Calibri"/>
          <w:noProof/>
        </w:rPr>
        <w:tab/>
        <w:t>West RJ, Hajek P, Stead L, Stapleton J. Outcome criteria in smoking cessation trials: Proposal for a common standard. Addiction [Internet]. 2005 Mar [cited 2020 Jun 16];100(3):299–303. Available from: https://pubmed.ncbi.nlm.nih.gov/15733243/</w:t>
      </w:r>
    </w:p>
    <w:p w14:paraId="60DD5B93" w14:textId="0A30AAF3" w:rsidR="0019559D" w:rsidRPr="00CC3ABA" w:rsidRDefault="00930364" w:rsidP="00297D25">
      <w:pPr>
        <w:spacing w:line="480" w:lineRule="auto"/>
        <w:jc w:val="both"/>
        <w:rPr>
          <w:rFonts w:cs="Times New Roman"/>
          <w:b/>
        </w:rPr>
      </w:pPr>
      <w:r>
        <w:rPr>
          <w:rFonts w:cs="Times New Roman"/>
        </w:rPr>
        <w:fldChar w:fldCharType="end"/>
      </w:r>
    </w:p>
    <w:p w14:paraId="270EFF87" w14:textId="56B76FA0" w:rsidR="00297D25" w:rsidRPr="00E879B4" w:rsidRDefault="00582AC7" w:rsidP="00F86612">
      <w:pPr>
        <w:spacing w:line="480" w:lineRule="auto"/>
        <w:jc w:val="both"/>
        <w:rPr>
          <w:rFonts w:cs="Times New Roman"/>
          <w:b/>
          <w:sz w:val="36"/>
          <w:szCs w:val="36"/>
        </w:rPr>
      </w:pPr>
      <w:r w:rsidRPr="00E879B4">
        <w:rPr>
          <w:rFonts w:cs="Times New Roman"/>
          <w:b/>
          <w:sz w:val="36"/>
          <w:szCs w:val="36"/>
        </w:rPr>
        <w:t>Supporting Information Captions</w:t>
      </w:r>
    </w:p>
    <w:p w14:paraId="24A0ACD8" w14:textId="5EE46D0E" w:rsidR="00582AC7" w:rsidRDefault="00582AC7" w:rsidP="000952E4">
      <w:pPr>
        <w:spacing w:line="480" w:lineRule="auto"/>
        <w:rPr>
          <w:rFonts w:cs="Arial"/>
        </w:rPr>
      </w:pPr>
      <w:r>
        <w:rPr>
          <w:rFonts w:cs="Arial"/>
        </w:rPr>
        <w:t>S</w:t>
      </w:r>
      <w:r w:rsidRPr="00582AC7">
        <w:rPr>
          <w:rFonts w:cs="Arial"/>
        </w:rPr>
        <w:t>1: Recruitment and retention by arm and centre</w:t>
      </w:r>
    </w:p>
    <w:p w14:paraId="029FB780" w14:textId="1CD5B9AA" w:rsidR="00582AC7" w:rsidRPr="00582AC7" w:rsidRDefault="00582AC7" w:rsidP="000952E4">
      <w:pPr>
        <w:spacing w:line="480" w:lineRule="auto"/>
        <w:rPr>
          <w:rFonts w:cs="Arial"/>
        </w:rPr>
      </w:pPr>
      <w:r>
        <w:rPr>
          <w:rFonts w:cs="Arial"/>
        </w:rPr>
        <w:t>S2</w:t>
      </w:r>
      <w:r w:rsidRPr="00582AC7">
        <w:rPr>
          <w:rFonts w:cs="Arial"/>
        </w:rPr>
        <w:t>: Recruitment and retention by arm and centre</w:t>
      </w:r>
    </w:p>
    <w:p w14:paraId="0CC51FA5" w14:textId="0AFBE7F6" w:rsidR="00582AC7" w:rsidRDefault="00582AC7" w:rsidP="000952E4">
      <w:pPr>
        <w:spacing w:line="480" w:lineRule="auto"/>
        <w:jc w:val="both"/>
      </w:pPr>
      <w:r>
        <w:t>S</w:t>
      </w:r>
      <w:r w:rsidRPr="00582AC7">
        <w:t>3: Participants’ smoking cessation help use at each time point, by arm</w:t>
      </w:r>
    </w:p>
    <w:p w14:paraId="7C79B290" w14:textId="7299C9F7" w:rsidR="000952E4" w:rsidRPr="000952E4" w:rsidRDefault="000952E4" w:rsidP="000952E4">
      <w:pPr>
        <w:spacing w:line="480" w:lineRule="auto"/>
        <w:rPr>
          <w:sz w:val="28"/>
          <w:szCs w:val="28"/>
        </w:rPr>
      </w:pPr>
      <w:r>
        <w:t>S</w:t>
      </w:r>
      <w:r w:rsidRPr="000952E4">
        <w:t xml:space="preserve">4: </w:t>
      </w:r>
      <w:r w:rsidR="004D25B4" w:rsidRPr="004D25B4">
        <w:t>Number (of 10ml) bottles and types (flavour and st</w:t>
      </w:r>
      <w:r w:rsidR="004D25B4">
        <w:t xml:space="preserve">rength) of e-liquid supplied by </w:t>
      </w:r>
      <w:r w:rsidR="004D25B4" w:rsidRPr="004D25B4">
        <w:t>keyworkers each week</w:t>
      </w:r>
    </w:p>
    <w:p w14:paraId="7CFE710D" w14:textId="77777777" w:rsidR="000952E4" w:rsidRPr="00582AC7" w:rsidRDefault="000952E4" w:rsidP="00582AC7">
      <w:pPr>
        <w:jc w:val="both"/>
      </w:pPr>
    </w:p>
    <w:p w14:paraId="7C38A1BA" w14:textId="77777777" w:rsidR="00582AC7" w:rsidRPr="00582AC7" w:rsidRDefault="00582AC7" w:rsidP="00582AC7">
      <w:pPr>
        <w:rPr>
          <w:rFonts w:cs="Arial"/>
        </w:rPr>
      </w:pPr>
    </w:p>
    <w:p w14:paraId="056DB1D1" w14:textId="77777777" w:rsidR="00C10FFC" w:rsidRDefault="00C10FFC" w:rsidP="007066A8">
      <w:pPr>
        <w:spacing w:line="480" w:lineRule="auto"/>
        <w:rPr>
          <w:rFonts w:cs="Times New Roman"/>
          <w:b/>
        </w:rPr>
      </w:pPr>
    </w:p>
    <w:p w14:paraId="5C4B553F" w14:textId="77777777" w:rsidR="005306E0" w:rsidRDefault="005306E0" w:rsidP="007066A8">
      <w:pPr>
        <w:spacing w:line="480" w:lineRule="auto"/>
        <w:rPr>
          <w:rFonts w:cs="Times New Roman"/>
          <w:b/>
        </w:rPr>
      </w:pPr>
    </w:p>
    <w:p w14:paraId="5112462D" w14:textId="77777777" w:rsidR="005306E0" w:rsidRPr="00CC3ABA" w:rsidRDefault="005306E0" w:rsidP="007066A8">
      <w:pPr>
        <w:spacing w:line="480" w:lineRule="auto"/>
        <w:rPr>
          <w:rFonts w:cs="Times New Roman"/>
          <w:b/>
        </w:rPr>
      </w:pPr>
    </w:p>
    <w:p w14:paraId="6C39FDCF" w14:textId="77777777" w:rsidR="007066A8" w:rsidRPr="00CC3ABA" w:rsidRDefault="007066A8" w:rsidP="007066A8">
      <w:pPr>
        <w:spacing w:line="480" w:lineRule="auto"/>
        <w:rPr>
          <w:rFonts w:cs="Times New Roman"/>
          <w:b/>
        </w:rPr>
      </w:pPr>
    </w:p>
    <w:p w14:paraId="166B1CA4" w14:textId="77777777" w:rsidR="00C22C18" w:rsidRPr="00CC3ABA" w:rsidRDefault="00C22C18" w:rsidP="007066A8">
      <w:pPr>
        <w:widowControl w:val="0"/>
        <w:autoSpaceDE w:val="0"/>
        <w:autoSpaceDN w:val="0"/>
        <w:adjustRightInd w:val="0"/>
        <w:spacing w:after="240" w:line="480" w:lineRule="auto"/>
        <w:rPr>
          <w:rFonts w:cs="Times New Roman"/>
        </w:rPr>
      </w:pPr>
    </w:p>
    <w:p w14:paraId="26367F58" w14:textId="77777777" w:rsidR="00C22C18" w:rsidRPr="00CC3ABA" w:rsidRDefault="00C22C18" w:rsidP="007066A8">
      <w:pPr>
        <w:spacing w:line="480" w:lineRule="auto"/>
        <w:rPr>
          <w:rFonts w:cs="Times New Roman"/>
        </w:rPr>
      </w:pPr>
    </w:p>
    <w:p w14:paraId="13C01C8D" w14:textId="77777777" w:rsidR="00297D25" w:rsidRPr="00CC3ABA" w:rsidRDefault="00297D25" w:rsidP="00297D25">
      <w:pPr>
        <w:rPr>
          <w:rFonts w:cs="Times New Roman"/>
        </w:rPr>
      </w:pPr>
    </w:p>
    <w:p w14:paraId="4C140EEF" w14:textId="77777777" w:rsidR="00C06AFD" w:rsidRPr="00CC3ABA" w:rsidRDefault="00C06AFD" w:rsidP="007066A8">
      <w:pPr>
        <w:widowControl w:val="0"/>
        <w:autoSpaceDE w:val="0"/>
        <w:autoSpaceDN w:val="0"/>
        <w:adjustRightInd w:val="0"/>
        <w:spacing w:after="240" w:line="480" w:lineRule="auto"/>
        <w:rPr>
          <w:rFonts w:cs="Times New Roman"/>
          <w:color w:val="000000"/>
        </w:rPr>
      </w:pPr>
    </w:p>
    <w:p w14:paraId="388DCC21" w14:textId="77777777" w:rsidR="003E03F2" w:rsidRPr="00CC3ABA" w:rsidRDefault="003E03F2" w:rsidP="005E6D11">
      <w:pPr>
        <w:spacing w:line="480" w:lineRule="auto"/>
        <w:ind w:firstLine="720"/>
        <w:jc w:val="both"/>
        <w:rPr>
          <w:rFonts w:cs="Times New Roman"/>
        </w:rPr>
      </w:pPr>
    </w:p>
    <w:sectPr w:rsidR="003E03F2" w:rsidRPr="00CC3ABA" w:rsidSect="00C20769">
      <w:footerReference w:type="even" r:id="rId13"/>
      <w:footerReference w:type="default" r:id="rId14"/>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26A2" w16cex:dateUtc="2020-09-29T20:33:00Z"/>
  <w16cex:commentExtensible w16cex:durableId="231E2A7C" w16cex:dateUtc="2020-09-29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416BD" w16cid:durableId="231D98E3"/>
  <w16cid:commentId w16cid:paraId="7D9C2EB5" w16cid:durableId="231E26A2"/>
  <w16cid:commentId w16cid:paraId="070024A6" w16cid:durableId="231D98E4"/>
  <w16cid:commentId w16cid:paraId="45E148B6" w16cid:durableId="231E2A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4743C" w14:textId="77777777" w:rsidR="00797BB2" w:rsidRDefault="00797BB2" w:rsidP="00601099">
      <w:r>
        <w:separator/>
      </w:r>
    </w:p>
  </w:endnote>
  <w:endnote w:type="continuationSeparator" w:id="0">
    <w:p w14:paraId="395AD4BF" w14:textId="77777777" w:rsidR="00797BB2" w:rsidRDefault="00797BB2" w:rsidP="00601099">
      <w:r>
        <w:continuationSeparator/>
      </w:r>
    </w:p>
  </w:endnote>
  <w:endnote w:type="continuationNotice" w:id="1">
    <w:p w14:paraId="62951B64" w14:textId="77777777" w:rsidR="00797BB2" w:rsidRDefault="00797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B825" w14:textId="77777777" w:rsidR="00620688" w:rsidRDefault="00620688" w:rsidP="002F62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03E42" w14:textId="77777777" w:rsidR="00620688" w:rsidRDefault="00620688" w:rsidP="00601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E32FC" w14:textId="061FC083" w:rsidR="00620688" w:rsidRDefault="00620688" w:rsidP="002F62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76EB">
      <w:rPr>
        <w:rStyle w:val="PageNumber"/>
        <w:noProof/>
      </w:rPr>
      <w:t>28</w:t>
    </w:r>
    <w:r>
      <w:rPr>
        <w:rStyle w:val="PageNumber"/>
      </w:rPr>
      <w:fldChar w:fldCharType="end"/>
    </w:r>
  </w:p>
  <w:p w14:paraId="2626C0A5" w14:textId="77777777" w:rsidR="00620688" w:rsidRDefault="00620688" w:rsidP="006010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66DBA" w14:textId="77777777" w:rsidR="00797BB2" w:rsidRDefault="00797BB2" w:rsidP="00601099">
      <w:r>
        <w:separator/>
      </w:r>
    </w:p>
  </w:footnote>
  <w:footnote w:type="continuationSeparator" w:id="0">
    <w:p w14:paraId="20C278ED" w14:textId="77777777" w:rsidR="00797BB2" w:rsidRDefault="00797BB2" w:rsidP="00601099">
      <w:r>
        <w:continuationSeparator/>
      </w:r>
    </w:p>
  </w:footnote>
  <w:footnote w:type="continuationNotice" w:id="1">
    <w:p w14:paraId="79E7ABBD" w14:textId="77777777" w:rsidR="00797BB2" w:rsidRDefault="00797B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F89"/>
    <w:multiLevelType w:val="hybridMultilevel"/>
    <w:tmpl w:val="221CFE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74BD9"/>
    <w:multiLevelType w:val="hybridMultilevel"/>
    <w:tmpl w:val="04404B2A"/>
    <w:lvl w:ilvl="0" w:tplc="B0509C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7642C"/>
    <w:multiLevelType w:val="hybridMultilevel"/>
    <w:tmpl w:val="4D3EACE6"/>
    <w:lvl w:ilvl="0" w:tplc="692071B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22A22"/>
    <w:multiLevelType w:val="hybridMultilevel"/>
    <w:tmpl w:val="4A60987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73C15"/>
    <w:multiLevelType w:val="multilevel"/>
    <w:tmpl w:val="531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127331"/>
    <w:multiLevelType w:val="multilevel"/>
    <w:tmpl w:val="C2D4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F74EE"/>
    <w:multiLevelType w:val="hybridMultilevel"/>
    <w:tmpl w:val="36D01C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D406A"/>
    <w:multiLevelType w:val="hybridMultilevel"/>
    <w:tmpl w:val="0206DA2A"/>
    <w:lvl w:ilvl="0" w:tplc="C8005E8E">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08437D"/>
    <w:multiLevelType w:val="multilevel"/>
    <w:tmpl w:val="8E92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56416"/>
    <w:multiLevelType w:val="hybridMultilevel"/>
    <w:tmpl w:val="292E3142"/>
    <w:lvl w:ilvl="0" w:tplc="310AA94A">
      <w:start w:val="1"/>
      <w:numFmt w:val="bullet"/>
      <w:lvlText w:val="-"/>
      <w:lvlJc w:val="left"/>
      <w:pPr>
        <w:ind w:left="1140" w:hanging="360"/>
      </w:pPr>
      <w:rPr>
        <w:rFonts w:ascii="Times New Roman" w:eastAsiaTheme="minorHAnsi"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5C660E57"/>
    <w:multiLevelType w:val="hybridMultilevel"/>
    <w:tmpl w:val="02220D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E7680B"/>
    <w:multiLevelType w:val="hybridMultilevel"/>
    <w:tmpl w:val="2078F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4926DB"/>
    <w:multiLevelType w:val="hybridMultilevel"/>
    <w:tmpl w:val="F79003C4"/>
    <w:lvl w:ilvl="0" w:tplc="6586270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9"/>
  </w:num>
  <w:num w:numId="5">
    <w:abstractNumId w:val="6"/>
  </w:num>
  <w:num w:numId="6">
    <w:abstractNumId w:val="11"/>
  </w:num>
  <w:num w:numId="7">
    <w:abstractNumId w:val="12"/>
  </w:num>
  <w:num w:numId="8">
    <w:abstractNumId w:val="7"/>
  </w:num>
  <w:num w:numId="9">
    <w:abstractNumId w:val="2"/>
  </w:num>
  <w:num w:numId="10">
    <w:abstractNumId w:val="1"/>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AA"/>
    <w:rsid w:val="00001A7C"/>
    <w:rsid w:val="000029F5"/>
    <w:rsid w:val="00003EA3"/>
    <w:rsid w:val="000052EC"/>
    <w:rsid w:val="00011DBE"/>
    <w:rsid w:val="00013426"/>
    <w:rsid w:val="000172B9"/>
    <w:rsid w:val="00020AEA"/>
    <w:rsid w:val="00020DFC"/>
    <w:rsid w:val="000234EC"/>
    <w:rsid w:val="00023804"/>
    <w:rsid w:val="00030B4E"/>
    <w:rsid w:val="0003320F"/>
    <w:rsid w:val="00033A46"/>
    <w:rsid w:val="00036C30"/>
    <w:rsid w:val="00037194"/>
    <w:rsid w:val="00037B3A"/>
    <w:rsid w:val="00042F9D"/>
    <w:rsid w:val="00043D56"/>
    <w:rsid w:val="0004411C"/>
    <w:rsid w:val="000456F4"/>
    <w:rsid w:val="00053B23"/>
    <w:rsid w:val="000548D9"/>
    <w:rsid w:val="000553C6"/>
    <w:rsid w:val="0005543E"/>
    <w:rsid w:val="00057D95"/>
    <w:rsid w:val="000608A0"/>
    <w:rsid w:val="00062655"/>
    <w:rsid w:val="00064FB3"/>
    <w:rsid w:val="00067768"/>
    <w:rsid w:val="0006792B"/>
    <w:rsid w:val="000726E5"/>
    <w:rsid w:val="00073054"/>
    <w:rsid w:val="00074611"/>
    <w:rsid w:val="00082556"/>
    <w:rsid w:val="00085F2E"/>
    <w:rsid w:val="000951DF"/>
    <w:rsid w:val="000952E4"/>
    <w:rsid w:val="0009703D"/>
    <w:rsid w:val="000A2476"/>
    <w:rsid w:val="000A4218"/>
    <w:rsid w:val="000A535E"/>
    <w:rsid w:val="000B0B87"/>
    <w:rsid w:val="000B1370"/>
    <w:rsid w:val="000B514C"/>
    <w:rsid w:val="000C0D09"/>
    <w:rsid w:val="000C1137"/>
    <w:rsid w:val="000C13FB"/>
    <w:rsid w:val="000C1CD1"/>
    <w:rsid w:val="000C4D20"/>
    <w:rsid w:val="000C4DB5"/>
    <w:rsid w:val="000C73AA"/>
    <w:rsid w:val="000D00B9"/>
    <w:rsid w:val="000D2960"/>
    <w:rsid w:val="000D3AB2"/>
    <w:rsid w:val="000D4E46"/>
    <w:rsid w:val="000D6118"/>
    <w:rsid w:val="000D6C9C"/>
    <w:rsid w:val="000E242B"/>
    <w:rsid w:val="000E2FE4"/>
    <w:rsid w:val="000E71BA"/>
    <w:rsid w:val="00101521"/>
    <w:rsid w:val="00102F66"/>
    <w:rsid w:val="001054DA"/>
    <w:rsid w:val="001058F9"/>
    <w:rsid w:val="00105A30"/>
    <w:rsid w:val="0011615E"/>
    <w:rsid w:val="00121A0B"/>
    <w:rsid w:val="00125C7E"/>
    <w:rsid w:val="00127EB5"/>
    <w:rsid w:val="001309CF"/>
    <w:rsid w:val="00132739"/>
    <w:rsid w:val="00140CF3"/>
    <w:rsid w:val="001438BA"/>
    <w:rsid w:val="001446BD"/>
    <w:rsid w:val="00144DB2"/>
    <w:rsid w:val="00147DDC"/>
    <w:rsid w:val="00153DDB"/>
    <w:rsid w:val="00154548"/>
    <w:rsid w:val="001602F9"/>
    <w:rsid w:val="00163A4E"/>
    <w:rsid w:val="00164DF3"/>
    <w:rsid w:val="00165BFE"/>
    <w:rsid w:val="0016654A"/>
    <w:rsid w:val="00166A34"/>
    <w:rsid w:val="001676F6"/>
    <w:rsid w:val="001745F4"/>
    <w:rsid w:val="00177A7F"/>
    <w:rsid w:val="0018021D"/>
    <w:rsid w:val="00180E79"/>
    <w:rsid w:val="00184092"/>
    <w:rsid w:val="00186D67"/>
    <w:rsid w:val="00187B94"/>
    <w:rsid w:val="0019559D"/>
    <w:rsid w:val="00197853"/>
    <w:rsid w:val="001A12AF"/>
    <w:rsid w:val="001A26E9"/>
    <w:rsid w:val="001A5826"/>
    <w:rsid w:val="001A7D52"/>
    <w:rsid w:val="001B1DC4"/>
    <w:rsid w:val="001B2203"/>
    <w:rsid w:val="001B23AD"/>
    <w:rsid w:val="001B3F1D"/>
    <w:rsid w:val="001B5009"/>
    <w:rsid w:val="001C02BE"/>
    <w:rsid w:val="001C16B7"/>
    <w:rsid w:val="001C2134"/>
    <w:rsid w:val="001C4E79"/>
    <w:rsid w:val="001D038C"/>
    <w:rsid w:val="001D0952"/>
    <w:rsid w:val="001D3FAF"/>
    <w:rsid w:val="001D5329"/>
    <w:rsid w:val="001E5849"/>
    <w:rsid w:val="001E7387"/>
    <w:rsid w:val="001F1AC4"/>
    <w:rsid w:val="001F1B5D"/>
    <w:rsid w:val="001F3450"/>
    <w:rsid w:val="002006AD"/>
    <w:rsid w:val="002022D5"/>
    <w:rsid w:val="00202683"/>
    <w:rsid w:val="00202B48"/>
    <w:rsid w:val="00211A25"/>
    <w:rsid w:val="00211D20"/>
    <w:rsid w:val="00211FBE"/>
    <w:rsid w:val="00214ABF"/>
    <w:rsid w:val="0021757C"/>
    <w:rsid w:val="0022016A"/>
    <w:rsid w:val="00220534"/>
    <w:rsid w:val="00222922"/>
    <w:rsid w:val="00224F84"/>
    <w:rsid w:val="002277BE"/>
    <w:rsid w:val="00230749"/>
    <w:rsid w:val="00232FC6"/>
    <w:rsid w:val="00234677"/>
    <w:rsid w:val="002365FC"/>
    <w:rsid w:val="00244CCF"/>
    <w:rsid w:val="002465FE"/>
    <w:rsid w:val="00246DE7"/>
    <w:rsid w:val="00250B14"/>
    <w:rsid w:val="00253EAA"/>
    <w:rsid w:val="00262A4A"/>
    <w:rsid w:val="00263B9F"/>
    <w:rsid w:val="00266C9C"/>
    <w:rsid w:val="00272CC7"/>
    <w:rsid w:val="00273866"/>
    <w:rsid w:val="00274F85"/>
    <w:rsid w:val="00282C6C"/>
    <w:rsid w:val="0028387C"/>
    <w:rsid w:val="00285F22"/>
    <w:rsid w:val="00286F37"/>
    <w:rsid w:val="0029163E"/>
    <w:rsid w:val="0029434B"/>
    <w:rsid w:val="00296B16"/>
    <w:rsid w:val="00297D25"/>
    <w:rsid w:val="00297D31"/>
    <w:rsid w:val="002A0449"/>
    <w:rsid w:val="002A32FA"/>
    <w:rsid w:val="002A4414"/>
    <w:rsid w:val="002A789F"/>
    <w:rsid w:val="002A7A78"/>
    <w:rsid w:val="002A7D78"/>
    <w:rsid w:val="002B176E"/>
    <w:rsid w:val="002B30CD"/>
    <w:rsid w:val="002B32C5"/>
    <w:rsid w:val="002B3E66"/>
    <w:rsid w:val="002B77C7"/>
    <w:rsid w:val="002C4D82"/>
    <w:rsid w:val="002C5496"/>
    <w:rsid w:val="002C616C"/>
    <w:rsid w:val="002C6992"/>
    <w:rsid w:val="002D3A3F"/>
    <w:rsid w:val="002E5DCC"/>
    <w:rsid w:val="002E72CF"/>
    <w:rsid w:val="002F2552"/>
    <w:rsid w:val="002F4EC1"/>
    <w:rsid w:val="002F62A6"/>
    <w:rsid w:val="002F6A84"/>
    <w:rsid w:val="002F6AE8"/>
    <w:rsid w:val="00301E66"/>
    <w:rsid w:val="00302200"/>
    <w:rsid w:val="00303894"/>
    <w:rsid w:val="00303EB0"/>
    <w:rsid w:val="0030486B"/>
    <w:rsid w:val="003078A9"/>
    <w:rsid w:val="003108CE"/>
    <w:rsid w:val="00320C1D"/>
    <w:rsid w:val="00320E99"/>
    <w:rsid w:val="003216B9"/>
    <w:rsid w:val="00324D09"/>
    <w:rsid w:val="003267C3"/>
    <w:rsid w:val="00331143"/>
    <w:rsid w:val="00333658"/>
    <w:rsid w:val="00336063"/>
    <w:rsid w:val="003361B3"/>
    <w:rsid w:val="00336FE0"/>
    <w:rsid w:val="00346D8D"/>
    <w:rsid w:val="003520EE"/>
    <w:rsid w:val="00356855"/>
    <w:rsid w:val="00362DDA"/>
    <w:rsid w:val="003641B4"/>
    <w:rsid w:val="00371C4D"/>
    <w:rsid w:val="0037254B"/>
    <w:rsid w:val="003772C2"/>
    <w:rsid w:val="00381B5E"/>
    <w:rsid w:val="00383A84"/>
    <w:rsid w:val="003849A8"/>
    <w:rsid w:val="0038786E"/>
    <w:rsid w:val="003922D0"/>
    <w:rsid w:val="003965D0"/>
    <w:rsid w:val="003A06B9"/>
    <w:rsid w:val="003A1A47"/>
    <w:rsid w:val="003A2126"/>
    <w:rsid w:val="003A3E49"/>
    <w:rsid w:val="003A701C"/>
    <w:rsid w:val="003B253D"/>
    <w:rsid w:val="003B492C"/>
    <w:rsid w:val="003B6260"/>
    <w:rsid w:val="003B6E9D"/>
    <w:rsid w:val="003B7E4E"/>
    <w:rsid w:val="003C1402"/>
    <w:rsid w:val="003C1A65"/>
    <w:rsid w:val="003C272D"/>
    <w:rsid w:val="003C2D1B"/>
    <w:rsid w:val="003C3A02"/>
    <w:rsid w:val="003C3C0C"/>
    <w:rsid w:val="003C4E64"/>
    <w:rsid w:val="003D00F3"/>
    <w:rsid w:val="003D1E13"/>
    <w:rsid w:val="003D2CDC"/>
    <w:rsid w:val="003D3D0D"/>
    <w:rsid w:val="003D7759"/>
    <w:rsid w:val="003D7B43"/>
    <w:rsid w:val="003E03F2"/>
    <w:rsid w:val="003E1C77"/>
    <w:rsid w:val="003E4ABF"/>
    <w:rsid w:val="003E4C85"/>
    <w:rsid w:val="003E6043"/>
    <w:rsid w:val="003F09E0"/>
    <w:rsid w:val="003F1310"/>
    <w:rsid w:val="003F1EB5"/>
    <w:rsid w:val="003F2B07"/>
    <w:rsid w:val="003F43E5"/>
    <w:rsid w:val="003F599F"/>
    <w:rsid w:val="004008C7"/>
    <w:rsid w:val="004047A8"/>
    <w:rsid w:val="00404EB1"/>
    <w:rsid w:val="00411A12"/>
    <w:rsid w:val="00412F7B"/>
    <w:rsid w:val="0041459B"/>
    <w:rsid w:val="0041686E"/>
    <w:rsid w:val="00420370"/>
    <w:rsid w:val="00421663"/>
    <w:rsid w:val="00424452"/>
    <w:rsid w:val="00431CAC"/>
    <w:rsid w:val="00431FF3"/>
    <w:rsid w:val="00433A6A"/>
    <w:rsid w:val="00434CE2"/>
    <w:rsid w:val="00434D47"/>
    <w:rsid w:val="004364E0"/>
    <w:rsid w:val="00436967"/>
    <w:rsid w:val="00436A41"/>
    <w:rsid w:val="00442147"/>
    <w:rsid w:val="00442C33"/>
    <w:rsid w:val="00444E92"/>
    <w:rsid w:val="00445AF3"/>
    <w:rsid w:val="00446C3A"/>
    <w:rsid w:val="00451C0F"/>
    <w:rsid w:val="00452933"/>
    <w:rsid w:val="00456354"/>
    <w:rsid w:val="00457436"/>
    <w:rsid w:val="00457B20"/>
    <w:rsid w:val="00460E48"/>
    <w:rsid w:val="00461D11"/>
    <w:rsid w:val="004622D4"/>
    <w:rsid w:val="004750AF"/>
    <w:rsid w:val="00475A5F"/>
    <w:rsid w:val="0047673C"/>
    <w:rsid w:val="00477949"/>
    <w:rsid w:val="00477CE9"/>
    <w:rsid w:val="00477D96"/>
    <w:rsid w:val="004814D8"/>
    <w:rsid w:val="00487DF9"/>
    <w:rsid w:val="00491126"/>
    <w:rsid w:val="00492088"/>
    <w:rsid w:val="004A0ABB"/>
    <w:rsid w:val="004A772E"/>
    <w:rsid w:val="004A780C"/>
    <w:rsid w:val="004B27D0"/>
    <w:rsid w:val="004B66B8"/>
    <w:rsid w:val="004C0523"/>
    <w:rsid w:val="004C07D0"/>
    <w:rsid w:val="004C5683"/>
    <w:rsid w:val="004D1E5A"/>
    <w:rsid w:val="004D25B4"/>
    <w:rsid w:val="004E1740"/>
    <w:rsid w:val="004E1A11"/>
    <w:rsid w:val="004E6B42"/>
    <w:rsid w:val="004F1C29"/>
    <w:rsid w:val="004F291E"/>
    <w:rsid w:val="005013F9"/>
    <w:rsid w:val="0050507D"/>
    <w:rsid w:val="00507699"/>
    <w:rsid w:val="0051586B"/>
    <w:rsid w:val="00515932"/>
    <w:rsid w:val="00517BA6"/>
    <w:rsid w:val="0052460A"/>
    <w:rsid w:val="00525F27"/>
    <w:rsid w:val="005306E0"/>
    <w:rsid w:val="00531348"/>
    <w:rsid w:val="00531ED6"/>
    <w:rsid w:val="00532354"/>
    <w:rsid w:val="00537A8D"/>
    <w:rsid w:val="00537AEC"/>
    <w:rsid w:val="00540518"/>
    <w:rsid w:val="005435F1"/>
    <w:rsid w:val="00545239"/>
    <w:rsid w:val="00546D4B"/>
    <w:rsid w:val="0055264A"/>
    <w:rsid w:val="00555257"/>
    <w:rsid w:val="005563A9"/>
    <w:rsid w:val="0056223A"/>
    <w:rsid w:val="0056293B"/>
    <w:rsid w:val="005631DD"/>
    <w:rsid w:val="0056534A"/>
    <w:rsid w:val="0056680D"/>
    <w:rsid w:val="0056755A"/>
    <w:rsid w:val="00570AD3"/>
    <w:rsid w:val="0057304B"/>
    <w:rsid w:val="00573E56"/>
    <w:rsid w:val="00574552"/>
    <w:rsid w:val="00582AC7"/>
    <w:rsid w:val="0058638D"/>
    <w:rsid w:val="00586521"/>
    <w:rsid w:val="00586EDC"/>
    <w:rsid w:val="00587E94"/>
    <w:rsid w:val="00591485"/>
    <w:rsid w:val="00591B43"/>
    <w:rsid w:val="00593DEF"/>
    <w:rsid w:val="00594D48"/>
    <w:rsid w:val="005A2F6E"/>
    <w:rsid w:val="005A5C6C"/>
    <w:rsid w:val="005B6ABF"/>
    <w:rsid w:val="005B6B87"/>
    <w:rsid w:val="005C21FB"/>
    <w:rsid w:val="005C441B"/>
    <w:rsid w:val="005C6B1D"/>
    <w:rsid w:val="005D5C99"/>
    <w:rsid w:val="005E1A6A"/>
    <w:rsid w:val="005E359A"/>
    <w:rsid w:val="005E3F66"/>
    <w:rsid w:val="005E3FFB"/>
    <w:rsid w:val="005E4172"/>
    <w:rsid w:val="005E4BA1"/>
    <w:rsid w:val="005E579C"/>
    <w:rsid w:val="005E6D11"/>
    <w:rsid w:val="005F26F8"/>
    <w:rsid w:val="005F53D2"/>
    <w:rsid w:val="005F62E2"/>
    <w:rsid w:val="00600517"/>
    <w:rsid w:val="00601099"/>
    <w:rsid w:val="00602590"/>
    <w:rsid w:val="006109E0"/>
    <w:rsid w:val="00610D2B"/>
    <w:rsid w:val="0061130C"/>
    <w:rsid w:val="0061423D"/>
    <w:rsid w:val="00614260"/>
    <w:rsid w:val="00616541"/>
    <w:rsid w:val="00620688"/>
    <w:rsid w:val="006229B5"/>
    <w:rsid w:val="0062502F"/>
    <w:rsid w:val="0062678E"/>
    <w:rsid w:val="00626F64"/>
    <w:rsid w:val="0063741C"/>
    <w:rsid w:val="006423DE"/>
    <w:rsid w:val="006424F6"/>
    <w:rsid w:val="00643BBA"/>
    <w:rsid w:val="00645207"/>
    <w:rsid w:val="006477EE"/>
    <w:rsid w:val="00651D55"/>
    <w:rsid w:val="0065296B"/>
    <w:rsid w:val="00656790"/>
    <w:rsid w:val="00660468"/>
    <w:rsid w:val="006605A0"/>
    <w:rsid w:val="00660A8F"/>
    <w:rsid w:val="006626DE"/>
    <w:rsid w:val="00662B4F"/>
    <w:rsid w:val="006634DA"/>
    <w:rsid w:val="006655C5"/>
    <w:rsid w:val="006660F6"/>
    <w:rsid w:val="0066617D"/>
    <w:rsid w:val="00671B6D"/>
    <w:rsid w:val="00676671"/>
    <w:rsid w:val="00680108"/>
    <w:rsid w:val="0068205C"/>
    <w:rsid w:val="0068327A"/>
    <w:rsid w:val="00683C0D"/>
    <w:rsid w:val="00683E63"/>
    <w:rsid w:val="00684AAB"/>
    <w:rsid w:val="00685752"/>
    <w:rsid w:val="00687D64"/>
    <w:rsid w:val="006949CC"/>
    <w:rsid w:val="0069555C"/>
    <w:rsid w:val="006A3A9A"/>
    <w:rsid w:val="006A403E"/>
    <w:rsid w:val="006A485F"/>
    <w:rsid w:val="006A48F0"/>
    <w:rsid w:val="006A7B7F"/>
    <w:rsid w:val="006B3DFD"/>
    <w:rsid w:val="006C46EE"/>
    <w:rsid w:val="006C55B8"/>
    <w:rsid w:val="006C6183"/>
    <w:rsid w:val="006C6A61"/>
    <w:rsid w:val="006C7EA5"/>
    <w:rsid w:val="006D1F3F"/>
    <w:rsid w:val="006D40B2"/>
    <w:rsid w:val="006D41C9"/>
    <w:rsid w:val="006E1934"/>
    <w:rsid w:val="006E4DEA"/>
    <w:rsid w:val="006E5CE9"/>
    <w:rsid w:val="006F1A36"/>
    <w:rsid w:val="006F1F44"/>
    <w:rsid w:val="006F484E"/>
    <w:rsid w:val="00702A64"/>
    <w:rsid w:val="00704CB1"/>
    <w:rsid w:val="00704F0C"/>
    <w:rsid w:val="007066A8"/>
    <w:rsid w:val="00710FB3"/>
    <w:rsid w:val="00714A80"/>
    <w:rsid w:val="007218B9"/>
    <w:rsid w:val="00721A82"/>
    <w:rsid w:val="0072231B"/>
    <w:rsid w:val="00722B21"/>
    <w:rsid w:val="00724C1F"/>
    <w:rsid w:val="007323EB"/>
    <w:rsid w:val="00735E4A"/>
    <w:rsid w:val="00736E7A"/>
    <w:rsid w:val="007439C4"/>
    <w:rsid w:val="007508AC"/>
    <w:rsid w:val="00752044"/>
    <w:rsid w:val="0075422D"/>
    <w:rsid w:val="0075752E"/>
    <w:rsid w:val="00762043"/>
    <w:rsid w:val="007648A1"/>
    <w:rsid w:val="00765759"/>
    <w:rsid w:val="00766E44"/>
    <w:rsid w:val="00767D29"/>
    <w:rsid w:val="00772E30"/>
    <w:rsid w:val="0077346C"/>
    <w:rsid w:val="007736F9"/>
    <w:rsid w:val="0077457B"/>
    <w:rsid w:val="007748DA"/>
    <w:rsid w:val="00777063"/>
    <w:rsid w:val="0078606F"/>
    <w:rsid w:val="00786F29"/>
    <w:rsid w:val="00794168"/>
    <w:rsid w:val="007941F7"/>
    <w:rsid w:val="00796C0A"/>
    <w:rsid w:val="00797BB2"/>
    <w:rsid w:val="007A3AD9"/>
    <w:rsid w:val="007B1E2F"/>
    <w:rsid w:val="007B458C"/>
    <w:rsid w:val="007B64EE"/>
    <w:rsid w:val="007B6D5B"/>
    <w:rsid w:val="007B7B10"/>
    <w:rsid w:val="007C2ADF"/>
    <w:rsid w:val="007C78A7"/>
    <w:rsid w:val="007D3AB9"/>
    <w:rsid w:val="007D79C6"/>
    <w:rsid w:val="007E201F"/>
    <w:rsid w:val="007E642F"/>
    <w:rsid w:val="007E7463"/>
    <w:rsid w:val="007F0F7A"/>
    <w:rsid w:val="007F1327"/>
    <w:rsid w:val="007F28F2"/>
    <w:rsid w:val="007F3B65"/>
    <w:rsid w:val="007F4346"/>
    <w:rsid w:val="007F53DA"/>
    <w:rsid w:val="007F667E"/>
    <w:rsid w:val="008001C7"/>
    <w:rsid w:val="0080312F"/>
    <w:rsid w:val="008035A7"/>
    <w:rsid w:val="00805132"/>
    <w:rsid w:val="00806128"/>
    <w:rsid w:val="008065EA"/>
    <w:rsid w:val="00816FA2"/>
    <w:rsid w:val="00821018"/>
    <w:rsid w:val="00823DB5"/>
    <w:rsid w:val="0082757F"/>
    <w:rsid w:val="008338A5"/>
    <w:rsid w:val="008363B7"/>
    <w:rsid w:val="00836AC2"/>
    <w:rsid w:val="00840AF7"/>
    <w:rsid w:val="008435E5"/>
    <w:rsid w:val="0084765A"/>
    <w:rsid w:val="008506BA"/>
    <w:rsid w:val="00850F1A"/>
    <w:rsid w:val="008521FF"/>
    <w:rsid w:val="00853A93"/>
    <w:rsid w:val="00861832"/>
    <w:rsid w:val="00863876"/>
    <w:rsid w:val="00866104"/>
    <w:rsid w:val="00866664"/>
    <w:rsid w:val="00867A7A"/>
    <w:rsid w:val="008715E8"/>
    <w:rsid w:val="00871C0F"/>
    <w:rsid w:val="008730EC"/>
    <w:rsid w:val="00880260"/>
    <w:rsid w:val="00880CD1"/>
    <w:rsid w:val="0088250B"/>
    <w:rsid w:val="0088277E"/>
    <w:rsid w:val="00884784"/>
    <w:rsid w:val="00884D20"/>
    <w:rsid w:val="00885B6E"/>
    <w:rsid w:val="00891975"/>
    <w:rsid w:val="00894D08"/>
    <w:rsid w:val="00896428"/>
    <w:rsid w:val="008A0E15"/>
    <w:rsid w:val="008A51D3"/>
    <w:rsid w:val="008B0152"/>
    <w:rsid w:val="008B1331"/>
    <w:rsid w:val="008B2CEC"/>
    <w:rsid w:val="008B43F5"/>
    <w:rsid w:val="008C0CDC"/>
    <w:rsid w:val="008C2D1D"/>
    <w:rsid w:val="008C7854"/>
    <w:rsid w:val="008D01BF"/>
    <w:rsid w:val="008D1AAF"/>
    <w:rsid w:val="008D1B13"/>
    <w:rsid w:val="008D4CD4"/>
    <w:rsid w:val="008E1D39"/>
    <w:rsid w:val="008E40A8"/>
    <w:rsid w:val="008E44B2"/>
    <w:rsid w:val="008E6544"/>
    <w:rsid w:val="008E6758"/>
    <w:rsid w:val="008E7AB0"/>
    <w:rsid w:val="008F0D77"/>
    <w:rsid w:val="008F1306"/>
    <w:rsid w:val="008F1383"/>
    <w:rsid w:val="008F49F8"/>
    <w:rsid w:val="008F7ABE"/>
    <w:rsid w:val="0090092E"/>
    <w:rsid w:val="00903585"/>
    <w:rsid w:val="009045EE"/>
    <w:rsid w:val="00907E46"/>
    <w:rsid w:val="00911FB2"/>
    <w:rsid w:val="00912A7F"/>
    <w:rsid w:val="0091661F"/>
    <w:rsid w:val="009210EE"/>
    <w:rsid w:val="0092147E"/>
    <w:rsid w:val="00923407"/>
    <w:rsid w:val="00923567"/>
    <w:rsid w:val="009247AB"/>
    <w:rsid w:val="00927D4A"/>
    <w:rsid w:val="00930364"/>
    <w:rsid w:val="00931521"/>
    <w:rsid w:val="0093472F"/>
    <w:rsid w:val="009378C2"/>
    <w:rsid w:val="00940631"/>
    <w:rsid w:val="00944884"/>
    <w:rsid w:val="00944D11"/>
    <w:rsid w:val="00944F70"/>
    <w:rsid w:val="009459E2"/>
    <w:rsid w:val="009474D9"/>
    <w:rsid w:val="009520B4"/>
    <w:rsid w:val="009601F0"/>
    <w:rsid w:val="00960D91"/>
    <w:rsid w:val="00972F69"/>
    <w:rsid w:val="00974A2F"/>
    <w:rsid w:val="00976885"/>
    <w:rsid w:val="009776EB"/>
    <w:rsid w:val="009826FB"/>
    <w:rsid w:val="00984504"/>
    <w:rsid w:val="0098578B"/>
    <w:rsid w:val="0099498B"/>
    <w:rsid w:val="0099529A"/>
    <w:rsid w:val="009A290E"/>
    <w:rsid w:val="009A6AD3"/>
    <w:rsid w:val="009B00BB"/>
    <w:rsid w:val="009B5141"/>
    <w:rsid w:val="009C4E29"/>
    <w:rsid w:val="009C4FD0"/>
    <w:rsid w:val="009C5884"/>
    <w:rsid w:val="009C7FB8"/>
    <w:rsid w:val="009D06C4"/>
    <w:rsid w:val="009D164A"/>
    <w:rsid w:val="009D1D74"/>
    <w:rsid w:val="009D2D8D"/>
    <w:rsid w:val="009D571C"/>
    <w:rsid w:val="009D6B8B"/>
    <w:rsid w:val="009D7483"/>
    <w:rsid w:val="009E1790"/>
    <w:rsid w:val="009E39F0"/>
    <w:rsid w:val="009E4168"/>
    <w:rsid w:val="009E4932"/>
    <w:rsid w:val="009E5C6C"/>
    <w:rsid w:val="009F497D"/>
    <w:rsid w:val="00A00B73"/>
    <w:rsid w:val="00A01FAE"/>
    <w:rsid w:val="00A022E3"/>
    <w:rsid w:val="00A05D51"/>
    <w:rsid w:val="00A1076E"/>
    <w:rsid w:val="00A117D4"/>
    <w:rsid w:val="00A177C9"/>
    <w:rsid w:val="00A212D7"/>
    <w:rsid w:val="00A22598"/>
    <w:rsid w:val="00A24F45"/>
    <w:rsid w:val="00A25B2C"/>
    <w:rsid w:val="00A34D4E"/>
    <w:rsid w:val="00A4354E"/>
    <w:rsid w:val="00A465BF"/>
    <w:rsid w:val="00A47B94"/>
    <w:rsid w:val="00A47D53"/>
    <w:rsid w:val="00A50BDA"/>
    <w:rsid w:val="00A516C9"/>
    <w:rsid w:val="00A522E5"/>
    <w:rsid w:val="00A52718"/>
    <w:rsid w:val="00A53586"/>
    <w:rsid w:val="00A54FAD"/>
    <w:rsid w:val="00A55873"/>
    <w:rsid w:val="00A568E0"/>
    <w:rsid w:val="00A64D0E"/>
    <w:rsid w:val="00A650CC"/>
    <w:rsid w:val="00A7069C"/>
    <w:rsid w:val="00A803F9"/>
    <w:rsid w:val="00A81D21"/>
    <w:rsid w:val="00A84954"/>
    <w:rsid w:val="00A84964"/>
    <w:rsid w:val="00A85146"/>
    <w:rsid w:val="00A8589B"/>
    <w:rsid w:val="00A86C4C"/>
    <w:rsid w:val="00AA3E29"/>
    <w:rsid w:val="00AA6854"/>
    <w:rsid w:val="00AA7812"/>
    <w:rsid w:val="00AB04A2"/>
    <w:rsid w:val="00AB6529"/>
    <w:rsid w:val="00AB6FEF"/>
    <w:rsid w:val="00AC05EB"/>
    <w:rsid w:val="00AC0820"/>
    <w:rsid w:val="00AC4764"/>
    <w:rsid w:val="00AC638A"/>
    <w:rsid w:val="00AD267A"/>
    <w:rsid w:val="00AD402E"/>
    <w:rsid w:val="00AD41BA"/>
    <w:rsid w:val="00AD426C"/>
    <w:rsid w:val="00AD7874"/>
    <w:rsid w:val="00AD7F46"/>
    <w:rsid w:val="00AE731D"/>
    <w:rsid w:val="00AF0BE0"/>
    <w:rsid w:val="00AF1EF8"/>
    <w:rsid w:val="00AF2153"/>
    <w:rsid w:val="00AF2EF0"/>
    <w:rsid w:val="00AF3EF0"/>
    <w:rsid w:val="00AF4C86"/>
    <w:rsid w:val="00AF56D2"/>
    <w:rsid w:val="00B0586C"/>
    <w:rsid w:val="00B13837"/>
    <w:rsid w:val="00B1476B"/>
    <w:rsid w:val="00B15D5A"/>
    <w:rsid w:val="00B16A1E"/>
    <w:rsid w:val="00B224AC"/>
    <w:rsid w:val="00B3162A"/>
    <w:rsid w:val="00B32399"/>
    <w:rsid w:val="00B3415D"/>
    <w:rsid w:val="00B36274"/>
    <w:rsid w:val="00B47782"/>
    <w:rsid w:val="00B577C4"/>
    <w:rsid w:val="00B66E19"/>
    <w:rsid w:val="00B7069E"/>
    <w:rsid w:val="00B71722"/>
    <w:rsid w:val="00B812E2"/>
    <w:rsid w:val="00B82FEA"/>
    <w:rsid w:val="00B84145"/>
    <w:rsid w:val="00B861C5"/>
    <w:rsid w:val="00B86982"/>
    <w:rsid w:val="00B92A01"/>
    <w:rsid w:val="00B92A1D"/>
    <w:rsid w:val="00B95EE6"/>
    <w:rsid w:val="00B96470"/>
    <w:rsid w:val="00BA3731"/>
    <w:rsid w:val="00BA41F0"/>
    <w:rsid w:val="00BA571D"/>
    <w:rsid w:val="00BA6D90"/>
    <w:rsid w:val="00BC0259"/>
    <w:rsid w:val="00BC3C1E"/>
    <w:rsid w:val="00BC7415"/>
    <w:rsid w:val="00BC7FD9"/>
    <w:rsid w:val="00BD0336"/>
    <w:rsid w:val="00BD06D4"/>
    <w:rsid w:val="00BD0A33"/>
    <w:rsid w:val="00BD1D8B"/>
    <w:rsid w:val="00BD242F"/>
    <w:rsid w:val="00BD2B6E"/>
    <w:rsid w:val="00BD2F3F"/>
    <w:rsid w:val="00BD3A02"/>
    <w:rsid w:val="00BD4E24"/>
    <w:rsid w:val="00BD6A1E"/>
    <w:rsid w:val="00BE0DCC"/>
    <w:rsid w:val="00BE234C"/>
    <w:rsid w:val="00BE5776"/>
    <w:rsid w:val="00BE5AFD"/>
    <w:rsid w:val="00BE70DA"/>
    <w:rsid w:val="00BF0A3E"/>
    <w:rsid w:val="00BF2452"/>
    <w:rsid w:val="00BF3333"/>
    <w:rsid w:val="00BF4A6D"/>
    <w:rsid w:val="00BF4E98"/>
    <w:rsid w:val="00BF637E"/>
    <w:rsid w:val="00BF6736"/>
    <w:rsid w:val="00C01266"/>
    <w:rsid w:val="00C02D88"/>
    <w:rsid w:val="00C03246"/>
    <w:rsid w:val="00C04526"/>
    <w:rsid w:val="00C06AFD"/>
    <w:rsid w:val="00C10FFC"/>
    <w:rsid w:val="00C1249E"/>
    <w:rsid w:val="00C150BF"/>
    <w:rsid w:val="00C20769"/>
    <w:rsid w:val="00C22C18"/>
    <w:rsid w:val="00C257F5"/>
    <w:rsid w:val="00C2775E"/>
    <w:rsid w:val="00C27C19"/>
    <w:rsid w:val="00C3593D"/>
    <w:rsid w:val="00C36471"/>
    <w:rsid w:val="00C37B22"/>
    <w:rsid w:val="00C43CAF"/>
    <w:rsid w:val="00C46FF3"/>
    <w:rsid w:val="00C50666"/>
    <w:rsid w:val="00C538AF"/>
    <w:rsid w:val="00C53A40"/>
    <w:rsid w:val="00C5787D"/>
    <w:rsid w:val="00C57C26"/>
    <w:rsid w:val="00C60315"/>
    <w:rsid w:val="00C60650"/>
    <w:rsid w:val="00C62DE6"/>
    <w:rsid w:val="00C64022"/>
    <w:rsid w:val="00C64353"/>
    <w:rsid w:val="00C70198"/>
    <w:rsid w:val="00C7338A"/>
    <w:rsid w:val="00C737F1"/>
    <w:rsid w:val="00C76256"/>
    <w:rsid w:val="00C773C1"/>
    <w:rsid w:val="00C847DA"/>
    <w:rsid w:val="00C86845"/>
    <w:rsid w:val="00C91A64"/>
    <w:rsid w:val="00C94414"/>
    <w:rsid w:val="00C96F85"/>
    <w:rsid w:val="00C97D5B"/>
    <w:rsid w:val="00CA4223"/>
    <w:rsid w:val="00CA68AF"/>
    <w:rsid w:val="00CB4B53"/>
    <w:rsid w:val="00CB5794"/>
    <w:rsid w:val="00CB666B"/>
    <w:rsid w:val="00CB6719"/>
    <w:rsid w:val="00CC0532"/>
    <w:rsid w:val="00CC1E44"/>
    <w:rsid w:val="00CC3ABA"/>
    <w:rsid w:val="00CD10E9"/>
    <w:rsid w:val="00CD232C"/>
    <w:rsid w:val="00CD4A51"/>
    <w:rsid w:val="00CD59B1"/>
    <w:rsid w:val="00CD5CC8"/>
    <w:rsid w:val="00CE1784"/>
    <w:rsid w:val="00CE1AAF"/>
    <w:rsid w:val="00CE2811"/>
    <w:rsid w:val="00CE3ECF"/>
    <w:rsid w:val="00CF171F"/>
    <w:rsid w:val="00CF3563"/>
    <w:rsid w:val="00CF6CD8"/>
    <w:rsid w:val="00D03548"/>
    <w:rsid w:val="00D05918"/>
    <w:rsid w:val="00D108EF"/>
    <w:rsid w:val="00D110A2"/>
    <w:rsid w:val="00D11AED"/>
    <w:rsid w:val="00D168A0"/>
    <w:rsid w:val="00D208F9"/>
    <w:rsid w:val="00D27D79"/>
    <w:rsid w:val="00D41260"/>
    <w:rsid w:val="00D42637"/>
    <w:rsid w:val="00D504B8"/>
    <w:rsid w:val="00D52B70"/>
    <w:rsid w:val="00D530FC"/>
    <w:rsid w:val="00D61A65"/>
    <w:rsid w:val="00D61F59"/>
    <w:rsid w:val="00D625E2"/>
    <w:rsid w:val="00D62667"/>
    <w:rsid w:val="00D629E6"/>
    <w:rsid w:val="00D67BF0"/>
    <w:rsid w:val="00D71C17"/>
    <w:rsid w:val="00D76D37"/>
    <w:rsid w:val="00D80EB3"/>
    <w:rsid w:val="00D821D2"/>
    <w:rsid w:val="00D84B0F"/>
    <w:rsid w:val="00D85C71"/>
    <w:rsid w:val="00D92610"/>
    <w:rsid w:val="00D9266B"/>
    <w:rsid w:val="00D93D12"/>
    <w:rsid w:val="00DA09DB"/>
    <w:rsid w:val="00DA0ACB"/>
    <w:rsid w:val="00DA5374"/>
    <w:rsid w:val="00DB26DA"/>
    <w:rsid w:val="00DB2A47"/>
    <w:rsid w:val="00DB498F"/>
    <w:rsid w:val="00DB5AA5"/>
    <w:rsid w:val="00DC1C41"/>
    <w:rsid w:val="00DC1E8B"/>
    <w:rsid w:val="00DD3C9A"/>
    <w:rsid w:val="00DD40B7"/>
    <w:rsid w:val="00DD6ED9"/>
    <w:rsid w:val="00DE26C9"/>
    <w:rsid w:val="00DE4A10"/>
    <w:rsid w:val="00DE7C12"/>
    <w:rsid w:val="00DF0CCE"/>
    <w:rsid w:val="00DF15B1"/>
    <w:rsid w:val="00DF16AA"/>
    <w:rsid w:val="00DF18EF"/>
    <w:rsid w:val="00DF2DD7"/>
    <w:rsid w:val="00DF7B70"/>
    <w:rsid w:val="00E03FE8"/>
    <w:rsid w:val="00E07ED0"/>
    <w:rsid w:val="00E12BE1"/>
    <w:rsid w:val="00E13C6B"/>
    <w:rsid w:val="00E17476"/>
    <w:rsid w:val="00E237F0"/>
    <w:rsid w:val="00E2479A"/>
    <w:rsid w:val="00E24AA3"/>
    <w:rsid w:val="00E24CC6"/>
    <w:rsid w:val="00E26F3F"/>
    <w:rsid w:val="00E312F4"/>
    <w:rsid w:val="00E31477"/>
    <w:rsid w:val="00E32870"/>
    <w:rsid w:val="00E32C27"/>
    <w:rsid w:val="00E3669F"/>
    <w:rsid w:val="00E36FD3"/>
    <w:rsid w:val="00E415AF"/>
    <w:rsid w:val="00E4175C"/>
    <w:rsid w:val="00E422ED"/>
    <w:rsid w:val="00E4260B"/>
    <w:rsid w:val="00E434AD"/>
    <w:rsid w:val="00E435BE"/>
    <w:rsid w:val="00E43729"/>
    <w:rsid w:val="00E43D39"/>
    <w:rsid w:val="00E450D7"/>
    <w:rsid w:val="00E477E5"/>
    <w:rsid w:val="00E50A2E"/>
    <w:rsid w:val="00E51663"/>
    <w:rsid w:val="00E523C1"/>
    <w:rsid w:val="00E56A6E"/>
    <w:rsid w:val="00E608A3"/>
    <w:rsid w:val="00E60ECF"/>
    <w:rsid w:val="00E641ED"/>
    <w:rsid w:val="00E64773"/>
    <w:rsid w:val="00E668C6"/>
    <w:rsid w:val="00E7158C"/>
    <w:rsid w:val="00E738EF"/>
    <w:rsid w:val="00E741CD"/>
    <w:rsid w:val="00E77C43"/>
    <w:rsid w:val="00E80171"/>
    <w:rsid w:val="00E801F5"/>
    <w:rsid w:val="00E846DE"/>
    <w:rsid w:val="00E85D83"/>
    <w:rsid w:val="00E87535"/>
    <w:rsid w:val="00E879B4"/>
    <w:rsid w:val="00E90E77"/>
    <w:rsid w:val="00E91451"/>
    <w:rsid w:val="00E95821"/>
    <w:rsid w:val="00EA203D"/>
    <w:rsid w:val="00EB0090"/>
    <w:rsid w:val="00EB0F73"/>
    <w:rsid w:val="00EB1942"/>
    <w:rsid w:val="00EB3455"/>
    <w:rsid w:val="00EB426F"/>
    <w:rsid w:val="00EB6005"/>
    <w:rsid w:val="00EC695C"/>
    <w:rsid w:val="00EC79D0"/>
    <w:rsid w:val="00EC7A2D"/>
    <w:rsid w:val="00ED06F8"/>
    <w:rsid w:val="00ED1CFA"/>
    <w:rsid w:val="00ED5A94"/>
    <w:rsid w:val="00EE1582"/>
    <w:rsid w:val="00EE2EE4"/>
    <w:rsid w:val="00EE3212"/>
    <w:rsid w:val="00EE39BC"/>
    <w:rsid w:val="00EE56D3"/>
    <w:rsid w:val="00EE601C"/>
    <w:rsid w:val="00EF054D"/>
    <w:rsid w:val="00EF6A06"/>
    <w:rsid w:val="00F02772"/>
    <w:rsid w:val="00F038EF"/>
    <w:rsid w:val="00F04D94"/>
    <w:rsid w:val="00F0516B"/>
    <w:rsid w:val="00F0601B"/>
    <w:rsid w:val="00F118CD"/>
    <w:rsid w:val="00F121F9"/>
    <w:rsid w:val="00F13FD2"/>
    <w:rsid w:val="00F14649"/>
    <w:rsid w:val="00F1577B"/>
    <w:rsid w:val="00F1603E"/>
    <w:rsid w:val="00F21D3A"/>
    <w:rsid w:val="00F2787A"/>
    <w:rsid w:val="00F33D52"/>
    <w:rsid w:val="00F34AB3"/>
    <w:rsid w:val="00F34F52"/>
    <w:rsid w:val="00F363F1"/>
    <w:rsid w:val="00F366E9"/>
    <w:rsid w:val="00F372BD"/>
    <w:rsid w:val="00F37921"/>
    <w:rsid w:val="00F40362"/>
    <w:rsid w:val="00F46731"/>
    <w:rsid w:val="00F50AA0"/>
    <w:rsid w:val="00F51B33"/>
    <w:rsid w:val="00F578FB"/>
    <w:rsid w:val="00F60067"/>
    <w:rsid w:val="00F6208F"/>
    <w:rsid w:val="00F63E2B"/>
    <w:rsid w:val="00F65267"/>
    <w:rsid w:val="00F6720D"/>
    <w:rsid w:val="00F7098E"/>
    <w:rsid w:val="00F72EF4"/>
    <w:rsid w:val="00F758DE"/>
    <w:rsid w:val="00F80DEC"/>
    <w:rsid w:val="00F8121D"/>
    <w:rsid w:val="00F84C0B"/>
    <w:rsid w:val="00F86612"/>
    <w:rsid w:val="00F87CF6"/>
    <w:rsid w:val="00F94E69"/>
    <w:rsid w:val="00F970E4"/>
    <w:rsid w:val="00FA2693"/>
    <w:rsid w:val="00FA2E18"/>
    <w:rsid w:val="00FA5D0C"/>
    <w:rsid w:val="00FA5F7F"/>
    <w:rsid w:val="00FA6669"/>
    <w:rsid w:val="00FA70D1"/>
    <w:rsid w:val="00FA7727"/>
    <w:rsid w:val="00FA7875"/>
    <w:rsid w:val="00FB0C52"/>
    <w:rsid w:val="00FB0D18"/>
    <w:rsid w:val="00FB215E"/>
    <w:rsid w:val="00FB33E7"/>
    <w:rsid w:val="00FB7926"/>
    <w:rsid w:val="00FC1E32"/>
    <w:rsid w:val="00FC2042"/>
    <w:rsid w:val="00FC3106"/>
    <w:rsid w:val="00FC340A"/>
    <w:rsid w:val="00FD6658"/>
    <w:rsid w:val="00FD6CF5"/>
    <w:rsid w:val="00FE142C"/>
    <w:rsid w:val="00FE6C39"/>
    <w:rsid w:val="00FF1ABA"/>
    <w:rsid w:val="00FF1CC7"/>
    <w:rsid w:val="00FF43BE"/>
    <w:rsid w:val="00FF7F3F"/>
    <w:rsid w:val="01BC0D8D"/>
    <w:rsid w:val="01EE1FBF"/>
    <w:rsid w:val="02B41AE7"/>
    <w:rsid w:val="07119023"/>
    <w:rsid w:val="0C2B81C1"/>
    <w:rsid w:val="0CF7B4F7"/>
    <w:rsid w:val="0EB60B1B"/>
    <w:rsid w:val="0FF07AB9"/>
    <w:rsid w:val="13A89DA3"/>
    <w:rsid w:val="162438A7"/>
    <w:rsid w:val="1D05BE4C"/>
    <w:rsid w:val="1F784E8D"/>
    <w:rsid w:val="2000151A"/>
    <w:rsid w:val="21A5FA1F"/>
    <w:rsid w:val="21E47BF1"/>
    <w:rsid w:val="2582A187"/>
    <w:rsid w:val="26D8DEF9"/>
    <w:rsid w:val="2A562A7D"/>
    <w:rsid w:val="2AC33D36"/>
    <w:rsid w:val="2B71E580"/>
    <w:rsid w:val="2BF33F49"/>
    <w:rsid w:val="2D2ACA3B"/>
    <w:rsid w:val="2DB38929"/>
    <w:rsid w:val="2FF516BE"/>
    <w:rsid w:val="31EDB4E2"/>
    <w:rsid w:val="33B22EE1"/>
    <w:rsid w:val="343CA818"/>
    <w:rsid w:val="379A9D01"/>
    <w:rsid w:val="3EE348D6"/>
    <w:rsid w:val="43BFA4F3"/>
    <w:rsid w:val="44036B6C"/>
    <w:rsid w:val="4A008734"/>
    <w:rsid w:val="4A26C71B"/>
    <w:rsid w:val="4BE5C516"/>
    <w:rsid w:val="4DE6D223"/>
    <w:rsid w:val="4E691A35"/>
    <w:rsid w:val="4E8B42C2"/>
    <w:rsid w:val="502263F1"/>
    <w:rsid w:val="58429691"/>
    <w:rsid w:val="58D38A21"/>
    <w:rsid w:val="5C5FE69D"/>
    <w:rsid w:val="5DBA9F78"/>
    <w:rsid w:val="5E27BC21"/>
    <w:rsid w:val="60DF1E38"/>
    <w:rsid w:val="61419D3F"/>
    <w:rsid w:val="6306703B"/>
    <w:rsid w:val="6393DCB2"/>
    <w:rsid w:val="65826AAB"/>
    <w:rsid w:val="65E5D7A7"/>
    <w:rsid w:val="673553EE"/>
    <w:rsid w:val="697353B2"/>
    <w:rsid w:val="6CFC9E46"/>
    <w:rsid w:val="6DA4ABB4"/>
    <w:rsid w:val="711A2028"/>
    <w:rsid w:val="7457034D"/>
    <w:rsid w:val="765BCD67"/>
    <w:rsid w:val="7A0EA751"/>
    <w:rsid w:val="7B87950E"/>
    <w:rsid w:val="7C489BB2"/>
    <w:rsid w:val="7F569FDF"/>
    <w:rsid w:val="7FF6D6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8A344F"/>
  <w15:docId w15:val="{3B5B8569-07D5-4B9A-807B-3419B73B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362"/>
  </w:style>
  <w:style w:type="paragraph" w:styleId="Heading1">
    <w:name w:val="heading 1"/>
    <w:basedOn w:val="Normal"/>
    <w:next w:val="Normal"/>
    <w:link w:val="Heading1Char"/>
    <w:uiPriority w:val="9"/>
    <w:qFormat/>
    <w:rsid w:val="00BE0DC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C9C"/>
    <w:rPr>
      <w:sz w:val="18"/>
      <w:szCs w:val="18"/>
    </w:rPr>
  </w:style>
  <w:style w:type="paragraph" w:styleId="CommentText">
    <w:name w:val="annotation text"/>
    <w:basedOn w:val="Normal"/>
    <w:link w:val="CommentTextChar"/>
    <w:uiPriority w:val="99"/>
    <w:unhideWhenUsed/>
    <w:rsid w:val="000D6C9C"/>
  </w:style>
  <w:style w:type="character" w:customStyle="1" w:styleId="CommentTextChar">
    <w:name w:val="Comment Text Char"/>
    <w:basedOn w:val="DefaultParagraphFont"/>
    <w:link w:val="CommentText"/>
    <w:uiPriority w:val="99"/>
    <w:rsid w:val="000D6C9C"/>
  </w:style>
  <w:style w:type="paragraph" w:styleId="CommentSubject">
    <w:name w:val="annotation subject"/>
    <w:basedOn w:val="CommentText"/>
    <w:next w:val="CommentText"/>
    <w:link w:val="CommentSubjectChar"/>
    <w:uiPriority w:val="99"/>
    <w:semiHidden/>
    <w:unhideWhenUsed/>
    <w:rsid w:val="000D6C9C"/>
    <w:rPr>
      <w:b/>
      <w:bCs/>
      <w:sz w:val="20"/>
      <w:szCs w:val="20"/>
    </w:rPr>
  </w:style>
  <w:style w:type="character" w:customStyle="1" w:styleId="CommentSubjectChar">
    <w:name w:val="Comment Subject Char"/>
    <w:basedOn w:val="CommentTextChar"/>
    <w:link w:val="CommentSubject"/>
    <w:uiPriority w:val="99"/>
    <w:semiHidden/>
    <w:rsid w:val="000D6C9C"/>
    <w:rPr>
      <w:b/>
      <w:bCs/>
      <w:sz w:val="20"/>
      <w:szCs w:val="20"/>
    </w:rPr>
  </w:style>
  <w:style w:type="paragraph" w:styleId="BalloonText">
    <w:name w:val="Balloon Text"/>
    <w:basedOn w:val="Normal"/>
    <w:link w:val="BalloonTextChar"/>
    <w:uiPriority w:val="99"/>
    <w:semiHidden/>
    <w:unhideWhenUsed/>
    <w:rsid w:val="000D6C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6C9C"/>
    <w:rPr>
      <w:rFonts w:ascii="Times New Roman" w:hAnsi="Times New Roman" w:cs="Times New Roman"/>
      <w:sz w:val="18"/>
      <w:szCs w:val="18"/>
    </w:rPr>
  </w:style>
  <w:style w:type="paragraph" w:styleId="ListParagraph">
    <w:name w:val="List Paragraph"/>
    <w:aliases w:val="LSBU List Paragraph"/>
    <w:basedOn w:val="Normal"/>
    <w:uiPriority w:val="34"/>
    <w:qFormat/>
    <w:rsid w:val="00164DF3"/>
    <w:pPr>
      <w:spacing w:after="200" w:line="276" w:lineRule="auto"/>
      <w:ind w:left="720"/>
      <w:contextualSpacing/>
    </w:pPr>
    <w:rPr>
      <w:sz w:val="22"/>
      <w:szCs w:val="22"/>
    </w:rPr>
  </w:style>
  <w:style w:type="paragraph" w:styleId="Footer">
    <w:name w:val="footer"/>
    <w:basedOn w:val="Normal"/>
    <w:link w:val="FooterChar"/>
    <w:uiPriority w:val="99"/>
    <w:unhideWhenUsed/>
    <w:rsid w:val="00601099"/>
    <w:pPr>
      <w:tabs>
        <w:tab w:val="center" w:pos="4513"/>
        <w:tab w:val="right" w:pos="9026"/>
      </w:tabs>
    </w:pPr>
  </w:style>
  <w:style w:type="character" w:customStyle="1" w:styleId="FooterChar">
    <w:name w:val="Footer Char"/>
    <w:basedOn w:val="DefaultParagraphFont"/>
    <w:link w:val="Footer"/>
    <w:uiPriority w:val="99"/>
    <w:rsid w:val="00601099"/>
  </w:style>
  <w:style w:type="character" w:styleId="PageNumber">
    <w:name w:val="page number"/>
    <w:basedOn w:val="DefaultParagraphFont"/>
    <w:uiPriority w:val="99"/>
    <w:semiHidden/>
    <w:unhideWhenUsed/>
    <w:rsid w:val="00601099"/>
  </w:style>
  <w:style w:type="table" w:styleId="TableGrid">
    <w:name w:val="Table Grid"/>
    <w:basedOn w:val="TableNormal"/>
    <w:uiPriority w:val="59"/>
    <w:rsid w:val="00E13C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0DA"/>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3E4ABF"/>
    <w:rPr>
      <w:color w:val="0563C1" w:themeColor="hyperlink"/>
      <w:u w:val="single"/>
    </w:rPr>
  </w:style>
  <w:style w:type="character" w:styleId="FollowedHyperlink">
    <w:name w:val="FollowedHyperlink"/>
    <w:basedOn w:val="DefaultParagraphFont"/>
    <w:uiPriority w:val="99"/>
    <w:semiHidden/>
    <w:unhideWhenUsed/>
    <w:rsid w:val="00772E30"/>
    <w:rPr>
      <w:color w:val="954F72" w:themeColor="followedHyperlink"/>
      <w:u w:val="single"/>
    </w:rPr>
  </w:style>
  <w:style w:type="paragraph" w:styleId="NormalWeb">
    <w:name w:val="Normal (Web)"/>
    <w:basedOn w:val="Normal"/>
    <w:uiPriority w:val="99"/>
    <w:semiHidden/>
    <w:unhideWhenUsed/>
    <w:rsid w:val="00404EB1"/>
    <w:rPr>
      <w:rFonts w:ascii="Times New Roman" w:hAnsi="Times New Roman" w:cs="Times New Roman"/>
    </w:rPr>
  </w:style>
  <w:style w:type="character" w:customStyle="1" w:styleId="UnresolvedMention1">
    <w:name w:val="Unresolved Mention1"/>
    <w:basedOn w:val="DefaultParagraphFont"/>
    <w:uiPriority w:val="99"/>
    <w:semiHidden/>
    <w:unhideWhenUsed/>
    <w:rsid w:val="001B1DC4"/>
    <w:rPr>
      <w:color w:val="605E5C"/>
      <w:shd w:val="clear" w:color="auto" w:fill="E1DFDD"/>
    </w:rPr>
  </w:style>
  <w:style w:type="character" w:customStyle="1" w:styleId="Heading1Char">
    <w:name w:val="Heading 1 Char"/>
    <w:basedOn w:val="DefaultParagraphFont"/>
    <w:link w:val="Heading1"/>
    <w:uiPriority w:val="9"/>
    <w:rsid w:val="00BE0DCC"/>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894D08"/>
  </w:style>
  <w:style w:type="paragraph" w:customStyle="1" w:styleId="paragraph">
    <w:name w:val="paragraph"/>
    <w:basedOn w:val="Normal"/>
    <w:rsid w:val="00894D08"/>
    <w:pPr>
      <w:spacing w:before="100" w:beforeAutospacing="1" w:after="100" w:afterAutospacing="1"/>
    </w:pPr>
    <w:rPr>
      <w:rFonts w:ascii="Times New Roman" w:eastAsia="Times New Roman" w:hAnsi="Times New Roman" w:cs="Times New Roman"/>
    </w:rPr>
  </w:style>
  <w:style w:type="paragraph" w:customStyle="1" w:styleId="EndNoteBibliography">
    <w:name w:val="EndNote Bibliography"/>
    <w:basedOn w:val="Normal"/>
    <w:link w:val="EndNoteBibliographyChar"/>
    <w:rsid w:val="008A0E15"/>
    <w:pPr>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8A0E15"/>
    <w:rPr>
      <w:rFonts w:ascii="Calibri" w:hAnsi="Calibri" w:cs="Calibri"/>
      <w:noProof/>
      <w:lang w:val="en-US"/>
    </w:rPr>
  </w:style>
  <w:style w:type="character" w:customStyle="1" w:styleId="normaltextrun">
    <w:name w:val="normaltextrun"/>
    <w:basedOn w:val="DefaultParagraphFont"/>
    <w:rsid w:val="00767D29"/>
  </w:style>
  <w:style w:type="character" w:customStyle="1" w:styleId="contextualspellingandgrammarerror">
    <w:name w:val="contextualspellingandgrammarerror"/>
    <w:basedOn w:val="DefaultParagraphFont"/>
    <w:rsid w:val="00CB5794"/>
  </w:style>
  <w:style w:type="character" w:customStyle="1" w:styleId="textrun">
    <w:name w:val="textrun"/>
    <w:basedOn w:val="DefaultParagraphFont"/>
    <w:rsid w:val="00F8121D"/>
  </w:style>
  <w:style w:type="paragraph" w:styleId="Header">
    <w:name w:val="header"/>
    <w:basedOn w:val="Normal"/>
    <w:link w:val="HeaderChar"/>
    <w:uiPriority w:val="99"/>
    <w:unhideWhenUsed/>
    <w:rsid w:val="00AA7812"/>
    <w:pPr>
      <w:tabs>
        <w:tab w:val="center" w:pos="4513"/>
        <w:tab w:val="right" w:pos="9026"/>
      </w:tabs>
    </w:pPr>
  </w:style>
  <w:style w:type="character" w:customStyle="1" w:styleId="HeaderChar">
    <w:name w:val="Header Char"/>
    <w:basedOn w:val="DefaultParagraphFont"/>
    <w:link w:val="Header"/>
    <w:uiPriority w:val="99"/>
    <w:rsid w:val="00AA7812"/>
  </w:style>
  <w:style w:type="paragraph" w:styleId="Revision">
    <w:name w:val="Revision"/>
    <w:hidden/>
    <w:uiPriority w:val="99"/>
    <w:semiHidden/>
    <w:rsid w:val="00AA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7726">
      <w:bodyDiv w:val="1"/>
      <w:marLeft w:val="0"/>
      <w:marRight w:val="0"/>
      <w:marTop w:val="0"/>
      <w:marBottom w:val="0"/>
      <w:divBdr>
        <w:top w:val="none" w:sz="0" w:space="0" w:color="auto"/>
        <w:left w:val="none" w:sz="0" w:space="0" w:color="auto"/>
        <w:bottom w:val="none" w:sz="0" w:space="0" w:color="auto"/>
        <w:right w:val="none" w:sz="0" w:space="0" w:color="auto"/>
      </w:divBdr>
      <w:divsChild>
        <w:div w:id="562639709">
          <w:marLeft w:val="0"/>
          <w:marRight w:val="0"/>
          <w:marTop w:val="0"/>
          <w:marBottom w:val="0"/>
          <w:divBdr>
            <w:top w:val="none" w:sz="0" w:space="0" w:color="auto"/>
            <w:left w:val="none" w:sz="0" w:space="0" w:color="auto"/>
            <w:bottom w:val="none" w:sz="0" w:space="0" w:color="auto"/>
            <w:right w:val="none" w:sz="0" w:space="0" w:color="auto"/>
          </w:divBdr>
        </w:div>
        <w:div w:id="392854855">
          <w:marLeft w:val="0"/>
          <w:marRight w:val="0"/>
          <w:marTop w:val="0"/>
          <w:marBottom w:val="0"/>
          <w:divBdr>
            <w:top w:val="none" w:sz="0" w:space="0" w:color="auto"/>
            <w:left w:val="none" w:sz="0" w:space="0" w:color="auto"/>
            <w:bottom w:val="none" w:sz="0" w:space="0" w:color="auto"/>
            <w:right w:val="none" w:sz="0" w:space="0" w:color="auto"/>
          </w:divBdr>
        </w:div>
        <w:div w:id="1063942981">
          <w:marLeft w:val="0"/>
          <w:marRight w:val="0"/>
          <w:marTop w:val="0"/>
          <w:marBottom w:val="0"/>
          <w:divBdr>
            <w:top w:val="none" w:sz="0" w:space="0" w:color="auto"/>
            <w:left w:val="none" w:sz="0" w:space="0" w:color="auto"/>
            <w:bottom w:val="none" w:sz="0" w:space="0" w:color="auto"/>
            <w:right w:val="none" w:sz="0" w:space="0" w:color="auto"/>
          </w:divBdr>
        </w:div>
        <w:div w:id="1122530711">
          <w:marLeft w:val="0"/>
          <w:marRight w:val="0"/>
          <w:marTop w:val="0"/>
          <w:marBottom w:val="0"/>
          <w:divBdr>
            <w:top w:val="none" w:sz="0" w:space="0" w:color="auto"/>
            <w:left w:val="none" w:sz="0" w:space="0" w:color="auto"/>
            <w:bottom w:val="none" w:sz="0" w:space="0" w:color="auto"/>
            <w:right w:val="none" w:sz="0" w:space="0" w:color="auto"/>
          </w:divBdr>
        </w:div>
        <w:div w:id="1091048519">
          <w:marLeft w:val="0"/>
          <w:marRight w:val="0"/>
          <w:marTop w:val="0"/>
          <w:marBottom w:val="0"/>
          <w:divBdr>
            <w:top w:val="none" w:sz="0" w:space="0" w:color="auto"/>
            <w:left w:val="none" w:sz="0" w:space="0" w:color="auto"/>
            <w:bottom w:val="none" w:sz="0" w:space="0" w:color="auto"/>
            <w:right w:val="none" w:sz="0" w:space="0" w:color="auto"/>
          </w:divBdr>
        </w:div>
        <w:div w:id="1698581242">
          <w:marLeft w:val="0"/>
          <w:marRight w:val="0"/>
          <w:marTop w:val="0"/>
          <w:marBottom w:val="0"/>
          <w:divBdr>
            <w:top w:val="none" w:sz="0" w:space="0" w:color="auto"/>
            <w:left w:val="none" w:sz="0" w:space="0" w:color="auto"/>
            <w:bottom w:val="none" w:sz="0" w:space="0" w:color="auto"/>
            <w:right w:val="none" w:sz="0" w:space="0" w:color="auto"/>
          </w:divBdr>
        </w:div>
        <w:div w:id="100760495">
          <w:marLeft w:val="0"/>
          <w:marRight w:val="0"/>
          <w:marTop w:val="0"/>
          <w:marBottom w:val="0"/>
          <w:divBdr>
            <w:top w:val="none" w:sz="0" w:space="0" w:color="auto"/>
            <w:left w:val="none" w:sz="0" w:space="0" w:color="auto"/>
            <w:bottom w:val="none" w:sz="0" w:space="0" w:color="auto"/>
            <w:right w:val="none" w:sz="0" w:space="0" w:color="auto"/>
          </w:divBdr>
        </w:div>
      </w:divsChild>
    </w:div>
    <w:div w:id="404038623">
      <w:bodyDiv w:val="1"/>
      <w:marLeft w:val="0"/>
      <w:marRight w:val="0"/>
      <w:marTop w:val="0"/>
      <w:marBottom w:val="0"/>
      <w:divBdr>
        <w:top w:val="none" w:sz="0" w:space="0" w:color="auto"/>
        <w:left w:val="none" w:sz="0" w:space="0" w:color="auto"/>
        <w:bottom w:val="none" w:sz="0" w:space="0" w:color="auto"/>
        <w:right w:val="none" w:sz="0" w:space="0" w:color="auto"/>
      </w:divBdr>
    </w:div>
    <w:div w:id="413283737">
      <w:bodyDiv w:val="1"/>
      <w:marLeft w:val="0"/>
      <w:marRight w:val="0"/>
      <w:marTop w:val="0"/>
      <w:marBottom w:val="0"/>
      <w:divBdr>
        <w:top w:val="none" w:sz="0" w:space="0" w:color="auto"/>
        <w:left w:val="none" w:sz="0" w:space="0" w:color="auto"/>
        <w:bottom w:val="none" w:sz="0" w:space="0" w:color="auto"/>
        <w:right w:val="none" w:sz="0" w:space="0" w:color="auto"/>
      </w:divBdr>
    </w:div>
    <w:div w:id="685180903">
      <w:bodyDiv w:val="1"/>
      <w:marLeft w:val="0"/>
      <w:marRight w:val="0"/>
      <w:marTop w:val="0"/>
      <w:marBottom w:val="0"/>
      <w:divBdr>
        <w:top w:val="none" w:sz="0" w:space="0" w:color="auto"/>
        <w:left w:val="none" w:sz="0" w:space="0" w:color="auto"/>
        <w:bottom w:val="none" w:sz="0" w:space="0" w:color="auto"/>
        <w:right w:val="none" w:sz="0" w:space="0" w:color="auto"/>
      </w:divBdr>
    </w:div>
    <w:div w:id="735013244">
      <w:bodyDiv w:val="1"/>
      <w:marLeft w:val="0"/>
      <w:marRight w:val="0"/>
      <w:marTop w:val="0"/>
      <w:marBottom w:val="0"/>
      <w:divBdr>
        <w:top w:val="none" w:sz="0" w:space="0" w:color="auto"/>
        <w:left w:val="none" w:sz="0" w:space="0" w:color="auto"/>
        <w:bottom w:val="none" w:sz="0" w:space="0" w:color="auto"/>
        <w:right w:val="none" w:sz="0" w:space="0" w:color="auto"/>
      </w:divBdr>
    </w:div>
    <w:div w:id="806778971">
      <w:bodyDiv w:val="1"/>
      <w:marLeft w:val="0"/>
      <w:marRight w:val="0"/>
      <w:marTop w:val="0"/>
      <w:marBottom w:val="0"/>
      <w:divBdr>
        <w:top w:val="none" w:sz="0" w:space="0" w:color="auto"/>
        <w:left w:val="none" w:sz="0" w:space="0" w:color="auto"/>
        <w:bottom w:val="none" w:sz="0" w:space="0" w:color="auto"/>
        <w:right w:val="none" w:sz="0" w:space="0" w:color="auto"/>
      </w:divBdr>
    </w:div>
    <w:div w:id="1050153236">
      <w:bodyDiv w:val="1"/>
      <w:marLeft w:val="0"/>
      <w:marRight w:val="0"/>
      <w:marTop w:val="0"/>
      <w:marBottom w:val="0"/>
      <w:divBdr>
        <w:top w:val="none" w:sz="0" w:space="0" w:color="auto"/>
        <w:left w:val="none" w:sz="0" w:space="0" w:color="auto"/>
        <w:bottom w:val="none" w:sz="0" w:space="0" w:color="auto"/>
        <w:right w:val="none" w:sz="0" w:space="0" w:color="auto"/>
      </w:divBdr>
    </w:div>
    <w:div w:id="1081292115">
      <w:bodyDiv w:val="1"/>
      <w:marLeft w:val="0"/>
      <w:marRight w:val="0"/>
      <w:marTop w:val="0"/>
      <w:marBottom w:val="0"/>
      <w:divBdr>
        <w:top w:val="none" w:sz="0" w:space="0" w:color="auto"/>
        <w:left w:val="none" w:sz="0" w:space="0" w:color="auto"/>
        <w:bottom w:val="none" w:sz="0" w:space="0" w:color="auto"/>
        <w:right w:val="none" w:sz="0" w:space="0" w:color="auto"/>
      </w:divBdr>
    </w:div>
    <w:div w:id="1282541608">
      <w:bodyDiv w:val="1"/>
      <w:marLeft w:val="0"/>
      <w:marRight w:val="0"/>
      <w:marTop w:val="0"/>
      <w:marBottom w:val="0"/>
      <w:divBdr>
        <w:top w:val="none" w:sz="0" w:space="0" w:color="auto"/>
        <w:left w:val="none" w:sz="0" w:space="0" w:color="auto"/>
        <w:bottom w:val="none" w:sz="0" w:space="0" w:color="auto"/>
        <w:right w:val="none" w:sz="0" w:space="0" w:color="auto"/>
      </w:divBdr>
    </w:div>
    <w:div w:id="1285187291">
      <w:bodyDiv w:val="1"/>
      <w:marLeft w:val="0"/>
      <w:marRight w:val="0"/>
      <w:marTop w:val="0"/>
      <w:marBottom w:val="0"/>
      <w:divBdr>
        <w:top w:val="none" w:sz="0" w:space="0" w:color="auto"/>
        <w:left w:val="none" w:sz="0" w:space="0" w:color="auto"/>
        <w:bottom w:val="none" w:sz="0" w:space="0" w:color="auto"/>
        <w:right w:val="none" w:sz="0" w:space="0" w:color="auto"/>
      </w:divBdr>
    </w:div>
    <w:div w:id="1360206755">
      <w:bodyDiv w:val="1"/>
      <w:marLeft w:val="0"/>
      <w:marRight w:val="0"/>
      <w:marTop w:val="0"/>
      <w:marBottom w:val="0"/>
      <w:divBdr>
        <w:top w:val="none" w:sz="0" w:space="0" w:color="auto"/>
        <w:left w:val="none" w:sz="0" w:space="0" w:color="auto"/>
        <w:bottom w:val="none" w:sz="0" w:space="0" w:color="auto"/>
        <w:right w:val="none" w:sz="0" w:space="0" w:color="auto"/>
      </w:divBdr>
    </w:div>
    <w:div w:id="1603758849">
      <w:bodyDiv w:val="1"/>
      <w:marLeft w:val="0"/>
      <w:marRight w:val="0"/>
      <w:marTop w:val="0"/>
      <w:marBottom w:val="0"/>
      <w:divBdr>
        <w:top w:val="none" w:sz="0" w:space="0" w:color="auto"/>
        <w:left w:val="none" w:sz="0" w:space="0" w:color="auto"/>
        <w:bottom w:val="none" w:sz="0" w:space="0" w:color="auto"/>
        <w:right w:val="none" w:sz="0" w:space="0" w:color="auto"/>
      </w:divBdr>
    </w:div>
    <w:div w:id="1785611315">
      <w:bodyDiv w:val="1"/>
      <w:marLeft w:val="0"/>
      <w:marRight w:val="0"/>
      <w:marTop w:val="0"/>
      <w:marBottom w:val="0"/>
      <w:divBdr>
        <w:top w:val="none" w:sz="0" w:space="0" w:color="auto"/>
        <w:left w:val="none" w:sz="0" w:space="0" w:color="auto"/>
        <w:bottom w:val="none" w:sz="0" w:space="0" w:color="auto"/>
        <w:right w:val="none" w:sz="0" w:space="0" w:color="auto"/>
      </w:divBdr>
    </w:div>
    <w:div w:id="1960910817">
      <w:bodyDiv w:val="1"/>
      <w:marLeft w:val="0"/>
      <w:marRight w:val="0"/>
      <w:marTop w:val="0"/>
      <w:marBottom w:val="0"/>
      <w:divBdr>
        <w:top w:val="none" w:sz="0" w:space="0" w:color="auto"/>
        <w:left w:val="none" w:sz="0" w:space="0" w:color="auto"/>
        <w:bottom w:val="none" w:sz="0" w:space="0" w:color="auto"/>
        <w:right w:val="none" w:sz="0" w:space="0" w:color="auto"/>
      </w:divBdr>
    </w:div>
    <w:div w:id="1963532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ndingawards.nihr.ac.uk/award/17/44/29"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ingawards.nihr.ac.uk/award/17/44/2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74664383A873448E085422CDE828BD" ma:contentTypeVersion="13" ma:contentTypeDescription="Create a new document." ma:contentTypeScope="" ma:versionID="795c159957848f2f2c0c6afc2accd8f8">
  <xsd:schema xmlns:xsd="http://www.w3.org/2001/XMLSchema" xmlns:xs="http://www.w3.org/2001/XMLSchema" xmlns:p="http://schemas.microsoft.com/office/2006/metadata/properties" xmlns:ns3="265d22e4-8ff5-4752-afeb-0f01bc9ea83d" xmlns:ns4="205e5b56-7121-4307-b16b-422c1a4e6d50" targetNamespace="http://schemas.microsoft.com/office/2006/metadata/properties" ma:root="true" ma:fieldsID="f3f4f919874d219bbeadec2c54a7774d" ns3:_="" ns4:_="">
    <xsd:import namespace="265d22e4-8ff5-4752-afeb-0f01bc9ea83d"/>
    <xsd:import namespace="205e5b56-7121-4307-b16b-422c1a4e6d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d22e4-8ff5-4752-afeb-0f01bc9ea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e5b56-7121-4307-b16b-422c1a4e6d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F7A50-5A09-417F-8E65-856FF055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d22e4-8ff5-4752-afeb-0f01bc9ea83d"/>
    <ds:schemaRef ds:uri="205e5b56-7121-4307-b16b-422c1a4e6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3347B-9827-4C87-B475-3DD96F0F9437}">
  <ds:schemaRefs>
    <ds:schemaRef ds:uri="http://schemas.microsoft.com/sharepoint/v3/contenttype/forms"/>
  </ds:schemaRefs>
</ds:datastoreItem>
</file>

<file path=customXml/itemProps3.xml><?xml version="1.0" encoding="utf-8"?>
<ds:datastoreItem xmlns:ds="http://schemas.openxmlformats.org/officeDocument/2006/customXml" ds:itemID="{C45AAB26-A0CA-42C0-9029-EAE89E770282}">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205e5b56-7121-4307-b16b-422c1a4e6d50"/>
    <ds:schemaRef ds:uri="265d22e4-8ff5-4752-afeb-0f01bc9ea83d"/>
  </ds:schemaRefs>
</ds:datastoreItem>
</file>

<file path=customXml/itemProps4.xml><?xml version="1.0" encoding="utf-8"?>
<ds:datastoreItem xmlns:ds="http://schemas.openxmlformats.org/officeDocument/2006/customXml" ds:itemID="{424EE407-F15C-4F0A-AEBF-1E160D34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41813</Words>
  <Characters>238339</Characters>
  <Application>Microsoft Office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279593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Cox</dc:creator>
  <cp:lastModifiedBy>Orchard, J.</cp:lastModifiedBy>
  <cp:revision>2</cp:revision>
  <cp:lastPrinted>2018-08-21T14:24:00Z</cp:lastPrinted>
  <dcterms:created xsi:type="dcterms:W3CDTF">2020-10-22T16:11:00Z</dcterms:created>
  <dcterms:modified xsi:type="dcterms:W3CDTF">2020-10-22T16:11:00Z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0x0101004874664383A873448E085422CDE828BD</vt:lpwstr>
  </property>
  <property fmtid="{D5CDD505-2E9C-101B-9397-08002B2CF9AE}" pid="3" name="Mendeley Document_1">
    <vt:lpwstr>True</vt:lpwstr>
  </property>
  <property fmtid="{D5CDD505-2E9C-101B-9397-08002B2CF9AE}" pid="4" name="Mendeley Citation Style_1">
    <vt:lpwstr>http://www.zotero.org/styles/vancouver-brackets</vt:lpwstr>
  </property>
  <property fmtid="{D5CDD505-2E9C-101B-9397-08002B2CF9AE}" pid="5" name="Mendeley Unique User Id_1">
    <vt:lpwstr>94f8c56b-e2fb-39a5-8036-8ccf38839b45</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http://www.zotero.org/styles/vancouver-brackets</vt:lpwstr>
  </property>
  <property fmtid="{D5CDD505-2E9C-101B-9397-08002B2CF9AE}" pid="25" name="Mendeley Recent Style Name 9_1">
    <vt:lpwstr>Vancouver (brackets)</vt:lpwstr>
  </property>
</Properties>
</file>