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D5" w:rsidRPr="004B4994" w:rsidRDefault="009552D5" w:rsidP="009552D5">
      <w:pPr>
        <w:spacing w:line="480" w:lineRule="auto"/>
        <w:rPr>
          <w:b/>
        </w:rPr>
      </w:pPr>
      <w:r>
        <w:rPr>
          <w:b/>
        </w:rPr>
        <w:t xml:space="preserve">Title: </w:t>
      </w:r>
      <w:r w:rsidRPr="004B4994">
        <w:rPr>
          <w:b/>
        </w:rPr>
        <w:t>The implementation of Connecting People in community mental health teams in England: A quasi-experimental study</w:t>
      </w:r>
    </w:p>
    <w:p w:rsidR="009552D5" w:rsidRPr="004B4994" w:rsidRDefault="009552D5" w:rsidP="009552D5">
      <w:pPr>
        <w:spacing w:line="480" w:lineRule="auto"/>
      </w:pPr>
    </w:p>
    <w:p w:rsidR="009552D5" w:rsidRPr="004B4994" w:rsidRDefault="009552D5" w:rsidP="009552D5">
      <w:pPr>
        <w:spacing w:line="480" w:lineRule="auto"/>
      </w:pPr>
    </w:p>
    <w:p w:rsidR="009552D5" w:rsidRPr="004B4994" w:rsidRDefault="009552D5" w:rsidP="009552D5">
      <w:pPr>
        <w:spacing w:line="480" w:lineRule="auto"/>
      </w:pPr>
      <w:r w:rsidRPr="004B4994">
        <w:rPr>
          <w:vertAlign w:val="superscript"/>
        </w:rPr>
        <w:t>1</w:t>
      </w:r>
      <w:r w:rsidRPr="004B4994">
        <w:t>*Webber</w:t>
      </w:r>
      <w:r>
        <w:t>, M.</w:t>
      </w:r>
      <w:r w:rsidRPr="004B4994">
        <w:t xml:space="preserve">, </w:t>
      </w:r>
      <w:r w:rsidRPr="004B4994">
        <w:rPr>
          <w:vertAlign w:val="superscript"/>
        </w:rPr>
        <w:t>1</w:t>
      </w:r>
      <w:r w:rsidRPr="004B4994">
        <w:t>Ngamaba</w:t>
      </w:r>
      <w:r>
        <w:t xml:space="preserve">, K., </w:t>
      </w:r>
      <w:r w:rsidRPr="004B4994">
        <w:rPr>
          <w:vertAlign w:val="superscript"/>
        </w:rPr>
        <w:t>1</w:t>
      </w:r>
      <w:r w:rsidRPr="004B4994">
        <w:t>Moran,</w:t>
      </w:r>
      <w:r>
        <w:t xml:space="preserve"> N.,</w:t>
      </w:r>
      <w:r w:rsidRPr="004B4994">
        <w:t xml:space="preserve"> </w:t>
      </w:r>
      <w:r w:rsidRPr="004B4994">
        <w:rPr>
          <w:vertAlign w:val="superscript"/>
        </w:rPr>
        <w:t>2</w:t>
      </w:r>
      <w:r w:rsidRPr="004B4994">
        <w:t>Pinfold,</w:t>
      </w:r>
      <w:r>
        <w:t xml:space="preserve"> V., </w:t>
      </w:r>
      <w:r w:rsidRPr="004B4994">
        <w:rPr>
          <w:vertAlign w:val="superscript"/>
        </w:rPr>
        <w:t>3</w:t>
      </w:r>
      <w:r w:rsidRPr="004B4994">
        <w:t>Boehnke</w:t>
      </w:r>
      <w:r>
        <w:t>, J.R.</w:t>
      </w:r>
      <w:r w:rsidRPr="004B4994">
        <w:t xml:space="preserve">, </w:t>
      </w:r>
      <w:r w:rsidRPr="004B4994">
        <w:rPr>
          <w:vertAlign w:val="superscript"/>
        </w:rPr>
        <w:t>4</w:t>
      </w:r>
      <w:r w:rsidRPr="004B4994">
        <w:t>Knapp,</w:t>
      </w:r>
      <w:r>
        <w:t xml:space="preserve"> M.,</w:t>
      </w:r>
      <w:r w:rsidRPr="004B4994">
        <w:t xml:space="preserve"> </w:t>
      </w:r>
      <w:r w:rsidRPr="004B4994">
        <w:rPr>
          <w:vertAlign w:val="superscript"/>
        </w:rPr>
        <w:t>4</w:t>
      </w:r>
      <w:r w:rsidRPr="004B4994">
        <w:t>Henderson,</w:t>
      </w:r>
      <w:r>
        <w:t xml:space="preserve"> C., </w:t>
      </w:r>
      <w:r w:rsidRPr="004B4994">
        <w:rPr>
          <w:vertAlign w:val="superscript"/>
        </w:rPr>
        <w:t>4</w:t>
      </w:r>
      <w:r w:rsidRPr="004B4994">
        <w:t>Rehill,</w:t>
      </w:r>
      <w:r>
        <w:t xml:space="preserve"> A. &amp;</w:t>
      </w:r>
      <w:r w:rsidRPr="004B4994">
        <w:t xml:space="preserve"> </w:t>
      </w:r>
      <w:r w:rsidRPr="004B4994">
        <w:rPr>
          <w:vertAlign w:val="superscript"/>
        </w:rPr>
        <w:t>5</w:t>
      </w:r>
      <w:r w:rsidRPr="004B4994">
        <w:t>Morris</w:t>
      </w:r>
      <w:r>
        <w:t>, D.</w:t>
      </w:r>
    </w:p>
    <w:p w:rsidR="009552D5" w:rsidRPr="004B4994" w:rsidRDefault="009552D5" w:rsidP="009552D5">
      <w:pPr>
        <w:spacing w:line="480" w:lineRule="auto"/>
        <w:rPr>
          <w:b/>
        </w:rPr>
      </w:pPr>
    </w:p>
    <w:p w:rsidR="009552D5" w:rsidRPr="004B4994" w:rsidRDefault="009552D5" w:rsidP="009552D5">
      <w:pPr>
        <w:spacing w:line="480" w:lineRule="auto"/>
      </w:pPr>
      <w:r w:rsidRPr="004B4994">
        <w:rPr>
          <w:vertAlign w:val="superscript"/>
        </w:rPr>
        <w:t>1</w:t>
      </w:r>
      <w:r w:rsidRPr="004B4994">
        <w:t xml:space="preserve"> International Centre for Mental Health Social Research, Department of Social Policy and Social Work, University of York</w:t>
      </w:r>
      <w:r>
        <w:t>, Heslington, York, YO10 5DD</w:t>
      </w:r>
    </w:p>
    <w:p w:rsidR="009552D5" w:rsidRPr="004B4994" w:rsidRDefault="009552D5" w:rsidP="009552D5">
      <w:pPr>
        <w:spacing w:line="480" w:lineRule="auto"/>
      </w:pPr>
      <w:r w:rsidRPr="004B4994">
        <w:rPr>
          <w:vertAlign w:val="superscript"/>
        </w:rPr>
        <w:t>2</w:t>
      </w:r>
      <w:r w:rsidRPr="004B4994">
        <w:t xml:space="preserve"> McPin Foundation, </w:t>
      </w:r>
      <w:r w:rsidRPr="00A83316">
        <w:t>7-14 Great Dover Street</w:t>
      </w:r>
      <w:r>
        <w:t>,</w:t>
      </w:r>
      <w:r w:rsidRPr="00A83316">
        <w:t xml:space="preserve"> London</w:t>
      </w:r>
      <w:r>
        <w:t>,</w:t>
      </w:r>
      <w:r w:rsidRPr="00A83316">
        <w:t xml:space="preserve"> SE1 4YR</w:t>
      </w:r>
    </w:p>
    <w:p w:rsidR="009552D5" w:rsidRPr="004B4994" w:rsidRDefault="009552D5" w:rsidP="009552D5">
      <w:pPr>
        <w:spacing w:line="480" w:lineRule="auto"/>
      </w:pPr>
      <w:r w:rsidRPr="004B4994">
        <w:rPr>
          <w:vertAlign w:val="superscript"/>
        </w:rPr>
        <w:t>3</w:t>
      </w:r>
      <w:r w:rsidRPr="004B4994">
        <w:t xml:space="preserve"> School of Nursing and Health Sciences, University of Dundee</w:t>
      </w:r>
      <w:r>
        <w:t>,</w:t>
      </w:r>
      <w:r w:rsidRPr="00A83316">
        <w:t xml:space="preserve"> </w:t>
      </w:r>
      <w:r>
        <w:t xml:space="preserve">11 Airlie Place, </w:t>
      </w:r>
      <w:r w:rsidRPr="00A83316">
        <w:t>Dundee DD1 4HJ</w:t>
      </w:r>
    </w:p>
    <w:p w:rsidR="009552D5" w:rsidRPr="004B4994" w:rsidRDefault="009552D5" w:rsidP="009552D5">
      <w:pPr>
        <w:spacing w:line="480" w:lineRule="auto"/>
      </w:pPr>
      <w:r w:rsidRPr="004B4994">
        <w:rPr>
          <w:vertAlign w:val="superscript"/>
        </w:rPr>
        <w:t>4</w:t>
      </w:r>
      <w:r w:rsidRPr="004B4994">
        <w:t xml:space="preserve"> Care Policy and Evaluation Centre, London School of Economics and Political Science</w:t>
      </w:r>
      <w:r>
        <w:t xml:space="preserve">, </w:t>
      </w:r>
      <w:r w:rsidRPr="00A83316">
        <w:t>Houghton Street</w:t>
      </w:r>
      <w:r>
        <w:t xml:space="preserve">, </w:t>
      </w:r>
      <w:r w:rsidRPr="00A83316">
        <w:t>London</w:t>
      </w:r>
      <w:r>
        <w:t xml:space="preserve">, </w:t>
      </w:r>
      <w:r w:rsidRPr="00A83316">
        <w:t>WC2A 2AE</w:t>
      </w:r>
    </w:p>
    <w:p w:rsidR="009552D5" w:rsidRPr="004B4994" w:rsidRDefault="009552D5" w:rsidP="009552D5">
      <w:pPr>
        <w:spacing w:line="480" w:lineRule="auto"/>
      </w:pPr>
      <w:r w:rsidRPr="004B4994">
        <w:rPr>
          <w:vertAlign w:val="superscript"/>
        </w:rPr>
        <w:t>5</w:t>
      </w:r>
      <w:r w:rsidRPr="004B4994">
        <w:t xml:space="preserve"> School of Social Work</w:t>
      </w:r>
      <w:r>
        <w:t>, Care and Community</w:t>
      </w:r>
      <w:r w:rsidRPr="004B4994">
        <w:t>, University of Central Lancashire</w:t>
      </w:r>
      <w:r>
        <w:t xml:space="preserve">, </w:t>
      </w:r>
      <w:r w:rsidRPr="00A83316">
        <w:t>Preston, Lancashire, PR1 2HE</w:t>
      </w:r>
      <w:r>
        <w:t>.</w:t>
      </w:r>
    </w:p>
    <w:p w:rsidR="009552D5" w:rsidRPr="004B4994" w:rsidRDefault="009552D5" w:rsidP="009552D5">
      <w:pPr>
        <w:spacing w:line="480" w:lineRule="auto"/>
      </w:pPr>
    </w:p>
    <w:p w:rsidR="009552D5" w:rsidRPr="004B4994" w:rsidRDefault="009552D5" w:rsidP="009552D5">
      <w:pPr>
        <w:spacing w:line="480" w:lineRule="auto"/>
      </w:pPr>
      <w:r w:rsidRPr="004B4994">
        <w:t>*Correspond</w:t>
      </w:r>
      <w:r>
        <w:t>ence to be sent to</w:t>
      </w:r>
      <w:r w:rsidRPr="004B4994">
        <w:t>: Martin Webber, International Centre for Mental Health Social Research, Department of Social Policy and Social Work, University of York, Heslington, York, YO10 5DD, email: martin.webber@york.ac.uk, tel. +44 1904 321203</w:t>
      </w:r>
    </w:p>
    <w:p w:rsidR="009552D5" w:rsidRPr="004B4994" w:rsidRDefault="009552D5" w:rsidP="009552D5">
      <w:pPr>
        <w:spacing w:line="480" w:lineRule="auto"/>
      </w:pPr>
    </w:p>
    <w:p w:rsidR="009552D5" w:rsidRPr="004B4994" w:rsidRDefault="009552D5" w:rsidP="009552D5">
      <w:pPr>
        <w:spacing w:line="480" w:lineRule="auto"/>
      </w:pPr>
    </w:p>
    <w:p w:rsidR="009552D5" w:rsidRPr="004B4994" w:rsidRDefault="009552D5" w:rsidP="009552D5">
      <w:pPr>
        <w:spacing w:line="480" w:lineRule="auto"/>
      </w:pPr>
      <w:r w:rsidRPr="004B4994">
        <w:rPr>
          <w:b/>
        </w:rPr>
        <w:t>Funding</w:t>
      </w:r>
    </w:p>
    <w:p w:rsidR="009552D5" w:rsidRPr="004B4994" w:rsidRDefault="009552D5" w:rsidP="009552D5">
      <w:pPr>
        <w:spacing w:line="480" w:lineRule="auto"/>
      </w:pPr>
      <w:r w:rsidRPr="004B4994">
        <w:t>This paper presents independent research funded by the National Institute for Health Research School for Social Care Research (ref C088/CM/UYYB-P114). The views expressed are those of the authors and not necessarily those of the NIHR School for Social Care Research, the NIHR or the Department of Health and Social Care.</w:t>
      </w:r>
    </w:p>
    <w:p w:rsidR="005E5945" w:rsidRPr="00197A81" w:rsidRDefault="005E5945" w:rsidP="00DA7778">
      <w:pPr>
        <w:spacing w:line="480" w:lineRule="auto"/>
      </w:pPr>
    </w:p>
    <w:p w:rsidR="005E5945" w:rsidRPr="00197A81" w:rsidRDefault="002929E6" w:rsidP="00DA7778">
      <w:pPr>
        <w:spacing w:line="480" w:lineRule="auto"/>
        <w:rPr>
          <w:b/>
        </w:rPr>
      </w:pPr>
      <w:r w:rsidRPr="00197A81">
        <w:rPr>
          <w:b/>
        </w:rPr>
        <w:lastRenderedPageBreak/>
        <w:t>Abstract</w:t>
      </w:r>
    </w:p>
    <w:p w:rsidR="005E5945" w:rsidRPr="00197A81" w:rsidRDefault="005E5945" w:rsidP="00DA7778">
      <w:pPr>
        <w:spacing w:line="480" w:lineRule="auto"/>
      </w:pPr>
    </w:p>
    <w:p w:rsidR="00C84D11" w:rsidRPr="00197A81" w:rsidRDefault="002929E6" w:rsidP="00DA7778">
      <w:pPr>
        <w:spacing w:line="480" w:lineRule="auto"/>
      </w:pPr>
      <w:r w:rsidRPr="00197A81">
        <w:t>Loneliness and social isolation have become signifi</w:t>
      </w:r>
      <w:r w:rsidR="00C84D11" w:rsidRPr="00197A81">
        <w:t xml:space="preserve">cant concerns in many countries, </w:t>
      </w:r>
      <w:r w:rsidR="00806C88" w:rsidRPr="00197A81">
        <w:t>particularly among people experiencing mental health problems</w:t>
      </w:r>
      <w:r w:rsidRPr="00197A81">
        <w:t xml:space="preserve">. A social intervention - Connecting People - has been found to increase </w:t>
      </w:r>
      <w:r w:rsidR="00806C88" w:rsidRPr="00197A81">
        <w:t>t</w:t>
      </w:r>
      <w:r w:rsidR="003B4E18" w:rsidRPr="00197A81">
        <w:t>heir access to social capital</w:t>
      </w:r>
      <w:r w:rsidRPr="00197A81">
        <w:t>,</w:t>
      </w:r>
      <w:r w:rsidR="00806C88" w:rsidRPr="00197A81">
        <w:t xml:space="preserve"> though</w:t>
      </w:r>
      <w:r w:rsidRPr="00197A81">
        <w:t xml:space="preserve"> it has been difficult to implement with high fidelity in community mental health teams (CMHTs) in England.</w:t>
      </w:r>
      <w:r w:rsidR="00C84D11" w:rsidRPr="00197A81">
        <w:t xml:space="preserve"> This study</w:t>
      </w:r>
      <w:r w:rsidR="00ED33E2" w:rsidRPr="00197A81">
        <w:t xml:space="preserve"> aimed to evaluate outcomes for mental health service users of a practitioner-led implementation of Connecting People in CMHTs. It</w:t>
      </w:r>
      <w:r w:rsidR="00C84D11" w:rsidRPr="00197A81">
        <w:t xml:space="preserve"> used a</w:t>
      </w:r>
      <w:r w:rsidRPr="00197A81">
        <w:t xml:space="preserve"> pra</w:t>
      </w:r>
      <w:r w:rsidR="0055211B" w:rsidRPr="00197A81">
        <w:t>gmatic non-randomised two-group</w:t>
      </w:r>
      <w:r w:rsidRPr="00197A81">
        <w:t xml:space="preserve"> pre-post study to evaluate the implementation </w:t>
      </w:r>
      <w:r w:rsidR="00E0408F" w:rsidRPr="00197A81">
        <w:t>process</w:t>
      </w:r>
      <w:r w:rsidRPr="00197A81">
        <w:t xml:space="preserve"> in CMHTs. </w:t>
      </w:r>
      <w:r w:rsidR="0055211B" w:rsidRPr="00197A81">
        <w:t>Im</w:t>
      </w:r>
      <w:r w:rsidRPr="00197A81">
        <w:t xml:space="preserve">plementation materials </w:t>
      </w:r>
      <w:r w:rsidR="00E72E6A" w:rsidRPr="00197A81">
        <w:t xml:space="preserve">co-produced with service users </w:t>
      </w:r>
      <w:r w:rsidRPr="00197A81">
        <w:t>was provided to the intervention teams for practitioners to use with the support of a senior social worker in each mental health NHS Trust</w:t>
      </w:r>
      <w:r w:rsidR="00FF471C" w:rsidRPr="00197A81">
        <w:t xml:space="preserve"> (n=5)</w:t>
      </w:r>
      <w:r w:rsidRPr="00197A81">
        <w:t xml:space="preserve">. Service users were interviewed at baseline </w:t>
      </w:r>
      <w:r w:rsidR="00FF471C" w:rsidRPr="00197A81">
        <w:t xml:space="preserve">(n=151) </w:t>
      </w:r>
      <w:r w:rsidRPr="00197A81">
        <w:t>and</w:t>
      </w:r>
      <w:r w:rsidR="00FF471C" w:rsidRPr="00197A81">
        <w:t xml:space="preserve"> at</w:t>
      </w:r>
      <w:r w:rsidRPr="00197A81">
        <w:t xml:space="preserve"> six-month follow-up</w:t>
      </w:r>
      <w:r w:rsidR="00FF471C" w:rsidRPr="00197A81">
        <w:t xml:space="preserve"> (n=127)</w:t>
      </w:r>
      <w:r w:rsidRPr="00197A81">
        <w:t xml:space="preserve">, and their outcome and cost data were analysed </w:t>
      </w:r>
      <w:r w:rsidR="00FF471C" w:rsidRPr="00197A81">
        <w:t>on</w:t>
      </w:r>
      <w:r w:rsidRPr="00197A81">
        <w:t xml:space="preserve"> an intention-to-treat </w:t>
      </w:r>
      <w:r w:rsidR="00FF471C" w:rsidRPr="00197A81">
        <w:t>basis</w:t>
      </w:r>
      <w:r w:rsidRPr="00197A81">
        <w:t>.</w:t>
      </w:r>
      <w:r w:rsidR="00C84D11" w:rsidRPr="00197A81">
        <w:t xml:space="preserve"> </w:t>
      </w:r>
      <w:r w:rsidRPr="00197A81">
        <w:t>Analysis of primary and secondary outcome variables found no differences between the intervention and control group</w:t>
      </w:r>
      <w:r w:rsidR="00FF471C" w:rsidRPr="00197A81">
        <w:t>s</w:t>
      </w:r>
      <w:r w:rsidRPr="00197A81">
        <w:t xml:space="preserve">. The economic evaluation found no significant differences </w:t>
      </w:r>
      <w:r w:rsidR="00FF471C" w:rsidRPr="00197A81">
        <w:t xml:space="preserve">between groups </w:t>
      </w:r>
      <w:r w:rsidRPr="00197A81">
        <w:t xml:space="preserve">in mean costs or outcomes. </w:t>
      </w:r>
      <w:r w:rsidR="00C84D11" w:rsidRPr="00197A81">
        <w:t xml:space="preserve">The </w:t>
      </w:r>
      <w:r w:rsidRPr="00197A81">
        <w:t xml:space="preserve">findings suggest that it could be difficult for social workers to implement Connecting People in CMHTs </w:t>
      </w:r>
      <w:r w:rsidR="00C84D11" w:rsidRPr="00197A81">
        <w:t xml:space="preserve">or that it does not improve outcomes for </w:t>
      </w:r>
      <w:r w:rsidR="00CE2841" w:rsidRPr="00197A81">
        <w:t>CMHT</w:t>
      </w:r>
      <w:r w:rsidR="00C84D11" w:rsidRPr="00197A81">
        <w:t xml:space="preserve"> users.</w:t>
      </w:r>
    </w:p>
    <w:p w:rsidR="005E5945" w:rsidRPr="00197A81" w:rsidRDefault="005E5945" w:rsidP="00DA7778">
      <w:pPr>
        <w:spacing w:line="480" w:lineRule="auto"/>
      </w:pPr>
    </w:p>
    <w:p w:rsidR="005E5945" w:rsidRPr="00197A81" w:rsidRDefault="002929E6" w:rsidP="00DA7778">
      <w:pPr>
        <w:spacing w:line="480" w:lineRule="auto"/>
      </w:pPr>
      <w:r w:rsidRPr="00197A81">
        <w:rPr>
          <w:b/>
        </w:rPr>
        <w:t>Keywords:</w:t>
      </w:r>
      <w:r w:rsidR="004C3F32">
        <w:t xml:space="preserve"> Connecting People;</w:t>
      </w:r>
      <w:r w:rsidRPr="00197A81">
        <w:t xml:space="preserve"> community mental health team; </w:t>
      </w:r>
      <w:r w:rsidR="004C3F32">
        <w:t xml:space="preserve">community social work; </w:t>
      </w:r>
      <w:r w:rsidR="004C3F32" w:rsidRPr="00197A81">
        <w:t>implementation</w:t>
      </w:r>
      <w:r w:rsidR="004C3F32">
        <w:t>; social intervention;</w:t>
      </w:r>
      <w:r w:rsidR="004C3F32" w:rsidRPr="00197A81">
        <w:t xml:space="preserve"> </w:t>
      </w:r>
      <w:r w:rsidRPr="00197A81">
        <w:t>social capital</w:t>
      </w:r>
    </w:p>
    <w:p w:rsidR="00E0408F" w:rsidRPr="00197A81" w:rsidRDefault="00E0408F" w:rsidP="00DA7778">
      <w:pPr>
        <w:spacing w:line="480" w:lineRule="auto"/>
      </w:pPr>
    </w:p>
    <w:p w:rsidR="00E0408F" w:rsidRPr="00197A81" w:rsidRDefault="00E0408F" w:rsidP="00DA7778">
      <w:pPr>
        <w:spacing w:line="480" w:lineRule="auto"/>
      </w:pPr>
    </w:p>
    <w:p w:rsidR="00CE2841" w:rsidRPr="00197A81" w:rsidRDefault="00CE2841" w:rsidP="00DA7778">
      <w:pPr>
        <w:spacing w:line="480" w:lineRule="auto"/>
      </w:pPr>
    </w:p>
    <w:p w:rsidR="00E0408F" w:rsidRDefault="00E0408F" w:rsidP="00DA7778">
      <w:pPr>
        <w:spacing w:line="480" w:lineRule="auto"/>
        <w:rPr>
          <w:b/>
        </w:rPr>
      </w:pPr>
    </w:p>
    <w:p w:rsidR="004C3F32" w:rsidRDefault="004C3F32" w:rsidP="00DA7778">
      <w:pPr>
        <w:spacing w:line="480" w:lineRule="auto"/>
        <w:rPr>
          <w:b/>
        </w:rPr>
      </w:pPr>
    </w:p>
    <w:p w:rsidR="004C3F32" w:rsidRDefault="004C3F32" w:rsidP="00DA7778">
      <w:pPr>
        <w:spacing w:line="480" w:lineRule="auto"/>
        <w:rPr>
          <w:b/>
        </w:rPr>
      </w:pPr>
    </w:p>
    <w:p w:rsidR="004C3F32" w:rsidRPr="00197A81" w:rsidRDefault="004C3F32" w:rsidP="00DA7778">
      <w:pPr>
        <w:spacing w:line="480" w:lineRule="auto"/>
        <w:rPr>
          <w:b/>
        </w:rPr>
      </w:pPr>
    </w:p>
    <w:p w:rsidR="005E5945" w:rsidRPr="00197A81" w:rsidRDefault="002929E6" w:rsidP="00DA7778">
      <w:pPr>
        <w:spacing w:line="480" w:lineRule="auto"/>
      </w:pPr>
      <w:r w:rsidRPr="00197A81">
        <w:rPr>
          <w:b/>
        </w:rPr>
        <w:lastRenderedPageBreak/>
        <w:t>Background</w:t>
      </w:r>
    </w:p>
    <w:p w:rsidR="008C20FB" w:rsidRPr="00197A81" w:rsidRDefault="008C20FB" w:rsidP="008C20FB">
      <w:pPr>
        <w:spacing w:line="480" w:lineRule="auto"/>
      </w:pPr>
    </w:p>
    <w:p w:rsidR="006E6CDF" w:rsidRPr="00197A81" w:rsidRDefault="008C20FB" w:rsidP="008C20FB">
      <w:pPr>
        <w:spacing w:line="480" w:lineRule="auto"/>
      </w:pPr>
      <w:r w:rsidRPr="00197A81">
        <w:t>Tackling loneliness and building social connections ha</w:t>
      </w:r>
      <w:r w:rsidR="00850299" w:rsidRPr="00197A81">
        <w:t>ve</w:t>
      </w:r>
      <w:r w:rsidRPr="00197A81">
        <w:t xml:space="preserve"> become key policy concern</w:t>
      </w:r>
      <w:r w:rsidR="00850299" w:rsidRPr="00197A81">
        <w:t>s</w:t>
      </w:r>
      <w:r w:rsidRPr="00197A81">
        <w:t xml:space="preserve"> in the UK </w:t>
      </w:r>
      <w:r w:rsidRPr="00197A81">
        <w:fldChar w:fldCharType="begin"/>
      </w:r>
      <w:r w:rsidR="00656649">
        <w:instrText xml:space="preserve"> ADDIN EN.CITE &lt;EndNote&gt;&lt;Cite&gt;&lt;Author&gt;Her Majesty&amp;apos;s Government&lt;/Author&gt;&lt;Year&gt;2018&lt;/Year&gt;&lt;RecNum&gt;1440&lt;/RecNum&gt;&lt;DisplayText&gt;(Her Majesty&amp;apos;s Government, 2018; Welsh Government, 2019)&lt;/DisplayText&gt;&lt;record&gt;&lt;rec-number&gt;1440&lt;/rec-number&gt;&lt;foreign-keys&gt;&lt;key app="EN" db-id="xsrta25fdvptf2e5ttppw9xu50s0t9tapt5e" timestamp="1598443587" guid="06798e28-5d1d-4875-98ac-cb5a580b446e"&gt;1440&lt;/key&gt;&lt;/foreign-keys&gt;&lt;ref-type name="Report"&gt;27&lt;/ref-type&gt;&lt;contributors&gt;&lt;authors&gt;&lt;author&gt;Her Majesty&amp;apos;s Government,&lt;/author&gt;&lt;/authors&gt;&lt;/contributors&gt;&lt;titles&gt;&lt;title&gt;A Connected Society. A strategy for tackling loneliness - laying the foundations for change&lt;/title&gt;&lt;/titles&gt;&lt;dates&gt;&lt;year&gt;2018&lt;/year&gt;&lt;/dates&gt;&lt;pub-location&gt;London&lt;/pub-location&gt;&lt;publisher&gt;Department for Digital, Culture, Media and Sport&lt;/publisher&gt;&lt;urls&gt;&lt;/urls&gt;&lt;/record&gt;&lt;/Cite&gt;&lt;Cite&gt;&lt;Author&gt;Welsh Government&lt;/Author&gt;&lt;Year&gt;2019&lt;/Year&gt;&lt;RecNum&gt;1512&lt;/RecNum&gt;&lt;record&gt;&lt;rec-number&gt;1512&lt;/rec-number&gt;&lt;foreign-keys&gt;&lt;key app="EN" db-id="xsrta25fdvptf2e5ttppw9xu50s0t9tapt5e" timestamp="1598443714" guid="3904ba8a-14d8-4f81-9c02-d41fcc0dcfb8"&gt;1512&lt;/key&gt;&lt;/foreign-keys&gt;&lt;ref-type name="Report"&gt;27&lt;/ref-type&gt;&lt;contributors&gt;&lt;authors&gt;&lt;author&gt;Welsh Government,&lt;/author&gt;&lt;/authors&gt;&lt;/contributors&gt;&lt;titles&gt;&lt;title&gt;Connected Communities. A strategy for tackling loneliness and social isolation and building stronger social connections&lt;/title&gt;&lt;/titles&gt;&lt;dates&gt;&lt;year&gt;2019&lt;/year&gt;&lt;/dates&gt;&lt;pub-location&gt;Cardiff&lt;/pub-location&gt;&lt;publisher&gt;Welsh Government&lt;/publisher&gt;&lt;urls&gt;&lt;/urls&gt;&lt;/record&gt;&lt;/Cite&gt;&lt;/EndNote&gt;</w:instrText>
      </w:r>
      <w:r w:rsidRPr="00197A81">
        <w:fldChar w:fldCharType="separate"/>
      </w:r>
      <w:r w:rsidR="001B122A" w:rsidRPr="00197A81">
        <w:rPr>
          <w:noProof/>
        </w:rPr>
        <w:t>(Her Majesty's Government, 2018; Welsh Government, 2019)</w:t>
      </w:r>
      <w:r w:rsidRPr="00197A81">
        <w:fldChar w:fldCharType="end"/>
      </w:r>
      <w:r w:rsidRPr="00197A81">
        <w:t xml:space="preserve">. </w:t>
      </w:r>
      <w:r w:rsidR="00EC0AF4" w:rsidRPr="00197A81">
        <w:t xml:space="preserve">Loneliness is most prevalent in early and late life </w:t>
      </w:r>
      <w:r w:rsidR="009A0871" w:rsidRPr="00197A81">
        <w:fldChar w:fldCharType="begin"/>
      </w:r>
      <w:r w:rsidR="00656649">
        <w:instrText xml:space="preserve"> ADDIN EN.CITE &lt;EndNote&gt;&lt;Cite&gt;&lt;Author&gt;Victor&lt;/Author&gt;&lt;Year&gt;2012&lt;/Year&gt;&lt;RecNum&gt;1479&lt;/RecNum&gt;&lt;DisplayText&gt;(Victor and Yang, 2012)&lt;/DisplayText&gt;&lt;record&gt;&lt;rec-number&gt;1479&lt;/rec-number&gt;&lt;foreign-keys&gt;&lt;key app="EN" db-id="xsrta25fdvptf2e5ttppw9xu50s0t9tapt5e" timestamp="1598443668" guid="595d21e6-a9f3-4cb9-94de-e79515db062d"&gt;1479&lt;/key&gt;&lt;/foreign-keys&gt;&lt;ref-type name="Journal Article"&gt;17&lt;/ref-type&gt;&lt;contributors&gt;&lt;authors&gt;&lt;author&gt;Victor, Christina R.&lt;/author&gt;&lt;author&gt;Yang, Keming&lt;/author&gt;&lt;/authors&gt;&lt;/contributors&gt;&lt;titles&gt;&lt;title&gt;The Prevalence of Loneliness Among Adults: A Case Study of the United Kingdom&lt;/title&gt;&lt;secondary-title&gt;The Journal of Psychology&lt;/secondary-title&gt;&lt;/titles&gt;&lt;periodical&gt;&lt;full-title&gt;The Journal of Psychology&lt;/full-title&gt;&lt;/periodical&gt;&lt;pages&gt;85-104&lt;/pages&gt;&lt;volume&gt;146&lt;/volume&gt;&lt;number&gt;1-2&lt;/number&gt;&lt;dates&gt;&lt;year&gt;2012&lt;/year&gt;&lt;pub-dates&gt;&lt;date&gt;2012/01/01&lt;/date&gt;&lt;/pub-dates&gt;&lt;/dates&gt;&lt;publisher&gt;Routledge&lt;/publisher&gt;&lt;isbn&gt;0022-3980&lt;/isbn&gt;&lt;urls&gt;&lt;related-urls&gt;&lt;url&gt;https://doi.org/10.1080/00223980.2011.613875&lt;/url&gt;&lt;/related-urls&gt;&lt;/urls&gt;&lt;electronic-resource-num&gt;10.1080/00223980.2011.613875&lt;/electronic-resource-num&gt;&lt;/record&gt;&lt;/Cite&gt;&lt;/EndNote&gt;</w:instrText>
      </w:r>
      <w:r w:rsidR="009A0871" w:rsidRPr="00197A81">
        <w:fldChar w:fldCharType="separate"/>
      </w:r>
      <w:r w:rsidR="009A0871" w:rsidRPr="00197A81">
        <w:rPr>
          <w:noProof/>
        </w:rPr>
        <w:t>(Victor and Yang, 2012)</w:t>
      </w:r>
      <w:r w:rsidR="009A0871" w:rsidRPr="00197A81">
        <w:fldChar w:fldCharType="end"/>
      </w:r>
      <w:r w:rsidR="006E6CDF" w:rsidRPr="00197A81">
        <w:t xml:space="preserve"> and is more common among people with depression, anxiety and psychosis </w:t>
      </w:r>
      <w:r w:rsidR="006E6CDF" w:rsidRPr="00197A81">
        <w:fldChar w:fldCharType="begin">
          <w:fldData xml:space="preserve">PEVuZE5vdGU+PENpdGU+PEF1dGhvcj5MaW08L0F1dGhvcj48WWVhcj4yMDE4PC9ZZWFyPjxSZWNO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</w:fldData>
        </w:fldChar>
      </w:r>
      <w:r w:rsidR="00656649">
        <w:instrText xml:space="preserve"> ADDIN EN.CITE </w:instrText>
      </w:r>
      <w:r w:rsidR="00656649">
        <w:fldChar w:fldCharType="begin">
          <w:fldData xml:space="preserve">PEVuZE5vdGU+PENpdGU+PEF1dGhvcj5MaW08L0F1dGhvcj48WWVhcj4yMDE4PC9ZZWFyPjxSZWNO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</w:fldData>
        </w:fldChar>
      </w:r>
      <w:r w:rsidR="00656649">
        <w:instrText xml:space="preserve"> ADDIN EN.CITE.DATA </w:instrText>
      </w:r>
      <w:r w:rsidR="00656649">
        <w:fldChar w:fldCharType="end"/>
      </w:r>
      <w:r w:rsidR="006E6CDF" w:rsidRPr="00197A81">
        <w:fldChar w:fldCharType="separate"/>
      </w:r>
      <w:r w:rsidR="006E6CDF" w:rsidRPr="00197A81">
        <w:rPr>
          <w:noProof/>
        </w:rPr>
        <w:t>(Beutel</w:t>
      </w:r>
      <w:r w:rsidR="006E6CDF" w:rsidRPr="00197A81">
        <w:rPr>
          <w:i/>
          <w:noProof/>
        </w:rPr>
        <w:t xml:space="preserve"> et al.</w:t>
      </w:r>
      <w:r w:rsidR="006E6CDF" w:rsidRPr="00197A81">
        <w:rPr>
          <w:noProof/>
        </w:rPr>
        <w:t>, 2017; Lim</w:t>
      </w:r>
      <w:r w:rsidR="006E6CDF" w:rsidRPr="00197A81">
        <w:rPr>
          <w:i/>
          <w:noProof/>
        </w:rPr>
        <w:t xml:space="preserve"> et al.</w:t>
      </w:r>
      <w:r w:rsidR="006E6CDF" w:rsidRPr="00197A81">
        <w:rPr>
          <w:noProof/>
        </w:rPr>
        <w:t>, 2018)</w:t>
      </w:r>
      <w:r w:rsidR="006E6CDF" w:rsidRPr="00197A81">
        <w:fldChar w:fldCharType="end"/>
      </w:r>
      <w:r w:rsidR="006E6CDF" w:rsidRPr="00197A81">
        <w:t>.</w:t>
      </w:r>
      <w:r w:rsidR="00EE01F7" w:rsidRPr="00197A81">
        <w:t xml:space="preserve"> Social isolation and loneliness are associated with increased mortality</w:t>
      </w:r>
      <w:r w:rsidR="009564BB" w:rsidRPr="00197A81">
        <w:t xml:space="preserve"> </w:t>
      </w:r>
      <w:r w:rsidR="009564BB" w:rsidRPr="00197A81">
        <w:fldChar w:fldCharType="begin">
          <w:fldData xml:space="preserve">PEVuZE5vdGU+PENpdGU+PEF1dGhvcj5MZWlnaC1IdW50PC9BdXRob3I+PFllYXI+MjAxNzwvWWVh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</w:fldData>
        </w:fldChar>
      </w:r>
      <w:r w:rsidR="00656649">
        <w:instrText xml:space="preserve"> ADDIN EN.CITE </w:instrText>
      </w:r>
      <w:r w:rsidR="00656649">
        <w:fldChar w:fldCharType="begin">
          <w:fldData xml:space="preserve">PEVuZE5vdGU+PENpdGU+PEF1dGhvcj5MZWlnaC1IdW50PC9BdXRob3I+PFllYXI+MjAxNzwvWWVh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</w:fldData>
        </w:fldChar>
      </w:r>
      <w:r w:rsidR="00656649">
        <w:instrText xml:space="preserve"> ADDIN EN.CITE.DATA </w:instrText>
      </w:r>
      <w:r w:rsidR="00656649">
        <w:fldChar w:fldCharType="end"/>
      </w:r>
      <w:r w:rsidR="009564BB" w:rsidRPr="00197A81">
        <w:fldChar w:fldCharType="separate"/>
      </w:r>
      <w:r w:rsidR="009564BB" w:rsidRPr="00197A81">
        <w:rPr>
          <w:noProof/>
        </w:rPr>
        <w:t>(Leigh-Hunt</w:t>
      </w:r>
      <w:r w:rsidR="009564BB" w:rsidRPr="00197A81">
        <w:rPr>
          <w:i/>
          <w:noProof/>
        </w:rPr>
        <w:t xml:space="preserve"> et al.</w:t>
      </w:r>
      <w:r w:rsidR="009564BB" w:rsidRPr="00197A81">
        <w:rPr>
          <w:noProof/>
        </w:rPr>
        <w:t>, 2017; Rico-Uribe</w:t>
      </w:r>
      <w:r w:rsidR="009564BB" w:rsidRPr="00197A81">
        <w:rPr>
          <w:i/>
          <w:noProof/>
        </w:rPr>
        <w:t xml:space="preserve"> et al.</w:t>
      </w:r>
      <w:r w:rsidR="009564BB" w:rsidRPr="00197A81">
        <w:rPr>
          <w:noProof/>
        </w:rPr>
        <w:t>, 2018)</w:t>
      </w:r>
      <w:r w:rsidR="009564BB" w:rsidRPr="00197A81">
        <w:fldChar w:fldCharType="end"/>
      </w:r>
      <w:r w:rsidR="00EE01F7" w:rsidRPr="00197A81">
        <w:t xml:space="preserve">, and social isolation with </w:t>
      </w:r>
      <w:r w:rsidR="009564BB" w:rsidRPr="00197A81">
        <w:t xml:space="preserve">increased </w:t>
      </w:r>
      <w:r w:rsidR="00EE01F7" w:rsidRPr="00197A81">
        <w:t>cardiovascular disease</w:t>
      </w:r>
      <w:r w:rsidR="009564BB" w:rsidRPr="00197A81">
        <w:t xml:space="preserve"> </w:t>
      </w:r>
      <w:r w:rsidR="009564BB" w:rsidRPr="00197A81">
        <w:fldChar w:fldCharType="begin"/>
      </w:r>
      <w:r w:rsidR="00656649">
        <w:instrText xml:space="preserve"> ADDIN EN.CITE &lt;EndNote&gt;&lt;Cite&gt;&lt;Author&gt;Leigh-Hunt&lt;/Author&gt;&lt;Year&gt;2017&lt;/Year&gt;&lt;RecNum&gt;1439&lt;/RecNum&gt;&lt;DisplayText&gt;(Leigh-Hunt&lt;style face="italic"&gt; et al.&lt;/style&gt;, 2017)&lt;/DisplayText&gt;&lt;record&gt;&lt;rec-number&gt;1439&lt;/rec-number&gt;&lt;foreign-keys&gt;&lt;key app="EN" db-id="xsrta25fdvptf2e5ttppw9xu50s0t9tapt5e" timestamp="1598443585" guid="6741fc13-5272-4f40-879e-1ae86385a244"&gt;1439&lt;/key&gt;&lt;/foreign-keys&gt;&lt;ref-type name="Journal Article"&gt;17&lt;/ref-type&gt;&lt;contributors&gt;&lt;authors&gt;&lt;author&gt;Leigh-Hunt, N.&lt;/author&gt;&lt;author&gt;Bagguley, D.&lt;/author&gt;&lt;author&gt;Bash, K.&lt;/author&gt;&lt;author&gt;Turner, V.&lt;/author&gt;&lt;author&gt;Turnbull, S.&lt;/author&gt;&lt;author&gt;Valtorta, N.&lt;/author&gt;&lt;author&gt;Caan, W.&lt;/author&gt;&lt;/authors&gt;&lt;/contributors&gt;&lt;titles&gt;&lt;title&gt;An overview of systematic reviews on the public health consequences of social isolation and loneliness&lt;/title&gt;&lt;secondary-title&gt;Public Health&lt;/secondary-title&gt;&lt;/titles&gt;&lt;periodical&gt;&lt;full-title&gt;Public Health&lt;/full-title&gt;&lt;abbr-1&gt;Public Health&lt;/abbr-1&gt;&lt;/periodical&gt;&lt;pages&gt;157-171&lt;/pages&gt;&lt;volume&gt;152&lt;/volume&gt;&lt;keywords&gt;&lt;keyword&gt;Social isolation&lt;/keyword&gt;&lt;keyword&gt;Loneliness&lt;/keyword&gt;&lt;keyword&gt;Consequences&lt;/keyword&gt;&lt;keyword&gt;Public health&lt;/keyword&gt;&lt;keyword&gt;Systematic overview&lt;/keyword&gt;&lt;/keywords&gt;&lt;dates&gt;&lt;year&gt;2017&lt;/year&gt;&lt;pub-dates&gt;&lt;date&gt;2017/11/01/&lt;/date&gt;&lt;/pub-dates&gt;&lt;/dates&gt;&lt;isbn&gt;0033-3506&lt;/isbn&gt;&lt;urls&gt;&lt;related-urls&gt;&lt;url&gt;http://www.sciencedirect.com/science/article/pii/S0033350617302731&lt;/url&gt;&lt;/related-urls&gt;&lt;/urls&gt;&lt;electronic-resource-num&gt;10.1016/j.puhe.2017.07.035&lt;/electronic-resource-num&gt;&lt;/record&gt;&lt;/Cite&gt;&lt;/EndNote&gt;</w:instrText>
      </w:r>
      <w:r w:rsidR="009564BB" w:rsidRPr="00197A81">
        <w:fldChar w:fldCharType="separate"/>
      </w:r>
      <w:r w:rsidR="009564BB" w:rsidRPr="00197A81">
        <w:rPr>
          <w:noProof/>
        </w:rPr>
        <w:t>(Leigh-Hunt</w:t>
      </w:r>
      <w:r w:rsidR="009564BB" w:rsidRPr="00197A81">
        <w:rPr>
          <w:i/>
          <w:noProof/>
        </w:rPr>
        <w:t xml:space="preserve"> et al.</w:t>
      </w:r>
      <w:r w:rsidR="009564BB" w:rsidRPr="00197A81">
        <w:rPr>
          <w:noProof/>
        </w:rPr>
        <w:t>, 2017)</w:t>
      </w:r>
      <w:r w:rsidR="009564BB" w:rsidRPr="00197A81">
        <w:fldChar w:fldCharType="end"/>
      </w:r>
      <w:r w:rsidR="0033308A" w:rsidRPr="00197A81">
        <w:t xml:space="preserve">. </w:t>
      </w:r>
      <w:r w:rsidR="00347E0C" w:rsidRPr="00197A81">
        <w:t xml:space="preserve">However, </w:t>
      </w:r>
      <w:r w:rsidR="00F741C7" w:rsidRPr="00197A81">
        <w:t xml:space="preserve">less is known about </w:t>
      </w:r>
      <w:r w:rsidR="00347E0C" w:rsidRPr="00197A81">
        <w:t>a</w:t>
      </w:r>
      <w:r w:rsidR="0033308A" w:rsidRPr="00197A81">
        <w:t>t-ri</w:t>
      </w:r>
      <w:r w:rsidR="00F741C7" w:rsidRPr="00197A81">
        <w:t>sk sub-groups and interventions</w:t>
      </w:r>
      <w:r w:rsidR="0033308A" w:rsidRPr="00197A81">
        <w:t xml:space="preserve"> </w:t>
      </w:r>
      <w:r w:rsidR="0033308A" w:rsidRPr="00197A81">
        <w:fldChar w:fldCharType="begin"/>
      </w:r>
      <w:r w:rsidR="00656649">
        <w:instrText xml:space="preserve"> ADDIN EN.CITE &lt;EndNote&gt;&lt;Cite&gt;&lt;Author&gt;Courtin&lt;/Author&gt;&lt;Year&gt;2017&lt;/Year&gt;&lt;RecNum&gt;716&lt;/RecNum&gt;&lt;DisplayText&gt;(Courtin and Knapp, 2017)&lt;/DisplayText&gt;&lt;record&gt;&lt;rec-number&gt;716&lt;/rec-number&gt;&lt;foreign-keys&gt;&lt;key app="EN" db-id="xsrta25fdvptf2e5ttppw9xu50s0t9tapt5e" timestamp="1598294577" guid="2dbdd7c3-eccd-43f4-a7ec-6827373570e3"&gt;716&lt;/key&gt;&lt;/foreign-keys&gt;&lt;ref-type name="Journal Article"&gt;17&lt;/ref-type&gt;&lt;contributors&gt;&lt;authors&gt;&lt;author&gt;Courtin, Emilie&lt;/author&gt;&lt;author&gt;Knapp, Martin&lt;/author&gt;&lt;/authors&gt;&lt;/contributors&gt;&lt;titles&gt;&lt;title&gt;Social isolation, loneliness and health in old age: a scoping review&lt;/title&gt;&lt;secondary-title&gt;Health &amp;amp; Social Care in the Community&lt;/secondary-title&gt;&lt;/titles&gt;&lt;periodical&gt;&lt;full-title&gt;Health &amp;amp; Social Care in the Community&lt;/full-title&gt;&lt;/periodical&gt;&lt;pages&gt;799-812&lt;/pages&gt;&lt;volume&gt;25&lt;/volume&gt;&lt;number&gt;3&lt;/number&gt;&lt;dates&gt;&lt;year&gt;2017&lt;/year&gt;&lt;/dates&gt;&lt;isbn&gt;0966-0410&lt;/isbn&gt;&lt;urls&gt;&lt;related-urls&gt;&lt;url&gt;https://onlinelibrary.wiley.com/doi/abs/10.1111/hsc.12311&lt;/url&gt;&lt;/related-urls&gt;&lt;/urls&gt;&lt;electronic-resource-num&gt;10.1111/hsc.12311&lt;/electronic-resource-num&gt;&lt;/record&gt;&lt;/Cite&gt;&lt;/EndNote&gt;</w:instrText>
      </w:r>
      <w:r w:rsidR="0033308A" w:rsidRPr="00197A81">
        <w:fldChar w:fldCharType="separate"/>
      </w:r>
      <w:r w:rsidR="0033308A" w:rsidRPr="00197A81">
        <w:rPr>
          <w:noProof/>
        </w:rPr>
        <w:t>(Courtin and Knapp, 2017)</w:t>
      </w:r>
      <w:r w:rsidR="0033308A" w:rsidRPr="00197A81">
        <w:fldChar w:fldCharType="end"/>
      </w:r>
      <w:r w:rsidR="0033308A" w:rsidRPr="00197A81">
        <w:t>.</w:t>
      </w:r>
    </w:p>
    <w:p w:rsidR="003B2F98" w:rsidRPr="00197A81" w:rsidRDefault="003B2F98" w:rsidP="008C20FB">
      <w:pPr>
        <w:spacing w:line="480" w:lineRule="auto"/>
      </w:pPr>
    </w:p>
    <w:p w:rsidR="008C20FB" w:rsidRPr="00197A81" w:rsidRDefault="00363D45" w:rsidP="008C20FB">
      <w:pPr>
        <w:spacing w:line="480" w:lineRule="auto"/>
      </w:pPr>
      <w:r w:rsidRPr="00197A81">
        <w:t>Conversely, c</w:t>
      </w:r>
      <w:r w:rsidR="008C20FB" w:rsidRPr="00197A81">
        <w:t xml:space="preserve">onnectedness has been identified as key to recovery from mental health problems </w:t>
      </w:r>
      <w:r w:rsidR="008C20FB" w:rsidRPr="00197A81">
        <w:fldChar w:fldCharType="begin"/>
      </w:r>
      <w:r w:rsidR="00656649">
        <w:instrText xml:space="preserve"> ADDIN EN.CITE &lt;EndNote&gt;&lt;Cite&gt;&lt;Author&gt;Leamy&lt;/Author&gt;&lt;Year&gt;2011&lt;/Year&gt;&lt;RecNum&gt;1285&lt;/RecNum&gt;&lt;DisplayText&gt;(Leamy&lt;style face="italic"&gt; et al.&lt;/style&gt;, 2011)&lt;/DisplayText&gt;&lt;record&gt;&lt;rec-number&gt;1285&lt;/rec-number&gt;&lt;foreign-keys&gt;&lt;key app="EN" db-id="xsrta25fdvptf2e5ttppw9xu50s0t9tapt5e" timestamp="1598443359" guid="b4ab4be8-c1fe-4fe1-8cfd-fd980fad8945"&gt;1285&lt;/key&gt;&lt;/foreign-keys&gt;&lt;ref-type name="Journal Article"&gt;17&lt;/ref-type&gt;&lt;contributors&gt;&lt;authors&gt;&lt;author&gt;Leamy, Mary&lt;/author&gt;&lt;author&gt;Bird, Victoria&lt;/author&gt;&lt;author&gt;Le Boutillier, Clair&lt;/author&gt;&lt;author&gt;Williams, Julie&lt;/author&gt;&lt;author&gt;Slade, Mike&lt;/author&gt;&lt;/authors&gt;&lt;/contributors&gt;&lt;titles&gt;&lt;title&gt;Conceptual framework for personal recovery in mental health: systematic review and narrative synthesis&lt;/title&gt;&lt;secondary-title&gt;The British Journal of Psychiatry&lt;/secondary-title&gt;&lt;/titles&gt;&lt;periodical&gt;&lt;full-title&gt;The British Journal of Psychiatry&lt;/full-title&gt;&lt;/periodical&gt;&lt;pages&gt;445-452&lt;/pages&gt;&lt;volume&gt;199&lt;/volume&gt;&lt;number&gt;6&lt;/number&gt;&lt;dates&gt;&lt;year&gt;2011&lt;/year&gt;&lt;pub-dates&gt;&lt;date&gt;December 1, 2011&lt;/date&gt;&lt;/pub-dates&gt;&lt;/dates&gt;&lt;urls&gt;&lt;related-urls&gt;&lt;url&gt;http://bjp.rcpsych.org/content/199/6/445.abstract&lt;/url&gt;&lt;/related-urls&gt;&lt;/urls&gt;&lt;electronic-resource-num&gt;10.1192/bjp.bp.110.083733&lt;/electronic-resource-num&gt;&lt;/record&gt;&lt;/Cite&gt;&lt;/EndNote&gt;</w:instrText>
      </w:r>
      <w:r w:rsidR="008C20FB" w:rsidRPr="00197A81">
        <w:fldChar w:fldCharType="separate"/>
      </w:r>
      <w:r w:rsidR="008C20FB" w:rsidRPr="00197A81">
        <w:rPr>
          <w:noProof/>
        </w:rPr>
        <w:t>(Leamy</w:t>
      </w:r>
      <w:r w:rsidR="008C20FB" w:rsidRPr="00197A81">
        <w:rPr>
          <w:i/>
          <w:noProof/>
        </w:rPr>
        <w:t xml:space="preserve"> et al.</w:t>
      </w:r>
      <w:r w:rsidR="008C20FB" w:rsidRPr="00197A81">
        <w:rPr>
          <w:noProof/>
        </w:rPr>
        <w:t>, 2011)</w:t>
      </w:r>
      <w:r w:rsidR="008C20FB" w:rsidRPr="00197A81">
        <w:fldChar w:fldCharType="end"/>
      </w:r>
      <w:r w:rsidR="008C20FB" w:rsidRPr="00197A81">
        <w:t xml:space="preserve">. It reduces isolation, increases access to resources, helps to shape identity and supports people to ‘move on’ in their recovery journey </w:t>
      </w:r>
      <w:r w:rsidR="008C20FB" w:rsidRPr="00197A81">
        <w:fldChar w:fldCharType="begin"/>
      </w:r>
      <w:r w:rsidR="00656649">
        <w:instrText xml:space="preserve"> ADDIN EN.CITE &lt;EndNote&gt;&lt;Cite&gt;&lt;Author&gt;Sweet&lt;/Author&gt;&lt;Year&gt;2018&lt;/Year&gt;&lt;RecNum&gt;7626&lt;/RecNum&gt;&lt;DisplayText&gt;(Sweet&lt;style face="italic"&gt; et al.&lt;/style&gt;, 2018)&lt;/DisplayText&gt;&lt;record&gt;&lt;rec-number&gt;1752&lt;/rec-number&gt;&lt;foreign-keys&gt;&lt;key app="EN" db-id="xsrta25fdvptf2e5ttppw9xu50s0t9tapt5e" timestamp="1598456721"&gt;1752&lt;/key&gt;&lt;/foreign-keys&gt;&lt;ref-type name="Journal Article"&gt;17&lt;/ref-type&gt;&lt;contributors&gt;&lt;authors&gt;&lt;author&gt;Sweet, Daryl&lt;/author&gt;&lt;author&gt;Byng, Richard&lt;/author&gt;&lt;author&gt;Webber, Martin&lt;/author&gt;&lt;author&gt;Enki, Doyo Gragn&lt;/author&gt;&lt;author&gt;Porter, Ian&lt;/author&gt;&lt;author&gt;Larsen, John&lt;/author&gt;&lt;author&gt;Huxley, Peter&lt;/author&gt;&lt;author&gt;Pinfold, Vanessa&lt;/author&gt;&lt;/authors&gt;&lt;/contributors&gt;&lt;titles&gt;&lt;title&gt;Personal well-being networks, social capital and severe mental illness: exploratory study&lt;/title&gt;&lt;secondary-title&gt;The British Journal of Psychiatry&lt;/secondary-title&gt;&lt;/titles&gt;&lt;periodical&gt;&lt;full-title&gt;The British Journal of Psychiatry&lt;/full-title&gt;&lt;/periodical&gt;&lt;pages&gt;308-317&lt;/pages&gt;&lt;volume&gt;212&lt;/volume&gt;&lt;number&gt;5&lt;/number&gt;&lt;edition&gt;2018/04/06&lt;/edition&gt;&lt;dates&gt;&lt;year&gt;2018&lt;/year&gt;&lt;/dates&gt;&lt;publisher&gt;Cambridge University Press&lt;/publisher&gt;&lt;isbn&gt;0007-1250&lt;/isbn&gt;&lt;urls&gt;&lt;related-urls&gt;&lt;url&gt;https://www.cambridge.org/core/article/personal-wellbeing-networks-social-capital-and-severe-mental-illness-exploratory-study/5622A7942CC0C86BCDD14D5288305A68&lt;/url&gt;&lt;/related-urls&gt;&lt;/urls&gt;&lt;electronic-resource-num&gt;10.1192/bjp.bp.117.203950&lt;/electronic-resource-num&gt;&lt;remote-database-name&gt;Cambridge Core&lt;/remote-database-name&gt;&lt;remote-database-provider&gt;Cambridge University Press&lt;/remote-database-provider&gt;&lt;/record&gt;&lt;/Cite&gt;&lt;/EndNote&gt;</w:instrText>
      </w:r>
      <w:r w:rsidR="008C20FB" w:rsidRPr="00197A81">
        <w:fldChar w:fldCharType="separate"/>
      </w:r>
      <w:r w:rsidR="008C20FB" w:rsidRPr="00197A81">
        <w:rPr>
          <w:noProof/>
        </w:rPr>
        <w:t>(Sweet</w:t>
      </w:r>
      <w:r w:rsidR="008C20FB" w:rsidRPr="00197A81">
        <w:rPr>
          <w:i/>
          <w:noProof/>
        </w:rPr>
        <w:t xml:space="preserve"> et al.</w:t>
      </w:r>
      <w:r w:rsidR="008C20FB" w:rsidRPr="00197A81">
        <w:rPr>
          <w:noProof/>
        </w:rPr>
        <w:t>, 2018)</w:t>
      </w:r>
      <w:r w:rsidR="008C20FB" w:rsidRPr="00197A81">
        <w:fldChar w:fldCharType="end"/>
      </w:r>
      <w:r w:rsidR="008C20FB" w:rsidRPr="00197A81">
        <w:t xml:space="preserve">. </w:t>
      </w:r>
      <w:r w:rsidR="001B122A" w:rsidRPr="00197A81">
        <w:t>S</w:t>
      </w:r>
      <w:r w:rsidR="008C20FB" w:rsidRPr="00197A81">
        <w:t xml:space="preserve">ocial interventions to enhance social networks of people with mental health problems show some promise, though evidence of their effectiveness is limited </w:t>
      </w:r>
      <w:r w:rsidR="008C20FB" w:rsidRPr="00197A81">
        <w:fldChar w:fldCharType="begin">
          <w:fldData xml:space="preserve">PEVuZE5vdGU+PENpdGU+PEF1dGhvcj5BbmRlcnNvbjwvQXV0aG9yPjxZZWFyPjIwMTU8L1llYXI+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</w:fldData>
        </w:fldChar>
      </w:r>
      <w:r w:rsidR="00656649">
        <w:instrText xml:space="preserve"> ADDIN EN.CITE </w:instrText>
      </w:r>
      <w:r w:rsidR="00656649">
        <w:fldChar w:fldCharType="begin">
          <w:fldData xml:space="preserve">PEVuZE5vdGU+PENpdGU+PEF1dGhvcj5BbmRlcnNvbjwvQXV0aG9yPjxZZWFyPjIwMTU8L1llYXI+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</w:fldData>
        </w:fldChar>
      </w:r>
      <w:r w:rsidR="00656649">
        <w:instrText xml:space="preserve"> ADDIN EN.CITE.DATA </w:instrText>
      </w:r>
      <w:r w:rsidR="00656649">
        <w:fldChar w:fldCharType="end"/>
      </w:r>
      <w:r w:rsidR="008C20FB" w:rsidRPr="00197A81">
        <w:fldChar w:fldCharType="separate"/>
      </w:r>
      <w:r w:rsidR="004C3F32">
        <w:rPr>
          <w:noProof/>
        </w:rPr>
        <w:t>(Anderson</w:t>
      </w:r>
      <w:r w:rsidR="004C3F32" w:rsidRPr="004C3F32">
        <w:rPr>
          <w:i/>
          <w:noProof/>
        </w:rPr>
        <w:t xml:space="preserve"> et al.</w:t>
      </w:r>
      <w:r w:rsidR="004C3F32">
        <w:rPr>
          <w:noProof/>
        </w:rPr>
        <w:t>, 2015; Webber and Fendt-Newlin, 2017)</w:t>
      </w:r>
      <w:r w:rsidR="008C20FB" w:rsidRPr="00197A81">
        <w:fldChar w:fldCharType="end"/>
      </w:r>
      <w:r w:rsidR="008C20FB" w:rsidRPr="00197A81">
        <w:t>.</w:t>
      </w:r>
      <w:r w:rsidR="00114A83" w:rsidRPr="00197A81">
        <w:t xml:space="preserve"> </w:t>
      </w:r>
      <w:r w:rsidR="00755BD8" w:rsidRPr="00197A81">
        <w:t xml:space="preserve">For example, </w:t>
      </w:r>
      <w:r w:rsidRPr="00197A81">
        <w:t xml:space="preserve">a pilot study has found that </w:t>
      </w:r>
      <w:r w:rsidR="00142725" w:rsidRPr="00197A81">
        <w:t>Connecting People</w:t>
      </w:r>
      <w:r w:rsidR="00A2371A" w:rsidRPr="00197A81">
        <w:t xml:space="preserve"> </w:t>
      </w:r>
      <w:r w:rsidR="009E6354">
        <w:fldChar w:fldCharType="begin"/>
      </w:r>
      <w:r w:rsidR="00656649">
        <w:instrText xml:space="preserve"> ADDIN EN.CITE &lt;EndNote&gt;&lt;Cite&gt;&lt;Author&gt;Webber&lt;/Author&gt;&lt;Year&gt;2016&lt;/Year&gt;&lt;RecNum&gt;1745&lt;/RecNum&gt;&lt;DisplayText&gt;(Webber&lt;style face="italic"&gt; et al.&lt;/style&gt;, 2016)&lt;/DisplayText&gt;&lt;record&gt;&lt;rec-number&gt;1745&lt;/rec-number&gt;&lt;foreign-keys&gt;&lt;key app="EN" db-id="xsrta25fdvptf2e5ttppw9xu50s0t9tapt5e" timestamp="1598445471" guid="232a94a4-34b7-48c1-8375-f7c9526e0bf3"&gt;1745&lt;/key&gt;&lt;/foreign-keys&gt;&lt;ref-type name="Journal Article"&gt;17&lt;/ref-type&gt;&lt;contributors&gt;&lt;authors&gt;&lt;author&gt;Webber, Martin&lt;/author&gt;&lt;author&gt;Reidy, Hannah&lt;/author&gt;&lt;author&gt;Ansari, David&lt;/author&gt;&lt;author&gt;Stevens, Martin&lt;/author&gt;&lt;author&gt;Morris, David&lt;/author&gt;&lt;/authors&gt;&lt;/contributors&gt;&lt;titles&gt;&lt;title&gt;Developing and Modeling Complex Social Interventions:Introducing the Connecting People Intervention&lt;/title&gt;&lt;secondary-title&gt;Research on Social Work Practice&lt;/secondary-title&gt;&lt;/titles&gt;&lt;periodical&gt;&lt;full-title&gt;Research on Social Work Practice&lt;/full-title&gt;&lt;/periodical&gt;&lt;pages&gt;14-19&lt;/pages&gt;&lt;volume&gt;26&lt;/volume&gt;&lt;number&gt;1&lt;/number&gt;&lt;keywords&gt;&lt;keyword&gt;intervention research,social capital,social networks,intervention modeling,mental health social work&lt;/keyword&gt;&lt;/keywords&gt;&lt;dates&gt;&lt;year&gt;2016&lt;/year&gt;&lt;/dates&gt;&lt;urls&gt;&lt;related-urls&gt;&lt;url&gt;https://journals.sagepub.com/doi/abs/10.1177/1049731515578687&lt;/url&gt;&lt;/related-urls&gt;&lt;/urls&gt;&lt;electronic-resource-num&gt;10.1177/1049731515578687&lt;/electronic-resource-num&gt;&lt;/record&gt;&lt;/Cite&gt;&lt;/EndNote&gt;</w:instrText>
      </w:r>
      <w:r w:rsidR="009E6354">
        <w:fldChar w:fldCharType="separate"/>
      </w:r>
      <w:r w:rsidR="009E6354">
        <w:rPr>
          <w:noProof/>
        </w:rPr>
        <w:t>(Webber</w:t>
      </w:r>
      <w:r w:rsidR="009E6354" w:rsidRPr="009E6354">
        <w:rPr>
          <w:i/>
          <w:noProof/>
        </w:rPr>
        <w:t xml:space="preserve"> et al.</w:t>
      </w:r>
      <w:r w:rsidR="009E6354">
        <w:rPr>
          <w:noProof/>
        </w:rPr>
        <w:t>, 2016)</w:t>
      </w:r>
      <w:r w:rsidR="009E6354">
        <w:fldChar w:fldCharType="end"/>
      </w:r>
      <w:r w:rsidR="00142725" w:rsidRPr="00197A81">
        <w:t xml:space="preserve"> </w:t>
      </w:r>
      <w:r w:rsidRPr="00197A81">
        <w:t>is associated with</w:t>
      </w:r>
      <w:r w:rsidR="00860115" w:rsidRPr="00197A81">
        <w:t xml:space="preserve"> increase</w:t>
      </w:r>
      <w:r w:rsidRPr="00197A81">
        <w:t>d</w:t>
      </w:r>
      <w:r w:rsidR="00860115" w:rsidRPr="00197A81">
        <w:t xml:space="preserve"> access to social capital for peo</w:t>
      </w:r>
      <w:r w:rsidRPr="00197A81">
        <w:t xml:space="preserve">ple with mental health problems </w:t>
      </w:r>
      <w:r w:rsidR="009E6354">
        <w:fldChar w:fldCharType="begin"/>
      </w:r>
      <w:r w:rsidR="00656649">
        <w:instrText xml:space="preserve"> ADDIN EN.CITE &lt;EndNote&gt;&lt;Cite&gt;&lt;Author&gt;Webber&lt;/Author&gt;&lt;Year&gt;2019&lt;/Year&gt;&lt;RecNum&gt;1746&lt;/RecNum&gt;&lt;DisplayText&gt;(Webber&lt;style face="italic"&gt; et al.&lt;/style&gt;, 2019)&lt;/DisplayText&gt;&lt;record&gt;&lt;rec-number&gt;1746&lt;/rec-number&gt;&lt;foreign-keys&gt;&lt;key app="EN" db-id="xsrta25fdvptf2e5ttppw9xu50s0t9tapt5e" timestamp="1598445580" guid="ffcba79e-04b2-4613-bfb5-5204f0430b8b"&gt;1746&lt;/key&gt;&lt;/foreign-keys&gt;&lt;ref-type name="Journal Article"&gt;17&lt;/ref-type&gt;&lt;contributors&gt;&lt;authors&gt;&lt;author&gt;Webber, Martin&lt;/author&gt;&lt;author&gt;Morris, David&lt;/author&gt;&lt;author&gt;Howarth, Sharon&lt;/author&gt;&lt;author&gt;Fendt-Newlin, Meredith&lt;/author&gt;&lt;author&gt;Treacy, Samantha&lt;/author&gt;&lt;author&gt;McCrone, Paul&lt;/author&gt;&lt;/authors&gt;&lt;/contributors&gt;&lt;titles&gt;&lt;title&gt;Effect of the Connecting People Intervention on Social Capital: A Pilot Study&lt;/title&gt;&lt;secondary-title&gt;Research on Social Work Practice&lt;/secondary-title&gt;&lt;/titles&gt;&lt;periodical&gt;&lt;full-title&gt;Research on Social Work Practice&lt;/full-title&gt;&lt;/periodical&gt;&lt;pages&gt;483-494&lt;/pages&gt;&lt;volume&gt;29&lt;/volume&gt;&lt;number&gt;5&lt;/number&gt;&lt;keywords&gt;&lt;keyword&gt;social capital,social networks,mental well-being,preexperimental design,complex intervention,mental health&lt;/keyword&gt;&lt;/keywords&gt;&lt;dates&gt;&lt;year&gt;2019&lt;/year&gt;&lt;/dates&gt;&lt;urls&gt;&lt;related-urls&gt;&lt;url&gt;https://journals.sagepub.com/doi/abs/10.1177/1049731517753685&lt;/url&gt;&lt;/related-urls&gt;&lt;/urls&gt;&lt;electronic-resource-num&gt;10.1177/1049731517753685&lt;/electronic-resource-num&gt;&lt;/record&gt;&lt;/Cite&gt;&lt;/EndNote&gt;</w:instrText>
      </w:r>
      <w:r w:rsidR="009E6354">
        <w:fldChar w:fldCharType="separate"/>
      </w:r>
      <w:r w:rsidR="009E6354">
        <w:rPr>
          <w:noProof/>
        </w:rPr>
        <w:t>(Webber</w:t>
      </w:r>
      <w:r w:rsidR="009E6354" w:rsidRPr="009E6354">
        <w:rPr>
          <w:i/>
          <w:noProof/>
        </w:rPr>
        <w:t xml:space="preserve"> et al.</w:t>
      </w:r>
      <w:r w:rsidR="009E6354">
        <w:rPr>
          <w:noProof/>
        </w:rPr>
        <w:t>, 2019)</w:t>
      </w:r>
      <w:r w:rsidR="009E6354">
        <w:fldChar w:fldCharType="end"/>
      </w:r>
      <w:r w:rsidR="00A2371A" w:rsidRPr="00197A81">
        <w:t>.</w:t>
      </w:r>
    </w:p>
    <w:p w:rsidR="008C20FB" w:rsidRPr="00197A81" w:rsidRDefault="008C20FB" w:rsidP="008C20FB">
      <w:pPr>
        <w:spacing w:line="480" w:lineRule="auto"/>
      </w:pPr>
    </w:p>
    <w:p w:rsidR="00A2371A" w:rsidRPr="00197A81" w:rsidRDefault="008C20FB" w:rsidP="008C20FB">
      <w:pPr>
        <w:spacing w:line="480" w:lineRule="auto"/>
      </w:pPr>
      <w:r w:rsidRPr="00197A81">
        <w:t>Connecting People</w:t>
      </w:r>
      <w:r w:rsidR="00A2371A" w:rsidRPr="00197A81">
        <w:t xml:space="preserve"> is a social intervention which</w:t>
      </w:r>
      <w:r w:rsidRPr="00197A81">
        <w:t xml:space="preserve"> was developed from </w:t>
      </w:r>
      <w:r w:rsidR="00A2371A" w:rsidRPr="00197A81">
        <w:t xml:space="preserve">a qualitative study of practice </w:t>
      </w:r>
      <w:r w:rsidRPr="00197A81">
        <w:t xml:space="preserve">in six health and social care agencies in the voluntary and statutory sectors in England </w:t>
      </w:r>
      <w:r w:rsidR="009E6354">
        <w:fldChar w:fldCharType="begin"/>
      </w:r>
      <w:r w:rsidR="00656649">
        <w:instrText xml:space="preserve"> ADDIN EN.CITE &lt;EndNote&gt;&lt;Cite&gt;&lt;Author&gt;Webber&lt;/Author&gt;&lt;Year&gt;2015&lt;/Year&gt;&lt;RecNum&gt;1747&lt;/RecNum&gt;&lt;DisplayText&gt;(Webber&lt;style face="italic"&gt; et al.&lt;/style&gt;, 2015)&lt;/DisplayText&gt;&lt;record&gt;&lt;rec-number&gt;1747&lt;/rec-number&gt;&lt;foreign-keys&gt;&lt;key app="EN" db-id="xsrta25fdvptf2e5ttppw9xu50s0t9tapt5e" timestamp="1598446075" guid="ba229c9c-ea70-4b1d-87da-a78255932235"&gt;1747&lt;/key&gt;&lt;/foreign-keys&gt;&lt;ref-type name="Journal Article"&gt;17&lt;/ref-type&gt;&lt;contributors&gt;&lt;authors&gt;&lt;author&gt;Webber, Martin&lt;/author&gt;&lt;author&gt;Reidy, Hannah&lt;/author&gt;&lt;author&gt;Ansari, David&lt;/author&gt;&lt;author&gt;Stevens, Martin&lt;/author&gt;&lt;author&gt;Morris, David&lt;/author&gt;&lt;/authors&gt;&lt;/contributors&gt;&lt;titles&gt;&lt;title&gt;Enhancing social networks: a qualitative study of health and social care practice in UK mental health services&lt;/title&gt;&lt;secondary-title&gt;Health &amp;amp; Social Care in the Community&lt;/secondary-title&gt;&lt;/titles&gt;&lt;periodical&gt;&lt;full-title&gt;Health &amp;amp; Social Care in the Community&lt;/full-title&gt;&lt;/periodical&gt;&lt;pages&gt;180-189&lt;/pages&gt;&lt;volume&gt;23&lt;/volume&gt;&lt;number&gt;2&lt;/number&gt;&lt;dates&gt;&lt;year&gt;2015&lt;/year&gt;&lt;/dates&gt;&lt;isbn&gt;0966-0410&lt;/isbn&gt;&lt;urls&gt;&lt;related-urls&gt;&lt;url&gt;https://onlinelibrary.wiley.com/doi/abs/10.1111/hsc.12135&lt;/url&gt;&lt;/related-urls&gt;&lt;/urls&gt;&lt;electronic-resource-num&gt;10.1111/hsc.12135&lt;/electronic-resource-num&gt;&lt;/record&gt;&lt;/Cite&gt;&lt;/EndNote&gt;</w:instrText>
      </w:r>
      <w:r w:rsidR="009E6354">
        <w:fldChar w:fldCharType="separate"/>
      </w:r>
      <w:r w:rsidR="009E6354">
        <w:rPr>
          <w:noProof/>
        </w:rPr>
        <w:t>(Webber</w:t>
      </w:r>
      <w:r w:rsidR="009E6354" w:rsidRPr="009E6354">
        <w:rPr>
          <w:i/>
          <w:noProof/>
        </w:rPr>
        <w:t xml:space="preserve"> et al.</w:t>
      </w:r>
      <w:r w:rsidR="009E6354">
        <w:rPr>
          <w:noProof/>
        </w:rPr>
        <w:t>, 2015)</w:t>
      </w:r>
      <w:r w:rsidR="009E6354">
        <w:fldChar w:fldCharType="end"/>
      </w:r>
      <w:r w:rsidRPr="00197A81">
        <w:t>.</w:t>
      </w:r>
      <w:r w:rsidR="00A2371A" w:rsidRPr="00197A81">
        <w:t xml:space="preserve"> </w:t>
      </w:r>
      <w:r w:rsidR="00166CBC" w:rsidRPr="00197A81">
        <w:t>In a study which involved 73 practitioners and 51 people who used services, r</w:t>
      </w:r>
      <w:r w:rsidR="00A2371A" w:rsidRPr="00197A81">
        <w:t>esearchers u</w:t>
      </w:r>
      <w:r w:rsidR="00166CBC" w:rsidRPr="00197A81">
        <w:t>ndertook ethnographic fieldwork to explore good practice in supporting people with mental health problems, predominantly psychosis, to develop new social connections. The Connecting People intervention model was developed iteratively in focus groups in the study and refined through a Delphi consultation</w:t>
      </w:r>
      <w:r w:rsidR="00D52A82">
        <w:t xml:space="preserve"> </w:t>
      </w:r>
      <w:r w:rsidR="00D52A82">
        <w:fldChar w:fldCharType="begin"/>
      </w:r>
      <w:r w:rsidR="00656649">
        <w:instrText xml:space="preserve"> ADDIN EN.CITE &lt;EndNote&gt;&lt;Cite&gt;&lt;Author&gt;Webber&lt;/Author&gt;&lt;Year&gt;2016&lt;/Year&gt;&lt;RecNum&gt;1745&lt;/RecNum&gt;&lt;DisplayText&gt;(Webber&lt;style face="italic"&gt; et al.&lt;/style&gt;, 2016)&lt;/DisplayText&gt;&lt;record&gt;&lt;rec-number&gt;1745&lt;/rec-number&gt;&lt;foreign-keys&gt;&lt;key app="EN" db-id="xsrta25fdvptf2e5ttppw9xu50s0t9tapt5e" timestamp="1598445471" guid="232a94a4-34b7-48c1-8375-f7c9526e0bf3"&gt;1745&lt;/key&gt;&lt;/foreign-keys&gt;&lt;ref-type name="Journal Article"&gt;17&lt;/ref-type&gt;&lt;contributors&gt;&lt;authors&gt;&lt;author&gt;Webber, Martin&lt;/author&gt;&lt;author&gt;Reidy, Hannah&lt;/author&gt;&lt;author&gt;Ansari, David&lt;/author&gt;&lt;author&gt;Stevens, Martin&lt;/author&gt;&lt;author&gt;Morris, David&lt;/author&gt;&lt;/authors&gt;&lt;/contributors&gt;&lt;titles&gt;&lt;title&gt;Developing and Modeling Complex Social Interventions:Introducing the Connecting People Intervention&lt;/title&gt;&lt;secondary-title&gt;Research on Social Work Practice&lt;/secondary-title&gt;&lt;/titles&gt;&lt;periodical&gt;&lt;full-title&gt;Research on Social Work Practice&lt;/full-title&gt;&lt;/periodical&gt;&lt;pages&gt;14-19&lt;/pages&gt;&lt;volume&gt;26&lt;/volume&gt;&lt;number&gt;1&lt;/number&gt;&lt;keywords&gt;&lt;keyword&gt;intervention research,social capital,social networks,intervention modeling,mental health social work&lt;/keyword&gt;&lt;/keywords&gt;&lt;dates&gt;&lt;year&gt;2016&lt;/year&gt;&lt;/dates&gt;&lt;urls&gt;&lt;related-urls&gt;&lt;url&gt;https://journals.sagepub.com/doi/abs/10.1177/1049731515578687&lt;/url&gt;&lt;/related-urls&gt;&lt;/urls&gt;&lt;electronic-resource-num&gt;10.1177/1049731515578687&lt;/electronic-resource-num&gt;&lt;/record&gt;&lt;/Cite&gt;&lt;/EndNote&gt;</w:instrText>
      </w:r>
      <w:r w:rsidR="00D52A82">
        <w:fldChar w:fldCharType="separate"/>
      </w:r>
      <w:r w:rsidR="00D52A82">
        <w:rPr>
          <w:noProof/>
        </w:rPr>
        <w:t>(Webber</w:t>
      </w:r>
      <w:r w:rsidR="00D52A82" w:rsidRPr="00D52A82">
        <w:rPr>
          <w:i/>
          <w:noProof/>
        </w:rPr>
        <w:t xml:space="preserve"> et al.</w:t>
      </w:r>
      <w:r w:rsidR="00D52A82">
        <w:rPr>
          <w:noProof/>
        </w:rPr>
        <w:t>, 2016)</w:t>
      </w:r>
      <w:r w:rsidR="00D52A82">
        <w:fldChar w:fldCharType="end"/>
      </w:r>
      <w:r w:rsidR="00166CBC" w:rsidRPr="00197A81">
        <w:t>.</w:t>
      </w:r>
    </w:p>
    <w:p w:rsidR="00A2371A" w:rsidRPr="00197A81" w:rsidRDefault="00A2371A" w:rsidP="008C20FB">
      <w:pPr>
        <w:spacing w:line="480" w:lineRule="auto"/>
      </w:pPr>
    </w:p>
    <w:p w:rsidR="00986681" w:rsidRPr="00197A81" w:rsidRDefault="003F2424" w:rsidP="008C20FB">
      <w:pPr>
        <w:spacing w:line="480" w:lineRule="auto"/>
      </w:pPr>
      <w:r w:rsidRPr="00197A81">
        <w:lastRenderedPageBreak/>
        <w:t>Connecting People</w:t>
      </w:r>
      <w:r w:rsidR="00362639" w:rsidRPr="00197A81">
        <w:t>’s</w:t>
      </w:r>
      <w:r w:rsidR="00B546E0" w:rsidRPr="00197A81">
        <w:t xml:space="preserve"> </w:t>
      </w:r>
      <w:r w:rsidR="00FF49BE" w:rsidRPr="00197A81">
        <w:t xml:space="preserve">eight-step </w:t>
      </w:r>
      <w:r w:rsidR="002E4A65" w:rsidRPr="00197A81">
        <w:t>process involves a worker exploring an individual’s existing c</w:t>
      </w:r>
      <w:r w:rsidR="00986681" w:rsidRPr="00197A81">
        <w:t xml:space="preserve">onnections with them; exploring new opportunities for engagement in activities, groups, networks, clubs, societies </w:t>
      </w:r>
      <w:r w:rsidR="00FF49BE" w:rsidRPr="00197A81">
        <w:t>or</w:t>
      </w:r>
      <w:r w:rsidR="00986681" w:rsidRPr="00197A81">
        <w:t xml:space="preserve"> resources in the individual’s local community; developing an action plan and sourcing appropriate support for them</w:t>
      </w:r>
      <w:r w:rsidRPr="00197A81">
        <w:t xml:space="preserve"> to access their community</w:t>
      </w:r>
      <w:r w:rsidR="00986681" w:rsidRPr="00197A81">
        <w:t>; addressing barriers to social and community engagement; and reviewing progress towards achieving social goals. Connecting People processes are co-produced by the worker and individual, and require the worker</w:t>
      </w:r>
      <w:r w:rsidRPr="00197A81">
        <w:t xml:space="preserve"> (and their </w:t>
      </w:r>
      <w:r w:rsidR="00986681" w:rsidRPr="00197A81">
        <w:t>agency</w:t>
      </w:r>
      <w:r w:rsidRPr="00197A81">
        <w:t>)</w:t>
      </w:r>
      <w:r w:rsidR="00986681" w:rsidRPr="00197A81">
        <w:t xml:space="preserve"> to </w:t>
      </w:r>
      <w:r w:rsidRPr="00197A81">
        <w:t xml:space="preserve">have well-developed relationships with the </w:t>
      </w:r>
      <w:r w:rsidR="00986681" w:rsidRPr="00197A81">
        <w:t>local community.</w:t>
      </w:r>
      <w:r w:rsidRPr="00197A81">
        <w:t xml:space="preserve"> The intervention model draws upon strengths-based </w:t>
      </w:r>
      <w:r w:rsidR="00FF49BE" w:rsidRPr="00197A81">
        <w:t xml:space="preserve">social work practice </w:t>
      </w:r>
      <w:r w:rsidR="00FF49BE" w:rsidRPr="00197A81">
        <w:fldChar w:fldCharType="begin"/>
      </w:r>
      <w:r w:rsidR="00656649">
        <w:instrText xml:space="preserve"> ADDIN EN.CITE &lt;EndNote&gt;&lt;Cite&gt;&lt;Author&gt;Saleebey&lt;/Author&gt;&lt;Year&gt;2012&lt;/Year&gt;&lt;RecNum&gt;3616&lt;/RecNum&gt;&lt;DisplayText&gt;(Saleebey, 2012)&lt;/DisplayText&gt;&lt;record&gt;&lt;rec-number&gt;1754&lt;/rec-number&gt;&lt;foreign-keys&gt;&lt;key app="EN" db-id="xsrta25fdvptf2e5ttppw9xu50s0t9tapt5e" timestamp="1598456721"&gt;1754&lt;/key&gt;&lt;/foreign-keys&gt;&lt;ref-type name="Book"&gt;6&lt;/ref-type&gt;&lt;contributors&gt;&lt;authors&gt;&lt;author&gt;Saleebey, Dennis&lt;/author&gt;&lt;/authors&gt;&lt;/contributors&gt;&lt;titles&gt;&lt;title&gt;The Strengths Perspective in Social Work Practice&lt;/title&gt;&lt;/titles&gt;&lt;dates&gt;&lt;year&gt;2012&lt;/year&gt;&lt;/dates&gt;&lt;pub-location&gt;London&lt;/pub-location&gt;&lt;publisher&gt;Pearson&lt;/publisher&gt;&lt;urls&gt;&lt;/urls&gt;&lt;/record&gt;&lt;/Cite&gt;&lt;/EndNote&gt;</w:instrText>
      </w:r>
      <w:r w:rsidR="00FF49BE" w:rsidRPr="00197A81">
        <w:fldChar w:fldCharType="separate"/>
      </w:r>
      <w:r w:rsidR="00FF49BE" w:rsidRPr="00197A81">
        <w:rPr>
          <w:noProof/>
        </w:rPr>
        <w:t>(Saleebey, 2012)</w:t>
      </w:r>
      <w:r w:rsidR="00FF49BE" w:rsidRPr="00197A81">
        <w:fldChar w:fldCharType="end"/>
      </w:r>
      <w:r w:rsidRPr="00197A81">
        <w:t xml:space="preserve"> and is informed by social capital theory</w:t>
      </w:r>
      <w:r w:rsidR="00FF49BE" w:rsidRPr="00197A81">
        <w:t xml:space="preserve"> </w:t>
      </w:r>
      <w:r w:rsidR="00FF49BE" w:rsidRPr="00197A81">
        <w:fldChar w:fldCharType="begin"/>
      </w:r>
      <w:r w:rsidR="00656649">
        <w:instrText xml:space="preserve"> ADDIN EN.CITE &lt;EndNote&gt;&lt;Cite&gt;&lt;Author&gt;Lin&lt;/Author&gt;&lt;Year&gt;2001&lt;/Year&gt;&lt;RecNum&gt;698&lt;/RecNum&gt;&lt;DisplayText&gt;(Lin, 2001)&lt;/DisplayText&gt;&lt;record&gt;&lt;rec-number&gt;1755&lt;/rec-number&gt;&lt;foreign-keys&gt;&lt;key app="EN" db-id="xsrta25fdvptf2e5ttppw9xu50s0t9tapt5e" timestamp="1598456721"&gt;1755&lt;/key&gt;&lt;/foreign-keys&gt;&lt;ref-type name="Book"&gt;6&lt;/ref-type&gt;&lt;contributors&gt;&lt;authors&gt;&lt;author&gt;Lin, Nan&lt;/author&gt;&lt;/authors&gt;&lt;secondary-authors&gt;&lt;author&gt;Granovetter, Mark&lt;/author&gt;&lt;/secondary-authors&gt;&lt;/contributors&gt;&lt;titles&gt;&lt;title&gt;Social Capital. A Theory of Social Structure and Action&lt;/title&gt;&lt;/titles&gt;&lt;dates&gt;&lt;year&gt;2001&lt;/year&gt;&lt;/dates&gt;&lt;pub-location&gt;Cambridge&lt;/pub-location&gt;&lt;publisher&gt;Cambridge University Press&lt;/publisher&gt;&lt;urls&gt;&lt;/urls&gt;&lt;/record&gt;&lt;/Cite&gt;&lt;/EndNote&gt;</w:instrText>
      </w:r>
      <w:r w:rsidR="00FF49BE" w:rsidRPr="00197A81">
        <w:fldChar w:fldCharType="separate"/>
      </w:r>
      <w:r w:rsidR="00FF49BE" w:rsidRPr="00197A81">
        <w:rPr>
          <w:noProof/>
        </w:rPr>
        <w:t>(Lin, 2001)</w:t>
      </w:r>
      <w:r w:rsidR="00FF49BE" w:rsidRPr="00197A81">
        <w:fldChar w:fldCharType="end"/>
      </w:r>
      <w:r w:rsidRPr="00197A81">
        <w:t xml:space="preserve">, with the outcome of social network development occurring as a bi-product of the process of social and community engagement. It has been cited as a model of good practice </w:t>
      </w:r>
      <w:r w:rsidR="00666498" w:rsidRPr="00197A81">
        <w:fldChar w:fldCharType="begin"/>
      </w:r>
      <w:r w:rsidR="00656649">
        <w:instrText xml:space="preserve"> ADDIN EN.CITE &lt;EndNote&gt;&lt;Cite&gt;&lt;Author&gt;National Collaborating Centre for Mental Health&lt;/Author&gt;&lt;Year&gt;2019&lt;/Year&gt;&lt;RecNum&gt;1470&lt;/RecNum&gt;&lt;DisplayText&gt;(National Collaborating Centre for Mental Health, 2019)&lt;/DisplayText&gt;&lt;record&gt;&lt;rec-number&gt;1470&lt;/rec-number&gt;&lt;foreign-keys&gt;&lt;key app="EN" db-id="xsrta25fdvptf2e5ttppw9xu50s0t9tapt5e" timestamp="1598443645" guid="dc2e06b6-475a-4e52-97c7-4ae18b942e77"&gt;1470&lt;/key&gt;&lt;/foreign-keys&gt;&lt;ref-type name="Report"&gt;27&lt;/ref-type&gt;&lt;contributors&gt;&lt;authors&gt;&lt;author&gt;National Collaborating Centre for Mental Health,&lt;/author&gt;&lt;/authors&gt;&lt;/contributors&gt;&lt;titles&gt;&lt;title&gt;The Community Mental Health Framework for Adults and Older Adults&lt;/title&gt;&lt;/titles&gt;&lt;dates&gt;&lt;year&gt;2019&lt;/year&gt;&lt;/dates&gt;&lt;pub-location&gt;London&lt;/pub-location&gt;&lt;publisher&gt;NHS England&lt;/publisher&gt;&lt;urls&gt;&lt;/urls&gt;&lt;/record&gt;&lt;/Cite&gt;&lt;/EndNote&gt;</w:instrText>
      </w:r>
      <w:r w:rsidR="00666498" w:rsidRPr="00197A81">
        <w:fldChar w:fldCharType="separate"/>
      </w:r>
      <w:r w:rsidR="00666498" w:rsidRPr="00197A81">
        <w:rPr>
          <w:noProof/>
        </w:rPr>
        <w:t>(National Collaborating Centre for Mental Health, 2019)</w:t>
      </w:r>
      <w:r w:rsidR="00666498" w:rsidRPr="00197A81">
        <w:fldChar w:fldCharType="end"/>
      </w:r>
      <w:r w:rsidR="00666498" w:rsidRPr="00197A81">
        <w:t>.</w:t>
      </w:r>
    </w:p>
    <w:p w:rsidR="00666498" w:rsidRPr="00197A81" w:rsidRDefault="00666498" w:rsidP="008C20FB">
      <w:pPr>
        <w:spacing w:line="480" w:lineRule="auto"/>
      </w:pPr>
    </w:p>
    <w:p w:rsidR="00E162A1" w:rsidRPr="00197A81" w:rsidRDefault="00FF49BE" w:rsidP="001225D3">
      <w:pPr>
        <w:spacing w:line="480" w:lineRule="auto"/>
      </w:pPr>
      <w:r w:rsidRPr="00197A81">
        <w:t>Connecting People</w:t>
      </w:r>
      <w:r w:rsidR="009E466B" w:rsidRPr="00197A81">
        <w:t xml:space="preserve"> was piloted in 14 health and social care agencies in the voluntary and statutory sectors in England. An evaluation of its outcomes for 155 people with a learning disability or a mental health problem found that their access to social capital and perceived social inclusion increased when the model was fully implemented</w:t>
      </w:r>
      <w:r w:rsidR="00D52A82">
        <w:t xml:space="preserve"> </w:t>
      </w:r>
      <w:r w:rsidR="00D52A82">
        <w:fldChar w:fldCharType="begin"/>
      </w:r>
      <w:r w:rsidR="00656649">
        <w:instrText xml:space="preserve"> ADDIN EN.CITE &lt;EndNote&gt;&lt;Cite&gt;&lt;Author&gt;Webber&lt;/Author&gt;&lt;Year&gt;2019&lt;/Year&gt;&lt;RecNum&gt;1746&lt;/RecNum&gt;&lt;DisplayText&gt;(Webber&lt;style face="italic"&gt; et al.&lt;/style&gt;, 2019)&lt;/DisplayText&gt;&lt;record&gt;&lt;rec-number&gt;1746&lt;/rec-number&gt;&lt;foreign-keys&gt;&lt;key app="EN" db-id="xsrta25fdvptf2e5ttppw9xu50s0t9tapt5e" timestamp="1598445580" guid="ffcba79e-04b2-4613-bfb5-5204f0430b8b"&gt;1746&lt;/key&gt;&lt;/foreign-keys&gt;&lt;ref-type name="Journal Article"&gt;17&lt;/ref-type&gt;&lt;contributors&gt;&lt;authors&gt;&lt;author&gt;Webber, Martin&lt;/author&gt;&lt;author&gt;Morris, David&lt;/author&gt;&lt;author&gt;Howarth, Sharon&lt;/author&gt;&lt;author&gt;Fendt-Newlin, Meredith&lt;/author&gt;&lt;author&gt;Treacy, Samantha&lt;/author&gt;&lt;author&gt;McCrone, Paul&lt;/author&gt;&lt;/authors&gt;&lt;/contributors&gt;&lt;titles&gt;&lt;title&gt;Effect of the Connecting People Intervention on Social Capital: A Pilot Study&lt;/title&gt;&lt;secondary-title&gt;Research on Social Work Practice&lt;/secondary-title&gt;&lt;/titles&gt;&lt;periodical&gt;&lt;full-title&gt;Research on Social Work Practice&lt;/full-title&gt;&lt;/periodical&gt;&lt;pages&gt;483-494&lt;/pages&gt;&lt;volume&gt;29&lt;/volume&gt;&lt;number&gt;5&lt;/number&gt;&lt;keywords&gt;&lt;keyword&gt;social capital,social networks,mental well-being,preexperimental design,complex intervention,mental health&lt;/keyword&gt;&lt;/keywords&gt;&lt;dates&gt;&lt;year&gt;2019&lt;/year&gt;&lt;/dates&gt;&lt;urls&gt;&lt;related-urls&gt;&lt;url&gt;https://journals.sagepub.com/doi/abs/10.1177/1049731517753685&lt;/url&gt;&lt;/related-urls&gt;&lt;/urls&gt;&lt;electronic-resource-num&gt;10.1177/1049731517753685&lt;/electronic-resource-num&gt;&lt;/record&gt;&lt;/Cite&gt;&lt;/EndNote&gt;</w:instrText>
      </w:r>
      <w:r w:rsidR="00D52A82">
        <w:fldChar w:fldCharType="separate"/>
      </w:r>
      <w:r w:rsidR="00D52A82">
        <w:rPr>
          <w:noProof/>
        </w:rPr>
        <w:t>(Webber</w:t>
      </w:r>
      <w:r w:rsidR="00D52A82" w:rsidRPr="00D52A82">
        <w:rPr>
          <w:i/>
          <w:noProof/>
        </w:rPr>
        <w:t xml:space="preserve"> et al.</w:t>
      </w:r>
      <w:r w:rsidR="00D52A82">
        <w:rPr>
          <w:noProof/>
        </w:rPr>
        <w:t>, 2019)</w:t>
      </w:r>
      <w:r w:rsidR="00D52A82">
        <w:fldChar w:fldCharType="end"/>
      </w:r>
      <w:r w:rsidR="009E466B" w:rsidRPr="00197A81">
        <w:t>.</w:t>
      </w:r>
      <w:r w:rsidR="001225D3" w:rsidRPr="00197A81">
        <w:t xml:space="preserve"> </w:t>
      </w:r>
      <w:r w:rsidR="00E162A1" w:rsidRPr="00197A81">
        <w:t>However, only about a quarter (</w:t>
      </w:r>
      <w:r w:rsidR="00C178A9" w:rsidRPr="00197A81">
        <w:t>30/117)</w:t>
      </w:r>
      <w:r w:rsidR="00E162A1" w:rsidRPr="00197A81">
        <w:t xml:space="preserve"> of those</w:t>
      </w:r>
      <w:r w:rsidR="00C178A9" w:rsidRPr="00197A81">
        <w:t xml:space="preserve"> followed up at </w:t>
      </w:r>
      <w:r w:rsidR="00745796" w:rsidRPr="00197A81">
        <w:t>nine</w:t>
      </w:r>
      <w:r w:rsidR="00C178A9" w:rsidRPr="00197A81">
        <w:t xml:space="preserve"> months</w:t>
      </w:r>
      <w:r w:rsidR="00DB5276" w:rsidRPr="00197A81">
        <w:t xml:space="preserve"> experienced </w:t>
      </w:r>
      <w:r w:rsidR="006641DD" w:rsidRPr="00197A81">
        <w:t xml:space="preserve">an implementation of </w:t>
      </w:r>
      <w:r w:rsidR="00E162A1" w:rsidRPr="00197A81">
        <w:t>Connecting People</w:t>
      </w:r>
      <w:r w:rsidR="00DB5276" w:rsidRPr="00197A81">
        <w:t xml:space="preserve"> that was considered to be ‘high fidelity’ - </w:t>
      </w:r>
      <w:r w:rsidR="001225D3" w:rsidRPr="00197A81">
        <w:t xml:space="preserve">defined as “the extent to which an intervention is delivered without modifying its intended contents, structure, and procedures” </w:t>
      </w:r>
      <w:r w:rsidR="001225D3" w:rsidRPr="00197A81">
        <w:fldChar w:fldCharType="begin"/>
      </w:r>
      <w:r w:rsidR="00656649">
        <w:instrText xml:space="preserve"> ADDIN EN.CITE &lt;EndNote&gt;&lt;Cite&gt;&lt;Author&gt;Soydan&lt;/Author&gt;&lt;Year&gt;2015&lt;/Year&gt;&lt;RecNum&gt;1522&lt;/RecNum&gt;&lt;Prefix&gt;p.331`, &lt;/Prefix&gt;&lt;DisplayText&gt;(p.331, Soydan, 2015)&lt;/DisplayText&gt;&lt;record&gt;&lt;rec-number&gt;1522&lt;/rec-number&gt;&lt;foreign-keys&gt;&lt;key app="EN" db-id="xsrta25fdvptf2e5ttppw9xu50s0t9tapt5e" timestamp="1598443737" guid="77f639b1-2fe2-4fe7-b59a-1337c1d9dc6e"&gt;1522&lt;/key&gt;&lt;/foreign-keys&gt;&lt;ref-type name="Journal Article"&gt;17&lt;/ref-type&gt;&lt;contributors&gt;&lt;authors&gt;&lt;author&gt;Soydan, Haluk&lt;/author&gt;&lt;/authors&gt;&lt;/contributors&gt;&lt;titles&gt;&lt;title&gt;Intervention Research in Social Work&lt;/title&gt;&lt;secondary-title&gt;Australian Social Work&lt;/secondary-title&gt;&lt;/titles&gt;&lt;periodical&gt;&lt;full-title&gt;Australian Social Work&lt;/full-title&gt;&lt;/periodical&gt;&lt;pages&gt;324-337&lt;/pages&gt;&lt;volume&gt;68&lt;/volume&gt;&lt;number&gt;3&lt;/number&gt;&lt;dates&gt;&lt;year&gt;2015&lt;/year&gt;&lt;pub-dates&gt;&lt;date&gt;2015/07/03&lt;/date&gt;&lt;/pub-dates&gt;&lt;/dates&gt;&lt;publisher&gt;Routledge&lt;/publisher&gt;&lt;isbn&gt;0312-407X&lt;/isbn&gt;&lt;urls&gt;&lt;related-urls&gt;&lt;url&gt;https://doi.org/10.1080/0312407X.2014.993670&lt;/url&gt;&lt;/related-urls&gt;&lt;/urls&gt;&lt;electronic-resource-num&gt;10.1080/0312407X.2014.993670&lt;/electronic-resource-num&gt;&lt;/record&gt;&lt;/Cite&gt;&lt;/EndNote&gt;</w:instrText>
      </w:r>
      <w:r w:rsidR="001225D3" w:rsidRPr="00197A81">
        <w:fldChar w:fldCharType="separate"/>
      </w:r>
      <w:r w:rsidR="001225D3" w:rsidRPr="00197A81">
        <w:rPr>
          <w:noProof/>
        </w:rPr>
        <w:t>(p.331, Soydan, 2015)</w:t>
      </w:r>
      <w:r w:rsidR="001225D3" w:rsidRPr="00197A81">
        <w:fldChar w:fldCharType="end"/>
      </w:r>
      <w:r w:rsidR="00DB5276" w:rsidRPr="00197A81">
        <w:t>. Achieving high fidelity</w:t>
      </w:r>
      <w:r w:rsidR="00EF047F" w:rsidRPr="00197A81">
        <w:t xml:space="preserve"> can be</w:t>
      </w:r>
      <w:r w:rsidR="001225D3" w:rsidRPr="00197A81">
        <w:t xml:space="preserve"> challenging </w:t>
      </w:r>
      <w:r w:rsidR="00674582" w:rsidRPr="00197A81">
        <w:t xml:space="preserve">in practice and only one in eight </w:t>
      </w:r>
      <w:r w:rsidR="00E162A1" w:rsidRPr="00197A81">
        <w:t xml:space="preserve">community mental health teams </w:t>
      </w:r>
      <w:r w:rsidR="002377F6" w:rsidRPr="00197A81">
        <w:t xml:space="preserve">(CMHTs) </w:t>
      </w:r>
      <w:r w:rsidR="00230486" w:rsidRPr="00197A81">
        <w:t>in the study</w:t>
      </w:r>
      <w:r w:rsidR="00E162A1" w:rsidRPr="00197A81">
        <w:t xml:space="preserve"> </w:t>
      </w:r>
      <w:r w:rsidR="00674582" w:rsidRPr="00197A81">
        <w:t>were</w:t>
      </w:r>
      <w:r w:rsidR="00E162A1" w:rsidRPr="00197A81">
        <w:t xml:space="preserve"> able to implement it with </w:t>
      </w:r>
      <w:r w:rsidR="00230486" w:rsidRPr="00197A81">
        <w:t>high fidelity</w:t>
      </w:r>
      <w:r w:rsidR="00523095" w:rsidRPr="00197A81">
        <w:t xml:space="preserve"> </w:t>
      </w:r>
      <w:r w:rsidR="00D52A82">
        <w:fldChar w:fldCharType="begin"/>
      </w:r>
      <w:r w:rsidR="00656649">
        <w:instrText xml:space="preserve"> ADDIN EN.CITE &lt;EndNote&gt;&lt;Cite&gt;&lt;Author&gt;Webber&lt;/Author&gt;&lt;Year&gt;2019&lt;/Year&gt;&lt;RecNum&gt;1746&lt;/RecNum&gt;&lt;DisplayText&gt;(Webber&lt;style face="italic"&gt; et al.&lt;/style&gt;, 2019)&lt;/DisplayText&gt;&lt;record&gt;&lt;rec-number&gt;1746&lt;/rec-number&gt;&lt;foreign-keys&gt;&lt;key app="EN" db-id="xsrta25fdvptf2e5ttppw9xu50s0t9tapt5e" timestamp="1598445580" guid="ffcba79e-04b2-4613-bfb5-5204f0430b8b"&gt;1746&lt;/key&gt;&lt;/foreign-keys&gt;&lt;ref-type name="Journal Article"&gt;17&lt;/ref-type&gt;&lt;contributors&gt;&lt;authors&gt;&lt;author&gt;Webber, Martin&lt;/author&gt;&lt;author&gt;Morris, David&lt;/author&gt;&lt;author&gt;Howarth, Sharon&lt;/author&gt;&lt;author&gt;Fendt-Newlin, Meredith&lt;/author&gt;&lt;author&gt;Treacy, Samantha&lt;/author&gt;&lt;author&gt;McCrone, Paul&lt;/author&gt;&lt;/authors&gt;&lt;/contributors&gt;&lt;titles&gt;&lt;title&gt;Effect of the Connecting People Intervention on Social Capital: A Pilot Study&lt;/title&gt;&lt;secondary-title&gt;Research on Social Work Practice&lt;/secondary-title&gt;&lt;/titles&gt;&lt;periodical&gt;&lt;full-title&gt;Research on Social Work Practice&lt;/full-title&gt;&lt;/periodical&gt;&lt;pages&gt;483-494&lt;/pages&gt;&lt;volume&gt;29&lt;/volume&gt;&lt;number&gt;5&lt;/number&gt;&lt;keywords&gt;&lt;keyword&gt;social capital,social networks,mental well-being,preexperimental design,complex intervention,mental health&lt;/keyword&gt;&lt;/keywords&gt;&lt;dates&gt;&lt;year&gt;2019&lt;/year&gt;&lt;/dates&gt;&lt;urls&gt;&lt;related-urls&gt;&lt;url&gt;https://journals.sagepub.com/doi/abs/10.1177/1049731517753685&lt;/url&gt;&lt;/related-urls&gt;&lt;/urls&gt;&lt;electronic-resource-num&gt;10.1177/1049731517753685&lt;/electronic-resource-num&gt;&lt;/record&gt;&lt;/Cite&gt;&lt;/EndNote&gt;</w:instrText>
      </w:r>
      <w:r w:rsidR="00D52A82">
        <w:fldChar w:fldCharType="separate"/>
      </w:r>
      <w:r w:rsidR="00D52A82">
        <w:rPr>
          <w:noProof/>
        </w:rPr>
        <w:t>(Webber</w:t>
      </w:r>
      <w:r w:rsidR="00D52A82" w:rsidRPr="00D52A82">
        <w:rPr>
          <w:i/>
          <w:noProof/>
        </w:rPr>
        <w:t xml:space="preserve"> et al.</w:t>
      </w:r>
      <w:r w:rsidR="00D52A82">
        <w:rPr>
          <w:noProof/>
        </w:rPr>
        <w:t>, 2019)</w:t>
      </w:r>
      <w:r w:rsidR="00D52A82">
        <w:fldChar w:fldCharType="end"/>
      </w:r>
      <w:r w:rsidR="00E162A1" w:rsidRPr="00197A81">
        <w:t>.</w:t>
      </w:r>
    </w:p>
    <w:p w:rsidR="00E162A1" w:rsidRPr="00197A81" w:rsidRDefault="00E162A1" w:rsidP="001225D3">
      <w:pPr>
        <w:spacing w:line="480" w:lineRule="auto"/>
      </w:pPr>
    </w:p>
    <w:p w:rsidR="00523095" w:rsidRPr="00197A81" w:rsidRDefault="00523095" w:rsidP="001225D3">
      <w:pPr>
        <w:spacing w:line="480" w:lineRule="auto"/>
      </w:pPr>
      <w:r w:rsidRPr="00197A81">
        <w:t>The pilot study assessed fidelity using parallel ratings provided by both service users and practitioners. Partial implementation occurred when there was minimal engagement with the service users’ local community; strengths and goals of service users were not fully assessed, or when practitioners were minimally invol</w:t>
      </w:r>
      <w:r w:rsidR="001B122A" w:rsidRPr="00197A81">
        <w:t>ved in supporting service users</w:t>
      </w:r>
      <w:r w:rsidRPr="00197A81">
        <w:t xml:space="preserve"> to </w:t>
      </w:r>
      <w:r w:rsidRPr="00197A81">
        <w:lastRenderedPageBreak/>
        <w:t xml:space="preserve">develop and maintain their social relationships </w:t>
      </w:r>
      <w:r w:rsidR="00D52A82">
        <w:fldChar w:fldCharType="begin"/>
      </w:r>
      <w:r w:rsidR="00656649">
        <w:instrText xml:space="preserve"> ADDIN EN.CITE &lt;EndNote&gt;&lt;Cite&gt;&lt;Author&gt;Webber&lt;/Author&gt;&lt;Year&gt;2019&lt;/Year&gt;&lt;RecNum&gt;1746&lt;/RecNum&gt;&lt;DisplayText&gt;(Webber&lt;style face="italic"&gt; et al.&lt;/style&gt;, 2019)&lt;/DisplayText&gt;&lt;record&gt;&lt;rec-number&gt;1746&lt;/rec-number&gt;&lt;foreign-keys&gt;&lt;key app="EN" db-id="xsrta25fdvptf2e5ttppw9xu50s0t9tapt5e" timestamp="1598445580" guid="ffcba79e-04b2-4613-bfb5-5204f0430b8b"&gt;1746&lt;/key&gt;&lt;/foreign-keys&gt;&lt;ref-type name="Journal Article"&gt;17&lt;/ref-type&gt;&lt;contributors&gt;&lt;authors&gt;&lt;author&gt;Webber, Martin&lt;/author&gt;&lt;author&gt;Morris, David&lt;/author&gt;&lt;author&gt;Howarth, Sharon&lt;/author&gt;&lt;author&gt;Fendt-Newlin, Meredith&lt;/author&gt;&lt;author&gt;Treacy, Samantha&lt;/author&gt;&lt;author&gt;McCrone, Paul&lt;/author&gt;&lt;/authors&gt;&lt;/contributors&gt;&lt;titles&gt;&lt;title&gt;Effect of the Connecting People Intervention on Social Capital: A Pilot Study&lt;/title&gt;&lt;secondary-title&gt;Research on Social Work Practice&lt;/secondary-title&gt;&lt;/titles&gt;&lt;periodical&gt;&lt;full-title&gt;Research on Social Work Practice&lt;/full-title&gt;&lt;/periodical&gt;&lt;pages&gt;483-494&lt;/pages&gt;&lt;volume&gt;29&lt;/volume&gt;&lt;number&gt;5&lt;/number&gt;&lt;keywords&gt;&lt;keyword&gt;social capital,social networks,mental well-being,preexperimental design,complex intervention,mental health&lt;/keyword&gt;&lt;/keywords&gt;&lt;dates&gt;&lt;year&gt;2019&lt;/year&gt;&lt;/dates&gt;&lt;urls&gt;&lt;related-urls&gt;&lt;url&gt;https://journals.sagepub.com/doi/abs/10.1177/1049731517753685&lt;/url&gt;&lt;/related-urls&gt;&lt;/urls&gt;&lt;electronic-resource-num&gt;10.1177/1049731517753685&lt;/electronic-resource-num&gt;&lt;/record&gt;&lt;/Cite&gt;&lt;/EndNote&gt;</w:instrText>
      </w:r>
      <w:r w:rsidR="00D52A82">
        <w:fldChar w:fldCharType="separate"/>
      </w:r>
      <w:r w:rsidR="00D52A82">
        <w:rPr>
          <w:noProof/>
        </w:rPr>
        <w:t>(Webber</w:t>
      </w:r>
      <w:r w:rsidR="00D52A82" w:rsidRPr="00D52A82">
        <w:rPr>
          <w:i/>
          <w:noProof/>
        </w:rPr>
        <w:t xml:space="preserve"> et al.</w:t>
      </w:r>
      <w:r w:rsidR="00D52A82">
        <w:rPr>
          <w:noProof/>
        </w:rPr>
        <w:t>, 2019)</w:t>
      </w:r>
      <w:r w:rsidR="00D52A82">
        <w:fldChar w:fldCharType="end"/>
      </w:r>
      <w:r w:rsidRPr="00197A81">
        <w:t xml:space="preserve">. As the pilot study demonstrated, </w:t>
      </w:r>
      <w:r w:rsidR="002377F6" w:rsidRPr="00197A81">
        <w:t xml:space="preserve">more work is required to implement </w:t>
      </w:r>
      <w:r w:rsidR="000A2505" w:rsidRPr="00197A81">
        <w:t>Connecting People</w:t>
      </w:r>
      <w:r w:rsidR="002377F6" w:rsidRPr="00197A81">
        <w:t xml:space="preserve"> in CMHTs so that people with more severe mental health problems could potentially </w:t>
      </w:r>
      <w:r w:rsidR="000A2505" w:rsidRPr="00197A81">
        <w:t>improve their social connections.</w:t>
      </w:r>
    </w:p>
    <w:p w:rsidR="002377F6" w:rsidRPr="00197A81" w:rsidRDefault="002377F6" w:rsidP="001225D3">
      <w:pPr>
        <w:spacing w:line="480" w:lineRule="auto"/>
      </w:pPr>
    </w:p>
    <w:p w:rsidR="005E5945" w:rsidRPr="00197A81" w:rsidRDefault="00960B9B" w:rsidP="00DA7778">
      <w:pPr>
        <w:spacing w:line="480" w:lineRule="auto"/>
      </w:pPr>
      <w:r w:rsidRPr="00197A81">
        <w:t>In multi-disciplinary CMHTs, Connecting People is primarily used by mental health social workers, support workers or occupational therapists. In this study, we focus on implementation primarily led by mental health social workers</w:t>
      </w:r>
      <w:r w:rsidR="00951FD7" w:rsidRPr="00197A81">
        <w:t xml:space="preserve"> who </w:t>
      </w:r>
      <w:r w:rsidR="002929E6" w:rsidRPr="00197A81">
        <w:t xml:space="preserve">play important, though diverse, </w:t>
      </w:r>
      <w:r w:rsidR="00DF281A" w:rsidRPr="00197A81">
        <w:t xml:space="preserve">roles in mental health services. </w:t>
      </w:r>
      <w:r w:rsidR="002929E6" w:rsidRPr="00197A81">
        <w:t>Until recently, most local authorities (the main employer of mental health social workers in England) had integrated working arrangements to provide social care services in partnership with mental health NHS Trusts</w:t>
      </w:r>
      <w:r w:rsidR="00DF281A" w:rsidRPr="00197A81">
        <w:t xml:space="preserve"> (now it is fewer than 40% of English local authorities </w:t>
      </w:r>
      <w:r w:rsidR="00DF281A" w:rsidRPr="00197A81">
        <w:fldChar w:fldCharType="begin"/>
      </w:r>
      <w:r w:rsidR="00656649">
        <w:instrText xml:space="preserve"> ADDIN EN.CITE &lt;EndNote&gt;&lt;Cite&gt;&lt;Author&gt;ADASS&lt;/Author&gt;&lt;Year&gt;2018&lt;/Year&gt;&lt;RecNum&gt;7625&lt;/RecNum&gt;&lt;DisplayText&gt;(ADASS and NHS Benchmarking Network, 2018)&lt;/DisplayText&gt;&lt;record&gt;&lt;rec-number&gt;1756&lt;/rec-number&gt;&lt;foreign-keys&gt;&lt;key app="EN" db-id="xsrta25fdvptf2e5ttppw9xu50s0t9tapt5e" timestamp="1598456721"&gt;1756&lt;/key&gt;&lt;/foreign-keys&gt;&lt;ref-type name="Report"&gt;27&lt;/ref-type&gt;&lt;contributors&gt;&lt;authors&gt;&lt;author&gt;ADASS,&lt;/author&gt;&lt;author&gt;NHS Benchmarking Network,&lt;/author&gt;&lt;/authors&gt;&lt;/contributors&gt;&lt;titles&gt;&lt;title&gt;AMHPs, Mental Health Act Assessments &amp;amp; the Mental Health Social Care Workforce&lt;/title&gt;&lt;/titles&gt;&lt;dates&gt;&lt;year&gt;2018&lt;/year&gt;&lt;/dates&gt;&lt;pub-location&gt;London&lt;/pub-location&gt;&lt;publisher&gt;ADASS&lt;/publisher&gt;&lt;urls&gt;&lt;/urls&gt;&lt;/record&gt;&lt;/Cite&gt;&lt;/EndNote&gt;</w:instrText>
      </w:r>
      <w:r w:rsidR="00DF281A" w:rsidRPr="00197A81">
        <w:fldChar w:fldCharType="separate"/>
      </w:r>
      <w:r w:rsidR="00DF281A" w:rsidRPr="00197A81">
        <w:rPr>
          <w:noProof/>
        </w:rPr>
        <w:t>(ADASS and NHS Benchmarking Network, 2018)</w:t>
      </w:r>
      <w:r w:rsidR="00DF281A" w:rsidRPr="00197A81">
        <w:fldChar w:fldCharType="end"/>
      </w:r>
      <w:r w:rsidR="00DF281A" w:rsidRPr="00197A81">
        <w:t>)</w:t>
      </w:r>
      <w:r w:rsidR="002929E6" w:rsidRPr="00197A81">
        <w:t xml:space="preserve">. </w:t>
      </w:r>
      <w:r w:rsidR="006641DD" w:rsidRPr="00197A81">
        <w:t>The impact of funding reductions and historic patterns of resource allocation between health and social care</w:t>
      </w:r>
      <w:r w:rsidR="007F6F6E" w:rsidRPr="00197A81">
        <w:t>;</w:t>
      </w:r>
      <w:r w:rsidR="00794B77" w:rsidRPr="00197A81">
        <w:t xml:space="preserve"> t</w:t>
      </w:r>
      <w:r w:rsidR="002929E6" w:rsidRPr="00197A81">
        <w:t xml:space="preserve">he impact of </w:t>
      </w:r>
      <w:r w:rsidR="00C35A79" w:rsidRPr="00197A81">
        <w:t xml:space="preserve">healthcare expenditure in recent years being lower than the historical average </w:t>
      </w:r>
      <w:r w:rsidR="00C35A79" w:rsidRPr="00197A81">
        <w:fldChar w:fldCharType="begin"/>
      </w:r>
      <w:r w:rsidR="00656649">
        <w:instrText xml:space="preserve"> ADDIN EN.CITE &lt;EndNote&gt;&lt;Cite&gt;&lt;Author&gt;Gershlick&lt;/Author&gt;&lt;Year&gt;2019&lt;/Year&gt;&lt;RecNum&gt;717&lt;/RecNum&gt;&lt;DisplayText&gt;(Gershlick&lt;style face="italic"&gt; et al.&lt;/style&gt;, 2019)&lt;/DisplayText&gt;&lt;record&gt;&lt;rec-number&gt;717&lt;/rec-number&gt;&lt;foreign-keys&gt;&lt;key app="EN" db-id="xsrta25fdvptf2e5ttppw9xu50s0t9tapt5e" timestamp="1598294579" guid="36338632-50b7-40da-8e58-86fb45a5964a"&gt;717&lt;/key&gt;&lt;/foreign-keys&gt;&lt;ref-type name="Report"&gt;27&lt;/ref-type&gt;&lt;contributors&gt;&lt;authors&gt;&lt;author&gt;Gershlick, B.&lt;/author&gt;&lt;author&gt;Kraindler, J.&lt;/author&gt;&lt;author&gt;Idriss, O.&lt;/author&gt;&lt;author&gt;Charlesworth, A.&lt;/author&gt;&lt;/authors&gt;&lt;/contributors&gt;&lt;titles&gt;&lt;title&gt;Health and social care funding. Priorities for the next government&lt;/title&gt;&lt;/titles&gt;&lt;dates&gt;&lt;year&gt;2019&lt;/year&gt;&lt;/dates&gt;&lt;pub-location&gt;London&lt;/pub-location&gt;&lt;publisher&gt;The Health Foundation&lt;/publisher&gt;&lt;urls&gt;&lt;/urls&gt;&lt;/record&gt;&lt;/Cite&gt;&lt;/EndNote&gt;</w:instrText>
      </w:r>
      <w:r w:rsidR="00C35A79" w:rsidRPr="00197A81">
        <w:fldChar w:fldCharType="separate"/>
      </w:r>
      <w:r w:rsidR="00C35A79" w:rsidRPr="00197A81">
        <w:rPr>
          <w:noProof/>
        </w:rPr>
        <w:t>(Gershlick</w:t>
      </w:r>
      <w:r w:rsidR="00C35A79" w:rsidRPr="00197A81">
        <w:rPr>
          <w:i/>
          <w:noProof/>
        </w:rPr>
        <w:t xml:space="preserve"> et al.</w:t>
      </w:r>
      <w:r w:rsidR="00C35A79" w:rsidRPr="00197A81">
        <w:rPr>
          <w:noProof/>
        </w:rPr>
        <w:t>, 2019)</w:t>
      </w:r>
      <w:r w:rsidR="00C35A79" w:rsidRPr="00197A81">
        <w:fldChar w:fldCharType="end"/>
      </w:r>
      <w:r w:rsidR="007F6F6E" w:rsidRPr="00197A81">
        <w:t>;</w:t>
      </w:r>
      <w:r w:rsidR="002929E6" w:rsidRPr="00197A81">
        <w:t xml:space="preserve"> and a decline in the AMHP workforce </w:t>
      </w:r>
      <w:r w:rsidR="00ED6794" w:rsidRPr="00197A81">
        <w:fldChar w:fldCharType="begin"/>
      </w:r>
      <w:r w:rsidR="00656649">
        <w:instrText xml:space="preserve"> ADDIN EN.CITE &lt;EndNote&gt;&lt;Cite&gt;&lt;Author&gt;Stevens&lt;/Author&gt;&lt;Year&gt;2018&lt;/Year&gt;&lt;RecNum&gt;1441&lt;/RecNum&gt;&lt;DisplayText&gt;(Stevens&lt;style face="italic"&gt; et al.&lt;/style&gt;, 2018)&lt;/DisplayText&gt;&lt;record&gt;&lt;rec-number&gt;1441&lt;/rec-number&gt;&lt;foreign-keys&gt;&lt;key app="EN" db-id="xsrta25fdvptf2e5ttppw9xu50s0t9tapt5e" timestamp="1598443589" guid="eb0f9fd0-51b3-4f80-bae9-2e1e02429a68"&gt;1441&lt;/key&gt;&lt;/foreign-keys&gt;&lt;ref-type name="Report"&gt;27&lt;/ref-type&gt;&lt;contributors&gt;&lt;authors&gt;&lt;author&gt;Stevens, M.&lt;/author&gt;&lt;author&gt;Martineau, S.&lt;/author&gt;&lt;author&gt;Manthorpe, J.&lt;/author&gt;&lt;author&gt;Steils, N.&lt;/author&gt;&lt;author&gt;Norrie, C.&lt;/author&gt;&lt;/authors&gt;&lt;/contributors&gt;&lt;titles&gt;&lt;title&gt;Who wants to be an Approved Mental Health Professional?&lt;/title&gt;&lt;/titles&gt;&lt;dates&gt;&lt;year&gt;2018&lt;/year&gt;&lt;/dates&gt;&lt;pub-location&gt;London&lt;/pub-location&gt;&lt;publisher&gt;Social Care Workforce Research Unit, King’s College London&lt;/publisher&gt;&lt;urls&gt;&lt;/urls&gt;&lt;/record&gt;&lt;/Cite&gt;&lt;/EndNote&gt;</w:instrText>
      </w:r>
      <w:r w:rsidR="00ED6794" w:rsidRPr="00197A81">
        <w:fldChar w:fldCharType="separate"/>
      </w:r>
      <w:r w:rsidR="00ED6794" w:rsidRPr="00197A81">
        <w:rPr>
          <w:noProof/>
        </w:rPr>
        <w:t>(Stevens</w:t>
      </w:r>
      <w:r w:rsidR="00ED6794" w:rsidRPr="00197A81">
        <w:rPr>
          <w:i/>
          <w:noProof/>
        </w:rPr>
        <w:t xml:space="preserve"> et al.</w:t>
      </w:r>
      <w:r w:rsidR="00ED6794" w:rsidRPr="00197A81">
        <w:rPr>
          <w:noProof/>
        </w:rPr>
        <w:t>, 2018)</w:t>
      </w:r>
      <w:r w:rsidR="00ED6794" w:rsidRPr="00197A81">
        <w:fldChar w:fldCharType="end"/>
      </w:r>
      <w:r w:rsidR="002929E6" w:rsidRPr="00197A81">
        <w:t xml:space="preserve">, has led many local authorities to rescind social work secondments to refocus practitioners on statutory work such as Mental Health Act 1983 or Care Act 2014 assessments. </w:t>
      </w:r>
      <w:r w:rsidR="00906CB6" w:rsidRPr="00197A81">
        <w:t>However, s</w:t>
      </w:r>
      <w:r w:rsidR="000C6C43" w:rsidRPr="00197A81">
        <w:t xml:space="preserve">ocial workers are increasingly </w:t>
      </w:r>
      <w:r w:rsidR="00906CB6" w:rsidRPr="00197A81">
        <w:t xml:space="preserve">being </w:t>
      </w:r>
      <w:r w:rsidR="000C6C43" w:rsidRPr="00197A81">
        <w:t xml:space="preserve">employed </w:t>
      </w:r>
      <w:r w:rsidR="002929E6" w:rsidRPr="00197A81">
        <w:t>by the NHS as care co-ordinators undertaking generic roles alongside community psychiatric nurses and occupational therapists</w:t>
      </w:r>
      <w:r w:rsidR="000C6C43" w:rsidRPr="00197A81">
        <w:t xml:space="preserve"> </w:t>
      </w:r>
      <w:r w:rsidR="000C6C43" w:rsidRPr="00197A81">
        <w:fldChar w:fldCharType="begin"/>
      </w:r>
      <w:r w:rsidR="00656649">
        <w:instrText xml:space="preserve"> ADDIN EN.CITE &lt;EndNote&gt;&lt;Cite&gt;&lt;Author&gt;Boland&lt;/Author&gt;&lt;Year&gt;in press&lt;/Year&gt;&lt;RecNum&gt;718&lt;/RecNum&gt;&lt;DisplayText&gt;(Boland&lt;style face="italic"&gt; et al.&lt;/style&gt;, in press)&lt;/DisplayText&gt;&lt;record&gt;&lt;rec-number&gt;718&lt;/rec-number&gt;&lt;foreign-keys&gt;&lt;key app="EN" db-id="xsrta25fdvptf2e5ttppw9xu50s0t9tapt5e" timestamp="1598294582" guid="78533825-46e8-497b-817d-f7483c77edae"&gt;718&lt;/key&gt;&lt;/foreign-keys&gt;&lt;ref-type name="Journal Article"&gt;17&lt;/ref-type&gt;&lt;contributors&gt;&lt;authors&gt;&lt;author&gt;Boland, Jennifer&lt;/author&gt;&lt;author&gt;Abendstern, Michele&lt;/author&gt;&lt;author&gt;Wilberforce, Mark Robson&lt;/author&gt;&lt;author&gt;Pitts, Rosa&lt;/author&gt;&lt;author&gt;Hughes, Jane&lt;/author&gt;&lt;author&gt;Challis, David&lt;/author&gt;&lt;/authors&gt;&lt;/contributors&gt;&lt;titles&gt;&lt;title&gt;Exploring the added value of mental health social work in multidisciplinary community teams: An analysis of a national service user survey&lt;/title&gt;&lt;secondary-title&gt;Journal of Social Work&lt;/secondary-title&gt;&lt;/titles&gt;&lt;periodical&gt;&lt;full-title&gt;Journal of Social Work&lt;/full-title&gt;&lt;/periodical&gt;&lt;dates&gt;&lt;year&gt;in press&lt;/year&gt;&lt;pub-dates&gt;&lt;date&gt;6/11&lt;/date&gt;&lt;/pub-dates&gt;&lt;/dates&gt;&lt;isbn&gt;1468-0173&lt;/isbn&gt;&lt;work-type&gt;Article&lt;/work-type&gt;&lt;urls&gt;&lt;/urls&gt;&lt;/record&gt;&lt;/Cite&gt;&lt;/EndNote&gt;</w:instrText>
      </w:r>
      <w:r w:rsidR="000C6C43" w:rsidRPr="00197A81">
        <w:fldChar w:fldCharType="separate"/>
      </w:r>
      <w:r w:rsidR="000C6C43" w:rsidRPr="00197A81">
        <w:rPr>
          <w:noProof/>
        </w:rPr>
        <w:t>(Boland</w:t>
      </w:r>
      <w:r w:rsidR="000C6C43" w:rsidRPr="00197A81">
        <w:rPr>
          <w:i/>
          <w:noProof/>
        </w:rPr>
        <w:t xml:space="preserve"> et al.</w:t>
      </w:r>
      <w:r w:rsidR="000C6C43" w:rsidRPr="00197A81">
        <w:rPr>
          <w:noProof/>
        </w:rPr>
        <w:t>, in press)</w:t>
      </w:r>
      <w:r w:rsidR="000C6C43" w:rsidRPr="00197A81">
        <w:fldChar w:fldCharType="end"/>
      </w:r>
      <w:r w:rsidR="00436B10" w:rsidRPr="00197A81">
        <w:t>.</w:t>
      </w:r>
    </w:p>
    <w:p w:rsidR="005E5945" w:rsidRPr="00197A81" w:rsidRDefault="005E5945" w:rsidP="00DA7778">
      <w:pPr>
        <w:spacing w:line="480" w:lineRule="auto"/>
      </w:pPr>
    </w:p>
    <w:p w:rsidR="00951FD7" w:rsidRPr="00197A81" w:rsidRDefault="002929E6" w:rsidP="00DA7778">
      <w:pPr>
        <w:spacing w:line="480" w:lineRule="auto"/>
      </w:pPr>
      <w:r w:rsidRPr="00197A81">
        <w:t xml:space="preserve">The focus on care co-ordination processes and the dominance of medical approaches in health-led </w:t>
      </w:r>
      <w:r w:rsidR="00906CB6" w:rsidRPr="00197A81">
        <w:t>CMHTs</w:t>
      </w:r>
      <w:r w:rsidRPr="00197A81">
        <w:t xml:space="preserve"> has eroded the capacity of mental health social workers to deliver social interventions</w:t>
      </w:r>
      <w:r w:rsidR="00436B10" w:rsidRPr="00197A81">
        <w:t xml:space="preserve"> </w:t>
      </w:r>
      <w:r w:rsidR="00D52A82">
        <w:fldChar w:fldCharType="begin"/>
      </w:r>
      <w:r w:rsidR="00656649">
        <w:instrText xml:space="preserve"> ADDIN EN.CITE &lt;EndNote&gt;&lt;Cite&gt;&lt;Author&gt;Nathan&lt;/Author&gt;&lt;Year&gt;2010&lt;/Year&gt;&lt;RecNum&gt;18&lt;/RecNum&gt;&lt;DisplayText&gt;(Nathan and Webber, 2010)&lt;/DisplayText&gt;&lt;record&gt;&lt;rec-number&gt;18&lt;/rec-number&gt;&lt;foreign-keys&gt;&lt;key app="EN" db-id="xsrta25fdvptf2e5ttppw9xu50s0t9tapt5e" timestamp="1598286851" guid="42e64a70-a5e6-42df-8f61-f7bd6abf24db"&gt;18&lt;/key&gt;&lt;/foreign-keys&gt;&lt;ref-type name="Journal Article"&gt;17&lt;/ref-type&gt;&lt;contributors&gt;&lt;authors&gt;&lt;author&gt;Nathan, Jack&lt;/author&gt;&lt;author&gt;Webber, Martin&lt;/author&gt;&lt;/authors&gt;&lt;/contributors&gt;&lt;titles&gt;&lt;title&gt;Mental health social work and the bureau-medicalisation of mental health care: Identity in a changing world&lt;/title&gt;&lt;secondary-title&gt;Journal of Social Work Practice&lt;/secondary-title&gt;&lt;/titles&gt;&lt;periodical&gt;&lt;full-title&gt;Journal of Social Work Practice&lt;/full-title&gt;&lt;/periodical&gt;&lt;pages&gt;15-28&lt;/pages&gt;&lt;volume&gt;24&lt;/volume&gt;&lt;number&gt;1&lt;/number&gt;&lt;dates&gt;&lt;year&gt;2010&lt;/year&gt;&lt;pub-dates&gt;&lt;date&gt;2010&lt;/date&gt;&lt;/pub-dates&gt;&lt;/dates&gt;&lt;isbn&gt;0265-0533&lt;/isbn&gt;&lt;accession-num&gt;WOS:000274906600003&lt;/accession-num&gt;&lt;urls&gt;&lt;/urls&gt;&lt;electronic-resource-num&gt;10.1080/02650530903415672&lt;/electronic-resource-num&gt;&lt;/record&gt;&lt;/Cite&gt;&lt;/EndNote&gt;</w:instrText>
      </w:r>
      <w:r w:rsidR="00D52A82">
        <w:fldChar w:fldCharType="separate"/>
      </w:r>
      <w:r w:rsidR="00D52A82">
        <w:rPr>
          <w:noProof/>
        </w:rPr>
        <w:t>(Nathan and Webber, 2010)</w:t>
      </w:r>
      <w:r w:rsidR="00D52A82">
        <w:fldChar w:fldCharType="end"/>
      </w:r>
      <w:r w:rsidRPr="00197A81">
        <w:t xml:space="preserve">. The Think Ahead programme was created to help strengthen </w:t>
      </w:r>
      <w:r w:rsidR="000A2505" w:rsidRPr="00197A81">
        <w:t>mental health social work</w:t>
      </w:r>
      <w:r w:rsidRPr="00197A81">
        <w:t xml:space="preserve"> and provide training in social interventions</w:t>
      </w:r>
      <w:r w:rsidR="00436B10" w:rsidRPr="00197A81">
        <w:t xml:space="preserve"> </w:t>
      </w:r>
      <w:r w:rsidR="00436B10" w:rsidRPr="00197A81">
        <w:fldChar w:fldCharType="begin"/>
      </w:r>
      <w:r w:rsidR="00656649">
        <w:instrText xml:space="preserve"> ADDIN EN.CITE &lt;EndNote&gt;&lt;Cite&gt;&lt;Author&gt;Clifton&lt;/Author&gt;&lt;Year&gt;2014&lt;/Year&gt;&lt;RecNum&gt;4444&lt;/RecNum&gt;&lt;DisplayText&gt;(Clifton and Thorley, 2014)&lt;/DisplayText&gt;&lt;record&gt;&lt;rec-number&gt;1757&lt;/rec-number&gt;&lt;foreign-keys&gt;&lt;key app="EN" db-id="xsrta25fdvptf2e5ttppw9xu50s0t9tapt5e" timestamp="1598456721"&gt;1757&lt;/key&gt;&lt;/foreign-keys&gt;&lt;ref-type name="Report"&gt;27&lt;/ref-type&gt;&lt;contributors&gt;&lt;authors&gt;&lt;author&gt;Clifton, J.&lt;/author&gt;&lt;author&gt;Thorley, C.&lt;/author&gt;&lt;/authors&gt;&lt;/contributors&gt;&lt;titles&gt;&lt;title&gt;Think Ahead: Meeting the workforce challenges in mental health social work&lt;/title&gt;&lt;/titles&gt;&lt;dates&gt;&lt;year&gt;2014&lt;/year&gt;&lt;/dates&gt;&lt;pub-location&gt;London&lt;/pub-location&gt;&lt;publisher&gt;Institute for Public Policy Research&lt;/publisher&gt;&lt;urls&gt;&lt;/urls&gt;&lt;/record&gt;&lt;/Cite&gt;&lt;/EndNote&gt;</w:instrText>
      </w:r>
      <w:r w:rsidR="00436B10" w:rsidRPr="00197A81">
        <w:fldChar w:fldCharType="separate"/>
      </w:r>
      <w:r w:rsidR="00436B10" w:rsidRPr="00197A81">
        <w:rPr>
          <w:noProof/>
        </w:rPr>
        <w:t>(Clifton and Thorley, 2014)</w:t>
      </w:r>
      <w:r w:rsidR="00436B10" w:rsidRPr="00197A81">
        <w:fldChar w:fldCharType="end"/>
      </w:r>
      <w:r w:rsidRPr="00197A81">
        <w:t>. Students are assessed on their delivery of social interventions with individuals, families and communities</w:t>
      </w:r>
      <w:r w:rsidR="00951FD7" w:rsidRPr="00197A81">
        <w:t>, including Connecting People</w:t>
      </w:r>
      <w:r w:rsidRPr="00197A81">
        <w:t xml:space="preserve">. They are supported by Consultant Social Workers, also trained in these interventions, during 200 days of practice </w:t>
      </w:r>
      <w:r w:rsidRPr="00197A81">
        <w:lastRenderedPageBreak/>
        <w:t xml:space="preserve">learning in CMHTs. </w:t>
      </w:r>
      <w:r w:rsidR="00951FD7" w:rsidRPr="00197A81">
        <w:t>This study recruited teams where graduates of the Think Ahead programme were employed in order to evaluate outcomes for service users of the implementation of Connecting People.</w:t>
      </w:r>
    </w:p>
    <w:p w:rsidR="00951FD7" w:rsidRPr="00197A81" w:rsidRDefault="00951FD7" w:rsidP="00DA7778">
      <w:pPr>
        <w:spacing w:line="480" w:lineRule="auto"/>
      </w:pPr>
    </w:p>
    <w:p w:rsidR="005E5945" w:rsidRPr="00197A81" w:rsidRDefault="003145AA" w:rsidP="00DA7778">
      <w:pPr>
        <w:spacing w:line="480" w:lineRule="auto"/>
      </w:pPr>
      <w:r w:rsidRPr="00197A81">
        <w:t>Specifically, this</w:t>
      </w:r>
      <w:r w:rsidR="002929E6" w:rsidRPr="00197A81">
        <w:t xml:space="preserve"> study aimed to </w:t>
      </w:r>
      <w:r w:rsidRPr="00197A81">
        <w:t>answer three related questions</w:t>
      </w:r>
      <w:r w:rsidR="002929E6" w:rsidRPr="00197A81">
        <w:t>:</w:t>
      </w:r>
    </w:p>
    <w:p w:rsidR="005E5945" w:rsidRPr="00197A81" w:rsidRDefault="005E5945" w:rsidP="00DA7778">
      <w:pPr>
        <w:spacing w:line="480" w:lineRule="auto"/>
      </w:pPr>
    </w:p>
    <w:p w:rsidR="00827D1F" w:rsidRPr="00197A81" w:rsidRDefault="00827D1F" w:rsidP="00827D1F">
      <w:pPr>
        <w:numPr>
          <w:ilvl w:val="0"/>
          <w:numId w:val="1"/>
        </w:numPr>
        <w:spacing w:line="480" w:lineRule="auto"/>
      </w:pPr>
      <w:r w:rsidRPr="00197A81">
        <w:t xml:space="preserve">To what extent can the implementation of Connecting People improve outcomes for mental health service users (specifically </w:t>
      </w:r>
      <w:r w:rsidR="00A210A3" w:rsidRPr="00197A81">
        <w:t>in</w:t>
      </w:r>
      <w:r w:rsidRPr="00197A81">
        <w:t xml:space="preserve"> relation to access to social capital, goal attainment, mental well-being and experience of recovery)?</w:t>
      </w:r>
    </w:p>
    <w:p w:rsidR="00827D1F" w:rsidRPr="00197A81" w:rsidRDefault="00827D1F" w:rsidP="00827D1F">
      <w:pPr>
        <w:numPr>
          <w:ilvl w:val="0"/>
          <w:numId w:val="1"/>
        </w:numPr>
        <w:spacing w:line="480" w:lineRule="auto"/>
      </w:pPr>
      <w:r w:rsidRPr="00197A81">
        <w:t>To what extent is the implementation of Connecting People cost-effective?</w:t>
      </w:r>
    </w:p>
    <w:p w:rsidR="005E5945" w:rsidRPr="00197A81" w:rsidRDefault="003145AA" w:rsidP="00AA1C30">
      <w:pPr>
        <w:numPr>
          <w:ilvl w:val="0"/>
          <w:numId w:val="1"/>
        </w:numPr>
        <w:spacing w:line="480" w:lineRule="auto"/>
      </w:pPr>
      <w:r w:rsidRPr="00197A81">
        <w:t>To what extent can Connecting People be implemented in CMHTs with high fidelity (with the use o</w:t>
      </w:r>
      <w:r w:rsidR="002929E6" w:rsidRPr="00197A81">
        <w:t xml:space="preserve">f </w:t>
      </w:r>
      <w:r w:rsidR="00E72E6A" w:rsidRPr="00197A81">
        <w:t>co-produced</w:t>
      </w:r>
      <w:r w:rsidR="002929E6" w:rsidRPr="00197A81">
        <w:t xml:space="preserve"> implementation </w:t>
      </w:r>
      <w:r w:rsidR="00F17450" w:rsidRPr="00197A81">
        <w:t>materials</w:t>
      </w:r>
      <w:r w:rsidRPr="00197A81">
        <w:t>)?</w:t>
      </w:r>
    </w:p>
    <w:p w:rsidR="005E5945" w:rsidRPr="00197A81" w:rsidRDefault="005E5945" w:rsidP="00DA7778">
      <w:pPr>
        <w:spacing w:line="480" w:lineRule="auto"/>
      </w:pPr>
    </w:p>
    <w:p w:rsidR="003145AA" w:rsidRPr="00197A81" w:rsidRDefault="003145AA" w:rsidP="00DA7778">
      <w:pPr>
        <w:spacing w:line="480" w:lineRule="auto"/>
      </w:pPr>
      <w:r w:rsidRPr="00197A81">
        <w:t>A process evaluation which explored the experiences of the implementation of Connecting People for service users and practitioners is reported separately.</w:t>
      </w:r>
    </w:p>
    <w:p w:rsidR="003145AA" w:rsidRPr="00197A81" w:rsidRDefault="003145AA" w:rsidP="00DA7778">
      <w:pPr>
        <w:spacing w:line="480" w:lineRule="auto"/>
      </w:pPr>
    </w:p>
    <w:p w:rsidR="005E5945" w:rsidRPr="00197A81" w:rsidRDefault="002929E6" w:rsidP="00DA7778">
      <w:pPr>
        <w:spacing w:line="480" w:lineRule="auto"/>
        <w:rPr>
          <w:b/>
        </w:rPr>
      </w:pPr>
      <w:r w:rsidRPr="00197A81">
        <w:rPr>
          <w:b/>
        </w:rPr>
        <w:t>Methods</w:t>
      </w:r>
    </w:p>
    <w:p w:rsidR="005E5945" w:rsidRPr="00197A81" w:rsidRDefault="005E5945" w:rsidP="00DA7778">
      <w:pPr>
        <w:spacing w:line="480" w:lineRule="auto"/>
      </w:pPr>
    </w:p>
    <w:p w:rsidR="005E5945" w:rsidRPr="00197A81" w:rsidRDefault="002929E6" w:rsidP="00DA7778">
      <w:pPr>
        <w:spacing w:line="480" w:lineRule="auto"/>
        <w:rPr>
          <w:b/>
        </w:rPr>
      </w:pPr>
      <w:r w:rsidRPr="00197A81">
        <w:rPr>
          <w:b/>
        </w:rPr>
        <w:t>Design</w:t>
      </w:r>
    </w:p>
    <w:p w:rsidR="005E5945" w:rsidRPr="00197A81" w:rsidRDefault="005E5945" w:rsidP="00DA7778">
      <w:pPr>
        <w:spacing w:line="480" w:lineRule="auto"/>
      </w:pPr>
    </w:p>
    <w:p w:rsidR="005E5945" w:rsidRPr="00197A81" w:rsidRDefault="002929E6" w:rsidP="00DA7778">
      <w:pPr>
        <w:spacing w:line="480" w:lineRule="auto"/>
      </w:pPr>
      <w:r w:rsidRPr="00197A81">
        <w:t>A pragmatic non-randomised two-group (</w:t>
      </w:r>
      <w:r w:rsidR="00DF281A" w:rsidRPr="00197A81">
        <w:t>implementation vs. no</w:t>
      </w:r>
      <w:r w:rsidRPr="00197A81">
        <w:t xml:space="preserve"> implementation) pre-post study was used to evaluate </w:t>
      </w:r>
      <w:r w:rsidR="00B36116" w:rsidRPr="00197A81">
        <w:t xml:space="preserve">outcomes of </w:t>
      </w:r>
      <w:r w:rsidRPr="00197A81">
        <w:t>implementation of Connecting People in CMHTs.</w:t>
      </w:r>
    </w:p>
    <w:p w:rsidR="005E5945" w:rsidRPr="00197A81" w:rsidRDefault="005E5945" w:rsidP="00DA7778">
      <w:pPr>
        <w:spacing w:line="480" w:lineRule="auto"/>
      </w:pPr>
    </w:p>
    <w:p w:rsidR="005E5945" w:rsidRPr="00197A81" w:rsidRDefault="002929E6" w:rsidP="00DA7778">
      <w:pPr>
        <w:spacing w:line="480" w:lineRule="auto"/>
      </w:pPr>
      <w:r w:rsidRPr="00197A81">
        <w:t xml:space="preserve">Five mental health NHS Trusts </w:t>
      </w:r>
      <w:r w:rsidR="000A2505" w:rsidRPr="00197A81">
        <w:t xml:space="preserve">in the south-west, midlands, east and north of England </w:t>
      </w:r>
      <w:r w:rsidRPr="00197A81">
        <w:t xml:space="preserve">participated in the study. </w:t>
      </w:r>
      <w:r w:rsidR="00E3613F" w:rsidRPr="00197A81">
        <w:t>They comprised a mix of urban and rural locations</w:t>
      </w:r>
      <w:r w:rsidR="001D0AE9" w:rsidRPr="00197A81">
        <w:t xml:space="preserve">, with pockets of social deprivation. </w:t>
      </w:r>
      <w:r w:rsidRPr="00197A81">
        <w:t xml:space="preserve">Each Trust selected a CMHT with social workers or students of the Think Ahead programme trained in Connecting People to </w:t>
      </w:r>
      <w:r w:rsidR="00B36116" w:rsidRPr="00197A81">
        <w:t xml:space="preserve">support the </w:t>
      </w:r>
      <w:r w:rsidRPr="00197A81">
        <w:t>implement</w:t>
      </w:r>
      <w:r w:rsidR="00B36116" w:rsidRPr="00197A81">
        <w:t>ation of</w:t>
      </w:r>
      <w:r w:rsidRPr="00197A81">
        <w:t xml:space="preserve"> the intervention. One control CMHT was selected from each Trust with no prior exposure to </w:t>
      </w:r>
      <w:r w:rsidRPr="00197A81">
        <w:lastRenderedPageBreak/>
        <w:t>Connecting People. Although randomisation of teams to implementation and control arms of the study would have most effectively minimised selection bias, we wanted to avoid contamination of the control teams as much as possible.</w:t>
      </w:r>
    </w:p>
    <w:p w:rsidR="005E5945" w:rsidRPr="00197A81" w:rsidRDefault="005E5945" w:rsidP="00DA7778">
      <w:pPr>
        <w:spacing w:line="480" w:lineRule="auto"/>
      </w:pPr>
    </w:p>
    <w:p w:rsidR="005E5945" w:rsidRPr="00197A81" w:rsidRDefault="002929E6" w:rsidP="00DA7778">
      <w:pPr>
        <w:spacing w:line="480" w:lineRule="auto"/>
        <w:rPr>
          <w:b/>
        </w:rPr>
      </w:pPr>
      <w:r w:rsidRPr="00197A81">
        <w:rPr>
          <w:b/>
        </w:rPr>
        <w:t>Co-production of implementation materials</w:t>
      </w:r>
    </w:p>
    <w:p w:rsidR="005E5945" w:rsidRPr="00197A81" w:rsidRDefault="005E5945" w:rsidP="00DA7778">
      <w:pPr>
        <w:spacing w:line="480" w:lineRule="auto"/>
      </w:pPr>
    </w:p>
    <w:p w:rsidR="005E5945" w:rsidRPr="00197A81" w:rsidRDefault="002929E6" w:rsidP="00DA7778">
      <w:pPr>
        <w:spacing w:line="480" w:lineRule="auto"/>
      </w:pPr>
      <w:r w:rsidRPr="00197A81">
        <w:t xml:space="preserve">The Connecting People implementation materials were co-designed by a working group consisting of service users, practitioners, and researchers following co-production principles </w:t>
      </w:r>
      <w:r w:rsidR="00CE74CD" w:rsidRPr="00197A81">
        <w:fldChar w:fldCharType="begin"/>
      </w:r>
      <w:r w:rsidR="00656649">
        <w:instrText xml:space="preserve"> ADDIN EN.CITE &lt;EndNote&gt;&lt;Cite&gt;&lt;Author&gt;Lambert&lt;/Author&gt;&lt;Year&gt;2018&lt;/Year&gt;&lt;RecNum&gt;7684&lt;/RecNum&gt;&lt;DisplayText&gt;(Lambert and Carr, 2018)&lt;/DisplayText&gt;&lt;record&gt;&lt;rec-number&gt;1758&lt;/rec-number&gt;&lt;foreign-keys&gt;&lt;key app="EN" db-id="xsrta25fdvptf2e5ttppw9xu50s0t9tapt5e" timestamp="1598456721"&gt;1758&lt;/key&gt;&lt;/foreign-keys&gt;&lt;ref-type name="Journal Article"&gt;17&lt;/ref-type&gt;&lt;contributors&gt;&lt;authors&gt;&lt;author&gt;Lambert, N.&lt;/author&gt;&lt;author&gt;Carr, S.&lt;/author&gt;&lt;/authors&gt;&lt;/contributors&gt;&lt;titles&gt;&lt;title&gt;&amp;apos;Outside the Original Remit&amp;apos;: Co-production in UK mental health research, lessons from the field&lt;/title&gt;&lt;secondary-title&gt;International Journal of Mental Health Nursing&lt;/secondary-title&gt;&lt;/titles&gt;&lt;periodical&gt;&lt;full-title&gt;International Journal of Mental Health Nursing&lt;/full-title&gt;&lt;/periodical&gt;&lt;pages&gt;1273-1281&lt;/pages&gt;&lt;volume&gt;27&lt;/volume&gt;&lt;number&gt;4&lt;/number&gt;&lt;dates&gt;&lt;year&gt;2018&lt;/year&gt;&lt;/dates&gt;&lt;urls&gt;&lt;/urls&gt;&lt;/record&gt;&lt;/Cite&gt;&lt;/EndNote&gt;</w:instrText>
      </w:r>
      <w:r w:rsidR="00CE74CD" w:rsidRPr="00197A81">
        <w:fldChar w:fldCharType="separate"/>
      </w:r>
      <w:r w:rsidR="00CE74CD" w:rsidRPr="00197A81">
        <w:rPr>
          <w:noProof/>
        </w:rPr>
        <w:t>(Lambert and Carr, 2018)</w:t>
      </w:r>
      <w:r w:rsidR="00CE74CD" w:rsidRPr="00197A81">
        <w:fldChar w:fldCharType="end"/>
      </w:r>
      <w:r w:rsidRPr="00197A81">
        <w:t>. An extensive and iterative process over 11 months developed pre-existing materials into branded publications which clearly articulated what Connecting People was for practitioners (</w:t>
      </w:r>
      <w:r w:rsidRPr="00197A81">
        <w:rPr>
          <w:i/>
        </w:rPr>
        <w:t>Practice Guidance</w:t>
      </w:r>
      <w:r w:rsidRPr="00197A81">
        <w:t>) and service users (</w:t>
      </w:r>
      <w:r w:rsidRPr="00197A81">
        <w:rPr>
          <w:i/>
        </w:rPr>
        <w:t>Service User Leaflet</w:t>
      </w:r>
      <w:r w:rsidRPr="00197A81">
        <w:t>); how it should be implemented (</w:t>
      </w:r>
      <w:r w:rsidRPr="00197A81">
        <w:rPr>
          <w:i/>
        </w:rPr>
        <w:t>Implementation Manual</w:t>
      </w:r>
      <w:r w:rsidRPr="00197A81">
        <w:t>); and how to train others (</w:t>
      </w:r>
      <w:r w:rsidRPr="00197A81">
        <w:rPr>
          <w:i/>
        </w:rPr>
        <w:t>Training Manual</w:t>
      </w:r>
      <w:r w:rsidRPr="00197A81">
        <w:t>). The group worked closely with a design company to ensure the implementation tools</w:t>
      </w:r>
      <w:r w:rsidR="00DF281A" w:rsidRPr="00197A81">
        <w:t xml:space="preserve"> and associated website (</w:t>
      </w:r>
      <w:hyperlink r:id="rId7">
        <w:r w:rsidR="00DF281A" w:rsidRPr="00197A81">
          <w:rPr>
            <w:u w:val="single"/>
          </w:rPr>
          <w:t>connectingpeople.net</w:t>
        </w:r>
      </w:hyperlink>
      <w:r w:rsidR="00DF281A" w:rsidRPr="00197A81">
        <w:t xml:space="preserve">) </w:t>
      </w:r>
      <w:r w:rsidRPr="00197A81">
        <w:t>were visually appealing and easy to use. Once in the research phase of the study, the working group took on an advisory remi</w:t>
      </w:r>
      <w:r w:rsidR="0000067A" w:rsidRPr="00197A81">
        <w:t xml:space="preserve">t, </w:t>
      </w:r>
      <w:r w:rsidR="00DF281A" w:rsidRPr="00197A81">
        <w:t xml:space="preserve">but </w:t>
      </w:r>
      <w:r w:rsidR="00EF47C2" w:rsidRPr="00197A81">
        <w:t xml:space="preserve">it </w:t>
      </w:r>
      <w:r w:rsidR="00DF281A" w:rsidRPr="00197A81">
        <w:t>also</w:t>
      </w:r>
      <w:r w:rsidRPr="00197A81">
        <w:t xml:space="preserve"> review</w:t>
      </w:r>
      <w:r w:rsidR="00DF281A" w:rsidRPr="00197A81">
        <w:t>ed</w:t>
      </w:r>
      <w:r w:rsidRPr="00197A81">
        <w:t xml:space="preserve"> data and contribute</w:t>
      </w:r>
      <w:r w:rsidR="00DF281A" w:rsidRPr="00197A81">
        <w:t>d</w:t>
      </w:r>
      <w:r w:rsidRPr="00197A81">
        <w:t xml:space="preserve"> to </w:t>
      </w:r>
      <w:r w:rsidR="00F17450" w:rsidRPr="00197A81">
        <w:t>the</w:t>
      </w:r>
      <w:r w:rsidRPr="00197A81">
        <w:t xml:space="preserve"> dissemination plan</w:t>
      </w:r>
      <w:r w:rsidR="00782E1E">
        <w:t xml:space="preserve"> </w:t>
      </w:r>
      <w:r w:rsidR="00782E1E">
        <w:fldChar w:fldCharType="begin"/>
      </w:r>
      <w:r w:rsidR="00656649">
        <w:instrText xml:space="preserve"> ADDIN EN.CITE &lt;EndNote&gt;&lt;Cite&gt;&lt;Author&gt;Moran&lt;/Author&gt;&lt;Year&gt;2020&lt;/Year&gt;&lt;RecNum&gt;1748&lt;/RecNum&gt;&lt;DisplayText&gt;(Moran&lt;style face="italic"&gt; et al.&lt;/style&gt;, 2020)&lt;/DisplayText&gt;&lt;record&gt;&lt;rec-number&gt;1748&lt;/rec-number&gt;&lt;foreign-keys&gt;&lt;key app="EN" db-id="xsrta25fdvptf2e5ttppw9xu50s0t9tapt5e" timestamp="1598446964" guid="efa5d090-1ddf-4c03-820b-ae4ab5ce49c9"&gt;1748&lt;/key&gt;&lt;/foreign-keys&gt;&lt;ref-type name="Book Section"&gt;5&lt;/ref-type&gt;&lt;contributors&gt;&lt;authors&gt;&lt;author&gt;Moran, N.&lt;/author&gt;&lt;author&gt;Webber, M.&lt;/author&gt;&lt;author&gt;Dosanjh Kaur, H.&lt;/author&gt;&lt;author&gt;Morris, D.&lt;/author&gt;&lt;author&gt;Ngamaba, K.&lt;/author&gt;&lt;author&gt;Nunn, V.&lt;/author&gt;&lt;author&gt;Thomas, E.&lt;/author&gt;&lt;author&gt;Thompson, K.&lt;/author&gt;&lt;/authors&gt;&lt;secondary-authors&gt;&lt;author&gt;Joubert, L. &lt;/author&gt;&lt;author&gt;Webber, M.&lt;/author&gt;&lt;/secondary-authors&gt;&lt;/contributors&gt;&lt;titles&gt;&lt;title&gt;Co-producing practice research – The Connecting People Implementation Study&lt;/title&gt;&lt;secondary-title&gt;The Routledge Handbook of Social Work Practice Research&lt;/secondary-title&gt;&lt;/titles&gt;&lt;pages&gt;353-367&lt;/pages&gt;&lt;dates&gt;&lt;year&gt;2020&lt;/year&gt;&lt;/dates&gt;&lt;pub-location&gt;Abingdon&lt;/pub-location&gt;&lt;publisher&gt;Routledge&lt;/publisher&gt;&lt;urls&gt;&lt;/urls&gt;&lt;/record&gt;&lt;/Cite&gt;&lt;/EndNote&gt;</w:instrText>
      </w:r>
      <w:r w:rsidR="00782E1E">
        <w:fldChar w:fldCharType="separate"/>
      </w:r>
      <w:r w:rsidR="00782E1E">
        <w:rPr>
          <w:noProof/>
        </w:rPr>
        <w:t>(Moran</w:t>
      </w:r>
      <w:r w:rsidR="00782E1E" w:rsidRPr="00782E1E">
        <w:rPr>
          <w:i/>
          <w:noProof/>
        </w:rPr>
        <w:t xml:space="preserve"> et al.</w:t>
      </w:r>
      <w:r w:rsidR="00782E1E">
        <w:rPr>
          <w:noProof/>
        </w:rPr>
        <w:t>, 2020)</w:t>
      </w:r>
      <w:r w:rsidR="00782E1E">
        <w:fldChar w:fldCharType="end"/>
      </w:r>
      <w:r w:rsidRPr="00197A81">
        <w:t>.</w:t>
      </w:r>
    </w:p>
    <w:p w:rsidR="005E5945" w:rsidRPr="00197A81" w:rsidRDefault="005E5945" w:rsidP="00DA7778">
      <w:pPr>
        <w:spacing w:line="480" w:lineRule="auto"/>
      </w:pPr>
    </w:p>
    <w:p w:rsidR="005E5945" w:rsidRPr="00197A81" w:rsidRDefault="002929E6" w:rsidP="00DA7778">
      <w:pPr>
        <w:spacing w:line="480" w:lineRule="auto"/>
        <w:rPr>
          <w:b/>
        </w:rPr>
      </w:pPr>
      <w:r w:rsidRPr="00197A81">
        <w:rPr>
          <w:b/>
        </w:rPr>
        <w:t>Intervention</w:t>
      </w:r>
    </w:p>
    <w:p w:rsidR="005E5945" w:rsidRPr="00197A81" w:rsidRDefault="005E5945" w:rsidP="00DA7778">
      <w:pPr>
        <w:spacing w:line="480" w:lineRule="auto"/>
      </w:pPr>
    </w:p>
    <w:p w:rsidR="005E5945" w:rsidRPr="00197A81" w:rsidRDefault="002929E6" w:rsidP="00DA7778">
      <w:pPr>
        <w:spacing w:line="480" w:lineRule="auto"/>
      </w:pPr>
      <w:r w:rsidRPr="00197A81">
        <w:t xml:space="preserve">The five teams in the implementation arm of the study were provided with the Connecting People implementation tools. </w:t>
      </w:r>
      <w:r w:rsidR="002D3E5B" w:rsidRPr="00197A81">
        <w:t>R</w:t>
      </w:r>
      <w:r w:rsidRPr="00197A81">
        <w:t>esearchers introduced Connecting People to practitioners in the</w:t>
      </w:r>
      <w:r w:rsidR="00F17450" w:rsidRPr="00197A81">
        <w:t>se</w:t>
      </w:r>
      <w:r w:rsidRPr="00197A81">
        <w:t xml:space="preserve"> </w:t>
      </w:r>
      <w:r w:rsidR="00F17450" w:rsidRPr="00197A81">
        <w:t>teams</w:t>
      </w:r>
      <w:r w:rsidRPr="00197A81">
        <w:t xml:space="preserve">, but it was the responsibility of the social work leads within each site to decide how best to implement it according to local needs and service demands. A payment of £1000 was </w:t>
      </w:r>
      <w:r w:rsidR="001D0AE9" w:rsidRPr="00197A81">
        <w:t>made available</w:t>
      </w:r>
      <w:r w:rsidRPr="00197A81">
        <w:t xml:space="preserve"> to each team to assist the implementation, such as </w:t>
      </w:r>
      <w:r w:rsidR="00B11775" w:rsidRPr="00197A81">
        <w:t>additional</w:t>
      </w:r>
      <w:r w:rsidR="00F17450" w:rsidRPr="00197A81">
        <w:t xml:space="preserve"> </w:t>
      </w:r>
      <w:r w:rsidRPr="00197A81">
        <w:t>train</w:t>
      </w:r>
      <w:r w:rsidR="00F17450" w:rsidRPr="00197A81">
        <w:t xml:space="preserve">ing or </w:t>
      </w:r>
      <w:r w:rsidR="00B11775" w:rsidRPr="00197A81">
        <w:t>consultancy</w:t>
      </w:r>
      <w:r w:rsidRPr="00197A81">
        <w:t>. The intervention was delivered in the same way to the CMHTs in the control group on completion of the study.</w:t>
      </w:r>
    </w:p>
    <w:p w:rsidR="005E5945" w:rsidRPr="00197A81" w:rsidRDefault="005E5945" w:rsidP="00DA7778">
      <w:pPr>
        <w:spacing w:line="480" w:lineRule="auto"/>
      </w:pPr>
    </w:p>
    <w:p w:rsidR="005E5945" w:rsidRPr="00197A81" w:rsidRDefault="002929E6" w:rsidP="00DA7778">
      <w:pPr>
        <w:spacing w:line="480" w:lineRule="auto"/>
        <w:rPr>
          <w:b/>
        </w:rPr>
      </w:pPr>
      <w:r w:rsidRPr="00197A81">
        <w:rPr>
          <w:b/>
        </w:rPr>
        <w:t>Sample</w:t>
      </w:r>
    </w:p>
    <w:p w:rsidR="005E5945" w:rsidRPr="00197A81" w:rsidRDefault="005E5945" w:rsidP="00DA7778">
      <w:pPr>
        <w:spacing w:line="480" w:lineRule="auto"/>
      </w:pPr>
    </w:p>
    <w:p w:rsidR="005E5945" w:rsidRPr="00197A81" w:rsidRDefault="002929E6" w:rsidP="00DA7778">
      <w:pPr>
        <w:spacing w:line="480" w:lineRule="auto"/>
      </w:pPr>
      <w:r w:rsidRPr="00197A81">
        <w:t xml:space="preserve">Service users from intervention and control teams who were post-acute mental health crisis were invited to participate in the study. There were no exclusion criteria on the basis of diagnosis, </w:t>
      </w:r>
      <w:r w:rsidR="001D0AE9" w:rsidRPr="00197A81">
        <w:t>al</w:t>
      </w:r>
      <w:r w:rsidRPr="00197A81">
        <w:t>though participants needed to be able to give consent to participate</w:t>
      </w:r>
      <w:r w:rsidR="00FB5CEE" w:rsidRPr="00197A81">
        <w:t xml:space="preserve"> in the study</w:t>
      </w:r>
      <w:r w:rsidRPr="00197A81">
        <w:t xml:space="preserve"> and be able to participate in social activities.</w:t>
      </w:r>
      <w:r w:rsidR="00FB5CEE" w:rsidRPr="00197A81">
        <w:t xml:space="preserve"> This largely meant that they were not experiencing a mental health crisis, their basic needs (such as food and shelter) were met, and they were willing to develop new social connections.</w:t>
      </w:r>
    </w:p>
    <w:p w:rsidR="005E5945" w:rsidRPr="00197A81" w:rsidRDefault="005E5945" w:rsidP="00DA7778">
      <w:pPr>
        <w:spacing w:line="480" w:lineRule="auto"/>
      </w:pPr>
    </w:p>
    <w:p w:rsidR="005E5945" w:rsidRPr="00197A81" w:rsidRDefault="002929E6" w:rsidP="00DA7778">
      <w:pPr>
        <w:spacing w:line="480" w:lineRule="auto"/>
      </w:pPr>
      <w:r w:rsidRPr="00197A81">
        <w:t>The sample size calculation was informed by the pilot study</w:t>
      </w:r>
      <w:r w:rsidR="00782E1E">
        <w:t xml:space="preserve"> </w:t>
      </w:r>
      <w:r w:rsidR="00782E1E">
        <w:fldChar w:fldCharType="begin"/>
      </w:r>
      <w:r w:rsidR="00656649">
        <w:instrText xml:space="preserve"> ADDIN EN.CITE &lt;EndNote&gt;&lt;Cite&gt;&lt;Author&gt;Webber&lt;/Author&gt;&lt;Year&gt;2019&lt;/Year&gt;&lt;RecNum&gt;1746&lt;/RecNum&gt;&lt;DisplayText&gt;(Webber&lt;style face="italic"&gt; et al.&lt;/style&gt;, 2019)&lt;/DisplayText&gt;&lt;record&gt;&lt;rec-number&gt;1746&lt;/rec-number&gt;&lt;foreign-keys&gt;&lt;key app="EN" db-id="xsrta25fdvptf2e5ttppw9xu50s0t9tapt5e" timestamp="1598445580" guid="ffcba79e-04b2-4613-bfb5-5204f0430b8b"&gt;1746&lt;/key&gt;&lt;/foreign-keys&gt;&lt;ref-type name="Journal Article"&gt;17&lt;/ref-type&gt;&lt;contributors&gt;&lt;authors&gt;&lt;author&gt;Webber, Martin&lt;/author&gt;&lt;author&gt;Morris, David&lt;/author&gt;&lt;author&gt;Howarth, Sharon&lt;/author&gt;&lt;author&gt;Fendt-Newlin, Meredith&lt;/author&gt;&lt;author&gt;Treacy, Samantha&lt;/author&gt;&lt;author&gt;McCrone, Paul&lt;/author&gt;&lt;/authors&gt;&lt;/contributors&gt;&lt;titles&gt;&lt;title&gt;Effect of the Connecting People Intervention on Social Capital: A Pilot Study&lt;/title&gt;&lt;secondary-title&gt;Research on Social Work Practice&lt;/secondary-title&gt;&lt;/titles&gt;&lt;periodical&gt;&lt;full-title&gt;Research on Social Work Practice&lt;/full-title&gt;&lt;/periodical&gt;&lt;pages&gt;483-494&lt;/pages&gt;&lt;volume&gt;29&lt;/volume&gt;&lt;number&gt;5&lt;/number&gt;&lt;keywords&gt;&lt;keyword&gt;social capital,social networks,mental well-being,preexperimental design,complex intervention,mental health&lt;/keyword&gt;&lt;/keywords&gt;&lt;dates&gt;&lt;year&gt;2019&lt;/year&gt;&lt;/dates&gt;&lt;urls&gt;&lt;related-urls&gt;&lt;url&gt;https://journals.sagepub.com/doi/abs/10.1177/1049731517753685&lt;/url&gt;&lt;/related-urls&gt;&lt;/urls&gt;&lt;electronic-resource-num&gt;10.1177/1049731517753685&lt;/electronic-resource-num&gt;&lt;/record&gt;&lt;/Cite&gt;&lt;/EndNote&gt;</w:instrText>
      </w:r>
      <w:r w:rsidR="00782E1E">
        <w:fldChar w:fldCharType="separate"/>
      </w:r>
      <w:r w:rsidR="00782E1E">
        <w:rPr>
          <w:noProof/>
        </w:rPr>
        <w:t>(Webber</w:t>
      </w:r>
      <w:r w:rsidR="00782E1E" w:rsidRPr="00782E1E">
        <w:rPr>
          <w:i/>
          <w:noProof/>
        </w:rPr>
        <w:t xml:space="preserve"> et al.</w:t>
      </w:r>
      <w:r w:rsidR="00782E1E">
        <w:rPr>
          <w:noProof/>
        </w:rPr>
        <w:t>, 2019)</w:t>
      </w:r>
      <w:r w:rsidR="00782E1E">
        <w:fldChar w:fldCharType="end"/>
      </w:r>
      <w:r w:rsidRPr="00197A81">
        <w:t xml:space="preserve"> which found effect </w:t>
      </w:r>
      <w:r w:rsidR="001D0AE9" w:rsidRPr="00197A81">
        <w:t>sizes around d=0.50 in the high-</w:t>
      </w:r>
      <w:r w:rsidRPr="00197A81">
        <w:t>fidel</w:t>
      </w:r>
      <w:r w:rsidR="00FB15D6" w:rsidRPr="00197A81">
        <w:t>ity group and d=0.30 in the low-</w:t>
      </w:r>
      <w:r w:rsidRPr="00197A81">
        <w:t xml:space="preserve">fidelity group at follow-up. Therefore, we expected an overall relationship close to d=0.40. Estimating the sample size for running a multiple regression model predicting the post Resource Generator-UK (RG-UK) </w:t>
      </w:r>
      <w:r w:rsidR="00782E1E">
        <w:fldChar w:fldCharType="begin"/>
      </w:r>
      <w:r w:rsidR="00656649">
        <w:instrText xml:space="preserve"> ADDIN EN.CITE &lt;EndNote&gt;&lt;Cite&gt;&lt;Author&gt;Webber&lt;/Author&gt;&lt;Year&gt;2007&lt;/Year&gt;&lt;RecNum&gt;19&lt;/RecNum&gt;&lt;DisplayText&gt;(Webber and Huxley, 2007)&lt;/DisplayText&gt;&lt;record&gt;&lt;rec-number&gt;19&lt;/rec-number&gt;&lt;foreign-keys&gt;&lt;key app="EN" db-id="xsrta25fdvptf2e5ttppw9xu50s0t9tapt5e" timestamp="1598286856" guid="61beb8ea-86d0-40df-af1f-4cd875daa550"&gt;19&lt;/key&gt;&lt;/foreign-keys&gt;&lt;ref-type name="Journal Article"&gt;17&lt;/ref-type&gt;&lt;contributors&gt;&lt;authors&gt;&lt;author&gt;Webber, Martin P.&lt;/author&gt;&lt;author&gt;Huxley, Peter J.&lt;/author&gt;&lt;/authors&gt;&lt;/contributors&gt;&lt;titles&gt;&lt;title&gt;Measuring access to social capital: The validity and reliability of the Resource Generator-UK and its association with common mental disorder&lt;/title&gt;&lt;secondary-title&gt;Social Science &amp;amp; Medicine&lt;/secondary-title&gt;&lt;/titles&gt;&lt;periodical&gt;&lt;full-title&gt;Social Science &amp;amp; Medicine&lt;/full-title&gt;&lt;/periodical&gt;&lt;pages&gt;481-492&lt;/pages&gt;&lt;volume&gt;65&lt;/volume&gt;&lt;number&gt;3&lt;/number&gt;&lt;dates&gt;&lt;year&gt;2007&lt;/year&gt;&lt;pub-dates&gt;&lt;date&gt;AUG 2007&lt;/date&gt;&lt;/pub-dates&gt;&lt;/dates&gt;&lt;isbn&gt;0277-9536&lt;/isbn&gt;&lt;accession-num&gt;WOS:000248553800007&lt;/accession-num&gt;&lt;urls&gt;&lt;/urls&gt;&lt;electronic-resource-num&gt;10.1016/j.socscimed.2007.03.030&lt;/electronic-resource-num&gt;&lt;/record&gt;&lt;/Cite&gt;&lt;/EndNote&gt;</w:instrText>
      </w:r>
      <w:r w:rsidR="00782E1E">
        <w:fldChar w:fldCharType="separate"/>
      </w:r>
      <w:r w:rsidR="00782E1E">
        <w:rPr>
          <w:noProof/>
        </w:rPr>
        <w:t>(Webber and Huxley, 2007)</w:t>
      </w:r>
      <w:r w:rsidR="00782E1E">
        <w:fldChar w:fldCharType="end"/>
      </w:r>
      <w:r w:rsidRPr="00197A81">
        <w:t xml:space="preserve"> score, assuming an equally large effect size (i.e. partial r=0.20) and controlling for (a) pre RG-UK values, (b) demographic variables (age, gender, ethnicity) and (c) intra-class correlation due to teams (estimated at ICC=0.04 from the pilot data) suggested a minimal sample size of 199 (80% power with p=0.05; GPower,</w:t>
      </w:r>
      <w:r w:rsidR="009774AB" w:rsidRPr="00197A81">
        <w:t xml:space="preserve"> </w:t>
      </w:r>
      <w:r w:rsidR="009774AB" w:rsidRPr="00197A81">
        <w:fldChar w:fldCharType="begin"/>
      </w:r>
      <w:r w:rsidR="00656649">
        <w:instrText xml:space="preserve"> ADDIN EN.CITE &lt;EndNote&gt;&lt;Cite&gt;&lt;Author&gt;Faul&lt;/Author&gt;&lt;Year&gt;2009&lt;/Year&gt;&lt;RecNum&gt;7685&lt;/RecNum&gt;&lt;DisplayText&gt;(Faul&lt;style face="italic"&gt; et al.&lt;/style&gt;, 2009)&lt;/DisplayText&gt;&lt;record&gt;&lt;rec-number&gt;1759&lt;/rec-number&gt;&lt;foreign-keys&gt;&lt;key app="EN" db-id="xsrta25fdvptf2e5ttppw9xu50s0t9tapt5e" timestamp="1598456721"&gt;1759&lt;/key&gt;&lt;/foreign-keys&gt;&lt;ref-type name="Journal Article"&gt;17&lt;/ref-type&gt;&lt;contributors&gt;&lt;authors&gt;&lt;author&gt;Faul, F.&lt;/author&gt;&lt;author&gt;Erdfelder, E.&lt;/author&gt;&lt;author&gt;Buchner, A.&lt;/author&gt;&lt;author&gt;Lang, A.-G.&lt;/author&gt;&lt;/authors&gt;&lt;/contributors&gt;&lt;titles&gt;&lt;title&gt;Statistical power analyses using G*Power 3.1: Tests for correlation and regression analyses.&lt;/title&gt;&lt;secondary-title&gt;Behavior Research Methods&lt;/secondary-title&gt;&lt;/titles&gt;&lt;periodical&gt;&lt;full-title&gt;Behavior Research Methods&lt;/full-title&gt;&lt;/periodical&gt;&lt;pages&gt;1149–1160&lt;/pages&gt;&lt;volume&gt;41&lt;/volume&gt;&lt;number&gt;4&lt;/number&gt;&lt;dates&gt;&lt;year&gt;2009&lt;/year&gt;&lt;/dates&gt;&lt;urls&gt;&lt;/urls&gt;&lt;/record&gt;&lt;/Cite&gt;&lt;/EndNote&gt;</w:instrText>
      </w:r>
      <w:r w:rsidR="009774AB" w:rsidRPr="00197A81">
        <w:fldChar w:fldCharType="separate"/>
      </w:r>
      <w:r w:rsidR="009774AB" w:rsidRPr="00197A81">
        <w:rPr>
          <w:noProof/>
        </w:rPr>
        <w:t>(Faul</w:t>
      </w:r>
      <w:r w:rsidR="009774AB" w:rsidRPr="00197A81">
        <w:rPr>
          <w:i/>
          <w:noProof/>
        </w:rPr>
        <w:t xml:space="preserve"> et al.</w:t>
      </w:r>
      <w:r w:rsidR="009774AB" w:rsidRPr="00197A81">
        <w:rPr>
          <w:noProof/>
        </w:rPr>
        <w:t>, 2009)</w:t>
      </w:r>
      <w:r w:rsidR="009774AB" w:rsidRPr="00197A81">
        <w:fldChar w:fldCharType="end"/>
      </w:r>
      <w:r w:rsidR="009774AB" w:rsidRPr="00197A81">
        <w:t>)</w:t>
      </w:r>
      <w:r w:rsidRPr="00197A81">
        <w:t xml:space="preserve">. Such an improvement represented a modest, yet real, change in the resourcefulness of someone’s network and has been found in other prospective studies where recovery processes have also been observed </w:t>
      </w:r>
      <w:r w:rsidR="00782E1E">
        <w:fldChar w:fldCharType="begin">
          <w:fldData xml:space="preserve">PEVuZE5vdGU+PENpdGU+PEF1dGhvcj5XZWJiZXI8L0F1dGhvcj48WWVhcj4yMDExPC9ZZWFyPjxS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</w:fldData>
        </w:fldChar>
      </w:r>
      <w:r w:rsidR="00656649">
        <w:instrText xml:space="preserve"> ADDIN EN.CITE </w:instrText>
      </w:r>
      <w:r w:rsidR="00656649">
        <w:fldChar w:fldCharType="begin">
          <w:fldData xml:space="preserve">PEVuZE5vdGU+PENpdGU+PEF1dGhvcj5XZWJiZXI8L0F1dGhvcj48WWVhcj4yMDExPC9ZZWFyPjxS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</w:fldData>
        </w:fldChar>
      </w:r>
      <w:r w:rsidR="00656649">
        <w:instrText xml:space="preserve"> ADDIN EN.CITE.DATA </w:instrText>
      </w:r>
      <w:r w:rsidR="00656649">
        <w:fldChar w:fldCharType="end"/>
      </w:r>
      <w:r w:rsidR="00782E1E">
        <w:fldChar w:fldCharType="separate"/>
      </w:r>
      <w:r w:rsidR="00782E1E">
        <w:rPr>
          <w:noProof/>
        </w:rPr>
        <w:t>(Webber</w:t>
      </w:r>
      <w:r w:rsidR="00782E1E" w:rsidRPr="00782E1E">
        <w:rPr>
          <w:i/>
          <w:noProof/>
        </w:rPr>
        <w:t xml:space="preserve"> et al.</w:t>
      </w:r>
      <w:r w:rsidR="00782E1E">
        <w:rPr>
          <w:noProof/>
        </w:rPr>
        <w:t>, 2011; Webber</w:t>
      </w:r>
      <w:r w:rsidR="00782E1E" w:rsidRPr="00782E1E">
        <w:rPr>
          <w:i/>
          <w:noProof/>
        </w:rPr>
        <w:t xml:space="preserve"> et al.</w:t>
      </w:r>
      <w:r w:rsidR="00782E1E">
        <w:rPr>
          <w:noProof/>
        </w:rPr>
        <w:t>, 2019)</w:t>
      </w:r>
      <w:r w:rsidR="00782E1E">
        <w:fldChar w:fldCharType="end"/>
      </w:r>
      <w:r w:rsidRPr="00197A81">
        <w:t>.</w:t>
      </w:r>
    </w:p>
    <w:p w:rsidR="005E5945" w:rsidRPr="00197A81" w:rsidRDefault="005E5945" w:rsidP="00DA7778">
      <w:pPr>
        <w:spacing w:line="480" w:lineRule="auto"/>
      </w:pPr>
    </w:p>
    <w:p w:rsidR="002929E6" w:rsidRPr="00197A81" w:rsidRDefault="002929E6" w:rsidP="00DA7778">
      <w:pPr>
        <w:spacing w:line="480" w:lineRule="auto"/>
      </w:pPr>
      <w:r w:rsidRPr="00197A81">
        <w:t>159 participants (79.9% of minimal sample size) were recruited for the study and 151 (95.0%) were interviewed at baseline. A follow-up rate of 84.1% (n=127) was achieved</w:t>
      </w:r>
      <w:r w:rsidR="00B11775" w:rsidRPr="00197A81">
        <w:t xml:space="preserve"> at</w:t>
      </w:r>
      <w:r w:rsidRPr="00197A81">
        <w:t xml:space="preserve"> six months (figure 1). </w:t>
      </w:r>
    </w:p>
    <w:p w:rsidR="009774AB" w:rsidRPr="00197A81" w:rsidRDefault="009774AB" w:rsidP="00DA7778">
      <w:pPr>
        <w:spacing w:line="480" w:lineRule="auto"/>
        <w:jc w:val="center"/>
        <w:rPr>
          <w:i/>
        </w:rPr>
      </w:pPr>
      <w:r w:rsidRPr="00197A81">
        <w:rPr>
          <w:i/>
        </w:rPr>
        <w:t>Figure 1 about here</w:t>
      </w:r>
    </w:p>
    <w:p w:rsidR="005E5945" w:rsidRPr="00197A81" w:rsidRDefault="002929E6" w:rsidP="00DA7778">
      <w:pPr>
        <w:spacing w:line="480" w:lineRule="auto"/>
        <w:rPr>
          <w:b/>
        </w:rPr>
      </w:pPr>
      <w:r w:rsidRPr="00197A81">
        <w:rPr>
          <w:b/>
        </w:rPr>
        <w:t>Procedures</w:t>
      </w:r>
    </w:p>
    <w:p w:rsidR="005E5945" w:rsidRPr="00197A81" w:rsidRDefault="005E5945" w:rsidP="00DA7778">
      <w:pPr>
        <w:spacing w:line="480" w:lineRule="auto"/>
      </w:pPr>
    </w:p>
    <w:p w:rsidR="005E5945" w:rsidRPr="00197A81" w:rsidRDefault="002929E6" w:rsidP="00DA7778">
      <w:pPr>
        <w:spacing w:line="480" w:lineRule="auto"/>
      </w:pPr>
      <w:r w:rsidRPr="00197A81">
        <w:lastRenderedPageBreak/>
        <w:t>Potentially eligible participants were provided with study information sheets by their care co-ordinator or a Clinical Studies Officer in participating teams. The contact details of those who expressed an interest in participating were forwarded to the study researcher who obtained their informed consent to participate. Participants were interviewed by telephone using a standardised interview at baseline and 6-month follow-up to collect outcome data, with an additional demogra</w:t>
      </w:r>
      <w:r w:rsidR="00FB15D6" w:rsidRPr="00197A81">
        <w:t>phic schedule at baseline. Face-to-</w:t>
      </w:r>
      <w:r w:rsidRPr="00197A81">
        <w:t xml:space="preserve">face interviews were made available for participants with English as a second language, learning difficulties or visual or hearing difficulties. </w:t>
      </w:r>
      <w:r w:rsidR="00B11775" w:rsidRPr="00197A81">
        <w:t>Participants</w:t>
      </w:r>
      <w:r w:rsidRPr="00197A81">
        <w:t xml:space="preserve"> were free to withdraw from the study at any point.</w:t>
      </w:r>
    </w:p>
    <w:p w:rsidR="005E5945" w:rsidRPr="00197A81" w:rsidRDefault="005E5945" w:rsidP="00DA7778">
      <w:pPr>
        <w:spacing w:line="480" w:lineRule="auto"/>
      </w:pPr>
    </w:p>
    <w:p w:rsidR="005E5945" w:rsidRPr="00197A81" w:rsidRDefault="002929E6" w:rsidP="00DA7778">
      <w:pPr>
        <w:spacing w:line="480" w:lineRule="auto"/>
        <w:rPr>
          <w:b/>
        </w:rPr>
      </w:pPr>
      <w:r w:rsidRPr="00197A81">
        <w:rPr>
          <w:b/>
        </w:rPr>
        <w:t>Measures</w:t>
      </w:r>
    </w:p>
    <w:p w:rsidR="005E5945" w:rsidRPr="00197A81" w:rsidRDefault="005E5945" w:rsidP="00DA7778">
      <w:pPr>
        <w:spacing w:line="480" w:lineRule="auto"/>
      </w:pPr>
    </w:p>
    <w:p w:rsidR="005E5945" w:rsidRPr="00197A81" w:rsidRDefault="002929E6" w:rsidP="00DA7778">
      <w:pPr>
        <w:spacing w:line="480" w:lineRule="auto"/>
      </w:pPr>
      <w:r w:rsidRPr="00197A81">
        <w:t xml:space="preserve">Valid and reliable outcome measures were selected which were brief and sensitive to change. The primary outcome was access to social capital, as measured by the RG-UK </w:t>
      </w:r>
      <w:r w:rsidR="00782E1E">
        <w:fldChar w:fldCharType="begin"/>
      </w:r>
      <w:r w:rsidR="00656649">
        <w:instrText xml:space="preserve"> ADDIN EN.CITE &lt;EndNote&gt;&lt;Cite&gt;&lt;Author&gt;Webber&lt;/Author&gt;&lt;Year&gt;2007&lt;/Year&gt;&lt;RecNum&gt;19&lt;/RecNum&gt;&lt;DisplayText&gt;(Webber and Huxley, 2007)&lt;/DisplayText&gt;&lt;record&gt;&lt;rec-number&gt;19&lt;/rec-number&gt;&lt;foreign-keys&gt;&lt;key app="EN" db-id="xsrta25fdvptf2e5ttppw9xu50s0t9tapt5e" timestamp="1598286856" guid="61beb8ea-86d0-40df-af1f-4cd875daa550"&gt;19&lt;/key&gt;&lt;/foreign-keys&gt;&lt;ref-type name="Journal Article"&gt;17&lt;/ref-type&gt;&lt;contributors&gt;&lt;authors&gt;&lt;author&gt;Webber, Martin P.&lt;/author&gt;&lt;author&gt;Huxley, Peter J.&lt;/author&gt;&lt;/authors&gt;&lt;/contributors&gt;&lt;titles&gt;&lt;title&gt;Measuring access to social capital: The validity and reliability of the Resource Generator-UK and its association with common mental disorder&lt;/title&gt;&lt;secondary-title&gt;Social Science &amp;amp; Medicine&lt;/secondary-title&gt;&lt;/titles&gt;&lt;periodical&gt;&lt;full-title&gt;Social Science &amp;amp; Medicine&lt;/full-title&gt;&lt;/periodical&gt;&lt;pages&gt;481-492&lt;/pages&gt;&lt;volume&gt;65&lt;/volume&gt;&lt;number&gt;3&lt;/number&gt;&lt;dates&gt;&lt;year&gt;2007&lt;/year&gt;&lt;pub-dates&gt;&lt;date&gt;AUG 2007&lt;/date&gt;&lt;/pub-dates&gt;&lt;/dates&gt;&lt;isbn&gt;0277-9536&lt;/isbn&gt;&lt;accession-num&gt;WOS:000248553800007&lt;/accession-num&gt;&lt;urls&gt;&lt;/urls&gt;&lt;electronic-resource-num&gt;10.1016/j.socscimed.2007.03.030&lt;/electronic-resource-num&gt;&lt;/record&gt;&lt;/Cite&gt;&lt;/EndNote&gt;</w:instrText>
      </w:r>
      <w:r w:rsidR="00782E1E">
        <w:fldChar w:fldCharType="separate"/>
      </w:r>
      <w:r w:rsidR="00782E1E">
        <w:rPr>
          <w:noProof/>
        </w:rPr>
        <w:t>(Webber and Huxley, 2007)</w:t>
      </w:r>
      <w:r w:rsidR="00782E1E">
        <w:fldChar w:fldCharType="end"/>
      </w:r>
      <w:r w:rsidRPr="00197A81">
        <w:t>. This instrument measures the resourcefulness of social networks using culturally-relevant items for the UK general population. It has</w:t>
      </w:r>
      <w:r w:rsidR="00B11775" w:rsidRPr="00197A81">
        <w:t xml:space="preserve"> good reliability and validity </w:t>
      </w:r>
      <w:r w:rsidR="00782E1E">
        <w:fldChar w:fldCharType="begin"/>
      </w:r>
      <w:r w:rsidR="00656649">
        <w:instrText xml:space="preserve"> ADDIN EN.CITE &lt;EndNote&gt;&lt;Cite&gt;&lt;Author&gt;Webber&lt;/Author&gt;&lt;Year&gt;2007&lt;/Year&gt;&lt;RecNum&gt;19&lt;/RecNum&gt;&lt;DisplayText&gt;(Webber and Huxley, 2007)&lt;/DisplayText&gt;&lt;record&gt;&lt;rec-number&gt;19&lt;/rec-number&gt;&lt;foreign-keys&gt;&lt;key app="EN" db-id="xsrta25fdvptf2e5ttppw9xu50s0t9tapt5e" timestamp="1598286856" guid="61beb8ea-86d0-40df-af1f-4cd875daa550"&gt;19&lt;/key&gt;&lt;/foreign-keys&gt;&lt;ref-type name="Journal Article"&gt;17&lt;/ref-type&gt;&lt;contributors&gt;&lt;authors&gt;&lt;author&gt;Webber, Martin P.&lt;/author&gt;&lt;author&gt;Huxley, Peter J.&lt;/author&gt;&lt;/authors&gt;&lt;/contributors&gt;&lt;titles&gt;&lt;title&gt;Measuring access to social capital: The validity and reliability of the Resource Generator-UK and its association with common mental disorder&lt;/title&gt;&lt;secondary-title&gt;Social Science &amp;amp; Medicine&lt;/secondary-title&gt;&lt;/titles&gt;&lt;periodical&gt;&lt;full-title&gt;Social Science &amp;amp; Medicine&lt;/full-title&gt;&lt;/periodical&gt;&lt;pages&gt;481-492&lt;/pages&gt;&lt;volume&gt;65&lt;/volume&gt;&lt;number&gt;3&lt;/number&gt;&lt;dates&gt;&lt;year&gt;2007&lt;/year&gt;&lt;pub-dates&gt;&lt;date&gt;AUG 2007&lt;/date&gt;&lt;/pub-dates&gt;&lt;/dates&gt;&lt;isbn&gt;0277-9536&lt;/isbn&gt;&lt;accession-num&gt;WOS:000248553800007&lt;/accession-num&gt;&lt;urls&gt;&lt;/urls&gt;&lt;electronic-resource-num&gt;10.1016/j.socscimed.2007.03.030&lt;/electronic-resource-num&gt;&lt;/record&gt;&lt;/Cite&gt;&lt;/EndNote&gt;</w:instrText>
      </w:r>
      <w:r w:rsidR="00782E1E">
        <w:fldChar w:fldCharType="separate"/>
      </w:r>
      <w:r w:rsidR="00782E1E">
        <w:rPr>
          <w:noProof/>
        </w:rPr>
        <w:t>(Webber and Huxley, 2007)</w:t>
      </w:r>
      <w:r w:rsidR="00782E1E">
        <w:fldChar w:fldCharType="end"/>
      </w:r>
      <w:r w:rsidR="00B11775" w:rsidRPr="00197A81">
        <w:t>; is</w:t>
      </w:r>
      <w:r w:rsidRPr="00197A81">
        <w:t xml:space="preserve"> responsive to change </w:t>
      </w:r>
      <w:r w:rsidR="00782E1E">
        <w:fldChar w:fldCharType="begin">
          <w:fldData xml:space="preserve">PEVuZE5vdGU+PENpdGU+PEF1dGhvcj5XZWJiZXI8L0F1dGhvcj48WWVhcj4yMDExPC9ZZWFyPjxS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</w:fldData>
        </w:fldChar>
      </w:r>
      <w:r w:rsidR="00656649">
        <w:instrText xml:space="preserve"> ADDIN EN.CITE </w:instrText>
      </w:r>
      <w:r w:rsidR="00656649">
        <w:fldChar w:fldCharType="begin">
          <w:fldData xml:space="preserve">PEVuZE5vdGU+PENpdGU+PEF1dGhvcj5XZWJiZXI8L0F1dGhvcj48WWVhcj4yMDExPC9ZZWFyPjxS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</w:fldData>
        </w:fldChar>
      </w:r>
      <w:r w:rsidR="00656649">
        <w:instrText xml:space="preserve"> ADDIN EN.CITE.DATA </w:instrText>
      </w:r>
      <w:r w:rsidR="00656649">
        <w:fldChar w:fldCharType="end"/>
      </w:r>
      <w:r w:rsidR="00782E1E">
        <w:fldChar w:fldCharType="separate"/>
      </w:r>
      <w:r w:rsidR="00782E1E">
        <w:rPr>
          <w:noProof/>
        </w:rPr>
        <w:t>(Webber</w:t>
      </w:r>
      <w:r w:rsidR="00782E1E" w:rsidRPr="00782E1E">
        <w:rPr>
          <w:i/>
          <w:noProof/>
        </w:rPr>
        <w:t xml:space="preserve"> et al.</w:t>
      </w:r>
      <w:r w:rsidR="00782E1E">
        <w:rPr>
          <w:noProof/>
        </w:rPr>
        <w:t>, 2011; Webber</w:t>
      </w:r>
      <w:r w:rsidR="00782E1E" w:rsidRPr="00782E1E">
        <w:rPr>
          <w:i/>
          <w:noProof/>
        </w:rPr>
        <w:t xml:space="preserve"> et al.</w:t>
      </w:r>
      <w:r w:rsidR="00782E1E">
        <w:rPr>
          <w:noProof/>
        </w:rPr>
        <w:t>, 2019)</w:t>
      </w:r>
      <w:r w:rsidR="00782E1E">
        <w:fldChar w:fldCharType="end"/>
      </w:r>
      <w:r w:rsidR="00B11775" w:rsidRPr="00197A81">
        <w:t xml:space="preserve">; and </w:t>
      </w:r>
      <w:r w:rsidRPr="00197A81">
        <w:t xml:space="preserve">has been used in diverse samples of people with mental health </w:t>
      </w:r>
      <w:r w:rsidR="00EF47C2" w:rsidRPr="00197A81">
        <w:t xml:space="preserve">problems </w:t>
      </w:r>
      <w:r w:rsidR="00B2532F">
        <w:fldChar w:fldCharType="begin">
          <w:fldData xml:space="preserve">PEVuZE5vdGU+PENpdGU+PEF1dGhvcj5EdXR0PC9BdXRob3I+PFllYXI+MjAxMDwvWWVhcj48UmVj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</w:fldData>
        </w:fldChar>
      </w:r>
      <w:r w:rsidR="00656649">
        <w:instrText xml:space="preserve"> ADDIN EN.CITE </w:instrText>
      </w:r>
      <w:r w:rsidR="00656649">
        <w:fldChar w:fldCharType="begin">
          <w:fldData xml:space="preserve">PEVuZE5vdGU+PENpdGU+PEF1dGhvcj5EdXR0PC9BdXRob3I+PFllYXI+MjAxMDwvWWVhcj48UmVj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</w:fldData>
        </w:fldChar>
      </w:r>
      <w:r w:rsidR="00656649">
        <w:instrText xml:space="preserve"> ADDIN EN.CITE.DATA </w:instrText>
      </w:r>
      <w:r w:rsidR="00656649">
        <w:fldChar w:fldCharType="end"/>
      </w:r>
      <w:r w:rsidR="00B2532F">
        <w:fldChar w:fldCharType="separate"/>
      </w:r>
      <w:r w:rsidR="00B2532F">
        <w:rPr>
          <w:noProof/>
        </w:rPr>
        <w:t>(e.g. Dutt and Webber, 2010; Webber</w:t>
      </w:r>
      <w:r w:rsidR="00B2532F" w:rsidRPr="00B2532F">
        <w:rPr>
          <w:i/>
          <w:noProof/>
        </w:rPr>
        <w:t xml:space="preserve"> et al.</w:t>
      </w:r>
      <w:r w:rsidR="00B2532F">
        <w:rPr>
          <w:noProof/>
        </w:rPr>
        <w:t>, 2014)</w:t>
      </w:r>
      <w:r w:rsidR="00B2532F">
        <w:fldChar w:fldCharType="end"/>
      </w:r>
      <w:r w:rsidR="00EF47C2" w:rsidRPr="00197A81">
        <w:t>.</w:t>
      </w:r>
    </w:p>
    <w:p w:rsidR="005E5945" w:rsidRPr="00197A81" w:rsidRDefault="005E5945" w:rsidP="00DA7778">
      <w:pPr>
        <w:spacing w:line="480" w:lineRule="auto"/>
      </w:pPr>
    </w:p>
    <w:p w:rsidR="006C47AC" w:rsidRPr="00197A81" w:rsidRDefault="002929E6" w:rsidP="00F224CD">
      <w:pPr>
        <w:spacing w:line="480" w:lineRule="auto"/>
      </w:pPr>
      <w:r w:rsidRPr="00197A81">
        <w:t>Secondar</w:t>
      </w:r>
      <w:r w:rsidR="00D5147B" w:rsidRPr="00197A81">
        <w:t>y outcomes were G</w:t>
      </w:r>
      <w:r w:rsidRPr="00197A81">
        <w:t xml:space="preserve">oal </w:t>
      </w:r>
      <w:r w:rsidR="00D5147B" w:rsidRPr="00197A81">
        <w:t>A</w:t>
      </w:r>
      <w:r w:rsidRPr="00197A81">
        <w:t>ttainment</w:t>
      </w:r>
      <w:r w:rsidR="00622A36" w:rsidRPr="00197A81">
        <w:t xml:space="preserve"> </w:t>
      </w:r>
      <w:r w:rsidR="00D5147B" w:rsidRPr="00197A81">
        <w:t xml:space="preserve">Scaling (GAS) </w:t>
      </w:r>
      <w:r w:rsidR="00622A36" w:rsidRPr="00197A81">
        <w:fldChar w:fldCharType="begin"/>
      </w:r>
      <w:r w:rsidR="00656649">
        <w:instrText xml:space="preserve"> ADDIN EN.CITE &lt;EndNote&gt;&lt;Cite&gt;&lt;Author&gt;Turner-Stokes&lt;/Author&gt;&lt;Year&gt;2009&lt;/Year&gt;&lt;RecNum&gt;3525&lt;/RecNum&gt;&lt;DisplayText&gt;(Turner-Stokes, 2009)&lt;/DisplayText&gt;&lt;record&gt;&lt;rec-number&gt;1760&lt;/rec-number&gt;&lt;foreign-keys&gt;&lt;key app="EN" db-id="xsrta25fdvptf2e5ttppw9xu50s0t9tapt5e" timestamp="1598456721"&gt;1760&lt;/key&gt;&lt;/foreign-keys&gt;&lt;ref-type name="Journal Article"&gt;17&lt;/ref-type&gt;&lt;contributors&gt;&lt;authors&gt;&lt;author&gt;Turner-Stokes, L.&lt;/author&gt;&lt;/authors&gt;&lt;/contributors&gt;&lt;auth-address&gt;Kings college London, School of Medicine, Regional Rehabilitation Unit, Northwick Park Hospital, Harrow, UK. lynne.turner-stokes@dial.pipex.com&lt;/auth-address&gt;&lt;titles&gt;&lt;title&gt;Goal attainment scaling (GAS) in rehabilitation: a practical guide&lt;/title&gt;&lt;secondary-title&gt;Clinical Rehabilitation&lt;/secondary-title&gt;&lt;alt-title&gt;Clinical rehabilitation&lt;/alt-title&gt;&lt;/titles&gt;&lt;periodical&gt;&lt;full-title&gt;Clinical Rehabilitation&lt;/full-title&gt;&lt;abbr-1&gt;Clinical rehabilitation&lt;/abbr-1&gt;&lt;/periodical&gt;&lt;alt-periodical&gt;&lt;full-title&gt;Clinical Rehabilitation&lt;/full-title&gt;&lt;abbr-1&gt;Clinical rehabilitation&lt;/abbr-1&gt;&lt;/alt-periodical&gt;&lt;pages&gt;362-70&lt;/pages&gt;&lt;volume&gt;23&lt;/volume&gt;&lt;number&gt;4&lt;/number&gt;&lt;edition&gt;2009/01/31&lt;/edition&gt;&lt;keywords&gt;&lt;keyword&gt;Data Interpretation, Statistical&lt;/keyword&gt;&lt;keyword&gt;*Goals&lt;/keyword&gt;&lt;keyword&gt;Humans&lt;/keyword&gt;&lt;keyword&gt;*Numerical Analysis, Computer-Assisted&lt;/keyword&gt;&lt;keyword&gt;Occupational Therapy/*methods&lt;/keyword&gt;&lt;keyword&gt;Patient Care Planning&lt;/keyword&gt;&lt;keyword&gt;Recovery of Function&lt;/keyword&gt;&lt;/keywords&gt;&lt;dates&gt;&lt;year&gt;2009&lt;/year&gt;&lt;pub-dates&gt;&lt;date&gt;Apr&lt;/date&gt;&lt;/pub-dates&gt;&lt;/dates&gt;&lt;isbn&gt;0269-2155 (Print)&amp;#xD;0269-2155&lt;/isbn&gt;&lt;accession-num&gt;19179355&lt;/accession-num&gt;&lt;urls&gt;&lt;/urls&gt;&lt;electronic-resource-num&gt;10.1177/0269215508101742&lt;/electronic-resource-num&gt;&lt;remote-database-provider&gt;NLM&lt;/remote-database-provider&gt;&lt;language&gt;eng&lt;/language&gt;&lt;/record&gt;&lt;/Cite&gt;&lt;/EndNote&gt;</w:instrText>
      </w:r>
      <w:r w:rsidR="00622A36" w:rsidRPr="00197A81">
        <w:fldChar w:fldCharType="separate"/>
      </w:r>
      <w:r w:rsidR="00622A36" w:rsidRPr="00197A81">
        <w:rPr>
          <w:noProof/>
        </w:rPr>
        <w:t>(Turner-Stokes, 2009)</w:t>
      </w:r>
      <w:r w:rsidR="00622A36" w:rsidRPr="00197A81">
        <w:fldChar w:fldCharType="end"/>
      </w:r>
      <w:r w:rsidRPr="00197A81">
        <w:t xml:space="preserve">, </w:t>
      </w:r>
      <w:r w:rsidR="00D5147B" w:rsidRPr="00197A81">
        <w:t xml:space="preserve">Questionnaire about the Process </w:t>
      </w:r>
      <w:r w:rsidRPr="00197A81">
        <w:t xml:space="preserve">of </w:t>
      </w:r>
      <w:r w:rsidR="00D5147B" w:rsidRPr="00197A81">
        <w:t>R</w:t>
      </w:r>
      <w:r w:rsidRPr="00197A81">
        <w:t>ecovery</w:t>
      </w:r>
      <w:r w:rsidR="00D5147B" w:rsidRPr="00197A81">
        <w:t xml:space="preserve"> (QPR)</w:t>
      </w:r>
      <w:r w:rsidRPr="00197A81">
        <w:t xml:space="preserve"> </w:t>
      </w:r>
      <w:r w:rsidR="00622A36" w:rsidRPr="00197A81">
        <w:fldChar w:fldCharType="begin"/>
      </w:r>
      <w:r w:rsidR="00656649">
        <w:instrText xml:space="preserve"> ADDIN EN.CITE &lt;EndNote&gt;&lt;Cite&gt;&lt;Author&gt;Law&lt;/Author&gt;&lt;Year&gt;2014&lt;/Year&gt;&lt;RecNum&gt;1365&lt;/RecNum&gt;&lt;DisplayText&gt;(Law&lt;style face="italic"&gt; et al.&lt;/style&gt;, 2014)&lt;/DisplayText&gt;&lt;record&gt;&lt;rec-number&gt;1365&lt;/rec-number&gt;&lt;foreign-keys&gt;&lt;key app="EN" db-id="xsrta25fdvptf2e5ttppw9xu50s0t9tapt5e" timestamp="1598443448" guid="9db4ce49-0045-4455-932f-453a67d9a4e6"&gt;1365&lt;/key&gt;&lt;/foreign-keys&gt;&lt;ref-type name="Journal Article"&gt;17&lt;/ref-type&gt;&lt;contributors&gt;&lt;authors&gt;&lt;author&gt;Law, H.&lt;/author&gt;&lt;author&gt;Neil, S.T.&lt;/author&gt;&lt;author&gt;Dunn, G.&lt;/author&gt;&lt;author&gt;Morrison, A.P.&lt;/author&gt;&lt;/authors&gt;&lt;/contributors&gt;&lt;titles&gt;&lt;title&gt;Psychometric properties of the Questionnaire about the Process of Recovery (QPR)&lt;/title&gt;&lt;secondary-title&gt;Schizophrenia Research&lt;/secondary-title&gt;&lt;/titles&gt;&lt;periodical&gt;&lt;full-title&gt;Schizophrenia Research&lt;/full-title&gt;&lt;/periodical&gt;&lt;pages&gt;184-189&lt;/pages&gt;&lt;volume&gt;156&lt;/volume&gt;&lt;dates&gt;&lt;year&gt;2014&lt;/year&gt;&lt;/dates&gt;&lt;urls&gt;&lt;/urls&gt;&lt;/record&gt;&lt;/Cite&gt;&lt;/EndNote&gt;</w:instrText>
      </w:r>
      <w:r w:rsidR="00622A36" w:rsidRPr="00197A81">
        <w:fldChar w:fldCharType="separate"/>
      </w:r>
      <w:r w:rsidR="00622A36" w:rsidRPr="00197A81">
        <w:rPr>
          <w:noProof/>
        </w:rPr>
        <w:t>(Law</w:t>
      </w:r>
      <w:r w:rsidR="00622A36" w:rsidRPr="00197A81">
        <w:rPr>
          <w:i/>
          <w:noProof/>
        </w:rPr>
        <w:t xml:space="preserve"> et al.</w:t>
      </w:r>
      <w:r w:rsidR="00622A36" w:rsidRPr="00197A81">
        <w:rPr>
          <w:noProof/>
        </w:rPr>
        <w:t>, 2014)</w:t>
      </w:r>
      <w:r w:rsidR="00622A36" w:rsidRPr="00197A81">
        <w:fldChar w:fldCharType="end"/>
      </w:r>
      <w:r w:rsidRPr="00197A81">
        <w:t xml:space="preserve">, </w:t>
      </w:r>
      <w:r w:rsidR="00D5147B" w:rsidRPr="00197A81">
        <w:t>Warwick-Edinburgh M</w:t>
      </w:r>
      <w:r w:rsidRPr="00197A81">
        <w:t xml:space="preserve">ental </w:t>
      </w:r>
      <w:r w:rsidR="00D5147B" w:rsidRPr="00197A81">
        <w:t>W</w:t>
      </w:r>
      <w:r w:rsidRPr="00197A81">
        <w:t>ell</w:t>
      </w:r>
      <w:r w:rsidR="00D5147B" w:rsidRPr="00197A81">
        <w:t xml:space="preserve"> B</w:t>
      </w:r>
      <w:r w:rsidRPr="00197A81">
        <w:t>eing</w:t>
      </w:r>
      <w:r w:rsidR="00D5147B" w:rsidRPr="00197A81">
        <w:t xml:space="preserve"> Scale (WEMWBS)</w:t>
      </w:r>
      <w:r w:rsidRPr="00197A81">
        <w:t xml:space="preserve"> </w:t>
      </w:r>
      <w:r w:rsidR="00622A36" w:rsidRPr="00197A81">
        <w:fldChar w:fldCharType="begin"/>
      </w:r>
      <w:r w:rsidR="00656649">
        <w:instrText xml:space="preserve"> ADDIN EN.CITE &lt;EndNote&gt;&lt;Cite&gt;&lt;Author&gt;Tennant&lt;/Author&gt;&lt;Year&gt;2007&lt;/Year&gt;&lt;RecNum&gt;2726&lt;/RecNum&gt;&lt;DisplayText&gt;(Tennant&lt;style face="italic"&gt; et al.&lt;/style&gt;, 2007)&lt;/DisplayText&gt;&lt;record&gt;&lt;rec-number&gt;1761&lt;/rec-number&gt;&lt;foreign-keys&gt;&lt;key app="EN" db-id="xsrta25fdvptf2e5ttppw9xu50s0t9tapt5e" timestamp="1598456721"&gt;1761&lt;/key&gt;&lt;/foreign-keys&gt;&lt;ref-type name="Journal Article"&gt;17&lt;/ref-type&gt;&lt;contributors&gt;&lt;authors&gt;&lt;author&gt;Tennant, Ruth&lt;/author&gt;&lt;author&gt;Hiller, Louise&lt;/author&gt;&lt;author&gt;Fishwick, Ruth&lt;/author&gt;&lt;author&gt;Platt, Stephen&lt;/author&gt;&lt;author&gt;Joseph, Stephen&lt;/author&gt;&lt;author&gt;Weich, Scott&lt;/author&gt;&lt;author&gt;Parkinson, Jane&lt;/author&gt;&lt;author&gt;Secker, Jenny&lt;/author&gt;&lt;author&gt;Stewart-Brown, Sarah&lt;/author&gt;&lt;/authors&gt;&lt;/contributors&gt;&lt;titles&gt;&lt;title&gt;The Warwick-Edinburgh Mental Well-being Scale (WEMWBS): development and UK validation&lt;/title&gt;&lt;secondary-title&gt;Health and Quality of Life Outcomes&lt;/secondary-title&gt;&lt;/titles&gt;&lt;periodical&gt;&lt;full-title&gt;Health and Quality of Life Outcomes&lt;/full-title&gt;&lt;/periodical&gt;&lt;pages&gt;63&lt;/pages&gt;&lt;volume&gt;5&lt;/volume&gt;&lt;number&gt;1&lt;/number&gt;&lt;dates&gt;&lt;year&gt;2007&lt;/year&gt;&lt;/dates&gt;&lt;isbn&gt;1477-7525&lt;/isbn&gt;&lt;accession-num&gt;doi:10.1186/1477-7525-5-63&lt;/accession-num&gt;&lt;urls&gt;&lt;related-urls&gt;&lt;url&gt;http://www.hqlo.com/content/5/1/63&lt;/url&gt;&lt;/related-urls&gt;&lt;/urls&gt;&lt;/record&gt;&lt;/Cite&gt;&lt;/EndNote&gt;</w:instrText>
      </w:r>
      <w:r w:rsidR="00622A36" w:rsidRPr="00197A81">
        <w:fldChar w:fldCharType="separate"/>
      </w:r>
      <w:r w:rsidR="00622A36" w:rsidRPr="00197A81">
        <w:rPr>
          <w:noProof/>
        </w:rPr>
        <w:t>(Tennant</w:t>
      </w:r>
      <w:r w:rsidR="00622A36" w:rsidRPr="00197A81">
        <w:rPr>
          <w:i/>
          <w:noProof/>
        </w:rPr>
        <w:t xml:space="preserve"> et al.</w:t>
      </w:r>
      <w:r w:rsidR="00622A36" w:rsidRPr="00197A81">
        <w:rPr>
          <w:noProof/>
        </w:rPr>
        <w:t>, 2007)</w:t>
      </w:r>
      <w:r w:rsidR="00622A36" w:rsidRPr="00197A81">
        <w:fldChar w:fldCharType="end"/>
      </w:r>
      <w:r w:rsidR="005E0D05" w:rsidRPr="00197A81">
        <w:t>,</w:t>
      </w:r>
      <w:r w:rsidRPr="00197A81">
        <w:t xml:space="preserve"> health-related quality of life (EQ-5D-5L) </w:t>
      </w:r>
      <w:r w:rsidR="00622A36" w:rsidRPr="00197A81">
        <w:fldChar w:fldCharType="begin">
          <w:fldData xml:space="preserve">PEVuZE5vdGU+PENpdGU+PEF1dGhvcj5IZXJkbWFuPC9BdXRob3I+PFllYXI+MjAxMTwvWWVhcj48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</w:fldData>
        </w:fldChar>
      </w:r>
      <w:r w:rsidR="00656649">
        <w:instrText xml:space="preserve"> ADDIN EN.CITE </w:instrText>
      </w:r>
      <w:r w:rsidR="00656649">
        <w:fldChar w:fldCharType="begin">
          <w:fldData xml:space="preserve">PEVuZE5vdGU+PENpdGU+PEF1dGhvcj5IZXJkbWFuPC9BdXRob3I+PFllYXI+MjAxMTwvWWVhcj48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</w:fldData>
        </w:fldChar>
      </w:r>
      <w:r w:rsidR="00656649">
        <w:instrText xml:space="preserve"> ADDIN EN.CITE.DATA </w:instrText>
      </w:r>
      <w:r w:rsidR="00656649">
        <w:fldChar w:fldCharType="end"/>
      </w:r>
      <w:r w:rsidR="00622A36" w:rsidRPr="00197A81">
        <w:fldChar w:fldCharType="separate"/>
      </w:r>
      <w:r w:rsidR="00622A36" w:rsidRPr="00197A81">
        <w:rPr>
          <w:noProof/>
        </w:rPr>
        <w:t>(Herdman</w:t>
      </w:r>
      <w:r w:rsidR="00622A36" w:rsidRPr="00197A81">
        <w:rPr>
          <w:i/>
          <w:noProof/>
        </w:rPr>
        <w:t xml:space="preserve"> et al.</w:t>
      </w:r>
      <w:r w:rsidR="00622A36" w:rsidRPr="00197A81">
        <w:rPr>
          <w:noProof/>
        </w:rPr>
        <w:t>, 2011)</w:t>
      </w:r>
      <w:r w:rsidR="00622A36" w:rsidRPr="00197A81">
        <w:fldChar w:fldCharType="end"/>
      </w:r>
      <w:r w:rsidR="005E0D05" w:rsidRPr="00197A81">
        <w:t xml:space="preserve"> and the Client Services Receipt Inventory (CSRI) </w:t>
      </w:r>
      <w:r w:rsidR="005E0D05" w:rsidRPr="00197A81">
        <w:fldChar w:fldCharType="begin"/>
      </w:r>
      <w:r w:rsidR="00656649">
        <w:instrText xml:space="preserve"> ADDIN EN.CITE &lt;EndNote&gt;&lt;Cite&gt;&lt;Author&gt;Beecham&lt;/Author&gt;&lt;Year&gt;2001&lt;/Year&gt;&lt;RecNum&gt;1550&lt;/RecNum&gt;&lt;DisplayText&gt;(Beecham and Knapp, 2001)&lt;/DisplayText&gt;&lt;record&gt;&lt;rec-number&gt;1763&lt;/rec-number&gt;&lt;foreign-keys&gt;&lt;key app="EN" db-id="xsrta25fdvptf2e5ttppw9xu50s0t9tapt5e" timestamp="1598456721"&gt;1763&lt;/key&gt;&lt;/foreign-keys&gt;&lt;ref-type name="Book Section"&gt;5&lt;/ref-type&gt;&lt;contributors&gt;&lt;authors&gt;&lt;author&gt;Beecham, J.K.&lt;/author&gt;&lt;author&gt;Knapp, M.R.J.&lt;/author&gt;&lt;/authors&gt;&lt;secondary-authors&gt;&lt;author&gt;Thornicroft, G.&lt;/author&gt;&lt;author&gt;Brewin, C.&lt;/author&gt;&lt;author&gt;Wing, J.K.&lt;/author&gt;&lt;/secondary-authors&gt;&lt;/contributors&gt;&lt;titles&gt;&lt;title&gt;Costing psychiatric interventions&lt;/title&gt;&lt;secondary-title&gt;Measuring mental health needs&lt;/secondary-title&gt;&lt;/titles&gt;&lt;edition&gt;2nd&lt;/edition&gt;&lt;dates&gt;&lt;year&gt;2001&lt;/year&gt;&lt;/dates&gt;&lt;pub-location&gt;London&lt;/pub-location&gt;&lt;publisher&gt;Gaskell&lt;/publisher&gt;&lt;urls&gt;&lt;/urls&gt;&lt;/record&gt;&lt;/Cite&gt;&lt;/EndNote&gt;</w:instrText>
      </w:r>
      <w:r w:rsidR="005E0D05" w:rsidRPr="00197A81">
        <w:fldChar w:fldCharType="separate"/>
      </w:r>
      <w:r w:rsidR="005E0D05" w:rsidRPr="00197A81">
        <w:rPr>
          <w:noProof/>
        </w:rPr>
        <w:t>(Beecham and Knapp, 2001)</w:t>
      </w:r>
      <w:r w:rsidR="005E0D05" w:rsidRPr="00197A81">
        <w:fldChar w:fldCharType="end"/>
      </w:r>
      <w:r w:rsidR="005E0D05" w:rsidRPr="00197A81">
        <w:t>.</w:t>
      </w:r>
    </w:p>
    <w:p w:rsidR="00F224CD" w:rsidRPr="00197A81" w:rsidRDefault="00F224CD" w:rsidP="00F224CD">
      <w:pPr>
        <w:spacing w:line="480" w:lineRule="auto"/>
      </w:pPr>
    </w:p>
    <w:p w:rsidR="005E5945" w:rsidRPr="00197A81" w:rsidRDefault="00B11775" w:rsidP="00DA7778">
      <w:pPr>
        <w:spacing w:line="480" w:lineRule="auto"/>
      </w:pPr>
      <w:r w:rsidRPr="00197A81">
        <w:t>Participants</w:t>
      </w:r>
      <w:r w:rsidR="00F224CD" w:rsidRPr="00197A81">
        <w:t xml:space="preserve"> were asked about the fidelity of the intervention, which offered the opportunity to test via an instrumental variable approach </w:t>
      </w:r>
      <w:r w:rsidR="00F224CD" w:rsidRPr="00197A81">
        <w:fldChar w:fldCharType="begin"/>
      </w:r>
      <w:r w:rsidR="00656649">
        <w:instrText xml:space="preserve"> ADDIN EN.CITE &lt;EndNote&gt;&lt;Cite&gt;&lt;Author&gt;Angrist&lt;/Author&gt;&lt;Year&gt;1996&lt;/Year&gt;&lt;RecNum&gt;7628&lt;/RecNum&gt;&lt;DisplayText&gt;(Angrist&lt;style face="italic"&gt; et al.&lt;/style&gt;, 1996)&lt;/DisplayText&gt;&lt;record&gt;&lt;rec-number&gt;1764&lt;/rec-number&gt;&lt;foreign-keys&gt;&lt;key app="EN" db-id="xsrta25fdvptf2e5ttppw9xu50s0t9tapt5e" timestamp="1598456721"&gt;1764&lt;/key&gt;&lt;/foreign-keys&gt;&lt;ref-type name="Journal Article"&gt;17&lt;/ref-type&gt;&lt;contributors&gt;&lt;authors&gt;&lt;author&gt;Angrist, J.D.&lt;/author&gt;&lt;author&gt;Imbens, G.W.&lt;/author&gt;&lt;author&gt;Rubin, D.B.&lt;/author&gt;&lt;/authors&gt;&lt;/contributors&gt;&lt;titles&gt;&lt;title&gt;Identification of Causal Effects Using Instrumental Variables&lt;/title&gt;&lt;secondary-title&gt;Journal of the American Statistical Association&lt;/secondary-title&gt;&lt;/titles&gt;&lt;periodical&gt;&lt;full-title&gt;Journal of the American Statistical Association&lt;/full-title&gt;&lt;/periodical&gt;&lt;pages&gt;444-455&lt;/pages&gt;&lt;volume&gt;91&lt;/volume&gt;&lt;num-vols&gt;434&lt;/num-vols&gt;&lt;dates&gt;&lt;year&gt;1996&lt;/year&gt;&lt;/dates&gt;&lt;urls&gt;&lt;/urls&gt;&lt;/record&gt;&lt;/Cite&gt;&lt;/EndNote&gt;</w:instrText>
      </w:r>
      <w:r w:rsidR="00F224CD" w:rsidRPr="00197A81">
        <w:fldChar w:fldCharType="separate"/>
      </w:r>
      <w:r w:rsidR="00F224CD" w:rsidRPr="00197A81">
        <w:rPr>
          <w:noProof/>
        </w:rPr>
        <w:t>(Angrist</w:t>
      </w:r>
      <w:r w:rsidR="00F224CD" w:rsidRPr="00197A81">
        <w:rPr>
          <w:i/>
          <w:noProof/>
        </w:rPr>
        <w:t xml:space="preserve"> et al.</w:t>
      </w:r>
      <w:r w:rsidR="00F224CD" w:rsidRPr="00197A81">
        <w:rPr>
          <w:noProof/>
        </w:rPr>
        <w:t>, 1996)</w:t>
      </w:r>
      <w:r w:rsidR="00F224CD" w:rsidRPr="00197A81">
        <w:fldChar w:fldCharType="end"/>
      </w:r>
      <w:r w:rsidR="00F224CD" w:rsidRPr="00197A81">
        <w:t xml:space="preserve"> whether there was an effect of the implementation. Ten questions asked whether elements of the intervention were </w:t>
      </w:r>
      <w:r w:rsidR="00F224CD" w:rsidRPr="00197A81">
        <w:lastRenderedPageBreak/>
        <w:t xml:space="preserve">implemented and to which degree (e.g., "Does the team working with you support you to engage with new groups, services, activities or reconnect to former hobbies or networks in the community?", on a ten point response scale </w:t>
      </w:r>
      <w:r w:rsidR="00EF47C2" w:rsidRPr="00197A81">
        <w:t>from</w:t>
      </w:r>
      <w:r w:rsidR="00F224CD" w:rsidRPr="00197A81">
        <w:t xml:space="preserve"> ‘Not at all’ (1) </w:t>
      </w:r>
      <w:r w:rsidR="00EF47C2" w:rsidRPr="00197A81">
        <w:t>to</w:t>
      </w:r>
      <w:r w:rsidR="00F224CD" w:rsidRPr="00197A81">
        <w:t xml:space="preserve"> ‘Extensively’ (10)).</w:t>
      </w:r>
    </w:p>
    <w:p w:rsidR="00F224CD" w:rsidRPr="00197A81" w:rsidRDefault="00F224CD" w:rsidP="00DA7778">
      <w:pPr>
        <w:spacing w:line="480" w:lineRule="auto"/>
        <w:rPr>
          <w:b/>
        </w:rPr>
      </w:pPr>
    </w:p>
    <w:p w:rsidR="005E5945" w:rsidRPr="00197A81" w:rsidRDefault="002929E6" w:rsidP="00DA7778">
      <w:pPr>
        <w:spacing w:line="480" w:lineRule="auto"/>
        <w:rPr>
          <w:b/>
        </w:rPr>
      </w:pPr>
      <w:r w:rsidRPr="00197A81">
        <w:rPr>
          <w:b/>
        </w:rPr>
        <w:t>Outcome analysis</w:t>
      </w:r>
    </w:p>
    <w:p w:rsidR="005E5945" w:rsidRPr="00197A81" w:rsidRDefault="005E5945" w:rsidP="00DA7778">
      <w:pPr>
        <w:spacing w:line="480" w:lineRule="auto"/>
      </w:pPr>
    </w:p>
    <w:p w:rsidR="005E5945" w:rsidRPr="00197A81" w:rsidRDefault="002929E6" w:rsidP="00DA7778">
      <w:pPr>
        <w:spacing w:line="480" w:lineRule="auto"/>
      </w:pPr>
      <w:r w:rsidRPr="00197A81">
        <w:t>We used an ‘intention-to-treat’ analysis of the two data</w:t>
      </w:r>
      <w:r w:rsidR="006C47AC" w:rsidRPr="00197A81">
        <w:t>-</w:t>
      </w:r>
      <w:r w:rsidRPr="00197A81">
        <w:t>points</w:t>
      </w:r>
      <w:r w:rsidR="006C47AC" w:rsidRPr="00197A81">
        <w:t>,</w:t>
      </w:r>
      <w:r w:rsidRPr="00197A81">
        <w:t xml:space="preserve"> imputing missing data by carrying last observed values forward</w:t>
      </w:r>
      <w:r w:rsidR="006C47AC" w:rsidRPr="00197A81">
        <w:t xml:space="preserve"> (LOCF)</w:t>
      </w:r>
      <w:r w:rsidRPr="00197A81">
        <w:t>. This method minimised the impact of missing data and assumed the null hypothesi</w:t>
      </w:r>
      <w:r w:rsidR="006C47AC" w:rsidRPr="00197A81">
        <w:t>s of no difference between time-</w:t>
      </w:r>
      <w:r w:rsidRPr="00197A81">
        <w:t>points. We used multiple regression models predicting final RG-UK scores to evaluate differences between the arms of the study. In the analysis we incorporated baseline scores</w:t>
      </w:r>
      <w:r w:rsidR="006C47AC" w:rsidRPr="00197A81">
        <w:t>, age and gender</w:t>
      </w:r>
      <w:r w:rsidRPr="00197A81">
        <w:t xml:space="preserve"> as control variables and </w:t>
      </w:r>
      <w:r w:rsidR="00EF06F8" w:rsidRPr="00197A81">
        <w:t>entered</w:t>
      </w:r>
      <w:r w:rsidRPr="00197A81">
        <w:t xml:space="preserve"> the sites as</w:t>
      </w:r>
      <w:r w:rsidR="00EF06F8" w:rsidRPr="00197A81">
        <w:t xml:space="preserve"> a set of (n-1) dummy variables</w:t>
      </w:r>
      <w:r w:rsidRPr="00197A81">
        <w:t xml:space="preserve"> to control for between-site differences. The same analytic strategy was appli</w:t>
      </w:r>
      <w:r w:rsidR="006C47AC" w:rsidRPr="00197A81">
        <w:t xml:space="preserve">ed for the secondary outcomes. </w:t>
      </w:r>
      <w:r w:rsidRPr="00197A81">
        <w:t>Analysis was undertaken using Stata v.15 and SPSS v.25.</w:t>
      </w:r>
    </w:p>
    <w:p w:rsidR="005E5945" w:rsidRPr="00197A81" w:rsidRDefault="005E5945" w:rsidP="00DA7778">
      <w:pPr>
        <w:spacing w:line="480" w:lineRule="auto"/>
      </w:pPr>
    </w:p>
    <w:p w:rsidR="005E5945" w:rsidRPr="00197A81" w:rsidRDefault="002929E6" w:rsidP="00DA7778">
      <w:pPr>
        <w:spacing w:line="480" w:lineRule="auto"/>
        <w:rPr>
          <w:b/>
        </w:rPr>
      </w:pPr>
      <w:r w:rsidRPr="00197A81">
        <w:rPr>
          <w:b/>
        </w:rPr>
        <w:t>Economic evaluation</w:t>
      </w:r>
    </w:p>
    <w:p w:rsidR="007E6305" w:rsidRPr="00197A81" w:rsidRDefault="007E6305" w:rsidP="006C47AC">
      <w:pPr>
        <w:spacing w:line="480" w:lineRule="auto"/>
      </w:pPr>
    </w:p>
    <w:p w:rsidR="006C47AC" w:rsidRPr="00197A81" w:rsidRDefault="006C47AC" w:rsidP="006C47AC">
      <w:pPr>
        <w:spacing w:line="480" w:lineRule="auto"/>
      </w:pPr>
      <w:r w:rsidRPr="00197A81">
        <w:t>The economic evaluation took three decision-making perspectives:</w:t>
      </w:r>
    </w:p>
    <w:p w:rsidR="006C47AC" w:rsidRPr="00197A81" w:rsidRDefault="00212718" w:rsidP="007E6305">
      <w:pPr>
        <w:spacing w:line="480" w:lineRule="auto"/>
        <w:ind w:left="720"/>
      </w:pPr>
      <w:r w:rsidRPr="00197A81">
        <w:t>a) a health and social c</w:t>
      </w:r>
      <w:r w:rsidR="006C47AC" w:rsidRPr="00197A81">
        <w:t>are (HSC) perspective including only costs to health and social care organisations</w:t>
      </w:r>
    </w:p>
    <w:p w:rsidR="006C47AC" w:rsidRPr="00197A81" w:rsidRDefault="006C47AC" w:rsidP="007E6305">
      <w:pPr>
        <w:spacing w:line="480" w:lineRule="auto"/>
        <w:ind w:left="720"/>
      </w:pPr>
      <w:r w:rsidRPr="00197A81">
        <w:t>b) a public perspective including all costs in the HSC perspective as well as costs of criminal justice.</w:t>
      </w:r>
    </w:p>
    <w:p w:rsidR="005E5945" w:rsidRPr="00197A81" w:rsidRDefault="006C47AC" w:rsidP="007E6305">
      <w:pPr>
        <w:spacing w:line="480" w:lineRule="auto"/>
        <w:ind w:left="720"/>
      </w:pPr>
      <w:r w:rsidRPr="00197A81">
        <w:t>c) a societal perspective including all costs, including unpaid care and lost productivity.</w:t>
      </w:r>
    </w:p>
    <w:p w:rsidR="00F224CD" w:rsidRPr="00197A81" w:rsidRDefault="00F224CD" w:rsidP="007E6305">
      <w:pPr>
        <w:spacing w:line="480" w:lineRule="auto"/>
        <w:ind w:left="720"/>
      </w:pPr>
    </w:p>
    <w:p w:rsidR="007E6305" w:rsidRPr="00197A81" w:rsidRDefault="007E6305" w:rsidP="00DA7778">
      <w:pPr>
        <w:spacing w:line="480" w:lineRule="auto"/>
      </w:pPr>
      <w:r w:rsidRPr="00197A81">
        <w:t>We used the CSRI to collect data on inpatient hospital stays, community health and social care, medication, criminal justice, out-of-pocket expenditure, lost productivity and unpaid care in the prior 6 months. Costs were calculated applying uni</w:t>
      </w:r>
      <w:r w:rsidR="002D7976" w:rsidRPr="00197A81">
        <w:t xml:space="preserve">t costs from published sources </w:t>
      </w:r>
      <w:r w:rsidR="002D7976" w:rsidRPr="00197A81">
        <w:lastRenderedPageBreak/>
        <w:fldChar w:fldCharType="begin"/>
      </w:r>
      <w:r w:rsidR="00656649">
        <w:instrText xml:space="preserve"> ADDIN EN.CITE &lt;EndNote&gt;&lt;Cite&gt;&lt;Author&gt;Curtis&lt;/Author&gt;&lt;Year&gt;2018&lt;/Year&gt;&lt;RecNum&gt;7717&lt;/RecNum&gt;&lt;Prefix&gt;e.g. &lt;/Prefix&gt;&lt;DisplayText&gt;(e.g. Curtis and Burns, 2018; NHS Digital, 2018)&lt;/DisplayText&gt;&lt;record&gt;&lt;rec-number&gt;1765&lt;/rec-number&gt;&lt;foreign-keys&gt;&lt;key app="EN" db-id="xsrta25fdvptf2e5ttppw9xu50s0t9tapt5e" timestamp="1598456721"&gt;1765&lt;/key&gt;&lt;/foreign-keys&gt;&lt;ref-type name="Report"&gt;27&lt;/ref-type&gt;&lt;contributors&gt;&lt;authors&gt;&lt;author&gt;Curtis, L.&lt;/author&gt;&lt;author&gt;Burns, A.&lt;/author&gt;&lt;/authors&gt;&lt;/contributors&gt;&lt;titles&gt;&lt;title&gt;Unit Costs of Health and Social Care 2018&lt;/title&gt;&lt;/titles&gt;&lt;dates&gt;&lt;year&gt;2018&lt;/year&gt;&lt;/dates&gt;&lt;pub-location&gt;Canterbury&lt;/pub-location&gt;&lt;publisher&gt;Personal Social Services Research Unit, University of Kent&lt;/publisher&gt;&lt;urls&gt;&lt;/urls&gt;&lt;electronic-resource-num&gt;https://doi.org/10.22024/UniKent/01.02.70995​&lt;/electronic-resource-num&gt;&lt;/record&gt;&lt;/Cite&gt;&lt;Cite&gt;&lt;Author&gt;NHS Digital&lt;/Author&gt;&lt;Year&gt;2018&lt;/Year&gt;&lt;RecNum&gt;7718&lt;/RecNum&gt;&lt;record&gt;&lt;rec-number&gt;1766&lt;/rec-number&gt;&lt;foreign-keys&gt;&lt;key app="EN" db-id="xsrta25fdvptf2e5ttppw9xu50s0t9tapt5e" timestamp="1598456721"&gt;1766&lt;/key&gt;&lt;/foreign-keys&gt;&lt;ref-type name="Web Page"&gt;12&lt;/ref-type&gt;&lt;contributors&gt;&lt;authors&gt;&lt;author&gt;NHS Digital,&lt;/author&gt;&lt;/authors&gt;&lt;/contributors&gt;&lt;titles&gt;&lt;title&gt;Prescription Cost Analysis, England-2017&lt;/title&gt;&lt;/titles&gt;&lt;number&gt;1 March 2019&lt;/number&gt;&lt;dates&gt;&lt;year&gt;2018&lt;/year&gt;&lt;/dates&gt;&lt;urls&gt;&lt;related-urls&gt;&lt;url&gt;https://digital.nhs.uk/data-and-information/publications/statistical/prescription-cost-analysis/prescription-cost-analysis-england-2017&lt;/url&gt;&lt;/related-urls&gt;&lt;/urls&gt;&lt;/record&gt;&lt;/Cite&gt;&lt;/EndNote&gt;</w:instrText>
      </w:r>
      <w:r w:rsidR="002D7976" w:rsidRPr="00197A81">
        <w:fldChar w:fldCharType="separate"/>
      </w:r>
      <w:r w:rsidR="003547DF" w:rsidRPr="00197A81">
        <w:rPr>
          <w:noProof/>
        </w:rPr>
        <w:t>(e.g. Curtis and Burns, 2018; NHS Digital, 2018)</w:t>
      </w:r>
      <w:r w:rsidR="002D7976" w:rsidRPr="00197A81">
        <w:fldChar w:fldCharType="end"/>
      </w:r>
      <w:r w:rsidR="003547DF" w:rsidRPr="00197A81">
        <w:t xml:space="preserve"> to units of resource use (appendix table B1).</w:t>
      </w:r>
      <w:r w:rsidR="00B50F23" w:rsidRPr="00197A81">
        <w:t xml:space="preserve"> The direct costs of delivering the intervention were investigated qualitatively: we asked intervention teams about the costs of delivering Connecting People (e.g. on ongoing training time, materials, room bookings and Connecting People activities) during focus groups held near the end of the study period. QALYs were generated from EQ-5D </w:t>
      </w:r>
      <w:r w:rsidR="00E01126" w:rsidRPr="00197A81">
        <w:fldChar w:fldCharType="begin"/>
      </w:r>
      <w:r w:rsidR="00656649">
        <w:instrText xml:space="preserve"> ADDIN EN.CITE &lt;EndNote&gt;&lt;Cite&gt;&lt;Author&gt;van Hout&lt;/Author&gt;&lt;Year&gt;2012&lt;/Year&gt;&lt;RecNum&gt;7719&lt;/RecNum&gt;&lt;DisplayText&gt;(van Hout&lt;style face="italic"&gt; et al.&lt;/style&gt;, 2012)&lt;/DisplayText&gt;&lt;record&gt;&lt;rec-number&gt;1767&lt;/rec-number&gt;&lt;foreign-keys&gt;&lt;key app="EN" db-id="xsrta25fdvptf2e5ttppw9xu50s0t9tapt5e" timestamp="1598456721"&gt;1767&lt;/key&gt;&lt;/foreign-keys&gt;&lt;ref-type name="Journal Article"&gt;17&lt;/ref-type&gt;&lt;contributors&gt;&lt;authors&gt;&lt;author&gt;van Hout, B.&lt;/author&gt;&lt;author&gt;Janssen, M.F.&lt;/author&gt;&lt;author&gt;Feng, Y.-S.&lt;/author&gt;&lt;author&gt;Kohlmann, T.&lt;/author&gt;&lt;author&gt;Busschbach, J.&lt;/author&gt;&lt;author&gt;Golicki, D.&lt;/author&gt;&lt;author&gt;Lloyd, A.&lt;/author&gt;&lt;author&gt;Scalone, L.&lt;/author&gt;&lt;author&gt;Kind, P.&lt;/author&gt;&lt;author&gt;Pickard, A.S.&lt;/author&gt;&lt;/authors&gt;&lt;/contributors&gt;&lt;titles&gt;&lt;title&gt;Interim Scoring for the EQ-5D-5L: Mapping the EQ-5D-5L to EQ-5D-3L Value Sets&lt;/title&gt;&lt;secondary-title&gt;Value in Health&lt;/secondary-title&gt;&lt;/titles&gt;&lt;periodical&gt;&lt;full-title&gt;Value in Health&lt;/full-title&gt;&lt;/periodical&gt;&lt;pages&gt;708-715&lt;/pages&gt;&lt;volume&gt;15&lt;/volume&gt;&lt;number&gt;5&lt;/number&gt;&lt;dates&gt;&lt;year&gt;2012&lt;/year&gt;&lt;/dates&gt;&lt;urls&gt;&lt;/urls&gt;&lt;/record&gt;&lt;/Cite&gt;&lt;/EndNote&gt;</w:instrText>
      </w:r>
      <w:r w:rsidR="00E01126" w:rsidRPr="00197A81">
        <w:fldChar w:fldCharType="separate"/>
      </w:r>
      <w:r w:rsidR="00E01126" w:rsidRPr="00197A81">
        <w:rPr>
          <w:noProof/>
        </w:rPr>
        <w:t>(van Hout</w:t>
      </w:r>
      <w:r w:rsidR="00E01126" w:rsidRPr="00197A81">
        <w:rPr>
          <w:i/>
          <w:noProof/>
        </w:rPr>
        <w:t xml:space="preserve"> et al.</w:t>
      </w:r>
      <w:r w:rsidR="00E01126" w:rsidRPr="00197A81">
        <w:rPr>
          <w:noProof/>
        </w:rPr>
        <w:t>, 2012)</w:t>
      </w:r>
      <w:r w:rsidR="00E01126" w:rsidRPr="00197A81">
        <w:fldChar w:fldCharType="end"/>
      </w:r>
      <w:r w:rsidR="00E01126" w:rsidRPr="00197A81">
        <w:t>.</w:t>
      </w:r>
    </w:p>
    <w:p w:rsidR="002D7976" w:rsidRPr="00197A81" w:rsidRDefault="002D7976" w:rsidP="00DA7778">
      <w:pPr>
        <w:spacing w:line="480" w:lineRule="auto"/>
      </w:pPr>
    </w:p>
    <w:p w:rsidR="005E5945" w:rsidRPr="00197A81" w:rsidRDefault="00E01126" w:rsidP="00DA7778">
      <w:pPr>
        <w:spacing w:line="480" w:lineRule="auto"/>
      </w:pPr>
      <w:r w:rsidRPr="00197A81">
        <w:t>Where participants had used a service at baseline, but data on frequency and duration of service use were missing at follow-up, baseline values were carried over. M</w:t>
      </w:r>
      <w:r w:rsidR="002929E6" w:rsidRPr="00197A81">
        <w:t>ean imputation was used to impute missing baseline and follow-up service use frequency and duration variables (approximately 8.1% of data-points contributing to calculating costs and outcomes were missing).</w:t>
      </w:r>
    </w:p>
    <w:p w:rsidR="00E01126" w:rsidRPr="00197A81" w:rsidRDefault="00E01126" w:rsidP="00DA7778">
      <w:pPr>
        <w:spacing w:line="480" w:lineRule="auto"/>
      </w:pPr>
    </w:p>
    <w:p w:rsidR="00E01126" w:rsidRPr="00197A81" w:rsidRDefault="00E01126" w:rsidP="00DA7778">
      <w:pPr>
        <w:spacing w:line="480" w:lineRule="auto"/>
      </w:pPr>
      <w:r w:rsidRPr="00197A81">
        <w:t xml:space="preserve">Between-group costs were summarised and compared using clustered t-tests </w:t>
      </w:r>
      <w:r w:rsidRPr="00197A81">
        <w:fldChar w:fldCharType="begin"/>
      </w:r>
      <w:r w:rsidR="00656649">
        <w:instrText xml:space="preserve"> ADDIN EN.CITE &lt;EndNote&gt;&lt;Cite&gt;&lt;Author&gt;Donner&lt;/Author&gt;&lt;Year&gt;2000&lt;/Year&gt;&lt;RecNum&gt;7720&lt;/RecNum&gt;&lt;DisplayText&gt;(Donner and Klar, 2000; Herrin, 2012)&lt;/DisplayText&gt;&lt;record&gt;&lt;rec-number&gt;1768&lt;/rec-number&gt;&lt;foreign-keys&gt;&lt;key app="EN" db-id="xsrta25fdvptf2e5ttppw9xu50s0t9tapt5e" timestamp="1598456721"&gt;1768&lt;/key&gt;&lt;/foreign-keys&gt;&lt;ref-type name="Book"&gt;6&lt;/ref-type&gt;&lt;contributors&gt;&lt;authors&gt;&lt;author&gt;Donner, A.&lt;/author&gt;&lt;author&gt;Klar, N.&lt;/author&gt;&lt;/authors&gt;&lt;/contributors&gt;&lt;titles&gt;&lt;title&gt;Design and analysis of cluster randomization trials in health research&lt;/title&gt;&lt;/titles&gt;&lt;dates&gt;&lt;year&gt;2000&lt;/year&gt;&lt;/dates&gt;&lt;pub-location&gt;London&lt;/pub-location&gt;&lt;publisher&gt;Arnold&lt;/publisher&gt;&lt;urls&gt;&lt;/urls&gt;&lt;/record&gt;&lt;/Cite&gt;&lt;Cite&gt;&lt;Author&gt;Herrin&lt;/Author&gt;&lt;Year&gt;2012&lt;/Year&gt;&lt;RecNum&gt;7721&lt;/RecNum&gt;&lt;record&gt;&lt;rec-number&gt;1769&lt;/rec-number&gt;&lt;foreign-keys&gt;&lt;key app="EN" db-id="xsrta25fdvptf2e5ttppw9xu50s0t9tapt5e" timestamp="1598456721"&gt;1769&lt;/key&gt;&lt;/foreign-keys&gt;&lt;ref-type name="Book Section"&gt;5&lt;/ref-type&gt;&lt;contributors&gt;&lt;authors&gt;&lt;author&gt;Herrin, Jeph&lt;/author&gt;&lt;/authors&gt;&lt;/contributors&gt;&lt;titles&gt;&lt;title&gt;CLTEST: Stata modules for performing cluster-adjusted chi-square and t-tests&lt;/title&gt;&lt;secondary-title&gt;Statistical Software Components S424901&lt;/secondary-title&gt;&lt;/titles&gt;&lt;dates&gt;&lt;year&gt;2012&lt;/year&gt;&lt;pub-dates&gt;&lt;date&gt;04/25&lt;/date&gt;&lt;/pub-dates&gt;&lt;/dates&gt;&lt;pub-location&gt;Boston&lt;/pub-location&gt;&lt;publisher&gt;Boston College Department of Economics&lt;/publisher&gt;&lt;urls&gt;&lt;/urls&gt;&lt;/record&gt;&lt;/Cite&gt;&lt;/EndNote&gt;</w:instrText>
      </w:r>
      <w:r w:rsidRPr="00197A81">
        <w:fldChar w:fldCharType="separate"/>
      </w:r>
      <w:r w:rsidR="00706E12" w:rsidRPr="00197A81">
        <w:rPr>
          <w:noProof/>
        </w:rPr>
        <w:t>(Donner and Klar, 2000; Herrin, 2012)</w:t>
      </w:r>
      <w:r w:rsidRPr="00197A81">
        <w:fldChar w:fldCharType="end"/>
      </w:r>
      <w:r w:rsidR="00706E12" w:rsidRPr="00197A81">
        <w:t xml:space="preserve"> to account for team-level clustering.</w:t>
      </w:r>
    </w:p>
    <w:p w:rsidR="005E5945" w:rsidRPr="00197A81" w:rsidRDefault="005E5945" w:rsidP="00DA7778">
      <w:pPr>
        <w:spacing w:line="480" w:lineRule="auto"/>
      </w:pPr>
    </w:p>
    <w:p w:rsidR="005E5945" w:rsidRPr="00197A81" w:rsidRDefault="00706E12" w:rsidP="00DA7778">
      <w:pPr>
        <w:spacing w:line="480" w:lineRule="auto"/>
      </w:pPr>
      <w:r w:rsidRPr="00197A81">
        <w:t>Incremental c</w:t>
      </w:r>
      <w:r w:rsidR="001D28E4" w:rsidRPr="00197A81">
        <w:t>ost-</w:t>
      </w:r>
      <w:r w:rsidRPr="00197A81">
        <w:t>effectiveness r</w:t>
      </w:r>
      <w:r w:rsidR="001D28E4" w:rsidRPr="00197A81">
        <w:t xml:space="preserve">atios (ICERs) </w:t>
      </w:r>
      <w:r w:rsidRPr="00197A81">
        <w:t xml:space="preserve">and Net Benefits </w:t>
      </w:r>
      <w:r w:rsidR="001D28E4" w:rsidRPr="00197A81">
        <w:t xml:space="preserve">were calculated to aid decision makers in </w:t>
      </w:r>
      <w:r w:rsidR="002929E6" w:rsidRPr="00197A81">
        <w:t xml:space="preserve">determining whether </w:t>
      </w:r>
      <w:r w:rsidRPr="00197A81">
        <w:t xml:space="preserve">the value of the </w:t>
      </w:r>
      <w:r w:rsidR="00B11775" w:rsidRPr="00197A81">
        <w:t>implementation</w:t>
      </w:r>
      <w:r w:rsidRPr="00197A81">
        <w:t xml:space="preserve"> (in terms of outcome gains) was worth the cost associated with it</w:t>
      </w:r>
      <w:r w:rsidR="002929E6" w:rsidRPr="00197A81">
        <w:t>. The</w:t>
      </w:r>
      <w:r w:rsidRPr="00197A81">
        <w:t xml:space="preserve"> ICER i</w:t>
      </w:r>
      <w:r w:rsidR="002929E6" w:rsidRPr="00197A81">
        <w:t>s</w:t>
      </w:r>
      <w:r w:rsidRPr="00197A81">
        <w:t xml:space="preserve"> the additional cost of the </w:t>
      </w:r>
      <w:r w:rsidR="00575EDA" w:rsidRPr="00197A81">
        <w:t>intervention</w:t>
      </w:r>
      <w:r w:rsidRPr="00197A81">
        <w:t xml:space="preserve"> (mean costs in the intervention group minus the mean costs in the control group, </w:t>
      </w:r>
      <w:r w:rsidR="002929E6" w:rsidRPr="00197A81">
        <w:t>ΔC</w:t>
      </w:r>
      <w:r w:rsidRPr="00197A81">
        <w:t>) divided by the additional benefit of the intervention (</w:t>
      </w:r>
      <w:r w:rsidR="002929E6" w:rsidRPr="00197A81">
        <w:t xml:space="preserve">mean </w:t>
      </w:r>
      <w:r w:rsidRPr="00197A81">
        <w:t xml:space="preserve">intervention group outcome minus mean control group outcome, </w:t>
      </w:r>
      <w:r w:rsidR="002929E6" w:rsidRPr="00197A81">
        <w:t>ΔE</w:t>
      </w:r>
      <w:r w:rsidRPr="00197A81">
        <w:t>). A two-stage</w:t>
      </w:r>
      <w:r w:rsidR="003A1571" w:rsidRPr="00197A81">
        <w:t xml:space="preserve"> nonparametric bootstrapping procedure (TSB)</w:t>
      </w:r>
      <w:r w:rsidRPr="00197A81">
        <w:t xml:space="preserve"> </w:t>
      </w:r>
      <w:r w:rsidRPr="00197A81">
        <w:fldChar w:fldCharType="begin"/>
      </w:r>
      <w:r w:rsidR="00656649">
        <w:instrText xml:space="preserve"> ADDIN EN.CITE &lt;EndNote&gt;&lt;Cite&gt;&lt;Author&gt;Ng&lt;/Author&gt;&lt;Year&gt;2013&lt;/Year&gt;&lt;RecNum&gt;7687&lt;/RecNum&gt;&lt;DisplayText&gt;(Ng&lt;style face="italic"&gt; et al.&lt;/style&gt;, 2013)&lt;/DisplayText&gt;&lt;record&gt;&lt;rec-number&gt;1770&lt;/rec-number&gt;&lt;foreign-keys&gt;&lt;key app="EN" db-id="xsrta25fdvptf2e5ttppw9xu50s0t9tapt5e" timestamp="1598456722"&gt;1770&lt;/key&gt;&lt;/foreign-keys&gt;&lt;ref-type name="Journal Article"&gt;17&lt;/ref-type&gt;&lt;contributors&gt;&lt;authors&gt;&lt;author&gt;Ng, E. S. W.&lt;/author&gt;&lt;author&gt;Grieve, R.&lt;/author&gt;&lt;author&gt;Carpenter, J.R.&lt;/author&gt;&lt;/authors&gt;&lt;/contributors&gt;&lt;titles&gt;&lt;title&gt;Two-stage nonparametric bootstrap sampling with shrinkage correction for clustered data&lt;/title&gt;&lt;secondary-title&gt;The Stata Journal&lt;/secondary-title&gt;&lt;/titles&gt;&lt;periodical&gt;&lt;full-title&gt;The Stata Journal&lt;/full-title&gt;&lt;/periodical&gt;&lt;pages&gt;141-164&lt;/pages&gt;&lt;volume&gt;13&lt;/volume&gt;&lt;number&gt;1&lt;/number&gt;&lt;dates&gt;&lt;year&gt;2013&lt;/year&gt;&lt;/dates&gt;&lt;urls&gt;&lt;/urls&gt;&lt;/record&gt;&lt;/Cite&gt;&lt;/EndNote&gt;</w:instrText>
      </w:r>
      <w:r w:rsidRPr="00197A81">
        <w:fldChar w:fldCharType="separate"/>
      </w:r>
      <w:r w:rsidRPr="00197A81">
        <w:rPr>
          <w:noProof/>
        </w:rPr>
        <w:t>(Ng</w:t>
      </w:r>
      <w:r w:rsidRPr="00197A81">
        <w:rPr>
          <w:i/>
          <w:noProof/>
        </w:rPr>
        <w:t xml:space="preserve"> et al.</w:t>
      </w:r>
      <w:r w:rsidRPr="00197A81">
        <w:rPr>
          <w:noProof/>
        </w:rPr>
        <w:t>, 2013)</w:t>
      </w:r>
      <w:r w:rsidRPr="00197A81">
        <w:fldChar w:fldCharType="end"/>
      </w:r>
      <w:r w:rsidRPr="00197A81">
        <w:t xml:space="preserve"> </w:t>
      </w:r>
      <w:r w:rsidR="003A1571" w:rsidRPr="00197A81">
        <w:t xml:space="preserve">with 1000 replications </w:t>
      </w:r>
      <w:r w:rsidRPr="00197A81">
        <w:t xml:space="preserve">was used to </w:t>
      </w:r>
      <w:r w:rsidR="003A1571" w:rsidRPr="00197A81">
        <w:t xml:space="preserve">assess uncertainty around the ICER while addressing clustering effects and skew in the </w:t>
      </w:r>
      <w:r w:rsidRPr="00197A81">
        <w:t>data</w:t>
      </w:r>
      <w:r w:rsidR="003A1571" w:rsidRPr="00197A81">
        <w:t xml:space="preserve">. Pairs of mean cost and outcome differences produced by bootstrapping were plotted on the cost-effectiveness plane </w:t>
      </w:r>
      <w:r w:rsidR="003A1571" w:rsidRPr="00197A81">
        <w:fldChar w:fldCharType="begin"/>
      </w:r>
      <w:r w:rsidR="00656649">
        <w:instrText xml:space="preserve"> ADDIN EN.CITE &lt;EndNote&gt;&lt;Cite&gt;&lt;Author&gt;Fenwick&lt;/Author&gt;&lt;Year&gt;2006&lt;/Year&gt;&lt;RecNum&gt;7722&lt;/RecNum&gt;&lt;DisplayText&gt;(Fenwick&lt;style face="italic"&gt; et al.&lt;/style&gt;, 2006; Glick, 2007)&lt;/DisplayText&gt;&lt;record&gt;&lt;rec-number&gt;1771&lt;/rec-number&gt;&lt;foreign-keys&gt;&lt;key app="EN" db-id="xsrta25fdvptf2e5ttppw9xu50s0t9tapt5e" timestamp="1598456722"&gt;1771&lt;/key&gt;&lt;/foreign-keys&gt;&lt;ref-type name="Journal Article"&gt;17&lt;/ref-type&gt;&lt;contributors&gt;&lt;authors&gt;&lt;author&gt;Fenwick, E.&lt;/author&gt;&lt;author&gt;Marshall, D.A.&lt;/author&gt;&lt;author&gt;Levy, A.R.&lt;/author&gt;&lt;author&gt;Nichol, G.&lt;/author&gt;&lt;/authors&gt;&lt;/contributors&gt;&lt;titles&gt;&lt;title&gt;Using and interpreting cost-effectiveness acceptability curves: an example using data from a trial of management strategies for atrial fibrillation&lt;/title&gt;&lt;secondary-title&gt;BMC Health Services Research&lt;/secondary-title&gt;&lt;/titles&gt;&lt;periodical&gt;&lt;full-title&gt;Bmc Health Services Research&lt;/full-title&gt;&lt;abbr-1&gt;BMC Health Serv. Res.&lt;/abbr-1&gt;&lt;/periodical&gt;&lt;volume&gt;6&lt;/volume&gt;&lt;number&gt;52&lt;/number&gt;&lt;dates&gt;&lt;year&gt;2006&lt;/year&gt;&lt;/dates&gt;&lt;urls&gt;&lt;/urls&gt;&lt;/record&gt;&lt;/Cite&gt;&lt;Cite&gt;&lt;Author&gt;Glick&lt;/Author&gt;&lt;Year&gt;2007&lt;/Year&gt;&lt;RecNum&gt;7723&lt;/RecNum&gt;&lt;record&gt;&lt;rec-number&gt;1772&lt;/rec-number&gt;&lt;foreign-keys&gt;&lt;key app="EN" db-id="xsrta25fdvptf2e5ttppw9xu50s0t9tapt5e" timestamp="1598456722"&gt;1772&lt;/key&gt;&lt;/foreign-keys&gt;&lt;ref-type name="Book"&gt;6&lt;/ref-type&gt;&lt;contributors&gt;&lt;authors&gt;&lt;author&gt;Glick, H.&lt;/author&gt;&lt;/authors&gt;&lt;/contributors&gt;&lt;titles&gt;&lt;title&gt;Economic evaluation in clinical trials&lt;/title&gt;&lt;/titles&gt;&lt;dates&gt;&lt;year&gt;2007&lt;/year&gt;&lt;/dates&gt;&lt;pub-location&gt;Oxford &lt;/pub-location&gt;&lt;publisher&gt;Oxford University Press&lt;/publisher&gt;&lt;urls&gt;&lt;/urls&gt;&lt;/record&gt;&lt;/Cite&gt;&lt;/EndNote&gt;</w:instrText>
      </w:r>
      <w:r w:rsidR="003A1571" w:rsidRPr="00197A81">
        <w:fldChar w:fldCharType="separate"/>
      </w:r>
      <w:r w:rsidR="003A1571" w:rsidRPr="00197A81">
        <w:rPr>
          <w:noProof/>
        </w:rPr>
        <w:t>(Fenwick</w:t>
      </w:r>
      <w:r w:rsidR="003A1571" w:rsidRPr="00197A81">
        <w:rPr>
          <w:i/>
          <w:noProof/>
        </w:rPr>
        <w:t xml:space="preserve"> et al.</w:t>
      </w:r>
      <w:r w:rsidR="003A1571" w:rsidRPr="00197A81">
        <w:rPr>
          <w:noProof/>
        </w:rPr>
        <w:t>, 2006; Glick, 2007)</w:t>
      </w:r>
      <w:r w:rsidR="003A1571" w:rsidRPr="00197A81">
        <w:fldChar w:fldCharType="end"/>
      </w:r>
      <w:r w:rsidR="003A1571" w:rsidRPr="00197A81">
        <w:t>.</w:t>
      </w:r>
      <w:r w:rsidR="00CF5D34" w:rsidRPr="00197A81">
        <w:t xml:space="preserve"> </w:t>
      </w:r>
      <w:r w:rsidR="003A1571" w:rsidRPr="00197A81">
        <w:t xml:space="preserve">For an intervention to be deemed cost-effective, the ICER must fall into the south-east quadrant or, if the ICER falls into the south-west or north-east quadrants, the ICER must be less than the decision maker’s </w:t>
      </w:r>
      <w:r w:rsidR="003A1571" w:rsidRPr="00197A81">
        <w:lastRenderedPageBreak/>
        <w:t xml:space="preserve">willingness to pay (λ) for an improvement in outcome (or ΔC/ΔE &lt; λ) </w:t>
      </w:r>
      <w:r w:rsidR="008B0373" w:rsidRPr="00197A81">
        <w:fldChar w:fldCharType="begin"/>
      </w:r>
      <w:r w:rsidR="00656649">
        <w:instrText xml:space="preserve"> ADDIN EN.CITE &lt;EndNote&gt;&lt;Cite&gt;&lt;Author&gt;Fenwick&lt;/Author&gt;&lt;Year&gt;2006&lt;/Year&gt;&lt;RecNum&gt;7722&lt;/RecNum&gt;&lt;DisplayText&gt;(Fenwick&lt;style face="italic"&gt; et al.&lt;/style&gt;, 2006)&lt;/DisplayText&gt;&lt;record&gt;&lt;rec-number&gt;1771&lt;/rec-number&gt;&lt;foreign-keys&gt;&lt;key app="EN" db-id="xsrta25fdvptf2e5ttppw9xu50s0t9tapt5e" timestamp="1598456722"&gt;1771&lt;/key&gt;&lt;/foreign-keys&gt;&lt;ref-type name="Journal Article"&gt;17&lt;/ref-type&gt;&lt;contributors&gt;&lt;authors&gt;&lt;author&gt;Fenwick, E.&lt;/author&gt;&lt;author&gt;Marshall, D.A.&lt;/author&gt;&lt;author&gt;Levy, A.R.&lt;/author&gt;&lt;author&gt;Nichol, G.&lt;/author&gt;&lt;/authors&gt;&lt;/contributors&gt;&lt;titles&gt;&lt;title&gt;Using and interpreting cost-effectiveness acceptability curves: an example using data from a trial of management strategies for atrial fibrillation&lt;/title&gt;&lt;secondary-title&gt;BMC Health Services Research&lt;/secondary-title&gt;&lt;/titles&gt;&lt;periodical&gt;&lt;full-title&gt;Bmc Health Services Research&lt;/full-title&gt;&lt;abbr-1&gt;BMC Health Serv. Res.&lt;/abbr-1&gt;&lt;/periodical&gt;&lt;volume&gt;6&lt;/volume&gt;&lt;number&gt;52&lt;/number&gt;&lt;dates&gt;&lt;year&gt;2006&lt;/year&gt;&lt;/dates&gt;&lt;urls&gt;&lt;/urls&gt;&lt;/record&gt;&lt;/Cite&gt;&lt;/EndNote&gt;</w:instrText>
      </w:r>
      <w:r w:rsidR="008B0373" w:rsidRPr="00197A81">
        <w:fldChar w:fldCharType="separate"/>
      </w:r>
      <w:r w:rsidR="008B0373" w:rsidRPr="00197A81">
        <w:rPr>
          <w:noProof/>
        </w:rPr>
        <w:t>(Fenwick</w:t>
      </w:r>
      <w:r w:rsidR="008B0373" w:rsidRPr="00197A81">
        <w:rPr>
          <w:i/>
          <w:noProof/>
        </w:rPr>
        <w:t xml:space="preserve"> et al.</w:t>
      </w:r>
      <w:r w:rsidR="008B0373" w:rsidRPr="00197A81">
        <w:rPr>
          <w:noProof/>
        </w:rPr>
        <w:t>, 2006)</w:t>
      </w:r>
      <w:r w:rsidR="008B0373" w:rsidRPr="00197A81">
        <w:fldChar w:fldCharType="end"/>
      </w:r>
      <w:r w:rsidR="003A1571" w:rsidRPr="00197A81">
        <w:t>.</w:t>
      </w:r>
      <w:r w:rsidR="008B0373" w:rsidRPr="00197A81">
        <w:t xml:space="preserve"> Bootstrapped estimates were also used to calculate Incremental Net Benefits (INB= λ *ΔE – ΔC) </w:t>
      </w:r>
      <w:r w:rsidR="008B0373" w:rsidRPr="00197A81">
        <w:fldChar w:fldCharType="begin"/>
      </w:r>
      <w:r w:rsidR="00656649">
        <w:instrText xml:space="preserve"> ADDIN EN.CITE &lt;EndNote&gt;&lt;Cite&gt;&lt;Author&gt;Glick&lt;/Author&gt;&lt;Year&gt;2007&lt;/Year&gt;&lt;RecNum&gt;7723&lt;/RecNum&gt;&lt;DisplayText&gt;(Glick, 2007)&lt;/DisplayText&gt;&lt;record&gt;&lt;rec-number&gt;1772&lt;/rec-number&gt;&lt;foreign-keys&gt;&lt;key app="EN" db-id="xsrta25fdvptf2e5ttppw9xu50s0t9tapt5e" timestamp="1598456722"&gt;1772&lt;/key&gt;&lt;/foreign-keys&gt;&lt;ref-type name="Book"&gt;6&lt;/ref-type&gt;&lt;contributors&gt;&lt;authors&gt;&lt;author&gt;Glick, H.&lt;/author&gt;&lt;/authors&gt;&lt;/contributors&gt;&lt;titles&gt;&lt;title&gt;Economic evaluation in clinical trials&lt;/title&gt;&lt;/titles&gt;&lt;dates&gt;&lt;year&gt;2007&lt;/year&gt;&lt;/dates&gt;&lt;pub-location&gt;Oxford &lt;/pub-location&gt;&lt;publisher&gt;Oxford University Press&lt;/publisher&gt;&lt;urls&gt;&lt;/urls&gt;&lt;/record&gt;&lt;/Cite&gt;&lt;/EndNote&gt;</w:instrText>
      </w:r>
      <w:r w:rsidR="008B0373" w:rsidRPr="00197A81">
        <w:fldChar w:fldCharType="separate"/>
      </w:r>
      <w:r w:rsidR="008B0373" w:rsidRPr="00197A81">
        <w:rPr>
          <w:noProof/>
        </w:rPr>
        <w:t>(Glick, 2007)</w:t>
      </w:r>
      <w:r w:rsidR="008B0373" w:rsidRPr="00197A81">
        <w:fldChar w:fldCharType="end"/>
      </w:r>
      <w:r w:rsidR="008B0373" w:rsidRPr="00197A81">
        <w:t xml:space="preserve"> in order to plot cost-effectiveness acceptability curves (CEACs), which illustrate the probability of cost-effectiveness over a range of values of willingness to pay for a gain in outcome.</w:t>
      </w:r>
      <w:r w:rsidR="00212718" w:rsidRPr="00197A81">
        <w:t xml:space="preserve"> </w:t>
      </w:r>
      <w:r w:rsidR="002929E6" w:rsidRPr="00197A81">
        <w:t>An</w:t>
      </w:r>
      <w:r w:rsidR="006D0597" w:rsidRPr="00197A81">
        <w:t xml:space="preserve">alyses were completed in STATA </w:t>
      </w:r>
      <w:r w:rsidR="002929E6" w:rsidRPr="00197A81">
        <w:t xml:space="preserve">v.15. </w:t>
      </w:r>
    </w:p>
    <w:p w:rsidR="005E5945" w:rsidRPr="00197A81" w:rsidRDefault="005E5945" w:rsidP="00DA7778">
      <w:pPr>
        <w:spacing w:line="480" w:lineRule="auto"/>
      </w:pPr>
    </w:p>
    <w:p w:rsidR="005E5945" w:rsidRPr="00197A81" w:rsidRDefault="002929E6" w:rsidP="00DA7778">
      <w:pPr>
        <w:spacing w:line="480" w:lineRule="auto"/>
        <w:rPr>
          <w:b/>
        </w:rPr>
      </w:pPr>
      <w:r w:rsidRPr="00197A81">
        <w:rPr>
          <w:b/>
        </w:rPr>
        <w:t>Ethical approval</w:t>
      </w:r>
    </w:p>
    <w:p w:rsidR="005E5945" w:rsidRPr="00197A81" w:rsidRDefault="005E5945" w:rsidP="00DA7778">
      <w:pPr>
        <w:spacing w:line="480" w:lineRule="auto"/>
        <w:rPr>
          <w:b/>
        </w:rPr>
      </w:pPr>
    </w:p>
    <w:p w:rsidR="005E5945" w:rsidRPr="00197A81" w:rsidRDefault="002929E6" w:rsidP="00DA7778">
      <w:pPr>
        <w:spacing w:after="160" w:line="480" w:lineRule="auto"/>
      </w:pPr>
      <w:r w:rsidRPr="00197A81">
        <w:t xml:space="preserve">The study was approved by an NHS research ethics committee (17/NW/0688), the Health Research Authority (IRAS 225304), and the </w:t>
      </w:r>
      <w:r w:rsidR="00212718" w:rsidRPr="00197A81">
        <w:t>R&amp;D</w:t>
      </w:r>
      <w:r w:rsidRPr="00197A81">
        <w:t xml:space="preserve"> Office of each Trust.</w:t>
      </w:r>
    </w:p>
    <w:p w:rsidR="005E5945" w:rsidRPr="00197A81" w:rsidRDefault="005E5945" w:rsidP="00DA7778">
      <w:pPr>
        <w:spacing w:line="480" w:lineRule="auto"/>
      </w:pPr>
    </w:p>
    <w:p w:rsidR="005E5945" w:rsidRPr="00197A81" w:rsidRDefault="002929E6" w:rsidP="00DA7778">
      <w:pPr>
        <w:spacing w:line="480" w:lineRule="auto"/>
        <w:rPr>
          <w:b/>
        </w:rPr>
      </w:pPr>
      <w:r w:rsidRPr="00197A81">
        <w:rPr>
          <w:b/>
        </w:rPr>
        <w:t>Results</w:t>
      </w:r>
    </w:p>
    <w:p w:rsidR="005E5945" w:rsidRPr="00197A81" w:rsidRDefault="005E5945" w:rsidP="00DA7778">
      <w:pPr>
        <w:spacing w:line="480" w:lineRule="auto"/>
      </w:pPr>
    </w:p>
    <w:p w:rsidR="005E5945" w:rsidRPr="00197A81" w:rsidRDefault="008B0373" w:rsidP="00DA7778">
      <w:pPr>
        <w:spacing w:line="480" w:lineRule="auto"/>
      </w:pPr>
      <w:r w:rsidRPr="00197A81">
        <w:t>S</w:t>
      </w:r>
      <w:r w:rsidR="002929E6" w:rsidRPr="00197A81">
        <w:t>ample charac</w:t>
      </w:r>
      <w:r w:rsidR="00CF5D34" w:rsidRPr="00197A81">
        <w:t>teristics are presented in table</w:t>
      </w:r>
      <w:r w:rsidR="002929E6" w:rsidRPr="00197A81">
        <w:t xml:space="preserve"> 1. Descriptive analyses showed that our sample was exclusively</w:t>
      </w:r>
      <w:r w:rsidRPr="00197A81">
        <w:t xml:space="preserve"> composed of white participants (although two</w:t>
      </w:r>
      <w:r w:rsidR="002929E6" w:rsidRPr="00197A81">
        <w:t xml:space="preserve"> out of 151 identified as ‘White Irish’, and four as ‘White Other’</w:t>
      </w:r>
      <w:r w:rsidRPr="00197A81">
        <w:t>)</w:t>
      </w:r>
      <w:r w:rsidR="002929E6" w:rsidRPr="00197A81">
        <w:t xml:space="preserve">. Due to lack of meaningful variation, this variable had to be excluded from further analysis in contrast to our original plans. The sample was otherwise reflective of the demographic characteristics of </w:t>
      </w:r>
      <w:r w:rsidR="003C10D4" w:rsidRPr="00197A81">
        <w:t>people with mental health problems</w:t>
      </w:r>
      <w:r w:rsidR="002929E6" w:rsidRPr="00197A81">
        <w:t xml:space="preserve"> in England with high proportions living alon</w:t>
      </w:r>
      <w:r w:rsidRPr="00197A81">
        <w:t>e, living on benefits and with</w:t>
      </w:r>
      <w:r w:rsidR="002929E6" w:rsidRPr="00197A81">
        <w:t xml:space="preserve"> low income</w:t>
      </w:r>
      <w:r w:rsidR="000E3181" w:rsidRPr="00197A81">
        <w:t xml:space="preserve"> </w:t>
      </w:r>
      <w:r w:rsidR="003C10D4" w:rsidRPr="00197A81">
        <w:fldChar w:fldCharType="begin"/>
      </w:r>
      <w:r w:rsidR="00656649">
        <w:instrText xml:space="preserve"> ADDIN EN.CITE &lt;EndNote&gt;&lt;Cite&gt;&lt;Author&gt;McManus&lt;/Author&gt;&lt;Year&gt;2016&lt;/Year&gt;&lt;RecNum&gt;6061&lt;/RecNum&gt;&lt;DisplayText&gt;(McManus&lt;style face="italic"&gt; et al.&lt;/style&gt;, 2016)&lt;/DisplayText&gt;&lt;record&gt;&lt;rec-number&gt;1773&lt;/rec-number&gt;&lt;foreign-keys&gt;&lt;key app="EN" db-id="xsrta25fdvptf2e5ttppw9xu50s0t9tapt5e" timestamp="1598456722"&gt;1773&lt;/key&gt;&lt;/foreign-keys&gt;&lt;ref-type name="Edited Book"&gt;28&lt;/ref-type&gt;&lt;contributors&gt;&lt;authors&gt;&lt;author&gt;McManus, S.&lt;/author&gt;&lt;author&gt;Bebbington, P.&lt;/author&gt;&lt;author&gt;Jenkins, R.&lt;/author&gt;&lt;author&gt;Brugha, T.&lt;/author&gt;&lt;/authors&gt;&lt;/contributors&gt;&lt;titles&gt;&lt;title&gt;Mental health and wellbeing in England: Adult Psychiatric Morbidity Survey 2014&lt;/title&gt;&lt;/titles&gt;&lt;dates&gt;&lt;year&gt;2016&lt;/year&gt;&lt;/dates&gt;&lt;pub-location&gt;Leeds &lt;/pub-location&gt;&lt;publisher&gt;NHS Digital&lt;/publisher&gt;&lt;urls&gt;&lt;/urls&gt;&lt;/record&gt;&lt;/Cite&gt;&lt;/EndNote&gt;</w:instrText>
      </w:r>
      <w:r w:rsidR="003C10D4" w:rsidRPr="00197A81">
        <w:fldChar w:fldCharType="separate"/>
      </w:r>
      <w:r w:rsidR="003C10D4" w:rsidRPr="00197A81">
        <w:rPr>
          <w:noProof/>
        </w:rPr>
        <w:t>(McManus</w:t>
      </w:r>
      <w:r w:rsidR="003C10D4" w:rsidRPr="00197A81">
        <w:rPr>
          <w:i/>
          <w:noProof/>
        </w:rPr>
        <w:t xml:space="preserve"> et al.</w:t>
      </w:r>
      <w:r w:rsidR="003C10D4" w:rsidRPr="00197A81">
        <w:rPr>
          <w:noProof/>
        </w:rPr>
        <w:t>, 2016)</w:t>
      </w:r>
      <w:r w:rsidR="003C10D4" w:rsidRPr="00197A81">
        <w:fldChar w:fldCharType="end"/>
      </w:r>
      <w:r w:rsidR="002929E6" w:rsidRPr="00197A81">
        <w:t xml:space="preserve">. </w:t>
      </w:r>
      <w:r w:rsidRPr="00197A81">
        <w:t>C</w:t>
      </w:r>
      <w:r w:rsidR="002929E6" w:rsidRPr="00197A81">
        <w:t xml:space="preserve">haracteristics of the participants in the </w:t>
      </w:r>
      <w:r w:rsidR="00575EDA" w:rsidRPr="00197A81">
        <w:t>implementation</w:t>
      </w:r>
      <w:r w:rsidR="002929E6" w:rsidRPr="00197A81">
        <w:t xml:space="preserve"> and control groups, and their baseline scores on </w:t>
      </w:r>
      <w:r w:rsidRPr="00197A81">
        <w:t>outcome</w:t>
      </w:r>
      <w:r w:rsidR="002929E6" w:rsidRPr="00197A81">
        <w:t xml:space="preserve"> measures</w:t>
      </w:r>
      <w:r w:rsidR="00CF5D34" w:rsidRPr="00197A81">
        <w:t xml:space="preserve"> (table 2)</w:t>
      </w:r>
      <w:r w:rsidR="002929E6" w:rsidRPr="00197A81">
        <w:t>, were similar, though the control group lived in slightly more deprived communities.</w:t>
      </w:r>
    </w:p>
    <w:p w:rsidR="000E3181" w:rsidRPr="00197A81" w:rsidRDefault="000E3181" w:rsidP="00DA7778">
      <w:pPr>
        <w:spacing w:line="480" w:lineRule="auto"/>
        <w:jc w:val="center"/>
        <w:rPr>
          <w:i/>
        </w:rPr>
      </w:pPr>
      <w:r w:rsidRPr="00197A81">
        <w:rPr>
          <w:i/>
        </w:rPr>
        <w:t>Tables 1&amp;2 about here</w:t>
      </w:r>
    </w:p>
    <w:p w:rsidR="005E5945" w:rsidRPr="00197A81" w:rsidRDefault="002929E6" w:rsidP="00DA7778">
      <w:pPr>
        <w:spacing w:line="480" w:lineRule="auto"/>
      </w:pPr>
      <w:r w:rsidRPr="00197A81">
        <w:t>Table 3 presents the result for the primary outcome analysis</w:t>
      </w:r>
      <w:r w:rsidR="008B0373" w:rsidRPr="00197A81">
        <w:t>: t</w:t>
      </w:r>
      <w:r w:rsidRPr="00197A81">
        <w:t>he core analysis model is presented in column three (LOCF</w:t>
      </w:r>
      <w:r w:rsidR="008B0373" w:rsidRPr="00197A81">
        <w:t xml:space="preserve"> model</w:t>
      </w:r>
      <w:r w:rsidRPr="00197A81">
        <w:t xml:space="preserve">). The regression coefficient for the intervention group is non-significant at p=0.05 and the standard error is very large compared to the coefficient. The estimated value of b=0.63 indicates that after controlling for other variables </w:t>
      </w:r>
      <w:r w:rsidRPr="00197A81">
        <w:lastRenderedPageBreak/>
        <w:t xml:space="preserve">participants in the control group showed a RG-UK score that was 0.63 points higher than for respondents in the implementation group. This was equivalent to a standardised coefficient β=0.06 (i.e. a partial correlation of r=0.06), which is substantially smaller than the effect originally expected (partial correlation of r=0.20). Based on the pre-specified analysis, </w:t>
      </w:r>
      <w:r w:rsidR="003C10D4" w:rsidRPr="00197A81">
        <w:t xml:space="preserve">implementation of </w:t>
      </w:r>
      <w:r w:rsidRPr="00197A81">
        <w:t>Connecting People in this study is therefore evaluated as not having shown an effect.</w:t>
      </w:r>
    </w:p>
    <w:p w:rsidR="005E5945" w:rsidRPr="00197A81" w:rsidRDefault="003C10D4" w:rsidP="00DA7778">
      <w:pPr>
        <w:spacing w:line="480" w:lineRule="auto"/>
        <w:jc w:val="center"/>
        <w:rPr>
          <w:i/>
        </w:rPr>
      </w:pPr>
      <w:r w:rsidRPr="00197A81">
        <w:rPr>
          <w:i/>
        </w:rPr>
        <w:t>Table 3 about here</w:t>
      </w:r>
    </w:p>
    <w:p w:rsidR="005E5945" w:rsidRPr="00197A81" w:rsidRDefault="002929E6" w:rsidP="00DA7778">
      <w:pPr>
        <w:spacing w:line="480" w:lineRule="auto"/>
      </w:pPr>
      <w:r w:rsidRPr="00197A81">
        <w:t xml:space="preserve">The other three columns explore the sensitivity of this result to other basic specifications. The ‘group-only’ model estimates how strongly group and outcome are correlated without correcting for any other variable. The observed coefficient of b=-0.41 (standardised β=-0.04) indicates a raw correlation in the anticipated direction (participants in the </w:t>
      </w:r>
      <w:r w:rsidR="00575EDA" w:rsidRPr="00197A81">
        <w:t>implementation</w:t>
      </w:r>
      <w:r w:rsidRPr="00197A81">
        <w:t xml:space="preserve"> g</w:t>
      </w:r>
      <w:r w:rsidR="008B0373" w:rsidRPr="00197A81">
        <w:t>roup with higher scores), but</w:t>
      </w:r>
      <w:r w:rsidRPr="00197A81">
        <w:t xml:space="preserve"> is again substantially smaller than the expected effect. The ‘observed data’ model reports results for complete cases only, which points in the same direction as the LOCF results (standardised β=0.07). </w:t>
      </w:r>
      <w:r w:rsidR="00B053EC" w:rsidRPr="00197A81">
        <w:t>Post-estimation checks and sensitivity analyses f</w:t>
      </w:r>
      <w:r w:rsidR="00532937" w:rsidRPr="00197A81">
        <w:t>ound these results to be robust (appendix A).</w:t>
      </w:r>
    </w:p>
    <w:p w:rsidR="005E5945" w:rsidRPr="00197A81" w:rsidRDefault="005E5945" w:rsidP="00DA7778">
      <w:pPr>
        <w:spacing w:line="480" w:lineRule="auto"/>
      </w:pPr>
    </w:p>
    <w:p w:rsidR="005E5945" w:rsidRPr="00197A81" w:rsidRDefault="002929E6" w:rsidP="00DA7778">
      <w:pPr>
        <w:spacing w:line="480" w:lineRule="auto"/>
      </w:pPr>
      <w:r w:rsidRPr="00197A81">
        <w:t xml:space="preserve">Principal axis factor analysis (95% of common variance explained by a single factor) and reliability analysis (Cronbach α=0.96) showed that the individual </w:t>
      </w:r>
      <w:r w:rsidR="00F224CD" w:rsidRPr="00197A81">
        <w:t xml:space="preserve">fidelity </w:t>
      </w:r>
      <w:r w:rsidRPr="00197A81">
        <w:t xml:space="preserve">ratings could be represented appropriately by a single score. This ‘Fidelity Score’ (higher values indicating a more extensive implementation of Connecting People) could be seen as a measure of the exposure to the (supposedly) causally active elements of the intervention. Nevertheless, this score did not correlate with </w:t>
      </w:r>
      <w:r w:rsidR="00F224CD" w:rsidRPr="00197A81">
        <w:t xml:space="preserve">either outcome </w:t>
      </w:r>
      <w:r w:rsidR="0000067A" w:rsidRPr="00197A81">
        <w:t>or</w:t>
      </w:r>
      <w:r w:rsidRPr="00197A81">
        <w:t xml:space="preserve"> </w:t>
      </w:r>
      <w:r w:rsidR="00F224CD" w:rsidRPr="00197A81">
        <w:t>implementation group (</w:t>
      </w:r>
      <w:r w:rsidRPr="00197A81">
        <w:t xml:space="preserve">no </w:t>
      </w:r>
      <w:r w:rsidR="00906CB6" w:rsidRPr="00197A81">
        <w:t>additional results from</w:t>
      </w:r>
      <w:r w:rsidR="00F224CD" w:rsidRPr="00197A81">
        <w:t xml:space="preserve"> two-stage least squares regression </w:t>
      </w:r>
      <w:r w:rsidR="009C0364" w:rsidRPr="00197A81">
        <w:t>are presented</w:t>
      </w:r>
      <w:r w:rsidR="00F224CD" w:rsidRPr="00197A81">
        <w:t>)</w:t>
      </w:r>
      <w:r w:rsidRPr="00197A81">
        <w:t>.</w:t>
      </w:r>
    </w:p>
    <w:p w:rsidR="005E5945" w:rsidRPr="00197A81" w:rsidRDefault="005E5945" w:rsidP="00DA7778">
      <w:pPr>
        <w:spacing w:line="480" w:lineRule="auto"/>
      </w:pPr>
    </w:p>
    <w:p w:rsidR="005E5945" w:rsidRPr="00197A81" w:rsidRDefault="00F224CD" w:rsidP="00DA7778">
      <w:pPr>
        <w:spacing w:line="480" w:lineRule="auto"/>
      </w:pPr>
      <w:r w:rsidRPr="00197A81">
        <w:t>A</w:t>
      </w:r>
      <w:r w:rsidR="002929E6" w:rsidRPr="00197A81">
        <w:t xml:space="preserve">nalyses of secondary outcomes </w:t>
      </w:r>
      <w:r w:rsidR="00212718" w:rsidRPr="00197A81">
        <w:t>(</w:t>
      </w:r>
      <w:r w:rsidR="002929E6" w:rsidRPr="00197A81">
        <w:t>appendix A</w:t>
      </w:r>
      <w:r w:rsidR="00212718" w:rsidRPr="00197A81">
        <w:t>) also found</w:t>
      </w:r>
      <w:r w:rsidR="002929E6" w:rsidRPr="00197A81">
        <w:t xml:space="preserve"> no effect of the C</w:t>
      </w:r>
      <w:r w:rsidR="00212718" w:rsidRPr="00197A81">
        <w:t>onnecting People implementation</w:t>
      </w:r>
      <w:r w:rsidR="002929E6" w:rsidRPr="00197A81">
        <w:t xml:space="preserve">. In terms of effect sizes, the largest effect was found for the EQ-5D-VAS, which favoured the </w:t>
      </w:r>
      <w:r w:rsidR="00B053EC" w:rsidRPr="00197A81">
        <w:t>implementation</w:t>
      </w:r>
      <w:r w:rsidR="002929E6" w:rsidRPr="00197A81">
        <w:t xml:space="preserve"> group (partial r=-0.29). The </w:t>
      </w:r>
      <w:r w:rsidR="009C0364" w:rsidRPr="00197A81">
        <w:t>second</w:t>
      </w:r>
      <w:r w:rsidR="002929E6" w:rsidRPr="00197A81">
        <w:t xml:space="preserve"> largest effect </w:t>
      </w:r>
      <w:r w:rsidR="002929E6" w:rsidRPr="00197A81">
        <w:lastRenderedPageBreak/>
        <w:t>size was observed for the WEMWBS</w:t>
      </w:r>
      <w:r w:rsidR="00675DE9" w:rsidRPr="00197A81">
        <w:t>,</w:t>
      </w:r>
      <w:r w:rsidR="002929E6" w:rsidRPr="00197A81">
        <w:t xml:space="preserve"> favouring the control group (partial r=0.18). All other effect sizes were below the defined thresholds for practical relevance.</w:t>
      </w:r>
    </w:p>
    <w:p w:rsidR="005E5945" w:rsidRPr="00197A81" w:rsidRDefault="005E5945" w:rsidP="00DA7778">
      <w:pPr>
        <w:spacing w:line="480" w:lineRule="auto"/>
      </w:pPr>
    </w:p>
    <w:p w:rsidR="005E5945" w:rsidRPr="00197A81" w:rsidRDefault="002929E6" w:rsidP="00DA7778">
      <w:pPr>
        <w:spacing w:line="480" w:lineRule="auto"/>
        <w:rPr>
          <w:b/>
        </w:rPr>
      </w:pPr>
      <w:r w:rsidRPr="00197A81">
        <w:rPr>
          <w:b/>
        </w:rPr>
        <w:t>Economic evaluation</w:t>
      </w:r>
    </w:p>
    <w:p w:rsidR="00675DE9" w:rsidRPr="00197A81" w:rsidRDefault="00675DE9" w:rsidP="00DA7778">
      <w:pPr>
        <w:spacing w:line="480" w:lineRule="auto"/>
      </w:pPr>
    </w:p>
    <w:p w:rsidR="00675DE9" w:rsidRPr="00197A81" w:rsidRDefault="00675DE9" w:rsidP="00675DE9">
      <w:pPr>
        <w:spacing w:line="480" w:lineRule="auto"/>
      </w:pPr>
      <w:r w:rsidRPr="00197A81">
        <w:t>The economic evaluation included 126 individuals in the study (49 intervention group, 77 control group) providing data for both outcome and service utilis</w:t>
      </w:r>
      <w:r w:rsidR="00212718" w:rsidRPr="00197A81">
        <w:t>ation at baseline and follow-up (</w:t>
      </w:r>
      <w:r w:rsidRPr="00197A81">
        <w:t>table 4</w:t>
      </w:r>
      <w:r w:rsidR="00212718" w:rsidRPr="00197A81">
        <w:t>)</w:t>
      </w:r>
      <w:r w:rsidRPr="00197A81">
        <w:t xml:space="preserve">. </w:t>
      </w:r>
      <w:r w:rsidR="002929E6" w:rsidRPr="00197A81">
        <w:t>Appendix table B2 shows mean frequencies of contacts with health and social care professionals as well as hospital stays</w:t>
      </w:r>
      <w:r w:rsidRPr="00197A81">
        <w:t xml:space="preserve"> at baseline and follow-up</w:t>
      </w:r>
      <w:r w:rsidR="002929E6" w:rsidRPr="00197A81">
        <w:t xml:space="preserve">. </w:t>
      </w:r>
      <w:r w:rsidRPr="00197A81">
        <w:t>P</w:t>
      </w:r>
      <w:r w:rsidR="002929E6" w:rsidRPr="00197A81">
        <w:t xml:space="preserve">articipants in the control group had higher mean frequency of contacts with social workers and mental health nurses relative to the implementation group over the course of the intervention period (4.18 and 7.14 contacts </w:t>
      </w:r>
      <w:r w:rsidRPr="00197A81">
        <w:t>compared to</w:t>
      </w:r>
      <w:r w:rsidR="002929E6" w:rsidRPr="00197A81">
        <w:t xml:space="preserve"> 3.88 and 3.98 respectively). </w:t>
      </w:r>
      <w:r w:rsidRPr="00197A81">
        <w:t>There were no significant differences in either costs or outcomes between groups at baseline. No criminal justice services were utilised over the intervention period so that costs from the HSE and public perspective over the intervention period were identical. Focus group results indicated that few resources were used in implementing the intervention, apart from the Connecting People implementation pack. Two teams reported allocating more face-to-face time to people receiving the inter</w:t>
      </w:r>
      <w:r w:rsidR="00B053EC" w:rsidRPr="00197A81">
        <w:t>vention</w:t>
      </w:r>
      <w:r w:rsidRPr="00197A81">
        <w:t xml:space="preserve">. In one team, a senior practitioner provided dedicated weekly Connecting People supervision sessions; in another, two team members delivered two hours of in-house Connecting People training on five or six occasions to train the whole team. No team took up the £1000 of funding for support with implementing Connecting People. The qualitative data pointed to in-house training representing a substantial input to implementing Connecting People; however, such training did not take place in all </w:t>
      </w:r>
      <w:r w:rsidR="00B053EC" w:rsidRPr="00197A81">
        <w:t>implementation</w:t>
      </w:r>
      <w:r w:rsidRPr="00197A81">
        <w:t xml:space="preserve"> teams.</w:t>
      </w:r>
    </w:p>
    <w:p w:rsidR="00D5147B" w:rsidRPr="00197A81" w:rsidRDefault="00D5147B" w:rsidP="00DA7778">
      <w:pPr>
        <w:spacing w:line="480" w:lineRule="auto"/>
        <w:jc w:val="center"/>
        <w:rPr>
          <w:i/>
        </w:rPr>
      </w:pPr>
      <w:r w:rsidRPr="00197A81">
        <w:rPr>
          <w:i/>
        </w:rPr>
        <w:t>Table 4 about here</w:t>
      </w:r>
    </w:p>
    <w:p w:rsidR="00860FB9" w:rsidRPr="00197A81" w:rsidRDefault="002929E6" w:rsidP="00DA7778">
      <w:pPr>
        <w:spacing w:line="480" w:lineRule="auto"/>
      </w:pPr>
      <w:r w:rsidRPr="00197A81">
        <w:t xml:space="preserve">Table 5 describes </w:t>
      </w:r>
      <w:r w:rsidR="00CF5D34" w:rsidRPr="00197A81">
        <w:t xml:space="preserve">bootstrapped </w:t>
      </w:r>
      <w:r w:rsidRPr="00197A81">
        <w:t>mean</w:t>
      </w:r>
      <w:r w:rsidR="00675DE9" w:rsidRPr="00197A81">
        <w:t xml:space="preserve"> cost and outcome differences and ICERs.</w:t>
      </w:r>
      <w:r w:rsidRPr="00197A81">
        <w:t xml:space="preserve"> </w:t>
      </w:r>
      <w:r w:rsidR="00675DE9" w:rsidRPr="00197A81">
        <w:t>E</w:t>
      </w:r>
      <w:r w:rsidRPr="00197A81">
        <w:t>ach confidence interval</w:t>
      </w:r>
      <w:r w:rsidR="00675DE9" w:rsidRPr="00197A81">
        <w:t xml:space="preserve"> of the difference included zero</w:t>
      </w:r>
      <w:r w:rsidRPr="00197A81">
        <w:t xml:space="preserve">, </w:t>
      </w:r>
      <w:r w:rsidR="00675DE9" w:rsidRPr="00197A81">
        <w:t xml:space="preserve">so </w:t>
      </w:r>
      <w:r w:rsidRPr="00197A81">
        <w:t xml:space="preserve">for each outcome measure </w:t>
      </w:r>
      <w:r w:rsidR="00675DE9" w:rsidRPr="00197A81">
        <w:t xml:space="preserve">and perspective, </w:t>
      </w:r>
      <w:r w:rsidRPr="00197A81">
        <w:t>bootstrapped mean cost and outcome differences were both non-significant. Th</w:t>
      </w:r>
      <w:r w:rsidR="00675DE9" w:rsidRPr="00197A81">
        <w:t>e RG-UK, GAS and QPR estimates we</w:t>
      </w:r>
      <w:r w:rsidRPr="00197A81">
        <w:t xml:space="preserve">re less than 30% of the anticipated </w:t>
      </w:r>
      <w:r w:rsidR="00FC58C9" w:rsidRPr="00197A81">
        <w:t xml:space="preserve">meaningful </w:t>
      </w:r>
      <w:r w:rsidRPr="00197A81">
        <w:lastRenderedPageBreak/>
        <w:t>difference</w:t>
      </w:r>
      <w:r w:rsidR="00FC58C9" w:rsidRPr="00197A81">
        <w:t xml:space="preserve">s (calculated as the product of effect size set for the study (0.4) and the standard deviation of the baseline outcome </w:t>
      </w:r>
      <w:r w:rsidR="00FC58C9" w:rsidRPr="00197A81">
        <w:fldChar w:fldCharType="begin"/>
      </w:r>
      <w:r w:rsidR="00656649">
        <w:instrText xml:space="preserve"> ADDIN EN.CITE &lt;EndNote&gt;&lt;Cite&gt;&lt;Author&gt;Samsa&lt;/Author&gt;&lt;Year&gt;1999&lt;/Year&gt;&lt;RecNum&gt;7724&lt;/RecNum&gt;&lt;DisplayText&gt;(Samsa&lt;style face="italic"&gt; et al.&lt;/style&gt;, 1999)&lt;/DisplayText&gt;&lt;record&gt;&lt;rec-number&gt;1774&lt;/rec-number&gt;&lt;foreign-keys&gt;&lt;key app="EN" db-id="xsrta25fdvptf2e5ttppw9xu50s0t9tapt5e" timestamp="1598456722"&gt;1774&lt;/key&gt;&lt;/foreign-keys&gt;&lt;ref-type name="Journal Article"&gt;17&lt;/ref-type&gt;&lt;contributors&gt;&lt;authors&gt;&lt;author&gt;Samsa, G.&lt;/author&gt;&lt;author&gt;Edelman, D.&lt;/author&gt;&lt;author&gt;Rothman, M.L.&lt;/author&gt;&lt;author&gt;Williams, G.R.&lt;/author&gt;&lt;author&gt;Lipscomb, J.&lt;/author&gt;&lt;author&gt;Matchar, D.&lt;/author&gt;&lt;/authors&gt;&lt;/contributors&gt;&lt;titles&gt;&lt;title&gt;Determining clinically important differences in health status measures: a general approach with illustration to the Health Utilities Index Mark II&lt;/title&gt;&lt;secondary-title&gt;Pharmacoeconomics&lt;/secondary-title&gt;&lt;/titles&gt;&lt;periodical&gt;&lt;full-title&gt;Pharmacoeconomics&lt;/full-title&gt;&lt;/periodical&gt;&lt;pages&gt;141-155&lt;/pages&gt;&lt;volume&gt;15&lt;/volume&gt;&lt;number&gt;2&lt;/number&gt;&lt;dates&gt;&lt;year&gt;1999&lt;/year&gt;&lt;/dates&gt;&lt;urls&gt;&lt;/urls&gt;&lt;/record&gt;&lt;/Cite&gt;&lt;/EndNote&gt;</w:instrText>
      </w:r>
      <w:r w:rsidR="00FC58C9" w:rsidRPr="00197A81">
        <w:fldChar w:fldCharType="separate"/>
      </w:r>
      <w:r w:rsidR="00FC58C9" w:rsidRPr="00197A81">
        <w:rPr>
          <w:noProof/>
        </w:rPr>
        <w:t>(Samsa</w:t>
      </w:r>
      <w:r w:rsidR="00FC58C9" w:rsidRPr="00197A81">
        <w:rPr>
          <w:i/>
          <w:noProof/>
        </w:rPr>
        <w:t xml:space="preserve"> et al.</w:t>
      </w:r>
      <w:r w:rsidR="00FC58C9" w:rsidRPr="00197A81">
        <w:rPr>
          <w:noProof/>
        </w:rPr>
        <w:t>, 1999)</w:t>
      </w:r>
      <w:r w:rsidR="00FC58C9" w:rsidRPr="00197A81">
        <w:fldChar w:fldCharType="end"/>
      </w:r>
      <w:r w:rsidR="00FC58C9" w:rsidRPr="00197A81">
        <w:t>), and the WEMWBS difference wa</w:t>
      </w:r>
      <w:r w:rsidRPr="00197A81">
        <w:t xml:space="preserve">s slightly less than one point </w:t>
      </w:r>
      <w:r w:rsidR="00FC58C9" w:rsidRPr="00197A81">
        <w:t>(versus a</w:t>
      </w:r>
      <w:r w:rsidRPr="00197A81">
        <w:t xml:space="preserve"> minimum clinical difference </w:t>
      </w:r>
      <w:r w:rsidR="00FC58C9" w:rsidRPr="00197A81">
        <w:t>of</w:t>
      </w:r>
      <w:r w:rsidRPr="00197A81">
        <w:t xml:space="preserve"> 7 points</w:t>
      </w:r>
      <w:r w:rsidR="00FC58C9" w:rsidRPr="00197A81">
        <w:t xml:space="preserve"> </w:t>
      </w:r>
      <w:r w:rsidR="00FC58C9" w:rsidRPr="00197A81">
        <w:fldChar w:fldCharType="begin"/>
      </w:r>
      <w:r w:rsidR="00656649">
        <w:instrText xml:space="preserve"> ADDIN EN.CITE &lt;EndNote&gt;&lt;Cite&gt;&lt;Author&gt;Maheswaran&lt;/Author&gt;&lt;Year&gt;2012&lt;/Year&gt;&lt;RecNum&gt;3507&lt;/RecNum&gt;&lt;DisplayText&gt;(Maheswaran&lt;style face="italic"&gt; et al.&lt;/style&gt;, 2012)&lt;/DisplayText&gt;&lt;record&gt;&lt;rec-number&gt;1775&lt;/rec-number&gt;&lt;foreign-keys&gt;&lt;key app="EN" db-id="xsrta25fdvptf2e5ttppw9xu50s0t9tapt5e" timestamp="1598456722"&gt;1775&lt;/key&gt;&lt;/foreign-keys&gt;&lt;ref-type name="Journal Article"&gt;17&lt;/ref-type&gt;&lt;contributors&gt;&lt;authors&gt;&lt;author&gt;Maheswaran, Hendramoorthy&lt;/author&gt;&lt;author&gt;Weich, Scott&lt;/author&gt;&lt;author&gt;Powell, John&lt;/author&gt;&lt;author&gt;Stewart-Brown, Sarah&lt;/author&gt;&lt;/authors&gt;&lt;/contributors&gt;&lt;titles&gt;&lt;title&gt;Evaluating the responsiveness of the Warwick Edinburgh Mental Well-Being Scale (WEMWBS): Group and individual level analysis&lt;/title&gt;&lt;secondary-title&gt;Health and Quality of Life Outcomes&lt;/secondary-title&gt;&lt;/titles&gt;&lt;periodical&gt;&lt;full-title&gt;Health and Quality of Life Outcomes&lt;/full-title&gt;&lt;/periodical&gt;&lt;pages&gt;156&lt;/pages&gt;&lt;volume&gt;10&lt;/volume&gt;&lt;number&gt;1&lt;/number&gt;&lt;dates&gt;&lt;year&gt;2012&lt;/year&gt;&lt;/dates&gt;&lt;isbn&gt;1477-7525&lt;/isbn&gt;&lt;accession-num&gt;doi:10.1186/1477-7525-10-156&lt;/accession-num&gt;&lt;urls&gt;&lt;related-urls&gt;&lt;url&gt;http://www.hqlo.com/content/10/1/156&lt;/url&gt;&lt;/related-urls&gt;&lt;/urls&gt;&lt;/record&gt;&lt;/Cite&gt;&lt;/EndNote&gt;</w:instrText>
      </w:r>
      <w:r w:rsidR="00FC58C9" w:rsidRPr="00197A81">
        <w:fldChar w:fldCharType="separate"/>
      </w:r>
      <w:r w:rsidR="00FC58C9" w:rsidRPr="00197A81">
        <w:rPr>
          <w:noProof/>
        </w:rPr>
        <w:t>(Maheswaran</w:t>
      </w:r>
      <w:r w:rsidR="00FC58C9" w:rsidRPr="00197A81">
        <w:rPr>
          <w:i/>
          <w:noProof/>
        </w:rPr>
        <w:t xml:space="preserve"> et al.</w:t>
      </w:r>
      <w:r w:rsidR="00FC58C9" w:rsidRPr="00197A81">
        <w:rPr>
          <w:noProof/>
        </w:rPr>
        <w:t>, 2012)</w:t>
      </w:r>
      <w:r w:rsidR="00FC58C9" w:rsidRPr="00197A81">
        <w:fldChar w:fldCharType="end"/>
      </w:r>
      <w:r w:rsidR="00704B24" w:rsidRPr="00197A81">
        <w:t>)</w:t>
      </w:r>
      <w:r w:rsidRPr="00197A81">
        <w:t xml:space="preserve">. Outcome differences </w:t>
      </w:r>
      <w:r w:rsidR="00FC58C9" w:rsidRPr="00197A81">
        <w:t>we</w:t>
      </w:r>
      <w:r w:rsidRPr="00197A81">
        <w:t xml:space="preserve">re in favour of the implementation group, </w:t>
      </w:r>
      <w:r w:rsidR="00FC58C9" w:rsidRPr="00197A81">
        <w:t xml:space="preserve">except </w:t>
      </w:r>
      <w:r w:rsidRPr="00197A81">
        <w:t>f</w:t>
      </w:r>
      <w:r w:rsidR="00FC58C9" w:rsidRPr="00197A81">
        <w:t>or</w:t>
      </w:r>
      <w:r w:rsidRPr="00197A81">
        <w:t xml:space="preserve"> QALY</w:t>
      </w:r>
      <w:r w:rsidR="00FC58C9" w:rsidRPr="00197A81">
        <w:t xml:space="preserve">, where the </w:t>
      </w:r>
      <w:r w:rsidRPr="00197A81">
        <w:t>negative difference favour</w:t>
      </w:r>
      <w:r w:rsidR="00FC58C9" w:rsidRPr="00197A81">
        <w:t>ed the</w:t>
      </w:r>
      <w:r w:rsidRPr="00197A81">
        <w:t xml:space="preserve"> control. </w:t>
      </w:r>
      <w:r w:rsidR="00FC58C9" w:rsidRPr="00197A81">
        <w:t xml:space="preserve">Cost-per-QALY was over £30,000 from all perspectives (the threshold associated with support by </w:t>
      </w:r>
      <w:r w:rsidR="00CF5D34" w:rsidRPr="00197A81">
        <w:t>NICE</w:t>
      </w:r>
      <w:r w:rsidR="00860FB9" w:rsidRPr="00197A81">
        <w:t xml:space="preserve"> </w:t>
      </w:r>
      <w:r w:rsidR="00860FB9" w:rsidRPr="00197A81">
        <w:fldChar w:fldCharType="begin"/>
      </w:r>
      <w:r w:rsidR="00656649">
        <w:instrText xml:space="preserve"> ADDIN EN.CITE &lt;EndNote&gt;&lt;Cite ExcludeAuth="1"&gt;&lt;Author&gt;National Institute for Health and Care Excellence&lt;/Author&gt;&lt;Year&gt;2013&lt;/Year&gt;&lt;RecNum&gt;7725&lt;/RecNum&gt;&lt;DisplayText&gt;(2013)&lt;/DisplayText&gt;&lt;record&gt;&lt;rec-number&gt;1776&lt;/rec-number&gt;&lt;foreign-keys&gt;&lt;key app="EN" db-id="xsrta25fdvptf2e5ttppw9xu50s0t9tapt5e" timestamp="1598456722"&gt;1776&lt;/key&gt;&lt;/foreign-keys&gt;&lt;ref-type name="Report"&gt;27&lt;/ref-type&gt;&lt;contributors&gt;&lt;authors&gt;&lt;author&gt;National Institute for Health and Care Excellence,&lt;/author&gt;&lt;/authors&gt;&lt;/contributors&gt;&lt;titles&gt;&lt;title&gt;Guide to the methods of technology appraisal&lt;/title&gt;&lt;/titles&gt;&lt;dates&gt;&lt;year&gt;2013&lt;/year&gt;&lt;/dates&gt;&lt;pub-location&gt;London&lt;/pub-location&gt;&lt;publisher&gt; National Institute for Health and Care Excellence&lt;/publisher&gt;&lt;urls&gt;&lt;/urls&gt;&lt;/record&gt;&lt;/Cite&gt;&lt;/EndNote&gt;</w:instrText>
      </w:r>
      <w:r w:rsidR="00860FB9" w:rsidRPr="00197A81">
        <w:fldChar w:fldCharType="separate"/>
      </w:r>
      <w:r w:rsidR="00860FB9" w:rsidRPr="00197A81">
        <w:rPr>
          <w:noProof/>
        </w:rPr>
        <w:t>(2013)</w:t>
      </w:r>
      <w:r w:rsidR="00860FB9" w:rsidRPr="00197A81">
        <w:fldChar w:fldCharType="end"/>
      </w:r>
      <w:r w:rsidR="00FC58C9" w:rsidRPr="00197A81">
        <w:t>); all other</w:t>
      </w:r>
      <w:r w:rsidR="00860FB9" w:rsidRPr="00197A81">
        <w:t xml:space="preserve"> ICER were negative.</w:t>
      </w:r>
    </w:p>
    <w:p w:rsidR="005E5945" w:rsidRPr="00197A81" w:rsidRDefault="00D5147B" w:rsidP="00DA7778">
      <w:pPr>
        <w:spacing w:line="480" w:lineRule="auto"/>
        <w:jc w:val="center"/>
        <w:rPr>
          <w:i/>
        </w:rPr>
      </w:pPr>
      <w:r w:rsidRPr="00197A81">
        <w:rPr>
          <w:i/>
        </w:rPr>
        <w:t>Table 5 about here</w:t>
      </w:r>
    </w:p>
    <w:p w:rsidR="00860FB9" w:rsidRPr="00197A81" w:rsidRDefault="00860FB9" w:rsidP="00DA7778">
      <w:pPr>
        <w:spacing w:line="480" w:lineRule="auto"/>
      </w:pPr>
      <w:r w:rsidRPr="00197A81">
        <w:t>Mean differences in RG-UK and HSC costs were plotted on the cost-effectiveness plane</w:t>
      </w:r>
      <w:r w:rsidR="002929E6" w:rsidRPr="00197A81">
        <w:t xml:space="preserve"> </w:t>
      </w:r>
      <w:r w:rsidRPr="00197A81">
        <w:t>(</w:t>
      </w:r>
      <w:r w:rsidR="002929E6" w:rsidRPr="00197A81">
        <w:t>figure 2</w:t>
      </w:r>
      <w:r w:rsidRPr="00197A81">
        <w:t>)</w:t>
      </w:r>
      <w:r w:rsidR="002929E6" w:rsidRPr="00197A81">
        <w:t>.</w:t>
      </w:r>
      <w:r w:rsidRPr="00197A81">
        <w:t xml:space="preserve"> This shows pairs of cost-outcome differences scattered widely around </w:t>
      </w:r>
      <w:r w:rsidR="00E4131D" w:rsidRPr="00197A81">
        <w:t>both axis,</w:t>
      </w:r>
      <w:r w:rsidRPr="00197A81">
        <w:t xml:space="preserve"> indicating uncertainty in the size and direction of </w:t>
      </w:r>
      <w:r w:rsidR="00E4131D" w:rsidRPr="00197A81">
        <w:t>both</w:t>
      </w:r>
      <w:r w:rsidRPr="00197A81">
        <w:t xml:space="preserve"> outcome </w:t>
      </w:r>
      <w:r w:rsidR="00E4131D" w:rsidRPr="00197A81">
        <w:t xml:space="preserve">and cost </w:t>
      </w:r>
      <w:r w:rsidRPr="00197A81">
        <w:t>difference</w:t>
      </w:r>
      <w:r w:rsidR="00E4131D" w:rsidRPr="00197A81">
        <w:t>s</w:t>
      </w:r>
      <w:r w:rsidRPr="00197A81">
        <w:t>. Taking the cost-effectiveness plot and CEAC (Figure B5, appendix B) together suggests no certainty as to which strategy of either control or intervention as implemented would be the more cost-effective.</w:t>
      </w:r>
    </w:p>
    <w:p w:rsidR="005E5945" w:rsidRPr="00197A81" w:rsidRDefault="00D5147B" w:rsidP="00DA7778">
      <w:pPr>
        <w:spacing w:line="480" w:lineRule="auto"/>
        <w:jc w:val="center"/>
        <w:rPr>
          <w:i/>
        </w:rPr>
      </w:pPr>
      <w:r w:rsidRPr="00197A81">
        <w:rPr>
          <w:i/>
        </w:rPr>
        <w:t>Figure 2 about here</w:t>
      </w:r>
    </w:p>
    <w:p w:rsidR="005E5945" w:rsidRPr="00197A81" w:rsidRDefault="00860FB9" w:rsidP="00DA7778">
      <w:pPr>
        <w:spacing w:line="480" w:lineRule="auto"/>
      </w:pPr>
      <w:r w:rsidRPr="00197A81">
        <w:t>Equivalent plots for other outcomes from the HSC perspective and CEACs illustrating cost-effectiveness probabilities are presented in appendix figures B1-B4 and figures B5-B9 respectively.</w:t>
      </w:r>
    </w:p>
    <w:p w:rsidR="005E5945" w:rsidRPr="00197A81" w:rsidRDefault="005E5945" w:rsidP="00DA7778">
      <w:pPr>
        <w:spacing w:line="480" w:lineRule="auto"/>
      </w:pPr>
    </w:p>
    <w:p w:rsidR="005E5945" w:rsidRPr="00197A81" w:rsidRDefault="00860FB9" w:rsidP="00DA7778">
      <w:pPr>
        <w:spacing w:line="480" w:lineRule="auto"/>
      </w:pPr>
      <w:r w:rsidRPr="00197A81">
        <w:t>In</w:t>
      </w:r>
      <w:r w:rsidR="002929E6" w:rsidRPr="00197A81">
        <w:t xml:space="preserve"> sensitivity analyses,</w:t>
      </w:r>
      <w:r w:rsidRPr="00197A81">
        <w:t xml:space="preserve"> we investigated</w:t>
      </w:r>
      <w:r w:rsidR="002929E6" w:rsidRPr="00197A81">
        <w:t xml:space="preserve"> alternative approaches to valuing unpaid care (replacement cost of a home care worker at £22 per hour) and valuing lost employment at National Living Wage (£7.50 per hour) </w:t>
      </w:r>
      <w:r w:rsidRPr="00197A81">
        <w:t xml:space="preserve">on the RG-UK, adopting </w:t>
      </w:r>
      <w:r w:rsidR="002929E6" w:rsidRPr="00197A81">
        <w:t>a societal perspective. These alternative costing scenarios had no effect on the significance of costs or outcome differences</w:t>
      </w:r>
      <w:r w:rsidRPr="00197A81">
        <w:t>:</w:t>
      </w:r>
      <w:r w:rsidR="002929E6" w:rsidRPr="00197A81">
        <w:t xml:space="preserve"> the conclusions of the main economic </w:t>
      </w:r>
      <w:r w:rsidRPr="00197A81">
        <w:t>analyses</w:t>
      </w:r>
      <w:r w:rsidR="002929E6" w:rsidRPr="00197A81">
        <w:t xml:space="preserve"> were maintained.  </w:t>
      </w:r>
    </w:p>
    <w:p w:rsidR="002929E6" w:rsidRPr="00197A81" w:rsidRDefault="002929E6" w:rsidP="00DA7778">
      <w:pPr>
        <w:spacing w:line="480" w:lineRule="auto"/>
      </w:pPr>
    </w:p>
    <w:p w:rsidR="005E5945" w:rsidRPr="00197A81" w:rsidRDefault="002929E6" w:rsidP="00DA7778">
      <w:pPr>
        <w:spacing w:line="480" w:lineRule="auto"/>
        <w:rPr>
          <w:b/>
        </w:rPr>
      </w:pPr>
      <w:r w:rsidRPr="00197A81">
        <w:rPr>
          <w:b/>
        </w:rPr>
        <w:t>Discussion</w:t>
      </w:r>
    </w:p>
    <w:p w:rsidR="005E5945" w:rsidRPr="00197A81" w:rsidRDefault="005E5945" w:rsidP="00DA7778">
      <w:pPr>
        <w:spacing w:line="480" w:lineRule="auto"/>
        <w:rPr>
          <w:b/>
        </w:rPr>
      </w:pPr>
    </w:p>
    <w:p w:rsidR="005E5945" w:rsidRPr="00197A81" w:rsidRDefault="001E5BB2" w:rsidP="00DA7778">
      <w:pPr>
        <w:spacing w:line="480" w:lineRule="auto"/>
      </w:pPr>
      <w:r w:rsidRPr="00197A81">
        <w:lastRenderedPageBreak/>
        <w:t>In summary, this study found that outcomes for mental health service users of a practitioner-led implementation of Connecting People did not improve in comparison with teams not implementing the model. G</w:t>
      </w:r>
      <w:r w:rsidR="002929E6" w:rsidRPr="00197A81">
        <w:t>iven the pre-defined criteria</w:t>
      </w:r>
      <w:r w:rsidR="00860FB9" w:rsidRPr="00197A81">
        <w:t>,</w:t>
      </w:r>
      <w:r w:rsidR="002929E6" w:rsidRPr="00197A81">
        <w:t xml:space="preserve"> there was no statistica</w:t>
      </w:r>
      <w:r w:rsidR="0000067A" w:rsidRPr="00197A81">
        <w:t>l</w:t>
      </w:r>
      <w:r w:rsidR="002929E6" w:rsidRPr="00197A81">
        <w:t>l</w:t>
      </w:r>
      <w:r w:rsidR="0000067A" w:rsidRPr="00197A81">
        <w:t>y</w:t>
      </w:r>
      <w:r w:rsidR="002929E6" w:rsidRPr="00197A81">
        <w:t xml:space="preserve"> significant effect on </w:t>
      </w:r>
      <w:r w:rsidRPr="00197A81">
        <w:t>access to social capital (</w:t>
      </w:r>
      <w:r w:rsidR="002929E6" w:rsidRPr="00197A81">
        <w:t>RG-UK</w:t>
      </w:r>
      <w:r w:rsidRPr="00197A81">
        <w:t>)</w:t>
      </w:r>
      <w:r w:rsidR="002929E6" w:rsidRPr="00197A81">
        <w:t xml:space="preserve"> in the implementation group. While this could have been due to lack of statistical power with a smaller sample compared to the original plan, the estimates for the effect size were smaller than expected from previous work as well. The secondary analyses found a potential relationship between the intervention and self-rated health</w:t>
      </w:r>
      <w:r w:rsidR="004E76B9" w:rsidRPr="00197A81">
        <w:t xml:space="preserve"> in this sample</w:t>
      </w:r>
      <w:r w:rsidR="00906CB6" w:rsidRPr="00197A81">
        <w:t>.</w:t>
      </w:r>
    </w:p>
    <w:p w:rsidR="005E5945" w:rsidRPr="00197A81" w:rsidRDefault="005E5945" w:rsidP="00DA7778">
      <w:pPr>
        <w:spacing w:line="480" w:lineRule="auto"/>
      </w:pPr>
    </w:p>
    <w:p w:rsidR="005E5945" w:rsidRPr="00197A81" w:rsidRDefault="00324FC9" w:rsidP="00DA7778">
      <w:pPr>
        <w:spacing w:line="480" w:lineRule="auto"/>
      </w:pPr>
      <w:r w:rsidRPr="00197A81">
        <w:t xml:space="preserve">The study found no differences in outcomes between the </w:t>
      </w:r>
      <w:r w:rsidR="00704B24" w:rsidRPr="00197A81">
        <w:t>implementation</w:t>
      </w:r>
      <w:r w:rsidRPr="00197A81">
        <w:t xml:space="preserve"> and control groups, </w:t>
      </w:r>
      <w:r w:rsidR="003B5A32" w:rsidRPr="00197A81">
        <w:t>al</w:t>
      </w:r>
      <w:r w:rsidRPr="00197A81">
        <w:t xml:space="preserve">though there were trends for improvement in both </w:t>
      </w:r>
      <w:r w:rsidR="003B5A32" w:rsidRPr="00197A81">
        <w:t xml:space="preserve">study </w:t>
      </w:r>
      <w:r w:rsidRPr="00197A81">
        <w:t>arms. In this study it was not possible to replicate the findi</w:t>
      </w:r>
      <w:r w:rsidR="003B5A32" w:rsidRPr="00197A81">
        <w:t>ng of the pilot study that high-</w:t>
      </w:r>
      <w:r w:rsidRPr="00197A81">
        <w:t xml:space="preserve">fidelity Connecting People improved RG-UK outcomes </w:t>
      </w:r>
      <w:r w:rsidR="00B2532F">
        <w:fldChar w:fldCharType="begin"/>
      </w:r>
      <w:r w:rsidR="00656649">
        <w:instrText xml:space="preserve"> ADDIN EN.CITE &lt;EndNote&gt;&lt;Cite&gt;&lt;Author&gt;Webber&lt;/Author&gt;&lt;Year&gt;2019&lt;/Year&gt;&lt;RecNum&gt;1746&lt;/RecNum&gt;&lt;DisplayText&gt;(Webber&lt;style face="italic"&gt; et al.&lt;/style&gt;, 2019)&lt;/DisplayText&gt;&lt;record&gt;&lt;rec-number&gt;1746&lt;/rec-number&gt;&lt;foreign-keys&gt;&lt;key app="EN" db-id="xsrta25fdvptf2e5ttppw9xu50s0t9tapt5e" timestamp="1598445580" guid="ffcba79e-04b2-4613-bfb5-5204f0430b8b"&gt;1746&lt;/key&gt;&lt;/foreign-keys&gt;&lt;ref-type name="Journal Article"&gt;17&lt;/ref-type&gt;&lt;contributors&gt;&lt;authors&gt;&lt;author&gt;Webber, Martin&lt;/author&gt;&lt;author&gt;Morris, David&lt;/author&gt;&lt;author&gt;Howarth, Sharon&lt;/author&gt;&lt;author&gt;Fendt-Newlin, Meredith&lt;/author&gt;&lt;author&gt;Treacy, Samantha&lt;/author&gt;&lt;author&gt;McCrone, Paul&lt;/author&gt;&lt;/authors&gt;&lt;/contributors&gt;&lt;titles&gt;&lt;title&gt;Effect of the Connecting People Intervention on Social Capital: A Pilot Study&lt;/title&gt;&lt;secondary-title&gt;Research on Social Work Practice&lt;/secondary-title&gt;&lt;/titles&gt;&lt;periodical&gt;&lt;full-title&gt;Research on Social Work Practice&lt;/full-title&gt;&lt;/periodical&gt;&lt;pages&gt;483-494&lt;/pages&gt;&lt;volume&gt;29&lt;/volume&gt;&lt;number&gt;5&lt;/number&gt;&lt;keywords&gt;&lt;keyword&gt;social capital,social networks,mental well-being,preexperimental design,complex intervention,mental health&lt;/keyword&gt;&lt;/keywords&gt;&lt;dates&gt;&lt;year&gt;2019&lt;/year&gt;&lt;/dates&gt;&lt;urls&gt;&lt;related-urls&gt;&lt;url&gt;https://journals.sagepub.com/doi/abs/10.1177/1049731517753685&lt;/url&gt;&lt;/related-urls&gt;&lt;/urls&gt;&lt;electronic-resource-num&gt;10.1177/1049731517753685&lt;/electronic-resource-num&gt;&lt;/record&gt;&lt;/Cite&gt;&lt;/EndNote&gt;</w:instrText>
      </w:r>
      <w:r w:rsidR="00B2532F">
        <w:fldChar w:fldCharType="separate"/>
      </w:r>
      <w:r w:rsidR="00B2532F">
        <w:rPr>
          <w:noProof/>
        </w:rPr>
        <w:t>(Webber</w:t>
      </w:r>
      <w:r w:rsidR="00B2532F" w:rsidRPr="00B2532F">
        <w:rPr>
          <w:i/>
          <w:noProof/>
        </w:rPr>
        <w:t xml:space="preserve"> et al.</w:t>
      </w:r>
      <w:r w:rsidR="00B2532F">
        <w:rPr>
          <w:noProof/>
        </w:rPr>
        <w:t>, 2019)</w:t>
      </w:r>
      <w:r w:rsidR="00B2532F">
        <w:fldChar w:fldCharType="end"/>
      </w:r>
      <w:r w:rsidRPr="00197A81">
        <w:t>. One interpretation could be that Connecting People is not effective at improving outcomes among people in CMHTs. This cannot be ruled out, but the study was not set up to evaluate the effectiveness of the intervention but rather assess implementation success.</w:t>
      </w:r>
    </w:p>
    <w:p w:rsidR="003B5A32" w:rsidRPr="00197A81" w:rsidRDefault="003B5A32" w:rsidP="00DA7778">
      <w:pPr>
        <w:spacing w:line="480" w:lineRule="auto"/>
      </w:pPr>
    </w:p>
    <w:p w:rsidR="003B5A32" w:rsidRPr="00197A81" w:rsidRDefault="001E5BB2" w:rsidP="003B5A32">
      <w:pPr>
        <w:spacing w:line="480" w:lineRule="auto"/>
      </w:pPr>
      <w:r w:rsidRPr="00197A81">
        <w:t xml:space="preserve">A similar finding of no difference between implementation and control teams was also found in </w:t>
      </w:r>
      <w:r w:rsidR="00A210A3" w:rsidRPr="00197A81">
        <w:t>both</w:t>
      </w:r>
      <w:r w:rsidR="00906CB6" w:rsidRPr="00197A81">
        <w:t xml:space="preserve"> </w:t>
      </w:r>
      <w:r w:rsidR="003B5A32" w:rsidRPr="00197A81">
        <w:t xml:space="preserve">mean costs </w:t>
      </w:r>
      <w:r w:rsidR="00A210A3" w:rsidRPr="00197A81">
        <w:t>and</w:t>
      </w:r>
      <w:r w:rsidR="003B5A32" w:rsidRPr="00197A81">
        <w:t xml:space="preserve"> outcomes. We found no evidence that the implementation of Connecting People </w:t>
      </w:r>
      <w:r w:rsidR="003F4C4B" w:rsidRPr="00197A81">
        <w:t>improved</w:t>
      </w:r>
      <w:r w:rsidR="003B5A32" w:rsidRPr="00197A81">
        <w:t xml:space="preserve"> any of the outcomes examined or had an impact on costs. The analyses suggested that there was little evidence for the cost-effectiveness of the intervention as implemented over the treatment provided by control teams. </w:t>
      </w:r>
    </w:p>
    <w:p w:rsidR="003B5A32" w:rsidRPr="00197A81" w:rsidRDefault="003B5A32" w:rsidP="00DA7778">
      <w:pPr>
        <w:spacing w:line="480" w:lineRule="auto"/>
      </w:pPr>
    </w:p>
    <w:p w:rsidR="00670C58" w:rsidRPr="00197A81" w:rsidRDefault="009E1D56" w:rsidP="00DA7778">
      <w:pPr>
        <w:spacing w:line="480" w:lineRule="auto"/>
      </w:pPr>
      <w:r w:rsidRPr="00197A81">
        <w:t>There wa</w:t>
      </w:r>
      <w:r w:rsidR="003F4C4B" w:rsidRPr="00197A81">
        <w:t>s evidence</w:t>
      </w:r>
      <w:r w:rsidR="002929E6" w:rsidRPr="00197A81">
        <w:t xml:space="preserve"> that Connecting People was not implemented</w:t>
      </w:r>
      <w:r w:rsidR="00324FC9" w:rsidRPr="00197A81">
        <w:t xml:space="preserve"> </w:t>
      </w:r>
      <w:r w:rsidR="003F4C4B" w:rsidRPr="00197A81">
        <w:t>with high fidelity</w:t>
      </w:r>
      <w:r w:rsidR="00A210A3" w:rsidRPr="00197A81">
        <w:t xml:space="preserve"> and t</w:t>
      </w:r>
      <w:r w:rsidRPr="00197A81">
        <w:t>he process evaluation</w:t>
      </w:r>
      <w:r w:rsidR="005A577A" w:rsidRPr="00197A81">
        <w:t xml:space="preserve"> (reported separately)</w:t>
      </w:r>
      <w:r w:rsidRPr="00197A81">
        <w:t xml:space="preserve"> found that i</w:t>
      </w:r>
      <w:r w:rsidR="002305EF" w:rsidRPr="00197A81">
        <w:t>n two out of five implementation teams</w:t>
      </w:r>
      <w:r w:rsidR="00B2532F">
        <w:t>, it was not implemented at all</w:t>
      </w:r>
      <w:r w:rsidR="0000067A" w:rsidRPr="00197A81">
        <w:t>.</w:t>
      </w:r>
      <w:r w:rsidRPr="00197A81">
        <w:t xml:space="preserve"> </w:t>
      </w:r>
      <w:r w:rsidR="002929E6" w:rsidRPr="00197A81">
        <w:t xml:space="preserve">The lack of correlation of the fidelity score with group allocation </w:t>
      </w:r>
      <w:r w:rsidR="002305EF" w:rsidRPr="00197A81">
        <w:t xml:space="preserve">also </w:t>
      </w:r>
      <w:r w:rsidR="002929E6" w:rsidRPr="00197A81">
        <w:t xml:space="preserve">provides evidence of </w:t>
      </w:r>
      <w:r w:rsidR="003B5A32" w:rsidRPr="00197A81">
        <w:t xml:space="preserve">this. Contacts with social workers were fewer than one per month on average and, while there were slightly more with mental health nurses, they were </w:t>
      </w:r>
      <w:r w:rsidR="00A210A3" w:rsidRPr="00197A81">
        <w:t>similar</w:t>
      </w:r>
      <w:r w:rsidR="003B5A32" w:rsidRPr="00197A81">
        <w:t xml:space="preserve"> </w:t>
      </w:r>
      <w:r w:rsidR="003B5A32" w:rsidRPr="00197A81">
        <w:lastRenderedPageBreak/>
        <w:t>t</w:t>
      </w:r>
      <w:r w:rsidR="00A210A3" w:rsidRPr="00197A81">
        <w:t>o contacts</w:t>
      </w:r>
      <w:r w:rsidR="003B5A32" w:rsidRPr="00197A81">
        <w:t xml:space="preserve"> with GPs. While </w:t>
      </w:r>
      <w:r w:rsidR="00670C58" w:rsidRPr="00197A81">
        <w:t xml:space="preserve">Connecting People is designed to be integrated into routine practice, and could be utilised during monthly visits, </w:t>
      </w:r>
      <w:r w:rsidR="003B5A32" w:rsidRPr="00197A81">
        <w:t>an indication of high fidelity could be increased contact, b</w:t>
      </w:r>
      <w:r w:rsidR="00670C58" w:rsidRPr="00197A81">
        <w:t>ut there was no evidence of this in the implementation group.</w:t>
      </w:r>
    </w:p>
    <w:p w:rsidR="005E5945" w:rsidRPr="00197A81" w:rsidRDefault="005E5945" w:rsidP="00DA7778">
      <w:pPr>
        <w:spacing w:line="480" w:lineRule="auto"/>
      </w:pPr>
    </w:p>
    <w:p w:rsidR="002405CF" w:rsidRPr="00197A81" w:rsidRDefault="002929E6" w:rsidP="00DA7778">
      <w:pPr>
        <w:spacing w:line="480" w:lineRule="auto"/>
      </w:pPr>
      <w:r w:rsidRPr="00197A81">
        <w:t>It is likely that infrequent contact</w:t>
      </w:r>
      <w:r w:rsidR="003B5A32" w:rsidRPr="00197A81">
        <w:t xml:space="preserve"> with social workers and mental health nurses</w:t>
      </w:r>
      <w:r w:rsidRPr="00197A81">
        <w:t xml:space="preserve"> is reflective of high caseloads, which have become a feature of CMHTs. This may not necessarily mitigate against the implementation of Connecting People, though it may make it more challenging. </w:t>
      </w:r>
      <w:r w:rsidR="002305EF" w:rsidRPr="00197A81">
        <w:t>In addition, analysis of qualitative data collected in the course of the study found that social workers leading the implementation were frustrated by operational norms and priorities which mitigated against the implementation of social interventions (Author’s own, submitted).</w:t>
      </w:r>
      <w:r w:rsidR="00E4131D" w:rsidRPr="00197A81">
        <w:t xml:space="preserve"> </w:t>
      </w:r>
      <w:r w:rsidR="00DB0833" w:rsidRPr="00197A81">
        <w:t xml:space="preserve">The process evaluation additionally found that practitioners did not prioritise Connecting People implementation because </w:t>
      </w:r>
      <w:r w:rsidR="00B0345F" w:rsidRPr="00197A81">
        <w:t xml:space="preserve">of </w:t>
      </w:r>
      <w:r w:rsidR="00DB0833" w:rsidRPr="00197A81">
        <w:t>crisis work</w:t>
      </w:r>
      <w:r w:rsidR="00B0345F" w:rsidRPr="00197A81">
        <w:t xml:space="preserve">; </w:t>
      </w:r>
      <w:r w:rsidR="002405CF" w:rsidRPr="00197A81">
        <w:t>had</w:t>
      </w:r>
      <w:r w:rsidR="00B0345F" w:rsidRPr="00197A81">
        <w:t xml:space="preserve"> difficulties in supporting people to travel to community groups or resources</w:t>
      </w:r>
      <w:r w:rsidR="002405CF" w:rsidRPr="00197A81">
        <w:t xml:space="preserve">; </w:t>
      </w:r>
      <w:r w:rsidR="005A577A" w:rsidRPr="00197A81">
        <w:t>and faced</w:t>
      </w:r>
      <w:r w:rsidR="002405CF" w:rsidRPr="00197A81">
        <w:t xml:space="preserve"> </w:t>
      </w:r>
      <w:r w:rsidR="00DB0833" w:rsidRPr="00197A81">
        <w:t>local resource and financial constraints</w:t>
      </w:r>
      <w:r w:rsidR="002405CF" w:rsidRPr="00197A81">
        <w:t xml:space="preserve"> in implementing Connecting People. They also reported </w:t>
      </w:r>
      <w:r w:rsidR="00DB0833" w:rsidRPr="00197A81">
        <w:t xml:space="preserve">limited organisational </w:t>
      </w:r>
      <w:r w:rsidR="00A210A3" w:rsidRPr="00197A81">
        <w:t>‘</w:t>
      </w:r>
      <w:r w:rsidR="00DB0833" w:rsidRPr="00197A81">
        <w:t>buy-in</w:t>
      </w:r>
      <w:r w:rsidR="00A210A3" w:rsidRPr="00197A81">
        <w:t>’</w:t>
      </w:r>
      <w:r w:rsidR="00DB0833" w:rsidRPr="00197A81">
        <w:t xml:space="preserve"> and a lack of clarity about </w:t>
      </w:r>
      <w:r w:rsidR="00932854" w:rsidRPr="00197A81">
        <w:t xml:space="preserve">the nature of the processes underpinning the </w:t>
      </w:r>
      <w:r w:rsidR="00DB0833" w:rsidRPr="00197A81">
        <w:t>Connecting People</w:t>
      </w:r>
      <w:r w:rsidR="00932854" w:rsidRPr="00197A81">
        <w:t xml:space="preserve"> model</w:t>
      </w:r>
      <w:r w:rsidR="00DB0833" w:rsidRPr="00197A81">
        <w:t xml:space="preserve"> following the failure of </w:t>
      </w:r>
      <w:r w:rsidR="00B2532F">
        <w:t>most sites to deliver training</w:t>
      </w:r>
      <w:r w:rsidR="002405CF" w:rsidRPr="00197A81">
        <w:t xml:space="preserve">. These findings support the lack of difference in </w:t>
      </w:r>
      <w:r w:rsidR="00CC100F" w:rsidRPr="00197A81">
        <w:t xml:space="preserve">mental health service user </w:t>
      </w:r>
      <w:r w:rsidR="002405CF" w:rsidRPr="00197A81">
        <w:t>outcomes</w:t>
      </w:r>
      <w:r w:rsidR="00B03AEE" w:rsidRPr="00197A81">
        <w:t xml:space="preserve"> (access to social capital, goal attainment, experience of recovery, mental wellbeing, health-related quality of life and service use)</w:t>
      </w:r>
      <w:r w:rsidR="002405CF" w:rsidRPr="00197A81">
        <w:t xml:space="preserve"> found </w:t>
      </w:r>
      <w:r w:rsidR="00CC100F" w:rsidRPr="00197A81">
        <w:t>in this study.</w:t>
      </w:r>
    </w:p>
    <w:p w:rsidR="002305EF" w:rsidRPr="00197A81" w:rsidRDefault="002305EF" w:rsidP="00DA7778">
      <w:pPr>
        <w:spacing w:line="480" w:lineRule="auto"/>
      </w:pPr>
    </w:p>
    <w:p w:rsidR="005E5945" w:rsidRPr="00197A81" w:rsidRDefault="002929E6" w:rsidP="00DA7778">
      <w:pPr>
        <w:spacing w:line="480" w:lineRule="auto"/>
        <w:rPr>
          <w:b/>
        </w:rPr>
      </w:pPr>
      <w:r w:rsidRPr="00197A81">
        <w:rPr>
          <w:b/>
        </w:rPr>
        <w:t>Strengths and limitations</w:t>
      </w:r>
    </w:p>
    <w:p w:rsidR="005E5945" w:rsidRPr="00197A81" w:rsidRDefault="005E5945" w:rsidP="00DA7778">
      <w:pPr>
        <w:spacing w:line="480" w:lineRule="auto"/>
      </w:pPr>
    </w:p>
    <w:p w:rsidR="003B5A32" w:rsidRPr="00197A81" w:rsidRDefault="002929E6" w:rsidP="003B5A32">
      <w:pPr>
        <w:spacing w:line="480" w:lineRule="auto"/>
      </w:pPr>
      <w:r w:rsidRPr="00197A81">
        <w:t xml:space="preserve">This study provided a practice-relevant evaluation of the implementation of Connecting People in CMHTs, providing it </w:t>
      </w:r>
      <w:r w:rsidR="002305EF" w:rsidRPr="00197A81">
        <w:t xml:space="preserve">with strong external validity. </w:t>
      </w:r>
      <w:r w:rsidRPr="00197A81">
        <w:t>The analysis cond</w:t>
      </w:r>
      <w:r w:rsidR="0006418A" w:rsidRPr="00197A81">
        <w:t>ucted in this study was robust</w:t>
      </w:r>
      <w:r w:rsidRPr="00197A81">
        <w:t xml:space="preserve">. </w:t>
      </w:r>
      <w:r w:rsidR="00CC57D8" w:rsidRPr="00197A81">
        <w:t>Validated</w:t>
      </w:r>
      <w:r w:rsidRPr="00197A81">
        <w:t xml:space="preserve"> measures were used and the follow-up rate was high, lending fur</w:t>
      </w:r>
      <w:r w:rsidR="002305EF" w:rsidRPr="00197A81">
        <w:t>ther confidence to our findings.</w:t>
      </w:r>
      <w:r w:rsidR="003B5A32" w:rsidRPr="00197A81">
        <w:t xml:space="preserve"> Costs in the </w:t>
      </w:r>
      <w:r w:rsidR="00704B24" w:rsidRPr="00197A81">
        <w:t>implementation</w:t>
      </w:r>
      <w:r w:rsidR="003B5A32" w:rsidRPr="00197A81">
        <w:t xml:space="preserve"> group did not include direct costs of implementation</w:t>
      </w:r>
      <w:r w:rsidR="00B03AEE" w:rsidRPr="00197A81">
        <w:t>.</w:t>
      </w:r>
      <w:r w:rsidR="003B5A32" w:rsidRPr="00197A81">
        <w:t xml:space="preserve"> </w:t>
      </w:r>
      <w:r w:rsidR="00B03AEE" w:rsidRPr="00197A81">
        <w:t>H</w:t>
      </w:r>
      <w:r w:rsidR="003B5A32" w:rsidRPr="00197A81">
        <w:t xml:space="preserve">owever, focus group results suggested that few implementation activities were undertaken. Any associated costs would have appeared small in comparison </w:t>
      </w:r>
      <w:r w:rsidR="003B5A32" w:rsidRPr="00197A81">
        <w:lastRenderedPageBreak/>
        <w:t>to the £1000 available and not taken up by any intervention team</w:t>
      </w:r>
      <w:r w:rsidR="00B03AEE" w:rsidRPr="00197A81">
        <w:t xml:space="preserve"> for implementation activities</w:t>
      </w:r>
      <w:r w:rsidR="003B5A32" w:rsidRPr="00197A81">
        <w:t xml:space="preserve">. </w:t>
      </w:r>
    </w:p>
    <w:p w:rsidR="005E5945" w:rsidRPr="00197A81" w:rsidRDefault="005E5945" w:rsidP="00DA7778">
      <w:pPr>
        <w:spacing w:line="480" w:lineRule="auto"/>
      </w:pPr>
    </w:p>
    <w:p w:rsidR="005E5945" w:rsidRPr="00197A81" w:rsidRDefault="003B5A32" w:rsidP="00DA7778">
      <w:pPr>
        <w:spacing w:line="480" w:lineRule="auto"/>
      </w:pPr>
      <w:r w:rsidRPr="00197A81">
        <w:t>T</w:t>
      </w:r>
      <w:r w:rsidR="002929E6" w:rsidRPr="00197A81">
        <w:t>he sample size of the study was lower than the</w:t>
      </w:r>
      <w:r w:rsidR="00B748B8" w:rsidRPr="00197A81">
        <w:t xml:space="preserve"> estimated</w:t>
      </w:r>
      <w:r w:rsidR="002929E6" w:rsidRPr="00197A81">
        <w:t xml:space="preserve"> number required to identify the size of the effect anticipated and about 21% of the observations were missing at follow-up. In the economic analysis mean imputation may have underestimate</w:t>
      </w:r>
      <w:r w:rsidRPr="00197A81">
        <w:t>d variability within the sample</w:t>
      </w:r>
      <w:r w:rsidR="0006418A" w:rsidRPr="00197A81">
        <w:t xml:space="preserve"> and carrying forward baseline observations, where data were missing at follow-up, </w:t>
      </w:r>
      <w:r w:rsidR="002929E6" w:rsidRPr="00197A81">
        <w:t xml:space="preserve">may have been too conservative. Nevertheless, the results were consistent over a number of model-specifications and the analyses showed that the estimated effect was substantially smaller than expected from the previous study </w:t>
      </w:r>
      <w:r w:rsidR="00B2532F">
        <w:fldChar w:fldCharType="begin"/>
      </w:r>
      <w:r w:rsidR="00656649">
        <w:instrText xml:space="preserve"> ADDIN EN.CITE &lt;EndNote&gt;&lt;Cite&gt;&lt;Author&gt;Webber&lt;/Author&gt;&lt;Year&gt;2019&lt;/Year&gt;&lt;RecNum&gt;1746&lt;/RecNum&gt;&lt;DisplayText&gt;(Webber&lt;style face="italic"&gt; et al.&lt;/style&gt;, 2019)&lt;/DisplayText&gt;&lt;record&gt;&lt;rec-number&gt;1746&lt;/rec-number&gt;&lt;foreign-keys&gt;&lt;key app="EN" db-id="xsrta25fdvptf2e5ttppw9xu50s0t9tapt5e" timestamp="1598445580" guid="ffcba79e-04b2-4613-bfb5-5204f0430b8b"&gt;1746&lt;/key&gt;&lt;/foreign-keys&gt;&lt;ref-type name="Journal Article"&gt;17&lt;/ref-type&gt;&lt;contributors&gt;&lt;authors&gt;&lt;author&gt;Webber, Martin&lt;/author&gt;&lt;author&gt;Morris, David&lt;/author&gt;&lt;author&gt;Howarth, Sharon&lt;/author&gt;&lt;author&gt;Fendt-Newlin, Meredith&lt;/author&gt;&lt;author&gt;Treacy, Samantha&lt;/author&gt;&lt;author&gt;McCrone, Paul&lt;/author&gt;&lt;/authors&gt;&lt;/contributors&gt;&lt;titles&gt;&lt;title&gt;Effect of the Connecting People Intervention on Social Capital: A Pilot Study&lt;/title&gt;&lt;secondary-title&gt;Research on Social Work Practice&lt;/secondary-title&gt;&lt;/titles&gt;&lt;periodical&gt;&lt;full-title&gt;Research on Social Work Practice&lt;/full-title&gt;&lt;/periodical&gt;&lt;pages&gt;483-494&lt;/pages&gt;&lt;volume&gt;29&lt;/volume&gt;&lt;number&gt;5&lt;/number&gt;&lt;keywords&gt;&lt;keyword&gt;social capital,social networks,mental well-being,preexperimental design,complex intervention,mental health&lt;/keyword&gt;&lt;/keywords&gt;&lt;dates&gt;&lt;year&gt;2019&lt;/year&gt;&lt;/dates&gt;&lt;urls&gt;&lt;related-urls&gt;&lt;url&gt;https://journals.sagepub.com/doi/abs/10.1177/1049731517753685&lt;/url&gt;&lt;/related-urls&gt;&lt;/urls&gt;&lt;electronic-resource-num&gt;10.1177/1049731517753685&lt;/electronic-resource-num&gt;&lt;/record&gt;&lt;/Cite&gt;&lt;/EndNote&gt;</w:instrText>
      </w:r>
      <w:r w:rsidR="00B2532F">
        <w:fldChar w:fldCharType="separate"/>
      </w:r>
      <w:r w:rsidR="00B2532F">
        <w:rPr>
          <w:noProof/>
        </w:rPr>
        <w:t>(Webber</w:t>
      </w:r>
      <w:r w:rsidR="00B2532F" w:rsidRPr="00B2532F">
        <w:rPr>
          <w:i/>
          <w:noProof/>
        </w:rPr>
        <w:t xml:space="preserve"> et al.</w:t>
      </w:r>
      <w:r w:rsidR="00B2532F">
        <w:rPr>
          <w:noProof/>
        </w:rPr>
        <w:t>, 2019)</w:t>
      </w:r>
      <w:r w:rsidR="00B2532F">
        <w:fldChar w:fldCharType="end"/>
      </w:r>
      <w:r w:rsidR="002929E6" w:rsidRPr="00197A81">
        <w:t>. Therefore, the null result found cannot be explained as a result purely due to the smaller sample size and lack of statistical power.</w:t>
      </w:r>
    </w:p>
    <w:p w:rsidR="005E5945" w:rsidRPr="00197A81" w:rsidRDefault="005E5945" w:rsidP="00DA7778">
      <w:pPr>
        <w:spacing w:line="480" w:lineRule="auto"/>
      </w:pPr>
    </w:p>
    <w:p w:rsidR="00E16724" w:rsidRPr="00B2532F" w:rsidRDefault="002929E6" w:rsidP="00DA7778">
      <w:pPr>
        <w:spacing w:line="480" w:lineRule="auto"/>
      </w:pPr>
      <w:r w:rsidRPr="00197A81">
        <w:t xml:space="preserve">The sample </w:t>
      </w:r>
      <w:r w:rsidR="005104D5" w:rsidRPr="00197A81">
        <w:t>was ethnically homogenous (all W</w:t>
      </w:r>
      <w:r w:rsidRPr="00197A81">
        <w:t xml:space="preserve">hite) despite recruiting </w:t>
      </w:r>
      <w:r w:rsidR="0000067A" w:rsidRPr="00197A81">
        <w:t xml:space="preserve">in </w:t>
      </w:r>
      <w:r w:rsidRPr="00197A81">
        <w:t>some</w:t>
      </w:r>
      <w:r w:rsidR="005104D5" w:rsidRPr="00197A81">
        <w:t xml:space="preserve"> towns and cities with</w:t>
      </w:r>
      <w:r w:rsidRPr="00197A81">
        <w:t xml:space="preserve"> ethnically diverse</w:t>
      </w:r>
      <w:r w:rsidR="005104D5" w:rsidRPr="00197A81">
        <w:t xml:space="preserve"> populations</w:t>
      </w:r>
      <w:r w:rsidRPr="00197A81">
        <w:t xml:space="preserve">. </w:t>
      </w:r>
      <w:r w:rsidR="00E1534C" w:rsidRPr="00197A81">
        <w:t>Th</w:t>
      </w:r>
      <w:r w:rsidR="00050211" w:rsidRPr="00197A81">
        <w:t>is may reflect wider</w:t>
      </w:r>
      <w:r w:rsidR="00E1534C" w:rsidRPr="00197A81">
        <w:t xml:space="preserve"> inequalities in access to </w:t>
      </w:r>
      <w:r w:rsidR="0006418A" w:rsidRPr="00197A81">
        <w:t>NICE-</w:t>
      </w:r>
      <w:r w:rsidR="005A577A" w:rsidRPr="00197A81">
        <w:t>recommended</w:t>
      </w:r>
      <w:r w:rsidR="005C1DA3" w:rsidRPr="00197A81">
        <w:t xml:space="preserve"> </w:t>
      </w:r>
      <w:r w:rsidR="003648BE">
        <w:t xml:space="preserve">therapeutic </w:t>
      </w:r>
      <w:r w:rsidR="00050211" w:rsidRPr="00197A81">
        <w:t xml:space="preserve">interventions </w:t>
      </w:r>
      <w:r w:rsidR="003648BE">
        <w:t>for</w:t>
      </w:r>
      <w:r w:rsidR="00050211" w:rsidRPr="00197A81">
        <w:t xml:space="preserve"> black or ethnic minority people with a diagnosis of schizophrenia </w:t>
      </w:r>
      <w:r w:rsidR="00050211" w:rsidRPr="00197A81">
        <w:fldChar w:fldCharType="begin"/>
      </w:r>
      <w:r w:rsidR="00656649">
        <w:instrText xml:space="preserve"> ADDIN EN.CITE &lt;EndNote&gt;&lt;Cite&gt;&lt;Author&gt;Das-Munshi&lt;/Author&gt;&lt;Year&gt;2018&lt;/Year&gt;&lt;RecNum&gt;1524&lt;/RecNum&gt;&lt;DisplayText&gt;(Das-Munshi&lt;style face="italic"&gt; et al.&lt;/style&gt;, 2018)&lt;/DisplayText&gt;&lt;record&gt;&lt;rec-number&gt;1524&lt;/rec-number&gt;&lt;foreign-keys&gt;&lt;key app="EN" db-id="xsrta25fdvptf2e5ttppw9xu50s0t9tapt5e" timestamp="1598443739" guid="9c9b72d6-5ce6-4d5e-bb11-75e912119f78"&gt;1524&lt;/key&gt;&lt;/foreign-keys&gt;&lt;ref-type name="Journal Article"&gt;17&lt;/ref-type&gt;&lt;contributors&gt;&lt;authors&gt;&lt;author&gt;Das-Munshi, Jayati&lt;/author&gt;&lt;author&gt;Bhugra, Dinesh&lt;/author&gt;&lt;author&gt;Crawford, Mike J.&lt;/author&gt;&lt;/authors&gt;&lt;/contributors&gt;&lt;titles&gt;&lt;title&gt;Ethnic minority inequalities in access to treatments for schizophrenia and schizoaffective disorders: findings from a nationally representative cross-sectional study&lt;/title&gt;&lt;secondary-title&gt;BMC Medicine&lt;/secondary-title&gt;&lt;/titles&gt;&lt;periodical&gt;&lt;full-title&gt;Bmc Medicine&lt;/full-title&gt;&lt;abbr-1&gt;BMC Med.&lt;/abbr-1&gt;&lt;/periodical&gt;&lt;pages&gt;55&lt;/pages&gt;&lt;volume&gt;16&lt;/volume&gt;&lt;number&gt;1&lt;/number&gt;&lt;dates&gt;&lt;year&gt;2018&lt;/year&gt;&lt;pub-dates&gt;&lt;date&gt;2018/04/18&lt;/date&gt;&lt;/pub-dates&gt;&lt;/dates&gt;&lt;isbn&gt;1741-7015&lt;/isbn&gt;&lt;urls&gt;&lt;related-urls&gt;&lt;url&gt;https://doi.org/10.1186/s12916-018-1035-5&lt;/url&gt;&lt;/related-urls&gt;&lt;/urls&gt;&lt;electronic-resource-num&gt;10.1186/s12916-018-1035-5&lt;/electronic-resource-num&gt;&lt;/record&gt;&lt;/Cite&gt;&lt;/EndNote&gt;</w:instrText>
      </w:r>
      <w:r w:rsidR="00050211" w:rsidRPr="00197A81">
        <w:fldChar w:fldCharType="separate"/>
      </w:r>
      <w:r w:rsidR="00050211" w:rsidRPr="00197A81">
        <w:rPr>
          <w:noProof/>
        </w:rPr>
        <w:t>(Das-Munshi</w:t>
      </w:r>
      <w:r w:rsidR="00050211" w:rsidRPr="00197A81">
        <w:rPr>
          <w:i/>
          <w:noProof/>
        </w:rPr>
        <w:t xml:space="preserve"> et al.</w:t>
      </w:r>
      <w:r w:rsidR="00050211" w:rsidRPr="00197A81">
        <w:rPr>
          <w:noProof/>
        </w:rPr>
        <w:t>, 2018)</w:t>
      </w:r>
      <w:r w:rsidR="00050211" w:rsidRPr="00197A81">
        <w:fldChar w:fldCharType="end"/>
      </w:r>
      <w:r w:rsidR="00050211" w:rsidRPr="00197A81">
        <w:t>, and highlights the need to provi</w:t>
      </w:r>
      <w:r w:rsidR="003648BE">
        <w:t>de better</w:t>
      </w:r>
      <w:r w:rsidR="00050211" w:rsidRPr="00197A81">
        <w:t xml:space="preserve"> information about interventions to </w:t>
      </w:r>
      <w:r w:rsidR="003648BE">
        <w:t>these</w:t>
      </w:r>
      <w:r w:rsidR="00050211" w:rsidRPr="00197A81">
        <w:t xml:space="preserve"> groups </w:t>
      </w:r>
      <w:r w:rsidR="00050211" w:rsidRPr="00197A81">
        <w:fldChar w:fldCharType="begin"/>
      </w:r>
      <w:r w:rsidR="00656649">
        <w:instrText xml:space="preserve"> ADDIN EN.CITE &lt;EndNote&gt;&lt;Cite&gt;&lt;Author&gt;Memon&lt;/Author&gt;&lt;Year&gt;2016&lt;/Year&gt;&lt;RecNum&gt;7631&lt;/RecNum&gt;&lt;DisplayText&gt;(Memon&lt;style face="italic"&gt; et al.&lt;/style&gt;, 2016)&lt;/DisplayText&gt;&lt;record&gt;&lt;rec-number&gt;1777&lt;/rec-number&gt;&lt;foreign-keys&gt;&lt;key app="EN" db-id="xsrta25fdvptf2e5ttppw9xu50s0t9tapt5e" timestamp="1598456722"&gt;1777&lt;/key&gt;&lt;/foreign-keys&gt;&lt;ref-type name="Journal Article"&gt;17&lt;/ref-type&gt;&lt;contributors&gt;&lt;authors&gt;&lt;author&gt;Memon, Anjum&lt;/author&gt;&lt;author&gt;Taylor, Katie&lt;/author&gt;&lt;author&gt;Mohebati, Lisa M&lt;/author&gt;&lt;author&gt;Sundin, Josefin&lt;/author&gt;&lt;author&gt;Cooper, Max&lt;/author&gt;&lt;author&gt;Scanlon, Thomas&lt;/author&gt;&lt;author&gt;de Visser, Richard&lt;/author&gt;&lt;/authors&gt;&lt;/contributors&gt;&lt;titles&gt;&lt;title&gt;Perceived barriers to accessing mental health services among black and minority ethnic (BME) communities: a qualitative study in Southeast England&lt;/title&gt;&lt;/titles&gt;&lt;pages&gt;e012337&lt;/pages&gt;&lt;volume&gt;6&lt;/volume&gt;&lt;number&gt;11&lt;/number&gt;&lt;dates&gt;&lt;year&gt;2016&lt;/year&gt;&lt;/dates&gt;&lt;urls&gt;&lt;related-urls&gt;&lt;url&gt;https://bmjopen.bmj.com/content/bmjopen/6/11/e012337.full.pdf&lt;/url&gt;&lt;/related-urls&gt;&lt;/urls&gt;&lt;electronic-resource-num&gt;10.1136/bmjopen-2016-012337 %J BMJ Open&lt;/electronic-resource-num&gt;&lt;/record&gt;&lt;/Cite&gt;&lt;/EndNote&gt;</w:instrText>
      </w:r>
      <w:r w:rsidR="00050211" w:rsidRPr="00197A81">
        <w:fldChar w:fldCharType="separate"/>
      </w:r>
      <w:r w:rsidR="00050211" w:rsidRPr="00197A81">
        <w:rPr>
          <w:noProof/>
        </w:rPr>
        <w:t>(Memon</w:t>
      </w:r>
      <w:r w:rsidR="00050211" w:rsidRPr="00197A81">
        <w:rPr>
          <w:i/>
          <w:noProof/>
        </w:rPr>
        <w:t xml:space="preserve"> et al.</w:t>
      </w:r>
      <w:r w:rsidR="00050211" w:rsidRPr="00197A81">
        <w:rPr>
          <w:noProof/>
        </w:rPr>
        <w:t>, 2016)</w:t>
      </w:r>
      <w:r w:rsidR="00050211" w:rsidRPr="00197A81">
        <w:fldChar w:fldCharType="end"/>
      </w:r>
      <w:r w:rsidR="00050211" w:rsidRPr="00197A81">
        <w:t xml:space="preserve">. However, there is an imperative </w:t>
      </w:r>
      <w:r w:rsidR="005C1DA3" w:rsidRPr="00197A81">
        <w:t>for</w:t>
      </w:r>
      <w:r w:rsidR="00050211" w:rsidRPr="00197A81">
        <w:t xml:space="preserve"> anti-oppressive</w:t>
      </w:r>
      <w:r w:rsidR="005C1DA3" w:rsidRPr="00197A81">
        <w:t xml:space="preserve"> practice to address the over-representation </w:t>
      </w:r>
      <w:r w:rsidR="003648BE">
        <w:t>of black and minority people in</w:t>
      </w:r>
      <w:r w:rsidR="00486A0E" w:rsidRPr="00197A81">
        <w:t xml:space="preserve"> </w:t>
      </w:r>
      <w:r w:rsidR="00E16724" w:rsidRPr="00197A81">
        <w:t xml:space="preserve">compulsory mental health care </w:t>
      </w:r>
      <w:r w:rsidR="00A57A05" w:rsidRPr="00197A81">
        <w:fldChar w:fldCharType="begin"/>
      </w:r>
      <w:r w:rsidR="00656649">
        <w:instrText xml:space="preserve"> ADDIN EN.CITE &lt;EndNote&gt;&lt;Cite&gt;&lt;Author&gt;Barnett&lt;/Author&gt;&lt;Year&gt;2019&lt;/Year&gt;&lt;RecNum&gt;1466&lt;/RecNum&gt;&lt;DisplayText&gt;(Barnett&lt;style face="italic"&gt; et al.&lt;/style&gt;, 2019)&lt;/DisplayText&gt;&lt;record&gt;&lt;rec-number&gt;1466&lt;/rec-number&gt;&lt;foreign-keys&gt;&lt;key app="EN" db-id="xsrta25fdvptf2e5ttppw9xu50s0t9tapt5e" timestamp="1598443639" guid="fbb00ae0-371a-4d7d-81d9-3516adad6e5e"&gt;1466&lt;/key&gt;&lt;/foreign-keys&gt;&lt;ref-type name="Journal Article"&gt;17&lt;/ref-type&gt;&lt;contributors&gt;&lt;authors&gt;&lt;author&gt;Barnett, P.&lt;/author&gt;&lt;author&gt;Mackay, E.&lt;/author&gt;&lt;author&gt;Matthews, H.&lt;/author&gt;&lt;author&gt;Gate, R.&lt;/author&gt;&lt;author&gt;Greenwood, H.&lt;/author&gt;&lt;author&gt;Ariyo, K.&lt;/author&gt;&lt;author&gt;Bhui, K.&lt;/author&gt;&lt;author&gt;Halvorsrud, K.&lt;/author&gt;&lt;author&gt;Pilling, S.&lt;/author&gt;&lt;author&gt;Smith, S.&lt;/author&gt;&lt;/authors&gt;&lt;/contributors&gt;&lt;titles&gt;&lt;title&gt;Ethnic variations in compulsory detention under the Mental Health Act: a systematic review and meta-analysis of international data&lt;/title&gt;&lt;secondary-title&gt;The Lancet Psychiatry&lt;/secondary-title&gt;&lt;/titles&gt;&lt;periodical&gt;&lt;full-title&gt;The Lancet Psychiatry&lt;/full-title&gt;&lt;/periodical&gt;&lt;pages&gt;305-317&lt;/pages&gt;&lt;volume&gt;6&lt;/volume&gt;&lt;number&gt;4&lt;/number&gt;&lt;dates&gt;&lt;year&gt;2019&lt;/year&gt;&lt;/dates&gt;&lt;work-type&gt;Article&lt;/work-type&gt;&lt;urls&gt;&lt;related-urls&gt;&lt;url&gt;https://www.scopus.com/inward/record.uri?eid=2-s2.0-85062988812&amp;amp;doi=10.1016%2fS2215-0366%2819%2930027-6&amp;amp;partnerID=40&amp;amp;md5=4578aaa116eb7968a176184a5d07991d&lt;/url&gt;&lt;/related-urls&gt;&lt;/urls&gt;&lt;electronic-resource-num&gt;10.1016/S2215-0366(19)30027-6&lt;/electronic-resource-num&gt;&lt;remote-database-name&gt;Scopus&lt;/remote-database-name&gt;&lt;/record&gt;&lt;/Cite&gt;&lt;/EndNote&gt;</w:instrText>
      </w:r>
      <w:r w:rsidR="00A57A05" w:rsidRPr="00197A81">
        <w:fldChar w:fldCharType="separate"/>
      </w:r>
      <w:r w:rsidR="00A57A05" w:rsidRPr="00197A81">
        <w:rPr>
          <w:noProof/>
        </w:rPr>
        <w:t>(Barnett</w:t>
      </w:r>
      <w:r w:rsidR="00A57A05" w:rsidRPr="00197A81">
        <w:rPr>
          <w:i/>
          <w:noProof/>
        </w:rPr>
        <w:t xml:space="preserve"> et al.</w:t>
      </w:r>
      <w:r w:rsidR="00A57A05" w:rsidRPr="00197A81">
        <w:rPr>
          <w:noProof/>
        </w:rPr>
        <w:t>, 2019)</w:t>
      </w:r>
      <w:r w:rsidR="00A57A05" w:rsidRPr="00197A81">
        <w:fldChar w:fldCharType="end"/>
      </w:r>
      <w:r w:rsidR="005C1DA3" w:rsidRPr="00197A81">
        <w:t xml:space="preserve"> and among those in receipt of depot antipsychotic medication </w:t>
      </w:r>
      <w:r w:rsidR="005C1DA3" w:rsidRPr="00197A81">
        <w:fldChar w:fldCharType="begin"/>
      </w:r>
      <w:r w:rsidR="00656649">
        <w:instrText xml:space="preserve"> ADDIN EN.CITE &lt;EndNote&gt;&lt;Cite&gt;&lt;Author&gt;Das-Munshi&lt;/Author&gt;&lt;Year&gt;2018&lt;/Year&gt;&lt;RecNum&gt;1524&lt;/RecNum&gt;&lt;DisplayText&gt;(Das-Munshi&lt;style face="italic"&gt; et al.&lt;/style&gt;, 2018)&lt;/DisplayText&gt;&lt;record&gt;&lt;rec-number&gt;1524&lt;/rec-number&gt;&lt;foreign-keys&gt;&lt;key app="EN" db-id="xsrta25fdvptf2e5ttppw9xu50s0t9tapt5e" timestamp="1598443739" guid="9c9b72d6-5ce6-4d5e-bb11-75e912119f78"&gt;1524&lt;/key&gt;&lt;/foreign-keys&gt;&lt;ref-type name="Journal Article"&gt;17&lt;/ref-type&gt;&lt;contributors&gt;&lt;authors&gt;&lt;author&gt;Das-Munshi, Jayati&lt;/author&gt;&lt;author&gt;Bhugra, Dinesh&lt;/author&gt;&lt;author&gt;Crawford, Mike J.&lt;/author&gt;&lt;/authors&gt;&lt;/contributors&gt;&lt;titles&gt;&lt;title&gt;Ethnic minority inequalities in access to treatments for schizophrenia and schizoaffective disorders: findings from a nationally representative cross-sectional study&lt;/title&gt;&lt;secondary-title&gt;BMC Medicine&lt;/secondary-title&gt;&lt;/titles&gt;&lt;periodical&gt;&lt;full-title&gt;Bmc Medicine&lt;/full-title&gt;&lt;abbr-1&gt;BMC Med.&lt;/abbr-1&gt;&lt;/periodical&gt;&lt;pages&gt;55&lt;/pages&gt;&lt;volume&gt;16&lt;/volume&gt;&lt;number&gt;1&lt;/number&gt;&lt;dates&gt;&lt;year&gt;2018&lt;/year&gt;&lt;pub-dates&gt;&lt;date&gt;2018/04/18&lt;/date&gt;&lt;/pub-dates&gt;&lt;/dates&gt;&lt;isbn&gt;1741-7015&lt;/isbn&gt;&lt;urls&gt;&lt;related-urls&gt;&lt;url&gt;https://doi.org/10.1186/s12916-018-1035-5&lt;/url&gt;&lt;/related-urls&gt;&lt;/urls&gt;&lt;electronic-resource-num&gt;10.1186/s12916-018-1035-5&lt;/electronic-resource-num&gt;&lt;/record&gt;&lt;/Cite&gt;&lt;/EndNote&gt;</w:instrText>
      </w:r>
      <w:r w:rsidR="005C1DA3" w:rsidRPr="00197A81">
        <w:fldChar w:fldCharType="separate"/>
      </w:r>
      <w:r w:rsidR="005C1DA3" w:rsidRPr="00197A81">
        <w:rPr>
          <w:noProof/>
        </w:rPr>
        <w:t>(Das-Munshi</w:t>
      </w:r>
      <w:r w:rsidR="005C1DA3" w:rsidRPr="00197A81">
        <w:rPr>
          <w:i/>
          <w:noProof/>
        </w:rPr>
        <w:t xml:space="preserve"> et al.</w:t>
      </w:r>
      <w:r w:rsidR="005C1DA3" w:rsidRPr="00197A81">
        <w:rPr>
          <w:noProof/>
        </w:rPr>
        <w:t>, 2018)</w:t>
      </w:r>
      <w:r w:rsidR="005C1DA3" w:rsidRPr="00197A81">
        <w:fldChar w:fldCharType="end"/>
      </w:r>
      <w:r w:rsidR="005C1DA3" w:rsidRPr="00197A81">
        <w:t xml:space="preserve">. As the excess of compulsory detentions </w:t>
      </w:r>
      <w:r w:rsidR="00E16724" w:rsidRPr="00197A81">
        <w:t>could in part be due to lower levels of social support</w:t>
      </w:r>
      <w:r w:rsidR="0055658C" w:rsidRPr="00197A81">
        <w:t xml:space="preserve"> among black and minority ethnic groups </w:t>
      </w:r>
      <w:r w:rsidR="0055658C" w:rsidRPr="00197A81">
        <w:fldChar w:fldCharType="begin"/>
      </w:r>
      <w:r w:rsidR="00656649">
        <w:instrText xml:space="preserve"> ADDIN EN.CITE &lt;EndNote&gt;&lt;Cite&gt;&lt;Author&gt;Gajwani&lt;/Author&gt;&lt;Year&gt;2016&lt;/Year&gt;&lt;RecNum&gt;1523&lt;/RecNum&gt;&lt;DisplayText&gt;(Gajwani&lt;style face="italic"&gt; et al.&lt;/style&gt;, 2016)&lt;/DisplayText&gt;&lt;record&gt;&lt;rec-number&gt;1523&lt;/rec-number&gt;&lt;foreign-keys&gt;&lt;key app="EN" db-id="xsrta25fdvptf2e5ttppw9xu50s0t9tapt5e" timestamp="1598443738" guid="699b3c70-7087-4c52-b6f8-cd93202bf54b"&gt;1523&lt;/key&gt;&lt;/foreign-keys&gt;&lt;ref-type name="Journal Article"&gt;17&lt;/ref-type&gt;&lt;contributors&gt;&lt;authors&gt;&lt;author&gt;Gajwani, Ruchika&lt;/author&gt;&lt;author&gt;Parsons, Helen&lt;/author&gt;&lt;author&gt;Birchwood, Max&lt;/author&gt;&lt;author&gt;Singh, Swaran P.&lt;/author&gt;&lt;/authors&gt;&lt;/contributors&gt;&lt;titles&gt;&lt;title&gt;Ethnicity and detention: are Black and minority ethnic (BME) groups disproportionately detained under the Mental Health Act 2007?&lt;/title&gt;&lt;secondary-title&gt;Social Psychiatry and Psychiatric Epidemiology&lt;/secondary-title&gt;&lt;/titles&gt;&lt;periodical&gt;&lt;full-title&gt;Social Psychiatry and Psychiatric Epidemiology&lt;/full-title&gt;&lt;/periodical&gt;&lt;pages&gt;703-711&lt;/pages&gt;&lt;volume&gt;51&lt;/volume&gt;&lt;number&gt;5&lt;/number&gt;&lt;dates&gt;&lt;year&gt;2016&lt;/year&gt;&lt;pub-dates&gt;&lt;date&gt;2016/05/01&lt;/date&gt;&lt;/pub-dates&gt;&lt;/dates&gt;&lt;isbn&gt;1433-9285&lt;/isbn&gt;&lt;urls&gt;&lt;related-urls&gt;&lt;url&gt;https://doi.org/10.1007/s00127-016-1181-z&lt;/url&gt;&lt;/related-urls&gt;&lt;/urls&gt;&lt;electronic-resource-num&gt;10.1007/s00127-016-1181-z&lt;/electronic-resource-num&gt;&lt;/record&gt;&lt;/Cite&gt;&lt;/EndNote&gt;</w:instrText>
      </w:r>
      <w:r w:rsidR="0055658C" w:rsidRPr="00197A81">
        <w:fldChar w:fldCharType="separate"/>
      </w:r>
      <w:r w:rsidR="0055658C" w:rsidRPr="00197A81">
        <w:rPr>
          <w:noProof/>
        </w:rPr>
        <w:t>(Gajwani</w:t>
      </w:r>
      <w:r w:rsidR="0055658C" w:rsidRPr="00197A81">
        <w:rPr>
          <w:i/>
          <w:noProof/>
        </w:rPr>
        <w:t xml:space="preserve"> et al.</w:t>
      </w:r>
      <w:r w:rsidR="0055658C" w:rsidRPr="00197A81">
        <w:rPr>
          <w:noProof/>
        </w:rPr>
        <w:t>, 2016)</w:t>
      </w:r>
      <w:r w:rsidR="0055658C" w:rsidRPr="00197A81">
        <w:fldChar w:fldCharType="end"/>
      </w:r>
      <w:r w:rsidR="005C1DA3" w:rsidRPr="00197A81">
        <w:t xml:space="preserve">, it is particularly important to </w:t>
      </w:r>
      <w:r w:rsidR="005C1DA3" w:rsidRPr="00B2532F">
        <w:t>ensure that interventions such as Connecting People are offered to all ethnic and cultural groups.</w:t>
      </w:r>
      <w:r w:rsidR="00486A0E" w:rsidRPr="00B2532F">
        <w:t xml:space="preserve"> This could be achieved by integrating it into the CPA process so that it </w:t>
      </w:r>
      <w:r w:rsidR="00770A84" w:rsidRPr="00B2532F">
        <w:t>is offered</w:t>
      </w:r>
      <w:r w:rsidR="00486A0E" w:rsidRPr="00B2532F">
        <w:t xml:space="preserve"> automatic</w:t>
      </w:r>
      <w:r w:rsidR="00770A84" w:rsidRPr="00B2532F">
        <w:t>ally to everyone</w:t>
      </w:r>
      <w:r w:rsidR="00326AD4" w:rsidRPr="00B2532F">
        <w:t xml:space="preserve">. Additionally, teams could </w:t>
      </w:r>
      <w:r w:rsidR="00770A84" w:rsidRPr="00B2532F">
        <w:t>usefully</w:t>
      </w:r>
      <w:r w:rsidR="00A85391" w:rsidRPr="00B2532F">
        <w:t xml:space="preserve"> spend time building new, or strengthening existing, relationships with local black and minority ethnic community groups </w:t>
      </w:r>
      <w:r w:rsidR="00770A84" w:rsidRPr="00B2532F">
        <w:t>to ensure that a  wide range of opportunities for new social connections are opened up.</w:t>
      </w:r>
    </w:p>
    <w:p w:rsidR="00163383" w:rsidRPr="00197A81" w:rsidRDefault="00163383" w:rsidP="00DA7778">
      <w:pPr>
        <w:spacing w:line="480" w:lineRule="auto"/>
      </w:pPr>
    </w:p>
    <w:p w:rsidR="005E5945" w:rsidRPr="00197A81" w:rsidRDefault="00163383" w:rsidP="00DA7778">
      <w:pPr>
        <w:spacing w:line="480" w:lineRule="auto"/>
      </w:pPr>
      <w:r w:rsidRPr="00197A81">
        <w:t xml:space="preserve">People from black and </w:t>
      </w:r>
      <w:r w:rsidR="000C3D3B" w:rsidRPr="00197A81">
        <w:t xml:space="preserve">ethnic </w:t>
      </w:r>
      <w:r w:rsidRPr="00197A81">
        <w:t xml:space="preserve">minority groups were involved in both the development and piloting of Connecting People </w:t>
      </w:r>
      <w:r w:rsidR="00B2532F">
        <w:fldChar w:fldCharType="begin">
          <w:fldData xml:space="preserve">PEVuZE5vdGU+PENpdGU+PEF1dGhvcj5XZWJiZXI8L0F1dGhvcj48WWVhcj4yMDE5PC9ZZWFyPjxS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</w:fldData>
        </w:fldChar>
      </w:r>
      <w:r w:rsidR="00656649">
        <w:instrText xml:space="preserve"> ADDIN EN.CITE </w:instrText>
      </w:r>
      <w:r w:rsidR="00656649">
        <w:fldChar w:fldCharType="begin">
          <w:fldData xml:space="preserve">PEVuZE5vdGU+PENpdGU+PEF1dGhvcj5XZWJiZXI8L0F1dGhvcj48WWVhcj4yMDE5PC9ZZWFyPjxS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</w:fldData>
        </w:fldChar>
      </w:r>
      <w:r w:rsidR="00656649">
        <w:instrText xml:space="preserve"> ADDIN EN.CITE.DATA </w:instrText>
      </w:r>
      <w:r w:rsidR="00656649">
        <w:fldChar w:fldCharType="end"/>
      </w:r>
      <w:r w:rsidR="00B2532F">
        <w:fldChar w:fldCharType="separate"/>
      </w:r>
      <w:r w:rsidR="00BC2E14">
        <w:rPr>
          <w:noProof/>
        </w:rPr>
        <w:t>(Webber</w:t>
      </w:r>
      <w:r w:rsidR="00BC2E14" w:rsidRPr="00BC2E14">
        <w:rPr>
          <w:i/>
          <w:noProof/>
        </w:rPr>
        <w:t xml:space="preserve"> et al.</w:t>
      </w:r>
      <w:r w:rsidR="00BC2E14">
        <w:rPr>
          <w:noProof/>
        </w:rPr>
        <w:t>, 2015; Webber</w:t>
      </w:r>
      <w:r w:rsidR="00BC2E14" w:rsidRPr="00BC2E14">
        <w:rPr>
          <w:i/>
          <w:noProof/>
        </w:rPr>
        <w:t xml:space="preserve"> et al.</w:t>
      </w:r>
      <w:r w:rsidR="00BC2E14">
        <w:rPr>
          <w:noProof/>
        </w:rPr>
        <w:t>, 2019)</w:t>
      </w:r>
      <w:r w:rsidR="00B2532F">
        <w:fldChar w:fldCharType="end"/>
      </w:r>
      <w:r w:rsidRPr="00197A81">
        <w:t xml:space="preserve">, </w:t>
      </w:r>
      <w:r w:rsidR="000C3D3B" w:rsidRPr="00197A81">
        <w:t>and</w:t>
      </w:r>
      <w:r w:rsidRPr="00197A81">
        <w:t xml:space="preserve"> there is no evidence to suggest that it lacks ethnic </w:t>
      </w:r>
      <w:r w:rsidR="00AA1C30" w:rsidRPr="00197A81">
        <w:t xml:space="preserve">or cultural </w:t>
      </w:r>
      <w:r w:rsidRPr="00197A81">
        <w:t>sensitivity.</w:t>
      </w:r>
      <w:r w:rsidR="00AA1C30" w:rsidRPr="00197A81">
        <w:t xml:space="preserve"> It has also been adapted for use in Sierra Leone, Nepal and the United States with </w:t>
      </w:r>
      <w:r w:rsidR="00114E77" w:rsidRPr="00197A81">
        <w:t xml:space="preserve">evidence that its generic processes are acceptable in different ethnic and cultural groups </w:t>
      </w:r>
      <w:r w:rsidR="00BC2E14">
        <w:fldChar w:fldCharType="begin"/>
      </w:r>
      <w:r w:rsidR="00656649">
        <w:instrText xml:space="preserve"> ADDIN EN.CITE &lt;EndNote&gt;&lt;Cite&gt;&lt;Author&gt;Fendt-Newlin&lt;/Author&gt;&lt;Year&gt;2020&lt;/Year&gt;&lt;RecNum&gt;1749&lt;/RecNum&gt;&lt;DisplayText&gt;(Fendt-Newlin&lt;style face="italic"&gt; et al.&lt;/style&gt;, 2020)&lt;/DisplayText&gt;&lt;record&gt;&lt;rec-number&gt;1749&lt;/rec-number&gt;&lt;foreign-keys&gt;&lt;key app="EN" db-id="xsrta25fdvptf2e5ttppw9xu50s0t9tapt5e" timestamp="1598448189" guid="f9d4bf27-0441-4961-99aa-f518b13d11dc"&gt;1749&lt;/key&gt;&lt;/foreign-keys&gt;&lt;ref-type name="Journal Article"&gt;17&lt;/ref-type&gt;&lt;contributors&gt;&lt;authors&gt;&lt;author&gt;Fendt-Newlin, Meredith&lt;/author&gt;&lt;author&gt;Jagannathan, Aarti&lt;/author&gt;&lt;author&gt;Webber, Martin&lt;/author&gt;&lt;/authors&gt;&lt;/contributors&gt;&lt;titles&gt;&lt;title&gt;Cultural adaptation framework of social interventions in mental health: Evidence-based case studies from low- and middle-income countries&lt;/title&gt;&lt;secondary-title&gt;International Journal of Social Psychiatry&lt;/secondary-title&gt;&lt;/titles&gt;&lt;periodical&gt;&lt;full-title&gt;International Journal of Social Psychiatry&lt;/full-title&gt;&lt;/periodical&gt;&lt;pages&gt;41-48&lt;/pages&gt;&lt;volume&gt;66&lt;/volume&gt;&lt;number&gt;1&lt;/number&gt;&lt;keywords&gt;&lt;keyword&gt;Mental health,social interventions,LMIC,cultural adaptation,evidence-based case studies&lt;/keyword&gt;&lt;/keywords&gt;&lt;dates&gt;&lt;year&gt;2020&lt;/year&gt;&lt;/dates&gt;&lt;accession-num&gt;31580173&lt;/accession-num&gt;&lt;urls&gt;&lt;related-urls&gt;&lt;url&gt;https://journals.sagepub.com/doi/abs/10.1177/0020764019879943&lt;/url&gt;&lt;/related-urls&gt;&lt;/urls&gt;&lt;electronic-resource-num&gt;10.1177/0020764019879943&lt;/electronic-resource-num&gt;&lt;/record&gt;&lt;/Cite&gt;&lt;/EndNote&gt;</w:instrText>
      </w:r>
      <w:r w:rsidR="00BC2E14">
        <w:fldChar w:fldCharType="separate"/>
      </w:r>
      <w:r w:rsidR="00BC2E14">
        <w:rPr>
          <w:noProof/>
        </w:rPr>
        <w:t>(Fendt-Newlin</w:t>
      </w:r>
      <w:r w:rsidR="00BC2E14" w:rsidRPr="00BC2E14">
        <w:rPr>
          <w:i/>
          <w:noProof/>
        </w:rPr>
        <w:t xml:space="preserve"> et al.</w:t>
      </w:r>
      <w:r w:rsidR="00BC2E14">
        <w:rPr>
          <w:noProof/>
        </w:rPr>
        <w:t>, 2020)</w:t>
      </w:r>
      <w:r w:rsidR="00BC2E14">
        <w:fldChar w:fldCharType="end"/>
      </w:r>
      <w:r w:rsidR="000C3D3B" w:rsidRPr="00197A81">
        <w:t xml:space="preserve">. However, further research is needed in the UK to explore </w:t>
      </w:r>
      <w:r w:rsidR="007902CF" w:rsidRPr="00197A81">
        <w:t xml:space="preserve">the use of Connecting People with a diverse range of ethnicities. A deliberative approach to </w:t>
      </w:r>
      <w:r w:rsidR="005A577A" w:rsidRPr="00197A81">
        <w:t>supporting</w:t>
      </w:r>
      <w:r w:rsidR="007902CF" w:rsidRPr="00197A81">
        <w:t xml:space="preserve"> people from </w:t>
      </w:r>
      <w:r w:rsidR="00B06486" w:rsidRPr="00197A81">
        <w:t xml:space="preserve">black and ethnic minority </w:t>
      </w:r>
      <w:r w:rsidR="005A577A" w:rsidRPr="00197A81">
        <w:t>using social approaches w</w:t>
      </w:r>
      <w:r w:rsidR="00B06486" w:rsidRPr="00197A81">
        <w:t xml:space="preserve">ill be required in practice and </w:t>
      </w:r>
      <w:r w:rsidR="005A577A" w:rsidRPr="00197A81">
        <w:t xml:space="preserve">for recruitment to </w:t>
      </w:r>
      <w:r w:rsidR="00B06486" w:rsidRPr="00197A81">
        <w:t>future research.</w:t>
      </w:r>
    </w:p>
    <w:p w:rsidR="005E5945" w:rsidRPr="00197A81" w:rsidRDefault="005E5945" w:rsidP="00DA7778">
      <w:pPr>
        <w:spacing w:line="480" w:lineRule="auto"/>
      </w:pPr>
    </w:p>
    <w:p w:rsidR="005E5945" w:rsidRPr="00197A81" w:rsidRDefault="00B748B8" w:rsidP="00DA7778">
      <w:pPr>
        <w:spacing w:line="480" w:lineRule="auto"/>
      </w:pPr>
      <w:r w:rsidRPr="00197A81">
        <w:t>A</w:t>
      </w:r>
      <w:r w:rsidR="002929E6" w:rsidRPr="00197A81">
        <w:t xml:space="preserve"> follow-up period of only 6 months was possible in this study. A follow-up of 12 months was planned, though this was not possible as the development of the implementation materials took longer than anticipated. I</w:t>
      </w:r>
      <w:r w:rsidR="002A337B" w:rsidRPr="00197A81">
        <w:t>f it had been possible to use the full 12 months as planned, i</w:t>
      </w:r>
      <w:r w:rsidR="002929E6" w:rsidRPr="00197A81">
        <w:t>t</w:t>
      </w:r>
      <w:r w:rsidR="002A337B" w:rsidRPr="00197A81">
        <w:t xml:space="preserve"> is</w:t>
      </w:r>
      <w:r w:rsidR="002929E6" w:rsidRPr="00197A81">
        <w:t xml:space="preserve"> possible that </w:t>
      </w:r>
      <w:r w:rsidR="002A337B" w:rsidRPr="00197A81">
        <w:t xml:space="preserve">higher fidelity </w:t>
      </w:r>
      <w:r w:rsidR="002929E6" w:rsidRPr="00197A81">
        <w:t xml:space="preserve">implementation of Connecting People </w:t>
      </w:r>
      <w:r w:rsidR="002A337B" w:rsidRPr="00197A81">
        <w:t>may have been evidenced.</w:t>
      </w:r>
    </w:p>
    <w:p w:rsidR="00B748B8" w:rsidRPr="00197A81" w:rsidRDefault="00B748B8" w:rsidP="00DA7778">
      <w:pPr>
        <w:spacing w:line="480" w:lineRule="auto"/>
      </w:pPr>
    </w:p>
    <w:p w:rsidR="00B748B8" w:rsidRPr="00197A81" w:rsidRDefault="00B748B8" w:rsidP="00DA7778">
      <w:pPr>
        <w:spacing w:line="480" w:lineRule="auto"/>
      </w:pPr>
      <w:r w:rsidRPr="00197A81">
        <w:t>Further, randomisation of teams to implementation and control arms of the study would have more effectively minimised selection bias. We decided not to do this to avoid contamination of the control teams, though it may have been easier to implement Co</w:t>
      </w:r>
      <w:r w:rsidR="00BC2E14">
        <w:t>nnecting People in these teams</w:t>
      </w:r>
      <w:r w:rsidRPr="00197A81">
        <w:t>.</w:t>
      </w:r>
      <w:r w:rsidR="0000067A" w:rsidRPr="00197A81">
        <w:t xml:space="preserve"> On reflection, selecting implementation teams based on where practitioners had been trained in Connecting People </w:t>
      </w:r>
      <w:r w:rsidR="002A337B" w:rsidRPr="00197A81">
        <w:t>may</w:t>
      </w:r>
      <w:r w:rsidR="0000067A" w:rsidRPr="00197A81">
        <w:t xml:space="preserve"> not</w:t>
      </w:r>
      <w:r w:rsidR="002A337B" w:rsidRPr="00197A81">
        <w:t xml:space="preserve"> have represented</w:t>
      </w:r>
      <w:r w:rsidR="0000067A" w:rsidRPr="00197A81">
        <w:t xml:space="preserve"> the strongest </w:t>
      </w:r>
      <w:r w:rsidR="002A337B" w:rsidRPr="00197A81">
        <w:t>basis for selection, as the</w:t>
      </w:r>
      <w:r w:rsidR="0000067A" w:rsidRPr="00197A81">
        <w:t xml:space="preserve"> practitioners</w:t>
      </w:r>
      <w:r w:rsidR="002A337B" w:rsidRPr="00197A81">
        <w:t xml:space="preserve"> selected</w:t>
      </w:r>
      <w:r w:rsidR="0000067A" w:rsidRPr="00197A81">
        <w:t xml:space="preserve"> were typically the most junior members of their teams and</w:t>
      </w:r>
      <w:r w:rsidR="002A337B" w:rsidRPr="00197A81">
        <w:t xml:space="preserve"> so</w:t>
      </w:r>
      <w:r w:rsidR="0000067A" w:rsidRPr="00197A81">
        <w:t xml:space="preserve"> less able to influence the practice of their more senior and experienced colleagues.</w:t>
      </w:r>
    </w:p>
    <w:p w:rsidR="00B748B8" w:rsidRPr="00197A81" w:rsidRDefault="00B748B8" w:rsidP="00DA7778">
      <w:pPr>
        <w:spacing w:line="480" w:lineRule="auto"/>
      </w:pPr>
    </w:p>
    <w:p w:rsidR="005E5945" w:rsidRPr="00197A81" w:rsidRDefault="00B748B8" w:rsidP="00DA7778">
      <w:pPr>
        <w:spacing w:line="480" w:lineRule="auto"/>
        <w:rPr>
          <w:b/>
        </w:rPr>
      </w:pPr>
      <w:r w:rsidRPr="00197A81">
        <w:rPr>
          <w:b/>
        </w:rPr>
        <w:t>Conclusion</w:t>
      </w:r>
    </w:p>
    <w:p w:rsidR="00B748B8" w:rsidRPr="00197A81" w:rsidRDefault="00B748B8" w:rsidP="00DA7778">
      <w:pPr>
        <w:spacing w:line="480" w:lineRule="auto"/>
        <w:rPr>
          <w:b/>
        </w:rPr>
      </w:pPr>
    </w:p>
    <w:p w:rsidR="00BC19ED" w:rsidRPr="00197A81" w:rsidRDefault="002929E6" w:rsidP="00DA7778">
      <w:pPr>
        <w:spacing w:line="480" w:lineRule="auto"/>
      </w:pPr>
      <w:r w:rsidRPr="00197A81">
        <w:t xml:space="preserve">These findings </w:t>
      </w:r>
      <w:r w:rsidR="00842665" w:rsidRPr="00197A81">
        <w:t>highlight difficulties for social workers leading the i</w:t>
      </w:r>
      <w:r w:rsidRPr="00197A81">
        <w:t>mplement</w:t>
      </w:r>
      <w:r w:rsidR="00842665" w:rsidRPr="00197A81">
        <w:t xml:space="preserve">ation of a </w:t>
      </w:r>
      <w:r w:rsidRPr="00197A81">
        <w:t xml:space="preserve">social intervention in </w:t>
      </w:r>
      <w:r w:rsidR="005104D5" w:rsidRPr="00197A81">
        <w:t>CMHTs</w:t>
      </w:r>
      <w:r w:rsidR="00842665" w:rsidRPr="00197A81">
        <w:t xml:space="preserve"> </w:t>
      </w:r>
      <w:r w:rsidR="005104D5" w:rsidRPr="00197A81">
        <w:t>and</w:t>
      </w:r>
      <w:r w:rsidRPr="00197A81">
        <w:t xml:space="preserve"> </w:t>
      </w:r>
      <w:r w:rsidR="00081506" w:rsidRPr="00197A81">
        <w:t>i</w:t>
      </w:r>
      <w:r w:rsidRPr="00197A81">
        <w:t xml:space="preserve">t </w:t>
      </w:r>
      <w:r w:rsidR="00842665" w:rsidRPr="00197A81">
        <w:t xml:space="preserve">appears that </w:t>
      </w:r>
      <w:r w:rsidRPr="00197A81">
        <w:t xml:space="preserve">the provision of implementation materials was not </w:t>
      </w:r>
      <w:r w:rsidRPr="00197A81">
        <w:lastRenderedPageBreak/>
        <w:t>sufficient in its own right. It is possible that additional support is req</w:t>
      </w:r>
      <w:bookmarkStart w:id="0" w:name="_GoBack"/>
      <w:bookmarkEnd w:id="0"/>
      <w:r w:rsidRPr="00197A81">
        <w:t xml:space="preserve">uired for </w:t>
      </w:r>
      <w:r w:rsidR="00842665" w:rsidRPr="00197A81">
        <w:t>better implementation, including a longer set-up and delivery period</w:t>
      </w:r>
      <w:r w:rsidR="0038156D" w:rsidRPr="00197A81">
        <w:t>. Implementation may also have occurred</w:t>
      </w:r>
      <w:r w:rsidR="00BC19ED" w:rsidRPr="00197A81">
        <w:t xml:space="preserve"> more effectively</w:t>
      </w:r>
      <w:r w:rsidR="00842665" w:rsidRPr="00197A81">
        <w:t xml:space="preserve"> without the additional pressure of recruiting part</w:t>
      </w:r>
      <w:r w:rsidR="00BC19ED" w:rsidRPr="00197A81">
        <w:t>icipants for a research project, which seemed to deter some teams from fully engaging with the process.</w:t>
      </w:r>
    </w:p>
    <w:p w:rsidR="00ED6794" w:rsidRPr="00197A81" w:rsidRDefault="00ED6794" w:rsidP="00DA7778">
      <w:pPr>
        <w:spacing w:line="480" w:lineRule="auto"/>
      </w:pPr>
    </w:p>
    <w:p w:rsidR="00ED6794" w:rsidRPr="00197A81" w:rsidRDefault="00ED6794" w:rsidP="00DA7778">
      <w:pPr>
        <w:spacing w:line="480" w:lineRule="auto"/>
        <w:rPr>
          <w:b/>
        </w:rPr>
      </w:pPr>
      <w:r w:rsidRPr="00197A81">
        <w:rPr>
          <w:b/>
        </w:rPr>
        <w:t>References</w:t>
      </w:r>
    </w:p>
    <w:p w:rsidR="00842665" w:rsidRPr="00197A81" w:rsidRDefault="00842665" w:rsidP="00DA7778">
      <w:pPr>
        <w:spacing w:line="480" w:lineRule="auto"/>
        <w:rPr>
          <w:b/>
        </w:rPr>
      </w:pPr>
    </w:p>
    <w:p w:rsidR="00BC2E14" w:rsidRPr="00BC2E14" w:rsidRDefault="00ED6794" w:rsidP="00BC2E14">
      <w:pPr>
        <w:pStyle w:val="EndNoteBibliography"/>
      </w:pPr>
      <w:r w:rsidRPr="00197A81">
        <w:rPr>
          <w:b/>
        </w:rPr>
        <w:fldChar w:fldCharType="begin"/>
      </w:r>
      <w:r w:rsidRPr="00197A81">
        <w:rPr>
          <w:b/>
        </w:rPr>
        <w:instrText xml:space="preserve"> ADDIN EN.REFLIST </w:instrText>
      </w:r>
      <w:r w:rsidRPr="00197A81">
        <w:rPr>
          <w:b/>
        </w:rPr>
        <w:fldChar w:fldCharType="separate"/>
      </w:r>
      <w:r w:rsidR="00BC2E14" w:rsidRPr="00BC2E14">
        <w:t>ADASS and NHS Benchmarking Network (2018) 'AMHPs, Mental Health Act Assessments &amp; the Mental Health Social Care Workforce', London, ADASS.</w:t>
      </w:r>
    </w:p>
    <w:p w:rsidR="00BC2E14" w:rsidRPr="00BC2E14" w:rsidRDefault="00BC2E14" w:rsidP="00BC2E14">
      <w:pPr>
        <w:pStyle w:val="EndNoteBibliography"/>
      </w:pPr>
      <w:r w:rsidRPr="00BC2E14">
        <w:t xml:space="preserve">Anderson, K., Laxhman, N. and Priebe, S. (2015) 'Can mental health interventions change social networks? A systematic review', </w:t>
      </w:r>
      <w:r w:rsidRPr="00BC2E14">
        <w:rPr>
          <w:i/>
        </w:rPr>
        <w:t>BMC Psychiatry</w:t>
      </w:r>
      <w:r w:rsidRPr="00BC2E14">
        <w:t xml:space="preserve">, </w:t>
      </w:r>
      <w:r w:rsidRPr="00BC2E14">
        <w:rPr>
          <w:b/>
        </w:rPr>
        <w:t>15</w:t>
      </w:r>
      <w:r w:rsidRPr="00BC2E14">
        <w:t>, p. 297.</w:t>
      </w:r>
    </w:p>
    <w:p w:rsidR="00BC2E14" w:rsidRPr="00BC2E14" w:rsidRDefault="00BC2E14" w:rsidP="00BC2E14">
      <w:pPr>
        <w:pStyle w:val="EndNoteBibliography"/>
      </w:pPr>
      <w:r w:rsidRPr="00BC2E14">
        <w:t xml:space="preserve">Angrist, J.D., Imbens, G.W. and Rubin, D.B. (1996) 'Identification of Causal Effects Using Instrumental Variables', </w:t>
      </w:r>
      <w:r w:rsidRPr="00BC2E14">
        <w:rPr>
          <w:i/>
        </w:rPr>
        <w:t>Journal of the American Statistical Association</w:t>
      </w:r>
      <w:r w:rsidRPr="00BC2E14">
        <w:t xml:space="preserve">, </w:t>
      </w:r>
      <w:r w:rsidRPr="00BC2E14">
        <w:rPr>
          <w:b/>
        </w:rPr>
        <w:t>91</w:t>
      </w:r>
      <w:r w:rsidRPr="00BC2E14">
        <w:t>, pp. 444-455.</w:t>
      </w:r>
    </w:p>
    <w:p w:rsidR="00BC2E14" w:rsidRPr="00BC2E14" w:rsidRDefault="00BC2E14" w:rsidP="00BC2E14">
      <w:pPr>
        <w:pStyle w:val="EndNoteBibliography"/>
      </w:pPr>
      <w:r w:rsidRPr="00BC2E14">
        <w:t xml:space="preserve">Barnett, P., Mackay, E., Matthews, H., Gate, R., Greenwood, H., Ariyo, K., Bhui, K., Halvorsrud, K., Pilling, S. and Smith, S. (2019) 'Ethnic variations in compulsory detention under the Mental Health Act: a systematic review and meta-analysis of international data', </w:t>
      </w:r>
      <w:r w:rsidRPr="00BC2E14">
        <w:rPr>
          <w:i/>
        </w:rPr>
        <w:t>The Lancet Psychiatry</w:t>
      </w:r>
      <w:r w:rsidRPr="00BC2E14">
        <w:t xml:space="preserve">, </w:t>
      </w:r>
      <w:r w:rsidRPr="00BC2E14">
        <w:rPr>
          <w:b/>
        </w:rPr>
        <w:t>6</w:t>
      </w:r>
      <w:r w:rsidRPr="00BC2E14">
        <w:t>(4), pp. 305-317.</w:t>
      </w:r>
    </w:p>
    <w:p w:rsidR="00BC2E14" w:rsidRPr="00BC2E14" w:rsidRDefault="00BC2E14" w:rsidP="00BC2E14">
      <w:pPr>
        <w:pStyle w:val="EndNoteBibliography"/>
      </w:pPr>
      <w:r w:rsidRPr="00BC2E14">
        <w:t xml:space="preserve">Beecham, J.K. and Knapp, M.R.J. (2001) 'Costing psychiatric interventions', in Thornicroft, G., Brewin, C. and Wing, J.K. (eds), </w:t>
      </w:r>
      <w:r w:rsidRPr="00BC2E14">
        <w:rPr>
          <w:i/>
        </w:rPr>
        <w:t>Measuring mental health needs</w:t>
      </w:r>
      <w:r w:rsidRPr="00BC2E14">
        <w:t>, London, Gaskell.</w:t>
      </w:r>
    </w:p>
    <w:p w:rsidR="00BC2E14" w:rsidRPr="00BC2E14" w:rsidRDefault="00BC2E14" w:rsidP="00BC2E14">
      <w:pPr>
        <w:pStyle w:val="EndNoteBibliography"/>
      </w:pPr>
      <w:r w:rsidRPr="00BC2E14">
        <w:t xml:space="preserve">Beutel, M.E., Klein, E.M., Brähler, E., Reiner, I., Jünger, C., Michal, M., Wiltink, J., Wild, P.S., Münzel, T., Lackner, K.J. and Tibubos, A.N. (2017) 'Loneliness in the general population: prevalence, determinants and relations to mental health', </w:t>
      </w:r>
      <w:r w:rsidRPr="00BC2E14">
        <w:rPr>
          <w:i/>
        </w:rPr>
        <w:t>BMC Psychiatry</w:t>
      </w:r>
      <w:r w:rsidRPr="00BC2E14">
        <w:t xml:space="preserve">, </w:t>
      </w:r>
      <w:r w:rsidRPr="00BC2E14">
        <w:rPr>
          <w:b/>
        </w:rPr>
        <w:t>17</w:t>
      </w:r>
      <w:r w:rsidRPr="00BC2E14">
        <w:t>(1), p. 97.</w:t>
      </w:r>
    </w:p>
    <w:p w:rsidR="00BC2E14" w:rsidRPr="00BC2E14" w:rsidRDefault="00BC2E14" w:rsidP="00BC2E14">
      <w:pPr>
        <w:pStyle w:val="EndNoteBibliography"/>
      </w:pPr>
      <w:r w:rsidRPr="00BC2E14">
        <w:t xml:space="preserve">Boland, J., Abendstern, M., Wilberforce, M.R., Pitts, R., Hughes, J. and Challis, D. (in press) 'Exploring the added value of mental health social work in multidisciplinary community teams: An analysis of a national service user survey', </w:t>
      </w:r>
      <w:r w:rsidRPr="00BC2E14">
        <w:rPr>
          <w:i/>
        </w:rPr>
        <w:t>Journal of Social Work</w:t>
      </w:r>
      <w:r w:rsidRPr="00BC2E14">
        <w:t>.</w:t>
      </w:r>
    </w:p>
    <w:p w:rsidR="00BC2E14" w:rsidRPr="00BC2E14" w:rsidRDefault="00BC2E14" w:rsidP="00BC2E14">
      <w:pPr>
        <w:pStyle w:val="EndNoteBibliography"/>
      </w:pPr>
      <w:r w:rsidRPr="00BC2E14">
        <w:t>Clifton, J. and Thorley, C. (2014) 'Think Ahead: Meeting the workforce challenges in mental health social work', London, Institute for Public Policy Research.</w:t>
      </w:r>
    </w:p>
    <w:p w:rsidR="00BC2E14" w:rsidRPr="00BC2E14" w:rsidRDefault="00BC2E14" w:rsidP="00BC2E14">
      <w:pPr>
        <w:pStyle w:val="EndNoteBibliography"/>
      </w:pPr>
      <w:r w:rsidRPr="00BC2E14">
        <w:lastRenderedPageBreak/>
        <w:t xml:space="preserve">Courtin, E. and Knapp, M. (2017) 'Social isolation, loneliness and health in old age: a scoping review', </w:t>
      </w:r>
      <w:r w:rsidRPr="00BC2E14">
        <w:rPr>
          <w:i/>
        </w:rPr>
        <w:t>Health &amp; Social Care in the Community</w:t>
      </w:r>
      <w:r w:rsidRPr="00BC2E14">
        <w:t xml:space="preserve">, </w:t>
      </w:r>
      <w:r w:rsidRPr="00BC2E14">
        <w:rPr>
          <w:b/>
        </w:rPr>
        <w:t>25</w:t>
      </w:r>
      <w:r w:rsidRPr="00BC2E14">
        <w:t>(3), pp. 799-812.</w:t>
      </w:r>
    </w:p>
    <w:p w:rsidR="00BC2E14" w:rsidRPr="00BC2E14" w:rsidRDefault="00BC2E14" w:rsidP="00BC2E14">
      <w:pPr>
        <w:pStyle w:val="EndNoteBibliography"/>
      </w:pPr>
      <w:r w:rsidRPr="00BC2E14">
        <w:t>Curtis, L. and Burns, A. (2018) 'Unit Costs of Health and Social Care 2018', Canterbury, Personal Social Services Research Unit, University of Kent.</w:t>
      </w:r>
    </w:p>
    <w:p w:rsidR="00BC2E14" w:rsidRPr="00BC2E14" w:rsidRDefault="00BC2E14" w:rsidP="00BC2E14">
      <w:pPr>
        <w:pStyle w:val="EndNoteBibliography"/>
      </w:pPr>
      <w:r w:rsidRPr="00BC2E14">
        <w:t xml:space="preserve">Das-Munshi, J., Bhugra, D. and Crawford, M.J. (2018) 'Ethnic minority inequalities in access to treatments for schizophrenia and schizoaffective disorders: findings from a nationally representative cross-sectional study', </w:t>
      </w:r>
      <w:r w:rsidRPr="00BC2E14">
        <w:rPr>
          <w:i/>
        </w:rPr>
        <w:t>Bmc Medicine</w:t>
      </w:r>
      <w:r w:rsidRPr="00BC2E14">
        <w:t xml:space="preserve">, </w:t>
      </w:r>
      <w:r w:rsidRPr="00BC2E14">
        <w:rPr>
          <w:b/>
        </w:rPr>
        <w:t>16</w:t>
      </w:r>
      <w:r w:rsidRPr="00BC2E14">
        <w:t>(1), p. 55.</w:t>
      </w:r>
    </w:p>
    <w:p w:rsidR="00BC2E14" w:rsidRPr="00BC2E14" w:rsidRDefault="00BC2E14" w:rsidP="00BC2E14">
      <w:pPr>
        <w:pStyle w:val="EndNoteBibliography"/>
      </w:pPr>
      <w:r w:rsidRPr="00BC2E14">
        <w:t xml:space="preserve">Donner, A. and Klar, N. (2000) </w:t>
      </w:r>
      <w:r w:rsidRPr="00BC2E14">
        <w:rPr>
          <w:i/>
        </w:rPr>
        <w:t>Design and analysis of cluster randomization trials in health research</w:t>
      </w:r>
      <w:r w:rsidRPr="00BC2E14">
        <w:t>, London, Arnold.</w:t>
      </w:r>
    </w:p>
    <w:p w:rsidR="00BC2E14" w:rsidRPr="00BC2E14" w:rsidRDefault="00BC2E14" w:rsidP="00BC2E14">
      <w:pPr>
        <w:pStyle w:val="EndNoteBibliography"/>
      </w:pPr>
      <w:r w:rsidRPr="00BC2E14">
        <w:t xml:space="preserve">Dutt, K. and Webber, M. (2010) 'Access to Social Capital and Social Support Amongst South East Asian Women with Severe Mental Health Problems: A Cross-Sectional Survey', </w:t>
      </w:r>
      <w:r w:rsidRPr="00BC2E14">
        <w:rPr>
          <w:i/>
        </w:rPr>
        <w:t>International Journal of Social Psychiatry</w:t>
      </w:r>
      <w:r w:rsidRPr="00BC2E14">
        <w:t xml:space="preserve">, </w:t>
      </w:r>
      <w:r w:rsidRPr="00BC2E14">
        <w:rPr>
          <w:b/>
        </w:rPr>
        <w:t>56</w:t>
      </w:r>
      <w:r w:rsidRPr="00BC2E14">
        <w:t>(6), pp. 593-605.</w:t>
      </w:r>
    </w:p>
    <w:p w:rsidR="00BC2E14" w:rsidRPr="00BC2E14" w:rsidRDefault="00BC2E14" w:rsidP="00BC2E14">
      <w:pPr>
        <w:pStyle w:val="EndNoteBibliography"/>
      </w:pPr>
      <w:r w:rsidRPr="00BC2E14">
        <w:t xml:space="preserve">Faul, F., Erdfelder, E., Buchner, A. and Lang, A.-G. (2009) 'Statistical power analyses using G*Power 3.1: Tests for correlation and regression analyses.', </w:t>
      </w:r>
      <w:r w:rsidRPr="00BC2E14">
        <w:rPr>
          <w:i/>
        </w:rPr>
        <w:t>Behavior Research Methods</w:t>
      </w:r>
      <w:r w:rsidRPr="00BC2E14">
        <w:t xml:space="preserve">, </w:t>
      </w:r>
      <w:r w:rsidRPr="00BC2E14">
        <w:rPr>
          <w:b/>
        </w:rPr>
        <w:t>41</w:t>
      </w:r>
      <w:r w:rsidRPr="00BC2E14">
        <w:t>(4), pp. 1149–1160.</w:t>
      </w:r>
    </w:p>
    <w:p w:rsidR="00BC2E14" w:rsidRPr="00BC2E14" w:rsidRDefault="00BC2E14" w:rsidP="00BC2E14">
      <w:pPr>
        <w:pStyle w:val="EndNoteBibliography"/>
      </w:pPr>
      <w:r w:rsidRPr="00BC2E14">
        <w:t xml:space="preserve">Fendt-Newlin, M., Jagannathan, A. and Webber, M. (2020) 'Cultural adaptation framework of social interventions in mental health: Evidence-based case studies from low- and middle-income countries', </w:t>
      </w:r>
      <w:r w:rsidRPr="00BC2E14">
        <w:rPr>
          <w:i/>
        </w:rPr>
        <w:t>International Journal of Social Psychiatry</w:t>
      </w:r>
      <w:r w:rsidRPr="00BC2E14">
        <w:t xml:space="preserve">, </w:t>
      </w:r>
      <w:r w:rsidRPr="00BC2E14">
        <w:rPr>
          <w:b/>
        </w:rPr>
        <w:t>66</w:t>
      </w:r>
      <w:r w:rsidRPr="00BC2E14">
        <w:t>(1), pp. 41-48.</w:t>
      </w:r>
    </w:p>
    <w:p w:rsidR="00BC2E14" w:rsidRPr="00BC2E14" w:rsidRDefault="00BC2E14" w:rsidP="00BC2E14">
      <w:pPr>
        <w:pStyle w:val="EndNoteBibliography"/>
      </w:pPr>
      <w:r w:rsidRPr="00BC2E14">
        <w:t xml:space="preserve">Fenwick, E., Marshall, D.A., Levy, A.R. and Nichol, G. (2006) 'Using and interpreting cost-effectiveness acceptability curves: an example using data from a trial of management strategies for atrial fibrillation', </w:t>
      </w:r>
      <w:r w:rsidRPr="00BC2E14">
        <w:rPr>
          <w:i/>
        </w:rPr>
        <w:t>BMC Health Services Research</w:t>
      </w:r>
      <w:r w:rsidRPr="00BC2E14">
        <w:t xml:space="preserve">, </w:t>
      </w:r>
      <w:r w:rsidRPr="00BC2E14">
        <w:rPr>
          <w:b/>
        </w:rPr>
        <w:t>6</w:t>
      </w:r>
      <w:r w:rsidRPr="00BC2E14">
        <w:t>(52).</w:t>
      </w:r>
    </w:p>
    <w:p w:rsidR="00BC2E14" w:rsidRPr="00BC2E14" w:rsidRDefault="00BC2E14" w:rsidP="00BC2E14">
      <w:pPr>
        <w:pStyle w:val="EndNoteBibliography"/>
      </w:pPr>
      <w:r w:rsidRPr="00BC2E14">
        <w:t xml:space="preserve">Gajwani, R., Parsons, H., Birchwood, M. and Singh, S.P. (2016) 'Ethnicity and detention: are Black and minority ethnic (BME) groups disproportionately detained under the Mental Health Act 2007?', </w:t>
      </w:r>
      <w:r w:rsidRPr="00BC2E14">
        <w:rPr>
          <w:i/>
        </w:rPr>
        <w:t>Social Psychiatry and Psychiatric Epidemiology</w:t>
      </w:r>
      <w:r w:rsidRPr="00BC2E14">
        <w:t xml:space="preserve">, </w:t>
      </w:r>
      <w:r w:rsidRPr="00BC2E14">
        <w:rPr>
          <w:b/>
        </w:rPr>
        <w:t>51</w:t>
      </w:r>
      <w:r w:rsidRPr="00BC2E14">
        <w:t>(5), pp. 703-711.</w:t>
      </w:r>
    </w:p>
    <w:p w:rsidR="00BC2E14" w:rsidRPr="00BC2E14" w:rsidRDefault="00BC2E14" w:rsidP="00BC2E14">
      <w:pPr>
        <w:pStyle w:val="EndNoteBibliography"/>
      </w:pPr>
      <w:r w:rsidRPr="00BC2E14">
        <w:t>Gershlick, B., Kraindler, J., Idriss, O. and Charlesworth, A. (2019) 'Health and social care funding. Priorities for the next government', London, The Health Foundation.</w:t>
      </w:r>
    </w:p>
    <w:p w:rsidR="00BC2E14" w:rsidRPr="00BC2E14" w:rsidRDefault="00BC2E14" w:rsidP="00BC2E14">
      <w:pPr>
        <w:pStyle w:val="EndNoteBibliography"/>
      </w:pPr>
      <w:r w:rsidRPr="00BC2E14">
        <w:t xml:space="preserve">Glick, H. (2007) </w:t>
      </w:r>
      <w:r w:rsidRPr="00BC2E14">
        <w:rPr>
          <w:i/>
        </w:rPr>
        <w:t>Economic evaluation in clinical trials</w:t>
      </w:r>
      <w:r w:rsidRPr="00BC2E14">
        <w:t>, Oxford Oxford University Press.</w:t>
      </w:r>
    </w:p>
    <w:p w:rsidR="00BC2E14" w:rsidRPr="00BC2E14" w:rsidRDefault="00BC2E14" w:rsidP="00BC2E14">
      <w:pPr>
        <w:pStyle w:val="EndNoteBibliography"/>
      </w:pPr>
      <w:r w:rsidRPr="00BC2E14">
        <w:t>Her Majesty's Government (2018) 'A Connected Society. A strategy for tackling loneliness - laying the foundations for change', London, Department for Digital, Culture, Media and Sport.</w:t>
      </w:r>
    </w:p>
    <w:p w:rsidR="00BC2E14" w:rsidRPr="00BC2E14" w:rsidRDefault="00BC2E14" w:rsidP="00BC2E14">
      <w:pPr>
        <w:pStyle w:val="EndNoteBibliography"/>
      </w:pPr>
      <w:r w:rsidRPr="00BC2E14">
        <w:t xml:space="preserve">Herdman, M., Gudex, C., Lloyd, A., Janssen, M., Kind, P., Parkin, D., Bonsel, G. and Badia, X. (2011) 'Development and preliminary testing of the new five-level version of EQ-5D (EQ-5D-5L)', </w:t>
      </w:r>
      <w:r w:rsidRPr="00BC2E14">
        <w:rPr>
          <w:i/>
        </w:rPr>
        <w:t>Qual Life Res</w:t>
      </w:r>
      <w:r w:rsidRPr="00BC2E14">
        <w:t xml:space="preserve">, </w:t>
      </w:r>
      <w:r w:rsidRPr="00BC2E14">
        <w:rPr>
          <w:b/>
        </w:rPr>
        <w:t>20</w:t>
      </w:r>
      <w:r w:rsidRPr="00BC2E14">
        <w:t>(10), pp. 1727-1736.</w:t>
      </w:r>
    </w:p>
    <w:p w:rsidR="00BC2E14" w:rsidRPr="00BC2E14" w:rsidRDefault="00BC2E14" w:rsidP="00BC2E14">
      <w:pPr>
        <w:pStyle w:val="EndNoteBibliography"/>
      </w:pPr>
      <w:r w:rsidRPr="00BC2E14">
        <w:t xml:space="preserve">Herrin, J. (2012) 'CLTEST: Stata modules for performing cluster-adjusted chi-square and t-tests', </w:t>
      </w:r>
      <w:r w:rsidRPr="00BC2E14">
        <w:rPr>
          <w:i/>
        </w:rPr>
        <w:t>Statistical Software Components S424901</w:t>
      </w:r>
      <w:r w:rsidRPr="00BC2E14">
        <w:t>, Boston, Boston College Department of Economics.</w:t>
      </w:r>
    </w:p>
    <w:p w:rsidR="00BC2E14" w:rsidRPr="00BC2E14" w:rsidRDefault="00BC2E14" w:rsidP="00BC2E14">
      <w:pPr>
        <w:pStyle w:val="EndNoteBibliography"/>
      </w:pPr>
      <w:r w:rsidRPr="00BC2E14">
        <w:t xml:space="preserve">Lambert, N. and Carr, S. (2018) ''Outside the Original Remit': Co-production in UK mental health research, lessons from the field', </w:t>
      </w:r>
      <w:r w:rsidRPr="00BC2E14">
        <w:rPr>
          <w:i/>
        </w:rPr>
        <w:t>International Journal of Mental Health Nursing</w:t>
      </w:r>
      <w:r w:rsidRPr="00BC2E14">
        <w:t xml:space="preserve">, </w:t>
      </w:r>
      <w:r w:rsidRPr="00BC2E14">
        <w:rPr>
          <w:b/>
        </w:rPr>
        <w:t>27</w:t>
      </w:r>
      <w:r w:rsidRPr="00BC2E14">
        <w:t>(4), pp. 1273-1281.</w:t>
      </w:r>
    </w:p>
    <w:p w:rsidR="00BC2E14" w:rsidRPr="00BC2E14" w:rsidRDefault="00BC2E14" w:rsidP="00BC2E14">
      <w:pPr>
        <w:pStyle w:val="EndNoteBibliography"/>
      </w:pPr>
      <w:r w:rsidRPr="00BC2E14">
        <w:t xml:space="preserve">Law, H., Neil, S.T., Dunn, G. and Morrison, A.P. (2014) 'Psychometric properties of the Questionnaire about the Process of Recovery (QPR)', </w:t>
      </w:r>
      <w:r w:rsidRPr="00BC2E14">
        <w:rPr>
          <w:i/>
        </w:rPr>
        <w:t>Schizophrenia Research</w:t>
      </w:r>
      <w:r w:rsidRPr="00BC2E14">
        <w:t xml:space="preserve">, </w:t>
      </w:r>
      <w:r w:rsidRPr="00BC2E14">
        <w:rPr>
          <w:b/>
        </w:rPr>
        <w:t>156</w:t>
      </w:r>
      <w:r w:rsidRPr="00BC2E14">
        <w:t>, pp. 184-189.</w:t>
      </w:r>
    </w:p>
    <w:p w:rsidR="00BC2E14" w:rsidRPr="00BC2E14" w:rsidRDefault="00BC2E14" w:rsidP="00BC2E14">
      <w:pPr>
        <w:pStyle w:val="EndNoteBibliography"/>
      </w:pPr>
      <w:r w:rsidRPr="00BC2E14">
        <w:t xml:space="preserve">Leamy, M., Bird, V., Le Boutillier, C., Williams, J. and Slade, M. (2011) 'Conceptual framework for personal recovery in mental health: systematic review and narrative synthesis', </w:t>
      </w:r>
      <w:r w:rsidRPr="00BC2E14">
        <w:rPr>
          <w:i/>
        </w:rPr>
        <w:t>The British Journal of Psychiatry</w:t>
      </w:r>
      <w:r w:rsidRPr="00BC2E14">
        <w:t xml:space="preserve">, </w:t>
      </w:r>
      <w:r w:rsidRPr="00BC2E14">
        <w:rPr>
          <w:b/>
        </w:rPr>
        <w:t>199</w:t>
      </w:r>
      <w:r w:rsidRPr="00BC2E14">
        <w:t>(6), pp. 445-452.</w:t>
      </w:r>
    </w:p>
    <w:p w:rsidR="00BC2E14" w:rsidRPr="00BC2E14" w:rsidRDefault="00BC2E14" w:rsidP="00BC2E14">
      <w:pPr>
        <w:pStyle w:val="EndNoteBibliography"/>
      </w:pPr>
      <w:r w:rsidRPr="00BC2E14">
        <w:t xml:space="preserve">Leigh-Hunt, N., Bagguley, D., Bash, K., Turner, V., Turnbull, S., Valtorta, N. and Caan, W. (2017) 'An overview of systematic reviews on the public health consequences of social isolation and loneliness', </w:t>
      </w:r>
      <w:r w:rsidRPr="00BC2E14">
        <w:rPr>
          <w:i/>
        </w:rPr>
        <w:t>Public Health</w:t>
      </w:r>
      <w:r w:rsidRPr="00BC2E14">
        <w:t xml:space="preserve">, </w:t>
      </w:r>
      <w:r w:rsidRPr="00BC2E14">
        <w:rPr>
          <w:b/>
        </w:rPr>
        <w:t>152</w:t>
      </w:r>
      <w:r w:rsidRPr="00BC2E14">
        <w:t>, pp. 157-171.</w:t>
      </w:r>
    </w:p>
    <w:p w:rsidR="00BC2E14" w:rsidRPr="00BC2E14" w:rsidRDefault="00BC2E14" w:rsidP="00BC2E14">
      <w:pPr>
        <w:pStyle w:val="EndNoteBibliography"/>
      </w:pPr>
      <w:r w:rsidRPr="00BC2E14">
        <w:t xml:space="preserve">Lim, M.H., Gleeson, J.F.M., Alvarez-Jimenez, M. and Penn, D.L. (2018) 'Loneliness in psychosis: a systematic review', </w:t>
      </w:r>
      <w:r w:rsidRPr="00BC2E14">
        <w:rPr>
          <w:i/>
        </w:rPr>
        <w:t>Social Psychiatry and Psychiatric Epidemiology</w:t>
      </w:r>
      <w:r w:rsidRPr="00BC2E14">
        <w:t xml:space="preserve">, </w:t>
      </w:r>
      <w:r w:rsidRPr="00BC2E14">
        <w:rPr>
          <w:b/>
        </w:rPr>
        <w:t>53</w:t>
      </w:r>
      <w:r w:rsidRPr="00BC2E14">
        <w:t>(3), pp. 221-238.</w:t>
      </w:r>
    </w:p>
    <w:p w:rsidR="00BC2E14" w:rsidRPr="00BC2E14" w:rsidRDefault="00BC2E14" w:rsidP="00BC2E14">
      <w:pPr>
        <w:pStyle w:val="EndNoteBibliography"/>
      </w:pPr>
      <w:r w:rsidRPr="00BC2E14">
        <w:t xml:space="preserve">Lin, N. (2001) </w:t>
      </w:r>
      <w:r w:rsidRPr="00BC2E14">
        <w:rPr>
          <w:i/>
        </w:rPr>
        <w:t>Social Capital. A Theory of Social Structure and Action</w:t>
      </w:r>
      <w:r w:rsidRPr="00BC2E14">
        <w:t>, Cambridge, Cambridge University Press.</w:t>
      </w:r>
    </w:p>
    <w:p w:rsidR="00BC2E14" w:rsidRPr="00BC2E14" w:rsidRDefault="00BC2E14" w:rsidP="00BC2E14">
      <w:pPr>
        <w:pStyle w:val="EndNoteBibliography"/>
      </w:pPr>
      <w:r w:rsidRPr="00BC2E14">
        <w:t xml:space="preserve">Maheswaran, H., Weich, S., Powell, J. and Stewart-Brown, S. (2012) 'Evaluating the responsiveness of the Warwick Edinburgh Mental Well-Being Scale (WEMWBS): Group and individual level analysis', </w:t>
      </w:r>
      <w:r w:rsidRPr="00BC2E14">
        <w:rPr>
          <w:i/>
        </w:rPr>
        <w:t>Health and Quality of Life Outcomes</w:t>
      </w:r>
      <w:r w:rsidRPr="00BC2E14">
        <w:t xml:space="preserve">, </w:t>
      </w:r>
      <w:r w:rsidRPr="00BC2E14">
        <w:rPr>
          <w:b/>
        </w:rPr>
        <w:t>10</w:t>
      </w:r>
      <w:r w:rsidRPr="00BC2E14">
        <w:t>(1), p. 156.</w:t>
      </w:r>
    </w:p>
    <w:p w:rsidR="00BC2E14" w:rsidRPr="00BC2E14" w:rsidRDefault="00BC2E14" w:rsidP="00BC2E14">
      <w:pPr>
        <w:pStyle w:val="EndNoteBibliography"/>
      </w:pPr>
      <w:r w:rsidRPr="00BC2E14">
        <w:t xml:space="preserve">McManus, S., Bebbington, P., Jenkins, R. and Brugha, T. (eds) (2016) </w:t>
      </w:r>
      <w:r w:rsidRPr="00BC2E14">
        <w:rPr>
          <w:i/>
        </w:rPr>
        <w:t>Mental health and wellbeing in England: Adult Psychiatric Morbidity Survey 2014</w:t>
      </w:r>
      <w:r w:rsidRPr="00BC2E14">
        <w:t>, Leeds NHS Digital.</w:t>
      </w:r>
    </w:p>
    <w:p w:rsidR="00BC2E14" w:rsidRPr="00BC2E14" w:rsidRDefault="00BC2E14" w:rsidP="00BC2E14">
      <w:pPr>
        <w:pStyle w:val="EndNoteBibliography"/>
      </w:pPr>
      <w:r w:rsidRPr="00BC2E14">
        <w:t xml:space="preserve">Memon, A., Taylor, K., Mohebati, L.M., Sundin, J., Cooper, M., Scanlon, T. and de Visser, R. (2016) 'Perceived barriers to accessing mental health services among black and minority ethnic (BME) communities: a qualitative study in Southeast England', </w:t>
      </w:r>
      <w:r w:rsidRPr="00BC2E14">
        <w:rPr>
          <w:b/>
        </w:rPr>
        <w:t>6</w:t>
      </w:r>
      <w:r w:rsidRPr="00BC2E14">
        <w:t>(11), p. e012337.</w:t>
      </w:r>
    </w:p>
    <w:p w:rsidR="00BC2E14" w:rsidRPr="00BC2E14" w:rsidRDefault="00BC2E14" w:rsidP="00BC2E14">
      <w:pPr>
        <w:pStyle w:val="EndNoteBibliography"/>
      </w:pPr>
      <w:r w:rsidRPr="00BC2E14">
        <w:t xml:space="preserve">Moran, N., Webber, M., Dosanjh Kaur, H., Morris, D., Ngamaba, K., Nunn, V., Thomas, E. and Thompson, K. (2020) 'Co-producing practice research – The Connecting People Implementation Study', in Joubert, L. and Webber, M. (eds), </w:t>
      </w:r>
      <w:r w:rsidRPr="00BC2E14">
        <w:rPr>
          <w:i/>
        </w:rPr>
        <w:t>The Routledge Handbook of Social Work Practice Research</w:t>
      </w:r>
      <w:r w:rsidRPr="00BC2E14">
        <w:t>, Abingdon, Routledge.</w:t>
      </w:r>
    </w:p>
    <w:p w:rsidR="00BC2E14" w:rsidRPr="00BC2E14" w:rsidRDefault="00BC2E14" w:rsidP="00BC2E14">
      <w:pPr>
        <w:pStyle w:val="EndNoteBibliography"/>
      </w:pPr>
      <w:r w:rsidRPr="00BC2E14">
        <w:t xml:space="preserve">Nathan, J. and Webber, M. (2010) 'Mental health social work and the bureau-medicalisation of mental health care: Identity in a changing world', </w:t>
      </w:r>
      <w:r w:rsidRPr="00BC2E14">
        <w:rPr>
          <w:i/>
        </w:rPr>
        <w:t>Journal of Social Work Practice</w:t>
      </w:r>
      <w:r w:rsidRPr="00BC2E14">
        <w:t xml:space="preserve">, </w:t>
      </w:r>
      <w:r w:rsidRPr="00BC2E14">
        <w:rPr>
          <w:b/>
        </w:rPr>
        <w:t>24</w:t>
      </w:r>
      <w:r w:rsidRPr="00BC2E14">
        <w:t>(1), pp. 15-28.</w:t>
      </w:r>
    </w:p>
    <w:p w:rsidR="00BC2E14" w:rsidRPr="00BC2E14" w:rsidRDefault="00BC2E14" w:rsidP="00BC2E14">
      <w:pPr>
        <w:pStyle w:val="EndNoteBibliography"/>
      </w:pPr>
      <w:r w:rsidRPr="00BC2E14">
        <w:t>National Collaborating Centre for Mental Health (2019) 'The Community Mental Health Framework for Adults and Older Adults', London, NHS England.</w:t>
      </w:r>
    </w:p>
    <w:p w:rsidR="00BC2E14" w:rsidRPr="00BC2E14" w:rsidRDefault="00BC2E14" w:rsidP="00BC2E14">
      <w:pPr>
        <w:pStyle w:val="EndNoteBibliography"/>
      </w:pPr>
      <w:r w:rsidRPr="00BC2E14">
        <w:t>National Institute for Health and Care Excellence (2013) 'Guide to the methods of technology appraisal', London, National Institute for Health and Care Excellence.</w:t>
      </w:r>
    </w:p>
    <w:p w:rsidR="00BC2E14" w:rsidRPr="00BC2E14" w:rsidRDefault="00BC2E14" w:rsidP="00BC2E14">
      <w:pPr>
        <w:pStyle w:val="EndNoteBibliography"/>
      </w:pPr>
      <w:r w:rsidRPr="00BC2E14">
        <w:t xml:space="preserve">Ng, E.S.W., Grieve, R. and Carpenter, J.R. (2013) 'Two-stage nonparametric bootstrap sampling with shrinkage correction for clustered data', </w:t>
      </w:r>
      <w:r w:rsidRPr="00BC2E14">
        <w:rPr>
          <w:i/>
        </w:rPr>
        <w:t>The Stata Journal</w:t>
      </w:r>
      <w:r w:rsidRPr="00BC2E14">
        <w:t xml:space="preserve">, </w:t>
      </w:r>
      <w:r w:rsidRPr="00BC2E14">
        <w:rPr>
          <w:b/>
        </w:rPr>
        <w:t>13</w:t>
      </w:r>
      <w:r w:rsidRPr="00BC2E14">
        <w:t>(1), pp. 141-164.</w:t>
      </w:r>
    </w:p>
    <w:p w:rsidR="00BC2E14" w:rsidRPr="00BC2E14" w:rsidRDefault="00BC2E14" w:rsidP="00BC2E14">
      <w:pPr>
        <w:pStyle w:val="EndNoteBibliography"/>
      </w:pPr>
      <w:r w:rsidRPr="00BC2E14">
        <w:t>NHS Digital (2018) 'Prescription Cost Analysis, England-2017'.</w:t>
      </w:r>
    </w:p>
    <w:p w:rsidR="00BC2E14" w:rsidRPr="00BC2E14" w:rsidRDefault="00BC2E14" w:rsidP="00BC2E14">
      <w:pPr>
        <w:pStyle w:val="EndNoteBibliography"/>
      </w:pPr>
      <w:r w:rsidRPr="00BC2E14">
        <w:t xml:space="preserve">Rico-Uribe, L.A., Caballero, F.F., Martín-María, N., Cabello, M., Ayuso-Mateos, J.L. and Miret, M. (2018) 'Association of loneliness with all-cause mortality: A meta-analysis', </w:t>
      </w:r>
      <w:r w:rsidRPr="00BC2E14">
        <w:rPr>
          <w:i/>
        </w:rPr>
        <w:t>PLoS ONE</w:t>
      </w:r>
      <w:r w:rsidRPr="00BC2E14">
        <w:t xml:space="preserve">, </w:t>
      </w:r>
      <w:r w:rsidRPr="00BC2E14">
        <w:rPr>
          <w:b/>
        </w:rPr>
        <w:t>13</w:t>
      </w:r>
      <w:r w:rsidRPr="00BC2E14">
        <w:t>(1), p. e0190033.</w:t>
      </w:r>
    </w:p>
    <w:p w:rsidR="00BC2E14" w:rsidRPr="00BC2E14" w:rsidRDefault="00BC2E14" w:rsidP="00BC2E14">
      <w:pPr>
        <w:pStyle w:val="EndNoteBibliography"/>
      </w:pPr>
      <w:r w:rsidRPr="00BC2E14">
        <w:t xml:space="preserve">Saleebey, D. (2012) </w:t>
      </w:r>
      <w:r w:rsidRPr="00BC2E14">
        <w:rPr>
          <w:i/>
        </w:rPr>
        <w:t>The Strengths Perspective in Social Work Practice</w:t>
      </w:r>
      <w:r w:rsidRPr="00BC2E14">
        <w:t>, London, Pearson.</w:t>
      </w:r>
    </w:p>
    <w:p w:rsidR="00BC2E14" w:rsidRPr="00BC2E14" w:rsidRDefault="00BC2E14" w:rsidP="00BC2E14">
      <w:pPr>
        <w:pStyle w:val="EndNoteBibliography"/>
      </w:pPr>
      <w:r w:rsidRPr="00BC2E14">
        <w:t xml:space="preserve">Samsa, G., Edelman, D., Rothman, M.L., Williams, G.R., Lipscomb, J. and Matchar, D. (1999) 'Determining clinically important differences in health status measures: a general approach with illustration to the Health Utilities Index Mark II', </w:t>
      </w:r>
      <w:r w:rsidRPr="00BC2E14">
        <w:rPr>
          <w:i/>
        </w:rPr>
        <w:t>PharmacoEconomics</w:t>
      </w:r>
      <w:r w:rsidRPr="00BC2E14">
        <w:t xml:space="preserve">, </w:t>
      </w:r>
      <w:r w:rsidRPr="00BC2E14">
        <w:rPr>
          <w:b/>
        </w:rPr>
        <w:t>15</w:t>
      </w:r>
      <w:r w:rsidRPr="00BC2E14">
        <w:t>(2), pp. 141-155.</w:t>
      </w:r>
    </w:p>
    <w:p w:rsidR="00BC2E14" w:rsidRPr="00BC2E14" w:rsidRDefault="00BC2E14" w:rsidP="00BC2E14">
      <w:pPr>
        <w:pStyle w:val="EndNoteBibliography"/>
      </w:pPr>
      <w:r w:rsidRPr="00BC2E14">
        <w:t xml:space="preserve">Soydan, H. (2015) 'Intervention Research in Social Work', </w:t>
      </w:r>
      <w:r w:rsidRPr="00BC2E14">
        <w:rPr>
          <w:i/>
        </w:rPr>
        <w:t>Australian Social Work</w:t>
      </w:r>
      <w:r w:rsidRPr="00BC2E14">
        <w:t xml:space="preserve">, </w:t>
      </w:r>
      <w:r w:rsidRPr="00BC2E14">
        <w:rPr>
          <w:b/>
        </w:rPr>
        <w:t>68</w:t>
      </w:r>
      <w:r w:rsidRPr="00BC2E14">
        <w:t>(3), pp. 324-337.</w:t>
      </w:r>
    </w:p>
    <w:p w:rsidR="00BC2E14" w:rsidRPr="00BC2E14" w:rsidRDefault="00BC2E14" w:rsidP="00BC2E14">
      <w:pPr>
        <w:pStyle w:val="EndNoteBibliography"/>
      </w:pPr>
      <w:r w:rsidRPr="00BC2E14">
        <w:t>Stevens, M., Martineau, S., Manthorpe, J., Steils, N. and Norrie, C. (2018) 'Who wants to be an Approved Mental Health Professional?', London, Social Care Workforce Research Unit, King’s College London.</w:t>
      </w:r>
    </w:p>
    <w:p w:rsidR="00BC2E14" w:rsidRPr="00BC2E14" w:rsidRDefault="00BC2E14" w:rsidP="00BC2E14">
      <w:pPr>
        <w:pStyle w:val="EndNoteBibliography"/>
      </w:pPr>
      <w:r w:rsidRPr="00BC2E14">
        <w:t xml:space="preserve">Sweet, D., Byng, R., Webber, M., Enki, D.G., Porter, I., Larsen, J., Huxley, P. and Pinfold, V. (2018) 'Personal well-being networks, social capital and severe mental illness: exploratory study', </w:t>
      </w:r>
      <w:r w:rsidRPr="00BC2E14">
        <w:rPr>
          <w:i/>
        </w:rPr>
        <w:t>The British Journal of Psychiatry</w:t>
      </w:r>
      <w:r w:rsidRPr="00BC2E14">
        <w:t xml:space="preserve">, </w:t>
      </w:r>
      <w:r w:rsidRPr="00BC2E14">
        <w:rPr>
          <w:b/>
        </w:rPr>
        <w:t>212</w:t>
      </w:r>
      <w:r w:rsidRPr="00BC2E14">
        <w:t>(5), pp. 308-317.</w:t>
      </w:r>
    </w:p>
    <w:p w:rsidR="00BC2E14" w:rsidRPr="00BC2E14" w:rsidRDefault="00BC2E14" w:rsidP="00BC2E14">
      <w:pPr>
        <w:pStyle w:val="EndNoteBibliography"/>
      </w:pPr>
      <w:r w:rsidRPr="00BC2E14">
        <w:t xml:space="preserve">Tennant, R., Hiller, L., Fishwick, R., Platt, S., Joseph, S., Weich, S., Parkinson, J., Secker, J. and Stewart-Brown, S. (2007) 'The Warwick-Edinburgh Mental Well-being Scale (WEMWBS): development and UK validation', </w:t>
      </w:r>
      <w:r w:rsidRPr="00BC2E14">
        <w:rPr>
          <w:i/>
        </w:rPr>
        <w:t>Health and Quality of Life Outcomes</w:t>
      </w:r>
      <w:r w:rsidRPr="00BC2E14">
        <w:t xml:space="preserve">, </w:t>
      </w:r>
      <w:r w:rsidRPr="00BC2E14">
        <w:rPr>
          <w:b/>
        </w:rPr>
        <w:t>5</w:t>
      </w:r>
      <w:r w:rsidRPr="00BC2E14">
        <w:t>(1), p. 63.</w:t>
      </w:r>
    </w:p>
    <w:p w:rsidR="00BC2E14" w:rsidRPr="00BC2E14" w:rsidRDefault="00BC2E14" w:rsidP="00BC2E14">
      <w:pPr>
        <w:pStyle w:val="EndNoteBibliography"/>
      </w:pPr>
      <w:r w:rsidRPr="00BC2E14">
        <w:t xml:space="preserve">Turner-Stokes, L. (2009) 'Goal attainment scaling (GAS) in rehabilitation: a practical guide', </w:t>
      </w:r>
      <w:r w:rsidRPr="00BC2E14">
        <w:rPr>
          <w:i/>
        </w:rPr>
        <w:t>Clin Rehabil</w:t>
      </w:r>
      <w:r w:rsidRPr="00BC2E14">
        <w:t xml:space="preserve">, </w:t>
      </w:r>
      <w:r w:rsidRPr="00BC2E14">
        <w:rPr>
          <w:b/>
        </w:rPr>
        <w:t>23</w:t>
      </w:r>
      <w:r w:rsidRPr="00BC2E14">
        <w:t>(4), pp. 362-370.</w:t>
      </w:r>
    </w:p>
    <w:p w:rsidR="00BC2E14" w:rsidRPr="00BC2E14" w:rsidRDefault="00BC2E14" w:rsidP="00BC2E14">
      <w:pPr>
        <w:pStyle w:val="EndNoteBibliography"/>
      </w:pPr>
      <w:r w:rsidRPr="00BC2E14">
        <w:t xml:space="preserve">van Hout, B., Janssen, M.F., Feng, Y.-S., Kohlmann, T., Busschbach, J., Golicki, D., Lloyd, A., Scalone, L., Kind, P. and Pickard, A.S. (2012) 'Interim Scoring for the EQ-5D-5L: Mapping the EQ-5D-5L to EQ-5D-3L Value Sets', </w:t>
      </w:r>
      <w:r w:rsidRPr="00BC2E14">
        <w:rPr>
          <w:i/>
        </w:rPr>
        <w:t>Value in Health</w:t>
      </w:r>
      <w:r w:rsidRPr="00BC2E14">
        <w:t xml:space="preserve">, </w:t>
      </w:r>
      <w:r w:rsidRPr="00BC2E14">
        <w:rPr>
          <w:b/>
        </w:rPr>
        <w:t>15</w:t>
      </w:r>
      <w:r w:rsidRPr="00BC2E14">
        <w:t>(5), pp. 708-715.</w:t>
      </w:r>
    </w:p>
    <w:p w:rsidR="00BC2E14" w:rsidRPr="00BC2E14" w:rsidRDefault="00BC2E14" w:rsidP="00BC2E14">
      <w:pPr>
        <w:pStyle w:val="EndNoteBibliography"/>
      </w:pPr>
      <w:r w:rsidRPr="00BC2E14">
        <w:t xml:space="preserve">Victor, C.R. and Yang, K. (2012) 'The Prevalence of Loneliness Among Adults: A Case Study of the United Kingdom', </w:t>
      </w:r>
      <w:r w:rsidRPr="00BC2E14">
        <w:rPr>
          <w:i/>
        </w:rPr>
        <w:t>The Journal of Psychology</w:t>
      </w:r>
      <w:r w:rsidRPr="00BC2E14">
        <w:t xml:space="preserve">, </w:t>
      </w:r>
      <w:r w:rsidRPr="00BC2E14">
        <w:rPr>
          <w:b/>
        </w:rPr>
        <w:t>146</w:t>
      </w:r>
      <w:r w:rsidRPr="00BC2E14">
        <w:t>(1-2), pp. 85-104.</w:t>
      </w:r>
    </w:p>
    <w:p w:rsidR="00BC2E14" w:rsidRPr="00BC2E14" w:rsidRDefault="00BC2E14" w:rsidP="00BC2E14">
      <w:pPr>
        <w:pStyle w:val="EndNoteBibliography"/>
      </w:pPr>
      <w:r w:rsidRPr="00BC2E14">
        <w:t xml:space="preserve">Webber, M., Corker, E., Hamilton, S., Weeks, C., Pinfold, V., Rose, D., Thornicroft, G. and Henderson, C. (2014) 'Discrimination against people with severe mental illness and their access to social capital: findings from the Viewpoint survey', </w:t>
      </w:r>
      <w:r w:rsidRPr="00BC2E14">
        <w:rPr>
          <w:i/>
        </w:rPr>
        <w:t>Epidemiology and Psychiatric Sciences</w:t>
      </w:r>
      <w:r w:rsidRPr="00BC2E14">
        <w:t xml:space="preserve">, </w:t>
      </w:r>
      <w:r w:rsidRPr="00BC2E14">
        <w:rPr>
          <w:b/>
        </w:rPr>
        <w:t>23</w:t>
      </w:r>
      <w:r w:rsidRPr="00BC2E14">
        <w:t>(2), pp. 155-165.</w:t>
      </w:r>
    </w:p>
    <w:p w:rsidR="00BC2E14" w:rsidRPr="00BC2E14" w:rsidRDefault="00BC2E14" w:rsidP="00BC2E14">
      <w:pPr>
        <w:pStyle w:val="EndNoteBibliography"/>
      </w:pPr>
      <w:r w:rsidRPr="00BC2E14">
        <w:t xml:space="preserve">Webber, M. and Fendt-Newlin, M. (2017) 'A review of social participation interventions for people with mental health problems', </w:t>
      </w:r>
      <w:r w:rsidRPr="00BC2E14">
        <w:rPr>
          <w:i/>
        </w:rPr>
        <w:t>Social Psychiatry and Psychiatric Epidemiology</w:t>
      </w:r>
      <w:r w:rsidRPr="00BC2E14">
        <w:t xml:space="preserve">, </w:t>
      </w:r>
      <w:r w:rsidRPr="00BC2E14">
        <w:rPr>
          <w:b/>
        </w:rPr>
        <w:t>52</w:t>
      </w:r>
      <w:r w:rsidRPr="00BC2E14">
        <w:t>(4), pp. 369-380.</w:t>
      </w:r>
    </w:p>
    <w:p w:rsidR="00BC2E14" w:rsidRPr="00BC2E14" w:rsidRDefault="00BC2E14" w:rsidP="00BC2E14">
      <w:pPr>
        <w:pStyle w:val="EndNoteBibliography"/>
      </w:pPr>
      <w:r w:rsidRPr="00BC2E14">
        <w:t xml:space="preserve">Webber, M., Huxley, P. and Harris, T. (2011) 'Social capital and the course of depression: Six-month prospective cohort study', </w:t>
      </w:r>
      <w:r w:rsidRPr="00BC2E14">
        <w:rPr>
          <w:i/>
        </w:rPr>
        <w:t>Journal of Affective Disorders</w:t>
      </w:r>
      <w:r w:rsidRPr="00BC2E14">
        <w:t xml:space="preserve">, </w:t>
      </w:r>
      <w:r w:rsidRPr="00BC2E14">
        <w:rPr>
          <w:b/>
        </w:rPr>
        <w:t>129</w:t>
      </w:r>
      <w:r w:rsidRPr="00BC2E14">
        <w:t>(1-3), pp. 149-157.</w:t>
      </w:r>
    </w:p>
    <w:p w:rsidR="00BC2E14" w:rsidRPr="00BC2E14" w:rsidRDefault="00BC2E14" w:rsidP="00BC2E14">
      <w:pPr>
        <w:pStyle w:val="EndNoteBibliography"/>
      </w:pPr>
      <w:r w:rsidRPr="00BC2E14">
        <w:t xml:space="preserve">Webber, M., Morris, D., Howarth, S., Fendt-Newlin, M., Treacy, S. and McCrone, P. (2019) 'Effect of the Connecting People Intervention on Social Capital: A Pilot Study', </w:t>
      </w:r>
      <w:r w:rsidRPr="00BC2E14">
        <w:rPr>
          <w:i/>
        </w:rPr>
        <w:t>Research on Social Work Practice</w:t>
      </w:r>
      <w:r w:rsidRPr="00BC2E14">
        <w:t xml:space="preserve">, </w:t>
      </w:r>
      <w:r w:rsidRPr="00BC2E14">
        <w:rPr>
          <w:b/>
        </w:rPr>
        <w:t>29</w:t>
      </w:r>
      <w:r w:rsidRPr="00BC2E14">
        <w:t>(5), pp. 483-494.</w:t>
      </w:r>
    </w:p>
    <w:p w:rsidR="00BC2E14" w:rsidRPr="00BC2E14" w:rsidRDefault="00BC2E14" w:rsidP="00BC2E14">
      <w:pPr>
        <w:pStyle w:val="EndNoteBibliography"/>
      </w:pPr>
      <w:r w:rsidRPr="00BC2E14">
        <w:t xml:space="preserve">Webber, M., Reidy, H., Ansari, D., Stevens, M. and Morris, D. (2015) 'Enhancing social networks: a qualitative study of health and social care practice in UK mental health services', </w:t>
      </w:r>
      <w:r w:rsidRPr="00BC2E14">
        <w:rPr>
          <w:i/>
        </w:rPr>
        <w:t>Health &amp; Social Care in the Community</w:t>
      </w:r>
      <w:r w:rsidRPr="00BC2E14">
        <w:t xml:space="preserve">, </w:t>
      </w:r>
      <w:r w:rsidRPr="00BC2E14">
        <w:rPr>
          <w:b/>
        </w:rPr>
        <w:t>23</w:t>
      </w:r>
      <w:r w:rsidRPr="00BC2E14">
        <w:t>(2), pp. 180-189.</w:t>
      </w:r>
    </w:p>
    <w:p w:rsidR="00BC2E14" w:rsidRPr="00BC2E14" w:rsidRDefault="00BC2E14" w:rsidP="00BC2E14">
      <w:pPr>
        <w:pStyle w:val="EndNoteBibliography"/>
      </w:pPr>
      <w:r w:rsidRPr="00BC2E14">
        <w:t xml:space="preserve">Webber, M., Reidy, H., Ansari, D., Stevens, M. and Morris, D. (2016) 'Developing and Modeling Complex Social Interventions:Introducing the Connecting People Intervention', </w:t>
      </w:r>
      <w:r w:rsidRPr="00BC2E14">
        <w:rPr>
          <w:i/>
        </w:rPr>
        <w:t>Research on Social Work Practice</w:t>
      </w:r>
      <w:r w:rsidRPr="00BC2E14">
        <w:t xml:space="preserve">, </w:t>
      </w:r>
      <w:r w:rsidRPr="00BC2E14">
        <w:rPr>
          <w:b/>
        </w:rPr>
        <w:t>26</w:t>
      </w:r>
      <w:r w:rsidRPr="00BC2E14">
        <w:t>(1), pp. 14-19.</w:t>
      </w:r>
    </w:p>
    <w:p w:rsidR="00BC2E14" w:rsidRPr="00BC2E14" w:rsidRDefault="00BC2E14" w:rsidP="00BC2E14">
      <w:pPr>
        <w:pStyle w:val="EndNoteBibliography"/>
      </w:pPr>
      <w:r w:rsidRPr="00BC2E14">
        <w:t xml:space="preserve">Webber, M.P. and Huxley, P.J. (2007) 'Measuring access to social capital: The validity and reliability of the Resource Generator-UK and its association with common mental disorder', </w:t>
      </w:r>
      <w:r w:rsidRPr="00BC2E14">
        <w:rPr>
          <w:i/>
        </w:rPr>
        <w:t>Social Science &amp; Medicine</w:t>
      </w:r>
      <w:r w:rsidRPr="00BC2E14">
        <w:t xml:space="preserve">, </w:t>
      </w:r>
      <w:r w:rsidRPr="00BC2E14">
        <w:rPr>
          <w:b/>
        </w:rPr>
        <w:t>65</w:t>
      </w:r>
      <w:r w:rsidRPr="00BC2E14">
        <w:t>(3), pp. 481-492.</w:t>
      </w:r>
    </w:p>
    <w:p w:rsidR="00BC2E14" w:rsidRPr="00BC2E14" w:rsidRDefault="00BC2E14" w:rsidP="00BC2E14">
      <w:pPr>
        <w:pStyle w:val="EndNoteBibliography"/>
      </w:pPr>
      <w:r w:rsidRPr="00BC2E14">
        <w:t>Welsh Government (2019) 'Connected Communities. A strategy for tackling loneliness and social isolation and building stronger social connections', Cardiff, Welsh Government.</w:t>
      </w:r>
    </w:p>
    <w:p w:rsidR="00BC2E14" w:rsidRDefault="00ED6794" w:rsidP="005104D5">
      <w:pPr>
        <w:spacing w:line="480" w:lineRule="auto"/>
        <w:rPr>
          <w:b/>
        </w:rPr>
      </w:pPr>
      <w:r w:rsidRPr="00197A81">
        <w:rPr>
          <w:b/>
        </w:rPr>
        <w:fldChar w:fldCharType="end"/>
      </w:r>
    </w:p>
    <w:p w:rsidR="005E5945" w:rsidRPr="00197A81" w:rsidRDefault="00BC2E14" w:rsidP="005104D5">
      <w:pPr>
        <w:spacing w:line="480" w:lineRule="auto"/>
        <w:rPr>
          <w:b/>
        </w:rPr>
      </w:pPr>
      <w:r>
        <w:rPr>
          <w:b/>
        </w:rPr>
        <w:t>Figures</w:t>
      </w:r>
    </w:p>
    <w:p w:rsidR="00BC2E14" w:rsidRPr="002E161D" w:rsidRDefault="00BC2E14" w:rsidP="00BC2E14">
      <w:pPr>
        <w:pStyle w:val="Caption"/>
        <w:jc w:val="left"/>
        <w:rPr>
          <w:sz w:val="22"/>
          <w:szCs w:val="22"/>
        </w:rPr>
      </w:pPr>
      <w:r w:rsidRPr="002E161D">
        <w:rPr>
          <w:sz w:val="22"/>
          <w:szCs w:val="22"/>
        </w:rPr>
        <w:t>Figure 1. Participant flow diagram (n</w:t>
      </w:r>
      <w:r w:rsidRPr="002E161D">
        <w:rPr>
          <w:sz w:val="22"/>
          <w:szCs w:val="22"/>
          <w:vertAlign w:val="subscript"/>
        </w:rPr>
        <w:t>T</w:t>
      </w:r>
      <w:r w:rsidRPr="002E161D">
        <w:rPr>
          <w:sz w:val="22"/>
          <w:szCs w:val="22"/>
        </w:rPr>
        <w:t xml:space="preserve"> for Trusts; n for participants)</w:t>
      </w:r>
    </w:p>
    <w:p w:rsidR="002E161D" w:rsidRPr="00197A81" w:rsidRDefault="002E161D" w:rsidP="002E161D">
      <w:pPr>
        <w:rPr>
          <w:b/>
        </w:rPr>
      </w:pPr>
      <w:r w:rsidRPr="00197A81">
        <w:rPr>
          <w:b/>
        </w:rPr>
        <w:t>Figure 2: Mean cost differences verses mean outcome difference estimates for RG-UK from the health and social care perspective</w:t>
      </w:r>
    </w:p>
    <w:p w:rsidR="009774AB" w:rsidRPr="00197A81" w:rsidRDefault="009774AB" w:rsidP="005104D5">
      <w:pPr>
        <w:spacing w:line="480" w:lineRule="auto"/>
        <w:rPr>
          <w:b/>
        </w:rPr>
      </w:pPr>
    </w:p>
    <w:p w:rsidR="009774AB" w:rsidRPr="00197A81" w:rsidRDefault="009774AB" w:rsidP="005104D5">
      <w:pPr>
        <w:spacing w:line="480" w:lineRule="auto"/>
        <w:rPr>
          <w:b/>
        </w:rPr>
      </w:pPr>
    </w:p>
    <w:p w:rsidR="009774AB" w:rsidRPr="00197A81" w:rsidRDefault="009774AB">
      <w:pPr>
        <w:rPr>
          <w:b/>
        </w:rPr>
        <w:sectPr w:rsidR="009774AB" w:rsidRPr="00197A81" w:rsidSect="009774AB">
          <w:pgSz w:w="11906" w:h="16838"/>
          <w:pgMar w:top="1440" w:right="1440" w:bottom="1440" w:left="1440" w:header="709" w:footer="709" w:gutter="0"/>
          <w:cols w:space="708"/>
          <w:docGrid w:linePitch="360"/>
        </w:sectPr>
      </w:pPr>
    </w:p>
    <w:p w:rsidR="000E3181" w:rsidRPr="00197A81" w:rsidRDefault="000E3181" w:rsidP="000E3181">
      <w:pPr>
        <w:rPr>
          <w:b/>
        </w:rPr>
      </w:pPr>
      <w:r w:rsidRPr="00197A81">
        <w:rPr>
          <w:b/>
        </w:rPr>
        <w:t>Table 1. Sample characteristics</w:t>
      </w:r>
    </w:p>
    <w:p w:rsidR="000E3181" w:rsidRPr="00197A81" w:rsidRDefault="000E3181" w:rsidP="000E3181">
      <w:pPr>
        <w:rPr>
          <w:b/>
        </w:rPr>
      </w:pPr>
    </w:p>
    <w:tbl>
      <w:tblPr>
        <w:tblStyle w:val="a"/>
        <w:tblW w:w="897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750"/>
        <w:gridCol w:w="3300"/>
        <w:gridCol w:w="2925"/>
      </w:tblGrid>
      <w:tr w:rsidR="00197A81" w:rsidRPr="00197A81" w:rsidTr="00081506">
        <w:trPr>
          <w:trHeight w:val="20"/>
        </w:trPr>
        <w:tc>
          <w:tcPr>
            <w:tcW w:w="2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widowControl w:val="0"/>
              <w:pBdr>
                <w:top w:val="nil"/>
                <w:left w:val="nil"/>
                <w:bottom w:val="nil"/>
                <w:right w:val="nil"/>
                <w:between w:val="nil"/>
              </w:pBdr>
              <w:spacing w:line="240" w:lineRule="auto"/>
            </w:pPr>
            <w:r w:rsidRPr="00197A81">
              <w:t xml:space="preserve"> </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rPr>
                <w:b/>
              </w:rPr>
            </w:pPr>
            <w:r w:rsidRPr="00197A81">
              <w:rPr>
                <w:b/>
              </w:rPr>
              <w:t>Implementation group (n=60)</w:t>
            </w:r>
          </w:p>
          <w:p w:rsidR="00081506" w:rsidRPr="00197A81" w:rsidRDefault="00081506" w:rsidP="004E76B9">
            <w:pPr>
              <w:spacing w:line="240" w:lineRule="auto"/>
              <w:rPr>
                <w:b/>
              </w:rPr>
            </w:pPr>
            <w:r w:rsidRPr="00197A81">
              <w:rPr>
                <w:b/>
              </w:rPr>
              <w:t>n (%)</w:t>
            </w: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rPr>
                <w:b/>
              </w:rPr>
            </w:pPr>
            <w:r w:rsidRPr="00197A81">
              <w:rPr>
                <w:b/>
              </w:rPr>
              <w:t>Control group (n=91)</w:t>
            </w:r>
          </w:p>
          <w:p w:rsidR="00081506" w:rsidRPr="00197A81" w:rsidRDefault="00081506" w:rsidP="004E76B9">
            <w:pPr>
              <w:spacing w:line="240" w:lineRule="auto"/>
              <w:rPr>
                <w:b/>
              </w:rPr>
            </w:pPr>
            <w:r w:rsidRPr="00197A81">
              <w:rPr>
                <w:b/>
              </w:rPr>
              <w:t>n (%)</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81506" w:rsidRPr="00197A81" w:rsidRDefault="00081506" w:rsidP="000E25B5">
            <w:pPr>
              <w:spacing w:line="240" w:lineRule="auto"/>
              <w:rPr>
                <w:b/>
              </w:rPr>
            </w:pPr>
            <w:r w:rsidRPr="00197A81">
              <w:rPr>
                <w:b/>
              </w:rPr>
              <w:t xml:space="preserve">Age </w:t>
            </w:r>
            <w:r w:rsidR="000E25B5" w:rsidRPr="00197A81">
              <w:rPr>
                <w:b/>
              </w:rPr>
              <w:t>(</w:t>
            </w:r>
            <w:r w:rsidRPr="00197A81">
              <w:rPr>
                <w:b/>
              </w:rPr>
              <w:t>years</w:t>
            </w:r>
            <w:r w:rsidR="000E25B5" w:rsidRPr="00197A81">
              <w:rPr>
                <w:b/>
              </w:rPr>
              <w:t>)</w:t>
            </w:r>
            <w:r w:rsidRPr="00197A81">
              <w:rPr>
                <w:b/>
              </w:rPr>
              <w:t>, mean (sd)</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81506" w:rsidRPr="00197A81" w:rsidRDefault="00081506" w:rsidP="004E76B9">
            <w:pPr>
              <w:spacing w:line="240" w:lineRule="auto"/>
            </w:pPr>
            <w:r w:rsidRPr="00197A81">
              <w:t>41.4 (14.0)</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81506" w:rsidRPr="00197A81" w:rsidRDefault="00081506" w:rsidP="004E76B9">
            <w:pPr>
              <w:spacing w:line="240" w:lineRule="auto"/>
            </w:pPr>
            <w:r w:rsidRPr="00197A81">
              <w:t>41.4 (12.4)</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81506" w:rsidP="004E76B9">
            <w:pPr>
              <w:spacing w:line="240" w:lineRule="auto"/>
              <w:rPr>
                <w:b/>
              </w:rPr>
            </w:pPr>
            <w:r w:rsidRPr="00197A81">
              <w:rPr>
                <w:b/>
              </w:rPr>
              <w:t>Sex</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Male</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24 (40.0)</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21 (23.1)</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Female</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36 (60.0)</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70 (76.9)</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81506" w:rsidP="004E76B9">
            <w:pPr>
              <w:spacing w:line="240" w:lineRule="auto"/>
              <w:rPr>
                <w:b/>
              </w:rPr>
            </w:pPr>
            <w:r w:rsidRPr="00197A81">
              <w:rPr>
                <w:b/>
              </w:rPr>
              <w:t>Ethnicity</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White British</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58 (96.7)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87 (95.6)</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White Irish</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0</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2 (2.2)</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White other</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2 (3.3)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2 (2.2)</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81506" w:rsidP="004E76B9">
            <w:pPr>
              <w:spacing w:line="240" w:lineRule="auto"/>
              <w:rPr>
                <w:b/>
              </w:rPr>
            </w:pPr>
            <w:r w:rsidRPr="00197A81">
              <w:rPr>
                <w:b/>
              </w:rPr>
              <w:t>Marital status</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Single</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33 (55.0)</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55 (60.4)</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0E25B5">
            <w:pPr>
              <w:spacing w:line="240" w:lineRule="auto"/>
              <w:ind w:left="180"/>
            </w:pPr>
            <w:r w:rsidRPr="00197A81">
              <w:t>Married/cohabiting</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13 (21.7)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19 (20.9)</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Separated or divorced</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13 (21.7)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16 (17.6)</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Widowed</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0</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 (1.1)</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Other</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 (1.7)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0</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81506" w:rsidP="004E76B9">
            <w:pPr>
              <w:spacing w:line="240" w:lineRule="auto"/>
              <w:rPr>
                <w:b/>
              </w:rPr>
            </w:pPr>
            <w:r w:rsidRPr="00197A81">
              <w:rPr>
                <w:b/>
              </w:rPr>
              <w:t>Living status</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Living alone</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25 (41.7)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40 (44.0)</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Living with relatives</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33 (55.0)</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45 (49.5)</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Living with others</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2 (3.3)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5 (5.5)</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Missing</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0</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 (1.1)</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81506" w:rsidP="004E76B9">
            <w:pPr>
              <w:spacing w:line="240" w:lineRule="auto"/>
              <w:rPr>
                <w:b/>
              </w:rPr>
            </w:pPr>
            <w:r w:rsidRPr="00197A81">
              <w:rPr>
                <w:b/>
              </w:rPr>
              <w:t>Education</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Left before GCSE</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3 (5.0)</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6 (6.6)</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GCSE or equivalent</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13 (21.7)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13 (14.3)</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A level or equivalent</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11 (18.3)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16 (17.6)</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NVQ or equivalent</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8 (13.3)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11 (12.1)</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Diploma</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11 (18.3)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23 (25.3)</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Degree</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14 (23.3)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22 (24.2)</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81506" w:rsidP="004E76B9">
            <w:pPr>
              <w:spacing w:line="240" w:lineRule="auto"/>
              <w:rPr>
                <w:b/>
              </w:rPr>
            </w:pPr>
            <w:r w:rsidRPr="00197A81">
              <w:rPr>
                <w:b/>
              </w:rPr>
              <w:t>Income source</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0E25B5">
            <w:pPr>
              <w:spacing w:line="240" w:lineRule="auto"/>
              <w:ind w:left="180"/>
            </w:pPr>
            <w:r w:rsidRPr="00197A81">
              <w:t>Salary/wage</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5 (8.3)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11 (12.1)</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State benefits</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50 (83.3)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73 (80.2)</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Pension</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4 (6.7)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6 (6.6)</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Family support</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 (1.7)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 (1.1)</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81506" w:rsidP="004E76B9">
            <w:pPr>
              <w:spacing w:line="240" w:lineRule="auto"/>
              <w:rPr>
                <w:sz w:val="16"/>
                <w:szCs w:val="16"/>
              </w:rPr>
            </w:pPr>
            <w:r w:rsidRPr="00197A81">
              <w:rPr>
                <w:b/>
              </w:rPr>
              <w:t>Income</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Less than £7,785 pa</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11 (18.3)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22 (24.2)</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£7,786-10,635 pa</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15 (25.0)</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19 (20.9)</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£10,636-14,504 pa</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23 (38.3)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38 (41.8)</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£14,505-20,394 pa</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8 (13.3)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8 (8.8)</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ind w:left="180"/>
            </w:pPr>
            <w:r w:rsidRPr="00197A81">
              <w:t>More than £20,395 pa</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3 (5.0)</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4 (4.4)</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rPr>
                <w:b/>
              </w:rPr>
            </w:pPr>
            <w:r w:rsidRPr="00197A81">
              <w:rPr>
                <w:b/>
              </w:rPr>
              <w:t>Index of multiple deprivation (quintiles)</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1 - most deprived</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13 (21.7)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28 (30.8)</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2</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13 (21.7)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24 (26.4)</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3</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13 (21.7)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19 (20.9)</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4</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7 (11.7)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10 (11.0)</w:t>
            </w:r>
          </w:p>
        </w:tc>
      </w:tr>
      <w:tr w:rsidR="00197A81" w:rsidRPr="00197A81" w:rsidTr="00081506">
        <w:trPr>
          <w:trHeight w:val="20"/>
        </w:trPr>
        <w:tc>
          <w:tcPr>
            <w:tcW w:w="2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 xml:space="preserve">   5 - least deprived</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14 (23.3)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spacing w:line="240" w:lineRule="auto"/>
            </w:pPr>
            <w:r w:rsidRPr="00197A81">
              <w:t>10 (11.0)</w:t>
            </w:r>
          </w:p>
        </w:tc>
      </w:tr>
    </w:tbl>
    <w:p w:rsidR="000E3181" w:rsidRPr="00197A81" w:rsidRDefault="000E3181" w:rsidP="000E3181">
      <w:r w:rsidRPr="00197A81">
        <w:t xml:space="preserve"> </w:t>
      </w:r>
    </w:p>
    <w:p w:rsidR="004D6D64" w:rsidRPr="00197A81" w:rsidRDefault="004D6D64">
      <w:pPr>
        <w:rPr>
          <w:b/>
        </w:rPr>
      </w:pPr>
      <w:r w:rsidRPr="00197A81">
        <w:rPr>
          <w:b/>
        </w:rPr>
        <w:br w:type="page"/>
      </w:r>
    </w:p>
    <w:p w:rsidR="000E3181" w:rsidRPr="00197A81" w:rsidRDefault="000E3181" w:rsidP="000E3181">
      <w:pPr>
        <w:rPr>
          <w:b/>
        </w:rPr>
      </w:pPr>
      <w:r w:rsidRPr="00197A81">
        <w:rPr>
          <w:b/>
        </w:rPr>
        <w:t xml:space="preserve">Table 2. </w:t>
      </w:r>
      <w:r w:rsidR="00081506" w:rsidRPr="00197A81">
        <w:rPr>
          <w:b/>
        </w:rPr>
        <w:t>Outcome measures</w:t>
      </w:r>
    </w:p>
    <w:p w:rsidR="000E3181" w:rsidRPr="00197A81" w:rsidRDefault="000E3181" w:rsidP="000E3181">
      <w:pPr>
        <w:rPr>
          <w:b/>
          <w:u w:val="single"/>
        </w:rPr>
      </w:pPr>
    </w:p>
    <w:tbl>
      <w:tblPr>
        <w:tblStyle w:val="a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30"/>
        <w:gridCol w:w="2640"/>
        <w:gridCol w:w="1635"/>
        <w:gridCol w:w="1860"/>
      </w:tblGrid>
      <w:tr w:rsidR="00197A81" w:rsidRPr="00197A81" w:rsidTr="004E76B9">
        <w:trPr>
          <w:trHeight w:val="20"/>
        </w:trPr>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rPr>
                <w:b/>
              </w:rPr>
            </w:pPr>
            <w:r w:rsidRPr="00197A81">
              <w:rPr>
                <w:b/>
              </w:rPr>
              <w:t>Implementation group</w:t>
            </w:r>
          </w:p>
        </w:tc>
        <w:tc>
          <w:tcPr>
            <w:tcW w:w="2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rPr>
                <w:b/>
              </w:rPr>
            </w:pPr>
            <w:r w:rsidRPr="00197A81">
              <w:rPr>
                <w:b/>
              </w:rPr>
              <w:t>Observations (n)</w:t>
            </w:r>
          </w:p>
          <w:p w:rsidR="000E3181" w:rsidRPr="00197A81" w:rsidRDefault="000E3181" w:rsidP="00691C61">
            <w:pPr>
              <w:rPr>
                <w:b/>
              </w:rPr>
            </w:pPr>
            <w:r w:rsidRPr="00197A81">
              <w:rPr>
                <w:b/>
              </w:rPr>
              <w:t>(Baseline/Follow-up)</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E3181" w:rsidRPr="00197A81" w:rsidRDefault="00435105" w:rsidP="004E76B9">
            <w:pPr>
              <w:rPr>
                <w:b/>
              </w:rPr>
            </w:pPr>
            <w:r w:rsidRPr="00197A81">
              <w:rPr>
                <w:b/>
              </w:rPr>
              <w:t>Baseline</w:t>
            </w:r>
          </w:p>
          <w:p w:rsidR="00435105" w:rsidRPr="00197A81" w:rsidRDefault="00435105" w:rsidP="004E76B9">
            <w:pPr>
              <w:rPr>
                <w:b/>
              </w:rPr>
            </w:pPr>
            <w:r w:rsidRPr="00197A81">
              <w:rPr>
                <w:b/>
              </w:rPr>
              <w:t>Mean (s.d.)</w:t>
            </w: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rPr>
                <w:b/>
              </w:rPr>
            </w:pPr>
            <w:r w:rsidRPr="00197A81">
              <w:rPr>
                <w:b/>
              </w:rPr>
              <w:t>Follow-up</w:t>
            </w:r>
          </w:p>
          <w:p w:rsidR="00435105" w:rsidRPr="00197A81" w:rsidRDefault="00435105" w:rsidP="004E76B9">
            <w:pPr>
              <w:rPr>
                <w:b/>
              </w:rPr>
            </w:pPr>
            <w:r w:rsidRPr="00197A81">
              <w:rPr>
                <w:b/>
              </w:rPr>
              <w:t>Mean (s.d.)</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35105">
            <w:r w:rsidRPr="00197A81">
              <w:t>RG-UK</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57/48</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15.0 (5.6)</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16.2 (5.5)</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35105">
            <w:r w:rsidRPr="00197A81">
              <w:t>WEMWBS</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60/49</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33.9 (8.4)</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38.8 (9.1)</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35105">
            <w:r w:rsidRPr="00197A81">
              <w:t>QPR</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60/49</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43.4 (12.0)</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50.5 (11.5)</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GAS</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60/37</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39.0 (1.3)</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58.1 (5.8)</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435105" w:rsidP="00435105">
            <w:r w:rsidRPr="00197A81">
              <w:t>EQ-5D-VAS, Self-rated health</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60/49</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44.5 (21.3)</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52.1 (25.3)</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0067A" w:rsidP="004E76B9">
            <w:r w:rsidRPr="00197A81">
              <w:t>EQ-5D-5</w:t>
            </w:r>
            <w:r w:rsidR="000E3181" w:rsidRPr="00197A81">
              <w:t>L, index values</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60/49</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0.43 (0.32)</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0.52 (0.34)</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435105" w:rsidP="00435105">
            <w:r w:rsidRPr="00197A81">
              <w:t>CP fidelity measure</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60/49</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62.5 (25.7)</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58.8 (29.3)</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pPr>
              <w:rPr>
                <w:b/>
              </w:rPr>
            </w:pPr>
            <w:r w:rsidRPr="00197A81">
              <w:rPr>
                <w:b/>
              </w:rPr>
              <w:t>Control group</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 xml:space="preserve"> </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 xml:space="preserve"> </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435105" w:rsidP="00435105">
            <w:r w:rsidRPr="00197A81">
              <w:t>RG-UK</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89/77</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14.8 (5.6)</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15.4 (5.0)</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35105">
            <w:r w:rsidRPr="00197A81">
              <w:t>WEMWBS</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91/77</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35.1 (9.5)</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37.9 (9.5)</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435105" w:rsidP="00435105">
            <w:r w:rsidRPr="00197A81">
              <w:t>QPR</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91/77</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46.6 (12.2)</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49.2 (13.2)</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GAS</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91/63</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39.1 (1.3)</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56.6 (8.1)</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435105" w:rsidP="00435105">
            <w:r w:rsidRPr="00197A81">
              <w:t>EQ-5D-VAS, Self-rated health</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91/77</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50.2 (23.1)</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56.5 (23.3)</w:t>
            </w:r>
          </w:p>
        </w:tc>
      </w:tr>
      <w:tr w:rsidR="00197A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00067A" w:rsidP="004E76B9">
            <w:r w:rsidRPr="00197A81">
              <w:t>EQ-5D-5</w:t>
            </w:r>
            <w:r w:rsidR="000E3181" w:rsidRPr="00197A81">
              <w:t>L, index values</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90/77</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0.50 (0.30)</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0.57 (0.26)</w:t>
            </w:r>
          </w:p>
        </w:tc>
      </w:tr>
      <w:tr w:rsidR="000E3181" w:rsidRPr="00197A81" w:rsidTr="004E76B9">
        <w:trPr>
          <w:trHeight w:val="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E3181" w:rsidRPr="00197A81" w:rsidRDefault="00435105" w:rsidP="00435105">
            <w:r w:rsidRPr="00197A81">
              <w:t>CP fidelity measure</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691C61">
            <w:r w:rsidRPr="00197A81">
              <w:t>91/77</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61.1 (25.2)</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0E3181" w:rsidRPr="00197A81" w:rsidRDefault="000E3181" w:rsidP="004E76B9">
            <w:r w:rsidRPr="00197A81">
              <w:t>55.6 (28.2)</w:t>
            </w:r>
          </w:p>
        </w:tc>
      </w:tr>
    </w:tbl>
    <w:p w:rsidR="000E3181" w:rsidRPr="00197A81" w:rsidRDefault="000E3181" w:rsidP="000E3181"/>
    <w:p w:rsidR="003C10D4" w:rsidRPr="00197A81" w:rsidRDefault="003C10D4" w:rsidP="003C10D4"/>
    <w:p w:rsidR="004D6D64" w:rsidRPr="00197A81" w:rsidRDefault="004D6D64">
      <w:pPr>
        <w:rPr>
          <w:b/>
        </w:rPr>
      </w:pPr>
      <w:r w:rsidRPr="00197A81">
        <w:rPr>
          <w:b/>
        </w:rPr>
        <w:br w:type="page"/>
      </w:r>
    </w:p>
    <w:p w:rsidR="003C10D4" w:rsidRPr="00197A81" w:rsidRDefault="003C10D4" w:rsidP="003C10D4">
      <w:r w:rsidRPr="00197A81">
        <w:rPr>
          <w:b/>
        </w:rPr>
        <w:t>Table 3. Results for the main analysis (OLS regression) testing the effectiveness of implementation.</w:t>
      </w:r>
      <w:r w:rsidRPr="00197A81">
        <w:t xml:space="preserve"> </w:t>
      </w:r>
    </w:p>
    <w:tbl>
      <w:tblPr>
        <w:tblStyle w:val="a1"/>
        <w:tblW w:w="888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1815"/>
        <w:gridCol w:w="1650"/>
        <w:gridCol w:w="1725"/>
        <w:gridCol w:w="1785"/>
        <w:gridCol w:w="1905"/>
      </w:tblGrid>
      <w:tr w:rsidR="00197A81" w:rsidRPr="00197A81" w:rsidTr="004E76B9">
        <w:trPr>
          <w:trHeight w:val="20"/>
        </w:trPr>
        <w:tc>
          <w:tcPr>
            <w:tcW w:w="1815" w:type="dxa"/>
            <w:tcBorders>
              <w:top w:val="single" w:sz="8" w:space="0" w:color="000000"/>
              <w:left w:val="nil"/>
              <w:bottom w:val="single" w:sz="8" w:space="0" w:color="000000"/>
              <w:right w:val="nil"/>
            </w:tcBorders>
            <w:tcMar>
              <w:top w:w="100" w:type="dxa"/>
              <w:left w:w="80" w:type="dxa"/>
              <w:bottom w:w="100" w:type="dxa"/>
              <w:right w:w="80" w:type="dxa"/>
            </w:tcMar>
          </w:tcPr>
          <w:p w:rsidR="003C10D4" w:rsidRPr="00197A81" w:rsidRDefault="003C10D4" w:rsidP="004E76B9">
            <w:pPr>
              <w:spacing w:line="240" w:lineRule="auto"/>
            </w:pPr>
            <w:r w:rsidRPr="00197A81">
              <w:t xml:space="preserve"> </w:t>
            </w:r>
          </w:p>
        </w:tc>
        <w:tc>
          <w:tcPr>
            <w:tcW w:w="1650" w:type="dxa"/>
            <w:tcBorders>
              <w:top w:val="single" w:sz="8" w:space="0" w:color="000000"/>
              <w:left w:val="nil"/>
              <w:bottom w:val="single" w:sz="8" w:space="0" w:color="000000"/>
              <w:right w:val="nil"/>
            </w:tcBorders>
            <w:tcMar>
              <w:top w:w="100" w:type="dxa"/>
              <w:left w:w="80" w:type="dxa"/>
              <w:bottom w:w="100" w:type="dxa"/>
              <w:right w:w="80" w:type="dxa"/>
            </w:tcMar>
          </w:tcPr>
          <w:p w:rsidR="003C10D4" w:rsidRPr="00197A81" w:rsidRDefault="003C10D4" w:rsidP="004E76B9">
            <w:pPr>
              <w:spacing w:line="240" w:lineRule="auto"/>
            </w:pPr>
            <w:r w:rsidRPr="00197A81">
              <w:t>Group-only Model</w:t>
            </w:r>
          </w:p>
        </w:tc>
        <w:tc>
          <w:tcPr>
            <w:tcW w:w="1725" w:type="dxa"/>
            <w:tcBorders>
              <w:top w:val="single" w:sz="8" w:space="0" w:color="000000"/>
              <w:left w:val="nil"/>
              <w:bottom w:val="single" w:sz="8" w:space="0" w:color="000000"/>
              <w:right w:val="nil"/>
            </w:tcBorders>
            <w:tcMar>
              <w:top w:w="100" w:type="dxa"/>
              <w:left w:w="80" w:type="dxa"/>
              <w:bottom w:w="100" w:type="dxa"/>
              <w:right w:w="80" w:type="dxa"/>
            </w:tcMar>
          </w:tcPr>
          <w:p w:rsidR="003C10D4" w:rsidRPr="00197A81" w:rsidRDefault="003C10D4" w:rsidP="004E76B9">
            <w:pPr>
              <w:spacing w:line="240" w:lineRule="auto"/>
              <w:rPr>
                <w:vertAlign w:val="superscript"/>
              </w:rPr>
            </w:pPr>
            <w:r w:rsidRPr="00197A81">
              <w:t>LOCF Model</w:t>
            </w:r>
            <w:r w:rsidRPr="00197A81">
              <w:rPr>
                <w:vertAlign w:val="superscript"/>
              </w:rPr>
              <w:t>a</w:t>
            </w:r>
          </w:p>
        </w:tc>
        <w:tc>
          <w:tcPr>
            <w:tcW w:w="1785" w:type="dxa"/>
            <w:tcBorders>
              <w:top w:val="single" w:sz="8" w:space="0" w:color="000000"/>
              <w:left w:val="nil"/>
              <w:bottom w:val="single" w:sz="8" w:space="0" w:color="000000"/>
              <w:right w:val="nil"/>
            </w:tcBorders>
            <w:tcMar>
              <w:top w:w="100" w:type="dxa"/>
              <w:left w:w="80" w:type="dxa"/>
              <w:bottom w:w="100" w:type="dxa"/>
              <w:right w:w="80" w:type="dxa"/>
            </w:tcMar>
          </w:tcPr>
          <w:p w:rsidR="003C10D4" w:rsidRPr="00197A81" w:rsidRDefault="003C10D4" w:rsidP="004E76B9">
            <w:pPr>
              <w:spacing w:line="240" w:lineRule="auto"/>
              <w:rPr>
                <w:vertAlign w:val="superscript"/>
              </w:rPr>
            </w:pPr>
            <w:r w:rsidRPr="00197A81">
              <w:t>Observed Data</w:t>
            </w:r>
            <w:r w:rsidRPr="00197A81">
              <w:rPr>
                <w:vertAlign w:val="superscript"/>
              </w:rPr>
              <w:t>a</w:t>
            </w:r>
          </w:p>
        </w:tc>
        <w:tc>
          <w:tcPr>
            <w:tcW w:w="1905" w:type="dxa"/>
            <w:tcBorders>
              <w:top w:val="single" w:sz="8" w:space="0" w:color="000000"/>
              <w:left w:val="nil"/>
              <w:bottom w:val="single" w:sz="8" w:space="0" w:color="000000"/>
              <w:right w:val="nil"/>
            </w:tcBorders>
            <w:tcMar>
              <w:top w:w="100" w:type="dxa"/>
              <w:left w:w="80" w:type="dxa"/>
              <w:bottom w:w="100" w:type="dxa"/>
              <w:right w:w="80" w:type="dxa"/>
            </w:tcMar>
          </w:tcPr>
          <w:p w:rsidR="003C10D4" w:rsidRPr="00197A81" w:rsidRDefault="003C10D4" w:rsidP="004E76B9">
            <w:pPr>
              <w:spacing w:line="240" w:lineRule="auto"/>
              <w:rPr>
                <w:vertAlign w:val="superscript"/>
              </w:rPr>
            </w:pPr>
            <w:r w:rsidRPr="00197A81">
              <w:t>LOCF Model</w:t>
            </w:r>
            <w:r w:rsidRPr="00197A81">
              <w:rPr>
                <w:vertAlign w:val="superscript"/>
              </w:rPr>
              <w:t>a</w:t>
            </w:r>
            <w:r w:rsidRPr="00197A81">
              <w:t>, bootstapped</w:t>
            </w:r>
            <w:r w:rsidRPr="00197A81">
              <w:rPr>
                <w:vertAlign w:val="superscript"/>
              </w:rPr>
              <w:t>b</w:t>
            </w:r>
          </w:p>
        </w:tc>
      </w:tr>
      <w:tr w:rsidR="00197A81" w:rsidRPr="00197A81" w:rsidTr="004E76B9">
        <w:trPr>
          <w:trHeight w:val="20"/>
        </w:trPr>
        <w:tc>
          <w:tcPr>
            <w:tcW w:w="181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Baseline RG-UK</w:t>
            </w:r>
          </w:p>
        </w:tc>
        <w:tc>
          <w:tcPr>
            <w:tcW w:w="1650"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 xml:space="preserve"> </w:t>
            </w:r>
          </w:p>
        </w:tc>
        <w:tc>
          <w:tcPr>
            <w:tcW w:w="172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0.62***</w:t>
            </w:r>
          </w:p>
        </w:tc>
        <w:tc>
          <w:tcPr>
            <w:tcW w:w="178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0.57***</w:t>
            </w:r>
          </w:p>
        </w:tc>
        <w:tc>
          <w:tcPr>
            <w:tcW w:w="190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0.62***</w:t>
            </w:r>
          </w:p>
        </w:tc>
      </w:tr>
      <w:tr w:rsidR="00197A81" w:rsidRPr="00197A81" w:rsidTr="004E76B9">
        <w:trPr>
          <w:trHeight w:val="20"/>
        </w:trPr>
        <w:tc>
          <w:tcPr>
            <w:tcW w:w="181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 xml:space="preserve"> </w:t>
            </w:r>
          </w:p>
        </w:tc>
        <w:tc>
          <w:tcPr>
            <w:tcW w:w="1650"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 xml:space="preserve"> </w:t>
            </w:r>
          </w:p>
        </w:tc>
        <w:tc>
          <w:tcPr>
            <w:tcW w:w="172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(0.06)</w:t>
            </w:r>
          </w:p>
        </w:tc>
        <w:tc>
          <w:tcPr>
            <w:tcW w:w="178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(0.07)</w:t>
            </w:r>
          </w:p>
        </w:tc>
        <w:tc>
          <w:tcPr>
            <w:tcW w:w="190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(0.06)</w:t>
            </w:r>
          </w:p>
        </w:tc>
      </w:tr>
      <w:tr w:rsidR="00197A81" w:rsidRPr="00197A81" w:rsidTr="004E76B9">
        <w:trPr>
          <w:trHeight w:val="20"/>
        </w:trPr>
        <w:tc>
          <w:tcPr>
            <w:tcW w:w="181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Gender (female)</w:t>
            </w:r>
          </w:p>
        </w:tc>
        <w:tc>
          <w:tcPr>
            <w:tcW w:w="1650"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 xml:space="preserve"> </w:t>
            </w:r>
          </w:p>
        </w:tc>
        <w:tc>
          <w:tcPr>
            <w:tcW w:w="172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-0.53</w:t>
            </w:r>
          </w:p>
        </w:tc>
        <w:tc>
          <w:tcPr>
            <w:tcW w:w="178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-0.51</w:t>
            </w:r>
          </w:p>
        </w:tc>
        <w:tc>
          <w:tcPr>
            <w:tcW w:w="190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-0.53</w:t>
            </w:r>
          </w:p>
        </w:tc>
      </w:tr>
      <w:tr w:rsidR="00197A81" w:rsidRPr="00197A81" w:rsidTr="004E76B9">
        <w:trPr>
          <w:trHeight w:val="20"/>
        </w:trPr>
        <w:tc>
          <w:tcPr>
            <w:tcW w:w="181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 xml:space="preserve"> </w:t>
            </w:r>
          </w:p>
        </w:tc>
        <w:tc>
          <w:tcPr>
            <w:tcW w:w="1650"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 xml:space="preserve"> </w:t>
            </w:r>
          </w:p>
        </w:tc>
        <w:tc>
          <w:tcPr>
            <w:tcW w:w="172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(0.73)</w:t>
            </w:r>
          </w:p>
        </w:tc>
        <w:tc>
          <w:tcPr>
            <w:tcW w:w="178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(0.87)</w:t>
            </w:r>
          </w:p>
        </w:tc>
        <w:tc>
          <w:tcPr>
            <w:tcW w:w="190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(0.71)</w:t>
            </w:r>
          </w:p>
        </w:tc>
      </w:tr>
      <w:tr w:rsidR="00197A81" w:rsidRPr="00197A81" w:rsidTr="004E76B9">
        <w:trPr>
          <w:trHeight w:val="20"/>
        </w:trPr>
        <w:tc>
          <w:tcPr>
            <w:tcW w:w="181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Age</w:t>
            </w:r>
          </w:p>
        </w:tc>
        <w:tc>
          <w:tcPr>
            <w:tcW w:w="1650"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 xml:space="preserve"> </w:t>
            </w:r>
          </w:p>
        </w:tc>
        <w:tc>
          <w:tcPr>
            <w:tcW w:w="172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-0.02</w:t>
            </w:r>
          </w:p>
        </w:tc>
        <w:tc>
          <w:tcPr>
            <w:tcW w:w="178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-0.02</w:t>
            </w:r>
          </w:p>
        </w:tc>
        <w:tc>
          <w:tcPr>
            <w:tcW w:w="190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-0.02</w:t>
            </w:r>
          </w:p>
        </w:tc>
      </w:tr>
      <w:tr w:rsidR="00197A81" w:rsidRPr="00197A81" w:rsidTr="004E76B9">
        <w:trPr>
          <w:trHeight w:val="20"/>
        </w:trPr>
        <w:tc>
          <w:tcPr>
            <w:tcW w:w="181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 xml:space="preserve"> </w:t>
            </w:r>
          </w:p>
        </w:tc>
        <w:tc>
          <w:tcPr>
            <w:tcW w:w="1650"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 xml:space="preserve"> </w:t>
            </w:r>
          </w:p>
        </w:tc>
        <w:tc>
          <w:tcPr>
            <w:tcW w:w="172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(0.03)</w:t>
            </w:r>
          </w:p>
        </w:tc>
        <w:tc>
          <w:tcPr>
            <w:tcW w:w="178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(0.03)</w:t>
            </w:r>
          </w:p>
        </w:tc>
        <w:tc>
          <w:tcPr>
            <w:tcW w:w="190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(0.03)</w:t>
            </w:r>
          </w:p>
        </w:tc>
      </w:tr>
      <w:tr w:rsidR="00197A81" w:rsidRPr="00197A81" w:rsidTr="004E76B9">
        <w:trPr>
          <w:trHeight w:val="20"/>
        </w:trPr>
        <w:tc>
          <w:tcPr>
            <w:tcW w:w="1815" w:type="dxa"/>
            <w:tcBorders>
              <w:top w:val="nil"/>
              <w:left w:val="nil"/>
              <w:bottom w:val="nil"/>
              <w:right w:val="nil"/>
            </w:tcBorders>
            <w:shd w:val="clear" w:color="auto" w:fill="D9D9D9"/>
            <w:tcMar>
              <w:top w:w="100" w:type="dxa"/>
              <w:left w:w="80" w:type="dxa"/>
              <w:bottom w:w="100" w:type="dxa"/>
              <w:right w:w="80" w:type="dxa"/>
            </w:tcMar>
          </w:tcPr>
          <w:p w:rsidR="003C10D4" w:rsidRPr="00197A81" w:rsidRDefault="003C10D4" w:rsidP="004E76B9">
            <w:pPr>
              <w:spacing w:line="240" w:lineRule="auto"/>
            </w:pPr>
            <w:r w:rsidRPr="00197A81">
              <w:t>Group (control)</w:t>
            </w:r>
          </w:p>
        </w:tc>
        <w:tc>
          <w:tcPr>
            <w:tcW w:w="1650" w:type="dxa"/>
            <w:tcBorders>
              <w:top w:val="nil"/>
              <w:left w:val="nil"/>
              <w:bottom w:val="nil"/>
              <w:right w:val="nil"/>
            </w:tcBorders>
            <w:shd w:val="clear" w:color="auto" w:fill="D9D9D9"/>
            <w:tcMar>
              <w:top w:w="100" w:type="dxa"/>
              <w:left w:w="80" w:type="dxa"/>
              <w:bottom w:w="100" w:type="dxa"/>
              <w:right w:w="80" w:type="dxa"/>
            </w:tcMar>
          </w:tcPr>
          <w:p w:rsidR="003C10D4" w:rsidRPr="00197A81" w:rsidRDefault="003C10D4" w:rsidP="004E76B9">
            <w:pPr>
              <w:spacing w:line="240" w:lineRule="auto"/>
            </w:pPr>
            <w:r w:rsidRPr="00197A81">
              <w:t>-0.41</w:t>
            </w:r>
          </w:p>
        </w:tc>
        <w:tc>
          <w:tcPr>
            <w:tcW w:w="1725" w:type="dxa"/>
            <w:tcBorders>
              <w:top w:val="nil"/>
              <w:left w:val="nil"/>
              <w:bottom w:val="nil"/>
              <w:right w:val="nil"/>
            </w:tcBorders>
            <w:shd w:val="clear" w:color="auto" w:fill="D9D9D9"/>
            <w:tcMar>
              <w:top w:w="100" w:type="dxa"/>
              <w:left w:w="80" w:type="dxa"/>
              <w:bottom w:w="100" w:type="dxa"/>
              <w:right w:w="80" w:type="dxa"/>
            </w:tcMar>
          </w:tcPr>
          <w:p w:rsidR="003C10D4" w:rsidRPr="00197A81" w:rsidRDefault="003C10D4" w:rsidP="004E76B9">
            <w:pPr>
              <w:spacing w:line="240" w:lineRule="auto"/>
            </w:pPr>
            <w:r w:rsidRPr="00197A81">
              <w:t>0.63</w:t>
            </w:r>
          </w:p>
        </w:tc>
        <w:tc>
          <w:tcPr>
            <w:tcW w:w="1785" w:type="dxa"/>
            <w:tcBorders>
              <w:top w:val="nil"/>
              <w:left w:val="nil"/>
              <w:bottom w:val="nil"/>
              <w:right w:val="nil"/>
            </w:tcBorders>
            <w:shd w:val="clear" w:color="auto" w:fill="D9D9D9"/>
            <w:tcMar>
              <w:top w:w="100" w:type="dxa"/>
              <w:left w:w="80" w:type="dxa"/>
              <w:bottom w:w="100" w:type="dxa"/>
              <w:right w:w="80" w:type="dxa"/>
            </w:tcMar>
          </w:tcPr>
          <w:p w:rsidR="003C10D4" w:rsidRPr="00197A81" w:rsidRDefault="003C10D4" w:rsidP="004E76B9">
            <w:pPr>
              <w:spacing w:line="240" w:lineRule="auto"/>
            </w:pPr>
            <w:r w:rsidRPr="00197A81">
              <w:t>0.74</w:t>
            </w:r>
          </w:p>
        </w:tc>
        <w:tc>
          <w:tcPr>
            <w:tcW w:w="1905" w:type="dxa"/>
            <w:tcBorders>
              <w:top w:val="nil"/>
              <w:left w:val="nil"/>
              <w:bottom w:val="nil"/>
              <w:right w:val="nil"/>
            </w:tcBorders>
            <w:shd w:val="clear" w:color="auto" w:fill="D9D9D9"/>
            <w:tcMar>
              <w:top w:w="100" w:type="dxa"/>
              <w:left w:w="80" w:type="dxa"/>
              <w:bottom w:w="100" w:type="dxa"/>
              <w:right w:w="80" w:type="dxa"/>
            </w:tcMar>
          </w:tcPr>
          <w:p w:rsidR="003C10D4" w:rsidRPr="00197A81" w:rsidRDefault="003C10D4" w:rsidP="004E76B9">
            <w:pPr>
              <w:spacing w:line="240" w:lineRule="auto"/>
            </w:pPr>
            <w:r w:rsidRPr="00197A81">
              <w:t>0.63</w:t>
            </w:r>
          </w:p>
        </w:tc>
      </w:tr>
      <w:tr w:rsidR="00197A81" w:rsidRPr="00197A81" w:rsidTr="004E76B9">
        <w:trPr>
          <w:trHeight w:val="20"/>
        </w:trPr>
        <w:tc>
          <w:tcPr>
            <w:tcW w:w="1815" w:type="dxa"/>
            <w:tcBorders>
              <w:top w:val="nil"/>
              <w:left w:val="nil"/>
              <w:bottom w:val="nil"/>
              <w:right w:val="nil"/>
            </w:tcBorders>
            <w:shd w:val="clear" w:color="auto" w:fill="D9D9D9"/>
            <w:tcMar>
              <w:top w:w="100" w:type="dxa"/>
              <w:left w:w="80" w:type="dxa"/>
              <w:bottom w:w="100" w:type="dxa"/>
              <w:right w:w="80" w:type="dxa"/>
            </w:tcMar>
          </w:tcPr>
          <w:p w:rsidR="003C10D4" w:rsidRPr="00197A81" w:rsidRDefault="003C10D4" w:rsidP="004E76B9">
            <w:pPr>
              <w:spacing w:line="240" w:lineRule="auto"/>
            </w:pPr>
            <w:r w:rsidRPr="00197A81">
              <w:t xml:space="preserve"> </w:t>
            </w:r>
          </w:p>
        </w:tc>
        <w:tc>
          <w:tcPr>
            <w:tcW w:w="1650" w:type="dxa"/>
            <w:tcBorders>
              <w:top w:val="nil"/>
              <w:left w:val="nil"/>
              <w:bottom w:val="nil"/>
              <w:right w:val="nil"/>
            </w:tcBorders>
            <w:shd w:val="clear" w:color="auto" w:fill="D9D9D9"/>
            <w:tcMar>
              <w:top w:w="100" w:type="dxa"/>
              <w:left w:w="80" w:type="dxa"/>
              <w:bottom w:w="100" w:type="dxa"/>
              <w:right w:w="80" w:type="dxa"/>
            </w:tcMar>
          </w:tcPr>
          <w:p w:rsidR="003C10D4" w:rsidRPr="00197A81" w:rsidRDefault="003C10D4" w:rsidP="004E76B9">
            <w:pPr>
              <w:spacing w:line="240" w:lineRule="auto"/>
            </w:pPr>
            <w:r w:rsidRPr="00197A81">
              <w:t>(0.87)</w:t>
            </w:r>
          </w:p>
        </w:tc>
        <w:tc>
          <w:tcPr>
            <w:tcW w:w="1725" w:type="dxa"/>
            <w:tcBorders>
              <w:top w:val="nil"/>
              <w:left w:val="nil"/>
              <w:bottom w:val="nil"/>
              <w:right w:val="nil"/>
            </w:tcBorders>
            <w:shd w:val="clear" w:color="auto" w:fill="D9D9D9"/>
            <w:tcMar>
              <w:top w:w="100" w:type="dxa"/>
              <w:left w:w="80" w:type="dxa"/>
              <w:bottom w:w="100" w:type="dxa"/>
              <w:right w:w="80" w:type="dxa"/>
            </w:tcMar>
          </w:tcPr>
          <w:p w:rsidR="003C10D4" w:rsidRPr="00197A81" w:rsidRDefault="003C10D4" w:rsidP="004E76B9">
            <w:pPr>
              <w:spacing w:line="240" w:lineRule="auto"/>
            </w:pPr>
            <w:r w:rsidRPr="00197A81">
              <w:t>(1.79)</w:t>
            </w:r>
          </w:p>
        </w:tc>
        <w:tc>
          <w:tcPr>
            <w:tcW w:w="1785" w:type="dxa"/>
            <w:tcBorders>
              <w:top w:val="nil"/>
              <w:left w:val="nil"/>
              <w:bottom w:val="nil"/>
              <w:right w:val="nil"/>
            </w:tcBorders>
            <w:shd w:val="clear" w:color="auto" w:fill="D9D9D9"/>
            <w:tcMar>
              <w:top w:w="100" w:type="dxa"/>
              <w:left w:w="80" w:type="dxa"/>
              <w:bottom w:w="100" w:type="dxa"/>
              <w:right w:w="80" w:type="dxa"/>
            </w:tcMar>
          </w:tcPr>
          <w:p w:rsidR="003C10D4" w:rsidRPr="00197A81" w:rsidRDefault="003C10D4" w:rsidP="004E76B9">
            <w:pPr>
              <w:spacing w:line="240" w:lineRule="auto"/>
            </w:pPr>
            <w:r w:rsidRPr="00197A81">
              <w:t>(2.03)</w:t>
            </w:r>
          </w:p>
        </w:tc>
        <w:tc>
          <w:tcPr>
            <w:tcW w:w="1905" w:type="dxa"/>
            <w:tcBorders>
              <w:top w:val="nil"/>
              <w:left w:val="nil"/>
              <w:bottom w:val="nil"/>
              <w:right w:val="nil"/>
            </w:tcBorders>
            <w:shd w:val="clear" w:color="auto" w:fill="D9D9D9"/>
            <w:tcMar>
              <w:top w:w="100" w:type="dxa"/>
              <w:left w:w="80" w:type="dxa"/>
              <w:bottom w:w="100" w:type="dxa"/>
              <w:right w:w="80" w:type="dxa"/>
            </w:tcMar>
          </w:tcPr>
          <w:p w:rsidR="003C10D4" w:rsidRPr="00197A81" w:rsidRDefault="003C10D4" w:rsidP="004E76B9">
            <w:pPr>
              <w:spacing w:line="240" w:lineRule="auto"/>
            </w:pPr>
            <w:r w:rsidRPr="00197A81">
              <w:t>(1.24)</w:t>
            </w:r>
          </w:p>
        </w:tc>
      </w:tr>
      <w:tr w:rsidR="00197A81" w:rsidRPr="00197A81" w:rsidTr="004E76B9">
        <w:trPr>
          <w:trHeight w:val="20"/>
        </w:trPr>
        <w:tc>
          <w:tcPr>
            <w:tcW w:w="181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Constant</w:t>
            </w:r>
          </w:p>
        </w:tc>
        <w:tc>
          <w:tcPr>
            <w:tcW w:w="1650"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15.58***</w:t>
            </w:r>
          </w:p>
        </w:tc>
        <w:tc>
          <w:tcPr>
            <w:tcW w:w="172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5.69*</w:t>
            </w:r>
          </w:p>
        </w:tc>
        <w:tc>
          <w:tcPr>
            <w:tcW w:w="178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6.40*</w:t>
            </w:r>
          </w:p>
        </w:tc>
        <w:tc>
          <w:tcPr>
            <w:tcW w:w="190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5.69***</w:t>
            </w:r>
          </w:p>
        </w:tc>
      </w:tr>
      <w:tr w:rsidR="00197A81" w:rsidRPr="00197A81" w:rsidTr="004E76B9">
        <w:trPr>
          <w:trHeight w:val="20"/>
        </w:trPr>
        <w:tc>
          <w:tcPr>
            <w:tcW w:w="181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 xml:space="preserve"> </w:t>
            </w:r>
          </w:p>
        </w:tc>
        <w:tc>
          <w:tcPr>
            <w:tcW w:w="1650"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(0.68)</w:t>
            </w:r>
          </w:p>
        </w:tc>
        <w:tc>
          <w:tcPr>
            <w:tcW w:w="172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(2.21)</w:t>
            </w:r>
          </w:p>
        </w:tc>
        <w:tc>
          <w:tcPr>
            <w:tcW w:w="178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(2.58)</w:t>
            </w:r>
          </w:p>
        </w:tc>
        <w:tc>
          <w:tcPr>
            <w:tcW w:w="190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(1.76)</w:t>
            </w:r>
          </w:p>
        </w:tc>
      </w:tr>
      <w:tr w:rsidR="00197A81" w:rsidRPr="00197A81" w:rsidTr="004E76B9">
        <w:trPr>
          <w:trHeight w:val="20"/>
        </w:trPr>
        <w:tc>
          <w:tcPr>
            <w:tcW w:w="181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Observations</w:t>
            </w:r>
          </w:p>
        </w:tc>
        <w:tc>
          <w:tcPr>
            <w:tcW w:w="1650"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150</w:t>
            </w:r>
          </w:p>
        </w:tc>
        <w:tc>
          <w:tcPr>
            <w:tcW w:w="172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144</w:t>
            </w:r>
          </w:p>
        </w:tc>
        <w:tc>
          <w:tcPr>
            <w:tcW w:w="178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120</w:t>
            </w:r>
          </w:p>
        </w:tc>
        <w:tc>
          <w:tcPr>
            <w:tcW w:w="1905" w:type="dxa"/>
            <w:tcBorders>
              <w:top w:val="nil"/>
              <w:left w:val="nil"/>
              <w:bottom w:val="nil"/>
              <w:right w:val="nil"/>
            </w:tcBorders>
            <w:tcMar>
              <w:top w:w="100" w:type="dxa"/>
              <w:left w:w="80" w:type="dxa"/>
              <w:bottom w:w="100" w:type="dxa"/>
              <w:right w:w="80" w:type="dxa"/>
            </w:tcMar>
          </w:tcPr>
          <w:p w:rsidR="003C10D4" w:rsidRPr="00197A81" w:rsidRDefault="003C10D4" w:rsidP="004E76B9">
            <w:pPr>
              <w:spacing w:line="240" w:lineRule="auto"/>
            </w:pPr>
            <w:r w:rsidRPr="00197A81">
              <w:t>144</w:t>
            </w:r>
          </w:p>
        </w:tc>
      </w:tr>
      <w:tr w:rsidR="003C10D4" w:rsidRPr="00197A81" w:rsidTr="004E76B9">
        <w:trPr>
          <w:trHeight w:val="20"/>
        </w:trPr>
        <w:tc>
          <w:tcPr>
            <w:tcW w:w="1815" w:type="dxa"/>
            <w:tcBorders>
              <w:top w:val="nil"/>
              <w:left w:val="nil"/>
              <w:bottom w:val="single" w:sz="8" w:space="0" w:color="000000"/>
              <w:right w:val="nil"/>
            </w:tcBorders>
            <w:tcMar>
              <w:top w:w="100" w:type="dxa"/>
              <w:left w:w="80" w:type="dxa"/>
              <w:bottom w:w="100" w:type="dxa"/>
              <w:right w:w="80" w:type="dxa"/>
            </w:tcMar>
          </w:tcPr>
          <w:p w:rsidR="003C10D4" w:rsidRPr="00197A81" w:rsidRDefault="003C10D4" w:rsidP="004E76B9">
            <w:pPr>
              <w:spacing w:line="240" w:lineRule="auto"/>
            </w:pPr>
            <w:r w:rsidRPr="00197A81">
              <w:t>R-squared</w:t>
            </w:r>
          </w:p>
        </w:tc>
        <w:tc>
          <w:tcPr>
            <w:tcW w:w="1650" w:type="dxa"/>
            <w:tcBorders>
              <w:top w:val="nil"/>
              <w:left w:val="nil"/>
              <w:bottom w:val="single" w:sz="8" w:space="0" w:color="000000"/>
              <w:right w:val="nil"/>
            </w:tcBorders>
            <w:tcMar>
              <w:top w:w="100" w:type="dxa"/>
              <w:left w:w="80" w:type="dxa"/>
              <w:bottom w:w="100" w:type="dxa"/>
              <w:right w:w="80" w:type="dxa"/>
            </w:tcMar>
          </w:tcPr>
          <w:p w:rsidR="003C10D4" w:rsidRPr="00197A81" w:rsidRDefault="003C10D4" w:rsidP="004E76B9">
            <w:pPr>
              <w:spacing w:line="240" w:lineRule="auto"/>
            </w:pPr>
            <w:r w:rsidRPr="00197A81">
              <w:t>0.00</w:t>
            </w:r>
          </w:p>
        </w:tc>
        <w:tc>
          <w:tcPr>
            <w:tcW w:w="1725" w:type="dxa"/>
            <w:tcBorders>
              <w:top w:val="nil"/>
              <w:left w:val="nil"/>
              <w:bottom w:val="single" w:sz="8" w:space="0" w:color="000000"/>
              <w:right w:val="nil"/>
            </w:tcBorders>
            <w:tcMar>
              <w:top w:w="100" w:type="dxa"/>
              <w:left w:w="80" w:type="dxa"/>
              <w:bottom w:w="100" w:type="dxa"/>
              <w:right w:w="80" w:type="dxa"/>
            </w:tcMar>
          </w:tcPr>
          <w:p w:rsidR="003C10D4" w:rsidRPr="00197A81" w:rsidRDefault="003C10D4" w:rsidP="004E76B9">
            <w:pPr>
              <w:spacing w:line="240" w:lineRule="auto"/>
            </w:pPr>
            <w:r w:rsidRPr="00197A81">
              <w:t>0.53</w:t>
            </w:r>
          </w:p>
        </w:tc>
        <w:tc>
          <w:tcPr>
            <w:tcW w:w="1785" w:type="dxa"/>
            <w:tcBorders>
              <w:top w:val="nil"/>
              <w:left w:val="nil"/>
              <w:bottom w:val="single" w:sz="8" w:space="0" w:color="000000"/>
              <w:right w:val="nil"/>
            </w:tcBorders>
            <w:tcMar>
              <w:top w:w="100" w:type="dxa"/>
              <w:left w:w="80" w:type="dxa"/>
              <w:bottom w:w="100" w:type="dxa"/>
              <w:right w:w="80" w:type="dxa"/>
            </w:tcMar>
          </w:tcPr>
          <w:p w:rsidR="003C10D4" w:rsidRPr="00197A81" w:rsidRDefault="003C10D4" w:rsidP="004E76B9">
            <w:pPr>
              <w:spacing w:line="240" w:lineRule="auto"/>
            </w:pPr>
            <w:r w:rsidRPr="00197A81">
              <w:t>0.48</w:t>
            </w:r>
          </w:p>
        </w:tc>
        <w:tc>
          <w:tcPr>
            <w:tcW w:w="1905" w:type="dxa"/>
            <w:tcBorders>
              <w:top w:val="nil"/>
              <w:left w:val="nil"/>
              <w:bottom w:val="single" w:sz="8" w:space="0" w:color="000000"/>
              <w:right w:val="nil"/>
            </w:tcBorders>
            <w:tcMar>
              <w:top w:w="100" w:type="dxa"/>
              <w:left w:w="80" w:type="dxa"/>
              <w:bottom w:w="100" w:type="dxa"/>
              <w:right w:w="80" w:type="dxa"/>
            </w:tcMar>
          </w:tcPr>
          <w:p w:rsidR="003C10D4" w:rsidRPr="00197A81" w:rsidRDefault="003C10D4" w:rsidP="004E76B9">
            <w:pPr>
              <w:spacing w:line="240" w:lineRule="auto"/>
            </w:pPr>
            <w:r w:rsidRPr="00197A81">
              <w:t>0.53</w:t>
            </w:r>
          </w:p>
        </w:tc>
      </w:tr>
    </w:tbl>
    <w:p w:rsidR="00117ABD" w:rsidRPr="00197A81" w:rsidRDefault="00117ABD" w:rsidP="003C10D4"/>
    <w:p w:rsidR="003C10D4" w:rsidRPr="00197A81" w:rsidRDefault="003C10D4" w:rsidP="003C10D4">
      <w:r w:rsidRPr="00197A81">
        <w:t>Notes. Standard errors in brackets.</w:t>
      </w:r>
      <w:r w:rsidR="00456B19" w:rsidRPr="00197A81">
        <w:t xml:space="preserve"> </w:t>
      </w:r>
      <w:r w:rsidRPr="00197A81">
        <w:t>The dependent variable for all regressions is the final RG-UK score with the last observation carried forward</w:t>
      </w:r>
      <w:r w:rsidR="00691C61" w:rsidRPr="00197A81">
        <w:t xml:space="preserve"> (LOCF)</w:t>
      </w:r>
      <w:r w:rsidRPr="00197A81">
        <w:t>, apart from the observed data mode</w:t>
      </w:r>
      <w:r w:rsidR="00691C61" w:rsidRPr="00197A81">
        <w:t>l (only observed final scores).</w:t>
      </w:r>
    </w:p>
    <w:p w:rsidR="003C10D4" w:rsidRPr="00197A81" w:rsidRDefault="003C10D4" w:rsidP="003C10D4">
      <w:r w:rsidRPr="00197A81">
        <w:t xml:space="preserve"> </w:t>
      </w:r>
      <w:r w:rsidRPr="00197A81">
        <w:rPr>
          <w:vertAlign w:val="superscript"/>
        </w:rPr>
        <w:t>a</w:t>
      </w:r>
      <w:r w:rsidRPr="00197A81">
        <w:t>Regression controlled for delivery teams (seven dummy variables; teams BI and HI were merged due to their small sample sizes</w:t>
      </w:r>
      <w:r w:rsidR="00006998" w:rsidRPr="00197A81">
        <w:t>; teams that recruited no participants were excluded</w:t>
      </w:r>
      <w:r w:rsidRPr="00197A81">
        <w:t xml:space="preserve">). </w:t>
      </w:r>
      <w:r w:rsidRPr="00197A81">
        <w:rPr>
          <w:vertAlign w:val="superscript"/>
        </w:rPr>
        <w:t>b</w:t>
      </w:r>
      <w:r w:rsidRPr="00197A81">
        <w:t>500 bootstrap samples.</w:t>
      </w:r>
    </w:p>
    <w:p w:rsidR="003C10D4" w:rsidRPr="00197A81" w:rsidRDefault="003C10D4" w:rsidP="003C10D4">
      <w:r w:rsidRPr="00197A81">
        <w:t>*** p&lt;0.001, ** p&lt;0.01, * p&lt;0.05</w:t>
      </w:r>
    </w:p>
    <w:p w:rsidR="003C10D4" w:rsidRPr="00197A81" w:rsidRDefault="003C10D4" w:rsidP="003C10D4">
      <w:r w:rsidRPr="00197A81">
        <w:t xml:space="preserve"> </w:t>
      </w:r>
    </w:p>
    <w:p w:rsidR="00D5147B" w:rsidRPr="00197A81" w:rsidRDefault="00D5147B" w:rsidP="003C10D4"/>
    <w:p w:rsidR="00D5147B" w:rsidRPr="00197A81" w:rsidRDefault="00D5147B" w:rsidP="003C10D4"/>
    <w:p w:rsidR="00D5147B" w:rsidRPr="00197A81" w:rsidRDefault="00D5147B" w:rsidP="003C10D4"/>
    <w:p w:rsidR="004D6D64" w:rsidRPr="00197A81" w:rsidRDefault="004D6D64">
      <w:pPr>
        <w:rPr>
          <w:b/>
        </w:rPr>
      </w:pPr>
      <w:r w:rsidRPr="00197A81">
        <w:rPr>
          <w:b/>
        </w:rPr>
        <w:br w:type="page"/>
      </w:r>
    </w:p>
    <w:p w:rsidR="00D5147B" w:rsidRPr="00197A81" w:rsidRDefault="00D5147B" w:rsidP="00D5147B">
      <w:pPr>
        <w:rPr>
          <w:b/>
        </w:rPr>
      </w:pPr>
      <w:r w:rsidRPr="00197A81">
        <w:rPr>
          <w:b/>
        </w:rPr>
        <w:t xml:space="preserve">Table 4: </w:t>
      </w:r>
      <w:r w:rsidR="00117ABD" w:rsidRPr="00197A81">
        <w:rPr>
          <w:b/>
        </w:rPr>
        <w:t>Baseline costs</w:t>
      </w:r>
      <w:r w:rsidRPr="00197A81">
        <w:rPr>
          <w:b/>
        </w:rPr>
        <w:t xml:space="preserve"> for the economic evaluation subsample</w:t>
      </w:r>
    </w:p>
    <w:tbl>
      <w:tblPr>
        <w:tblStyle w:val="a2"/>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35"/>
        <w:gridCol w:w="2040"/>
        <w:gridCol w:w="1425"/>
        <w:gridCol w:w="1890"/>
        <w:gridCol w:w="1590"/>
      </w:tblGrid>
      <w:tr w:rsidR="00197A81" w:rsidRPr="00197A81" w:rsidTr="004E76B9">
        <w:trPr>
          <w:trHeight w:val="20"/>
        </w:trPr>
        <w:tc>
          <w:tcPr>
            <w:tcW w:w="1935" w:type="dxa"/>
            <w:tcBorders>
              <w:top w:val="nil"/>
              <w:left w:val="nil"/>
              <w:bottom w:val="nil"/>
              <w:right w:val="single" w:sz="8" w:space="0" w:color="000000"/>
            </w:tcBorders>
            <w:tcMar>
              <w:top w:w="100" w:type="dxa"/>
              <w:left w:w="100" w:type="dxa"/>
              <w:bottom w:w="100" w:type="dxa"/>
              <w:right w:w="100" w:type="dxa"/>
            </w:tcMar>
          </w:tcPr>
          <w:p w:rsidR="00D5147B" w:rsidRPr="00197A81" w:rsidRDefault="00D5147B" w:rsidP="004E76B9">
            <w:pPr>
              <w:rPr>
                <w:b/>
              </w:rPr>
            </w:pPr>
            <w:r w:rsidRPr="00197A81">
              <w:rPr>
                <w:b/>
              </w:rPr>
              <w:t>Baseline</w:t>
            </w:r>
          </w:p>
          <w:p w:rsidR="00D5147B" w:rsidRPr="00197A81" w:rsidRDefault="00D5147B" w:rsidP="004E76B9">
            <w:pPr>
              <w:rPr>
                <w:b/>
              </w:rPr>
            </w:pPr>
          </w:p>
        </w:tc>
        <w:tc>
          <w:tcPr>
            <w:tcW w:w="3465" w:type="dxa"/>
            <w:gridSpan w:val="2"/>
            <w:tcBorders>
              <w:top w:val="nil"/>
              <w:left w:val="nil"/>
              <w:bottom w:val="nil"/>
              <w:right w:val="single" w:sz="8" w:space="0" w:color="000000"/>
            </w:tcBorders>
            <w:tcMar>
              <w:top w:w="100" w:type="dxa"/>
              <w:left w:w="100" w:type="dxa"/>
              <w:bottom w:w="100" w:type="dxa"/>
              <w:right w:w="100" w:type="dxa"/>
            </w:tcMar>
          </w:tcPr>
          <w:p w:rsidR="00D5147B" w:rsidRPr="00197A81" w:rsidRDefault="00D5147B" w:rsidP="004E76B9">
            <w:pPr>
              <w:jc w:val="center"/>
              <w:rPr>
                <w:b/>
              </w:rPr>
            </w:pPr>
            <w:r w:rsidRPr="00197A81">
              <w:rPr>
                <w:b/>
              </w:rPr>
              <w:t>Implementation group</w:t>
            </w:r>
          </w:p>
        </w:tc>
        <w:tc>
          <w:tcPr>
            <w:tcW w:w="3480" w:type="dxa"/>
            <w:gridSpan w:val="2"/>
            <w:tcBorders>
              <w:top w:val="nil"/>
              <w:left w:val="nil"/>
              <w:bottom w:val="nil"/>
              <w:right w:val="nil"/>
            </w:tcBorders>
            <w:shd w:val="clear" w:color="auto" w:fill="auto"/>
            <w:tcMar>
              <w:top w:w="100" w:type="dxa"/>
              <w:left w:w="100" w:type="dxa"/>
              <w:bottom w:w="100" w:type="dxa"/>
              <w:right w:w="100" w:type="dxa"/>
            </w:tcMar>
          </w:tcPr>
          <w:p w:rsidR="00D5147B" w:rsidRPr="00197A81" w:rsidRDefault="00D5147B" w:rsidP="004E76B9">
            <w:pPr>
              <w:jc w:val="center"/>
              <w:rPr>
                <w:b/>
              </w:rPr>
            </w:pPr>
            <w:r w:rsidRPr="00197A81">
              <w:rPr>
                <w:b/>
              </w:rPr>
              <w:t>Control group</w:t>
            </w:r>
          </w:p>
        </w:tc>
      </w:tr>
      <w:tr w:rsidR="00197A81" w:rsidRPr="00197A81" w:rsidTr="004E76B9">
        <w:trPr>
          <w:trHeight w:val="20"/>
        </w:trPr>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147B" w:rsidRPr="00197A81" w:rsidRDefault="00D5147B" w:rsidP="004E76B9">
            <w:pPr>
              <w:rPr>
                <w:b/>
              </w:rPr>
            </w:pPr>
            <w:r w:rsidRPr="00197A81">
              <w:rPr>
                <w:b/>
              </w:rPr>
              <w:t xml:space="preserve"> </w:t>
            </w:r>
          </w:p>
        </w:tc>
        <w:tc>
          <w:tcPr>
            <w:tcW w:w="2040" w:type="dxa"/>
            <w:tcBorders>
              <w:top w:val="nil"/>
              <w:left w:val="nil"/>
              <w:bottom w:val="single" w:sz="8" w:space="0" w:color="000000"/>
              <w:right w:val="dotted" w:sz="8" w:space="0" w:color="000000"/>
            </w:tcBorders>
            <w:shd w:val="clear" w:color="auto" w:fill="auto"/>
            <w:tcMar>
              <w:top w:w="100" w:type="dxa"/>
              <w:left w:w="100" w:type="dxa"/>
              <w:bottom w:w="100" w:type="dxa"/>
              <w:right w:w="100" w:type="dxa"/>
            </w:tcMar>
          </w:tcPr>
          <w:p w:rsidR="00D5147B" w:rsidRPr="00197A81" w:rsidRDefault="00D5147B" w:rsidP="004E76B9">
            <w:pPr>
              <w:jc w:val="center"/>
              <w:rPr>
                <w:b/>
              </w:rPr>
            </w:pPr>
            <w:r w:rsidRPr="00197A81">
              <w:rPr>
                <w:b/>
              </w:rPr>
              <w:t>Mean (S.D.)</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147B" w:rsidRPr="00197A81" w:rsidRDefault="00D5147B" w:rsidP="004E76B9">
            <w:pPr>
              <w:jc w:val="center"/>
              <w:rPr>
                <w:b/>
              </w:rPr>
            </w:pPr>
            <w:r w:rsidRPr="00197A81">
              <w:rPr>
                <w:b/>
              </w:rPr>
              <w:t>N</w:t>
            </w:r>
          </w:p>
        </w:tc>
        <w:tc>
          <w:tcPr>
            <w:tcW w:w="1890" w:type="dxa"/>
            <w:tcBorders>
              <w:top w:val="nil"/>
              <w:left w:val="nil"/>
              <w:bottom w:val="single" w:sz="8" w:space="0" w:color="000000"/>
              <w:right w:val="dotted" w:sz="8" w:space="0" w:color="000000"/>
            </w:tcBorders>
            <w:shd w:val="clear" w:color="auto" w:fill="auto"/>
            <w:tcMar>
              <w:top w:w="100" w:type="dxa"/>
              <w:left w:w="100" w:type="dxa"/>
              <w:bottom w:w="100" w:type="dxa"/>
              <w:right w:w="100" w:type="dxa"/>
            </w:tcMar>
          </w:tcPr>
          <w:p w:rsidR="00D5147B" w:rsidRPr="00197A81" w:rsidRDefault="00D5147B" w:rsidP="004E76B9">
            <w:pPr>
              <w:jc w:val="center"/>
              <w:rPr>
                <w:b/>
              </w:rPr>
            </w:pPr>
            <w:r w:rsidRPr="00197A81">
              <w:rPr>
                <w:b/>
              </w:rPr>
              <w:t>Mean (S.D.)</w:t>
            </w:r>
          </w:p>
        </w:tc>
        <w:tc>
          <w:tcPr>
            <w:tcW w:w="1590" w:type="dxa"/>
            <w:tcBorders>
              <w:top w:val="nil"/>
              <w:left w:val="nil"/>
              <w:bottom w:val="single" w:sz="8" w:space="0" w:color="000000"/>
              <w:right w:val="nil"/>
            </w:tcBorders>
            <w:shd w:val="clear" w:color="auto" w:fill="auto"/>
            <w:tcMar>
              <w:top w:w="100" w:type="dxa"/>
              <w:left w:w="100" w:type="dxa"/>
              <w:bottom w:w="100" w:type="dxa"/>
              <w:right w:w="100" w:type="dxa"/>
            </w:tcMar>
          </w:tcPr>
          <w:p w:rsidR="00D5147B" w:rsidRPr="00197A81" w:rsidRDefault="00D5147B" w:rsidP="004E76B9">
            <w:pPr>
              <w:jc w:val="center"/>
              <w:rPr>
                <w:b/>
              </w:rPr>
            </w:pPr>
            <w:r w:rsidRPr="00197A81">
              <w:rPr>
                <w:b/>
              </w:rPr>
              <w:t>N</w:t>
            </w:r>
          </w:p>
        </w:tc>
      </w:tr>
      <w:tr w:rsidR="00197A81" w:rsidRPr="00197A81" w:rsidTr="004E76B9">
        <w:trPr>
          <w:trHeight w:val="20"/>
        </w:trPr>
        <w:tc>
          <w:tcPr>
            <w:tcW w:w="1935" w:type="dxa"/>
            <w:tcBorders>
              <w:top w:val="nil"/>
              <w:left w:val="nil"/>
              <w:bottom w:val="nil"/>
              <w:right w:val="single" w:sz="8" w:space="0" w:color="000000"/>
            </w:tcBorders>
            <w:shd w:val="clear" w:color="auto" w:fill="auto"/>
            <w:tcMar>
              <w:top w:w="100" w:type="dxa"/>
              <w:left w:w="100" w:type="dxa"/>
              <w:bottom w:w="100" w:type="dxa"/>
              <w:right w:w="100" w:type="dxa"/>
            </w:tcMar>
          </w:tcPr>
          <w:p w:rsidR="00D5147B" w:rsidRPr="00197A81" w:rsidRDefault="00D5147B" w:rsidP="004E76B9">
            <w:r w:rsidRPr="00197A81">
              <w:t>Weekly health and social care costs</w:t>
            </w:r>
          </w:p>
        </w:tc>
        <w:tc>
          <w:tcPr>
            <w:tcW w:w="2040" w:type="dxa"/>
            <w:tcBorders>
              <w:top w:val="nil"/>
              <w:left w:val="nil"/>
              <w:bottom w:val="nil"/>
              <w:right w:val="dotted" w:sz="8" w:space="0" w:color="000000"/>
            </w:tcBorders>
            <w:shd w:val="clear" w:color="auto" w:fill="auto"/>
            <w:tcMar>
              <w:top w:w="100" w:type="dxa"/>
              <w:left w:w="100" w:type="dxa"/>
              <w:bottom w:w="100" w:type="dxa"/>
              <w:right w:w="100" w:type="dxa"/>
            </w:tcMar>
          </w:tcPr>
          <w:p w:rsidR="00D5147B" w:rsidRPr="00197A81" w:rsidRDefault="00435105" w:rsidP="004E76B9">
            <w:pPr>
              <w:jc w:val="center"/>
            </w:pPr>
            <w:r w:rsidRPr="00197A81">
              <w:t>298.74 (634.1</w:t>
            </w:r>
            <w:r w:rsidR="00D5147B" w:rsidRPr="00197A81">
              <w:t>)</w:t>
            </w:r>
          </w:p>
        </w:tc>
        <w:tc>
          <w:tcPr>
            <w:tcW w:w="1425" w:type="dxa"/>
            <w:tcBorders>
              <w:top w:val="nil"/>
              <w:left w:val="nil"/>
              <w:bottom w:val="nil"/>
              <w:right w:val="single" w:sz="8" w:space="0" w:color="000000"/>
            </w:tcBorders>
            <w:shd w:val="clear" w:color="auto" w:fill="auto"/>
            <w:tcMar>
              <w:top w:w="100" w:type="dxa"/>
              <w:left w:w="100" w:type="dxa"/>
              <w:bottom w:w="100" w:type="dxa"/>
              <w:right w:w="100" w:type="dxa"/>
            </w:tcMar>
          </w:tcPr>
          <w:p w:rsidR="00D5147B" w:rsidRPr="00197A81" w:rsidRDefault="00D5147B" w:rsidP="004E76B9">
            <w:pPr>
              <w:jc w:val="center"/>
            </w:pPr>
            <w:r w:rsidRPr="00197A81">
              <w:t>49</w:t>
            </w:r>
          </w:p>
        </w:tc>
        <w:tc>
          <w:tcPr>
            <w:tcW w:w="1890" w:type="dxa"/>
            <w:tcBorders>
              <w:top w:val="nil"/>
              <w:left w:val="nil"/>
              <w:bottom w:val="nil"/>
              <w:right w:val="dotted" w:sz="8" w:space="0" w:color="000000"/>
            </w:tcBorders>
            <w:shd w:val="clear" w:color="auto" w:fill="auto"/>
            <w:tcMar>
              <w:top w:w="100" w:type="dxa"/>
              <w:left w:w="100" w:type="dxa"/>
              <w:bottom w:w="100" w:type="dxa"/>
              <w:right w:w="100" w:type="dxa"/>
            </w:tcMar>
          </w:tcPr>
          <w:p w:rsidR="00D5147B" w:rsidRPr="00197A81" w:rsidRDefault="00435105" w:rsidP="004E76B9">
            <w:pPr>
              <w:jc w:val="center"/>
            </w:pPr>
            <w:r w:rsidRPr="00197A81">
              <w:t>428.82 (922.0</w:t>
            </w:r>
            <w:r w:rsidR="00D5147B" w:rsidRPr="00197A81">
              <w:t>)</w:t>
            </w:r>
          </w:p>
        </w:tc>
        <w:tc>
          <w:tcPr>
            <w:tcW w:w="1590" w:type="dxa"/>
            <w:tcBorders>
              <w:top w:val="nil"/>
              <w:left w:val="nil"/>
              <w:bottom w:val="nil"/>
              <w:right w:val="nil"/>
            </w:tcBorders>
            <w:shd w:val="clear" w:color="auto" w:fill="auto"/>
            <w:tcMar>
              <w:top w:w="100" w:type="dxa"/>
              <w:left w:w="100" w:type="dxa"/>
              <w:bottom w:w="100" w:type="dxa"/>
              <w:right w:w="100" w:type="dxa"/>
            </w:tcMar>
          </w:tcPr>
          <w:p w:rsidR="00D5147B" w:rsidRPr="00197A81" w:rsidRDefault="00D5147B" w:rsidP="004E76B9">
            <w:pPr>
              <w:jc w:val="center"/>
            </w:pPr>
            <w:r w:rsidRPr="00197A81">
              <w:t>77</w:t>
            </w:r>
          </w:p>
        </w:tc>
      </w:tr>
      <w:tr w:rsidR="00197A81" w:rsidRPr="00197A81" w:rsidTr="004E76B9">
        <w:trPr>
          <w:trHeight w:val="20"/>
        </w:trPr>
        <w:tc>
          <w:tcPr>
            <w:tcW w:w="1935" w:type="dxa"/>
            <w:tcBorders>
              <w:top w:val="nil"/>
              <w:left w:val="nil"/>
              <w:bottom w:val="nil"/>
              <w:right w:val="single" w:sz="8" w:space="0" w:color="000000"/>
            </w:tcBorders>
            <w:shd w:val="clear" w:color="auto" w:fill="auto"/>
            <w:tcMar>
              <w:top w:w="100" w:type="dxa"/>
              <w:left w:w="100" w:type="dxa"/>
              <w:bottom w:w="100" w:type="dxa"/>
              <w:right w:w="100" w:type="dxa"/>
            </w:tcMar>
          </w:tcPr>
          <w:p w:rsidR="00D5147B" w:rsidRPr="00197A81" w:rsidRDefault="00D5147B" w:rsidP="004E76B9">
            <w:r w:rsidRPr="00197A81">
              <w:t>Weekly public sector costs</w:t>
            </w:r>
          </w:p>
        </w:tc>
        <w:tc>
          <w:tcPr>
            <w:tcW w:w="2040" w:type="dxa"/>
            <w:tcBorders>
              <w:top w:val="nil"/>
              <w:left w:val="nil"/>
              <w:bottom w:val="nil"/>
              <w:right w:val="dotted" w:sz="8" w:space="0" w:color="000000"/>
            </w:tcBorders>
            <w:shd w:val="clear" w:color="auto" w:fill="auto"/>
            <w:tcMar>
              <w:top w:w="100" w:type="dxa"/>
              <w:left w:w="100" w:type="dxa"/>
              <w:bottom w:w="100" w:type="dxa"/>
              <w:right w:w="100" w:type="dxa"/>
            </w:tcMar>
          </w:tcPr>
          <w:p w:rsidR="00D5147B" w:rsidRPr="00197A81" w:rsidRDefault="00D5147B" w:rsidP="00435105">
            <w:pPr>
              <w:jc w:val="center"/>
            </w:pPr>
            <w:r w:rsidRPr="00197A81">
              <w:t>30</w:t>
            </w:r>
            <w:r w:rsidR="00117ABD" w:rsidRPr="00197A81">
              <w:t>0.</w:t>
            </w:r>
            <w:r w:rsidRPr="00197A81">
              <w:t>4 (633.</w:t>
            </w:r>
            <w:r w:rsidR="00435105" w:rsidRPr="00197A81">
              <w:t>5</w:t>
            </w:r>
            <w:r w:rsidRPr="00197A81">
              <w:t>)</w:t>
            </w:r>
          </w:p>
        </w:tc>
        <w:tc>
          <w:tcPr>
            <w:tcW w:w="1425" w:type="dxa"/>
            <w:tcBorders>
              <w:top w:val="nil"/>
              <w:left w:val="nil"/>
              <w:bottom w:val="nil"/>
              <w:right w:val="single" w:sz="8" w:space="0" w:color="000000"/>
            </w:tcBorders>
            <w:shd w:val="clear" w:color="auto" w:fill="auto"/>
            <w:tcMar>
              <w:top w:w="100" w:type="dxa"/>
              <w:left w:w="100" w:type="dxa"/>
              <w:bottom w:w="100" w:type="dxa"/>
              <w:right w:w="100" w:type="dxa"/>
            </w:tcMar>
          </w:tcPr>
          <w:p w:rsidR="00D5147B" w:rsidRPr="00197A81" w:rsidRDefault="00D5147B" w:rsidP="004E76B9">
            <w:pPr>
              <w:jc w:val="center"/>
            </w:pPr>
            <w:r w:rsidRPr="00197A81">
              <w:t>49</w:t>
            </w:r>
          </w:p>
        </w:tc>
        <w:tc>
          <w:tcPr>
            <w:tcW w:w="1890" w:type="dxa"/>
            <w:tcBorders>
              <w:top w:val="nil"/>
              <w:left w:val="nil"/>
              <w:bottom w:val="nil"/>
              <w:right w:val="dotted" w:sz="8" w:space="0" w:color="000000"/>
            </w:tcBorders>
            <w:shd w:val="clear" w:color="auto" w:fill="auto"/>
            <w:tcMar>
              <w:top w:w="100" w:type="dxa"/>
              <w:left w:w="100" w:type="dxa"/>
              <w:bottom w:w="100" w:type="dxa"/>
              <w:right w:w="100" w:type="dxa"/>
            </w:tcMar>
          </w:tcPr>
          <w:p w:rsidR="00D5147B" w:rsidRPr="00197A81" w:rsidRDefault="00D5147B" w:rsidP="00117ABD">
            <w:pPr>
              <w:jc w:val="center"/>
            </w:pPr>
            <w:r w:rsidRPr="00197A81">
              <w:t>4</w:t>
            </w:r>
            <w:r w:rsidR="00117ABD" w:rsidRPr="00197A81">
              <w:t>29</w:t>
            </w:r>
            <w:r w:rsidRPr="00197A81">
              <w:t>.</w:t>
            </w:r>
            <w:r w:rsidR="00117ABD" w:rsidRPr="00197A81">
              <w:t>53</w:t>
            </w:r>
            <w:r w:rsidRPr="00197A81">
              <w:t xml:space="preserve"> (922.</w:t>
            </w:r>
            <w:r w:rsidR="00435105" w:rsidRPr="00197A81">
              <w:t>2</w:t>
            </w:r>
            <w:r w:rsidRPr="00197A81">
              <w:t>)</w:t>
            </w:r>
          </w:p>
        </w:tc>
        <w:tc>
          <w:tcPr>
            <w:tcW w:w="1590" w:type="dxa"/>
            <w:tcBorders>
              <w:top w:val="nil"/>
              <w:left w:val="nil"/>
              <w:bottom w:val="nil"/>
              <w:right w:val="nil"/>
            </w:tcBorders>
            <w:shd w:val="clear" w:color="auto" w:fill="auto"/>
            <w:tcMar>
              <w:top w:w="100" w:type="dxa"/>
              <w:left w:w="100" w:type="dxa"/>
              <w:bottom w:w="100" w:type="dxa"/>
              <w:right w:w="100" w:type="dxa"/>
            </w:tcMar>
          </w:tcPr>
          <w:p w:rsidR="00D5147B" w:rsidRPr="00197A81" w:rsidRDefault="00D5147B" w:rsidP="004E76B9">
            <w:pPr>
              <w:jc w:val="center"/>
            </w:pPr>
            <w:r w:rsidRPr="00197A81">
              <w:t>77</w:t>
            </w:r>
          </w:p>
        </w:tc>
      </w:tr>
      <w:tr w:rsidR="00D5147B" w:rsidRPr="00197A81" w:rsidTr="004E76B9">
        <w:trPr>
          <w:trHeight w:val="20"/>
        </w:trPr>
        <w:tc>
          <w:tcPr>
            <w:tcW w:w="1935" w:type="dxa"/>
            <w:tcBorders>
              <w:top w:val="nil"/>
              <w:left w:val="nil"/>
              <w:bottom w:val="nil"/>
              <w:right w:val="single" w:sz="8" w:space="0" w:color="000000"/>
            </w:tcBorders>
            <w:shd w:val="clear" w:color="auto" w:fill="auto"/>
            <w:tcMar>
              <w:top w:w="100" w:type="dxa"/>
              <w:left w:w="100" w:type="dxa"/>
              <w:bottom w:w="100" w:type="dxa"/>
              <w:right w:w="100" w:type="dxa"/>
            </w:tcMar>
          </w:tcPr>
          <w:p w:rsidR="00D5147B" w:rsidRPr="00197A81" w:rsidRDefault="00D5147B" w:rsidP="004E76B9">
            <w:r w:rsidRPr="00197A81">
              <w:t>Weekly societal costs</w:t>
            </w:r>
          </w:p>
        </w:tc>
        <w:tc>
          <w:tcPr>
            <w:tcW w:w="2040" w:type="dxa"/>
            <w:tcBorders>
              <w:top w:val="nil"/>
              <w:left w:val="nil"/>
              <w:bottom w:val="nil"/>
              <w:right w:val="dotted" w:sz="8" w:space="0" w:color="000000"/>
            </w:tcBorders>
            <w:shd w:val="clear" w:color="auto" w:fill="auto"/>
            <w:tcMar>
              <w:top w:w="100" w:type="dxa"/>
              <w:left w:w="100" w:type="dxa"/>
              <w:bottom w:w="100" w:type="dxa"/>
              <w:right w:w="100" w:type="dxa"/>
            </w:tcMar>
          </w:tcPr>
          <w:p w:rsidR="00D5147B" w:rsidRPr="00197A81" w:rsidRDefault="00435105" w:rsidP="004E76B9">
            <w:pPr>
              <w:jc w:val="center"/>
            </w:pPr>
            <w:r w:rsidRPr="00197A81">
              <w:t>326.59 (638.6</w:t>
            </w:r>
            <w:r w:rsidR="00D5147B" w:rsidRPr="00197A81">
              <w:t>)</w:t>
            </w:r>
          </w:p>
        </w:tc>
        <w:tc>
          <w:tcPr>
            <w:tcW w:w="1425" w:type="dxa"/>
            <w:tcBorders>
              <w:top w:val="nil"/>
              <w:left w:val="nil"/>
              <w:bottom w:val="nil"/>
              <w:right w:val="single" w:sz="8" w:space="0" w:color="000000"/>
            </w:tcBorders>
            <w:shd w:val="clear" w:color="auto" w:fill="auto"/>
            <w:tcMar>
              <w:top w:w="100" w:type="dxa"/>
              <w:left w:w="100" w:type="dxa"/>
              <w:bottom w:w="100" w:type="dxa"/>
              <w:right w:w="100" w:type="dxa"/>
            </w:tcMar>
          </w:tcPr>
          <w:p w:rsidR="00D5147B" w:rsidRPr="00197A81" w:rsidRDefault="00D5147B" w:rsidP="004E76B9">
            <w:pPr>
              <w:jc w:val="center"/>
            </w:pPr>
            <w:r w:rsidRPr="00197A81">
              <w:t>49</w:t>
            </w:r>
          </w:p>
        </w:tc>
        <w:tc>
          <w:tcPr>
            <w:tcW w:w="1890" w:type="dxa"/>
            <w:tcBorders>
              <w:top w:val="nil"/>
              <w:left w:val="nil"/>
              <w:bottom w:val="nil"/>
              <w:right w:val="dotted" w:sz="8" w:space="0" w:color="000000"/>
            </w:tcBorders>
            <w:shd w:val="clear" w:color="auto" w:fill="auto"/>
            <w:tcMar>
              <w:top w:w="100" w:type="dxa"/>
              <w:left w:w="100" w:type="dxa"/>
              <w:bottom w:w="100" w:type="dxa"/>
              <w:right w:w="100" w:type="dxa"/>
            </w:tcMar>
          </w:tcPr>
          <w:p w:rsidR="00D5147B" w:rsidRPr="00197A81" w:rsidRDefault="00435105" w:rsidP="004E76B9">
            <w:pPr>
              <w:jc w:val="center"/>
            </w:pPr>
            <w:r w:rsidRPr="00197A81">
              <w:t>467.71 (920.9</w:t>
            </w:r>
            <w:r w:rsidR="00D5147B" w:rsidRPr="00197A81">
              <w:t>)</w:t>
            </w:r>
          </w:p>
        </w:tc>
        <w:tc>
          <w:tcPr>
            <w:tcW w:w="1590" w:type="dxa"/>
            <w:tcBorders>
              <w:top w:val="nil"/>
              <w:left w:val="nil"/>
              <w:bottom w:val="nil"/>
              <w:right w:val="nil"/>
            </w:tcBorders>
            <w:shd w:val="clear" w:color="auto" w:fill="auto"/>
            <w:tcMar>
              <w:top w:w="100" w:type="dxa"/>
              <w:left w:w="100" w:type="dxa"/>
              <w:bottom w:w="100" w:type="dxa"/>
              <w:right w:w="100" w:type="dxa"/>
            </w:tcMar>
          </w:tcPr>
          <w:p w:rsidR="00D5147B" w:rsidRPr="00197A81" w:rsidRDefault="00D5147B" w:rsidP="004E76B9">
            <w:pPr>
              <w:jc w:val="center"/>
            </w:pPr>
            <w:r w:rsidRPr="00197A81">
              <w:t>77</w:t>
            </w:r>
          </w:p>
        </w:tc>
      </w:tr>
    </w:tbl>
    <w:p w:rsidR="009774AB" w:rsidRPr="00197A81" w:rsidRDefault="009774AB">
      <w:pPr>
        <w:rPr>
          <w:b/>
        </w:rPr>
      </w:pPr>
    </w:p>
    <w:p w:rsidR="004D6D64" w:rsidRPr="00197A81" w:rsidRDefault="004D6D64">
      <w:pPr>
        <w:rPr>
          <w:b/>
        </w:rPr>
      </w:pPr>
      <w:r w:rsidRPr="00197A81">
        <w:rPr>
          <w:b/>
        </w:rPr>
        <w:br w:type="page"/>
      </w:r>
    </w:p>
    <w:p w:rsidR="00D5147B" w:rsidRPr="00197A81" w:rsidRDefault="00D5147B" w:rsidP="00D5147B">
      <w:pPr>
        <w:rPr>
          <w:b/>
        </w:rPr>
      </w:pPr>
      <w:r w:rsidRPr="00197A81">
        <w:rPr>
          <w:b/>
        </w:rPr>
        <w:t>Table 5: Bootstrapped mean outcomes, bootstrapped mean costs and ICERs for th</w:t>
      </w:r>
      <w:r w:rsidR="00081506" w:rsidRPr="00197A81">
        <w:rPr>
          <w:b/>
        </w:rPr>
        <w:t>e economic evaluation subsample</w:t>
      </w:r>
    </w:p>
    <w:p w:rsidR="00117ABD" w:rsidRPr="00197A81" w:rsidRDefault="00117ABD" w:rsidP="00D5147B">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560"/>
        <w:gridCol w:w="1701"/>
        <w:gridCol w:w="1701"/>
        <w:gridCol w:w="1275"/>
        <w:gridCol w:w="1701"/>
        <w:gridCol w:w="1091"/>
      </w:tblGrid>
      <w:tr w:rsidR="00197A81" w:rsidRPr="00197A81" w:rsidTr="0087182D">
        <w:trPr>
          <w:trHeight w:val="609"/>
        </w:trPr>
        <w:tc>
          <w:tcPr>
            <w:tcW w:w="1560" w:type="dxa"/>
            <w:tcBorders>
              <w:top w:val="single" w:sz="4" w:space="0" w:color="auto"/>
              <w:right w:val="single" w:sz="4" w:space="0" w:color="auto"/>
            </w:tcBorders>
          </w:tcPr>
          <w:p w:rsidR="00117ABD" w:rsidRPr="00197A81" w:rsidRDefault="00117ABD" w:rsidP="0087182D">
            <w:pPr>
              <w:jc w:val="center"/>
              <w:rPr>
                <w:rFonts w:ascii="Arial" w:hAnsi="Arial" w:cs="Arial"/>
              </w:rPr>
            </w:pPr>
            <w:r w:rsidRPr="00197A81">
              <w:rPr>
                <w:rFonts w:ascii="Arial" w:hAnsi="Arial" w:cs="Arial"/>
              </w:rPr>
              <w:t>Measure</w:t>
            </w:r>
          </w:p>
        </w:tc>
        <w:tc>
          <w:tcPr>
            <w:tcW w:w="1701" w:type="dxa"/>
            <w:tcBorders>
              <w:top w:val="single" w:sz="4" w:space="0" w:color="auto"/>
              <w:left w:val="single" w:sz="4" w:space="0" w:color="auto"/>
              <w:right w:val="dotted" w:sz="4" w:space="0" w:color="auto"/>
            </w:tcBorders>
          </w:tcPr>
          <w:p w:rsidR="00117ABD" w:rsidRPr="00197A81" w:rsidRDefault="00117ABD" w:rsidP="0087182D">
            <w:pPr>
              <w:jc w:val="center"/>
              <w:rPr>
                <w:rFonts w:ascii="Arial" w:hAnsi="Arial" w:cs="Arial"/>
              </w:rPr>
            </w:pPr>
            <w:r w:rsidRPr="00197A81">
              <w:rPr>
                <w:rFonts w:ascii="Arial" w:hAnsi="Arial" w:cs="Arial"/>
              </w:rPr>
              <w:t>Mean outcome difference</w:t>
            </w:r>
          </w:p>
          <w:p w:rsidR="00117ABD" w:rsidRPr="00197A81" w:rsidRDefault="00117ABD" w:rsidP="0087182D">
            <w:pPr>
              <w:jc w:val="center"/>
              <w:rPr>
                <w:rFonts w:ascii="Arial" w:hAnsi="Arial" w:cs="Arial"/>
              </w:rPr>
            </w:pPr>
            <w:r w:rsidRPr="00197A81">
              <w:rPr>
                <w:rFonts w:ascii="Arial" w:hAnsi="Arial" w:cs="Arial"/>
              </w:rPr>
              <w:t>(95% BCa CI)</w:t>
            </w:r>
          </w:p>
        </w:tc>
        <w:tc>
          <w:tcPr>
            <w:tcW w:w="2976" w:type="dxa"/>
            <w:gridSpan w:val="2"/>
            <w:tcBorders>
              <w:top w:val="single" w:sz="4" w:space="0" w:color="auto"/>
              <w:left w:val="dotted" w:sz="4" w:space="0" w:color="auto"/>
              <w:bottom w:val="single" w:sz="4" w:space="0" w:color="auto"/>
              <w:right w:val="dotted" w:sz="4" w:space="0" w:color="auto"/>
            </w:tcBorders>
          </w:tcPr>
          <w:p w:rsidR="00117ABD" w:rsidRPr="00197A81" w:rsidRDefault="00117ABD" w:rsidP="0087182D">
            <w:pPr>
              <w:jc w:val="center"/>
              <w:rPr>
                <w:rFonts w:ascii="Arial" w:hAnsi="Arial" w:cs="Arial"/>
              </w:rPr>
            </w:pPr>
            <w:r w:rsidRPr="00197A81">
              <w:rPr>
                <w:rFonts w:ascii="Arial" w:hAnsi="Arial" w:cs="Arial"/>
              </w:rPr>
              <w:t>HSE/Public sector</w:t>
            </w:r>
          </w:p>
          <w:p w:rsidR="00117ABD" w:rsidRPr="00197A81" w:rsidRDefault="00117ABD" w:rsidP="0087182D">
            <w:pPr>
              <w:jc w:val="center"/>
              <w:rPr>
                <w:rFonts w:ascii="Arial" w:hAnsi="Arial" w:cs="Arial"/>
              </w:rPr>
            </w:pPr>
            <w:r w:rsidRPr="00197A81">
              <w:rPr>
                <w:rFonts w:ascii="Arial" w:hAnsi="Arial" w:cs="Arial"/>
              </w:rPr>
              <w:t>perspective (£)</w:t>
            </w:r>
          </w:p>
        </w:tc>
        <w:tc>
          <w:tcPr>
            <w:tcW w:w="2792" w:type="dxa"/>
            <w:gridSpan w:val="2"/>
            <w:tcBorders>
              <w:top w:val="single" w:sz="4" w:space="0" w:color="auto"/>
              <w:left w:val="dotted" w:sz="4" w:space="0" w:color="auto"/>
              <w:bottom w:val="single" w:sz="4" w:space="0" w:color="auto"/>
            </w:tcBorders>
          </w:tcPr>
          <w:p w:rsidR="00117ABD" w:rsidRPr="00197A81" w:rsidRDefault="00117ABD" w:rsidP="0087182D">
            <w:pPr>
              <w:jc w:val="center"/>
              <w:rPr>
                <w:rFonts w:ascii="Arial" w:hAnsi="Arial" w:cs="Arial"/>
              </w:rPr>
            </w:pPr>
            <w:r w:rsidRPr="00197A81">
              <w:rPr>
                <w:rFonts w:ascii="Arial" w:hAnsi="Arial" w:cs="Arial"/>
              </w:rPr>
              <w:t>Societal perspective (£)</w:t>
            </w:r>
          </w:p>
        </w:tc>
      </w:tr>
      <w:tr w:rsidR="00197A81" w:rsidRPr="00197A81" w:rsidTr="0087182D">
        <w:tc>
          <w:tcPr>
            <w:tcW w:w="1560" w:type="dxa"/>
            <w:tcBorders>
              <w:bottom w:val="single" w:sz="4" w:space="0" w:color="auto"/>
              <w:right w:val="single" w:sz="4" w:space="0" w:color="auto"/>
            </w:tcBorders>
          </w:tcPr>
          <w:p w:rsidR="00117ABD" w:rsidRPr="00197A81" w:rsidRDefault="00117ABD" w:rsidP="0087182D">
            <w:pPr>
              <w:jc w:val="center"/>
              <w:rPr>
                <w:rFonts w:ascii="Arial" w:hAnsi="Arial" w:cs="Arial"/>
              </w:rPr>
            </w:pPr>
          </w:p>
        </w:tc>
        <w:tc>
          <w:tcPr>
            <w:tcW w:w="1701" w:type="dxa"/>
            <w:tcBorders>
              <w:left w:val="single" w:sz="4" w:space="0" w:color="auto"/>
              <w:bottom w:val="single" w:sz="4" w:space="0" w:color="auto"/>
              <w:right w:val="dotted" w:sz="4" w:space="0" w:color="auto"/>
            </w:tcBorders>
          </w:tcPr>
          <w:p w:rsidR="00117ABD" w:rsidRPr="00197A81" w:rsidRDefault="00117ABD" w:rsidP="0087182D">
            <w:pPr>
              <w:jc w:val="center"/>
              <w:rPr>
                <w:rFonts w:ascii="Arial" w:hAnsi="Arial" w:cs="Arial"/>
              </w:rPr>
            </w:pPr>
          </w:p>
        </w:tc>
        <w:tc>
          <w:tcPr>
            <w:tcW w:w="1701" w:type="dxa"/>
            <w:tcBorders>
              <w:left w:val="dotted" w:sz="4" w:space="0" w:color="auto"/>
              <w:bottom w:val="single" w:sz="4" w:space="0" w:color="auto"/>
              <w:right w:val="dotted" w:sz="4" w:space="0" w:color="auto"/>
            </w:tcBorders>
          </w:tcPr>
          <w:p w:rsidR="00117ABD" w:rsidRPr="00197A81" w:rsidRDefault="00117ABD" w:rsidP="0087182D">
            <w:pPr>
              <w:jc w:val="center"/>
              <w:rPr>
                <w:rFonts w:ascii="Arial" w:hAnsi="Arial" w:cs="Arial"/>
              </w:rPr>
            </w:pPr>
            <w:r w:rsidRPr="00197A81">
              <w:rPr>
                <w:rFonts w:ascii="Arial" w:hAnsi="Arial" w:cs="Arial"/>
              </w:rPr>
              <w:t xml:space="preserve">Mean cost difference </w:t>
            </w:r>
          </w:p>
          <w:p w:rsidR="00117ABD" w:rsidRPr="00197A81" w:rsidRDefault="00117ABD" w:rsidP="0087182D">
            <w:pPr>
              <w:jc w:val="center"/>
              <w:rPr>
                <w:rFonts w:ascii="Arial" w:hAnsi="Arial" w:cs="Arial"/>
              </w:rPr>
            </w:pPr>
            <w:r w:rsidRPr="00197A81">
              <w:rPr>
                <w:rFonts w:ascii="Arial" w:hAnsi="Arial" w:cs="Arial"/>
              </w:rPr>
              <w:t>(95% BCa CI)</w:t>
            </w:r>
          </w:p>
        </w:tc>
        <w:tc>
          <w:tcPr>
            <w:tcW w:w="1275" w:type="dxa"/>
            <w:tcBorders>
              <w:left w:val="dotted" w:sz="4" w:space="0" w:color="auto"/>
              <w:bottom w:val="single" w:sz="4" w:space="0" w:color="auto"/>
              <w:right w:val="dotted" w:sz="4" w:space="0" w:color="auto"/>
            </w:tcBorders>
          </w:tcPr>
          <w:p w:rsidR="00117ABD" w:rsidRPr="00197A81" w:rsidRDefault="00117ABD" w:rsidP="0087182D">
            <w:pPr>
              <w:jc w:val="center"/>
              <w:rPr>
                <w:rFonts w:ascii="Arial" w:hAnsi="Arial" w:cs="Arial"/>
              </w:rPr>
            </w:pPr>
            <w:r w:rsidRPr="00197A81">
              <w:rPr>
                <w:rFonts w:ascii="Arial" w:hAnsi="Arial" w:cs="Arial"/>
              </w:rPr>
              <w:t>ICER</w:t>
            </w:r>
          </w:p>
        </w:tc>
        <w:tc>
          <w:tcPr>
            <w:tcW w:w="1701" w:type="dxa"/>
            <w:tcBorders>
              <w:left w:val="dotted" w:sz="4" w:space="0" w:color="auto"/>
              <w:bottom w:val="single" w:sz="4" w:space="0" w:color="auto"/>
              <w:right w:val="dotted" w:sz="4" w:space="0" w:color="auto"/>
            </w:tcBorders>
          </w:tcPr>
          <w:p w:rsidR="00117ABD" w:rsidRPr="00197A81" w:rsidRDefault="00117ABD" w:rsidP="0087182D">
            <w:pPr>
              <w:jc w:val="center"/>
              <w:rPr>
                <w:rFonts w:ascii="Arial" w:hAnsi="Arial" w:cs="Arial"/>
              </w:rPr>
            </w:pPr>
            <w:r w:rsidRPr="00197A81">
              <w:rPr>
                <w:rFonts w:ascii="Arial" w:hAnsi="Arial" w:cs="Arial"/>
              </w:rPr>
              <w:t xml:space="preserve">Mean cost difference </w:t>
            </w:r>
          </w:p>
          <w:p w:rsidR="00117ABD" w:rsidRPr="00197A81" w:rsidRDefault="00117ABD" w:rsidP="0087182D">
            <w:pPr>
              <w:jc w:val="center"/>
              <w:rPr>
                <w:rFonts w:ascii="Arial" w:hAnsi="Arial" w:cs="Arial"/>
              </w:rPr>
            </w:pPr>
            <w:r w:rsidRPr="00197A81">
              <w:rPr>
                <w:rFonts w:ascii="Arial" w:hAnsi="Arial" w:cs="Arial"/>
              </w:rPr>
              <w:t>(95% BCa CI)</w:t>
            </w:r>
          </w:p>
        </w:tc>
        <w:tc>
          <w:tcPr>
            <w:tcW w:w="1091" w:type="dxa"/>
            <w:tcBorders>
              <w:left w:val="dotted" w:sz="4" w:space="0" w:color="auto"/>
              <w:bottom w:val="single" w:sz="4" w:space="0" w:color="auto"/>
            </w:tcBorders>
          </w:tcPr>
          <w:p w:rsidR="00117ABD" w:rsidRPr="00197A81" w:rsidRDefault="00117ABD" w:rsidP="0087182D">
            <w:pPr>
              <w:jc w:val="center"/>
              <w:rPr>
                <w:rFonts w:ascii="Arial" w:hAnsi="Arial" w:cs="Arial"/>
              </w:rPr>
            </w:pPr>
            <w:r w:rsidRPr="00197A81">
              <w:rPr>
                <w:rFonts w:ascii="Arial" w:hAnsi="Arial" w:cs="Arial"/>
              </w:rPr>
              <w:t>ICER</w:t>
            </w:r>
          </w:p>
        </w:tc>
      </w:tr>
      <w:tr w:rsidR="00197A81" w:rsidRPr="00197A81" w:rsidTr="0087182D">
        <w:trPr>
          <w:trHeight w:val="624"/>
        </w:trPr>
        <w:tc>
          <w:tcPr>
            <w:tcW w:w="1560" w:type="dxa"/>
            <w:tcBorders>
              <w:top w:val="single" w:sz="4" w:space="0" w:color="auto"/>
              <w:right w:val="single" w:sz="4" w:space="0" w:color="auto"/>
            </w:tcBorders>
          </w:tcPr>
          <w:p w:rsidR="00117ABD" w:rsidRPr="00197A81" w:rsidRDefault="00117ABD" w:rsidP="0087182D">
            <w:pPr>
              <w:jc w:val="center"/>
              <w:rPr>
                <w:rFonts w:ascii="Arial" w:hAnsi="Arial" w:cs="Arial"/>
              </w:rPr>
            </w:pPr>
            <w:r w:rsidRPr="00197A81">
              <w:rPr>
                <w:rFonts w:ascii="Arial" w:hAnsi="Arial" w:cs="Arial"/>
              </w:rPr>
              <w:t>RG-UK</w:t>
            </w:r>
          </w:p>
        </w:tc>
        <w:tc>
          <w:tcPr>
            <w:tcW w:w="1701" w:type="dxa"/>
            <w:tcBorders>
              <w:top w:val="single" w:sz="4" w:space="0" w:color="auto"/>
              <w:left w:val="single" w:sz="4" w:space="0" w:color="auto"/>
              <w:right w:val="dotted" w:sz="4" w:space="0" w:color="auto"/>
            </w:tcBorders>
          </w:tcPr>
          <w:p w:rsidR="00117ABD" w:rsidRPr="00197A81" w:rsidRDefault="00117ABD" w:rsidP="0087182D">
            <w:pPr>
              <w:jc w:val="center"/>
              <w:rPr>
                <w:rFonts w:ascii="Arial" w:hAnsi="Arial" w:cs="Arial"/>
                <w:vertAlign w:val="superscript"/>
              </w:rPr>
            </w:pPr>
            <w:r w:rsidRPr="00197A81">
              <w:rPr>
                <w:rFonts w:ascii="Arial" w:hAnsi="Arial" w:cs="Arial"/>
              </w:rPr>
              <w:t>0.62</w:t>
            </w:r>
          </w:p>
          <w:p w:rsidR="00117ABD" w:rsidRPr="00197A81" w:rsidRDefault="00117ABD" w:rsidP="0087182D">
            <w:pPr>
              <w:jc w:val="center"/>
              <w:rPr>
                <w:rFonts w:ascii="Arial" w:hAnsi="Arial" w:cs="Arial"/>
              </w:rPr>
            </w:pPr>
            <w:r w:rsidRPr="00197A81">
              <w:rPr>
                <w:rFonts w:ascii="Arial" w:hAnsi="Arial" w:cs="Arial"/>
              </w:rPr>
              <w:t>[-1.48, 1.31]</w:t>
            </w:r>
          </w:p>
        </w:tc>
        <w:tc>
          <w:tcPr>
            <w:tcW w:w="1701" w:type="dxa"/>
            <w:tcBorders>
              <w:top w:val="single" w:sz="4" w:space="0" w:color="auto"/>
              <w:left w:val="dotted" w:sz="4" w:space="0" w:color="auto"/>
              <w:right w:val="dotted" w:sz="4" w:space="0" w:color="auto"/>
            </w:tcBorders>
          </w:tcPr>
          <w:p w:rsidR="00117ABD" w:rsidRPr="00197A81" w:rsidRDefault="00117ABD" w:rsidP="0087182D">
            <w:pPr>
              <w:jc w:val="center"/>
              <w:rPr>
                <w:rFonts w:ascii="Arial" w:hAnsi="Arial" w:cs="Arial"/>
              </w:rPr>
            </w:pPr>
          </w:p>
        </w:tc>
        <w:tc>
          <w:tcPr>
            <w:tcW w:w="1275" w:type="dxa"/>
            <w:tcBorders>
              <w:top w:val="single" w:sz="4" w:space="0" w:color="auto"/>
              <w:left w:val="dotted" w:sz="4" w:space="0" w:color="auto"/>
              <w:right w:val="dotted" w:sz="4" w:space="0" w:color="auto"/>
            </w:tcBorders>
          </w:tcPr>
          <w:p w:rsidR="00117ABD" w:rsidRPr="00197A81" w:rsidRDefault="00117ABD" w:rsidP="0087182D">
            <w:pPr>
              <w:jc w:val="center"/>
              <w:rPr>
                <w:rFonts w:ascii="Arial" w:hAnsi="Arial" w:cs="Arial"/>
              </w:rPr>
            </w:pPr>
            <w:r w:rsidRPr="00197A81">
              <w:rPr>
                <w:rFonts w:ascii="Arial" w:hAnsi="Arial" w:cs="Arial"/>
              </w:rPr>
              <w:t>-6 609</w:t>
            </w:r>
            <w:r w:rsidRPr="00197A81">
              <w:rPr>
                <w:rFonts w:ascii="Arial" w:hAnsi="Arial" w:cs="Arial"/>
                <w:bCs/>
                <w:sz w:val="28"/>
                <w:vertAlign w:val="superscript"/>
              </w:rPr>
              <w:t>a</w:t>
            </w:r>
          </w:p>
        </w:tc>
        <w:tc>
          <w:tcPr>
            <w:tcW w:w="1701" w:type="dxa"/>
            <w:tcBorders>
              <w:top w:val="single" w:sz="4" w:space="0" w:color="auto"/>
              <w:left w:val="dotted" w:sz="4" w:space="0" w:color="auto"/>
              <w:right w:val="dotted" w:sz="4" w:space="0" w:color="auto"/>
            </w:tcBorders>
          </w:tcPr>
          <w:p w:rsidR="00117ABD" w:rsidRPr="00197A81" w:rsidRDefault="00117ABD" w:rsidP="0087182D">
            <w:pPr>
              <w:jc w:val="center"/>
              <w:rPr>
                <w:rFonts w:ascii="Arial" w:hAnsi="Arial" w:cs="Arial"/>
              </w:rPr>
            </w:pPr>
          </w:p>
        </w:tc>
        <w:tc>
          <w:tcPr>
            <w:tcW w:w="1091" w:type="dxa"/>
            <w:tcBorders>
              <w:top w:val="single" w:sz="4" w:space="0" w:color="auto"/>
              <w:left w:val="dotted" w:sz="4" w:space="0" w:color="auto"/>
            </w:tcBorders>
          </w:tcPr>
          <w:p w:rsidR="00117ABD" w:rsidRPr="00197A81" w:rsidRDefault="00117ABD" w:rsidP="0087182D">
            <w:pPr>
              <w:jc w:val="center"/>
              <w:rPr>
                <w:rFonts w:ascii="Arial" w:hAnsi="Arial" w:cs="Arial"/>
              </w:rPr>
            </w:pPr>
            <w:r w:rsidRPr="00197A81">
              <w:rPr>
                <w:rFonts w:ascii="Arial" w:hAnsi="Arial" w:cs="Arial"/>
              </w:rPr>
              <w:t>-8 084</w:t>
            </w:r>
            <w:r w:rsidRPr="00197A81">
              <w:rPr>
                <w:rFonts w:ascii="Arial" w:hAnsi="Arial" w:cs="Arial"/>
                <w:bCs/>
                <w:sz w:val="28"/>
                <w:vertAlign w:val="superscript"/>
              </w:rPr>
              <w:t>a</w:t>
            </w:r>
          </w:p>
        </w:tc>
      </w:tr>
      <w:tr w:rsidR="00197A81" w:rsidRPr="00197A81" w:rsidTr="0087182D">
        <w:trPr>
          <w:trHeight w:val="624"/>
        </w:trPr>
        <w:tc>
          <w:tcPr>
            <w:tcW w:w="1560" w:type="dxa"/>
            <w:tcBorders>
              <w:right w:val="single" w:sz="4" w:space="0" w:color="auto"/>
            </w:tcBorders>
          </w:tcPr>
          <w:p w:rsidR="00117ABD" w:rsidRPr="00197A81" w:rsidRDefault="00117ABD" w:rsidP="0087182D">
            <w:pPr>
              <w:jc w:val="center"/>
              <w:rPr>
                <w:rFonts w:ascii="Arial" w:hAnsi="Arial" w:cs="Arial"/>
              </w:rPr>
            </w:pPr>
            <w:r w:rsidRPr="00197A81">
              <w:rPr>
                <w:rFonts w:ascii="Arial" w:hAnsi="Arial" w:cs="Arial"/>
              </w:rPr>
              <w:t>QALY (EQ-5D)</w:t>
            </w:r>
          </w:p>
        </w:tc>
        <w:tc>
          <w:tcPr>
            <w:tcW w:w="1701" w:type="dxa"/>
            <w:tcBorders>
              <w:left w:val="single" w:sz="4" w:space="0" w:color="auto"/>
              <w:right w:val="dotted" w:sz="4" w:space="0" w:color="auto"/>
            </w:tcBorders>
          </w:tcPr>
          <w:p w:rsidR="00117ABD" w:rsidRPr="00197A81" w:rsidRDefault="00117ABD" w:rsidP="0087182D">
            <w:pPr>
              <w:jc w:val="center"/>
              <w:rPr>
                <w:rFonts w:ascii="Arial" w:hAnsi="Arial" w:cs="Arial"/>
              </w:rPr>
            </w:pPr>
            <w:r w:rsidRPr="00197A81">
              <w:rPr>
                <w:rFonts w:ascii="Arial" w:hAnsi="Arial" w:cs="Arial"/>
              </w:rPr>
              <w:t>-0.055</w:t>
            </w:r>
          </w:p>
          <w:p w:rsidR="00117ABD" w:rsidRPr="00197A81" w:rsidRDefault="00117ABD" w:rsidP="0087182D">
            <w:pPr>
              <w:jc w:val="center"/>
              <w:rPr>
                <w:rFonts w:ascii="Arial" w:hAnsi="Arial" w:cs="Arial"/>
              </w:rPr>
            </w:pPr>
            <w:r w:rsidRPr="00197A81">
              <w:rPr>
                <w:rFonts w:ascii="Arial" w:hAnsi="Arial" w:cs="Arial"/>
              </w:rPr>
              <w:t>[-0.21, 0.08]</w:t>
            </w:r>
          </w:p>
        </w:tc>
        <w:tc>
          <w:tcPr>
            <w:tcW w:w="1701" w:type="dxa"/>
            <w:tcBorders>
              <w:left w:val="dotted" w:sz="4" w:space="0" w:color="auto"/>
              <w:right w:val="dotted" w:sz="4" w:space="0" w:color="auto"/>
            </w:tcBorders>
          </w:tcPr>
          <w:p w:rsidR="00117ABD" w:rsidRPr="00197A81" w:rsidRDefault="00117ABD" w:rsidP="0087182D">
            <w:pPr>
              <w:jc w:val="center"/>
              <w:rPr>
                <w:rFonts w:ascii="Arial" w:hAnsi="Arial" w:cs="Arial"/>
                <w:bCs/>
              </w:rPr>
            </w:pPr>
            <w:r w:rsidRPr="00197A81">
              <w:rPr>
                <w:rFonts w:ascii="Arial" w:hAnsi="Arial" w:cs="Arial"/>
                <w:bCs/>
              </w:rPr>
              <w:t>-1780</w:t>
            </w:r>
          </w:p>
          <w:p w:rsidR="00117ABD" w:rsidRPr="00197A81" w:rsidRDefault="00117ABD" w:rsidP="0087182D">
            <w:pPr>
              <w:jc w:val="center"/>
              <w:rPr>
                <w:rFonts w:ascii="Arial" w:hAnsi="Arial" w:cs="Arial"/>
              </w:rPr>
            </w:pPr>
            <w:r w:rsidRPr="00197A81">
              <w:rPr>
                <w:rFonts w:ascii="Arial" w:hAnsi="Arial" w:cs="Arial"/>
                <w:bCs/>
              </w:rPr>
              <w:t>[</w:t>
            </w:r>
            <w:r w:rsidR="00435105" w:rsidRPr="00197A81">
              <w:rPr>
                <w:rFonts w:ascii="Arial" w:hAnsi="Arial" w:cs="Arial"/>
                <w:bCs/>
              </w:rPr>
              <w:t>-</w:t>
            </w:r>
            <w:r w:rsidRPr="00197A81">
              <w:rPr>
                <w:rFonts w:ascii="Arial" w:hAnsi="Arial" w:cs="Arial"/>
                <w:bCs/>
              </w:rPr>
              <w:t>7 820, 1 314]</w:t>
            </w:r>
          </w:p>
        </w:tc>
        <w:tc>
          <w:tcPr>
            <w:tcW w:w="1275" w:type="dxa"/>
            <w:tcBorders>
              <w:left w:val="dotted" w:sz="4" w:space="0" w:color="auto"/>
              <w:right w:val="dotted" w:sz="4" w:space="0" w:color="auto"/>
            </w:tcBorders>
          </w:tcPr>
          <w:p w:rsidR="00117ABD" w:rsidRPr="00197A81" w:rsidRDefault="00117ABD" w:rsidP="0087182D">
            <w:pPr>
              <w:jc w:val="center"/>
              <w:rPr>
                <w:rFonts w:ascii="Arial" w:hAnsi="Arial" w:cs="Arial"/>
              </w:rPr>
            </w:pPr>
            <w:r w:rsidRPr="00197A81">
              <w:rPr>
                <w:rFonts w:ascii="Arial" w:hAnsi="Arial" w:cs="Arial"/>
              </w:rPr>
              <w:t>32 552</w:t>
            </w:r>
          </w:p>
        </w:tc>
        <w:tc>
          <w:tcPr>
            <w:tcW w:w="1701" w:type="dxa"/>
            <w:tcBorders>
              <w:left w:val="dotted" w:sz="4" w:space="0" w:color="auto"/>
              <w:right w:val="dotted" w:sz="4" w:space="0" w:color="auto"/>
            </w:tcBorders>
          </w:tcPr>
          <w:p w:rsidR="00117ABD" w:rsidRPr="00197A81" w:rsidRDefault="00117ABD" w:rsidP="0087182D">
            <w:pPr>
              <w:jc w:val="center"/>
              <w:rPr>
                <w:rFonts w:ascii="Arial" w:hAnsi="Arial" w:cs="Arial"/>
                <w:bCs/>
              </w:rPr>
            </w:pPr>
            <w:r w:rsidRPr="00197A81">
              <w:rPr>
                <w:rFonts w:ascii="Arial" w:hAnsi="Arial" w:cs="Arial"/>
                <w:bCs/>
              </w:rPr>
              <w:t>-2177</w:t>
            </w:r>
          </w:p>
          <w:p w:rsidR="00117ABD" w:rsidRPr="00197A81" w:rsidRDefault="00117ABD" w:rsidP="0087182D">
            <w:pPr>
              <w:jc w:val="center"/>
              <w:rPr>
                <w:rFonts w:ascii="Arial" w:hAnsi="Arial" w:cs="Arial"/>
              </w:rPr>
            </w:pPr>
            <w:r w:rsidRPr="00197A81">
              <w:rPr>
                <w:rFonts w:ascii="Arial" w:hAnsi="Arial" w:cs="Arial"/>
                <w:bCs/>
              </w:rPr>
              <w:t>[-8 147, 971]</w:t>
            </w:r>
          </w:p>
        </w:tc>
        <w:tc>
          <w:tcPr>
            <w:tcW w:w="1091" w:type="dxa"/>
            <w:tcBorders>
              <w:left w:val="dotted" w:sz="4" w:space="0" w:color="auto"/>
            </w:tcBorders>
          </w:tcPr>
          <w:p w:rsidR="00117ABD" w:rsidRPr="00197A81" w:rsidRDefault="00117ABD" w:rsidP="0087182D">
            <w:pPr>
              <w:jc w:val="center"/>
              <w:rPr>
                <w:rFonts w:ascii="Arial" w:hAnsi="Arial" w:cs="Arial"/>
              </w:rPr>
            </w:pPr>
            <w:r w:rsidRPr="00197A81">
              <w:rPr>
                <w:rFonts w:ascii="Arial" w:hAnsi="Arial" w:cs="Arial"/>
              </w:rPr>
              <w:t>39 817</w:t>
            </w:r>
          </w:p>
        </w:tc>
      </w:tr>
      <w:tr w:rsidR="00197A81" w:rsidRPr="00197A81" w:rsidTr="0087182D">
        <w:trPr>
          <w:trHeight w:val="624"/>
        </w:trPr>
        <w:tc>
          <w:tcPr>
            <w:tcW w:w="1560" w:type="dxa"/>
            <w:tcBorders>
              <w:right w:val="single" w:sz="4" w:space="0" w:color="auto"/>
            </w:tcBorders>
          </w:tcPr>
          <w:p w:rsidR="00117ABD" w:rsidRPr="00197A81" w:rsidRDefault="00117ABD" w:rsidP="0087182D">
            <w:pPr>
              <w:jc w:val="center"/>
              <w:rPr>
                <w:rFonts w:ascii="Arial" w:hAnsi="Arial" w:cs="Arial"/>
              </w:rPr>
            </w:pPr>
            <w:r w:rsidRPr="00197A81">
              <w:rPr>
                <w:rFonts w:ascii="Arial" w:hAnsi="Arial" w:cs="Arial"/>
              </w:rPr>
              <w:t>GAS</w:t>
            </w:r>
          </w:p>
        </w:tc>
        <w:tc>
          <w:tcPr>
            <w:tcW w:w="1701" w:type="dxa"/>
            <w:tcBorders>
              <w:left w:val="single" w:sz="4" w:space="0" w:color="auto"/>
              <w:right w:val="dotted" w:sz="4" w:space="0" w:color="auto"/>
            </w:tcBorders>
          </w:tcPr>
          <w:p w:rsidR="00117ABD" w:rsidRPr="00197A81" w:rsidRDefault="00117ABD" w:rsidP="0087182D">
            <w:pPr>
              <w:jc w:val="center"/>
              <w:rPr>
                <w:rFonts w:ascii="Arial" w:hAnsi="Arial" w:cs="Arial"/>
                <w:vertAlign w:val="superscript"/>
              </w:rPr>
            </w:pPr>
            <w:r w:rsidRPr="00197A81">
              <w:rPr>
                <w:rFonts w:ascii="Arial" w:hAnsi="Arial" w:cs="Arial"/>
              </w:rPr>
              <w:t>0.005</w:t>
            </w:r>
          </w:p>
          <w:p w:rsidR="00117ABD" w:rsidRPr="00197A81" w:rsidRDefault="00117ABD" w:rsidP="0087182D">
            <w:pPr>
              <w:jc w:val="center"/>
              <w:rPr>
                <w:rFonts w:ascii="Arial" w:hAnsi="Arial" w:cs="Arial"/>
              </w:rPr>
            </w:pPr>
            <w:r w:rsidRPr="00197A81">
              <w:rPr>
                <w:rFonts w:ascii="Arial" w:hAnsi="Arial" w:cs="Arial"/>
              </w:rPr>
              <w:t>[-8.17, 8.92]</w:t>
            </w:r>
          </w:p>
        </w:tc>
        <w:tc>
          <w:tcPr>
            <w:tcW w:w="1701" w:type="dxa"/>
            <w:tcBorders>
              <w:left w:val="dotted" w:sz="4" w:space="0" w:color="auto"/>
              <w:right w:val="dotted" w:sz="4" w:space="0" w:color="auto"/>
            </w:tcBorders>
          </w:tcPr>
          <w:p w:rsidR="00117ABD" w:rsidRPr="00197A81" w:rsidRDefault="00117ABD" w:rsidP="0087182D">
            <w:pPr>
              <w:jc w:val="center"/>
              <w:rPr>
                <w:rFonts w:ascii="Arial" w:hAnsi="Arial" w:cs="Arial"/>
              </w:rPr>
            </w:pPr>
          </w:p>
        </w:tc>
        <w:tc>
          <w:tcPr>
            <w:tcW w:w="1275" w:type="dxa"/>
            <w:tcBorders>
              <w:left w:val="dotted" w:sz="4" w:space="0" w:color="auto"/>
              <w:right w:val="dotted" w:sz="4" w:space="0" w:color="auto"/>
            </w:tcBorders>
          </w:tcPr>
          <w:p w:rsidR="00117ABD" w:rsidRPr="00197A81" w:rsidRDefault="00117ABD" w:rsidP="0087182D">
            <w:pPr>
              <w:jc w:val="center"/>
              <w:rPr>
                <w:rFonts w:ascii="Arial" w:hAnsi="Arial" w:cs="Arial"/>
              </w:rPr>
            </w:pPr>
            <w:r w:rsidRPr="00197A81">
              <w:rPr>
                <w:rFonts w:ascii="Arial" w:hAnsi="Arial" w:cs="Arial"/>
              </w:rPr>
              <w:t>-121 341</w:t>
            </w:r>
            <w:r w:rsidRPr="00197A81">
              <w:rPr>
                <w:rFonts w:ascii="Arial" w:hAnsi="Arial" w:cs="Arial"/>
                <w:bCs/>
                <w:sz w:val="28"/>
                <w:vertAlign w:val="superscript"/>
              </w:rPr>
              <w:t>a</w:t>
            </w:r>
          </w:p>
        </w:tc>
        <w:tc>
          <w:tcPr>
            <w:tcW w:w="1701" w:type="dxa"/>
            <w:tcBorders>
              <w:left w:val="dotted" w:sz="4" w:space="0" w:color="auto"/>
              <w:right w:val="dotted" w:sz="4" w:space="0" w:color="auto"/>
            </w:tcBorders>
          </w:tcPr>
          <w:p w:rsidR="00117ABD" w:rsidRPr="00197A81" w:rsidRDefault="00117ABD" w:rsidP="0087182D">
            <w:pPr>
              <w:jc w:val="center"/>
              <w:rPr>
                <w:rFonts w:ascii="Arial" w:hAnsi="Arial" w:cs="Arial"/>
              </w:rPr>
            </w:pPr>
          </w:p>
        </w:tc>
        <w:tc>
          <w:tcPr>
            <w:tcW w:w="1091" w:type="dxa"/>
            <w:tcBorders>
              <w:left w:val="dotted" w:sz="4" w:space="0" w:color="auto"/>
            </w:tcBorders>
          </w:tcPr>
          <w:p w:rsidR="00117ABD" w:rsidRPr="00197A81" w:rsidRDefault="00117ABD" w:rsidP="0087182D">
            <w:pPr>
              <w:jc w:val="center"/>
              <w:rPr>
                <w:rFonts w:ascii="Arial" w:hAnsi="Arial" w:cs="Arial"/>
              </w:rPr>
            </w:pPr>
            <w:r w:rsidRPr="00197A81">
              <w:rPr>
                <w:rFonts w:ascii="Arial" w:hAnsi="Arial" w:cs="Arial"/>
              </w:rPr>
              <w:t>-148 421</w:t>
            </w:r>
            <w:r w:rsidRPr="00197A81">
              <w:rPr>
                <w:rFonts w:ascii="Arial" w:hAnsi="Arial" w:cs="Arial"/>
                <w:bCs/>
                <w:sz w:val="28"/>
                <w:vertAlign w:val="superscript"/>
              </w:rPr>
              <w:t>a</w:t>
            </w:r>
          </w:p>
        </w:tc>
      </w:tr>
      <w:tr w:rsidR="00197A81" w:rsidRPr="00197A81" w:rsidTr="0087182D">
        <w:trPr>
          <w:trHeight w:val="624"/>
        </w:trPr>
        <w:tc>
          <w:tcPr>
            <w:tcW w:w="1560" w:type="dxa"/>
            <w:tcBorders>
              <w:right w:val="single" w:sz="4" w:space="0" w:color="auto"/>
            </w:tcBorders>
          </w:tcPr>
          <w:p w:rsidR="00117ABD" w:rsidRPr="00197A81" w:rsidRDefault="00117ABD" w:rsidP="0087182D">
            <w:pPr>
              <w:jc w:val="center"/>
              <w:rPr>
                <w:rFonts w:ascii="Arial" w:hAnsi="Arial" w:cs="Arial"/>
              </w:rPr>
            </w:pPr>
            <w:r w:rsidRPr="00197A81">
              <w:rPr>
                <w:rFonts w:ascii="Arial" w:hAnsi="Arial" w:cs="Arial"/>
              </w:rPr>
              <w:t>QPR</w:t>
            </w:r>
          </w:p>
        </w:tc>
        <w:tc>
          <w:tcPr>
            <w:tcW w:w="1701" w:type="dxa"/>
            <w:tcBorders>
              <w:left w:val="single" w:sz="4" w:space="0" w:color="auto"/>
              <w:right w:val="dotted" w:sz="4" w:space="0" w:color="auto"/>
            </w:tcBorders>
          </w:tcPr>
          <w:p w:rsidR="00117ABD" w:rsidRPr="00197A81" w:rsidRDefault="00117ABD" w:rsidP="0087182D">
            <w:pPr>
              <w:jc w:val="center"/>
              <w:rPr>
                <w:rFonts w:ascii="Arial" w:hAnsi="Arial" w:cs="Arial"/>
                <w:vertAlign w:val="superscript"/>
              </w:rPr>
            </w:pPr>
            <w:r w:rsidRPr="00197A81">
              <w:rPr>
                <w:rFonts w:ascii="Arial" w:hAnsi="Arial" w:cs="Arial"/>
              </w:rPr>
              <w:t>1.34</w:t>
            </w:r>
          </w:p>
          <w:p w:rsidR="00117ABD" w:rsidRPr="00197A81" w:rsidRDefault="00117ABD" w:rsidP="0087182D">
            <w:pPr>
              <w:jc w:val="center"/>
              <w:rPr>
                <w:rFonts w:ascii="Arial" w:hAnsi="Arial" w:cs="Arial"/>
              </w:rPr>
            </w:pPr>
            <w:r w:rsidRPr="00197A81">
              <w:rPr>
                <w:rFonts w:ascii="Arial" w:hAnsi="Arial" w:cs="Arial"/>
              </w:rPr>
              <w:t>[-0.79, 1.20]</w:t>
            </w:r>
          </w:p>
        </w:tc>
        <w:tc>
          <w:tcPr>
            <w:tcW w:w="1701" w:type="dxa"/>
            <w:tcBorders>
              <w:left w:val="dotted" w:sz="4" w:space="0" w:color="auto"/>
              <w:right w:val="dotted" w:sz="4" w:space="0" w:color="auto"/>
            </w:tcBorders>
          </w:tcPr>
          <w:p w:rsidR="00117ABD" w:rsidRPr="00197A81" w:rsidRDefault="00117ABD" w:rsidP="0087182D">
            <w:pPr>
              <w:jc w:val="center"/>
              <w:rPr>
                <w:rFonts w:ascii="Arial" w:hAnsi="Arial" w:cs="Arial"/>
              </w:rPr>
            </w:pPr>
          </w:p>
        </w:tc>
        <w:tc>
          <w:tcPr>
            <w:tcW w:w="1275" w:type="dxa"/>
            <w:tcBorders>
              <w:left w:val="dotted" w:sz="4" w:space="0" w:color="auto"/>
              <w:right w:val="dotted" w:sz="4" w:space="0" w:color="auto"/>
            </w:tcBorders>
          </w:tcPr>
          <w:p w:rsidR="00117ABD" w:rsidRPr="00197A81" w:rsidRDefault="00117ABD" w:rsidP="0087182D">
            <w:pPr>
              <w:jc w:val="center"/>
              <w:rPr>
                <w:rFonts w:ascii="Arial" w:hAnsi="Arial" w:cs="Arial"/>
              </w:rPr>
            </w:pPr>
            <w:r w:rsidRPr="00197A81">
              <w:rPr>
                <w:rFonts w:ascii="Arial" w:hAnsi="Arial" w:cs="Arial"/>
              </w:rPr>
              <w:t>-6 405</w:t>
            </w:r>
            <w:r w:rsidRPr="00197A81">
              <w:rPr>
                <w:rFonts w:ascii="Arial" w:hAnsi="Arial" w:cs="Arial"/>
                <w:bCs/>
                <w:sz w:val="28"/>
                <w:vertAlign w:val="superscript"/>
              </w:rPr>
              <w:t>a</w:t>
            </w:r>
          </w:p>
        </w:tc>
        <w:tc>
          <w:tcPr>
            <w:tcW w:w="1701" w:type="dxa"/>
            <w:tcBorders>
              <w:left w:val="dotted" w:sz="4" w:space="0" w:color="auto"/>
              <w:right w:val="dotted" w:sz="4" w:space="0" w:color="auto"/>
            </w:tcBorders>
          </w:tcPr>
          <w:p w:rsidR="00117ABD" w:rsidRPr="00197A81" w:rsidRDefault="00117ABD" w:rsidP="0087182D">
            <w:pPr>
              <w:jc w:val="center"/>
              <w:rPr>
                <w:rFonts w:ascii="Arial" w:hAnsi="Arial" w:cs="Arial"/>
              </w:rPr>
            </w:pPr>
          </w:p>
        </w:tc>
        <w:tc>
          <w:tcPr>
            <w:tcW w:w="1091" w:type="dxa"/>
            <w:tcBorders>
              <w:left w:val="dotted" w:sz="4" w:space="0" w:color="auto"/>
            </w:tcBorders>
          </w:tcPr>
          <w:p w:rsidR="00117ABD" w:rsidRPr="00197A81" w:rsidRDefault="00117ABD" w:rsidP="0087182D">
            <w:pPr>
              <w:jc w:val="center"/>
              <w:rPr>
                <w:rFonts w:ascii="Arial" w:hAnsi="Arial" w:cs="Arial"/>
              </w:rPr>
            </w:pPr>
            <w:r w:rsidRPr="00197A81">
              <w:rPr>
                <w:rFonts w:ascii="Arial" w:hAnsi="Arial" w:cs="Arial"/>
              </w:rPr>
              <w:t>-7 835</w:t>
            </w:r>
            <w:r w:rsidRPr="00197A81">
              <w:rPr>
                <w:rFonts w:ascii="Arial" w:hAnsi="Arial" w:cs="Arial"/>
                <w:bCs/>
                <w:sz w:val="28"/>
                <w:vertAlign w:val="superscript"/>
              </w:rPr>
              <w:t>a</w:t>
            </w:r>
          </w:p>
        </w:tc>
      </w:tr>
      <w:tr w:rsidR="00117ABD" w:rsidRPr="00197A81" w:rsidTr="0087182D">
        <w:trPr>
          <w:trHeight w:val="624"/>
        </w:trPr>
        <w:tc>
          <w:tcPr>
            <w:tcW w:w="1560" w:type="dxa"/>
            <w:tcBorders>
              <w:bottom w:val="single" w:sz="4" w:space="0" w:color="auto"/>
              <w:right w:val="single" w:sz="4" w:space="0" w:color="auto"/>
            </w:tcBorders>
          </w:tcPr>
          <w:p w:rsidR="00117ABD" w:rsidRPr="00197A81" w:rsidRDefault="00117ABD" w:rsidP="0087182D">
            <w:pPr>
              <w:jc w:val="center"/>
              <w:rPr>
                <w:rFonts w:ascii="Arial" w:hAnsi="Arial" w:cs="Arial"/>
              </w:rPr>
            </w:pPr>
            <w:r w:rsidRPr="00197A81">
              <w:rPr>
                <w:rFonts w:ascii="Arial" w:hAnsi="Arial" w:cs="Arial"/>
              </w:rPr>
              <w:t>WEMWBS</w:t>
            </w:r>
          </w:p>
        </w:tc>
        <w:tc>
          <w:tcPr>
            <w:tcW w:w="1701" w:type="dxa"/>
            <w:tcBorders>
              <w:left w:val="single" w:sz="4" w:space="0" w:color="auto"/>
              <w:bottom w:val="single" w:sz="4" w:space="0" w:color="auto"/>
              <w:right w:val="dotted" w:sz="4" w:space="0" w:color="auto"/>
            </w:tcBorders>
          </w:tcPr>
          <w:p w:rsidR="00117ABD" w:rsidRPr="00197A81" w:rsidRDefault="00117ABD" w:rsidP="0087182D">
            <w:pPr>
              <w:jc w:val="center"/>
              <w:rPr>
                <w:rFonts w:ascii="Arial" w:hAnsi="Arial" w:cs="Arial"/>
              </w:rPr>
            </w:pPr>
            <w:r w:rsidRPr="00197A81">
              <w:rPr>
                <w:rFonts w:ascii="Arial" w:hAnsi="Arial" w:cs="Arial"/>
              </w:rPr>
              <w:t>0.92</w:t>
            </w:r>
          </w:p>
          <w:p w:rsidR="00117ABD" w:rsidRPr="00197A81" w:rsidRDefault="00117ABD" w:rsidP="0087182D">
            <w:pPr>
              <w:jc w:val="center"/>
              <w:rPr>
                <w:rFonts w:ascii="Arial" w:hAnsi="Arial" w:cs="Arial"/>
              </w:rPr>
            </w:pPr>
            <w:r w:rsidRPr="00197A81">
              <w:rPr>
                <w:rFonts w:ascii="Arial" w:hAnsi="Arial" w:cs="Arial"/>
              </w:rPr>
              <w:t>[-3.08, 4.54]</w:t>
            </w:r>
          </w:p>
        </w:tc>
        <w:tc>
          <w:tcPr>
            <w:tcW w:w="1701" w:type="dxa"/>
            <w:tcBorders>
              <w:left w:val="dotted" w:sz="4" w:space="0" w:color="auto"/>
              <w:bottom w:val="single" w:sz="4" w:space="0" w:color="auto"/>
              <w:right w:val="dotted" w:sz="4" w:space="0" w:color="auto"/>
            </w:tcBorders>
          </w:tcPr>
          <w:p w:rsidR="00117ABD" w:rsidRPr="00197A81" w:rsidRDefault="00117ABD" w:rsidP="0087182D">
            <w:pPr>
              <w:jc w:val="center"/>
              <w:rPr>
                <w:rFonts w:ascii="Arial" w:hAnsi="Arial" w:cs="Arial"/>
              </w:rPr>
            </w:pPr>
          </w:p>
        </w:tc>
        <w:tc>
          <w:tcPr>
            <w:tcW w:w="1275" w:type="dxa"/>
            <w:tcBorders>
              <w:left w:val="dotted" w:sz="4" w:space="0" w:color="auto"/>
              <w:bottom w:val="single" w:sz="4" w:space="0" w:color="auto"/>
              <w:right w:val="dotted" w:sz="4" w:space="0" w:color="auto"/>
            </w:tcBorders>
          </w:tcPr>
          <w:p w:rsidR="00117ABD" w:rsidRPr="00197A81" w:rsidRDefault="00117ABD" w:rsidP="0087182D">
            <w:pPr>
              <w:jc w:val="center"/>
              <w:rPr>
                <w:rFonts w:ascii="Arial" w:hAnsi="Arial" w:cs="Arial"/>
              </w:rPr>
            </w:pPr>
            <w:r w:rsidRPr="00197A81">
              <w:rPr>
                <w:rFonts w:ascii="Arial" w:hAnsi="Arial" w:cs="Arial"/>
              </w:rPr>
              <w:t>-1 938</w:t>
            </w:r>
            <w:r w:rsidRPr="00197A81">
              <w:rPr>
                <w:rFonts w:ascii="Arial" w:hAnsi="Arial" w:cs="Arial"/>
                <w:sz w:val="28"/>
                <w:vertAlign w:val="superscript"/>
              </w:rPr>
              <w:t>b</w:t>
            </w:r>
          </w:p>
        </w:tc>
        <w:tc>
          <w:tcPr>
            <w:tcW w:w="1701" w:type="dxa"/>
            <w:tcBorders>
              <w:left w:val="dotted" w:sz="4" w:space="0" w:color="auto"/>
              <w:bottom w:val="single" w:sz="4" w:space="0" w:color="auto"/>
              <w:right w:val="dotted" w:sz="4" w:space="0" w:color="auto"/>
            </w:tcBorders>
          </w:tcPr>
          <w:p w:rsidR="00117ABD" w:rsidRPr="00197A81" w:rsidRDefault="00117ABD" w:rsidP="0087182D">
            <w:pPr>
              <w:jc w:val="center"/>
              <w:rPr>
                <w:rFonts w:ascii="Arial" w:hAnsi="Arial" w:cs="Arial"/>
              </w:rPr>
            </w:pPr>
          </w:p>
        </w:tc>
        <w:tc>
          <w:tcPr>
            <w:tcW w:w="1091" w:type="dxa"/>
            <w:tcBorders>
              <w:left w:val="dotted" w:sz="4" w:space="0" w:color="auto"/>
              <w:bottom w:val="single" w:sz="4" w:space="0" w:color="auto"/>
            </w:tcBorders>
          </w:tcPr>
          <w:p w:rsidR="00117ABD" w:rsidRPr="00197A81" w:rsidRDefault="00117ABD" w:rsidP="0087182D">
            <w:pPr>
              <w:jc w:val="center"/>
              <w:rPr>
                <w:rFonts w:ascii="Arial" w:hAnsi="Arial" w:cs="Arial"/>
              </w:rPr>
            </w:pPr>
            <w:r w:rsidRPr="00197A81">
              <w:rPr>
                <w:rFonts w:ascii="Arial" w:hAnsi="Arial" w:cs="Arial"/>
              </w:rPr>
              <w:t>-2 371</w:t>
            </w:r>
            <w:r w:rsidRPr="00197A81">
              <w:rPr>
                <w:rFonts w:ascii="Arial" w:hAnsi="Arial" w:cs="Arial"/>
                <w:sz w:val="28"/>
                <w:vertAlign w:val="superscript"/>
              </w:rPr>
              <w:t>b</w:t>
            </w:r>
          </w:p>
        </w:tc>
      </w:tr>
    </w:tbl>
    <w:p w:rsidR="00117ABD" w:rsidRPr="00197A81" w:rsidRDefault="00117ABD" w:rsidP="00D5147B">
      <w:pPr>
        <w:rPr>
          <w:b/>
        </w:rPr>
      </w:pPr>
    </w:p>
    <w:p w:rsidR="00117ABD" w:rsidRPr="00197A81" w:rsidRDefault="00117ABD" w:rsidP="00117ABD">
      <w:pPr>
        <w:rPr>
          <w:bCs/>
        </w:rPr>
      </w:pPr>
      <w:r w:rsidRPr="00197A81">
        <w:rPr>
          <w:bCs/>
        </w:rPr>
        <w:t>Note: BCa CI=bias-corrected and accelerated bootstrap confidence interval</w:t>
      </w:r>
    </w:p>
    <w:p w:rsidR="00117ABD" w:rsidRPr="00197A81" w:rsidRDefault="00117ABD" w:rsidP="00117ABD">
      <w:pPr>
        <w:rPr>
          <w:bCs/>
        </w:rPr>
      </w:pPr>
      <w:r w:rsidRPr="00197A81">
        <w:rPr>
          <w:bCs/>
        </w:rPr>
        <w:t>a. the incremental cost of a change in the outcome score (effect size) of 0.4</w:t>
      </w:r>
    </w:p>
    <w:p w:rsidR="00D5147B" w:rsidRPr="00197A81" w:rsidRDefault="00117ABD" w:rsidP="00D5147B">
      <w:pPr>
        <w:rPr>
          <w:b/>
        </w:rPr>
      </w:pPr>
      <w:r w:rsidRPr="00197A81">
        <w:rPr>
          <w:bCs/>
        </w:rPr>
        <w:t xml:space="preserve">b. the incremental cost of a change </w:t>
      </w:r>
      <w:r w:rsidRPr="00197A81">
        <w:t>of 7 points in WEMWBS</w:t>
      </w:r>
    </w:p>
    <w:p w:rsidR="00D5147B" w:rsidRPr="00197A81" w:rsidRDefault="00D5147B" w:rsidP="00D5147B">
      <w:r w:rsidRPr="00197A81">
        <w:t xml:space="preserve"> </w:t>
      </w:r>
    </w:p>
    <w:p w:rsidR="00D5147B" w:rsidRPr="00197A81" w:rsidRDefault="00D5147B">
      <w:pPr>
        <w:rPr>
          <w:b/>
        </w:rPr>
      </w:pPr>
    </w:p>
    <w:sectPr w:rsidR="00D5147B" w:rsidRPr="00197A8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F32" w:rsidRDefault="004C3F32" w:rsidP="00691C61">
      <w:pPr>
        <w:spacing w:line="240" w:lineRule="auto"/>
      </w:pPr>
      <w:r>
        <w:separator/>
      </w:r>
    </w:p>
  </w:endnote>
  <w:endnote w:type="continuationSeparator" w:id="0">
    <w:p w:rsidR="004C3F32" w:rsidRDefault="004C3F32" w:rsidP="00691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F32" w:rsidRDefault="004C3F32" w:rsidP="00691C61">
      <w:pPr>
        <w:spacing w:line="240" w:lineRule="auto"/>
      </w:pPr>
      <w:r>
        <w:separator/>
      </w:r>
    </w:p>
  </w:footnote>
  <w:footnote w:type="continuationSeparator" w:id="0">
    <w:p w:rsidR="004C3F32" w:rsidRDefault="004C3F32" w:rsidP="00691C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9E7"/>
    <w:multiLevelType w:val="multilevel"/>
    <w:tmpl w:val="67F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Social Work&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xsrta25fdvptf2e5ttppw9xu50s0t9tapt5e&quot;&gt;Full Library&lt;record-ids&gt;&lt;item&gt;11&lt;/item&gt;&lt;item&gt;18&lt;/item&gt;&lt;item&gt;19&lt;/item&gt;&lt;item&gt;23&lt;/item&gt;&lt;item&gt;231&lt;/item&gt;&lt;item&gt;716&lt;/item&gt;&lt;item&gt;717&lt;/item&gt;&lt;item&gt;718&lt;/item&gt;&lt;item&gt;1285&lt;/item&gt;&lt;item&gt;1365&lt;/item&gt;&lt;item&gt;1439&lt;/item&gt;&lt;item&gt;1440&lt;/item&gt;&lt;item&gt;1441&lt;/item&gt;&lt;item&gt;1466&lt;/item&gt;&lt;item&gt;1467&lt;/item&gt;&lt;item&gt;1470&lt;/item&gt;&lt;item&gt;1479&lt;/item&gt;&lt;item&gt;1512&lt;/item&gt;&lt;item&gt;1522&lt;/item&gt;&lt;item&gt;1523&lt;/item&gt;&lt;item&gt;1524&lt;/item&gt;&lt;item&gt;1744&lt;/item&gt;&lt;item&gt;1745&lt;/item&gt;&lt;item&gt;1746&lt;/item&gt;&lt;item&gt;1747&lt;/item&gt;&lt;item&gt;1748&lt;/item&gt;&lt;item&gt;1749&lt;/item&gt;&lt;item&gt;1750&lt;/item&gt;&lt;item&gt;1751&lt;/item&gt;&lt;item&gt;1752&lt;/item&gt;&lt;item&gt;1753&lt;/item&gt;&lt;item&gt;1754&lt;/item&gt;&lt;item&gt;1755&lt;/item&gt;&lt;item&gt;1756&lt;/item&gt;&lt;item&gt;1757&lt;/item&gt;&lt;item&gt;1758&lt;/item&gt;&lt;item&gt;1759&lt;/item&gt;&lt;item&gt;1760&lt;/item&gt;&lt;item&gt;1761&lt;/item&gt;&lt;item&gt;1762&lt;/item&gt;&lt;item&gt;1763&lt;/item&gt;&lt;item&gt;1764&lt;/item&gt;&lt;item&gt;1765&lt;/item&gt;&lt;item&gt;1766&lt;/item&gt;&lt;item&gt;1767&lt;/item&gt;&lt;item&gt;1768&lt;/item&gt;&lt;item&gt;1769&lt;/item&gt;&lt;item&gt;1770&lt;/item&gt;&lt;item&gt;1771&lt;/item&gt;&lt;item&gt;1772&lt;/item&gt;&lt;item&gt;1773&lt;/item&gt;&lt;item&gt;1774&lt;/item&gt;&lt;item&gt;1775&lt;/item&gt;&lt;item&gt;1776&lt;/item&gt;&lt;item&gt;1777&lt;/item&gt;&lt;/record-ids&gt;&lt;/item&gt;&lt;/Libraries&gt;"/>
  </w:docVars>
  <w:rsids>
    <w:rsidRoot w:val="005E5945"/>
    <w:rsid w:val="0000067A"/>
    <w:rsid w:val="00006998"/>
    <w:rsid w:val="00050211"/>
    <w:rsid w:val="000625D4"/>
    <w:rsid w:val="0006418A"/>
    <w:rsid w:val="00081506"/>
    <w:rsid w:val="000922B3"/>
    <w:rsid w:val="000A10C7"/>
    <w:rsid w:val="000A2505"/>
    <w:rsid w:val="000B00FB"/>
    <w:rsid w:val="000C3D3B"/>
    <w:rsid w:val="000C6C43"/>
    <w:rsid w:val="000E25B5"/>
    <w:rsid w:val="000E3181"/>
    <w:rsid w:val="00101CC9"/>
    <w:rsid w:val="00114A83"/>
    <w:rsid w:val="00114E77"/>
    <w:rsid w:val="00117ABD"/>
    <w:rsid w:val="001225D3"/>
    <w:rsid w:val="00142725"/>
    <w:rsid w:val="00163383"/>
    <w:rsid w:val="00166CBC"/>
    <w:rsid w:val="00197A81"/>
    <w:rsid w:val="001B1095"/>
    <w:rsid w:val="001B122A"/>
    <w:rsid w:val="001D0AE9"/>
    <w:rsid w:val="001D28E4"/>
    <w:rsid w:val="001E3FD2"/>
    <w:rsid w:val="001E5BB2"/>
    <w:rsid w:val="001F031E"/>
    <w:rsid w:val="00212718"/>
    <w:rsid w:val="00230486"/>
    <w:rsid w:val="002305EF"/>
    <w:rsid w:val="002377F6"/>
    <w:rsid w:val="002405CF"/>
    <w:rsid w:val="00273642"/>
    <w:rsid w:val="002929E6"/>
    <w:rsid w:val="002A337B"/>
    <w:rsid w:val="002D3E5B"/>
    <w:rsid w:val="002D7976"/>
    <w:rsid w:val="002E161D"/>
    <w:rsid w:val="002E4A65"/>
    <w:rsid w:val="003145AA"/>
    <w:rsid w:val="00324FC9"/>
    <w:rsid w:val="00326AD4"/>
    <w:rsid w:val="0033308A"/>
    <w:rsid w:val="00347E0C"/>
    <w:rsid w:val="003547DF"/>
    <w:rsid w:val="00362639"/>
    <w:rsid w:val="00363D45"/>
    <w:rsid w:val="003648BE"/>
    <w:rsid w:val="0038156D"/>
    <w:rsid w:val="003A1571"/>
    <w:rsid w:val="003A341D"/>
    <w:rsid w:val="003B2F98"/>
    <w:rsid w:val="003B4E18"/>
    <w:rsid w:val="003B5A32"/>
    <w:rsid w:val="003C10D4"/>
    <w:rsid w:val="003F2424"/>
    <w:rsid w:val="003F4C4B"/>
    <w:rsid w:val="00425C17"/>
    <w:rsid w:val="00435105"/>
    <w:rsid w:val="00436B10"/>
    <w:rsid w:val="00456B19"/>
    <w:rsid w:val="00460873"/>
    <w:rsid w:val="00486A0E"/>
    <w:rsid w:val="00493AC1"/>
    <w:rsid w:val="004C3F32"/>
    <w:rsid w:val="004D6D64"/>
    <w:rsid w:val="004E76B9"/>
    <w:rsid w:val="005104D5"/>
    <w:rsid w:val="00523095"/>
    <w:rsid w:val="00532937"/>
    <w:rsid w:val="0055211B"/>
    <w:rsid w:val="0055658C"/>
    <w:rsid w:val="00575EDA"/>
    <w:rsid w:val="00580450"/>
    <w:rsid w:val="005A577A"/>
    <w:rsid w:val="005C1DA3"/>
    <w:rsid w:val="005E0D05"/>
    <w:rsid w:val="005E5945"/>
    <w:rsid w:val="00622A36"/>
    <w:rsid w:val="00656649"/>
    <w:rsid w:val="006641DD"/>
    <w:rsid w:val="00666498"/>
    <w:rsid w:val="00670C58"/>
    <w:rsid w:val="00674582"/>
    <w:rsid w:val="00675DE9"/>
    <w:rsid w:val="00691C61"/>
    <w:rsid w:val="006B49F6"/>
    <w:rsid w:val="006C47AC"/>
    <w:rsid w:val="006D0597"/>
    <w:rsid w:val="006E6CDF"/>
    <w:rsid w:val="00704B24"/>
    <w:rsid w:val="00706E12"/>
    <w:rsid w:val="00745796"/>
    <w:rsid w:val="00751838"/>
    <w:rsid w:val="00755BD8"/>
    <w:rsid w:val="00770A84"/>
    <w:rsid w:val="00773BBF"/>
    <w:rsid w:val="00782E1E"/>
    <w:rsid w:val="007833E5"/>
    <w:rsid w:val="007902CF"/>
    <w:rsid w:val="00794B77"/>
    <w:rsid w:val="007A1906"/>
    <w:rsid w:val="007A4D30"/>
    <w:rsid w:val="007C09E6"/>
    <w:rsid w:val="007D7F9C"/>
    <w:rsid w:val="007E6305"/>
    <w:rsid w:val="007F6F6E"/>
    <w:rsid w:val="00806C88"/>
    <w:rsid w:val="00827D1F"/>
    <w:rsid w:val="00842665"/>
    <w:rsid w:val="00850299"/>
    <w:rsid w:val="00860115"/>
    <w:rsid w:val="00860FB9"/>
    <w:rsid w:val="008654BA"/>
    <w:rsid w:val="0086700B"/>
    <w:rsid w:val="0087182D"/>
    <w:rsid w:val="008B0373"/>
    <w:rsid w:val="008C20FB"/>
    <w:rsid w:val="008D118C"/>
    <w:rsid w:val="008E3756"/>
    <w:rsid w:val="00906CB6"/>
    <w:rsid w:val="00932854"/>
    <w:rsid w:val="00951FD7"/>
    <w:rsid w:val="009552D5"/>
    <w:rsid w:val="009564BB"/>
    <w:rsid w:val="00960709"/>
    <w:rsid w:val="00960B9B"/>
    <w:rsid w:val="009774AB"/>
    <w:rsid w:val="00986681"/>
    <w:rsid w:val="009A0871"/>
    <w:rsid w:val="009B24C2"/>
    <w:rsid w:val="009C0364"/>
    <w:rsid w:val="009E1D56"/>
    <w:rsid w:val="009E466B"/>
    <w:rsid w:val="009E6354"/>
    <w:rsid w:val="00A210A3"/>
    <w:rsid w:val="00A2371A"/>
    <w:rsid w:val="00A57A05"/>
    <w:rsid w:val="00A85391"/>
    <w:rsid w:val="00AA1C30"/>
    <w:rsid w:val="00AA24D2"/>
    <w:rsid w:val="00AB6C6B"/>
    <w:rsid w:val="00AB779D"/>
    <w:rsid w:val="00B0345F"/>
    <w:rsid w:val="00B03AEE"/>
    <w:rsid w:val="00B053EC"/>
    <w:rsid w:val="00B06486"/>
    <w:rsid w:val="00B11775"/>
    <w:rsid w:val="00B2532F"/>
    <w:rsid w:val="00B36116"/>
    <w:rsid w:val="00B50F23"/>
    <w:rsid w:val="00B546E0"/>
    <w:rsid w:val="00B57955"/>
    <w:rsid w:val="00B748B8"/>
    <w:rsid w:val="00BC19ED"/>
    <w:rsid w:val="00BC2E14"/>
    <w:rsid w:val="00BD15C2"/>
    <w:rsid w:val="00BF3D96"/>
    <w:rsid w:val="00C176DF"/>
    <w:rsid w:val="00C178A9"/>
    <w:rsid w:val="00C35A79"/>
    <w:rsid w:val="00C84D11"/>
    <w:rsid w:val="00CC100F"/>
    <w:rsid w:val="00CC57D8"/>
    <w:rsid w:val="00CE2841"/>
    <w:rsid w:val="00CE74CD"/>
    <w:rsid w:val="00CF5D34"/>
    <w:rsid w:val="00D5147B"/>
    <w:rsid w:val="00D52A82"/>
    <w:rsid w:val="00D5638F"/>
    <w:rsid w:val="00D84D69"/>
    <w:rsid w:val="00DA7778"/>
    <w:rsid w:val="00DB0833"/>
    <w:rsid w:val="00DB5276"/>
    <w:rsid w:val="00DE388B"/>
    <w:rsid w:val="00DE4A1B"/>
    <w:rsid w:val="00DF281A"/>
    <w:rsid w:val="00E01126"/>
    <w:rsid w:val="00E0408F"/>
    <w:rsid w:val="00E1534C"/>
    <w:rsid w:val="00E162A1"/>
    <w:rsid w:val="00E16724"/>
    <w:rsid w:val="00E3613F"/>
    <w:rsid w:val="00E4131D"/>
    <w:rsid w:val="00E72E6A"/>
    <w:rsid w:val="00E81941"/>
    <w:rsid w:val="00E86D26"/>
    <w:rsid w:val="00E9459D"/>
    <w:rsid w:val="00EA33C5"/>
    <w:rsid w:val="00EC0AF4"/>
    <w:rsid w:val="00ED33E2"/>
    <w:rsid w:val="00ED6794"/>
    <w:rsid w:val="00EE01F7"/>
    <w:rsid w:val="00EF047F"/>
    <w:rsid w:val="00EF06F8"/>
    <w:rsid w:val="00EF47C2"/>
    <w:rsid w:val="00F0070B"/>
    <w:rsid w:val="00F02569"/>
    <w:rsid w:val="00F17450"/>
    <w:rsid w:val="00F224CD"/>
    <w:rsid w:val="00F51F1F"/>
    <w:rsid w:val="00F741C7"/>
    <w:rsid w:val="00FA099A"/>
    <w:rsid w:val="00FA5949"/>
    <w:rsid w:val="00FB15D6"/>
    <w:rsid w:val="00FB5CEE"/>
    <w:rsid w:val="00FC461A"/>
    <w:rsid w:val="00FC58C9"/>
    <w:rsid w:val="00FF471C"/>
    <w:rsid w:val="00FF4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CD41"/>
  <w15:docId w15:val="{ADF89297-6637-4FDF-AB8B-D8AAC9F9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qFormat/>
    <w:rsid w:val="002929E6"/>
    <w:pPr>
      <w:keepNext/>
      <w:keepLines/>
      <w:spacing w:before="120" w:after="120" w:line="360" w:lineRule="auto"/>
      <w:jc w:val="center"/>
    </w:pPr>
    <w:rPr>
      <w:rFonts w:eastAsia="Times New Roman" w:cs="Times New Roman"/>
      <w:b/>
      <w:bCs/>
      <w:sz w:val="20"/>
      <w:szCs w:val="20"/>
      <w:lang w:eastAsia="en-US"/>
    </w:rPr>
  </w:style>
  <w:style w:type="paragraph" w:customStyle="1" w:styleId="Tabletext">
    <w:name w:val="Table text"/>
    <w:basedOn w:val="Normal"/>
    <w:rsid w:val="002929E6"/>
    <w:pPr>
      <w:spacing w:after="60" w:line="240" w:lineRule="auto"/>
      <w:jc w:val="both"/>
    </w:pPr>
    <w:rPr>
      <w:rFonts w:eastAsia="Times New Roman"/>
      <w:sz w:val="20"/>
      <w:szCs w:val="24"/>
      <w:lang w:eastAsia="en-US"/>
    </w:rPr>
  </w:style>
  <w:style w:type="paragraph" w:styleId="E-mailSignature">
    <w:name w:val="E-mail Signature"/>
    <w:basedOn w:val="Normal"/>
    <w:link w:val="E-mailSignatureChar"/>
    <w:rsid w:val="002929E6"/>
    <w:pPr>
      <w:spacing w:line="360" w:lineRule="auto"/>
      <w:jc w:val="both"/>
    </w:pPr>
    <w:rPr>
      <w:rFonts w:eastAsia="Times New Roman" w:cs="Times New Roman"/>
      <w:szCs w:val="24"/>
      <w:lang w:eastAsia="en-US"/>
    </w:rPr>
  </w:style>
  <w:style w:type="character" w:customStyle="1" w:styleId="E-mailSignatureChar">
    <w:name w:val="E-mail Signature Char"/>
    <w:basedOn w:val="DefaultParagraphFont"/>
    <w:link w:val="E-mailSignature"/>
    <w:rsid w:val="002929E6"/>
    <w:rPr>
      <w:rFonts w:eastAsia="Times New Roman" w:cs="Times New Roman"/>
      <w:szCs w:val="24"/>
      <w:lang w:eastAsia="en-US"/>
    </w:rPr>
  </w:style>
  <w:style w:type="paragraph" w:customStyle="1" w:styleId="EndNoteBibliographyTitle">
    <w:name w:val="EndNote Bibliography Title"/>
    <w:basedOn w:val="Normal"/>
    <w:link w:val="EndNoteBibliographyTitleChar"/>
    <w:rsid w:val="00ED6794"/>
    <w:pPr>
      <w:jc w:val="center"/>
    </w:pPr>
    <w:rPr>
      <w:noProof/>
    </w:rPr>
  </w:style>
  <w:style w:type="character" w:customStyle="1" w:styleId="EndNoteBibliographyTitleChar">
    <w:name w:val="EndNote Bibliography Title Char"/>
    <w:basedOn w:val="DefaultParagraphFont"/>
    <w:link w:val="EndNoteBibliographyTitle"/>
    <w:rsid w:val="00ED6794"/>
    <w:rPr>
      <w:noProof/>
    </w:rPr>
  </w:style>
  <w:style w:type="paragraph" w:customStyle="1" w:styleId="EndNoteBibliography">
    <w:name w:val="EndNote Bibliography"/>
    <w:basedOn w:val="Normal"/>
    <w:link w:val="EndNoteBibliographyChar"/>
    <w:rsid w:val="00ED6794"/>
    <w:pPr>
      <w:spacing w:line="480" w:lineRule="auto"/>
    </w:pPr>
    <w:rPr>
      <w:noProof/>
    </w:rPr>
  </w:style>
  <w:style w:type="character" w:customStyle="1" w:styleId="EndNoteBibliographyChar">
    <w:name w:val="EndNote Bibliography Char"/>
    <w:basedOn w:val="DefaultParagraphFont"/>
    <w:link w:val="EndNoteBibliography"/>
    <w:rsid w:val="00ED6794"/>
    <w:rPr>
      <w:noProof/>
    </w:rPr>
  </w:style>
  <w:style w:type="character" w:styleId="Hyperlink">
    <w:name w:val="Hyperlink"/>
    <w:basedOn w:val="DefaultParagraphFont"/>
    <w:uiPriority w:val="99"/>
    <w:unhideWhenUsed/>
    <w:rsid w:val="003547DF"/>
    <w:rPr>
      <w:color w:val="0000FF" w:themeColor="hyperlink"/>
      <w:u w:val="single"/>
    </w:rPr>
  </w:style>
  <w:style w:type="character" w:styleId="CommentReference">
    <w:name w:val="annotation reference"/>
    <w:basedOn w:val="DefaultParagraphFont"/>
    <w:uiPriority w:val="99"/>
    <w:semiHidden/>
    <w:unhideWhenUsed/>
    <w:rsid w:val="00B50F23"/>
    <w:rPr>
      <w:sz w:val="16"/>
      <w:szCs w:val="16"/>
    </w:rPr>
  </w:style>
  <w:style w:type="paragraph" w:styleId="CommentText">
    <w:name w:val="annotation text"/>
    <w:basedOn w:val="Normal"/>
    <w:link w:val="CommentTextChar"/>
    <w:uiPriority w:val="99"/>
    <w:unhideWhenUsed/>
    <w:rsid w:val="00B50F23"/>
    <w:pPr>
      <w:spacing w:line="240" w:lineRule="auto"/>
    </w:pPr>
    <w:rPr>
      <w:sz w:val="20"/>
      <w:szCs w:val="20"/>
    </w:rPr>
  </w:style>
  <w:style w:type="character" w:customStyle="1" w:styleId="CommentTextChar">
    <w:name w:val="Comment Text Char"/>
    <w:basedOn w:val="DefaultParagraphFont"/>
    <w:link w:val="CommentText"/>
    <w:uiPriority w:val="99"/>
    <w:rsid w:val="00B50F23"/>
    <w:rPr>
      <w:sz w:val="20"/>
      <w:szCs w:val="20"/>
    </w:rPr>
  </w:style>
  <w:style w:type="paragraph" w:styleId="BalloonText">
    <w:name w:val="Balloon Text"/>
    <w:basedOn w:val="Normal"/>
    <w:link w:val="BalloonTextChar"/>
    <w:uiPriority w:val="99"/>
    <w:semiHidden/>
    <w:unhideWhenUsed/>
    <w:rsid w:val="00B50F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F23"/>
    <w:rPr>
      <w:rFonts w:ascii="Segoe UI" w:hAnsi="Segoe UI" w:cs="Segoe UI"/>
      <w:sz w:val="18"/>
      <w:szCs w:val="18"/>
    </w:rPr>
  </w:style>
  <w:style w:type="table" w:styleId="TableGrid">
    <w:name w:val="Table Grid"/>
    <w:basedOn w:val="TableNormal"/>
    <w:uiPriority w:val="39"/>
    <w:rsid w:val="00117ABD"/>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C61"/>
    <w:pPr>
      <w:tabs>
        <w:tab w:val="center" w:pos="4513"/>
        <w:tab w:val="right" w:pos="9026"/>
      </w:tabs>
      <w:spacing w:line="240" w:lineRule="auto"/>
    </w:pPr>
  </w:style>
  <w:style w:type="character" w:customStyle="1" w:styleId="HeaderChar">
    <w:name w:val="Header Char"/>
    <w:basedOn w:val="DefaultParagraphFont"/>
    <w:link w:val="Header"/>
    <w:uiPriority w:val="99"/>
    <w:rsid w:val="00691C61"/>
  </w:style>
  <w:style w:type="paragraph" w:styleId="Footer">
    <w:name w:val="footer"/>
    <w:basedOn w:val="Normal"/>
    <w:link w:val="FooterChar"/>
    <w:uiPriority w:val="99"/>
    <w:unhideWhenUsed/>
    <w:rsid w:val="00691C61"/>
    <w:pPr>
      <w:tabs>
        <w:tab w:val="center" w:pos="4513"/>
        <w:tab w:val="right" w:pos="9026"/>
      </w:tabs>
      <w:spacing w:line="240" w:lineRule="auto"/>
    </w:pPr>
  </w:style>
  <w:style w:type="character" w:customStyle="1" w:styleId="FooterChar">
    <w:name w:val="Footer Char"/>
    <w:basedOn w:val="DefaultParagraphFont"/>
    <w:link w:val="Footer"/>
    <w:uiPriority w:val="99"/>
    <w:rsid w:val="0069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nectingpeopl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31</Pages>
  <Words>17061</Words>
  <Characters>97251</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Webber</dc:creator>
  <cp:lastModifiedBy>Martin Webber</cp:lastModifiedBy>
  <cp:revision>15</cp:revision>
  <dcterms:created xsi:type="dcterms:W3CDTF">2020-05-22T14:39:00Z</dcterms:created>
  <dcterms:modified xsi:type="dcterms:W3CDTF">2020-08-26T16:30:00Z</dcterms:modified>
</cp:coreProperties>
</file>