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47582" w:rsidR="008C4B1A" w:rsidP="008C4B1A" w:rsidRDefault="007F71CF" w14:paraId="4D452835" w14:textId="77777777">
      <w:pPr>
        <w:spacing w:after="0"/>
        <w:jc w:val="center"/>
        <w:rPr>
          <w:rFonts w:ascii="Times New Roman" w:hAnsi="Times New Roman" w:cs="Times New Roman"/>
          <w:b/>
          <w:bCs/>
          <w:sz w:val="36"/>
          <w:szCs w:val="36"/>
          <w:lang w:val="en-US"/>
        </w:rPr>
      </w:pPr>
      <w:r w:rsidRPr="00747582">
        <w:rPr>
          <w:rFonts w:ascii="Times New Roman" w:hAnsi="Times New Roman" w:cs="Times New Roman"/>
          <w:b/>
          <w:bCs/>
          <w:sz w:val="36"/>
          <w:szCs w:val="36"/>
          <w:lang w:val="en-US"/>
        </w:rPr>
        <w:t xml:space="preserve">“Fatally upsetting the computer”: </w:t>
      </w:r>
    </w:p>
    <w:p w:rsidR="00331B1D" w:rsidP="008505EA" w:rsidRDefault="007F71CF" w14:paraId="36855B1E" w14:textId="289990E6">
      <w:pPr>
        <w:spacing w:after="0"/>
        <w:jc w:val="center"/>
        <w:rPr>
          <w:rFonts w:ascii="Times New Roman" w:hAnsi="Times New Roman" w:cs="Times New Roman"/>
          <w:b/>
          <w:bCs/>
          <w:sz w:val="36"/>
          <w:szCs w:val="36"/>
          <w:lang w:val="en-US"/>
        </w:rPr>
      </w:pPr>
      <w:r w:rsidRPr="00747582">
        <w:rPr>
          <w:rFonts w:ascii="Times New Roman" w:hAnsi="Times New Roman" w:cs="Times New Roman"/>
          <w:b/>
          <w:bCs/>
          <w:sz w:val="36"/>
          <w:szCs w:val="36"/>
          <w:lang w:val="en-US"/>
        </w:rPr>
        <w:t>Universal credit, earned income, and the demands of automation</w:t>
      </w:r>
    </w:p>
    <w:p w:rsidRPr="00747582" w:rsidR="008505EA" w:rsidP="008505EA" w:rsidRDefault="008505EA" w14:paraId="2658890B" w14:textId="77777777">
      <w:pPr>
        <w:spacing w:after="0"/>
        <w:jc w:val="center"/>
        <w:rPr>
          <w:rFonts w:ascii="Times New Roman" w:hAnsi="Times New Roman" w:cs="Times New Roman"/>
          <w:b/>
          <w:bCs/>
          <w:sz w:val="36"/>
          <w:szCs w:val="36"/>
          <w:lang w:val="en-US"/>
        </w:rPr>
      </w:pPr>
    </w:p>
    <w:p w:rsidR="007F71CF" w:rsidP="008505EA" w:rsidRDefault="009230A2" w14:paraId="6B0D45A5" w14:textId="0F13FEDD">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Jed Meers</w:t>
      </w:r>
      <w:r w:rsidR="00747582">
        <w:rPr>
          <w:rStyle w:val="FootnoteReference"/>
          <w:rFonts w:ascii="Times New Roman" w:hAnsi="Times New Roman" w:cs="Times New Roman"/>
          <w:sz w:val="28"/>
          <w:szCs w:val="28"/>
          <w:lang w:val="en-US"/>
        </w:rPr>
        <w:footnoteReference w:id="1"/>
      </w:r>
    </w:p>
    <w:p w:rsidR="00D178DE" w:rsidP="008505EA" w:rsidRDefault="00D178DE" w14:paraId="0D25112C" w14:textId="43AD1545">
      <w:pPr>
        <w:spacing w:after="0"/>
        <w:jc w:val="center"/>
        <w:rPr>
          <w:rFonts w:ascii="Times New Roman" w:hAnsi="Times New Roman" w:cs="Times New Roman"/>
          <w:sz w:val="28"/>
          <w:szCs w:val="28"/>
          <w:lang w:val="en-US"/>
        </w:rPr>
      </w:pPr>
    </w:p>
    <w:p w:rsidRPr="00D178DE" w:rsidR="00D178DE" w:rsidP="008505EA" w:rsidRDefault="00D178DE" w14:paraId="6215DFB1" w14:textId="7C0F4C48">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York Law School, University of York, U</w:t>
      </w:r>
      <w:r w:rsidR="00691AC5">
        <w:rPr>
          <w:rFonts w:ascii="Times New Roman" w:hAnsi="Times New Roman" w:cs="Times New Roman"/>
          <w:b/>
          <w:bCs/>
          <w:sz w:val="28"/>
          <w:szCs w:val="28"/>
          <w:lang w:val="en-US"/>
        </w:rPr>
        <w:t>K</w:t>
      </w:r>
    </w:p>
    <w:p w:rsidR="008505EA" w:rsidP="008505EA" w:rsidRDefault="008505EA" w14:paraId="79459B8F" w14:textId="77777777">
      <w:pPr>
        <w:spacing w:after="0"/>
        <w:jc w:val="center"/>
        <w:rPr>
          <w:rFonts w:ascii="Times New Roman" w:hAnsi="Times New Roman" w:cs="Times New Roman"/>
          <w:sz w:val="28"/>
          <w:szCs w:val="28"/>
          <w:lang w:val="en-US"/>
        </w:rPr>
      </w:pPr>
    </w:p>
    <w:p w:rsidR="008505EA" w:rsidP="008505EA" w:rsidRDefault="008505EA" w14:paraId="61C29AEA" w14:textId="34E0006D">
      <w:pPr>
        <w:jc w:val="center"/>
        <w:rPr>
          <w:rFonts w:ascii="Times New Roman" w:hAnsi="Times New Roman" w:cs="Times New Roman"/>
          <w:sz w:val="20"/>
          <w:szCs w:val="20"/>
        </w:rPr>
      </w:pPr>
      <w:r w:rsidRPr="00F54B2F">
        <w:rPr>
          <w:rFonts w:ascii="Times New Roman" w:hAnsi="Times New Roman" w:cs="Times New Roman"/>
          <w:smallCaps/>
          <w:sz w:val="20"/>
          <w:szCs w:val="20"/>
        </w:rPr>
        <w:t>Keywords:</w:t>
      </w:r>
      <w:r w:rsidRPr="00F54B2F">
        <w:rPr>
          <w:rFonts w:ascii="Times New Roman" w:hAnsi="Times New Roman" w:cs="Times New Roman"/>
          <w:sz w:val="20"/>
          <w:szCs w:val="20"/>
        </w:rPr>
        <w:t xml:space="preserve"> Universal credit,</w:t>
      </w:r>
      <w:r>
        <w:rPr>
          <w:rFonts w:ascii="Times New Roman" w:hAnsi="Times New Roman" w:cs="Times New Roman"/>
          <w:sz w:val="20"/>
          <w:szCs w:val="20"/>
        </w:rPr>
        <w:t xml:space="preserve"> irrationality, Wednesbury unreasonableness, assessment periods, automation, statutory interpretation</w:t>
      </w:r>
      <w:r w:rsidRPr="00F54B2F">
        <w:rPr>
          <w:rFonts w:ascii="Times New Roman" w:hAnsi="Times New Roman" w:cs="Times New Roman"/>
          <w:sz w:val="20"/>
          <w:szCs w:val="20"/>
        </w:rPr>
        <w:t>.</w:t>
      </w:r>
    </w:p>
    <w:p w:rsidR="008505EA" w:rsidP="007F71CF" w:rsidRDefault="008505EA" w14:paraId="448967B6" w14:textId="77777777">
      <w:pPr>
        <w:jc w:val="center"/>
        <w:rPr>
          <w:rFonts w:ascii="Times New Roman" w:hAnsi="Times New Roman" w:cs="Times New Roman"/>
          <w:sz w:val="28"/>
          <w:szCs w:val="28"/>
          <w:lang w:val="en-US"/>
        </w:rPr>
      </w:pPr>
    </w:p>
    <w:p w:rsidRPr="007C465C" w:rsidR="0063690A" w:rsidP="0063690A" w:rsidRDefault="00890F72" w14:paraId="73C24E13" w14:textId="6D0F6E19">
      <w:pPr>
        <w:jc w:val="both"/>
        <w:rPr>
          <w:rFonts w:ascii="Times New Roman" w:hAnsi="Times New Roman" w:cs="Times New Roman"/>
          <w:sz w:val="24"/>
          <w:szCs w:val="24"/>
          <w:lang w:val="en-US"/>
        </w:rPr>
      </w:pPr>
      <w:r w:rsidRPr="009EE0C2" w:rsidR="009EE0C2">
        <w:rPr>
          <w:rFonts w:ascii="Times New Roman" w:hAnsi="Times New Roman" w:cs="Times New Roman"/>
          <w:sz w:val="24"/>
          <w:szCs w:val="24"/>
          <w:lang w:val="en-US"/>
        </w:rPr>
        <w:t xml:space="preserve">In </w:t>
      </w:r>
      <w:r w:rsidRPr="009EE0C2" w:rsidR="009EE0C2">
        <w:rPr>
          <w:rFonts w:ascii="Times New Roman" w:hAnsi="Times New Roman" w:cs="Times New Roman"/>
          <w:i w:val="1"/>
          <w:iCs w:val="1"/>
          <w:sz w:val="24"/>
          <w:szCs w:val="24"/>
          <w:lang w:val="en-US"/>
        </w:rPr>
        <w:t xml:space="preserve">Secretary of State for Work and Pensions v Johnson </w:t>
      </w:r>
      <w:r w:rsidRPr="009EE0C2" w:rsidR="009EE0C2">
        <w:rPr>
          <w:rFonts w:ascii="Times New Roman" w:hAnsi="Times New Roman" w:cs="Times New Roman"/>
          <w:sz w:val="24"/>
          <w:szCs w:val="24"/>
          <w:lang w:val="en-US"/>
        </w:rPr>
        <w:t>[2020] EWCA Civ 778</w:t>
      </w:r>
      <w:r w:rsidRPr="009EE0C2" w:rsidR="009EE0C2">
        <w:rPr>
          <w:rFonts w:ascii="Times New Roman" w:hAnsi="Times New Roman" w:cs="Times New Roman"/>
          <w:i w:val="1"/>
          <w:iCs w:val="1"/>
          <w:sz w:val="24"/>
          <w:szCs w:val="24"/>
          <w:lang w:val="en-US"/>
        </w:rPr>
        <w:t xml:space="preserve">, </w:t>
      </w:r>
      <w:r w:rsidRPr="009EE0C2" w:rsidR="009EE0C2">
        <w:rPr>
          <w:rFonts w:ascii="Times New Roman" w:hAnsi="Times New Roman" w:cs="Times New Roman"/>
          <w:sz w:val="24"/>
          <w:szCs w:val="24"/>
          <w:lang w:val="en-US"/>
        </w:rPr>
        <w:t>the</w:t>
      </w:r>
      <w:r w:rsidRPr="009EE0C2" w:rsidR="009EE0C2">
        <w:rPr>
          <w:rFonts w:ascii="Times New Roman" w:hAnsi="Times New Roman" w:cs="Times New Roman"/>
          <w:i w:val="1"/>
          <w:iCs w:val="1"/>
          <w:sz w:val="24"/>
          <w:szCs w:val="24"/>
          <w:lang w:val="en-US"/>
        </w:rPr>
        <w:t xml:space="preserve"> </w:t>
      </w:r>
      <w:r w:rsidRPr="009EE0C2" w:rsidR="009EE0C2">
        <w:rPr>
          <w:rFonts w:ascii="Times New Roman" w:hAnsi="Times New Roman" w:cs="Times New Roman"/>
          <w:sz w:val="24"/>
          <w:szCs w:val="24"/>
          <w:lang w:val="en-US"/>
        </w:rPr>
        <w:t xml:space="preserve">automated processes at the heart of Universal Credit (UC) collided with the realities of claimants’ lives. An arbitrary consequence of the design of the UC computer system led to the respondents’ income being counted twice in some months and not at all in others: a problem caused by their salary payment date shifting as a result of weekends or bank-holidays, characterized by the court as the “non-banking day salary shift” problem. Four affected UC recipients argued, </w:t>
      </w:r>
      <w:r w:rsidRPr="009EE0C2" w:rsidR="009EE0C2">
        <w:rPr>
          <w:rFonts w:ascii="Times New Roman" w:hAnsi="Times New Roman" w:cs="Times New Roman"/>
          <w:i w:val="1"/>
          <w:iCs w:val="1"/>
          <w:sz w:val="24"/>
          <w:szCs w:val="24"/>
          <w:lang w:val="en-US"/>
        </w:rPr>
        <w:t>inter alia¸</w:t>
      </w:r>
      <w:r w:rsidRPr="009EE0C2" w:rsidR="009EE0C2">
        <w:rPr>
          <w:rFonts w:ascii="Times New Roman" w:hAnsi="Times New Roman" w:cs="Times New Roman"/>
          <w:sz w:val="24"/>
          <w:szCs w:val="24"/>
          <w:lang w:val="en-US"/>
        </w:rPr>
        <w:t xml:space="preserve"> that the decision of the Secretary of State for Work and Pensions (SSWP) not to implement a solution to this problem was irrational. The SSWP submissions in response were a close approximation of “computer says no”. To account for the circumstances of these claimants would undermine the coherency of the automated system in place for processing applications.</w:t>
      </w:r>
    </w:p>
    <w:p w:rsidRPr="007C465C" w:rsidR="001A3A99" w:rsidP="00780A33" w:rsidRDefault="00121FA3" w14:paraId="6201986A" w14:textId="5A02C0A8">
      <w:pPr>
        <w:jc w:val="both"/>
        <w:rPr>
          <w:rFonts w:ascii="Times New Roman" w:hAnsi="Times New Roman" w:cs="Times New Roman"/>
          <w:sz w:val="24"/>
          <w:szCs w:val="24"/>
          <w:lang w:val="en-US"/>
        </w:rPr>
      </w:pPr>
      <w:r w:rsidRPr="007C465C">
        <w:rPr>
          <w:rFonts w:ascii="Times New Roman" w:hAnsi="Times New Roman" w:cs="Times New Roman"/>
          <w:sz w:val="24"/>
          <w:szCs w:val="24"/>
          <w:lang w:val="en-US"/>
        </w:rPr>
        <w:t xml:space="preserve">In finding </w:t>
      </w:r>
      <w:r w:rsidR="00126EFD">
        <w:rPr>
          <w:rFonts w:ascii="Times New Roman" w:hAnsi="Times New Roman" w:cs="Times New Roman"/>
          <w:sz w:val="24"/>
          <w:szCs w:val="24"/>
          <w:lang w:val="en-US"/>
        </w:rPr>
        <w:t>the SSWP’s failure to act irrational</w:t>
      </w:r>
      <w:r w:rsidRPr="007C465C">
        <w:rPr>
          <w:rFonts w:ascii="Times New Roman" w:hAnsi="Times New Roman" w:cs="Times New Roman"/>
          <w:sz w:val="24"/>
          <w:szCs w:val="24"/>
          <w:lang w:val="en-US"/>
        </w:rPr>
        <w:t xml:space="preserve">, the decision provides a rare example of the </w:t>
      </w:r>
      <w:proofErr w:type="spellStart"/>
      <w:r w:rsidRPr="007C465C">
        <w:rPr>
          <w:rFonts w:ascii="Times New Roman" w:hAnsi="Times New Roman" w:cs="Times New Roman"/>
          <w:i/>
          <w:iCs/>
          <w:sz w:val="24"/>
          <w:szCs w:val="24"/>
          <w:lang w:val="en-US"/>
        </w:rPr>
        <w:t>Wednesbury</w:t>
      </w:r>
      <w:proofErr w:type="spellEnd"/>
      <w:r w:rsidRPr="007C465C">
        <w:rPr>
          <w:rFonts w:ascii="Times New Roman" w:hAnsi="Times New Roman" w:cs="Times New Roman"/>
          <w:i/>
          <w:iCs/>
          <w:sz w:val="24"/>
          <w:szCs w:val="24"/>
          <w:lang w:val="en-US"/>
        </w:rPr>
        <w:t xml:space="preserve"> unreasonableness </w:t>
      </w:r>
      <w:r w:rsidRPr="007C465C">
        <w:rPr>
          <w:rFonts w:ascii="Times New Roman" w:hAnsi="Times New Roman" w:cs="Times New Roman"/>
          <w:sz w:val="24"/>
          <w:szCs w:val="24"/>
          <w:lang w:val="en-US"/>
        </w:rPr>
        <w:t>standard biting in</w:t>
      </w:r>
      <w:r w:rsidR="00CD7BD3">
        <w:rPr>
          <w:rFonts w:ascii="Times New Roman" w:hAnsi="Times New Roman" w:cs="Times New Roman"/>
          <w:sz w:val="24"/>
          <w:szCs w:val="24"/>
          <w:lang w:val="en-US"/>
        </w:rPr>
        <w:t xml:space="preserve"> the</w:t>
      </w:r>
      <w:r w:rsidRPr="007C465C">
        <w:rPr>
          <w:rFonts w:ascii="Times New Roman" w:hAnsi="Times New Roman" w:cs="Times New Roman"/>
          <w:sz w:val="24"/>
          <w:szCs w:val="24"/>
          <w:lang w:val="en-US"/>
        </w:rPr>
        <w:t xml:space="preserve"> social security </w:t>
      </w:r>
      <w:r w:rsidR="00CD7BD3">
        <w:rPr>
          <w:rFonts w:ascii="Times New Roman" w:hAnsi="Times New Roman" w:cs="Times New Roman"/>
          <w:sz w:val="24"/>
          <w:szCs w:val="24"/>
          <w:lang w:val="en-US"/>
        </w:rPr>
        <w:t>context</w:t>
      </w:r>
      <w:r w:rsidRPr="007C465C" w:rsidR="00AC313A">
        <w:rPr>
          <w:rFonts w:ascii="Times New Roman" w:hAnsi="Times New Roman" w:cs="Times New Roman"/>
          <w:sz w:val="24"/>
          <w:szCs w:val="24"/>
          <w:lang w:val="en-US"/>
        </w:rPr>
        <w:t xml:space="preserve">. The arguments put by the SSWP </w:t>
      </w:r>
      <w:r w:rsidR="00126EFD">
        <w:rPr>
          <w:rFonts w:ascii="Times New Roman" w:hAnsi="Times New Roman" w:cs="Times New Roman"/>
          <w:sz w:val="24"/>
          <w:szCs w:val="24"/>
          <w:lang w:val="en-US"/>
        </w:rPr>
        <w:t xml:space="preserve">demonstrates </w:t>
      </w:r>
      <w:r w:rsidRPr="007C465C" w:rsidR="00AC313A">
        <w:rPr>
          <w:rFonts w:ascii="Times New Roman" w:hAnsi="Times New Roman" w:cs="Times New Roman"/>
          <w:sz w:val="24"/>
          <w:szCs w:val="24"/>
          <w:lang w:val="en-US"/>
        </w:rPr>
        <w:t>the</w:t>
      </w:r>
      <w:r w:rsidRPr="007C465C">
        <w:rPr>
          <w:rFonts w:ascii="Times New Roman" w:hAnsi="Times New Roman" w:cs="Times New Roman"/>
          <w:sz w:val="24"/>
          <w:szCs w:val="24"/>
          <w:lang w:val="en-US"/>
        </w:rPr>
        <w:t xml:space="preserve"> willingness </w:t>
      </w:r>
      <w:r w:rsidRPr="007C465C" w:rsidR="00AC313A">
        <w:rPr>
          <w:rFonts w:ascii="Times New Roman" w:hAnsi="Times New Roman" w:cs="Times New Roman"/>
          <w:sz w:val="24"/>
          <w:szCs w:val="24"/>
          <w:lang w:val="en-US"/>
        </w:rPr>
        <w:t>t</w:t>
      </w:r>
      <w:r w:rsidRPr="007C465C">
        <w:rPr>
          <w:rFonts w:ascii="Times New Roman" w:hAnsi="Times New Roman" w:cs="Times New Roman"/>
          <w:sz w:val="24"/>
          <w:szCs w:val="24"/>
          <w:lang w:val="en-US"/>
        </w:rPr>
        <w:t xml:space="preserve">o allow </w:t>
      </w:r>
      <w:r w:rsidRPr="007C465C" w:rsidR="00CD5F85">
        <w:rPr>
          <w:rFonts w:ascii="Times New Roman" w:hAnsi="Times New Roman" w:cs="Times New Roman"/>
          <w:sz w:val="24"/>
          <w:szCs w:val="24"/>
          <w:lang w:val="en-US"/>
        </w:rPr>
        <w:t xml:space="preserve">a considerable number of UC recipients – in this instance, around 85,000 </w:t>
      </w:r>
      <w:r w:rsidR="00D169F8">
        <w:rPr>
          <w:rFonts w:ascii="Times New Roman" w:hAnsi="Times New Roman" w:cs="Times New Roman"/>
          <w:sz w:val="24"/>
          <w:szCs w:val="24"/>
          <w:lang w:val="en-US"/>
        </w:rPr>
        <w:t>i</w:t>
      </w:r>
      <w:r w:rsidRPr="007C465C" w:rsidR="00CD5F85">
        <w:rPr>
          <w:rFonts w:ascii="Times New Roman" w:hAnsi="Times New Roman" w:cs="Times New Roman"/>
          <w:sz w:val="24"/>
          <w:szCs w:val="24"/>
          <w:lang w:val="en-US"/>
        </w:rPr>
        <w:t xml:space="preserve">n positions analogous to the respondents – to suffer </w:t>
      </w:r>
      <w:r w:rsidRPr="007C465C" w:rsidR="00AC313A">
        <w:rPr>
          <w:rFonts w:ascii="Times New Roman" w:hAnsi="Times New Roman" w:cs="Times New Roman"/>
          <w:sz w:val="24"/>
          <w:szCs w:val="24"/>
          <w:lang w:val="en-US"/>
        </w:rPr>
        <w:t>sole</w:t>
      </w:r>
      <w:r w:rsidR="00D169F8">
        <w:rPr>
          <w:rFonts w:ascii="Times New Roman" w:hAnsi="Times New Roman" w:cs="Times New Roman"/>
          <w:sz w:val="24"/>
          <w:szCs w:val="24"/>
          <w:lang w:val="en-US"/>
        </w:rPr>
        <w:t xml:space="preserve">ly to </w:t>
      </w:r>
      <w:r w:rsidRPr="007C465C" w:rsidR="00CD5F85">
        <w:rPr>
          <w:rFonts w:ascii="Times New Roman" w:hAnsi="Times New Roman" w:cs="Times New Roman"/>
          <w:sz w:val="24"/>
          <w:szCs w:val="24"/>
          <w:lang w:val="en-US"/>
        </w:rPr>
        <w:t>preserv</w:t>
      </w:r>
      <w:r w:rsidR="00D169F8">
        <w:rPr>
          <w:rFonts w:ascii="Times New Roman" w:hAnsi="Times New Roman" w:cs="Times New Roman"/>
          <w:sz w:val="24"/>
          <w:szCs w:val="24"/>
          <w:lang w:val="en-US"/>
        </w:rPr>
        <w:t>e</w:t>
      </w:r>
      <w:r w:rsidRPr="007C465C" w:rsidR="00CD5F85">
        <w:rPr>
          <w:rFonts w:ascii="Times New Roman" w:hAnsi="Times New Roman" w:cs="Times New Roman"/>
          <w:sz w:val="24"/>
          <w:szCs w:val="24"/>
          <w:lang w:val="en-US"/>
        </w:rPr>
        <w:t xml:space="preserve"> the</w:t>
      </w:r>
      <w:r w:rsidRPr="007C465C" w:rsidR="00064982">
        <w:rPr>
          <w:rFonts w:ascii="Times New Roman" w:hAnsi="Times New Roman" w:cs="Times New Roman"/>
          <w:sz w:val="24"/>
          <w:szCs w:val="24"/>
          <w:lang w:val="en-US"/>
        </w:rPr>
        <w:t xml:space="preserve"> coherency of the UC computer system.</w:t>
      </w:r>
    </w:p>
    <w:p w:rsidRPr="007C465C" w:rsidR="00721036" w:rsidP="00721036" w:rsidRDefault="00721036" w14:paraId="0BEEB420" w14:textId="36A5CE10">
      <w:pPr>
        <w:jc w:val="both"/>
        <w:rPr>
          <w:rFonts w:ascii="Times New Roman" w:hAnsi="Times New Roman" w:cs="Times New Roman"/>
          <w:sz w:val="24"/>
          <w:szCs w:val="24"/>
          <w:lang w:val="en-US"/>
        </w:rPr>
      </w:pPr>
      <w:r w:rsidRPr="007C465C">
        <w:rPr>
          <w:rFonts w:ascii="Times New Roman" w:hAnsi="Times New Roman" w:cs="Times New Roman"/>
          <w:sz w:val="24"/>
          <w:szCs w:val="24"/>
          <w:lang w:val="en-US"/>
        </w:rPr>
        <w:t>The four respondents in this case applied for UC</w:t>
      </w:r>
      <w:r w:rsidR="00AE1D86">
        <w:rPr>
          <w:rFonts w:ascii="Times New Roman" w:hAnsi="Times New Roman" w:cs="Times New Roman"/>
          <w:sz w:val="24"/>
          <w:szCs w:val="24"/>
          <w:lang w:val="en-US"/>
        </w:rPr>
        <w:t xml:space="preserve"> </w:t>
      </w:r>
      <w:r w:rsidRPr="007C465C">
        <w:rPr>
          <w:rFonts w:ascii="Times New Roman" w:hAnsi="Times New Roman" w:cs="Times New Roman"/>
          <w:sz w:val="24"/>
          <w:szCs w:val="24"/>
          <w:lang w:val="en-US"/>
        </w:rPr>
        <w:t xml:space="preserve">and are paid by their employer at the end </w:t>
      </w:r>
      <w:r w:rsidRPr="007C465C" w:rsidR="00412FA1">
        <w:rPr>
          <w:rFonts w:ascii="Times New Roman" w:hAnsi="Times New Roman" w:cs="Times New Roman"/>
          <w:sz w:val="24"/>
          <w:szCs w:val="24"/>
          <w:lang w:val="en-US"/>
        </w:rPr>
        <w:t>(</w:t>
      </w:r>
      <w:r w:rsidRPr="007C465C">
        <w:rPr>
          <w:rFonts w:ascii="Times New Roman" w:hAnsi="Times New Roman" w:cs="Times New Roman"/>
          <w:sz w:val="24"/>
          <w:szCs w:val="24"/>
          <w:lang w:val="en-US"/>
        </w:rPr>
        <w:t>or towards the end</w:t>
      </w:r>
      <w:r w:rsidRPr="007C465C" w:rsidR="00412FA1">
        <w:rPr>
          <w:rFonts w:ascii="Times New Roman" w:hAnsi="Times New Roman" w:cs="Times New Roman"/>
          <w:sz w:val="24"/>
          <w:szCs w:val="24"/>
          <w:lang w:val="en-US"/>
        </w:rPr>
        <w:t>)</w:t>
      </w:r>
      <w:r w:rsidRPr="007C465C">
        <w:rPr>
          <w:rFonts w:ascii="Times New Roman" w:hAnsi="Times New Roman" w:cs="Times New Roman"/>
          <w:sz w:val="24"/>
          <w:szCs w:val="24"/>
          <w:lang w:val="en-US"/>
        </w:rPr>
        <w:t xml:space="preserve"> of a calendar month. Although the UC statutory regime is infamously complex, the core arguments in this appeal revolve around regulation 54(1) Universal Credit Regulations 2013/376:</w:t>
      </w:r>
    </w:p>
    <w:p w:rsidRPr="007C465C" w:rsidR="00721036" w:rsidP="00721036" w:rsidRDefault="00721036" w14:paraId="5F80D9F5" w14:textId="77777777">
      <w:pPr>
        <w:ind w:left="709" w:right="1088"/>
        <w:jc w:val="both"/>
        <w:rPr>
          <w:rFonts w:ascii="Times New Roman" w:hAnsi="Times New Roman" w:cs="Times New Roman"/>
          <w:sz w:val="24"/>
          <w:szCs w:val="24"/>
          <w:lang w:val="en-US"/>
        </w:rPr>
      </w:pPr>
      <w:r w:rsidRPr="007C465C">
        <w:rPr>
          <w:rFonts w:ascii="Times New Roman" w:hAnsi="Times New Roman" w:cs="Times New Roman"/>
          <w:sz w:val="24"/>
          <w:szCs w:val="24"/>
          <w:lang w:val="en-US"/>
        </w:rPr>
        <w:t>The calculation of a person's earned income in respect of an assessment period is, unless otherwise provided in this Chapter, to be based on the actual amounts received in that period.</w:t>
      </w:r>
    </w:p>
    <w:p w:rsidRPr="007C465C" w:rsidR="00721036" w:rsidP="00721036" w:rsidRDefault="00721036" w14:paraId="6269AE80" w14:textId="01E4FB07">
      <w:pPr>
        <w:ind w:right="-46"/>
        <w:jc w:val="both"/>
        <w:rPr>
          <w:rFonts w:ascii="Times New Roman" w:hAnsi="Times New Roman" w:cs="Times New Roman"/>
          <w:sz w:val="24"/>
          <w:szCs w:val="24"/>
          <w:lang w:val="en-US"/>
        </w:rPr>
      </w:pPr>
      <w:r w:rsidRPr="007C465C">
        <w:rPr>
          <w:rFonts w:ascii="Times New Roman" w:hAnsi="Times New Roman" w:cs="Times New Roman"/>
          <w:sz w:val="24"/>
          <w:szCs w:val="24"/>
          <w:lang w:val="en-US"/>
        </w:rPr>
        <w:t>For claimants in receipt of UC, this “assessment period” is one month, running from the date of their application. As a result, where salary payments shift across these periods due to weekends or bank holidays, a claimant may have two payments in one assessment period and none in another, bearing on their entitlement: this is the “non-banking day salary shift”</w:t>
      </w:r>
      <w:r w:rsidR="00AE1D86">
        <w:rPr>
          <w:rFonts w:ascii="Times New Roman" w:hAnsi="Times New Roman" w:cs="Times New Roman"/>
          <w:sz w:val="24"/>
          <w:szCs w:val="24"/>
          <w:lang w:val="en-US"/>
        </w:rPr>
        <w:t xml:space="preserve"> problem</w:t>
      </w:r>
      <w:r w:rsidRPr="007C465C">
        <w:rPr>
          <w:rFonts w:ascii="Times New Roman" w:hAnsi="Times New Roman" w:cs="Times New Roman"/>
          <w:sz w:val="24"/>
          <w:szCs w:val="24"/>
          <w:lang w:val="en-US"/>
        </w:rPr>
        <w:t xml:space="preserve">. </w:t>
      </w:r>
    </w:p>
    <w:p w:rsidRPr="007C465C" w:rsidR="00721036" w:rsidP="00721036" w:rsidRDefault="00721036" w14:paraId="2AFE340F" w14:textId="768181B1">
      <w:pPr>
        <w:jc w:val="both"/>
        <w:rPr>
          <w:rFonts w:ascii="Times New Roman" w:hAnsi="Times New Roman" w:cs="Times New Roman"/>
          <w:sz w:val="24"/>
          <w:szCs w:val="24"/>
          <w:lang w:val="en-US"/>
        </w:rPr>
      </w:pPr>
      <w:r w:rsidRPr="007C465C">
        <w:rPr>
          <w:rFonts w:ascii="Times New Roman" w:hAnsi="Times New Roman" w:cs="Times New Roman"/>
          <w:sz w:val="24"/>
          <w:szCs w:val="24"/>
          <w:lang w:val="en-US"/>
        </w:rPr>
        <w:lastRenderedPageBreak/>
        <w:t xml:space="preserve">The impact of this discrepancy is threefold. First, all respondents suffer acute “oscillation” in their monthly UC awards (para. 51). </w:t>
      </w:r>
      <w:r w:rsidRPr="007C465C" w:rsidR="00412FA1">
        <w:rPr>
          <w:rFonts w:ascii="Times New Roman" w:hAnsi="Times New Roman" w:cs="Times New Roman"/>
          <w:sz w:val="24"/>
          <w:szCs w:val="24"/>
          <w:lang w:val="en-US"/>
        </w:rPr>
        <w:t>I</w:t>
      </w:r>
      <w:r w:rsidRPr="007C465C">
        <w:rPr>
          <w:rFonts w:ascii="Times New Roman" w:hAnsi="Times New Roman" w:cs="Times New Roman"/>
          <w:sz w:val="24"/>
          <w:szCs w:val="24"/>
          <w:lang w:val="en-US"/>
        </w:rPr>
        <w:t xml:space="preserve">n some </w:t>
      </w:r>
      <w:proofErr w:type="gramStart"/>
      <w:r w:rsidRPr="007C465C">
        <w:rPr>
          <w:rFonts w:ascii="Times New Roman" w:hAnsi="Times New Roman" w:cs="Times New Roman"/>
          <w:sz w:val="24"/>
          <w:szCs w:val="24"/>
          <w:lang w:val="en-US"/>
        </w:rPr>
        <w:t>months</w:t>
      </w:r>
      <w:proofErr w:type="gramEnd"/>
      <w:r w:rsidRPr="007C465C">
        <w:rPr>
          <w:rFonts w:ascii="Times New Roman" w:hAnsi="Times New Roman" w:cs="Times New Roman"/>
          <w:sz w:val="24"/>
          <w:szCs w:val="24"/>
          <w:lang w:val="en-US"/>
        </w:rPr>
        <w:t xml:space="preserve"> the claimants receive no Universal Credit support</w:t>
      </w:r>
      <w:r w:rsidR="00AE1D86">
        <w:rPr>
          <w:rFonts w:ascii="Times New Roman" w:hAnsi="Times New Roman" w:cs="Times New Roman"/>
          <w:sz w:val="24"/>
          <w:szCs w:val="24"/>
          <w:lang w:val="en-US"/>
        </w:rPr>
        <w:t xml:space="preserve">, while in others they </w:t>
      </w:r>
      <w:r w:rsidRPr="007C465C">
        <w:rPr>
          <w:rFonts w:ascii="Times New Roman" w:hAnsi="Times New Roman" w:cs="Times New Roman"/>
          <w:sz w:val="24"/>
          <w:szCs w:val="24"/>
          <w:lang w:val="en-US"/>
        </w:rPr>
        <w:t>receive more. This leads to very significant fluctuations in real month-to-month income. Evidence from the respondents indicated that managing such variations was impacting on their ability to maintain rent payments and feed themselves and their family (para. 54).</w:t>
      </w:r>
    </w:p>
    <w:p w:rsidRPr="007C465C" w:rsidR="00721036" w:rsidP="00721036" w:rsidRDefault="00721036" w14:paraId="751FF87D" w14:textId="0DE75232">
      <w:pPr>
        <w:jc w:val="both"/>
        <w:rPr>
          <w:rFonts w:ascii="Times New Roman" w:hAnsi="Times New Roman" w:cs="Times New Roman"/>
          <w:sz w:val="24"/>
          <w:szCs w:val="24"/>
          <w:lang w:val="en-US"/>
        </w:rPr>
      </w:pPr>
      <w:r w:rsidRPr="007C465C">
        <w:rPr>
          <w:rFonts w:ascii="Times New Roman" w:hAnsi="Times New Roman" w:cs="Times New Roman"/>
          <w:sz w:val="24"/>
          <w:szCs w:val="24"/>
          <w:lang w:val="en-US"/>
        </w:rPr>
        <w:t xml:space="preserve">Second, for the months in which no payments fall into the assessment period, </w:t>
      </w:r>
      <w:r w:rsidRPr="007C465C" w:rsidR="00CD7BD3">
        <w:rPr>
          <w:rFonts w:ascii="Times New Roman" w:hAnsi="Times New Roman" w:cs="Times New Roman"/>
          <w:sz w:val="24"/>
          <w:szCs w:val="24"/>
          <w:lang w:val="en-US"/>
        </w:rPr>
        <w:t>all</w:t>
      </w:r>
      <w:r w:rsidRPr="007C465C">
        <w:rPr>
          <w:rFonts w:ascii="Times New Roman" w:hAnsi="Times New Roman" w:cs="Times New Roman"/>
          <w:sz w:val="24"/>
          <w:szCs w:val="24"/>
          <w:lang w:val="en-US"/>
        </w:rPr>
        <w:t xml:space="preserve"> the respondents lose access to the UC work allowance: a feature</w:t>
      </w:r>
      <w:r w:rsidRPr="007C465C" w:rsidR="00AD3A75">
        <w:rPr>
          <w:rFonts w:ascii="Times New Roman" w:hAnsi="Times New Roman" w:cs="Times New Roman"/>
          <w:sz w:val="24"/>
          <w:szCs w:val="24"/>
          <w:lang w:val="en-US"/>
        </w:rPr>
        <w:t xml:space="preserve">, designed to </w:t>
      </w:r>
      <w:proofErr w:type="spellStart"/>
      <w:r w:rsidRPr="007C465C" w:rsidR="00AD3A75">
        <w:rPr>
          <w:rFonts w:ascii="Times New Roman" w:hAnsi="Times New Roman" w:cs="Times New Roman"/>
          <w:sz w:val="24"/>
          <w:szCs w:val="24"/>
          <w:lang w:val="en-US"/>
        </w:rPr>
        <w:t>incentivise</w:t>
      </w:r>
      <w:proofErr w:type="spellEnd"/>
      <w:r w:rsidRPr="007C465C" w:rsidR="00AD3A75">
        <w:rPr>
          <w:rFonts w:ascii="Times New Roman" w:hAnsi="Times New Roman" w:cs="Times New Roman"/>
          <w:sz w:val="24"/>
          <w:szCs w:val="24"/>
          <w:lang w:val="en-US"/>
        </w:rPr>
        <w:t xml:space="preserve"> work,</w:t>
      </w:r>
      <w:r w:rsidRPr="007C465C">
        <w:rPr>
          <w:rFonts w:ascii="Times New Roman" w:hAnsi="Times New Roman" w:cs="Times New Roman"/>
          <w:sz w:val="24"/>
          <w:szCs w:val="24"/>
          <w:lang w:val="en-US"/>
        </w:rPr>
        <w:t xml:space="preserve"> where claimants keep a fixed amount of their earned income. This is a significant and irretrievable loss. </w:t>
      </w:r>
      <w:r w:rsidR="00CD7BD3">
        <w:rPr>
          <w:rFonts w:ascii="Times New Roman" w:hAnsi="Times New Roman" w:cs="Times New Roman"/>
          <w:sz w:val="24"/>
          <w:szCs w:val="24"/>
          <w:lang w:val="en-US"/>
        </w:rPr>
        <w:t>F</w:t>
      </w:r>
      <w:r w:rsidRPr="007C465C">
        <w:rPr>
          <w:rFonts w:ascii="Times New Roman" w:hAnsi="Times New Roman" w:cs="Times New Roman"/>
          <w:sz w:val="24"/>
          <w:szCs w:val="24"/>
          <w:lang w:val="en-US"/>
        </w:rPr>
        <w:t>our “non-ba</w:t>
      </w:r>
      <w:r w:rsidR="00CD7BD3">
        <w:rPr>
          <w:rFonts w:ascii="Times New Roman" w:hAnsi="Times New Roman" w:cs="Times New Roman"/>
          <w:sz w:val="24"/>
          <w:szCs w:val="24"/>
          <w:lang w:val="en-US"/>
        </w:rPr>
        <w:t>n</w:t>
      </w:r>
      <w:r w:rsidRPr="007C465C">
        <w:rPr>
          <w:rFonts w:ascii="Times New Roman" w:hAnsi="Times New Roman" w:cs="Times New Roman"/>
          <w:sz w:val="24"/>
          <w:szCs w:val="24"/>
          <w:lang w:val="en-US"/>
        </w:rPr>
        <w:t>king day salary shifts” in a year</w:t>
      </w:r>
      <w:r w:rsidR="00CD7BD3">
        <w:rPr>
          <w:rFonts w:ascii="Times New Roman" w:hAnsi="Times New Roman" w:cs="Times New Roman"/>
          <w:sz w:val="24"/>
          <w:szCs w:val="24"/>
          <w:lang w:val="en-US"/>
        </w:rPr>
        <w:t xml:space="preserve"> would result in a </w:t>
      </w:r>
      <w:r w:rsidRPr="007C465C">
        <w:rPr>
          <w:rFonts w:ascii="Times New Roman" w:hAnsi="Times New Roman" w:cs="Times New Roman"/>
          <w:sz w:val="24"/>
          <w:szCs w:val="24"/>
          <w:lang w:val="en-US"/>
        </w:rPr>
        <w:t>£1,168</w:t>
      </w:r>
      <w:r w:rsidR="00CD7BD3">
        <w:rPr>
          <w:rFonts w:ascii="Times New Roman" w:hAnsi="Times New Roman" w:cs="Times New Roman"/>
          <w:sz w:val="24"/>
          <w:szCs w:val="24"/>
          <w:lang w:val="en-US"/>
        </w:rPr>
        <w:t xml:space="preserve"> loss</w:t>
      </w:r>
      <w:r w:rsidRPr="007C465C">
        <w:rPr>
          <w:rFonts w:ascii="Times New Roman" w:hAnsi="Times New Roman" w:cs="Times New Roman"/>
          <w:sz w:val="24"/>
          <w:szCs w:val="24"/>
          <w:lang w:val="en-US"/>
        </w:rPr>
        <w:t>, based on April 2020 applicable work allowances (para. 61).</w:t>
      </w:r>
    </w:p>
    <w:p w:rsidRPr="007C465C" w:rsidR="00721036" w:rsidP="00721036" w:rsidRDefault="00721036" w14:paraId="668CD9D4" w14:textId="3866DD5F">
      <w:pPr>
        <w:jc w:val="both"/>
        <w:rPr>
          <w:rFonts w:ascii="Times New Roman" w:hAnsi="Times New Roman" w:cs="Times New Roman"/>
          <w:sz w:val="24"/>
          <w:szCs w:val="24"/>
          <w:lang w:val="en-US"/>
        </w:rPr>
      </w:pPr>
      <w:r w:rsidRPr="007C465C">
        <w:rPr>
          <w:rFonts w:ascii="Times New Roman" w:hAnsi="Times New Roman" w:cs="Times New Roman"/>
          <w:sz w:val="24"/>
          <w:szCs w:val="24"/>
          <w:lang w:val="en-US"/>
        </w:rPr>
        <w:t xml:space="preserve">Third, in the month where no earnings fall within an assessment period, the respondents would not benefit from the exemption from the so-called “benefit cap” laid out in Regulation 82 Universal Credit Regulations 2013/376. </w:t>
      </w:r>
      <w:r w:rsidR="00FD17D2">
        <w:rPr>
          <w:rFonts w:ascii="Times New Roman" w:hAnsi="Times New Roman" w:cs="Times New Roman"/>
          <w:sz w:val="24"/>
          <w:szCs w:val="24"/>
          <w:lang w:val="en-US"/>
        </w:rPr>
        <w:t>I</w:t>
      </w:r>
      <w:r w:rsidRPr="007C465C">
        <w:rPr>
          <w:rFonts w:ascii="Times New Roman" w:hAnsi="Times New Roman" w:cs="Times New Roman"/>
          <w:sz w:val="24"/>
          <w:szCs w:val="24"/>
          <w:lang w:val="en-US"/>
        </w:rPr>
        <w:t xml:space="preserve">f a claimant’s earned income in respect of an assessment period is equal or greater than 16 hours per week at the national minimum wage, they are exempted from the application of the cap. </w:t>
      </w:r>
      <w:r w:rsidR="00FD17D2">
        <w:rPr>
          <w:rFonts w:ascii="Times New Roman" w:hAnsi="Times New Roman" w:cs="Times New Roman"/>
          <w:sz w:val="24"/>
          <w:szCs w:val="24"/>
          <w:lang w:val="en-US"/>
        </w:rPr>
        <w:t xml:space="preserve">This issue did not directly impact respondents in this appeal as </w:t>
      </w:r>
      <w:r w:rsidRPr="007C465C">
        <w:rPr>
          <w:rFonts w:ascii="Times New Roman" w:hAnsi="Times New Roman" w:cs="Times New Roman"/>
          <w:sz w:val="24"/>
          <w:szCs w:val="24"/>
          <w:lang w:val="en-US"/>
        </w:rPr>
        <w:t>their receipt of relevant benefits fell below the amount required for the cap to bite, but it remained a possibility in the future (para. 64).</w:t>
      </w:r>
    </w:p>
    <w:p w:rsidRPr="007C465C" w:rsidR="00721036" w:rsidP="00721036" w:rsidRDefault="00721036" w14:paraId="448D951F" w14:textId="4D3394F4">
      <w:pPr>
        <w:jc w:val="both"/>
        <w:rPr>
          <w:rFonts w:ascii="Times New Roman" w:hAnsi="Times New Roman" w:cs="Times New Roman"/>
          <w:sz w:val="24"/>
          <w:szCs w:val="24"/>
          <w:lang w:val="en-US"/>
        </w:rPr>
      </w:pPr>
      <w:r w:rsidRPr="007C465C">
        <w:rPr>
          <w:rFonts w:ascii="Times New Roman" w:hAnsi="Times New Roman" w:cs="Times New Roman"/>
          <w:sz w:val="24"/>
          <w:szCs w:val="24"/>
          <w:lang w:val="en-US"/>
        </w:rPr>
        <w:t>The SSWP accepted that the effect on the respondents</w:t>
      </w:r>
      <w:r w:rsidRPr="007C465C" w:rsidR="001A45DD">
        <w:rPr>
          <w:rFonts w:ascii="Times New Roman" w:hAnsi="Times New Roman" w:cs="Times New Roman"/>
          <w:sz w:val="24"/>
          <w:szCs w:val="24"/>
          <w:lang w:val="en-US"/>
        </w:rPr>
        <w:t xml:space="preserve"> is</w:t>
      </w:r>
      <w:r w:rsidRPr="007C465C">
        <w:rPr>
          <w:rFonts w:ascii="Times New Roman" w:hAnsi="Times New Roman" w:cs="Times New Roman"/>
          <w:sz w:val="24"/>
          <w:szCs w:val="24"/>
          <w:lang w:val="en-US"/>
        </w:rPr>
        <w:t xml:space="preserve"> “arbitrary”, “unfortunate”, “challenging”, and furthers no policy</w:t>
      </w:r>
      <w:r w:rsidR="00FD17D2">
        <w:rPr>
          <w:rFonts w:ascii="Times New Roman" w:hAnsi="Times New Roman" w:cs="Times New Roman"/>
          <w:sz w:val="24"/>
          <w:szCs w:val="24"/>
          <w:lang w:val="en-US"/>
        </w:rPr>
        <w:t xml:space="preserve"> objective of UC</w:t>
      </w:r>
      <w:r w:rsidRPr="007C465C">
        <w:rPr>
          <w:rFonts w:ascii="Times New Roman" w:hAnsi="Times New Roman" w:cs="Times New Roman"/>
          <w:sz w:val="24"/>
          <w:szCs w:val="24"/>
          <w:lang w:val="en-US"/>
        </w:rPr>
        <w:t xml:space="preserve"> (para.68). Instead, they argue that the impact is a necessary consequence of maintaining an automated system without “manual intervention” and that “bright lines” are needed for the UC system to operate coherently (para. 68). They submitted that to </w:t>
      </w:r>
      <w:r w:rsidRPr="007C465C" w:rsidR="001A45DD">
        <w:rPr>
          <w:rFonts w:ascii="Times New Roman" w:hAnsi="Times New Roman" w:cs="Times New Roman"/>
          <w:sz w:val="24"/>
          <w:szCs w:val="24"/>
          <w:lang w:val="en-US"/>
        </w:rPr>
        <w:t>rework the computer system</w:t>
      </w:r>
      <w:r w:rsidRPr="007C465C">
        <w:rPr>
          <w:rFonts w:ascii="Times New Roman" w:hAnsi="Times New Roman" w:cs="Times New Roman"/>
          <w:sz w:val="24"/>
          <w:szCs w:val="24"/>
          <w:lang w:val="en-US"/>
        </w:rPr>
        <w:t xml:space="preserve"> to account for the circumstances of the respondents would cost at least £7.35 million and require a new version of the UC system’s in-built income calculator to be “essentially rebuilt from scratch” (para. 78). The only other alternative was to move away from the automated system to one rooted in greater manual calculation by a DWP officer: the antithesis of the UC regime.</w:t>
      </w:r>
    </w:p>
    <w:p w:rsidRPr="007C465C" w:rsidR="00721036" w:rsidP="00721036" w:rsidRDefault="00721036" w14:paraId="59C3E20A" w14:textId="11B4A94A">
      <w:pPr>
        <w:ind w:right="-46"/>
        <w:jc w:val="both"/>
        <w:rPr>
          <w:rFonts w:ascii="Times New Roman" w:hAnsi="Times New Roman" w:cs="Times New Roman"/>
          <w:sz w:val="24"/>
          <w:szCs w:val="24"/>
          <w:lang w:val="en-US"/>
        </w:rPr>
      </w:pPr>
      <w:r w:rsidRPr="007C465C">
        <w:rPr>
          <w:rFonts w:ascii="Times New Roman" w:hAnsi="Times New Roman" w:cs="Times New Roman"/>
          <w:sz w:val="24"/>
          <w:szCs w:val="24"/>
          <w:lang w:val="en-US"/>
        </w:rPr>
        <w:t>In the divisional court, the judgment dealt principally with the interpretation of regulation 54(1), concluding that – on a proper construction, resting on the interpretation of “in respect of” and “based on” in the regulation – the circumstances of the claimants should be accounted for (</w:t>
      </w:r>
      <w:r w:rsidRPr="007C465C" w:rsidR="00AD3198">
        <w:rPr>
          <w:rFonts w:ascii="Times New Roman" w:hAnsi="Times New Roman" w:cs="Times New Roman"/>
          <w:i/>
          <w:iCs/>
          <w:color w:val="000000" w:themeColor="text1"/>
          <w:sz w:val="24"/>
          <w:szCs w:val="24"/>
          <w:lang w:val="en-US"/>
        </w:rPr>
        <w:t>R. (on the application of Johnson) v Secretary of State for Work and Pensions</w:t>
      </w:r>
      <w:r w:rsidRPr="007C465C" w:rsidR="00AD3198">
        <w:rPr>
          <w:rFonts w:ascii="Times New Roman" w:hAnsi="Times New Roman" w:cs="Times New Roman"/>
          <w:sz w:val="24"/>
          <w:szCs w:val="24"/>
          <w:lang w:val="en-US"/>
        </w:rPr>
        <w:t xml:space="preserve"> [2019] EWHC 23 (Admin) paras. 68-70</w:t>
      </w:r>
      <w:r w:rsidRPr="007C465C">
        <w:rPr>
          <w:rFonts w:ascii="Times New Roman" w:hAnsi="Times New Roman" w:cs="Times New Roman"/>
          <w:sz w:val="24"/>
          <w:szCs w:val="24"/>
          <w:lang w:val="en-US"/>
        </w:rPr>
        <w:t xml:space="preserve">). This argument was dismissed by the EWCA, determining that such an interpretation would </w:t>
      </w:r>
      <w:proofErr w:type="spellStart"/>
      <w:r w:rsidRPr="007C465C">
        <w:rPr>
          <w:rFonts w:ascii="Times New Roman" w:hAnsi="Times New Roman" w:cs="Times New Roman"/>
          <w:sz w:val="24"/>
          <w:szCs w:val="24"/>
          <w:lang w:val="en-US"/>
        </w:rPr>
        <w:t>jeopardise</w:t>
      </w:r>
      <w:proofErr w:type="spellEnd"/>
      <w:r w:rsidRPr="007C465C">
        <w:rPr>
          <w:rFonts w:ascii="Times New Roman" w:hAnsi="Times New Roman" w:cs="Times New Roman"/>
          <w:sz w:val="24"/>
          <w:szCs w:val="24"/>
          <w:lang w:val="en-US"/>
        </w:rPr>
        <w:t xml:space="preserve"> the automated calculation of income under the UC system to such an extent that it “substantially </w:t>
      </w:r>
      <w:proofErr w:type="spellStart"/>
      <w:r w:rsidRPr="007C465C">
        <w:rPr>
          <w:rFonts w:ascii="Times New Roman" w:hAnsi="Times New Roman" w:cs="Times New Roman"/>
          <w:sz w:val="24"/>
          <w:szCs w:val="24"/>
          <w:lang w:val="en-US"/>
        </w:rPr>
        <w:t>undermin</w:t>
      </w:r>
      <w:proofErr w:type="spellEnd"/>
      <w:r w:rsidRPr="007C465C">
        <w:rPr>
          <w:rFonts w:ascii="Times New Roman" w:hAnsi="Times New Roman" w:cs="Times New Roman"/>
          <w:sz w:val="24"/>
          <w:szCs w:val="24"/>
          <w:lang w:val="en-US"/>
        </w:rPr>
        <w:t>[ed] the scheme as Parliament intended it” (para.35).</w:t>
      </w:r>
    </w:p>
    <w:p w:rsidRPr="007C465C" w:rsidR="00C24F66" w:rsidP="00C24F66" w:rsidRDefault="00454833" w14:paraId="0BBF3ED9" w14:textId="3F2AA5DD">
      <w:pPr>
        <w:ind w:right="-46"/>
        <w:jc w:val="both"/>
        <w:rPr>
          <w:rFonts w:ascii="Times New Roman" w:hAnsi="Times New Roman" w:cs="Times New Roman"/>
          <w:sz w:val="24"/>
          <w:szCs w:val="24"/>
          <w:lang w:val="en-US"/>
        </w:rPr>
      </w:pPr>
      <w:r w:rsidRPr="007C465C">
        <w:rPr>
          <w:rFonts w:ascii="Times New Roman" w:hAnsi="Times New Roman" w:cs="Times New Roman"/>
          <w:sz w:val="24"/>
          <w:szCs w:val="24"/>
          <w:lang w:val="en-US"/>
        </w:rPr>
        <w:t>The focus of the EWCA was instead on the irrationality ground.</w:t>
      </w:r>
      <w:r w:rsidRPr="007C465C" w:rsidR="00721036">
        <w:rPr>
          <w:rFonts w:ascii="Times New Roman" w:hAnsi="Times New Roman" w:cs="Times New Roman"/>
          <w:sz w:val="24"/>
          <w:szCs w:val="24"/>
          <w:lang w:val="en-US"/>
        </w:rPr>
        <w:t xml:space="preserve"> </w:t>
      </w:r>
      <w:r w:rsidRPr="007C465C" w:rsidR="00C6743B">
        <w:rPr>
          <w:rFonts w:ascii="Times New Roman" w:hAnsi="Times New Roman" w:cs="Times New Roman"/>
          <w:sz w:val="24"/>
          <w:szCs w:val="24"/>
          <w:lang w:val="en-US"/>
        </w:rPr>
        <w:t xml:space="preserve">“Entirely agreeing” with </w:t>
      </w:r>
      <w:r w:rsidRPr="007C465C" w:rsidR="00C24F66">
        <w:rPr>
          <w:rFonts w:ascii="Times New Roman" w:hAnsi="Times New Roman" w:cs="Times New Roman"/>
          <w:sz w:val="24"/>
          <w:szCs w:val="24"/>
          <w:lang w:val="en-US"/>
        </w:rPr>
        <w:t xml:space="preserve">the respondents’ </w:t>
      </w:r>
      <w:proofErr w:type="spellStart"/>
      <w:r w:rsidRPr="007C465C" w:rsidR="00C24F66">
        <w:rPr>
          <w:rFonts w:ascii="Times New Roman" w:hAnsi="Times New Roman" w:cs="Times New Roman"/>
          <w:sz w:val="24"/>
          <w:szCs w:val="24"/>
          <w:lang w:val="en-US"/>
        </w:rPr>
        <w:t>characteri</w:t>
      </w:r>
      <w:r w:rsidRPr="007C465C" w:rsidR="004D6A5A">
        <w:rPr>
          <w:rFonts w:ascii="Times New Roman" w:hAnsi="Times New Roman" w:cs="Times New Roman"/>
          <w:sz w:val="24"/>
          <w:szCs w:val="24"/>
          <w:lang w:val="en-US"/>
        </w:rPr>
        <w:t>s</w:t>
      </w:r>
      <w:r w:rsidRPr="007C465C" w:rsidR="00C24F66">
        <w:rPr>
          <w:rFonts w:ascii="Times New Roman" w:hAnsi="Times New Roman" w:cs="Times New Roman"/>
          <w:sz w:val="24"/>
          <w:szCs w:val="24"/>
          <w:lang w:val="en-US"/>
        </w:rPr>
        <w:t>ation</w:t>
      </w:r>
      <w:proofErr w:type="spellEnd"/>
      <w:r w:rsidRPr="007C465C" w:rsidR="00C24F66">
        <w:rPr>
          <w:rFonts w:ascii="Times New Roman" w:hAnsi="Times New Roman" w:cs="Times New Roman"/>
          <w:sz w:val="24"/>
          <w:szCs w:val="24"/>
          <w:lang w:val="en-US"/>
        </w:rPr>
        <w:t xml:space="preserve"> of the anomaly as “odd in the extreme” (para.46), Rose LJ considered that the </w:t>
      </w:r>
      <w:proofErr w:type="spellStart"/>
      <w:r w:rsidRPr="007C465C" w:rsidR="00C24F66">
        <w:rPr>
          <w:rFonts w:ascii="Times New Roman" w:hAnsi="Times New Roman" w:cs="Times New Roman"/>
          <w:i/>
          <w:iCs/>
          <w:sz w:val="24"/>
          <w:szCs w:val="24"/>
          <w:lang w:val="en-US"/>
        </w:rPr>
        <w:t>Wednesbury</w:t>
      </w:r>
      <w:proofErr w:type="spellEnd"/>
      <w:r w:rsidRPr="007C465C" w:rsidR="00C24F66">
        <w:rPr>
          <w:rFonts w:ascii="Times New Roman" w:hAnsi="Times New Roman" w:cs="Times New Roman"/>
          <w:i/>
          <w:iCs/>
          <w:sz w:val="24"/>
          <w:szCs w:val="24"/>
          <w:lang w:val="en-US"/>
        </w:rPr>
        <w:t xml:space="preserve"> reasonable</w:t>
      </w:r>
      <w:r w:rsidR="00F66ADD">
        <w:rPr>
          <w:rFonts w:ascii="Times New Roman" w:hAnsi="Times New Roman" w:cs="Times New Roman"/>
          <w:i/>
          <w:iCs/>
          <w:sz w:val="24"/>
          <w:szCs w:val="24"/>
          <w:lang w:val="en-US"/>
        </w:rPr>
        <w:t>ne</w:t>
      </w:r>
      <w:r w:rsidRPr="007C465C" w:rsidR="00C24F66">
        <w:rPr>
          <w:rFonts w:ascii="Times New Roman" w:hAnsi="Times New Roman" w:cs="Times New Roman"/>
          <w:i/>
          <w:iCs/>
          <w:sz w:val="24"/>
          <w:szCs w:val="24"/>
          <w:lang w:val="en-US"/>
        </w:rPr>
        <w:t xml:space="preserve">ss </w:t>
      </w:r>
      <w:r w:rsidR="00FD17D2">
        <w:rPr>
          <w:rFonts w:ascii="Times New Roman" w:hAnsi="Times New Roman" w:cs="Times New Roman"/>
          <w:sz w:val="24"/>
          <w:szCs w:val="24"/>
          <w:lang w:val="en-US"/>
        </w:rPr>
        <w:t>threshold</w:t>
      </w:r>
      <w:r w:rsidRPr="007C465C" w:rsidR="00C24F66">
        <w:rPr>
          <w:rFonts w:ascii="Times New Roman" w:hAnsi="Times New Roman" w:cs="Times New Roman"/>
          <w:sz w:val="24"/>
          <w:szCs w:val="24"/>
          <w:lang w:val="en-US"/>
        </w:rPr>
        <w:t xml:space="preserve"> should be applied, drawing on the formulation in </w:t>
      </w:r>
      <w:r w:rsidRPr="007C465C" w:rsidR="00C24F66">
        <w:rPr>
          <w:rFonts w:ascii="Times New Roman" w:hAnsi="Times New Roman" w:cs="Times New Roman"/>
          <w:i/>
          <w:iCs/>
          <w:sz w:val="24"/>
          <w:szCs w:val="24"/>
          <w:lang w:val="en-US"/>
        </w:rPr>
        <w:t xml:space="preserve">R (Law Society) v Lord Chancellor </w:t>
      </w:r>
      <w:r w:rsidRPr="007C465C" w:rsidR="00C24F66">
        <w:rPr>
          <w:rFonts w:ascii="Times New Roman" w:hAnsi="Times New Roman" w:cs="Times New Roman"/>
          <w:sz w:val="24"/>
          <w:szCs w:val="24"/>
          <w:lang w:val="en-US"/>
        </w:rPr>
        <w:t>[2018] EWHC 2094 (Admin) that asks “whether the decision is outside the range of reasonable decisions open to the decision-maker” (para.48). The decision at issue was:</w:t>
      </w:r>
    </w:p>
    <w:p w:rsidRPr="007C465C" w:rsidR="00C24F66" w:rsidP="0097767B" w:rsidRDefault="00C24F66" w14:paraId="721FB6BC" w14:textId="112206C4">
      <w:pPr>
        <w:ind w:left="567" w:right="804"/>
        <w:jc w:val="both"/>
        <w:rPr>
          <w:rFonts w:ascii="Times New Roman" w:hAnsi="Times New Roman" w:cs="Times New Roman"/>
          <w:sz w:val="24"/>
          <w:szCs w:val="24"/>
          <w:lang w:val="en-US"/>
        </w:rPr>
      </w:pPr>
      <w:r w:rsidRPr="007C465C">
        <w:rPr>
          <w:rFonts w:ascii="Times New Roman" w:hAnsi="Times New Roman" w:cs="Times New Roman"/>
          <w:sz w:val="24"/>
          <w:szCs w:val="24"/>
          <w:lang w:val="en-US"/>
        </w:rPr>
        <w:lastRenderedPageBreak/>
        <w:t>“…the initial and ongoing failure of the SSWP to include in the Regulations a further express adjustment to avoid the consequence of the combination of the non-banking day salary shift and the application of regulation 54” (para.47).</w:t>
      </w:r>
    </w:p>
    <w:p w:rsidRPr="007C465C" w:rsidR="00C6743B" w:rsidP="00B74E9F" w:rsidRDefault="00C6743B" w14:paraId="73AF9E4C" w14:textId="6F0C9046">
      <w:pPr>
        <w:jc w:val="both"/>
        <w:rPr>
          <w:rFonts w:ascii="Times New Roman" w:hAnsi="Times New Roman" w:cs="Times New Roman"/>
          <w:sz w:val="24"/>
          <w:szCs w:val="24"/>
          <w:lang w:val="en-US"/>
        </w:rPr>
      </w:pPr>
      <w:r w:rsidRPr="007C465C">
        <w:rPr>
          <w:rFonts w:ascii="Times New Roman" w:hAnsi="Times New Roman" w:cs="Times New Roman"/>
          <w:sz w:val="24"/>
          <w:szCs w:val="24"/>
          <w:lang w:val="en-US"/>
        </w:rPr>
        <w:t xml:space="preserve">The court concluded that, although threshold for “establishing irrationality is very high” this case was “one of the rare instances” that passed it. The SSWP’s refusal to put in place a solution to the problem is so irrational that “no reasonable SSWP would have struck the balance in that way” (para. 107). </w:t>
      </w:r>
    </w:p>
    <w:p w:rsidRPr="007C465C" w:rsidR="00B74E9F" w:rsidP="00B74E9F" w:rsidRDefault="00B74E9F" w14:paraId="6EAEF8CD" w14:textId="3EAFD03F">
      <w:pPr>
        <w:jc w:val="both"/>
        <w:rPr>
          <w:rFonts w:ascii="Times New Roman" w:hAnsi="Times New Roman" w:cs="Times New Roman"/>
          <w:sz w:val="24"/>
          <w:szCs w:val="24"/>
          <w:lang w:val="en-US"/>
        </w:rPr>
      </w:pPr>
      <w:r w:rsidRPr="007C465C">
        <w:rPr>
          <w:rFonts w:ascii="Times New Roman" w:hAnsi="Times New Roman" w:cs="Times New Roman"/>
          <w:sz w:val="24"/>
          <w:szCs w:val="24"/>
          <w:lang w:val="en-US"/>
        </w:rPr>
        <w:t xml:space="preserve">This </w:t>
      </w:r>
      <w:r w:rsidRPr="007C465C" w:rsidR="00C6743B">
        <w:rPr>
          <w:rFonts w:ascii="Times New Roman" w:hAnsi="Times New Roman" w:cs="Times New Roman"/>
          <w:sz w:val="24"/>
          <w:szCs w:val="24"/>
          <w:lang w:val="en-US"/>
        </w:rPr>
        <w:t xml:space="preserve">argument of the SSWP that such an accommodation would </w:t>
      </w:r>
      <w:proofErr w:type="spellStart"/>
      <w:r w:rsidRPr="007C465C" w:rsidR="00C6743B">
        <w:rPr>
          <w:rFonts w:ascii="Times New Roman" w:hAnsi="Times New Roman" w:cs="Times New Roman"/>
          <w:sz w:val="24"/>
          <w:szCs w:val="24"/>
          <w:lang w:val="en-US"/>
        </w:rPr>
        <w:t>jeopardise</w:t>
      </w:r>
      <w:proofErr w:type="spellEnd"/>
      <w:r w:rsidRPr="007C465C" w:rsidR="00C6743B">
        <w:rPr>
          <w:rFonts w:ascii="Times New Roman" w:hAnsi="Times New Roman" w:cs="Times New Roman"/>
          <w:sz w:val="24"/>
          <w:szCs w:val="24"/>
          <w:lang w:val="en-US"/>
        </w:rPr>
        <w:t xml:space="preserve"> the coherency of the computer system was rejected</w:t>
      </w:r>
      <w:r w:rsidRPr="007C465C">
        <w:rPr>
          <w:rFonts w:ascii="Times New Roman" w:hAnsi="Times New Roman" w:cs="Times New Roman"/>
          <w:sz w:val="24"/>
          <w:szCs w:val="24"/>
          <w:lang w:val="en-US"/>
        </w:rPr>
        <w:t xml:space="preserve">. Rose LJ concluded that: “I cannot accept that the </w:t>
      </w:r>
      <w:proofErr w:type="spellStart"/>
      <w:r w:rsidRPr="007C465C">
        <w:rPr>
          <w:rFonts w:ascii="Times New Roman" w:hAnsi="Times New Roman" w:cs="Times New Roman"/>
          <w:sz w:val="24"/>
          <w:szCs w:val="24"/>
          <w:lang w:val="en-US"/>
        </w:rPr>
        <w:t>programme</w:t>
      </w:r>
      <w:proofErr w:type="spellEnd"/>
      <w:r w:rsidRPr="007C465C">
        <w:rPr>
          <w:rFonts w:ascii="Times New Roman" w:hAnsi="Times New Roman" w:cs="Times New Roman"/>
          <w:sz w:val="24"/>
          <w:szCs w:val="24"/>
          <w:lang w:val="en-US"/>
        </w:rPr>
        <w:t xml:space="preserve"> cannot be modified to ensure that the computer can recognize that the end of date of a particular claimant’s assessment period coincides with their salary date” to avoid two payments within one assessment period (para. 82). Indeed, the UC regulations </w:t>
      </w:r>
      <w:r w:rsidR="00F66ADD">
        <w:rPr>
          <w:rFonts w:ascii="Times New Roman" w:hAnsi="Times New Roman" w:cs="Times New Roman"/>
          <w:sz w:val="24"/>
          <w:szCs w:val="24"/>
          <w:lang w:val="en-US"/>
        </w:rPr>
        <w:t>bears the</w:t>
      </w:r>
      <w:r w:rsidRPr="007C465C">
        <w:rPr>
          <w:rFonts w:ascii="Times New Roman" w:hAnsi="Times New Roman" w:cs="Times New Roman"/>
          <w:sz w:val="24"/>
          <w:szCs w:val="24"/>
          <w:lang w:val="en-US"/>
        </w:rPr>
        <w:t xml:space="preserve"> scars of multiple</w:t>
      </w:r>
      <w:r w:rsidR="00F66ADD">
        <w:rPr>
          <w:rFonts w:ascii="Times New Roman" w:hAnsi="Times New Roman" w:cs="Times New Roman"/>
          <w:sz w:val="24"/>
          <w:szCs w:val="24"/>
          <w:lang w:val="en-US"/>
        </w:rPr>
        <w:t xml:space="preserve">, complex </w:t>
      </w:r>
      <w:r w:rsidRPr="007C465C">
        <w:rPr>
          <w:rFonts w:ascii="Times New Roman" w:hAnsi="Times New Roman" w:cs="Times New Roman"/>
          <w:sz w:val="24"/>
          <w:szCs w:val="24"/>
          <w:lang w:val="en-US"/>
        </w:rPr>
        <w:t>amendments.</w:t>
      </w:r>
      <w:r w:rsidRPr="007C465C" w:rsidR="00CB2810">
        <w:rPr>
          <w:rFonts w:ascii="Times New Roman" w:hAnsi="Times New Roman" w:cs="Times New Roman"/>
          <w:sz w:val="24"/>
          <w:szCs w:val="24"/>
          <w:lang w:val="en-US"/>
        </w:rPr>
        <w:t xml:space="preserve"> As Rose LJ noted, surely there must be a solution “without fatally upsetting the computer”</w:t>
      </w:r>
      <w:r w:rsidRPr="007C465C" w:rsidR="00065D2A">
        <w:rPr>
          <w:rFonts w:ascii="Times New Roman" w:hAnsi="Times New Roman" w:cs="Times New Roman"/>
          <w:sz w:val="24"/>
          <w:szCs w:val="24"/>
          <w:lang w:val="en-US"/>
        </w:rPr>
        <w:t xml:space="preserve"> (para. 83).</w:t>
      </w:r>
    </w:p>
    <w:p w:rsidRPr="007C465C" w:rsidR="00091E47" w:rsidP="00B74E9F" w:rsidRDefault="00CD2B8D" w14:paraId="683CC976" w14:textId="666A7C75">
      <w:pPr>
        <w:jc w:val="both"/>
        <w:rPr>
          <w:rFonts w:ascii="Times New Roman" w:hAnsi="Times New Roman" w:cs="Times New Roman"/>
          <w:sz w:val="24"/>
          <w:szCs w:val="24"/>
          <w:lang w:val="en-US"/>
        </w:rPr>
      </w:pPr>
      <w:r w:rsidRPr="007C465C">
        <w:rPr>
          <w:rFonts w:ascii="Times New Roman" w:hAnsi="Times New Roman" w:cs="Times New Roman"/>
          <w:sz w:val="24"/>
          <w:szCs w:val="24"/>
          <w:lang w:val="en-US"/>
        </w:rPr>
        <w:t xml:space="preserve">In applying the threshold for </w:t>
      </w:r>
      <w:proofErr w:type="spellStart"/>
      <w:r w:rsidRPr="007C465C">
        <w:rPr>
          <w:rFonts w:ascii="Times New Roman" w:hAnsi="Times New Roman" w:cs="Times New Roman"/>
          <w:i/>
          <w:iCs/>
          <w:sz w:val="24"/>
          <w:szCs w:val="24"/>
          <w:lang w:val="en-US"/>
        </w:rPr>
        <w:t>Wednesbury</w:t>
      </w:r>
      <w:proofErr w:type="spellEnd"/>
      <w:r w:rsidRPr="007C465C">
        <w:rPr>
          <w:rFonts w:ascii="Times New Roman" w:hAnsi="Times New Roman" w:cs="Times New Roman"/>
          <w:i/>
          <w:iCs/>
          <w:sz w:val="24"/>
          <w:szCs w:val="24"/>
          <w:lang w:val="en-US"/>
        </w:rPr>
        <w:t xml:space="preserve"> unreasonableness</w:t>
      </w:r>
      <w:r w:rsidRPr="007C465C">
        <w:rPr>
          <w:rFonts w:ascii="Times New Roman" w:hAnsi="Times New Roman" w:cs="Times New Roman"/>
          <w:sz w:val="24"/>
          <w:szCs w:val="24"/>
          <w:lang w:val="en-US"/>
        </w:rPr>
        <w:t xml:space="preserve"> the </w:t>
      </w:r>
      <w:r w:rsidRPr="007C465C" w:rsidR="002A4D5D">
        <w:rPr>
          <w:rFonts w:ascii="Times New Roman" w:hAnsi="Times New Roman" w:cs="Times New Roman"/>
          <w:sz w:val="24"/>
          <w:szCs w:val="24"/>
          <w:lang w:val="en-US"/>
        </w:rPr>
        <w:t xml:space="preserve">court considered a series of other factors, particularly: the significant numbers </w:t>
      </w:r>
      <w:r w:rsidR="00F66ADD">
        <w:rPr>
          <w:rFonts w:ascii="Times New Roman" w:hAnsi="Times New Roman" w:cs="Times New Roman"/>
          <w:sz w:val="24"/>
          <w:szCs w:val="24"/>
          <w:lang w:val="en-US"/>
        </w:rPr>
        <w:t>a</w:t>
      </w:r>
      <w:r w:rsidRPr="007C465C" w:rsidR="002A4D5D">
        <w:rPr>
          <w:rFonts w:ascii="Times New Roman" w:hAnsi="Times New Roman" w:cs="Times New Roman"/>
          <w:sz w:val="24"/>
          <w:szCs w:val="24"/>
          <w:lang w:val="en-US"/>
        </w:rPr>
        <w:t>ffected (</w:t>
      </w:r>
      <w:r w:rsidR="00F900D9">
        <w:rPr>
          <w:rFonts w:ascii="Times New Roman" w:hAnsi="Times New Roman" w:cs="Times New Roman"/>
          <w:sz w:val="24"/>
          <w:szCs w:val="24"/>
          <w:lang w:val="en-US"/>
        </w:rPr>
        <w:t>approximately</w:t>
      </w:r>
      <w:r w:rsidRPr="007C465C" w:rsidR="002A4D5D">
        <w:rPr>
          <w:rFonts w:ascii="Times New Roman" w:hAnsi="Times New Roman" w:cs="Times New Roman"/>
          <w:sz w:val="24"/>
          <w:szCs w:val="24"/>
          <w:lang w:val="en-US"/>
        </w:rPr>
        <w:t xml:space="preserve"> 85,000 UC claimants), (ii) the permanent nature of the effect (a claimant cannot</w:t>
      </w:r>
      <w:r w:rsidR="00F900D9">
        <w:rPr>
          <w:rFonts w:ascii="Times New Roman" w:hAnsi="Times New Roman" w:cs="Times New Roman"/>
          <w:sz w:val="24"/>
          <w:szCs w:val="24"/>
          <w:lang w:val="en-US"/>
        </w:rPr>
        <w:t>,</w:t>
      </w:r>
      <w:r w:rsidRPr="007C465C" w:rsidR="002A4D5D">
        <w:rPr>
          <w:rFonts w:ascii="Times New Roman" w:hAnsi="Times New Roman" w:cs="Times New Roman"/>
          <w:sz w:val="24"/>
          <w:szCs w:val="24"/>
          <w:lang w:val="en-US"/>
        </w:rPr>
        <w:t xml:space="preserve"> for instance</w:t>
      </w:r>
      <w:r w:rsidR="00F900D9">
        <w:rPr>
          <w:rFonts w:ascii="Times New Roman" w:hAnsi="Times New Roman" w:cs="Times New Roman"/>
          <w:sz w:val="24"/>
          <w:szCs w:val="24"/>
          <w:lang w:val="en-US"/>
        </w:rPr>
        <w:t>,</w:t>
      </w:r>
      <w:r w:rsidRPr="007C465C" w:rsidR="002A4D5D">
        <w:rPr>
          <w:rFonts w:ascii="Times New Roman" w:hAnsi="Times New Roman" w:cs="Times New Roman"/>
          <w:sz w:val="24"/>
          <w:szCs w:val="24"/>
          <w:lang w:val="en-US"/>
        </w:rPr>
        <w:t xml:space="preserve"> simply stop</w:t>
      </w:r>
      <w:r w:rsidR="00F900D9">
        <w:rPr>
          <w:rFonts w:ascii="Times New Roman" w:hAnsi="Times New Roman" w:cs="Times New Roman"/>
          <w:sz w:val="24"/>
          <w:szCs w:val="24"/>
          <w:lang w:val="en-US"/>
        </w:rPr>
        <w:t xml:space="preserve"> </w:t>
      </w:r>
      <w:r w:rsidRPr="007C465C" w:rsidR="002A4D5D">
        <w:rPr>
          <w:rFonts w:ascii="Times New Roman" w:hAnsi="Times New Roman" w:cs="Times New Roman"/>
          <w:sz w:val="24"/>
          <w:szCs w:val="24"/>
          <w:lang w:val="en-US"/>
        </w:rPr>
        <w:t xml:space="preserve">their current claim and start a new one), and (iii) that it runs counter to the UC system’s aims by </w:t>
      </w:r>
      <w:proofErr w:type="spellStart"/>
      <w:r w:rsidRPr="007C465C" w:rsidR="002A4D5D">
        <w:rPr>
          <w:rFonts w:ascii="Times New Roman" w:hAnsi="Times New Roman" w:cs="Times New Roman"/>
          <w:sz w:val="24"/>
          <w:szCs w:val="24"/>
          <w:lang w:val="en-US"/>
        </w:rPr>
        <w:t>disincentivising</w:t>
      </w:r>
      <w:proofErr w:type="spellEnd"/>
      <w:r w:rsidRPr="007C465C" w:rsidR="002A4D5D">
        <w:rPr>
          <w:rFonts w:ascii="Times New Roman" w:hAnsi="Times New Roman" w:cs="Times New Roman"/>
          <w:sz w:val="24"/>
          <w:szCs w:val="24"/>
          <w:lang w:val="en-US"/>
        </w:rPr>
        <w:t xml:space="preserve"> work (paras. 92-10</w:t>
      </w:r>
      <w:r w:rsidRPr="007C465C" w:rsidR="00091E47">
        <w:rPr>
          <w:rFonts w:ascii="Times New Roman" w:hAnsi="Times New Roman" w:cs="Times New Roman"/>
          <w:sz w:val="24"/>
          <w:szCs w:val="24"/>
          <w:lang w:val="en-US"/>
        </w:rPr>
        <w:t>5</w:t>
      </w:r>
      <w:r w:rsidRPr="007C465C" w:rsidR="002A4D5D">
        <w:rPr>
          <w:rFonts w:ascii="Times New Roman" w:hAnsi="Times New Roman" w:cs="Times New Roman"/>
          <w:sz w:val="24"/>
          <w:szCs w:val="24"/>
          <w:lang w:val="en-US"/>
        </w:rPr>
        <w:t>).</w:t>
      </w:r>
    </w:p>
    <w:p w:rsidRPr="007C465C" w:rsidR="003941B9" w:rsidP="009F285B" w:rsidRDefault="00F1308A" w14:paraId="7B01918B" w14:textId="58B69BC1">
      <w:pPr>
        <w:jc w:val="both"/>
        <w:rPr>
          <w:rFonts w:ascii="Times New Roman" w:hAnsi="Times New Roman" w:cs="Times New Roman"/>
          <w:sz w:val="24"/>
          <w:szCs w:val="24"/>
          <w:lang w:val="en-US"/>
        </w:rPr>
      </w:pPr>
      <w:r w:rsidRPr="007C465C">
        <w:rPr>
          <w:rFonts w:ascii="Times New Roman" w:hAnsi="Times New Roman" w:cs="Times New Roman"/>
          <w:sz w:val="24"/>
          <w:szCs w:val="24"/>
          <w:lang w:val="en-US"/>
        </w:rPr>
        <w:t>This judgment</w:t>
      </w:r>
      <w:r w:rsidRPr="007C465C" w:rsidR="008B7062">
        <w:rPr>
          <w:rFonts w:ascii="Times New Roman" w:hAnsi="Times New Roman" w:cs="Times New Roman"/>
          <w:sz w:val="24"/>
          <w:szCs w:val="24"/>
          <w:lang w:val="en-US"/>
        </w:rPr>
        <w:t xml:space="preserve"> is one of a series that ha</w:t>
      </w:r>
      <w:r w:rsidRPr="007C465C" w:rsidR="0063682D">
        <w:rPr>
          <w:rFonts w:ascii="Times New Roman" w:hAnsi="Times New Roman" w:cs="Times New Roman"/>
          <w:sz w:val="24"/>
          <w:szCs w:val="24"/>
          <w:lang w:val="en-US"/>
        </w:rPr>
        <w:t>ve</w:t>
      </w:r>
      <w:r w:rsidRPr="007C465C" w:rsidR="008B7062">
        <w:rPr>
          <w:rFonts w:ascii="Times New Roman" w:hAnsi="Times New Roman" w:cs="Times New Roman"/>
          <w:sz w:val="24"/>
          <w:szCs w:val="24"/>
          <w:lang w:val="en-US"/>
        </w:rPr>
        <w:t xml:space="preserve"> confronted the functioning of UC computer systems and their respective algorithms with a public law irrationality test. </w:t>
      </w:r>
      <w:r w:rsidRPr="007C465C" w:rsidR="0063682D">
        <w:rPr>
          <w:rFonts w:ascii="Times New Roman" w:hAnsi="Times New Roman" w:cs="Times New Roman"/>
          <w:sz w:val="24"/>
          <w:szCs w:val="24"/>
          <w:lang w:val="en-US"/>
        </w:rPr>
        <w:t xml:space="preserve">The recent decision of the EWHC in </w:t>
      </w:r>
      <w:r w:rsidRPr="007C465C" w:rsidR="009863A3">
        <w:rPr>
          <w:rFonts w:ascii="Times New Roman" w:hAnsi="Times New Roman" w:cs="Times New Roman"/>
          <w:i/>
          <w:iCs/>
          <w:sz w:val="24"/>
          <w:szCs w:val="24"/>
          <w:lang w:val="en-US"/>
        </w:rPr>
        <w:t xml:space="preserve">R. (on the application of Caine) v Secretary of State for Work and Pensions </w:t>
      </w:r>
      <w:r w:rsidRPr="007C465C" w:rsidR="009863A3">
        <w:rPr>
          <w:rFonts w:ascii="Times New Roman" w:hAnsi="Times New Roman" w:cs="Times New Roman"/>
          <w:sz w:val="24"/>
          <w:szCs w:val="24"/>
          <w:lang w:val="en-US"/>
        </w:rPr>
        <w:t xml:space="preserve">[2020] EWHC 2482 (Admin) is another example of the impact of the monthly assessment period leading to perverse outcomes: in this instance, the algorithm for calculating housing costs </w:t>
      </w:r>
      <w:r w:rsidRPr="007C465C" w:rsidR="00B568D9">
        <w:rPr>
          <w:rFonts w:ascii="Times New Roman" w:hAnsi="Times New Roman" w:cs="Times New Roman"/>
          <w:sz w:val="24"/>
          <w:szCs w:val="24"/>
          <w:lang w:val="en-US"/>
        </w:rPr>
        <w:t>failing to r</w:t>
      </w:r>
      <w:r w:rsidRPr="007C465C" w:rsidR="009863A3">
        <w:rPr>
          <w:rFonts w:ascii="Times New Roman" w:hAnsi="Times New Roman" w:cs="Times New Roman"/>
          <w:sz w:val="24"/>
          <w:szCs w:val="24"/>
          <w:lang w:val="en-US"/>
        </w:rPr>
        <w:t xml:space="preserve">eflect full annual rental liability (albeit, the threshold </w:t>
      </w:r>
      <w:r w:rsidRPr="007C465C" w:rsidR="00DC0A06">
        <w:rPr>
          <w:rFonts w:ascii="Times New Roman" w:hAnsi="Times New Roman" w:cs="Times New Roman"/>
          <w:sz w:val="24"/>
          <w:szCs w:val="24"/>
          <w:lang w:val="en-US"/>
        </w:rPr>
        <w:t xml:space="preserve">for irrationality </w:t>
      </w:r>
      <w:r w:rsidRPr="007C465C" w:rsidR="009863A3">
        <w:rPr>
          <w:rFonts w:ascii="Times New Roman" w:hAnsi="Times New Roman" w:cs="Times New Roman"/>
          <w:sz w:val="24"/>
          <w:szCs w:val="24"/>
          <w:lang w:val="en-US"/>
        </w:rPr>
        <w:t>was not met (para. 210-218)</w:t>
      </w:r>
      <w:r w:rsidRPr="007C465C">
        <w:rPr>
          <w:rFonts w:ascii="Times New Roman" w:hAnsi="Times New Roman" w:cs="Times New Roman"/>
          <w:sz w:val="24"/>
          <w:szCs w:val="24"/>
          <w:lang w:val="en-US"/>
        </w:rPr>
        <w:t>)</w:t>
      </w:r>
      <w:r w:rsidRPr="007C465C" w:rsidR="009863A3">
        <w:rPr>
          <w:rFonts w:ascii="Times New Roman" w:hAnsi="Times New Roman" w:cs="Times New Roman"/>
          <w:sz w:val="24"/>
          <w:szCs w:val="24"/>
          <w:lang w:val="en-US"/>
        </w:rPr>
        <w:t>.</w:t>
      </w:r>
      <w:r w:rsidRPr="007C465C">
        <w:rPr>
          <w:rFonts w:ascii="Times New Roman" w:hAnsi="Times New Roman" w:cs="Times New Roman"/>
          <w:sz w:val="24"/>
          <w:szCs w:val="24"/>
          <w:lang w:val="en-US"/>
        </w:rPr>
        <w:t xml:space="preserve"> </w:t>
      </w:r>
      <w:r w:rsidRPr="007C465C" w:rsidR="0049741C">
        <w:rPr>
          <w:rFonts w:ascii="Times New Roman" w:hAnsi="Times New Roman" w:cs="Times New Roman"/>
          <w:sz w:val="24"/>
          <w:szCs w:val="24"/>
          <w:lang w:val="en-US"/>
        </w:rPr>
        <w:t xml:space="preserve">The SSWP’s arguments in </w:t>
      </w:r>
      <w:r w:rsidRPr="007C465C">
        <w:rPr>
          <w:rFonts w:ascii="Times New Roman" w:hAnsi="Times New Roman" w:cs="Times New Roman"/>
          <w:i/>
          <w:iCs/>
          <w:sz w:val="24"/>
          <w:szCs w:val="24"/>
          <w:lang w:val="en-US"/>
        </w:rPr>
        <w:t>Joh</w:t>
      </w:r>
      <w:r w:rsidRPr="007C465C" w:rsidR="00102FDC">
        <w:rPr>
          <w:rFonts w:ascii="Times New Roman" w:hAnsi="Times New Roman" w:cs="Times New Roman"/>
          <w:i/>
          <w:iCs/>
          <w:sz w:val="24"/>
          <w:szCs w:val="24"/>
          <w:lang w:val="en-US"/>
        </w:rPr>
        <w:t>n</w:t>
      </w:r>
      <w:r w:rsidRPr="007C465C">
        <w:rPr>
          <w:rFonts w:ascii="Times New Roman" w:hAnsi="Times New Roman" w:cs="Times New Roman"/>
          <w:i/>
          <w:iCs/>
          <w:sz w:val="24"/>
          <w:szCs w:val="24"/>
          <w:lang w:val="en-US"/>
        </w:rPr>
        <w:t xml:space="preserve">son </w:t>
      </w:r>
      <w:r w:rsidRPr="007C465C">
        <w:rPr>
          <w:rFonts w:ascii="Times New Roman" w:hAnsi="Times New Roman" w:cs="Times New Roman"/>
          <w:sz w:val="24"/>
          <w:szCs w:val="24"/>
          <w:lang w:val="en-US"/>
        </w:rPr>
        <w:t>and similar</w:t>
      </w:r>
      <w:r w:rsidRPr="007C465C" w:rsidR="0049741C">
        <w:rPr>
          <w:rFonts w:ascii="Times New Roman" w:hAnsi="Times New Roman" w:cs="Times New Roman"/>
          <w:sz w:val="24"/>
          <w:szCs w:val="24"/>
          <w:lang w:val="en-US"/>
        </w:rPr>
        <w:t xml:space="preserve"> case</w:t>
      </w:r>
      <w:r w:rsidRPr="007C465C">
        <w:rPr>
          <w:rFonts w:ascii="Times New Roman" w:hAnsi="Times New Roman" w:cs="Times New Roman"/>
          <w:sz w:val="24"/>
          <w:szCs w:val="24"/>
          <w:lang w:val="en-US"/>
        </w:rPr>
        <w:t>s like</w:t>
      </w:r>
      <w:r w:rsidRPr="007C465C" w:rsidR="003941B9">
        <w:rPr>
          <w:rFonts w:ascii="Times New Roman" w:hAnsi="Times New Roman" w:cs="Times New Roman"/>
          <w:sz w:val="24"/>
          <w:szCs w:val="24"/>
          <w:lang w:val="en-US"/>
        </w:rPr>
        <w:t xml:space="preserve"> </w:t>
      </w:r>
      <w:r w:rsidRPr="007C465C" w:rsidR="003941B9">
        <w:rPr>
          <w:rFonts w:ascii="Times New Roman" w:hAnsi="Times New Roman" w:cs="Times New Roman"/>
          <w:i/>
          <w:iCs/>
          <w:sz w:val="24"/>
          <w:szCs w:val="24"/>
          <w:lang w:val="en-US"/>
        </w:rPr>
        <w:t>Caine</w:t>
      </w:r>
      <w:r w:rsidRPr="007C465C" w:rsidR="0049741C">
        <w:rPr>
          <w:rFonts w:ascii="Times New Roman" w:hAnsi="Times New Roman" w:cs="Times New Roman"/>
          <w:sz w:val="24"/>
          <w:szCs w:val="24"/>
          <w:lang w:val="en-US"/>
        </w:rPr>
        <w:t xml:space="preserve"> are striking in their frank assessment of the trade-off at play between </w:t>
      </w:r>
      <w:r w:rsidRPr="007C465C" w:rsidR="00DC0A06">
        <w:rPr>
          <w:rFonts w:ascii="Times New Roman" w:hAnsi="Times New Roman" w:cs="Times New Roman"/>
          <w:sz w:val="24"/>
          <w:szCs w:val="24"/>
          <w:lang w:val="en-US"/>
        </w:rPr>
        <w:t xml:space="preserve">securing </w:t>
      </w:r>
      <w:r w:rsidRPr="007C465C" w:rsidR="0049741C">
        <w:rPr>
          <w:rFonts w:ascii="Times New Roman" w:hAnsi="Times New Roman" w:cs="Times New Roman"/>
          <w:sz w:val="24"/>
          <w:szCs w:val="24"/>
          <w:lang w:val="en-US"/>
        </w:rPr>
        <w:t>automation and</w:t>
      </w:r>
      <w:r w:rsidRPr="007C465C" w:rsidR="00BD2BA8">
        <w:rPr>
          <w:rFonts w:ascii="Times New Roman" w:hAnsi="Times New Roman" w:cs="Times New Roman"/>
          <w:sz w:val="24"/>
          <w:szCs w:val="24"/>
          <w:lang w:val="en-US"/>
        </w:rPr>
        <w:t xml:space="preserve"> the imposition of</w:t>
      </w:r>
      <w:r w:rsidRPr="007C465C" w:rsidR="0049741C">
        <w:rPr>
          <w:rFonts w:ascii="Times New Roman" w:hAnsi="Times New Roman" w:cs="Times New Roman"/>
          <w:sz w:val="24"/>
          <w:szCs w:val="24"/>
          <w:lang w:val="en-US"/>
        </w:rPr>
        <w:t xml:space="preserve"> perverse consequences</w:t>
      </w:r>
      <w:r w:rsidRPr="007C465C" w:rsidR="00BD2BA8">
        <w:rPr>
          <w:rFonts w:ascii="Times New Roman" w:hAnsi="Times New Roman" w:cs="Times New Roman"/>
          <w:sz w:val="24"/>
          <w:szCs w:val="24"/>
          <w:lang w:val="en-US"/>
        </w:rPr>
        <w:t xml:space="preserve"> for </w:t>
      </w:r>
      <w:r w:rsidRPr="007C465C" w:rsidR="00102FDC">
        <w:rPr>
          <w:rFonts w:ascii="Times New Roman" w:hAnsi="Times New Roman" w:cs="Times New Roman"/>
          <w:sz w:val="24"/>
          <w:szCs w:val="24"/>
          <w:lang w:val="en-US"/>
        </w:rPr>
        <w:t>UC recipients</w:t>
      </w:r>
      <w:r w:rsidRPr="007C465C" w:rsidR="0049741C">
        <w:rPr>
          <w:rFonts w:ascii="Times New Roman" w:hAnsi="Times New Roman" w:cs="Times New Roman"/>
          <w:sz w:val="24"/>
          <w:szCs w:val="24"/>
          <w:lang w:val="en-US"/>
        </w:rPr>
        <w:t>.</w:t>
      </w:r>
      <w:r w:rsidRPr="007C465C" w:rsidR="008B54AC">
        <w:rPr>
          <w:rFonts w:ascii="Times New Roman" w:hAnsi="Times New Roman" w:cs="Times New Roman"/>
          <w:sz w:val="24"/>
          <w:szCs w:val="24"/>
          <w:lang w:val="en-US"/>
        </w:rPr>
        <w:t xml:space="preserve"> </w:t>
      </w:r>
      <w:r w:rsidRPr="007C465C" w:rsidR="000B2DB2">
        <w:rPr>
          <w:rFonts w:ascii="Times New Roman" w:hAnsi="Times New Roman" w:cs="Times New Roman"/>
          <w:sz w:val="24"/>
          <w:szCs w:val="24"/>
          <w:lang w:val="en-US"/>
        </w:rPr>
        <w:t>The imperative to co</w:t>
      </w:r>
      <w:r w:rsidR="00F900D9">
        <w:rPr>
          <w:rFonts w:ascii="Times New Roman" w:hAnsi="Times New Roman" w:cs="Times New Roman"/>
          <w:sz w:val="24"/>
          <w:szCs w:val="24"/>
          <w:lang w:val="en-US"/>
        </w:rPr>
        <w:t>n</w:t>
      </w:r>
      <w:r w:rsidRPr="007C465C" w:rsidR="000B2DB2">
        <w:rPr>
          <w:rFonts w:ascii="Times New Roman" w:hAnsi="Times New Roman" w:cs="Times New Roman"/>
          <w:sz w:val="24"/>
          <w:szCs w:val="24"/>
          <w:lang w:val="en-US"/>
        </w:rPr>
        <w:t>vert the reality of a claimant’s circumstances into “clearly defined inputs which are simple to understand and administer” (para.72) is worth the resulting hardship for those captured arbitrarily by the system’s blind spots.</w:t>
      </w:r>
    </w:p>
    <w:p w:rsidRPr="007C465C" w:rsidR="00102FDC" w:rsidP="009F285B" w:rsidRDefault="00B568D9" w14:paraId="1D625940" w14:textId="0D0CCC06">
      <w:pPr>
        <w:jc w:val="both"/>
        <w:rPr>
          <w:rFonts w:ascii="Times New Roman" w:hAnsi="Times New Roman" w:cs="Times New Roman"/>
          <w:sz w:val="24"/>
          <w:szCs w:val="24"/>
          <w:lang w:val="en-US"/>
        </w:rPr>
      </w:pPr>
      <w:r w:rsidRPr="009EE0C2" w:rsidR="009EE0C2">
        <w:rPr>
          <w:rFonts w:ascii="Times New Roman" w:hAnsi="Times New Roman" w:cs="Times New Roman"/>
          <w:sz w:val="24"/>
          <w:szCs w:val="24"/>
          <w:lang w:val="en-US"/>
        </w:rPr>
        <w:t xml:space="preserve">This subservience to a computerized black box is made more acute by clear indications of failings in the policy process. The evidence provided to the Court in </w:t>
      </w:r>
      <w:r w:rsidRPr="009EE0C2" w:rsidR="009EE0C2">
        <w:rPr>
          <w:rFonts w:ascii="Times New Roman" w:hAnsi="Times New Roman" w:cs="Times New Roman"/>
          <w:i w:val="1"/>
          <w:iCs w:val="1"/>
          <w:sz w:val="24"/>
          <w:szCs w:val="24"/>
          <w:lang w:val="en-US"/>
        </w:rPr>
        <w:t xml:space="preserve">Johnson </w:t>
      </w:r>
      <w:r w:rsidRPr="009EE0C2" w:rsidR="009EE0C2">
        <w:rPr>
          <w:rFonts w:ascii="Times New Roman" w:hAnsi="Times New Roman" w:cs="Times New Roman"/>
          <w:sz w:val="24"/>
          <w:szCs w:val="24"/>
          <w:lang w:val="en-US"/>
        </w:rPr>
        <w:t xml:space="preserve">underscores that ministerial understanding of the capability of the UC computer system was found wanting at its development stages. The SSWP had sought to argue that the current approach to “assessment periods” had been considered at the point of the system design, but the court concluded that the minister had been “assured that the computer might be programmed to </w:t>
      </w:r>
      <w:proofErr w:type="spellStart"/>
      <w:r w:rsidRPr="009EE0C2" w:rsidR="009EE0C2">
        <w:rPr>
          <w:rFonts w:ascii="Times New Roman" w:hAnsi="Times New Roman" w:cs="Times New Roman"/>
          <w:sz w:val="24"/>
          <w:szCs w:val="24"/>
          <w:lang w:val="en-US"/>
        </w:rPr>
        <w:t>recognise</w:t>
      </w:r>
      <w:proofErr w:type="spellEnd"/>
      <w:r w:rsidRPr="009EE0C2" w:rsidR="009EE0C2">
        <w:rPr>
          <w:rFonts w:ascii="Times New Roman" w:hAnsi="Times New Roman" w:cs="Times New Roman"/>
          <w:sz w:val="24"/>
          <w:szCs w:val="24"/>
          <w:lang w:val="en-US"/>
        </w:rPr>
        <w:t xml:space="preserve"> unexpected and significant fluctuations so that they could be investigated” (para. 91), though, in practice, it never was.</w:t>
      </w:r>
    </w:p>
    <w:p w:rsidRPr="00285B3A" w:rsidR="00AE21BD" w:rsidP="00285B3A" w:rsidRDefault="00965596" w14:paraId="14965FF5" w14:textId="7B3DD3C3">
      <w:pPr>
        <w:jc w:val="both"/>
        <w:rPr>
          <w:rFonts w:ascii="Times New Roman" w:hAnsi="Times New Roman" w:cs="Times New Roman"/>
          <w:sz w:val="24"/>
          <w:szCs w:val="24"/>
          <w:lang w:val="en-US"/>
        </w:rPr>
      </w:pPr>
      <w:r w:rsidRPr="007C465C">
        <w:rPr>
          <w:rFonts w:ascii="Times New Roman" w:hAnsi="Times New Roman" w:cs="Times New Roman"/>
          <w:sz w:val="24"/>
          <w:szCs w:val="24"/>
          <w:lang w:val="en-US"/>
        </w:rPr>
        <w:t xml:space="preserve">The court’s assessment that “it cannot be impossible to draft an exception to cover the particular problem highlighted in this case” has been borne out by </w:t>
      </w:r>
      <w:r w:rsidRPr="007C465C" w:rsidR="00066B2D">
        <w:rPr>
          <w:rFonts w:ascii="Times New Roman" w:hAnsi="Times New Roman" w:cs="Times New Roman"/>
          <w:sz w:val="24"/>
          <w:szCs w:val="24"/>
          <w:lang w:val="en-US"/>
        </w:rPr>
        <w:t>Government’s stated intention to bring forward legislation to address the issue</w:t>
      </w:r>
      <w:r w:rsidR="00271C19">
        <w:rPr>
          <w:rFonts w:ascii="Times New Roman" w:hAnsi="Times New Roman" w:cs="Times New Roman"/>
          <w:sz w:val="24"/>
          <w:szCs w:val="24"/>
          <w:lang w:val="en-US"/>
        </w:rPr>
        <w:t xml:space="preserve"> and not appeal this decision.</w:t>
      </w:r>
      <w:r w:rsidR="00D96C31">
        <w:rPr>
          <w:rFonts w:ascii="Times New Roman" w:hAnsi="Times New Roman" w:cs="Times New Roman"/>
          <w:sz w:val="24"/>
          <w:szCs w:val="24"/>
          <w:lang w:val="en-US"/>
        </w:rPr>
        <w:t xml:space="preserve"> (HC Deb (25 June 2020) vol. 677 col. 1456)</w:t>
      </w:r>
      <w:r w:rsidRPr="007C465C" w:rsidR="00066B2D">
        <w:rPr>
          <w:rFonts w:ascii="Times New Roman" w:hAnsi="Times New Roman" w:cs="Times New Roman"/>
          <w:sz w:val="24"/>
          <w:szCs w:val="24"/>
          <w:lang w:val="en-US"/>
        </w:rPr>
        <w:t>.</w:t>
      </w:r>
      <w:r w:rsidRPr="007C465C" w:rsidR="00B3542D">
        <w:rPr>
          <w:rFonts w:ascii="Times New Roman" w:hAnsi="Times New Roman" w:cs="Times New Roman"/>
          <w:sz w:val="24"/>
          <w:szCs w:val="24"/>
          <w:lang w:val="en-US"/>
        </w:rPr>
        <w:t xml:space="preserve"> </w:t>
      </w:r>
      <w:r w:rsidRPr="007C465C" w:rsidR="00C77EC6">
        <w:rPr>
          <w:rFonts w:ascii="Times New Roman" w:hAnsi="Times New Roman" w:cs="Times New Roman"/>
          <w:sz w:val="24"/>
          <w:szCs w:val="24"/>
          <w:lang w:val="en-US"/>
        </w:rPr>
        <w:t xml:space="preserve">As the role of automated systems in the administration of the welfare state </w:t>
      </w:r>
      <w:r w:rsidRPr="007C465C" w:rsidR="00C77EC6">
        <w:rPr>
          <w:rFonts w:ascii="Times New Roman" w:hAnsi="Times New Roman" w:cs="Times New Roman"/>
          <w:sz w:val="24"/>
          <w:szCs w:val="24"/>
          <w:lang w:val="en-US"/>
        </w:rPr>
        <w:lastRenderedPageBreak/>
        <w:t xml:space="preserve">continues to gather pace – catalyzed by the effects of the Covid-19 crisis – the </w:t>
      </w:r>
      <w:r w:rsidRPr="007C465C" w:rsidR="00C77EC6">
        <w:rPr>
          <w:rFonts w:ascii="Times New Roman" w:hAnsi="Times New Roman" w:cs="Times New Roman"/>
          <w:i/>
          <w:iCs/>
          <w:sz w:val="24"/>
          <w:szCs w:val="24"/>
          <w:lang w:val="en-US"/>
        </w:rPr>
        <w:t xml:space="preserve">Johnson </w:t>
      </w:r>
      <w:r w:rsidRPr="007C465C" w:rsidR="00C77EC6">
        <w:rPr>
          <w:rFonts w:ascii="Times New Roman" w:hAnsi="Times New Roman" w:cs="Times New Roman"/>
          <w:sz w:val="24"/>
          <w:szCs w:val="24"/>
          <w:lang w:val="en-US"/>
        </w:rPr>
        <w:t xml:space="preserve">decision demonstrates that in the most egregious cases the principles of administrative law are still capable of </w:t>
      </w:r>
      <w:r w:rsidRPr="007C465C" w:rsidR="007C465C">
        <w:rPr>
          <w:rFonts w:ascii="Times New Roman" w:hAnsi="Times New Roman" w:cs="Times New Roman"/>
          <w:sz w:val="24"/>
          <w:szCs w:val="24"/>
          <w:lang w:val="en-US"/>
        </w:rPr>
        <w:t xml:space="preserve">penetrating their underpinning processes. As </w:t>
      </w:r>
      <w:r w:rsidR="00F900D9">
        <w:rPr>
          <w:rFonts w:ascii="Times New Roman" w:hAnsi="Times New Roman" w:cs="Times New Roman"/>
          <w:sz w:val="24"/>
          <w:szCs w:val="24"/>
          <w:lang w:val="en-US"/>
        </w:rPr>
        <w:t>the</w:t>
      </w:r>
      <w:r w:rsidRPr="007C465C" w:rsidR="007C465C">
        <w:rPr>
          <w:rFonts w:ascii="Times New Roman" w:hAnsi="Times New Roman" w:cs="Times New Roman"/>
          <w:sz w:val="24"/>
          <w:szCs w:val="24"/>
          <w:lang w:val="en-US"/>
        </w:rPr>
        <w:t xml:space="preserve"> Department for Work &amp; Pensions continues to hire “Robotic Process Automation Engineers” to join 100 colleagues in their “Digital Automation Garage”, the balance between the demands of </w:t>
      </w:r>
      <w:r w:rsidR="00F900D9">
        <w:rPr>
          <w:rFonts w:ascii="Times New Roman" w:hAnsi="Times New Roman" w:cs="Times New Roman"/>
          <w:sz w:val="24"/>
          <w:szCs w:val="24"/>
          <w:lang w:val="en-US"/>
        </w:rPr>
        <w:t>computerization</w:t>
      </w:r>
      <w:r w:rsidRPr="007C465C" w:rsidR="007C465C">
        <w:rPr>
          <w:rFonts w:ascii="Times New Roman" w:hAnsi="Times New Roman" w:cs="Times New Roman"/>
          <w:sz w:val="24"/>
          <w:szCs w:val="24"/>
          <w:lang w:val="en-US"/>
        </w:rPr>
        <w:t xml:space="preserve"> and the complex realities of claimants’ lives will only become more acute</w:t>
      </w:r>
      <w:r w:rsidR="00F900D9">
        <w:rPr>
          <w:rFonts w:ascii="Times New Roman" w:hAnsi="Times New Roman" w:cs="Times New Roman"/>
          <w:sz w:val="24"/>
          <w:szCs w:val="24"/>
          <w:lang w:val="en-US"/>
        </w:rPr>
        <w:t xml:space="preserve">. </w:t>
      </w:r>
      <w:r w:rsidRPr="007C465C" w:rsidR="007C465C">
        <w:rPr>
          <w:rFonts w:ascii="Times New Roman" w:hAnsi="Times New Roman" w:cs="Times New Roman"/>
          <w:sz w:val="24"/>
          <w:szCs w:val="24"/>
          <w:lang w:val="en-US"/>
        </w:rPr>
        <w:t>As noted by O’Neil, there is a “disturbing pattern where human discretion is used for decisions regarding wealthy people, and artificial discretion is used for decisions regarding poor people” (2016).</w:t>
      </w:r>
    </w:p>
    <w:p w:rsidR="00AE21BD" w:rsidP="00AE21BD" w:rsidRDefault="00AE21BD" w14:paraId="64BCAE6B" w14:textId="0D92D7F0">
      <w:pPr>
        <w:rPr>
          <w:rFonts w:ascii="Times New Roman" w:hAnsi="Times New Roman" w:cs="Times New Roman"/>
          <w:b/>
          <w:bCs/>
          <w:sz w:val="28"/>
          <w:szCs w:val="28"/>
          <w:lang w:val="en-US"/>
        </w:rPr>
      </w:pPr>
      <w:r>
        <w:rPr>
          <w:rFonts w:ascii="Times New Roman" w:hAnsi="Times New Roman" w:cs="Times New Roman"/>
          <w:b/>
          <w:bCs/>
          <w:sz w:val="28"/>
          <w:szCs w:val="28"/>
          <w:lang w:val="en-US"/>
        </w:rPr>
        <w:t>References</w:t>
      </w:r>
    </w:p>
    <w:p w:rsidR="00285B3A" w:rsidP="00285B3A" w:rsidRDefault="00285B3A" w14:paraId="6AAA4DBD" w14:textId="77777777">
      <w:pPr>
        <w:jc w:val="both"/>
        <w:rPr>
          <w:rFonts w:ascii="Times New Roman" w:hAnsi="Times New Roman" w:cs="Times New Roman"/>
          <w:sz w:val="24"/>
          <w:szCs w:val="24"/>
        </w:rPr>
      </w:pPr>
      <w:r w:rsidRPr="00EE7728">
        <w:rPr>
          <w:rFonts w:ascii="Times New Roman" w:hAnsi="Times New Roman" w:cs="Times New Roman"/>
          <w:sz w:val="24"/>
          <w:szCs w:val="24"/>
        </w:rPr>
        <w:t>O’Neil,</w:t>
      </w:r>
      <w:r>
        <w:rPr>
          <w:rFonts w:ascii="Times New Roman" w:hAnsi="Times New Roman" w:cs="Times New Roman"/>
          <w:sz w:val="24"/>
          <w:szCs w:val="24"/>
        </w:rPr>
        <w:t xml:space="preserve"> C (2016)</w:t>
      </w:r>
      <w:r w:rsidRPr="00EE7728">
        <w:rPr>
          <w:rFonts w:ascii="Times New Roman" w:hAnsi="Times New Roman" w:cs="Times New Roman"/>
          <w:sz w:val="24"/>
          <w:szCs w:val="24"/>
        </w:rPr>
        <w:t xml:space="preserve"> </w:t>
      </w:r>
      <w:r w:rsidRPr="00EE7728">
        <w:rPr>
          <w:rFonts w:ascii="Times New Roman" w:hAnsi="Times New Roman" w:cs="Times New Roman"/>
          <w:i/>
          <w:iCs/>
          <w:sz w:val="24"/>
          <w:szCs w:val="24"/>
        </w:rPr>
        <w:t>Weapons of math destruction: How big data increases inequality and threatens democracy</w:t>
      </w:r>
      <w:r w:rsidRPr="00EE7728">
        <w:rPr>
          <w:rFonts w:ascii="Times New Roman" w:hAnsi="Times New Roman" w:cs="Times New Roman"/>
          <w:sz w:val="24"/>
          <w:szCs w:val="24"/>
        </w:rPr>
        <w:t xml:space="preserve"> (</w:t>
      </w:r>
      <w:r>
        <w:rPr>
          <w:rFonts w:ascii="Times New Roman" w:hAnsi="Times New Roman" w:cs="Times New Roman"/>
          <w:sz w:val="24"/>
          <w:szCs w:val="24"/>
        </w:rPr>
        <w:t>New York: Penguin</w:t>
      </w:r>
      <w:r w:rsidRPr="00EE7728">
        <w:rPr>
          <w:rFonts w:ascii="Times New Roman" w:hAnsi="Times New Roman" w:cs="Times New Roman"/>
          <w:sz w:val="24"/>
          <w:szCs w:val="24"/>
        </w:rPr>
        <w:t>).</w:t>
      </w:r>
    </w:p>
    <w:p w:rsidRPr="00AE21BD" w:rsidR="00285B3A" w:rsidP="00AE21BD" w:rsidRDefault="00285B3A" w14:paraId="33A9789C" w14:textId="77777777">
      <w:pPr>
        <w:rPr>
          <w:rFonts w:ascii="Times New Roman" w:hAnsi="Times New Roman" w:cs="Times New Roman"/>
          <w:sz w:val="28"/>
          <w:szCs w:val="28"/>
          <w:lang w:val="en-US"/>
        </w:rPr>
      </w:pPr>
    </w:p>
    <w:sectPr w:rsidRPr="00AE21BD" w:rsidR="00285B3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7E3C" w:rsidP="00054BF9" w:rsidRDefault="00317E3C" w14:paraId="54084296" w14:textId="77777777">
      <w:pPr>
        <w:spacing w:after="0" w:line="240" w:lineRule="auto"/>
      </w:pPr>
      <w:r>
        <w:separator/>
      </w:r>
    </w:p>
  </w:endnote>
  <w:endnote w:type="continuationSeparator" w:id="0">
    <w:p w:rsidR="00317E3C" w:rsidP="00054BF9" w:rsidRDefault="00317E3C" w14:paraId="0AB8F53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7E3C" w:rsidP="00054BF9" w:rsidRDefault="00317E3C" w14:paraId="1CDC9354" w14:textId="77777777">
      <w:pPr>
        <w:spacing w:after="0" w:line="240" w:lineRule="auto"/>
      </w:pPr>
      <w:r>
        <w:separator/>
      </w:r>
    </w:p>
  </w:footnote>
  <w:footnote w:type="continuationSeparator" w:id="0">
    <w:p w:rsidR="00317E3C" w:rsidP="00054BF9" w:rsidRDefault="00317E3C" w14:paraId="630B90A6" w14:textId="77777777">
      <w:pPr>
        <w:spacing w:after="0" w:line="240" w:lineRule="auto"/>
      </w:pPr>
      <w:r>
        <w:continuationSeparator/>
      </w:r>
    </w:p>
  </w:footnote>
  <w:footnote w:id="1">
    <w:p w:rsidRPr="008505EA" w:rsidR="00747582" w:rsidRDefault="00747582" w14:paraId="3E140518" w14:textId="28FEF021">
      <w:pPr>
        <w:pStyle w:val="FootnoteText"/>
        <w:rPr>
          <w:rFonts w:ascii="Times New Roman" w:hAnsi="Times New Roman" w:cs="Times New Roman"/>
          <w:sz w:val="22"/>
          <w:szCs w:val="22"/>
          <w:lang w:val="en-US"/>
        </w:rPr>
      </w:pPr>
      <w:r w:rsidRPr="008505EA">
        <w:rPr>
          <w:rStyle w:val="FootnoteReference"/>
          <w:rFonts w:ascii="Times New Roman" w:hAnsi="Times New Roman" w:cs="Times New Roman"/>
          <w:sz w:val="22"/>
          <w:szCs w:val="22"/>
        </w:rPr>
        <w:footnoteRef/>
      </w:r>
      <w:r w:rsidRPr="008505EA">
        <w:rPr>
          <w:rFonts w:ascii="Times New Roman" w:hAnsi="Times New Roman" w:cs="Times New Roman"/>
          <w:sz w:val="22"/>
          <w:szCs w:val="22"/>
        </w:rPr>
        <w:t xml:space="preserve"> </w:t>
      </w:r>
      <w:r w:rsidRPr="008505EA">
        <w:rPr>
          <w:rFonts w:ascii="Times New Roman" w:hAnsi="Times New Roman" w:cs="Times New Roman"/>
          <w:sz w:val="22"/>
          <w:szCs w:val="22"/>
          <w:lang w:val="en-US"/>
        </w:rPr>
        <w:t>jed.meers@york.ac.uk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E3E13"/>
    <w:multiLevelType w:val="hybridMultilevel"/>
    <w:tmpl w:val="2B444A7A"/>
    <w:lvl w:ilvl="0" w:tplc="4D645FAE">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303053F"/>
    <w:multiLevelType w:val="hybridMultilevel"/>
    <w:tmpl w:val="4866E5CA"/>
    <w:lvl w:ilvl="0" w:tplc="15364090">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CF"/>
    <w:rsid w:val="00015FFB"/>
    <w:rsid w:val="00054BF9"/>
    <w:rsid w:val="00063C81"/>
    <w:rsid w:val="00064982"/>
    <w:rsid w:val="000649B7"/>
    <w:rsid w:val="00064DFE"/>
    <w:rsid w:val="00065D2A"/>
    <w:rsid w:val="0006652D"/>
    <w:rsid w:val="00066B2D"/>
    <w:rsid w:val="00074DF2"/>
    <w:rsid w:val="00091E47"/>
    <w:rsid w:val="000927D2"/>
    <w:rsid w:val="000A4663"/>
    <w:rsid w:val="000B2DB2"/>
    <w:rsid w:val="000B4C58"/>
    <w:rsid w:val="000C28A6"/>
    <w:rsid w:val="000D5A95"/>
    <w:rsid w:val="000E6AB3"/>
    <w:rsid w:val="00102FDC"/>
    <w:rsid w:val="0010650C"/>
    <w:rsid w:val="00116779"/>
    <w:rsid w:val="0012159F"/>
    <w:rsid w:val="00121FA3"/>
    <w:rsid w:val="00123122"/>
    <w:rsid w:val="00126EFD"/>
    <w:rsid w:val="00143A02"/>
    <w:rsid w:val="00145E6A"/>
    <w:rsid w:val="001767F8"/>
    <w:rsid w:val="001A3A99"/>
    <w:rsid w:val="001A45DD"/>
    <w:rsid w:val="001C2B59"/>
    <w:rsid w:val="001D6E9A"/>
    <w:rsid w:val="001F357A"/>
    <w:rsid w:val="00241FF2"/>
    <w:rsid w:val="00242A80"/>
    <w:rsid w:val="00246A9C"/>
    <w:rsid w:val="00256323"/>
    <w:rsid w:val="00260704"/>
    <w:rsid w:val="00263FB6"/>
    <w:rsid w:val="00271C19"/>
    <w:rsid w:val="00283117"/>
    <w:rsid w:val="00285B3A"/>
    <w:rsid w:val="002A4D5D"/>
    <w:rsid w:val="002A6621"/>
    <w:rsid w:val="002D359C"/>
    <w:rsid w:val="002E0AD4"/>
    <w:rsid w:val="003168EA"/>
    <w:rsid w:val="00317E3C"/>
    <w:rsid w:val="00323BB2"/>
    <w:rsid w:val="00331B1D"/>
    <w:rsid w:val="003401EA"/>
    <w:rsid w:val="00347B8B"/>
    <w:rsid w:val="00360488"/>
    <w:rsid w:val="0036593B"/>
    <w:rsid w:val="00386C37"/>
    <w:rsid w:val="003941B9"/>
    <w:rsid w:val="003C587B"/>
    <w:rsid w:val="003C761C"/>
    <w:rsid w:val="003E36EA"/>
    <w:rsid w:val="003E6BA8"/>
    <w:rsid w:val="00412FA1"/>
    <w:rsid w:val="004262E3"/>
    <w:rsid w:val="00444212"/>
    <w:rsid w:val="0044734D"/>
    <w:rsid w:val="004473CD"/>
    <w:rsid w:val="00454833"/>
    <w:rsid w:val="00471971"/>
    <w:rsid w:val="00472BEE"/>
    <w:rsid w:val="00484C9F"/>
    <w:rsid w:val="00487362"/>
    <w:rsid w:val="00490560"/>
    <w:rsid w:val="00492BD9"/>
    <w:rsid w:val="0049741C"/>
    <w:rsid w:val="004D6A5A"/>
    <w:rsid w:val="004E0404"/>
    <w:rsid w:val="004E14F3"/>
    <w:rsid w:val="005305E0"/>
    <w:rsid w:val="00532D0D"/>
    <w:rsid w:val="0053454E"/>
    <w:rsid w:val="00544DA5"/>
    <w:rsid w:val="0056449F"/>
    <w:rsid w:val="005B164A"/>
    <w:rsid w:val="005B5274"/>
    <w:rsid w:val="005C0932"/>
    <w:rsid w:val="005D2CE4"/>
    <w:rsid w:val="005F2D1C"/>
    <w:rsid w:val="005F5582"/>
    <w:rsid w:val="00601575"/>
    <w:rsid w:val="00612358"/>
    <w:rsid w:val="00632072"/>
    <w:rsid w:val="006336F9"/>
    <w:rsid w:val="0063682D"/>
    <w:rsid w:val="0063690A"/>
    <w:rsid w:val="00637C60"/>
    <w:rsid w:val="00655823"/>
    <w:rsid w:val="0065662C"/>
    <w:rsid w:val="00691AC5"/>
    <w:rsid w:val="00695A47"/>
    <w:rsid w:val="006A066E"/>
    <w:rsid w:val="006D2C86"/>
    <w:rsid w:val="006F2E69"/>
    <w:rsid w:val="006F6FE8"/>
    <w:rsid w:val="006F765D"/>
    <w:rsid w:val="00705E02"/>
    <w:rsid w:val="00721036"/>
    <w:rsid w:val="007361A9"/>
    <w:rsid w:val="00747582"/>
    <w:rsid w:val="00766907"/>
    <w:rsid w:val="00780A33"/>
    <w:rsid w:val="00784952"/>
    <w:rsid w:val="00784A58"/>
    <w:rsid w:val="007B51C7"/>
    <w:rsid w:val="007C465C"/>
    <w:rsid w:val="007D0731"/>
    <w:rsid w:val="007F247D"/>
    <w:rsid w:val="007F71CF"/>
    <w:rsid w:val="00837A84"/>
    <w:rsid w:val="00837E1B"/>
    <w:rsid w:val="008505EA"/>
    <w:rsid w:val="00850D64"/>
    <w:rsid w:val="0087336E"/>
    <w:rsid w:val="00890F72"/>
    <w:rsid w:val="008B54AC"/>
    <w:rsid w:val="008B7062"/>
    <w:rsid w:val="008C4B1A"/>
    <w:rsid w:val="008C7BBE"/>
    <w:rsid w:val="008D7781"/>
    <w:rsid w:val="009230A2"/>
    <w:rsid w:val="00924122"/>
    <w:rsid w:val="009346E4"/>
    <w:rsid w:val="00941DBD"/>
    <w:rsid w:val="009511E8"/>
    <w:rsid w:val="00965596"/>
    <w:rsid w:val="0097767B"/>
    <w:rsid w:val="00980B95"/>
    <w:rsid w:val="00983263"/>
    <w:rsid w:val="009863A3"/>
    <w:rsid w:val="00992BE0"/>
    <w:rsid w:val="009A7FB6"/>
    <w:rsid w:val="009B325E"/>
    <w:rsid w:val="009C6270"/>
    <w:rsid w:val="009E3946"/>
    <w:rsid w:val="009EE0C2"/>
    <w:rsid w:val="009F285B"/>
    <w:rsid w:val="009F354A"/>
    <w:rsid w:val="00A371B4"/>
    <w:rsid w:val="00A43FA2"/>
    <w:rsid w:val="00A5691D"/>
    <w:rsid w:val="00A65CDA"/>
    <w:rsid w:val="00A96191"/>
    <w:rsid w:val="00AC313A"/>
    <w:rsid w:val="00AD3198"/>
    <w:rsid w:val="00AD3A75"/>
    <w:rsid w:val="00AE1D86"/>
    <w:rsid w:val="00AE21BD"/>
    <w:rsid w:val="00AF41FB"/>
    <w:rsid w:val="00B02AA1"/>
    <w:rsid w:val="00B06361"/>
    <w:rsid w:val="00B108F6"/>
    <w:rsid w:val="00B3542D"/>
    <w:rsid w:val="00B45375"/>
    <w:rsid w:val="00B52D65"/>
    <w:rsid w:val="00B568D9"/>
    <w:rsid w:val="00B74E9F"/>
    <w:rsid w:val="00B765AF"/>
    <w:rsid w:val="00BB10CA"/>
    <w:rsid w:val="00BD2BA8"/>
    <w:rsid w:val="00BD3722"/>
    <w:rsid w:val="00C170AE"/>
    <w:rsid w:val="00C2325C"/>
    <w:rsid w:val="00C24F66"/>
    <w:rsid w:val="00C31FF5"/>
    <w:rsid w:val="00C41504"/>
    <w:rsid w:val="00C518FF"/>
    <w:rsid w:val="00C56EDE"/>
    <w:rsid w:val="00C6743B"/>
    <w:rsid w:val="00C72B0A"/>
    <w:rsid w:val="00C73E57"/>
    <w:rsid w:val="00C73E6C"/>
    <w:rsid w:val="00C77EC6"/>
    <w:rsid w:val="00CA13AC"/>
    <w:rsid w:val="00CB2810"/>
    <w:rsid w:val="00CB3431"/>
    <w:rsid w:val="00CB478F"/>
    <w:rsid w:val="00CD2B8D"/>
    <w:rsid w:val="00CD5F85"/>
    <w:rsid w:val="00CD7BD3"/>
    <w:rsid w:val="00CF030B"/>
    <w:rsid w:val="00CF37C6"/>
    <w:rsid w:val="00CF712A"/>
    <w:rsid w:val="00D06FB2"/>
    <w:rsid w:val="00D169F8"/>
    <w:rsid w:val="00D178DE"/>
    <w:rsid w:val="00D22DAC"/>
    <w:rsid w:val="00D317F9"/>
    <w:rsid w:val="00D37A45"/>
    <w:rsid w:val="00D37E91"/>
    <w:rsid w:val="00D96C31"/>
    <w:rsid w:val="00DC0A06"/>
    <w:rsid w:val="00DC78AE"/>
    <w:rsid w:val="00DD1A1A"/>
    <w:rsid w:val="00DD6478"/>
    <w:rsid w:val="00E30E6F"/>
    <w:rsid w:val="00E32373"/>
    <w:rsid w:val="00E37BFB"/>
    <w:rsid w:val="00E42E26"/>
    <w:rsid w:val="00E5114D"/>
    <w:rsid w:val="00E5298C"/>
    <w:rsid w:val="00EC4A82"/>
    <w:rsid w:val="00EF22EC"/>
    <w:rsid w:val="00F05B35"/>
    <w:rsid w:val="00F0726D"/>
    <w:rsid w:val="00F1308A"/>
    <w:rsid w:val="00F16E7B"/>
    <w:rsid w:val="00F4105E"/>
    <w:rsid w:val="00F5414C"/>
    <w:rsid w:val="00F66ADD"/>
    <w:rsid w:val="00F900D9"/>
    <w:rsid w:val="00FD17D2"/>
    <w:rsid w:val="00FE31E1"/>
    <w:rsid w:val="00FF25A3"/>
    <w:rsid w:val="00FF6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85C3"/>
  <w15:chartTrackingRefBased/>
  <w15:docId w15:val="{B18F12D6-A786-4351-A41C-8EE5A84F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66907"/>
    <w:pPr>
      <w:ind w:left="720"/>
      <w:contextualSpacing/>
    </w:pPr>
  </w:style>
  <w:style w:type="paragraph" w:styleId="FootnoteText">
    <w:name w:val="footnote text"/>
    <w:basedOn w:val="Normal"/>
    <w:link w:val="FootnoteTextChar"/>
    <w:uiPriority w:val="99"/>
    <w:semiHidden/>
    <w:unhideWhenUsed/>
    <w:rsid w:val="00054BF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54BF9"/>
    <w:rPr>
      <w:sz w:val="20"/>
      <w:szCs w:val="20"/>
    </w:rPr>
  </w:style>
  <w:style w:type="character" w:styleId="FootnoteReference">
    <w:name w:val="footnote reference"/>
    <w:basedOn w:val="DefaultParagraphFont"/>
    <w:uiPriority w:val="99"/>
    <w:semiHidden/>
    <w:unhideWhenUsed/>
    <w:rsid w:val="00054BF9"/>
    <w:rPr>
      <w:vertAlign w:val="superscript"/>
    </w:rPr>
  </w:style>
  <w:style w:type="character" w:styleId="Hyperlink">
    <w:name w:val="Hyperlink"/>
    <w:basedOn w:val="DefaultParagraphFont"/>
    <w:uiPriority w:val="99"/>
    <w:unhideWhenUsed/>
    <w:rsid w:val="00285B3A"/>
    <w:rPr>
      <w:color w:val="0563C1" w:themeColor="hyperlink"/>
      <w:u w:val="single"/>
    </w:rPr>
  </w:style>
  <w:style w:type="character" w:styleId="UnresolvedMention">
    <w:name w:val="Unresolved Mention"/>
    <w:basedOn w:val="DefaultParagraphFont"/>
    <w:uiPriority w:val="99"/>
    <w:semiHidden/>
    <w:unhideWhenUsed/>
    <w:rsid w:val="00285B3A"/>
    <w:rPr>
      <w:color w:val="605E5C"/>
      <w:shd w:val="clear" w:color="auto" w:fill="E1DFDD"/>
    </w:rPr>
  </w:style>
  <w:style w:type="paragraph" w:styleId="BalloonText">
    <w:name w:val="Balloon Text"/>
    <w:basedOn w:val="Normal"/>
    <w:link w:val="BalloonTextChar"/>
    <w:uiPriority w:val="99"/>
    <w:semiHidden/>
    <w:unhideWhenUsed/>
    <w:rsid w:val="00C2325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3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9EE98-FF5C-490C-A649-E91CB1BA9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Jed Meers</dc:creator>
  <keywords/>
  <dc:description/>
  <lastModifiedBy>jed meers</lastModifiedBy>
  <revision>6</revision>
  <dcterms:created xsi:type="dcterms:W3CDTF">2020-10-08T16:43:00.0000000Z</dcterms:created>
  <dcterms:modified xsi:type="dcterms:W3CDTF">2020-10-09T16:08:02.4299798Z</dcterms:modified>
</coreProperties>
</file>