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0268" w14:textId="31D45172" w:rsidR="00922C68" w:rsidRPr="00025399" w:rsidRDefault="003C5E9A" w:rsidP="00FE2C6C">
      <w:pPr>
        <w:rPr>
          <w:rFonts w:cs="Arial"/>
          <w:b/>
        </w:rPr>
      </w:pPr>
      <w:bookmarkStart w:id="0" w:name="_Hlk27743179"/>
      <w:r w:rsidRPr="00025399">
        <w:rPr>
          <w:rFonts w:cs="Arial"/>
          <w:b/>
          <w:i/>
        </w:rPr>
        <w:t>“</w:t>
      </w:r>
      <w:r w:rsidR="00067418" w:rsidRPr="00025399">
        <w:rPr>
          <w:rFonts w:cs="Arial"/>
          <w:b/>
          <w:i/>
        </w:rPr>
        <w:t>Death is a better option than being treated like this</w:t>
      </w:r>
      <w:r w:rsidRPr="00025399">
        <w:rPr>
          <w:rFonts w:cs="Arial"/>
          <w:b/>
          <w:i/>
        </w:rPr>
        <w:t>”</w:t>
      </w:r>
      <w:r w:rsidR="00C22018" w:rsidRPr="00025399">
        <w:rPr>
          <w:rFonts w:cs="Arial"/>
          <w:b/>
        </w:rPr>
        <w:t>:</w:t>
      </w:r>
      <w:r w:rsidR="00AC5603" w:rsidRPr="00025399">
        <w:rPr>
          <w:rFonts w:cs="Arial"/>
          <w:b/>
        </w:rPr>
        <w:t xml:space="preserve"> a prevalence survey and qualitative </w:t>
      </w:r>
      <w:r w:rsidR="00C22018" w:rsidRPr="00025399">
        <w:rPr>
          <w:rFonts w:cs="Arial"/>
          <w:b/>
        </w:rPr>
        <w:t xml:space="preserve">study of </w:t>
      </w:r>
      <w:r w:rsidR="00AC5603" w:rsidRPr="00025399">
        <w:rPr>
          <w:rFonts w:cs="Arial"/>
          <w:b/>
        </w:rPr>
        <w:t>depression</w:t>
      </w:r>
      <w:r w:rsidR="00C22018" w:rsidRPr="00025399">
        <w:rPr>
          <w:rFonts w:cs="Arial"/>
          <w:b/>
        </w:rPr>
        <w:t xml:space="preserve"> among</w:t>
      </w:r>
      <w:r w:rsidRPr="00025399">
        <w:rPr>
          <w:rFonts w:cs="Arial"/>
          <w:b/>
        </w:rPr>
        <w:t xml:space="preserve"> multi-drug resistant tuberculosis</w:t>
      </w:r>
      <w:r w:rsidR="00C22018" w:rsidRPr="00025399">
        <w:rPr>
          <w:rFonts w:cs="Arial"/>
          <w:b/>
        </w:rPr>
        <w:t xml:space="preserve"> in-patients. </w:t>
      </w:r>
    </w:p>
    <w:p w14:paraId="121E255A" w14:textId="01B31534" w:rsidR="00C22018" w:rsidRPr="00025399" w:rsidRDefault="00C22018" w:rsidP="00C22018">
      <w:pPr>
        <w:rPr>
          <w:rFonts w:cs="Arial"/>
          <w:b/>
        </w:rPr>
      </w:pPr>
      <w:r w:rsidRPr="00025399">
        <w:rPr>
          <w:rFonts w:cs="Arial"/>
          <w:b/>
        </w:rPr>
        <w:t>Huque</w:t>
      </w:r>
      <w:r w:rsidR="00081E00" w:rsidRPr="00025399">
        <w:rPr>
          <w:rFonts w:cs="Arial"/>
          <w:b/>
        </w:rPr>
        <w:t>, R.</w:t>
      </w:r>
      <w:r w:rsidRPr="00025399">
        <w:rPr>
          <w:rFonts w:cs="Arial"/>
          <w:b/>
        </w:rPr>
        <w:t xml:space="preserve">, </w:t>
      </w:r>
      <w:r w:rsidR="00186483" w:rsidRPr="00025399">
        <w:rPr>
          <w:rFonts w:cs="Arial"/>
          <w:b/>
        </w:rPr>
        <w:t>Elsey, H.</w:t>
      </w:r>
      <w:r w:rsidR="00186483">
        <w:rPr>
          <w:rFonts w:cs="Arial"/>
          <w:b/>
        </w:rPr>
        <w:t xml:space="preserve">*, </w:t>
      </w:r>
      <w:r w:rsidRPr="00025399">
        <w:rPr>
          <w:rFonts w:cs="Arial"/>
          <w:b/>
        </w:rPr>
        <w:t xml:space="preserve">Fieroze, </w:t>
      </w:r>
      <w:r w:rsidR="00081E00" w:rsidRPr="00025399">
        <w:rPr>
          <w:rFonts w:cs="Arial"/>
          <w:b/>
        </w:rPr>
        <w:t xml:space="preserve">F., </w:t>
      </w:r>
      <w:r w:rsidRPr="00025399">
        <w:rPr>
          <w:rFonts w:cs="Arial"/>
          <w:b/>
        </w:rPr>
        <w:t>Hicks,</w:t>
      </w:r>
      <w:r w:rsidR="00081E00" w:rsidRPr="00025399">
        <w:rPr>
          <w:rFonts w:cs="Arial"/>
          <w:b/>
        </w:rPr>
        <w:t xml:space="preserve"> J.</w:t>
      </w:r>
      <w:r w:rsidR="00A3712D">
        <w:rPr>
          <w:rFonts w:cs="Arial"/>
          <w:b/>
        </w:rPr>
        <w:t>P.</w:t>
      </w:r>
      <w:r w:rsidR="00081E00" w:rsidRPr="00025399">
        <w:rPr>
          <w:rFonts w:cs="Arial"/>
          <w:b/>
        </w:rPr>
        <w:t xml:space="preserve">, </w:t>
      </w:r>
      <w:r w:rsidR="00A66373">
        <w:rPr>
          <w:rFonts w:cs="Arial"/>
          <w:b/>
        </w:rPr>
        <w:t>Huque, S.,</w:t>
      </w:r>
      <w:r w:rsidRPr="00025399">
        <w:rPr>
          <w:rFonts w:cs="Arial"/>
          <w:b/>
        </w:rPr>
        <w:t xml:space="preserve"> </w:t>
      </w:r>
      <w:proofErr w:type="spellStart"/>
      <w:r w:rsidRPr="00025399">
        <w:rPr>
          <w:rFonts w:cs="Arial"/>
          <w:b/>
        </w:rPr>
        <w:t>Bhawmik</w:t>
      </w:r>
      <w:proofErr w:type="spellEnd"/>
      <w:r w:rsidRPr="00025399">
        <w:rPr>
          <w:rFonts w:cs="Arial"/>
          <w:b/>
        </w:rPr>
        <w:t>,</w:t>
      </w:r>
      <w:r w:rsidR="00A66373">
        <w:rPr>
          <w:rFonts w:cs="Arial"/>
          <w:b/>
        </w:rPr>
        <w:t xml:space="preserve"> P</w:t>
      </w:r>
      <w:r w:rsidRPr="00025399">
        <w:rPr>
          <w:rFonts w:cs="Arial"/>
          <w:b/>
        </w:rPr>
        <w:t xml:space="preserve"> Walker,</w:t>
      </w:r>
      <w:r w:rsidR="00081E00" w:rsidRPr="00025399">
        <w:rPr>
          <w:rFonts w:cs="Arial"/>
          <w:b/>
        </w:rPr>
        <w:t xml:space="preserve"> I., </w:t>
      </w:r>
      <w:r w:rsidR="00186483">
        <w:rPr>
          <w:rFonts w:cs="Arial"/>
          <w:b/>
        </w:rPr>
        <w:t>Newell, J.</w:t>
      </w:r>
    </w:p>
    <w:bookmarkEnd w:id="0"/>
    <w:p w14:paraId="79E3833C" w14:textId="005AA082" w:rsidR="00F24569" w:rsidRPr="00025399" w:rsidRDefault="00F24569" w:rsidP="00F24569">
      <w:pPr>
        <w:rPr>
          <w:rFonts w:cs="Arial"/>
          <w:b/>
        </w:rPr>
      </w:pPr>
      <w:r w:rsidRPr="00025399">
        <w:rPr>
          <w:rFonts w:cs="Arial"/>
          <w:b/>
        </w:rPr>
        <w:t>The title page should:</w:t>
      </w:r>
    </w:p>
    <w:p w14:paraId="317FCCED" w14:textId="5EBC164F" w:rsidR="001C1F49" w:rsidRDefault="00081E00" w:rsidP="001C1F49">
      <w:pPr>
        <w:spacing w:after="0"/>
        <w:rPr>
          <w:rFonts w:cs="Arial"/>
          <w:color w:val="373737"/>
          <w:shd w:val="clear" w:color="auto" w:fill="FFFFFF"/>
        </w:rPr>
      </w:pPr>
      <w:r w:rsidRPr="00A66373">
        <w:rPr>
          <w:rFonts w:cs="Arial"/>
        </w:rPr>
        <w:t>Rumana Huque</w:t>
      </w:r>
      <w:r w:rsidR="0081502D">
        <w:rPr>
          <w:rFonts w:cs="Arial"/>
        </w:rPr>
        <w:t>,</w:t>
      </w:r>
      <w:r w:rsidRPr="00A66373">
        <w:rPr>
          <w:rFonts w:cs="Arial"/>
        </w:rPr>
        <w:t xml:space="preserve"> </w:t>
      </w:r>
      <w:r w:rsidR="00040F1D">
        <w:rPr>
          <w:rFonts w:cs="Arial"/>
        </w:rPr>
        <w:t xml:space="preserve">The ARK Foundation, </w:t>
      </w:r>
      <w:r w:rsidR="00B9505C">
        <w:rPr>
          <w:rFonts w:cs="Arial"/>
          <w:color w:val="373737"/>
          <w:shd w:val="clear" w:color="auto" w:fill="FFFFFF"/>
        </w:rPr>
        <w:t>Suite C-3 &amp; C-4, House 06, Road 109, Gulshan-2, Dhaka-1212,</w:t>
      </w:r>
      <w:r w:rsidR="001C1F49">
        <w:rPr>
          <w:rFonts w:cs="Arial"/>
          <w:color w:val="373737"/>
          <w:shd w:val="clear" w:color="auto" w:fill="FFFFFF"/>
        </w:rPr>
        <w:t xml:space="preserve"> </w:t>
      </w:r>
      <w:r w:rsidR="00B9505C">
        <w:rPr>
          <w:rFonts w:cs="Arial"/>
          <w:color w:val="373737"/>
          <w:shd w:val="clear" w:color="auto" w:fill="FFFFFF"/>
        </w:rPr>
        <w:t>Bangladesh.</w:t>
      </w:r>
    </w:p>
    <w:p w14:paraId="282EA03D" w14:textId="1250B5E6" w:rsidR="00F24569" w:rsidRDefault="001C1F49" w:rsidP="001C1F49">
      <w:pPr>
        <w:spacing w:after="0"/>
        <w:rPr>
          <w:rFonts w:cs="Arial"/>
          <w:color w:val="373737"/>
          <w:shd w:val="clear" w:color="auto" w:fill="FFFFFF"/>
        </w:rPr>
      </w:pPr>
      <w:r>
        <w:rPr>
          <w:rFonts w:cs="Arial"/>
          <w:color w:val="373737"/>
          <w:shd w:val="clear" w:color="auto" w:fill="FFFFFF"/>
        </w:rPr>
        <w:t xml:space="preserve">Email: </w:t>
      </w:r>
      <w:r w:rsidR="00B9505C">
        <w:rPr>
          <w:rFonts w:ascii="Helvetica" w:hAnsi="Helvetica" w:cs="Helvetica"/>
          <w:color w:val="000000"/>
          <w:sz w:val="21"/>
          <w:szCs w:val="21"/>
          <w:shd w:val="clear" w:color="auto" w:fill="FFFFFF"/>
        </w:rPr>
        <w:t>rumana@arkfoundationbd.org</w:t>
      </w:r>
      <w:r w:rsidR="00B9505C">
        <w:rPr>
          <w:rFonts w:cs="Arial"/>
          <w:color w:val="373737"/>
          <w:shd w:val="clear" w:color="auto" w:fill="FFFFFF"/>
        </w:rPr>
        <w:t xml:space="preserve"> </w:t>
      </w:r>
    </w:p>
    <w:p w14:paraId="3D5EFE9D" w14:textId="77777777" w:rsidR="001C1F49" w:rsidRPr="001C1F49" w:rsidRDefault="001C1F49" w:rsidP="001C1F49">
      <w:pPr>
        <w:spacing w:after="0"/>
        <w:rPr>
          <w:rFonts w:cs="Arial"/>
          <w:color w:val="373737"/>
          <w:shd w:val="clear" w:color="auto" w:fill="FFFFFF"/>
        </w:rPr>
      </w:pPr>
    </w:p>
    <w:p w14:paraId="158C72F5" w14:textId="44C5457E" w:rsidR="0081502D" w:rsidRPr="002C2413" w:rsidRDefault="0081502D" w:rsidP="0081502D">
      <w:pPr>
        <w:rPr>
          <w:rFonts w:eastAsia="Times New Roman" w:cs="Arial"/>
          <w:lang w:eastAsia="en-GB"/>
        </w:rPr>
      </w:pPr>
      <w:r w:rsidRPr="002C2413">
        <w:rPr>
          <w:rFonts w:cs="Arial"/>
        </w:rPr>
        <w:t>Helen Elsey</w:t>
      </w:r>
      <w:r w:rsidRPr="0081502D">
        <w:rPr>
          <w:rFonts w:cs="Arial"/>
        </w:rPr>
        <w:t>*</w:t>
      </w:r>
      <w:r w:rsidRPr="002C2413">
        <w:rPr>
          <w:rFonts w:cs="Arial"/>
        </w:rPr>
        <w:t xml:space="preserve">, </w:t>
      </w:r>
      <w:r w:rsidRPr="002C2413">
        <w:rPr>
          <w:rFonts w:eastAsia="Times New Roman" w:cs="Arial"/>
          <w:lang w:eastAsia="en-GB"/>
        </w:rPr>
        <w:t>​Department of Health Sciences, Seebohm Rowntree Building</w:t>
      </w:r>
      <w:r>
        <w:rPr>
          <w:rFonts w:eastAsia="Times New Roman" w:cs="Arial"/>
          <w:lang w:eastAsia="en-GB"/>
        </w:rPr>
        <w:t>,</w:t>
      </w:r>
      <w:r w:rsidRPr="002C2413">
        <w:rPr>
          <w:rFonts w:eastAsia="Times New Roman" w:cs="Arial"/>
          <w:lang w:eastAsia="en-GB"/>
        </w:rPr>
        <w:t xml:space="preserve"> University of York YO10 5DD</w:t>
      </w:r>
      <w:r>
        <w:rPr>
          <w:rFonts w:eastAsia="Times New Roman" w:cs="Arial"/>
          <w:lang w:eastAsia="en-GB"/>
        </w:rPr>
        <w:t>, UK. Email: helen.elsey@york.ac.uk</w:t>
      </w:r>
    </w:p>
    <w:p w14:paraId="4982C86D" w14:textId="147D858F" w:rsidR="00081E00" w:rsidRPr="00A66373" w:rsidRDefault="00081E00" w:rsidP="00F24569">
      <w:pPr>
        <w:rPr>
          <w:rFonts w:cs="Arial"/>
        </w:rPr>
      </w:pPr>
      <w:r w:rsidRPr="00A66373">
        <w:rPr>
          <w:rFonts w:cs="Arial"/>
        </w:rPr>
        <w:t>Fariza Fieroze</w:t>
      </w:r>
      <w:r w:rsidR="00B9505C">
        <w:rPr>
          <w:rFonts w:cs="Arial"/>
        </w:rPr>
        <w:t xml:space="preserve">, </w:t>
      </w:r>
      <w:r w:rsidR="00040F1D" w:rsidRPr="00040F1D">
        <w:rPr>
          <w:rFonts w:cs="Arial"/>
        </w:rPr>
        <w:t xml:space="preserve">The ARK Foundation, </w:t>
      </w:r>
      <w:r w:rsidR="00B9505C">
        <w:rPr>
          <w:rFonts w:cs="Arial"/>
          <w:color w:val="373737"/>
          <w:shd w:val="clear" w:color="auto" w:fill="FFFFFF"/>
        </w:rPr>
        <w:t>Suite C-3 &amp; C-4, House 06, Road 109, Gulshan-2, Dhaka-1212,</w:t>
      </w:r>
      <w:r w:rsidR="001C1F49">
        <w:rPr>
          <w:rFonts w:cs="Arial"/>
          <w:color w:val="373737"/>
          <w:shd w:val="clear" w:color="auto" w:fill="FFFFFF"/>
        </w:rPr>
        <w:t xml:space="preserve"> </w:t>
      </w:r>
      <w:r w:rsidR="00B9505C">
        <w:rPr>
          <w:rFonts w:cs="Arial"/>
          <w:color w:val="373737"/>
          <w:shd w:val="clear" w:color="auto" w:fill="FFFFFF"/>
        </w:rPr>
        <w:t>Bangladesh.</w:t>
      </w:r>
    </w:p>
    <w:p w14:paraId="5AC47E5B" w14:textId="492269EE" w:rsidR="00081E00" w:rsidRPr="00A66373" w:rsidRDefault="00081E00" w:rsidP="00F24569">
      <w:pPr>
        <w:rPr>
          <w:rFonts w:cs="Arial"/>
        </w:rPr>
      </w:pPr>
      <w:r w:rsidRPr="00A66373">
        <w:rPr>
          <w:rFonts w:cs="Arial"/>
        </w:rPr>
        <w:t xml:space="preserve">Joseph </w:t>
      </w:r>
      <w:r w:rsidR="00A3712D">
        <w:rPr>
          <w:rFonts w:cs="Arial"/>
        </w:rPr>
        <w:t xml:space="preserve">Paul </w:t>
      </w:r>
      <w:r w:rsidRPr="00A66373">
        <w:rPr>
          <w:rFonts w:cs="Arial"/>
        </w:rPr>
        <w:t>Hick</w:t>
      </w:r>
      <w:r w:rsidR="00A3712D">
        <w:rPr>
          <w:rFonts w:cs="Arial"/>
        </w:rPr>
        <w:t>s</w:t>
      </w:r>
      <w:r w:rsidRPr="00A66373">
        <w:rPr>
          <w:rFonts w:cs="Arial"/>
        </w:rPr>
        <w:t xml:space="preserve">, </w:t>
      </w:r>
      <w:r w:rsidR="00040F1D">
        <w:rPr>
          <w:rFonts w:cs="Arial"/>
        </w:rPr>
        <w:t>Leeds Institute of Health Sciences,</w:t>
      </w:r>
      <w:r w:rsidR="00A3712D" w:rsidRPr="00A3712D">
        <w:rPr>
          <w:rFonts w:cs="Arial"/>
        </w:rPr>
        <w:t>10.31 Worsley, University of Leeds, Leeds, LS2 9JT, UK</w:t>
      </w:r>
    </w:p>
    <w:p w14:paraId="68D1853A" w14:textId="1C04BC42" w:rsidR="00A66373" w:rsidRDefault="00A66373" w:rsidP="00F24569">
      <w:pPr>
        <w:rPr>
          <w:rFonts w:cs="Arial"/>
        </w:rPr>
      </w:pPr>
      <w:r>
        <w:rPr>
          <w:rFonts w:cs="Arial"/>
        </w:rPr>
        <w:t>Samina Huque</w:t>
      </w:r>
      <w:r w:rsidR="00B9505C">
        <w:rPr>
          <w:rFonts w:cs="Arial"/>
        </w:rPr>
        <w:t xml:space="preserve">, </w:t>
      </w:r>
      <w:r w:rsidR="00040F1D" w:rsidRPr="00040F1D">
        <w:rPr>
          <w:rFonts w:cs="Arial"/>
        </w:rPr>
        <w:t xml:space="preserve">The ARK Foundation, </w:t>
      </w:r>
      <w:r w:rsidR="00B9505C">
        <w:rPr>
          <w:rFonts w:cs="Arial"/>
          <w:color w:val="373737"/>
          <w:shd w:val="clear" w:color="auto" w:fill="FFFFFF"/>
        </w:rPr>
        <w:t>Suite C-3 &amp; C-4, House 06, Road 109, Gulshan-2, Dhaka-1212,</w:t>
      </w:r>
      <w:r w:rsidR="00040F1D">
        <w:rPr>
          <w:rFonts w:cs="Arial"/>
          <w:color w:val="373737"/>
          <w:shd w:val="clear" w:color="auto" w:fill="FFFFFF"/>
        </w:rPr>
        <w:t xml:space="preserve"> </w:t>
      </w:r>
      <w:r w:rsidR="00B9505C">
        <w:rPr>
          <w:rFonts w:cs="Arial"/>
          <w:color w:val="373737"/>
          <w:shd w:val="clear" w:color="auto" w:fill="FFFFFF"/>
        </w:rPr>
        <w:t>Bangladesh.</w:t>
      </w:r>
    </w:p>
    <w:p w14:paraId="2A58E0C1" w14:textId="713F8BFF" w:rsidR="00081E00" w:rsidRPr="00A66373" w:rsidRDefault="00A66373" w:rsidP="00F24569">
      <w:pPr>
        <w:rPr>
          <w:rFonts w:cs="Arial"/>
        </w:rPr>
      </w:pPr>
      <w:proofErr w:type="spellStart"/>
      <w:r>
        <w:rPr>
          <w:rFonts w:cs="Arial"/>
        </w:rPr>
        <w:t>Prashanta</w:t>
      </w:r>
      <w:proofErr w:type="spellEnd"/>
      <w:r w:rsidR="00B9505C">
        <w:rPr>
          <w:rFonts w:cs="Arial"/>
        </w:rPr>
        <w:t xml:space="preserve"> </w:t>
      </w:r>
      <w:proofErr w:type="spellStart"/>
      <w:r w:rsidR="00B9505C">
        <w:rPr>
          <w:rFonts w:cs="Arial"/>
        </w:rPr>
        <w:t>Bhawmik</w:t>
      </w:r>
      <w:proofErr w:type="spellEnd"/>
      <w:r w:rsidR="00B9505C">
        <w:rPr>
          <w:rFonts w:cs="Arial"/>
        </w:rPr>
        <w:t xml:space="preserve">, </w:t>
      </w:r>
      <w:r w:rsidR="00040F1D" w:rsidRPr="00040F1D">
        <w:rPr>
          <w:rFonts w:cs="Arial"/>
        </w:rPr>
        <w:t xml:space="preserve">The ARK Foundation, </w:t>
      </w:r>
      <w:r w:rsidR="00B9505C">
        <w:rPr>
          <w:rFonts w:cs="Arial"/>
          <w:color w:val="373737"/>
          <w:shd w:val="clear" w:color="auto" w:fill="FFFFFF"/>
        </w:rPr>
        <w:t>Suite C-3 &amp; C-4, House 06, Road 109, Gulshan-2, Dhaka-1212,</w:t>
      </w:r>
      <w:r w:rsidR="00040F1D">
        <w:rPr>
          <w:rFonts w:cs="Arial"/>
          <w:color w:val="373737"/>
          <w:shd w:val="clear" w:color="auto" w:fill="FFFFFF"/>
        </w:rPr>
        <w:t xml:space="preserve"> </w:t>
      </w:r>
      <w:r w:rsidR="00B9505C">
        <w:rPr>
          <w:rFonts w:cs="Arial"/>
          <w:color w:val="373737"/>
          <w:shd w:val="clear" w:color="auto" w:fill="FFFFFF"/>
        </w:rPr>
        <w:t>Bangladesh.</w:t>
      </w:r>
    </w:p>
    <w:p w14:paraId="0C4FF212" w14:textId="61596D1E" w:rsidR="00B9505C" w:rsidRDefault="00081E00" w:rsidP="00A66373">
      <w:pPr>
        <w:rPr>
          <w:rFonts w:cs="Arial"/>
        </w:rPr>
      </w:pPr>
      <w:r w:rsidRPr="00A66373">
        <w:rPr>
          <w:rFonts w:cs="Arial"/>
        </w:rPr>
        <w:t xml:space="preserve">Ian Walker, </w:t>
      </w:r>
      <w:r w:rsidR="00040F1D" w:rsidRPr="00040F1D">
        <w:rPr>
          <w:rFonts w:cs="Arial"/>
        </w:rPr>
        <w:t>Leeds Institute of Health Sciences,</w:t>
      </w:r>
      <w:r w:rsidR="00B9505C" w:rsidRPr="00A3712D">
        <w:rPr>
          <w:rFonts w:cs="Arial"/>
        </w:rPr>
        <w:t>10.31 Worsley, University of Leeds, Leeds, LS2 9JT, UK</w:t>
      </w:r>
      <w:r w:rsidR="00B9505C" w:rsidRPr="002C2413">
        <w:rPr>
          <w:rFonts w:cs="Arial"/>
        </w:rPr>
        <w:t xml:space="preserve"> </w:t>
      </w:r>
    </w:p>
    <w:p w14:paraId="13591D64" w14:textId="16E55316" w:rsidR="00EA0E80" w:rsidRPr="00EA0E80" w:rsidRDefault="004E16F9" w:rsidP="00EA0E80">
      <w:pPr>
        <w:rPr>
          <w:rFonts w:cs="Arial"/>
        </w:rPr>
      </w:pPr>
      <w:r>
        <w:rPr>
          <w:rFonts w:cs="Arial"/>
        </w:rPr>
        <w:t>James Newell,</w:t>
      </w:r>
      <w:r w:rsidR="00EA0E80" w:rsidRPr="00EA0E80">
        <w:rPr>
          <w:rFonts w:cs="Arial"/>
        </w:rPr>
        <w:t xml:space="preserve"> Leeds Institute of Health Sciences,10.31 Worsley, University of Leeds, Leeds, LS2 9JT, UK </w:t>
      </w:r>
    </w:p>
    <w:p w14:paraId="2D2D3769" w14:textId="5BCFD9A4" w:rsidR="00081E00" w:rsidRPr="00025399" w:rsidRDefault="00081E00" w:rsidP="00F24569">
      <w:pPr>
        <w:rPr>
          <w:rFonts w:cs="Arial"/>
          <w:b/>
        </w:rPr>
      </w:pPr>
    </w:p>
    <w:p w14:paraId="47576826" w14:textId="41CC8B86" w:rsidR="00FE2C6C" w:rsidRPr="00025399" w:rsidRDefault="00C76966" w:rsidP="00F24569">
      <w:pPr>
        <w:rPr>
          <w:rFonts w:cs="Arial"/>
        </w:rPr>
      </w:pPr>
      <w:r w:rsidRPr="00025399">
        <w:rPr>
          <w:rFonts w:cs="Arial"/>
          <w:b/>
        </w:rPr>
        <w:t xml:space="preserve">ABSTRACT: </w:t>
      </w:r>
    </w:p>
    <w:p w14:paraId="16CCAC3C" w14:textId="27C16857" w:rsidR="00876725" w:rsidRDefault="00876725">
      <w:pPr>
        <w:rPr>
          <w:rFonts w:cs="Arial"/>
        </w:rPr>
      </w:pPr>
      <w:r>
        <w:rPr>
          <w:rFonts w:cs="Arial"/>
        </w:rPr>
        <w:t xml:space="preserve">Background: </w:t>
      </w:r>
      <w:r w:rsidR="00A704DD" w:rsidRPr="00025399">
        <w:rPr>
          <w:rFonts w:cs="Arial"/>
        </w:rPr>
        <w:t xml:space="preserve">Understanding of the relationship between multi-drug resistant </w:t>
      </w:r>
      <w:r w:rsidR="00A25F38" w:rsidRPr="00025399">
        <w:rPr>
          <w:rFonts w:cs="Arial"/>
        </w:rPr>
        <w:t xml:space="preserve">tuberculosis </w:t>
      </w:r>
      <w:r w:rsidR="00A704DD" w:rsidRPr="00025399">
        <w:rPr>
          <w:rFonts w:cs="Arial"/>
        </w:rPr>
        <w:t>and mental health is limited</w:t>
      </w:r>
      <w:r w:rsidR="00A25F38" w:rsidRPr="00025399">
        <w:rPr>
          <w:rFonts w:cs="Arial"/>
        </w:rPr>
        <w:t>. With growing prevalence of</w:t>
      </w:r>
      <w:r w:rsidR="00335C0E">
        <w:rPr>
          <w:rFonts w:cs="Arial"/>
        </w:rPr>
        <w:t xml:space="preserve"> </w:t>
      </w:r>
      <w:r w:rsidR="00335C0E" w:rsidRPr="00335C0E">
        <w:rPr>
          <w:rFonts w:cs="Arial"/>
        </w:rPr>
        <w:t>multi-drug resistant tuberculosis</w:t>
      </w:r>
      <w:r w:rsidR="00A25F38" w:rsidRPr="00025399">
        <w:rPr>
          <w:rFonts w:cs="Arial"/>
        </w:rPr>
        <w:t xml:space="preserve">, addressing mental ill-health has potential to improve treatment outcomes </w:t>
      </w:r>
      <w:r w:rsidR="00C7468A" w:rsidRPr="00025399">
        <w:rPr>
          <w:rFonts w:cs="Arial"/>
        </w:rPr>
        <w:t>and</w:t>
      </w:r>
      <w:r w:rsidR="00A25F38" w:rsidRPr="00025399">
        <w:rPr>
          <w:rFonts w:cs="Arial"/>
        </w:rPr>
        <w:t xml:space="preserve"> well-being.</w:t>
      </w:r>
      <w:r w:rsidR="00D84A86" w:rsidRPr="00025399">
        <w:rPr>
          <w:rFonts w:cs="Arial"/>
        </w:rPr>
        <w:t xml:space="preserve"> In several low and middle-income contexts hospitalisation during treatment is common. Understanding of the impact on mental </w:t>
      </w:r>
      <w:r>
        <w:rPr>
          <w:rFonts w:cs="Arial"/>
        </w:rPr>
        <w:t>ill-</w:t>
      </w:r>
      <w:r w:rsidR="00D84A86" w:rsidRPr="00025399">
        <w:rPr>
          <w:rFonts w:cs="Arial"/>
        </w:rPr>
        <w:t>health</w:t>
      </w:r>
      <w:r>
        <w:rPr>
          <w:rFonts w:cs="Arial"/>
        </w:rPr>
        <w:t xml:space="preserve"> are required to inform </w:t>
      </w:r>
      <w:r w:rsidR="00D84A86" w:rsidRPr="00025399">
        <w:rPr>
          <w:rFonts w:cs="Arial"/>
        </w:rPr>
        <w:t>intervention</w:t>
      </w:r>
      <w:r>
        <w:rPr>
          <w:rFonts w:cs="Arial"/>
        </w:rPr>
        <w:t xml:space="preserve">s for patients with </w:t>
      </w:r>
      <w:r w:rsidRPr="00876725">
        <w:rPr>
          <w:rFonts w:cs="Arial"/>
        </w:rPr>
        <w:t>multi-drug resistant tuberculosis</w:t>
      </w:r>
      <w:r>
        <w:rPr>
          <w:rFonts w:cs="Arial"/>
        </w:rPr>
        <w:t>.</w:t>
      </w:r>
    </w:p>
    <w:p w14:paraId="429267D0" w14:textId="073852C9" w:rsidR="00D84A86" w:rsidRPr="00025399" w:rsidRDefault="00D84A86">
      <w:pPr>
        <w:rPr>
          <w:rFonts w:cs="Arial"/>
        </w:rPr>
      </w:pPr>
      <w:r w:rsidRPr="00025399">
        <w:rPr>
          <w:rFonts w:cs="Arial"/>
        </w:rPr>
        <w:t xml:space="preserve">Our aim was to identify the prevalence of comorbid depression among in-patients being treated for </w:t>
      </w:r>
      <w:r w:rsidR="00335C0E" w:rsidRPr="00335C0E">
        <w:rPr>
          <w:rFonts w:cs="Arial"/>
        </w:rPr>
        <w:t xml:space="preserve">multi-drug resistant tuberculosis </w:t>
      </w:r>
      <w:r w:rsidRPr="00025399">
        <w:rPr>
          <w:rFonts w:cs="Arial"/>
        </w:rPr>
        <w:t>and to explore their experiences of comorbid disease and the care they received</w:t>
      </w:r>
      <w:r w:rsidR="00B9505C">
        <w:rPr>
          <w:rFonts w:cs="Arial"/>
        </w:rPr>
        <w:t xml:space="preserve"> in a large specialist chest hospital in Dhaka, Bangladesh</w:t>
      </w:r>
      <w:r w:rsidRPr="00025399">
        <w:rPr>
          <w:rFonts w:cs="Arial"/>
        </w:rPr>
        <w:t xml:space="preserve">. </w:t>
      </w:r>
    </w:p>
    <w:p w14:paraId="4CD8EA02" w14:textId="64E103D0" w:rsidR="00A25F38" w:rsidRPr="00025399" w:rsidRDefault="00A25F38">
      <w:pPr>
        <w:rPr>
          <w:rFonts w:cs="Arial"/>
        </w:rPr>
      </w:pPr>
      <w:r w:rsidRPr="00025399">
        <w:rPr>
          <w:rFonts w:cs="Arial"/>
        </w:rPr>
        <w:t xml:space="preserve">Methods: </w:t>
      </w:r>
      <w:r w:rsidR="00B9505C">
        <w:rPr>
          <w:rFonts w:cs="Arial"/>
        </w:rPr>
        <w:t>We conducted a</w:t>
      </w:r>
      <w:r w:rsidRPr="00025399">
        <w:rPr>
          <w:rFonts w:cs="Arial"/>
        </w:rPr>
        <w:t xml:space="preserve"> </w:t>
      </w:r>
      <w:r w:rsidR="00C27715">
        <w:rPr>
          <w:rFonts w:cs="Arial"/>
        </w:rPr>
        <w:t xml:space="preserve">quantitative </w:t>
      </w:r>
      <w:r w:rsidRPr="00025399">
        <w:rPr>
          <w:rFonts w:cs="Arial"/>
        </w:rPr>
        <w:t>cross-sectional survey among</w:t>
      </w:r>
      <w:r w:rsidR="009800B7" w:rsidRPr="00025399">
        <w:rPr>
          <w:rFonts w:cs="Arial"/>
        </w:rPr>
        <w:t xml:space="preserve"> 150</w:t>
      </w:r>
      <w:r w:rsidRPr="00025399">
        <w:rPr>
          <w:rFonts w:cs="Arial"/>
        </w:rPr>
        <w:t xml:space="preserve"> </w:t>
      </w:r>
      <w:r w:rsidR="00335C0E" w:rsidRPr="00335C0E">
        <w:rPr>
          <w:rFonts w:cs="Arial"/>
        </w:rPr>
        <w:t xml:space="preserve">multi-drug resistant tuberculosis </w:t>
      </w:r>
      <w:r w:rsidRPr="00025399">
        <w:rPr>
          <w:rFonts w:cs="Arial"/>
        </w:rPr>
        <w:t>in-patients</w:t>
      </w:r>
      <w:r w:rsidR="00C65A07">
        <w:rPr>
          <w:rFonts w:cs="Arial"/>
        </w:rPr>
        <w:t xml:space="preserve"> (new cases = 34%, </w:t>
      </w:r>
      <w:r w:rsidR="00335C0E">
        <w:rPr>
          <w:rFonts w:cs="Arial"/>
        </w:rPr>
        <w:t>previously treated</w:t>
      </w:r>
      <w:r w:rsidR="00C65A07">
        <w:rPr>
          <w:rFonts w:cs="Arial"/>
        </w:rPr>
        <w:t xml:space="preserve"> = 66%)</w:t>
      </w:r>
      <w:r w:rsidRPr="00025399">
        <w:rPr>
          <w:rFonts w:cs="Arial"/>
        </w:rPr>
        <w:t xml:space="preserve"> </w:t>
      </w:r>
      <w:r w:rsidR="00B9505C">
        <w:rPr>
          <w:rFonts w:cs="Arial"/>
        </w:rPr>
        <w:t>in</w:t>
      </w:r>
      <w:r w:rsidRPr="00025399">
        <w:rPr>
          <w:rFonts w:cs="Arial"/>
        </w:rPr>
        <w:t xml:space="preserve"> </w:t>
      </w:r>
      <w:r w:rsidR="009800B7" w:rsidRPr="00025399">
        <w:rPr>
          <w:rFonts w:cs="Arial"/>
        </w:rPr>
        <w:t xml:space="preserve">2018. </w:t>
      </w:r>
      <w:r w:rsidR="00B9505C">
        <w:rPr>
          <w:rFonts w:cs="Arial"/>
        </w:rPr>
        <w:t>A psychiatrist assessed d</w:t>
      </w:r>
      <w:r w:rsidR="00AA483B" w:rsidRPr="00025399">
        <w:rPr>
          <w:rFonts w:cs="Arial"/>
        </w:rPr>
        <w:t xml:space="preserve">epression was assessed </w:t>
      </w:r>
      <w:r w:rsidR="00B9505C">
        <w:rPr>
          <w:rFonts w:cs="Arial"/>
        </w:rPr>
        <w:t>with</w:t>
      </w:r>
      <w:r w:rsidR="00067418" w:rsidRPr="00025399">
        <w:rPr>
          <w:rFonts w:cs="Arial"/>
        </w:rPr>
        <w:t xml:space="preserve"> </w:t>
      </w:r>
      <w:r w:rsidR="00C27715">
        <w:rPr>
          <w:rFonts w:cs="Arial"/>
        </w:rPr>
        <w:t xml:space="preserve">the </w:t>
      </w:r>
      <w:r w:rsidR="00067418" w:rsidRPr="00025399">
        <w:rPr>
          <w:rFonts w:cs="Arial"/>
          <w:color w:val="222222"/>
          <w:shd w:val="clear" w:color="auto" w:fill="FFFFFF"/>
        </w:rPr>
        <w:t>Structured Clinical Interview for D</w:t>
      </w:r>
      <w:r w:rsidR="00335C0E">
        <w:rPr>
          <w:rFonts w:cs="Arial"/>
          <w:color w:val="222222"/>
          <w:shd w:val="clear" w:color="auto" w:fill="FFFFFF"/>
        </w:rPr>
        <w:t>epression (SCID D</w:t>
      </w:r>
      <w:r w:rsidR="00067418" w:rsidRPr="00025399">
        <w:rPr>
          <w:rFonts w:cs="Arial"/>
          <w:color w:val="222222"/>
          <w:shd w:val="clear" w:color="auto" w:fill="FFFFFF"/>
        </w:rPr>
        <w:t>SM-IV</w:t>
      </w:r>
      <w:r w:rsidR="00335C0E">
        <w:rPr>
          <w:rFonts w:cs="Arial"/>
          <w:color w:val="222222"/>
          <w:shd w:val="clear" w:color="auto" w:fill="FFFFFF"/>
        </w:rPr>
        <w:t>)</w:t>
      </w:r>
      <w:r w:rsidR="00AA483B" w:rsidRPr="00025399">
        <w:rPr>
          <w:rFonts w:cs="Arial"/>
        </w:rPr>
        <w:t>.</w:t>
      </w:r>
      <w:r w:rsidR="00B9505C">
        <w:rPr>
          <w:rFonts w:cs="Arial"/>
        </w:rPr>
        <w:t xml:space="preserve"> We used multi-level modelling to identify associations with depression.</w:t>
      </w:r>
      <w:r w:rsidR="00AA483B" w:rsidRPr="00025399">
        <w:rPr>
          <w:rFonts w:cs="Arial"/>
        </w:rPr>
        <w:t xml:space="preserve"> </w:t>
      </w:r>
      <w:r w:rsidR="00B9505C">
        <w:rPr>
          <w:rFonts w:cs="Arial"/>
        </w:rPr>
        <w:t>Experience Bangladeshi researchers conducted q</w:t>
      </w:r>
      <w:r w:rsidR="009800B7" w:rsidRPr="00025399">
        <w:rPr>
          <w:rFonts w:cs="Arial"/>
        </w:rPr>
        <w:t xml:space="preserve">ualitative interviews with </w:t>
      </w:r>
      <w:r w:rsidR="000F0EA3" w:rsidRPr="00025399">
        <w:rPr>
          <w:rFonts w:cs="Arial"/>
        </w:rPr>
        <w:t>8</w:t>
      </w:r>
      <w:r w:rsidR="009800B7" w:rsidRPr="00025399">
        <w:rPr>
          <w:rFonts w:cs="Arial"/>
        </w:rPr>
        <w:t xml:space="preserve"> patients, </w:t>
      </w:r>
      <w:r w:rsidR="000F0EA3" w:rsidRPr="00025399">
        <w:rPr>
          <w:rFonts w:cs="Arial"/>
        </w:rPr>
        <w:t xml:space="preserve">4 </w:t>
      </w:r>
      <w:r w:rsidR="009800B7" w:rsidRPr="00025399">
        <w:rPr>
          <w:rFonts w:cs="Arial"/>
        </w:rPr>
        <w:t>carers</w:t>
      </w:r>
      <w:r w:rsidR="00C7468A" w:rsidRPr="00025399">
        <w:rPr>
          <w:rFonts w:cs="Arial"/>
        </w:rPr>
        <w:t>,</w:t>
      </w:r>
      <w:r w:rsidR="009800B7" w:rsidRPr="00025399">
        <w:rPr>
          <w:rFonts w:cs="Arial"/>
        </w:rPr>
        <w:t xml:space="preserve"> </w:t>
      </w:r>
      <w:r w:rsidR="000F0EA3" w:rsidRPr="00025399">
        <w:rPr>
          <w:rFonts w:cs="Arial"/>
        </w:rPr>
        <w:t>4</w:t>
      </w:r>
      <w:r w:rsidR="009800B7" w:rsidRPr="00025399">
        <w:rPr>
          <w:rFonts w:cs="Arial"/>
        </w:rPr>
        <w:t xml:space="preserve"> health </w:t>
      </w:r>
      <w:r w:rsidR="000F0EA3" w:rsidRPr="00025399">
        <w:rPr>
          <w:rFonts w:cs="Arial"/>
        </w:rPr>
        <w:t xml:space="preserve">professionals and </w:t>
      </w:r>
      <w:r w:rsidR="009516DA" w:rsidRPr="00025399">
        <w:rPr>
          <w:rFonts w:cs="Arial"/>
        </w:rPr>
        <w:t>refl</w:t>
      </w:r>
      <w:r w:rsidR="000F0EA3" w:rsidRPr="00025399">
        <w:rPr>
          <w:rFonts w:cs="Arial"/>
        </w:rPr>
        <w:t>ective notes recorded</w:t>
      </w:r>
      <w:r w:rsidR="009800B7" w:rsidRPr="00025399">
        <w:rPr>
          <w:rFonts w:cs="Arial"/>
        </w:rPr>
        <w:t xml:space="preserve">. Qualitative data was analysed thematically. </w:t>
      </w:r>
    </w:p>
    <w:p w14:paraId="389637C7" w14:textId="14808C14" w:rsidR="006B2E93" w:rsidRPr="00025399" w:rsidRDefault="006B2E93">
      <w:pPr>
        <w:rPr>
          <w:rFonts w:cs="Arial"/>
        </w:rPr>
      </w:pPr>
      <w:r w:rsidRPr="00025399">
        <w:rPr>
          <w:rFonts w:cs="Arial"/>
        </w:rPr>
        <w:lastRenderedPageBreak/>
        <w:t>Result</w:t>
      </w:r>
      <w:r w:rsidR="00511A48" w:rsidRPr="00025399">
        <w:rPr>
          <w:rFonts w:cs="Arial"/>
        </w:rPr>
        <w:t>s</w:t>
      </w:r>
      <w:r w:rsidR="009800B7" w:rsidRPr="00025399">
        <w:rPr>
          <w:rFonts w:cs="Arial"/>
        </w:rPr>
        <w:t>: We found 33.8% (95% CI 26.7%</w:t>
      </w:r>
      <w:r w:rsidR="00C7468A" w:rsidRPr="00025399">
        <w:rPr>
          <w:rFonts w:cs="Arial"/>
        </w:rPr>
        <w:t>;</w:t>
      </w:r>
      <w:r w:rsidR="009800B7" w:rsidRPr="00025399">
        <w:rPr>
          <w:rFonts w:cs="Arial"/>
        </w:rPr>
        <w:t xml:space="preserve"> 41.7%) of patients were depressed. </w:t>
      </w:r>
      <w:r w:rsidR="003A40A8" w:rsidRPr="00025399">
        <w:rPr>
          <w:rFonts w:cs="Arial"/>
        </w:rPr>
        <w:t xml:space="preserve">While more women were depressed </w:t>
      </w:r>
      <w:r w:rsidR="003A40A8" w:rsidRPr="00025399">
        <w:rPr>
          <w:rStyle w:val="gnkrckgcgsb"/>
          <w:rFonts w:cs="Arial"/>
          <w:color w:val="000000"/>
          <w:bdr w:val="none" w:sz="0" w:space="0" w:color="auto" w:frame="1"/>
        </w:rPr>
        <w:t>39.3% (</w:t>
      </w:r>
      <w:r w:rsidR="00D314FB">
        <w:rPr>
          <w:rStyle w:val="gnkrckgcgsb"/>
          <w:rFonts w:cs="Arial"/>
          <w:color w:val="000000"/>
          <w:bdr w:val="none" w:sz="0" w:space="0" w:color="auto" w:frame="1"/>
        </w:rPr>
        <w:t xml:space="preserve">95% CI </w:t>
      </w:r>
      <w:r w:rsidR="003A40A8" w:rsidRPr="00025399">
        <w:rPr>
          <w:rStyle w:val="gnkrckgcgsb"/>
          <w:rFonts w:cs="Arial"/>
          <w:color w:val="000000"/>
          <w:bdr w:val="none" w:sz="0" w:space="0" w:color="auto" w:frame="1"/>
        </w:rPr>
        <w:t>27.6%</w:t>
      </w:r>
      <w:r w:rsidR="00C7468A" w:rsidRPr="00025399">
        <w:rPr>
          <w:rStyle w:val="gnkrckgcgsb"/>
          <w:rFonts w:cs="Arial"/>
          <w:color w:val="000000"/>
          <w:bdr w:val="none" w:sz="0" w:space="0" w:color="auto" w:frame="1"/>
        </w:rPr>
        <w:t>;</w:t>
      </w:r>
      <w:r w:rsidR="003A40A8" w:rsidRPr="00025399">
        <w:rPr>
          <w:rStyle w:val="gnkrckgcgsb"/>
          <w:rFonts w:cs="Arial"/>
          <w:color w:val="000000"/>
          <w:bdr w:val="none" w:sz="0" w:space="0" w:color="auto" w:frame="1"/>
        </w:rPr>
        <w:t xml:space="preserve"> 52.4%)</w:t>
      </w:r>
      <w:r w:rsidR="003A40A8" w:rsidRPr="00025399">
        <w:rPr>
          <w:rFonts w:cs="Arial"/>
        </w:rPr>
        <w:t xml:space="preserve"> than men </w:t>
      </w:r>
      <w:r w:rsidR="003A40A8" w:rsidRPr="00025399">
        <w:rPr>
          <w:rStyle w:val="gnkrckgcgsb"/>
          <w:rFonts w:cs="Arial"/>
          <w:color w:val="000000"/>
          <w:bdr w:val="none" w:sz="0" w:space="0" w:color="auto" w:frame="1"/>
        </w:rPr>
        <w:t>30.4% (</w:t>
      </w:r>
      <w:r w:rsidR="00D314FB">
        <w:rPr>
          <w:rStyle w:val="gnkrckgcgsb"/>
          <w:rFonts w:cs="Arial"/>
          <w:color w:val="000000"/>
          <w:bdr w:val="none" w:sz="0" w:space="0" w:color="auto" w:frame="1"/>
        </w:rPr>
        <w:t xml:space="preserve">95% CI </w:t>
      </w:r>
      <w:r w:rsidR="003A40A8" w:rsidRPr="00025399">
        <w:rPr>
          <w:rStyle w:val="gnkrckgcgsb"/>
          <w:rFonts w:cs="Arial"/>
          <w:color w:val="000000"/>
          <w:bdr w:val="none" w:sz="0" w:space="0" w:color="auto" w:frame="1"/>
        </w:rPr>
        <w:t>22%</w:t>
      </w:r>
      <w:r w:rsidR="00C7468A" w:rsidRPr="00025399">
        <w:rPr>
          <w:rStyle w:val="gnkrckgcgsb"/>
          <w:rFonts w:cs="Arial"/>
          <w:color w:val="000000"/>
          <w:bdr w:val="none" w:sz="0" w:space="0" w:color="auto" w:frame="1"/>
        </w:rPr>
        <w:t>;</w:t>
      </w:r>
      <w:r w:rsidR="003A40A8" w:rsidRPr="00025399">
        <w:rPr>
          <w:rStyle w:val="gnkrckgcgsb"/>
          <w:rFonts w:cs="Arial"/>
          <w:color w:val="000000"/>
          <w:bdr w:val="none" w:sz="0" w:space="0" w:color="auto" w:frame="1"/>
        </w:rPr>
        <w:t xml:space="preserve"> 40.5%)</w:t>
      </w:r>
      <w:r w:rsidR="003A40A8" w:rsidRPr="00025399">
        <w:rPr>
          <w:rFonts w:cs="Arial"/>
        </w:rPr>
        <w:t xml:space="preserve"> </w:t>
      </w:r>
      <w:r w:rsidR="00DD4D68" w:rsidRPr="00025399">
        <w:rPr>
          <w:rFonts w:cs="Arial"/>
        </w:rPr>
        <w:t>this</w:t>
      </w:r>
      <w:r w:rsidR="00C7468A" w:rsidRPr="00025399">
        <w:rPr>
          <w:rFonts w:cs="Arial"/>
        </w:rPr>
        <w:t xml:space="preserve"> was not significant</w:t>
      </w:r>
      <w:r w:rsidR="00685CCC" w:rsidRPr="00025399">
        <w:rPr>
          <w:rFonts w:cs="Arial"/>
        </w:rPr>
        <w:t xml:space="preserve">. </w:t>
      </w:r>
      <w:r w:rsidR="00A55974">
        <w:rPr>
          <w:rFonts w:cs="Arial"/>
        </w:rPr>
        <w:t>After controlling for key variables only h</w:t>
      </w:r>
      <w:r w:rsidR="00DD4D68" w:rsidRPr="00025399">
        <w:rPr>
          <w:rFonts w:cs="Arial"/>
        </w:rPr>
        <w:t xml:space="preserve">aving one or more co-morbidity </w:t>
      </w:r>
      <w:r w:rsidR="001E4760">
        <w:rPr>
          <w:rFonts w:cs="Arial"/>
        </w:rPr>
        <w:t xml:space="preserve">(adjusted odds ratio [AOR] = </w:t>
      </w:r>
      <w:r w:rsidR="00702154">
        <w:rPr>
          <w:rFonts w:cs="Arial"/>
        </w:rPr>
        <w:t>2.88</w:t>
      </w:r>
      <w:r w:rsidR="00DD4D68" w:rsidRPr="00025399">
        <w:rPr>
          <w:rFonts w:cs="Arial"/>
        </w:rPr>
        <w:t xml:space="preserve"> </w:t>
      </w:r>
      <w:r w:rsidR="001E4760">
        <w:rPr>
          <w:rFonts w:cs="Arial"/>
        </w:rPr>
        <w:t>[</w:t>
      </w:r>
      <w:r w:rsidR="00D314FB">
        <w:rPr>
          <w:rFonts w:cs="Arial"/>
        </w:rPr>
        <w:t xml:space="preserve">95% CI </w:t>
      </w:r>
      <w:r w:rsidR="00DD4D68" w:rsidRPr="00025399">
        <w:rPr>
          <w:rFonts w:cs="Arial"/>
        </w:rPr>
        <w:t>1.</w:t>
      </w:r>
      <w:r w:rsidR="00942F70">
        <w:rPr>
          <w:rFonts w:cs="Arial"/>
        </w:rPr>
        <w:t>13</w:t>
      </w:r>
      <w:r w:rsidR="004C484F">
        <w:rPr>
          <w:rFonts w:cs="Arial"/>
        </w:rPr>
        <w:t>;</w:t>
      </w:r>
      <w:r w:rsidR="00DD4D68" w:rsidRPr="00025399">
        <w:rPr>
          <w:rFonts w:cs="Arial"/>
        </w:rPr>
        <w:t xml:space="preserve"> </w:t>
      </w:r>
      <w:r w:rsidR="00942F70">
        <w:rPr>
          <w:rFonts w:cs="Arial"/>
        </w:rPr>
        <w:t>7.33</w:t>
      </w:r>
      <w:r w:rsidR="001E4760">
        <w:rPr>
          <w:rFonts w:cs="Arial"/>
        </w:rPr>
        <w:t>]</w:t>
      </w:r>
      <w:r w:rsidR="0000703F">
        <w:rPr>
          <w:rFonts w:cs="Arial"/>
        </w:rPr>
        <w:t>)</w:t>
      </w:r>
      <w:r w:rsidR="00DD4D68" w:rsidRPr="00025399">
        <w:rPr>
          <w:rFonts w:cs="Arial"/>
        </w:rPr>
        <w:t xml:space="preserve"> and being a new rather than </w:t>
      </w:r>
      <w:r w:rsidR="00335C0E">
        <w:rPr>
          <w:rFonts w:cs="Arial"/>
        </w:rPr>
        <w:t>previously treated</w:t>
      </w:r>
      <w:r w:rsidR="00DD4D68" w:rsidRPr="00025399">
        <w:rPr>
          <w:rFonts w:cs="Arial"/>
        </w:rPr>
        <w:t xml:space="preserve"> case </w:t>
      </w:r>
      <w:r w:rsidR="0000703F">
        <w:rPr>
          <w:rFonts w:cs="Arial"/>
        </w:rPr>
        <w:t xml:space="preserve">(AOR = 2.33 [95% CI </w:t>
      </w:r>
      <w:r w:rsidR="004C484F">
        <w:rPr>
          <w:rFonts w:cs="Arial"/>
        </w:rPr>
        <w:t>1.06; 5.14</w:t>
      </w:r>
      <w:r w:rsidR="0000703F">
        <w:rPr>
          <w:rFonts w:cs="Arial"/>
        </w:rPr>
        <w:t>])</w:t>
      </w:r>
      <w:r w:rsidR="00DD4D68" w:rsidRPr="00025399">
        <w:rPr>
          <w:rFonts w:cs="Arial"/>
        </w:rPr>
        <w:t xml:space="preserve"> w</w:t>
      </w:r>
      <w:r w:rsidR="004C484F">
        <w:rPr>
          <w:rFonts w:cs="Arial"/>
        </w:rPr>
        <w:t>ere</w:t>
      </w:r>
      <w:r w:rsidR="009800B7" w:rsidRPr="00025399">
        <w:rPr>
          <w:rFonts w:cs="Arial"/>
        </w:rPr>
        <w:t xml:space="preserve"> associated </w:t>
      </w:r>
      <w:r w:rsidR="00A55974">
        <w:rPr>
          <w:rFonts w:cs="Arial"/>
        </w:rPr>
        <w:t>(</w:t>
      </w:r>
      <w:r w:rsidR="00A55974" w:rsidRPr="00025399">
        <w:rPr>
          <w:rFonts w:cs="Arial"/>
        </w:rPr>
        <w:t>positively</w:t>
      </w:r>
      <w:r w:rsidR="00A55974">
        <w:rPr>
          <w:rFonts w:cs="Arial"/>
        </w:rPr>
        <w:t xml:space="preserve">) </w:t>
      </w:r>
      <w:r w:rsidR="009800B7" w:rsidRPr="00025399">
        <w:rPr>
          <w:rFonts w:cs="Arial"/>
        </w:rPr>
        <w:t>with depression</w:t>
      </w:r>
      <w:r w:rsidR="00DD4D68" w:rsidRPr="00025399">
        <w:rPr>
          <w:rFonts w:cs="Arial"/>
        </w:rPr>
        <w:t>.</w:t>
      </w:r>
      <w:r w:rsidR="003A40A8" w:rsidRPr="00025399">
        <w:rPr>
          <w:rFonts w:cs="Arial"/>
        </w:rPr>
        <w:t xml:space="preserve"> </w:t>
      </w:r>
      <w:r w:rsidR="001F0E29" w:rsidRPr="00025399">
        <w:rPr>
          <w:rFonts w:cs="Arial"/>
        </w:rPr>
        <w:t xml:space="preserve">Qualitative data highlighted </w:t>
      </w:r>
      <w:r w:rsidR="006B2D2E" w:rsidRPr="00025399">
        <w:rPr>
          <w:rFonts w:cs="Arial"/>
        </w:rPr>
        <w:t xml:space="preserve">the </w:t>
      </w:r>
      <w:r w:rsidR="00063540" w:rsidRPr="00025399">
        <w:rPr>
          <w:rFonts w:cs="Arial"/>
        </w:rPr>
        <w:t xml:space="preserve">isolation and despair felt by patients </w:t>
      </w:r>
      <w:r w:rsidR="00DD4D68" w:rsidRPr="00025399">
        <w:rPr>
          <w:rFonts w:cs="Arial"/>
        </w:rPr>
        <w:t>who</w:t>
      </w:r>
      <w:r w:rsidR="00063540" w:rsidRPr="00025399">
        <w:rPr>
          <w:rFonts w:cs="Arial"/>
        </w:rPr>
        <w:t xml:space="preserve"> described a service </w:t>
      </w:r>
      <w:r w:rsidR="00AA483B" w:rsidRPr="00025399">
        <w:rPr>
          <w:rFonts w:cs="Arial"/>
        </w:rPr>
        <w:t xml:space="preserve">predominantly </w:t>
      </w:r>
      <w:r w:rsidR="00063540" w:rsidRPr="00025399">
        <w:rPr>
          <w:rFonts w:cs="Arial"/>
        </w:rPr>
        <w:t xml:space="preserve">focused on providing medicines. </w:t>
      </w:r>
      <w:r w:rsidR="00AE2DE5" w:rsidRPr="00025399">
        <w:rPr>
          <w:rFonts w:cs="Arial"/>
        </w:rPr>
        <w:t>Individual, familial, societal and health-care factors influenced r</w:t>
      </w:r>
      <w:r w:rsidR="00774768" w:rsidRPr="00025399">
        <w:rPr>
          <w:rFonts w:cs="Arial"/>
        </w:rPr>
        <w:t>esilience</w:t>
      </w:r>
      <w:r w:rsidR="00AA483B" w:rsidRPr="00025399">
        <w:rPr>
          <w:rFonts w:cs="Arial"/>
        </w:rPr>
        <w:t xml:space="preserve">, </w:t>
      </w:r>
      <w:r w:rsidR="00AE2DE5" w:rsidRPr="00025399">
        <w:rPr>
          <w:rFonts w:cs="Arial"/>
        </w:rPr>
        <w:t xml:space="preserve">nuanced by gender, socio-economic status and home location. </w:t>
      </w:r>
    </w:p>
    <w:p w14:paraId="74B12FA6" w14:textId="7FC88C32" w:rsidR="00AE2DE5" w:rsidRPr="00025399" w:rsidRDefault="00AE2DE5">
      <w:pPr>
        <w:rPr>
          <w:rFonts w:cs="Arial"/>
        </w:rPr>
      </w:pPr>
      <w:r w:rsidRPr="00025399">
        <w:rPr>
          <w:rFonts w:cs="Arial"/>
        </w:rPr>
        <w:t xml:space="preserve">Conclusions: </w:t>
      </w:r>
      <w:r w:rsidR="00AA483B" w:rsidRPr="00025399">
        <w:rPr>
          <w:rFonts w:cs="Arial"/>
        </w:rPr>
        <w:t xml:space="preserve">Patients with </w:t>
      </w:r>
      <w:r w:rsidR="004F27FA">
        <w:rPr>
          <w:rFonts w:cs="Arial"/>
        </w:rPr>
        <w:t>multi-drug resistant tuberculosis</w:t>
      </w:r>
      <w:r w:rsidR="00AA483B" w:rsidRPr="00025399">
        <w:rPr>
          <w:rFonts w:cs="Arial"/>
        </w:rPr>
        <w:t xml:space="preserve"> are at high risk of depression, particularly those with co- and multi-morbidities. </w:t>
      </w:r>
      <w:r w:rsidR="000F4489">
        <w:rPr>
          <w:rFonts w:cs="Arial"/>
        </w:rPr>
        <w:t xml:space="preserve">Screening for depression and psycho-social support should be </w:t>
      </w:r>
      <w:r w:rsidR="002B50FA">
        <w:rPr>
          <w:rFonts w:cs="Arial"/>
        </w:rPr>
        <w:t xml:space="preserve">integrated within </w:t>
      </w:r>
      <w:r w:rsidR="004F27FA">
        <w:rPr>
          <w:rFonts w:cs="Arial"/>
        </w:rPr>
        <w:t xml:space="preserve">routine </w:t>
      </w:r>
      <w:r w:rsidR="002B50FA">
        <w:rPr>
          <w:rFonts w:cs="Arial"/>
        </w:rPr>
        <w:t xml:space="preserve">TB services and </w:t>
      </w:r>
      <w:r w:rsidR="000F4489">
        <w:rPr>
          <w:rFonts w:cs="Arial"/>
        </w:rPr>
        <w:t>provided throughout treatment.</w:t>
      </w:r>
    </w:p>
    <w:p w14:paraId="5786DCA1" w14:textId="6BCB0053" w:rsidR="00F24569" w:rsidRPr="00025399" w:rsidRDefault="00F24569">
      <w:pPr>
        <w:rPr>
          <w:rFonts w:cs="Arial"/>
        </w:rPr>
      </w:pPr>
    </w:p>
    <w:p w14:paraId="3B0C4575" w14:textId="3F2C2981" w:rsidR="00F24569" w:rsidRPr="00025399" w:rsidRDefault="00F24569" w:rsidP="00F24569">
      <w:pPr>
        <w:rPr>
          <w:rFonts w:cs="Arial"/>
        </w:rPr>
      </w:pPr>
      <w:r w:rsidRPr="00025399">
        <w:rPr>
          <w:rFonts w:cs="Arial"/>
        </w:rPr>
        <w:t>Keywords</w:t>
      </w:r>
      <w:r w:rsidR="000F4489">
        <w:rPr>
          <w:rFonts w:cs="Arial"/>
        </w:rPr>
        <w:t>:</w:t>
      </w:r>
    </w:p>
    <w:p w14:paraId="3927D099" w14:textId="590A079B" w:rsidR="00F24569" w:rsidRPr="00025399" w:rsidRDefault="00F24569" w:rsidP="00F24569">
      <w:pPr>
        <w:rPr>
          <w:rFonts w:cs="Arial"/>
        </w:rPr>
      </w:pPr>
      <w:r w:rsidRPr="00025399">
        <w:rPr>
          <w:rFonts w:cs="Arial"/>
        </w:rPr>
        <w:t>Tuberculosis</w:t>
      </w:r>
      <w:r w:rsidR="004F27FA">
        <w:rPr>
          <w:rFonts w:cs="Arial"/>
        </w:rPr>
        <w:t xml:space="preserve"> (TB)</w:t>
      </w:r>
      <w:r w:rsidRPr="00025399">
        <w:rPr>
          <w:rFonts w:cs="Arial"/>
        </w:rPr>
        <w:t>, multi-drug resistant</w:t>
      </w:r>
      <w:r w:rsidR="004F27FA">
        <w:rPr>
          <w:rFonts w:cs="Arial"/>
        </w:rPr>
        <w:t xml:space="preserve"> (MDR-TB)</w:t>
      </w:r>
      <w:r w:rsidRPr="00025399">
        <w:rPr>
          <w:rFonts w:cs="Arial"/>
        </w:rPr>
        <w:t xml:space="preserve">, depression, mental health, co-morbidities, Bangladesh, </w:t>
      </w:r>
      <w:proofErr w:type="gramStart"/>
      <w:r w:rsidRPr="00025399">
        <w:rPr>
          <w:rFonts w:cs="Arial"/>
        </w:rPr>
        <w:t>low and middle income</w:t>
      </w:r>
      <w:proofErr w:type="gramEnd"/>
      <w:r w:rsidRPr="00025399">
        <w:rPr>
          <w:rFonts w:cs="Arial"/>
        </w:rPr>
        <w:t xml:space="preserve"> countries</w:t>
      </w:r>
      <w:r w:rsidR="004F27FA">
        <w:rPr>
          <w:rFonts w:cs="Arial"/>
        </w:rPr>
        <w:t xml:space="preserve"> (LMIC)</w:t>
      </w:r>
      <w:r w:rsidRPr="00025399">
        <w:rPr>
          <w:rFonts w:cs="Arial"/>
        </w:rPr>
        <w:t xml:space="preserve">, </w:t>
      </w:r>
    </w:p>
    <w:p w14:paraId="75E69A17" w14:textId="599BE069" w:rsidR="006B2E93" w:rsidRPr="00025399" w:rsidRDefault="00317321">
      <w:pPr>
        <w:rPr>
          <w:rFonts w:cs="Arial"/>
          <w:b/>
        </w:rPr>
      </w:pPr>
      <w:r w:rsidRPr="00025399">
        <w:rPr>
          <w:rFonts w:cs="Arial"/>
          <w:b/>
        </w:rPr>
        <w:t>BACKGROUND</w:t>
      </w:r>
    </w:p>
    <w:p w14:paraId="0CD32A7F" w14:textId="1A6409F3" w:rsidR="003E0BC3" w:rsidRPr="00025399" w:rsidRDefault="00317321" w:rsidP="003E0BC3">
      <w:pPr>
        <w:rPr>
          <w:rFonts w:cs="Arial"/>
        </w:rPr>
      </w:pPr>
      <w:r w:rsidRPr="00025399">
        <w:rPr>
          <w:rFonts w:cs="Arial"/>
        </w:rPr>
        <w:t>Mental and physical health are inextricably l</w:t>
      </w:r>
      <w:r w:rsidR="00671D9B" w:rsidRPr="00025399">
        <w:rPr>
          <w:rFonts w:cs="Arial"/>
        </w:rPr>
        <w:t>inked</w:t>
      </w:r>
      <w:r w:rsidR="00921EF9">
        <w:rPr>
          <w:rFonts w:cs="Arial"/>
        </w:rPr>
        <w:t>,</w:t>
      </w:r>
      <w:r w:rsidR="00671D9B" w:rsidRPr="00025399">
        <w:rPr>
          <w:rFonts w:cs="Arial"/>
        </w:rPr>
        <w:t xml:space="preserve"> mutually reinforcing</w:t>
      </w:r>
      <w:r w:rsidR="005D1670" w:rsidRPr="00025399">
        <w:rPr>
          <w:rFonts w:cs="Arial"/>
        </w:rPr>
        <w:t xml:space="preserve"> and can be considered a </w:t>
      </w:r>
      <w:proofErr w:type="spellStart"/>
      <w:r w:rsidR="005D1670" w:rsidRPr="00025399">
        <w:rPr>
          <w:rFonts w:cs="Arial"/>
        </w:rPr>
        <w:t>syndemic</w:t>
      </w:r>
      <w:proofErr w:type="spellEnd"/>
      <w:r w:rsidR="005D1670" w:rsidRPr="00025399">
        <w:rPr>
          <w:rFonts w:cs="Arial"/>
        </w:rPr>
        <w:t xml:space="preserve">, </w:t>
      </w:r>
      <w:r w:rsidR="00130733" w:rsidRPr="00025399">
        <w:rPr>
          <w:rFonts w:cs="Arial"/>
        </w:rPr>
        <w:t>with</w:t>
      </w:r>
      <w:r w:rsidR="005D1670" w:rsidRPr="00025399">
        <w:rPr>
          <w:rFonts w:cs="Arial"/>
        </w:rPr>
        <w:t xml:space="preserve"> the synergistic interaction of these two conditions lead</w:t>
      </w:r>
      <w:r w:rsidR="00921EF9">
        <w:rPr>
          <w:rFonts w:cs="Arial"/>
        </w:rPr>
        <w:t>ing</w:t>
      </w:r>
      <w:r w:rsidR="005D1670" w:rsidRPr="00025399">
        <w:rPr>
          <w:rFonts w:cs="Arial"/>
        </w:rPr>
        <w:t xml:space="preserve"> to an excess burden of disease</w:t>
      </w:r>
      <w:r w:rsidR="004B394B" w:rsidRPr="00025399">
        <w:rPr>
          <w:rFonts w:cs="Arial"/>
        </w:rPr>
        <w:t xml:space="preserve"> (1,2)</w:t>
      </w:r>
      <w:r w:rsidR="00130733" w:rsidRPr="00025399">
        <w:rPr>
          <w:rFonts w:cs="Arial"/>
        </w:rPr>
        <w:t xml:space="preserve">. </w:t>
      </w:r>
      <w:r w:rsidR="00671D9B" w:rsidRPr="00025399">
        <w:rPr>
          <w:rFonts w:cs="Arial"/>
        </w:rPr>
        <w:t xml:space="preserve">In </w:t>
      </w:r>
      <w:r w:rsidRPr="00025399">
        <w:rPr>
          <w:rFonts w:cs="Arial"/>
        </w:rPr>
        <w:t>this</w:t>
      </w:r>
      <w:r w:rsidR="00130733" w:rsidRPr="00025399">
        <w:rPr>
          <w:rFonts w:cs="Arial"/>
        </w:rPr>
        <w:t xml:space="preserve"> bio-directional</w:t>
      </w:r>
      <w:r w:rsidRPr="00025399">
        <w:rPr>
          <w:rFonts w:cs="Arial"/>
        </w:rPr>
        <w:t xml:space="preserve"> </w:t>
      </w:r>
      <w:r w:rsidR="00671D9B" w:rsidRPr="00025399">
        <w:rPr>
          <w:rFonts w:cs="Arial"/>
        </w:rPr>
        <w:t>relationship, p</w:t>
      </w:r>
      <w:r w:rsidRPr="00025399">
        <w:rPr>
          <w:rFonts w:cs="Arial"/>
        </w:rPr>
        <w:t>hysical health conditions increase</w:t>
      </w:r>
      <w:r w:rsidR="00671D9B" w:rsidRPr="00025399">
        <w:rPr>
          <w:rFonts w:cs="Arial"/>
        </w:rPr>
        <w:t xml:space="preserve"> the risk of poor mental health, which in turn undermines health-seeking behaviour, diagnosis, management and outcomes</w:t>
      </w:r>
      <w:r w:rsidR="00CD02E2" w:rsidRPr="00025399">
        <w:rPr>
          <w:rFonts w:cs="Arial"/>
        </w:rPr>
        <w:t xml:space="preserve"> </w:t>
      </w:r>
      <w:r w:rsidR="004B394B" w:rsidRPr="00025399">
        <w:rPr>
          <w:rFonts w:cs="Arial"/>
        </w:rPr>
        <w:t>(3)</w:t>
      </w:r>
      <w:r w:rsidR="00CD02E2" w:rsidRPr="00025399">
        <w:rPr>
          <w:rFonts w:cs="Arial"/>
        </w:rPr>
        <w:t xml:space="preserve">. </w:t>
      </w:r>
      <w:r w:rsidR="00C76966" w:rsidRPr="00025399">
        <w:rPr>
          <w:rFonts w:cs="Arial"/>
        </w:rPr>
        <w:t>Case</w:t>
      </w:r>
      <w:r w:rsidR="00C7468A" w:rsidRPr="00025399">
        <w:rPr>
          <w:rFonts w:cs="Arial"/>
        </w:rPr>
        <w:t>s</w:t>
      </w:r>
      <w:r w:rsidR="00C76966" w:rsidRPr="00025399">
        <w:rPr>
          <w:rFonts w:cs="Arial"/>
        </w:rPr>
        <w:t xml:space="preserve"> of multi-drug resistant tuberculosis (</w:t>
      </w:r>
      <w:r w:rsidR="00161B7B">
        <w:rPr>
          <w:rFonts w:cs="Arial"/>
        </w:rPr>
        <w:t>MDR-TB</w:t>
      </w:r>
      <w:r w:rsidR="00C76966" w:rsidRPr="00025399">
        <w:rPr>
          <w:rFonts w:cs="Arial"/>
        </w:rPr>
        <w:t xml:space="preserve">) continue to grow globally with </w:t>
      </w:r>
      <w:r w:rsidR="00035145" w:rsidRPr="00025399">
        <w:rPr>
          <w:rFonts w:cs="Arial"/>
        </w:rPr>
        <w:t>160 684 cases of MDR/</w:t>
      </w:r>
      <w:r w:rsidR="002D5C77">
        <w:rPr>
          <w:rFonts w:cs="Arial"/>
        </w:rPr>
        <w:t>Rifampicin Resistant</w:t>
      </w:r>
      <w:r w:rsidR="00035145" w:rsidRPr="00025399">
        <w:rPr>
          <w:rFonts w:cs="Arial"/>
        </w:rPr>
        <w:t>-TB detected and notified in 2017</w:t>
      </w:r>
      <w:r w:rsidR="002B50FA">
        <w:rPr>
          <w:rFonts w:cs="Arial"/>
        </w:rPr>
        <w:t xml:space="preserve"> (4).</w:t>
      </w:r>
      <w:r w:rsidR="00035145" w:rsidRPr="00025399">
        <w:rPr>
          <w:rFonts w:cs="Arial"/>
        </w:rPr>
        <w:t xml:space="preserve">  Globally</w:t>
      </w:r>
      <w:r w:rsidR="00921EF9">
        <w:rPr>
          <w:rFonts w:cs="Arial"/>
        </w:rPr>
        <w:t>,</w:t>
      </w:r>
      <w:r w:rsidR="00035145" w:rsidRPr="00025399">
        <w:rPr>
          <w:rFonts w:cs="Arial"/>
        </w:rPr>
        <w:t xml:space="preserve"> treatment success for </w:t>
      </w:r>
      <w:r w:rsidR="00161B7B">
        <w:rPr>
          <w:rFonts w:cs="Arial"/>
        </w:rPr>
        <w:t>MDR-TB</w:t>
      </w:r>
      <w:r w:rsidR="00035145" w:rsidRPr="00025399">
        <w:rPr>
          <w:rFonts w:cs="Arial"/>
        </w:rPr>
        <w:t xml:space="preserve"> patients </w:t>
      </w:r>
      <w:r w:rsidR="00921EF9" w:rsidRPr="00025399">
        <w:rPr>
          <w:rFonts w:cs="Arial"/>
        </w:rPr>
        <w:t>at 55% globally</w:t>
      </w:r>
      <w:r w:rsidR="00921EF9">
        <w:rPr>
          <w:rFonts w:cs="Arial"/>
        </w:rPr>
        <w:t>,</w:t>
      </w:r>
      <w:r w:rsidR="00921EF9" w:rsidRPr="00025399">
        <w:rPr>
          <w:rFonts w:cs="Arial"/>
        </w:rPr>
        <w:t xml:space="preserve"> </w:t>
      </w:r>
      <w:r w:rsidR="00035145" w:rsidRPr="00025399">
        <w:rPr>
          <w:rFonts w:cs="Arial"/>
        </w:rPr>
        <w:t>remains much lower tha</w:t>
      </w:r>
      <w:r w:rsidR="00921EF9">
        <w:rPr>
          <w:rFonts w:cs="Arial"/>
        </w:rPr>
        <w:t xml:space="preserve">n for </w:t>
      </w:r>
      <w:r w:rsidR="00035145" w:rsidRPr="00025399">
        <w:rPr>
          <w:rFonts w:cs="Arial"/>
        </w:rPr>
        <w:t>drug-sensitive TB, although several high burden countries, including Bangladesh are achieving better treatment success rates of over 70%</w:t>
      </w:r>
      <w:r w:rsidR="004B394B" w:rsidRPr="00025399">
        <w:rPr>
          <w:rFonts w:cs="Arial"/>
        </w:rPr>
        <w:t xml:space="preserve"> (4)</w:t>
      </w:r>
      <w:r w:rsidR="00035145" w:rsidRPr="00025399">
        <w:rPr>
          <w:rFonts w:cs="Arial"/>
        </w:rPr>
        <w:t xml:space="preserve">. The need to identify and successfully treat patients with </w:t>
      </w:r>
      <w:r w:rsidR="00161B7B">
        <w:rPr>
          <w:rFonts w:cs="Arial"/>
        </w:rPr>
        <w:t>MDR-TB</w:t>
      </w:r>
      <w:r w:rsidR="00035145" w:rsidRPr="00025399">
        <w:rPr>
          <w:rFonts w:cs="Arial"/>
        </w:rPr>
        <w:t xml:space="preserve"> is a global priority, and yet, the </w:t>
      </w:r>
      <w:r w:rsidR="00CD02E2" w:rsidRPr="00025399">
        <w:rPr>
          <w:rFonts w:cs="Arial"/>
        </w:rPr>
        <w:t xml:space="preserve">limited evidence of the relationship between mental health and </w:t>
      </w:r>
      <w:r w:rsidR="00161B7B">
        <w:rPr>
          <w:rFonts w:cs="Arial"/>
        </w:rPr>
        <w:t>MDR-TB</w:t>
      </w:r>
      <w:r w:rsidR="00FB77B9" w:rsidRPr="00025399">
        <w:rPr>
          <w:rFonts w:cs="Arial"/>
        </w:rPr>
        <w:t xml:space="preserve"> undermines the development, testing and implementation of interventions to realise this goal</w:t>
      </w:r>
      <w:r w:rsidR="00130733" w:rsidRPr="00025399">
        <w:rPr>
          <w:rFonts w:cs="Arial"/>
        </w:rPr>
        <w:t xml:space="preserve"> (2)</w:t>
      </w:r>
      <w:r w:rsidR="00FB77B9" w:rsidRPr="00025399">
        <w:rPr>
          <w:rFonts w:cs="Arial"/>
        </w:rPr>
        <w:t>.</w:t>
      </w:r>
      <w:r w:rsidR="003E0BC3" w:rsidRPr="00025399">
        <w:rPr>
          <w:rFonts w:cs="Arial"/>
        </w:rPr>
        <w:t xml:space="preserve"> </w:t>
      </w:r>
    </w:p>
    <w:p w14:paraId="2718A996" w14:textId="4A980F2D" w:rsidR="00586ABA" w:rsidRPr="00025399" w:rsidRDefault="004B394B" w:rsidP="003C3ED8">
      <w:pPr>
        <w:rPr>
          <w:rFonts w:cs="Arial"/>
        </w:rPr>
      </w:pPr>
      <w:r w:rsidRPr="00025399">
        <w:rPr>
          <w:rFonts w:cs="Arial"/>
        </w:rPr>
        <w:t>There is a growing body of e</w:t>
      </w:r>
      <w:r w:rsidR="00C3022D" w:rsidRPr="00025399">
        <w:rPr>
          <w:rFonts w:cs="Arial"/>
        </w:rPr>
        <w:t xml:space="preserve">vidence of the prevalence of </w:t>
      </w:r>
      <w:r w:rsidR="002C5EEA" w:rsidRPr="00025399">
        <w:rPr>
          <w:rFonts w:cs="Arial"/>
        </w:rPr>
        <w:t>mental ill-health</w:t>
      </w:r>
      <w:r w:rsidR="00C3022D" w:rsidRPr="00025399">
        <w:rPr>
          <w:rFonts w:cs="Arial"/>
        </w:rPr>
        <w:t xml:space="preserve"> among </w:t>
      </w:r>
      <w:r w:rsidR="00921EF9">
        <w:rPr>
          <w:rFonts w:cs="Arial"/>
        </w:rPr>
        <w:t xml:space="preserve">those with </w:t>
      </w:r>
      <w:r w:rsidR="00161B7B">
        <w:rPr>
          <w:rFonts w:cs="Arial"/>
        </w:rPr>
        <w:t>MDR-TB</w:t>
      </w:r>
      <w:r w:rsidR="00AB514B" w:rsidRPr="00025399">
        <w:rPr>
          <w:rFonts w:cs="Arial"/>
        </w:rPr>
        <w:t xml:space="preserve">. </w:t>
      </w:r>
      <w:r w:rsidR="00C3022D" w:rsidRPr="00025399">
        <w:rPr>
          <w:rFonts w:cs="Arial"/>
        </w:rPr>
        <w:t xml:space="preserve"> </w:t>
      </w:r>
      <w:r w:rsidR="00AB514B" w:rsidRPr="00025399">
        <w:rPr>
          <w:rFonts w:cs="Arial"/>
        </w:rPr>
        <w:t xml:space="preserve">A recent large cross-sectional study of 1279 MDR-TB patients in routine care in Pakistan found </w:t>
      </w:r>
      <w:r w:rsidR="003C3ED8" w:rsidRPr="00025399">
        <w:rPr>
          <w:rFonts w:cs="Arial"/>
        </w:rPr>
        <w:t>42.8% (95%</w:t>
      </w:r>
      <w:r w:rsidR="00C9084F">
        <w:rPr>
          <w:rFonts w:cs="Arial"/>
        </w:rPr>
        <w:t xml:space="preserve"> </w:t>
      </w:r>
      <w:r w:rsidR="003C3ED8" w:rsidRPr="00025399">
        <w:rPr>
          <w:rFonts w:cs="Arial"/>
        </w:rPr>
        <w:t>CI 40.1</w:t>
      </w:r>
      <w:r w:rsidR="00C9084F">
        <w:rPr>
          <w:rFonts w:cs="Arial"/>
        </w:rPr>
        <w:t xml:space="preserve">; </w:t>
      </w:r>
      <w:r w:rsidR="003C3ED8" w:rsidRPr="00025399">
        <w:rPr>
          <w:rFonts w:cs="Arial"/>
        </w:rPr>
        <w:t>45.5) to be depressed (5).</w:t>
      </w:r>
      <w:r w:rsidR="00AB514B" w:rsidRPr="00025399">
        <w:rPr>
          <w:rFonts w:cs="Arial"/>
        </w:rPr>
        <w:t xml:space="preserve">  </w:t>
      </w:r>
      <w:r w:rsidR="003C3ED8" w:rsidRPr="00025399">
        <w:rPr>
          <w:rFonts w:cs="Arial"/>
        </w:rPr>
        <w:t xml:space="preserve">Smaller studies have found a range of levels of depression, </w:t>
      </w:r>
      <w:r w:rsidR="00044419" w:rsidRPr="00025399">
        <w:rPr>
          <w:rFonts w:cs="Arial"/>
        </w:rPr>
        <w:t>including</w:t>
      </w:r>
      <w:r w:rsidR="003C3ED8" w:rsidRPr="00025399">
        <w:rPr>
          <w:rFonts w:cs="Arial"/>
        </w:rPr>
        <w:t xml:space="preserve"> 16% </w:t>
      </w:r>
      <w:r w:rsidR="00F01139" w:rsidRPr="00025399">
        <w:rPr>
          <w:rFonts w:cs="Arial"/>
        </w:rPr>
        <w:t xml:space="preserve">among </w:t>
      </w:r>
      <w:r w:rsidR="00161B7B">
        <w:rPr>
          <w:rFonts w:cs="Arial"/>
        </w:rPr>
        <w:t>MDR-TB</w:t>
      </w:r>
      <w:r w:rsidR="00D96904" w:rsidRPr="00025399">
        <w:rPr>
          <w:rFonts w:cs="Arial"/>
        </w:rPr>
        <w:t xml:space="preserve"> patients with co-morbid HIV infection in India</w:t>
      </w:r>
      <w:r w:rsidR="003C3ED8" w:rsidRPr="00025399">
        <w:rPr>
          <w:rFonts w:cs="Arial"/>
        </w:rPr>
        <w:t xml:space="preserve"> </w:t>
      </w:r>
      <w:r w:rsidR="00D96904" w:rsidRPr="00025399">
        <w:rPr>
          <w:rFonts w:cs="Arial"/>
        </w:rPr>
        <w:t>(</w:t>
      </w:r>
      <w:r w:rsidR="00044419" w:rsidRPr="00025399">
        <w:rPr>
          <w:rFonts w:cs="Arial"/>
        </w:rPr>
        <w:t>6</w:t>
      </w:r>
      <w:r w:rsidR="00D96904" w:rsidRPr="00025399">
        <w:rPr>
          <w:rFonts w:cs="Arial"/>
        </w:rPr>
        <w:t>)</w:t>
      </w:r>
      <w:r w:rsidR="00044419" w:rsidRPr="00025399">
        <w:rPr>
          <w:rFonts w:cs="Arial"/>
        </w:rPr>
        <w:t xml:space="preserve"> to 52% depressed at baseline and 13% incident cases during treatment in a </w:t>
      </w:r>
      <w:r w:rsidR="00B57ADB" w:rsidRPr="00025399">
        <w:rPr>
          <w:rFonts w:cs="Arial"/>
        </w:rPr>
        <w:t>review of 75 patients</w:t>
      </w:r>
      <w:r w:rsidR="00044419" w:rsidRPr="00025399">
        <w:rPr>
          <w:rFonts w:cs="Arial"/>
        </w:rPr>
        <w:t>’</w:t>
      </w:r>
      <w:r w:rsidR="00B57ADB" w:rsidRPr="00025399">
        <w:rPr>
          <w:rFonts w:cs="Arial"/>
        </w:rPr>
        <w:t xml:space="preserve"> case notes following screening for psychiatric disorders in Peru</w:t>
      </w:r>
      <w:r w:rsidR="00DF1EEC" w:rsidRPr="00025399">
        <w:rPr>
          <w:rFonts w:cs="Arial"/>
        </w:rPr>
        <w:t xml:space="preserve"> </w:t>
      </w:r>
      <w:r w:rsidR="00B57ADB" w:rsidRPr="00025399">
        <w:rPr>
          <w:rFonts w:cs="Arial"/>
        </w:rPr>
        <w:t>(</w:t>
      </w:r>
      <w:r w:rsidR="00044419" w:rsidRPr="00025399">
        <w:rPr>
          <w:rFonts w:cs="Arial"/>
        </w:rPr>
        <w:t>7</w:t>
      </w:r>
      <w:r w:rsidR="00B57ADB" w:rsidRPr="00025399">
        <w:rPr>
          <w:rFonts w:cs="Arial"/>
        </w:rPr>
        <w:t xml:space="preserve">). It should be noted that the strong treatment required for </w:t>
      </w:r>
      <w:r w:rsidR="00161B7B">
        <w:rPr>
          <w:rFonts w:cs="Arial"/>
        </w:rPr>
        <w:t>MDR-TB</w:t>
      </w:r>
      <w:r w:rsidR="00B57ADB" w:rsidRPr="00025399">
        <w:rPr>
          <w:rFonts w:cs="Arial"/>
        </w:rPr>
        <w:t xml:space="preserve"> itself can cause psychiatric side effects</w:t>
      </w:r>
      <w:r w:rsidR="00044419" w:rsidRPr="00025399">
        <w:rPr>
          <w:rFonts w:cs="Arial"/>
        </w:rPr>
        <w:t xml:space="preserve"> </w:t>
      </w:r>
      <w:r w:rsidR="0047691F" w:rsidRPr="00025399">
        <w:rPr>
          <w:rFonts w:cs="Arial"/>
        </w:rPr>
        <w:t xml:space="preserve">(8), with </w:t>
      </w:r>
      <w:proofErr w:type="spellStart"/>
      <w:r w:rsidR="0047691F" w:rsidRPr="00025399">
        <w:rPr>
          <w:rFonts w:cs="Arial"/>
        </w:rPr>
        <w:t>cycloserine</w:t>
      </w:r>
      <w:proofErr w:type="spellEnd"/>
      <w:r w:rsidR="0047691F" w:rsidRPr="00025399">
        <w:rPr>
          <w:rFonts w:cs="Arial"/>
        </w:rPr>
        <w:t xml:space="preserve"> particularly implicated </w:t>
      </w:r>
      <w:r w:rsidR="00586ABA" w:rsidRPr="00025399">
        <w:rPr>
          <w:rFonts w:cs="Arial"/>
        </w:rPr>
        <w:t>(</w:t>
      </w:r>
      <w:r w:rsidR="0047691F" w:rsidRPr="00025399">
        <w:rPr>
          <w:rFonts w:cs="Arial"/>
        </w:rPr>
        <w:t>9</w:t>
      </w:r>
      <w:r w:rsidR="00586ABA" w:rsidRPr="00025399">
        <w:rPr>
          <w:rFonts w:cs="Arial"/>
        </w:rPr>
        <w:t xml:space="preserve">) </w:t>
      </w:r>
      <w:r w:rsidR="00B57ADB" w:rsidRPr="00025399">
        <w:rPr>
          <w:rFonts w:cs="Arial"/>
        </w:rPr>
        <w:t>and these are often more debilitating than other side effects</w:t>
      </w:r>
      <w:r w:rsidR="00586ABA" w:rsidRPr="00025399">
        <w:rPr>
          <w:rFonts w:cs="Arial"/>
        </w:rPr>
        <w:t xml:space="preserve"> (</w:t>
      </w:r>
      <w:r w:rsidR="0047691F" w:rsidRPr="00025399">
        <w:rPr>
          <w:rFonts w:cs="Arial"/>
        </w:rPr>
        <w:t>10</w:t>
      </w:r>
      <w:r w:rsidR="00586ABA" w:rsidRPr="00025399">
        <w:rPr>
          <w:rFonts w:cs="Arial"/>
        </w:rPr>
        <w:t>). A narrative synthesis of evidence illustrates how the stigma, loss of livelihood and discrimination leads to catastrophic social and economic costs for patients</w:t>
      </w:r>
      <w:r w:rsidR="00DF1EEC" w:rsidRPr="00025399">
        <w:rPr>
          <w:rFonts w:cs="Arial"/>
        </w:rPr>
        <w:t xml:space="preserve"> </w:t>
      </w:r>
      <w:r w:rsidR="009E44F0" w:rsidRPr="00025399">
        <w:rPr>
          <w:rFonts w:cs="Arial"/>
        </w:rPr>
        <w:t>(</w:t>
      </w:r>
      <w:r w:rsidR="0047691F" w:rsidRPr="00025399">
        <w:rPr>
          <w:rFonts w:cs="Arial"/>
        </w:rPr>
        <w:t>11</w:t>
      </w:r>
      <w:r w:rsidR="009E44F0" w:rsidRPr="00025399">
        <w:rPr>
          <w:rFonts w:cs="Arial"/>
        </w:rPr>
        <w:t>)</w:t>
      </w:r>
      <w:r w:rsidR="0047691F" w:rsidRPr="00025399">
        <w:rPr>
          <w:rFonts w:cs="Arial"/>
        </w:rPr>
        <w:t>.</w:t>
      </w:r>
    </w:p>
    <w:p w14:paraId="5412241C" w14:textId="2AE64C3A" w:rsidR="00257521" w:rsidRPr="00025399" w:rsidRDefault="00247161">
      <w:pPr>
        <w:rPr>
          <w:rFonts w:cs="Arial"/>
        </w:rPr>
      </w:pPr>
      <w:r w:rsidRPr="00025399">
        <w:rPr>
          <w:rFonts w:cs="Arial"/>
        </w:rPr>
        <w:t>For drug-sensitive TB</w:t>
      </w:r>
      <w:r w:rsidR="0047691F" w:rsidRPr="00025399">
        <w:rPr>
          <w:rFonts w:cs="Arial"/>
        </w:rPr>
        <w:t xml:space="preserve">, an </w:t>
      </w:r>
      <w:r w:rsidRPr="00025399">
        <w:rPr>
          <w:rFonts w:cs="Arial"/>
        </w:rPr>
        <w:t xml:space="preserve">analysis of </w:t>
      </w:r>
      <w:r w:rsidR="0047691F" w:rsidRPr="00025399">
        <w:rPr>
          <w:rFonts w:cs="Arial"/>
        </w:rPr>
        <w:t xml:space="preserve">World Health Survey data from </w:t>
      </w:r>
      <w:r w:rsidRPr="00025399">
        <w:rPr>
          <w:rFonts w:cs="Arial"/>
        </w:rPr>
        <w:t>across 48 low and middle-income countries</w:t>
      </w:r>
      <w:r w:rsidR="002D5C77">
        <w:rPr>
          <w:rFonts w:cs="Arial"/>
        </w:rPr>
        <w:t xml:space="preserve"> </w:t>
      </w:r>
      <w:r w:rsidR="002D5C77" w:rsidRPr="00025399">
        <w:rPr>
          <w:rFonts w:cs="Arial"/>
        </w:rPr>
        <w:t>(LMIC)</w:t>
      </w:r>
      <w:r w:rsidRPr="00025399">
        <w:rPr>
          <w:rFonts w:cs="Arial"/>
        </w:rPr>
        <w:t xml:space="preserve"> found those with TB to have a significantly higher odds of having</w:t>
      </w:r>
      <w:r w:rsidR="0047691F" w:rsidRPr="00025399">
        <w:rPr>
          <w:rFonts w:cs="Arial"/>
        </w:rPr>
        <w:t xml:space="preserve"> </w:t>
      </w:r>
      <w:r w:rsidRPr="00025399">
        <w:rPr>
          <w:rFonts w:cs="Arial"/>
        </w:rPr>
        <w:t xml:space="preserve">a depressive episode </w:t>
      </w:r>
      <w:r w:rsidR="002D5C77">
        <w:rPr>
          <w:rFonts w:cs="Arial"/>
        </w:rPr>
        <w:t xml:space="preserve">odds ratio (OR) </w:t>
      </w:r>
      <w:r w:rsidRPr="00025399">
        <w:rPr>
          <w:rFonts w:cs="Arial"/>
        </w:rPr>
        <w:t>3.68 (95% CI 3.01</w:t>
      </w:r>
      <w:r w:rsidR="003A0B32">
        <w:rPr>
          <w:rFonts w:cs="Arial"/>
        </w:rPr>
        <w:t xml:space="preserve">; </w:t>
      </w:r>
      <w:r w:rsidRPr="00025399">
        <w:rPr>
          <w:rFonts w:cs="Arial"/>
        </w:rPr>
        <w:t>4.50) than those without TB and this was significantly associated with worse health status</w:t>
      </w:r>
      <w:r w:rsidR="0047691F" w:rsidRPr="00025399">
        <w:rPr>
          <w:rFonts w:cs="Arial"/>
        </w:rPr>
        <w:t xml:space="preserve"> </w:t>
      </w:r>
      <w:r w:rsidRPr="00025399">
        <w:rPr>
          <w:rFonts w:cs="Arial"/>
        </w:rPr>
        <w:t>(</w:t>
      </w:r>
      <w:r w:rsidR="0047691F" w:rsidRPr="00025399">
        <w:rPr>
          <w:rFonts w:cs="Arial"/>
        </w:rPr>
        <w:t>12</w:t>
      </w:r>
      <w:r w:rsidRPr="00025399">
        <w:rPr>
          <w:rFonts w:cs="Arial"/>
        </w:rPr>
        <w:t xml:space="preserve">). </w:t>
      </w:r>
      <w:r w:rsidR="00257521" w:rsidRPr="00025399">
        <w:rPr>
          <w:rFonts w:cs="Arial"/>
        </w:rPr>
        <w:t xml:space="preserve">The bi-directional relationship has been identified in a </w:t>
      </w:r>
      <w:r w:rsidR="003E0BC3" w:rsidRPr="00025399">
        <w:rPr>
          <w:rFonts w:cs="Arial"/>
        </w:rPr>
        <w:t>Korean</w:t>
      </w:r>
      <w:r w:rsidR="00257521" w:rsidRPr="00025399">
        <w:rPr>
          <w:rFonts w:cs="Arial"/>
        </w:rPr>
        <w:t xml:space="preserve"> cohort </w:t>
      </w:r>
      <w:r w:rsidR="003E0BC3" w:rsidRPr="00025399">
        <w:rPr>
          <w:rFonts w:cs="Arial"/>
        </w:rPr>
        <w:t>where the risk of TB was 2.63 times higher among those who were depressed</w:t>
      </w:r>
      <w:r w:rsidR="0047691F" w:rsidRPr="00025399">
        <w:rPr>
          <w:rFonts w:cs="Arial"/>
        </w:rPr>
        <w:t xml:space="preserve"> </w:t>
      </w:r>
      <w:r w:rsidR="00257521" w:rsidRPr="00025399">
        <w:rPr>
          <w:rFonts w:cs="Arial"/>
        </w:rPr>
        <w:t>(</w:t>
      </w:r>
      <w:r w:rsidR="00DE17C4" w:rsidRPr="00025399">
        <w:rPr>
          <w:rFonts w:cs="Arial"/>
        </w:rPr>
        <w:t>13</w:t>
      </w:r>
      <w:r w:rsidR="00257521" w:rsidRPr="00025399">
        <w:rPr>
          <w:rFonts w:cs="Arial"/>
        </w:rPr>
        <w:t>)</w:t>
      </w:r>
      <w:r w:rsidR="003E0BC3" w:rsidRPr="00025399">
        <w:rPr>
          <w:rFonts w:cs="Arial"/>
        </w:rPr>
        <w:t>.</w:t>
      </w:r>
    </w:p>
    <w:p w14:paraId="542167AB" w14:textId="77777777" w:rsidR="00921EF9" w:rsidRDefault="009E44F0">
      <w:pPr>
        <w:rPr>
          <w:rFonts w:cs="Arial"/>
          <w:color w:val="000000"/>
          <w:shd w:val="clear" w:color="auto" w:fill="FFFFFF"/>
        </w:rPr>
      </w:pPr>
      <w:r w:rsidRPr="00025399">
        <w:rPr>
          <w:rFonts w:cs="Arial"/>
        </w:rPr>
        <w:t>While there is</w:t>
      </w:r>
      <w:r w:rsidR="008E6632" w:rsidRPr="00025399">
        <w:rPr>
          <w:rFonts w:cs="Arial"/>
        </w:rPr>
        <w:t>,</w:t>
      </w:r>
      <w:r w:rsidRPr="00025399">
        <w:rPr>
          <w:rFonts w:cs="Arial"/>
        </w:rPr>
        <w:t xml:space="preserve"> </w:t>
      </w:r>
      <w:proofErr w:type="gramStart"/>
      <w:r w:rsidRPr="00025399">
        <w:rPr>
          <w:rFonts w:cs="Arial"/>
        </w:rPr>
        <w:t>as yet</w:t>
      </w:r>
      <w:proofErr w:type="gramEnd"/>
      <w:r w:rsidR="008E6632" w:rsidRPr="00025399">
        <w:rPr>
          <w:rFonts w:cs="Arial"/>
        </w:rPr>
        <w:t>,</w:t>
      </w:r>
      <w:r w:rsidRPr="00025399">
        <w:rPr>
          <w:rFonts w:cs="Arial"/>
        </w:rPr>
        <w:t xml:space="preserve"> limited evidence</w:t>
      </w:r>
      <w:r w:rsidR="00DE17C4" w:rsidRPr="00025399">
        <w:rPr>
          <w:rFonts w:cs="Arial"/>
        </w:rPr>
        <w:t xml:space="preserve"> of the association</w:t>
      </w:r>
      <w:r w:rsidRPr="00025399">
        <w:rPr>
          <w:rFonts w:cs="Arial"/>
        </w:rPr>
        <w:t xml:space="preserve">, it is hypothesised that poor mental health may also trigger loss to follow up among </w:t>
      </w:r>
      <w:r w:rsidR="00161B7B">
        <w:rPr>
          <w:rFonts w:cs="Arial"/>
        </w:rPr>
        <w:t>MDR-TB</w:t>
      </w:r>
      <w:r w:rsidRPr="00025399">
        <w:rPr>
          <w:rFonts w:cs="Arial"/>
        </w:rPr>
        <w:t xml:space="preserve"> patients</w:t>
      </w:r>
      <w:r w:rsidR="00DE17C4" w:rsidRPr="00025399">
        <w:rPr>
          <w:rFonts w:cs="Arial"/>
        </w:rPr>
        <w:t xml:space="preserve"> (2)</w:t>
      </w:r>
      <w:r w:rsidRPr="00025399">
        <w:rPr>
          <w:rFonts w:cs="Arial"/>
        </w:rPr>
        <w:t xml:space="preserve">. A meta-analysis of </w:t>
      </w:r>
      <w:r w:rsidR="00161B7B">
        <w:rPr>
          <w:rFonts w:cs="Arial"/>
        </w:rPr>
        <w:t>MDR-TB</w:t>
      </w:r>
      <w:r w:rsidRPr="00025399">
        <w:rPr>
          <w:rFonts w:cs="Arial"/>
        </w:rPr>
        <w:t xml:space="preserve"> patients found the median time when loss to follow-up occurred </w:t>
      </w:r>
      <w:r w:rsidR="00921EF9">
        <w:rPr>
          <w:rFonts w:cs="Arial"/>
        </w:rPr>
        <w:t xml:space="preserve">was </w:t>
      </w:r>
      <w:r w:rsidRPr="00025399">
        <w:rPr>
          <w:rFonts w:cs="Arial"/>
          <w:color w:val="000000"/>
          <w:shd w:val="clear" w:color="auto" w:fill="FFFFFF"/>
        </w:rPr>
        <w:t xml:space="preserve">7 months (IQR=3–11) with </w:t>
      </w:r>
      <w:r w:rsidR="00921EF9" w:rsidRPr="00025399">
        <w:rPr>
          <w:rFonts w:cs="Arial"/>
          <w:color w:val="000000"/>
          <w:shd w:val="clear" w:color="auto" w:fill="FFFFFF"/>
        </w:rPr>
        <w:t>most of</w:t>
      </w:r>
      <w:r w:rsidR="002B50FA">
        <w:rPr>
          <w:rFonts w:cs="Arial"/>
          <w:color w:val="000000"/>
          <w:shd w:val="clear" w:color="auto" w:fill="FFFFFF"/>
        </w:rPr>
        <w:t xml:space="preserve"> </w:t>
      </w:r>
      <w:r w:rsidR="00921EF9">
        <w:rPr>
          <w:rFonts w:cs="Arial"/>
          <w:color w:val="000000"/>
          <w:shd w:val="clear" w:color="auto" w:fill="FFFFFF"/>
        </w:rPr>
        <w:t xml:space="preserve">this </w:t>
      </w:r>
      <w:r w:rsidR="002B50FA">
        <w:rPr>
          <w:rFonts w:cs="Arial"/>
          <w:color w:val="000000"/>
          <w:shd w:val="clear" w:color="auto" w:fill="FFFFFF"/>
        </w:rPr>
        <w:t xml:space="preserve">loss </w:t>
      </w:r>
      <w:r w:rsidRPr="00025399">
        <w:rPr>
          <w:rFonts w:cs="Arial"/>
          <w:color w:val="000000"/>
          <w:shd w:val="clear" w:color="auto" w:fill="FFFFFF"/>
        </w:rPr>
        <w:t>occurring in the initial phase of treatment (75% in the first 11 months)</w:t>
      </w:r>
      <w:r w:rsidR="00DF1EEC" w:rsidRPr="00025399">
        <w:rPr>
          <w:rFonts w:cs="Arial"/>
          <w:color w:val="000000"/>
          <w:shd w:val="clear" w:color="auto" w:fill="FFFFFF"/>
        </w:rPr>
        <w:t xml:space="preserve"> </w:t>
      </w:r>
      <w:r w:rsidRPr="00025399">
        <w:rPr>
          <w:rFonts w:cs="Arial"/>
          <w:color w:val="000000"/>
          <w:shd w:val="clear" w:color="auto" w:fill="FFFFFF"/>
        </w:rPr>
        <w:t>(</w:t>
      </w:r>
      <w:r w:rsidR="00DE17C4" w:rsidRPr="00025399">
        <w:rPr>
          <w:rFonts w:cs="Arial"/>
          <w:color w:val="000000"/>
          <w:shd w:val="clear" w:color="auto" w:fill="FFFFFF"/>
        </w:rPr>
        <w:t>14)</w:t>
      </w:r>
      <w:r w:rsidRPr="00025399">
        <w:rPr>
          <w:rFonts w:cs="Arial"/>
          <w:color w:val="000000"/>
          <w:shd w:val="clear" w:color="auto" w:fill="FFFFFF"/>
        </w:rPr>
        <w:t>.</w:t>
      </w:r>
      <w:r w:rsidR="00602770" w:rsidRPr="00025399">
        <w:rPr>
          <w:rFonts w:cs="Arial"/>
          <w:color w:val="000000"/>
          <w:shd w:val="clear" w:color="auto" w:fill="FFFFFF"/>
        </w:rPr>
        <w:t xml:space="preserve"> </w:t>
      </w:r>
    </w:p>
    <w:p w14:paraId="455C153A" w14:textId="19D0776C" w:rsidR="003E0BC3" w:rsidRPr="00025399" w:rsidRDefault="00602770">
      <w:pPr>
        <w:rPr>
          <w:rFonts w:cs="Arial"/>
        </w:rPr>
      </w:pPr>
      <w:r w:rsidRPr="00025399">
        <w:rPr>
          <w:rFonts w:cs="Arial"/>
          <w:color w:val="000000"/>
          <w:shd w:val="clear" w:color="auto" w:fill="FFFFFF"/>
        </w:rPr>
        <w:t xml:space="preserve">The importance of using appropriate screening tools </w:t>
      </w:r>
      <w:r w:rsidR="00AC7C1F">
        <w:rPr>
          <w:rFonts w:cs="Arial"/>
          <w:color w:val="000000"/>
          <w:shd w:val="clear" w:color="auto" w:fill="FFFFFF"/>
        </w:rPr>
        <w:t xml:space="preserve">for depression </w:t>
      </w:r>
      <w:r w:rsidRPr="00025399">
        <w:rPr>
          <w:rFonts w:cs="Arial"/>
          <w:color w:val="000000"/>
          <w:shd w:val="clear" w:color="auto" w:fill="FFFFFF"/>
        </w:rPr>
        <w:t>is highlighted in a recent review of community MDR-TB programmes in Bangladesh, where despite only 5% of cases having documented psychiatric symptoms in a chart review, once 60 patients were interviewed, 60% reported psychiatric symptoms</w:t>
      </w:r>
      <w:r w:rsidR="00532C8F">
        <w:rPr>
          <w:rFonts w:cs="Arial"/>
          <w:color w:val="000000"/>
          <w:shd w:val="clear" w:color="auto" w:fill="FFFFFF"/>
        </w:rPr>
        <w:t xml:space="preserve">. </w:t>
      </w:r>
      <w:r w:rsidR="00532C8F" w:rsidRPr="00532C8F">
        <w:rPr>
          <w:rFonts w:cs="Arial"/>
          <w:color w:val="000000"/>
          <w:highlight w:val="yellow"/>
          <w:shd w:val="clear" w:color="auto" w:fill="FFFFFF"/>
        </w:rPr>
        <w:t>As interviews were not conducted by a psychiatrist, it is hard to determine the clinical significance of these symptoms, however the study does indicate potential missed opportunities for mental health treatment</w:t>
      </w:r>
      <w:r w:rsidR="00DF1EEC">
        <w:rPr>
          <w:rFonts w:cs="Arial"/>
          <w:color w:val="000000"/>
          <w:shd w:val="clear" w:color="auto" w:fill="FFFFFF"/>
        </w:rPr>
        <w:t xml:space="preserve"> </w:t>
      </w:r>
      <w:r w:rsidRPr="00025399">
        <w:rPr>
          <w:rFonts w:cs="Arial"/>
          <w:color w:val="000000"/>
          <w:shd w:val="clear" w:color="auto" w:fill="FFFFFF"/>
        </w:rPr>
        <w:t>(</w:t>
      </w:r>
      <w:r w:rsidR="00DE17C4" w:rsidRPr="00025399">
        <w:rPr>
          <w:rFonts w:cs="Arial"/>
          <w:color w:val="000000"/>
          <w:shd w:val="clear" w:color="auto" w:fill="FFFFFF"/>
        </w:rPr>
        <w:t>15).</w:t>
      </w:r>
      <w:r w:rsidR="009E44F0" w:rsidRPr="00025399">
        <w:rPr>
          <w:rFonts w:cs="Arial"/>
          <w:color w:val="000000"/>
          <w:shd w:val="clear" w:color="auto" w:fill="FFFFFF"/>
        </w:rPr>
        <w:t xml:space="preserve">  </w:t>
      </w:r>
      <w:r w:rsidR="0024046A" w:rsidRPr="00025399">
        <w:rPr>
          <w:rFonts w:cs="Arial"/>
          <w:color w:val="000000"/>
          <w:shd w:val="clear" w:color="auto" w:fill="FFFFFF"/>
        </w:rPr>
        <w:t>The limited but growing evidence base</w:t>
      </w:r>
      <w:r w:rsidR="0049299F" w:rsidRPr="00025399">
        <w:rPr>
          <w:rFonts w:cs="Arial"/>
          <w:color w:val="000000"/>
          <w:shd w:val="clear" w:color="auto" w:fill="FFFFFF"/>
        </w:rPr>
        <w:t xml:space="preserve"> has raised the profile of treatment and support for depression within National TB programmes. A recent survey of </w:t>
      </w:r>
      <w:r w:rsidR="00B3137B">
        <w:rPr>
          <w:rFonts w:cs="Arial"/>
          <w:color w:val="000000"/>
          <w:shd w:val="clear" w:color="auto" w:fill="FFFFFF"/>
        </w:rPr>
        <w:t>National TB Programme</w:t>
      </w:r>
      <w:r w:rsidR="00D65A67" w:rsidRPr="00025399">
        <w:rPr>
          <w:rFonts w:cs="Arial"/>
          <w:color w:val="000000"/>
          <w:shd w:val="clear" w:color="auto" w:fill="FFFFFF"/>
        </w:rPr>
        <w:t xml:space="preserve"> </w:t>
      </w:r>
      <w:r w:rsidR="00AC7C1F">
        <w:rPr>
          <w:rFonts w:cs="Arial"/>
          <w:color w:val="000000"/>
          <w:shd w:val="clear" w:color="auto" w:fill="FFFFFF"/>
        </w:rPr>
        <w:t xml:space="preserve">(NTP) </w:t>
      </w:r>
      <w:r w:rsidR="00D65A67" w:rsidRPr="00025399">
        <w:rPr>
          <w:rFonts w:cs="Arial"/>
          <w:color w:val="000000"/>
          <w:shd w:val="clear" w:color="auto" w:fill="FFFFFF"/>
        </w:rPr>
        <w:t>directors from 26</w:t>
      </w:r>
      <w:r w:rsidR="0049299F" w:rsidRPr="00025399">
        <w:rPr>
          <w:rFonts w:cs="Arial"/>
          <w:color w:val="000000"/>
          <w:shd w:val="clear" w:color="auto" w:fill="FFFFFF"/>
        </w:rPr>
        <w:t xml:space="preserve"> </w:t>
      </w:r>
      <w:r w:rsidR="00D65A67" w:rsidRPr="00025399">
        <w:rPr>
          <w:rFonts w:cs="Arial"/>
          <w:color w:val="000000"/>
          <w:shd w:val="clear" w:color="auto" w:fill="FFFFFF"/>
        </w:rPr>
        <w:t>high-burden TB countries</w:t>
      </w:r>
      <w:r w:rsidR="0049299F" w:rsidRPr="00025399">
        <w:rPr>
          <w:rFonts w:cs="Arial"/>
          <w:color w:val="000000"/>
          <w:shd w:val="clear" w:color="auto" w:fill="FFFFFF"/>
        </w:rPr>
        <w:t xml:space="preserve"> found </w:t>
      </w:r>
      <w:r w:rsidR="00D65A67" w:rsidRPr="00025399">
        <w:rPr>
          <w:rFonts w:cs="Arial"/>
          <w:color w:val="000000"/>
          <w:shd w:val="clear" w:color="auto" w:fill="FFFFFF"/>
        </w:rPr>
        <w:t xml:space="preserve">that while </w:t>
      </w:r>
      <w:r w:rsidR="0049299F" w:rsidRPr="00025399">
        <w:rPr>
          <w:rFonts w:cs="Arial"/>
          <w:color w:val="000000"/>
          <w:shd w:val="clear" w:color="auto" w:fill="FFFFFF"/>
        </w:rPr>
        <w:t xml:space="preserve">only two </w:t>
      </w:r>
      <w:r w:rsidR="00AC7C1F">
        <w:rPr>
          <w:rFonts w:cs="Arial"/>
          <w:color w:val="000000"/>
          <w:shd w:val="clear" w:color="auto" w:fill="FFFFFF"/>
        </w:rPr>
        <w:t xml:space="preserve">NTPs </w:t>
      </w:r>
      <w:r w:rsidR="0049299F" w:rsidRPr="00025399">
        <w:rPr>
          <w:rFonts w:cs="Arial"/>
          <w:color w:val="000000"/>
          <w:shd w:val="clear" w:color="auto" w:fill="FFFFFF"/>
        </w:rPr>
        <w:t>regularly screened for depression,</w:t>
      </w:r>
      <w:r w:rsidR="00D65A67" w:rsidRPr="00025399">
        <w:rPr>
          <w:rFonts w:cs="Arial"/>
          <w:color w:val="000000"/>
          <w:shd w:val="clear" w:color="auto" w:fill="FFFFFF"/>
        </w:rPr>
        <w:t xml:space="preserve"> 17 directors would consider integrating mental health treatment </w:t>
      </w:r>
      <w:r w:rsidR="00D65A67" w:rsidRPr="00025399">
        <w:rPr>
          <w:rFonts w:cs="Arial"/>
        </w:rPr>
        <w:t>into national TB guidelines and services (1</w:t>
      </w:r>
      <w:r w:rsidR="00DF1EEC">
        <w:rPr>
          <w:rFonts w:cs="Arial"/>
        </w:rPr>
        <w:t>6</w:t>
      </w:r>
      <w:r w:rsidR="00D65A67" w:rsidRPr="00025399">
        <w:rPr>
          <w:rFonts w:cs="Arial"/>
        </w:rPr>
        <w:t xml:space="preserve">). </w:t>
      </w:r>
      <w:r w:rsidR="0049299F" w:rsidRPr="00025399">
        <w:rPr>
          <w:rFonts w:cs="Arial"/>
          <w:color w:val="000000"/>
          <w:shd w:val="clear" w:color="auto" w:fill="FFFFFF"/>
        </w:rPr>
        <w:t>Current W</w:t>
      </w:r>
      <w:r w:rsidR="00B3137B">
        <w:rPr>
          <w:rFonts w:cs="Arial"/>
          <w:color w:val="000000"/>
          <w:shd w:val="clear" w:color="auto" w:fill="FFFFFF"/>
        </w:rPr>
        <w:t xml:space="preserve">orld </w:t>
      </w:r>
      <w:r w:rsidR="0049299F" w:rsidRPr="00025399">
        <w:rPr>
          <w:rFonts w:cs="Arial"/>
          <w:color w:val="000000"/>
          <w:shd w:val="clear" w:color="auto" w:fill="FFFFFF"/>
        </w:rPr>
        <w:t>H</w:t>
      </w:r>
      <w:r w:rsidR="00B3137B">
        <w:rPr>
          <w:rFonts w:cs="Arial"/>
          <w:color w:val="000000"/>
          <w:shd w:val="clear" w:color="auto" w:fill="FFFFFF"/>
        </w:rPr>
        <w:t xml:space="preserve">ealth </w:t>
      </w:r>
      <w:r w:rsidR="0049299F" w:rsidRPr="00025399">
        <w:rPr>
          <w:rFonts w:cs="Arial"/>
          <w:color w:val="000000"/>
          <w:shd w:val="clear" w:color="auto" w:fill="FFFFFF"/>
        </w:rPr>
        <w:t>O</w:t>
      </w:r>
      <w:r w:rsidR="00B3137B">
        <w:rPr>
          <w:rFonts w:cs="Arial"/>
          <w:color w:val="000000"/>
          <w:shd w:val="clear" w:color="auto" w:fill="FFFFFF"/>
        </w:rPr>
        <w:t xml:space="preserve">rganisation (WHO) </w:t>
      </w:r>
      <w:r w:rsidR="0049299F" w:rsidRPr="00025399">
        <w:rPr>
          <w:rFonts w:cs="Arial"/>
          <w:color w:val="000000"/>
          <w:shd w:val="clear" w:color="auto" w:fill="FFFFFF"/>
        </w:rPr>
        <w:t>guidance</w:t>
      </w:r>
      <w:r w:rsidR="003C6704" w:rsidRPr="00025399">
        <w:rPr>
          <w:rFonts w:cs="Arial"/>
          <w:color w:val="000000"/>
          <w:shd w:val="clear" w:color="auto" w:fill="FFFFFF"/>
        </w:rPr>
        <w:t xml:space="preserve"> on </w:t>
      </w:r>
      <w:r w:rsidR="00161B7B">
        <w:rPr>
          <w:rFonts w:cs="Arial"/>
          <w:color w:val="000000"/>
          <w:shd w:val="clear" w:color="auto" w:fill="FFFFFF"/>
        </w:rPr>
        <w:t>MDR-TB</w:t>
      </w:r>
      <w:r w:rsidR="003C6704" w:rsidRPr="00025399">
        <w:rPr>
          <w:rFonts w:cs="Arial"/>
          <w:color w:val="000000"/>
          <w:shd w:val="clear" w:color="auto" w:fill="FFFFFF"/>
        </w:rPr>
        <w:t xml:space="preserve"> treatment </w:t>
      </w:r>
      <w:r w:rsidR="0049299F" w:rsidRPr="00025399">
        <w:rPr>
          <w:rFonts w:cs="Arial"/>
          <w:color w:val="000000"/>
          <w:shd w:val="clear" w:color="auto" w:fill="FFFFFF"/>
        </w:rPr>
        <w:t xml:space="preserve">emphasises care and support for </w:t>
      </w:r>
      <w:r w:rsidR="00161B7B">
        <w:rPr>
          <w:rFonts w:cs="Arial"/>
          <w:color w:val="000000"/>
          <w:shd w:val="clear" w:color="auto" w:fill="FFFFFF"/>
        </w:rPr>
        <w:t>MDR-TB</w:t>
      </w:r>
      <w:r w:rsidR="0049299F" w:rsidRPr="00025399">
        <w:rPr>
          <w:rFonts w:cs="Arial"/>
          <w:color w:val="000000"/>
          <w:shd w:val="clear" w:color="auto" w:fill="FFFFFF"/>
        </w:rPr>
        <w:t xml:space="preserve"> patients, with psychological support specifically mention</w:t>
      </w:r>
      <w:r w:rsidR="00D65A67" w:rsidRPr="00025399">
        <w:rPr>
          <w:rFonts w:cs="Arial"/>
          <w:color w:val="000000"/>
          <w:shd w:val="clear" w:color="auto" w:fill="FFFFFF"/>
        </w:rPr>
        <w:t>ed</w:t>
      </w:r>
      <w:r w:rsidR="0049299F" w:rsidRPr="00025399">
        <w:rPr>
          <w:rFonts w:cs="Arial"/>
          <w:color w:val="000000"/>
          <w:shd w:val="clear" w:color="auto" w:fill="FFFFFF"/>
        </w:rPr>
        <w:t xml:space="preserve">, however no further details of what this should include or how this can be delivered in different </w:t>
      </w:r>
      <w:r w:rsidR="00161B7B">
        <w:rPr>
          <w:rFonts w:cs="Arial"/>
          <w:color w:val="000000"/>
          <w:shd w:val="clear" w:color="auto" w:fill="FFFFFF"/>
        </w:rPr>
        <w:t>MDR-TB</w:t>
      </w:r>
      <w:r w:rsidR="0049299F" w:rsidRPr="00025399">
        <w:rPr>
          <w:rFonts w:cs="Arial"/>
          <w:color w:val="000000"/>
          <w:shd w:val="clear" w:color="auto" w:fill="FFFFFF"/>
        </w:rPr>
        <w:t xml:space="preserve"> treatment settings are provided</w:t>
      </w:r>
      <w:r w:rsidR="00DF1EEC" w:rsidRPr="00025399">
        <w:rPr>
          <w:rFonts w:cs="Arial"/>
          <w:color w:val="000000"/>
          <w:shd w:val="clear" w:color="auto" w:fill="FFFFFF"/>
        </w:rPr>
        <w:t xml:space="preserve"> </w:t>
      </w:r>
      <w:r w:rsidR="00086646" w:rsidRPr="00025399">
        <w:rPr>
          <w:rFonts w:cs="Arial"/>
          <w:color w:val="000000"/>
          <w:shd w:val="clear" w:color="auto" w:fill="FFFFFF"/>
        </w:rPr>
        <w:t>(17)</w:t>
      </w:r>
      <w:r w:rsidR="00AC7C1F">
        <w:rPr>
          <w:rFonts w:cs="Arial"/>
          <w:color w:val="000000"/>
          <w:shd w:val="clear" w:color="auto" w:fill="FFFFFF"/>
        </w:rPr>
        <w:t>.</w:t>
      </w:r>
      <w:r w:rsidR="0049299F" w:rsidRPr="00025399">
        <w:rPr>
          <w:rFonts w:cs="Arial"/>
          <w:color w:val="000000"/>
          <w:shd w:val="clear" w:color="auto" w:fill="FFFFFF"/>
        </w:rPr>
        <w:t xml:space="preserve"> </w:t>
      </w:r>
      <w:r w:rsidR="00086646" w:rsidRPr="00025399">
        <w:rPr>
          <w:rFonts w:cs="Arial"/>
          <w:color w:val="000000"/>
          <w:shd w:val="clear" w:color="auto" w:fill="FFFFFF"/>
        </w:rPr>
        <w:t xml:space="preserve">Previous work on providing psycho-social support in </w:t>
      </w:r>
      <w:r w:rsidR="00161B7B">
        <w:rPr>
          <w:rFonts w:cs="Arial"/>
          <w:color w:val="000000"/>
          <w:shd w:val="clear" w:color="auto" w:fill="FFFFFF"/>
        </w:rPr>
        <w:t>MDR-TB</w:t>
      </w:r>
      <w:r w:rsidR="00086646" w:rsidRPr="00025399">
        <w:rPr>
          <w:rFonts w:cs="Arial"/>
          <w:color w:val="000000"/>
          <w:shd w:val="clear" w:color="auto" w:fill="FFFFFF"/>
        </w:rPr>
        <w:t xml:space="preserve"> services has highlighted feasibility challenges (18) and understanding of the content and modalities of mental health interventions for </w:t>
      </w:r>
      <w:r w:rsidR="00161B7B">
        <w:rPr>
          <w:rFonts w:cs="Arial"/>
          <w:color w:val="000000"/>
          <w:shd w:val="clear" w:color="auto" w:fill="FFFFFF"/>
        </w:rPr>
        <w:t>MDR-TB</w:t>
      </w:r>
      <w:r w:rsidR="00086646" w:rsidRPr="00025399">
        <w:rPr>
          <w:rFonts w:cs="Arial"/>
          <w:color w:val="000000"/>
          <w:shd w:val="clear" w:color="auto" w:fill="FFFFFF"/>
        </w:rPr>
        <w:t xml:space="preserve"> patients are limited. Despite an increasing focus on out-patient care for </w:t>
      </w:r>
      <w:r w:rsidR="00161B7B">
        <w:rPr>
          <w:rFonts w:cs="Arial"/>
          <w:color w:val="000000"/>
          <w:shd w:val="clear" w:color="auto" w:fill="FFFFFF"/>
        </w:rPr>
        <w:t>MDR-TB</w:t>
      </w:r>
      <w:r w:rsidR="00086646" w:rsidRPr="00025399">
        <w:rPr>
          <w:rFonts w:cs="Arial"/>
          <w:color w:val="000000"/>
          <w:shd w:val="clear" w:color="auto" w:fill="FFFFFF"/>
        </w:rPr>
        <w:t xml:space="preserve"> (17), in many high-burden countries, patients are</w:t>
      </w:r>
      <w:r w:rsidR="008E6632" w:rsidRPr="00025399">
        <w:rPr>
          <w:rFonts w:cs="Arial"/>
          <w:color w:val="000000"/>
          <w:shd w:val="clear" w:color="auto" w:fill="FFFFFF"/>
        </w:rPr>
        <w:t xml:space="preserve"> still</w:t>
      </w:r>
      <w:r w:rsidR="00086646" w:rsidRPr="00025399">
        <w:rPr>
          <w:rFonts w:cs="Arial"/>
          <w:color w:val="000000"/>
          <w:shd w:val="clear" w:color="auto" w:fill="FFFFFF"/>
        </w:rPr>
        <w:t xml:space="preserve"> hospitalised particularly for the intensive phase of treatment. </w:t>
      </w:r>
      <w:proofErr w:type="gramStart"/>
      <w:r w:rsidR="009E44F0" w:rsidRPr="00025399">
        <w:rPr>
          <w:rFonts w:cs="Arial"/>
          <w:color w:val="000000"/>
          <w:shd w:val="clear" w:color="auto" w:fill="FFFFFF"/>
        </w:rPr>
        <w:t>In light of</w:t>
      </w:r>
      <w:proofErr w:type="gramEnd"/>
      <w:r w:rsidR="009E44F0" w:rsidRPr="00025399">
        <w:rPr>
          <w:rFonts w:cs="Arial"/>
          <w:color w:val="000000"/>
          <w:shd w:val="clear" w:color="auto" w:fill="FFFFFF"/>
        </w:rPr>
        <w:t xml:space="preserve"> this, we</w:t>
      </w:r>
      <w:r w:rsidR="00086646" w:rsidRPr="00025399">
        <w:rPr>
          <w:rFonts w:cs="Arial"/>
          <w:color w:val="000000"/>
          <w:shd w:val="clear" w:color="auto" w:fill="FFFFFF"/>
        </w:rPr>
        <w:t xml:space="preserve"> wished to understand the mental health experience of </w:t>
      </w:r>
      <w:r w:rsidR="00161B7B">
        <w:rPr>
          <w:rFonts w:cs="Arial"/>
          <w:color w:val="000000"/>
          <w:shd w:val="clear" w:color="auto" w:fill="FFFFFF"/>
        </w:rPr>
        <w:t>MDR-TB</w:t>
      </w:r>
      <w:r w:rsidR="00086646" w:rsidRPr="00025399">
        <w:rPr>
          <w:rFonts w:cs="Arial"/>
          <w:color w:val="000000"/>
          <w:shd w:val="clear" w:color="auto" w:fill="FFFFFF"/>
        </w:rPr>
        <w:t xml:space="preserve"> </w:t>
      </w:r>
      <w:r w:rsidR="009E44F0" w:rsidRPr="00025399">
        <w:rPr>
          <w:rFonts w:cs="Arial"/>
          <w:color w:val="000000"/>
          <w:shd w:val="clear" w:color="auto" w:fill="FFFFFF"/>
        </w:rPr>
        <w:t>patients</w:t>
      </w:r>
      <w:r w:rsidR="00086646" w:rsidRPr="00025399">
        <w:rPr>
          <w:rFonts w:cs="Arial"/>
          <w:color w:val="000000"/>
          <w:shd w:val="clear" w:color="auto" w:fill="FFFFFF"/>
        </w:rPr>
        <w:t xml:space="preserve"> that are treated as in-patients to inform the development of subsequent interventions to improve care and treatment. </w:t>
      </w:r>
    </w:p>
    <w:p w14:paraId="5F520032" w14:textId="476501D5" w:rsidR="00317321" w:rsidRPr="00025399" w:rsidRDefault="00317321">
      <w:pPr>
        <w:rPr>
          <w:rFonts w:cs="Arial"/>
          <w:b/>
        </w:rPr>
      </w:pPr>
      <w:r w:rsidRPr="00025399">
        <w:rPr>
          <w:rFonts w:cs="Arial"/>
          <w:b/>
        </w:rPr>
        <w:t>METHODS</w:t>
      </w:r>
    </w:p>
    <w:p w14:paraId="61CF988C" w14:textId="3A5D40C4" w:rsidR="00F24569" w:rsidRPr="00025399" w:rsidRDefault="008E6632" w:rsidP="00F24569">
      <w:pPr>
        <w:rPr>
          <w:rFonts w:cs="Arial"/>
          <w:b/>
        </w:rPr>
      </w:pPr>
      <w:r w:rsidRPr="00025399">
        <w:rPr>
          <w:rFonts w:cs="Arial"/>
          <w:color w:val="000000"/>
          <w:shd w:val="clear" w:color="auto" w:fill="FFFFFF"/>
        </w:rPr>
        <w:t>Our aim was to identify the prevalence of comorbid depression among in-patients being treated for MDR-TB</w:t>
      </w:r>
      <w:r w:rsidR="00615197">
        <w:rPr>
          <w:rFonts w:cs="Arial"/>
          <w:color w:val="000000"/>
          <w:shd w:val="clear" w:color="auto" w:fill="FFFFFF"/>
        </w:rPr>
        <w:t xml:space="preserve">, </w:t>
      </w:r>
      <w:r w:rsidR="008E70CA">
        <w:rPr>
          <w:rFonts w:cs="Arial"/>
          <w:color w:val="000000"/>
          <w:shd w:val="clear" w:color="auto" w:fill="FFFFFF"/>
        </w:rPr>
        <w:t xml:space="preserve">as well as </w:t>
      </w:r>
      <w:r w:rsidR="00615197">
        <w:rPr>
          <w:rFonts w:cs="Arial"/>
          <w:color w:val="000000"/>
          <w:shd w:val="clear" w:color="auto" w:fill="FFFFFF"/>
        </w:rPr>
        <w:t xml:space="preserve">the socio-demographic and health related correlates of </w:t>
      </w:r>
      <w:r w:rsidR="008E70CA" w:rsidRPr="00025399">
        <w:rPr>
          <w:rFonts w:cs="Arial"/>
          <w:color w:val="000000"/>
          <w:shd w:val="clear" w:color="auto" w:fill="FFFFFF"/>
        </w:rPr>
        <w:t>comorbid depression</w:t>
      </w:r>
      <w:r w:rsidR="008E70CA">
        <w:rPr>
          <w:rFonts w:cs="Arial"/>
          <w:color w:val="000000"/>
          <w:shd w:val="clear" w:color="auto" w:fill="FFFFFF"/>
        </w:rPr>
        <w:t>,</w:t>
      </w:r>
      <w:r w:rsidRPr="00025399">
        <w:rPr>
          <w:rFonts w:cs="Arial"/>
          <w:color w:val="000000"/>
          <w:shd w:val="clear" w:color="auto" w:fill="FFFFFF"/>
        </w:rPr>
        <w:t xml:space="preserve"> and to explore </w:t>
      </w:r>
      <w:r w:rsidR="008E70CA">
        <w:rPr>
          <w:rFonts w:cs="Arial"/>
          <w:color w:val="000000"/>
          <w:shd w:val="clear" w:color="auto" w:fill="FFFFFF"/>
        </w:rPr>
        <w:t>patient</w:t>
      </w:r>
      <w:r w:rsidR="008E70CA" w:rsidRPr="00025399">
        <w:rPr>
          <w:rFonts w:cs="Arial"/>
          <w:color w:val="000000"/>
          <w:shd w:val="clear" w:color="auto" w:fill="FFFFFF"/>
        </w:rPr>
        <w:t xml:space="preserve"> </w:t>
      </w:r>
      <w:r w:rsidRPr="00025399">
        <w:rPr>
          <w:rFonts w:cs="Arial"/>
          <w:color w:val="000000"/>
          <w:shd w:val="clear" w:color="auto" w:fill="FFFFFF"/>
        </w:rPr>
        <w:t>experiences of comorbid disease and the care they received.</w:t>
      </w:r>
    </w:p>
    <w:p w14:paraId="2028465C" w14:textId="561A93D6" w:rsidR="004F2F7E" w:rsidRPr="00025399" w:rsidRDefault="00731063" w:rsidP="00E369AE">
      <w:pPr>
        <w:rPr>
          <w:rFonts w:cs="Arial"/>
        </w:rPr>
      </w:pPr>
      <w:r w:rsidRPr="00025399">
        <w:rPr>
          <w:rFonts w:cs="Arial"/>
        </w:rPr>
        <w:t xml:space="preserve">Design: </w:t>
      </w:r>
      <w:r w:rsidR="00FC1379" w:rsidRPr="00025399">
        <w:rPr>
          <w:rFonts w:cs="Arial"/>
        </w:rPr>
        <w:t>We used a sequential mixed-methods design</w:t>
      </w:r>
      <w:r w:rsidR="006B6CB0" w:rsidRPr="00025399">
        <w:rPr>
          <w:rFonts w:cs="Arial"/>
        </w:rPr>
        <w:t xml:space="preserve"> (</w:t>
      </w:r>
      <w:r w:rsidR="005171CB" w:rsidRPr="00025399">
        <w:rPr>
          <w:rFonts w:cs="Arial"/>
        </w:rPr>
        <w:t>19</w:t>
      </w:r>
      <w:r w:rsidR="006B6CB0" w:rsidRPr="00025399">
        <w:rPr>
          <w:rFonts w:cs="Arial"/>
        </w:rPr>
        <w:t>)</w:t>
      </w:r>
      <w:r w:rsidR="00FC1379" w:rsidRPr="00025399">
        <w:rPr>
          <w:rFonts w:cs="Arial"/>
        </w:rPr>
        <w:t xml:space="preserve"> with an initial </w:t>
      </w:r>
      <w:r w:rsidR="00F17E67">
        <w:rPr>
          <w:rFonts w:cs="Arial"/>
        </w:rPr>
        <w:t xml:space="preserve">quantitative </w:t>
      </w:r>
      <w:r w:rsidR="00FC1379" w:rsidRPr="00025399">
        <w:rPr>
          <w:rFonts w:cs="Arial"/>
        </w:rPr>
        <w:t>cross-sectional survey that informed</w:t>
      </w:r>
      <w:r w:rsidR="007F7251" w:rsidRPr="00025399">
        <w:rPr>
          <w:rFonts w:cs="Arial"/>
        </w:rPr>
        <w:t xml:space="preserve"> the design of qualitative interview</w:t>
      </w:r>
      <w:r w:rsidR="00EC38D0" w:rsidRPr="00025399">
        <w:rPr>
          <w:rFonts w:cs="Arial"/>
        </w:rPr>
        <w:t xml:space="preserve">s, reflective researcher </w:t>
      </w:r>
      <w:proofErr w:type="gramStart"/>
      <w:r w:rsidR="00B3137B">
        <w:rPr>
          <w:rFonts w:cs="Arial"/>
        </w:rPr>
        <w:t>n</w:t>
      </w:r>
      <w:r w:rsidR="00EC38D0" w:rsidRPr="00025399">
        <w:rPr>
          <w:rFonts w:cs="Arial"/>
        </w:rPr>
        <w:t>otes</w:t>
      </w:r>
      <w:proofErr w:type="gramEnd"/>
      <w:r w:rsidR="007F7251" w:rsidRPr="00025399">
        <w:rPr>
          <w:rFonts w:cs="Arial"/>
        </w:rPr>
        <w:t xml:space="preserve"> and the </w:t>
      </w:r>
      <w:r w:rsidR="00295E9A" w:rsidRPr="00025399">
        <w:rPr>
          <w:rFonts w:cs="Arial"/>
        </w:rPr>
        <w:t>codes</w:t>
      </w:r>
      <w:r w:rsidR="007F7251" w:rsidRPr="00025399">
        <w:rPr>
          <w:rFonts w:cs="Arial"/>
        </w:rPr>
        <w:t xml:space="preserve"> </w:t>
      </w:r>
      <w:r w:rsidR="00295E9A" w:rsidRPr="00025399">
        <w:rPr>
          <w:rFonts w:cs="Arial"/>
        </w:rPr>
        <w:t>developed during</w:t>
      </w:r>
      <w:r w:rsidR="007F7251" w:rsidRPr="00025399">
        <w:rPr>
          <w:rFonts w:cs="Arial"/>
        </w:rPr>
        <w:t xml:space="preserve"> analysis of the qualitative data.</w:t>
      </w:r>
    </w:p>
    <w:p w14:paraId="02179920" w14:textId="61470291" w:rsidR="008E6632" w:rsidRPr="00025399" w:rsidRDefault="007F7251" w:rsidP="00E369AE">
      <w:pPr>
        <w:rPr>
          <w:rFonts w:cs="Arial"/>
        </w:rPr>
      </w:pPr>
      <w:r w:rsidRPr="00025399">
        <w:rPr>
          <w:rFonts w:cs="Arial"/>
        </w:rPr>
        <w:t xml:space="preserve">Setting: </w:t>
      </w:r>
      <w:r w:rsidR="00FC1379" w:rsidRPr="00025399">
        <w:rPr>
          <w:rFonts w:cs="Arial"/>
        </w:rPr>
        <w:t xml:space="preserve">The study was set in </w:t>
      </w:r>
      <w:r w:rsidR="00934FA6" w:rsidRPr="00025399">
        <w:rPr>
          <w:rFonts w:cs="Arial"/>
        </w:rPr>
        <w:t xml:space="preserve">the </w:t>
      </w:r>
      <w:r w:rsidR="00FC1379" w:rsidRPr="00025399">
        <w:rPr>
          <w:rFonts w:cs="Arial"/>
        </w:rPr>
        <w:t>large</w:t>
      </w:r>
      <w:r w:rsidR="00934FA6" w:rsidRPr="00025399">
        <w:rPr>
          <w:rFonts w:cs="Arial"/>
        </w:rPr>
        <w:t>st tertiary</w:t>
      </w:r>
      <w:r w:rsidR="00FC1379" w:rsidRPr="00025399">
        <w:rPr>
          <w:rFonts w:cs="Arial"/>
        </w:rPr>
        <w:t xml:space="preserve"> </w:t>
      </w:r>
      <w:r w:rsidR="00934FA6" w:rsidRPr="00025399">
        <w:rPr>
          <w:rFonts w:cs="Arial"/>
        </w:rPr>
        <w:t xml:space="preserve">government run </w:t>
      </w:r>
      <w:r w:rsidR="00FC1379" w:rsidRPr="00025399">
        <w:rPr>
          <w:rFonts w:cs="Arial"/>
        </w:rPr>
        <w:t>chest hospital in Dhaka, Bangladesh</w:t>
      </w:r>
      <w:r w:rsidR="002B50FA">
        <w:rPr>
          <w:rFonts w:cs="Arial"/>
        </w:rPr>
        <w:t xml:space="preserve"> treating lung diseases and acting as the largest referral hospital for TB</w:t>
      </w:r>
      <w:r w:rsidR="00602770" w:rsidRPr="00025399">
        <w:rPr>
          <w:rFonts w:cs="Arial"/>
        </w:rPr>
        <w:t xml:space="preserve">. </w:t>
      </w:r>
      <w:r w:rsidRPr="00025399">
        <w:rPr>
          <w:rFonts w:cs="Arial"/>
        </w:rPr>
        <w:t>At the time of the study (</w:t>
      </w:r>
      <w:r w:rsidR="004F27FA">
        <w:rPr>
          <w:rFonts w:cs="Arial"/>
        </w:rPr>
        <w:t xml:space="preserve">January to July </w:t>
      </w:r>
      <w:r w:rsidRPr="00025399">
        <w:rPr>
          <w:rFonts w:cs="Arial"/>
        </w:rPr>
        <w:t>2018), the hospital had 73 beds for m</w:t>
      </w:r>
      <w:r w:rsidR="002B50FA">
        <w:rPr>
          <w:rFonts w:cs="Arial"/>
        </w:rPr>
        <w:t>ale TB</w:t>
      </w:r>
      <w:r w:rsidR="004E5706">
        <w:rPr>
          <w:rFonts w:cs="Arial"/>
        </w:rPr>
        <w:t xml:space="preserve"> (both MDR- and </w:t>
      </w:r>
      <w:r w:rsidR="004E5706">
        <w:t xml:space="preserve">extensively drug-resistant </w:t>
      </w:r>
      <w:r w:rsidR="00B3137B">
        <w:t>XDR-</w:t>
      </w:r>
      <w:r w:rsidR="004E5706">
        <w:t>TB</w:t>
      </w:r>
      <w:r w:rsidR="004E5706">
        <w:rPr>
          <w:rFonts w:cs="Arial"/>
        </w:rPr>
        <w:t>)</w:t>
      </w:r>
      <w:r w:rsidR="002B50FA">
        <w:rPr>
          <w:rFonts w:cs="Arial"/>
        </w:rPr>
        <w:t xml:space="preserve"> patients</w:t>
      </w:r>
      <w:r w:rsidRPr="00025399">
        <w:rPr>
          <w:rFonts w:cs="Arial"/>
        </w:rPr>
        <w:t xml:space="preserve"> and 46 for </w:t>
      </w:r>
      <w:r w:rsidR="002B50FA">
        <w:rPr>
          <w:rFonts w:cs="Arial"/>
        </w:rPr>
        <w:t>female patients</w:t>
      </w:r>
      <w:r w:rsidRPr="00025399">
        <w:rPr>
          <w:rFonts w:cs="Arial"/>
        </w:rPr>
        <w:t xml:space="preserve"> in separate male and female wards</w:t>
      </w:r>
      <w:r w:rsidR="004E5706">
        <w:rPr>
          <w:rFonts w:cs="Arial"/>
        </w:rPr>
        <w:t xml:space="preserve">. Due to limited space, the female ward often includes non-TB patients. </w:t>
      </w:r>
      <w:r w:rsidRPr="00025399">
        <w:rPr>
          <w:rFonts w:cs="Arial"/>
        </w:rPr>
        <w:t xml:space="preserve">There was one doctor for </w:t>
      </w:r>
      <w:r w:rsidR="00AC7C1F">
        <w:rPr>
          <w:rFonts w:cs="Arial"/>
        </w:rPr>
        <w:t xml:space="preserve">the </w:t>
      </w:r>
      <w:r w:rsidRPr="00025399">
        <w:rPr>
          <w:rFonts w:cs="Arial"/>
        </w:rPr>
        <w:t>male and female wards, six nurses for each ward during the day</w:t>
      </w:r>
      <w:r w:rsidR="00AC7C1F">
        <w:rPr>
          <w:rFonts w:cs="Arial"/>
        </w:rPr>
        <w:t>-</w:t>
      </w:r>
      <w:r w:rsidRPr="00025399">
        <w:rPr>
          <w:rFonts w:cs="Arial"/>
        </w:rPr>
        <w:t>shift and three nurses providing the night</w:t>
      </w:r>
      <w:r w:rsidR="00AC7C1F">
        <w:rPr>
          <w:rFonts w:cs="Arial"/>
        </w:rPr>
        <w:t>-</w:t>
      </w:r>
      <w:r w:rsidRPr="00025399">
        <w:rPr>
          <w:rFonts w:cs="Arial"/>
        </w:rPr>
        <w:t>shift. Patients are referred from across Bangladesh</w:t>
      </w:r>
      <w:r w:rsidR="0023014A">
        <w:rPr>
          <w:rFonts w:cs="Arial"/>
        </w:rPr>
        <w:t xml:space="preserve"> normally following confirmation of rifampicin resistance. Following further </w:t>
      </w:r>
      <w:r w:rsidR="0023014A">
        <w:t>drug susceptibility testing</w:t>
      </w:r>
      <w:r w:rsidR="0023014A">
        <w:rPr>
          <w:rFonts w:cs="Arial"/>
        </w:rPr>
        <w:t xml:space="preserve"> at the hospital, MDR-TB patients w</w:t>
      </w:r>
      <w:r w:rsidRPr="00025399">
        <w:rPr>
          <w:rFonts w:cs="Arial"/>
        </w:rPr>
        <w:t xml:space="preserve">ill normally spend the first </w:t>
      </w:r>
      <w:r w:rsidR="0017712F">
        <w:rPr>
          <w:rFonts w:cs="Arial"/>
        </w:rPr>
        <w:t>month</w:t>
      </w:r>
      <w:r w:rsidRPr="00025399">
        <w:rPr>
          <w:rFonts w:cs="Arial"/>
        </w:rPr>
        <w:t xml:space="preserve"> of </w:t>
      </w:r>
      <w:r w:rsidR="00731063" w:rsidRPr="00025399">
        <w:rPr>
          <w:rFonts w:cs="Arial"/>
        </w:rPr>
        <w:t xml:space="preserve">their </w:t>
      </w:r>
      <w:r w:rsidRPr="00025399">
        <w:rPr>
          <w:rFonts w:cs="Arial"/>
        </w:rPr>
        <w:t xml:space="preserve">treatment in the hospital before being discharged </w:t>
      </w:r>
      <w:r w:rsidR="0023014A">
        <w:rPr>
          <w:rFonts w:cs="Arial"/>
        </w:rPr>
        <w:t>following two successive smear</w:t>
      </w:r>
      <w:r w:rsidR="0017712F">
        <w:rPr>
          <w:rFonts w:cs="Arial"/>
        </w:rPr>
        <w:t>-</w:t>
      </w:r>
      <w:r w:rsidR="0023014A">
        <w:rPr>
          <w:rFonts w:cs="Arial"/>
        </w:rPr>
        <w:t xml:space="preserve">negative results. </w:t>
      </w:r>
      <w:r w:rsidR="0017712F">
        <w:rPr>
          <w:rFonts w:cs="Arial"/>
        </w:rPr>
        <w:t xml:space="preserve">They will then be managed by TB services in the community. </w:t>
      </w:r>
      <w:r w:rsidR="0023014A">
        <w:rPr>
          <w:rFonts w:cs="Arial"/>
        </w:rPr>
        <w:t xml:space="preserve">Those that </w:t>
      </w:r>
      <w:r w:rsidR="0017712F">
        <w:rPr>
          <w:rFonts w:cs="Arial"/>
        </w:rPr>
        <w:t xml:space="preserve">remain smear positive will stay in the hospital and have a further drug susceptibility test at three months. </w:t>
      </w:r>
    </w:p>
    <w:p w14:paraId="6B5E50A6" w14:textId="6EA47948" w:rsidR="00E209BE" w:rsidRDefault="008E6632" w:rsidP="00E369AE">
      <w:pPr>
        <w:rPr>
          <w:rFonts w:cs="Arial"/>
        </w:rPr>
      </w:pPr>
      <w:r w:rsidRPr="00025399">
        <w:rPr>
          <w:rFonts w:cs="Arial"/>
        </w:rPr>
        <w:t xml:space="preserve">Participants: </w:t>
      </w:r>
      <w:r w:rsidR="00E209BE">
        <w:rPr>
          <w:rFonts w:cs="Arial"/>
        </w:rPr>
        <w:t xml:space="preserve">For the cross-sectional survey our participants were adult in-patients diagnosed with MDR-TB. In close consultation with hospital staff, we agreed to exclude patients who </w:t>
      </w:r>
      <w:r w:rsidR="00E209BE" w:rsidRPr="00E209BE">
        <w:rPr>
          <w:rFonts w:cs="Arial"/>
        </w:rPr>
        <w:t>were under 18 years old, had extensive drug resistance, were due to leave hospital within a week or were deemed too ill by the health professionals or researchers to take part in the study</w:t>
      </w:r>
      <w:r w:rsidR="00E209BE">
        <w:rPr>
          <w:rFonts w:cs="Arial"/>
        </w:rPr>
        <w:t>.</w:t>
      </w:r>
    </w:p>
    <w:p w14:paraId="5C6AC9A6" w14:textId="6F2ABB0D" w:rsidR="00731063" w:rsidRPr="00025399" w:rsidRDefault="00CC3A86" w:rsidP="00E369AE">
      <w:pPr>
        <w:rPr>
          <w:rFonts w:cs="Arial"/>
        </w:rPr>
      </w:pPr>
      <w:r w:rsidRPr="00025399">
        <w:rPr>
          <w:rFonts w:cs="Arial"/>
        </w:rPr>
        <w:t xml:space="preserve">Through </w:t>
      </w:r>
      <w:r w:rsidR="00731063" w:rsidRPr="00025399">
        <w:rPr>
          <w:rFonts w:cs="Arial"/>
        </w:rPr>
        <w:t xml:space="preserve">the qualitative interviews </w:t>
      </w:r>
      <w:r w:rsidRPr="00025399">
        <w:rPr>
          <w:rFonts w:cs="Arial"/>
        </w:rPr>
        <w:t xml:space="preserve">we aimed </w:t>
      </w:r>
      <w:r w:rsidR="00367901">
        <w:rPr>
          <w:rFonts w:cs="Arial"/>
        </w:rPr>
        <w:t xml:space="preserve">to </w:t>
      </w:r>
      <w:r w:rsidR="00731063" w:rsidRPr="00025399">
        <w:rPr>
          <w:rFonts w:cs="Arial"/>
        </w:rPr>
        <w:t xml:space="preserve">understand the impact of </w:t>
      </w:r>
      <w:r w:rsidR="00161B7B">
        <w:rPr>
          <w:rFonts w:cs="Arial"/>
        </w:rPr>
        <w:t>MDR-TB</w:t>
      </w:r>
      <w:r w:rsidRPr="00025399">
        <w:rPr>
          <w:rFonts w:cs="Arial"/>
        </w:rPr>
        <w:t xml:space="preserve"> on patient’s lives and their experiences of treatment in the hospital. To deepen our understanding of these issues we purposively sampled </w:t>
      </w:r>
      <w:r w:rsidR="00E209BE">
        <w:rPr>
          <w:rFonts w:cs="Arial"/>
        </w:rPr>
        <w:t>in-</w:t>
      </w:r>
      <w:r w:rsidRPr="00025399">
        <w:rPr>
          <w:rFonts w:cs="Arial"/>
        </w:rPr>
        <w:t>patients</w:t>
      </w:r>
      <w:r w:rsidR="00E209BE">
        <w:rPr>
          <w:rFonts w:cs="Arial"/>
        </w:rPr>
        <w:t xml:space="preserve"> and cured patients</w:t>
      </w:r>
      <w:r w:rsidRPr="00025399">
        <w:rPr>
          <w:rFonts w:cs="Arial"/>
        </w:rPr>
        <w:t xml:space="preserve">, carers and health professionals.  </w:t>
      </w:r>
      <w:r w:rsidR="00731063" w:rsidRPr="00025399">
        <w:rPr>
          <w:rFonts w:cs="Arial"/>
        </w:rPr>
        <w:t xml:space="preserve">We aimed to interview </w:t>
      </w:r>
      <w:r w:rsidR="00C11976" w:rsidRPr="00025399">
        <w:rPr>
          <w:rFonts w:cs="Arial"/>
        </w:rPr>
        <w:t>both</w:t>
      </w:r>
      <w:r w:rsidR="00731063" w:rsidRPr="00025399">
        <w:rPr>
          <w:rFonts w:cs="Arial"/>
        </w:rPr>
        <w:t xml:space="preserve"> male and female patients and carers</w:t>
      </w:r>
      <w:r w:rsidR="00C11976" w:rsidRPr="00025399">
        <w:rPr>
          <w:rFonts w:cs="Arial"/>
        </w:rPr>
        <w:t xml:space="preserve"> to understand gender differences in care and experiences</w:t>
      </w:r>
      <w:r w:rsidR="00731063" w:rsidRPr="00025399">
        <w:rPr>
          <w:rFonts w:cs="Arial"/>
        </w:rPr>
        <w:t xml:space="preserve">. </w:t>
      </w:r>
    </w:p>
    <w:p w14:paraId="1FA6428B" w14:textId="6ABCBEF7" w:rsidR="00CC3A86" w:rsidRPr="00025399" w:rsidRDefault="00731063" w:rsidP="00731063">
      <w:pPr>
        <w:rPr>
          <w:rFonts w:cs="Arial"/>
        </w:rPr>
      </w:pPr>
      <w:r w:rsidRPr="00731063">
        <w:rPr>
          <w:rFonts w:cs="Arial"/>
        </w:rPr>
        <w:t xml:space="preserve">Sample size: Given the limited information on depression in this patient group we </w:t>
      </w:r>
      <w:r w:rsidR="005E53D7">
        <w:rPr>
          <w:rFonts w:cs="Arial"/>
        </w:rPr>
        <w:t xml:space="preserve">conservatively </w:t>
      </w:r>
      <w:r w:rsidRPr="00731063">
        <w:rPr>
          <w:rFonts w:cs="Arial"/>
        </w:rPr>
        <w:t xml:space="preserve">estimated the proportion of people with depression to be 50%, </w:t>
      </w:r>
      <w:r w:rsidR="005E53D7">
        <w:rPr>
          <w:rFonts w:cs="Arial"/>
        </w:rPr>
        <w:t xml:space="preserve">and we therefore </w:t>
      </w:r>
      <w:r w:rsidRPr="00731063">
        <w:rPr>
          <w:rFonts w:cs="Arial"/>
        </w:rPr>
        <w:t>requir</w:t>
      </w:r>
      <w:r w:rsidR="005E53D7">
        <w:rPr>
          <w:rFonts w:cs="Arial"/>
        </w:rPr>
        <w:t>ed</w:t>
      </w:r>
      <w:r w:rsidRPr="00731063">
        <w:rPr>
          <w:rFonts w:cs="Arial"/>
        </w:rPr>
        <w:t xml:space="preserve"> a sample size of 97 to </w:t>
      </w:r>
      <w:r w:rsidR="005E53D7">
        <w:rPr>
          <w:rFonts w:cs="Arial"/>
        </w:rPr>
        <w:t xml:space="preserve">estimate this </w:t>
      </w:r>
      <w:r w:rsidRPr="00731063">
        <w:rPr>
          <w:rFonts w:cs="Arial"/>
        </w:rPr>
        <w:t xml:space="preserve">prevalence with 95% confidence intervals of </w:t>
      </w:r>
      <w:r w:rsidR="005E53D7">
        <w:rPr>
          <w:rFonts w:cs="Arial"/>
        </w:rPr>
        <w:t xml:space="preserve">at most </w:t>
      </w:r>
      <w:r w:rsidRPr="00731063">
        <w:rPr>
          <w:rFonts w:cs="Arial"/>
        </w:rPr>
        <w:t>+/-10</w:t>
      </w:r>
      <w:r w:rsidR="005E53D7">
        <w:rPr>
          <w:rFonts w:cs="Arial"/>
        </w:rPr>
        <w:t xml:space="preserve"> percentage points</w:t>
      </w:r>
      <w:r w:rsidRPr="00731063">
        <w:rPr>
          <w:rFonts w:cs="Arial"/>
        </w:rPr>
        <w:t>.</w:t>
      </w:r>
      <w:r w:rsidR="00E209BE" w:rsidRPr="00E209BE">
        <w:rPr>
          <w:rFonts w:cs="Arial"/>
        </w:rPr>
        <w:t xml:space="preserve"> </w:t>
      </w:r>
      <w:r w:rsidR="00E209BE" w:rsidRPr="00025399">
        <w:rPr>
          <w:rFonts w:cs="Arial"/>
        </w:rPr>
        <w:t>For the cross-sectional survey</w:t>
      </w:r>
      <w:r w:rsidR="00E209BE">
        <w:rPr>
          <w:rFonts w:cs="Arial"/>
        </w:rPr>
        <w:t>, based on in-patient flow at the hospital</w:t>
      </w:r>
      <w:r w:rsidR="00E209BE" w:rsidRPr="00025399">
        <w:rPr>
          <w:rFonts w:cs="Arial"/>
        </w:rPr>
        <w:t xml:space="preserve"> </w:t>
      </w:r>
      <w:r w:rsidR="00E209BE">
        <w:rPr>
          <w:rFonts w:cs="Arial"/>
        </w:rPr>
        <w:t xml:space="preserve">and our exclusion criteria, </w:t>
      </w:r>
      <w:r w:rsidR="00E209BE" w:rsidRPr="00025399">
        <w:rPr>
          <w:rFonts w:cs="Arial"/>
        </w:rPr>
        <w:t>we</w:t>
      </w:r>
      <w:r w:rsidR="00E209BE">
        <w:rPr>
          <w:rFonts w:cs="Arial"/>
        </w:rPr>
        <w:t xml:space="preserve"> estimated that approaching all in-</w:t>
      </w:r>
      <w:r w:rsidR="00E209BE" w:rsidRPr="00025399">
        <w:rPr>
          <w:rFonts w:cs="Arial"/>
        </w:rPr>
        <w:t xml:space="preserve">patients </w:t>
      </w:r>
      <w:r w:rsidR="00E209BE">
        <w:rPr>
          <w:rFonts w:cs="Arial"/>
        </w:rPr>
        <w:t>over a six-month period would meet our sample size target.</w:t>
      </w:r>
    </w:p>
    <w:p w14:paraId="55BDE532" w14:textId="31FAFFFF" w:rsidR="00731063" w:rsidRPr="00025399" w:rsidRDefault="00C11976" w:rsidP="00E369AE">
      <w:pPr>
        <w:rPr>
          <w:rFonts w:cs="Arial"/>
        </w:rPr>
      </w:pPr>
      <w:r w:rsidRPr="00025399">
        <w:rPr>
          <w:rFonts w:cs="Arial"/>
        </w:rPr>
        <w:t>To determine the size of the qualitative sample, we drew on</w:t>
      </w:r>
      <w:r w:rsidR="00CC3A86" w:rsidRPr="00025399">
        <w:rPr>
          <w:rFonts w:cs="Arial"/>
        </w:rPr>
        <w:t xml:space="preserve"> principles of </w:t>
      </w:r>
      <w:r w:rsidRPr="00025399">
        <w:rPr>
          <w:rFonts w:cs="Arial"/>
        </w:rPr>
        <w:t>‘</w:t>
      </w:r>
      <w:r w:rsidR="00CC3A86" w:rsidRPr="00025399">
        <w:rPr>
          <w:rFonts w:cs="Arial"/>
        </w:rPr>
        <w:t>information power</w:t>
      </w:r>
      <w:r w:rsidRPr="00025399">
        <w:rPr>
          <w:rFonts w:cs="Arial"/>
        </w:rPr>
        <w:t xml:space="preserve">’ </w:t>
      </w:r>
      <w:r w:rsidR="00CC3A86" w:rsidRPr="00025399">
        <w:rPr>
          <w:rFonts w:cs="Arial"/>
        </w:rPr>
        <w:t>(</w:t>
      </w:r>
      <w:r w:rsidR="005171CB" w:rsidRPr="00025399">
        <w:rPr>
          <w:rFonts w:cs="Arial"/>
        </w:rPr>
        <w:t>20</w:t>
      </w:r>
      <w:r w:rsidR="002F3478">
        <w:rPr>
          <w:rFonts w:cs="Arial"/>
        </w:rPr>
        <w:t>)</w:t>
      </w:r>
      <w:r w:rsidR="00CC3A86" w:rsidRPr="00025399">
        <w:rPr>
          <w:rFonts w:cs="Arial"/>
        </w:rPr>
        <w:t xml:space="preserve">: our aim was relatively broad, attempting to understand impacts of </w:t>
      </w:r>
      <w:r w:rsidR="00161B7B">
        <w:rPr>
          <w:rFonts w:cs="Arial"/>
        </w:rPr>
        <w:t>MDR-TB</w:t>
      </w:r>
      <w:r w:rsidR="00CC3A86" w:rsidRPr="00025399">
        <w:rPr>
          <w:rFonts w:cs="Arial"/>
        </w:rPr>
        <w:t xml:space="preserve"> on mental health among all patients, so in recognition of this we included patients of different ages, male and female; we also included care-givers to provide perspectives on their family-member’s experiences. To enhance information-power we drew on theory to analyse our qualitative data in the form of the socio-ecological model (</w:t>
      </w:r>
      <w:r w:rsidR="005171CB" w:rsidRPr="00025399">
        <w:rPr>
          <w:rFonts w:cs="Arial"/>
        </w:rPr>
        <w:t>21</w:t>
      </w:r>
      <w:r w:rsidR="002F3478">
        <w:rPr>
          <w:rFonts w:cs="Arial"/>
        </w:rPr>
        <w:t>)</w:t>
      </w:r>
      <w:r w:rsidR="00CC3A86" w:rsidRPr="00025399">
        <w:rPr>
          <w:rFonts w:cs="Arial"/>
        </w:rPr>
        <w:t xml:space="preserve"> which identifies relationships at individual, relationship, societal, institutional and policy levels. Health professionals and policy makers provided insights into the institutional and policy responses to mental ill-health</w:t>
      </w:r>
      <w:r w:rsidRPr="00025399">
        <w:rPr>
          <w:rFonts w:cs="Arial"/>
        </w:rPr>
        <w:t>. We planned to inter</w:t>
      </w:r>
      <w:r w:rsidR="00641FCD" w:rsidRPr="00025399">
        <w:rPr>
          <w:rFonts w:cs="Arial"/>
        </w:rPr>
        <w:t xml:space="preserve">view </w:t>
      </w:r>
      <w:r w:rsidR="00B3137B">
        <w:rPr>
          <w:rFonts w:cs="Arial"/>
        </w:rPr>
        <w:t>four</w:t>
      </w:r>
      <w:r w:rsidR="00641FCD" w:rsidRPr="00025399">
        <w:rPr>
          <w:rFonts w:cs="Arial"/>
        </w:rPr>
        <w:t xml:space="preserve"> male and </w:t>
      </w:r>
      <w:r w:rsidR="00B3137B">
        <w:rPr>
          <w:rFonts w:cs="Arial"/>
        </w:rPr>
        <w:t>four</w:t>
      </w:r>
      <w:r w:rsidR="00641FCD" w:rsidRPr="00025399">
        <w:rPr>
          <w:rFonts w:cs="Arial"/>
        </w:rPr>
        <w:t xml:space="preserve"> female patients of different ages. Conscious of the poor physical and mental health of many patients, we planned to conduct multiple interviews with the same patient if a single long interview was not possible. We planned to interview four carers and four health professionals.</w:t>
      </w:r>
    </w:p>
    <w:p w14:paraId="3FA0BADE" w14:textId="264E4B26" w:rsidR="004F2F7E" w:rsidRPr="00025399" w:rsidRDefault="002B50FA" w:rsidP="00E369AE">
      <w:pPr>
        <w:rPr>
          <w:rFonts w:cs="Arial"/>
        </w:rPr>
      </w:pPr>
      <w:r>
        <w:rPr>
          <w:rFonts w:cs="Arial"/>
        </w:rPr>
        <w:t>Cross-sectional</w:t>
      </w:r>
      <w:r w:rsidR="00A25C3F">
        <w:rPr>
          <w:rFonts w:cs="Arial"/>
        </w:rPr>
        <w:t xml:space="preserve"> survey m</w:t>
      </w:r>
      <w:r w:rsidR="00731063" w:rsidRPr="00025399">
        <w:rPr>
          <w:rFonts w:cs="Arial"/>
        </w:rPr>
        <w:t xml:space="preserve">easures: </w:t>
      </w:r>
      <w:r w:rsidR="00641FCD" w:rsidRPr="00025399">
        <w:rPr>
          <w:rFonts w:cs="Arial"/>
        </w:rPr>
        <w:t>An initial questionnaire</w:t>
      </w:r>
      <w:r w:rsidR="00EC38D0" w:rsidRPr="00025399">
        <w:rPr>
          <w:rFonts w:cs="Arial"/>
        </w:rPr>
        <w:t xml:space="preserve"> </w:t>
      </w:r>
      <w:r w:rsidR="00A31969" w:rsidRPr="00025399">
        <w:rPr>
          <w:rFonts w:cs="Arial"/>
        </w:rPr>
        <w:t xml:space="preserve">was conducted with recruited patients once informed consent had been taken. This included </w:t>
      </w:r>
      <w:r w:rsidR="00EC38D0" w:rsidRPr="00025399">
        <w:rPr>
          <w:rFonts w:cs="Arial"/>
        </w:rPr>
        <w:t>socio-demographic information,</w:t>
      </w:r>
      <w:r w:rsidR="00FF456F" w:rsidRPr="00025399">
        <w:rPr>
          <w:rFonts w:cs="Arial"/>
        </w:rPr>
        <w:t xml:space="preserve"> </w:t>
      </w:r>
      <w:r w:rsidR="00EC38D0" w:rsidRPr="00743A10">
        <w:rPr>
          <w:rFonts w:cs="Arial"/>
          <w:highlight w:val="yellow"/>
        </w:rPr>
        <w:t>self-reported co-morbidities</w:t>
      </w:r>
      <w:r w:rsidR="00743A10" w:rsidRPr="00743A10">
        <w:rPr>
          <w:rFonts w:cs="Arial"/>
          <w:highlight w:val="yellow"/>
        </w:rPr>
        <w:t xml:space="preserve"> and substance use</w:t>
      </w:r>
      <w:r w:rsidR="00FF456F" w:rsidRPr="00025399">
        <w:rPr>
          <w:rFonts w:cs="Arial"/>
        </w:rPr>
        <w:t>, including mental ill-health</w:t>
      </w:r>
      <w:r w:rsidR="00A31969" w:rsidRPr="00025399">
        <w:rPr>
          <w:rFonts w:cs="Arial"/>
        </w:rPr>
        <w:t>,</w:t>
      </w:r>
      <w:r w:rsidR="00FF456F" w:rsidRPr="00025399">
        <w:rPr>
          <w:rFonts w:cs="Arial"/>
        </w:rPr>
        <w:t xml:space="preserve"> any treatment taken for mental ill-health</w:t>
      </w:r>
      <w:r w:rsidR="00EC38D0" w:rsidRPr="00025399">
        <w:rPr>
          <w:rFonts w:cs="Arial"/>
        </w:rPr>
        <w:t xml:space="preserve"> and MDR treatment side-effects</w:t>
      </w:r>
      <w:r w:rsidR="00641FCD" w:rsidRPr="00025399">
        <w:rPr>
          <w:rFonts w:cs="Arial"/>
        </w:rPr>
        <w:t xml:space="preserve">. </w:t>
      </w:r>
      <w:r w:rsidR="00D844FF" w:rsidRPr="00D844FF">
        <w:rPr>
          <w:rFonts w:cs="Arial"/>
          <w:highlight w:val="yellow"/>
        </w:rPr>
        <w:t>P</w:t>
      </w:r>
      <w:r w:rsidR="00D844FF" w:rsidRPr="00D844FF">
        <w:rPr>
          <w:rFonts w:cs="Arial"/>
          <w:highlight w:val="yellow"/>
        </w:rPr>
        <w:t xml:space="preserve">articipants were asked to </w:t>
      </w:r>
      <w:r w:rsidR="00D844FF" w:rsidRPr="00D844FF">
        <w:rPr>
          <w:rFonts w:cs="Arial"/>
          <w:highlight w:val="yellow"/>
        </w:rPr>
        <w:t>report</w:t>
      </w:r>
      <w:r w:rsidR="00D844FF" w:rsidRPr="00D844FF">
        <w:rPr>
          <w:rFonts w:cs="Arial"/>
          <w:highlight w:val="yellow"/>
        </w:rPr>
        <w:t xml:space="preserve"> separately their use of tobacco, alcohol or any other substance</w:t>
      </w:r>
      <w:r w:rsidR="00D844FF" w:rsidRPr="00D844FF">
        <w:rPr>
          <w:rFonts w:cs="Arial"/>
          <w:highlight w:val="yellow"/>
        </w:rPr>
        <w:t xml:space="preserve"> and to </w:t>
      </w:r>
      <w:r w:rsidR="00D844FF" w:rsidRPr="00D844FF">
        <w:rPr>
          <w:rFonts w:cs="Arial"/>
          <w:highlight w:val="yellow"/>
        </w:rPr>
        <w:t>state if they had any other health conditions.</w:t>
      </w:r>
      <w:r w:rsidR="00D844FF" w:rsidRPr="00D844FF">
        <w:rPr>
          <w:rFonts w:cs="Arial"/>
        </w:rPr>
        <w:t xml:space="preserve"> </w:t>
      </w:r>
      <w:r w:rsidR="00EF0596" w:rsidRPr="00EF0596">
        <w:rPr>
          <w:rFonts w:cs="Arial"/>
          <w:lang w:val="en-US"/>
        </w:rPr>
        <w:t>For those patients who self-reported a co-morbidity, following patient consent and health professional approval, their patient records were checked by the researchers and the nature of the comorbidity was recorded</w:t>
      </w:r>
      <w:r w:rsidR="00EF0596">
        <w:rPr>
          <w:rFonts w:cs="Arial"/>
          <w:lang w:val="en-US"/>
        </w:rPr>
        <w:t xml:space="preserve">. </w:t>
      </w:r>
      <w:r w:rsidR="00641FCD" w:rsidRPr="00025399">
        <w:rPr>
          <w:rFonts w:cs="Arial"/>
        </w:rPr>
        <w:t>This</w:t>
      </w:r>
      <w:r w:rsidR="00847518" w:rsidRPr="00025399">
        <w:rPr>
          <w:rFonts w:cs="Arial"/>
        </w:rPr>
        <w:t xml:space="preserve"> socio-demographic</w:t>
      </w:r>
      <w:r w:rsidR="00641FCD" w:rsidRPr="00025399">
        <w:rPr>
          <w:rFonts w:cs="Arial"/>
        </w:rPr>
        <w:t xml:space="preserve"> questionnaire was conducted face-to-face in </w:t>
      </w:r>
      <w:proofErr w:type="spellStart"/>
      <w:r w:rsidR="00641FCD" w:rsidRPr="00025399">
        <w:rPr>
          <w:rFonts w:cs="Arial"/>
        </w:rPr>
        <w:t>Benagli</w:t>
      </w:r>
      <w:proofErr w:type="spellEnd"/>
      <w:r w:rsidR="00641FCD" w:rsidRPr="00025399">
        <w:rPr>
          <w:rFonts w:cs="Arial"/>
        </w:rPr>
        <w:t xml:space="preserve"> by researchers who were all employed by a Bangladesh research organisation, The ARK Foundation.</w:t>
      </w:r>
      <w:r w:rsidR="00847518" w:rsidRPr="00025399">
        <w:rPr>
          <w:rFonts w:cs="Arial"/>
        </w:rPr>
        <w:t xml:space="preserve"> Within two-weeks of this initial assessment, </w:t>
      </w:r>
      <w:r w:rsidR="00EC38D0" w:rsidRPr="00025399">
        <w:rPr>
          <w:rFonts w:cs="Arial"/>
        </w:rPr>
        <w:t>a</w:t>
      </w:r>
      <w:r w:rsidR="00AB1EC1" w:rsidRPr="00025399">
        <w:rPr>
          <w:rFonts w:cs="Arial"/>
        </w:rPr>
        <w:t xml:space="preserve"> </w:t>
      </w:r>
      <w:r w:rsidR="00934FA6" w:rsidRPr="00025399">
        <w:rPr>
          <w:rFonts w:cs="Arial"/>
        </w:rPr>
        <w:t xml:space="preserve">psychiatrist working </w:t>
      </w:r>
      <w:r w:rsidR="00AB1EC1" w:rsidRPr="00025399">
        <w:rPr>
          <w:rFonts w:cs="Arial"/>
        </w:rPr>
        <w:t>as part of our research team</w:t>
      </w:r>
      <w:r w:rsidR="00934FA6" w:rsidRPr="00025399">
        <w:rPr>
          <w:rFonts w:cs="Arial"/>
        </w:rPr>
        <w:t xml:space="preserve"> undertook a clinical assessment with these patients using the depression module of the Bengali version of the Structured Clinical Interview for DSM-IV (SCID) (</w:t>
      </w:r>
      <w:r w:rsidR="00A31969" w:rsidRPr="00025399">
        <w:rPr>
          <w:rFonts w:cs="Arial"/>
        </w:rPr>
        <w:t>2</w:t>
      </w:r>
      <w:r w:rsidR="002F3478">
        <w:rPr>
          <w:rFonts w:cs="Arial"/>
        </w:rPr>
        <w:t>2</w:t>
      </w:r>
      <w:r w:rsidR="00CB0B2A">
        <w:rPr>
          <w:rFonts w:cs="Arial"/>
        </w:rPr>
        <w:t>)</w:t>
      </w:r>
      <w:r w:rsidR="00934FA6" w:rsidRPr="00025399">
        <w:rPr>
          <w:rFonts w:cs="Arial"/>
        </w:rPr>
        <w:t>.</w:t>
      </w:r>
      <w:r w:rsidR="00AB1EC1" w:rsidRPr="00025399">
        <w:rPr>
          <w:rFonts w:cs="Arial"/>
        </w:rPr>
        <w:t xml:space="preserve"> </w:t>
      </w:r>
      <w:r w:rsidR="005633AD" w:rsidRPr="00025399">
        <w:rPr>
          <w:rFonts w:cs="Arial"/>
        </w:rPr>
        <w:t>The SCID is a we</w:t>
      </w:r>
      <w:r w:rsidR="00212627" w:rsidRPr="00025399">
        <w:rPr>
          <w:rFonts w:cs="Arial"/>
        </w:rPr>
        <w:t>l</w:t>
      </w:r>
      <w:r w:rsidR="005633AD" w:rsidRPr="00025399">
        <w:rPr>
          <w:rFonts w:cs="Arial"/>
        </w:rPr>
        <w:t xml:space="preserve">l-used tool for psychiatric assessments and has been used in previous studies in Bangladesh </w:t>
      </w:r>
      <w:r w:rsidR="00212627" w:rsidRPr="00025399">
        <w:rPr>
          <w:rFonts w:cs="Arial"/>
        </w:rPr>
        <w:t>(</w:t>
      </w:r>
      <w:r w:rsidR="00CB0B2A">
        <w:t xml:space="preserve">23; </w:t>
      </w:r>
      <w:r w:rsidR="00A31969" w:rsidRPr="00025399">
        <w:rPr>
          <w:rFonts w:cs="Arial"/>
        </w:rPr>
        <w:t>2</w:t>
      </w:r>
      <w:r w:rsidR="00CB0B2A">
        <w:rPr>
          <w:rFonts w:cs="Arial"/>
        </w:rPr>
        <w:t>4</w:t>
      </w:r>
      <w:r w:rsidR="00212627" w:rsidRPr="00025399">
        <w:rPr>
          <w:rFonts w:cs="Arial"/>
        </w:rPr>
        <w:t>)</w:t>
      </w:r>
      <w:r w:rsidR="005633AD" w:rsidRPr="00025399">
        <w:rPr>
          <w:rFonts w:cs="Arial"/>
        </w:rPr>
        <w:t xml:space="preserve">. In our study, the depression module of the research version of this tool was used. </w:t>
      </w:r>
      <w:r w:rsidR="00EF0596" w:rsidRPr="00EF0596">
        <w:rPr>
          <w:rFonts w:cs="Arial"/>
          <w:lang w:val="en-US"/>
        </w:rPr>
        <w:t>During the assessment, any patient identified as being severely depressed or having suicidal thoughts was re</w:t>
      </w:r>
      <w:r w:rsidR="00EF0596">
        <w:rPr>
          <w:rFonts w:cs="Arial"/>
          <w:lang w:val="en-US"/>
        </w:rPr>
        <w:t>ferred</w:t>
      </w:r>
      <w:r w:rsidR="00EF0596" w:rsidRPr="00EF0596">
        <w:rPr>
          <w:rFonts w:cs="Arial"/>
          <w:lang w:val="en-US"/>
        </w:rPr>
        <w:t xml:space="preserve"> to their hospital clinician</w:t>
      </w:r>
      <w:r w:rsidR="00EF0596">
        <w:rPr>
          <w:rFonts w:cs="Arial"/>
          <w:lang w:val="en-US"/>
        </w:rPr>
        <w:t>.</w:t>
      </w:r>
    </w:p>
    <w:p w14:paraId="5DBD982F" w14:textId="6342C711" w:rsidR="00EC38D0" w:rsidRPr="00025399" w:rsidRDefault="00E369AE" w:rsidP="00E369AE">
      <w:pPr>
        <w:rPr>
          <w:rFonts w:cs="Arial"/>
        </w:rPr>
      </w:pPr>
      <w:r w:rsidRPr="00DF66D5">
        <w:rPr>
          <w:rFonts w:cs="Arial"/>
          <w:highlight w:val="yellow"/>
        </w:rPr>
        <w:t>Qualitative individual interviews and reflective notes</w:t>
      </w:r>
      <w:r w:rsidRPr="00025399">
        <w:rPr>
          <w:rFonts w:cs="Arial"/>
        </w:rPr>
        <w:t xml:space="preserve"> were used following the initial analysis of the cross-sectional survey.</w:t>
      </w:r>
      <w:r w:rsidR="00EC38D0" w:rsidRPr="00025399">
        <w:rPr>
          <w:rFonts w:cs="Arial"/>
        </w:rPr>
        <w:t xml:space="preserve"> Topics explored in the interview guides were informed by the preliminary analysis of the questionnaire data and included: </w:t>
      </w:r>
      <w:r w:rsidR="00A31969" w:rsidRPr="00025399">
        <w:rPr>
          <w:rFonts w:cs="Arial"/>
        </w:rPr>
        <w:t xml:space="preserve">their experience of becoming ill, diagnosis and care; following diagnosis with </w:t>
      </w:r>
      <w:r w:rsidR="00161B7B">
        <w:rPr>
          <w:rFonts w:cs="Arial"/>
        </w:rPr>
        <w:t>MDR-TB</w:t>
      </w:r>
      <w:r w:rsidR="00A31969" w:rsidRPr="00025399">
        <w:rPr>
          <w:rFonts w:cs="Arial"/>
        </w:rPr>
        <w:t xml:space="preserve">, reactions and subsequent relationships with family members, friends and wider community, experiences of hospitalisation and treatment, </w:t>
      </w:r>
      <w:r w:rsidR="00295E9A" w:rsidRPr="00025399">
        <w:rPr>
          <w:rFonts w:cs="Arial"/>
        </w:rPr>
        <w:t>understanding and experiences of mental ill-health and recommendations for improving the support to patients. Interview guides for carers covered similar topic areas in relation to the patient they were attending and their perspectives of their mental health and care in the hospital. Cured patients were asked to reflect on their experiences throughout and after completion of treatment. Provider interviews focused on the current service provision, their perceptions of patient mental well-being and their confidence to support patients with mental ill-health.</w:t>
      </w:r>
    </w:p>
    <w:p w14:paraId="3093400F" w14:textId="29A133D2" w:rsidR="00E369AE" w:rsidRDefault="00212627" w:rsidP="00E369AE">
      <w:pPr>
        <w:rPr>
          <w:rFonts w:cs="Arial"/>
        </w:rPr>
      </w:pPr>
      <w:r w:rsidRPr="00025399">
        <w:rPr>
          <w:rFonts w:cs="Arial"/>
        </w:rPr>
        <w:t xml:space="preserve">Interviews were conducted by one senior female and one </w:t>
      </w:r>
      <w:r w:rsidR="00AC5603" w:rsidRPr="00025399">
        <w:rPr>
          <w:rFonts w:cs="Arial"/>
        </w:rPr>
        <w:t>early-career</w:t>
      </w:r>
      <w:r w:rsidRPr="00025399">
        <w:rPr>
          <w:rFonts w:cs="Arial"/>
        </w:rPr>
        <w:t xml:space="preserve"> female qualitative researcher</w:t>
      </w:r>
      <w:r w:rsidR="00EC38D0" w:rsidRPr="00025399">
        <w:rPr>
          <w:rFonts w:cs="Arial"/>
        </w:rPr>
        <w:t xml:space="preserve"> in Bengali, employed by the ARK Foundation</w:t>
      </w:r>
      <w:r w:rsidRPr="00025399">
        <w:rPr>
          <w:rFonts w:cs="Arial"/>
        </w:rPr>
        <w:t>.</w:t>
      </w:r>
      <w:r w:rsidR="00A31969" w:rsidRPr="00025399">
        <w:rPr>
          <w:rFonts w:cs="Arial"/>
        </w:rPr>
        <w:t xml:space="preserve"> Interviews were conducted in the ward or adjoining outside area, as preferred by the participant.</w:t>
      </w:r>
      <w:r w:rsidR="00295E9A" w:rsidRPr="00025399">
        <w:rPr>
          <w:rFonts w:cs="Arial"/>
        </w:rPr>
        <w:t xml:space="preserve"> </w:t>
      </w:r>
      <w:r w:rsidR="00EF0596">
        <w:rPr>
          <w:rFonts w:cs="Arial"/>
        </w:rPr>
        <w:t>Following identification by a health care provider, c</w:t>
      </w:r>
      <w:r w:rsidR="00295E9A" w:rsidRPr="00025399">
        <w:rPr>
          <w:rFonts w:cs="Arial"/>
        </w:rPr>
        <w:t xml:space="preserve">ured patients were </w:t>
      </w:r>
      <w:r w:rsidR="00295E9A" w:rsidRPr="00EF0596">
        <w:rPr>
          <w:rFonts w:cs="Arial"/>
        </w:rPr>
        <w:t xml:space="preserve">interviewed </w:t>
      </w:r>
      <w:r w:rsidR="00EF0596" w:rsidRPr="00EF0596">
        <w:rPr>
          <w:rFonts w:cs="Arial"/>
        </w:rPr>
        <w:t xml:space="preserve">over </w:t>
      </w:r>
      <w:r w:rsidR="00EF0596">
        <w:rPr>
          <w:rFonts w:cs="Arial"/>
        </w:rPr>
        <w:t>the phone. H</w:t>
      </w:r>
      <w:r w:rsidR="00295E9A" w:rsidRPr="00025399">
        <w:rPr>
          <w:rFonts w:cs="Arial"/>
        </w:rPr>
        <w:t>ealth care providers were interviewed in the</w:t>
      </w:r>
      <w:r w:rsidR="002A0417">
        <w:rPr>
          <w:rFonts w:cs="Arial"/>
        </w:rPr>
        <w:t>ir offices in the hospital or their private practices</w:t>
      </w:r>
      <w:r w:rsidR="00295E9A" w:rsidRPr="00025399">
        <w:rPr>
          <w:rFonts w:cs="Arial"/>
        </w:rPr>
        <w:t xml:space="preserve">. </w:t>
      </w:r>
      <w:r w:rsidRPr="00025399">
        <w:rPr>
          <w:rFonts w:cs="Arial"/>
        </w:rPr>
        <w:t>All interviews were audio-recorded and then as soon as possible, transcribed into English.  Both researchers spent considerable time at the hospital building rapport with patients, carers and staff. They recorded their observations and reflections on the physical, social and clinical environment. Thematic qualitative analysis</w:t>
      </w:r>
      <w:r w:rsidR="00546645">
        <w:rPr>
          <w:rFonts w:cs="Arial"/>
        </w:rPr>
        <w:t xml:space="preserve"> </w:t>
      </w:r>
      <w:r w:rsidR="00546645" w:rsidRPr="009E07F1">
        <w:rPr>
          <w:rFonts w:cs="Arial"/>
          <w:highlight w:val="yellow"/>
        </w:rPr>
        <w:t>(25)</w:t>
      </w:r>
      <w:r w:rsidRPr="00025399">
        <w:rPr>
          <w:rFonts w:cs="Arial"/>
        </w:rPr>
        <w:t xml:space="preserve"> was conducted using the transcripts and the reflective notes of the researchers. A</w:t>
      </w:r>
      <w:r w:rsidR="00722DD1" w:rsidRPr="00025399">
        <w:rPr>
          <w:rFonts w:cs="Arial"/>
        </w:rPr>
        <w:t>fter initial familiarisation with all the data</w:t>
      </w:r>
      <w:r w:rsidR="00743A10">
        <w:rPr>
          <w:rFonts w:cs="Arial"/>
        </w:rPr>
        <w:t>,</w:t>
      </w:r>
      <w:r w:rsidR="00722DD1" w:rsidRPr="00025399">
        <w:rPr>
          <w:rFonts w:cs="Arial"/>
        </w:rPr>
        <w:t xml:space="preserve"> a</w:t>
      </w:r>
      <w:r w:rsidRPr="00025399">
        <w:rPr>
          <w:rFonts w:cs="Arial"/>
        </w:rPr>
        <w:t xml:space="preserve"> </w:t>
      </w:r>
      <w:r w:rsidR="00722DD1" w:rsidRPr="00025399">
        <w:rPr>
          <w:rFonts w:cs="Arial"/>
        </w:rPr>
        <w:t xml:space="preserve">coding frame was developed jointly by FF and </w:t>
      </w:r>
      <w:r w:rsidRPr="00025399">
        <w:rPr>
          <w:rFonts w:cs="Arial"/>
        </w:rPr>
        <w:t>senior researcher (HE)</w:t>
      </w:r>
      <w:r w:rsidR="00722DD1" w:rsidRPr="00025399">
        <w:rPr>
          <w:rFonts w:cs="Arial"/>
        </w:rPr>
        <w:t>. FF coded all transcripts and reflective notes</w:t>
      </w:r>
      <w:r w:rsidR="00295E9A" w:rsidRPr="00025399">
        <w:rPr>
          <w:rFonts w:cs="Arial"/>
        </w:rPr>
        <w:t>.</w:t>
      </w:r>
      <w:r w:rsidR="00722DD1" w:rsidRPr="00025399">
        <w:rPr>
          <w:rFonts w:cs="Arial"/>
        </w:rPr>
        <w:t xml:space="preserve"> HE double-coded 5 transcripts to compare the use of codes and to further refine the coding framework.</w:t>
      </w:r>
    </w:p>
    <w:p w14:paraId="47857FCB" w14:textId="34EBD87C" w:rsidR="00AC5603" w:rsidRPr="00025399" w:rsidRDefault="005E511F">
      <w:pPr>
        <w:rPr>
          <w:rFonts w:cs="Arial"/>
        </w:rPr>
      </w:pPr>
      <w:r>
        <w:rPr>
          <w:rFonts w:cs="Arial"/>
        </w:rPr>
        <w:t xml:space="preserve">Statistical analysis: </w:t>
      </w:r>
      <w:r w:rsidR="00326D85">
        <w:rPr>
          <w:rFonts w:cs="Arial"/>
        </w:rPr>
        <w:t xml:space="preserve">We calculated appropriate descriptive statistics for the socio-demographic and key health related variables to describe our samples key relevant characteristics. </w:t>
      </w:r>
      <w:r w:rsidR="00F001FF">
        <w:rPr>
          <w:rFonts w:cs="Arial"/>
        </w:rPr>
        <w:t>As per the SCID diagnoses w</w:t>
      </w:r>
      <w:r w:rsidR="00326D85">
        <w:rPr>
          <w:rFonts w:cs="Arial"/>
        </w:rPr>
        <w:t xml:space="preserve">e </w:t>
      </w:r>
      <w:r w:rsidR="0089461E">
        <w:rPr>
          <w:rFonts w:cs="Arial"/>
        </w:rPr>
        <w:t xml:space="preserve">estimated the prevalence of any level of depression and </w:t>
      </w:r>
      <w:r w:rsidR="00F001FF">
        <w:rPr>
          <w:rFonts w:cs="Arial"/>
        </w:rPr>
        <w:t>the prevalence of mild, moderate and severe depression separately, along with the 95% confidence intervals</w:t>
      </w:r>
      <w:r w:rsidR="00B3137B">
        <w:rPr>
          <w:rFonts w:cs="Arial"/>
        </w:rPr>
        <w:t xml:space="preserve"> (CI)</w:t>
      </w:r>
      <w:r w:rsidR="00F001FF">
        <w:rPr>
          <w:rFonts w:cs="Arial"/>
        </w:rPr>
        <w:t xml:space="preserve"> </w:t>
      </w:r>
      <w:r w:rsidR="00D75277">
        <w:rPr>
          <w:rFonts w:cs="Arial"/>
        </w:rPr>
        <w:t>for each prevalence estimate calculated</w:t>
      </w:r>
      <w:r w:rsidR="00F001FF">
        <w:rPr>
          <w:rFonts w:cs="Arial"/>
        </w:rPr>
        <w:t xml:space="preserve"> </w:t>
      </w:r>
      <w:r w:rsidR="002D35E3">
        <w:rPr>
          <w:rFonts w:cs="Arial"/>
        </w:rPr>
        <w:t>via the Wilson score method</w:t>
      </w:r>
      <w:r w:rsidR="00CB0B2A">
        <w:rPr>
          <w:rFonts w:cs="Arial"/>
        </w:rPr>
        <w:t xml:space="preserve"> (2</w:t>
      </w:r>
      <w:r w:rsidR="00546645">
        <w:rPr>
          <w:rFonts w:cs="Arial"/>
        </w:rPr>
        <w:t>6</w:t>
      </w:r>
      <w:r w:rsidR="00CB0B2A">
        <w:rPr>
          <w:rFonts w:cs="Arial"/>
        </w:rPr>
        <w:t>)</w:t>
      </w:r>
      <w:r w:rsidR="002D35E3">
        <w:rPr>
          <w:rFonts w:cs="Arial"/>
        </w:rPr>
        <w:t>.</w:t>
      </w:r>
      <w:r w:rsidR="00C33FF2">
        <w:rPr>
          <w:rFonts w:cs="Arial"/>
        </w:rPr>
        <w:t xml:space="preserve"> We then used a logistic regression model to estimate the associations between a range of potentially important independent variables </w:t>
      </w:r>
      <w:r w:rsidR="00F57D88">
        <w:rPr>
          <w:rFonts w:cs="Arial"/>
        </w:rPr>
        <w:t>and the binary outcome of depressed/not depressed as per each patients’ SCID diagnosis.</w:t>
      </w:r>
      <w:r w:rsidR="00EE30E2">
        <w:rPr>
          <w:rFonts w:cs="Arial"/>
        </w:rPr>
        <w:t xml:space="preserve"> We selected the </w:t>
      </w:r>
      <w:r w:rsidR="00DE118F">
        <w:rPr>
          <w:rFonts w:cs="Arial"/>
        </w:rPr>
        <w:t xml:space="preserve">independent </w:t>
      </w:r>
      <w:r w:rsidR="00EE30E2">
        <w:rPr>
          <w:rFonts w:cs="Arial"/>
        </w:rPr>
        <w:t xml:space="preserve">variables </w:t>
      </w:r>
      <w:r w:rsidR="00D95FE1">
        <w:rPr>
          <w:rFonts w:cs="Arial"/>
        </w:rPr>
        <w:t>in</w:t>
      </w:r>
      <w:r w:rsidR="00D75277">
        <w:rPr>
          <w:rFonts w:cs="Arial"/>
        </w:rPr>
        <w:t>cluded in</w:t>
      </w:r>
      <w:r w:rsidR="00D95FE1">
        <w:rPr>
          <w:rFonts w:cs="Arial"/>
        </w:rPr>
        <w:t xml:space="preserve"> the model </w:t>
      </w:r>
      <w:r w:rsidR="00EE30E2">
        <w:rPr>
          <w:rFonts w:cs="Arial"/>
        </w:rPr>
        <w:t xml:space="preserve">based on those </w:t>
      </w:r>
      <w:r w:rsidR="00D75277">
        <w:rPr>
          <w:rFonts w:cs="Arial"/>
        </w:rPr>
        <w:t xml:space="preserve">variables </w:t>
      </w:r>
      <w:r w:rsidR="00EE30E2">
        <w:rPr>
          <w:rFonts w:cs="Arial"/>
        </w:rPr>
        <w:t xml:space="preserve">that were identified as likely to be important in causing and/or influencing depression in </w:t>
      </w:r>
      <w:r w:rsidR="00DE118F">
        <w:rPr>
          <w:rFonts w:cs="Arial"/>
        </w:rPr>
        <w:t xml:space="preserve">MDR-TB patients from the literature, and we </w:t>
      </w:r>
      <w:r w:rsidR="00D95FE1">
        <w:rPr>
          <w:rFonts w:cs="Arial"/>
        </w:rPr>
        <w:t>did not do any further model selection</w:t>
      </w:r>
      <w:r w:rsidR="00DE118F">
        <w:rPr>
          <w:rFonts w:cs="Arial"/>
        </w:rPr>
        <w:t>.</w:t>
      </w:r>
      <w:r w:rsidR="002E77AE">
        <w:rPr>
          <w:rFonts w:cs="Arial"/>
        </w:rPr>
        <w:t xml:space="preserve"> We calculated </w:t>
      </w:r>
      <w:r w:rsidR="00A70D15">
        <w:rPr>
          <w:rFonts w:cs="Arial"/>
        </w:rPr>
        <w:t>adjusted</w:t>
      </w:r>
      <w:r w:rsidR="002E77AE">
        <w:rPr>
          <w:rFonts w:cs="Arial"/>
        </w:rPr>
        <w:t xml:space="preserve"> odds ratios </w:t>
      </w:r>
      <w:r w:rsidR="00B3137B">
        <w:rPr>
          <w:rFonts w:cs="Arial"/>
        </w:rPr>
        <w:t xml:space="preserve">(AOR) </w:t>
      </w:r>
      <w:r w:rsidR="00F938F4">
        <w:rPr>
          <w:rFonts w:cs="Arial"/>
        </w:rPr>
        <w:t>from ou</w:t>
      </w:r>
      <w:r w:rsidR="00D75277">
        <w:rPr>
          <w:rFonts w:cs="Arial"/>
        </w:rPr>
        <w:t>r</w:t>
      </w:r>
      <w:r w:rsidR="00F938F4">
        <w:rPr>
          <w:rFonts w:cs="Arial"/>
        </w:rPr>
        <w:t xml:space="preserve"> logistic regression </w:t>
      </w:r>
      <w:r w:rsidR="00D75277">
        <w:rPr>
          <w:rFonts w:cs="Arial"/>
        </w:rPr>
        <w:t xml:space="preserve">model </w:t>
      </w:r>
      <w:r w:rsidR="00F938F4">
        <w:rPr>
          <w:rFonts w:cs="Arial"/>
        </w:rPr>
        <w:t>coefficient</w:t>
      </w:r>
      <w:r w:rsidR="00D75277">
        <w:rPr>
          <w:rFonts w:cs="Arial"/>
        </w:rPr>
        <w:t>s</w:t>
      </w:r>
      <w:r w:rsidR="00F938F4">
        <w:rPr>
          <w:rFonts w:cs="Arial"/>
        </w:rPr>
        <w:t xml:space="preserve"> along with </w:t>
      </w:r>
      <w:r w:rsidR="00A70D15">
        <w:rPr>
          <w:rFonts w:cs="Arial"/>
        </w:rPr>
        <w:t xml:space="preserve">their 95% </w:t>
      </w:r>
      <w:r w:rsidR="00D75277">
        <w:rPr>
          <w:rFonts w:cs="Arial"/>
        </w:rPr>
        <w:t xml:space="preserve">(Wald-based) </w:t>
      </w:r>
      <w:r w:rsidR="00A70D15">
        <w:rPr>
          <w:rFonts w:cs="Arial"/>
        </w:rPr>
        <w:t>confidence intervals</w:t>
      </w:r>
      <w:r w:rsidR="002D0692">
        <w:rPr>
          <w:rFonts w:cs="Arial"/>
        </w:rPr>
        <w:t>.</w:t>
      </w:r>
      <w:r w:rsidR="00A70D15">
        <w:rPr>
          <w:rFonts w:cs="Arial"/>
        </w:rPr>
        <w:t xml:space="preserve"> </w:t>
      </w:r>
      <w:r w:rsidR="002D0692">
        <w:rPr>
          <w:rFonts w:cs="Arial"/>
        </w:rPr>
        <w:t xml:space="preserve">We excluded any patients </w:t>
      </w:r>
      <w:r w:rsidR="0016323D">
        <w:rPr>
          <w:rFonts w:cs="Arial"/>
        </w:rPr>
        <w:t xml:space="preserve">from the model who had </w:t>
      </w:r>
      <w:r w:rsidR="002D0692">
        <w:rPr>
          <w:rFonts w:cs="Arial"/>
        </w:rPr>
        <w:t>any missing outcome or independent variable data</w:t>
      </w:r>
      <w:r w:rsidR="00A70D15">
        <w:rPr>
          <w:rFonts w:cs="Arial"/>
        </w:rPr>
        <w:t>.</w:t>
      </w:r>
      <w:r w:rsidR="00D27081">
        <w:rPr>
          <w:rFonts w:cs="Arial"/>
        </w:rPr>
        <w:t xml:space="preserve"> We </w:t>
      </w:r>
      <w:r w:rsidR="00D75277">
        <w:rPr>
          <w:rFonts w:cs="Arial"/>
        </w:rPr>
        <w:t xml:space="preserve">verified that </w:t>
      </w:r>
      <w:r w:rsidR="00D90A33">
        <w:rPr>
          <w:rFonts w:cs="Arial"/>
        </w:rPr>
        <w:t xml:space="preserve">none of the </w:t>
      </w:r>
      <w:r w:rsidR="00D27081">
        <w:rPr>
          <w:rFonts w:cs="Arial"/>
        </w:rPr>
        <w:t xml:space="preserve">logistic regression model assumptions were </w:t>
      </w:r>
      <w:r w:rsidR="004F6273">
        <w:rPr>
          <w:rFonts w:cs="Arial"/>
        </w:rPr>
        <w:t xml:space="preserve">violated </w:t>
      </w:r>
      <w:r w:rsidR="00C57140">
        <w:rPr>
          <w:rFonts w:cs="Arial"/>
        </w:rPr>
        <w:t>using</w:t>
      </w:r>
      <w:r w:rsidR="004F6273">
        <w:rPr>
          <w:rFonts w:cs="Arial"/>
        </w:rPr>
        <w:t xml:space="preserve"> appropriate </w:t>
      </w:r>
      <w:r w:rsidR="00D90A33">
        <w:rPr>
          <w:rFonts w:cs="Arial"/>
        </w:rPr>
        <w:t xml:space="preserve">methods (e.g. </w:t>
      </w:r>
      <w:r w:rsidR="004F6273">
        <w:rPr>
          <w:rFonts w:cs="Arial"/>
        </w:rPr>
        <w:t>residual plots</w:t>
      </w:r>
      <w:r w:rsidR="00D90A33">
        <w:rPr>
          <w:rFonts w:cs="Arial"/>
        </w:rPr>
        <w:t>)</w:t>
      </w:r>
      <w:r w:rsidR="00CB0B2A">
        <w:rPr>
          <w:rFonts w:cs="Arial"/>
        </w:rPr>
        <w:t xml:space="preserve"> (2</w:t>
      </w:r>
      <w:r w:rsidR="00546645">
        <w:rPr>
          <w:rFonts w:cs="Arial"/>
        </w:rPr>
        <w:t>7</w:t>
      </w:r>
      <w:r w:rsidR="00CB0B2A">
        <w:rPr>
          <w:rFonts w:cs="Arial"/>
        </w:rPr>
        <w:t>)</w:t>
      </w:r>
      <w:r w:rsidR="00D27081">
        <w:rPr>
          <w:rFonts w:cs="Arial"/>
        </w:rPr>
        <w:t>.</w:t>
      </w:r>
      <w:r w:rsidR="004F6273" w:rsidRPr="00025399" w:rsidDel="004F6273">
        <w:rPr>
          <w:rFonts w:cs="Arial"/>
        </w:rPr>
        <w:t xml:space="preserve"> </w:t>
      </w:r>
      <w:r w:rsidR="00C57140">
        <w:rPr>
          <w:rFonts w:cs="Arial"/>
        </w:rPr>
        <w:t>We analysed all data using R statistical software</w:t>
      </w:r>
      <w:r w:rsidR="00BD5DD8">
        <w:rPr>
          <w:rFonts w:cs="Arial"/>
        </w:rPr>
        <w:t xml:space="preserve"> (version 3.5.1)</w:t>
      </w:r>
      <w:r w:rsidR="00CB0B2A">
        <w:rPr>
          <w:rFonts w:cs="Arial"/>
        </w:rPr>
        <w:t xml:space="preserve"> (2</w:t>
      </w:r>
      <w:r w:rsidR="00546645">
        <w:rPr>
          <w:rFonts w:cs="Arial"/>
        </w:rPr>
        <w:t>8</w:t>
      </w:r>
      <w:r w:rsidR="00CB0B2A">
        <w:rPr>
          <w:rFonts w:cs="Arial"/>
        </w:rPr>
        <w:t>)</w:t>
      </w:r>
      <w:r w:rsidR="00C57140">
        <w:rPr>
          <w:rFonts w:cs="Arial"/>
        </w:rPr>
        <w:t>.</w:t>
      </w:r>
    </w:p>
    <w:p w14:paraId="78B848F8" w14:textId="644917A8" w:rsidR="00212627" w:rsidRPr="00025399" w:rsidRDefault="00212627" w:rsidP="00E369AE">
      <w:pPr>
        <w:rPr>
          <w:rFonts w:eastAsiaTheme="minorEastAsia" w:cs="Arial"/>
          <w:lang w:eastAsia="zh-CN"/>
        </w:rPr>
      </w:pPr>
      <w:r w:rsidRPr="00025399">
        <w:rPr>
          <w:rFonts w:eastAsiaTheme="minorEastAsia" w:cs="Arial"/>
          <w:lang w:eastAsia="zh-CN"/>
        </w:rPr>
        <w:t xml:space="preserve">Ethics: </w:t>
      </w:r>
      <w:r w:rsidR="00B3137B">
        <w:rPr>
          <w:rFonts w:eastAsiaTheme="minorEastAsia" w:cs="Arial"/>
          <w:lang w:eastAsia="zh-CN"/>
        </w:rPr>
        <w:t>E</w:t>
      </w:r>
      <w:r w:rsidRPr="00025399">
        <w:rPr>
          <w:rFonts w:eastAsiaTheme="minorEastAsia" w:cs="Arial"/>
          <w:lang w:eastAsia="zh-CN"/>
        </w:rPr>
        <w:t>thics approval was given by School of Medicine Ethics Committee, University of Leeds (Ref no: MREC16-163) and the National Research Ethics Committee, Bangladesh Medical Research Council (Ref: BMRC/NREC/2016-2019/211). Informed consent was obtained from patients before the SCID assessment and from patients, carers, health professionals and policy makers before the qualitative interviews through reading out an information sheet, encouraging any questions to be asked and signing a consent sheet.</w:t>
      </w:r>
    </w:p>
    <w:p w14:paraId="06151288" w14:textId="37E3895A" w:rsidR="00E71B7B" w:rsidRPr="00025399" w:rsidRDefault="00E71B7B" w:rsidP="00E71B7B">
      <w:pPr>
        <w:autoSpaceDE w:val="0"/>
        <w:autoSpaceDN w:val="0"/>
        <w:adjustRightInd w:val="0"/>
        <w:spacing w:after="0" w:line="240" w:lineRule="auto"/>
        <w:rPr>
          <w:rFonts w:eastAsiaTheme="minorEastAsia" w:cs="Arial"/>
          <w:lang w:eastAsia="zh-CN"/>
        </w:rPr>
      </w:pPr>
      <w:r w:rsidRPr="00025399">
        <w:rPr>
          <w:rFonts w:eastAsiaTheme="minorEastAsia" w:cs="Arial"/>
          <w:lang w:eastAsia="zh-CN"/>
        </w:rPr>
        <w:t xml:space="preserve">Funding: </w:t>
      </w:r>
      <w:r w:rsidRPr="00025399">
        <w:rPr>
          <w:rFonts w:cs="Arial"/>
        </w:rPr>
        <w:t>This study was conducted as part of the research programme consortium C</w:t>
      </w:r>
      <w:r w:rsidR="00CB0B2A">
        <w:rPr>
          <w:rFonts w:cs="Arial"/>
        </w:rPr>
        <w:t>OMDIS</w:t>
      </w:r>
      <w:r w:rsidRPr="00025399">
        <w:rPr>
          <w:rFonts w:cs="Arial"/>
        </w:rPr>
        <w:t xml:space="preserve">-HSD, which </w:t>
      </w:r>
      <w:r w:rsidR="00CB0B2A">
        <w:rPr>
          <w:rFonts w:cs="Arial"/>
        </w:rPr>
        <w:t>was</w:t>
      </w:r>
      <w:r w:rsidRPr="00025399">
        <w:rPr>
          <w:rFonts w:cs="Arial"/>
        </w:rPr>
        <w:t xml:space="preserve"> funded by UK Aid from the UK government. The funders had no role in study design, data collection and analysis, decision to publish, or preparation o</w:t>
      </w:r>
      <w:r w:rsidR="00402B3E">
        <w:rPr>
          <w:rFonts w:cs="Arial"/>
        </w:rPr>
        <w:t>f</w:t>
      </w:r>
      <w:r w:rsidRPr="00025399">
        <w:rPr>
          <w:rFonts w:cs="Arial"/>
        </w:rPr>
        <w:t xml:space="preserve"> the manuscript.</w:t>
      </w:r>
    </w:p>
    <w:p w14:paraId="6B65FB7E" w14:textId="13880298" w:rsidR="00FC1379" w:rsidRPr="00025399" w:rsidRDefault="00FC1379">
      <w:pPr>
        <w:rPr>
          <w:rFonts w:cs="Arial"/>
        </w:rPr>
      </w:pPr>
    </w:p>
    <w:p w14:paraId="05936695" w14:textId="6C4405AE" w:rsidR="00671D9B" w:rsidRPr="00025399" w:rsidRDefault="00671D9B" w:rsidP="00671D9B">
      <w:pPr>
        <w:rPr>
          <w:rFonts w:cs="Arial"/>
          <w:b/>
        </w:rPr>
      </w:pPr>
      <w:r w:rsidRPr="00025399">
        <w:rPr>
          <w:rFonts w:cs="Arial"/>
          <w:b/>
        </w:rPr>
        <w:t>RESULTS</w:t>
      </w:r>
    </w:p>
    <w:p w14:paraId="2AB26B87" w14:textId="6BD4DD82" w:rsidR="006B2E93" w:rsidRDefault="00EF0596">
      <w:pPr>
        <w:rPr>
          <w:rFonts w:cs="Arial"/>
        </w:rPr>
      </w:pPr>
      <w:r>
        <w:t>We approached all 254 in-patients admitted between January and July 2018. Of these 254 in-patients, 66 did not meet our inclusion criteria as either under 18 years old (n=12), being discharged within a week (n=23), diagnosed with XDR TB (n=5) or too ill to be interviewed (n=26). Of the 188 eligible, 38 declined to be interviewed and 150 completed the initial demographic questionnaire. Of these 150, two patients left hospital (without being discharged) and were therefore not assessed by the psychiatrist using the SCID tool</w:t>
      </w:r>
      <w:r w:rsidR="00CB0B2A">
        <w:rPr>
          <w:rFonts w:cs="Arial"/>
        </w:rPr>
        <w:t xml:space="preserve"> (22)</w:t>
      </w:r>
      <w:r w:rsidR="00E71B7B" w:rsidRPr="00025399">
        <w:rPr>
          <w:rFonts w:cs="Arial"/>
        </w:rPr>
        <w:t xml:space="preserve">. </w:t>
      </w:r>
    </w:p>
    <w:p w14:paraId="6042B358" w14:textId="24D93C0E" w:rsidR="00A45A26" w:rsidRPr="00971858" w:rsidRDefault="00A45A26">
      <w:pPr>
        <w:rPr>
          <w:rFonts w:cs="Arial"/>
          <w:b/>
        </w:rPr>
      </w:pPr>
      <w:r>
        <w:rPr>
          <w:rFonts w:cs="Arial"/>
          <w:b/>
        </w:rPr>
        <w:t>Table 1: Participant characteristics – insert here.</w:t>
      </w:r>
    </w:p>
    <w:p w14:paraId="63481430" w14:textId="3FE8BAA9" w:rsidR="00A45A26" w:rsidRPr="00A45A26" w:rsidRDefault="00A45A26" w:rsidP="00A45A26">
      <w:pPr>
        <w:rPr>
          <w:rFonts w:cs="Arial"/>
          <w:b/>
        </w:rPr>
      </w:pPr>
      <w:r w:rsidRPr="00A45A26">
        <w:rPr>
          <w:rFonts w:cs="Arial"/>
          <w:b/>
        </w:rPr>
        <w:t xml:space="preserve">Table 2. Prevalence of depression by severity as measured by SCID </w:t>
      </w:r>
      <w:r>
        <w:rPr>
          <w:rFonts w:cs="Arial"/>
          <w:b/>
        </w:rPr>
        <w:t>– insert here.</w:t>
      </w:r>
    </w:p>
    <w:p w14:paraId="15E88218" w14:textId="77777777" w:rsidR="006B2E93" w:rsidRDefault="006B2E93">
      <w:pPr>
        <w:rPr>
          <w:rFonts w:cs="Arial"/>
        </w:rPr>
      </w:pPr>
    </w:p>
    <w:p w14:paraId="4ABEFAB1" w14:textId="77777777" w:rsidR="00B21556" w:rsidRPr="00025399" w:rsidRDefault="00B21556">
      <w:pPr>
        <w:rPr>
          <w:rFonts w:cs="Arial"/>
        </w:rPr>
      </w:pPr>
    </w:p>
    <w:p w14:paraId="2447744D" w14:textId="3D1C7FA3" w:rsidR="00DB4096" w:rsidRDefault="00D90A33">
      <w:pPr>
        <w:rPr>
          <w:rFonts w:cs="Arial"/>
        </w:rPr>
      </w:pPr>
      <w:r>
        <w:rPr>
          <w:rFonts w:cs="Arial"/>
        </w:rPr>
        <w:t>A total of</w:t>
      </w:r>
      <w:r w:rsidR="00DB4096" w:rsidRPr="00025399">
        <w:rPr>
          <w:rFonts w:cs="Arial"/>
        </w:rPr>
        <w:t xml:space="preserve"> 33.8% </w:t>
      </w:r>
      <w:r w:rsidR="00820781" w:rsidRPr="00025399">
        <w:rPr>
          <w:rFonts w:cs="Arial"/>
        </w:rPr>
        <w:t>(95% CI: 26.7%, 41.7%)</w:t>
      </w:r>
      <w:r w:rsidR="00683147">
        <w:rPr>
          <w:rFonts w:cs="Arial"/>
        </w:rPr>
        <w:t xml:space="preserve"> </w:t>
      </w:r>
      <w:r>
        <w:rPr>
          <w:rFonts w:cs="Arial"/>
        </w:rPr>
        <w:t xml:space="preserve">of patients </w:t>
      </w:r>
      <w:r w:rsidR="00DB4096" w:rsidRPr="00025399">
        <w:rPr>
          <w:rFonts w:cs="Arial"/>
        </w:rPr>
        <w:t xml:space="preserve">were </w:t>
      </w:r>
      <w:r>
        <w:rPr>
          <w:rFonts w:cs="Arial"/>
        </w:rPr>
        <w:t>diagnosed as depressed (with either a mild, moderate or severe level of depression) via the SCID tool</w:t>
      </w:r>
      <w:r w:rsidR="002036C2" w:rsidRPr="00025399">
        <w:rPr>
          <w:rFonts w:cs="Arial"/>
        </w:rPr>
        <w:t xml:space="preserve">, with </w:t>
      </w:r>
      <w:r w:rsidR="009B2775">
        <w:rPr>
          <w:rFonts w:cs="Arial"/>
        </w:rPr>
        <w:t xml:space="preserve">most patients diagnosed with either </w:t>
      </w:r>
      <w:r w:rsidR="002036C2" w:rsidRPr="00025399">
        <w:rPr>
          <w:rFonts w:cs="Arial"/>
        </w:rPr>
        <w:t xml:space="preserve">mild </w:t>
      </w:r>
      <w:r w:rsidR="009B2775">
        <w:rPr>
          <w:rFonts w:cs="Arial"/>
        </w:rPr>
        <w:t xml:space="preserve">or moderate </w:t>
      </w:r>
      <w:r w:rsidR="002036C2" w:rsidRPr="00025399">
        <w:rPr>
          <w:rFonts w:cs="Arial"/>
        </w:rPr>
        <w:t>depression</w:t>
      </w:r>
      <w:r>
        <w:rPr>
          <w:rFonts w:cs="Arial"/>
        </w:rPr>
        <w:t xml:space="preserve"> (</w:t>
      </w:r>
      <w:r w:rsidR="009B2775">
        <w:rPr>
          <w:rFonts w:cs="Arial"/>
        </w:rPr>
        <w:t>Table 2</w:t>
      </w:r>
      <w:r>
        <w:rPr>
          <w:rFonts w:cs="Arial"/>
        </w:rPr>
        <w:t>)</w:t>
      </w:r>
      <w:r w:rsidR="00DB4096" w:rsidRPr="00025399">
        <w:rPr>
          <w:rFonts w:cs="Arial"/>
        </w:rPr>
        <w:t>.</w:t>
      </w:r>
      <w:r w:rsidR="002036C2" w:rsidRPr="00025399">
        <w:rPr>
          <w:rFonts w:cs="Arial"/>
        </w:rPr>
        <w:t xml:space="preserve"> </w:t>
      </w:r>
      <w:r w:rsidR="009B2775">
        <w:rPr>
          <w:rFonts w:cs="Arial"/>
        </w:rPr>
        <w:t xml:space="preserve">Our </w:t>
      </w:r>
      <w:r w:rsidR="002036C2" w:rsidRPr="00025399">
        <w:rPr>
          <w:rFonts w:cs="Arial"/>
        </w:rPr>
        <w:t xml:space="preserve">logistic regression </w:t>
      </w:r>
      <w:r w:rsidR="009B2775">
        <w:rPr>
          <w:rFonts w:cs="Arial"/>
        </w:rPr>
        <w:t xml:space="preserve">model only identified </w:t>
      </w:r>
      <w:r w:rsidR="002036C2" w:rsidRPr="00025399">
        <w:rPr>
          <w:rFonts w:cs="Arial"/>
        </w:rPr>
        <w:t xml:space="preserve">two variables </w:t>
      </w:r>
      <w:r w:rsidR="009B2775">
        <w:rPr>
          <w:rFonts w:cs="Arial"/>
        </w:rPr>
        <w:t xml:space="preserve">that were statistically </w:t>
      </w:r>
      <w:r w:rsidR="002036C2" w:rsidRPr="00025399">
        <w:rPr>
          <w:rFonts w:cs="Arial"/>
        </w:rPr>
        <w:t xml:space="preserve">significantly associated with depression in our sample: </w:t>
      </w:r>
      <w:r w:rsidR="009B2775">
        <w:rPr>
          <w:rFonts w:cs="Arial"/>
        </w:rPr>
        <w:t xml:space="preserve">patients with </w:t>
      </w:r>
      <w:r w:rsidR="002036C2" w:rsidRPr="00025399">
        <w:rPr>
          <w:rFonts w:cs="Arial"/>
        </w:rPr>
        <w:t xml:space="preserve">one or more co-morbidities </w:t>
      </w:r>
      <w:r w:rsidR="009B2775">
        <w:rPr>
          <w:rFonts w:cs="Arial"/>
        </w:rPr>
        <w:t xml:space="preserve">had </w:t>
      </w:r>
      <w:r w:rsidR="007D63C0" w:rsidRPr="00025399">
        <w:rPr>
          <w:rFonts w:cs="Arial"/>
        </w:rPr>
        <w:t xml:space="preserve">2.88 </w:t>
      </w:r>
      <w:r w:rsidR="009B2775" w:rsidRPr="00025399">
        <w:rPr>
          <w:rFonts w:cs="Arial"/>
        </w:rPr>
        <w:t xml:space="preserve">(95% CI: 1.13, 7.33) </w:t>
      </w:r>
      <w:r w:rsidR="009B2775">
        <w:rPr>
          <w:rFonts w:cs="Arial"/>
        </w:rPr>
        <w:t xml:space="preserve">times the odds of being diagnosed with depression compared to patients with no co-morbidities </w:t>
      </w:r>
      <w:r w:rsidR="002036C2" w:rsidRPr="00025399">
        <w:rPr>
          <w:rFonts w:cs="Arial"/>
        </w:rPr>
        <w:t xml:space="preserve">and </w:t>
      </w:r>
      <w:r w:rsidR="009B2775">
        <w:rPr>
          <w:rFonts w:cs="Arial"/>
        </w:rPr>
        <w:t xml:space="preserve">patients who were </w:t>
      </w:r>
      <w:r w:rsidR="002036C2" w:rsidRPr="00025399">
        <w:rPr>
          <w:rFonts w:cs="Arial"/>
        </w:rPr>
        <w:t xml:space="preserve">new </w:t>
      </w:r>
      <w:r w:rsidR="009B2775">
        <w:rPr>
          <w:rFonts w:cs="Arial"/>
        </w:rPr>
        <w:t xml:space="preserve">MDR-TB cases had </w:t>
      </w:r>
      <w:r w:rsidR="007D63C0" w:rsidRPr="00025399">
        <w:rPr>
          <w:rFonts w:cs="Arial"/>
        </w:rPr>
        <w:t>2.33 (</w:t>
      </w:r>
      <w:r w:rsidR="00820781" w:rsidRPr="00025399">
        <w:rPr>
          <w:rFonts w:cs="Arial"/>
        </w:rPr>
        <w:t xml:space="preserve">95% CI: </w:t>
      </w:r>
      <w:r w:rsidR="007D63C0" w:rsidRPr="00025399">
        <w:rPr>
          <w:rFonts w:cs="Arial"/>
        </w:rPr>
        <w:t>1.06, 5.14)</w:t>
      </w:r>
      <w:r w:rsidR="009B2775">
        <w:rPr>
          <w:rFonts w:cs="Arial"/>
        </w:rPr>
        <w:t xml:space="preserve"> times the odds of being diagnosed with depression compared to </w:t>
      </w:r>
      <w:r w:rsidR="00335C0E">
        <w:rPr>
          <w:rFonts w:cs="Arial"/>
        </w:rPr>
        <w:t>previously treated</w:t>
      </w:r>
      <w:r w:rsidR="009B2775">
        <w:rPr>
          <w:rFonts w:cs="Arial"/>
        </w:rPr>
        <w:t xml:space="preserve"> MDR-TB cases</w:t>
      </w:r>
      <w:r w:rsidR="002036C2" w:rsidRPr="00025399">
        <w:rPr>
          <w:rFonts w:cs="Arial"/>
        </w:rPr>
        <w:t xml:space="preserve">. </w:t>
      </w:r>
    </w:p>
    <w:p w14:paraId="570626A0" w14:textId="6764D1E6" w:rsidR="00101031" w:rsidRPr="00025399" w:rsidRDefault="00A45A26">
      <w:pPr>
        <w:rPr>
          <w:rFonts w:cs="Arial"/>
        </w:rPr>
      </w:pPr>
      <w:r w:rsidRPr="00A45A26">
        <w:rPr>
          <w:rFonts w:cs="Arial"/>
          <w:b/>
        </w:rPr>
        <w:t>Table 3. Logistic regression exploring associations between socio-demographic and health related variables and a SCID-based diagnosis of depression.</w:t>
      </w:r>
      <w:r>
        <w:rPr>
          <w:rFonts w:cs="Arial"/>
          <w:b/>
        </w:rPr>
        <w:t xml:space="preserve"> – insert here.</w:t>
      </w:r>
    </w:p>
    <w:p w14:paraId="54632A53" w14:textId="4B8E1A6E" w:rsidR="00A45A26" w:rsidRPr="00A45A26" w:rsidRDefault="00A45A26" w:rsidP="00A45A26">
      <w:pPr>
        <w:rPr>
          <w:rFonts w:cs="Arial"/>
          <w:b/>
        </w:rPr>
      </w:pPr>
      <w:r w:rsidRPr="00A45A26">
        <w:rPr>
          <w:rFonts w:cs="Arial"/>
          <w:b/>
        </w:rPr>
        <w:t xml:space="preserve">Table 4: Qualitative </w:t>
      </w:r>
      <w:r>
        <w:rPr>
          <w:rFonts w:cs="Arial"/>
          <w:b/>
        </w:rPr>
        <w:t>i</w:t>
      </w:r>
      <w:r w:rsidRPr="00A45A26">
        <w:rPr>
          <w:rFonts w:cs="Arial"/>
          <w:b/>
        </w:rPr>
        <w:t xml:space="preserve">nterview </w:t>
      </w:r>
      <w:r>
        <w:rPr>
          <w:rFonts w:cs="Arial"/>
          <w:b/>
        </w:rPr>
        <w:t>p</w:t>
      </w:r>
      <w:r w:rsidRPr="00A45A26">
        <w:rPr>
          <w:rFonts w:cs="Arial"/>
          <w:b/>
        </w:rPr>
        <w:t xml:space="preserve">articipant </w:t>
      </w:r>
      <w:r>
        <w:rPr>
          <w:rFonts w:cs="Arial"/>
          <w:b/>
        </w:rPr>
        <w:t>c</w:t>
      </w:r>
      <w:r w:rsidRPr="00A45A26">
        <w:rPr>
          <w:rFonts w:cs="Arial"/>
          <w:b/>
        </w:rPr>
        <w:t xml:space="preserve">haracteristics </w:t>
      </w:r>
      <w:r>
        <w:rPr>
          <w:rFonts w:cs="Arial"/>
          <w:b/>
        </w:rPr>
        <w:t>– insert here.</w:t>
      </w:r>
    </w:p>
    <w:p w14:paraId="55AE6527" w14:textId="77777777" w:rsidR="00DB4096" w:rsidRPr="00025399" w:rsidRDefault="00DB4096" w:rsidP="00F30440">
      <w:pPr>
        <w:rPr>
          <w:rFonts w:cs="Arial"/>
        </w:rPr>
      </w:pPr>
    </w:p>
    <w:p w14:paraId="30A06C8D" w14:textId="2248D37C" w:rsidR="00C76966" w:rsidRPr="00025399" w:rsidRDefault="00286BC0">
      <w:pPr>
        <w:rPr>
          <w:rFonts w:cs="Arial"/>
        </w:rPr>
      </w:pPr>
      <w:r w:rsidRPr="00025399">
        <w:rPr>
          <w:rFonts w:cs="Arial"/>
        </w:rPr>
        <w:t xml:space="preserve">The qualitative </w:t>
      </w:r>
      <w:r w:rsidR="00CB1433" w:rsidRPr="00025399">
        <w:rPr>
          <w:rFonts w:cs="Arial"/>
        </w:rPr>
        <w:t xml:space="preserve">findings provide insights into the interlinking factors which are driving the challenges facing patients with </w:t>
      </w:r>
      <w:r w:rsidR="00161B7B">
        <w:rPr>
          <w:rFonts w:cs="Arial"/>
        </w:rPr>
        <w:t>MDR-TB</w:t>
      </w:r>
      <w:r w:rsidR="00831008" w:rsidRPr="00025399">
        <w:rPr>
          <w:rFonts w:cs="Arial"/>
        </w:rPr>
        <w:t xml:space="preserve"> including those presented above in the quantitative analysis, but also provide further depth in understanding poor mental health among patients</w:t>
      </w:r>
      <w:r w:rsidR="00CB1433" w:rsidRPr="00025399">
        <w:rPr>
          <w:rFonts w:cs="Arial"/>
        </w:rPr>
        <w:t xml:space="preserve">. The </w:t>
      </w:r>
      <w:r w:rsidR="00CB0B2A">
        <w:rPr>
          <w:rFonts w:cs="Arial"/>
        </w:rPr>
        <w:t>socio-ecological model (21)</w:t>
      </w:r>
      <w:r w:rsidR="00CB1433" w:rsidRPr="00025399">
        <w:rPr>
          <w:rFonts w:cs="Arial"/>
        </w:rPr>
        <w:t xml:space="preserve"> was used within the analysis to show how these factors operate at an individual, relational, societal, institutional and policy level.</w:t>
      </w:r>
      <w:r w:rsidR="00831008" w:rsidRPr="00025399">
        <w:rPr>
          <w:rFonts w:cs="Arial"/>
        </w:rPr>
        <w:t xml:space="preserve"> These headings are used to structure the qualitative findings below.</w:t>
      </w:r>
    </w:p>
    <w:p w14:paraId="0F4EAE5F" w14:textId="6593CF96" w:rsidR="00E457C5" w:rsidRPr="00906BA8" w:rsidRDefault="00E457C5">
      <w:pPr>
        <w:rPr>
          <w:rFonts w:cs="Arial"/>
          <w:b/>
          <w:bCs/>
          <w:i/>
        </w:rPr>
      </w:pPr>
      <w:r w:rsidRPr="00906BA8">
        <w:rPr>
          <w:rFonts w:cs="Arial"/>
          <w:b/>
          <w:bCs/>
          <w:i/>
        </w:rPr>
        <w:t xml:space="preserve">Individual level </w:t>
      </w:r>
    </w:p>
    <w:p w14:paraId="19DF7566" w14:textId="6A60C3ED" w:rsidR="00011145" w:rsidRPr="00025399" w:rsidRDefault="00011145">
      <w:pPr>
        <w:rPr>
          <w:rFonts w:cs="Arial"/>
          <w:i/>
        </w:rPr>
      </w:pPr>
      <w:r w:rsidRPr="00025399">
        <w:rPr>
          <w:rFonts w:cs="Arial"/>
          <w:i/>
        </w:rPr>
        <w:t>Dealing with side-effects</w:t>
      </w:r>
    </w:p>
    <w:p w14:paraId="3151A45B" w14:textId="1F3F4251" w:rsidR="00B12C97" w:rsidRPr="00025399" w:rsidRDefault="00B12C97" w:rsidP="00B12C97">
      <w:pPr>
        <w:rPr>
          <w:rFonts w:cs="Arial"/>
        </w:rPr>
      </w:pPr>
      <w:r w:rsidRPr="00025399">
        <w:rPr>
          <w:rFonts w:cs="Arial"/>
        </w:rPr>
        <w:t xml:space="preserve">The majority of </w:t>
      </w:r>
      <w:r w:rsidR="007236B7" w:rsidRPr="00025399">
        <w:rPr>
          <w:rFonts w:cs="Arial"/>
        </w:rPr>
        <w:t xml:space="preserve">the 8 </w:t>
      </w:r>
      <w:r w:rsidRPr="00025399">
        <w:rPr>
          <w:rFonts w:cs="Arial"/>
        </w:rPr>
        <w:t xml:space="preserve">patients </w:t>
      </w:r>
      <w:r w:rsidR="007236B7" w:rsidRPr="00025399">
        <w:rPr>
          <w:rFonts w:cs="Arial"/>
        </w:rPr>
        <w:t xml:space="preserve">interviewed </w:t>
      </w:r>
      <w:r w:rsidRPr="00025399">
        <w:rPr>
          <w:rFonts w:cs="Arial"/>
        </w:rPr>
        <w:t>described experiencing one or more of the known side effects of their medication including vomiting, headaches, blurred vision, aching joints, hearing loss and imbalance. The impact on mood was also clear:</w:t>
      </w:r>
    </w:p>
    <w:p w14:paraId="3C198819" w14:textId="6EEEC231" w:rsidR="00B12C97" w:rsidRPr="00025399" w:rsidRDefault="00B12C97" w:rsidP="00B12C97">
      <w:pPr>
        <w:rPr>
          <w:rFonts w:cs="Arial"/>
          <w:i/>
        </w:rPr>
      </w:pPr>
      <w:r w:rsidRPr="00025399">
        <w:rPr>
          <w:rFonts w:cs="Arial"/>
          <w:i/>
        </w:rPr>
        <w:t>“Like yesterday…  I was planning not to take the medicines. Why? Because, I cannot tolerate it anymore and my mentality has been in such distress that I wanted to skip the day’s treatment.” (TB</w:t>
      </w:r>
      <w:r w:rsidR="00AC7256">
        <w:rPr>
          <w:rFonts w:cs="Arial"/>
          <w:i/>
        </w:rPr>
        <w:t>P</w:t>
      </w:r>
      <w:r w:rsidRPr="00025399">
        <w:rPr>
          <w:rFonts w:cs="Arial"/>
          <w:i/>
        </w:rPr>
        <w:t>M04</w:t>
      </w:r>
      <w:r w:rsidR="007E531F">
        <w:rPr>
          <w:rFonts w:cs="Arial"/>
          <w:i/>
        </w:rPr>
        <w:t>,</w:t>
      </w:r>
      <w:r w:rsidRPr="00025399">
        <w:rPr>
          <w:rFonts w:cs="Arial"/>
          <w:i/>
        </w:rPr>
        <w:t xml:space="preserve"> </w:t>
      </w:r>
      <w:r w:rsidR="0050570F" w:rsidRPr="0050570F">
        <w:rPr>
          <w:rFonts w:cs="Arial"/>
          <w:i/>
        </w:rPr>
        <w:t>MDR-</w:t>
      </w:r>
      <w:r w:rsidRPr="00025399">
        <w:rPr>
          <w:rFonts w:cs="Arial"/>
          <w:i/>
        </w:rPr>
        <w:t>TB patient</w:t>
      </w:r>
      <w:r w:rsidR="0050570F">
        <w:rPr>
          <w:rFonts w:cs="Arial"/>
          <w:i/>
        </w:rPr>
        <w:t>, male</w:t>
      </w:r>
      <w:r w:rsidRPr="00025399">
        <w:rPr>
          <w:rFonts w:cs="Arial"/>
          <w:i/>
        </w:rPr>
        <w:t xml:space="preserve">) </w:t>
      </w:r>
    </w:p>
    <w:p w14:paraId="3A870E09" w14:textId="11097194" w:rsidR="00B12C97" w:rsidRPr="00025399" w:rsidRDefault="00B12C97" w:rsidP="00B12C97">
      <w:pPr>
        <w:rPr>
          <w:rFonts w:cs="Arial"/>
        </w:rPr>
      </w:pPr>
      <w:r w:rsidRPr="00025399">
        <w:rPr>
          <w:rFonts w:cs="Arial"/>
        </w:rPr>
        <w:t xml:space="preserve">Health professionals were very conscious of the impact of these side effects on patients’ mental well-being and how this could influence their commitment to </w:t>
      </w:r>
      <w:r w:rsidR="00CB36B5" w:rsidRPr="00025399">
        <w:rPr>
          <w:rFonts w:cs="Arial"/>
        </w:rPr>
        <w:t>continuing</w:t>
      </w:r>
      <w:r w:rsidRPr="00025399">
        <w:rPr>
          <w:rFonts w:cs="Arial"/>
        </w:rPr>
        <w:t xml:space="preserve"> treatment:</w:t>
      </w:r>
    </w:p>
    <w:p w14:paraId="6A3238C6" w14:textId="5BD8F107" w:rsidR="00B12C97" w:rsidRPr="00025399" w:rsidRDefault="00B12C97" w:rsidP="00B12C97">
      <w:pPr>
        <w:rPr>
          <w:rFonts w:cs="Arial"/>
          <w:i/>
        </w:rPr>
      </w:pPr>
      <w:r w:rsidRPr="00025399">
        <w:rPr>
          <w:rFonts w:cs="Arial"/>
          <w:i/>
        </w:rPr>
        <w:t xml:space="preserve">“When these situations (side effects) occur during the first three or four weeks of treatment the patients get quite depressed. They think, ‘I am taking so many medicines; but still my physical condition is worsening day by day’…. There are incidents of patients </w:t>
      </w:r>
      <w:r w:rsidR="00CB36B5">
        <w:rPr>
          <w:rFonts w:cs="Arial"/>
          <w:i/>
        </w:rPr>
        <w:t>who</w:t>
      </w:r>
      <w:r w:rsidRPr="00025399">
        <w:rPr>
          <w:rFonts w:cs="Arial"/>
          <w:i/>
        </w:rPr>
        <w:t xml:space="preserve"> abscond from the hospital. One of the major challenges </w:t>
      </w:r>
      <w:r w:rsidR="00CB36B5">
        <w:rPr>
          <w:rFonts w:cs="Arial"/>
          <w:i/>
        </w:rPr>
        <w:t xml:space="preserve">we face </w:t>
      </w:r>
      <w:r w:rsidRPr="00025399">
        <w:rPr>
          <w:rFonts w:cs="Arial"/>
          <w:i/>
        </w:rPr>
        <w:t>is when the patient stops taking treatment. Sometimes the patients think that the treatment will not work for him or her because of their depression. What happens is that the patient may receive the medicines everyday but not take them and throw them away somewhere. I think, this is one kind of expression of depression of the patient</w:t>
      </w:r>
      <w:r w:rsidR="001C0D73" w:rsidRPr="00025399">
        <w:rPr>
          <w:rFonts w:cs="Arial"/>
          <w:i/>
        </w:rPr>
        <w:t>.”</w:t>
      </w:r>
      <w:r w:rsidRPr="00025399">
        <w:rPr>
          <w:rFonts w:cs="Arial"/>
          <w:i/>
        </w:rPr>
        <w:t xml:space="preserve"> (</w:t>
      </w:r>
      <w:r w:rsidR="00766021" w:rsidRPr="00025399">
        <w:rPr>
          <w:rFonts w:cs="Arial"/>
          <w:i/>
        </w:rPr>
        <w:t>DR01</w:t>
      </w:r>
      <w:r w:rsidR="007E531F">
        <w:rPr>
          <w:rFonts w:cs="Arial"/>
          <w:i/>
        </w:rPr>
        <w:t>,</w:t>
      </w:r>
      <w:r w:rsidR="00766021">
        <w:rPr>
          <w:rFonts w:cs="Arial"/>
          <w:i/>
        </w:rPr>
        <w:t xml:space="preserve"> </w:t>
      </w:r>
      <w:r w:rsidRPr="00025399">
        <w:rPr>
          <w:rFonts w:cs="Arial"/>
          <w:i/>
        </w:rPr>
        <w:t xml:space="preserve">Hospital doctor, </w:t>
      </w:r>
      <w:r w:rsidR="0050570F">
        <w:rPr>
          <w:rFonts w:cs="Arial"/>
          <w:i/>
        </w:rPr>
        <w:t>m</w:t>
      </w:r>
      <w:r w:rsidRPr="00025399">
        <w:rPr>
          <w:rFonts w:cs="Arial"/>
          <w:i/>
        </w:rPr>
        <w:t>ale)</w:t>
      </w:r>
    </w:p>
    <w:p w14:paraId="3FD61A57" w14:textId="153A064A" w:rsidR="002C360F" w:rsidRPr="00025399" w:rsidRDefault="003D5F53">
      <w:pPr>
        <w:rPr>
          <w:rFonts w:cs="Arial"/>
          <w:i/>
        </w:rPr>
      </w:pPr>
      <w:r w:rsidRPr="00025399">
        <w:rPr>
          <w:rFonts w:cs="Arial"/>
          <w:i/>
        </w:rPr>
        <w:t xml:space="preserve">Continuing low mood after treatment completion </w:t>
      </w:r>
    </w:p>
    <w:p w14:paraId="415D3D90" w14:textId="3581866F" w:rsidR="002C360F" w:rsidRPr="00025399" w:rsidRDefault="002C360F">
      <w:pPr>
        <w:rPr>
          <w:rFonts w:cs="Arial"/>
        </w:rPr>
      </w:pPr>
      <w:r w:rsidRPr="00025399">
        <w:rPr>
          <w:rFonts w:cs="Arial"/>
        </w:rPr>
        <w:t xml:space="preserve">The feelings of </w:t>
      </w:r>
      <w:r w:rsidR="0066087B" w:rsidRPr="00025399">
        <w:rPr>
          <w:rFonts w:cs="Arial"/>
        </w:rPr>
        <w:t xml:space="preserve">low mood </w:t>
      </w:r>
      <w:r w:rsidRPr="00025399">
        <w:rPr>
          <w:rFonts w:cs="Arial"/>
        </w:rPr>
        <w:t>were identified by many, including the health providers, as a continual experience, not just linked to taking the medication. The interviews with cured patients highlighted how, for some, even after being successfully treated the feelings did not subside:</w:t>
      </w:r>
    </w:p>
    <w:p w14:paraId="1F43B8A5" w14:textId="2A04C692" w:rsidR="002C360F" w:rsidRPr="00025399" w:rsidRDefault="003D5F53" w:rsidP="002C360F">
      <w:pPr>
        <w:rPr>
          <w:rFonts w:cs="Arial"/>
          <w:i/>
        </w:rPr>
      </w:pPr>
      <w:r w:rsidRPr="00025399">
        <w:rPr>
          <w:rFonts w:cs="Arial"/>
          <w:i/>
        </w:rPr>
        <w:t>“The things that depressed me before are still depressing me now. Such as, I couldn’t finish my study, which is very sad for me. Secondly, this was not for a year or two, this was five years. For these five year of gap, I have lost many things in life. Compared to other girls, in life I am sacrificing a lot of things. These things still hurt me mentally. If I tell anyone, they will ask me to forget everything. It is easier to ask to forget, but difficult to do. That is why I don’t tell anyone. I just stay by myself. I am just waiting to see how long this depression</w:t>
      </w:r>
      <w:r w:rsidR="00DF66D5">
        <w:rPr>
          <w:rFonts w:cs="Arial"/>
          <w:i/>
        </w:rPr>
        <w:t xml:space="preserve"> will</w:t>
      </w:r>
      <w:r w:rsidRPr="00025399">
        <w:rPr>
          <w:rFonts w:cs="Arial"/>
          <w:i/>
        </w:rPr>
        <w:t xml:space="preserve"> last.”</w:t>
      </w:r>
      <w:r w:rsidR="002C360F" w:rsidRPr="00025399">
        <w:rPr>
          <w:rFonts w:cs="Arial"/>
          <w:i/>
        </w:rPr>
        <w:t xml:space="preserve"> (CPF0</w:t>
      </w:r>
      <w:r w:rsidR="00AC7256">
        <w:rPr>
          <w:rFonts w:cs="Arial"/>
          <w:i/>
        </w:rPr>
        <w:t>1</w:t>
      </w:r>
      <w:r w:rsidR="007E531F">
        <w:rPr>
          <w:rFonts w:cs="Arial"/>
          <w:i/>
        </w:rPr>
        <w:t xml:space="preserve">, </w:t>
      </w:r>
      <w:r w:rsidR="002C360F" w:rsidRPr="00025399">
        <w:rPr>
          <w:rFonts w:cs="Arial"/>
          <w:i/>
        </w:rPr>
        <w:t xml:space="preserve">Cured </w:t>
      </w:r>
      <w:r w:rsidR="0050570F" w:rsidRPr="0050570F">
        <w:rPr>
          <w:rFonts w:cs="Arial"/>
          <w:i/>
        </w:rPr>
        <w:t>MDR-</w:t>
      </w:r>
      <w:r w:rsidR="0050570F">
        <w:rPr>
          <w:rFonts w:cs="Arial"/>
          <w:i/>
        </w:rPr>
        <w:t xml:space="preserve">TB </w:t>
      </w:r>
      <w:r w:rsidR="002C360F" w:rsidRPr="00025399">
        <w:rPr>
          <w:rFonts w:cs="Arial"/>
          <w:i/>
        </w:rPr>
        <w:t>patient</w:t>
      </w:r>
      <w:r w:rsidR="0050570F">
        <w:rPr>
          <w:rFonts w:cs="Arial"/>
          <w:i/>
        </w:rPr>
        <w:t>,</w:t>
      </w:r>
      <w:r w:rsidR="002C360F" w:rsidRPr="00025399">
        <w:rPr>
          <w:rFonts w:cs="Arial"/>
          <w:i/>
        </w:rPr>
        <w:t xml:space="preserve"> female)</w:t>
      </w:r>
    </w:p>
    <w:p w14:paraId="07EE520E" w14:textId="07F9EC00" w:rsidR="00A43514" w:rsidRPr="00025399" w:rsidRDefault="00B2795B">
      <w:pPr>
        <w:rPr>
          <w:rFonts w:cs="Arial"/>
          <w:i/>
        </w:rPr>
      </w:pPr>
      <w:r w:rsidRPr="00025399">
        <w:rPr>
          <w:rFonts w:cs="Arial"/>
          <w:i/>
        </w:rPr>
        <w:t xml:space="preserve">Diagnosis and </w:t>
      </w:r>
      <w:r w:rsidR="00A43514" w:rsidRPr="00025399">
        <w:rPr>
          <w:rFonts w:cs="Arial"/>
          <w:i/>
        </w:rPr>
        <w:t>Dealing with multiple health problems</w:t>
      </w:r>
    </w:p>
    <w:p w14:paraId="4B8EB587" w14:textId="175FCE33" w:rsidR="00A43514" w:rsidRPr="00025399" w:rsidRDefault="00B2795B" w:rsidP="00A43514">
      <w:pPr>
        <w:rPr>
          <w:rFonts w:cs="Arial"/>
        </w:rPr>
      </w:pPr>
      <w:r w:rsidRPr="00025399">
        <w:rPr>
          <w:rFonts w:cs="Arial"/>
        </w:rPr>
        <w:t xml:space="preserve">Many patients described a complex route to </w:t>
      </w:r>
      <w:r w:rsidR="007236B7" w:rsidRPr="00025399">
        <w:rPr>
          <w:rFonts w:cs="Arial"/>
        </w:rPr>
        <w:t xml:space="preserve">TB </w:t>
      </w:r>
      <w:r w:rsidRPr="00025399">
        <w:rPr>
          <w:rFonts w:cs="Arial"/>
        </w:rPr>
        <w:t xml:space="preserve">diagnosis, seeking diagnosis in a range of private and public facilities. Many were unclear regarding their diagnosis and were not specific regarding other health conditions that they faced. However, what was clear was that </w:t>
      </w:r>
      <w:r w:rsidR="001C0D73" w:rsidRPr="00025399">
        <w:rPr>
          <w:rFonts w:cs="Arial"/>
        </w:rPr>
        <w:t>these multiple diagnoses</w:t>
      </w:r>
      <w:r w:rsidRPr="00025399">
        <w:rPr>
          <w:rFonts w:cs="Arial"/>
        </w:rPr>
        <w:t xml:space="preserve"> compounded the worry felt by patients.  This young</w:t>
      </w:r>
      <w:r w:rsidR="003D0CF4" w:rsidRPr="00025399">
        <w:rPr>
          <w:rFonts w:cs="Arial"/>
        </w:rPr>
        <w:t>,</w:t>
      </w:r>
      <w:r w:rsidRPr="00025399">
        <w:rPr>
          <w:rFonts w:cs="Arial"/>
        </w:rPr>
        <w:t xml:space="preserve"> married patient describes how she became ill following the birth of her child:</w:t>
      </w:r>
    </w:p>
    <w:p w14:paraId="6A88F388" w14:textId="39EE505C" w:rsidR="00A43514" w:rsidRPr="00025399" w:rsidRDefault="00A43514" w:rsidP="0099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cs="Arial"/>
          <w:i/>
        </w:rPr>
      </w:pPr>
      <w:r w:rsidRPr="00025399">
        <w:rPr>
          <w:rFonts w:cs="Arial"/>
          <w:i/>
        </w:rPr>
        <w:t>“I went to the TB-centr</w:t>
      </w:r>
      <w:r w:rsidR="003E5EA4" w:rsidRPr="00025399">
        <w:rPr>
          <w:rFonts w:cs="Arial"/>
          <w:i/>
        </w:rPr>
        <w:t>e</w:t>
      </w:r>
      <w:r w:rsidRPr="00025399">
        <w:rPr>
          <w:rFonts w:cs="Arial"/>
          <w:i/>
        </w:rPr>
        <w:t xml:space="preserve"> at </w:t>
      </w:r>
      <w:r w:rsidR="001C0D73" w:rsidRPr="00025399">
        <w:rPr>
          <w:rFonts w:cs="Arial"/>
          <w:i/>
        </w:rPr>
        <w:t xml:space="preserve">the </w:t>
      </w:r>
      <w:proofErr w:type="spellStart"/>
      <w:r w:rsidRPr="00025399">
        <w:rPr>
          <w:rFonts w:cs="Arial"/>
          <w:i/>
        </w:rPr>
        <w:t>Upazila</w:t>
      </w:r>
      <w:proofErr w:type="spellEnd"/>
      <w:r w:rsidR="001C0D73" w:rsidRPr="00025399">
        <w:rPr>
          <w:rFonts w:cs="Arial"/>
          <w:i/>
        </w:rPr>
        <w:t xml:space="preserve"> [sub-district health centre]</w:t>
      </w:r>
      <w:r w:rsidRPr="00025399">
        <w:rPr>
          <w:rFonts w:cs="Arial"/>
          <w:i/>
        </w:rPr>
        <w:t>. There, I under</w:t>
      </w:r>
      <w:r w:rsidR="00B2795B" w:rsidRPr="00025399">
        <w:rPr>
          <w:rFonts w:cs="Arial"/>
          <w:i/>
        </w:rPr>
        <w:t xml:space="preserve">went </w:t>
      </w:r>
      <w:r w:rsidRPr="00025399">
        <w:rPr>
          <w:rFonts w:cs="Arial"/>
          <w:i/>
        </w:rPr>
        <w:t>three diagnostic tests</w:t>
      </w:r>
      <w:r w:rsidR="0066087B" w:rsidRPr="00025399">
        <w:rPr>
          <w:rFonts w:cs="Arial"/>
          <w:i/>
        </w:rPr>
        <w:t>,</w:t>
      </w:r>
      <w:r w:rsidRPr="00025399">
        <w:rPr>
          <w:rFonts w:cs="Arial"/>
          <w:i/>
        </w:rPr>
        <w:t xml:space="preserve"> but my disease was not diagnosed. After that I went to see a doctor of</w:t>
      </w:r>
      <w:r w:rsidR="00B2795B" w:rsidRPr="00025399">
        <w:rPr>
          <w:rFonts w:cs="Arial"/>
          <w:i/>
        </w:rPr>
        <w:t xml:space="preserve"> [diabetes clinic] </w:t>
      </w:r>
      <w:r w:rsidRPr="00025399">
        <w:rPr>
          <w:rFonts w:cs="Arial"/>
          <w:i/>
        </w:rPr>
        <w:t>who also treats patient</w:t>
      </w:r>
      <w:r w:rsidR="00B2795B" w:rsidRPr="00025399">
        <w:rPr>
          <w:rFonts w:cs="Arial"/>
          <w:i/>
        </w:rPr>
        <w:t>s</w:t>
      </w:r>
      <w:r w:rsidRPr="00025399">
        <w:rPr>
          <w:rFonts w:cs="Arial"/>
          <w:i/>
        </w:rPr>
        <w:t xml:space="preserve"> here. There, I </w:t>
      </w:r>
      <w:r w:rsidR="00B2795B" w:rsidRPr="00025399">
        <w:rPr>
          <w:rFonts w:cs="Arial"/>
          <w:i/>
        </w:rPr>
        <w:t>had</w:t>
      </w:r>
      <w:r w:rsidRPr="00025399">
        <w:rPr>
          <w:rFonts w:cs="Arial"/>
          <w:i/>
        </w:rPr>
        <w:t xml:space="preserve"> diagnostic tests </w:t>
      </w:r>
      <w:r w:rsidR="00B2795B" w:rsidRPr="00025399">
        <w:rPr>
          <w:rFonts w:cs="Arial"/>
          <w:i/>
        </w:rPr>
        <w:t xml:space="preserve">for my </w:t>
      </w:r>
      <w:r w:rsidRPr="00025399">
        <w:rPr>
          <w:rFonts w:cs="Arial"/>
          <w:i/>
        </w:rPr>
        <w:t>whole body. The doctor said that I have liver problem, jaundice, anaemia &amp; some chest problems. Then, I was in doubt. I went to a private hospital &amp; did an x-ray. With that x-ray &amp; other diagnostic reports, I went to BRAC</w:t>
      </w:r>
      <w:r w:rsidR="00B2795B" w:rsidRPr="00025399">
        <w:rPr>
          <w:rFonts w:cs="Arial"/>
          <w:i/>
        </w:rPr>
        <w:t xml:space="preserve"> [and was </w:t>
      </w:r>
      <w:r w:rsidR="003E5EA4" w:rsidRPr="00025399">
        <w:rPr>
          <w:rFonts w:cs="Arial"/>
          <w:i/>
        </w:rPr>
        <w:t xml:space="preserve">referred to </w:t>
      </w:r>
      <w:r w:rsidR="00B2795B" w:rsidRPr="00025399">
        <w:rPr>
          <w:rFonts w:cs="Arial"/>
          <w:i/>
        </w:rPr>
        <w:t>th</w:t>
      </w:r>
      <w:r w:rsidR="003E5EA4" w:rsidRPr="00025399">
        <w:rPr>
          <w:rFonts w:cs="Arial"/>
          <w:i/>
        </w:rPr>
        <w:t>is</w:t>
      </w:r>
      <w:r w:rsidR="00B2795B" w:rsidRPr="00025399">
        <w:rPr>
          <w:rFonts w:cs="Arial"/>
          <w:i/>
        </w:rPr>
        <w:t xml:space="preserve"> hospital] </w:t>
      </w:r>
      <w:r w:rsidR="0099233B" w:rsidRPr="00025399">
        <w:rPr>
          <w:rFonts w:cs="Arial"/>
          <w:i/>
        </w:rPr>
        <w:t xml:space="preserve">… </w:t>
      </w:r>
      <w:r w:rsidRPr="00025399">
        <w:rPr>
          <w:rFonts w:cs="Arial"/>
          <w:i/>
        </w:rPr>
        <w:t>I am still taking the drug</w:t>
      </w:r>
      <w:r w:rsidR="0099233B" w:rsidRPr="00025399">
        <w:rPr>
          <w:rFonts w:cs="Arial"/>
          <w:i/>
        </w:rPr>
        <w:t xml:space="preserve">s and I </w:t>
      </w:r>
      <w:r w:rsidR="00DF66D5">
        <w:rPr>
          <w:rFonts w:cs="Arial"/>
          <w:i/>
        </w:rPr>
        <w:t>started to feel</w:t>
      </w:r>
      <w:r w:rsidR="0099233B" w:rsidRPr="00025399">
        <w:rPr>
          <w:rFonts w:cs="Arial"/>
          <w:i/>
        </w:rPr>
        <w:t xml:space="preserve"> </w:t>
      </w:r>
      <w:r w:rsidRPr="00025399">
        <w:rPr>
          <w:rFonts w:cs="Arial"/>
          <w:i/>
        </w:rPr>
        <w:t xml:space="preserve">ok.  But now, another problem </w:t>
      </w:r>
      <w:r w:rsidR="0099233B" w:rsidRPr="00025399">
        <w:rPr>
          <w:rFonts w:cs="Arial"/>
          <w:i/>
        </w:rPr>
        <w:t xml:space="preserve">has </w:t>
      </w:r>
      <w:r w:rsidRPr="00025399">
        <w:rPr>
          <w:rFonts w:cs="Arial"/>
          <w:i/>
        </w:rPr>
        <w:t xml:space="preserve">occurred, I have </w:t>
      </w:r>
      <w:r w:rsidR="0099233B" w:rsidRPr="00025399">
        <w:rPr>
          <w:rFonts w:cs="Arial"/>
          <w:i/>
        </w:rPr>
        <w:t xml:space="preserve">a </w:t>
      </w:r>
      <w:r w:rsidRPr="00025399">
        <w:rPr>
          <w:rFonts w:cs="Arial"/>
          <w:i/>
        </w:rPr>
        <w:t>breast-</w:t>
      </w:r>
      <w:r w:rsidR="003E5EA4" w:rsidRPr="00025399">
        <w:rPr>
          <w:rFonts w:cs="Arial"/>
          <w:i/>
        </w:rPr>
        <w:t>tumour</w:t>
      </w:r>
      <w:r w:rsidRPr="00025399">
        <w:rPr>
          <w:rFonts w:cs="Arial"/>
          <w:i/>
        </w:rPr>
        <w:t>. Now</w:t>
      </w:r>
      <w:r w:rsidR="0099233B" w:rsidRPr="00025399">
        <w:rPr>
          <w:rFonts w:cs="Arial"/>
          <w:i/>
        </w:rPr>
        <w:t xml:space="preserve"> a</w:t>
      </w:r>
      <w:r w:rsidRPr="00025399">
        <w:rPr>
          <w:rFonts w:cs="Arial"/>
          <w:i/>
        </w:rPr>
        <w:t xml:space="preserve"> specimen will be taken today for diagnosis</w:t>
      </w:r>
      <w:r w:rsidR="0099233B" w:rsidRPr="00025399">
        <w:rPr>
          <w:rFonts w:cs="Arial"/>
          <w:i/>
        </w:rPr>
        <w:t xml:space="preserve">. </w:t>
      </w:r>
      <w:r w:rsidRPr="00025399">
        <w:rPr>
          <w:rFonts w:cs="Arial"/>
          <w:i/>
        </w:rPr>
        <w:t xml:space="preserve"> Right now, my mind is (laughter) ok; but deep inside I am worried about today’s diagnostic test. I am already </w:t>
      </w:r>
      <w:r w:rsidR="0099233B" w:rsidRPr="00025399">
        <w:rPr>
          <w:rFonts w:cs="Arial"/>
          <w:i/>
        </w:rPr>
        <w:t>taking</w:t>
      </w:r>
      <w:r w:rsidRPr="00025399">
        <w:rPr>
          <w:rFonts w:cs="Arial"/>
          <w:i/>
        </w:rPr>
        <w:t xml:space="preserve"> one sort of medication right now; but </w:t>
      </w:r>
      <w:r w:rsidR="0099233B" w:rsidRPr="00025399">
        <w:rPr>
          <w:rFonts w:cs="Arial"/>
          <w:i/>
        </w:rPr>
        <w:t xml:space="preserve">now </w:t>
      </w:r>
      <w:r w:rsidRPr="00025399">
        <w:rPr>
          <w:rFonts w:cs="Arial"/>
          <w:i/>
        </w:rPr>
        <w:t>I am having another health problem. Who knows what will happen next? Thinking about it, I am stressed right now.</w:t>
      </w:r>
      <w:r w:rsidR="0099233B" w:rsidRPr="00025399">
        <w:rPr>
          <w:rFonts w:cs="Arial"/>
          <w:i/>
        </w:rPr>
        <w:t>” (TBF03</w:t>
      </w:r>
      <w:r w:rsidR="00AC7256">
        <w:rPr>
          <w:rFonts w:cs="Arial"/>
          <w:i/>
        </w:rPr>
        <w:t>,</w:t>
      </w:r>
      <w:r w:rsidR="00011145" w:rsidRPr="00025399">
        <w:rPr>
          <w:rFonts w:cs="Arial"/>
          <w:i/>
        </w:rPr>
        <w:t xml:space="preserve"> </w:t>
      </w:r>
      <w:r w:rsidR="0050570F" w:rsidRPr="0050570F">
        <w:rPr>
          <w:rFonts w:cs="Arial"/>
          <w:i/>
        </w:rPr>
        <w:t>MDR-</w:t>
      </w:r>
      <w:r w:rsidR="00011145" w:rsidRPr="00025399">
        <w:rPr>
          <w:rFonts w:cs="Arial"/>
          <w:i/>
        </w:rPr>
        <w:t>TB patient</w:t>
      </w:r>
      <w:r w:rsidR="0050570F">
        <w:rPr>
          <w:rFonts w:cs="Arial"/>
          <w:i/>
        </w:rPr>
        <w:t>, female</w:t>
      </w:r>
      <w:r w:rsidR="0099233B" w:rsidRPr="00025399">
        <w:rPr>
          <w:rFonts w:cs="Arial"/>
          <w:i/>
        </w:rPr>
        <w:t>)</w:t>
      </w:r>
    </w:p>
    <w:p w14:paraId="2C96E65C" w14:textId="77777777" w:rsidR="003D0CF4" w:rsidRPr="00025399" w:rsidRDefault="00B12C97" w:rsidP="00B12C97">
      <w:pPr>
        <w:rPr>
          <w:rFonts w:cs="Arial"/>
          <w:i/>
        </w:rPr>
      </w:pPr>
      <w:r w:rsidRPr="00025399">
        <w:rPr>
          <w:rFonts w:cs="Arial"/>
          <w:i/>
        </w:rPr>
        <w:t>Building personal resilience</w:t>
      </w:r>
    </w:p>
    <w:p w14:paraId="098B73B0" w14:textId="68956679" w:rsidR="00011145" w:rsidRPr="00025399" w:rsidRDefault="003D0CF4" w:rsidP="003D0CF4">
      <w:pPr>
        <w:rPr>
          <w:rFonts w:cs="Arial"/>
        </w:rPr>
      </w:pPr>
      <w:r w:rsidRPr="00025399">
        <w:rPr>
          <w:rFonts w:cs="Arial"/>
        </w:rPr>
        <w:t xml:space="preserve">The patient interviews highlighted the different ways patients found to take their mind off their condition through talking, singing, playing </w:t>
      </w:r>
      <w:r w:rsidR="001C0D73" w:rsidRPr="00025399">
        <w:rPr>
          <w:rFonts w:cs="Arial"/>
        </w:rPr>
        <w:t>board games,</w:t>
      </w:r>
      <w:r w:rsidRPr="00025399">
        <w:rPr>
          <w:rFonts w:cs="Arial"/>
        </w:rPr>
        <w:t xml:space="preserve"> and for those who had </w:t>
      </w:r>
      <w:r w:rsidR="004A675E" w:rsidRPr="00025399">
        <w:rPr>
          <w:rFonts w:cs="Arial"/>
        </w:rPr>
        <w:t xml:space="preserve">mobile </w:t>
      </w:r>
      <w:r w:rsidRPr="00025399">
        <w:rPr>
          <w:rFonts w:cs="Arial"/>
        </w:rPr>
        <w:t>phones, listening to music and looking at photos. Some</w:t>
      </w:r>
      <w:r w:rsidR="002C360F" w:rsidRPr="00025399">
        <w:rPr>
          <w:rFonts w:cs="Arial"/>
        </w:rPr>
        <w:t xml:space="preserve"> </w:t>
      </w:r>
      <w:r w:rsidR="004A675E" w:rsidRPr="00025399">
        <w:rPr>
          <w:rFonts w:cs="Arial"/>
        </w:rPr>
        <w:t>male participants</w:t>
      </w:r>
      <w:r w:rsidR="002C360F" w:rsidRPr="00025399">
        <w:rPr>
          <w:rFonts w:cs="Arial"/>
        </w:rPr>
        <w:t>, particularly those</w:t>
      </w:r>
      <w:r w:rsidR="004A675E" w:rsidRPr="00025399">
        <w:rPr>
          <w:rFonts w:cs="Arial"/>
        </w:rPr>
        <w:t xml:space="preserve"> with higher levels of education, also talked about writing diaries and songs: </w:t>
      </w:r>
    </w:p>
    <w:p w14:paraId="3C31BABE" w14:textId="25F98E89" w:rsidR="00A43514" w:rsidRPr="00025399" w:rsidRDefault="004A675E" w:rsidP="004A675E">
      <w:pPr>
        <w:rPr>
          <w:rFonts w:cs="Arial"/>
          <w:i/>
        </w:rPr>
      </w:pPr>
      <w:r w:rsidRPr="00025399">
        <w:rPr>
          <w:rFonts w:cs="Arial"/>
          <w:i/>
        </w:rPr>
        <w:t xml:space="preserve">“The truth is, whenever I feel tense, I sit down with my paper and pen. That’s the time I feel I want to write. I want to write in an effective way so that I can tell </w:t>
      </w:r>
      <w:proofErr w:type="gramStart"/>
      <w:r w:rsidRPr="00025399">
        <w:rPr>
          <w:rFonts w:cs="Arial"/>
          <w:i/>
        </w:rPr>
        <w:t>each and every</w:t>
      </w:r>
      <w:proofErr w:type="gramEnd"/>
      <w:r w:rsidRPr="00025399">
        <w:rPr>
          <w:rFonts w:cs="Arial"/>
          <w:i/>
        </w:rPr>
        <w:t xml:space="preserve"> person</w:t>
      </w:r>
      <w:r w:rsidR="00DF66D5">
        <w:rPr>
          <w:rFonts w:cs="Arial"/>
          <w:i/>
        </w:rPr>
        <w:t xml:space="preserve"> in</w:t>
      </w:r>
      <w:r w:rsidRPr="00025399">
        <w:rPr>
          <w:rFonts w:cs="Arial"/>
          <w:i/>
        </w:rPr>
        <w:t xml:space="preserve"> Bangladesh about this disease. Sir I want to write in such way so that I can express my feelings to well-known lawyers and doctors through my song or through my words. Then this disease can be beaten completely. Otherwise all the young people, my children will be destroyed.” (TBM03</w:t>
      </w:r>
      <w:r w:rsidR="007E531F">
        <w:rPr>
          <w:rFonts w:cs="Arial"/>
          <w:i/>
        </w:rPr>
        <w:t>,</w:t>
      </w:r>
      <w:r w:rsidRPr="00025399">
        <w:rPr>
          <w:rFonts w:cs="Arial"/>
          <w:i/>
        </w:rPr>
        <w:t xml:space="preserve"> </w:t>
      </w:r>
      <w:r w:rsidR="0050570F">
        <w:rPr>
          <w:rFonts w:cs="Arial"/>
          <w:i/>
        </w:rPr>
        <w:t>MDR-</w:t>
      </w:r>
      <w:r w:rsidRPr="00025399">
        <w:rPr>
          <w:rFonts w:cs="Arial"/>
          <w:i/>
        </w:rPr>
        <w:t xml:space="preserve">TB </w:t>
      </w:r>
      <w:r w:rsidR="0050570F">
        <w:rPr>
          <w:rFonts w:cs="Arial"/>
          <w:i/>
        </w:rPr>
        <w:t>p</w:t>
      </w:r>
      <w:r w:rsidRPr="00025399">
        <w:rPr>
          <w:rFonts w:cs="Arial"/>
          <w:i/>
        </w:rPr>
        <w:t>atien</w:t>
      </w:r>
      <w:r w:rsidR="0050570F">
        <w:rPr>
          <w:rFonts w:cs="Arial"/>
          <w:i/>
        </w:rPr>
        <w:t>t, male</w:t>
      </w:r>
      <w:r w:rsidRPr="00025399">
        <w:rPr>
          <w:rFonts w:cs="Arial"/>
          <w:i/>
        </w:rPr>
        <w:t>)</w:t>
      </w:r>
    </w:p>
    <w:p w14:paraId="39FE8480" w14:textId="1BF738D5" w:rsidR="00E126F1" w:rsidRPr="00025399" w:rsidRDefault="00BB0B31" w:rsidP="00E126F1">
      <w:pPr>
        <w:rPr>
          <w:rFonts w:cs="Arial"/>
        </w:rPr>
      </w:pPr>
      <w:r w:rsidRPr="00025399">
        <w:rPr>
          <w:rFonts w:cs="Arial"/>
        </w:rPr>
        <w:t>For others, religion proved a powerful source of hope and reassurance:</w:t>
      </w:r>
    </w:p>
    <w:p w14:paraId="06D6C394" w14:textId="19604E49" w:rsidR="00BB0B31" w:rsidRPr="00025399" w:rsidRDefault="00BB0B31" w:rsidP="00BB0B31">
      <w:pPr>
        <w:rPr>
          <w:rFonts w:cs="Arial"/>
          <w:i/>
        </w:rPr>
      </w:pPr>
      <w:r w:rsidRPr="00025399">
        <w:rPr>
          <w:rFonts w:cs="Arial"/>
          <w:i/>
        </w:rPr>
        <w:t>“My son says his prayers five times a day, he prays to his Lord. That can give him mental peace.”  (CGMP01</w:t>
      </w:r>
      <w:r w:rsidR="007E531F">
        <w:rPr>
          <w:rFonts w:cs="Arial"/>
          <w:i/>
        </w:rPr>
        <w:t>,</w:t>
      </w:r>
      <w:r w:rsidRPr="00025399">
        <w:rPr>
          <w:rFonts w:cs="Arial"/>
          <w:i/>
        </w:rPr>
        <w:t xml:space="preserve"> </w:t>
      </w:r>
      <w:r w:rsidR="007E531F">
        <w:rPr>
          <w:rFonts w:cs="Arial"/>
          <w:i/>
        </w:rPr>
        <w:t>C</w:t>
      </w:r>
      <w:r w:rsidRPr="00025399">
        <w:rPr>
          <w:rFonts w:cs="Arial"/>
          <w:i/>
        </w:rPr>
        <w:t>are</w:t>
      </w:r>
      <w:r w:rsidR="007E531F">
        <w:rPr>
          <w:rFonts w:cs="Arial"/>
          <w:i/>
        </w:rPr>
        <w:t>-</w:t>
      </w:r>
      <w:r w:rsidRPr="00025399">
        <w:rPr>
          <w:rFonts w:cs="Arial"/>
          <w:i/>
        </w:rPr>
        <w:t xml:space="preserve">giver, mother </w:t>
      </w:r>
      <w:r w:rsidR="00EC7FBB">
        <w:rPr>
          <w:rFonts w:cs="Arial"/>
          <w:i/>
        </w:rPr>
        <w:t>of</w:t>
      </w:r>
      <w:r w:rsidRPr="00025399">
        <w:rPr>
          <w:rFonts w:cs="Arial"/>
          <w:i/>
        </w:rPr>
        <w:t xml:space="preserve"> </w:t>
      </w:r>
      <w:r w:rsidR="0050570F" w:rsidRPr="0050570F">
        <w:rPr>
          <w:rFonts w:cs="Arial"/>
          <w:i/>
        </w:rPr>
        <w:t>MDR-</w:t>
      </w:r>
      <w:r w:rsidR="0050570F">
        <w:rPr>
          <w:rFonts w:cs="Arial"/>
          <w:i/>
        </w:rPr>
        <w:t xml:space="preserve">TB </w:t>
      </w:r>
      <w:r w:rsidRPr="00025399">
        <w:rPr>
          <w:rFonts w:cs="Arial"/>
          <w:i/>
        </w:rPr>
        <w:t>patient)</w:t>
      </w:r>
    </w:p>
    <w:p w14:paraId="764C09A9" w14:textId="7B6EF8DD" w:rsidR="00BB0B31" w:rsidRPr="00025399" w:rsidRDefault="00BB0B31" w:rsidP="00BB0B31">
      <w:pPr>
        <w:rPr>
          <w:rFonts w:cs="Arial"/>
          <w:i/>
        </w:rPr>
      </w:pPr>
      <w:r w:rsidRPr="00025399">
        <w:rPr>
          <w:rFonts w:cs="Arial"/>
          <w:i/>
        </w:rPr>
        <w:t>“I overcame my depression praying to Allah by saying, ‘Allah I have lost everyone, but you are my hope’. I had this faith in Allah.” (CPM01</w:t>
      </w:r>
      <w:r w:rsidR="007E531F">
        <w:rPr>
          <w:rFonts w:cs="Arial"/>
          <w:i/>
        </w:rPr>
        <w:t>,</w:t>
      </w:r>
      <w:r w:rsidRPr="00025399">
        <w:rPr>
          <w:rFonts w:cs="Arial"/>
          <w:i/>
        </w:rPr>
        <w:t xml:space="preserve"> Cured </w:t>
      </w:r>
      <w:r w:rsidR="0050570F" w:rsidRPr="0050570F">
        <w:rPr>
          <w:rFonts w:cs="Arial"/>
          <w:i/>
        </w:rPr>
        <w:t>MDR-</w:t>
      </w:r>
      <w:r w:rsidR="0050570F">
        <w:rPr>
          <w:rFonts w:cs="Arial"/>
          <w:i/>
        </w:rPr>
        <w:t xml:space="preserve">TB patient, </w:t>
      </w:r>
      <w:r w:rsidRPr="00025399">
        <w:rPr>
          <w:rFonts w:cs="Arial"/>
          <w:i/>
        </w:rPr>
        <w:t>male)</w:t>
      </w:r>
    </w:p>
    <w:p w14:paraId="441B6BA2" w14:textId="77777777" w:rsidR="002C360F" w:rsidRPr="00025399" w:rsidRDefault="002C360F" w:rsidP="002C360F">
      <w:pPr>
        <w:rPr>
          <w:rFonts w:cs="Arial"/>
        </w:rPr>
      </w:pPr>
      <w:r w:rsidRPr="00025399">
        <w:rPr>
          <w:rFonts w:cs="Arial"/>
        </w:rPr>
        <w:t>The role of information and knowledge gained either from health professionals, or more commonly from their own experience or talking to other patients, was crucial in helping patients to keep the impact of the side-effects in perspective.  Understanding that these were side-effects of the medicines, rather than symptoms of their illness helped some patients to find ways to cope:</w:t>
      </w:r>
    </w:p>
    <w:p w14:paraId="6AFCEBFB" w14:textId="3D6F2330" w:rsidR="002C360F" w:rsidRPr="00025399" w:rsidRDefault="002C360F" w:rsidP="002C360F">
      <w:pPr>
        <w:rPr>
          <w:rFonts w:cs="Arial"/>
          <w:i/>
        </w:rPr>
      </w:pPr>
      <w:r w:rsidRPr="00025399">
        <w:rPr>
          <w:rFonts w:cs="Arial"/>
          <w:i/>
        </w:rPr>
        <w:t>“Towards the beginning I used to consume the medicines in the morning. I noticed that I would feel bad the entire day. I would feel demotivate</w:t>
      </w:r>
      <w:r w:rsidR="00DF66D5">
        <w:rPr>
          <w:rFonts w:cs="Arial"/>
          <w:i/>
        </w:rPr>
        <w:t>d</w:t>
      </w:r>
      <w:r w:rsidRPr="00025399">
        <w:rPr>
          <w:rFonts w:cs="Arial"/>
          <w:i/>
        </w:rPr>
        <w:t xml:space="preserve"> to shower or to go grocery shopping. As a result</w:t>
      </w:r>
      <w:r w:rsidR="001C0D73" w:rsidRPr="00025399">
        <w:rPr>
          <w:rFonts w:cs="Arial"/>
          <w:i/>
        </w:rPr>
        <w:t>,</w:t>
      </w:r>
      <w:r w:rsidRPr="00025399">
        <w:rPr>
          <w:rFonts w:cs="Arial"/>
          <w:i/>
        </w:rPr>
        <w:t xml:space="preserve"> I changed </w:t>
      </w:r>
      <w:r w:rsidR="00180AE3">
        <w:rPr>
          <w:rFonts w:cs="Arial"/>
          <w:i/>
        </w:rPr>
        <w:t>my</w:t>
      </w:r>
      <w:r w:rsidRPr="00025399">
        <w:rPr>
          <w:rFonts w:cs="Arial"/>
          <w:i/>
        </w:rPr>
        <w:t xml:space="preserve"> routine to tak</w:t>
      </w:r>
      <w:r w:rsidR="00180AE3">
        <w:rPr>
          <w:rFonts w:cs="Arial"/>
          <w:i/>
        </w:rPr>
        <w:t>e</w:t>
      </w:r>
      <w:r w:rsidRPr="00025399">
        <w:rPr>
          <w:rFonts w:cs="Arial"/>
          <w:i/>
        </w:rPr>
        <w:t xml:space="preserve"> them in the afternoon. I’d take a nap or rest for a bit. Then towards the evening I would start to feel better again. It takes about four to five hours after taking the medications for me to start feeling better.” (TB</w:t>
      </w:r>
      <w:r w:rsidR="00AC7256">
        <w:rPr>
          <w:rFonts w:cs="Arial"/>
          <w:i/>
        </w:rPr>
        <w:t>P</w:t>
      </w:r>
      <w:r w:rsidRPr="00025399">
        <w:rPr>
          <w:rFonts w:cs="Arial"/>
          <w:i/>
        </w:rPr>
        <w:t>M01</w:t>
      </w:r>
      <w:r w:rsidR="00AC7256">
        <w:rPr>
          <w:rFonts w:cs="Arial"/>
          <w:i/>
        </w:rPr>
        <w:t>,</w:t>
      </w:r>
      <w:r w:rsidRPr="00025399">
        <w:rPr>
          <w:rFonts w:cs="Arial"/>
          <w:i/>
        </w:rPr>
        <w:t xml:space="preserve"> </w:t>
      </w:r>
      <w:r w:rsidR="0050570F" w:rsidRPr="0050570F">
        <w:rPr>
          <w:rFonts w:cs="Arial"/>
          <w:i/>
        </w:rPr>
        <w:t>MDR-</w:t>
      </w:r>
      <w:r w:rsidRPr="00025399">
        <w:rPr>
          <w:rFonts w:cs="Arial"/>
          <w:i/>
        </w:rPr>
        <w:t xml:space="preserve">TB </w:t>
      </w:r>
      <w:r w:rsidR="0050570F">
        <w:rPr>
          <w:rFonts w:cs="Arial"/>
          <w:i/>
        </w:rPr>
        <w:t>p</w:t>
      </w:r>
      <w:r w:rsidRPr="00025399">
        <w:rPr>
          <w:rFonts w:cs="Arial"/>
          <w:i/>
        </w:rPr>
        <w:t>atient</w:t>
      </w:r>
      <w:r w:rsidR="0050570F">
        <w:rPr>
          <w:rFonts w:cs="Arial"/>
          <w:i/>
        </w:rPr>
        <w:t>, male</w:t>
      </w:r>
      <w:r w:rsidRPr="00025399">
        <w:rPr>
          <w:rFonts w:cs="Arial"/>
          <w:i/>
        </w:rPr>
        <w:t>)</w:t>
      </w:r>
    </w:p>
    <w:p w14:paraId="280CD8E6" w14:textId="77777777" w:rsidR="002C360F" w:rsidRPr="00025399" w:rsidRDefault="002C360F" w:rsidP="00BB0B31">
      <w:pPr>
        <w:rPr>
          <w:rFonts w:cs="Arial"/>
          <w:i/>
        </w:rPr>
      </w:pPr>
    </w:p>
    <w:p w14:paraId="3CE6AECE" w14:textId="77777777" w:rsidR="0099233B" w:rsidRPr="00906BA8" w:rsidRDefault="0099233B">
      <w:pPr>
        <w:rPr>
          <w:rFonts w:cs="Arial"/>
          <w:b/>
          <w:bCs/>
          <w:i/>
        </w:rPr>
      </w:pPr>
      <w:r w:rsidRPr="00906BA8">
        <w:rPr>
          <w:rFonts w:cs="Arial"/>
          <w:b/>
          <w:bCs/>
          <w:i/>
        </w:rPr>
        <w:t xml:space="preserve">Relationships and </w:t>
      </w:r>
      <w:r w:rsidR="00E457C5" w:rsidRPr="00906BA8">
        <w:rPr>
          <w:rFonts w:cs="Arial"/>
          <w:b/>
          <w:bCs/>
          <w:i/>
        </w:rPr>
        <w:t xml:space="preserve">Family </w:t>
      </w:r>
    </w:p>
    <w:p w14:paraId="06AB96C4" w14:textId="6FD884D7" w:rsidR="00E126F1" w:rsidRPr="00025399" w:rsidRDefault="00E126F1" w:rsidP="00E126F1">
      <w:pPr>
        <w:rPr>
          <w:rFonts w:cs="Arial"/>
        </w:rPr>
      </w:pPr>
      <w:r w:rsidRPr="00025399">
        <w:rPr>
          <w:rFonts w:cs="Arial"/>
        </w:rPr>
        <w:t xml:space="preserve">The relationships with those around them and with family members were key to patient’s ability to cope with the physical and mental challenges they faced. There were considerable differences based on gender, age and whether they had had to relocate away from their families. </w:t>
      </w:r>
    </w:p>
    <w:p w14:paraId="77E9C451" w14:textId="606D2064" w:rsidR="0099233B" w:rsidRPr="00025399" w:rsidRDefault="0099233B" w:rsidP="0099233B">
      <w:pPr>
        <w:rPr>
          <w:rFonts w:cs="Arial"/>
          <w:i/>
        </w:rPr>
      </w:pPr>
      <w:r w:rsidRPr="00025399">
        <w:rPr>
          <w:rFonts w:cs="Arial"/>
          <w:i/>
        </w:rPr>
        <w:t>Spousal support</w:t>
      </w:r>
    </w:p>
    <w:p w14:paraId="558098EF" w14:textId="5F083B7B" w:rsidR="00E126F1" w:rsidRPr="00025399" w:rsidRDefault="00E126F1" w:rsidP="00E126F1">
      <w:pPr>
        <w:rPr>
          <w:rFonts w:cs="Arial"/>
        </w:rPr>
      </w:pPr>
      <w:r w:rsidRPr="00025399">
        <w:rPr>
          <w:rFonts w:cs="Arial"/>
        </w:rPr>
        <w:t>Interviews with male patients and their wives demonstrated the commitment of wives to caring for their husbands. The researchers</w:t>
      </w:r>
      <w:r w:rsidR="002326B7" w:rsidRPr="00025399">
        <w:rPr>
          <w:rFonts w:cs="Arial"/>
        </w:rPr>
        <w:t>’</w:t>
      </w:r>
      <w:r w:rsidRPr="00025399">
        <w:rPr>
          <w:rFonts w:cs="Arial"/>
        </w:rPr>
        <w:t xml:space="preserve"> observations indicate how </w:t>
      </w:r>
      <w:r w:rsidR="002326B7" w:rsidRPr="00025399">
        <w:rPr>
          <w:rFonts w:cs="Arial"/>
        </w:rPr>
        <w:t>these difference</w:t>
      </w:r>
      <w:r w:rsidR="001C0D73" w:rsidRPr="00025399">
        <w:rPr>
          <w:rFonts w:cs="Arial"/>
        </w:rPr>
        <w:t>s</w:t>
      </w:r>
      <w:r w:rsidR="002326B7" w:rsidRPr="00025399">
        <w:rPr>
          <w:rFonts w:cs="Arial"/>
        </w:rPr>
        <w:t xml:space="preserve"> impacted on the day-to-day welfare of patients as well as their mental health. For example</w:t>
      </w:r>
      <w:r w:rsidR="004F2F39" w:rsidRPr="00025399">
        <w:rPr>
          <w:rFonts w:cs="Arial"/>
        </w:rPr>
        <w:t>,</w:t>
      </w:r>
      <w:r w:rsidR="002326B7" w:rsidRPr="00025399">
        <w:rPr>
          <w:rFonts w:cs="Arial"/>
        </w:rPr>
        <w:t xml:space="preserve"> the male ward was frequently filled with female carers cooking, cleaning for and supporting their patients, whereas the female ward had fewer carers and while some had stoves for cooking few had the energy to buy groceries and cook for themselves.  Wives commitment to their husband’s health was frequently expressed:</w:t>
      </w:r>
    </w:p>
    <w:p w14:paraId="5E1D4C9D" w14:textId="6C0A8527" w:rsidR="0099233B" w:rsidRPr="00025399" w:rsidRDefault="0099233B" w:rsidP="0099233B">
      <w:pPr>
        <w:rPr>
          <w:rFonts w:cs="Arial"/>
          <w:i/>
        </w:rPr>
      </w:pPr>
      <w:r w:rsidRPr="00025399">
        <w:rPr>
          <w:rFonts w:cs="Arial"/>
          <w:i/>
        </w:rPr>
        <w:t>“</w:t>
      </w:r>
      <w:r w:rsidR="004F2F39" w:rsidRPr="00025399">
        <w:rPr>
          <w:rFonts w:cs="Arial"/>
          <w:i/>
        </w:rPr>
        <w:t>A</w:t>
      </w:r>
      <w:r w:rsidRPr="00025399">
        <w:rPr>
          <w:rFonts w:cs="Arial"/>
          <w:i/>
        </w:rPr>
        <w:t>fter he was admitted here, my husband told me not to go near him. I didn’t pay much attention to his instructions. Let me become infected. I told him if I contract the disease then we’ll die together. But I will not succumb to the idea that I cannot feed him and take care of him</w:t>
      </w:r>
      <w:r w:rsidR="002326B7" w:rsidRPr="00025399">
        <w:rPr>
          <w:rFonts w:cs="Arial"/>
          <w:i/>
        </w:rPr>
        <w:t xml:space="preserve"> just</w:t>
      </w:r>
      <w:r w:rsidRPr="00025399">
        <w:rPr>
          <w:rFonts w:cs="Arial"/>
          <w:i/>
        </w:rPr>
        <w:t xml:space="preserve"> because I may be infected as well.” </w:t>
      </w:r>
      <w:r w:rsidR="008E2108">
        <w:rPr>
          <w:rFonts w:cs="Arial"/>
          <w:i/>
        </w:rPr>
        <w:t>(</w:t>
      </w:r>
      <w:r w:rsidR="00EC7FBB">
        <w:rPr>
          <w:rFonts w:cs="Arial"/>
          <w:i/>
        </w:rPr>
        <w:t>CGFP02</w:t>
      </w:r>
      <w:r w:rsidR="00AC7256">
        <w:rPr>
          <w:rFonts w:cs="Arial"/>
          <w:i/>
        </w:rPr>
        <w:t>,</w:t>
      </w:r>
      <w:r w:rsidR="00EC7FBB">
        <w:rPr>
          <w:rFonts w:cs="Arial"/>
          <w:i/>
        </w:rPr>
        <w:t xml:space="preserve"> C</w:t>
      </w:r>
      <w:r w:rsidRPr="00025399">
        <w:rPr>
          <w:rFonts w:cs="Arial"/>
          <w:i/>
        </w:rPr>
        <w:t>are</w:t>
      </w:r>
      <w:r w:rsidR="00AC7256">
        <w:rPr>
          <w:rFonts w:cs="Arial"/>
          <w:i/>
        </w:rPr>
        <w:t>-</w:t>
      </w:r>
      <w:r w:rsidRPr="00025399">
        <w:rPr>
          <w:rFonts w:cs="Arial"/>
          <w:i/>
        </w:rPr>
        <w:t>giver</w:t>
      </w:r>
      <w:r w:rsidR="00EC7FBB">
        <w:rPr>
          <w:rFonts w:cs="Arial"/>
          <w:i/>
        </w:rPr>
        <w:t>, mother of MDR-TB patient</w:t>
      </w:r>
      <w:r w:rsidR="008E2108">
        <w:rPr>
          <w:rFonts w:cs="Arial"/>
          <w:i/>
        </w:rPr>
        <w:t>)</w:t>
      </w:r>
    </w:p>
    <w:p w14:paraId="5EE0EE3A" w14:textId="77777777" w:rsidR="004F2F39" w:rsidRPr="00025399" w:rsidRDefault="004F2F39" w:rsidP="0099233B">
      <w:pPr>
        <w:rPr>
          <w:rFonts w:cs="Arial"/>
        </w:rPr>
      </w:pPr>
      <w:r w:rsidRPr="00025399">
        <w:rPr>
          <w:rFonts w:cs="Arial"/>
        </w:rPr>
        <w:t xml:space="preserve">And as this husband explains about his wife: </w:t>
      </w:r>
    </w:p>
    <w:p w14:paraId="48B328E7" w14:textId="27387005" w:rsidR="0099233B" w:rsidRPr="00025399" w:rsidRDefault="0099233B" w:rsidP="0099233B">
      <w:pPr>
        <w:rPr>
          <w:rFonts w:cs="Arial"/>
          <w:i/>
        </w:rPr>
      </w:pPr>
      <w:r w:rsidRPr="00025399">
        <w:rPr>
          <w:rFonts w:cs="Arial"/>
          <w:i/>
        </w:rPr>
        <w:t>“She says, “</w:t>
      </w:r>
      <w:r w:rsidR="004F2F39" w:rsidRPr="00025399">
        <w:rPr>
          <w:rFonts w:cs="Arial"/>
          <w:i/>
        </w:rPr>
        <w:t>You see, t</w:t>
      </w:r>
      <w:r w:rsidRPr="00025399">
        <w:rPr>
          <w:rFonts w:cs="Arial"/>
          <w:i/>
        </w:rPr>
        <w:t xml:space="preserve">oday you are suffering from this disease, but don’t </w:t>
      </w:r>
      <w:proofErr w:type="gramStart"/>
      <w:r w:rsidRPr="00025399">
        <w:rPr>
          <w:rFonts w:cs="Arial"/>
          <w:i/>
        </w:rPr>
        <w:t>be scared of</w:t>
      </w:r>
      <w:proofErr w:type="gramEnd"/>
      <w:r w:rsidRPr="00025399">
        <w:rPr>
          <w:rFonts w:cs="Arial"/>
          <w:i/>
        </w:rPr>
        <w:t xml:space="preserve"> it. Someday everyone will die. I will never ever leave you</w:t>
      </w:r>
      <w:r w:rsidR="004F2F39" w:rsidRPr="00025399">
        <w:rPr>
          <w:rFonts w:cs="Arial"/>
          <w:i/>
        </w:rPr>
        <w:t xml:space="preserve">. It </w:t>
      </w:r>
      <w:r w:rsidRPr="00025399">
        <w:rPr>
          <w:rFonts w:cs="Arial"/>
          <w:i/>
        </w:rPr>
        <w:t xml:space="preserve">doesn’t matter what disease you get or </w:t>
      </w:r>
      <w:r w:rsidR="004F2F39" w:rsidRPr="00025399">
        <w:rPr>
          <w:rFonts w:cs="Arial"/>
          <w:i/>
        </w:rPr>
        <w:t>how</w:t>
      </w:r>
      <w:r w:rsidRPr="00025399">
        <w:rPr>
          <w:rFonts w:cs="Arial"/>
          <w:i/>
        </w:rPr>
        <w:t xml:space="preserve"> contaminating</w:t>
      </w:r>
      <w:r w:rsidR="004F2F39" w:rsidRPr="00025399">
        <w:rPr>
          <w:rFonts w:cs="Arial"/>
          <w:i/>
        </w:rPr>
        <w:t xml:space="preserve"> it is</w:t>
      </w:r>
      <w:r w:rsidRPr="00025399">
        <w:rPr>
          <w:rFonts w:cs="Arial"/>
          <w:i/>
        </w:rPr>
        <w:t xml:space="preserve">. I am here with you and I will </w:t>
      </w:r>
      <w:r w:rsidR="004F2F39" w:rsidRPr="00025399">
        <w:rPr>
          <w:rFonts w:cs="Arial"/>
          <w:i/>
        </w:rPr>
        <w:t xml:space="preserve">always </w:t>
      </w:r>
      <w:r w:rsidRPr="00025399">
        <w:rPr>
          <w:rFonts w:cs="Arial"/>
          <w:i/>
        </w:rPr>
        <w:t>be.</w:t>
      </w:r>
      <w:r w:rsidR="004F2F39" w:rsidRPr="00025399">
        <w:rPr>
          <w:rFonts w:cs="Arial"/>
          <w:i/>
        </w:rPr>
        <w:t>”</w:t>
      </w:r>
      <w:r w:rsidRPr="00025399">
        <w:rPr>
          <w:rFonts w:cs="Arial"/>
          <w:i/>
        </w:rPr>
        <w:t xml:space="preserve"> Yes, she says so and she stays with me and</w:t>
      </w:r>
      <w:r w:rsidR="00180AE3">
        <w:rPr>
          <w:rFonts w:cs="Arial"/>
          <w:i/>
        </w:rPr>
        <w:t xml:space="preserve"> this</w:t>
      </w:r>
      <w:r w:rsidRPr="00025399">
        <w:rPr>
          <w:rFonts w:cs="Arial"/>
          <w:i/>
        </w:rPr>
        <w:t xml:space="preserve"> give</w:t>
      </w:r>
      <w:r w:rsidR="00180AE3">
        <w:rPr>
          <w:rFonts w:cs="Arial"/>
          <w:i/>
        </w:rPr>
        <w:t>s</w:t>
      </w:r>
      <w:r w:rsidRPr="00025399">
        <w:rPr>
          <w:rFonts w:cs="Arial"/>
          <w:i/>
        </w:rPr>
        <w:t xml:space="preserve"> me positive energy</w:t>
      </w:r>
      <w:r w:rsidR="00180AE3">
        <w:rPr>
          <w:rFonts w:cs="Arial"/>
          <w:i/>
        </w:rPr>
        <w:t>.</w:t>
      </w:r>
      <w:r w:rsidRPr="00025399">
        <w:rPr>
          <w:rFonts w:cs="Arial"/>
          <w:i/>
        </w:rPr>
        <w:t>” (</w:t>
      </w:r>
      <w:r w:rsidR="004F2F39" w:rsidRPr="00025399">
        <w:rPr>
          <w:rFonts w:cs="Arial"/>
          <w:i/>
        </w:rPr>
        <w:t>TBPM</w:t>
      </w:r>
      <w:r w:rsidRPr="00025399">
        <w:rPr>
          <w:rFonts w:cs="Arial"/>
          <w:i/>
        </w:rPr>
        <w:t>03</w:t>
      </w:r>
      <w:r w:rsidR="004F2F39" w:rsidRPr="00025399">
        <w:rPr>
          <w:rFonts w:cs="Arial"/>
          <w:i/>
        </w:rPr>
        <w:t xml:space="preserve">, </w:t>
      </w:r>
      <w:r w:rsidR="00EC7FBB" w:rsidRPr="00EC7FBB">
        <w:rPr>
          <w:rFonts w:cs="Arial"/>
          <w:i/>
        </w:rPr>
        <w:t>MDR-</w:t>
      </w:r>
      <w:r w:rsidR="004F2F39" w:rsidRPr="00025399">
        <w:rPr>
          <w:rFonts w:cs="Arial"/>
          <w:i/>
        </w:rPr>
        <w:t>TB</w:t>
      </w:r>
      <w:r w:rsidR="00EC7FBB">
        <w:rPr>
          <w:rFonts w:cs="Arial"/>
          <w:i/>
        </w:rPr>
        <w:t xml:space="preserve"> patient, male</w:t>
      </w:r>
      <w:r w:rsidRPr="00025399">
        <w:rPr>
          <w:rFonts w:cs="Arial"/>
          <w:i/>
        </w:rPr>
        <w:t>)</w:t>
      </w:r>
    </w:p>
    <w:p w14:paraId="1C34F27F" w14:textId="7AF0F5B1" w:rsidR="0099233B" w:rsidRPr="00025399" w:rsidRDefault="00F55400" w:rsidP="0099233B">
      <w:pPr>
        <w:rPr>
          <w:rFonts w:cs="Arial"/>
        </w:rPr>
      </w:pPr>
      <w:r w:rsidRPr="00025399">
        <w:rPr>
          <w:rFonts w:cs="Arial"/>
        </w:rPr>
        <w:t>For the wives, even when husbands were supportive, the wives themselves encouraged them not to visit, but instead to support the family at home:</w:t>
      </w:r>
    </w:p>
    <w:p w14:paraId="2BB4CE20" w14:textId="169D5D03" w:rsidR="00F55400" w:rsidRPr="00025399" w:rsidRDefault="00F55400" w:rsidP="0099233B">
      <w:pPr>
        <w:rPr>
          <w:rFonts w:cs="Arial"/>
          <w:i/>
        </w:rPr>
      </w:pPr>
      <w:r w:rsidRPr="00025399">
        <w:rPr>
          <w:rFonts w:cs="Arial"/>
          <w:i/>
        </w:rPr>
        <w:t>“My husband supports me. I request him not to come here; because there is no use of coming here. I am tak</w:t>
      </w:r>
      <w:r w:rsidR="0023384B" w:rsidRPr="00025399">
        <w:rPr>
          <w:rFonts w:cs="Arial"/>
          <w:i/>
        </w:rPr>
        <w:t>ing the</w:t>
      </w:r>
      <w:r w:rsidRPr="00025399">
        <w:rPr>
          <w:rFonts w:cs="Arial"/>
          <w:i/>
        </w:rPr>
        <w:t xml:space="preserve"> medicin</w:t>
      </w:r>
      <w:r w:rsidR="0023384B" w:rsidRPr="00025399">
        <w:rPr>
          <w:rFonts w:cs="Arial"/>
          <w:i/>
        </w:rPr>
        <w:t xml:space="preserve">es and </w:t>
      </w:r>
      <w:r w:rsidRPr="00025399">
        <w:rPr>
          <w:rFonts w:cs="Arial"/>
          <w:i/>
        </w:rPr>
        <w:t xml:space="preserve">I will be cured. If he remains seated beside me, will my problems </w:t>
      </w:r>
      <w:r w:rsidR="00180AE3">
        <w:rPr>
          <w:rFonts w:cs="Arial"/>
          <w:i/>
        </w:rPr>
        <w:t xml:space="preserve">be </w:t>
      </w:r>
      <w:r w:rsidRPr="00025399">
        <w:rPr>
          <w:rFonts w:cs="Arial"/>
          <w:i/>
        </w:rPr>
        <w:t xml:space="preserve">solved? `Instead, if he </w:t>
      </w:r>
      <w:proofErr w:type="gramStart"/>
      <w:r w:rsidRPr="00025399">
        <w:rPr>
          <w:rFonts w:cs="Arial"/>
          <w:i/>
        </w:rPr>
        <w:t>works</w:t>
      </w:r>
      <w:r w:rsidR="0023384B" w:rsidRPr="00025399">
        <w:rPr>
          <w:rFonts w:cs="Arial"/>
          <w:i/>
        </w:rPr>
        <w:t>..</w:t>
      </w:r>
      <w:proofErr w:type="gramEnd"/>
      <w:r w:rsidR="0023384B" w:rsidRPr="00025399">
        <w:rPr>
          <w:rFonts w:cs="Arial"/>
          <w:i/>
        </w:rPr>
        <w:t xml:space="preserve"> </w:t>
      </w:r>
      <w:r w:rsidRPr="00025399">
        <w:rPr>
          <w:rFonts w:cs="Arial"/>
          <w:i/>
        </w:rPr>
        <w:t xml:space="preserve"> I have </w:t>
      </w:r>
      <w:r w:rsidR="0023384B" w:rsidRPr="00025399">
        <w:rPr>
          <w:rFonts w:cs="Arial"/>
          <w:i/>
        </w:rPr>
        <w:t xml:space="preserve">a </w:t>
      </w:r>
      <w:r w:rsidRPr="00025399">
        <w:rPr>
          <w:rFonts w:cs="Arial"/>
          <w:i/>
        </w:rPr>
        <w:t xml:space="preserve">child </w:t>
      </w:r>
      <w:r w:rsidR="0023384B" w:rsidRPr="00025399">
        <w:rPr>
          <w:rFonts w:cs="Arial"/>
          <w:i/>
        </w:rPr>
        <w:t>and</w:t>
      </w:r>
      <w:r w:rsidRPr="00025399">
        <w:rPr>
          <w:rFonts w:cs="Arial"/>
          <w:i/>
        </w:rPr>
        <w:t xml:space="preserve"> there are some expenses for my child, my husband also has some expenses. My family cannot bear all his expenses; he cannot remain seated beside me.” (TBPF03, </w:t>
      </w:r>
      <w:r w:rsidR="00EC7FBB" w:rsidRPr="00EC7FBB">
        <w:rPr>
          <w:rFonts w:cs="Arial"/>
          <w:i/>
        </w:rPr>
        <w:t>MDR-</w:t>
      </w:r>
      <w:r w:rsidR="005C3B0A">
        <w:rPr>
          <w:rFonts w:cs="Arial"/>
          <w:i/>
        </w:rPr>
        <w:t xml:space="preserve">TB </w:t>
      </w:r>
      <w:r w:rsidR="00517147" w:rsidRPr="00025399">
        <w:rPr>
          <w:rFonts w:cs="Arial"/>
          <w:i/>
        </w:rPr>
        <w:t>patient</w:t>
      </w:r>
      <w:r w:rsidR="00EC7FBB">
        <w:rPr>
          <w:rFonts w:cs="Arial"/>
          <w:i/>
        </w:rPr>
        <w:t>, female</w:t>
      </w:r>
      <w:r w:rsidR="00517147" w:rsidRPr="00025399">
        <w:rPr>
          <w:rFonts w:cs="Arial"/>
          <w:i/>
        </w:rPr>
        <w:t>)</w:t>
      </w:r>
    </w:p>
    <w:p w14:paraId="2641F9EA" w14:textId="1EF882EB" w:rsidR="00517147" w:rsidRPr="00025399" w:rsidRDefault="00517147" w:rsidP="0099233B">
      <w:pPr>
        <w:rPr>
          <w:rFonts w:cs="Arial"/>
        </w:rPr>
      </w:pPr>
      <w:r w:rsidRPr="00025399">
        <w:rPr>
          <w:rFonts w:cs="Arial"/>
        </w:rPr>
        <w:t>All the carers of female patients that we were able to interview were mothers</w:t>
      </w:r>
      <w:r w:rsidR="00A53F94" w:rsidRPr="00025399">
        <w:rPr>
          <w:rFonts w:cs="Arial"/>
        </w:rPr>
        <w:t xml:space="preserve"> of the patient. Where these women were bread-winners for their families they struggled to bear the opportunity cost of coming to care for their daughters. When husbands abandoned wives, it fell to the mother to provide care:</w:t>
      </w:r>
    </w:p>
    <w:p w14:paraId="3EC333C2" w14:textId="3F0E547E" w:rsidR="00A53F94" w:rsidRPr="00025399" w:rsidRDefault="00A53F94" w:rsidP="0099233B">
      <w:pPr>
        <w:rPr>
          <w:rFonts w:cs="Arial"/>
          <w:i/>
        </w:rPr>
      </w:pPr>
      <w:r w:rsidRPr="00025399">
        <w:rPr>
          <w:rFonts w:cs="Arial"/>
          <w:i/>
        </w:rPr>
        <w:t>“No, he [the husband] didn't take care of her. I have bought her here; he came to see her only one day. Then I told him: "son you married her after seeing we are poor, now we can't give medicines to our daughter, give us some money so we can give her medicines." He replied, “you always want money". So, that's okay, we don't want his money</w:t>
      </w:r>
      <w:r w:rsidR="001C0D73" w:rsidRPr="00025399">
        <w:rPr>
          <w:rFonts w:cs="Arial"/>
          <w:i/>
        </w:rPr>
        <w:t>!</w:t>
      </w:r>
      <w:r w:rsidRPr="00025399">
        <w:rPr>
          <w:rFonts w:cs="Arial"/>
          <w:i/>
        </w:rPr>
        <w:t xml:space="preserve"> Now if we can help her or not, that is our</w:t>
      </w:r>
      <w:r w:rsidR="00180AE3">
        <w:rPr>
          <w:rFonts w:cs="Arial"/>
          <w:i/>
        </w:rPr>
        <w:t xml:space="preserve"> only</w:t>
      </w:r>
      <w:r w:rsidRPr="00025399">
        <w:rPr>
          <w:rFonts w:cs="Arial"/>
          <w:i/>
        </w:rPr>
        <w:t xml:space="preserve"> concern.” (CGFP01, Care</w:t>
      </w:r>
      <w:r w:rsidR="00AC7256">
        <w:rPr>
          <w:rFonts w:cs="Arial"/>
          <w:i/>
        </w:rPr>
        <w:t>-</w:t>
      </w:r>
      <w:r w:rsidRPr="00025399">
        <w:rPr>
          <w:rFonts w:cs="Arial"/>
          <w:i/>
        </w:rPr>
        <w:t>giver</w:t>
      </w:r>
      <w:r w:rsidR="00EC7FBB">
        <w:rPr>
          <w:rFonts w:cs="Arial"/>
          <w:i/>
        </w:rPr>
        <w:t xml:space="preserve">, mother of </w:t>
      </w:r>
      <w:r w:rsidR="00EC7FBB" w:rsidRPr="00EC7FBB">
        <w:rPr>
          <w:rFonts w:cs="Arial"/>
          <w:i/>
        </w:rPr>
        <w:t>MDR-</w:t>
      </w:r>
      <w:r w:rsidR="00EC7FBB">
        <w:rPr>
          <w:rFonts w:cs="Arial"/>
          <w:i/>
        </w:rPr>
        <w:t>TB</w:t>
      </w:r>
      <w:r w:rsidRPr="00025399">
        <w:rPr>
          <w:rFonts w:cs="Arial"/>
          <w:i/>
        </w:rPr>
        <w:t xml:space="preserve"> patient</w:t>
      </w:r>
      <w:r w:rsidR="00EC7FBB">
        <w:rPr>
          <w:rFonts w:cs="Arial"/>
          <w:i/>
        </w:rPr>
        <w:t>)</w:t>
      </w:r>
    </w:p>
    <w:p w14:paraId="79525F8B" w14:textId="0933C83B" w:rsidR="0099233B" w:rsidRPr="00025399" w:rsidRDefault="00A53F94" w:rsidP="0099233B">
      <w:pPr>
        <w:rPr>
          <w:rFonts w:cs="Arial"/>
        </w:rPr>
      </w:pPr>
      <w:r w:rsidRPr="00025399">
        <w:rPr>
          <w:rFonts w:cs="Arial"/>
        </w:rPr>
        <w:t>The challenges of reloc</w:t>
      </w:r>
      <w:r w:rsidR="00D256FD" w:rsidRPr="00025399">
        <w:rPr>
          <w:rFonts w:cs="Arial"/>
        </w:rPr>
        <w:t>a</w:t>
      </w:r>
      <w:r w:rsidRPr="00025399">
        <w:rPr>
          <w:rFonts w:cs="Arial"/>
        </w:rPr>
        <w:t xml:space="preserve">ting to hospital and being far from children was frequently raised by </w:t>
      </w:r>
      <w:r w:rsidR="000A2596" w:rsidRPr="00025399">
        <w:rPr>
          <w:rFonts w:cs="Arial"/>
        </w:rPr>
        <w:t xml:space="preserve">the female patients and </w:t>
      </w:r>
      <w:r w:rsidR="001078E5" w:rsidRPr="00025399">
        <w:rPr>
          <w:rFonts w:cs="Arial"/>
        </w:rPr>
        <w:t xml:space="preserve">the break in this relationship, concerns for how their children would be cared for in their absence, coupled with their fear of infecting family members further fuelled their anxiety and lowered mood: </w:t>
      </w:r>
    </w:p>
    <w:p w14:paraId="6E8B41D7" w14:textId="1A32CA94" w:rsidR="0099233B" w:rsidRPr="00025399" w:rsidRDefault="0099233B" w:rsidP="00E126F1">
      <w:pPr>
        <w:rPr>
          <w:rFonts w:cs="Arial"/>
        </w:rPr>
      </w:pPr>
      <w:r w:rsidRPr="00025399">
        <w:rPr>
          <w:rFonts w:cs="Arial"/>
          <w:i/>
        </w:rPr>
        <w:t>“</w:t>
      </w:r>
      <w:r w:rsidR="001078E5" w:rsidRPr="00025399">
        <w:rPr>
          <w:rFonts w:cs="Arial"/>
          <w:i/>
        </w:rPr>
        <w:t>She</w:t>
      </w:r>
      <w:r w:rsidRPr="00025399">
        <w:rPr>
          <w:rFonts w:cs="Arial"/>
          <w:i/>
        </w:rPr>
        <w:t xml:space="preserve"> says she do</w:t>
      </w:r>
      <w:r w:rsidR="001078E5" w:rsidRPr="00025399">
        <w:rPr>
          <w:rFonts w:cs="Arial"/>
          <w:i/>
        </w:rPr>
        <w:t>es</w:t>
      </w:r>
      <w:r w:rsidRPr="00025399">
        <w:rPr>
          <w:rFonts w:cs="Arial"/>
          <w:i/>
        </w:rPr>
        <w:t>n't want to stay here</w:t>
      </w:r>
      <w:r w:rsidR="001078E5" w:rsidRPr="00025399">
        <w:rPr>
          <w:rFonts w:cs="Arial"/>
          <w:i/>
        </w:rPr>
        <w:t>:</w:t>
      </w:r>
      <w:r w:rsidRPr="00025399">
        <w:rPr>
          <w:rFonts w:cs="Arial"/>
          <w:i/>
        </w:rPr>
        <w:t xml:space="preserve"> </w:t>
      </w:r>
      <w:r w:rsidR="001078E5" w:rsidRPr="00025399">
        <w:rPr>
          <w:rFonts w:cs="Arial"/>
          <w:i/>
        </w:rPr>
        <w:t>“</w:t>
      </w:r>
      <w:r w:rsidRPr="00025399">
        <w:rPr>
          <w:rFonts w:cs="Arial"/>
          <w:i/>
        </w:rPr>
        <w:t>I have two child</w:t>
      </w:r>
      <w:r w:rsidR="001078E5" w:rsidRPr="00025399">
        <w:rPr>
          <w:rFonts w:cs="Arial"/>
          <w:i/>
        </w:rPr>
        <w:t>ren</w:t>
      </w:r>
      <w:r w:rsidRPr="00025399">
        <w:rPr>
          <w:rFonts w:cs="Arial"/>
          <w:i/>
        </w:rPr>
        <w:t>. I want to go to the village. I don't want to stay in Dhaka.</w:t>
      </w:r>
      <w:r w:rsidR="001078E5" w:rsidRPr="00025399">
        <w:rPr>
          <w:rFonts w:cs="Arial"/>
          <w:i/>
        </w:rPr>
        <w:t>”</w:t>
      </w:r>
      <w:r w:rsidRPr="00025399">
        <w:rPr>
          <w:rFonts w:cs="Arial"/>
          <w:i/>
        </w:rPr>
        <w:t xml:space="preserve"> As I told you, she feels bad for her children. She can't take care of her children. She can't feed them. Her son cries. He calls her. </w:t>
      </w:r>
      <w:r w:rsidR="001C0D73" w:rsidRPr="00025399">
        <w:rPr>
          <w:rFonts w:cs="Arial"/>
          <w:i/>
        </w:rPr>
        <w:t>Then</w:t>
      </w:r>
      <w:r w:rsidRPr="00025399">
        <w:rPr>
          <w:rFonts w:cs="Arial"/>
          <w:i/>
        </w:rPr>
        <w:t xml:space="preserve"> she feels sad. People strike her son. With that tension, she feels sad.</w:t>
      </w:r>
      <w:r w:rsidR="001078E5" w:rsidRPr="00025399">
        <w:rPr>
          <w:rFonts w:cs="Arial"/>
          <w:i/>
        </w:rPr>
        <w:t>”</w:t>
      </w:r>
      <w:r w:rsidRPr="00025399">
        <w:rPr>
          <w:rFonts w:cs="Arial"/>
        </w:rPr>
        <w:t xml:space="preserve"> </w:t>
      </w:r>
      <w:r w:rsidR="001078E5" w:rsidRPr="00025399">
        <w:rPr>
          <w:rFonts w:cs="Arial"/>
          <w:i/>
        </w:rPr>
        <w:t xml:space="preserve">(CGFP02, </w:t>
      </w:r>
      <w:r w:rsidRPr="00025399">
        <w:rPr>
          <w:rFonts w:cs="Arial"/>
          <w:i/>
        </w:rPr>
        <w:t>Care</w:t>
      </w:r>
      <w:r w:rsidR="00EC7FBB">
        <w:rPr>
          <w:rFonts w:cs="Arial"/>
          <w:i/>
        </w:rPr>
        <w:t>-</w:t>
      </w:r>
      <w:r w:rsidRPr="00025399">
        <w:rPr>
          <w:rFonts w:cs="Arial"/>
          <w:i/>
        </w:rPr>
        <w:t>giver</w:t>
      </w:r>
      <w:r w:rsidR="00EC7FBB">
        <w:rPr>
          <w:rFonts w:cs="Arial"/>
          <w:i/>
        </w:rPr>
        <w:t xml:space="preserve">, mother of MDR-TB </w:t>
      </w:r>
      <w:r w:rsidRPr="00025399">
        <w:rPr>
          <w:rFonts w:cs="Arial"/>
          <w:i/>
        </w:rPr>
        <w:t>patient</w:t>
      </w:r>
      <w:r w:rsidR="00EC7FBB">
        <w:rPr>
          <w:rFonts w:cs="Arial"/>
          <w:i/>
        </w:rPr>
        <w:t>)</w:t>
      </w:r>
    </w:p>
    <w:p w14:paraId="01300E9C" w14:textId="1DE6DC06" w:rsidR="001078E5" w:rsidRPr="00025399" w:rsidRDefault="001078E5" w:rsidP="00E126F1">
      <w:pPr>
        <w:rPr>
          <w:rFonts w:cs="Arial"/>
        </w:rPr>
      </w:pPr>
      <w:r w:rsidRPr="00025399">
        <w:rPr>
          <w:rFonts w:cs="Arial"/>
        </w:rPr>
        <w:t>Male patients</w:t>
      </w:r>
      <w:r w:rsidR="00D816F7" w:rsidRPr="00025399">
        <w:rPr>
          <w:rFonts w:cs="Arial"/>
        </w:rPr>
        <w:t>’</w:t>
      </w:r>
      <w:r w:rsidRPr="00025399">
        <w:rPr>
          <w:rFonts w:cs="Arial"/>
        </w:rPr>
        <w:t xml:space="preserve"> concern</w:t>
      </w:r>
      <w:r w:rsidR="00D816F7" w:rsidRPr="00025399">
        <w:rPr>
          <w:rFonts w:cs="Arial"/>
        </w:rPr>
        <w:t>s</w:t>
      </w:r>
      <w:r w:rsidRPr="00025399">
        <w:rPr>
          <w:rFonts w:cs="Arial"/>
        </w:rPr>
        <w:t xml:space="preserve"> frequently focused on the livelihood of their families and feelings of guilt and worry that they were unable to provide for them:</w:t>
      </w:r>
    </w:p>
    <w:p w14:paraId="510F9BB9" w14:textId="23CC398C" w:rsidR="001078E5" w:rsidRPr="00025399" w:rsidRDefault="001078E5" w:rsidP="001078E5">
      <w:pPr>
        <w:rPr>
          <w:rFonts w:cs="Arial"/>
          <w:i/>
        </w:rPr>
      </w:pPr>
      <w:r w:rsidRPr="00025399">
        <w:rPr>
          <w:rFonts w:cs="Arial"/>
          <w:i/>
        </w:rPr>
        <w:t>“Whenever I ask him</w:t>
      </w:r>
      <w:r w:rsidR="00D816F7" w:rsidRPr="00025399">
        <w:rPr>
          <w:rFonts w:cs="Arial"/>
          <w:i/>
        </w:rPr>
        <w:t>,</w:t>
      </w:r>
      <w:r w:rsidRPr="00025399">
        <w:rPr>
          <w:rFonts w:cs="Arial"/>
          <w:i/>
        </w:rPr>
        <w:t xml:space="preserve"> he just replies that he is worried about his family, his children and his home. He feels bad that he contracted this disease at such an early age. He stays sad thinking about these</w:t>
      </w:r>
      <w:r w:rsidR="001C0D73" w:rsidRPr="00025399">
        <w:rPr>
          <w:rFonts w:cs="Arial"/>
          <w:i/>
        </w:rPr>
        <w:t xml:space="preserve"> things</w:t>
      </w:r>
      <w:r w:rsidRPr="00025399">
        <w:rPr>
          <w:rFonts w:cs="Arial"/>
          <w:i/>
        </w:rPr>
        <w:t xml:space="preserve">.” </w:t>
      </w:r>
      <w:r w:rsidR="00D816F7" w:rsidRPr="00025399">
        <w:rPr>
          <w:rFonts w:cs="Arial"/>
          <w:i/>
        </w:rPr>
        <w:t>(CGMP</w:t>
      </w:r>
      <w:r w:rsidRPr="00025399">
        <w:rPr>
          <w:rFonts w:cs="Arial"/>
          <w:i/>
        </w:rPr>
        <w:t>02</w:t>
      </w:r>
      <w:r w:rsidR="00EC7FBB">
        <w:rPr>
          <w:rFonts w:cs="Arial"/>
          <w:i/>
        </w:rPr>
        <w:t>, Care-giver</w:t>
      </w:r>
      <w:r w:rsidRPr="00025399">
        <w:rPr>
          <w:rFonts w:cs="Arial"/>
          <w:i/>
        </w:rPr>
        <w:t xml:space="preserve"> </w:t>
      </w:r>
      <w:r w:rsidR="00D816F7" w:rsidRPr="00025399">
        <w:rPr>
          <w:rFonts w:cs="Arial"/>
          <w:i/>
        </w:rPr>
        <w:t>wife</w:t>
      </w:r>
      <w:r w:rsidR="00EC7FBB">
        <w:rPr>
          <w:rFonts w:cs="Arial"/>
          <w:i/>
        </w:rPr>
        <w:t xml:space="preserve"> of MDR-TB patient</w:t>
      </w:r>
      <w:r w:rsidR="00D816F7" w:rsidRPr="00025399">
        <w:rPr>
          <w:rFonts w:cs="Arial"/>
          <w:i/>
        </w:rPr>
        <w:t>)</w:t>
      </w:r>
    </w:p>
    <w:p w14:paraId="62E761E5" w14:textId="5E77A74D" w:rsidR="0023384B" w:rsidRPr="00025399" w:rsidRDefault="0023384B" w:rsidP="001078E5">
      <w:pPr>
        <w:rPr>
          <w:rFonts w:cs="Arial"/>
        </w:rPr>
      </w:pPr>
      <w:r w:rsidRPr="00025399">
        <w:rPr>
          <w:rFonts w:cs="Arial"/>
        </w:rPr>
        <w:t xml:space="preserve">Those with no family support were clearly identified as facing </w:t>
      </w:r>
      <w:proofErr w:type="gramStart"/>
      <w:r w:rsidRPr="00025399">
        <w:rPr>
          <w:rFonts w:cs="Arial"/>
        </w:rPr>
        <w:t>particular challenges</w:t>
      </w:r>
      <w:proofErr w:type="gramEnd"/>
      <w:r w:rsidRPr="00025399">
        <w:rPr>
          <w:rFonts w:cs="Arial"/>
        </w:rPr>
        <w:t xml:space="preserve">, both in terms of loneliness and </w:t>
      </w:r>
      <w:r w:rsidR="0066087B" w:rsidRPr="00025399">
        <w:rPr>
          <w:rFonts w:cs="Arial"/>
        </w:rPr>
        <w:t>low mood</w:t>
      </w:r>
      <w:r w:rsidRPr="00025399">
        <w:rPr>
          <w:rFonts w:cs="Arial"/>
        </w:rPr>
        <w:t>, but also in eating healthily and caring for themselves:</w:t>
      </w:r>
    </w:p>
    <w:p w14:paraId="119AE361" w14:textId="3457384A" w:rsidR="0023384B" w:rsidRPr="00025399" w:rsidRDefault="0023384B" w:rsidP="001078E5">
      <w:pPr>
        <w:rPr>
          <w:rFonts w:cs="Arial"/>
          <w:i/>
        </w:rPr>
      </w:pPr>
      <w:r w:rsidRPr="00025399">
        <w:rPr>
          <w:rFonts w:cs="Arial"/>
          <w:i/>
        </w:rPr>
        <w:t xml:space="preserve">“For instance, I’ve noticed that some patients do not have any family members who visit them. There are two or three patients here who are completely alone. That’s one thing they suffer from, loneliness. We have family here and they don’t. They see this and they feel this absence, they feel the loneliness. Some do not have enough money. Here we are told that the government will take care of everything. But except for the rice, the rest of the food they provide - the vegetable, meat, fish at night - are inedible. As a result, we </w:t>
      </w:r>
      <w:proofErr w:type="gramStart"/>
      <w:r w:rsidRPr="00025399">
        <w:rPr>
          <w:rFonts w:cs="Arial"/>
          <w:i/>
        </w:rPr>
        <w:t>have to</w:t>
      </w:r>
      <w:proofErr w:type="gramEnd"/>
      <w:r w:rsidRPr="00025399">
        <w:rPr>
          <w:rFonts w:cs="Arial"/>
          <w:i/>
        </w:rPr>
        <w:t xml:space="preserve"> spend money. For some patients they do not receive any monetary help from their families.” (TB</w:t>
      </w:r>
      <w:r w:rsidR="00BD7BA2">
        <w:rPr>
          <w:rFonts w:cs="Arial"/>
          <w:i/>
        </w:rPr>
        <w:t>P</w:t>
      </w:r>
      <w:r w:rsidRPr="00025399">
        <w:rPr>
          <w:rFonts w:cs="Arial"/>
          <w:i/>
        </w:rPr>
        <w:t>M01,</w:t>
      </w:r>
      <w:r w:rsidR="00EC7FBB">
        <w:rPr>
          <w:rFonts w:cs="Arial"/>
          <w:i/>
        </w:rPr>
        <w:t xml:space="preserve"> </w:t>
      </w:r>
      <w:r w:rsidR="00EC7FBB" w:rsidRPr="00EC7FBB">
        <w:rPr>
          <w:rFonts w:cs="Arial"/>
          <w:i/>
        </w:rPr>
        <w:t>MDR-</w:t>
      </w:r>
      <w:r w:rsidR="00EC7FBB">
        <w:rPr>
          <w:rFonts w:cs="Arial"/>
          <w:i/>
        </w:rPr>
        <w:t xml:space="preserve">TB </w:t>
      </w:r>
      <w:r w:rsidRPr="00025399">
        <w:rPr>
          <w:rFonts w:cs="Arial"/>
          <w:i/>
        </w:rPr>
        <w:t>patient</w:t>
      </w:r>
      <w:r w:rsidR="00EC7FBB">
        <w:rPr>
          <w:rFonts w:cs="Arial"/>
          <w:i/>
        </w:rPr>
        <w:t>, male</w:t>
      </w:r>
      <w:r w:rsidRPr="00025399">
        <w:rPr>
          <w:rFonts w:cs="Arial"/>
          <w:i/>
        </w:rPr>
        <w:t>).</w:t>
      </w:r>
    </w:p>
    <w:p w14:paraId="61D146A6" w14:textId="6E8BE4A5" w:rsidR="00E457C5" w:rsidRPr="00906BA8" w:rsidRDefault="0099233B">
      <w:pPr>
        <w:rPr>
          <w:rFonts w:cs="Arial"/>
          <w:b/>
          <w:bCs/>
          <w:i/>
        </w:rPr>
      </w:pPr>
      <w:r w:rsidRPr="00906BA8">
        <w:rPr>
          <w:rFonts w:cs="Arial"/>
          <w:b/>
          <w:bCs/>
          <w:i/>
        </w:rPr>
        <w:t>Societal</w:t>
      </w:r>
      <w:r w:rsidR="003C5E9A" w:rsidRPr="00906BA8">
        <w:rPr>
          <w:rFonts w:cs="Arial"/>
          <w:b/>
          <w:bCs/>
          <w:i/>
        </w:rPr>
        <w:t xml:space="preserve"> Reponses</w:t>
      </w:r>
    </w:p>
    <w:p w14:paraId="119C65DF" w14:textId="4D4B2794" w:rsidR="00286BC0" w:rsidRPr="00025399" w:rsidRDefault="00E457C5">
      <w:pPr>
        <w:rPr>
          <w:rFonts w:cs="Arial"/>
          <w:i/>
        </w:rPr>
      </w:pPr>
      <w:r w:rsidRPr="00025399">
        <w:rPr>
          <w:rFonts w:cs="Arial"/>
          <w:i/>
        </w:rPr>
        <w:t>Social stigma</w:t>
      </w:r>
      <w:r w:rsidR="00B62E89" w:rsidRPr="00025399">
        <w:rPr>
          <w:rFonts w:cs="Arial"/>
          <w:i/>
        </w:rPr>
        <w:t xml:space="preserve"> of TB</w:t>
      </w:r>
    </w:p>
    <w:p w14:paraId="3F39EB6A" w14:textId="273DF23E" w:rsidR="00A53F94" w:rsidRPr="00025399" w:rsidRDefault="00A53F94" w:rsidP="00A53F94">
      <w:pPr>
        <w:rPr>
          <w:rFonts w:cs="Arial"/>
        </w:rPr>
      </w:pPr>
      <w:r w:rsidRPr="00025399">
        <w:rPr>
          <w:rFonts w:cs="Arial"/>
        </w:rPr>
        <w:t xml:space="preserve">Within the interviews, participants </w:t>
      </w:r>
      <w:r w:rsidR="001078E5" w:rsidRPr="00025399">
        <w:rPr>
          <w:rFonts w:cs="Arial"/>
        </w:rPr>
        <w:t>often</w:t>
      </w:r>
      <w:r w:rsidRPr="00025399">
        <w:rPr>
          <w:rFonts w:cs="Arial"/>
        </w:rPr>
        <w:t xml:space="preserve"> struggled to talk about the levels of stigma they experienced. </w:t>
      </w:r>
      <w:r w:rsidR="001078E5" w:rsidRPr="00025399">
        <w:rPr>
          <w:rFonts w:cs="Arial"/>
        </w:rPr>
        <w:t>Frequently, a</w:t>
      </w:r>
      <w:r w:rsidRPr="00025399">
        <w:rPr>
          <w:rFonts w:cs="Arial"/>
        </w:rPr>
        <w:t xml:space="preserve">t the start of the interview they would deny </w:t>
      </w:r>
      <w:r w:rsidR="001078E5" w:rsidRPr="00025399">
        <w:rPr>
          <w:rFonts w:cs="Arial"/>
        </w:rPr>
        <w:t>experiencing</w:t>
      </w:r>
      <w:r w:rsidRPr="00025399">
        <w:rPr>
          <w:rFonts w:cs="Arial"/>
        </w:rPr>
        <w:t>, but by the end many shared their stories of the negative reactions of their extended families and wider society</w:t>
      </w:r>
      <w:r w:rsidR="00D816F7" w:rsidRPr="00025399">
        <w:rPr>
          <w:rFonts w:cs="Arial"/>
        </w:rPr>
        <w:t>. This female patient explains how the stigma from wider society can lead relatives and husbands to abandon their wives</w:t>
      </w:r>
      <w:r w:rsidRPr="00025399">
        <w:rPr>
          <w:rFonts w:cs="Arial"/>
        </w:rPr>
        <w:t>:</w:t>
      </w:r>
    </w:p>
    <w:p w14:paraId="655F6028" w14:textId="12A95BA7" w:rsidR="00A53F94" w:rsidRPr="00025399" w:rsidRDefault="00385E95" w:rsidP="00A53F94">
      <w:pPr>
        <w:rPr>
          <w:rFonts w:cs="Arial"/>
          <w:i/>
        </w:rPr>
      </w:pPr>
      <w:r w:rsidRPr="00025399">
        <w:rPr>
          <w:rFonts w:cs="Arial"/>
          <w:i/>
        </w:rPr>
        <w:t>“</w:t>
      </w:r>
      <w:r w:rsidR="00A53F94" w:rsidRPr="00025399">
        <w:rPr>
          <w:rFonts w:cs="Arial"/>
          <w:i/>
        </w:rPr>
        <w:t>When I came out of my room</w:t>
      </w:r>
      <w:r w:rsidRPr="00025399">
        <w:rPr>
          <w:rFonts w:cs="Arial"/>
          <w:i/>
        </w:rPr>
        <w:t xml:space="preserve"> [at home]</w:t>
      </w:r>
      <w:r w:rsidR="00A53F94" w:rsidRPr="00025399">
        <w:rPr>
          <w:rFonts w:cs="Arial"/>
          <w:i/>
        </w:rPr>
        <w:t xml:space="preserve">, nobody stayed around. Everybody went inside their room. When I </w:t>
      </w:r>
      <w:r w:rsidRPr="00025399">
        <w:rPr>
          <w:rFonts w:cs="Arial"/>
          <w:i/>
        </w:rPr>
        <w:t>put</w:t>
      </w:r>
      <w:r w:rsidR="00A53F94" w:rsidRPr="00025399">
        <w:rPr>
          <w:rFonts w:cs="Arial"/>
          <w:i/>
        </w:rPr>
        <w:t xml:space="preserve"> my washed clothes to dry, they moved my clothes away. After facing these </w:t>
      </w:r>
      <w:r w:rsidRPr="00025399">
        <w:rPr>
          <w:rFonts w:cs="Arial"/>
          <w:i/>
        </w:rPr>
        <w:t xml:space="preserve">things </w:t>
      </w:r>
      <w:r w:rsidR="00A53F94" w:rsidRPr="00025399">
        <w:rPr>
          <w:rFonts w:cs="Arial"/>
          <w:i/>
        </w:rPr>
        <w:t>for many days</w:t>
      </w:r>
      <w:r w:rsidR="00180AE3">
        <w:rPr>
          <w:rFonts w:cs="Arial"/>
          <w:i/>
        </w:rPr>
        <w:t>,</w:t>
      </w:r>
      <w:r w:rsidR="00A53F94" w:rsidRPr="00025399">
        <w:rPr>
          <w:rFonts w:cs="Arial"/>
          <w:i/>
        </w:rPr>
        <w:t xml:space="preserve"> I said to them, “This disease affected me, so you are doing these things to me. Just think, if you </w:t>
      </w:r>
      <w:r w:rsidR="00180AE3">
        <w:rPr>
          <w:rFonts w:cs="Arial"/>
          <w:i/>
        </w:rPr>
        <w:t>had this</w:t>
      </w:r>
      <w:r w:rsidR="00A53F94" w:rsidRPr="00025399">
        <w:rPr>
          <w:rFonts w:cs="Arial"/>
          <w:i/>
        </w:rPr>
        <w:t xml:space="preserve"> disease.” After saying t</w:t>
      </w:r>
      <w:r w:rsidRPr="00025399">
        <w:rPr>
          <w:rFonts w:cs="Arial"/>
          <w:i/>
        </w:rPr>
        <w:t>his</w:t>
      </w:r>
      <w:r w:rsidR="00A53F94" w:rsidRPr="00025399">
        <w:rPr>
          <w:rFonts w:cs="Arial"/>
          <w:i/>
        </w:rPr>
        <w:t xml:space="preserve">, some people kept contact with </w:t>
      </w:r>
      <w:proofErr w:type="gramStart"/>
      <w:r w:rsidR="00A53F94" w:rsidRPr="00025399">
        <w:rPr>
          <w:rFonts w:cs="Arial"/>
          <w:i/>
        </w:rPr>
        <w:t>me</w:t>
      </w:r>
      <w:proofErr w:type="gramEnd"/>
      <w:r w:rsidR="00A53F94" w:rsidRPr="00025399">
        <w:rPr>
          <w:rFonts w:cs="Arial"/>
          <w:i/>
        </w:rPr>
        <w:t xml:space="preserve"> </w:t>
      </w:r>
      <w:r w:rsidRPr="00025399">
        <w:rPr>
          <w:rFonts w:cs="Arial"/>
          <w:i/>
        </w:rPr>
        <w:t>and</w:t>
      </w:r>
      <w:r w:rsidR="00A53F94" w:rsidRPr="00025399">
        <w:rPr>
          <w:rFonts w:cs="Arial"/>
          <w:i/>
        </w:rPr>
        <w:t xml:space="preserve"> some people did not. When, I was</w:t>
      </w:r>
      <w:r w:rsidRPr="00025399">
        <w:rPr>
          <w:rFonts w:cs="Arial"/>
          <w:i/>
        </w:rPr>
        <w:t xml:space="preserve"> first</w:t>
      </w:r>
      <w:r w:rsidR="00A53F94" w:rsidRPr="00025399">
        <w:rPr>
          <w:rFonts w:cs="Arial"/>
          <w:i/>
        </w:rPr>
        <w:t xml:space="preserve"> admitted </w:t>
      </w:r>
      <w:r w:rsidRPr="00025399">
        <w:rPr>
          <w:rFonts w:cs="Arial"/>
          <w:i/>
        </w:rPr>
        <w:t>to</w:t>
      </w:r>
      <w:r w:rsidR="00A53F94" w:rsidRPr="00025399">
        <w:rPr>
          <w:rFonts w:cs="Arial"/>
          <w:i/>
        </w:rPr>
        <w:t xml:space="preserve"> hospital, my cousins came. After that, nobody came. And now, no one comes to me. … All the in-laws are (laughter) different kinds of people. Despite of my condition my husband kept me; so</w:t>
      </w:r>
      <w:r w:rsidRPr="00025399">
        <w:rPr>
          <w:rFonts w:cs="Arial"/>
          <w:i/>
        </w:rPr>
        <w:t xml:space="preserve"> now</w:t>
      </w:r>
      <w:r w:rsidR="00A53F94" w:rsidRPr="00025399">
        <w:rPr>
          <w:rFonts w:cs="Arial"/>
          <w:i/>
        </w:rPr>
        <w:t xml:space="preserve"> others fight with him. They </w:t>
      </w:r>
      <w:r w:rsidRPr="00025399">
        <w:rPr>
          <w:rFonts w:cs="Arial"/>
          <w:i/>
        </w:rPr>
        <w:t>ask</w:t>
      </w:r>
      <w:r w:rsidR="00A53F94" w:rsidRPr="00025399">
        <w:rPr>
          <w:rFonts w:cs="Arial"/>
          <w:i/>
        </w:rPr>
        <w:t xml:space="preserve"> him why he kept a diseased wife, they also say that he will catch this disease someday.</w:t>
      </w:r>
      <w:r w:rsidRPr="00025399">
        <w:rPr>
          <w:rFonts w:cs="Arial"/>
          <w:i/>
        </w:rPr>
        <w:t>”</w:t>
      </w:r>
      <w:r w:rsidR="00A53F94" w:rsidRPr="00025399">
        <w:rPr>
          <w:rFonts w:cs="Arial"/>
          <w:i/>
        </w:rPr>
        <w:t xml:space="preserve"> </w:t>
      </w:r>
      <w:r w:rsidR="001078E5" w:rsidRPr="00025399">
        <w:rPr>
          <w:rFonts w:cs="Arial"/>
          <w:i/>
        </w:rPr>
        <w:t>(TBP</w:t>
      </w:r>
      <w:r w:rsidR="00BD7BA2">
        <w:rPr>
          <w:rFonts w:cs="Arial"/>
          <w:i/>
        </w:rPr>
        <w:t>F</w:t>
      </w:r>
      <w:r w:rsidR="001078E5" w:rsidRPr="00025399">
        <w:rPr>
          <w:rFonts w:cs="Arial"/>
          <w:i/>
        </w:rPr>
        <w:t>02</w:t>
      </w:r>
      <w:r w:rsidR="00AC7256">
        <w:rPr>
          <w:rFonts w:cs="Arial"/>
          <w:i/>
        </w:rPr>
        <w:t>,</w:t>
      </w:r>
      <w:r w:rsidR="001078E5" w:rsidRPr="00025399">
        <w:rPr>
          <w:rFonts w:cs="Arial"/>
          <w:i/>
        </w:rPr>
        <w:t xml:space="preserve"> </w:t>
      </w:r>
      <w:r w:rsidR="00EC7FBB">
        <w:rPr>
          <w:rFonts w:cs="Arial"/>
          <w:i/>
        </w:rPr>
        <w:t>MDR-TB</w:t>
      </w:r>
      <w:r w:rsidR="00A813BA">
        <w:rPr>
          <w:rFonts w:cs="Arial"/>
          <w:i/>
        </w:rPr>
        <w:t xml:space="preserve"> </w:t>
      </w:r>
      <w:r w:rsidR="00A53F94" w:rsidRPr="00025399">
        <w:rPr>
          <w:rFonts w:cs="Arial"/>
          <w:i/>
        </w:rPr>
        <w:t>patient</w:t>
      </w:r>
      <w:r w:rsidR="00EC7FBB">
        <w:rPr>
          <w:rFonts w:cs="Arial"/>
          <w:i/>
        </w:rPr>
        <w:t>, female</w:t>
      </w:r>
      <w:r w:rsidR="001078E5" w:rsidRPr="00025399">
        <w:rPr>
          <w:rFonts w:cs="Arial"/>
          <w:i/>
        </w:rPr>
        <w:t>)</w:t>
      </w:r>
    </w:p>
    <w:p w14:paraId="7D209BE8" w14:textId="7AFC5392" w:rsidR="00D816F7" w:rsidRPr="00025399" w:rsidRDefault="00D816F7">
      <w:pPr>
        <w:rPr>
          <w:rFonts w:cs="Arial"/>
        </w:rPr>
      </w:pPr>
      <w:r w:rsidRPr="00025399">
        <w:rPr>
          <w:rFonts w:cs="Arial"/>
        </w:rPr>
        <w:t xml:space="preserve">When asked what might be driving the level of stigma within society, many </w:t>
      </w:r>
      <w:r w:rsidR="00F00880" w:rsidRPr="00025399">
        <w:rPr>
          <w:rFonts w:cs="Arial"/>
        </w:rPr>
        <w:t>identified</w:t>
      </w:r>
      <w:r w:rsidRPr="00025399">
        <w:rPr>
          <w:rFonts w:cs="Arial"/>
        </w:rPr>
        <w:t xml:space="preserve"> infection and lack of knowledge about TB treatment. One patient also identified the perceptions of risk behaviours of patients:</w:t>
      </w:r>
    </w:p>
    <w:p w14:paraId="5C2A8FED" w14:textId="37CF3EF1" w:rsidR="00821ACE" w:rsidRPr="00025399" w:rsidRDefault="00D816F7">
      <w:pPr>
        <w:rPr>
          <w:rFonts w:cs="Arial"/>
          <w:i/>
        </w:rPr>
      </w:pPr>
      <w:r w:rsidRPr="00025399">
        <w:rPr>
          <w:rFonts w:cs="Arial"/>
          <w:i/>
        </w:rPr>
        <w:t xml:space="preserve"> </w:t>
      </w:r>
      <w:r w:rsidR="00821ACE" w:rsidRPr="00025399">
        <w:rPr>
          <w:rFonts w:cs="Arial"/>
          <w:i/>
        </w:rPr>
        <w:t xml:space="preserve">“People think they have got their disease from </w:t>
      </w:r>
      <w:r w:rsidR="00180AE3">
        <w:rPr>
          <w:rFonts w:cs="Arial"/>
          <w:i/>
        </w:rPr>
        <w:t>their</w:t>
      </w:r>
      <w:r w:rsidR="00821ACE" w:rsidRPr="00025399">
        <w:rPr>
          <w:rFonts w:cs="Arial"/>
          <w:i/>
        </w:rPr>
        <w:t xml:space="preserve"> addiction </w:t>
      </w:r>
      <w:r w:rsidR="00180AE3">
        <w:rPr>
          <w:rFonts w:cs="Arial"/>
          <w:i/>
        </w:rPr>
        <w:t>to</w:t>
      </w:r>
      <w:r w:rsidR="00821ACE" w:rsidRPr="00025399">
        <w:rPr>
          <w:rFonts w:cs="Arial"/>
          <w:i/>
        </w:rPr>
        <w:t xml:space="preserve"> cigarette</w:t>
      </w:r>
      <w:r w:rsidR="00180AE3">
        <w:rPr>
          <w:rFonts w:cs="Arial"/>
          <w:i/>
        </w:rPr>
        <w:t>s</w:t>
      </w:r>
      <w:r w:rsidR="00821ACE" w:rsidRPr="00025399">
        <w:rPr>
          <w:rFonts w:cs="Arial"/>
          <w:i/>
        </w:rPr>
        <w:t xml:space="preserve">, tobacco or other drugs. Because of this they consider us differently from their heart.” </w:t>
      </w:r>
      <w:r w:rsidR="00385E95" w:rsidRPr="00025399">
        <w:rPr>
          <w:rFonts w:cs="Arial"/>
          <w:i/>
        </w:rPr>
        <w:t xml:space="preserve">(TBPM03, </w:t>
      </w:r>
      <w:r w:rsidR="00EC7FBB" w:rsidRPr="00EC7FBB">
        <w:rPr>
          <w:rFonts w:cs="Arial"/>
          <w:i/>
        </w:rPr>
        <w:t>MDR-</w:t>
      </w:r>
      <w:r w:rsidR="00EC7FBB">
        <w:rPr>
          <w:rFonts w:cs="Arial"/>
          <w:i/>
        </w:rPr>
        <w:t xml:space="preserve">TB </w:t>
      </w:r>
      <w:r w:rsidR="00821ACE" w:rsidRPr="00025399">
        <w:rPr>
          <w:rFonts w:cs="Arial"/>
          <w:i/>
        </w:rPr>
        <w:t>patient</w:t>
      </w:r>
      <w:r w:rsidR="00EC7FBB">
        <w:rPr>
          <w:rFonts w:cs="Arial"/>
          <w:i/>
        </w:rPr>
        <w:t>, male</w:t>
      </w:r>
      <w:r w:rsidR="00821ACE" w:rsidRPr="00025399">
        <w:rPr>
          <w:rFonts w:cs="Arial"/>
          <w:i/>
        </w:rPr>
        <w:t>)</w:t>
      </w:r>
    </w:p>
    <w:p w14:paraId="67E06790" w14:textId="1CCC27FD" w:rsidR="005C24B6" w:rsidRPr="00025399" w:rsidRDefault="00D816F7">
      <w:pPr>
        <w:rPr>
          <w:rFonts w:cs="Arial"/>
        </w:rPr>
      </w:pPr>
      <w:r w:rsidRPr="00025399">
        <w:rPr>
          <w:rFonts w:cs="Arial"/>
        </w:rPr>
        <w:t>The i</w:t>
      </w:r>
      <w:r w:rsidR="005C24B6" w:rsidRPr="00025399">
        <w:rPr>
          <w:rFonts w:cs="Arial"/>
        </w:rPr>
        <w:t>mpact of</w:t>
      </w:r>
      <w:r w:rsidRPr="00025399">
        <w:rPr>
          <w:rFonts w:cs="Arial"/>
        </w:rPr>
        <w:t xml:space="preserve"> </w:t>
      </w:r>
      <w:r w:rsidR="00180AE3">
        <w:rPr>
          <w:rFonts w:cs="Arial"/>
        </w:rPr>
        <w:t xml:space="preserve">the </w:t>
      </w:r>
      <w:r w:rsidRPr="00025399">
        <w:rPr>
          <w:rFonts w:cs="Arial"/>
        </w:rPr>
        <w:t xml:space="preserve">societal view </w:t>
      </w:r>
      <w:r w:rsidR="00180AE3">
        <w:rPr>
          <w:rFonts w:cs="Arial"/>
        </w:rPr>
        <w:t>of</w:t>
      </w:r>
      <w:r w:rsidRPr="00025399">
        <w:rPr>
          <w:rFonts w:cs="Arial"/>
        </w:rPr>
        <w:t xml:space="preserve"> TB, and particularly </w:t>
      </w:r>
      <w:r w:rsidR="00161B7B">
        <w:rPr>
          <w:rFonts w:cs="Arial"/>
        </w:rPr>
        <w:t>MDR-TB</w:t>
      </w:r>
      <w:r w:rsidRPr="00025399">
        <w:rPr>
          <w:rFonts w:cs="Arial"/>
        </w:rPr>
        <w:t xml:space="preserve"> were clear:</w:t>
      </w:r>
    </w:p>
    <w:p w14:paraId="26F1F1CE" w14:textId="3EDFAC52" w:rsidR="005C24B6" w:rsidRPr="00025399" w:rsidRDefault="005C24B6">
      <w:pPr>
        <w:rPr>
          <w:rFonts w:cs="Arial"/>
          <w:i/>
        </w:rPr>
      </w:pPr>
      <w:r w:rsidRPr="00025399">
        <w:rPr>
          <w:rFonts w:cs="Arial"/>
          <w:i/>
        </w:rPr>
        <w:t xml:space="preserve">“Sometimes I feel like I will go to </w:t>
      </w:r>
      <w:r w:rsidR="00D816F7" w:rsidRPr="00025399">
        <w:rPr>
          <w:rFonts w:cs="Arial"/>
          <w:i/>
        </w:rPr>
        <w:t>[the doctor] and</w:t>
      </w:r>
      <w:r w:rsidRPr="00025399">
        <w:rPr>
          <w:rFonts w:cs="Arial"/>
          <w:i/>
        </w:rPr>
        <w:t xml:space="preserve"> say, “Sir, living </w:t>
      </w:r>
      <w:r w:rsidR="00D816F7" w:rsidRPr="00025399">
        <w:rPr>
          <w:rFonts w:cs="Arial"/>
          <w:i/>
        </w:rPr>
        <w:t xml:space="preserve">our </w:t>
      </w:r>
      <w:r w:rsidRPr="00025399">
        <w:rPr>
          <w:rFonts w:cs="Arial"/>
          <w:i/>
        </w:rPr>
        <w:t>life may have some significance for our family members; but we do not have any value in</w:t>
      </w:r>
      <w:r w:rsidR="00D816F7" w:rsidRPr="00025399">
        <w:rPr>
          <w:rFonts w:cs="Arial"/>
          <w:i/>
        </w:rPr>
        <w:t xml:space="preserve"> the</w:t>
      </w:r>
      <w:r w:rsidRPr="00025399">
        <w:rPr>
          <w:rFonts w:cs="Arial"/>
          <w:i/>
        </w:rPr>
        <w:t xml:space="preserve"> eyes of other people.” You can only provide us</w:t>
      </w:r>
      <w:r w:rsidR="00385E95" w:rsidRPr="00025399">
        <w:rPr>
          <w:rFonts w:cs="Arial"/>
          <w:i/>
        </w:rPr>
        <w:t xml:space="preserve"> with</w:t>
      </w:r>
      <w:r w:rsidRPr="00025399">
        <w:rPr>
          <w:rFonts w:cs="Arial"/>
          <w:i/>
        </w:rPr>
        <w:t xml:space="preserve"> treatment… So</w:t>
      </w:r>
      <w:r w:rsidR="00EC7FBB">
        <w:rPr>
          <w:rFonts w:cs="Arial"/>
          <w:i/>
        </w:rPr>
        <w:t>,</w:t>
      </w:r>
      <w:r w:rsidRPr="00025399">
        <w:rPr>
          <w:rFonts w:cs="Arial"/>
          <w:i/>
        </w:rPr>
        <w:t xml:space="preserve"> it is better to </w:t>
      </w:r>
      <w:r w:rsidR="00D816F7" w:rsidRPr="00025399">
        <w:rPr>
          <w:rFonts w:cs="Arial"/>
          <w:i/>
        </w:rPr>
        <w:t xml:space="preserve">just to </w:t>
      </w:r>
      <w:r w:rsidRPr="00025399">
        <w:rPr>
          <w:rFonts w:cs="Arial"/>
          <w:i/>
        </w:rPr>
        <w:t>kill us. I said, “Please giv</w:t>
      </w:r>
      <w:r w:rsidR="00385E95" w:rsidRPr="00025399">
        <w:rPr>
          <w:rFonts w:cs="Arial"/>
          <w:i/>
        </w:rPr>
        <w:t>e</w:t>
      </w:r>
      <w:r w:rsidRPr="00025399">
        <w:rPr>
          <w:rFonts w:cs="Arial"/>
          <w:i/>
        </w:rPr>
        <w:t xml:space="preserve"> an injection to kill me. We are not </w:t>
      </w:r>
      <w:r w:rsidR="00D816F7" w:rsidRPr="00025399">
        <w:rPr>
          <w:rFonts w:cs="Arial"/>
          <w:i/>
        </w:rPr>
        <w:t>a</w:t>
      </w:r>
      <w:r w:rsidRPr="00025399">
        <w:rPr>
          <w:rFonts w:cs="Arial"/>
          <w:i/>
        </w:rPr>
        <w:t xml:space="preserve">ble to </w:t>
      </w:r>
      <w:r w:rsidR="00D816F7" w:rsidRPr="00025399">
        <w:rPr>
          <w:rFonts w:cs="Arial"/>
          <w:i/>
        </w:rPr>
        <w:t xml:space="preserve">stay </w:t>
      </w:r>
      <w:r w:rsidRPr="00025399">
        <w:rPr>
          <w:rFonts w:cs="Arial"/>
          <w:i/>
        </w:rPr>
        <w:t xml:space="preserve">in this society. So, kill us.” </w:t>
      </w:r>
      <w:r w:rsidR="00251299" w:rsidRPr="00025399">
        <w:rPr>
          <w:rFonts w:cs="Arial"/>
          <w:i/>
        </w:rPr>
        <w:t>(</w:t>
      </w:r>
      <w:r w:rsidR="00D816F7" w:rsidRPr="00025399">
        <w:rPr>
          <w:rFonts w:cs="Arial"/>
          <w:i/>
        </w:rPr>
        <w:t>TBP</w:t>
      </w:r>
      <w:r w:rsidR="00BD7BA2">
        <w:rPr>
          <w:rFonts w:cs="Arial"/>
          <w:i/>
        </w:rPr>
        <w:t>F</w:t>
      </w:r>
      <w:r w:rsidR="00D816F7" w:rsidRPr="00025399">
        <w:rPr>
          <w:rFonts w:cs="Arial"/>
          <w:i/>
        </w:rPr>
        <w:t>02</w:t>
      </w:r>
      <w:r w:rsidR="00EC7FBB">
        <w:rPr>
          <w:rFonts w:cs="Arial"/>
          <w:i/>
        </w:rPr>
        <w:t xml:space="preserve">, MDR-TB </w:t>
      </w:r>
      <w:r w:rsidRPr="00025399">
        <w:rPr>
          <w:rFonts w:cs="Arial"/>
          <w:i/>
        </w:rPr>
        <w:t>patient</w:t>
      </w:r>
      <w:r w:rsidR="00EC7FBB">
        <w:rPr>
          <w:rFonts w:cs="Arial"/>
          <w:i/>
        </w:rPr>
        <w:t>, female</w:t>
      </w:r>
      <w:r w:rsidR="00251299" w:rsidRPr="00025399">
        <w:rPr>
          <w:rFonts w:cs="Arial"/>
          <w:i/>
        </w:rPr>
        <w:t>)</w:t>
      </w:r>
    </w:p>
    <w:p w14:paraId="0B0C615F" w14:textId="579D079A" w:rsidR="00753E6E" w:rsidRPr="00025399" w:rsidRDefault="00753E6E">
      <w:pPr>
        <w:rPr>
          <w:rFonts w:cs="Arial"/>
        </w:rPr>
      </w:pPr>
      <w:r w:rsidRPr="00025399">
        <w:rPr>
          <w:rFonts w:cs="Arial"/>
        </w:rPr>
        <w:t>Patients had the option to leave the ward to buy food in the stalls near to the hospital, however this brought its own challenges:</w:t>
      </w:r>
    </w:p>
    <w:p w14:paraId="7A815C56" w14:textId="2D54FA10" w:rsidR="00753E6E" w:rsidRPr="00025399" w:rsidRDefault="002554E4" w:rsidP="00753E6E">
      <w:pPr>
        <w:rPr>
          <w:rFonts w:cs="Arial"/>
          <w:i/>
        </w:rPr>
      </w:pPr>
      <w:r w:rsidRPr="00025399">
        <w:rPr>
          <w:rFonts w:cs="Arial"/>
          <w:i/>
        </w:rPr>
        <w:t>“</w:t>
      </w:r>
      <w:r w:rsidR="00753E6E" w:rsidRPr="00025399">
        <w:rPr>
          <w:rFonts w:cs="Arial"/>
          <w:i/>
        </w:rPr>
        <w:t xml:space="preserve">I </w:t>
      </w:r>
      <w:r w:rsidRPr="00025399">
        <w:rPr>
          <w:rFonts w:cs="Arial"/>
          <w:i/>
        </w:rPr>
        <w:t xml:space="preserve">don’t </w:t>
      </w:r>
      <w:r w:rsidR="00753E6E" w:rsidRPr="00025399">
        <w:rPr>
          <w:rFonts w:cs="Arial"/>
          <w:i/>
        </w:rPr>
        <w:t xml:space="preserve">tell them </w:t>
      </w:r>
      <w:r w:rsidRPr="00025399">
        <w:rPr>
          <w:rFonts w:cs="Arial"/>
          <w:i/>
        </w:rPr>
        <w:t xml:space="preserve">[shop-keepers] </w:t>
      </w:r>
      <w:r w:rsidR="00753E6E" w:rsidRPr="00025399">
        <w:rPr>
          <w:rFonts w:cs="Arial"/>
          <w:i/>
        </w:rPr>
        <w:t>about my condition. But if I wear a mask then they do not let me shop or even serve food</w:t>
      </w:r>
      <w:r w:rsidRPr="00025399">
        <w:rPr>
          <w:rFonts w:cs="Arial"/>
        </w:rPr>
        <w:t xml:space="preserve">… </w:t>
      </w:r>
      <w:r w:rsidRPr="00025399">
        <w:rPr>
          <w:rFonts w:cs="Arial"/>
          <w:i/>
        </w:rPr>
        <w:t xml:space="preserve">I feel terrible. I can’t even go out and get a haircut or get a shave. If we go out to nearby shops for buying </w:t>
      </w:r>
      <w:r w:rsidR="00385E95" w:rsidRPr="00025399">
        <w:rPr>
          <w:rFonts w:cs="Arial"/>
          <w:i/>
        </w:rPr>
        <w:t>groceries,</w:t>
      </w:r>
      <w:r w:rsidRPr="00025399">
        <w:rPr>
          <w:rFonts w:cs="Arial"/>
          <w:i/>
        </w:rPr>
        <w:t xml:space="preserve"> then we </w:t>
      </w:r>
      <w:proofErr w:type="gramStart"/>
      <w:r w:rsidRPr="00025399">
        <w:rPr>
          <w:rFonts w:cs="Arial"/>
          <w:i/>
        </w:rPr>
        <w:t>have to</w:t>
      </w:r>
      <w:proofErr w:type="gramEnd"/>
      <w:r w:rsidRPr="00025399">
        <w:rPr>
          <w:rFonts w:cs="Arial"/>
          <w:i/>
        </w:rPr>
        <w:t xml:space="preserve"> either take the mask off or they won’t allow us to get close to them…</w:t>
      </w:r>
      <w:r w:rsidRPr="00025399">
        <w:rPr>
          <w:rFonts w:cs="Arial"/>
        </w:rPr>
        <w:t xml:space="preserve"> </w:t>
      </w:r>
      <w:r w:rsidRPr="00025399">
        <w:rPr>
          <w:rFonts w:cs="Arial"/>
          <w:i/>
        </w:rPr>
        <w:t>It seems like death is a better option than being treated like this.” (TB</w:t>
      </w:r>
      <w:r w:rsidR="00AC7256">
        <w:rPr>
          <w:rFonts w:cs="Arial"/>
          <w:i/>
        </w:rPr>
        <w:t>P</w:t>
      </w:r>
      <w:r w:rsidRPr="00025399">
        <w:rPr>
          <w:rFonts w:cs="Arial"/>
          <w:i/>
        </w:rPr>
        <w:t>M03</w:t>
      </w:r>
      <w:r w:rsidR="00EC7FBB">
        <w:rPr>
          <w:rFonts w:cs="Arial"/>
          <w:i/>
        </w:rPr>
        <w:t>,</w:t>
      </w:r>
      <w:r w:rsidRPr="00025399">
        <w:rPr>
          <w:rFonts w:cs="Arial"/>
          <w:i/>
        </w:rPr>
        <w:t xml:space="preserve"> </w:t>
      </w:r>
      <w:r w:rsidR="00EC7FBB" w:rsidRPr="00EC7FBB">
        <w:rPr>
          <w:rFonts w:cs="Arial"/>
          <w:i/>
        </w:rPr>
        <w:t>MDR-TB patient</w:t>
      </w:r>
      <w:r w:rsidR="00EC7FBB">
        <w:rPr>
          <w:rFonts w:cs="Arial"/>
          <w:i/>
        </w:rPr>
        <w:t>,</w:t>
      </w:r>
      <w:r w:rsidR="00EC7FBB" w:rsidRPr="00EC7FBB">
        <w:rPr>
          <w:rFonts w:cs="Arial"/>
          <w:i/>
        </w:rPr>
        <w:t xml:space="preserve"> </w:t>
      </w:r>
      <w:r w:rsidRPr="00025399">
        <w:rPr>
          <w:rFonts w:cs="Arial"/>
          <w:i/>
        </w:rPr>
        <w:t>male</w:t>
      </w:r>
      <w:r w:rsidR="00EC7FBB">
        <w:rPr>
          <w:rFonts w:cs="Arial"/>
          <w:i/>
        </w:rPr>
        <w:t>)</w:t>
      </w:r>
    </w:p>
    <w:p w14:paraId="659C521D" w14:textId="138CBE5C" w:rsidR="00EA2025" w:rsidRPr="00025399" w:rsidRDefault="002554E4">
      <w:pPr>
        <w:rPr>
          <w:rFonts w:cs="Arial"/>
          <w:i/>
        </w:rPr>
      </w:pPr>
      <w:r w:rsidRPr="00025399">
        <w:rPr>
          <w:rFonts w:cs="Arial"/>
          <w:i/>
        </w:rPr>
        <w:t>Peer support</w:t>
      </w:r>
    </w:p>
    <w:p w14:paraId="1F3A1104" w14:textId="2AEFA372" w:rsidR="00821ACE" w:rsidRPr="00025399" w:rsidRDefault="003C5E9A">
      <w:pPr>
        <w:rPr>
          <w:rFonts w:cs="Arial"/>
        </w:rPr>
      </w:pPr>
      <w:r w:rsidRPr="00025399">
        <w:rPr>
          <w:rFonts w:eastAsia="Times New Roman" w:cs="Arial"/>
          <w:lang w:val="en-US" w:bidi="bn-IN"/>
        </w:rPr>
        <w:t>Despite the challenges of living away from home as an in-patient,</w:t>
      </w:r>
      <w:r w:rsidR="00A149AF" w:rsidRPr="00025399">
        <w:rPr>
          <w:rFonts w:eastAsia="Times New Roman" w:cs="Arial"/>
          <w:lang w:val="en-US" w:bidi="bn-IN"/>
        </w:rPr>
        <w:t xml:space="preserve"> </w:t>
      </w:r>
      <w:proofErr w:type="gramStart"/>
      <w:r w:rsidRPr="00025399">
        <w:rPr>
          <w:rFonts w:eastAsia="Times New Roman" w:cs="Arial"/>
          <w:lang w:val="en-US" w:bidi="bn-IN"/>
        </w:rPr>
        <w:t xml:space="preserve">the </w:t>
      </w:r>
      <w:r w:rsidR="00A149AF" w:rsidRPr="00025399">
        <w:rPr>
          <w:rFonts w:eastAsia="Times New Roman" w:cs="Arial"/>
          <w:lang w:val="en-US" w:bidi="bn-IN"/>
        </w:rPr>
        <w:t>majority of</w:t>
      </w:r>
      <w:proofErr w:type="gramEnd"/>
      <w:r w:rsidR="00A149AF" w:rsidRPr="00025399">
        <w:rPr>
          <w:rFonts w:eastAsia="Times New Roman" w:cs="Arial"/>
          <w:lang w:val="en-US" w:bidi="bn-IN"/>
        </w:rPr>
        <w:t xml:space="preserve"> </w:t>
      </w:r>
      <w:r w:rsidRPr="00025399">
        <w:rPr>
          <w:rFonts w:eastAsia="Times New Roman" w:cs="Arial"/>
          <w:lang w:val="en-US" w:bidi="bn-IN"/>
        </w:rPr>
        <w:t>patients</w:t>
      </w:r>
      <w:r w:rsidR="002C360F" w:rsidRPr="00025399">
        <w:rPr>
          <w:rFonts w:eastAsia="Times New Roman" w:cs="Arial"/>
          <w:lang w:val="en-US" w:bidi="bn-IN"/>
        </w:rPr>
        <w:t>,</w:t>
      </w:r>
      <w:r w:rsidRPr="00025399">
        <w:rPr>
          <w:rFonts w:eastAsia="Times New Roman" w:cs="Arial"/>
          <w:lang w:val="en-US" w:bidi="bn-IN"/>
        </w:rPr>
        <w:t xml:space="preserve"> male and female</w:t>
      </w:r>
      <w:r w:rsidR="002554E4" w:rsidRPr="00025399">
        <w:rPr>
          <w:rFonts w:eastAsia="Times New Roman" w:cs="Arial"/>
          <w:lang w:val="en-US" w:bidi="bn-IN"/>
        </w:rPr>
        <w:t>,</w:t>
      </w:r>
      <w:r w:rsidRPr="00025399">
        <w:rPr>
          <w:rFonts w:eastAsia="Times New Roman" w:cs="Arial"/>
          <w:lang w:val="en-US" w:bidi="bn-IN"/>
        </w:rPr>
        <w:t xml:space="preserve"> shared </w:t>
      </w:r>
      <w:r w:rsidR="00A149AF" w:rsidRPr="00025399">
        <w:rPr>
          <w:rFonts w:eastAsia="Times New Roman" w:cs="Arial"/>
          <w:lang w:val="en-US" w:bidi="bn-IN"/>
        </w:rPr>
        <w:t xml:space="preserve">positive experiences of the peer support among patients on the ward. </w:t>
      </w:r>
      <w:r w:rsidR="00385E95" w:rsidRPr="00025399">
        <w:rPr>
          <w:rFonts w:eastAsia="Times New Roman" w:cs="Arial"/>
          <w:lang w:val="en-US" w:bidi="bn-IN"/>
        </w:rPr>
        <w:t>O</w:t>
      </w:r>
      <w:r w:rsidR="00A149AF" w:rsidRPr="00025399">
        <w:rPr>
          <w:rFonts w:eastAsia="Times New Roman" w:cs="Arial"/>
          <w:lang w:val="en-US" w:bidi="bn-IN"/>
        </w:rPr>
        <w:t xml:space="preserve">ne young female patient described how she and an older patient supported each other through times of </w:t>
      </w:r>
      <w:r w:rsidR="00385E95" w:rsidRPr="00025399">
        <w:rPr>
          <w:rFonts w:eastAsia="Times New Roman" w:cs="Arial"/>
          <w:lang w:val="en-US" w:bidi="bn-IN"/>
        </w:rPr>
        <w:t>low mood</w:t>
      </w:r>
      <w:r w:rsidR="00A149AF" w:rsidRPr="00025399">
        <w:rPr>
          <w:rFonts w:eastAsia="Times New Roman" w:cs="Arial"/>
          <w:lang w:val="en-US" w:bidi="bn-IN"/>
        </w:rPr>
        <w:t xml:space="preserve"> and optimism</w:t>
      </w:r>
      <w:r w:rsidR="002554E4" w:rsidRPr="00025399">
        <w:rPr>
          <w:rFonts w:eastAsia="Times New Roman" w:cs="Arial"/>
          <w:lang w:val="en-US" w:bidi="bn-IN"/>
        </w:rPr>
        <w:t>:</w:t>
      </w:r>
      <w:r w:rsidR="00A149AF" w:rsidRPr="00025399">
        <w:rPr>
          <w:rFonts w:eastAsia="Times New Roman" w:cs="Arial"/>
          <w:lang w:val="en-US" w:bidi="bn-IN"/>
        </w:rPr>
        <w:t xml:space="preserve"> </w:t>
      </w:r>
    </w:p>
    <w:p w14:paraId="404B0840" w14:textId="1DC7437A" w:rsidR="00A149AF" w:rsidRPr="00025399" w:rsidRDefault="00A149AF" w:rsidP="00A149AF">
      <w:pPr>
        <w:rPr>
          <w:rFonts w:cs="Arial"/>
          <w:i/>
        </w:rPr>
      </w:pPr>
      <w:r w:rsidRPr="00025399">
        <w:rPr>
          <w:rFonts w:cs="Arial"/>
          <w:i/>
        </w:rPr>
        <w:t>“But after a while, she went into depression like me. She didn’t eat or do anything. But then, some of my</w:t>
      </w:r>
      <w:r w:rsidR="00180AE3">
        <w:rPr>
          <w:rFonts w:cs="Arial"/>
          <w:i/>
        </w:rPr>
        <w:t xml:space="preserve"> medical</w:t>
      </w:r>
      <w:r w:rsidRPr="00025399">
        <w:rPr>
          <w:rFonts w:cs="Arial"/>
          <w:i/>
        </w:rPr>
        <w:t xml:space="preserve"> reports started coming good. I was </w:t>
      </w:r>
      <w:r w:rsidR="00180AE3">
        <w:rPr>
          <w:rFonts w:cs="Arial"/>
          <w:i/>
        </w:rPr>
        <w:t>about to be</w:t>
      </w:r>
      <w:r w:rsidRPr="00025399">
        <w:rPr>
          <w:rFonts w:cs="Arial"/>
          <w:i/>
        </w:rPr>
        <w:t xml:space="preserve"> released. So, then I told her: “Grandma, we had the same situation, we both felt depressed, that is why my reports weren’t coming good. Then I made her understood. It seemed like she was listening to me. She was also staying cheerful like me, eating food. Since all </w:t>
      </w:r>
      <w:r w:rsidR="00180AE3">
        <w:rPr>
          <w:rFonts w:cs="Arial"/>
          <w:i/>
        </w:rPr>
        <w:t xml:space="preserve">of us patients </w:t>
      </w:r>
      <w:r w:rsidRPr="00025399">
        <w:rPr>
          <w:rFonts w:cs="Arial"/>
          <w:i/>
        </w:rPr>
        <w:t xml:space="preserve">were staying together like a family, so if one person was told, others also listened and followed. So, their conditions improved too.” </w:t>
      </w:r>
      <w:r w:rsidR="00385E95" w:rsidRPr="00025399">
        <w:rPr>
          <w:rFonts w:cs="Arial"/>
          <w:i/>
        </w:rPr>
        <w:t>(</w:t>
      </w:r>
      <w:r w:rsidR="00EC7FBB">
        <w:rPr>
          <w:rFonts w:cs="Arial"/>
          <w:i/>
        </w:rPr>
        <w:t xml:space="preserve">CPF02, </w:t>
      </w:r>
      <w:r w:rsidR="00385E95" w:rsidRPr="00025399">
        <w:rPr>
          <w:rFonts w:cs="Arial"/>
          <w:i/>
        </w:rPr>
        <w:t>c</w:t>
      </w:r>
      <w:r w:rsidRPr="00025399">
        <w:rPr>
          <w:rFonts w:cs="Arial"/>
          <w:i/>
        </w:rPr>
        <w:t>ured</w:t>
      </w:r>
      <w:r w:rsidR="00EC7FBB">
        <w:rPr>
          <w:rFonts w:cs="Arial"/>
          <w:i/>
        </w:rPr>
        <w:t xml:space="preserve"> </w:t>
      </w:r>
      <w:r w:rsidR="00EC7FBB" w:rsidRPr="00EC7FBB">
        <w:rPr>
          <w:rFonts w:cs="Arial"/>
          <w:i/>
        </w:rPr>
        <w:t>MDR-TB patient</w:t>
      </w:r>
      <w:r w:rsidR="00EC7FBB">
        <w:rPr>
          <w:rFonts w:cs="Arial"/>
          <w:i/>
        </w:rPr>
        <w:t>, female</w:t>
      </w:r>
      <w:r w:rsidR="00385E95" w:rsidRPr="00025399">
        <w:rPr>
          <w:rFonts w:cs="Arial"/>
          <w:i/>
        </w:rPr>
        <w:t>)</w:t>
      </w:r>
    </w:p>
    <w:p w14:paraId="76C0B69F" w14:textId="11A2259F" w:rsidR="00A149AF" w:rsidRPr="00025399" w:rsidRDefault="002554E4" w:rsidP="00A149AF">
      <w:pPr>
        <w:rPr>
          <w:rFonts w:cs="Arial"/>
        </w:rPr>
      </w:pPr>
      <w:r w:rsidRPr="00025399">
        <w:rPr>
          <w:rFonts w:cs="Arial"/>
        </w:rPr>
        <w:t>Patients and carers described patients chatting, singing songs and supporting each other, as explained by this wife caring for her husband</w:t>
      </w:r>
      <w:r w:rsidR="00A149AF" w:rsidRPr="00025399">
        <w:rPr>
          <w:rFonts w:cs="Arial"/>
        </w:rPr>
        <w:t>:</w:t>
      </w:r>
    </w:p>
    <w:p w14:paraId="02A6C344" w14:textId="0DD23655" w:rsidR="00BB0B31" w:rsidRPr="00025399" w:rsidRDefault="002A4765" w:rsidP="00BB0B31">
      <w:pPr>
        <w:rPr>
          <w:rFonts w:cs="Arial"/>
          <w:i/>
        </w:rPr>
      </w:pPr>
      <w:r w:rsidRPr="00025399">
        <w:rPr>
          <w:rFonts w:cs="Arial"/>
          <w:i/>
        </w:rPr>
        <w:t>“</w:t>
      </w:r>
      <w:r w:rsidR="00BB0B31" w:rsidRPr="00025399">
        <w:rPr>
          <w:rFonts w:cs="Arial"/>
          <w:i/>
        </w:rPr>
        <w:t xml:space="preserve">Sometimes we see that one </w:t>
      </w:r>
      <w:r w:rsidR="00385E95" w:rsidRPr="00025399">
        <w:rPr>
          <w:rFonts w:cs="Arial"/>
          <w:i/>
        </w:rPr>
        <w:t xml:space="preserve">[patient] </w:t>
      </w:r>
      <w:r w:rsidR="00BB0B31" w:rsidRPr="00025399">
        <w:rPr>
          <w:rFonts w:cs="Arial"/>
          <w:i/>
        </w:rPr>
        <w:t xml:space="preserve">is singing and </w:t>
      </w:r>
      <w:proofErr w:type="gramStart"/>
      <w:r w:rsidR="00BB0B31" w:rsidRPr="00025399">
        <w:rPr>
          <w:rFonts w:cs="Arial"/>
          <w:i/>
        </w:rPr>
        <w:t>another</w:t>
      </w:r>
      <w:proofErr w:type="gramEnd"/>
      <w:r w:rsidR="00BB0B31" w:rsidRPr="00025399">
        <w:rPr>
          <w:rFonts w:cs="Arial"/>
          <w:i/>
        </w:rPr>
        <w:t xml:space="preserve"> joins in with another song in the middle. Then laughter breaks out among them. That helps them to feel relaxed and happy.</w:t>
      </w:r>
      <w:r w:rsidRPr="00025399">
        <w:rPr>
          <w:rFonts w:cs="Arial"/>
          <w:i/>
        </w:rPr>
        <w:t>”</w:t>
      </w:r>
      <w:r w:rsidR="00BB0B31" w:rsidRPr="00025399">
        <w:rPr>
          <w:rFonts w:cs="Arial"/>
          <w:i/>
        </w:rPr>
        <w:t xml:space="preserve"> </w:t>
      </w:r>
      <w:r w:rsidRPr="00025399">
        <w:rPr>
          <w:rFonts w:cs="Arial"/>
          <w:i/>
        </w:rPr>
        <w:t>(CGFP</w:t>
      </w:r>
      <w:r w:rsidR="00BB0B31" w:rsidRPr="00025399">
        <w:rPr>
          <w:rFonts w:cs="Arial"/>
          <w:i/>
        </w:rPr>
        <w:t>0</w:t>
      </w:r>
      <w:r w:rsidRPr="00025399">
        <w:rPr>
          <w:rFonts w:cs="Arial"/>
          <w:i/>
        </w:rPr>
        <w:t>2</w:t>
      </w:r>
      <w:r w:rsidR="00BD7BA2">
        <w:rPr>
          <w:rFonts w:cs="Arial"/>
          <w:i/>
        </w:rPr>
        <w:t>,</w:t>
      </w:r>
      <w:r w:rsidR="00BB0B31" w:rsidRPr="00025399">
        <w:rPr>
          <w:rFonts w:cs="Arial"/>
          <w:i/>
        </w:rPr>
        <w:t xml:space="preserve"> </w:t>
      </w:r>
      <w:r w:rsidR="00EC7FBB">
        <w:rPr>
          <w:rFonts w:cs="Arial"/>
          <w:i/>
        </w:rPr>
        <w:t>C</w:t>
      </w:r>
      <w:r w:rsidR="00BB0B31" w:rsidRPr="00025399">
        <w:rPr>
          <w:rFonts w:cs="Arial"/>
          <w:i/>
        </w:rPr>
        <w:t>are</w:t>
      </w:r>
      <w:r w:rsidR="00EC7FBB">
        <w:rPr>
          <w:rFonts w:cs="Arial"/>
          <w:i/>
        </w:rPr>
        <w:t>-</w:t>
      </w:r>
      <w:r w:rsidR="00BB0B31" w:rsidRPr="00025399">
        <w:rPr>
          <w:rFonts w:cs="Arial"/>
          <w:i/>
        </w:rPr>
        <w:t>giver</w:t>
      </w:r>
      <w:r w:rsidR="00EC7FBB">
        <w:rPr>
          <w:rFonts w:cs="Arial"/>
          <w:i/>
        </w:rPr>
        <w:t xml:space="preserve">, mother of </w:t>
      </w:r>
      <w:r w:rsidR="00EC7FBB" w:rsidRPr="00EC7FBB">
        <w:rPr>
          <w:rFonts w:cs="Arial"/>
          <w:i/>
        </w:rPr>
        <w:t>MDR-TB patient</w:t>
      </w:r>
      <w:r w:rsidRPr="00025399">
        <w:rPr>
          <w:rFonts w:cs="Arial"/>
          <w:i/>
        </w:rPr>
        <w:t>)</w:t>
      </w:r>
    </w:p>
    <w:p w14:paraId="41577B79" w14:textId="756C76AC" w:rsidR="003D5F53" w:rsidRPr="00025399" w:rsidRDefault="003D5F53" w:rsidP="00BB0B31">
      <w:pPr>
        <w:rPr>
          <w:rFonts w:cs="Arial"/>
        </w:rPr>
      </w:pPr>
      <w:r w:rsidRPr="00025399">
        <w:rPr>
          <w:rFonts w:cs="Arial"/>
        </w:rPr>
        <w:t xml:space="preserve">For those with limited support from relatives and friends outside the hospital this was </w:t>
      </w:r>
      <w:r w:rsidR="00EC7FBB" w:rsidRPr="00025399">
        <w:rPr>
          <w:rFonts w:cs="Arial"/>
        </w:rPr>
        <w:t>particularly</w:t>
      </w:r>
      <w:r w:rsidRPr="00025399">
        <w:rPr>
          <w:rFonts w:cs="Arial"/>
        </w:rPr>
        <w:t xml:space="preserve"> important, as one cured patient recalls:</w:t>
      </w:r>
    </w:p>
    <w:p w14:paraId="09BD5A4F" w14:textId="74CCFA4C" w:rsidR="003D5F53" w:rsidRPr="00180AE3" w:rsidRDefault="003D5F53" w:rsidP="00BB0B31">
      <w:pPr>
        <w:rPr>
          <w:rFonts w:cs="Arial"/>
          <w:i/>
          <w:iCs/>
        </w:rPr>
      </w:pPr>
      <w:r w:rsidRPr="00180AE3">
        <w:rPr>
          <w:rFonts w:cs="Arial"/>
          <w:i/>
          <w:iCs/>
        </w:rPr>
        <w:t>“I had good relations with the other patients. Since I was away from my own family, they were like family to me.” (</w:t>
      </w:r>
      <w:r w:rsidR="00BD7BA2" w:rsidRPr="00180AE3">
        <w:rPr>
          <w:rFonts w:cs="Arial"/>
          <w:i/>
          <w:iCs/>
        </w:rPr>
        <w:t>CPF01, C</w:t>
      </w:r>
      <w:r w:rsidRPr="00180AE3">
        <w:rPr>
          <w:rFonts w:cs="Arial"/>
          <w:i/>
          <w:iCs/>
        </w:rPr>
        <w:t>ured</w:t>
      </w:r>
      <w:r w:rsidR="00BD7BA2" w:rsidRPr="00180AE3">
        <w:rPr>
          <w:rFonts w:cs="Arial"/>
          <w:i/>
          <w:iCs/>
        </w:rPr>
        <w:t xml:space="preserve"> MDR-TB patient,</w:t>
      </w:r>
      <w:r w:rsidRPr="00180AE3">
        <w:rPr>
          <w:rFonts w:cs="Arial"/>
          <w:i/>
          <w:iCs/>
        </w:rPr>
        <w:t xml:space="preserve"> female)</w:t>
      </w:r>
    </w:p>
    <w:p w14:paraId="09F74FDB" w14:textId="0D50D813" w:rsidR="000F7530" w:rsidRPr="00025399" w:rsidRDefault="00753E6E" w:rsidP="00A22374">
      <w:pPr>
        <w:rPr>
          <w:rFonts w:cs="Arial"/>
        </w:rPr>
      </w:pPr>
      <w:r w:rsidRPr="00025399">
        <w:rPr>
          <w:rFonts w:cs="Arial"/>
        </w:rPr>
        <w:t xml:space="preserve">The close connections established between patients </w:t>
      </w:r>
      <w:r w:rsidR="0023384B" w:rsidRPr="00025399">
        <w:rPr>
          <w:rFonts w:cs="Arial"/>
        </w:rPr>
        <w:t xml:space="preserve">meant that seeing </w:t>
      </w:r>
      <w:r w:rsidR="00133D12" w:rsidRPr="00025399">
        <w:rPr>
          <w:rFonts w:cs="Arial"/>
        </w:rPr>
        <w:t>each other’s</w:t>
      </w:r>
      <w:r w:rsidR="00385E95" w:rsidRPr="00025399">
        <w:rPr>
          <w:rFonts w:cs="Arial"/>
        </w:rPr>
        <w:t xml:space="preserve"> </w:t>
      </w:r>
      <w:r w:rsidR="0023384B" w:rsidRPr="00025399">
        <w:rPr>
          <w:rFonts w:cs="Arial"/>
        </w:rPr>
        <w:t xml:space="preserve">suffering and </w:t>
      </w:r>
      <w:r w:rsidR="00385E95" w:rsidRPr="00025399">
        <w:rPr>
          <w:rFonts w:cs="Arial"/>
        </w:rPr>
        <w:t xml:space="preserve">even </w:t>
      </w:r>
      <w:r w:rsidR="0023384B" w:rsidRPr="00025399">
        <w:rPr>
          <w:rFonts w:cs="Arial"/>
        </w:rPr>
        <w:t>death</w:t>
      </w:r>
      <w:r w:rsidR="00385E95" w:rsidRPr="00025399">
        <w:rPr>
          <w:rFonts w:cs="Arial"/>
        </w:rPr>
        <w:t>,</w:t>
      </w:r>
      <w:r w:rsidR="0023384B" w:rsidRPr="00025399">
        <w:rPr>
          <w:rFonts w:cs="Arial"/>
        </w:rPr>
        <w:t xml:space="preserve"> was particularly affecting, as this cured patient remembers:</w:t>
      </w:r>
    </w:p>
    <w:p w14:paraId="6FBF37A8" w14:textId="5620ECEA" w:rsidR="000F7530" w:rsidRPr="00025399" w:rsidRDefault="000F7530" w:rsidP="00A22374">
      <w:pPr>
        <w:rPr>
          <w:rFonts w:cs="Arial"/>
          <w:i/>
        </w:rPr>
      </w:pPr>
      <w:r w:rsidRPr="00025399">
        <w:rPr>
          <w:rFonts w:cs="Arial"/>
          <w:i/>
        </w:rPr>
        <w:t>“Many have died in front of my eyes in the ward. I used to see many people die from the ward beside ours.  By seeing these people</w:t>
      </w:r>
      <w:r w:rsidR="00133D12" w:rsidRPr="00025399">
        <w:rPr>
          <w:rFonts w:cs="Arial"/>
          <w:i/>
        </w:rPr>
        <w:t>,</w:t>
      </w:r>
      <w:r w:rsidRPr="00025399">
        <w:rPr>
          <w:rFonts w:cs="Arial"/>
          <w:i/>
        </w:rPr>
        <w:t xml:space="preserve"> </w:t>
      </w:r>
      <w:r w:rsidR="0023384B" w:rsidRPr="00025399">
        <w:rPr>
          <w:rFonts w:cs="Arial"/>
          <w:i/>
        </w:rPr>
        <w:t>I have known… I felt</w:t>
      </w:r>
      <w:r w:rsidRPr="00025399">
        <w:rPr>
          <w:rFonts w:cs="Arial"/>
          <w:i/>
        </w:rPr>
        <w:t xml:space="preserve"> more broken mentally.” </w:t>
      </w:r>
      <w:r w:rsidR="00133D12" w:rsidRPr="00025399">
        <w:rPr>
          <w:rFonts w:cs="Arial"/>
          <w:i/>
        </w:rPr>
        <w:t>(</w:t>
      </w:r>
      <w:r w:rsidR="00BD7BA2">
        <w:rPr>
          <w:rFonts w:cs="Arial"/>
          <w:i/>
        </w:rPr>
        <w:t xml:space="preserve">CPM02, </w:t>
      </w:r>
      <w:r w:rsidRPr="00025399">
        <w:rPr>
          <w:rFonts w:cs="Arial"/>
          <w:i/>
        </w:rPr>
        <w:t xml:space="preserve">Cured </w:t>
      </w:r>
      <w:r w:rsidR="00BD7BA2" w:rsidRPr="00BD7BA2">
        <w:rPr>
          <w:rFonts w:cs="Arial"/>
          <w:i/>
        </w:rPr>
        <w:t>MDR-TB patient</w:t>
      </w:r>
      <w:r w:rsidR="00BD7BA2">
        <w:rPr>
          <w:rFonts w:cs="Arial"/>
          <w:i/>
        </w:rPr>
        <w:t xml:space="preserve">, </w:t>
      </w:r>
      <w:r w:rsidRPr="00025399">
        <w:rPr>
          <w:rFonts w:cs="Arial"/>
          <w:i/>
        </w:rPr>
        <w:t>male</w:t>
      </w:r>
      <w:r w:rsidR="00133D12" w:rsidRPr="00025399">
        <w:rPr>
          <w:rFonts w:cs="Arial"/>
          <w:i/>
        </w:rPr>
        <w:t>)</w:t>
      </w:r>
    </w:p>
    <w:p w14:paraId="75BEE217" w14:textId="3D1F0CF6" w:rsidR="000F57FB" w:rsidRPr="00906BA8" w:rsidRDefault="00BB0B31">
      <w:pPr>
        <w:rPr>
          <w:rFonts w:cs="Arial"/>
          <w:b/>
          <w:bCs/>
          <w:i/>
        </w:rPr>
      </w:pPr>
      <w:r w:rsidRPr="00906BA8">
        <w:rPr>
          <w:rFonts w:cs="Arial"/>
          <w:b/>
          <w:bCs/>
          <w:i/>
        </w:rPr>
        <w:t xml:space="preserve">Institutional </w:t>
      </w:r>
    </w:p>
    <w:p w14:paraId="0AA37735" w14:textId="524F1820" w:rsidR="002C360F" w:rsidRPr="00025399" w:rsidRDefault="002C360F">
      <w:pPr>
        <w:rPr>
          <w:rFonts w:cs="Arial"/>
        </w:rPr>
      </w:pPr>
      <w:r w:rsidRPr="00025399">
        <w:rPr>
          <w:rFonts w:cs="Arial"/>
        </w:rPr>
        <w:t xml:space="preserve">The interviews with doctors and nurses </w:t>
      </w:r>
      <w:r w:rsidR="00133D12" w:rsidRPr="00025399">
        <w:rPr>
          <w:rFonts w:cs="Arial"/>
        </w:rPr>
        <w:t>showed that while they recognised that many patients would be depressed throughout their stay in hospital, only a very small minority would require treatment for depression</w:t>
      </w:r>
      <w:r w:rsidRPr="00025399">
        <w:rPr>
          <w:rFonts w:cs="Arial"/>
        </w:rPr>
        <w:t xml:space="preserve">: </w:t>
      </w:r>
    </w:p>
    <w:p w14:paraId="118C9759" w14:textId="786B25D2" w:rsidR="00870A4E" w:rsidRPr="00025399" w:rsidRDefault="00870A4E">
      <w:pPr>
        <w:rPr>
          <w:rFonts w:cs="Arial"/>
          <w:i/>
        </w:rPr>
      </w:pPr>
      <w:r w:rsidRPr="00025399">
        <w:rPr>
          <w:rFonts w:cs="Arial"/>
          <w:i/>
        </w:rPr>
        <w:t>“It is difficult to say this overall</w:t>
      </w:r>
      <w:r w:rsidR="002C360F" w:rsidRPr="00025399">
        <w:rPr>
          <w:rFonts w:cs="Arial"/>
          <w:i/>
        </w:rPr>
        <w:t>, but about</w:t>
      </w:r>
      <w:r w:rsidRPr="00025399">
        <w:rPr>
          <w:rFonts w:cs="Arial"/>
          <w:i/>
        </w:rPr>
        <w:t xml:space="preserve"> 1% or 2% of the patients may need treatment for depression. The patient generally stays </w:t>
      </w:r>
      <w:proofErr w:type="gramStart"/>
      <w:r w:rsidRPr="00025399">
        <w:rPr>
          <w:rFonts w:cs="Arial"/>
          <w:i/>
        </w:rPr>
        <w:t>more or less depressed</w:t>
      </w:r>
      <w:proofErr w:type="gramEnd"/>
      <w:r w:rsidRPr="00025399">
        <w:rPr>
          <w:rFonts w:cs="Arial"/>
          <w:i/>
        </w:rPr>
        <w:t xml:space="preserve"> through the entire period of the treatment starting from when the patient was first diagnosed with MDR-TB.” </w:t>
      </w:r>
      <w:r w:rsidR="00BD7BA2">
        <w:rPr>
          <w:rFonts w:cs="Arial"/>
          <w:i/>
        </w:rPr>
        <w:t>(</w:t>
      </w:r>
      <w:r w:rsidRPr="00025399">
        <w:rPr>
          <w:rFonts w:cs="Arial"/>
          <w:i/>
        </w:rPr>
        <w:t>DR01</w:t>
      </w:r>
      <w:r w:rsidR="00BD7BA2">
        <w:rPr>
          <w:rFonts w:cs="Arial"/>
          <w:i/>
        </w:rPr>
        <w:t>, Hospital doctor, male)</w:t>
      </w:r>
    </w:p>
    <w:p w14:paraId="5996DF30" w14:textId="41C72A51" w:rsidR="00870A4E" w:rsidRPr="00025399" w:rsidRDefault="00133D12">
      <w:pPr>
        <w:rPr>
          <w:rFonts w:cs="Arial"/>
        </w:rPr>
      </w:pPr>
      <w:r w:rsidRPr="00025399">
        <w:rPr>
          <w:rFonts w:cs="Arial"/>
        </w:rPr>
        <w:t xml:space="preserve">Given that 33.8% of patients were found to be depressed on the SCID assessment tool, the assumption that only 1-2% of patients required treatment is a significant underestimation. This is reflected in the responses from </w:t>
      </w:r>
      <w:r w:rsidR="00E71EFC" w:rsidRPr="00025399">
        <w:rPr>
          <w:rFonts w:cs="Arial"/>
        </w:rPr>
        <w:t>patients</w:t>
      </w:r>
      <w:r w:rsidR="0038384F" w:rsidRPr="00025399">
        <w:rPr>
          <w:rFonts w:cs="Arial"/>
        </w:rPr>
        <w:t xml:space="preserve">, who frequently expressed the view that </w:t>
      </w:r>
      <w:r w:rsidR="00E71EFC" w:rsidRPr="00025399">
        <w:rPr>
          <w:rFonts w:cs="Arial"/>
        </w:rPr>
        <w:t>health professionals were</w:t>
      </w:r>
      <w:r w:rsidR="0038384F" w:rsidRPr="00025399">
        <w:rPr>
          <w:rFonts w:cs="Arial"/>
        </w:rPr>
        <w:t xml:space="preserve"> not</w:t>
      </w:r>
      <w:r w:rsidR="00E71EFC" w:rsidRPr="00025399">
        <w:rPr>
          <w:rFonts w:cs="Arial"/>
        </w:rPr>
        <w:t xml:space="preserve"> </w:t>
      </w:r>
      <w:r w:rsidR="0038384F" w:rsidRPr="00025399">
        <w:rPr>
          <w:rFonts w:cs="Arial"/>
        </w:rPr>
        <w:t>p</w:t>
      </w:r>
      <w:r w:rsidR="00E71EFC" w:rsidRPr="00025399">
        <w:rPr>
          <w:rFonts w:cs="Arial"/>
        </w:rPr>
        <w:t>rovid</w:t>
      </w:r>
      <w:r w:rsidR="0038384F" w:rsidRPr="00025399">
        <w:rPr>
          <w:rFonts w:cs="Arial"/>
        </w:rPr>
        <w:t>ing</w:t>
      </w:r>
      <w:r w:rsidR="00E71EFC" w:rsidRPr="00025399">
        <w:rPr>
          <w:rFonts w:cs="Arial"/>
        </w:rPr>
        <w:t xml:space="preserve"> any support beyond the delivery of the </w:t>
      </w:r>
      <w:r w:rsidR="00161B7B">
        <w:rPr>
          <w:rFonts w:cs="Arial"/>
        </w:rPr>
        <w:t>MDR-TB</w:t>
      </w:r>
      <w:r w:rsidR="00E71EFC" w:rsidRPr="00025399">
        <w:rPr>
          <w:rFonts w:cs="Arial"/>
        </w:rPr>
        <w:t xml:space="preserve"> treatment: </w:t>
      </w:r>
    </w:p>
    <w:p w14:paraId="22A2ACF7" w14:textId="13FCF908" w:rsidR="00C76966" w:rsidRPr="00025399" w:rsidRDefault="00E71EFC">
      <w:pPr>
        <w:rPr>
          <w:rFonts w:cs="Arial"/>
          <w:i/>
        </w:rPr>
      </w:pPr>
      <w:r w:rsidRPr="00025399">
        <w:rPr>
          <w:rFonts w:cs="Arial"/>
          <w:i/>
        </w:rPr>
        <w:t>“</w:t>
      </w:r>
      <w:r w:rsidR="00C76966" w:rsidRPr="00025399">
        <w:rPr>
          <w:rFonts w:cs="Arial"/>
          <w:i/>
        </w:rPr>
        <w:t>If they came to us and spoke to us about our updates that would help. But they seldom come for that purpose. They visit only to administer medicine and injection.</w:t>
      </w:r>
      <w:r w:rsidR="00EA543C" w:rsidRPr="00025399">
        <w:rPr>
          <w:rFonts w:cs="Arial"/>
          <w:i/>
        </w:rPr>
        <w:t>,</w:t>
      </w:r>
      <w:r w:rsidR="00C76966" w:rsidRPr="00025399">
        <w:rPr>
          <w:rFonts w:cs="Arial"/>
          <w:i/>
        </w:rPr>
        <w:t xml:space="preserve"> they never visit us to ask us about our health, whether we are feeling better or worse.” </w:t>
      </w:r>
      <w:r w:rsidRPr="00025399">
        <w:rPr>
          <w:rFonts w:cs="Arial"/>
          <w:i/>
        </w:rPr>
        <w:t>(TB</w:t>
      </w:r>
      <w:r w:rsidR="00BD7BA2">
        <w:rPr>
          <w:rFonts w:cs="Arial"/>
          <w:i/>
        </w:rPr>
        <w:t>P</w:t>
      </w:r>
      <w:r w:rsidRPr="00025399">
        <w:rPr>
          <w:rFonts w:cs="Arial"/>
          <w:i/>
        </w:rPr>
        <w:t>M0</w:t>
      </w:r>
      <w:r w:rsidR="00BD7BA2">
        <w:rPr>
          <w:rFonts w:cs="Arial"/>
          <w:i/>
        </w:rPr>
        <w:t xml:space="preserve">1, </w:t>
      </w:r>
      <w:r w:rsidR="00BD7BA2" w:rsidRPr="00BD7BA2">
        <w:rPr>
          <w:rFonts w:cs="Arial"/>
          <w:i/>
        </w:rPr>
        <w:t>MDR-TB patient</w:t>
      </w:r>
      <w:r w:rsidR="00BD7BA2">
        <w:rPr>
          <w:rFonts w:cs="Arial"/>
          <w:i/>
        </w:rPr>
        <w:t>,</w:t>
      </w:r>
      <w:r w:rsidR="00C76966" w:rsidRPr="00025399">
        <w:rPr>
          <w:rFonts w:cs="Arial"/>
          <w:i/>
        </w:rPr>
        <w:t xml:space="preserve"> male</w:t>
      </w:r>
      <w:r w:rsidRPr="00025399">
        <w:rPr>
          <w:rFonts w:cs="Arial"/>
          <w:i/>
        </w:rPr>
        <w:t xml:space="preserve">) </w:t>
      </w:r>
    </w:p>
    <w:p w14:paraId="3820E7C1" w14:textId="7ABFA111" w:rsidR="00EA543C" w:rsidRPr="00025399" w:rsidRDefault="00EA543C" w:rsidP="00EA543C">
      <w:pPr>
        <w:rPr>
          <w:rFonts w:cs="Arial"/>
        </w:rPr>
      </w:pPr>
      <w:r w:rsidRPr="00025399">
        <w:rPr>
          <w:rFonts w:cs="Arial"/>
        </w:rPr>
        <w:t>Several patients went further in their criticisms of staff, including the cleaning staff</w:t>
      </w:r>
      <w:r w:rsidR="007F16BE" w:rsidRPr="00025399">
        <w:rPr>
          <w:rFonts w:cs="Arial"/>
        </w:rPr>
        <w:t xml:space="preserve">. </w:t>
      </w:r>
    </w:p>
    <w:p w14:paraId="6167A45D" w14:textId="00746130" w:rsidR="00D816F7" w:rsidRPr="00025399" w:rsidRDefault="00D816F7" w:rsidP="00D816F7">
      <w:pPr>
        <w:rPr>
          <w:rFonts w:cs="Arial"/>
        </w:rPr>
      </w:pPr>
      <w:r w:rsidRPr="00025399">
        <w:rPr>
          <w:rFonts w:cs="Arial"/>
          <w:i/>
        </w:rPr>
        <w:t xml:space="preserve">“Even the doctors </w:t>
      </w:r>
      <w:r w:rsidR="00EA543C" w:rsidRPr="00025399">
        <w:rPr>
          <w:rFonts w:cs="Arial"/>
          <w:i/>
        </w:rPr>
        <w:t>and</w:t>
      </w:r>
      <w:r w:rsidRPr="00025399">
        <w:rPr>
          <w:rFonts w:cs="Arial"/>
          <w:i/>
        </w:rPr>
        <w:t xml:space="preserve"> nurses</w:t>
      </w:r>
      <w:r w:rsidR="00EA543C" w:rsidRPr="00025399">
        <w:rPr>
          <w:rFonts w:cs="Arial"/>
          <w:i/>
        </w:rPr>
        <w:t>, e</w:t>
      </w:r>
      <w:r w:rsidRPr="00025399">
        <w:rPr>
          <w:rFonts w:cs="Arial"/>
          <w:i/>
        </w:rPr>
        <w:t xml:space="preserve">ven the </w:t>
      </w:r>
      <w:r w:rsidR="00EA543C" w:rsidRPr="00025399">
        <w:rPr>
          <w:rFonts w:cs="Arial"/>
          <w:i/>
        </w:rPr>
        <w:t>cleaning staff</w:t>
      </w:r>
      <w:r w:rsidRPr="00025399">
        <w:rPr>
          <w:rFonts w:cs="Arial"/>
          <w:i/>
        </w:rPr>
        <w:t xml:space="preserve"> hate us very much. Today, when we were going for sputum-specimen, the staff were also walking along</w:t>
      </w:r>
      <w:r w:rsidR="0038384F" w:rsidRPr="00025399">
        <w:rPr>
          <w:rFonts w:cs="Arial"/>
          <w:i/>
        </w:rPr>
        <w:t xml:space="preserve"> [near us]</w:t>
      </w:r>
      <w:r w:rsidRPr="00025399">
        <w:rPr>
          <w:rFonts w:cs="Arial"/>
          <w:i/>
        </w:rPr>
        <w:t xml:space="preserve">. They yelled, “Hey, why don’t you walk through </w:t>
      </w:r>
      <w:r w:rsidR="00EA543C" w:rsidRPr="00025399">
        <w:rPr>
          <w:rFonts w:cs="Arial"/>
          <w:i/>
        </w:rPr>
        <w:t>on the other</w:t>
      </w:r>
      <w:r w:rsidRPr="00025399">
        <w:rPr>
          <w:rFonts w:cs="Arial"/>
          <w:i/>
        </w:rPr>
        <w:t xml:space="preserve"> side?” </w:t>
      </w:r>
      <w:r w:rsidR="00EA543C" w:rsidRPr="00025399">
        <w:rPr>
          <w:rFonts w:cs="Arial"/>
          <w:i/>
        </w:rPr>
        <w:t>…</w:t>
      </w:r>
      <w:r w:rsidRPr="00025399">
        <w:rPr>
          <w:rFonts w:cs="Arial"/>
          <w:i/>
        </w:rPr>
        <w:t xml:space="preserve"> “MDR patients are barbarian</w:t>
      </w:r>
      <w:r w:rsidR="00180AE3">
        <w:rPr>
          <w:rFonts w:cs="Arial"/>
          <w:i/>
        </w:rPr>
        <w:t>s</w:t>
      </w:r>
      <w:r w:rsidRPr="00025399">
        <w:rPr>
          <w:rFonts w:cs="Arial"/>
          <w:i/>
        </w:rPr>
        <w:t xml:space="preserve">, they do not understand that their disease spreads.” </w:t>
      </w:r>
      <w:r w:rsidR="00EA543C" w:rsidRPr="00025399">
        <w:rPr>
          <w:rFonts w:cs="Arial"/>
          <w:i/>
        </w:rPr>
        <w:t>…</w:t>
      </w:r>
      <w:r w:rsidRPr="00025399">
        <w:rPr>
          <w:rFonts w:cs="Arial"/>
          <w:i/>
        </w:rPr>
        <w:t xml:space="preserve"> The staff hate us; so why do the</w:t>
      </w:r>
      <w:r w:rsidR="007F16BE" w:rsidRPr="00025399">
        <w:rPr>
          <w:rFonts w:cs="Arial"/>
          <w:i/>
        </w:rPr>
        <w:t>y</w:t>
      </w:r>
      <w:r w:rsidRPr="00025399">
        <w:rPr>
          <w:rFonts w:cs="Arial"/>
          <w:i/>
        </w:rPr>
        <w:t xml:space="preserve"> come to</w:t>
      </w:r>
      <w:r w:rsidR="007F16BE" w:rsidRPr="00025399">
        <w:rPr>
          <w:rFonts w:cs="Arial"/>
          <w:i/>
        </w:rPr>
        <w:t xml:space="preserve"> work in</w:t>
      </w:r>
      <w:r w:rsidRPr="00025399">
        <w:rPr>
          <w:rFonts w:cs="Arial"/>
          <w:i/>
        </w:rPr>
        <w:t xml:space="preserve"> this hospital? They know tha</w:t>
      </w:r>
      <w:r w:rsidR="0038384F" w:rsidRPr="00025399">
        <w:rPr>
          <w:rFonts w:cs="Arial"/>
          <w:i/>
        </w:rPr>
        <w:t>t</w:t>
      </w:r>
      <w:r w:rsidRPr="00025399">
        <w:rPr>
          <w:rFonts w:cs="Arial"/>
          <w:i/>
        </w:rPr>
        <w:t xml:space="preserve"> </w:t>
      </w:r>
      <w:r w:rsidR="007F16BE" w:rsidRPr="00025399">
        <w:rPr>
          <w:rFonts w:cs="Arial"/>
          <w:i/>
        </w:rPr>
        <w:t xml:space="preserve">there </w:t>
      </w:r>
      <w:r w:rsidRPr="00025399">
        <w:rPr>
          <w:rFonts w:cs="Arial"/>
          <w:i/>
        </w:rPr>
        <w:t xml:space="preserve">are </w:t>
      </w:r>
      <w:r w:rsidR="007F16BE" w:rsidRPr="00025399">
        <w:rPr>
          <w:rFonts w:cs="Arial"/>
          <w:i/>
        </w:rPr>
        <w:t>p</w:t>
      </w:r>
      <w:r w:rsidRPr="00025399">
        <w:rPr>
          <w:rFonts w:cs="Arial"/>
          <w:i/>
        </w:rPr>
        <w:t>atients</w:t>
      </w:r>
      <w:r w:rsidR="0038384F" w:rsidRPr="00025399">
        <w:rPr>
          <w:rFonts w:cs="Arial"/>
          <w:i/>
        </w:rPr>
        <w:t xml:space="preserve"> here, a</w:t>
      </w:r>
      <w:r w:rsidRPr="00025399">
        <w:rPr>
          <w:rFonts w:cs="Arial"/>
          <w:i/>
        </w:rPr>
        <w:t xml:space="preserve">nd they say heartless words in front of us; don’t </w:t>
      </w:r>
      <w:r w:rsidR="007F16BE" w:rsidRPr="00025399">
        <w:rPr>
          <w:rFonts w:cs="Arial"/>
          <w:i/>
        </w:rPr>
        <w:t xml:space="preserve">they understand </w:t>
      </w:r>
      <w:r w:rsidRPr="00025399">
        <w:rPr>
          <w:rFonts w:cs="Arial"/>
          <w:i/>
        </w:rPr>
        <w:t xml:space="preserve">we feel bad?” </w:t>
      </w:r>
      <w:r w:rsidR="007F16BE" w:rsidRPr="00025399">
        <w:rPr>
          <w:rFonts w:cs="Arial"/>
          <w:i/>
        </w:rPr>
        <w:t>(TB</w:t>
      </w:r>
      <w:r w:rsidR="00BD7BA2">
        <w:rPr>
          <w:rFonts w:cs="Arial"/>
          <w:i/>
        </w:rPr>
        <w:t>P</w:t>
      </w:r>
      <w:r w:rsidR="007F16BE" w:rsidRPr="00025399">
        <w:rPr>
          <w:rFonts w:cs="Arial"/>
          <w:i/>
        </w:rPr>
        <w:t>F02</w:t>
      </w:r>
      <w:r w:rsidR="00BD7BA2">
        <w:rPr>
          <w:rFonts w:cs="Arial"/>
          <w:i/>
        </w:rPr>
        <w:t xml:space="preserve">, </w:t>
      </w:r>
      <w:r w:rsidR="00BD7BA2" w:rsidRPr="00BD7BA2">
        <w:rPr>
          <w:rFonts w:cs="Arial"/>
          <w:i/>
        </w:rPr>
        <w:t>MDR-TB patient</w:t>
      </w:r>
      <w:r w:rsidR="00BD7BA2">
        <w:rPr>
          <w:rFonts w:cs="Arial"/>
          <w:i/>
        </w:rPr>
        <w:t>, f</w:t>
      </w:r>
      <w:r w:rsidRPr="00025399">
        <w:rPr>
          <w:rFonts w:cs="Arial"/>
          <w:i/>
        </w:rPr>
        <w:t>emale</w:t>
      </w:r>
      <w:r w:rsidR="00BD7BA2">
        <w:rPr>
          <w:rFonts w:cs="Arial"/>
          <w:i/>
        </w:rPr>
        <w:t>)</w:t>
      </w:r>
      <w:r w:rsidRPr="00025399">
        <w:rPr>
          <w:rFonts w:cs="Arial"/>
          <w:i/>
        </w:rPr>
        <w:t xml:space="preserve"> </w:t>
      </w:r>
    </w:p>
    <w:p w14:paraId="467BBF58" w14:textId="5B4CBFFC" w:rsidR="007F16BE" w:rsidRPr="00025399" w:rsidRDefault="007F16BE">
      <w:pPr>
        <w:rPr>
          <w:rFonts w:cs="Arial"/>
        </w:rPr>
      </w:pPr>
      <w:r w:rsidRPr="00025399">
        <w:rPr>
          <w:rFonts w:cs="Arial"/>
        </w:rPr>
        <w:t>The researcher</w:t>
      </w:r>
      <w:r w:rsidR="0038384F" w:rsidRPr="00025399">
        <w:rPr>
          <w:rFonts w:cs="Arial"/>
        </w:rPr>
        <w:t xml:space="preserve">s’ </w:t>
      </w:r>
      <w:r w:rsidRPr="00025399">
        <w:rPr>
          <w:rFonts w:cs="Arial"/>
        </w:rPr>
        <w:t xml:space="preserve">observations noted the reluctance of cleaning staff to clean the female bathrooms, feeling that this should be done by the women themselves. The male bathrooms were observed to be cleaner, whether this was due to the cleaning staff or the patients’ female care-givers, the researchers were unsure. </w:t>
      </w:r>
    </w:p>
    <w:p w14:paraId="334511FA" w14:textId="00B237CC" w:rsidR="007F16BE" w:rsidRPr="00025399" w:rsidRDefault="007F16BE">
      <w:pPr>
        <w:rPr>
          <w:rFonts w:cs="Arial"/>
        </w:rPr>
      </w:pPr>
      <w:r w:rsidRPr="00025399">
        <w:rPr>
          <w:rFonts w:cs="Arial"/>
        </w:rPr>
        <w:t xml:space="preserve">The lack of any means of keeping occupied was a </w:t>
      </w:r>
      <w:r w:rsidR="00BD7BA2" w:rsidRPr="00025399">
        <w:rPr>
          <w:rFonts w:cs="Arial"/>
        </w:rPr>
        <w:t>challenge</w:t>
      </w:r>
      <w:r w:rsidRPr="00025399">
        <w:rPr>
          <w:rFonts w:cs="Arial"/>
        </w:rPr>
        <w:t xml:space="preserve"> for patients and seemed to fuel their </w:t>
      </w:r>
      <w:r w:rsidR="0066087B" w:rsidRPr="00025399">
        <w:rPr>
          <w:rFonts w:cs="Arial"/>
        </w:rPr>
        <w:t>low mood</w:t>
      </w:r>
      <w:r w:rsidRPr="00025399">
        <w:rPr>
          <w:rFonts w:cs="Arial"/>
        </w:rPr>
        <w:t xml:space="preserve">. </w:t>
      </w:r>
    </w:p>
    <w:p w14:paraId="2E85A64B" w14:textId="5D814067" w:rsidR="00D816F7" w:rsidRPr="00025399" w:rsidRDefault="007F16BE">
      <w:pPr>
        <w:rPr>
          <w:rFonts w:cs="Arial"/>
          <w:i/>
        </w:rPr>
      </w:pPr>
      <w:r w:rsidRPr="00025399">
        <w:rPr>
          <w:rFonts w:cs="Arial"/>
        </w:rPr>
        <w:t>“</w:t>
      </w:r>
      <w:r w:rsidR="00BB0B31" w:rsidRPr="00025399">
        <w:rPr>
          <w:rFonts w:cs="Arial"/>
          <w:i/>
        </w:rPr>
        <w:t>We have nothing here. One day I was singing</w:t>
      </w:r>
      <w:r w:rsidR="00180AE3">
        <w:rPr>
          <w:rFonts w:cs="Arial"/>
          <w:i/>
        </w:rPr>
        <w:t xml:space="preserve">, using </w:t>
      </w:r>
      <w:r w:rsidR="00BB0B31" w:rsidRPr="00025399">
        <w:rPr>
          <w:rFonts w:cs="Arial"/>
          <w:i/>
        </w:rPr>
        <w:t xml:space="preserve">these bowls as musical instruments, “Bondi </w:t>
      </w:r>
      <w:proofErr w:type="spellStart"/>
      <w:r w:rsidR="00BB0B31" w:rsidRPr="00025399">
        <w:rPr>
          <w:rFonts w:cs="Arial"/>
          <w:i/>
        </w:rPr>
        <w:t>achi</w:t>
      </w:r>
      <w:proofErr w:type="spellEnd"/>
      <w:r w:rsidR="00BB0B31" w:rsidRPr="00025399">
        <w:rPr>
          <w:rFonts w:cs="Arial"/>
          <w:i/>
        </w:rPr>
        <w:t xml:space="preserve"> </w:t>
      </w:r>
      <w:proofErr w:type="spellStart"/>
      <w:r w:rsidR="00BB0B31" w:rsidRPr="00025399">
        <w:rPr>
          <w:rFonts w:cs="Arial"/>
          <w:i/>
        </w:rPr>
        <w:t>bokkhobidhi</w:t>
      </w:r>
      <w:proofErr w:type="spellEnd"/>
      <w:r w:rsidR="00BB0B31" w:rsidRPr="00025399">
        <w:rPr>
          <w:rFonts w:cs="Arial"/>
          <w:i/>
        </w:rPr>
        <w:t xml:space="preserve"> </w:t>
      </w:r>
      <w:proofErr w:type="spellStart"/>
      <w:r w:rsidR="00BB0B31" w:rsidRPr="00025399">
        <w:rPr>
          <w:rFonts w:cs="Arial"/>
          <w:i/>
        </w:rPr>
        <w:t>hashpatal</w:t>
      </w:r>
      <w:proofErr w:type="spellEnd"/>
      <w:r w:rsidR="00BB0B31" w:rsidRPr="00025399">
        <w:rPr>
          <w:rFonts w:cs="Arial"/>
          <w:i/>
        </w:rPr>
        <w:t xml:space="preserve"> e”. I wrote that song</w:t>
      </w:r>
      <w:r w:rsidR="00180AE3">
        <w:rPr>
          <w:rFonts w:cs="Arial"/>
          <w:i/>
        </w:rPr>
        <w:t>,</w:t>
      </w:r>
      <w:r w:rsidR="00BB0B31" w:rsidRPr="00025399">
        <w:rPr>
          <w:rFonts w:cs="Arial"/>
          <w:i/>
        </w:rPr>
        <w:t xml:space="preserve"> but when</w:t>
      </w:r>
      <w:r w:rsidR="00180AE3">
        <w:rPr>
          <w:rFonts w:cs="Arial"/>
          <w:i/>
        </w:rPr>
        <w:t xml:space="preserve"> the</w:t>
      </w:r>
      <w:r w:rsidR="00BB0B31" w:rsidRPr="00025399">
        <w:rPr>
          <w:rFonts w:cs="Arial"/>
          <w:i/>
        </w:rPr>
        <w:t xml:space="preserve"> security guard heard </w:t>
      </w:r>
      <w:proofErr w:type="gramStart"/>
      <w:r w:rsidR="00BB0B31" w:rsidRPr="00025399">
        <w:rPr>
          <w:rFonts w:cs="Arial"/>
          <w:i/>
        </w:rPr>
        <w:t>it</w:t>
      </w:r>
      <w:proofErr w:type="gramEnd"/>
      <w:r w:rsidR="00BB0B31" w:rsidRPr="00025399">
        <w:rPr>
          <w:rFonts w:cs="Arial"/>
          <w:i/>
        </w:rPr>
        <w:t xml:space="preserve"> he came and attacked me. He asked me “Why are you singing?” I replied, “Sir I don’t feel good that’s why I am singing.” Then he said “No, you are not allowed to sing here. I will file a complaint against you and will take you from here.”  </w:t>
      </w:r>
      <w:r w:rsidR="00AE3BF5">
        <w:rPr>
          <w:rFonts w:cs="Arial"/>
          <w:i/>
        </w:rPr>
        <w:t>A</w:t>
      </w:r>
      <w:r w:rsidR="00BB0B31" w:rsidRPr="00025399">
        <w:rPr>
          <w:rFonts w:cs="Arial"/>
          <w:i/>
        </w:rPr>
        <w:t>ll of us stay here like this for</w:t>
      </w:r>
      <w:r w:rsidR="00AE3BF5">
        <w:rPr>
          <w:rFonts w:cs="Arial"/>
          <w:i/>
        </w:rPr>
        <w:t xml:space="preserve"> the</w:t>
      </w:r>
      <w:r w:rsidR="00BB0B31" w:rsidRPr="00025399">
        <w:rPr>
          <w:rFonts w:cs="Arial"/>
          <w:i/>
        </w:rPr>
        <w:t xml:space="preserve"> whole day and night</w:t>
      </w:r>
      <w:r w:rsidR="00AE3BF5">
        <w:rPr>
          <w:rFonts w:cs="Arial"/>
          <w:i/>
        </w:rPr>
        <w:t>.</w:t>
      </w:r>
      <w:r w:rsidR="00BB0B31" w:rsidRPr="00025399">
        <w:rPr>
          <w:rFonts w:cs="Arial"/>
          <w:i/>
        </w:rPr>
        <w:t xml:space="preserve"> We are like unemployed people w</w:t>
      </w:r>
      <w:r w:rsidR="00AE3BF5">
        <w:rPr>
          <w:rFonts w:cs="Arial"/>
          <w:i/>
        </w:rPr>
        <w:t>ith</w:t>
      </w:r>
      <w:r w:rsidR="00BB0B31" w:rsidRPr="00025399">
        <w:rPr>
          <w:rFonts w:cs="Arial"/>
          <w:i/>
        </w:rPr>
        <w:t xml:space="preserve"> nothing to do. Our mood keeps swinging with the pass</w:t>
      </w:r>
      <w:r w:rsidR="00025399">
        <w:rPr>
          <w:rFonts w:cs="Arial"/>
          <w:i/>
        </w:rPr>
        <w:t>ing</w:t>
      </w:r>
      <w:r w:rsidR="00BB0B31" w:rsidRPr="00025399">
        <w:rPr>
          <w:rFonts w:cs="Arial"/>
          <w:i/>
        </w:rPr>
        <w:t xml:space="preserve"> of time.” (TB</w:t>
      </w:r>
      <w:r w:rsidRPr="00025399">
        <w:rPr>
          <w:rFonts w:cs="Arial"/>
          <w:i/>
        </w:rPr>
        <w:t>PM03</w:t>
      </w:r>
      <w:r w:rsidR="00BD7BA2">
        <w:rPr>
          <w:rFonts w:cs="Arial"/>
          <w:i/>
        </w:rPr>
        <w:t xml:space="preserve">, </w:t>
      </w:r>
      <w:r w:rsidR="00BD7BA2" w:rsidRPr="00BD7BA2">
        <w:rPr>
          <w:rFonts w:cs="Arial"/>
          <w:i/>
        </w:rPr>
        <w:t xml:space="preserve">MDR-TB patient, </w:t>
      </w:r>
      <w:r w:rsidR="00BD7BA2">
        <w:rPr>
          <w:rFonts w:cs="Arial"/>
          <w:i/>
        </w:rPr>
        <w:t>male</w:t>
      </w:r>
      <w:r w:rsidR="00BB0B31" w:rsidRPr="00025399">
        <w:rPr>
          <w:rFonts w:cs="Arial"/>
          <w:i/>
        </w:rPr>
        <w:t>)</w:t>
      </w:r>
    </w:p>
    <w:p w14:paraId="5540AF33" w14:textId="10AF2D36" w:rsidR="00DA162D" w:rsidRPr="00025399" w:rsidRDefault="00DA162D">
      <w:pPr>
        <w:rPr>
          <w:rFonts w:cs="Arial"/>
        </w:rPr>
      </w:pPr>
      <w:r w:rsidRPr="00025399">
        <w:rPr>
          <w:rFonts w:cs="Arial"/>
        </w:rPr>
        <w:t xml:space="preserve">Interviews with doctors and nurses, coupled with the observations of the researchers pointed to a lack of infection control procedures and staff mentioned that one nurse was recently infected with </w:t>
      </w:r>
      <w:r w:rsidR="00161B7B">
        <w:rPr>
          <w:rFonts w:cs="Arial"/>
        </w:rPr>
        <w:t>MDR-TB</w:t>
      </w:r>
      <w:r w:rsidRPr="00025399">
        <w:rPr>
          <w:rFonts w:cs="Arial"/>
        </w:rPr>
        <w:t>.</w:t>
      </w:r>
    </w:p>
    <w:p w14:paraId="3D0FAC5D" w14:textId="2EAA448B" w:rsidR="007F16BE" w:rsidRPr="00025399" w:rsidRDefault="007F16BE">
      <w:pPr>
        <w:rPr>
          <w:rFonts w:cs="Arial"/>
        </w:rPr>
      </w:pPr>
      <w:r w:rsidRPr="00025399">
        <w:rPr>
          <w:rFonts w:cs="Arial"/>
        </w:rPr>
        <w:t>At the time of the study, the hospital was beginning to phase in the new nine</w:t>
      </w:r>
      <w:r w:rsidR="0038384F" w:rsidRPr="00025399">
        <w:rPr>
          <w:rFonts w:cs="Arial"/>
        </w:rPr>
        <w:t>-</w:t>
      </w:r>
      <w:r w:rsidRPr="00025399">
        <w:rPr>
          <w:rFonts w:cs="Arial"/>
        </w:rPr>
        <w:t>month treatment regimen. Policy makers and clinicians were hopeful that this regimen would reduce the suffering and wider impacts on patient’s livelihood and depression.</w:t>
      </w:r>
    </w:p>
    <w:p w14:paraId="51C48A0D" w14:textId="77777777" w:rsidR="00671D9B" w:rsidRPr="00025399" w:rsidRDefault="00671D9B" w:rsidP="00671D9B">
      <w:pPr>
        <w:pStyle w:val="Default"/>
        <w:rPr>
          <w:b/>
          <w:bCs/>
          <w:sz w:val="22"/>
          <w:szCs w:val="22"/>
        </w:rPr>
      </w:pPr>
      <w:r w:rsidRPr="00025399">
        <w:rPr>
          <w:b/>
          <w:bCs/>
          <w:sz w:val="22"/>
          <w:szCs w:val="22"/>
        </w:rPr>
        <w:t>DISCUSSION</w:t>
      </w:r>
    </w:p>
    <w:p w14:paraId="6FBAD76A" w14:textId="77777777" w:rsidR="0084739F" w:rsidRDefault="0084739F" w:rsidP="003641D9">
      <w:pPr>
        <w:autoSpaceDE w:val="0"/>
        <w:autoSpaceDN w:val="0"/>
        <w:adjustRightInd w:val="0"/>
        <w:spacing w:after="0" w:line="240" w:lineRule="auto"/>
        <w:rPr>
          <w:rFonts w:cs="Arial"/>
        </w:rPr>
      </w:pPr>
    </w:p>
    <w:p w14:paraId="536796A0" w14:textId="4A212A41" w:rsidR="003641D9" w:rsidRPr="00025399" w:rsidRDefault="00CD02E2" w:rsidP="003641D9">
      <w:pPr>
        <w:autoSpaceDE w:val="0"/>
        <w:autoSpaceDN w:val="0"/>
        <w:adjustRightInd w:val="0"/>
        <w:spacing w:after="0" w:line="240" w:lineRule="auto"/>
        <w:rPr>
          <w:rFonts w:cs="Arial"/>
        </w:rPr>
      </w:pPr>
      <w:r w:rsidRPr="00025399">
        <w:rPr>
          <w:rFonts w:cs="Arial"/>
        </w:rPr>
        <w:t xml:space="preserve">We found </w:t>
      </w:r>
      <w:r w:rsidR="00DA162D" w:rsidRPr="00025399">
        <w:rPr>
          <w:rFonts w:cs="Arial"/>
        </w:rPr>
        <w:t>33.8%</w:t>
      </w:r>
      <w:r w:rsidR="0084739F">
        <w:rPr>
          <w:rFonts w:cs="Arial"/>
        </w:rPr>
        <w:t xml:space="preserve"> </w:t>
      </w:r>
      <w:r w:rsidR="0084739F" w:rsidRPr="005F6B98">
        <w:rPr>
          <w:rFonts w:eastAsia="Times New Roman" w:cs="Arial"/>
          <w:color w:val="000000"/>
          <w:lang w:eastAsia="en-GB"/>
        </w:rPr>
        <w:t>(</w:t>
      </w:r>
      <w:r w:rsidR="0084739F">
        <w:rPr>
          <w:rFonts w:eastAsia="Times New Roman" w:cs="Arial"/>
          <w:color w:val="000000"/>
          <w:lang w:eastAsia="en-GB"/>
        </w:rPr>
        <w:t xml:space="preserve">95% CI: </w:t>
      </w:r>
      <w:r w:rsidR="0084739F" w:rsidRPr="005F6B98">
        <w:rPr>
          <w:rFonts w:eastAsia="Times New Roman" w:cs="Arial"/>
          <w:color w:val="000000"/>
          <w:lang w:eastAsia="en-GB"/>
        </w:rPr>
        <w:t>26.7, 41.7)</w:t>
      </w:r>
      <w:r w:rsidR="00DA162D" w:rsidRPr="00025399">
        <w:rPr>
          <w:rFonts w:cs="Arial"/>
        </w:rPr>
        <w:t xml:space="preserve"> of patients with </w:t>
      </w:r>
      <w:r w:rsidR="00161B7B">
        <w:rPr>
          <w:rFonts w:cs="Arial"/>
        </w:rPr>
        <w:t>MDR-TB</w:t>
      </w:r>
      <w:r w:rsidR="00DA162D" w:rsidRPr="00025399">
        <w:rPr>
          <w:rFonts w:cs="Arial"/>
        </w:rPr>
        <w:t xml:space="preserve"> were depressed, 2.7%</w:t>
      </w:r>
      <w:r w:rsidR="0084739F">
        <w:rPr>
          <w:rFonts w:cs="Arial"/>
        </w:rPr>
        <w:t xml:space="preserve"> </w:t>
      </w:r>
      <w:r w:rsidR="0084739F" w:rsidRPr="005F6B98">
        <w:rPr>
          <w:rFonts w:eastAsia="Times New Roman" w:cs="Arial"/>
          <w:color w:val="000000"/>
          <w:lang w:eastAsia="en-GB"/>
        </w:rPr>
        <w:t>(</w:t>
      </w:r>
      <w:r w:rsidR="0084739F">
        <w:rPr>
          <w:rFonts w:eastAsia="Times New Roman" w:cs="Arial"/>
          <w:color w:val="000000"/>
          <w:lang w:eastAsia="en-GB"/>
        </w:rPr>
        <w:t xml:space="preserve">95% CI: </w:t>
      </w:r>
      <w:r w:rsidR="0084739F" w:rsidRPr="005F6B98">
        <w:rPr>
          <w:rFonts w:eastAsia="Times New Roman" w:cs="Arial"/>
          <w:color w:val="000000"/>
          <w:lang w:eastAsia="en-GB"/>
        </w:rPr>
        <w:t>1.1, 6.7)</w:t>
      </w:r>
      <w:r w:rsidR="00DA162D" w:rsidRPr="00025399">
        <w:rPr>
          <w:rFonts w:cs="Arial"/>
        </w:rPr>
        <w:t xml:space="preserve"> with severe depression, 12.8%</w:t>
      </w:r>
      <w:r w:rsidR="0084739F">
        <w:rPr>
          <w:rFonts w:cs="Arial"/>
        </w:rPr>
        <w:t xml:space="preserve"> </w:t>
      </w:r>
      <w:r w:rsidR="0084739F" w:rsidRPr="005F6B98">
        <w:rPr>
          <w:rFonts w:eastAsia="Times New Roman" w:cs="Arial"/>
          <w:color w:val="000000"/>
          <w:lang w:eastAsia="en-GB"/>
        </w:rPr>
        <w:t>(</w:t>
      </w:r>
      <w:r w:rsidR="0084739F">
        <w:rPr>
          <w:rFonts w:eastAsia="Times New Roman" w:cs="Arial"/>
          <w:color w:val="000000"/>
          <w:lang w:eastAsia="en-GB"/>
        </w:rPr>
        <w:t xml:space="preserve">95% CI: </w:t>
      </w:r>
      <w:r w:rsidR="0084739F" w:rsidRPr="005F6B98">
        <w:rPr>
          <w:rFonts w:eastAsia="Times New Roman" w:cs="Arial"/>
          <w:color w:val="000000"/>
          <w:lang w:eastAsia="en-GB"/>
        </w:rPr>
        <w:t>8.4, 19.2)</w:t>
      </w:r>
      <w:r w:rsidR="00DA162D" w:rsidRPr="00025399">
        <w:rPr>
          <w:rFonts w:cs="Arial"/>
        </w:rPr>
        <w:t xml:space="preserve"> with moderate depression and 18.2%</w:t>
      </w:r>
      <w:r w:rsidR="0084739F">
        <w:rPr>
          <w:rFonts w:cs="Arial"/>
        </w:rPr>
        <w:t xml:space="preserve"> </w:t>
      </w:r>
      <w:r w:rsidR="0084739F" w:rsidRPr="005F6B98">
        <w:rPr>
          <w:rFonts w:eastAsia="Times New Roman" w:cs="Arial"/>
          <w:color w:val="000000"/>
          <w:lang w:eastAsia="en-GB"/>
        </w:rPr>
        <w:t>(</w:t>
      </w:r>
      <w:r w:rsidR="0084739F">
        <w:rPr>
          <w:rFonts w:eastAsia="Times New Roman" w:cs="Arial"/>
          <w:color w:val="000000"/>
          <w:lang w:eastAsia="en-GB"/>
        </w:rPr>
        <w:t xml:space="preserve">95% CI: </w:t>
      </w:r>
      <w:r w:rsidR="0084739F" w:rsidRPr="005F6B98">
        <w:rPr>
          <w:rFonts w:eastAsia="Times New Roman" w:cs="Arial"/>
          <w:color w:val="000000"/>
          <w:lang w:eastAsia="en-GB"/>
        </w:rPr>
        <w:t>12.9, 25.2)</w:t>
      </w:r>
      <w:r w:rsidR="00DA162D" w:rsidRPr="00025399">
        <w:rPr>
          <w:rFonts w:cs="Arial"/>
        </w:rPr>
        <w:t xml:space="preserve"> with mild depression. The prevalence of depression </w:t>
      </w:r>
      <w:r w:rsidR="003F230C" w:rsidRPr="00025399">
        <w:rPr>
          <w:rFonts w:cs="Arial"/>
        </w:rPr>
        <w:t xml:space="preserve">among this patient group </w:t>
      </w:r>
      <w:r w:rsidR="00DA162D" w:rsidRPr="00025399">
        <w:rPr>
          <w:rFonts w:cs="Arial"/>
        </w:rPr>
        <w:t xml:space="preserve">is much higher than that found in the general </w:t>
      </w:r>
      <w:r w:rsidR="003F230C" w:rsidRPr="00025399">
        <w:rPr>
          <w:rFonts w:cs="Arial"/>
        </w:rPr>
        <w:t xml:space="preserve">Bangladesh </w:t>
      </w:r>
      <w:r w:rsidR="00DA162D" w:rsidRPr="00025399">
        <w:rPr>
          <w:rFonts w:cs="Arial"/>
        </w:rPr>
        <w:t>population</w:t>
      </w:r>
      <w:r w:rsidR="00B62518" w:rsidRPr="00025399">
        <w:rPr>
          <w:rFonts w:cs="Arial"/>
        </w:rPr>
        <w:t>, estimated at 4.1% (</w:t>
      </w:r>
      <w:r w:rsidR="00546645">
        <w:rPr>
          <w:rFonts w:cs="Arial"/>
        </w:rPr>
        <w:t>30</w:t>
      </w:r>
      <w:r w:rsidR="00B62518" w:rsidRPr="00025399">
        <w:rPr>
          <w:rFonts w:cs="Arial"/>
        </w:rPr>
        <w:t xml:space="preserve">). </w:t>
      </w:r>
      <w:r w:rsidR="003641D9" w:rsidRPr="00025399">
        <w:rPr>
          <w:rFonts w:cs="Arial"/>
        </w:rPr>
        <w:t xml:space="preserve">Our findings are similar to those from a recent assessment of </w:t>
      </w:r>
      <w:r w:rsidR="00161B7B">
        <w:rPr>
          <w:rFonts w:cs="Arial"/>
        </w:rPr>
        <w:t>MDR-TB</w:t>
      </w:r>
      <w:r w:rsidR="003641D9" w:rsidRPr="00025399">
        <w:rPr>
          <w:rFonts w:cs="Arial"/>
        </w:rPr>
        <w:t xml:space="preserve"> patients in Pakistan using the PHQ-9 screening tool where 42.8% (95% CI</w:t>
      </w:r>
      <w:r w:rsidR="0084739F">
        <w:rPr>
          <w:rFonts w:cs="Arial"/>
        </w:rPr>
        <w:t>:</w:t>
      </w:r>
      <w:r w:rsidR="003641D9" w:rsidRPr="00025399">
        <w:rPr>
          <w:rFonts w:cs="Arial"/>
        </w:rPr>
        <w:t xml:space="preserve"> 40.1</w:t>
      </w:r>
      <w:r w:rsidR="0084739F">
        <w:rPr>
          <w:rFonts w:cs="Arial"/>
        </w:rPr>
        <w:t>,</w:t>
      </w:r>
      <w:r w:rsidR="003641D9" w:rsidRPr="00025399">
        <w:rPr>
          <w:rFonts w:cs="Arial"/>
        </w:rPr>
        <w:t xml:space="preserve"> 45.5) were found to be depressed at the lower cut-off of 6, and </w:t>
      </w:r>
      <w:r w:rsidR="009C134B" w:rsidRPr="00025399">
        <w:rPr>
          <w:rFonts w:cs="Arial"/>
        </w:rPr>
        <w:t>16.2% (95%</w:t>
      </w:r>
      <w:r w:rsidR="0084739F">
        <w:rPr>
          <w:rFonts w:cs="Arial"/>
        </w:rPr>
        <w:t xml:space="preserve"> </w:t>
      </w:r>
      <w:r w:rsidR="009C134B" w:rsidRPr="00025399">
        <w:rPr>
          <w:rFonts w:cs="Arial"/>
        </w:rPr>
        <w:t>CI</w:t>
      </w:r>
      <w:r w:rsidR="0084739F">
        <w:rPr>
          <w:rFonts w:cs="Arial"/>
        </w:rPr>
        <w:t>:</w:t>
      </w:r>
      <w:r w:rsidR="009C134B" w:rsidRPr="00025399">
        <w:rPr>
          <w:rFonts w:cs="Arial"/>
        </w:rPr>
        <w:t xml:space="preserve"> 14.3</w:t>
      </w:r>
      <w:r w:rsidR="0084739F">
        <w:rPr>
          <w:rFonts w:cs="Arial"/>
        </w:rPr>
        <w:t xml:space="preserve">, </w:t>
      </w:r>
      <w:r w:rsidR="009C134B" w:rsidRPr="00025399">
        <w:rPr>
          <w:rFonts w:cs="Arial"/>
        </w:rPr>
        <w:t>18.3)</w:t>
      </w:r>
      <w:r w:rsidR="0038384F" w:rsidRPr="00025399">
        <w:rPr>
          <w:rFonts w:cs="Arial"/>
        </w:rPr>
        <w:t xml:space="preserve"> </w:t>
      </w:r>
      <w:r w:rsidR="003641D9" w:rsidRPr="00025399">
        <w:rPr>
          <w:rFonts w:cs="Arial"/>
        </w:rPr>
        <w:t>at a cut-off of 10 on the PHQ-9 (</w:t>
      </w:r>
      <w:r w:rsidR="0038384F" w:rsidRPr="00025399">
        <w:rPr>
          <w:rFonts w:cs="Arial"/>
        </w:rPr>
        <w:t>5)</w:t>
      </w:r>
      <w:r w:rsidR="003641D9" w:rsidRPr="00025399">
        <w:rPr>
          <w:rFonts w:cs="Arial"/>
        </w:rPr>
        <w:t>.</w:t>
      </w:r>
      <w:r w:rsidR="008A2143">
        <w:rPr>
          <w:rFonts w:cs="Arial"/>
        </w:rPr>
        <w:t xml:space="preserve"> An area for further exploration is the extent to which patients continue to experience depression even after successful treatment for their TB, as indicated within our qualitative findings</w:t>
      </w:r>
      <w:r w:rsidR="00906BA8">
        <w:rPr>
          <w:rFonts w:cs="Arial"/>
        </w:rPr>
        <w:t xml:space="preserve">, </w:t>
      </w:r>
      <w:r w:rsidR="00906BA8" w:rsidRPr="00906BA8">
        <w:rPr>
          <w:rFonts w:cs="Arial"/>
          <w:highlight w:val="yellow"/>
        </w:rPr>
        <w:t>particularly in relation to the changes in their family and social situation, occupation and experiences of stigma and self-worth.</w:t>
      </w:r>
    </w:p>
    <w:p w14:paraId="74D99AAD" w14:textId="77777777" w:rsidR="00682913" w:rsidRDefault="00682913" w:rsidP="00682913">
      <w:pPr>
        <w:pStyle w:val="Default"/>
        <w:rPr>
          <w:sz w:val="22"/>
          <w:szCs w:val="22"/>
        </w:rPr>
      </w:pPr>
    </w:p>
    <w:p w14:paraId="3D74B60C" w14:textId="66065F1F" w:rsidR="00682913" w:rsidRDefault="0084739F" w:rsidP="00682913">
      <w:pPr>
        <w:pStyle w:val="Default"/>
        <w:rPr>
          <w:sz w:val="22"/>
          <w:szCs w:val="22"/>
        </w:rPr>
      </w:pPr>
      <w:r>
        <w:rPr>
          <w:sz w:val="22"/>
          <w:szCs w:val="22"/>
        </w:rPr>
        <w:t xml:space="preserve">We also found that </w:t>
      </w:r>
      <w:r w:rsidR="00682913" w:rsidRPr="00025399">
        <w:rPr>
          <w:sz w:val="22"/>
          <w:szCs w:val="22"/>
        </w:rPr>
        <w:t>having one or more co-morbidit</w:t>
      </w:r>
      <w:r>
        <w:rPr>
          <w:sz w:val="22"/>
          <w:szCs w:val="22"/>
        </w:rPr>
        <w:t>ies (compared to none)</w:t>
      </w:r>
      <w:r w:rsidR="00682913" w:rsidRPr="00025399">
        <w:rPr>
          <w:sz w:val="22"/>
          <w:szCs w:val="22"/>
        </w:rPr>
        <w:t xml:space="preserve"> and being a new MDR</w:t>
      </w:r>
      <w:r w:rsidR="009D3397">
        <w:rPr>
          <w:sz w:val="22"/>
          <w:szCs w:val="22"/>
        </w:rPr>
        <w:t>-</w:t>
      </w:r>
      <w:r w:rsidR="00682913" w:rsidRPr="00025399">
        <w:rPr>
          <w:sz w:val="22"/>
          <w:szCs w:val="22"/>
        </w:rPr>
        <w:t xml:space="preserve">TB </w:t>
      </w:r>
      <w:r w:rsidR="009D3397">
        <w:rPr>
          <w:sz w:val="22"/>
          <w:szCs w:val="22"/>
        </w:rPr>
        <w:t>(</w:t>
      </w:r>
      <w:r w:rsidR="00682913" w:rsidRPr="00025399">
        <w:rPr>
          <w:sz w:val="22"/>
          <w:szCs w:val="22"/>
        </w:rPr>
        <w:t xml:space="preserve">rather than a </w:t>
      </w:r>
      <w:r w:rsidR="00335C0E">
        <w:rPr>
          <w:sz w:val="22"/>
          <w:szCs w:val="22"/>
        </w:rPr>
        <w:t xml:space="preserve">previously treated </w:t>
      </w:r>
      <w:r w:rsidR="00682913" w:rsidRPr="00025399">
        <w:rPr>
          <w:sz w:val="22"/>
          <w:szCs w:val="22"/>
        </w:rPr>
        <w:t>case</w:t>
      </w:r>
      <w:r w:rsidR="009D3397">
        <w:rPr>
          <w:sz w:val="22"/>
          <w:szCs w:val="22"/>
        </w:rPr>
        <w:t>) were positively associated with the odds of being depressed</w:t>
      </w:r>
      <w:r w:rsidR="00682913" w:rsidRPr="00025399">
        <w:rPr>
          <w:sz w:val="22"/>
          <w:szCs w:val="22"/>
        </w:rPr>
        <w:t>. Given</w:t>
      </w:r>
      <w:r w:rsidR="00682913">
        <w:rPr>
          <w:sz w:val="22"/>
          <w:szCs w:val="22"/>
        </w:rPr>
        <w:t xml:space="preserve"> that our study was powered to identify </w:t>
      </w:r>
      <w:r w:rsidR="009D3397">
        <w:rPr>
          <w:sz w:val="22"/>
          <w:szCs w:val="22"/>
        </w:rPr>
        <w:t xml:space="preserve">the </w:t>
      </w:r>
      <w:r w:rsidR="00682913">
        <w:rPr>
          <w:sz w:val="22"/>
          <w:szCs w:val="22"/>
        </w:rPr>
        <w:t xml:space="preserve">prevalence of depression </w:t>
      </w:r>
      <w:r w:rsidR="009D3397">
        <w:rPr>
          <w:sz w:val="22"/>
          <w:szCs w:val="22"/>
        </w:rPr>
        <w:t xml:space="preserve">to a modest precision only and not to identify correlates of depression </w:t>
      </w:r>
      <w:r w:rsidR="00682913" w:rsidRPr="00025399">
        <w:rPr>
          <w:sz w:val="22"/>
          <w:szCs w:val="22"/>
        </w:rPr>
        <w:t xml:space="preserve">these results are </w:t>
      </w:r>
      <w:r w:rsidR="009D3397">
        <w:rPr>
          <w:sz w:val="22"/>
          <w:szCs w:val="22"/>
        </w:rPr>
        <w:t xml:space="preserve">strictly </w:t>
      </w:r>
      <w:r w:rsidR="00AC7256" w:rsidRPr="00025399">
        <w:rPr>
          <w:sz w:val="22"/>
          <w:szCs w:val="22"/>
        </w:rPr>
        <w:t>exploratory,</w:t>
      </w:r>
      <w:r w:rsidR="00682913" w:rsidRPr="00025399">
        <w:rPr>
          <w:sz w:val="22"/>
          <w:szCs w:val="22"/>
        </w:rPr>
        <w:t xml:space="preserve"> and </w:t>
      </w:r>
      <w:r w:rsidR="009D3397">
        <w:rPr>
          <w:sz w:val="22"/>
          <w:szCs w:val="22"/>
        </w:rPr>
        <w:t xml:space="preserve">it is very unlikely that </w:t>
      </w:r>
      <w:r w:rsidR="00682913" w:rsidRPr="00025399">
        <w:rPr>
          <w:sz w:val="22"/>
          <w:szCs w:val="22"/>
        </w:rPr>
        <w:t>we have identif</w:t>
      </w:r>
      <w:r w:rsidR="009D3397">
        <w:rPr>
          <w:sz w:val="22"/>
          <w:szCs w:val="22"/>
        </w:rPr>
        <w:t>ied</w:t>
      </w:r>
      <w:r w:rsidR="00682913" w:rsidRPr="00025399">
        <w:rPr>
          <w:sz w:val="22"/>
          <w:szCs w:val="22"/>
        </w:rPr>
        <w:t xml:space="preserve"> all </w:t>
      </w:r>
      <w:r w:rsidR="009D3397">
        <w:rPr>
          <w:sz w:val="22"/>
          <w:szCs w:val="22"/>
        </w:rPr>
        <w:t xml:space="preserve">important variables that are </w:t>
      </w:r>
      <w:r w:rsidR="00682913" w:rsidRPr="00025399">
        <w:rPr>
          <w:sz w:val="22"/>
          <w:szCs w:val="22"/>
        </w:rPr>
        <w:t>associat</w:t>
      </w:r>
      <w:r w:rsidR="009D3397">
        <w:rPr>
          <w:sz w:val="22"/>
          <w:szCs w:val="22"/>
        </w:rPr>
        <w:t>ed</w:t>
      </w:r>
      <w:r w:rsidR="00682913" w:rsidRPr="00025399">
        <w:rPr>
          <w:sz w:val="22"/>
          <w:szCs w:val="22"/>
        </w:rPr>
        <w:t xml:space="preserve"> with depression</w:t>
      </w:r>
      <w:r w:rsidR="009D3397">
        <w:rPr>
          <w:sz w:val="22"/>
          <w:szCs w:val="22"/>
        </w:rPr>
        <w:t xml:space="preserve"> in this patient group</w:t>
      </w:r>
      <w:r w:rsidR="00682913">
        <w:rPr>
          <w:sz w:val="22"/>
          <w:szCs w:val="22"/>
        </w:rPr>
        <w:t xml:space="preserve">. </w:t>
      </w:r>
      <w:r w:rsidR="00682913" w:rsidRPr="00025399">
        <w:rPr>
          <w:sz w:val="22"/>
          <w:szCs w:val="22"/>
        </w:rPr>
        <w:t xml:space="preserve">The assessment of depression in the Pakistan </w:t>
      </w:r>
      <w:r w:rsidR="00161B7B">
        <w:rPr>
          <w:sz w:val="22"/>
          <w:szCs w:val="22"/>
        </w:rPr>
        <w:t>MDR-TB</w:t>
      </w:r>
      <w:r w:rsidR="00682913" w:rsidRPr="00025399">
        <w:rPr>
          <w:sz w:val="22"/>
          <w:szCs w:val="22"/>
        </w:rPr>
        <w:t xml:space="preserve"> population did not find significant associations with new as opposed to </w:t>
      </w:r>
      <w:r w:rsidR="00335C0E">
        <w:rPr>
          <w:sz w:val="22"/>
          <w:szCs w:val="22"/>
        </w:rPr>
        <w:t>previously treated</w:t>
      </w:r>
      <w:r w:rsidR="00870E9A">
        <w:rPr>
          <w:sz w:val="22"/>
          <w:szCs w:val="22"/>
        </w:rPr>
        <w:t xml:space="preserve"> </w:t>
      </w:r>
      <w:r w:rsidR="00682913" w:rsidRPr="00025399">
        <w:rPr>
          <w:sz w:val="22"/>
          <w:szCs w:val="22"/>
        </w:rPr>
        <w:t>cases or co-morbidity</w:t>
      </w:r>
      <w:r w:rsidR="00682913">
        <w:rPr>
          <w:sz w:val="22"/>
          <w:szCs w:val="22"/>
        </w:rPr>
        <w:t xml:space="preserve"> (5)</w:t>
      </w:r>
      <w:r w:rsidR="00682913" w:rsidRPr="00025399">
        <w:rPr>
          <w:sz w:val="22"/>
          <w:szCs w:val="22"/>
        </w:rPr>
        <w:t>.</w:t>
      </w:r>
    </w:p>
    <w:p w14:paraId="19C0CF9D" w14:textId="77777777" w:rsidR="00682913" w:rsidRDefault="00682913" w:rsidP="00682913">
      <w:pPr>
        <w:pStyle w:val="Default"/>
        <w:rPr>
          <w:sz w:val="22"/>
          <w:szCs w:val="22"/>
        </w:rPr>
      </w:pPr>
    </w:p>
    <w:p w14:paraId="5B893E76" w14:textId="53FC9AF9" w:rsidR="00682913" w:rsidRPr="00025399" w:rsidRDefault="009364DF" w:rsidP="00682913">
      <w:pPr>
        <w:pStyle w:val="Default"/>
        <w:rPr>
          <w:sz w:val="22"/>
          <w:szCs w:val="22"/>
        </w:rPr>
      </w:pPr>
      <w:r>
        <w:rPr>
          <w:sz w:val="22"/>
          <w:szCs w:val="22"/>
        </w:rPr>
        <w:t xml:space="preserve">The association found between </w:t>
      </w:r>
      <w:r w:rsidR="00682913" w:rsidRPr="00025399">
        <w:rPr>
          <w:sz w:val="22"/>
          <w:szCs w:val="22"/>
        </w:rPr>
        <w:t xml:space="preserve">mental ill-health </w:t>
      </w:r>
      <w:r>
        <w:rPr>
          <w:sz w:val="22"/>
          <w:szCs w:val="22"/>
        </w:rPr>
        <w:t xml:space="preserve">and </w:t>
      </w:r>
      <w:r w:rsidR="00682913" w:rsidRPr="00025399">
        <w:rPr>
          <w:sz w:val="22"/>
          <w:szCs w:val="22"/>
        </w:rPr>
        <w:t>multiple-morbidities</w:t>
      </w:r>
      <w:r>
        <w:rPr>
          <w:sz w:val="22"/>
          <w:szCs w:val="22"/>
        </w:rPr>
        <w:t xml:space="preserve"> has been found in other studies</w:t>
      </w:r>
      <w:r w:rsidR="009D3397">
        <w:rPr>
          <w:sz w:val="22"/>
          <w:szCs w:val="22"/>
        </w:rPr>
        <w:t>.</w:t>
      </w:r>
      <w:r>
        <w:rPr>
          <w:sz w:val="22"/>
          <w:szCs w:val="22"/>
        </w:rPr>
        <w:t xml:space="preserve"> </w:t>
      </w:r>
      <w:r w:rsidR="009D3397">
        <w:rPr>
          <w:sz w:val="22"/>
          <w:szCs w:val="22"/>
        </w:rPr>
        <w:t>F</w:t>
      </w:r>
      <w:r>
        <w:rPr>
          <w:sz w:val="22"/>
          <w:szCs w:val="22"/>
        </w:rPr>
        <w:t>or example</w:t>
      </w:r>
      <w:r w:rsidR="009D3397">
        <w:rPr>
          <w:sz w:val="22"/>
          <w:szCs w:val="22"/>
        </w:rPr>
        <w:t>,</w:t>
      </w:r>
      <w:r w:rsidR="00682913" w:rsidRPr="00025399">
        <w:rPr>
          <w:sz w:val="22"/>
          <w:szCs w:val="22"/>
        </w:rPr>
        <w:t xml:space="preserve"> a recent meta-analysis identified t</w:t>
      </w:r>
      <w:r w:rsidR="00682913" w:rsidRPr="00025399">
        <w:rPr>
          <w:sz w:val="22"/>
          <w:szCs w:val="22"/>
          <w:shd w:val="clear" w:color="auto" w:fill="FFFFFF"/>
        </w:rPr>
        <w:t xml:space="preserve">he risk for depressive disorder </w:t>
      </w:r>
      <w:r w:rsidR="009D3397">
        <w:rPr>
          <w:sz w:val="22"/>
          <w:szCs w:val="22"/>
          <w:shd w:val="clear" w:color="auto" w:fill="FFFFFF"/>
        </w:rPr>
        <w:t>w</w:t>
      </w:r>
      <w:r w:rsidR="00682913" w:rsidRPr="00025399">
        <w:rPr>
          <w:sz w:val="22"/>
          <w:szCs w:val="22"/>
          <w:shd w:val="clear" w:color="auto" w:fill="FFFFFF"/>
        </w:rPr>
        <w:t>as twice as great for people with multimorbidity compared to those without multimorbidity RR: 2.13 (95% CI 1.62-2.80)</w:t>
      </w:r>
      <w:r w:rsidR="00682913" w:rsidRPr="00025399">
        <w:rPr>
          <w:sz w:val="22"/>
          <w:szCs w:val="22"/>
        </w:rPr>
        <w:t xml:space="preserve"> (</w:t>
      </w:r>
      <w:r w:rsidR="001919E2">
        <w:rPr>
          <w:sz w:val="22"/>
          <w:szCs w:val="22"/>
        </w:rPr>
        <w:t>3</w:t>
      </w:r>
      <w:r w:rsidR="00546645">
        <w:rPr>
          <w:sz w:val="22"/>
          <w:szCs w:val="22"/>
        </w:rPr>
        <w:t>1</w:t>
      </w:r>
      <w:r w:rsidR="001919E2">
        <w:rPr>
          <w:sz w:val="22"/>
          <w:szCs w:val="22"/>
        </w:rPr>
        <w:t>)</w:t>
      </w:r>
      <w:r w:rsidR="00682913" w:rsidRPr="00025399">
        <w:rPr>
          <w:sz w:val="22"/>
          <w:szCs w:val="22"/>
        </w:rPr>
        <w:t>.</w:t>
      </w:r>
      <w:r w:rsidR="009B14E9">
        <w:rPr>
          <w:sz w:val="22"/>
          <w:szCs w:val="22"/>
        </w:rPr>
        <w:t xml:space="preserve"> </w:t>
      </w:r>
      <w:r w:rsidR="008A2143">
        <w:rPr>
          <w:sz w:val="22"/>
          <w:szCs w:val="22"/>
        </w:rPr>
        <w:t xml:space="preserve">The evidence base on the links between mental health and TB, particularly </w:t>
      </w:r>
      <w:r w:rsidR="00161B7B">
        <w:rPr>
          <w:sz w:val="22"/>
          <w:szCs w:val="22"/>
        </w:rPr>
        <w:t>MDR-TB</w:t>
      </w:r>
      <w:r w:rsidR="008A2143">
        <w:rPr>
          <w:sz w:val="22"/>
          <w:szCs w:val="22"/>
        </w:rPr>
        <w:t xml:space="preserve"> is still limited</w:t>
      </w:r>
      <w:r w:rsidR="009D3397">
        <w:rPr>
          <w:sz w:val="22"/>
          <w:szCs w:val="22"/>
        </w:rPr>
        <w:t>.</w:t>
      </w:r>
      <w:r w:rsidR="008A2143">
        <w:rPr>
          <w:sz w:val="22"/>
          <w:szCs w:val="22"/>
        </w:rPr>
        <w:t xml:space="preserve"> </w:t>
      </w:r>
      <w:r w:rsidR="009D3397">
        <w:rPr>
          <w:sz w:val="22"/>
          <w:szCs w:val="22"/>
        </w:rPr>
        <w:t>H</w:t>
      </w:r>
      <w:r w:rsidR="008A2143">
        <w:rPr>
          <w:sz w:val="22"/>
          <w:szCs w:val="22"/>
        </w:rPr>
        <w:t>owever</w:t>
      </w:r>
      <w:r w:rsidR="009D3397">
        <w:rPr>
          <w:sz w:val="22"/>
          <w:szCs w:val="22"/>
        </w:rPr>
        <w:t>,</w:t>
      </w:r>
      <w:r w:rsidR="008A2143">
        <w:rPr>
          <w:sz w:val="22"/>
          <w:szCs w:val="22"/>
        </w:rPr>
        <w:t xml:space="preserve"> few studies </w:t>
      </w:r>
      <w:r w:rsidR="009D3397">
        <w:rPr>
          <w:sz w:val="22"/>
          <w:szCs w:val="22"/>
        </w:rPr>
        <w:t xml:space="preserve">have </w:t>
      </w:r>
      <w:r w:rsidR="008A2143">
        <w:rPr>
          <w:sz w:val="22"/>
          <w:szCs w:val="22"/>
        </w:rPr>
        <w:t>explore</w:t>
      </w:r>
      <w:r w:rsidR="009D3397">
        <w:rPr>
          <w:sz w:val="22"/>
          <w:szCs w:val="22"/>
        </w:rPr>
        <w:t>d</w:t>
      </w:r>
      <w:r w:rsidR="008A2143">
        <w:rPr>
          <w:sz w:val="22"/>
          <w:szCs w:val="22"/>
        </w:rPr>
        <w:t xml:space="preserve"> the relationship between mental health and TB</w:t>
      </w:r>
      <w:r w:rsidR="008A2143" w:rsidRPr="008A2143">
        <w:rPr>
          <w:sz w:val="22"/>
          <w:szCs w:val="22"/>
        </w:rPr>
        <w:t xml:space="preserve"> </w:t>
      </w:r>
      <w:r w:rsidR="008A2143">
        <w:rPr>
          <w:sz w:val="22"/>
          <w:szCs w:val="22"/>
        </w:rPr>
        <w:t xml:space="preserve">and other morbidities. This focus on multi-morbidities is an area where further research is needed. </w:t>
      </w:r>
      <w:r w:rsidR="009D3397">
        <w:rPr>
          <w:sz w:val="22"/>
          <w:szCs w:val="22"/>
        </w:rPr>
        <w:t xml:space="preserve">The positive and possibly counter-intuitive association between being a new vs </w:t>
      </w:r>
      <w:r w:rsidR="001919E2">
        <w:rPr>
          <w:sz w:val="22"/>
          <w:szCs w:val="22"/>
        </w:rPr>
        <w:t>a previously treated</w:t>
      </w:r>
      <w:r w:rsidR="009D3397">
        <w:rPr>
          <w:sz w:val="22"/>
          <w:szCs w:val="22"/>
        </w:rPr>
        <w:t xml:space="preserve"> MDR-TB case and likelihood of being depressed might be explained by survivorship bias. Specifically, </w:t>
      </w:r>
      <w:r w:rsidR="001C1F49">
        <w:rPr>
          <w:sz w:val="22"/>
          <w:szCs w:val="22"/>
        </w:rPr>
        <w:t xml:space="preserve">previously treated </w:t>
      </w:r>
      <w:r w:rsidR="009D3397">
        <w:rPr>
          <w:sz w:val="22"/>
          <w:szCs w:val="22"/>
        </w:rPr>
        <w:t xml:space="preserve">cases may </w:t>
      </w:r>
      <w:r w:rsidR="00870E9A">
        <w:rPr>
          <w:sz w:val="22"/>
          <w:szCs w:val="22"/>
        </w:rPr>
        <w:t xml:space="preserve">include a larger proportion of </w:t>
      </w:r>
      <w:r w:rsidR="009D3397">
        <w:rPr>
          <w:sz w:val="22"/>
          <w:szCs w:val="22"/>
        </w:rPr>
        <w:t xml:space="preserve">patients that </w:t>
      </w:r>
      <w:r w:rsidR="00870E9A">
        <w:rPr>
          <w:sz w:val="22"/>
          <w:szCs w:val="22"/>
        </w:rPr>
        <w:t xml:space="preserve">have a more </w:t>
      </w:r>
      <w:r w:rsidR="009D3397">
        <w:rPr>
          <w:sz w:val="22"/>
          <w:szCs w:val="22"/>
        </w:rPr>
        <w:t xml:space="preserve">resilient mental state </w:t>
      </w:r>
      <w:r w:rsidR="00870E9A">
        <w:rPr>
          <w:sz w:val="22"/>
          <w:szCs w:val="22"/>
        </w:rPr>
        <w:t xml:space="preserve">than is typical because they were able to survive (literally or in terms of enduring treatment) previous TB treatment in part due to their </w:t>
      </w:r>
      <w:r w:rsidR="00161B7B">
        <w:rPr>
          <w:sz w:val="22"/>
          <w:szCs w:val="22"/>
        </w:rPr>
        <w:t xml:space="preserve">greater mental resilience than </w:t>
      </w:r>
      <w:r w:rsidR="009D3397">
        <w:rPr>
          <w:sz w:val="22"/>
          <w:szCs w:val="22"/>
        </w:rPr>
        <w:t xml:space="preserve">those </w:t>
      </w:r>
      <w:r w:rsidR="00161B7B">
        <w:rPr>
          <w:sz w:val="22"/>
          <w:szCs w:val="22"/>
        </w:rPr>
        <w:t xml:space="preserve">who are more </w:t>
      </w:r>
      <w:r w:rsidR="009D3397">
        <w:rPr>
          <w:sz w:val="22"/>
          <w:szCs w:val="22"/>
        </w:rPr>
        <w:t xml:space="preserve">prone to mental ill-health </w:t>
      </w:r>
      <w:r w:rsidR="00161B7B">
        <w:rPr>
          <w:sz w:val="22"/>
          <w:szCs w:val="22"/>
        </w:rPr>
        <w:t xml:space="preserve">and </w:t>
      </w:r>
      <w:r w:rsidR="009D3397">
        <w:rPr>
          <w:sz w:val="22"/>
          <w:szCs w:val="22"/>
        </w:rPr>
        <w:t xml:space="preserve">may </w:t>
      </w:r>
      <w:r w:rsidR="00161B7B">
        <w:rPr>
          <w:sz w:val="22"/>
          <w:szCs w:val="22"/>
        </w:rPr>
        <w:t xml:space="preserve">have been more likely to </w:t>
      </w:r>
      <w:r w:rsidR="009D3397">
        <w:rPr>
          <w:sz w:val="22"/>
          <w:szCs w:val="22"/>
        </w:rPr>
        <w:t>die or be lost to the health system.</w:t>
      </w:r>
    </w:p>
    <w:p w14:paraId="55FE1E87" w14:textId="77777777" w:rsidR="00682913" w:rsidRDefault="00682913" w:rsidP="003641D9">
      <w:pPr>
        <w:pStyle w:val="Default"/>
        <w:rPr>
          <w:sz w:val="22"/>
          <w:szCs w:val="22"/>
        </w:rPr>
      </w:pPr>
    </w:p>
    <w:p w14:paraId="2E32250C" w14:textId="38DBFCFF" w:rsidR="00E442DE" w:rsidRDefault="008B1DAE" w:rsidP="003D3D82">
      <w:pPr>
        <w:pStyle w:val="Default"/>
        <w:rPr>
          <w:sz w:val="22"/>
          <w:szCs w:val="22"/>
        </w:rPr>
      </w:pPr>
      <w:r w:rsidRPr="00025399">
        <w:rPr>
          <w:sz w:val="22"/>
          <w:szCs w:val="22"/>
        </w:rPr>
        <w:t>Women are at greater risk of depression in the population (</w:t>
      </w:r>
      <w:r w:rsidR="00546645">
        <w:rPr>
          <w:sz w:val="22"/>
          <w:szCs w:val="22"/>
        </w:rPr>
        <w:t>30</w:t>
      </w:r>
      <w:r w:rsidRPr="00025399">
        <w:rPr>
          <w:sz w:val="22"/>
          <w:szCs w:val="22"/>
        </w:rPr>
        <w:t>), and specifically among those with drug-sensitive TB, adjusted prevalence ratio (APR) 1.23 (95% CI 1.18 to 1.27) (</w:t>
      </w:r>
      <w:r w:rsidR="001919E2">
        <w:rPr>
          <w:sz w:val="22"/>
          <w:szCs w:val="22"/>
        </w:rPr>
        <w:t>3</w:t>
      </w:r>
      <w:r w:rsidR="00546645">
        <w:rPr>
          <w:sz w:val="22"/>
          <w:szCs w:val="22"/>
        </w:rPr>
        <w:t>2</w:t>
      </w:r>
      <w:r w:rsidRPr="00025399">
        <w:rPr>
          <w:sz w:val="22"/>
          <w:szCs w:val="22"/>
        </w:rPr>
        <w:t xml:space="preserve">) and </w:t>
      </w:r>
      <w:r w:rsidR="00161B7B">
        <w:rPr>
          <w:sz w:val="22"/>
          <w:szCs w:val="22"/>
        </w:rPr>
        <w:t>MDR-TB</w:t>
      </w:r>
      <w:r w:rsidRPr="00025399">
        <w:rPr>
          <w:sz w:val="22"/>
          <w:szCs w:val="22"/>
        </w:rPr>
        <w:t>, OR 1.90 (95% CI 1.52–2.38) (</w:t>
      </w:r>
      <w:r>
        <w:rPr>
          <w:sz w:val="22"/>
          <w:szCs w:val="22"/>
        </w:rPr>
        <w:t>5</w:t>
      </w:r>
      <w:r w:rsidR="001919E2">
        <w:rPr>
          <w:sz w:val="22"/>
          <w:szCs w:val="22"/>
        </w:rPr>
        <w:t>)</w:t>
      </w:r>
      <w:r w:rsidRPr="00025399">
        <w:rPr>
          <w:sz w:val="22"/>
          <w:szCs w:val="22"/>
        </w:rPr>
        <w:t>. While we found higher levels of depression among women than men, these were not significant in our adjusted model</w:t>
      </w:r>
      <w:r w:rsidR="003D3D82">
        <w:rPr>
          <w:sz w:val="22"/>
          <w:szCs w:val="22"/>
        </w:rPr>
        <w:t xml:space="preserve">. This may be due to our lack of power to find associations within sub-groups. </w:t>
      </w:r>
      <w:r w:rsidRPr="00025399">
        <w:rPr>
          <w:sz w:val="22"/>
          <w:szCs w:val="22"/>
        </w:rPr>
        <w:t>However, the qualitative evidence points to the societal and relational challenges facing wo</w:t>
      </w:r>
      <w:bookmarkStart w:id="1" w:name="_GoBack"/>
      <w:bookmarkEnd w:id="1"/>
      <w:r w:rsidRPr="00025399">
        <w:rPr>
          <w:sz w:val="22"/>
          <w:szCs w:val="22"/>
        </w:rPr>
        <w:t xml:space="preserve">men resulting in lower levels of social support during their treatment. Low social support has been found to be associated with depression in drug-sensitive TB patients </w:t>
      </w:r>
      <w:r w:rsidR="003D3D82">
        <w:rPr>
          <w:sz w:val="22"/>
          <w:szCs w:val="22"/>
        </w:rPr>
        <w:t xml:space="preserve">in Ethiopia, </w:t>
      </w:r>
      <w:r w:rsidRPr="00025399">
        <w:rPr>
          <w:sz w:val="22"/>
          <w:szCs w:val="22"/>
        </w:rPr>
        <w:t>APR 0.89 (95% CI 0.85 to 0.93) (</w:t>
      </w:r>
      <w:r w:rsidR="001919E2">
        <w:rPr>
          <w:sz w:val="22"/>
          <w:szCs w:val="22"/>
        </w:rPr>
        <w:t>3</w:t>
      </w:r>
      <w:r w:rsidR="00546645">
        <w:rPr>
          <w:sz w:val="22"/>
          <w:szCs w:val="22"/>
        </w:rPr>
        <w:t>2</w:t>
      </w:r>
      <w:r w:rsidRPr="00025399">
        <w:rPr>
          <w:sz w:val="22"/>
          <w:szCs w:val="22"/>
        </w:rPr>
        <w:t>)</w:t>
      </w:r>
      <w:r w:rsidR="003D3D82">
        <w:rPr>
          <w:sz w:val="22"/>
          <w:szCs w:val="22"/>
        </w:rPr>
        <w:t xml:space="preserve"> and in </w:t>
      </w:r>
      <w:r>
        <w:rPr>
          <w:sz w:val="22"/>
          <w:szCs w:val="22"/>
        </w:rPr>
        <w:t xml:space="preserve">a study of hospitalised </w:t>
      </w:r>
      <w:r w:rsidR="00161B7B">
        <w:rPr>
          <w:sz w:val="22"/>
          <w:szCs w:val="22"/>
        </w:rPr>
        <w:t>MDR-TB</w:t>
      </w:r>
      <w:r>
        <w:rPr>
          <w:sz w:val="22"/>
          <w:szCs w:val="22"/>
        </w:rPr>
        <w:t xml:space="preserve"> patients in Nigeria, patients </w:t>
      </w:r>
      <w:r w:rsidRPr="00B916EB">
        <w:rPr>
          <w:sz w:val="22"/>
          <w:szCs w:val="22"/>
        </w:rPr>
        <w:t>who were</w:t>
      </w:r>
      <w:r>
        <w:rPr>
          <w:sz w:val="22"/>
          <w:szCs w:val="22"/>
        </w:rPr>
        <w:t xml:space="preserve"> </w:t>
      </w:r>
      <w:r w:rsidRPr="00B916EB">
        <w:rPr>
          <w:sz w:val="22"/>
          <w:szCs w:val="22"/>
        </w:rPr>
        <w:t xml:space="preserve">supported by their own families </w:t>
      </w:r>
      <w:r>
        <w:rPr>
          <w:sz w:val="22"/>
          <w:szCs w:val="22"/>
        </w:rPr>
        <w:t xml:space="preserve">reported fewer </w:t>
      </w:r>
      <w:r w:rsidRPr="00B916EB">
        <w:rPr>
          <w:sz w:val="22"/>
          <w:szCs w:val="22"/>
        </w:rPr>
        <w:t>psychosocial concerns compared with those who</w:t>
      </w:r>
      <w:r>
        <w:rPr>
          <w:sz w:val="22"/>
          <w:szCs w:val="22"/>
        </w:rPr>
        <w:t xml:space="preserve"> </w:t>
      </w:r>
      <w:r w:rsidRPr="00B916EB">
        <w:rPr>
          <w:sz w:val="22"/>
          <w:szCs w:val="22"/>
        </w:rPr>
        <w:t xml:space="preserve">were </w:t>
      </w:r>
      <w:r>
        <w:rPr>
          <w:sz w:val="22"/>
          <w:szCs w:val="22"/>
        </w:rPr>
        <w:t xml:space="preserve">not </w:t>
      </w:r>
      <w:r w:rsidR="001919E2">
        <w:rPr>
          <w:sz w:val="22"/>
          <w:szCs w:val="22"/>
        </w:rPr>
        <w:t>(</w:t>
      </w:r>
      <w:r w:rsidR="00546645">
        <w:rPr>
          <w:sz w:val="22"/>
          <w:szCs w:val="22"/>
        </w:rPr>
        <w:t>33</w:t>
      </w:r>
      <w:r>
        <w:rPr>
          <w:sz w:val="22"/>
          <w:szCs w:val="22"/>
        </w:rPr>
        <w:t>)</w:t>
      </w:r>
      <w:r w:rsidR="003D3D82">
        <w:rPr>
          <w:sz w:val="22"/>
          <w:szCs w:val="22"/>
        </w:rPr>
        <w:t xml:space="preserve">. </w:t>
      </w:r>
    </w:p>
    <w:p w14:paraId="7FF4A5A1" w14:textId="77777777" w:rsidR="00E442DE" w:rsidRDefault="00E442DE" w:rsidP="003D3D82">
      <w:pPr>
        <w:pStyle w:val="Default"/>
        <w:rPr>
          <w:sz w:val="22"/>
          <w:szCs w:val="22"/>
        </w:rPr>
      </w:pPr>
    </w:p>
    <w:p w14:paraId="7A7EBAB1" w14:textId="14ACCB68" w:rsidR="003D3D82" w:rsidRDefault="003D3D82" w:rsidP="003D3D82">
      <w:pPr>
        <w:pStyle w:val="Default"/>
        <w:rPr>
          <w:sz w:val="22"/>
          <w:szCs w:val="22"/>
        </w:rPr>
      </w:pPr>
      <w:r>
        <w:rPr>
          <w:sz w:val="22"/>
          <w:szCs w:val="22"/>
        </w:rPr>
        <w:t>Our study highlights how practices within the hospital,</w:t>
      </w:r>
      <w:r w:rsidR="00D377EE">
        <w:rPr>
          <w:sz w:val="22"/>
          <w:szCs w:val="22"/>
        </w:rPr>
        <w:t xml:space="preserve"> such as not allowing male relatives to attend to female patients in the female ward</w:t>
      </w:r>
      <w:r w:rsidR="001919E2">
        <w:rPr>
          <w:sz w:val="22"/>
          <w:szCs w:val="22"/>
        </w:rPr>
        <w:t xml:space="preserve"> and </w:t>
      </w:r>
      <w:r w:rsidR="00D377EE">
        <w:rPr>
          <w:sz w:val="22"/>
          <w:szCs w:val="22"/>
        </w:rPr>
        <w:t xml:space="preserve">the expectation that female patients should clean their own bathrooms helped to exacerbate the limited support, both social and practical, experienced by female patients. Interviews with patients and carers illustrated how these practices are </w:t>
      </w:r>
      <w:r>
        <w:rPr>
          <w:sz w:val="22"/>
          <w:szCs w:val="22"/>
        </w:rPr>
        <w:t>built on wider gender norms,</w:t>
      </w:r>
      <w:r w:rsidR="00D377EE">
        <w:rPr>
          <w:sz w:val="22"/>
          <w:szCs w:val="22"/>
        </w:rPr>
        <w:t xml:space="preserve"> for example, with female patients actively encouraging spouses to maintain livelihoods and care of the household rather than provide social support</w:t>
      </w:r>
      <w:r w:rsidR="001919E2">
        <w:rPr>
          <w:sz w:val="22"/>
          <w:szCs w:val="22"/>
        </w:rPr>
        <w:t xml:space="preserve"> to the hospitalised spouse</w:t>
      </w:r>
      <w:r w:rsidR="00D377EE">
        <w:rPr>
          <w:sz w:val="22"/>
          <w:szCs w:val="22"/>
        </w:rPr>
        <w:t xml:space="preserve">. Previous studies have provided good evidence for models of care that do not rely on hospitalisation of patients, finding ambulatory home-based care as more cost-effective </w:t>
      </w:r>
      <w:r w:rsidR="001919E2">
        <w:rPr>
          <w:sz w:val="22"/>
          <w:szCs w:val="22"/>
        </w:rPr>
        <w:t>(3</w:t>
      </w:r>
      <w:r w:rsidR="00546645">
        <w:rPr>
          <w:sz w:val="22"/>
          <w:szCs w:val="22"/>
        </w:rPr>
        <w:t>4</w:t>
      </w:r>
      <w:r w:rsidR="00E442DE">
        <w:rPr>
          <w:sz w:val="22"/>
          <w:szCs w:val="22"/>
        </w:rPr>
        <w:t xml:space="preserve">) and preferable to patients </w:t>
      </w:r>
      <w:r w:rsidR="001919E2">
        <w:rPr>
          <w:sz w:val="22"/>
          <w:szCs w:val="22"/>
        </w:rPr>
        <w:t>(3</w:t>
      </w:r>
      <w:r w:rsidR="00546645">
        <w:rPr>
          <w:sz w:val="22"/>
          <w:szCs w:val="22"/>
        </w:rPr>
        <w:t>5</w:t>
      </w:r>
      <w:r w:rsidR="00E442DE">
        <w:rPr>
          <w:sz w:val="22"/>
          <w:szCs w:val="22"/>
        </w:rPr>
        <w:t xml:space="preserve">) than hospitalisation. This is also advised within WHO guidelines </w:t>
      </w:r>
      <w:r w:rsidR="001919E2">
        <w:rPr>
          <w:sz w:val="22"/>
          <w:szCs w:val="22"/>
        </w:rPr>
        <w:t>(17</w:t>
      </w:r>
      <w:r w:rsidR="00E442DE">
        <w:rPr>
          <w:sz w:val="22"/>
          <w:szCs w:val="22"/>
        </w:rPr>
        <w:t>)</w:t>
      </w:r>
      <w:r w:rsidR="008A2143">
        <w:rPr>
          <w:sz w:val="22"/>
          <w:szCs w:val="22"/>
        </w:rPr>
        <w:t>.</w:t>
      </w:r>
    </w:p>
    <w:p w14:paraId="1920DB7C" w14:textId="10B627E3" w:rsidR="006A7B29" w:rsidRDefault="006A7B29" w:rsidP="003641D9">
      <w:pPr>
        <w:pStyle w:val="Default"/>
        <w:rPr>
          <w:sz w:val="22"/>
          <w:szCs w:val="22"/>
        </w:rPr>
      </w:pPr>
    </w:p>
    <w:p w14:paraId="3724F2E7" w14:textId="46EAD4CF" w:rsidR="00D314FB" w:rsidRDefault="00D314FB" w:rsidP="003641D9">
      <w:pPr>
        <w:pStyle w:val="Default"/>
        <w:rPr>
          <w:sz w:val="22"/>
          <w:szCs w:val="22"/>
        </w:rPr>
      </w:pPr>
      <w:r>
        <w:rPr>
          <w:sz w:val="22"/>
          <w:szCs w:val="22"/>
        </w:rPr>
        <w:t>Our mixed-methods approach highlights how health professionals may underestimate the proportion of patients that are depressed with their estimates of those needing treatment being way below the one third of patients identified as depressed.  T</w:t>
      </w:r>
      <w:r w:rsidRPr="00D314FB">
        <w:rPr>
          <w:sz w:val="22"/>
          <w:szCs w:val="22"/>
        </w:rPr>
        <w:t xml:space="preserve">he </w:t>
      </w:r>
      <w:r w:rsidR="00D0331D">
        <w:rPr>
          <w:sz w:val="22"/>
          <w:szCs w:val="22"/>
        </w:rPr>
        <w:t xml:space="preserve">mechanisms linking </w:t>
      </w:r>
      <w:r w:rsidRPr="00D314FB">
        <w:rPr>
          <w:sz w:val="22"/>
          <w:szCs w:val="22"/>
        </w:rPr>
        <w:t>MDR</w:t>
      </w:r>
      <w:r w:rsidR="00AC7256">
        <w:rPr>
          <w:sz w:val="22"/>
          <w:szCs w:val="22"/>
        </w:rPr>
        <w:t>-TB</w:t>
      </w:r>
      <w:r w:rsidRPr="00D314FB">
        <w:rPr>
          <w:sz w:val="22"/>
          <w:szCs w:val="22"/>
        </w:rPr>
        <w:t xml:space="preserve"> and depression</w:t>
      </w:r>
      <w:r w:rsidR="00D0331D">
        <w:rPr>
          <w:sz w:val="22"/>
          <w:szCs w:val="22"/>
        </w:rPr>
        <w:t xml:space="preserve"> appear to be driven by the </w:t>
      </w:r>
      <w:r w:rsidRPr="00D314FB">
        <w:rPr>
          <w:sz w:val="22"/>
          <w:szCs w:val="22"/>
        </w:rPr>
        <w:t>extreme seriousness of the condition</w:t>
      </w:r>
      <w:r w:rsidR="00D0331D">
        <w:rPr>
          <w:sz w:val="22"/>
          <w:szCs w:val="22"/>
        </w:rPr>
        <w:t>, a factor that has been identified in other chronic conditions</w:t>
      </w:r>
      <w:r w:rsidR="001919E2">
        <w:rPr>
          <w:sz w:val="22"/>
          <w:szCs w:val="22"/>
        </w:rPr>
        <w:t xml:space="preserve"> </w:t>
      </w:r>
      <w:r w:rsidRPr="00D314FB">
        <w:rPr>
          <w:sz w:val="22"/>
          <w:szCs w:val="22"/>
        </w:rPr>
        <w:t>(</w:t>
      </w:r>
      <w:r w:rsidR="00D0331D">
        <w:rPr>
          <w:sz w:val="22"/>
          <w:szCs w:val="22"/>
        </w:rPr>
        <w:t>3</w:t>
      </w:r>
      <w:r w:rsidR="00546645">
        <w:rPr>
          <w:sz w:val="22"/>
          <w:szCs w:val="22"/>
        </w:rPr>
        <w:t>6</w:t>
      </w:r>
      <w:r w:rsidRPr="00D314FB">
        <w:rPr>
          <w:sz w:val="22"/>
          <w:szCs w:val="22"/>
        </w:rPr>
        <w:t>)</w:t>
      </w:r>
      <w:r w:rsidR="00D0331D">
        <w:rPr>
          <w:sz w:val="22"/>
          <w:szCs w:val="22"/>
        </w:rPr>
        <w:t>, the wider impacts on the patients</w:t>
      </w:r>
      <w:r w:rsidR="0093097A">
        <w:rPr>
          <w:sz w:val="22"/>
          <w:szCs w:val="22"/>
        </w:rPr>
        <w:t>’</w:t>
      </w:r>
      <w:r w:rsidR="00D0331D">
        <w:rPr>
          <w:sz w:val="22"/>
          <w:szCs w:val="22"/>
        </w:rPr>
        <w:t xml:space="preserve"> life and livelihood (</w:t>
      </w:r>
      <w:r w:rsidR="00040F1D">
        <w:rPr>
          <w:sz w:val="22"/>
          <w:szCs w:val="22"/>
        </w:rPr>
        <w:t>6</w:t>
      </w:r>
      <w:r w:rsidR="00D0331D">
        <w:rPr>
          <w:sz w:val="22"/>
          <w:szCs w:val="22"/>
        </w:rPr>
        <w:t>;</w:t>
      </w:r>
      <w:r w:rsidR="00040F1D">
        <w:rPr>
          <w:sz w:val="22"/>
          <w:szCs w:val="22"/>
        </w:rPr>
        <w:t xml:space="preserve"> 7; 11; 3</w:t>
      </w:r>
      <w:r w:rsidR="00546645">
        <w:rPr>
          <w:sz w:val="22"/>
          <w:szCs w:val="22"/>
        </w:rPr>
        <w:t>2</w:t>
      </w:r>
      <w:r w:rsidR="00040F1D">
        <w:rPr>
          <w:sz w:val="22"/>
          <w:szCs w:val="22"/>
        </w:rPr>
        <w:t>)</w:t>
      </w:r>
      <w:r w:rsidR="00D0331D">
        <w:rPr>
          <w:sz w:val="22"/>
          <w:szCs w:val="22"/>
        </w:rPr>
        <w:t xml:space="preserve"> as well as the side-effects </w:t>
      </w:r>
      <w:r w:rsidRPr="00D314FB">
        <w:rPr>
          <w:sz w:val="22"/>
          <w:szCs w:val="22"/>
        </w:rPr>
        <w:t>of drugs</w:t>
      </w:r>
      <w:r w:rsidR="00D0331D">
        <w:rPr>
          <w:sz w:val="22"/>
          <w:szCs w:val="22"/>
        </w:rPr>
        <w:t xml:space="preserve"> for MDR</w:t>
      </w:r>
      <w:r w:rsidR="001C1F49">
        <w:rPr>
          <w:sz w:val="22"/>
          <w:szCs w:val="22"/>
        </w:rPr>
        <w:t>-TB</w:t>
      </w:r>
      <w:r w:rsidR="00D0331D">
        <w:rPr>
          <w:sz w:val="22"/>
          <w:szCs w:val="22"/>
        </w:rPr>
        <w:t xml:space="preserve"> treatment (8;9;10)</w:t>
      </w:r>
      <w:r w:rsidRPr="00D314FB">
        <w:rPr>
          <w:sz w:val="22"/>
          <w:szCs w:val="22"/>
        </w:rPr>
        <w:t>.</w:t>
      </w:r>
      <w:r w:rsidR="00D0331D">
        <w:rPr>
          <w:sz w:val="22"/>
          <w:szCs w:val="22"/>
        </w:rPr>
        <w:t xml:space="preserve"> The impact of this is seen on </w:t>
      </w:r>
      <w:r w:rsidR="00B31CC9">
        <w:rPr>
          <w:sz w:val="22"/>
          <w:szCs w:val="22"/>
        </w:rPr>
        <w:t xml:space="preserve">both </w:t>
      </w:r>
      <w:r w:rsidR="00D0331D">
        <w:rPr>
          <w:sz w:val="22"/>
          <w:szCs w:val="22"/>
        </w:rPr>
        <w:t xml:space="preserve">patient well-being and adherence to </w:t>
      </w:r>
      <w:r w:rsidR="00161B7B">
        <w:rPr>
          <w:sz w:val="22"/>
          <w:szCs w:val="22"/>
        </w:rPr>
        <w:t>MDR-TB</w:t>
      </w:r>
      <w:r w:rsidR="00D0331D">
        <w:rPr>
          <w:sz w:val="22"/>
          <w:szCs w:val="22"/>
        </w:rPr>
        <w:t xml:space="preserve"> treatments (</w:t>
      </w:r>
      <w:r w:rsidR="001919E2">
        <w:rPr>
          <w:sz w:val="22"/>
          <w:szCs w:val="22"/>
        </w:rPr>
        <w:t>3</w:t>
      </w:r>
      <w:r w:rsidR="00546645">
        <w:rPr>
          <w:sz w:val="22"/>
          <w:szCs w:val="22"/>
        </w:rPr>
        <w:t>7</w:t>
      </w:r>
      <w:r w:rsidR="00B31CC9">
        <w:rPr>
          <w:sz w:val="22"/>
          <w:szCs w:val="22"/>
        </w:rPr>
        <w:t xml:space="preserve">). </w:t>
      </w:r>
      <w:r>
        <w:rPr>
          <w:sz w:val="22"/>
          <w:szCs w:val="22"/>
        </w:rPr>
        <w:t xml:space="preserve">The need for routine screening and provision of treatment for depression </w:t>
      </w:r>
      <w:r w:rsidR="00B31CC9">
        <w:rPr>
          <w:sz w:val="22"/>
          <w:szCs w:val="22"/>
        </w:rPr>
        <w:t xml:space="preserve">throughout the period of treatment for </w:t>
      </w:r>
      <w:r w:rsidR="00161B7B">
        <w:rPr>
          <w:sz w:val="22"/>
          <w:szCs w:val="22"/>
        </w:rPr>
        <w:t>MDR-TB</w:t>
      </w:r>
      <w:r>
        <w:rPr>
          <w:sz w:val="22"/>
          <w:szCs w:val="22"/>
        </w:rPr>
        <w:t xml:space="preserve"> patients </w:t>
      </w:r>
      <w:r w:rsidR="00040F1D">
        <w:rPr>
          <w:sz w:val="22"/>
          <w:szCs w:val="22"/>
        </w:rPr>
        <w:t xml:space="preserve">and integrated into routine TB care </w:t>
      </w:r>
      <w:r>
        <w:rPr>
          <w:sz w:val="22"/>
          <w:szCs w:val="22"/>
        </w:rPr>
        <w:t xml:space="preserve">is clear from our study in Bangladesh and similar work in other LMIC settings (5; </w:t>
      </w:r>
      <w:r w:rsidR="00040F1D">
        <w:rPr>
          <w:sz w:val="22"/>
          <w:szCs w:val="22"/>
        </w:rPr>
        <w:t>3</w:t>
      </w:r>
      <w:r w:rsidR="00546645">
        <w:rPr>
          <w:sz w:val="22"/>
          <w:szCs w:val="22"/>
        </w:rPr>
        <w:t>3</w:t>
      </w:r>
      <w:r>
        <w:rPr>
          <w:sz w:val="22"/>
          <w:szCs w:val="22"/>
        </w:rPr>
        <w:t xml:space="preserve">; </w:t>
      </w:r>
      <w:r w:rsidR="00040F1D">
        <w:rPr>
          <w:sz w:val="22"/>
          <w:szCs w:val="22"/>
        </w:rPr>
        <w:t>3</w:t>
      </w:r>
      <w:r w:rsidR="00546645">
        <w:rPr>
          <w:sz w:val="22"/>
          <w:szCs w:val="22"/>
        </w:rPr>
        <w:t>5</w:t>
      </w:r>
      <w:r>
        <w:rPr>
          <w:sz w:val="22"/>
          <w:szCs w:val="22"/>
        </w:rPr>
        <w:t xml:space="preserve">). </w:t>
      </w:r>
    </w:p>
    <w:p w14:paraId="5061A693" w14:textId="77777777" w:rsidR="00D314FB" w:rsidRDefault="00D314FB" w:rsidP="003641D9">
      <w:pPr>
        <w:pStyle w:val="Default"/>
        <w:rPr>
          <w:sz w:val="22"/>
          <w:szCs w:val="22"/>
        </w:rPr>
      </w:pPr>
    </w:p>
    <w:p w14:paraId="7FC367E8" w14:textId="69AB3B62" w:rsidR="00DA162D" w:rsidRPr="00025399" w:rsidRDefault="006A7B29" w:rsidP="00247161">
      <w:pPr>
        <w:autoSpaceDE w:val="0"/>
        <w:autoSpaceDN w:val="0"/>
        <w:adjustRightInd w:val="0"/>
        <w:spacing w:after="0" w:line="240" w:lineRule="auto"/>
        <w:rPr>
          <w:rFonts w:cs="Arial"/>
          <w:color w:val="131413"/>
        </w:rPr>
      </w:pPr>
      <w:r>
        <w:rPr>
          <w:rFonts w:cs="Arial"/>
          <w:color w:val="131413"/>
        </w:rPr>
        <w:t>A strength of ou</w:t>
      </w:r>
      <w:r w:rsidR="00DA162D" w:rsidRPr="00025399">
        <w:rPr>
          <w:rFonts w:cs="Arial"/>
          <w:color w:val="131413"/>
        </w:rPr>
        <w:t xml:space="preserve">r study </w:t>
      </w:r>
      <w:r>
        <w:rPr>
          <w:rFonts w:cs="Arial"/>
          <w:color w:val="131413"/>
        </w:rPr>
        <w:t xml:space="preserve">is the </w:t>
      </w:r>
      <w:r w:rsidR="00DA162D" w:rsidRPr="00025399">
        <w:rPr>
          <w:rFonts w:cs="Arial"/>
          <w:color w:val="131413"/>
        </w:rPr>
        <w:t>use</w:t>
      </w:r>
      <w:r>
        <w:rPr>
          <w:rFonts w:cs="Arial"/>
          <w:color w:val="131413"/>
        </w:rPr>
        <w:t xml:space="preserve"> of an</w:t>
      </w:r>
      <w:r w:rsidR="00DA162D" w:rsidRPr="00025399">
        <w:rPr>
          <w:rFonts w:cs="Arial"/>
          <w:color w:val="131413"/>
        </w:rPr>
        <w:t xml:space="preserve"> assessment by a psychiatrist using the SCID tool to identify depression.</w:t>
      </w:r>
      <w:r w:rsidR="0036750C" w:rsidRPr="00025399">
        <w:rPr>
          <w:rFonts w:cs="Arial"/>
          <w:color w:val="131413"/>
        </w:rPr>
        <w:t xml:space="preserve"> Given the limited existing evidence of the validity of screening tools for depression in this population groups, psychiatrist assessment </w:t>
      </w:r>
      <w:r w:rsidR="00DA162D" w:rsidRPr="00025399">
        <w:rPr>
          <w:rFonts w:cs="Arial"/>
          <w:color w:val="131413"/>
        </w:rPr>
        <w:t>can be considered the gold standard in assessment of depression</w:t>
      </w:r>
      <w:r>
        <w:rPr>
          <w:rFonts w:cs="Arial"/>
          <w:color w:val="131413"/>
        </w:rPr>
        <w:t>.</w:t>
      </w:r>
    </w:p>
    <w:p w14:paraId="6A35D6A1" w14:textId="77777777" w:rsidR="0036750C" w:rsidRPr="00025399" w:rsidRDefault="0036750C" w:rsidP="00247161">
      <w:pPr>
        <w:autoSpaceDE w:val="0"/>
        <w:autoSpaceDN w:val="0"/>
        <w:adjustRightInd w:val="0"/>
        <w:spacing w:after="0" w:line="240" w:lineRule="auto"/>
        <w:rPr>
          <w:rFonts w:cs="Arial"/>
          <w:color w:val="131413"/>
        </w:rPr>
      </w:pPr>
    </w:p>
    <w:p w14:paraId="07B0CD5F" w14:textId="43ED5D5F" w:rsidR="0036750C" w:rsidRPr="00025399" w:rsidRDefault="002A4765" w:rsidP="00247161">
      <w:pPr>
        <w:autoSpaceDE w:val="0"/>
        <w:autoSpaceDN w:val="0"/>
        <w:adjustRightInd w:val="0"/>
        <w:spacing w:after="0" w:line="240" w:lineRule="auto"/>
        <w:rPr>
          <w:rFonts w:cs="Arial"/>
          <w:color w:val="131413"/>
        </w:rPr>
      </w:pPr>
      <w:r w:rsidRPr="00025399">
        <w:rPr>
          <w:rFonts w:cs="Arial"/>
          <w:color w:val="131413"/>
        </w:rPr>
        <w:t>The study has several limitations: firstly, the study was conducted in only one hospital in Bangladesh</w:t>
      </w:r>
      <w:r w:rsidR="00161B7B">
        <w:rPr>
          <w:rFonts w:cs="Arial"/>
          <w:color w:val="131413"/>
        </w:rPr>
        <w:t>, limiting the generalisability of the findings</w:t>
      </w:r>
      <w:r w:rsidRPr="00025399">
        <w:rPr>
          <w:rFonts w:cs="Arial"/>
          <w:color w:val="131413"/>
        </w:rPr>
        <w:t xml:space="preserve">. Secondly, our sample size limited the assessment </w:t>
      </w:r>
      <w:r w:rsidR="00161B7B">
        <w:rPr>
          <w:rFonts w:cs="Arial"/>
          <w:color w:val="131413"/>
        </w:rPr>
        <w:t xml:space="preserve">of which </w:t>
      </w:r>
      <w:r w:rsidRPr="00025399">
        <w:rPr>
          <w:rFonts w:cs="Arial"/>
          <w:color w:val="131413"/>
        </w:rPr>
        <w:t>factors influenc</w:t>
      </w:r>
      <w:r w:rsidR="00161B7B">
        <w:rPr>
          <w:rFonts w:cs="Arial"/>
          <w:color w:val="131413"/>
        </w:rPr>
        <w:t>e or are associated with</w:t>
      </w:r>
      <w:r w:rsidRPr="00025399">
        <w:rPr>
          <w:rFonts w:cs="Arial"/>
          <w:color w:val="131413"/>
        </w:rPr>
        <w:t xml:space="preserve"> depression</w:t>
      </w:r>
      <w:r w:rsidR="006A7B29">
        <w:rPr>
          <w:rFonts w:cs="Arial"/>
          <w:color w:val="131413"/>
        </w:rPr>
        <w:t xml:space="preserve">. </w:t>
      </w:r>
      <w:r w:rsidR="00DA162D" w:rsidRPr="00025399">
        <w:rPr>
          <w:rFonts w:cs="Arial"/>
          <w:color w:val="131413"/>
        </w:rPr>
        <w:t xml:space="preserve">Our </w:t>
      </w:r>
      <w:r w:rsidR="0036750C" w:rsidRPr="00025399">
        <w:rPr>
          <w:rFonts w:cs="Arial"/>
          <w:color w:val="131413"/>
        </w:rPr>
        <w:t xml:space="preserve">qualitative </w:t>
      </w:r>
      <w:r w:rsidR="00DA162D" w:rsidRPr="00025399">
        <w:rPr>
          <w:rFonts w:cs="Arial"/>
          <w:color w:val="131413"/>
        </w:rPr>
        <w:t>interviews were conducted within the hospital wards, and researchers reflected that this</w:t>
      </w:r>
      <w:r w:rsidR="0036750C" w:rsidRPr="00025399">
        <w:rPr>
          <w:rFonts w:cs="Arial"/>
          <w:color w:val="131413"/>
        </w:rPr>
        <w:t xml:space="preserve"> may have</w:t>
      </w:r>
      <w:r w:rsidR="00DA162D" w:rsidRPr="00025399">
        <w:rPr>
          <w:rFonts w:cs="Arial"/>
          <w:color w:val="131413"/>
        </w:rPr>
        <w:t xml:space="preserve"> undermined the </w:t>
      </w:r>
      <w:r w:rsidR="0036750C" w:rsidRPr="00025399">
        <w:rPr>
          <w:rFonts w:cs="Arial"/>
          <w:color w:val="131413"/>
        </w:rPr>
        <w:t xml:space="preserve">ability of some participants to speak openly about their experiences and conditions. We found it harder to recruit certain participants. This was particularly noted for younger men, who may have been concerned about sharing ‘risk’ behaviours and older women, particularly those who were illiterate and may not have felt comfortable talking in-depth with researchers. </w:t>
      </w:r>
    </w:p>
    <w:p w14:paraId="76327401" w14:textId="77777777" w:rsidR="0036750C" w:rsidRPr="00025399" w:rsidRDefault="0036750C" w:rsidP="00247161">
      <w:pPr>
        <w:autoSpaceDE w:val="0"/>
        <w:autoSpaceDN w:val="0"/>
        <w:adjustRightInd w:val="0"/>
        <w:spacing w:after="0" w:line="240" w:lineRule="auto"/>
        <w:rPr>
          <w:rFonts w:cs="Arial"/>
          <w:color w:val="131413"/>
        </w:rPr>
      </w:pPr>
    </w:p>
    <w:p w14:paraId="78DF6E77" w14:textId="77777777" w:rsidR="00766D88" w:rsidRPr="00025399" w:rsidRDefault="00766D88" w:rsidP="00247161">
      <w:pPr>
        <w:autoSpaceDE w:val="0"/>
        <w:autoSpaceDN w:val="0"/>
        <w:adjustRightInd w:val="0"/>
        <w:spacing w:after="0" w:line="240" w:lineRule="auto"/>
        <w:rPr>
          <w:rFonts w:cs="Arial"/>
          <w:color w:val="131413"/>
        </w:rPr>
      </w:pPr>
    </w:p>
    <w:p w14:paraId="153EF324" w14:textId="4BAC996C" w:rsidR="00671D9B" w:rsidRPr="00025399" w:rsidRDefault="00671D9B" w:rsidP="00671D9B">
      <w:pPr>
        <w:pStyle w:val="Default"/>
        <w:rPr>
          <w:b/>
          <w:bCs/>
          <w:sz w:val="22"/>
          <w:szCs w:val="22"/>
        </w:rPr>
      </w:pPr>
      <w:r w:rsidRPr="00025399">
        <w:rPr>
          <w:b/>
          <w:bCs/>
          <w:sz w:val="22"/>
          <w:szCs w:val="22"/>
        </w:rPr>
        <w:t>CONCLUSIONS</w:t>
      </w:r>
    </w:p>
    <w:p w14:paraId="1687E528" w14:textId="7EDD7520" w:rsidR="0036750C" w:rsidRPr="00025399" w:rsidRDefault="00B418DE" w:rsidP="00671D9B">
      <w:pPr>
        <w:pStyle w:val="Default"/>
        <w:rPr>
          <w:bCs/>
          <w:sz w:val="22"/>
          <w:szCs w:val="22"/>
        </w:rPr>
      </w:pPr>
      <w:r w:rsidRPr="00025399">
        <w:rPr>
          <w:bCs/>
          <w:sz w:val="22"/>
          <w:szCs w:val="22"/>
        </w:rPr>
        <w:t xml:space="preserve">A high proportion of </w:t>
      </w:r>
      <w:r w:rsidR="00161B7B">
        <w:rPr>
          <w:bCs/>
          <w:sz w:val="22"/>
          <w:szCs w:val="22"/>
        </w:rPr>
        <w:t>MDR-TB</w:t>
      </w:r>
      <w:r w:rsidRPr="00025399">
        <w:rPr>
          <w:bCs/>
          <w:sz w:val="22"/>
          <w:szCs w:val="22"/>
        </w:rPr>
        <w:t xml:space="preserve"> patients have depression during</w:t>
      </w:r>
      <w:r w:rsidR="008B1DAE">
        <w:rPr>
          <w:bCs/>
          <w:sz w:val="22"/>
          <w:szCs w:val="22"/>
        </w:rPr>
        <w:t xml:space="preserve"> their treatment. </w:t>
      </w:r>
      <w:r w:rsidR="008A2143">
        <w:rPr>
          <w:bCs/>
          <w:sz w:val="22"/>
          <w:szCs w:val="22"/>
        </w:rPr>
        <w:t xml:space="preserve">Those with multiple-morbidities are particularly at risk of depression. </w:t>
      </w:r>
      <w:r w:rsidRPr="00025399">
        <w:rPr>
          <w:bCs/>
          <w:sz w:val="22"/>
          <w:szCs w:val="22"/>
        </w:rPr>
        <w:t>Being an in-patient with limited psycho-social support from family members or health professionals appears to exacerbate poor mental health.</w:t>
      </w:r>
      <w:r w:rsidR="008A2143">
        <w:rPr>
          <w:bCs/>
          <w:sz w:val="22"/>
          <w:szCs w:val="22"/>
        </w:rPr>
        <w:t xml:space="preserve"> </w:t>
      </w:r>
      <w:r w:rsidRPr="00025399">
        <w:rPr>
          <w:bCs/>
          <w:sz w:val="22"/>
          <w:szCs w:val="22"/>
        </w:rPr>
        <w:t>Improving conditions for in-patients and developing</w:t>
      </w:r>
      <w:r w:rsidR="00AC7256">
        <w:rPr>
          <w:bCs/>
          <w:sz w:val="22"/>
          <w:szCs w:val="22"/>
        </w:rPr>
        <w:t xml:space="preserve"> and testing</w:t>
      </w:r>
      <w:r w:rsidRPr="00025399">
        <w:rPr>
          <w:bCs/>
          <w:sz w:val="22"/>
          <w:szCs w:val="22"/>
        </w:rPr>
        <w:t xml:space="preserve"> interventions to support mental well-being</w:t>
      </w:r>
      <w:r w:rsidR="00AC7256">
        <w:rPr>
          <w:bCs/>
          <w:sz w:val="22"/>
          <w:szCs w:val="22"/>
        </w:rPr>
        <w:t xml:space="preserve"> within routine TB care</w:t>
      </w:r>
      <w:r w:rsidRPr="00025399">
        <w:rPr>
          <w:bCs/>
          <w:sz w:val="22"/>
          <w:szCs w:val="22"/>
        </w:rPr>
        <w:t xml:space="preserve"> should be considered.</w:t>
      </w:r>
    </w:p>
    <w:p w14:paraId="16219FBF" w14:textId="77777777" w:rsidR="0036750C" w:rsidRPr="00025399" w:rsidRDefault="0036750C" w:rsidP="00671D9B">
      <w:pPr>
        <w:pStyle w:val="Default"/>
        <w:rPr>
          <w:b/>
          <w:bCs/>
          <w:sz w:val="22"/>
          <w:szCs w:val="22"/>
        </w:rPr>
      </w:pPr>
    </w:p>
    <w:p w14:paraId="4AF23311" w14:textId="77777777" w:rsidR="002D5C77" w:rsidRDefault="002D5C77" w:rsidP="00F24569">
      <w:pPr>
        <w:rPr>
          <w:rFonts w:cs="Arial"/>
          <w:b/>
        </w:rPr>
      </w:pPr>
    </w:p>
    <w:p w14:paraId="70D65EE0" w14:textId="24E7DFC3" w:rsidR="002D5C77" w:rsidRDefault="002D5C77" w:rsidP="00F24569">
      <w:pPr>
        <w:rPr>
          <w:rFonts w:cs="Arial"/>
          <w:b/>
        </w:rPr>
      </w:pPr>
      <w:r>
        <w:rPr>
          <w:rFonts w:cs="Arial"/>
          <w:b/>
        </w:rPr>
        <w:t>Abbreviations</w:t>
      </w:r>
    </w:p>
    <w:p w14:paraId="6E25F935" w14:textId="4F1401F3" w:rsidR="00B3137B" w:rsidRDefault="00B3137B" w:rsidP="00F24569">
      <w:pPr>
        <w:rPr>
          <w:rFonts w:cs="Arial"/>
        </w:rPr>
      </w:pPr>
      <w:r w:rsidRPr="00B3137B">
        <w:rPr>
          <w:rFonts w:cs="Arial"/>
        </w:rPr>
        <w:t xml:space="preserve">AOR: adjusted odds ratios </w:t>
      </w:r>
    </w:p>
    <w:p w14:paraId="4D9B9DD2" w14:textId="3C54A142" w:rsidR="00EF2F34" w:rsidRPr="00B3137B" w:rsidRDefault="00EF2F34" w:rsidP="00F24569">
      <w:pPr>
        <w:rPr>
          <w:rFonts w:cs="Arial"/>
        </w:rPr>
      </w:pPr>
      <w:r>
        <w:rPr>
          <w:rFonts w:cs="Arial"/>
        </w:rPr>
        <w:t xml:space="preserve">APR: </w:t>
      </w:r>
      <w:r w:rsidRPr="00EF2F34">
        <w:rPr>
          <w:rFonts w:cs="Arial"/>
        </w:rPr>
        <w:t xml:space="preserve">adjusted prevalence ratio </w:t>
      </w:r>
    </w:p>
    <w:p w14:paraId="3089F620" w14:textId="1ADEBDD9" w:rsidR="002D5C77" w:rsidRPr="00B3137B" w:rsidRDefault="002D5C77" w:rsidP="00F24569">
      <w:pPr>
        <w:rPr>
          <w:rFonts w:cs="Arial"/>
        </w:rPr>
      </w:pPr>
      <w:r w:rsidRPr="00B3137B">
        <w:rPr>
          <w:rFonts w:cs="Arial"/>
        </w:rPr>
        <w:t>CI: confidence interval</w:t>
      </w:r>
    </w:p>
    <w:p w14:paraId="36A11F30" w14:textId="77777777" w:rsidR="00EF2F34" w:rsidRPr="00EF2F34" w:rsidRDefault="00EF2F34" w:rsidP="00EF2F34">
      <w:pPr>
        <w:rPr>
          <w:rFonts w:cs="Arial"/>
        </w:rPr>
      </w:pPr>
      <w:r w:rsidRPr="00EF2F34">
        <w:rPr>
          <w:rFonts w:cs="Arial"/>
        </w:rPr>
        <w:t>FCCP: Fellow of the College of Chest Physicians</w:t>
      </w:r>
    </w:p>
    <w:p w14:paraId="1E5FE815" w14:textId="3E41B985" w:rsidR="00EF2F34" w:rsidRDefault="00EF2F34" w:rsidP="00EF2F34">
      <w:pPr>
        <w:rPr>
          <w:rFonts w:cs="Arial"/>
        </w:rPr>
      </w:pPr>
      <w:r w:rsidRPr="00EF2F34">
        <w:rPr>
          <w:rFonts w:cs="Arial"/>
        </w:rPr>
        <w:t>FCPS</w:t>
      </w:r>
      <w:r>
        <w:rPr>
          <w:rFonts w:cs="Arial"/>
        </w:rPr>
        <w:t>: F</w:t>
      </w:r>
      <w:r w:rsidRPr="00EF2F34">
        <w:rPr>
          <w:rFonts w:cs="Arial"/>
        </w:rPr>
        <w:t xml:space="preserve">ellow of the college of physicians and surgeons. </w:t>
      </w:r>
    </w:p>
    <w:p w14:paraId="733936DE" w14:textId="69B7BDEE" w:rsidR="002D5C77" w:rsidRPr="00B3137B" w:rsidRDefault="002D5C77" w:rsidP="00F24569">
      <w:pPr>
        <w:rPr>
          <w:rFonts w:cs="Arial"/>
        </w:rPr>
      </w:pPr>
      <w:r w:rsidRPr="00B3137B">
        <w:rPr>
          <w:rFonts w:cs="Arial"/>
        </w:rPr>
        <w:t>HIV: Human Immunodeficiency Virus</w:t>
      </w:r>
    </w:p>
    <w:p w14:paraId="0EB7D7A3" w14:textId="77777777" w:rsidR="00EF2F34" w:rsidRPr="00B3137B" w:rsidRDefault="00EF2F34" w:rsidP="00EF2F34">
      <w:pPr>
        <w:rPr>
          <w:rFonts w:cs="Arial"/>
        </w:rPr>
      </w:pPr>
      <w:r w:rsidRPr="00B3137B">
        <w:rPr>
          <w:rFonts w:cs="Arial"/>
        </w:rPr>
        <w:t>LMIC: low- and middle-income country</w:t>
      </w:r>
    </w:p>
    <w:p w14:paraId="58C38150" w14:textId="77777777" w:rsidR="00EF2F34" w:rsidRPr="00EF2F34" w:rsidRDefault="00EF2F34" w:rsidP="00EF2F34">
      <w:pPr>
        <w:rPr>
          <w:rFonts w:cs="Arial"/>
        </w:rPr>
      </w:pPr>
      <w:r w:rsidRPr="00EF2F34">
        <w:rPr>
          <w:rFonts w:cs="Arial"/>
        </w:rPr>
        <w:t>MPhil</w:t>
      </w:r>
      <w:r>
        <w:rPr>
          <w:rFonts w:cs="Arial"/>
        </w:rPr>
        <w:t>: Master in Philosophy</w:t>
      </w:r>
    </w:p>
    <w:p w14:paraId="48F3F400" w14:textId="77777777" w:rsidR="00EF2F34" w:rsidRDefault="00EF2F34" w:rsidP="00EF2F34">
      <w:pPr>
        <w:rPr>
          <w:rFonts w:cs="Arial"/>
        </w:rPr>
      </w:pPr>
      <w:r w:rsidRPr="00EF2F34">
        <w:rPr>
          <w:rFonts w:cs="Arial"/>
        </w:rPr>
        <w:t>MBBS</w:t>
      </w:r>
      <w:r>
        <w:rPr>
          <w:rFonts w:cs="Arial"/>
        </w:rPr>
        <w:t xml:space="preserve">: </w:t>
      </w:r>
      <w:r w:rsidRPr="00EF2F34">
        <w:rPr>
          <w:rFonts w:cs="Arial"/>
        </w:rPr>
        <w:t>Bachelor of Medicine, Bachelor of Surgery</w:t>
      </w:r>
    </w:p>
    <w:p w14:paraId="332CD3C0" w14:textId="77777777" w:rsidR="00EF2F34" w:rsidRDefault="00EF2F34" w:rsidP="00EF2F34">
      <w:pPr>
        <w:rPr>
          <w:rFonts w:cs="Arial"/>
        </w:rPr>
      </w:pPr>
      <w:r w:rsidRPr="00EF2F34">
        <w:rPr>
          <w:rFonts w:cs="Arial"/>
        </w:rPr>
        <w:t>MD</w:t>
      </w:r>
      <w:r>
        <w:rPr>
          <w:rFonts w:cs="Arial"/>
        </w:rPr>
        <w:t>: Doctor of Medicine</w:t>
      </w:r>
    </w:p>
    <w:p w14:paraId="65C08B9D" w14:textId="77777777" w:rsidR="00EF2F34" w:rsidRDefault="00EF2F34" w:rsidP="00EF2F34">
      <w:pPr>
        <w:rPr>
          <w:rFonts w:cs="Arial"/>
        </w:rPr>
      </w:pPr>
      <w:r w:rsidRPr="00EF2F34">
        <w:rPr>
          <w:rFonts w:cs="Arial"/>
        </w:rPr>
        <w:t>MCPS</w:t>
      </w:r>
      <w:r>
        <w:rPr>
          <w:rFonts w:cs="Arial"/>
        </w:rPr>
        <w:t xml:space="preserve">: </w:t>
      </w:r>
      <w:r w:rsidRPr="00EF2F34">
        <w:rPr>
          <w:rFonts w:cs="Arial"/>
        </w:rPr>
        <w:t xml:space="preserve">Member of the college of physicians and surgeons (Bangladesh) </w:t>
      </w:r>
    </w:p>
    <w:p w14:paraId="6E800B43" w14:textId="2D0651ED" w:rsidR="002D5C77" w:rsidRPr="00B3137B" w:rsidRDefault="002D5C77" w:rsidP="00F24569">
      <w:pPr>
        <w:rPr>
          <w:rFonts w:cs="Arial"/>
        </w:rPr>
      </w:pPr>
      <w:r w:rsidRPr="00B3137B">
        <w:rPr>
          <w:rFonts w:cs="Arial"/>
        </w:rPr>
        <w:t>MDR-TB: multi-drug resistant tuberculosis</w:t>
      </w:r>
    </w:p>
    <w:p w14:paraId="2FAD01C9" w14:textId="15CB8DA6" w:rsidR="002D5C77" w:rsidRPr="00B3137B" w:rsidRDefault="002D5C77" w:rsidP="00F24569">
      <w:pPr>
        <w:rPr>
          <w:rFonts w:cs="Arial"/>
        </w:rPr>
      </w:pPr>
      <w:r w:rsidRPr="00B3137B">
        <w:rPr>
          <w:rFonts w:cs="Arial"/>
        </w:rPr>
        <w:t>OR: odds ratio</w:t>
      </w:r>
    </w:p>
    <w:p w14:paraId="1D6A8691" w14:textId="3909CAAA" w:rsidR="002D5C77" w:rsidRPr="00B3137B" w:rsidRDefault="002D5C77" w:rsidP="00F24569">
      <w:pPr>
        <w:rPr>
          <w:rFonts w:cs="Arial"/>
        </w:rPr>
      </w:pPr>
      <w:r w:rsidRPr="00B3137B">
        <w:rPr>
          <w:rFonts w:cs="Arial"/>
        </w:rPr>
        <w:t>RR: relative risk</w:t>
      </w:r>
    </w:p>
    <w:p w14:paraId="47B0BBF7" w14:textId="6D8E68EB" w:rsidR="002D5C77" w:rsidRPr="00B3137B" w:rsidRDefault="002D5C77" w:rsidP="00F24569">
      <w:pPr>
        <w:rPr>
          <w:rFonts w:cs="Arial"/>
        </w:rPr>
      </w:pPr>
      <w:r w:rsidRPr="00B3137B">
        <w:rPr>
          <w:rFonts w:cs="Arial"/>
        </w:rPr>
        <w:t xml:space="preserve">SCID DSM-IV: Structured Clinical Interview for Depression </w:t>
      </w:r>
    </w:p>
    <w:p w14:paraId="5B05311C" w14:textId="3D17D942" w:rsidR="002D5C77" w:rsidRPr="00B3137B" w:rsidRDefault="002D5C77" w:rsidP="00F24569">
      <w:pPr>
        <w:rPr>
          <w:rFonts w:cs="Arial"/>
        </w:rPr>
      </w:pPr>
      <w:r w:rsidRPr="00B3137B">
        <w:rPr>
          <w:rFonts w:cs="Arial"/>
        </w:rPr>
        <w:t>TB: Tuberculosis</w:t>
      </w:r>
    </w:p>
    <w:p w14:paraId="56F68F38" w14:textId="1AC9EC4D" w:rsidR="00B3137B" w:rsidRDefault="00B3137B" w:rsidP="00F24569">
      <w:pPr>
        <w:rPr>
          <w:rFonts w:cs="Arial"/>
        </w:rPr>
      </w:pPr>
      <w:r w:rsidRPr="00B3137B">
        <w:rPr>
          <w:rFonts w:cs="Arial"/>
        </w:rPr>
        <w:t xml:space="preserve">WHO: World Health </w:t>
      </w:r>
      <w:proofErr w:type="gramStart"/>
      <w:r w:rsidRPr="00B3137B">
        <w:rPr>
          <w:rFonts w:cs="Arial"/>
        </w:rPr>
        <w:t>Organisation</w:t>
      </w:r>
      <w:proofErr w:type="gramEnd"/>
      <w:r w:rsidRPr="00B3137B">
        <w:rPr>
          <w:rFonts w:cs="Arial"/>
        </w:rPr>
        <w:t xml:space="preserve"> </w:t>
      </w:r>
    </w:p>
    <w:p w14:paraId="4F7AFDCB" w14:textId="14E26E82" w:rsidR="00B3137B" w:rsidRDefault="00B3137B" w:rsidP="00F24569">
      <w:pPr>
        <w:rPr>
          <w:rFonts w:cs="Arial"/>
        </w:rPr>
      </w:pPr>
      <w:r w:rsidRPr="00B3137B">
        <w:rPr>
          <w:rFonts w:cs="Arial"/>
        </w:rPr>
        <w:t>XDR-TB</w:t>
      </w:r>
      <w:r>
        <w:rPr>
          <w:rFonts w:cs="Arial"/>
        </w:rPr>
        <w:t xml:space="preserve">: </w:t>
      </w:r>
      <w:r w:rsidRPr="00B3137B">
        <w:rPr>
          <w:rFonts w:cs="Arial"/>
        </w:rPr>
        <w:t xml:space="preserve">extensively drug-resistant </w:t>
      </w:r>
      <w:r>
        <w:rPr>
          <w:rFonts w:cs="Arial"/>
        </w:rPr>
        <w:t>tuberculosis</w:t>
      </w:r>
    </w:p>
    <w:p w14:paraId="4DB6265A" w14:textId="77777777" w:rsidR="00EF2F34" w:rsidRPr="00B3137B" w:rsidRDefault="00EF2F34" w:rsidP="00F24569">
      <w:pPr>
        <w:rPr>
          <w:rFonts w:cs="Arial"/>
        </w:rPr>
      </w:pPr>
    </w:p>
    <w:p w14:paraId="62943726" w14:textId="77777777" w:rsidR="002D5C77" w:rsidRDefault="002D5C77" w:rsidP="00F24569">
      <w:pPr>
        <w:rPr>
          <w:rFonts w:cs="Arial"/>
          <w:b/>
        </w:rPr>
      </w:pPr>
    </w:p>
    <w:p w14:paraId="33738D7E" w14:textId="6B02B986" w:rsidR="00F24569" w:rsidRPr="00025399" w:rsidRDefault="00F24569" w:rsidP="00F24569">
      <w:pPr>
        <w:rPr>
          <w:rFonts w:cs="Arial"/>
          <w:b/>
        </w:rPr>
      </w:pPr>
      <w:r w:rsidRPr="00025399">
        <w:rPr>
          <w:rFonts w:cs="Arial"/>
          <w:b/>
        </w:rPr>
        <w:t>Declarations</w:t>
      </w:r>
    </w:p>
    <w:p w14:paraId="291DABB1" w14:textId="1BD74BF5" w:rsidR="00F24569" w:rsidRPr="00FF0D20" w:rsidRDefault="00F24569" w:rsidP="00FF0D20">
      <w:pPr>
        <w:rPr>
          <w:rFonts w:cs="Arial"/>
        </w:rPr>
      </w:pPr>
      <w:r w:rsidRPr="00025399">
        <w:rPr>
          <w:rFonts w:cs="Arial"/>
          <w:b/>
        </w:rPr>
        <w:t>Ethics approval and consent to participate</w:t>
      </w:r>
      <w:r w:rsidRPr="00FF0D20">
        <w:rPr>
          <w:rFonts w:cs="Arial"/>
        </w:rPr>
        <w:t xml:space="preserve">: </w:t>
      </w:r>
      <w:bookmarkStart w:id="2" w:name="_Hlk29914893"/>
      <w:r w:rsidR="00FF0D20" w:rsidRPr="00FF0D20">
        <w:rPr>
          <w:rFonts w:cs="Arial"/>
        </w:rPr>
        <w:t>Ethics approval was given by School of Medicine Ethics Committee, University of Leeds (Ref no: MREC16-163) and the National Research Ethics Committee, Bangladesh Medical Research Council (Ref: BMRC/NREC/2016-2019/211).</w:t>
      </w:r>
      <w:r w:rsidR="00517EF1">
        <w:rPr>
          <w:rFonts w:cs="Arial"/>
        </w:rPr>
        <w:t xml:space="preserve"> </w:t>
      </w:r>
      <w:r w:rsidR="00595F1D">
        <w:rPr>
          <w:rFonts w:cs="Arial"/>
        </w:rPr>
        <w:t>All p</w:t>
      </w:r>
      <w:r w:rsidR="00517EF1">
        <w:rPr>
          <w:rFonts w:cs="Arial"/>
        </w:rPr>
        <w:t>articipants gave written consent to participate in the</w:t>
      </w:r>
      <w:r w:rsidR="00595F1D">
        <w:rPr>
          <w:rFonts w:cs="Arial"/>
        </w:rPr>
        <w:t xml:space="preserve"> study, including the questionnaire,</w:t>
      </w:r>
      <w:r w:rsidR="00517EF1">
        <w:rPr>
          <w:rFonts w:cs="Arial"/>
        </w:rPr>
        <w:t xml:space="preserve"> SCID assessment and qualitative interviews. </w:t>
      </w:r>
    </w:p>
    <w:bookmarkEnd w:id="2"/>
    <w:p w14:paraId="72507E50" w14:textId="1FBEA888" w:rsidR="00F24569" w:rsidRPr="00025399" w:rsidRDefault="00F24569" w:rsidP="00F24569">
      <w:pPr>
        <w:rPr>
          <w:rFonts w:cs="Arial"/>
        </w:rPr>
      </w:pPr>
      <w:r w:rsidRPr="00025399">
        <w:rPr>
          <w:rFonts w:cs="Arial"/>
          <w:b/>
        </w:rPr>
        <w:t xml:space="preserve">Consent for publication: </w:t>
      </w:r>
      <w:r w:rsidRPr="00025399">
        <w:rPr>
          <w:rFonts w:cs="Arial"/>
        </w:rPr>
        <w:t>All participants in the survey and in the qualitative study provided written consent for their data to be used in the analysis and presented in the write-up of findings.</w:t>
      </w:r>
    </w:p>
    <w:p w14:paraId="4F7C444B" w14:textId="500F1C8B" w:rsidR="00F24569" w:rsidRPr="00025399" w:rsidRDefault="00F24569" w:rsidP="00F24569">
      <w:pPr>
        <w:rPr>
          <w:rFonts w:cs="Arial"/>
        </w:rPr>
      </w:pPr>
      <w:r w:rsidRPr="00025399">
        <w:rPr>
          <w:rFonts w:cs="Arial"/>
          <w:b/>
        </w:rPr>
        <w:t xml:space="preserve">Availability of data and materials: </w:t>
      </w:r>
      <w:r w:rsidRPr="00025399">
        <w:rPr>
          <w:rFonts w:cs="Arial"/>
        </w:rPr>
        <w:t xml:space="preserve">The </w:t>
      </w:r>
      <w:r w:rsidR="00532144" w:rsidRPr="00025399">
        <w:rPr>
          <w:rFonts w:cs="Arial"/>
        </w:rPr>
        <w:t xml:space="preserve">quantitative </w:t>
      </w:r>
      <w:r w:rsidRPr="00025399">
        <w:rPr>
          <w:rFonts w:cs="Arial"/>
        </w:rPr>
        <w:t xml:space="preserve">datasets generated and analysed during the current study are available in the </w:t>
      </w:r>
      <w:r w:rsidR="0025003F">
        <w:rPr>
          <w:rFonts w:cs="Arial"/>
        </w:rPr>
        <w:t xml:space="preserve">repository: Research Data Leeds Repository </w:t>
      </w:r>
      <w:hyperlink r:id="rId11" w:history="1">
        <w:r w:rsidR="0025003F">
          <w:rPr>
            <w:rStyle w:val="Hyperlink"/>
          </w:rPr>
          <w:t>https://archive.researchdata.leeds.ac.uk/</w:t>
        </w:r>
      </w:hyperlink>
      <w:r w:rsidR="0025003F" w:rsidRPr="00025399">
        <w:rPr>
          <w:rFonts w:cs="Arial"/>
        </w:rPr>
        <w:t xml:space="preserve"> </w:t>
      </w:r>
      <w:r w:rsidR="0025003F">
        <w:rPr>
          <w:rFonts w:cs="Arial"/>
        </w:rPr>
        <w:t xml:space="preserve">and can be found here: </w:t>
      </w:r>
      <w:hyperlink r:id="rId12" w:tgtFrame="_blank" w:history="1">
        <w:r w:rsidR="0025003F">
          <w:rPr>
            <w:rStyle w:val="Hyperlink"/>
            <w:rFonts w:ascii="Helvetica" w:hAnsi="Helvetica" w:cs="Helvetica"/>
            <w:color w:val="1155CC"/>
            <w:shd w:val="clear" w:color="auto" w:fill="FFFFFF"/>
          </w:rPr>
          <w:t>https://</w:t>
        </w:r>
        <w:r w:rsidR="0025003F">
          <w:rPr>
            <w:rStyle w:val="il"/>
            <w:rFonts w:ascii="Helvetica" w:hAnsi="Helvetica" w:cs="Helvetica"/>
            <w:color w:val="1155CC"/>
            <w:u w:val="single"/>
            <w:shd w:val="clear" w:color="auto" w:fill="FFFFFF"/>
          </w:rPr>
          <w:t>doi</w:t>
        </w:r>
        <w:r w:rsidR="0025003F">
          <w:rPr>
            <w:rStyle w:val="Hyperlink"/>
            <w:rFonts w:ascii="Helvetica" w:hAnsi="Helvetica" w:cs="Helvetica"/>
            <w:color w:val="1155CC"/>
            <w:shd w:val="clear" w:color="auto" w:fill="FFFFFF"/>
          </w:rPr>
          <w:t>.org/10.5518/754</w:t>
        </w:r>
      </w:hyperlink>
      <w:r w:rsidR="0025003F" w:rsidRPr="00025399">
        <w:rPr>
          <w:rFonts w:cs="Arial"/>
        </w:rPr>
        <w:t xml:space="preserve"> </w:t>
      </w:r>
    </w:p>
    <w:p w14:paraId="150ABB2D" w14:textId="691BE87F" w:rsidR="00F24569" w:rsidRPr="00025399" w:rsidRDefault="00F24569" w:rsidP="00F24569">
      <w:pPr>
        <w:rPr>
          <w:rFonts w:cs="Arial"/>
        </w:rPr>
      </w:pPr>
      <w:r w:rsidRPr="00025399">
        <w:rPr>
          <w:rFonts w:cs="Arial"/>
        </w:rPr>
        <w:t>The</w:t>
      </w:r>
      <w:r w:rsidR="00532144" w:rsidRPr="00025399">
        <w:rPr>
          <w:rFonts w:cs="Arial"/>
        </w:rPr>
        <w:t xml:space="preserve"> qualitative</w:t>
      </w:r>
      <w:r w:rsidRPr="00025399">
        <w:rPr>
          <w:rFonts w:cs="Arial"/>
        </w:rPr>
        <w:t xml:space="preserve"> datasets </w:t>
      </w:r>
      <w:r w:rsidR="00532144" w:rsidRPr="00025399">
        <w:rPr>
          <w:rFonts w:cs="Arial"/>
        </w:rPr>
        <w:t>generated</w:t>
      </w:r>
      <w:r w:rsidRPr="00025399">
        <w:rPr>
          <w:rFonts w:cs="Arial"/>
        </w:rPr>
        <w:t xml:space="preserve"> and analysed during the current study are available from the corresponding author on reasonable request.</w:t>
      </w:r>
    </w:p>
    <w:p w14:paraId="57BB676A" w14:textId="0DE071D4" w:rsidR="00F24569" w:rsidRPr="00025399" w:rsidRDefault="00F24569" w:rsidP="00F24569">
      <w:pPr>
        <w:rPr>
          <w:rFonts w:cs="Arial"/>
          <w:b/>
        </w:rPr>
      </w:pPr>
      <w:r w:rsidRPr="00025399">
        <w:rPr>
          <w:rFonts w:cs="Arial"/>
          <w:b/>
        </w:rPr>
        <w:t>Competing interests</w:t>
      </w:r>
      <w:r w:rsidR="00532144" w:rsidRPr="00025399">
        <w:rPr>
          <w:rFonts w:cs="Arial"/>
          <w:b/>
        </w:rPr>
        <w:t xml:space="preserve">: </w:t>
      </w:r>
      <w:r w:rsidR="00532144" w:rsidRPr="00025399">
        <w:rPr>
          <w:rFonts w:cs="Arial"/>
        </w:rPr>
        <w:t>The authors declare that they have no competing interests.</w:t>
      </w:r>
    </w:p>
    <w:p w14:paraId="4B7B44F1" w14:textId="41C4F6CC" w:rsidR="00F24569" w:rsidRPr="00025399" w:rsidRDefault="00F24569" w:rsidP="00532144">
      <w:pPr>
        <w:autoSpaceDE w:val="0"/>
        <w:autoSpaceDN w:val="0"/>
        <w:adjustRightInd w:val="0"/>
        <w:spacing w:after="0" w:line="240" w:lineRule="auto"/>
        <w:rPr>
          <w:rFonts w:cs="Arial"/>
          <w:b/>
        </w:rPr>
      </w:pPr>
      <w:r w:rsidRPr="00025399">
        <w:rPr>
          <w:rFonts w:cs="Arial"/>
          <w:b/>
        </w:rPr>
        <w:t>Funding</w:t>
      </w:r>
      <w:r w:rsidR="00532144" w:rsidRPr="00025399">
        <w:rPr>
          <w:rFonts w:cs="Arial"/>
          <w:b/>
        </w:rPr>
        <w:t xml:space="preserve">: </w:t>
      </w:r>
      <w:r w:rsidR="00532144" w:rsidRPr="00025399">
        <w:rPr>
          <w:rFonts w:cs="Arial"/>
        </w:rPr>
        <w:t xml:space="preserve">This study was conducted as part of the research programme consortium </w:t>
      </w:r>
      <w:proofErr w:type="spellStart"/>
      <w:r w:rsidR="00532144" w:rsidRPr="00025399">
        <w:rPr>
          <w:rFonts w:cs="Arial"/>
        </w:rPr>
        <w:t>Comdis</w:t>
      </w:r>
      <w:proofErr w:type="spellEnd"/>
      <w:r w:rsidR="00532144" w:rsidRPr="00025399">
        <w:rPr>
          <w:rFonts w:cs="Arial"/>
        </w:rPr>
        <w:t>-HSD, which is funded by UK Aid from the UK government. The funders had no role in study design, data collection and analysis, decision to publish, or preparation or the manuscript.</w:t>
      </w:r>
    </w:p>
    <w:p w14:paraId="53215D71" w14:textId="77777777" w:rsidR="00B31CC9" w:rsidRDefault="00B31CC9" w:rsidP="00F24569">
      <w:pPr>
        <w:rPr>
          <w:rFonts w:cs="Arial"/>
          <w:b/>
        </w:rPr>
      </w:pPr>
    </w:p>
    <w:p w14:paraId="5310BFEB" w14:textId="0276D859" w:rsidR="00F24569" w:rsidRPr="00025399" w:rsidRDefault="00F24569" w:rsidP="00F24569">
      <w:pPr>
        <w:rPr>
          <w:rFonts w:cs="Arial"/>
          <w:b/>
        </w:rPr>
      </w:pPr>
      <w:r w:rsidRPr="00025399">
        <w:rPr>
          <w:rFonts w:cs="Arial"/>
          <w:b/>
        </w:rPr>
        <w:t>Authors' contributions</w:t>
      </w:r>
      <w:r w:rsidR="00532144" w:rsidRPr="00025399">
        <w:rPr>
          <w:rFonts w:cs="Arial"/>
          <w:b/>
        </w:rPr>
        <w:t xml:space="preserve">: </w:t>
      </w:r>
      <w:r w:rsidR="00B31CC9" w:rsidRPr="00B31CC9">
        <w:rPr>
          <w:rFonts w:cs="Arial"/>
        </w:rPr>
        <w:t>RH, JN, HE, JH and IW developed the protocol for the study. FF, PB, SH developed data collection tools and collected data, FF and HE analysed the qualitative data, JH analysed the quantitative data. HE drafted the manuscript and all authors commented on multiple drafts.</w:t>
      </w:r>
    </w:p>
    <w:p w14:paraId="7FBE7B51" w14:textId="75BB37DC" w:rsidR="00F05DB2" w:rsidRDefault="00F24569" w:rsidP="00F05DB2">
      <w:pPr>
        <w:shd w:val="clear" w:color="auto" w:fill="FFFFFF"/>
        <w:spacing w:after="0" w:line="240" w:lineRule="auto"/>
        <w:rPr>
          <w:rFonts w:ascii="Helvetica" w:eastAsia="Times New Roman" w:hAnsi="Helvetica" w:cs="Helvetica"/>
          <w:color w:val="1D2228"/>
          <w:sz w:val="20"/>
          <w:szCs w:val="20"/>
        </w:rPr>
      </w:pPr>
      <w:r w:rsidRPr="00025399">
        <w:rPr>
          <w:rFonts w:cs="Arial"/>
          <w:b/>
        </w:rPr>
        <w:t>Acknowledgements</w:t>
      </w:r>
      <w:r w:rsidR="00532144" w:rsidRPr="00025399">
        <w:rPr>
          <w:rFonts w:cs="Arial"/>
          <w:b/>
        </w:rPr>
        <w:t xml:space="preserve">: </w:t>
      </w:r>
      <w:r w:rsidR="00F05DB2">
        <w:rPr>
          <w:rFonts w:cs="Arial"/>
        </w:rPr>
        <w:t xml:space="preserve">We wish to acknowledge the support and advice of the </w:t>
      </w:r>
      <w:r w:rsidR="00F05DB2" w:rsidRPr="0080645F">
        <w:rPr>
          <w:rFonts w:ascii="Helvetica" w:eastAsia="Times New Roman" w:hAnsi="Helvetica" w:cs="Helvetica"/>
          <w:color w:val="1D2228"/>
          <w:sz w:val="20"/>
          <w:szCs w:val="20"/>
        </w:rPr>
        <w:t>Director</w:t>
      </w:r>
      <w:r w:rsidR="0025003F">
        <w:rPr>
          <w:rFonts w:ascii="Helvetica" w:eastAsia="Times New Roman" w:hAnsi="Helvetica" w:cs="Helvetica"/>
          <w:color w:val="1D2228"/>
          <w:sz w:val="20"/>
          <w:szCs w:val="20"/>
        </w:rPr>
        <w:t xml:space="preserve">, clinicians and nurses </w:t>
      </w:r>
      <w:r w:rsidR="00F05DB2" w:rsidRPr="0080645F">
        <w:rPr>
          <w:rFonts w:ascii="Helvetica" w:eastAsia="Times New Roman" w:hAnsi="Helvetica" w:cs="Helvetica"/>
          <w:color w:val="1D2228"/>
          <w:sz w:val="20"/>
          <w:szCs w:val="20"/>
        </w:rPr>
        <w:t xml:space="preserve">of </w:t>
      </w:r>
      <w:r w:rsidR="0025003F" w:rsidRPr="0025003F">
        <w:rPr>
          <w:rFonts w:ascii="Helvetica" w:eastAsia="Times New Roman" w:hAnsi="Helvetica" w:cs="Helvetica"/>
          <w:color w:val="1D2228"/>
          <w:sz w:val="20"/>
          <w:szCs w:val="20"/>
        </w:rPr>
        <w:t xml:space="preserve">National Institute of Diseases of the Chest and Hospital (NIDCH), </w:t>
      </w:r>
      <w:r w:rsidR="0025003F">
        <w:rPr>
          <w:rFonts w:ascii="Helvetica" w:eastAsia="Times New Roman" w:hAnsi="Helvetica" w:cs="Helvetica"/>
          <w:color w:val="1D2228"/>
          <w:sz w:val="20"/>
          <w:szCs w:val="20"/>
        </w:rPr>
        <w:t xml:space="preserve">the National TB Programme, Bangladesh and all the patients, current and cured, and their carers who gave their time and shared their experiences with the research team. </w:t>
      </w:r>
    </w:p>
    <w:p w14:paraId="449F8991" w14:textId="1D27F508" w:rsidR="00F24569" w:rsidRPr="00F05DB2" w:rsidRDefault="00F24569" w:rsidP="00F24569">
      <w:pPr>
        <w:rPr>
          <w:rFonts w:cs="Arial"/>
        </w:rPr>
      </w:pPr>
    </w:p>
    <w:p w14:paraId="3C8BFA72" w14:textId="77777777" w:rsidR="00F24569" w:rsidRPr="00025399" w:rsidRDefault="00F24569">
      <w:pPr>
        <w:rPr>
          <w:rFonts w:cs="Arial"/>
          <w:b/>
        </w:rPr>
      </w:pPr>
      <w:r w:rsidRPr="00025399">
        <w:rPr>
          <w:rFonts w:cs="Arial"/>
          <w:b/>
        </w:rPr>
        <w:br w:type="page"/>
      </w:r>
    </w:p>
    <w:p w14:paraId="5C10F852" w14:textId="76808C1C" w:rsidR="00AE2DE5" w:rsidRPr="00025399" w:rsidRDefault="00AE2DE5">
      <w:pPr>
        <w:rPr>
          <w:rFonts w:cs="Arial"/>
          <w:b/>
        </w:rPr>
      </w:pPr>
      <w:r w:rsidRPr="00025399">
        <w:rPr>
          <w:rFonts w:cs="Arial"/>
          <w:b/>
        </w:rPr>
        <w:t>References</w:t>
      </w:r>
    </w:p>
    <w:p w14:paraId="767D1A68" w14:textId="77777777" w:rsidR="00040F1D" w:rsidRDefault="00040F1D" w:rsidP="00040F1D">
      <w:pPr>
        <w:pStyle w:val="ListParagraph"/>
        <w:numPr>
          <w:ilvl w:val="0"/>
          <w:numId w:val="6"/>
        </w:numPr>
        <w:spacing w:after="0" w:line="240" w:lineRule="auto"/>
        <w:rPr>
          <w:rFonts w:cs="Arial"/>
        </w:rPr>
      </w:pPr>
      <w:r w:rsidRPr="00425D07">
        <w:rPr>
          <w:rFonts w:cs="Arial"/>
        </w:rPr>
        <w:t>Singer M</w:t>
      </w:r>
      <w:r>
        <w:rPr>
          <w:rFonts w:cs="Arial"/>
        </w:rPr>
        <w:t>,</w:t>
      </w:r>
      <w:r w:rsidRPr="00425D07">
        <w:rPr>
          <w:rFonts w:cs="Arial"/>
        </w:rPr>
        <w:t xml:space="preserve"> Clair S. </w:t>
      </w:r>
      <w:proofErr w:type="spellStart"/>
      <w:r w:rsidRPr="00425D07">
        <w:rPr>
          <w:rFonts w:cs="Arial"/>
        </w:rPr>
        <w:t>Syndemics</w:t>
      </w:r>
      <w:proofErr w:type="spellEnd"/>
      <w:r w:rsidRPr="00425D07">
        <w:rPr>
          <w:rFonts w:cs="Arial"/>
        </w:rPr>
        <w:t xml:space="preserve"> and Public Health: Reconceptualizing Disease in Bio-Social Context Medical Anthropology Quarterly. Volume 17, Issue 4, December 2003, Pages 423-441</w:t>
      </w:r>
    </w:p>
    <w:p w14:paraId="386AF76D" w14:textId="77777777" w:rsidR="00040F1D" w:rsidRPr="00BA4356" w:rsidRDefault="00040F1D" w:rsidP="00040F1D">
      <w:pPr>
        <w:pStyle w:val="ListParagraph"/>
        <w:numPr>
          <w:ilvl w:val="0"/>
          <w:numId w:val="6"/>
        </w:numPr>
        <w:spacing w:after="0" w:line="240" w:lineRule="auto"/>
        <w:rPr>
          <w:rFonts w:cs="Arial"/>
        </w:rPr>
      </w:pPr>
      <w:proofErr w:type="spellStart"/>
      <w:r w:rsidRPr="00EF5376">
        <w:t>Chandraa</w:t>
      </w:r>
      <w:proofErr w:type="spellEnd"/>
      <w:r>
        <w:t xml:space="preserve"> </w:t>
      </w:r>
      <w:r w:rsidRPr="00EF5376">
        <w:t>M</w:t>
      </w:r>
      <w:r>
        <w:t>,</w:t>
      </w:r>
      <w:r w:rsidRPr="00EF5376">
        <w:t xml:space="preserve"> </w:t>
      </w:r>
      <w:proofErr w:type="spellStart"/>
      <w:r w:rsidRPr="00EF5376">
        <w:t>Ranab</w:t>
      </w:r>
      <w:proofErr w:type="spellEnd"/>
      <w:r w:rsidRPr="00EF5376">
        <w:t xml:space="preserve"> P, </w:t>
      </w:r>
      <w:proofErr w:type="spellStart"/>
      <w:r w:rsidRPr="00EF5376">
        <w:t>Chandrac</w:t>
      </w:r>
      <w:proofErr w:type="spellEnd"/>
      <w:r w:rsidRPr="00EF5376">
        <w:t xml:space="preserve"> K</w:t>
      </w:r>
      <w:r>
        <w:t>,</w:t>
      </w:r>
      <w:r w:rsidRPr="00EF5376">
        <w:t xml:space="preserve"> Arora V. Tuberculosis - Depression </w:t>
      </w:r>
      <w:proofErr w:type="spellStart"/>
      <w:r w:rsidRPr="00EF5376">
        <w:t>syndemic</w:t>
      </w:r>
      <w:proofErr w:type="spellEnd"/>
      <w:r w:rsidRPr="00EF5376">
        <w:t>: A public health challenge</w:t>
      </w:r>
      <w:r>
        <w:t>.</w:t>
      </w:r>
      <w:r w:rsidRPr="00EF5376">
        <w:t xml:space="preserve"> Indian Journal of Tuberculosis.</w:t>
      </w:r>
      <w:r>
        <w:t xml:space="preserve"> 2019:</w:t>
      </w:r>
      <w:r w:rsidRPr="00EF5376">
        <w:t>66</w:t>
      </w:r>
      <w:r>
        <w:t>;</w:t>
      </w:r>
      <w:r w:rsidRPr="00EF5376">
        <w:t>1</w:t>
      </w:r>
      <w:r>
        <w:t>.</w:t>
      </w:r>
    </w:p>
    <w:p w14:paraId="7AA2DCF2" w14:textId="77777777" w:rsidR="00040F1D" w:rsidRPr="00BA4356" w:rsidRDefault="00040F1D" w:rsidP="00040F1D">
      <w:pPr>
        <w:pStyle w:val="ListParagraph"/>
        <w:numPr>
          <w:ilvl w:val="0"/>
          <w:numId w:val="6"/>
        </w:numPr>
        <w:spacing w:after="0" w:line="240" w:lineRule="auto"/>
        <w:rPr>
          <w:rFonts w:cs="Arial"/>
        </w:rPr>
      </w:pPr>
      <w:r w:rsidRPr="00BA4356">
        <w:t>Prince M, Patel V, Saxena S</w:t>
      </w:r>
      <w:r>
        <w:t xml:space="preserve">, </w:t>
      </w:r>
      <w:r w:rsidRPr="00BA4356">
        <w:t xml:space="preserve">Maj M, </w:t>
      </w:r>
      <w:proofErr w:type="spellStart"/>
      <w:r w:rsidRPr="00BA4356">
        <w:t>Maselko</w:t>
      </w:r>
      <w:proofErr w:type="spellEnd"/>
      <w:r w:rsidRPr="00BA4356">
        <w:t xml:space="preserve"> J, Phillips MR,</w:t>
      </w:r>
      <w:r>
        <w:t xml:space="preserve"> </w:t>
      </w:r>
      <w:r w:rsidRPr="00BA4356">
        <w:t>No health without mental health. Lancet 2007</w:t>
      </w:r>
      <w:r>
        <w:t>:</w:t>
      </w:r>
      <w:r w:rsidRPr="00BA4356">
        <w:t xml:space="preserve"> 370</w:t>
      </w:r>
      <w:r>
        <w:t>;</w:t>
      </w:r>
      <w:r w:rsidRPr="00BA4356">
        <w:t xml:space="preserve"> 859–877</w:t>
      </w:r>
    </w:p>
    <w:p w14:paraId="550333A3" w14:textId="77777777" w:rsidR="00040F1D" w:rsidRPr="00BA4356" w:rsidRDefault="00040F1D" w:rsidP="00040F1D">
      <w:pPr>
        <w:pStyle w:val="ListParagraph"/>
        <w:numPr>
          <w:ilvl w:val="0"/>
          <w:numId w:val="6"/>
        </w:numPr>
        <w:spacing w:after="0" w:line="240" w:lineRule="auto"/>
        <w:rPr>
          <w:rFonts w:cs="Arial"/>
        </w:rPr>
      </w:pPr>
      <w:r w:rsidRPr="00BA4356">
        <w:t>WHO Global Tuberculosis Report, 2018 World Health Organisation, Geneva</w:t>
      </w:r>
      <w:r>
        <w:t xml:space="preserve">. </w:t>
      </w:r>
      <w:hyperlink r:id="rId13" w:history="1">
        <w:r>
          <w:rPr>
            <w:rStyle w:val="Hyperlink"/>
          </w:rPr>
          <w:t>https://www.who.int/tb/publications/global_report/en/</w:t>
        </w:r>
      </w:hyperlink>
      <w:r>
        <w:t xml:space="preserve"> Accessed: 09.10.19</w:t>
      </w:r>
    </w:p>
    <w:p w14:paraId="76E0DAA4" w14:textId="77777777" w:rsidR="00040F1D" w:rsidRPr="00BA4356" w:rsidRDefault="00040F1D" w:rsidP="00040F1D">
      <w:pPr>
        <w:pStyle w:val="ListParagraph"/>
        <w:numPr>
          <w:ilvl w:val="0"/>
          <w:numId w:val="6"/>
        </w:numPr>
        <w:spacing w:after="0" w:line="240" w:lineRule="auto"/>
        <w:rPr>
          <w:rFonts w:cs="Arial"/>
        </w:rPr>
      </w:pPr>
      <w:r w:rsidRPr="00BA4356">
        <w:t>Walker</w:t>
      </w:r>
      <w:r>
        <w:t xml:space="preserve"> </w:t>
      </w:r>
      <w:r w:rsidRPr="00BA4356">
        <w:t>I</w:t>
      </w:r>
      <w:r>
        <w:t>,</w:t>
      </w:r>
      <w:r w:rsidRPr="00BA4356">
        <w:t xml:space="preserve"> Khan A, Khan M</w:t>
      </w:r>
      <w:r>
        <w:t>,</w:t>
      </w:r>
      <w:r w:rsidRPr="00BA4356">
        <w:t xml:space="preserve"> </w:t>
      </w:r>
      <w:proofErr w:type="spellStart"/>
      <w:r w:rsidRPr="00BA4356">
        <w:t>Ayub</w:t>
      </w:r>
      <w:proofErr w:type="spellEnd"/>
      <w:r w:rsidRPr="00BA4356">
        <w:t xml:space="preserve"> R</w:t>
      </w:r>
      <w:r>
        <w:t>,</w:t>
      </w:r>
      <w:r w:rsidRPr="00BA4356">
        <w:t xml:space="preserve"> </w:t>
      </w:r>
      <w:proofErr w:type="spellStart"/>
      <w:r w:rsidRPr="00BA4356">
        <w:t>Ghias</w:t>
      </w:r>
      <w:proofErr w:type="spellEnd"/>
      <w:r w:rsidRPr="00BA4356">
        <w:t xml:space="preserve"> K</w:t>
      </w:r>
      <w:r>
        <w:t>, Walley J.</w:t>
      </w:r>
      <w:r w:rsidRPr="00BA4356">
        <w:t xml:space="preserve"> Depression among multidrug-resistant tuberculosis patients in Punjab, Pakistan: a large cross-sectional study Int J </w:t>
      </w:r>
      <w:proofErr w:type="spellStart"/>
      <w:r w:rsidRPr="00BA4356">
        <w:t>Tuberc</w:t>
      </w:r>
      <w:proofErr w:type="spellEnd"/>
      <w:r w:rsidRPr="00BA4356">
        <w:t xml:space="preserve"> Lung Dis </w:t>
      </w:r>
      <w:r>
        <w:t>2018:</w:t>
      </w:r>
      <w:r w:rsidRPr="00BA4356">
        <w:t>22</w:t>
      </w:r>
      <w:r>
        <w:t>;</w:t>
      </w:r>
      <w:r w:rsidRPr="00BA4356">
        <w:t>7</w:t>
      </w:r>
      <w:r>
        <w:t>;</w:t>
      </w:r>
      <w:r w:rsidRPr="00BA4356">
        <w:t xml:space="preserve">773–778  </w:t>
      </w:r>
    </w:p>
    <w:p w14:paraId="2B30AB08" w14:textId="77777777" w:rsidR="00040F1D" w:rsidRPr="00BA4356" w:rsidRDefault="00040F1D" w:rsidP="00040F1D">
      <w:pPr>
        <w:pStyle w:val="ListParagraph"/>
        <w:numPr>
          <w:ilvl w:val="0"/>
          <w:numId w:val="6"/>
        </w:numPr>
        <w:spacing w:after="0" w:line="240" w:lineRule="auto"/>
        <w:rPr>
          <w:rFonts w:cs="Arial"/>
        </w:rPr>
      </w:pPr>
      <w:r w:rsidRPr="00BA4356">
        <w:t xml:space="preserve">Das M, </w:t>
      </w:r>
      <w:proofErr w:type="spellStart"/>
      <w:r w:rsidRPr="00BA4356">
        <w:t>Isaakidis</w:t>
      </w:r>
      <w:proofErr w:type="spellEnd"/>
      <w:r w:rsidRPr="00BA4356">
        <w:t xml:space="preserve"> P, Van den Bergh R</w:t>
      </w:r>
      <w:r>
        <w:t xml:space="preserve">. </w:t>
      </w:r>
      <w:r w:rsidRPr="00BA4356">
        <w:t xml:space="preserve">HIV, </w:t>
      </w:r>
      <w:proofErr w:type="spellStart"/>
      <w:r w:rsidRPr="00BA4356">
        <w:t>multidrugresistant</w:t>
      </w:r>
      <w:proofErr w:type="spellEnd"/>
      <w:r w:rsidRPr="00BA4356">
        <w:t xml:space="preserve"> TB and depressive symptoms: when three conditions collide. Global Health Action 2014</w:t>
      </w:r>
      <w:r>
        <w:t>:</w:t>
      </w:r>
      <w:r w:rsidRPr="00BA4356">
        <w:t xml:space="preserve"> 9</w:t>
      </w:r>
      <w:r>
        <w:t>;</w:t>
      </w:r>
      <w:r w:rsidRPr="00BA4356">
        <w:t xml:space="preserve"> 24912. </w:t>
      </w:r>
    </w:p>
    <w:p w14:paraId="051E29A7" w14:textId="77777777" w:rsidR="00040F1D" w:rsidRPr="00BA4356" w:rsidRDefault="00040F1D" w:rsidP="00040F1D">
      <w:pPr>
        <w:pStyle w:val="ListParagraph"/>
        <w:numPr>
          <w:ilvl w:val="0"/>
          <w:numId w:val="6"/>
        </w:numPr>
        <w:spacing w:after="0" w:line="240" w:lineRule="auto"/>
        <w:rPr>
          <w:rFonts w:cs="Arial"/>
        </w:rPr>
      </w:pPr>
      <w:r w:rsidRPr="00BA4356">
        <w:t xml:space="preserve">Vega P, Sweetland A, </w:t>
      </w:r>
      <w:proofErr w:type="spellStart"/>
      <w:r w:rsidRPr="00BA4356">
        <w:t>Acha</w:t>
      </w:r>
      <w:proofErr w:type="spellEnd"/>
      <w:r w:rsidRPr="00BA4356">
        <w:t xml:space="preserve"> J</w:t>
      </w:r>
      <w:r>
        <w:t>.</w:t>
      </w:r>
      <w:r w:rsidRPr="00BA4356">
        <w:t xml:space="preserve"> Psychiatric issues in the management of patients with multidrug-resistant tuberculosis. Int J </w:t>
      </w:r>
      <w:proofErr w:type="spellStart"/>
      <w:r w:rsidRPr="00BA4356">
        <w:t>Tuberc</w:t>
      </w:r>
      <w:proofErr w:type="spellEnd"/>
      <w:r w:rsidRPr="00BA4356">
        <w:t xml:space="preserve"> Lung Dis 2004</w:t>
      </w:r>
      <w:r>
        <w:t>:</w:t>
      </w:r>
      <w:r w:rsidRPr="00BA4356">
        <w:t xml:space="preserve"> 8</w:t>
      </w:r>
      <w:r>
        <w:t>;</w:t>
      </w:r>
      <w:r w:rsidRPr="00BA4356">
        <w:t xml:space="preserve"> 749–759. </w:t>
      </w:r>
    </w:p>
    <w:p w14:paraId="713093AD" w14:textId="77777777" w:rsidR="00040F1D" w:rsidRPr="00BA4356" w:rsidRDefault="00040F1D" w:rsidP="00040F1D">
      <w:pPr>
        <w:pStyle w:val="ListParagraph"/>
        <w:numPr>
          <w:ilvl w:val="0"/>
          <w:numId w:val="6"/>
        </w:numPr>
        <w:spacing w:after="0" w:line="240" w:lineRule="auto"/>
        <w:rPr>
          <w:rFonts w:cs="Arial"/>
        </w:rPr>
      </w:pPr>
      <w:r w:rsidRPr="00BA4356">
        <w:t>Wu S, Zhang Y, Sun F</w:t>
      </w:r>
      <w:r>
        <w:t>.</w:t>
      </w:r>
      <w:r w:rsidRPr="00BA4356">
        <w:t xml:space="preserve"> Adverse events associated with the treatment of multidrug-resistant tuberculosis: a systematic review and meta-analysis. Am J </w:t>
      </w:r>
      <w:proofErr w:type="spellStart"/>
      <w:r w:rsidRPr="00BA4356">
        <w:t>Ther</w:t>
      </w:r>
      <w:proofErr w:type="spellEnd"/>
      <w:r w:rsidRPr="00BA4356">
        <w:t xml:space="preserve"> 2016</w:t>
      </w:r>
      <w:r>
        <w:t xml:space="preserve">: </w:t>
      </w:r>
      <w:r w:rsidRPr="00BA4356">
        <w:t>23</w:t>
      </w:r>
      <w:r>
        <w:t>;</w:t>
      </w:r>
      <w:r w:rsidRPr="00BA4356">
        <w:t xml:space="preserve"> e521–e530.</w:t>
      </w:r>
    </w:p>
    <w:p w14:paraId="6F9E53E6" w14:textId="77777777" w:rsidR="00040F1D" w:rsidRPr="00B043FE" w:rsidRDefault="00040F1D" w:rsidP="00040F1D">
      <w:pPr>
        <w:pStyle w:val="ListParagraph"/>
        <w:numPr>
          <w:ilvl w:val="0"/>
          <w:numId w:val="6"/>
        </w:numPr>
        <w:spacing w:after="0" w:line="240" w:lineRule="auto"/>
        <w:rPr>
          <w:rFonts w:cs="Arial"/>
        </w:rPr>
      </w:pPr>
      <w:r w:rsidRPr="00BA4356">
        <w:t xml:space="preserve">Hwang T J, Wares D F, </w:t>
      </w:r>
      <w:proofErr w:type="spellStart"/>
      <w:r w:rsidRPr="00BA4356">
        <w:t>Jafarov</w:t>
      </w:r>
      <w:proofErr w:type="spellEnd"/>
      <w:r w:rsidRPr="00BA4356">
        <w:t xml:space="preserve"> A, </w:t>
      </w:r>
      <w:proofErr w:type="spellStart"/>
      <w:r w:rsidRPr="00BA4356">
        <w:t>Jakubowiak</w:t>
      </w:r>
      <w:proofErr w:type="spellEnd"/>
      <w:r w:rsidRPr="00BA4356">
        <w:t xml:space="preserve"> W, Nunn P, </w:t>
      </w:r>
      <w:proofErr w:type="spellStart"/>
      <w:r w:rsidRPr="00BA4356">
        <w:t>Keshavjee</w:t>
      </w:r>
      <w:proofErr w:type="spellEnd"/>
      <w:r w:rsidRPr="00BA4356">
        <w:t xml:space="preserve"> S. Safety of </w:t>
      </w:r>
      <w:proofErr w:type="spellStart"/>
      <w:r w:rsidRPr="00BA4356">
        <w:t>cycloserine</w:t>
      </w:r>
      <w:proofErr w:type="spellEnd"/>
      <w:r w:rsidRPr="00BA4356">
        <w:t xml:space="preserve"> and terizidone for the treatment of drug-resistant tuberculosis: a meta-analysis</w:t>
      </w:r>
      <w:r>
        <w:t>.</w:t>
      </w:r>
      <w:r w:rsidRPr="00BA4356">
        <w:t xml:space="preserve"> Int J </w:t>
      </w:r>
      <w:proofErr w:type="spellStart"/>
      <w:r w:rsidRPr="00BA4356">
        <w:t>Tuberc</w:t>
      </w:r>
      <w:proofErr w:type="spellEnd"/>
      <w:r w:rsidRPr="00BA4356">
        <w:t xml:space="preserve"> Lung Dis 2013</w:t>
      </w:r>
      <w:r>
        <w:t xml:space="preserve">: </w:t>
      </w:r>
      <w:r w:rsidRPr="00BA4356">
        <w:t>17</w:t>
      </w:r>
      <w:r>
        <w:t>;</w:t>
      </w:r>
      <w:r w:rsidRPr="00BA4356">
        <w:t xml:space="preserve"> 1257–1266.</w:t>
      </w:r>
    </w:p>
    <w:p w14:paraId="280588BB" w14:textId="77777777" w:rsidR="00040F1D" w:rsidRPr="00B043FE" w:rsidRDefault="00040F1D" w:rsidP="00040F1D">
      <w:pPr>
        <w:pStyle w:val="ListParagraph"/>
        <w:numPr>
          <w:ilvl w:val="0"/>
          <w:numId w:val="6"/>
        </w:numPr>
        <w:spacing w:after="0" w:line="240" w:lineRule="auto"/>
        <w:rPr>
          <w:rFonts w:cs="Arial"/>
        </w:rPr>
      </w:pPr>
      <w:proofErr w:type="spellStart"/>
      <w:r w:rsidRPr="00B043FE">
        <w:t>Avong</w:t>
      </w:r>
      <w:proofErr w:type="spellEnd"/>
      <w:r w:rsidRPr="00B043FE">
        <w:t xml:space="preserve"> Y K, </w:t>
      </w:r>
      <w:proofErr w:type="spellStart"/>
      <w:r w:rsidRPr="00B043FE">
        <w:t>Isaakidis</w:t>
      </w:r>
      <w:proofErr w:type="spellEnd"/>
      <w:r w:rsidRPr="00B043FE">
        <w:t xml:space="preserve"> P, </w:t>
      </w:r>
      <w:proofErr w:type="spellStart"/>
      <w:r w:rsidRPr="00B043FE">
        <w:t>Hinderaker</w:t>
      </w:r>
      <w:proofErr w:type="spellEnd"/>
      <w:r w:rsidRPr="00B043FE">
        <w:t xml:space="preserve"> S G. Doing no harm? Adverse events in a nation-wide cohort of patients with multidrug-resistant tuberculosis in Nigeria. PLOS ONE 2015</w:t>
      </w:r>
      <w:r>
        <w:t>:</w:t>
      </w:r>
      <w:r w:rsidRPr="00B043FE">
        <w:t xml:space="preserve"> 10</w:t>
      </w:r>
      <w:r>
        <w:t>;</w:t>
      </w:r>
      <w:r w:rsidRPr="00B043FE">
        <w:t xml:space="preserve"> e0120161.</w:t>
      </w:r>
    </w:p>
    <w:p w14:paraId="775B303E" w14:textId="77777777" w:rsidR="00040F1D" w:rsidRPr="00B043FE" w:rsidRDefault="00040F1D" w:rsidP="00040F1D">
      <w:pPr>
        <w:pStyle w:val="ListParagraph"/>
        <w:numPr>
          <w:ilvl w:val="0"/>
          <w:numId w:val="6"/>
        </w:numPr>
        <w:spacing w:after="0" w:line="240" w:lineRule="auto"/>
        <w:rPr>
          <w:rFonts w:cs="Arial"/>
        </w:rPr>
      </w:pPr>
      <w:r w:rsidRPr="00B043FE">
        <w:t xml:space="preserve">Thomas BE, Shanmugam P, </w:t>
      </w:r>
      <w:proofErr w:type="spellStart"/>
      <w:r w:rsidRPr="00B043FE">
        <w:t>Malaisamy</w:t>
      </w:r>
      <w:proofErr w:type="spellEnd"/>
      <w:r w:rsidRPr="00B043FE">
        <w:t xml:space="preserve"> M. Psycho-Socio-Economic Issues Challenging Multidrug Resistant Tuberculosis Patients: A Systematic Review. </w:t>
      </w:r>
      <w:proofErr w:type="spellStart"/>
      <w:r w:rsidRPr="00B043FE">
        <w:t>PLoS</w:t>
      </w:r>
      <w:proofErr w:type="spellEnd"/>
      <w:r w:rsidRPr="00B043FE">
        <w:t xml:space="preserve"> One. 2016</w:t>
      </w:r>
      <w:r>
        <w:t>:</w:t>
      </w:r>
      <w:r w:rsidRPr="00B043FE">
        <w:t>11</w:t>
      </w:r>
      <w:r>
        <w:t>;</w:t>
      </w:r>
      <w:r w:rsidRPr="00B043FE">
        <w:t>1</w:t>
      </w:r>
      <w:r>
        <w:t>;</w:t>
      </w:r>
      <w:r w:rsidRPr="00B043FE">
        <w:t xml:space="preserve">e0147397. </w:t>
      </w:r>
    </w:p>
    <w:p w14:paraId="0056B137" w14:textId="77777777" w:rsidR="00040F1D" w:rsidRPr="00B043FE" w:rsidRDefault="00040F1D" w:rsidP="00040F1D">
      <w:pPr>
        <w:pStyle w:val="ListParagraph"/>
        <w:numPr>
          <w:ilvl w:val="0"/>
          <w:numId w:val="6"/>
        </w:numPr>
        <w:spacing w:after="0" w:line="240" w:lineRule="auto"/>
        <w:rPr>
          <w:rFonts w:cs="Arial"/>
        </w:rPr>
      </w:pPr>
      <w:proofErr w:type="spellStart"/>
      <w:r w:rsidRPr="00B043FE">
        <w:t>Koyanagi</w:t>
      </w:r>
      <w:proofErr w:type="spellEnd"/>
      <w:r>
        <w:t xml:space="preserve"> A,</w:t>
      </w:r>
      <w:r w:rsidRPr="00B043FE">
        <w:t xml:space="preserve"> </w:t>
      </w:r>
      <w:proofErr w:type="spellStart"/>
      <w:r w:rsidRPr="00B043FE">
        <w:t>Vancampfort</w:t>
      </w:r>
      <w:proofErr w:type="spellEnd"/>
      <w:r>
        <w:t xml:space="preserve"> </w:t>
      </w:r>
      <w:r w:rsidRPr="00B043FE">
        <w:t>D, Carvalho AF</w:t>
      </w:r>
      <w:r>
        <w:t xml:space="preserve">, </w:t>
      </w:r>
      <w:proofErr w:type="spellStart"/>
      <w:r>
        <w:t>DeVylder</w:t>
      </w:r>
      <w:proofErr w:type="spellEnd"/>
      <w:r>
        <w:t xml:space="preserve"> J, </w:t>
      </w:r>
      <w:proofErr w:type="spellStart"/>
      <w:r>
        <w:t>Haro</w:t>
      </w:r>
      <w:proofErr w:type="spellEnd"/>
      <w:r>
        <w:t xml:space="preserve"> JM, </w:t>
      </w:r>
      <w:proofErr w:type="spellStart"/>
      <w:r>
        <w:t>Pizzol</w:t>
      </w:r>
      <w:proofErr w:type="spellEnd"/>
      <w:r>
        <w:t xml:space="preserve">, D. et al. </w:t>
      </w:r>
      <w:r w:rsidRPr="00B043FE">
        <w:t>Depression comorbid with tuberculosis and its impact on health status: cross-sectional analysis of community-based data from 48 low- and middle-income countries BMC Medicine</w:t>
      </w:r>
      <w:r>
        <w:t>.</w:t>
      </w:r>
      <w:r w:rsidRPr="00B043FE">
        <w:t xml:space="preserve"> 2017</w:t>
      </w:r>
      <w:r>
        <w:t>:</w:t>
      </w:r>
      <w:r w:rsidRPr="00B043FE">
        <w:t>15</w:t>
      </w:r>
      <w:r>
        <w:t>;</w:t>
      </w:r>
      <w:r w:rsidRPr="00B043FE">
        <w:t xml:space="preserve">209 </w:t>
      </w:r>
    </w:p>
    <w:p w14:paraId="18D933AB" w14:textId="77777777" w:rsidR="00040F1D" w:rsidRPr="00B043FE" w:rsidRDefault="00040F1D" w:rsidP="00040F1D">
      <w:pPr>
        <w:pStyle w:val="ListParagraph"/>
        <w:numPr>
          <w:ilvl w:val="0"/>
          <w:numId w:val="6"/>
        </w:numPr>
        <w:spacing w:after="0" w:line="240" w:lineRule="auto"/>
        <w:rPr>
          <w:rFonts w:cs="Arial"/>
        </w:rPr>
      </w:pPr>
      <w:r w:rsidRPr="00B043FE">
        <w:t>Oh KH, Choi H, Kim EJ, Kim HJ, Cho SI</w:t>
      </w:r>
      <w:r>
        <w:t>.</w:t>
      </w:r>
      <w:r w:rsidRPr="00B043FE">
        <w:t xml:space="preserve"> Depression and risk of tuberculosis: a nationwide population-based cohort study. Int J </w:t>
      </w:r>
      <w:proofErr w:type="spellStart"/>
      <w:r w:rsidRPr="00B043FE">
        <w:t>Tuberc</w:t>
      </w:r>
      <w:proofErr w:type="spellEnd"/>
      <w:r w:rsidRPr="00B043FE">
        <w:t xml:space="preserve"> Lung Dis. 2017</w:t>
      </w:r>
      <w:r>
        <w:t>:</w:t>
      </w:r>
      <w:r w:rsidRPr="00B043FE">
        <w:t>1;21</w:t>
      </w:r>
      <w:r>
        <w:t>;</w:t>
      </w:r>
      <w:r w:rsidRPr="00B043FE">
        <w:t>7</w:t>
      </w:r>
      <w:r>
        <w:t>;</w:t>
      </w:r>
      <w:r w:rsidRPr="00B043FE">
        <w:t>804-809</w:t>
      </w:r>
    </w:p>
    <w:p w14:paraId="5F9FF2CC" w14:textId="77777777" w:rsidR="00040F1D" w:rsidRPr="00B043FE" w:rsidRDefault="00040F1D" w:rsidP="00040F1D">
      <w:pPr>
        <w:pStyle w:val="ListParagraph"/>
        <w:numPr>
          <w:ilvl w:val="0"/>
          <w:numId w:val="6"/>
        </w:numPr>
        <w:spacing w:after="0" w:line="240" w:lineRule="auto"/>
        <w:rPr>
          <w:rFonts w:cs="Arial"/>
        </w:rPr>
      </w:pPr>
      <w:r w:rsidRPr="00B043FE">
        <w:t xml:space="preserve">Walker I, Shi O, Hicks J, Elsey H, Wei X, Menzies D, </w:t>
      </w:r>
      <w:r>
        <w:t>et al</w:t>
      </w:r>
      <w:r w:rsidRPr="00B043FE">
        <w:t>. Analysis of loss to follow up in 4,099 multidrug-resistant pulmonary tuberculosis patients. European Respiratory Journal 2019</w:t>
      </w:r>
      <w:r>
        <w:t xml:space="preserve">: </w:t>
      </w:r>
      <w:r w:rsidRPr="00B043FE">
        <w:t xml:space="preserve">1800353 </w:t>
      </w:r>
    </w:p>
    <w:p w14:paraId="163275DA" w14:textId="77777777" w:rsidR="00040F1D" w:rsidRPr="00B043FE" w:rsidRDefault="00040F1D" w:rsidP="00040F1D">
      <w:pPr>
        <w:pStyle w:val="ListParagraph"/>
        <w:numPr>
          <w:ilvl w:val="0"/>
          <w:numId w:val="6"/>
        </w:numPr>
        <w:spacing w:after="0" w:line="240" w:lineRule="auto"/>
        <w:rPr>
          <w:rFonts w:cs="Arial"/>
        </w:rPr>
      </w:pPr>
      <w:r w:rsidRPr="00B043FE">
        <w:t xml:space="preserve">Cavanaugh J S, </w:t>
      </w:r>
      <w:proofErr w:type="spellStart"/>
      <w:r w:rsidRPr="00B043FE">
        <w:t>Kurbatova</w:t>
      </w:r>
      <w:proofErr w:type="spellEnd"/>
      <w:r w:rsidRPr="00B043FE">
        <w:t xml:space="preserve"> E, </w:t>
      </w:r>
      <w:proofErr w:type="spellStart"/>
      <w:r w:rsidRPr="00B043FE">
        <w:t>Alami</w:t>
      </w:r>
      <w:proofErr w:type="spellEnd"/>
      <w:r w:rsidRPr="00B043FE">
        <w:t xml:space="preserve"> N </w:t>
      </w:r>
      <w:proofErr w:type="spellStart"/>
      <w:r w:rsidRPr="00B043FE">
        <w:t>N</w:t>
      </w:r>
      <w:proofErr w:type="spellEnd"/>
      <w:r w:rsidRPr="00B043FE">
        <w:t>, et al. Evaluation of community-based treatment for drug-resistant tuberculosis in Bangladesh. Trop Med Int Health 2016</w:t>
      </w:r>
      <w:r>
        <w:t>:</w:t>
      </w:r>
      <w:r w:rsidRPr="00B043FE">
        <w:t xml:space="preserve"> 21</w:t>
      </w:r>
      <w:r>
        <w:t>;</w:t>
      </w:r>
      <w:r w:rsidRPr="00B043FE">
        <w:t>131–139.</w:t>
      </w:r>
    </w:p>
    <w:p w14:paraId="28DFEDE9" w14:textId="77777777" w:rsidR="00040F1D" w:rsidRPr="00D662D8" w:rsidRDefault="00040F1D" w:rsidP="00040F1D">
      <w:pPr>
        <w:pStyle w:val="ListParagraph"/>
        <w:numPr>
          <w:ilvl w:val="0"/>
          <w:numId w:val="6"/>
        </w:numPr>
        <w:spacing w:after="0" w:line="240" w:lineRule="auto"/>
        <w:rPr>
          <w:rFonts w:cs="Arial"/>
        </w:rPr>
      </w:pPr>
      <w:r w:rsidRPr="00B043FE">
        <w:rPr>
          <w:rFonts w:cs="Arial"/>
          <w:color w:val="303030"/>
          <w:shd w:val="clear" w:color="auto" w:fill="FFFFFF"/>
        </w:rPr>
        <w:t xml:space="preserve">Sweetland, AC, Galea J, Shin SS, Driver C, </w:t>
      </w:r>
      <w:proofErr w:type="spellStart"/>
      <w:r w:rsidRPr="00B043FE">
        <w:rPr>
          <w:rFonts w:cs="Arial"/>
          <w:color w:val="303030"/>
          <w:shd w:val="clear" w:color="auto" w:fill="FFFFFF"/>
        </w:rPr>
        <w:t>Dlodlo</w:t>
      </w:r>
      <w:proofErr w:type="spellEnd"/>
      <w:r w:rsidRPr="00B043FE">
        <w:rPr>
          <w:rFonts w:cs="Arial"/>
          <w:color w:val="303030"/>
          <w:shd w:val="clear" w:color="auto" w:fill="FFFFFF"/>
        </w:rPr>
        <w:t xml:space="preserve"> RA, </w:t>
      </w:r>
      <w:proofErr w:type="spellStart"/>
      <w:r w:rsidRPr="00B043FE">
        <w:rPr>
          <w:rFonts w:cs="Arial"/>
          <w:color w:val="303030"/>
          <w:shd w:val="clear" w:color="auto" w:fill="FFFFFF"/>
        </w:rPr>
        <w:t>Karpati</w:t>
      </w:r>
      <w:proofErr w:type="spellEnd"/>
      <w:r w:rsidRPr="00B043FE">
        <w:rPr>
          <w:rFonts w:cs="Arial"/>
          <w:color w:val="303030"/>
          <w:shd w:val="clear" w:color="auto" w:fill="FFFFFF"/>
        </w:rPr>
        <w:t xml:space="preserve"> A, </w:t>
      </w:r>
      <w:r>
        <w:rPr>
          <w:rFonts w:cs="Arial"/>
          <w:color w:val="303030"/>
          <w:shd w:val="clear" w:color="auto" w:fill="FFFFFF"/>
        </w:rPr>
        <w:t xml:space="preserve">et al. </w:t>
      </w:r>
      <w:r w:rsidRPr="00B043FE">
        <w:rPr>
          <w:rFonts w:cs="Arial"/>
          <w:color w:val="303030"/>
          <w:shd w:val="clear" w:color="auto" w:fill="FFFFFF"/>
        </w:rPr>
        <w:t>Integrating tuberculosis and mental health services: global receptivity of national tuberculosis program directors. </w:t>
      </w:r>
      <w:r w:rsidRPr="00D662D8">
        <w:rPr>
          <w:rFonts w:cs="Arial"/>
          <w:iCs/>
          <w:color w:val="303030"/>
          <w:shd w:val="clear" w:color="auto" w:fill="FFFFFF"/>
        </w:rPr>
        <w:t xml:space="preserve">Int J </w:t>
      </w:r>
      <w:proofErr w:type="spellStart"/>
      <w:r w:rsidRPr="00D662D8">
        <w:rPr>
          <w:rFonts w:cs="Arial"/>
          <w:iCs/>
          <w:color w:val="303030"/>
          <w:shd w:val="clear" w:color="auto" w:fill="FFFFFF"/>
        </w:rPr>
        <w:t>Tuberc</w:t>
      </w:r>
      <w:proofErr w:type="spellEnd"/>
      <w:r w:rsidRPr="00D662D8">
        <w:rPr>
          <w:rFonts w:cs="Arial"/>
          <w:iCs/>
          <w:color w:val="303030"/>
          <w:shd w:val="clear" w:color="auto" w:fill="FFFFFF"/>
        </w:rPr>
        <w:t xml:space="preserve"> Lung Dis Disease</w:t>
      </w:r>
      <w:r>
        <w:rPr>
          <w:rFonts w:cs="Arial"/>
          <w:color w:val="303030"/>
          <w:shd w:val="clear" w:color="auto" w:fill="FFFFFF"/>
        </w:rPr>
        <w:t>. 2019: 23;</w:t>
      </w:r>
      <w:r w:rsidRPr="00B043FE">
        <w:rPr>
          <w:rFonts w:cs="Arial"/>
          <w:color w:val="303030"/>
          <w:shd w:val="clear" w:color="auto" w:fill="FFFFFF"/>
        </w:rPr>
        <w:t>5</w:t>
      </w:r>
      <w:r>
        <w:rPr>
          <w:rFonts w:cs="Arial"/>
          <w:color w:val="303030"/>
          <w:shd w:val="clear" w:color="auto" w:fill="FFFFFF"/>
        </w:rPr>
        <w:t>;</w:t>
      </w:r>
      <w:r w:rsidRPr="00B043FE">
        <w:rPr>
          <w:rFonts w:cs="Arial"/>
          <w:color w:val="303030"/>
          <w:shd w:val="clear" w:color="auto" w:fill="FFFFFF"/>
        </w:rPr>
        <w:t xml:space="preserve"> 600–605. </w:t>
      </w:r>
    </w:p>
    <w:p w14:paraId="31B6C296" w14:textId="77777777" w:rsidR="00040F1D" w:rsidRDefault="00040F1D" w:rsidP="00040F1D">
      <w:pPr>
        <w:pStyle w:val="ListParagraph"/>
        <w:numPr>
          <w:ilvl w:val="0"/>
          <w:numId w:val="6"/>
        </w:numPr>
        <w:spacing w:after="0" w:line="240" w:lineRule="auto"/>
      </w:pPr>
      <w:r w:rsidRPr="00803C24">
        <w:t>WHO Multi-drug Resistant Tuberculosis Guidelines. W</w:t>
      </w:r>
      <w:r>
        <w:t xml:space="preserve">orld </w:t>
      </w:r>
      <w:r w:rsidRPr="00803C24">
        <w:t>H</w:t>
      </w:r>
      <w:r>
        <w:t xml:space="preserve">ealth </w:t>
      </w:r>
      <w:r w:rsidRPr="00803C24">
        <w:t>O</w:t>
      </w:r>
      <w:r>
        <w:t>rganisation.</w:t>
      </w:r>
      <w:r w:rsidRPr="00803C24">
        <w:t xml:space="preserve"> Geneva. </w:t>
      </w:r>
      <w:r>
        <w:t xml:space="preserve">2019 </w:t>
      </w:r>
      <w:hyperlink r:id="rId14" w:history="1">
        <w:r>
          <w:rPr>
            <w:rStyle w:val="Hyperlink"/>
          </w:rPr>
          <w:t>https://www.who.int/tb/publications/2019/consolidated-guidelines-drug-resistant-TB-treatment/en/</w:t>
        </w:r>
      </w:hyperlink>
      <w:r>
        <w:t xml:space="preserve"> Accessed: 12.10.19</w:t>
      </w:r>
    </w:p>
    <w:p w14:paraId="4B53BE25" w14:textId="77777777" w:rsidR="00040F1D" w:rsidRPr="00D662D8" w:rsidRDefault="00040F1D" w:rsidP="00040F1D">
      <w:pPr>
        <w:pStyle w:val="ListParagraph"/>
        <w:numPr>
          <w:ilvl w:val="0"/>
          <w:numId w:val="6"/>
        </w:numPr>
        <w:spacing w:after="0" w:line="240" w:lineRule="auto"/>
        <w:rPr>
          <w:rFonts w:cs="Arial"/>
        </w:rPr>
      </w:pPr>
      <w:r w:rsidRPr="00D662D8">
        <w:t xml:space="preserve">Walker IF, Khanal S, Hicks JP, </w:t>
      </w:r>
      <w:proofErr w:type="spellStart"/>
      <w:r w:rsidRPr="00D662D8">
        <w:t>Lamichhane</w:t>
      </w:r>
      <w:proofErr w:type="spellEnd"/>
      <w:r>
        <w:t xml:space="preserve"> </w:t>
      </w:r>
      <w:r w:rsidRPr="00D662D8">
        <w:t>B, Thapa A, Elsey H</w:t>
      </w:r>
      <w:r>
        <w:t xml:space="preserve"> et al. </w:t>
      </w:r>
      <w:r w:rsidRPr="00D662D8">
        <w:t xml:space="preserve">Implementation of a psychosocial support package for people receiving treatment for multidrug-resistant tuberculosis in Nepal: A feasibility and acceptability study. </w:t>
      </w:r>
      <w:proofErr w:type="spellStart"/>
      <w:r w:rsidRPr="00D662D8">
        <w:t>PLoS</w:t>
      </w:r>
      <w:proofErr w:type="spellEnd"/>
      <w:r w:rsidRPr="00D662D8">
        <w:t xml:space="preserve"> ONE</w:t>
      </w:r>
      <w:r>
        <w:t>. 2018:</w:t>
      </w:r>
      <w:r w:rsidRPr="00D662D8">
        <w:t>13</w:t>
      </w:r>
      <w:r>
        <w:t>;</w:t>
      </w:r>
      <w:r w:rsidRPr="00D662D8">
        <w:t>7</w:t>
      </w:r>
    </w:p>
    <w:p w14:paraId="66B2807C" w14:textId="77777777" w:rsidR="00040F1D" w:rsidRPr="00D662D8" w:rsidRDefault="00040F1D" w:rsidP="00040F1D">
      <w:pPr>
        <w:pStyle w:val="ListParagraph"/>
        <w:numPr>
          <w:ilvl w:val="0"/>
          <w:numId w:val="6"/>
        </w:numPr>
        <w:spacing w:after="0" w:line="240" w:lineRule="auto"/>
        <w:rPr>
          <w:rFonts w:cs="Arial"/>
        </w:rPr>
      </w:pPr>
      <w:r w:rsidRPr="00D662D8">
        <w:t>Creswell J and Plano Clark</w:t>
      </w:r>
      <w:r>
        <w:t xml:space="preserve"> </w:t>
      </w:r>
      <w:r w:rsidRPr="00D662D8">
        <w:t>V</w:t>
      </w:r>
      <w:r>
        <w:t>.</w:t>
      </w:r>
      <w:r w:rsidRPr="00D662D8">
        <w:t xml:space="preserve"> Designing and Conducting Mixed Methods Research. </w:t>
      </w:r>
      <w:r>
        <w:t xml:space="preserve">2018. </w:t>
      </w:r>
      <w:r w:rsidRPr="00D662D8">
        <w:t>Sage, UK</w:t>
      </w:r>
    </w:p>
    <w:p w14:paraId="68F7F63A" w14:textId="77777777" w:rsidR="00040F1D" w:rsidRPr="00D662D8" w:rsidRDefault="00040F1D" w:rsidP="00040F1D">
      <w:pPr>
        <w:pStyle w:val="ListParagraph"/>
        <w:numPr>
          <w:ilvl w:val="0"/>
          <w:numId w:val="6"/>
        </w:numPr>
        <w:spacing w:after="0" w:line="240" w:lineRule="auto"/>
        <w:rPr>
          <w:rFonts w:cs="Arial"/>
        </w:rPr>
      </w:pPr>
      <w:proofErr w:type="spellStart"/>
      <w:r w:rsidRPr="00D662D8">
        <w:t>Malterud</w:t>
      </w:r>
      <w:proofErr w:type="spellEnd"/>
      <w:r w:rsidRPr="00D662D8">
        <w:t xml:space="preserve"> K, </w:t>
      </w:r>
      <w:proofErr w:type="spellStart"/>
      <w:r w:rsidRPr="00D662D8">
        <w:t>Siersma</w:t>
      </w:r>
      <w:proofErr w:type="spellEnd"/>
      <w:r w:rsidRPr="00D662D8">
        <w:t xml:space="preserve"> V, </w:t>
      </w:r>
      <w:proofErr w:type="spellStart"/>
      <w:r w:rsidRPr="00D662D8">
        <w:t>Guassora</w:t>
      </w:r>
      <w:proofErr w:type="spellEnd"/>
      <w:r w:rsidRPr="00D662D8">
        <w:t xml:space="preserve"> A: Sample Size in Qualitative Interview Studies: Guided by Information Power. Qualitative Health Research 2016</w:t>
      </w:r>
      <w:r>
        <w:t xml:space="preserve">: </w:t>
      </w:r>
      <w:r w:rsidRPr="00D662D8">
        <w:t>26</w:t>
      </w:r>
      <w:r>
        <w:t>;</w:t>
      </w:r>
      <w:r w:rsidRPr="00D662D8">
        <w:t>1753-1760.</w:t>
      </w:r>
    </w:p>
    <w:p w14:paraId="0BADFF77" w14:textId="77777777" w:rsidR="00040F1D" w:rsidRPr="00D662D8" w:rsidRDefault="00040F1D" w:rsidP="00040F1D">
      <w:pPr>
        <w:pStyle w:val="ListParagraph"/>
        <w:numPr>
          <w:ilvl w:val="0"/>
          <w:numId w:val="6"/>
        </w:numPr>
        <w:spacing w:after="0" w:line="240" w:lineRule="auto"/>
        <w:rPr>
          <w:rFonts w:cs="Arial"/>
        </w:rPr>
      </w:pPr>
      <w:r w:rsidRPr="00D662D8">
        <w:t>Bronfenbrenner</w:t>
      </w:r>
      <w:r>
        <w:t xml:space="preserve"> </w:t>
      </w:r>
      <w:r w:rsidRPr="00D662D8">
        <w:t xml:space="preserve">U. Toward an experimental ecology of human development. American Psychologist, </w:t>
      </w:r>
      <w:r>
        <w:t>1977:</w:t>
      </w:r>
      <w:r w:rsidRPr="00D662D8">
        <w:t>32</w:t>
      </w:r>
      <w:r>
        <w:t>;</w:t>
      </w:r>
      <w:r w:rsidRPr="00D662D8">
        <w:t xml:space="preserve"> 513-531.</w:t>
      </w:r>
    </w:p>
    <w:p w14:paraId="2D2E3D64" w14:textId="77777777" w:rsidR="00040F1D" w:rsidRPr="00D662D8" w:rsidRDefault="00040F1D" w:rsidP="00040F1D">
      <w:pPr>
        <w:pStyle w:val="ListParagraph"/>
        <w:numPr>
          <w:ilvl w:val="0"/>
          <w:numId w:val="6"/>
        </w:numPr>
        <w:spacing w:after="0" w:line="240" w:lineRule="auto"/>
        <w:rPr>
          <w:rFonts w:cs="Arial"/>
        </w:rPr>
      </w:pPr>
      <w:r w:rsidRPr="00D662D8">
        <w:t>First MB, Spitzer RL, Gibbon M, Williams JB: Structured clinical interview for DSM-IV-TR axis I disorders, research version, patient edition. New York: Biometrics Research Department, New York State Psychiatric Institute; 2002.</w:t>
      </w:r>
    </w:p>
    <w:p w14:paraId="61F5F1E7" w14:textId="77777777" w:rsidR="00040F1D" w:rsidRPr="00D662D8" w:rsidRDefault="00040F1D" w:rsidP="00040F1D">
      <w:pPr>
        <w:pStyle w:val="ListParagraph"/>
        <w:numPr>
          <w:ilvl w:val="0"/>
          <w:numId w:val="6"/>
        </w:numPr>
        <w:spacing w:after="0" w:line="240" w:lineRule="auto"/>
        <w:rPr>
          <w:rFonts w:cs="Arial"/>
        </w:rPr>
      </w:pPr>
      <w:r w:rsidRPr="00D662D8">
        <w:t xml:space="preserve">Firoz A, Karim M, </w:t>
      </w:r>
      <w:proofErr w:type="spellStart"/>
      <w:r w:rsidRPr="00D662D8">
        <w:t>Alam</w:t>
      </w:r>
      <w:proofErr w:type="spellEnd"/>
      <w:r w:rsidRPr="00D662D8">
        <w:t xml:space="preserve"> M, Rahman A, Zaman M: Prevalence, medical care, awareness and attitude towards mental illness in Bangladesh. Bangladesh Journal of Psychiatry 2006</w:t>
      </w:r>
      <w:r>
        <w:t>:</w:t>
      </w:r>
      <w:r w:rsidRPr="00D662D8">
        <w:t xml:space="preserve"> 20</w:t>
      </w:r>
      <w:r>
        <w:t xml:space="preserve">; </w:t>
      </w:r>
      <w:r w:rsidRPr="00D662D8">
        <w:t>9-36.</w:t>
      </w:r>
    </w:p>
    <w:p w14:paraId="334E1D2F" w14:textId="77777777" w:rsidR="00040F1D" w:rsidRPr="00D662D8" w:rsidRDefault="00040F1D" w:rsidP="00040F1D">
      <w:pPr>
        <w:pStyle w:val="ListParagraph"/>
        <w:numPr>
          <w:ilvl w:val="0"/>
          <w:numId w:val="6"/>
        </w:numPr>
        <w:spacing w:after="0" w:line="240" w:lineRule="auto"/>
        <w:rPr>
          <w:rFonts w:cs="Arial"/>
        </w:rPr>
      </w:pPr>
      <w:r w:rsidRPr="00D662D8">
        <w:t xml:space="preserve">Uddin MJ, </w:t>
      </w:r>
      <w:proofErr w:type="spellStart"/>
      <w:r w:rsidRPr="00D662D8">
        <w:t>Alam</w:t>
      </w:r>
      <w:proofErr w:type="spellEnd"/>
      <w:r w:rsidRPr="00D662D8">
        <w:t xml:space="preserve"> MT, Ahmed HU, Khan NM, Hamid M, Chowdhury WA</w:t>
      </w:r>
      <w:r>
        <w:t xml:space="preserve"> et al. </w:t>
      </w:r>
      <w:r w:rsidRPr="00D662D8">
        <w:t>Psychiatric Morbidity among Caregivers of Schizophrenia Patients A Study in Tertiary Care Psychiatric Hospital in Dhaka. Journal of Current and Advance Medical Research 201</w:t>
      </w:r>
      <w:r>
        <w:t>5:</w:t>
      </w:r>
      <w:r w:rsidRPr="00D662D8">
        <w:t xml:space="preserve"> 2</w:t>
      </w:r>
      <w:r>
        <w:t>;</w:t>
      </w:r>
      <w:r w:rsidRPr="00D662D8">
        <w:t>12-17.</w:t>
      </w:r>
    </w:p>
    <w:p w14:paraId="339B63B9" w14:textId="75B8CDFD" w:rsidR="00546645" w:rsidRDefault="00546645" w:rsidP="00040F1D">
      <w:pPr>
        <w:pStyle w:val="ListParagraph"/>
        <w:numPr>
          <w:ilvl w:val="0"/>
          <w:numId w:val="6"/>
        </w:numPr>
        <w:spacing w:after="0" w:line="240" w:lineRule="auto"/>
        <w:rPr>
          <w:rFonts w:cs="Arial"/>
        </w:rPr>
      </w:pPr>
      <w:r w:rsidRPr="00546645">
        <w:rPr>
          <w:rFonts w:cs="Arial"/>
        </w:rPr>
        <w:t>Braun</w:t>
      </w:r>
      <w:r>
        <w:rPr>
          <w:rFonts w:cs="Arial"/>
        </w:rPr>
        <w:t xml:space="preserve"> V</w:t>
      </w:r>
      <w:r w:rsidRPr="00546645">
        <w:rPr>
          <w:rFonts w:cs="Arial"/>
        </w:rPr>
        <w:t xml:space="preserve"> </w:t>
      </w:r>
      <w:r>
        <w:rPr>
          <w:rFonts w:cs="Arial"/>
        </w:rPr>
        <w:t xml:space="preserve">and </w:t>
      </w:r>
      <w:r w:rsidRPr="00546645">
        <w:rPr>
          <w:rFonts w:cs="Arial"/>
        </w:rPr>
        <w:t>Clarke</w:t>
      </w:r>
      <w:r>
        <w:rPr>
          <w:rFonts w:cs="Arial"/>
        </w:rPr>
        <w:t xml:space="preserve"> V</w:t>
      </w:r>
      <w:r w:rsidRPr="00546645">
        <w:rPr>
          <w:rFonts w:cs="Arial"/>
        </w:rPr>
        <w:t xml:space="preserve"> (2006) Using thematic analysis in psychology, Qualitative Research in Psychology, 3:2, 77-101, DOI: 10.1191/1478088706qp063oa</w:t>
      </w:r>
    </w:p>
    <w:p w14:paraId="56C26DFD" w14:textId="39F2D327" w:rsidR="00040F1D" w:rsidRPr="00C858E2" w:rsidRDefault="00040F1D" w:rsidP="00040F1D">
      <w:pPr>
        <w:pStyle w:val="ListParagraph"/>
        <w:numPr>
          <w:ilvl w:val="0"/>
          <w:numId w:val="6"/>
        </w:numPr>
        <w:spacing w:after="0" w:line="240" w:lineRule="auto"/>
        <w:rPr>
          <w:rFonts w:cs="Arial"/>
        </w:rPr>
      </w:pPr>
      <w:proofErr w:type="spellStart"/>
      <w:r w:rsidRPr="00C858E2">
        <w:rPr>
          <w:rFonts w:cs="Arial"/>
        </w:rPr>
        <w:t>Agresti</w:t>
      </w:r>
      <w:proofErr w:type="spellEnd"/>
      <w:r w:rsidRPr="00C858E2">
        <w:rPr>
          <w:rFonts w:cs="Arial"/>
        </w:rPr>
        <w:t xml:space="preserve"> A, </w:t>
      </w:r>
      <w:proofErr w:type="spellStart"/>
      <w:r w:rsidRPr="00C858E2">
        <w:rPr>
          <w:rFonts w:cs="Arial"/>
        </w:rPr>
        <w:t>Coull</w:t>
      </w:r>
      <w:proofErr w:type="spellEnd"/>
      <w:r w:rsidRPr="00C858E2">
        <w:rPr>
          <w:rFonts w:cs="Arial"/>
        </w:rPr>
        <w:t xml:space="preserve"> BA. Approximate is better than "exact" for interval estimation of binomial proportions. American Statistician. 1998: 52;119-126.</w:t>
      </w:r>
    </w:p>
    <w:p w14:paraId="7C025B8C" w14:textId="77777777" w:rsidR="00040F1D" w:rsidRPr="00C858E2" w:rsidRDefault="00040F1D" w:rsidP="00040F1D">
      <w:pPr>
        <w:pStyle w:val="ListParagraph"/>
        <w:numPr>
          <w:ilvl w:val="0"/>
          <w:numId w:val="6"/>
        </w:numPr>
        <w:spacing w:after="0" w:line="240" w:lineRule="auto"/>
        <w:rPr>
          <w:rFonts w:cs="Arial"/>
        </w:rPr>
      </w:pPr>
      <w:r w:rsidRPr="00C858E2">
        <w:rPr>
          <w:rFonts w:cs="Arial"/>
        </w:rPr>
        <w:t>Dupont WD. Statistical Modelling for Biomedical Researchers: A Simple Introduction to the Analysis of Complex Data. 2nd ed. 2019 Cambridge: Cambridge University Press.</w:t>
      </w:r>
    </w:p>
    <w:p w14:paraId="017F057F" w14:textId="77777777" w:rsidR="00040F1D" w:rsidRDefault="00040F1D" w:rsidP="00040F1D">
      <w:pPr>
        <w:pStyle w:val="CommentText"/>
        <w:numPr>
          <w:ilvl w:val="0"/>
          <w:numId w:val="6"/>
        </w:numPr>
        <w:rPr>
          <w:sz w:val="22"/>
          <w:szCs w:val="22"/>
        </w:rPr>
      </w:pPr>
      <w:r w:rsidRPr="00C858E2">
        <w:rPr>
          <w:sz w:val="22"/>
          <w:szCs w:val="22"/>
        </w:rPr>
        <w:t xml:space="preserve">R Core Team (2018). R: A language and environment for statistical computing. R Foundation for Statistical Computing, Vienna, Austria. URL: </w:t>
      </w:r>
      <w:hyperlink r:id="rId15" w:history="1">
        <w:r w:rsidRPr="000644F3">
          <w:rPr>
            <w:rStyle w:val="Hyperlink"/>
            <w:sz w:val="22"/>
            <w:szCs w:val="22"/>
          </w:rPr>
          <w:t>https://www.R-project.org/</w:t>
        </w:r>
      </w:hyperlink>
      <w:r w:rsidRPr="00C858E2">
        <w:rPr>
          <w:sz w:val="22"/>
          <w:szCs w:val="22"/>
        </w:rPr>
        <w:t>.</w:t>
      </w:r>
    </w:p>
    <w:p w14:paraId="01028187" w14:textId="77777777" w:rsidR="00040F1D" w:rsidRPr="00C858E2" w:rsidRDefault="00040F1D" w:rsidP="00040F1D">
      <w:pPr>
        <w:pStyle w:val="CommentText"/>
        <w:numPr>
          <w:ilvl w:val="0"/>
          <w:numId w:val="6"/>
        </w:numPr>
        <w:rPr>
          <w:sz w:val="22"/>
          <w:szCs w:val="22"/>
        </w:rPr>
      </w:pPr>
      <w:r w:rsidRPr="00C858E2">
        <w:rPr>
          <w:sz w:val="22"/>
          <w:szCs w:val="22"/>
        </w:rPr>
        <w:t xml:space="preserve">Sundar </w:t>
      </w:r>
      <w:proofErr w:type="spellStart"/>
      <w:r w:rsidRPr="00C858E2">
        <w:rPr>
          <w:sz w:val="22"/>
          <w:szCs w:val="22"/>
        </w:rPr>
        <w:t>Dorai</w:t>
      </w:r>
      <w:proofErr w:type="spellEnd"/>
      <w:r w:rsidRPr="00C858E2">
        <w:rPr>
          <w:sz w:val="22"/>
          <w:szCs w:val="22"/>
        </w:rPr>
        <w:t xml:space="preserve">-Raj (2014). </w:t>
      </w:r>
      <w:proofErr w:type="spellStart"/>
      <w:r w:rsidRPr="00C858E2">
        <w:rPr>
          <w:sz w:val="22"/>
          <w:szCs w:val="22"/>
        </w:rPr>
        <w:t>binom</w:t>
      </w:r>
      <w:proofErr w:type="spellEnd"/>
      <w:r w:rsidRPr="00C858E2">
        <w:rPr>
          <w:sz w:val="22"/>
          <w:szCs w:val="22"/>
        </w:rPr>
        <w:t xml:space="preserve">: Binomial Confidence Intervals </w:t>
      </w:r>
      <w:proofErr w:type="gramStart"/>
      <w:r w:rsidRPr="00C858E2">
        <w:rPr>
          <w:sz w:val="22"/>
          <w:szCs w:val="22"/>
        </w:rPr>
        <w:t>For</w:t>
      </w:r>
      <w:proofErr w:type="gramEnd"/>
      <w:r w:rsidRPr="00C858E2">
        <w:rPr>
          <w:sz w:val="22"/>
          <w:szCs w:val="22"/>
        </w:rPr>
        <w:t xml:space="preserve"> Several Parameterizations. R package version 1.1-1. URL: https://CRAN.R-project.org/package=binom</w:t>
      </w:r>
    </w:p>
    <w:p w14:paraId="582FC7D9" w14:textId="77777777" w:rsidR="00040F1D" w:rsidRPr="00D662D8" w:rsidRDefault="00040F1D" w:rsidP="00040F1D">
      <w:pPr>
        <w:pStyle w:val="ListParagraph"/>
        <w:numPr>
          <w:ilvl w:val="0"/>
          <w:numId w:val="6"/>
        </w:numPr>
        <w:spacing w:after="0" w:line="240" w:lineRule="auto"/>
        <w:rPr>
          <w:rFonts w:cs="Arial"/>
        </w:rPr>
      </w:pPr>
      <w:proofErr w:type="gramStart"/>
      <w:r w:rsidRPr="00C858E2">
        <w:t>WHO.</w:t>
      </w:r>
      <w:proofErr w:type="gramEnd"/>
      <w:r w:rsidRPr="00C858E2">
        <w:t xml:space="preserve"> Depression and Other Common Mental Disorders: Global Health Estimates. Geneva: World Health Organization. 2017</w:t>
      </w:r>
      <w:r>
        <w:t xml:space="preserve"> </w:t>
      </w:r>
      <w:hyperlink r:id="rId16" w:history="1">
        <w:r>
          <w:rPr>
            <w:rStyle w:val="Hyperlink"/>
          </w:rPr>
          <w:t>https://apps.who.int/iris/bitstream/handle/10665/254610/WHO-MSD-MER-2017.2-eng.pdf</w:t>
        </w:r>
      </w:hyperlink>
      <w:r>
        <w:t xml:space="preserve"> Accessed 10.10.19</w:t>
      </w:r>
    </w:p>
    <w:p w14:paraId="3C12B0D3" w14:textId="77777777" w:rsidR="00040F1D" w:rsidRDefault="00040F1D" w:rsidP="00040F1D">
      <w:pPr>
        <w:pStyle w:val="ListParagraph"/>
        <w:numPr>
          <w:ilvl w:val="0"/>
          <w:numId w:val="6"/>
        </w:numPr>
        <w:spacing w:after="0" w:line="240" w:lineRule="auto"/>
      </w:pPr>
      <w:r w:rsidRPr="00D662D8">
        <w:t xml:space="preserve">Read JR, Sharpe L, </w:t>
      </w:r>
      <w:proofErr w:type="spellStart"/>
      <w:r w:rsidRPr="00D662D8">
        <w:t>Modini</w:t>
      </w:r>
      <w:proofErr w:type="spellEnd"/>
      <w:r w:rsidRPr="00D662D8">
        <w:t xml:space="preserve"> M, Dear BF. Multimorbidity and depression: A systematic review and meta-analysis. J Affect </w:t>
      </w:r>
      <w:proofErr w:type="spellStart"/>
      <w:r w:rsidRPr="00D662D8">
        <w:t>Disord</w:t>
      </w:r>
      <w:proofErr w:type="spellEnd"/>
      <w:r w:rsidRPr="00D662D8">
        <w:t>. 2017</w:t>
      </w:r>
      <w:r>
        <w:t>:</w:t>
      </w:r>
      <w:r w:rsidRPr="00D662D8">
        <w:t>15;221</w:t>
      </w:r>
      <w:r>
        <w:t>;</w:t>
      </w:r>
      <w:r w:rsidRPr="00D662D8">
        <w:t>36-46.</w:t>
      </w:r>
    </w:p>
    <w:p w14:paraId="341669D7" w14:textId="77777777" w:rsidR="00040F1D" w:rsidRDefault="00040F1D" w:rsidP="00040F1D">
      <w:pPr>
        <w:pStyle w:val="ListParagraph"/>
        <w:numPr>
          <w:ilvl w:val="0"/>
          <w:numId w:val="6"/>
        </w:numPr>
        <w:spacing w:after="0" w:line="240" w:lineRule="auto"/>
      </w:pPr>
      <w:proofErr w:type="spellStart"/>
      <w:r w:rsidRPr="00425D07">
        <w:t>Ambaw</w:t>
      </w:r>
      <w:proofErr w:type="spellEnd"/>
      <w:r w:rsidRPr="00425D07">
        <w:t xml:space="preserve"> </w:t>
      </w:r>
      <w:r>
        <w:t xml:space="preserve">F, </w:t>
      </w:r>
      <w:proofErr w:type="spellStart"/>
      <w:r w:rsidRPr="00803C24">
        <w:t>Mayston</w:t>
      </w:r>
      <w:proofErr w:type="spellEnd"/>
      <w:r w:rsidRPr="00803C24">
        <w:t xml:space="preserve"> R, Hanlon C. </w:t>
      </w:r>
      <w:r w:rsidRPr="00425D07">
        <w:t>et al. Burden and presentation of depression among newly diagnosed individuals with TB in primary care settings in Ethiopia</w:t>
      </w:r>
      <w:r>
        <w:t xml:space="preserve">. </w:t>
      </w:r>
      <w:r w:rsidRPr="00425D07">
        <w:t>BMC Psychiatry 2017</w:t>
      </w:r>
      <w:r>
        <w:t>:</w:t>
      </w:r>
      <w:r w:rsidRPr="00425D07">
        <w:t xml:space="preserve"> 17</w:t>
      </w:r>
      <w:r>
        <w:t>;</w:t>
      </w:r>
      <w:r w:rsidRPr="00425D07">
        <w:t>57</w:t>
      </w:r>
    </w:p>
    <w:p w14:paraId="5AE7391E" w14:textId="77777777" w:rsidR="00040F1D" w:rsidRDefault="00040F1D" w:rsidP="00040F1D">
      <w:pPr>
        <w:pStyle w:val="ListParagraph"/>
        <w:numPr>
          <w:ilvl w:val="0"/>
          <w:numId w:val="6"/>
        </w:numPr>
        <w:spacing w:after="0" w:line="240" w:lineRule="auto"/>
      </w:pPr>
      <w:r w:rsidRPr="00803C24">
        <w:t xml:space="preserve">Oladimeji O, </w:t>
      </w:r>
      <w:proofErr w:type="spellStart"/>
      <w:r w:rsidRPr="00803C24">
        <w:t>Ushie</w:t>
      </w:r>
      <w:proofErr w:type="spellEnd"/>
      <w:r w:rsidRPr="00803C24">
        <w:t xml:space="preserve"> BA, Udoh EE et al. Psychosocial wellbeing of patients with multidrug resistant tuberculosis voluntarily confined to long</w:t>
      </w:r>
      <w:r>
        <w:t>-</w:t>
      </w:r>
      <w:r w:rsidRPr="00803C24">
        <w:t>term hospitalisation in Nigeria. BMJ Global Health 2016</w:t>
      </w:r>
      <w:r>
        <w:t>:</w:t>
      </w:r>
      <w:r w:rsidRPr="00803C24">
        <w:t xml:space="preserve"> 1:e000006. </w:t>
      </w:r>
    </w:p>
    <w:p w14:paraId="73870FD5" w14:textId="77777777" w:rsidR="00040F1D" w:rsidRDefault="00040F1D" w:rsidP="00040F1D">
      <w:pPr>
        <w:pStyle w:val="ListParagraph"/>
        <w:numPr>
          <w:ilvl w:val="0"/>
          <w:numId w:val="6"/>
        </w:numPr>
        <w:spacing w:after="0" w:line="240" w:lineRule="auto"/>
      </w:pPr>
      <w:r w:rsidRPr="00803C24">
        <w:t>Fitzpatrick C, Floyd K</w:t>
      </w:r>
      <w:r>
        <w:t>.</w:t>
      </w:r>
      <w:r w:rsidRPr="00803C24">
        <w:t xml:space="preserve"> A systematic review of the cost and cost effectiveness of treatment for multidrug-resistant tuberculosis. Pharmacoeconomics 2012</w:t>
      </w:r>
      <w:r>
        <w:t>:</w:t>
      </w:r>
      <w:r w:rsidRPr="00803C24">
        <w:t xml:space="preserve"> 30</w:t>
      </w:r>
      <w:r>
        <w:t xml:space="preserve">; </w:t>
      </w:r>
      <w:r w:rsidRPr="00803C24">
        <w:t>63–80.</w:t>
      </w:r>
    </w:p>
    <w:p w14:paraId="1F7759B7" w14:textId="77777777" w:rsidR="00040F1D" w:rsidRDefault="00040F1D" w:rsidP="00040F1D">
      <w:pPr>
        <w:pStyle w:val="ListParagraph"/>
        <w:numPr>
          <w:ilvl w:val="0"/>
          <w:numId w:val="6"/>
        </w:numPr>
        <w:spacing w:after="0" w:line="240" w:lineRule="auto"/>
      </w:pPr>
      <w:proofErr w:type="spellStart"/>
      <w:r w:rsidRPr="00803C24">
        <w:t>Horter</w:t>
      </w:r>
      <w:proofErr w:type="spellEnd"/>
      <w:r w:rsidRPr="00803C24">
        <w:t xml:space="preserve"> S,  Stringer</w:t>
      </w:r>
      <w:r>
        <w:t xml:space="preserve"> </w:t>
      </w:r>
      <w:r w:rsidRPr="00803C24">
        <w:t xml:space="preserve">B, Reynolds L, Shoaib M, </w:t>
      </w:r>
      <w:proofErr w:type="spellStart"/>
      <w:r w:rsidRPr="00803C24">
        <w:t>Kasozi</w:t>
      </w:r>
      <w:proofErr w:type="spellEnd"/>
      <w:r w:rsidRPr="00803C24">
        <w:t xml:space="preserve"> S</w:t>
      </w:r>
      <w:r>
        <w:t>,</w:t>
      </w:r>
      <w:r w:rsidRPr="00803C24">
        <w:t xml:space="preserve"> Casas E.</w:t>
      </w:r>
      <w:r>
        <w:t xml:space="preserve"> et al.</w:t>
      </w:r>
      <w:r w:rsidRPr="00803C24">
        <w:t xml:space="preserve"> “Home is where the patient is”: a qualitative analysis of a patient-centred model of care for multi-drug resistant tuberculosis. BMC Health Services Research 2014</w:t>
      </w:r>
      <w:r>
        <w:t>:</w:t>
      </w:r>
      <w:r w:rsidRPr="00803C24">
        <w:t>14</w:t>
      </w:r>
      <w:r>
        <w:t>;</w:t>
      </w:r>
      <w:r w:rsidRPr="00803C24">
        <w:t xml:space="preserve">81 </w:t>
      </w:r>
    </w:p>
    <w:p w14:paraId="40B9745B" w14:textId="77777777" w:rsidR="00040F1D" w:rsidRPr="00803C24" w:rsidRDefault="00040F1D" w:rsidP="00040F1D">
      <w:pPr>
        <w:pStyle w:val="ListParagraph"/>
        <w:numPr>
          <w:ilvl w:val="0"/>
          <w:numId w:val="6"/>
        </w:numPr>
        <w:spacing w:after="0" w:line="240" w:lineRule="auto"/>
      </w:pPr>
      <w:r w:rsidRPr="00803C24">
        <w:rPr>
          <w:rFonts w:cs="Arial"/>
          <w:color w:val="303030"/>
          <w:shd w:val="clear" w:color="auto" w:fill="FFFFFF"/>
        </w:rPr>
        <w:t>Alderson SL, Foy R, Glidewell L, House AO. Patients understanding of depression associated with chronic physical illness: a qualitative study. </w:t>
      </w:r>
      <w:r w:rsidRPr="00803C24">
        <w:rPr>
          <w:rFonts w:cs="Arial"/>
          <w:iCs/>
          <w:color w:val="303030"/>
          <w:shd w:val="clear" w:color="auto" w:fill="FFFFFF"/>
        </w:rPr>
        <w:t xml:space="preserve">BMC Fam </w:t>
      </w:r>
      <w:proofErr w:type="spellStart"/>
      <w:r w:rsidRPr="00803C24">
        <w:rPr>
          <w:rFonts w:cs="Arial"/>
          <w:iCs/>
          <w:color w:val="303030"/>
          <w:shd w:val="clear" w:color="auto" w:fill="FFFFFF"/>
        </w:rPr>
        <w:t>Pract</w:t>
      </w:r>
      <w:proofErr w:type="spellEnd"/>
      <w:r w:rsidRPr="00803C24">
        <w:rPr>
          <w:rFonts w:cs="Arial"/>
          <w:color w:val="303030"/>
          <w:shd w:val="clear" w:color="auto" w:fill="FFFFFF"/>
        </w:rPr>
        <w:t>. 2014</w:t>
      </w:r>
      <w:r>
        <w:rPr>
          <w:rFonts w:cs="Arial"/>
          <w:color w:val="303030"/>
          <w:shd w:val="clear" w:color="auto" w:fill="FFFFFF"/>
        </w:rPr>
        <w:t xml:space="preserve">: </w:t>
      </w:r>
      <w:r w:rsidRPr="00803C24">
        <w:rPr>
          <w:rFonts w:cs="Arial"/>
          <w:color w:val="303030"/>
          <w:shd w:val="clear" w:color="auto" w:fill="FFFFFF"/>
        </w:rPr>
        <w:t>15:37.</w:t>
      </w:r>
    </w:p>
    <w:p w14:paraId="25B1ADB6" w14:textId="77777777" w:rsidR="00040F1D" w:rsidRPr="00803C24" w:rsidRDefault="00040F1D" w:rsidP="00040F1D">
      <w:pPr>
        <w:pStyle w:val="ListParagraph"/>
        <w:numPr>
          <w:ilvl w:val="0"/>
          <w:numId w:val="6"/>
        </w:numPr>
        <w:spacing w:after="0" w:line="240" w:lineRule="auto"/>
      </w:pPr>
      <w:proofErr w:type="spellStart"/>
      <w:r w:rsidRPr="00803C24">
        <w:t>DiMatteo</w:t>
      </w:r>
      <w:proofErr w:type="spellEnd"/>
      <w:r>
        <w:t xml:space="preserve"> </w:t>
      </w:r>
      <w:r w:rsidRPr="00803C24">
        <w:t>MR, Lepper HS, Croghan TW. Depression is a risk factor for noncompliance with medical treatment meta-analysis of the effects of anxiety and depression on patient adherence</w:t>
      </w:r>
      <w:r>
        <w:t xml:space="preserve">. </w:t>
      </w:r>
      <w:r w:rsidRPr="00803C24">
        <w:t>Archives of Internal Medicine</w:t>
      </w:r>
      <w:r>
        <w:t>. 2000: 1</w:t>
      </w:r>
      <w:r w:rsidRPr="00803C24">
        <w:t>60</w:t>
      </w:r>
      <w:r>
        <w:t>;</w:t>
      </w:r>
      <w:r w:rsidRPr="00803C24">
        <w:t>14</w:t>
      </w:r>
      <w:r>
        <w:t>;</w:t>
      </w:r>
      <w:r w:rsidRPr="00803C24">
        <w:t xml:space="preserve"> 2101-2107</w:t>
      </w:r>
    </w:p>
    <w:p w14:paraId="7B84081F" w14:textId="12A466FB" w:rsidR="00A45A26" w:rsidRDefault="00A45A26">
      <w:pPr>
        <w:rPr>
          <w:rFonts w:cs="Arial"/>
        </w:rPr>
      </w:pPr>
      <w:r>
        <w:rPr>
          <w:rFonts w:cs="Arial"/>
        </w:rPr>
        <w:br w:type="page"/>
      </w:r>
    </w:p>
    <w:tbl>
      <w:tblPr>
        <w:tblStyle w:val="TableGrid"/>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4010"/>
        <w:gridCol w:w="1228"/>
        <w:gridCol w:w="1231"/>
      </w:tblGrid>
      <w:tr w:rsidR="00A45A26" w:rsidRPr="00A45A26" w14:paraId="76CA3D8D" w14:textId="77777777" w:rsidTr="00921EF9">
        <w:tc>
          <w:tcPr>
            <w:tcW w:w="9134" w:type="dxa"/>
            <w:gridSpan w:val="4"/>
            <w:tcBorders>
              <w:top w:val="single" w:sz="4" w:space="0" w:color="auto"/>
              <w:bottom w:val="single" w:sz="4" w:space="0" w:color="auto"/>
            </w:tcBorders>
          </w:tcPr>
          <w:p w14:paraId="4883791E" w14:textId="77777777" w:rsidR="00A45A26" w:rsidRPr="00A45A26" w:rsidRDefault="00A45A26" w:rsidP="00A45A26">
            <w:pPr>
              <w:spacing w:after="160" w:line="259" w:lineRule="auto"/>
              <w:rPr>
                <w:rFonts w:cs="Arial"/>
              </w:rPr>
            </w:pPr>
            <w:r w:rsidRPr="00A45A26">
              <w:rPr>
                <w:rFonts w:cs="Arial"/>
                <w:b/>
              </w:rPr>
              <w:t>Table 1. Participant characteristics.</w:t>
            </w:r>
          </w:p>
        </w:tc>
      </w:tr>
      <w:tr w:rsidR="00A45A26" w:rsidRPr="00A45A26" w14:paraId="13BBED14" w14:textId="77777777" w:rsidTr="00921EF9">
        <w:tc>
          <w:tcPr>
            <w:tcW w:w="6675" w:type="dxa"/>
            <w:gridSpan w:val="2"/>
            <w:tcBorders>
              <w:top w:val="single" w:sz="4" w:space="0" w:color="auto"/>
            </w:tcBorders>
          </w:tcPr>
          <w:p w14:paraId="47A83944" w14:textId="77777777" w:rsidR="00A45A26" w:rsidRPr="00A45A26" w:rsidRDefault="00A45A26" w:rsidP="00A45A26">
            <w:pPr>
              <w:spacing w:after="160" w:line="259" w:lineRule="auto"/>
              <w:rPr>
                <w:rFonts w:cs="Arial"/>
              </w:rPr>
            </w:pPr>
            <w:r w:rsidRPr="00A45A26">
              <w:rPr>
                <w:rFonts w:cs="Arial"/>
              </w:rPr>
              <w:t>Variable</w:t>
            </w:r>
          </w:p>
        </w:tc>
        <w:tc>
          <w:tcPr>
            <w:tcW w:w="1228" w:type="dxa"/>
            <w:tcBorders>
              <w:top w:val="single" w:sz="4" w:space="0" w:color="auto"/>
            </w:tcBorders>
          </w:tcPr>
          <w:p w14:paraId="1BA9C70A" w14:textId="77777777" w:rsidR="00A45A26" w:rsidRPr="00A45A26" w:rsidRDefault="00A45A26" w:rsidP="00A45A26">
            <w:pPr>
              <w:spacing w:after="160" w:line="259" w:lineRule="auto"/>
              <w:rPr>
                <w:rFonts w:cs="Arial"/>
              </w:rPr>
            </w:pPr>
            <w:r w:rsidRPr="00A45A26">
              <w:rPr>
                <w:rFonts w:cs="Arial"/>
              </w:rPr>
              <w:t>Mean/%</w:t>
            </w:r>
          </w:p>
        </w:tc>
        <w:tc>
          <w:tcPr>
            <w:tcW w:w="1231" w:type="dxa"/>
            <w:tcBorders>
              <w:top w:val="single" w:sz="4" w:space="0" w:color="auto"/>
            </w:tcBorders>
          </w:tcPr>
          <w:p w14:paraId="5B457C3C" w14:textId="77777777" w:rsidR="00A45A26" w:rsidRPr="00A45A26" w:rsidRDefault="00A45A26" w:rsidP="00A45A26">
            <w:pPr>
              <w:spacing w:after="160" w:line="259" w:lineRule="auto"/>
              <w:rPr>
                <w:rFonts w:cs="Arial"/>
              </w:rPr>
            </w:pPr>
            <w:r w:rsidRPr="00A45A26">
              <w:rPr>
                <w:rFonts w:cs="Arial"/>
              </w:rPr>
              <w:t>Range/n</w:t>
            </w:r>
          </w:p>
        </w:tc>
      </w:tr>
      <w:tr w:rsidR="00A45A26" w:rsidRPr="00A45A26" w14:paraId="5B98551E" w14:textId="77777777" w:rsidTr="00921EF9">
        <w:tc>
          <w:tcPr>
            <w:tcW w:w="2665" w:type="dxa"/>
          </w:tcPr>
          <w:p w14:paraId="2B82E598" w14:textId="77777777" w:rsidR="00A45A26" w:rsidRPr="00A45A26" w:rsidRDefault="00A45A26" w:rsidP="00A45A26">
            <w:pPr>
              <w:spacing w:after="160" w:line="259" w:lineRule="auto"/>
              <w:rPr>
                <w:rFonts w:cs="Arial"/>
              </w:rPr>
            </w:pPr>
            <w:r w:rsidRPr="00A45A26">
              <w:rPr>
                <w:rFonts w:cs="Arial"/>
              </w:rPr>
              <w:t>Age (mean)</w:t>
            </w:r>
          </w:p>
        </w:tc>
        <w:tc>
          <w:tcPr>
            <w:tcW w:w="4010" w:type="dxa"/>
          </w:tcPr>
          <w:p w14:paraId="57AEBD14" w14:textId="77777777" w:rsidR="00A45A26" w:rsidRPr="00A45A26" w:rsidRDefault="00A45A26" w:rsidP="00A45A26">
            <w:pPr>
              <w:spacing w:after="160" w:line="259" w:lineRule="auto"/>
              <w:rPr>
                <w:rFonts w:cs="Arial"/>
              </w:rPr>
            </w:pPr>
          </w:p>
        </w:tc>
        <w:tc>
          <w:tcPr>
            <w:tcW w:w="1228" w:type="dxa"/>
          </w:tcPr>
          <w:p w14:paraId="65987F55" w14:textId="77777777" w:rsidR="00A45A26" w:rsidRPr="00A45A26" w:rsidRDefault="00A45A26" w:rsidP="00A45A26">
            <w:pPr>
              <w:spacing w:after="160" w:line="259" w:lineRule="auto"/>
              <w:rPr>
                <w:rFonts w:cs="Arial"/>
              </w:rPr>
            </w:pPr>
            <w:r w:rsidRPr="00A45A26">
              <w:rPr>
                <w:rFonts w:cs="Arial"/>
              </w:rPr>
              <w:t>35.28</w:t>
            </w:r>
          </w:p>
        </w:tc>
        <w:tc>
          <w:tcPr>
            <w:tcW w:w="1231" w:type="dxa"/>
          </w:tcPr>
          <w:p w14:paraId="2659BC44" w14:textId="77777777" w:rsidR="00A45A26" w:rsidRPr="00A45A26" w:rsidRDefault="00A45A26" w:rsidP="00A45A26">
            <w:pPr>
              <w:spacing w:after="160" w:line="259" w:lineRule="auto"/>
              <w:rPr>
                <w:rFonts w:cs="Arial"/>
              </w:rPr>
            </w:pPr>
            <w:r w:rsidRPr="00A45A26">
              <w:rPr>
                <w:rFonts w:cs="Arial"/>
              </w:rPr>
              <w:t>18-80</w:t>
            </w:r>
          </w:p>
        </w:tc>
      </w:tr>
      <w:tr w:rsidR="00A45A26" w:rsidRPr="00A45A26" w14:paraId="23620440" w14:textId="77777777" w:rsidTr="00921EF9">
        <w:tc>
          <w:tcPr>
            <w:tcW w:w="2665" w:type="dxa"/>
            <w:vMerge w:val="restart"/>
          </w:tcPr>
          <w:p w14:paraId="7E06469F" w14:textId="77777777" w:rsidR="00A45A26" w:rsidRPr="00A45A26" w:rsidRDefault="00A45A26" w:rsidP="00A45A26">
            <w:pPr>
              <w:spacing w:after="160" w:line="259" w:lineRule="auto"/>
              <w:rPr>
                <w:rFonts w:cs="Arial"/>
              </w:rPr>
            </w:pPr>
            <w:r w:rsidRPr="00A45A26">
              <w:rPr>
                <w:rFonts w:cs="Arial"/>
              </w:rPr>
              <w:t>Sex</w:t>
            </w:r>
          </w:p>
        </w:tc>
        <w:tc>
          <w:tcPr>
            <w:tcW w:w="4010" w:type="dxa"/>
          </w:tcPr>
          <w:p w14:paraId="51D04316" w14:textId="77777777" w:rsidR="00A45A26" w:rsidRPr="00A45A26" w:rsidRDefault="00A45A26" w:rsidP="00A45A26">
            <w:pPr>
              <w:spacing w:after="160" w:line="259" w:lineRule="auto"/>
              <w:rPr>
                <w:rFonts w:cs="Arial"/>
              </w:rPr>
            </w:pPr>
            <w:r w:rsidRPr="00A45A26">
              <w:rPr>
                <w:rFonts w:cs="Arial"/>
              </w:rPr>
              <w:t>Male</w:t>
            </w:r>
          </w:p>
        </w:tc>
        <w:tc>
          <w:tcPr>
            <w:tcW w:w="1228" w:type="dxa"/>
          </w:tcPr>
          <w:p w14:paraId="3DAA909D" w14:textId="77777777" w:rsidR="00A45A26" w:rsidRPr="00A45A26" w:rsidRDefault="00A45A26" w:rsidP="00A45A26">
            <w:pPr>
              <w:spacing w:after="160" w:line="259" w:lineRule="auto"/>
              <w:rPr>
                <w:rFonts w:cs="Arial"/>
              </w:rPr>
            </w:pPr>
            <w:r w:rsidRPr="00A45A26">
              <w:rPr>
                <w:rFonts w:cs="Arial"/>
              </w:rPr>
              <w:t>62%</w:t>
            </w:r>
          </w:p>
        </w:tc>
        <w:tc>
          <w:tcPr>
            <w:tcW w:w="1231" w:type="dxa"/>
          </w:tcPr>
          <w:p w14:paraId="537AA6E8" w14:textId="77777777" w:rsidR="00A45A26" w:rsidRPr="00A45A26" w:rsidRDefault="00A45A26" w:rsidP="00A45A26">
            <w:pPr>
              <w:spacing w:after="160" w:line="259" w:lineRule="auto"/>
              <w:rPr>
                <w:rFonts w:cs="Arial"/>
              </w:rPr>
            </w:pPr>
            <w:r w:rsidRPr="00A45A26">
              <w:rPr>
                <w:rFonts w:cs="Arial"/>
              </w:rPr>
              <w:t>93</w:t>
            </w:r>
          </w:p>
        </w:tc>
      </w:tr>
      <w:tr w:rsidR="00A45A26" w:rsidRPr="00A45A26" w14:paraId="788EF1DF" w14:textId="77777777" w:rsidTr="00921EF9">
        <w:tc>
          <w:tcPr>
            <w:tcW w:w="2665" w:type="dxa"/>
            <w:vMerge/>
          </w:tcPr>
          <w:p w14:paraId="0249C94B" w14:textId="77777777" w:rsidR="00A45A26" w:rsidRPr="00A45A26" w:rsidRDefault="00A45A26" w:rsidP="00A45A26">
            <w:pPr>
              <w:spacing w:after="160" w:line="259" w:lineRule="auto"/>
              <w:rPr>
                <w:rFonts w:cs="Arial"/>
              </w:rPr>
            </w:pPr>
          </w:p>
        </w:tc>
        <w:tc>
          <w:tcPr>
            <w:tcW w:w="4010" w:type="dxa"/>
          </w:tcPr>
          <w:p w14:paraId="63BC0501" w14:textId="77777777" w:rsidR="00A45A26" w:rsidRPr="00A45A26" w:rsidRDefault="00A45A26" w:rsidP="00A45A26">
            <w:pPr>
              <w:spacing w:after="160" w:line="259" w:lineRule="auto"/>
              <w:rPr>
                <w:rFonts w:cs="Arial"/>
              </w:rPr>
            </w:pPr>
            <w:r w:rsidRPr="00A45A26">
              <w:rPr>
                <w:rFonts w:cs="Arial"/>
              </w:rPr>
              <w:t>Female</w:t>
            </w:r>
          </w:p>
        </w:tc>
        <w:tc>
          <w:tcPr>
            <w:tcW w:w="1228" w:type="dxa"/>
          </w:tcPr>
          <w:p w14:paraId="3F18F180" w14:textId="77777777" w:rsidR="00A45A26" w:rsidRPr="00A45A26" w:rsidRDefault="00A45A26" w:rsidP="00A45A26">
            <w:pPr>
              <w:spacing w:after="160" w:line="259" w:lineRule="auto"/>
              <w:rPr>
                <w:rFonts w:cs="Arial"/>
              </w:rPr>
            </w:pPr>
            <w:r w:rsidRPr="00A45A26">
              <w:rPr>
                <w:rFonts w:cs="Arial"/>
              </w:rPr>
              <w:t>38%</w:t>
            </w:r>
          </w:p>
        </w:tc>
        <w:tc>
          <w:tcPr>
            <w:tcW w:w="1231" w:type="dxa"/>
          </w:tcPr>
          <w:p w14:paraId="3AF588D4" w14:textId="77777777" w:rsidR="00A45A26" w:rsidRPr="00A45A26" w:rsidRDefault="00A45A26" w:rsidP="00A45A26">
            <w:pPr>
              <w:spacing w:after="160" w:line="259" w:lineRule="auto"/>
              <w:rPr>
                <w:rFonts w:cs="Arial"/>
              </w:rPr>
            </w:pPr>
            <w:r w:rsidRPr="00A45A26">
              <w:rPr>
                <w:rFonts w:cs="Arial"/>
              </w:rPr>
              <w:t>57</w:t>
            </w:r>
          </w:p>
        </w:tc>
      </w:tr>
      <w:tr w:rsidR="00A45A26" w:rsidRPr="00A45A26" w14:paraId="1D67945B" w14:textId="77777777" w:rsidTr="00921EF9">
        <w:tc>
          <w:tcPr>
            <w:tcW w:w="2665" w:type="dxa"/>
            <w:vMerge w:val="restart"/>
          </w:tcPr>
          <w:p w14:paraId="1EE1F572" w14:textId="77777777" w:rsidR="00A45A26" w:rsidRPr="00A45A26" w:rsidRDefault="00A45A26" w:rsidP="00A45A26">
            <w:pPr>
              <w:spacing w:after="160" w:line="259" w:lineRule="auto"/>
              <w:rPr>
                <w:rFonts w:cs="Arial"/>
              </w:rPr>
            </w:pPr>
            <w:r w:rsidRPr="00A45A26">
              <w:rPr>
                <w:rFonts w:cs="Arial"/>
              </w:rPr>
              <w:t>Occupation</w:t>
            </w:r>
          </w:p>
        </w:tc>
        <w:tc>
          <w:tcPr>
            <w:tcW w:w="4010" w:type="dxa"/>
          </w:tcPr>
          <w:p w14:paraId="5D91CC96" w14:textId="77777777" w:rsidR="00A45A26" w:rsidRPr="00A45A26" w:rsidRDefault="00A45A26" w:rsidP="00A45A26">
            <w:pPr>
              <w:spacing w:after="160" w:line="259" w:lineRule="auto"/>
              <w:rPr>
                <w:rFonts w:cs="Arial"/>
              </w:rPr>
            </w:pPr>
            <w:r w:rsidRPr="00A45A26">
              <w:rPr>
                <w:rFonts w:cs="Arial"/>
              </w:rPr>
              <w:t>Student</w:t>
            </w:r>
          </w:p>
        </w:tc>
        <w:tc>
          <w:tcPr>
            <w:tcW w:w="1228" w:type="dxa"/>
          </w:tcPr>
          <w:p w14:paraId="3D627CD8" w14:textId="77777777" w:rsidR="00A45A26" w:rsidRPr="00A45A26" w:rsidRDefault="00A45A26" w:rsidP="00A45A26">
            <w:pPr>
              <w:spacing w:after="160" w:line="259" w:lineRule="auto"/>
              <w:rPr>
                <w:rFonts w:cs="Arial"/>
              </w:rPr>
            </w:pPr>
            <w:r w:rsidRPr="00A45A26">
              <w:rPr>
                <w:rFonts w:cs="Arial"/>
              </w:rPr>
              <w:t>7%</w:t>
            </w:r>
          </w:p>
        </w:tc>
        <w:tc>
          <w:tcPr>
            <w:tcW w:w="1231" w:type="dxa"/>
          </w:tcPr>
          <w:p w14:paraId="065C48F5" w14:textId="77777777" w:rsidR="00A45A26" w:rsidRPr="00A45A26" w:rsidRDefault="00A45A26" w:rsidP="00A45A26">
            <w:pPr>
              <w:spacing w:after="160" w:line="259" w:lineRule="auto"/>
              <w:rPr>
                <w:rFonts w:cs="Arial"/>
              </w:rPr>
            </w:pPr>
            <w:r w:rsidRPr="00A45A26">
              <w:rPr>
                <w:rFonts w:cs="Arial"/>
              </w:rPr>
              <w:t>11</w:t>
            </w:r>
          </w:p>
        </w:tc>
      </w:tr>
      <w:tr w:rsidR="00A45A26" w:rsidRPr="00A45A26" w14:paraId="02676D8A" w14:textId="77777777" w:rsidTr="00921EF9">
        <w:tc>
          <w:tcPr>
            <w:tcW w:w="2665" w:type="dxa"/>
            <w:vMerge/>
          </w:tcPr>
          <w:p w14:paraId="29B32720" w14:textId="77777777" w:rsidR="00A45A26" w:rsidRPr="00A45A26" w:rsidRDefault="00A45A26" w:rsidP="00A45A26">
            <w:pPr>
              <w:spacing w:after="160" w:line="259" w:lineRule="auto"/>
              <w:rPr>
                <w:rFonts w:cs="Arial"/>
              </w:rPr>
            </w:pPr>
          </w:p>
        </w:tc>
        <w:tc>
          <w:tcPr>
            <w:tcW w:w="4010" w:type="dxa"/>
          </w:tcPr>
          <w:p w14:paraId="58F0B5B7" w14:textId="77777777" w:rsidR="00A45A26" w:rsidRPr="00A45A26" w:rsidRDefault="00A45A26" w:rsidP="00A45A26">
            <w:pPr>
              <w:spacing w:after="160" w:line="259" w:lineRule="auto"/>
              <w:rPr>
                <w:rFonts w:cs="Arial"/>
              </w:rPr>
            </w:pPr>
            <w:r w:rsidRPr="00A45A26">
              <w:rPr>
                <w:rFonts w:cs="Arial"/>
              </w:rPr>
              <w:t>Farmer</w:t>
            </w:r>
          </w:p>
        </w:tc>
        <w:tc>
          <w:tcPr>
            <w:tcW w:w="1228" w:type="dxa"/>
          </w:tcPr>
          <w:p w14:paraId="25780513" w14:textId="77777777" w:rsidR="00A45A26" w:rsidRPr="00A45A26" w:rsidRDefault="00A45A26" w:rsidP="00A45A26">
            <w:pPr>
              <w:spacing w:after="160" w:line="259" w:lineRule="auto"/>
              <w:rPr>
                <w:rFonts w:cs="Arial"/>
              </w:rPr>
            </w:pPr>
            <w:r w:rsidRPr="00A45A26">
              <w:rPr>
                <w:rFonts w:cs="Arial"/>
              </w:rPr>
              <w:t>11%</w:t>
            </w:r>
          </w:p>
        </w:tc>
        <w:tc>
          <w:tcPr>
            <w:tcW w:w="1231" w:type="dxa"/>
          </w:tcPr>
          <w:p w14:paraId="08676A58" w14:textId="77777777" w:rsidR="00A45A26" w:rsidRPr="00A45A26" w:rsidRDefault="00A45A26" w:rsidP="00A45A26">
            <w:pPr>
              <w:spacing w:after="160" w:line="259" w:lineRule="auto"/>
              <w:rPr>
                <w:rFonts w:cs="Arial"/>
              </w:rPr>
            </w:pPr>
            <w:r w:rsidRPr="00A45A26">
              <w:rPr>
                <w:rFonts w:cs="Arial"/>
              </w:rPr>
              <w:t>16</w:t>
            </w:r>
          </w:p>
        </w:tc>
      </w:tr>
      <w:tr w:rsidR="00A45A26" w:rsidRPr="00A45A26" w14:paraId="34A8ADBF" w14:textId="77777777" w:rsidTr="00921EF9">
        <w:tc>
          <w:tcPr>
            <w:tcW w:w="2665" w:type="dxa"/>
            <w:vMerge/>
          </w:tcPr>
          <w:p w14:paraId="54E20A1E" w14:textId="77777777" w:rsidR="00A45A26" w:rsidRPr="00A45A26" w:rsidRDefault="00A45A26" w:rsidP="00A45A26">
            <w:pPr>
              <w:spacing w:after="160" w:line="259" w:lineRule="auto"/>
              <w:rPr>
                <w:rFonts w:cs="Arial"/>
              </w:rPr>
            </w:pPr>
          </w:p>
        </w:tc>
        <w:tc>
          <w:tcPr>
            <w:tcW w:w="4010" w:type="dxa"/>
          </w:tcPr>
          <w:p w14:paraId="7EAB0992" w14:textId="77777777" w:rsidR="00A45A26" w:rsidRPr="00A45A26" w:rsidRDefault="00A45A26" w:rsidP="00A45A26">
            <w:pPr>
              <w:spacing w:after="160" w:line="259" w:lineRule="auto"/>
              <w:rPr>
                <w:rFonts w:cs="Arial"/>
              </w:rPr>
            </w:pPr>
            <w:r w:rsidRPr="00A45A26">
              <w:rPr>
                <w:rFonts w:cs="Arial"/>
              </w:rPr>
              <w:t>Labourer/factory/rickshaw driver/business</w:t>
            </w:r>
          </w:p>
        </w:tc>
        <w:tc>
          <w:tcPr>
            <w:tcW w:w="1228" w:type="dxa"/>
          </w:tcPr>
          <w:p w14:paraId="029B33BC" w14:textId="77777777" w:rsidR="00A45A26" w:rsidRPr="00A45A26" w:rsidRDefault="00A45A26" w:rsidP="00A45A26">
            <w:pPr>
              <w:spacing w:after="160" w:line="259" w:lineRule="auto"/>
              <w:rPr>
                <w:rFonts w:cs="Arial"/>
              </w:rPr>
            </w:pPr>
            <w:r w:rsidRPr="00A45A26">
              <w:rPr>
                <w:rFonts w:cs="Arial"/>
              </w:rPr>
              <w:t>64%</w:t>
            </w:r>
          </w:p>
        </w:tc>
        <w:tc>
          <w:tcPr>
            <w:tcW w:w="1231" w:type="dxa"/>
          </w:tcPr>
          <w:p w14:paraId="171C52FF" w14:textId="77777777" w:rsidR="00A45A26" w:rsidRPr="00A45A26" w:rsidRDefault="00A45A26" w:rsidP="00A45A26">
            <w:pPr>
              <w:spacing w:after="160" w:line="259" w:lineRule="auto"/>
              <w:rPr>
                <w:rFonts w:cs="Arial"/>
              </w:rPr>
            </w:pPr>
            <w:r w:rsidRPr="00A45A26">
              <w:rPr>
                <w:rFonts w:cs="Arial"/>
              </w:rPr>
              <w:t>96</w:t>
            </w:r>
          </w:p>
        </w:tc>
      </w:tr>
      <w:tr w:rsidR="00A45A26" w:rsidRPr="00A45A26" w14:paraId="33740F16" w14:textId="77777777" w:rsidTr="00921EF9">
        <w:tc>
          <w:tcPr>
            <w:tcW w:w="2665" w:type="dxa"/>
            <w:vMerge/>
          </w:tcPr>
          <w:p w14:paraId="461E5034" w14:textId="77777777" w:rsidR="00A45A26" w:rsidRPr="00A45A26" w:rsidRDefault="00A45A26" w:rsidP="00A45A26">
            <w:pPr>
              <w:spacing w:after="160" w:line="259" w:lineRule="auto"/>
              <w:rPr>
                <w:rFonts w:cs="Arial"/>
              </w:rPr>
            </w:pPr>
          </w:p>
        </w:tc>
        <w:tc>
          <w:tcPr>
            <w:tcW w:w="4010" w:type="dxa"/>
          </w:tcPr>
          <w:p w14:paraId="13F7B03D" w14:textId="77777777" w:rsidR="00A45A26" w:rsidRPr="00A45A26" w:rsidRDefault="00A45A26" w:rsidP="00A45A26">
            <w:pPr>
              <w:spacing w:after="160" w:line="259" w:lineRule="auto"/>
              <w:rPr>
                <w:rFonts w:cs="Arial"/>
              </w:rPr>
            </w:pPr>
            <w:r w:rsidRPr="00A45A26">
              <w:rPr>
                <w:rFonts w:cs="Arial"/>
              </w:rPr>
              <w:t>Domestic servant</w:t>
            </w:r>
          </w:p>
        </w:tc>
        <w:tc>
          <w:tcPr>
            <w:tcW w:w="1228" w:type="dxa"/>
          </w:tcPr>
          <w:p w14:paraId="2030C35E" w14:textId="77777777" w:rsidR="00A45A26" w:rsidRPr="00A45A26" w:rsidRDefault="00A45A26" w:rsidP="00A45A26">
            <w:pPr>
              <w:spacing w:after="160" w:line="259" w:lineRule="auto"/>
              <w:rPr>
                <w:rFonts w:cs="Arial"/>
              </w:rPr>
            </w:pPr>
            <w:r w:rsidRPr="00A45A26">
              <w:rPr>
                <w:rFonts w:cs="Arial"/>
              </w:rPr>
              <w:t>8%</w:t>
            </w:r>
          </w:p>
        </w:tc>
        <w:tc>
          <w:tcPr>
            <w:tcW w:w="1231" w:type="dxa"/>
          </w:tcPr>
          <w:p w14:paraId="09C3B143" w14:textId="77777777" w:rsidR="00A45A26" w:rsidRPr="00A45A26" w:rsidRDefault="00A45A26" w:rsidP="00A45A26">
            <w:pPr>
              <w:spacing w:after="160" w:line="259" w:lineRule="auto"/>
              <w:rPr>
                <w:rFonts w:cs="Arial"/>
              </w:rPr>
            </w:pPr>
            <w:r w:rsidRPr="00A45A26">
              <w:rPr>
                <w:rFonts w:cs="Arial"/>
              </w:rPr>
              <w:t>12</w:t>
            </w:r>
          </w:p>
        </w:tc>
      </w:tr>
      <w:tr w:rsidR="00A45A26" w:rsidRPr="00A45A26" w14:paraId="418E5A29" w14:textId="77777777" w:rsidTr="00921EF9">
        <w:tc>
          <w:tcPr>
            <w:tcW w:w="2665" w:type="dxa"/>
            <w:vMerge/>
          </w:tcPr>
          <w:p w14:paraId="06739E3B" w14:textId="77777777" w:rsidR="00A45A26" w:rsidRPr="00A45A26" w:rsidRDefault="00A45A26" w:rsidP="00A45A26">
            <w:pPr>
              <w:spacing w:after="160" w:line="259" w:lineRule="auto"/>
              <w:rPr>
                <w:rFonts w:cs="Arial"/>
              </w:rPr>
            </w:pPr>
          </w:p>
        </w:tc>
        <w:tc>
          <w:tcPr>
            <w:tcW w:w="4010" w:type="dxa"/>
          </w:tcPr>
          <w:p w14:paraId="1C89EBBE" w14:textId="77777777" w:rsidR="00A45A26" w:rsidRPr="00A45A26" w:rsidRDefault="00A45A26" w:rsidP="00A45A26">
            <w:pPr>
              <w:spacing w:after="160" w:line="259" w:lineRule="auto"/>
              <w:rPr>
                <w:rFonts w:cs="Arial"/>
              </w:rPr>
            </w:pPr>
            <w:r w:rsidRPr="00A45A26">
              <w:rPr>
                <w:rFonts w:cs="Arial"/>
              </w:rPr>
              <w:t>Office-based (public or private)</w:t>
            </w:r>
          </w:p>
        </w:tc>
        <w:tc>
          <w:tcPr>
            <w:tcW w:w="1228" w:type="dxa"/>
          </w:tcPr>
          <w:p w14:paraId="7225953D" w14:textId="77777777" w:rsidR="00A45A26" w:rsidRPr="00A45A26" w:rsidRDefault="00A45A26" w:rsidP="00A45A26">
            <w:pPr>
              <w:spacing w:after="160" w:line="259" w:lineRule="auto"/>
              <w:rPr>
                <w:rFonts w:cs="Arial"/>
              </w:rPr>
            </w:pPr>
            <w:r w:rsidRPr="00A45A26">
              <w:rPr>
                <w:rFonts w:cs="Arial"/>
              </w:rPr>
              <w:t>2%</w:t>
            </w:r>
          </w:p>
        </w:tc>
        <w:tc>
          <w:tcPr>
            <w:tcW w:w="1231" w:type="dxa"/>
          </w:tcPr>
          <w:p w14:paraId="26DB2E5D" w14:textId="77777777" w:rsidR="00A45A26" w:rsidRPr="00A45A26" w:rsidRDefault="00A45A26" w:rsidP="00A45A26">
            <w:pPr>
              <w:spacing w:after="160" w:line="259" w:lineRule="auto"/>
              <w:rPr>
                <w:rFonts w:cs="Arial"/>
              </w:rPr>
            </w:pPr>
            <w:r w:rsidRPr="00A45A26">
              <w:rPr>
                <w:rFonts w:cs="Arial"/>
              </w:rPr>
              <w:t>3</w:t>
            </w:r>
          </w:p>
        </w:tc>
      </w:tr>
      <w:tr w:rsidR="00A45A26" w:rsidRPr="00A45A26" w14:paraId="2B06EEE9" w14:textId="77777777" w:rsidTr="00921EF9">
        <w:tc>
          <w:tcPr>
            <w:tcW w:w="2665" w:type="dxa"/>
            <w:vMerge/>
          </w:tcPr>
          <w:p w14:paraId="0D25AF77" w14:textId="77777777" w:rsidR="00A45A26" w:rsidRPr="00A45A26" w:rsidRDefault="00A45A26" w:rsidP="00A45A26">
            <w:pPr>
              <w:spacing w:after="160" w:line="259" w:lineRule="auto"/>
              <w:rPr>
                <w:rFonts w:cs="Arial"/>
              </w:rPr>
            </w:pPr>
          </w:p>
        </w:tc>
        <w:tc>
          <w:tcPr>
            <w:tcW w:w="4010" w:type="dxa"/>
          </w:tcPr>
          <w:p w14:paraId="79C9102A" w14:textId="77777777" w:rsidR="00A45A26" w:rsidRPr="00A45A26" w:rsidRDefault="00A45A26" w:rsidP="00A45A26">
            <w:pPr>
              <w:spacing w:after="160" w:line="259" w:lineRule="auto"/>
              <w:rPr>
                <w:rFonts w:cs="Arial"/>
              </w:rPr>
            </w:pPr>
            <w:r w:rsidRPr="00A45A26">
              <w:rPr>
                <w:rFonts w:cs="Arial"/>
              </w:rPr>
              <w:t>Unemployed</w:t>
            </w:r>
          </w:p>
        </w:tc>
        <w:tc>
          <w:tcPr>
            <w:tcW w:w="1228" w:type="dxa"/>
          </w:tcPr>
          <w:p w14:paraId="317E1458" w14:textId="77777777" w:rsidR="00A45A26" w:rsidRPr="00A45A26" w:rsidRDefault="00A45A26" w:rsidP="00A45A26">
            <w:pPr>
              <w:spacing w:after="160" w:line="259" w:lineRule="auto"/>
              <w:rPr>
                <w:rFonts w:cs="Arial"/>
              </w:rPr>
            </w:pPr>
            <w:r w:rsidRPr="00A45A26">
              <w:rPr>
                <w:rFonts w:cs="Arial"/>
              </w:rPr>
              <w:t>8%</w:t>
            </w:r>
          </w:p>
        </w:tc>
        <w:tc>
          <w:tcPr>
            <w:tcW w:w="1231" w:type="dxa"/>
          </w:tcPr>
          <w:p w14:paraId="4CDF3BD3" w14:textId="77777777" w:rsidR="00A45A26" w:rsidRPr="00A45A26" w:rsidRDefault="00A45A26" w:rsidP="00A45A26">
            <w:pPr>
              <w:spacing w:after="160" w:line="259" w:lineRule="auto"/>
              <w:rPr>
                <w:rFonts w:cs="Arial"/>
              </w:rPr>
            </w:pPr>
            <w:r w:rsidRPr="00A45A26">
              <w:rPr>
                <w:rFonts w:cs="Arial"/>
              </w:rPr>
              <w:t>12</w:t>
            </w:r>
          </w:p>
        </w:tc>
      </w:tr>
      <w:tr w:rsidR="00A45A26" w:rsidRPr="00A45A26" w14:paraId="19F0AC65" w14:textId="77777777" w:rsidTr="00921EF9">
        <w:tc>
          <w:tcPr>
            <w:tcW w:w="2665" w:type="dxa"/>
            <w:vMerge w:val="restart"/>
          </w:tcPr>
          <w:p w14:paraId="440831A4" w14:textId="77777777" w:rsidR="00A45A26" w:rsidRPr="00A45A26" w:rsidRDefault="00A45A26" w:rsidP="00A45A26">
            <w:pPr>
              <w:spacing w:after="160" w:line="259" w:lineRule="auto"/>
              <w:rPr>
                <w:rFonts w:cs="Arial"/>
              </w:rPr>
            </w:pPr>
            <w:r w:rsidRPr="00A45A26">
              <w:rPr>
                <w:rFonts w:cs="Arial"/>
              </w:rPr>
              <w:t>Marital status</w:t>
            </w:r>
          </w:p>
        </w:tc>
        <w:tc>
          <w:tcPr>
            <w:tcW w:w="4010" w:type="dxa"/>
          </w:tcPr>
          <w:p w14:paraId="096547FC" w14:textId="77777777" w:rsidR="00A45A26" w:rsidRPr="00A45A26" w:rsidRDefault="00A45A26" w:rsidP="00A45A26">
            <w:pPr>
              <w:spacing w:after="160" w:line="259" w:lineRule="auto"/>
              <w:rPr>
                <w:rFonts w:cs="Arial"/>
              </w:rPr>
            </w:pPr>
            <w:r w:rsidRPr="00A45A26">
              <w:rPr>
                <w:rFonts w:cs="Arial"/>
              </w:rPr>
              <w:t>Single – never married</w:t>
            </w:r>
          </w:p>
        </w:tc>
        <w:tc>
          <w:tcPr>
            <w:tcW w:w="1228" w:type="dxa"/>
          </w:tcPr>
          <w:p w14:paraId="0D873523" w14:textId="77777777" w:rsidR="00A45A26" w:rsidRPr="00A45A26" w:rsidRDefault="00A45A26" w:rsidP="00A45A26">
            <w:pPr>
              <w:spacing w:after="160" w:line="259" w:lineRule="auto"/>
              <w:rPr>
                <w:rFonts w:cs="Arial"/>
              </w:rPr>
            </w:pPr>
            <w:r w:rsidRPr="00A45A26">
              <w:rPr>
                <w:rFonts w:cs="Arial"/>
              </w:rPr>
              <w:t>21%</w:t>
            </w:r>
          </w:p>
        </w:tc>
        <w:tc>
          <w:tcPr>
            <w:tcW w:w="1231" w:type="dxa"/>
          </w:tcPr>
          <w:p w14:paraId="170E4819" w14:textId="77777777" w:rsidR="00A45A26" w:rsidRPr="00A45A26" w:rsidRDefault="00A45A26" w:rsidP="00A45A26">
            <w:pPr>
              <w:spacing w:after="160" w:line="259" w:lineRule="auto"/>
              <w:rPr>
                <w:rFonts w:cs="Arial"/>
              </w:rPr>
            </w:pPr>
            <w:r w:rsidRPr="00A45A26">
              <w:rPr>
                <w:rFonts w:cs="Arial"/>
              </w:rPr>
              <w:t>32</w:t>
            </w:r>
          </w:p>
        </w:tc>
      </w:tr>
      <w:tr w:rsidR="00A45A26" w:rsidRPr="00A45A26" w14:paraId="3DE602F1" w14:textId="77777777" w:rsidTr="00921EF9">
        <w:tc>
          <w:tcPr>
            <w:tcW w:w="2665" w:type="dxa"/>
            <w:vMerge/>
          </w:tcPr>
          <w:p w14:paraId="411252D7" w14:textId="77777777" w:rsidR="00A45A26" w:rsidRPr="00A45A26" w:rsidRDefault="00A45A26" w:rsidP="00A45A26">
            <w:pPr>
              <w:spacing w:after="160" w:line="259" w:lineRule="auto"/>
              <w:rPr>
                <w:rFonts w:cs="Arial"/>
              </w:rPr>
            </w:pPr>
          </w:p>
        </w:tc>
        <w:tc>
          <w:tcPr>
            <w:tcW w:w="4010" w:type="dxa"/>
          </w:tcPr>
          <w:p w14:paraId="7700EC20" w14:textId="77777777" w:rsidR="00A45A26" w:rsidRPr="00A45A26" w:rsidRDefault="00A45A26" w:rsidP="00A45A26">
            <w:pPr>
              <w:spacing w:after="160" w:line="259" w:lineRule="auto"/>
              <w:rPr>
                <w:rFonts w:cs="Arial"/>
              </w:rPr>
            </w:pPr>
            <w:r w:rsidRPr="00A45A26">
              <w:rPr>
                <w:rFonts w:cs="Arial"/>
              </w:rPr>
              <w:t>Married</w:t>
            </w:r>
          </w:p>
        </w:tc>
        <w:tc>
          <w:tcPr>
            <w:tcW w:w="1228" w:type="dxa"/>
          </w:tcPr>
          <w:p w14:paraId="796F88A6" w14:textId="77777777" w:rsidR="00A45A26" w:rsidRPr="00A45A26" w:rsidRDefault="00A45A26" w:rsidP="00A45A26">
            <w:pPr>
              <w:spacing w:after="160" w:line="259" w:lineRule="auto"/>
              <w:rPr>
                <w:rFonts w:cs="Arial"/>
              </w:rPr>
            </w:pPr>
            <w:r w:rsidRPr="00A45A26">
              <w:rPr>
                <w:rFonts w:cs="Arial"/>
              </w:rPr>
              <w:t>75%</w:t>
            </w:r>
          </w:p>
        </w:tc>
        <w:tc>
          <w:tcPr>
            <w:tcW w:w="1231" w:type="dxa"/>
          </w:tcPr>
          <w:p w14:paraId="46DA406A" w14:textId="77777777" w:rsidR="00A45A26" w:rsidRPr="00A45A26" w:rsidRDefault="00A45A26" w:rsidP="00A45A26">
            <w:pPr>
              <w:spacing w:after="160" w:line="259" w:lineRule="auto"/>
              <w:rPr>
                <w:rFonts w:cs="Arial"/>
              </w:rPr>
            </w:pPr>
            <w:r w:rsidRPr="00A45A26">
              <w:rPr>
                <w:rFonts w:cs="Arial"/>
              </w:rPr>
              <w:t>113</w:t>
            </w:r>
          </w:p>
        </w:tc>
      </w:tr>
      <w:tr w:rsidR="00A45A26" w:rsidRPr="00A45A26" w14:paraId="113CEF2B" w14:textId="77777777" w:rsidTr="00921EF9">
        <w:tc>
          <w:tcPr>
            <w:tcW w:w="2665" w:type="dxa"/>
            <w:vMerge/>
          </w:tcPr>
          <w:p w14:paraId="3C0BA8A0" w14:textId="77777777" w:rsidR="00A45A26" w:rsidRPr="00A45A26" w:rsidRDefault="00A45A26" w:rsidP="00A45A26">
            <w:pPr>
              <w:spacing w:after="160" w:line="259" w:lineRule="auto"/>
              <w:rPr>
                <w:rFonts w:cs="Arial"/>
              </w:rPr>
            </w:pPr>
          </w:p>
        </w:tc>
        <w:tc>
          <w:tcPr>
            <w:tcW w:w="4010" w:type="dxa"/>
          </w:tcPr>
          <w:p w14:paraId="2650CA22" w14:textId="77777777" w:rsidR="00A45A26" w:rsidRPr="00A45A26" w:rsidRDefault="00A45A26" w:rsidP="00A45A26">
            <w:pPr>
              <w:spacing w:after="160" w:line="259" w:lineRule="auto"/>
              <w:rPr>
                <w:rFonts w:cs="Arial"/>
              </w:rPr>
            </w:pPr>
            <w:r w:rsidRPr="00A45A26">
              <w:rPr>
                <w:rFonts w:cs="Arial"/>
              </w:rPr>
              <w:t>Divorced/widowed</w:t>
            </w:r>
          </w:p>
        </w:tc>
        <w:tc>
          <w:tcPr>
            <w:tcW w:w="1228" w:type="dxa"/>
          </w:tcPr>
          <w:p w14:paraId="04674330" w14:textId="77777777" w:rsidR="00A45A26" w:rsidRPr="00A45A26" w:rsidRDefault="00A45A26" w:rsidP="00A45A26">
            <w:pPr>
              <w:spacing w:after="160" w:line="259" w:lineRule="auto"/>
              <w:rPr>
                <w:rFonts w:cs="Arial"/>
              </w:rPr>
            </w:pPr>
            <w:r w:rsidRPr="00A45A26">
              <w:rPr>
                <w:rFonts w:cs="Arial"/>
              </w:rPr>
              <w:t>4%</w:t>
            </w:r>
          </w:p>
        </w:tc>
        <w:tc>
          <w:tcPr>
            <w:tcW w:w="1231" w:type="dxa"/>
          </w:tcPr>
          <w:p w14:paraId="08892AD5" w14:textId="77777777" w:rsidR="00A45A26" w:rsidRPr="00A45A26" w:rsidRDefault="00A45A26" w:rsidP="00A45A26">
            <w:pPr>
              <w:spacing w:after="160" w:line="259" w:lineRule="auto"/>
              <w:rPr>
                <w:rFonts w:cs="Arial"/>
              </w:rPr>
            </w:pPr>
            <w:r w:rsidRPr="00A45A26">
              <w:rPr>
                <w:rFonts w:cs="Arial"/>
              </w:rPr>
              <w:t>5</w:t>
            </w:r>
          </w:p>
        </w:tc>
      </w:tr>
      <w:tr w:rsidR="00A45A26" w:rsidRPr="00A45A26" w14:paraId="7BFEDEE1" w14:textId="77777777" w:rsidTr="00921EF9">
        <w:tc>
          <w:tcPr>
            <w:tcW w:w="2665" w:type="dxa"/>
            <w:vMerge w:val="restart"/>
          </w:tcPr>
          <w:p w14:paraId="69B00A87" w14:textId="77777777" w:rsidR="00A45A26" w:rsidRPr="00A45A26" w:rsidRDefault="00A45A26" w:rsidP="00A45A26">
            <w:pPr>
              <w:spacing w:after="160" w:line="259" w:lineRule="auto"/>
              <w:rPr>
                <w:rFonts w:cs="Arial"/>
              </w:rPr>
            </w:pPr>
            <w:r w:rsidRPr="00A45A26">
              <w:rPr>
                <w:rFonts w:cs="Arial"/>
              </w:rPr>
              <w:t>Education</w:t>
            </w:r>
          </w:p>
        </w:tc>
        <w:tc>
          <w:tcPr>
            <w:tcW w:w="4010" w:type="dxa"/>
          </w:tcPr>
          <w:p w14:paraId="2190C8F1" w14:textId="77777777" w:rsidR="00A45A26" w:rsidRPr="00A45A26" w:rsidRDefault="00A45A26" w:rsidP="00A45A26">
            <w:pPr>
              <w:spacing w:after="160" w:line="259" w:lineRule="auto"/>
              <w:rPr>
                <w:rFonts w:cs="Arial"/>
              </w:rPr>
            </w:pPr>
            <w:r w:rsidRPr="00A45A26">
              <w:rPr>
                <w:rFonts w:cs="Arial"/>
              </w:rPr>
              <w:t xml:space="preserve">No schooling </w:t>
            </w:r>
          </w:p>
        </w:tc>
        <w:tc>
          <w:tcPr>
            <w:tcW w:w="1228" w:type="dxa"/>
          </w:tcPr>
          <w:p w14:paraId="4A798E9B" w14:textId="77777777" w:rsidR="00A45A26" w:rsidRPr="00A45A26" w:rsidRDefault="00A45A26" w:rsidP="00A45A26">
            <w:pPr>
              <w:spacing w:after="160" w:line="259" w:lineRule="auto"/>
              <w:rPr>
                <w:rFonts w:cs="Arial"/>
              </w:rPr>
            </w:pPr>
            <w:r w:rsidRPr="00A45A26">
              <w:rPr>
                <w:rFonts w:cs="Arial"/>
              </w:rPr>
              <w:t>29%</w:t>
            </w:r>
          </w:p>
        </w:tc>
        <w:tc>
          <w:tcPr>
            <w:tcW w:w="1231" w:type="dxa"/>
          </w:tcPr>
          <w:p w14:paraId="3460ADF8" w14:textId="77777777" w:rsidR="00A45A26" w:rsidRPr="00A45A26" w:rsidRDefault="00A45A26" w:rsidP="00A45A26">
            <w:pPr>
              <w:spacing w:after="160" w:line="259" w:lineRule="auto"/>
              <w:rPr>
                <w:rFonts w:cs="Arial"/>
              </w:rPr>
            </w:pPr>
            <w:r w:rsidRPr="00A45A26">
              <w:rPr>
                <w:rFonts w:cs="Arial"/>
              </w:rPr>
              <w:t>44</w:t>
            </w:r>
          </w:p>
        </w:tc>
      </w:tr>
      <w:tr w:rsidR="00A45A26" w:rsidRPr="00A45A26" w14:paraId="74A937B9" w14:textId="77777777" w:rsidTr="00921EF9">
        <w:tc>
          <w:tcPr>
            <w:tcW w:w="2665" w:type="dxa"/>
            <w:vMerge/>
          </w:tcPr>
          <w:p w14:paraId="7BB94B21" w14:textId="77777777" w:rsidR="00A45A26" w:rsidRPr="00A45A26" w:rsidRDefault="00A45A26" w:rsidP="00A45A26">
            <w:pPr>
              <w:spacing w:after="160" w:line="259" w:lineRule="auto"/>
              <w:rPr>
                <w:rFonts w:cs="Arial"/>
              </w:rPr>
            </w:pPr>
          </w:p>
        </w:tc>
        <w:tc>
          <w:tcPr>
            <w:tcW w:w="4010" w:type="dxa"/>
          </w:tcPr>
          <w:p w14:paraId="0E8438B0" w14:textId="77777777" w:rsidR="00A45A26" w:rsidRPr="00A45A26" w:rsidRDefault="00A45A26" w:rsidP="00A45A26">
            <w:pPr>
              <w:spacing w:after="160" w:line="259" w:lineRule="auto"/>
              <w:rPr>
                <w:rFonts w:cs="Arial"/>
              </w:rPr>
            </w:pPr>
            <w:r w:rsidRPr="00A45A26">
              <w:rPr>
                <w:rFonts w:cs="Arial"/>
              </w:rPr>
              <w:t>Primary/Junior</w:t>
            </w:r>
          </w:p>
        </w:tc>
        <w:tc>
          <w:tcPr>
            <w:tcW w:w="1228" w:type="dxa"/>
          </w:tcPr>
          <w:p w14:paraId="017F699E" w14:textId="77777777" w:rsidR="00A45A26" w:rsidRPr="00A45A26" w:rsidRDefault="00A45A26" w:rsidP="00A45A26">
            <w:pPr>
              <w:spacing w:after="160" w:line="259" w:lineRule="auto"/>
              <w:rPr>
                <w:rFonts w:cs="Arial"/>
              </w:rPr>
            </w:pPr>
            <w:r w:rsidRPr="00A45A26">
              <w:rPr>
                <w:rFonts w:cs="Arial"/>
              </w:rPr>
              <w:t>39%</w:t>
            </w:r>
          </w:p>
        </w:tc>
        <w:tc>
          <w:tcPr>
            <w:tcW w:w="1231" w:type="dxa"/>
          </w:tcPr>
          <w:p w14:paraId="10039649" w14:textId="77777777" w:rsidR="00A45A26" w:rsidRPr="00A45A26" w:rsidRDefault="00A45A26" w:rsidP="00A45A26">
            <w:pPr>
              <w:spacing w:after="160" w:line="259" w:lineRule="auto"/>
              <w:rPr>
                <w:rFonts w:cs="Arial"/>
              </w:rPr>
            </w:pPr>
            <w:r w:rsidRPr="00A45A26">
              <w:rPr>
                <w:rFonts w:cs="Arial"/>
              </w:rPr>
              <w:t>59</w:t>
            </w:r>
          </w:p>
        </w:tc>
      </w:tr>
      <w:tr w:rsidR="00A45A26" w:rsidRPr="00A45A26" w14:paraId="2C28C831" w14:textId="77777777" w:rsidTr="00921EF9">
        <w:tc>
          <w:tcPr>
            <w:tcW w:w="2665" w:type="dxa"/>
            <w:vMerge/>
          </w:tcPr>
          <w:p w14:paraId="1ACBAB4F" w14:textId="77777777" w:rsidR="00A45A26" w:rsidRPr="00A45A26" w:rsidRDefault="00A45A26" w:rsidP="00A45A26">
            <w:pPr>
              <w:spacing w:after="160" w:line="259" w:lineRule="auto"/>
              <w:rPr>
                <w:rFonts w:cs="Arial"/>
              </w:rPr>
            </w:pPr>
          </w:p>
        </w:tc>
        <w:tc>
          <w:tcPr>
            <w:tcW w:w="4010" w:type="dxa"/>
          </w:tcPr>
          <w:p w14:paraId="1277B192" w14:textId="77777777" w:rsidR="00A45A26" w:rsidRPr="00A45A26" w:rsidRDefault="00A45A26" w:rsidP="00A45A26">
            <w:pPr>
              <w:spacing w:after="160" w:line="259" w:lineRule="auto"/>
              <w:rPr>
                <w:rFonts w:cs="Arial"/>
              </w:rPr>
            </w:pPr>
            <w:r w:rsidRPr="00A45A26">
              <w:rPr>
                <w:rFonts w:cs="Arial"/>
              </w:rPr>
              <w:t>Secondary (to grade 10)/higher</w:t>
            </w:r>
          </w:p>
        </w:tc>
        <w:tc>
          <w:tcPr>
            <w:tcW w:w="1228" w:type="dxa"/>
          </w:tcPr>
          <w:p w14:paraId="14E3E68A" w14:textId="77777777" w:rsidR="00A45A26" w:rsidRPr="00A45A26" w:rsidRDefault="00A45A26" w:rsidP="00A45A26">
            <w:pPr>
              <w:spacing w:after="160" w:line="259" w:lineRule="auto"/>
              <w:rPr>
                <w:rFonts w:cs="Arial"/>
              </w:rPr>
            </w:pPr>
            <w:r w:rsidRPr="00A45A26">
              <w:rPr>
                <w:rFonts w:cs="Arial"/>
              </w:rPr>
              <w:t>31%</w:t>
            </w:r>
          </w:p>
        </w:tc>
        <w:tc>
          <w:tcPr>
            <w:tcW w:w="1231" w:type="dxa"/>
          </w:tcPr>
          <w:p w14:paraId="060FEDF7" w14:textId="77777777" w:rsidR="00A45A26" w:rsidRPr="00A45A26" w:rsidRDefault="00A45A26" w:rsidP="00A45A26">
            <w:pPr>
              <w:spacing w:after="160" w:line="259" w:lineRule="auto"/>
              <w:rPr>
                <w:rFonts w:cs="Arial"/>
              </w:rPr>
            </w:pPr>
            <w:r w:rsidRPr="00A45A26">
              <w:rPr>
                <w:rFonts w:cs="Arial"/>
              </w:rPr>
              <w:t>47</w:t>
            </w:r>
          </w:p>
        </w:tc>
      </w:tr>
      <w:tr w:rsidR="00A45A26" w:rsidRPr="00A45A26" w14:paraId="6E568AF3" w14:textId="77777777" w:rsidTr="00921EF9">
        <w:tc>
          <w:tcPr>
            <w:tcW w:w="2665" w:type="dxa"/>
            <w:vMerge w:val="restart"/>
          </w:tcPr>
          <w:p w14:paraId="3394C0C4" w14:textId="77777777" w:rsidR="00A45A26" w:rsidRPr="00A45A26" w:rsidRDefault="00A45A26" w:rsidP="00A45A26">
            <w:pPr>
              <w:spacing w:after="160" w:line="259" w:lineRule="auto"/>
              <w:rPr>
                <w:rFonts w:cs="Arial"/>
              </w:rPr>
            </w:pPr>
            <w:r w:rsidRPr="00A45A26">
              <w:rPr>
                <w:rFonts w:cs="Arial"/>
              </w:rPr>
              <w:t>Living location</w:t>
            </w:r>
          </w:p>
        </w:tc>
        <w:tc>
          <w:tcPr>
            <w:tcW w:w="4010" w:type="dxa"/>
          </w:tcPr>
          <w:p w14:paraId="6CB3E52F" w14:textId="77777777" w:rsidR="00A45A26" w:rsidRPr="00A45A26" w:rsidRDefault="00A45A26" w:rsidP="00A45A26">
            <w:pPr>
              <w:spacing w:after="160" w:line="259" w:lineRule="auto"/>
              <w:rPr>
                <w:rFonts w:cs="Arial"/>
              </w:rPr>
            </w:pPr>
            <w:r w:rsidRPr="00A45A26">
              <w:rPr>
                <w:rFonts w:cs="Arial"/>
              </w:rPr>
              <w:t xml:space="preserve">Rural </w:t>
            </w:r>
          </w:p>
        </w:tc>
        <w:tc>
          <w:tcPr>
            <w:tcW w:w="1228" w:type="dxa"/>
          </w:tcPr>
          <w:p w14:paraId="4C6C2EF0" w14:textId="77777777" w:rsidR="00A45A26" w:rsidRPr="00A45A26" w:rsidRDefault="00A45A26" w:rsidP="00A45A26">
            <w:pPr>
              <w:spacing w:after="160" w:line="259" w:lineRule="auto"/>
              <w:rPr>
                <w:rFonts w:cs="Arial"/>
              </w:rPr>
            </w:pPr>
            <w:r w:rsidRPr="00A45A26">
              <w:rPr>
                <w:rFonts w:cs="Arial"/>
              </w:rPr>
              <w:t>46%</w:t>
            </w:r>
          </w:p>
        </w:tc>
        <w:tc>
          <w:tcPr>
            <w:tcW w:w="1231" w:type="dxa"/>
          </w:tcPr>
          <w:p w14:paraId="6D51988F" w14:textId="77777777" w:rsidR="00A45A26" w:rsidRPr="00A45A26" w:rsidRDefault="00A45A26" w:rsidP="00A45A26">
            <w:pPr>
              <w:spacing w:after="160" w:line="259" w:lineRule="auto"/>
              <w:rPr>
                <w:rFonts w:cs="Arial"/>
              </w:rPr>
            </w:pPr>
            <w:r w:rsidRPr="00A45A26">
              <w:rPr>
                <w:rFonts w:cs="Arial"/>
              </w:rPr>
              <w:t>69</w:t>
            </w:r>
          </w:p>
        </w:tc>
      </w:tr>
      <w:tr w:rsidR="00A45A26" w:rsidRPr="00A45A26" w14:paraId="5565DC46" w14:textId="77777777" w:rsidTr="00921EF9">
        <w:tc>
          <w:tcPr>
            <w:tcW w:w="2665" w:type="dxa"/>
            <w:vMerge/>
          </w:tcPr>
          <w:p w14:paraId="091D86CA" w14:textId="77777777" w:rsidR="00A45A26" w:rsidRPr="00A45A26" w:rsidRDefault="00A45A26" w:rsidP="00A45A26">
            <w:pPr>
              <w:spacing w:after="160" w:line="259" w:lineRule="auto"/>
              <w:rPr>
                <w:rFonts w:cs="Arial"/>
              </w:rPr>
            </w:pPr>
          </w:p>
        </w:tc>
        <w:tc>
          <w:tcPr>
            <w:tcW w:w="4010" w:type="dxa"/>
          </w:tcPr>
          <w:p w14:paraId="4CC8A642" w14:textId="77777777" w:rsidR="00A45A26" w:rsidRPr="00A45A26" w:rsidRDefault="00A45A26" w:rsidP="00A45A26">
            <w:pPr>
              <w:spacing w:after="160" w:line="259" w:lineRule="auto"/>
              <w:rPr>
                <w:rFonts w:cs="Arial"/>
              </w:rPr>
            </w:pPr>
            <w:r w:rsidRPr="00A45A26">
              <w:rPr>
                <w:rFonts w:cs="Arial"/>
              </w:rPr>
              <w:t>Urban</w:t>
            </w:r>
          </w:p>
        </w:tc>
        <w:tc>
          <w:tcPr>
            <w:tcW w:w="1228" w:type="dxa"/>
          </w:tcPr>
          <w:p w14:paraId="489F18A1" w14:textId="77777777" w:rsidR="00A45A26" w:rsidRPr="00A45A26" w:rsidRDefault="00A45A26" w:rsidP="00A45A26">
            <w:pPr>
              <w:spacing w:after="160" w:line="259" w:lineRule="auto"/>
              <w:rPr>
                <w:rFonts w:cs="Arial"/>
              </w:rPr>
            </w:pPr>
            <w:r w:rsidRPr="00A45A26">
              <w:rPr>
                <w:rFonts w:cs="Arial"/>
              </w:rPr>
              <w:t>54%</w:t>
            </w:r>
          </w:p>
        </w:tc>
        <w:tc>
          <w:tcPr>
            <w:tcW w:w="1231" w:type="dxa"/>
          </w:tcPr>
          <w:p w14:paraId="1A80AC7C" w14:textId="77777777" w:rsidR="00A45A26" w:rsidRPr="00A45A26" w:rsidRDefault="00A45A26" w:rsidP="00A45A26">
            <w:pPr>
              <w:spacing w:after="160" w:line="259" w:lineRule="auto"/>
              <w:rPr>
                <w:rFonts w:cs="Arial"/>
              </w:rPr>
            </w:pPr>
            <w:r w:rsidRPr="00A45A26">
              <w:rPr>
                <w:rFonts w:cs="Arial"/>
              </w:rPr>
              <w:t>81</w:t>
            </w:r>
          </w:p>
        </w:tc>
      </w:tr>
      <w:tr w:rsidR="00A45A26" w:rsidRPr="00A45A26" w14:paraId="689A2666" w14:textId="77777777" w:rsidTr="00921EF9">
        <w:tc>
          <w:tcPr>
            <w:tcW w:w="2665" w:type="dxa"/>
            <w:vMerge w:val="restart"/>
          </w:tcPr>
          <w:p w14:paraId="3FC0515B" w14:textId="77777777" w:rsidR="00A45A26" w:rsidRPr="00A45A26" w:rsidRDefault="00A45A26" w:rsidP="00A45A26">
            <w:pPr>
              <w:spacing w:after="160" w:line="259" w:lineRule="auto"/>
              <w:rPr>
                <w:rFonts w:cs="Arial"/>
              </w:rPr>
            </w:pPr>
            <w:r w:rsidRPr="00A45A26">
              <w:rPr>
                <w:rFonts w:cs="Arial"/>
              </w:rPr>
              <w:t>Previously treated or new case</w:t>
            </w:r>
          </w:p>
        </w:tc>
        <w:tc>
          <w:tcPr>
            <w:tcW w:w="4010" w:type="dxa"/>
          </w:tcPr>
          <w:p w14:paraId="4FFDE76D" w14:textId="77777777" w:rsidR="00A45A26" w:rsidRPr="00A45A26" w:rsidRDefault="00A45A26" w:rsidP="00A45A26">
            <w:pPr>
              <w:spacing w:after="160" w:line="259" w:lineRule="auto"/>
              <w:rPr>
                <w:rFonts w:cs="Arial"/>
              </w:rPr>
            </w:pPr>
            <w:r w:rsidRPr="00A45A26">
              <w:rPr>
                <w:rFonts w:cs="Arial"/>
              </w:rPr>
              <w:t>New MDR-TB case</w:t>
            </w:r>
          </w:p>
        </w:tc>
        <w:tc>
          <w:tcPr>
            <w:tcW w:w="1228" w:type="dxa"/>
          </w:tcPr>
          <w:p w14:paraId="5AA4127E" w14:textId="77777777" w:rsidR="00A45A26" w:rsidRPr="00A45A26" w:rsidRDefault="00A45A26" w:rsidP="00A45A26">
            <w:pPr>
              <w:spacing w:after="160" w:line="259" w:lineRule="auto"/>
              <w:rPr>
                <w:rFonts w:cs="Arial"/>
              </w:rPr>
            </w:pPr>
            <w:r w:rsidRPr="00A45A26">
              <w:rPr>
                <w:rFonts w:cs="Arial"/>
              </w:rPr>
              <w:t>34%</w:t>
            </w:r>
          </w:p>
        </w:tc>
        <w:tc>
          <w:tcPr>
            <w:tcW w:w="1231" w:type="dxa"/>
          </w:tcPr>
          <w:p w14:paraId="63665A11" w14:textId="77777777" w:rsidR="00A45A26" w:rsidRPr="00A45A26" w:rsidRDefault="00A45A26" w:rsidP="00A45A26">
            <w:pPr>
              <w:spacing w:after="160" w:line="259" w:lineRule="auto"/>
              <w:rPr>
                <w:rFonts w:cs="Arial"/>
              </w:rPr>
            </w:pPr>
            <w:r w:rsidRPr="00A45A26">
              <w:rPr>
                <w:rFonts w:cs="Arial"/>
              </w:rPr>
              <w:t>51</w:t>
            </w:r>
          </w:p>
        </w:tc>
      </w:tr>
      <w:tr w:rsidR="00A45A26" w:rsidRPr="00A45A26" w14:paraId="6F5A9881" w14:textId="77777777" w:rsidTr="00921EF9">
        <w:tc>
          <w:tcPr>
            <w:tcW w:w="2665" w:type="dxa"/>
            <w:vMerge/>
          </w:tcPr>
          <w:p w14:paraId="7CC00A4A" w14:textId="77777777" w:rsidR="00A45A26" w:rsidRPr="00A45A26" w:rsidRDefault="00A45A26" w:rsidP="00A45A26">
            <w:pPr>
              <w:spacing w:after="160" w:line="259" w:lineRule="auto"/>
              <w:rPr>
                <w:rFonts w:cs="Arial"/>
              </w:rPr>
            </w:pPr>
          </w:p>
        </w:tc>
        <w:tc>
          <w:tcPr>
            <w:tcW w:w="4010" w:type="dxa"/>
          </w:tcPr>
          <w:p w14:paraId="6E57C705" w14:textId="77777777" w:rsidR="00A45A26" w:rsidRPr="00A45A26" w:rsidRDefault="00A45A26" w:rsidP="00A45A26">
            <w:pPr>
              <w:spacing w:after="160" w:line="259" w:lineRule="auto"/>
              <w:rPr>
                <w:rFonts w:cs="Arial"/>
              </w:rPr>
            </w:pPr>
            <w:r w:rsidRPr="00A45A26">
              <w:rPr>
                <w:rFonts w:cs="Arial"/>
              </w:rPr>
              <w:t>Previously treated</w:t>
            </w:r>
          </w:p>
        </w:tc>
        <w:tc>
          <w:tcPr>
            <w:tcW w:w="1228" w:type="dxa"/>
          </w:tcPr>
          <w:p w14:paraId="387AFAAF" w14:textId="77777777" w:rsidR="00A45A26" w:rsidRPr="00A45A26" w:rsidRDefault="00A45A26" w:rsidP="00A45A26">
            <w:pPr>
              <w:spacing w:after="160" w:line="259" w:lineRule="auto"/>
              <w:rPr>
                <w:rFonts w:cs="Arial"/>
              </w:rPr>
            </w:pPr>
            <w:r w:rsidRPr="00A45A26">
              <w:rPr>
                <w:rFonts w:cs="Arial"/>
              </w:rPr>
              <w:t>66%</w:t>
            </w:r>
          </w:p>
        </w:tc>
        <w:tc>
          <w:tcPr>
            <w:tcW w:w="1231" w:type="dxa"/>
          </w:tcPr>
          <w:p w14:paraId="60EFECC1" w14:textId="77777777" w:rsidR="00A45A26" w:rsidRPr="00A45A26" w:rsidRDefault="00A45A26" w:rsidP="00A45A26">
            <w:pPr>
              <w:spacing w:after="160" w:line="259" w:lineRule="auto"/>
              <w:rPr>
                <w:rFonts w:cs="Arial"/>
              </w:rPr>
            </w:pPr>
            <w:r w:rsidRPr="00A45A26">
              <w:rPr>
                <w:rFonts w:cs="Arial"/>
              </w:rPr>
              <w:t>99</w:t>
            </w:r>
          </w:p>
        </w:tc>
      </w:tr>
      <w:tr w:rsidR="00A45A26" w:rsidRPr="00A45A26" w14:paraId="58B11B05" w14:textId="77777777" w:rsidTr="00921EF9">
        <w:tc>
          <w:tcPr>
            <w:tcW w:w="2665" w:type="dxa"/>
            <w:vMerge w:val="restart"/>
          </w:tcPr>
          <w:p w14:paraId="01997864" w14:textId="77777777" w:rsidR="00A45A26" w:rsidRPr="00A45A26" w:rsidRDefault="00A45A26" w:rsidP="00A45A26">
            <w:pPr>
              <w:spacing w:after="160" w:line="259" w:lineRule="auto"/>
              <w:rPr>
                <w:rFonts w:cs="Arial"/>
              </w:rPr>
            </w:pPr>
            <w:r w:rsidRPr="00A45A26">
              <w:rPr>
                <w:rFonts w:cs="Arial"/>
              </w:rPr>
              <w:t>Substance use</w:t>
            </w:r>
          </w:p>
        </w:tc>
        <w:tc>
          <w:tcPr>
            <w:tcW w:w="4010" w:type="dxa"/>
          </w:tcPr>
          <w:p w14:paraId="77AC3A9D" w14:textId="77777777" w:rsidR="00A45A26" w:rsidRPr="00A45A26" w:rsidRDefault="00A45A26" w:rsidP="00A45A26">
            <w:pPr>
              <w:spacing w:after="160" w:line="259" w:lineRule="auto"/>
              <w:rPr>
                <w:rFonts w:cs="Arial"/>
              </w:rPr>
            </w:pPr>
            <w:r w:rsidRPr="00A45A26">
              <w:rPr>
                <w:rFonts w:cs="Arial"/>
              </w:rPr>
              <w:t>Any substance use</w:t>
            </w:r>
          </w:p>
        </w:tc>
        <w:tc>
          <w:tcPr>
            <w:tcW w:w="1228" w:type="dxa"/>
          </w:tcPr>
          <w:p w14:paraId="25519246" w14:textId="77777777" w:rsidR="00A45A26" w:rsidRPr="00A45A26" w:rsidRDefault="00A45A26" w:rsidP="00A45A26">
            <w:pPr>
              <w:spacing w:after="160" w:line="259" w:lineRule="auto"/>
              <w:rPr>
                <w:rFonts w:cs="Arial"/>
              </w:rPr>
            </w:pPr>
            <w:r w:rsidRPr="00A45A26">
              <w:rPr>
                <w:rFonts w:cs="Arial"/>
              </w:rPr>
              <w:t>50%</w:t>
            </w:r>
          </w:p>
        </w:tc>
        <w:tc>
          <w:tcPr>
            <w:tcW w:w="1231" w:type="dxa"/>
          </w:tcPr>
          <w:p w14:paraId="45654266" w14:textId="77777777" w:rsidR="00A45A26" w:rsidRPr="00A45A26" w:rsidRDefault="00A45A26" w:rsidP="00A45A26">
            <w:pPr>
              <w:spacing w:after="160" w:line="259" w:lineRule="auto"/>
              <w:rPr>
                <w:rFonts w:cs="Arial"/>
              </w:rPr>
            </w:pPr>
            <w:r w:rsidRPr="00A45A26">
              <w:rPr>
                <w:rFonts w:cs="Arial"/>
              </w:rPr>
              <w:t>75</w:t>
            </w:r>
          </w:p>
        </w:tc>
      </w:tr>
      <w:tr w:rsidR="00A45A26" w:rsidRPr="00A45A26" w14:paraId="41383838" w14:textId="77777777" w:rsidTr="00921EF9">
        <w:tc>
          <w:tcPr>
            <w:tcW w:w="2665" w:type="dxa"/>
            <w:vMerge/>
          </w:tcPr>
          <w:p w14:paraId="1D667219" w14:textId="77777777" w:rsidR="00A45A26" w:rsidRPr="00A45A26" w:rsidRDefault="00A45A26" w:rsidP="00A45A26">
            <w:pPr>
              <w:spacing w:after="160" w:line="259" w:lineRule="auto"/>
              <w:rPr>
                <w:rFonts w:cs="Arial"/>
              </w:rPr>
            </w:pPr>
          </w:p>
        </w:tc>
        <w:tc>
          <w:tcPr>
            <w:tcW w:w="4010" w:type="dxa"/>
          </w:tcPr>
          <w:p w14:paraId="7E33F668" w14:textId="77777777" w:rsidR="00A45A26" w:rsidRPr="00A45A26" w:rsidRDefault="00A45A26" w:rsidP="00A45A26">
            <w:pPr>
              <w:spacing w:after="160" w:line="259" w:lineRule="auto"/>
              <w:rPr>
                <w:rFonts w:cs="Arial"/>
              </w:rPr>
            </w:pPr>
            <w:r w:rsidRPr="00A45A26">
              <w:rPr>
                <w:rFonts w:cs="Arial"/>
              </w:rPr>
              <w:t>No substance use</w:t>
            </w:r>
          </w:p>
        </w:tc>
        <w:tc>
          <w:tcPr>
            <w:tcW w:w="1228" w:type="dxa"/>
          </w:tcPr>
          <w:p w14:paraId="2A80DF01" w14:textId="77777777" w:rsidR="00A45A26" w:rsidRPr="00A45A26" w:rsidRDefault="00A45A26" w:rsidP="00A45A26">
            <w:pPr>
              <w:spacing w:after="160" w:line="259" w:lineRule="auto"/>
              <w:rPr>
                <w:rFonts w:cs="Arial"/>
              </w:rPr>
            </w:pPr>
            <w:r w:rsidRPr="00A45A26">
              <w:rPr>
                <w:rFonts w:cs="Arial"/>
              </w:rPr>
              <w:t>50%</w:t>
            </w:r>
          </w:p>
        </w:tc>
        <w:tc>
          <w:tcPr>
            <w:tcW w:w="1231" w:type="dxa"/>
          </w:tcPr>
          <w:p w14:paraId="2CF80082" w14:textId="77777777" w:rsidR="00A45A26" w:rsidRPr="00A45A26" w:rsidRDefault="00A45A26" w:rsidP="00A45A26">
            <w:pPr>
              <w:spacing w:after="160" w:line="259" w:lineRule="auto"/>
              <w:rPr>
                <w:rFonts w:cs="Arial"/>
              </w:rPr>
            </w:pPr>
            <w:r w:rsidRPr="00A45A26">
              <w:rPr>
                <w:rFonts w:cs="Arial"/>
              </w:rPr>
              <w:t>75</w:t>
            </w:r>
          </w:p>
        </w:tc>
      </w:tr>
      <w:tr w:rsidR="00A45A26" w:rsidRPr="00A45A26" w14:paraId="5DBE92C3" w14:textId="77777777" w:rsidTr="00921EF9">
        <w:tc>
          <w:tcPr>
            <w:tcW w:w="2665" w:type="dxa"/>
            <w:vMerge w:val="restart"/>
          </w:tcPr>
          <w:p w14:paraId="24D190A4" w14:textId="77777777" w:rsidR="00A45A26" w:rsidRPr="00A45A26" w:rsidRDefault="00A45A26" w:rsidP="00A45A26">
            <w:pPr>
              <w:spacing w:after="160" w:line="259" w:lineRule="auto"/>
              <w:rPr>
                <w:rFonts w:cs="Arial"/>
              </w:rPr>
            </w:pPr>
            <w:r w:rsidRPr="00A45A26">
              <w:rPr>
                <w:rFonts w:cs="Arial"/>
              </w:rPr>
              <w:t>Type of substance used (N = 75)</w:t>
            </w:r>
          </w:p>
        </w:tc>
        <w:tc>
          <w:tcPr>
            <w:tcW w:w="4010" w:type="dxa"/>
          </w:tcPr>
          <w:p w14:paraId="16A6A452" w14:textId="77777777" w:rsidR="00A45A26" w:rsidRPr="00A45A26" w:rsidRDefault="00A45A26" w:rsidP="00A45A26">
            <w:pPr>
              <w:spacing w:after="160" w:line="259" w:lineRule="auto"/>
              <w:rPr>
                <w:rFonts w:cs="Arial"/>
              </w:rPr>
            </w:pPr>
            <w:r w:rsidRPr="00A45A26">
              <w:rPr>
                <w:rFonts w:cs="Arial"/>
              </w:rPr>
              <w:t>Current smoker</w:t>
            </w:r>
          </w:p>
        </w:tc>
        <w:tc>
          <w:tcPr>
            <w:tcW w:w="1228" w:type="dxa"/>
          </w:tcPr>
          <w:p w14:paraId="11FA8EDF" w14:textId="77777777" w:rsidR="00A45A26" w:rsidRPr="00A45A26" w:rsidRDefault="00A45A26" w:rsidP="00A45A26">
            <w:pPr>
              <w:spacing w:after="160" w:line="259" w:lineRule="auto"/>
              <w:rPr>
                <w:rFonts w:cs="Arial"/>
              </w:rPr>
            </w:pPr>
            <w:r w:rsidRPr="00A45A26">
              <w:rPr>
                <w:rFonts w:cs="Arial"/>
              </w:rPr>
              <w:t>69%</w:t>
            </w:r>
          </w:p>
        </w:tc>
        <w:tc>
          <w:tcPr>
            <w:tcW w:w="1231" w:type="dxa"/>
          </w:tcPr>
          <w:p w14:paraId="5447B383" w14:textId="77777777" w:rsidR="00A45A26" w:rsidRPr="00A45A26" w:rsidRDefault="00A45A26" w:rsidP="00A45A26">
            <w:pPr>
              <w:spacing w:after="160" w:line="259" w:lineRule="auto"/>
              <w:rPr>
                <w:rFonts w:cs="Arial"/>
              </w:rPr>
            </w:pPr>
            <w:r w:rsidRPr="00A45A26">
              <w:rPr>
                <w:rFonts w:cs="Arial"/>
              </w:rPr>
              <w:t>52</w:t>
            </w:r>
          </w:p>
        </w:tc>
      </w:tr>
      <w:tr w:rsidR="00A45A26" w:rsidRPr="00A45A26" w14:paraId="38A5C048" w14:textId="77777777" w:rsidTr="00921EF9">
        <w:tc>
          <w:tcPr>
            <w:tcW w:w="2665" w:type="dxa"/>
            <w:vMerge/>
          </w:tcPr>
          <w:p w14:paraId="73112B70" w14:textId="77777777" w:rsidR="00A45A26" w:rsidRPr="00A45A26" w:rsidRDefault="00A45A26" w:rsidP="00A45A26">
            <w:pPr>
              <w:spacing w:after="160" w:line="259" w:lineRule="auto"/>
              <w:rPr>
                <w:rFonts w:cs="Arial"/>
              </w:rPr>
            </w:pPr>
          </w:p>
        </w:tc>
        <w:tc>
          <w:tcPr>
            <w:tcW w:w="4010" w:type="dxa"/>
          </w:tcPr>
          <w:p w14:paraId="74BC5767" w14:textId="77777777" w:rsidR="00A45A26" w:rsidRPr="00A45A26" w:rsidRDefault="00A45A26" w:rsidP="00A45A26">
            <w:pPr>
              <w:spacing w:after="160" w:line="259" w:lineRule="auto"/>
              <w:rPr>
                <w:rFonts w:cs="Arial"/>
              </w:rPr>
            </w:pPr>
            <w:r w:rsidRPr="00A45A26">
              <w:rPr>
                <w:rFonts w:cs="Arial"/>
              </w:rPr>
              <w:t>Drug use</w:t>
            </w:r>
          </w:p>
        </w:tc>
        <w:tc>
          <w:tcPr>
            <w:tcW w:w="1228" w:type="dxa"/>
          </w:tcPr>
          <w:p w14:paraId="78720406" w14:textId="77777777" w:rsidR="00A45A26" w:rsidRPr="00A45A26" w:rsidRDefault="00A45A26" w:rsidP="00A45A26">
            <w:pPr>
              <w:spacing w:after="160" w:line="259" w:lineRule="auto"/>
              <w:rPr>
                <w:rFonts w:cs="Arial"/>
              </w:rPr>
            </w:pPr>
            <w:r w:rsidRPr="00A45A26">
              <w:rPr>
                <w:rFonts w:cs="Arial"/>
              </w:rPr>
              <w:t>9%</w:t>
            </w:r>
          </w:p>
        </w:tc>
        <w:tc>
          <w:tcPr>
            <w:tcW w:w="1231" w:type="dxa"/>
          </w:tcPr>
          <w:p w14:paraId="491152E4" w14:textId="77777777" w:rsidR="00A45A26" w:rsidRPr="00A45A26" w:rsidRDefault="00A45A26" w:rsidP="00A45A26">
            <w:pPr>
              <w:spacing w:after="160" w:line="259" w:lineRule="auto"/>
              <w:rPr>
                <w:rFonts w:cs="Arial"/>
              </w:rPr>
            </w:pPr>
            <w:r w:rsidRPr="00A45A26">
              <w:rPr>
                <w:rFonts w:cs="Arial"/>
              </w:rPr>
              <w:t>7</w:t>
            </w:r>
          </w:p>
        </w:tc>
      </w:tr>
      <w:tr w:rsidR="00A45A26" w:rsidRPr="00A45A26" w14:paraId="2929AF47" w14:textId="77777777" w:rsidTr="00921EF9">
        <w:tc>
          <w:tcPr>
            <w:tcW w:w="2665" w:type="dxa"/>
            <w:vMerge/>
          </w:tcPr>
          <w:p w14:paraId="49CE60A0" w14:textId="77777777" w:rsidR="00A45A26" w:rsidRPr="00A45A26" w:rsidRDefault="00A45A26" w:rsidP="00A45A26">
            <w:pPr>
              <w:spacing w:after="160" w:line="259" w:lineRule="auto"/>
              <w:rPr>
                <w:rFonts w:cs="Arial"/>
              </w:rPr>
            </w:pPr>
          </w:p>
        </w:tc>
        <w:tc>
          <w:tcPr>
            <w:tcW w:w="4010" w:type="dxa"/>
          </w:tcPr>
          <w:p w14:paraId="0D5DA522" w14:textId="77777777" w:rsidR="00A45A26" w:rsidRPr="00A45A26" w:rsidRDefault="00A45A26" w:rsidP="00A45A26">
            <w:pPr>
              <w:spacing w:after="160" w:line="259" w:lineRule="auto"/>
              <w:rPr>
                <w:rFonts w:cs="Arial"/>
              </w:rPr>
            </w:pPr>
            <w:r w:rsidRPr="00A45A26">
              <w:rPr>
                <w:rFonts w:cs="Arial"/>
              </w:rPr>
              <w:t>Alcohol use</w:t>
            </w:r>
          </w:p>
        </w:tc>
        <w:tc>
          <w:tcPr>
            <w:tcW w:w="1228" w:type="dxa"/>
          </w:tcPr>
          <w:p w14:paraId="5C94B602" w14:textId="77777777" w:rsidR="00A45A26" w:rsidRPr="00A45A26" w:rsidRDefault="00A45A26" w:rsidP="00A45A26">
            <w:pPr>
              <w:spacing w:after="160" w:line="259" w:lineRule="auto"/>
              <w:rPr>
                <w:rFonts w:cs="Arial"/>
              </w:rPr>
            </w:pPr>
            <w:r w:rsidRPr="00A45A26">
              <w:rPr>
                <w:rFonts w:cs="Arial"/>
              </w:rPr>
              <w:t>1%</w:t>
            </w:r>
          </w:p>
        </w:tc>
        <w:tc>
          <w:tcPr>
            <w:tcW w:w="1231" w:type="dxa"/>
          </w:tcPr>
          <w:p w14:paraId="50174E75" w14:textId="77777777" w:rsidR="00A45A26" w:rsidRPr="00A45A26" w:rsidRDefault="00A45A26" w:rsidP="00A45A26">
            <w:pPr>
              <w:spacing w:after="160" w:line="259" w:lineRule="auto"/>
              <w:rPr>
                <w:rFonts w:cs="Arial"/>
              </w:rPr>
            </w:pPr>
            <w:r w:rsidRPr="00A45A26">
              <w:rPr>
                <w:rFonts w:cs="Arial"/>
              </w:rPr>
              <w:t>1</w:t>
            </w:r>
          </w:p>
        </w:tc>
      </w:tr>
      <w:tr w:rsidR="00A45A26" w:rsidRPr="00A45A26" w14:paraId="07D69ECC" w14:textId="77777777" w:rsidTr="00921EF9">
        <w:tc>
          <w:tcPr>
            <w:tcW w:w="2665" w:type="dxa"/>
            <w:vMerge/>
          </w:tcPr>
          <w:p w14:paraId="3F36094A" w14:textId="77777777" w:rsidR="00A45A26" w:rsidRPr="00A45A26" w:rsidRDefault="00A45A26" w:rsidP="00A45A26">
            <w:pPr>
              <w:spacing w:after="160" w:line="259" w:lineRule="auto"/>
              <w:rPr>
                <w:rFonts w:cs="Arial"/>
              </w:rPr>
            </w:pPr>
          </w:p>
        </w:tc>
        <w:tc>
          <w:tcPr>
            <w:tcW w:w="4010" w:type="dxa"/>
          </w:tcPr>
          <w:p w14:paraId="170F3533" w14:textId="77777777" w:rsidR="00A45A26" w:rsidRPr="00A45A26" w:rsidRDefault="00A45A26" w:rsidP="00A45A26">
            <w:pPr>
              <w:spacing w:after="160" w:line="259" w:lineRule="auto"/>
              <w:rPr>
                <w:rFonts w:cs="Arial"/>
              </w:rPr>
            </w:pPr>
            <w:r w:rsidRPr="00A45A26">
              <w:rPr>
                <w:rFonts w:cs="Arial"/>
              </w:rPr>
              <w:t>Smokeless tobacco</w:t>
            </w:r>
          </w:p>
        </w:tc>
        <w:tc>
          <w:tcPr>
            <w:tcW w:w="1228" w:type="dxa"/>
          </w:tcPr>
          <w:p w14:paraId="3D78ACC9" w14:textId="77777777" w:rsidR="00A45A26" w:rsidRPr="00A45A26" w:rsidRDefault="00A45A26" w:rsidP="00A45A26">
            <w:pPr>
              <w:spacing w:after="160" w:line="259" w:lineRule="auto"/>
              <w:rPr>
                <w:rFonts w:cs="Arial"/>
              </w:rPr>
            </w:pPr>
            <w:r w:rsidRPr="00A45A26">
              <w:rPr>
                <w:rFonts w:cs="Arial"/>
              </w:rPr>
              <w:t>13%</w:t>
            </w:r>
          </w:p>
        </w:tc>
        <w:tc>
          <w:tcPr>
            <w:tcW w:w="1231" w:type="dxa"/>
          </w:tcPr>
          <w:p w14:paraId="59896AE4" w14:textId="77777777" w:rsidR="00A45A26" w:rsidRPr="00A45A26" w:rsidRDefault="00A45A26" w:rsidP="00A45A26">
            <w:pPr>
              <w:spacing w:after="160" w:line="259" w:lineRule="auto"/>
              <w:rPr>
                <w:rFonts w:cs="Arial"/>
              </w:rPr>
            </w:pPr>
            <w:r w:rsidRPr="00A45A26">
              <w:rPr>
                <w:rFonts w:cs="Arial"/>
              </w:rPr>
              <w:t>10</w:t>
            </w:r>
          </w:p>
        </w:tc>
      </w:tr>
      <w:tr w:rsidR="00A45A26" w:rsidRPr="00A45A26" w14:paraId="2DB65D30" w14:textId="77777777" w:rsidTr="00921EF9">
        <w:tc>
          <w:tcPr>
            <w:tcW w:w="2665" w:type="dxa"/>
            <w:vMerge/>
          </w:tcPr>
          <w:p w14:paraId="4F96B626" w14:textId="77777777" w:rsidR="00A45A26" w:rsidRPr="00A45A26" w:rsidRDefault="00A45A26" w:rsidP="00A45A26">
            <w:pPr>
              <w:spacing w:after="160" w:line="259" w:lineRule="auto"/>
              <w:rPr>
                <w:rFonts w:cs="Arial"/>
              </w:rPr>
            </w:pPr>
          </w:p>
        </w:tc>
        <w:tc>
          <w:tcPr>
            <w:tcW w:w="4010" w:type="dxa"/>
          </w:tcPr>
          <w:p w14:paraId="63D6B8ED" w14:textId="77777777" w:rsidR="00A45A26" w:rsidRPr="00A45A26" w:rsidRDefault="00A45A26" w:rsidP="00A45A26">
            <w:pPr>
              <w:spacing w:after="160" w:line="259" w:lineRule="auto"/>
              <w:rPr>
                <w:rFonts w:cs="Arial"/>
              </w:rPr>
            </w:pPr>
            <w:r w:rsidRPr="00A45A26">
              <w:rPr>
                <w:rFonts w:cs="Arial"/>
              </w:rPr>
              <w:t>Multiple substance use</w:t>
            </w:r>
          </w:p>
        </w:tc>
        <w:tc>
          <w:tcPr>
            <w:tcW w:w="1228" w:type="dxa"/>
          </w:tcPr>
          <w:p w14:paraId="3F81563B" w14:textId="77777777" w:rsidR="00A45A26" w:rsidRPr="00A45A26" w:rsidRDefault="00A45A26" w:rsidP="00A45A26">
            <w:pPr>
              <w:spacing w:after="160" w:line="259" w:lineRule="auto"/>
              <w:rPr>
                <w:rFonts w:cs="Arial"/>
              </w:rPr>
            </w:pPr>
            <w:r w:rsidRPr="00A45A26">
              <w:rPr>
                <w:rFonts w:cs="Arial"/>
              </w:rPr>
              <w:t>8%</w:t>
            </w:r>
          </w:p>
        </w:tc>
        <w:tc>
          <w:tcPr>
            <w:tcW w:w="1231" w:type="dxa"/>
          </w:tcPr>
          <w:p w14:paraId="5FD5F21E" w14:textId="77777777" w:rsidR="00A45A26" w:rsidRPr="00A45A26" w:rsidRDefault="00A45A26" w:rsidP="00A45A26">
            <w:pPr>
              <w:spacing w:after="160" w:line="259" w:lineRule="auto"/>
              <w:rPr>
                <w:rFonts w:cs="Arial"/>
              </w:rPr>
            </w:pPr>
            <w:r w:rsidRPr="00A45A26">
              <w:rPr>
                <w:rFonts w:cs="Arial"/>
              </w:rPr>
              <w:t>5</w:t>
            </w:r>
          </w:p>
        </w:tc>
      </w:tr>
      <w:tr w:rsidR="00A45A26" w:rsidRPr="00A45A26" w14:paraId="3692CBF4" w14:textId="77777777" w:rsidTr="00921EF9">
        <w:tc>
          <w:tcPr>
            <w:tcW w:w="2665" w:type="dxa"/>
            <w:vMerge w:val="restart"/>
          </w:tcPr>
          <w:p w14:paraId="4821D0AE" w14:textId="77777777" w:rsidR="00A45A26" w:rsidRPr="00A45A26" w:rsidRDefault="00A45A26" w:rsidP="00A45A26">
            <w:pPr>
              <w:spacing w:after="160" w:line="259" w:lineRule="auto"/>
              <w:rPr>
                <w:rFonts w:cs="Arial"/>
              </w:rPr>
            </w:pPr>
            <w:r w:rsidRPr="00A45A26">
              <w:rPr>
                <w:rFonts w:cs="Arial"/>
              </w:rPr>
              <w:t xml:space="preserve">History of mental disorder </w:t>
            </w:r>
          </w:p>
        </w:tc>
        <w:tc>
          <w:tcPr>
            <w:tcW w:w="4010" w:type="dxa"/>
          </w:tcPr>
          <w:p w14:paraId="544F7FAC" w14:textId="77777777" w:rsidR="00A45A26" w:rsidRPr="00A45A26" w:rsidRDefault="00A45A26" w:rsidP="00A45A26">
            <w:pPr>
              <w:spacing w:after="160" w:line="259" w:lineRule="auto"/>
              <w:rPr>
                <w:rFonts w:cs="Arial"/>
              </w:rPr>
            </w:pPr>
            <w:r w:rsidRPr="00A45A26">
              <w:rPr>
                <w:rFonts w:cs="Arial"/>
              </w:rPr>
              <w:t>Self-reported ‘yes’ to question: any history of mental disorder?</w:t>
            </w:r>
          </w:p>
        </w:tc>
        <w:tc>
          <w:tcPr>
            <w:tcW w:w="1228" w:type="dxa"/>
          </w:tcPr>
          <w:p w14:paraId="08E1C8DF" w14:textId="77777777" w:rsidR="00A45A26" w:rsidRPr="00A45A26" w:rsidRDefault="00A45A26" w:rsidP="00A45A26">
            <w:pPr>
              <w:spacing w:after="160" w:line="259" w:lineRule="auto"/>
              <w:rPr>
                <w:rFonts w:cs="Arial"/>
              </w:rPr>
            </w:pPr>
            <w:r w:rsidRPr="00A45A26">
              <w:rPr>
                <w:rFonts w:cs="Arial"/>
              </w:rPr>
              <w:t>7%</w:t>
            </w:r>
          </w:p>
        </w:tc>
        <w:tc>
          <w:tcPr>
            <w:tcW w:w="1231" w:type="dxa"/>
          </w:tcPr>
          <w:p w14:paraId="58E3CF41" w14:textId="77777777" w:rsidR="00A45A26" w:rsidRPr="00A45A26" w:rsidRDefault="00A45A26" w:rsidP="00A45A26">
            <w:pPr>
              <w:spacing w:after="160" w:line="259" w:lineRule="auto"/>
              <w:rPr>
                <w:rFonts w:cs="Arial"/>
              </w:rPr>
            </w:pPr>
            <w:r w:rsidRPr="00A45A26">
              <w:rPr>
                <w:rFonts w:cs="Arial"/>
              </w:rPr>
              <w:t>10</w:t>
            </w:r>
          </w:p>
        </w:tc>
      </w:tr>
      <w:tr w:rsidR="00A45A26" w:rsidRPr="00A45A26" w14:paraId="66C3CC86" w14:textId="77777777" w:rsidTr="00921EF9">
        <w:tc>
          <w:tcPr>
            <w:tcW w:w="2665" w:type="dxa"/>
            <w:vMerge/>
          </w:tcPr>
          <w:p w14:paraId="38A7133A" w14:textId="77777777" w:rsidR="00A45A26" w:rsidRPr="00A45A26" w:rsidRDefault="00A45A26" w:rsidP="00A45A26">
            <w:pPr>
              <w:spacing w:after="160" w:line="259" w:lineRule="auto"/>
              <w:rPr>
                <w:rFonts w:cs="Arial"/>
              </w:rPr>
            </w:pPr>
          </w:p>
        </w:tc>
        <w:tc>
          <w:tcPr>
            <w:tcW w:w="4010" w:type="dxa"/>
          </w:tcPr>
          <w:p w14:paraId="7C996BC3" w14:textId="77777777" w:rsidR="00A45A26" w:rsidRPr="00A45A26" w:rsidRDefault="00A45A26" w:rsidP="00A45A26">
            <w:pPr>
              <w:spacing w:after="160" w:line="259" w:lineRule="auto"/>
              <w:rPr>
                <w:rFonts w:cs="Arial"/>
              </w:rPr>
            </w:pPr>
            <w:r w:rsidRPr="00A45A26">
              <w:rPr>
                <w:rFonts w:cs="Arial"/>
              </w:rPr>
              <w:t>Self-reported ‘no’ to question: any history of mental disorder?</w:t>
            </w:r>
          </w:p>
        </w:tc>
        <w:tc>
          <w:tcPr>
            <w:tcW w:w="1228" w:type="dxa"/>
          </w:tcPr>
          <w:p w14:paraId="24C813EC" w14:textId="77777777" w:rsidR="00A45A26" w:rsidRPr="00A45A26" w:rsidRDefault="00A45A26" w:rsidP="00A45A26">
            <w:pPr>
              <w:spacing w:after="160" w:line="259" w:lineRule="auto"/>
              <w:rPr>
                <w:rFonts w:cs="Arial"/>
              </w:rPr>
            </w:pPr>
            <w:r w:rsidRPr="00A45A26">
              <w:rPr>
                <w:rFonts w:cs="Arial"/>
              </w:rPr>
              <w:t>93%</w:t>
            </w:r>
          </w:p>
        </w:tc>
        <w:tc>
          <w:tcPr>
            <w:tcW w:w="1231" w:type="dxa"/>
          </w:tcPr>
          <w:p w14:paraId="2AB116C8" w14:textId="77777777" w:rsidR="00A45A26" w:rsidRPr="00A45A26" w:rsidRDefault="00A45A26" w:rsidP="00A45A26">
            <w:pPr>
              <w:spacing w:after="160" w:line="259" w:lineRule="auto"/>
              <w:rPr>
                <w:rFonts w:cs="Arial"/>
              </w:rPr>
            </w:pPr>
            <w:r w:rsidRPr="00A45A26">
              <w:rPr>
                <w:rFonts w:cs="Arial"/>
              </w:rPr>
              <w:t>140</w:t>
            </w:r>
          </w:p>
        </w:tc>
      </w:tr>
      <w:tr w:rsidR="00A45A26" w:rsidRPr="00A45A26" w14:paraId="479F30D3" w14:textId="77777777" w:rsidTr="00921EF9">
        <w:tc>
          <w:tcPr>
            <w:tcW w:w="2665" w:type="dxa"/>
            <w:vMerge w:val="restart"/>
          </w:tcPr>
          <w:p w14:paraId="008A10AB" w14:textId="77777777" w:rsidR="00A45A26" w:rsidRPr="00A45A26" w:rsidRDefault="00A45A26" w:rsidP="00A45A26">
            <w:pPr>
              <w:spacing w:after="160" w:line="259" w:lineRule="auto"/>
              <w:rPr>
                <w:rFonts w:cs="Arial"/>
              </w:rPr>
            </w:pPr>
            <w:r w:rsidRPr="00A45A26">
              <w:rPr>
                <w:rFonts w:cs="Arial"/>
              </w:rPr>
              <w:t xml:space="preserve">Co-morbidity </w:t>
            </w:r>
          </w:p>
        </w:tc>
        <w:tc>
          <w:tcPr>
            <w:tcW w:w="4010" w:type="dxa"/>
          </w:tcPr>
          <w:p w14:paraId="4BAE1762" w14:textId="77777777" w:rsidR="00A45A26" w:rsidRPr="00A45A26" w:rsidRDefault="00A45A26" w:rsidP="00A45A26">
            <w:pPr>
              <w:spacing w:after="160" w:line="259" w:lineRule="auto"/>
              <w:rPr>
                <w:rFonts w:cs="Arial"/>
              </w:rPr>
            </w:pPr>
            <w:r w:rsidRPr="00A45A26">
              <w:rPr>
                <w:rFonts w:cs="Arial"/>
              </w:rPr>
              <w:t>Self-reported ‘yes’ to question: any co-morbidities?</w:t>
            </w:r>
          </w:p>
        </w:tc>
        <w:tc>
          <w:tcPr>
            <w:tcW w:w="1228" w:type="dxa"/>
          </w:tcPr>
          <w:p w14:paraId="70C3EB55" w14:textId="77777777" w:rsidR="00A45A26" w:rsidRPr="00A45A26" w:rsidRDefault="00A45A26" w:rsidP="00A45A26">
            <w:pPr>
              <w:spacing w:after="160" w:line="259" w:lineRule="auto"/>
              <w:rPr>
                <w:rFonts w:cs="Arial"/>
              </w:rPr>
            </w:pPr>
            <w:r w:rsidRPr="00A45A26">
              <w:rPr>
                <w:rFonts w:cs="Arial"/>
              </w:rPr>
              <w:t>27%</w:t>
            </w:r>
          </w:p>
        </w:tc>
        <w:tc>
          <w:tcPr>
            <w:tcW w:w="1231" w:type="dxa"/>
          </w:tcPr>
          <w:p w14:paraId="2728144A" w14:textId="77777777" w:rsidR="00A45A26" w:rsidRPr="00A45A26" w:rsidRDefault="00A45A26" w:rsidP="00A45A26">
            <w:pPr>
              <w:spacing w:after="160" w:line="259" w:lineRule="auto"/>
              <w:rPr>
                <w:rFonts w:cs="Arial"/>
              </w:rPr>
            </w:pPr>
            <w:r w:rsidRPr="00A45A26">
              <w:rPr>
                <w:rFonts w:cs="Arial"/>
              </w:rPr>
              <w:t>40</w:t>
            </w:r>
          </w:p>
        </w:tc>
      </w:tr>
      <w:tr w:rsidR="00A45A26" w:rsidRPr="00A45A26" w14:paraId="30700924" w14:textId="77777777" w:rsidTr="00921EF9">
        <w:tc>
          <w:tcPr>
            <w:tcW w:w="2665" w:type="dxa"/>
            <w:vMerge/>
          </w:tcPr>
          <w:p w14:paraId="4120F59B" w14:textId="77777777" w:rsidR="00A45A26" w:rsidRPr="00A45A26" w:rsidRDefault="00A45A26" w:rsidP="00A45A26">
            <w:pPr>
              <w:spacing w:after="160" w:line="259" w:lineRule="auto"/>
              <w:rPr>
                <w:rFonts w:cs="Arial"/>
              </w:rPr>
            </w:pPr>
          </w:p>
        </w:tc>
        <w:tc>
          <w:tcPr>
            <w:tcW w:w="4010" w:type="dxa"/>
          </w:tcPr>
          <w:p w14:paraId="287B04D1" w14:textId="77777777" w:rsidR="00A45A26" w:rsidRPr="00A45A26" w:rsidRDefault="00A45A26" w:rsidP="00A45A26">
            <w:pPr>
              <w:spacing w:after="160" w:line="259" w:lineRule="auto"/>
              <w:rPr>
                <w:rFonts w:cs="Arial"/>
              </w:rPr>
            </w:pPr>
            <w:r w:rsidRPr="00A45A26">
              <w:rPr>
                <w:rFonts w:cs="Arial"/>
              </w:rPr>
              <w:t>Self-reported ‘no’ to question: any co-morbidities?</w:t>
            </w:r>
          </w:p>
        </w:tc>
        <w:tc>
          <w:tcPr>
            <w:tcW w:w="1228" w:type="dxa"/>
          </w:tcPr>
          <w:p w14:paraId="127480AC" w14:textId="77777777" w:rsidR="00A45A26" w:rsidRPr="00A45A26" w:rsidRDefault="00A45A26" w:rsidP="00A45A26">
            <w:pPr>
              <w:spacing w:after="160" w:line="259" w:lineRule="auto"/>
              <w:rPr>
                <w:rFonts w:cs="Arial"/>
              </w:rPr>
            </w:pPr>
            <w:r w:rsidRPr="00A45A26">
              <w:rPr>
                <w:rFonts w:cs="Arial"/>
              </w:rPr>
              <w:t>73%</w:t>
            </w:r>
          </w:p>
        </w:tc>
        <w:tc>
          <w:tcPr>
            <w:tcW w:w="1231" w:type="dxa"/>
          </w:tcPr>
          <w:p w14:paraId="1A79098C" w14:textId="77777777" w:rsidR="00A45A26" w:rsidRPr="00A45A26" w:rsidRDefault="00A45A26" w:rsidP="00A45A26">
            <w:pPr>
              <w:spacing w:after="160" w:line="259" w:lineRule="auto"/>
              <w:rPr>
                <w:rFonts w:cs="Arial"/>
              </w:rPr>
            </w:pPr>
            <w:r w:rsidRPr="00A45A26">
              <w:rPr>
                <w:rFonts w:cs="Arial"/>
              </w:rPr>
              <w:t>110</w:t>
            </w:r>
          </w:p>
        </w:tc>
      </w:tr>
      <w:tr w:rsidR="00A45A26" w:rsidRPr="00A45A26" w14:paraId="38BC1897" w14:textId="77777777" w:rsidTr="00921EF9">
        <w:tc>
          <w:tcPr>
            <w:tcW w:w="2665" w:type="dxa"/>
            <w:vMerge w:val="restart"/>
          </w:tcPr>
          <w:p w14:paraId="551B7647" w14:textId="77777777" w:rsidR="00A45A26" w:rsidRPr="00A45A26" w:rsidRDefault="00A45A26" w:rsidP="00A45A26">
            <w:pPr>
              <w:spacing w:after="160" w:line="259" w:lineRule="auto"/>
              <w:rPr>
                <w:rFonts w:cs="Arial"/>
              </w:rPr>
            </w:pPr>
            <w:r w:rsidRPr="00A45A26">
              <w:rPr>
                <w:rFonts w:cs="Arial"/>
              </w:rPr>
              <w:t xml:space="preserve">Type of co-morbidity </w:t>
            </w:r>
          </w:p>
          <w:p w14:paraId="19957795" w14:textId="77777777" w:rsidR="00A45A26" w:rsidRPr="00A45A26" w:rsidRDefault="00A45A26" w:rsidP="00A45A26">
            <w:pPr>
              <w:spacing w:after="160" w:line="259" w:lineRule="auto"/>
              <w:rPr>
                <w:rFonts w:cs="Arial"/>
              </w:rPr>
            </w:pPr>
            <w:r w:rsidRPr="00A45A26">
              <w:rPr>
                <w:rFonts w:cs="Arial"/>
              </w:rPr>
              <w:t>(N = 40)</w:t>
            </w:r>
          </w:p>
        </w:tc>
        <w:tc>
          <w:tcPr>
            <w:tcW w:w="4010" w:type="dxa"/>
          </w:tcPr>
          <w:p w14:paraId="1619574A" w14:textId="77777777" w:rsidR="00A45A26" w:rsidRPr="00A45A26" w:rsidRDefault="00A45A26" w:rsidP="00A45A26">
            <w:pPr>
              <w:spacing w:after="160" w:line="259" w:lineRule="auto"/>
              <w:rPr>
                <w:rFonts w:cs="Arial"/>
              </w:rPr>
            </w:pPr>
            <w:r w:rsidRPr="00A45A26">
              <w:rPr>
                <w:rFonts w:cs="Arial"/>
              </w:rPr>
              <w:t>Diabetes</w:t>
            </w:r>
          </w:p>
        </w:tc>
        <w:tc>
          <w:tcPr>
            <w:tcW w:w="1228" w:type="dxa"/>
          </w:tcPr>
          <w:p w14:paraId="65366249" w14:textId="77777777" w:rsidR="00A45A26" w:rsidRPr="00A45A26" w:rsidRDefault="00A45A26" w:rsidP="00A45A26">
            <w:pPr>
              <w:spacing w:after="160" w:line="259" w:lineRule="auto"/>
              <w:rPr>
                <w:rFonts w:cs="Arial"/>
              </w:rPr>
            </w:pPr>
            <w:r w:rsidRPr="00A45A26">
              <w:rPr>
                <w:rFonts w:cs="Arial"/>
              </w:rPr>
              <w:t>50%</w:t>
            </w:r>
          </w:p>
        </w:tc>
        <w:tc>
          <w:tcPr>
            <w:tcW w:w="1231" w:type="dxa"/>
          </w:tcPr>
          <w:p w14:paraId="72657165" w14:textId="77777777" w:rsidR="00A45A26" w:rsidRPr="00A45A26" w:rsidRDefault="00A45A26" w:rsidP="00A45A26">
            <w:pPr>
              <w:spacing w:after="160" w:line="259" w:lineRule="auto"/>
              <w:rPr>
                <w:rFonts w:cs="Arial"/>
              </w:rPr>
            </w:pPr>
            <w:r w:rsidRPr="00A45A26">
              <w:rPr>
                <w:rFonts w:cs="Arial"/>
              </w:rPr>
              <w:t>20</w:t>
            </w:r>
          </w:p>
        </w:tc>
      </w:tr>
      <w:tr w:rsidR="00A45A26" w:rsidRPr="00A45A26" w14:paraId="552B301B" w14:textId="77777777" w:rsidTr="00921EF9">
        <w:tc>
          <w:tcPr>
            <w:tcW w:w="2665" w:type="dxa"/>
            <w:vMerge/>
          </w:tcPr>
          <w:p w14:paraId="23083E16" w14:textId="77777777" w:rsidR="00A45A26" w:rsidRPr="00A45A26" w:rsidRDefault="00A45A26" w:rsidP="00A45A26">
            <w:pPr>
              <w:spacing w:after="160" w:line="259" w:lineRule="auto"/>
              <w:rPr>
                <w:rFonts w:cs="Arial"/>
              </w:rPr>
            </w:pPr>
          </w:p>
        </w:tc>
        <w:tc>
          <w:tcPr>
            <w:tcW w:w="4010" w:type="dxa"/>
          </w:tcPr>
          <w:p w14:paraId="0E4294AF" w14:textId="77777777" w:rsidR="00A45A26" w:rsidRPr="00A45A26" w:rsidRDefault="00A45A26" w:rsidP="00A45A26">
            <w:pPr>
              <w:spacing w:after="160" w:line="259" w:lineRule="auto"/>
              <w:rPr>
                <w:rFonts w:cs="Arial"/>
              </w:rPr>
            </w:pPr>
            <w:r w:rsidRPr="00A45A26">
              <w:rPr>
                <w:rFonts w:cs="Arial"/>
              </w:rPr>
              <w:t>Cardiac disease</w:t>
            </w:r>
          </w:p>
        </w:tc>
        <w:tc>
          <w:tcPr>
            <w:tcW w:w="1228" w:type="dxa"/>
          </w:tcPr>
          <w:p w14:paraId="2B4EA404" w14:textId="77777777" w:rsidR="00A45A26" w:rsidRPr="00A45A26" w:rsidRDefault="00A45A26" w:rsidP="00A45A26">
            <w:pPr>
              <w:spacing w:after="160" w:line="259" w:lineRule="auto"/>
              <w:rPr>
                <w:rFonts w:cs="Arial"/>
              </w:rPr>
            </w:pPr>
            <w:r w:rsidRPr="00A45A26">
              <w:rPr>
                <w:rFonts w:cs="Arial"/>
              </w:rPr>
              <w:t>13%</w:t>
            </w:r>
          </w:p>
        </w:tc>
        <w:tc>
          <w:tcPr>
            <w:tcW w:w="1231" w:type="dxa"/>
          </w:tcPr>
          <w:p w14:paraId="02F6E7E7" w14:textId="77777777" w:rsidR="00A45A26" w:rsidRPr="00A45A26" w:rsidRDefault="00A45A26" w:rsidP="00A45A26">
            <w:pPr>
              <w:spacing w:after="160" w:line="259" w:lineRule="auto"/>
              <w:rPr>
                <w:rFonts w:cs="Arial"/>
              </w:rPr>
            </w:pPr>
            <w:r w:rsidRPr="00A45A26">
              <w:rPr>
                <w:rFonts w:cs="Arial"/>
              </w:rPr>
              <w:t>5</w:t>
            </w:r>
          </w:p>
        </w:tc>
      </w:tr>
      <w:tr w:rsidR="00A45A26" w:rsidRPr="00A45A26" w14:paraId="3B645C1A" w14:textId="77777777" w:rsidTr="00921EF9">
        <w:tc>
          <w:tcPr>
            <w:tcW w:w="2665" w:type="dxa"/>
            <w:vMerge/>
          </w:tcPr>
          <w:p w14:paraId="74E15592" w14:textId="77777777" w:rsidR="00A45A26" w:rsidRPr="00A45A26" w:rsidRDefault="00A45A26" w:rsidP="00A45A26">
            <w:pPr>
              <w:spacing w:after="160" w:line="259" w:lineRule="auto"/>
              <w:rPr>
                <w:rFonts w:cs="Arial"/>
              </w:rPr>
            </w:pPr>
          </w:p>
        </w:tc>
        <w:tc>
          <w:tcPr>
            <w:tcW w:w="4010" w:type="dxa"/>
          </w:tcPr>
          <w:p w14:paraId="039CCA1D" w14:textId="77777777" w:rsidR="00A45A26" w:rsidRPr="00A45A26" w:rsidRDefault="00A45A26" w:rsidP="00A45A26">
            <w:pPr>
              <w:spacing w:after="160" w:line="259" w:lineRule="auto"/>
              <w:rPr>
                <w:rFonts w:cs="Arial"/>
              </w:rPr>
            </w:pPr>
            <w:r w:rsidRPr="00A45A26">
              <w:rPr>
                <w:rFonts w:cs="Arial"/>
              </w:rPr>
              <w:t>High or low blood pressure</w:t>
            </w:r>
          </w:p>
        </w:tc>
        <w:tc>
          <w:tcPr>
            <w:tcW w:w="1228" w:type="dxa"/>
          </w:tcPr>
          <w:p w14:paraId="3102689E" w14:textId="77777777" w:rsidR="00A45A26" w:rsidRPr="00A45A26" w:rsidRDefault="00A45A26" w:rsidP="00A45A26">
            <w:pPr>
              <w:spacing w:after="160" w:line="259" w:lineRule="auto"/>
              <w:rPr>
                <w:rFonts w:cs="Arial"/>
              </w:rPr>
            </w:pPr>
            <w:r w:rsidRPr="00A45A26">
              <w:rPr>
                <w:rFonts w:cs="Arial"/>
              </w:rPr>
              <w:t>28%</w:t>
            </w:r>
          </w:p>
        </w:tc>
        <w:tc>
          <w:tcPr>
            <w:tcW w:w="1231" w:type="dxa"/>
          </w:tcPr>
          <w:p w14:paraId="44744413" w14:textId="77777777" w:rsidR="00A45A26" w:rsidRPr="00A45A26" w:rsidRDefault="00A45A26" w:rsidP="00A45A26">
            <w:pPr>
              <w:spacing w:after="160" w:line="259" w:lineRule="auto"/>
              <w:rPr>
                <w:rFonts w:cs="Arial"/>
              </w:rPr>
            </w:pPr>
            <w:r w:rsidRPr="00A45A26">
              <w:rPr>
                <w:rFonts w:cs="Arial"/>
              </w:rPr>
              <w:t>11</w:t>
            </w:r>
          </w:p>
        </w:tc>
      </w:tr>
      <w:tr w:rsidR="00A45A26" w:rsidRPr="00A45A26" w14:paraId="7F2D7E2F" w14:textId="77777777" w:rsidTr="00921EF9">
        <w:tc>
          <w:tcPr>
            <w:tcW w:w="2665" w:type="dxa"/>
            <w:vMerge/>
          </w:tcPr>
          <w:p w14:paraId="142E2B10" w14:textId="77777777" w:rsidR="00A45A26" w:rsidRPr="00A45A26" w:rsidRDefault="00A45A26" w:rsidP="00A45A26">
            <w:pPr>
              <w:spacing w:after="160" w:line="259" w:lineRule="auto"/>
              <w:rPr>
                <w:rFonts w:cs="Arial"/>
              </w:rPr>
            </w:pPr>
          </w:p>
        </w:tc>
        <w:tc>
          <w:tcPr>
            <w:tcW w:w="4010" w:type="dxa"/>
          </w:tcPr>
          <w:p w14:paraId="4A36C194" w14:textId="77777777" w:rsidR="00A45A26" w:rsidRPr="00A45A26" w:rsidRDefault="00A45A26" w:rsidP="00A45A26">
            <w:pPr>
              <w:spacing w:after="160" w:line="259" w:lineRule="auto"/>
              <w:rPr>
                <w:rFonts w:cs="Arial"/>
              </w:rPr>
            </w:pPr>
            <w:r w:rsidRPr="00A45A26">
              <w:rPr>
                <w:rFonts w:cs="Arial"/>
              </w:rPr>
              <w:t>Asthma</w:t>
            </w:r>
          </w:p>
        </w:tc>
        <w:tc>
          <w:tcPr>
            <w:tcW w:w="1228" w:type="dxa"/>
          </w:tcPr>
          <w:p w14:paraId="31AD3085" w14:textId="77777777" w:rsidR="00A45A26" w:rsidRPr="00A45A26" w:rsidRDefault="00A45A26" w:rsidP="00A45A26">
            <w:pPr>
              <w:spacing w:after="160" w:line="259" w:lineRule="auto"/>
              <w:rPr>
                <w:rFonts w:cs="Arial"/>
              </w:rPr>
            </w:pPr>
            <w:r w:rsidRPr="00A45A26">
              <w:rPr>
                <w:rFonts w:cs="Arial"/>
              </w:rPr>
              <w:t>5%</w:t>
            </w:r>
          </w:p>
        </w:tc>
        <w:tc>
          <w:tcPr>
            <w:tcW w:w="1231" w:type="dxa"/>
          </w:tcPr>
          <w:p w14:paraId="5C2B2B6B" w14:textId="77777777" w:rsidR="00A45A26" w:rsidRPr="00A45A26" w:rsidRDefault="00A45A26" w:rsidP="00A45A26">
            <w:pPr>
              <w:spacing w:after="160" w:line="259" w:lineRule="auto"/>
              <w:rPr>
                <w:rFonts w:cs="Arial"/>
              </w:rPr>
            </w:pPr>
            <w:r w:rsidRPr="00A45A26">
              <w:rPr>
                <w:rFonts w:cs="Arial"/>
              </w:rPr>
              <w:t>2</w:t>
            </w:r>
          </w:p>
        </w:tc>
      </w:tr>
      <w:tr w:rsidR="00A45A26" w:rsidRPr="00A45A26" w14:paraId="1DF8BA19" w14:textId="77777777" w:rsidTr="00921EF9">
        <w:tc>
          <w:tcPr>
            <w:tcW w:w="2665" w:type="dxa"/>
            <w:vMerge/>
          </w:tcPr>
          <w:p w14:paraId="0F4EDADF" w14:textId="77777777" w:rsidR="00A45A26" w:rsidRPr="00A45A26" w:rsidRDefault="00A45A26" w:rsidP="00A45A26">
            <w:pPr>
              <w:spacing w:after="160" w:line="259" w:lineRule="auto"/>
              <w:rPr>
                <w:rFonts w:cs="Arial"/>
              </w:rPr>
            </w:pPr>
          </w:p>
        </w:tc>
        <w:tc>
          <w:tcPr>
            <w:tcW w:w="4010" w:type="dxa"/>
          </w:tcPr>
          <w:p w14:paraId="5F2F51FC" w14:textId="77777777" w:rsidR="00A45A26" w:rsidRPr="00A45A26" w:rsidRDefault="00A45A26" w:rsidP="00A45A26">
            <w:pPr>
              <w:spacing w:after="160" w:line="259" w:lineRule="auto"/>
              <w:rPr>
                <w:rFonts w:cs="Arial"/>
              </w:rPr>
            </w:pPr>
            <w:r w:rsidRPr="00A45A26">
              <w:rPr>
                <w:rFonts w:cs="Arial"/>
              </w:rPr>
              <w:t>Hernia</w:t>
            </w:r>
          </w:p>
        </w:tc>
        <w:tc>
          <w:tcPr>
            <w:tcW w:w="1228" w:type="dxa"/>
          </w:tcPr>
          <w:p w14:paraId="35691A7F" w14:textId="77777777" w:rsidR="00A45A26" w:rsidRPr="00A45A26" w:rsidRDefault="00A45A26" w:rsidP="00A45A26">
            <w:pPr>
              <w:spacing w:after="160" w:line="259" w:lineRule="auto"/>
              <w:rPr>
                <w:rFonts w:cs="Arial"/>
              </w:rPr>
            </w:pPr>
            <w:r w:rsidRPr="00A45A26">
              <w:rPr>
                <w:rFonts w:cs="Arial"/>
              </w:rPr>
              <w:t>3%</w:t>
            </w:r>
          </w:p>
        </w:tc>
        <w:tc>
          <w:tcPr>
            <w:tcW w:w="1231" w:type="dxa"/>
          </w:tcPr>
          <w:p w14:paraId="1C2A4DD6" w14:textId="77777777" w:rsidR="00A45A26" w:rsidRPr="00A45A26" w:rsidRDefault="00A45A26" w:rsidP="00A45A26">
            <w:pPr>
              <w:spacing w:after="160" w:line="259" w:lineRule="auto"/>
              <w:rPr>
                <w:rFonts w:cs="Arial"/>
              </w:rPr>
            </w:pPr>
            <w:r w:rsidRPr="00A45A26">
              <w:rPr>
                <w:rFonts w:cs="Arial"/>
              </w:rPr>
              <w:t>1</w:t>
            </w:r>
          </w:p>
        </w:tc>
      </w:tr>
      <w:tr w:rsidR="00A45A26" w:rsidRPr="00A45A26" w14:paraId="3C6CCEFF" w14:textId="77777777" w:rsidTr="00921EF9">
        <w:tc>
          <w:tcPr>
            <w:tcW w:w="2665" w:type="dxa"/>
            <w:vMerge/>
          </w:tcPr>
          <w:p w14:paraId="6A082320" w14:textId="77777777" w:rsidR="00A45A26" w:rsidRPr="00A45A26" w:rsidRDefault="00A45A26" w:rsidP="00A45A26">
            <w:pPr>
              <w:spacing w:after="160" w:line="259" w:lineRule="auto"/>
              <w:rPr>
                <w:rFonts w:cs="Arial"/>
              </w:rPr>
            </w:pPr>
          </w:p>
        </w:tc>
        <w:tc>
          <w:tcPr>
            <w:tcW w:w="4010" w:type="dxa"/>
          </w:tcPr>
          <w:p w14:paraId="55387EDB" w14:textId="77777777" w:rsidR="00A45A26" w:rsidRPr="00A45A26" w:rsidRDefault="00A45A26" w:rsidP="00A45A26">
            <w:pPr>
              <w:spacing w:after="160" w:line="259" w:lineRule="auto"/>
              <w:rPr>
                <w:rFonts w:cs="Arial"/>
              </w:rPr>
            </w:pPr>
            <w:r w:rsidRPr="00A45A26">
              <w:rPr>
                <w:rFonts w:cs="Arial"/>
              </w:rPr>
              <w:t>Breast lump</w:t>
            </w:r>
          </w:p>
        </w:tc>
        <w:tc>
          <w:tcPr>
            <w:tcW w:w="1228" w:type="dxa"/>
          </w:tcPr>
          <w:p w14:paraId="7367778A" w14:textId="77777777" w:rsidR="00A45A26" w:rsidRPr="00A45A26" w:rsidRDefault="00A45A26" w:rsidP="00A45A26">
            <w:pPr>
              <w:spacing w:after="160" w:line="259" w:lineRule="auto"/>
              <w:rPr>
                <w:rFonts w:cs="Arial"/>
              </w:rPr>
            </w:pPr>
            <w:r w:rsidRPr="00A45A26">
              <w:rPr>
                <w:rFonts w:cs="Arial"/>
              </w:rPr>
              <w:t>3%</w:t>
            </w:r>
          </w:p>
        </w:tc>
        <w:tc>
          <w:tcPr>
            <w:tcW w:w="1231" w:type="dxa"/>
          </w:tcPr>
          <w:p w14:paraId="6361DD1F" w14:textId="77777777" w:rsidR="00A45A26" w:rsidRPr="00A45A26" w:rsidRDefault="00A45A26" w:rsidP="00A45A26">
            <w:pPr>
              <w:spacing w:after="160" w:line="259" w:lineRule="auto"/>
              <w:rPr>
                <w:rFonts w:cs="Arial"/>
              </w:rPr>
            </w:pPr>
            <w:r w:rsidRPr="00A45A26">
              <w:rPr>
                <w:rFonts w:cs="Arial"/>
              </w:rPr>
              <w:t>1</w:t>
            </w:r>
          </w:p>
        </w:tc>
      </w:tr>
      <w:tr w:rsidR="00A45A26" w:rsidRPr="00A45A26" w14:paraId="51705877" w14:textId="77777777" w:rsidTr="00921EF9">
        <w:tc>
          <w:tcPr>
            <w:tcW w:w="2665" w:type="dxa"/>
            <w:vMerge/>
            <w:tcBorders>
              <w:bottom w:val="single" w:sz="4" w:space="0" w:color="auto"/>
            </w:tcBorders>
          </w:tcPr>
          <w:p w14:paraId="354DD338" w14:textId="77777777" w:rsidR="00A45A26" w:rsidRPr="00A45A26" w:rsidRDefault="00A45A26" w:rsidP="00A45A26">
            <w:pPr>
              <w:spacing w:after="160" w:line="259" w:lineRule="auto"/>
              <w:rPr>
                <w:rFonts w:cs="Arial"/>
              </w:rPr>
            </w:pPr>
          </w:p>
        </w:tc>
        <w:tc>
          <w:tcPr>
            <w:tcW w:w="4010" w:type="dxa"/>
            <w:tcBorders>
              <w:bottom w:val="single" w:sz="4" w:space="0" w:color="auto"/>
            </w:tcBorders>
          </w:tcPr>
          <w:p w14:paraId="05ACE93C" w14:textId="77777777" w:rsidR="00A45A26" w:rsidRPr="00A45A26" w:rsidRDefault="00A45A26" w:rsidP="00A45A26">
            <w:pPr>
              <w:spacing w:after="160" w:line="259" w:lineRule="auto"/>
              <w:rPr>
                <w:rFonts w:cs="Arial"/>
              </w:rPr>
            </w:pPr>
            <w:r w:rsidRPr="00A45A26">
              <w:rPr>
                <w:rFonts w:cs="Arial"/>
              </w:rPr>
              <w:t>Kidney disease</w:t>
            </w:r>
          </w:p>
        </w:tc>
        <w:tc>
          <w:tcPr>
            <w:tcW w:w="1228" w:type="dxa"/>
            <w:tcBorders>
              <w:bottom w:val="single" w:sz="4" w:space="0" w:color="auto"/>
            </w:tcBorders>
          </w:tcPr>
          <w:p w14:paraId="557C46C3" w14:textId="77777777" w:rsidR="00A45A26" w:rsidRPr="00A45A26" w:rsidRDefault="00A45A26" w:rsidP="00A45A26">
            <w:pPr>
              <w:spacing w:after="160" w:line="259" w:lineRule="auto"/>
              <w:rPr>
                <w:rFonts w:cs="Arial"/>
              </w:rPr>
            </w:pPr>
            <w:r w:rsidRPr="00A45A26">
              <w:rPr>
                <w:rFonts w:cs="Arial"/>
              </w:rPr>
              <w:t>3%</w:t>
            </w:r>
          </w:p>
        </w:tc>
        <w:tc>
          <w:tcPr>
            <w:tcW w:w="1231" w:type="dxa"/>
            <w:tcBorders>
              <w:bottom w:val="single" w:sz="4" w:space="0" w:color="auto"/>
            </w:tcBorders>
          </w:tcPr>
          <w:p w14:paraId="1BB387E0" w14:textId="77777777" w:rsidR="00A45A26" w:rsidRPr="00A45A26" w:rsidRDefault="00A45A26" w:rsidP="00A45A26">
            <w:pPr>
              <w:spacing w:after="160" w:line="259" w:lineRule="auto"/>
              <w:rPr>
                <w:rFonts w:cs="Arial"/>
              </w:rPr>
            </w:pPr>
            <w:r w:rsidRPr="00A45A26">
              <w:rPr>
                <w:rFonts w:cs="Arial"/>
              </w:rPr>
              <w:t>1</w:t>
            </w:r>
          </w:p>
        </w:tc>
      </w:tr>
    </w:tbl>
    <w:p w14:paraId="480F61BB" w14:textId="6B5F06AE" w:rsidR="002A4765" w:rsidRDefault="002A4765" w:rsidP="004C2A00">
      <w:pPr>
        <w:rPr>
          <w:rFonts w:cs="Arial"/>
        </w:rPr>
      </w:pPr>
    </w:p>
    <w:p w14:paraId="6418A553" w14:textId="77777777" w:rsidR="00A45A26" w:rsidRPr="00A45A26" w:rsidRDefault="00A45A26" w:rsidP="00A45A26">
      <w:pPr>
        <w:rPr>
          <w:rFonts w:cs="Arial"/>
          <w:b/>
        </w:rPr>
      </w:pPr>
      <w:r w:rsidRPr="00A45A26">
        <w:rPr>
          <w:rFonts w:cs="Arial"/>
          <w:b/>
        </w:rPr>
        <w:t xml:space="preserve">Table 2. Prevalence of depression by severity as measured by SCID </w:t>
      </w:r>
    </w:p>
    <w:tbl>
      <w:tblPr>
        <w:tblW w:w="8457" w:type="dxa"/>
        <w:tblLook w:val="04A0" w:firstRow="1" w:lastRow="0" w:firstColumn="1" w:lastColumn="0" w:noHBand="0" w:noVBand="1"/>
      </w:tblPr>
      <w:tblGrid>
        <w:gridCol w:w="612"/>
        <w:gridCol w:w="3884"/>
        <w:gridCol w:w="889"/>
        <w:gridCol w:w="2460"/>
        <w:gridCol w:w="612"/>
      </w:tblGrid>
      <w:tr w:rsidR="00A45A26" w:rsidRPr="00A45A26" w14:paraId="23C3CF65" w14:textId="77777777" w:rsidTr="00921EF9">
        <w:trPr>
          <w:gridAfter w:val="1"/>
          <w:wAfter w:w="612" w:type="dxa"/>
          <w:trHeight w:val="60"/>
        </w:trPr>
        <w:tc>
          <w:tcPr>
            <w:tcW w:w="4496" w:type="dxa"/>
            <w:gridSpan w:val="2"/>
            <w:tcBorders>
              <w:top w:val="single" w:sz="4" w:space="0" w:color="auto"/>
              <w:bottom w:val="single" w:sz="4" w:space="0" w:color="auto"/>
            </w:tcBorders>
            <w:shd w:val="clear" w:color="auto" w:fill="auto"/>
            <w:vAlign w:val="center"/>
            <w:hideMark/>
          </w:tcPr>
          <w:p w14:paraId="208B5179" w14:textId="77777777" w:rsidR="00A45A26" w:rsidRPr="00A45A26" w:rsidRDefault="00A45A26" w:rsidP="00A45A26">
            <w:pPr>
              <w:rPr>
                <w:rFonts w:cs="Arial"/>
                <w:b/>
              </w:rPr>
            </w:pPr>
            <w:r w:rsidRPr="00A45A26">
              <w:rPr>
                <w:rFonts w:cs="Arial"/>
                <w:b/>
              </w:rPr>
              <w:t>Outcome</w:t>
            </w:r>
          </w:p>
        </w:tc>
        <w:tc>
          <w:tcPr>
            <w:tcW w:w="889" w:type="dxa"/>
            <w:tcBorders>
              <w:top w:val="single" w:sz="4" w:space="0" w:color="auto"/>
              <w:bottom w:val="single" w:sz="4" w:space="0" w:color="auto"/>
            </w:tcBorders>
            <w:shd w:val="clear" w:color="auto" w:fill="auto"/>
            <w:vAlign w:val="center"/>
            <w:hideMark/>
          </w:tcPr>
          <w:p w14:paraId="1BC14D26" w14:textId="77777777" w:rsidR="00A45A26" w:rsidRPr="00A45A26" w:rsidRDefault="00A45A26" w:rsidP="00A45A26">
            <w:pPr>
              <w:rPr>
                <w:rFonts w:cs="Arial"/>
                <w:b/>
              </w:rPr>
            </w:pPr>
            <w:r w:rsidRPr="00A45A26">
              <w:rPr>
                <w:rFonts w:cs="Arial"/>
                <w:b/>
              </w:rPr>
              <w:t>n/N</w:t>
            </w:r>
          </w:p>
        </w:tc>
        <w:tc>
          <w:tcPr>
            <w:tcW w:w="2460" w:type="dxa"/>
            <w:tcBorders>
              <w:top w:val="single" w:sz="4" w:space="0" w:color="auto"/>
              <w:bottom w:val="single" w:sz="4" w:space="0" w:color="auto"/>
            </w:tcBorders>
            <w:shd w:val="clear" w:color="auto" w:fill="auto"/>
            <w:vAlign w:val="center"/>
            <w:hideMark/>
          </w:tcPr>
          <w:p w14:paraId="61B97B80" w14:textId="77777777" w:rsidR="00A45A26" w:rsidRPr="00A45A26" w:rsidRDefault="00A45A26" w:rsidP="00A45A26">
            <w:pPr>
              <w:rPr>
                <w:rFonts w:cs="Arial"/>
                <w:b/>
              </w:rPr>
            </w:pPr>
            <w:r w:rsidRPr="00A45A26">
              <w:rPr>
                <w:rFonts w:cs="Arial"/>
                <w:b/>
              </w:rPr>
              <w:t>% (95% CI)</w:t>
            </w:r>
          </w:p>
        </w:tc>
      </w:tr>
      <w:tr w:rsidR="00A45A26" w:rsidRPr="00A45A26" w14:paraId="1FEF0B2D" w14:textId="77777777" w:rsidTr="00921EF9">
        <w:trPr>
          <w:gridAfter w:val="1"/>
          <w:wAfter w:w="612" w:type="dxa"/>
          <w:trHeight w:val="60"/>
        </w:trPr>
        <w:tc>
          <w:tcPr>
            <w:tcW w:w="4496" w:type="dxa"/>
            <w:gridSpan w:val="2"/>
            <w:tcBorders>
              <w:top w:val="single" w:sz="4" w:space="0" w:color="auto"/>
            </w:tcBorders>
            <w:shd w:val="clear" w:color="auto" w:fill="auto"/>
            <w:vAlign w:val="center"/>
          </w:tcPr>
          <w:p w14:paraId="29F80CC4" w14:textId="77777777" w:rsidR="00A45A26" w:rsidRPr="00A45A26" w:rsidRDefault="00A45A26" w:rsidP="00A45A26">
            <w:pPr>
              <w:rPr>
                <w:rFonts w:cs="Arial"/>
                <w:b/>
              </w:rPr>
            </w:pPr>
            <w:r w:rsidRPr="00A45A26">
              <w:rPr>
                <w:rFonts w:cs="Arial"/>
                <w:b/>
              </w:rPr>
              <w:t>All Patients</w:t>
            </w:r>
          </w:p>
        </w:tc>
        <w:tc>
          <w:tcPr>
            <w:tcW w:w="889" w:type="dxa"/>
            <w:tcBorders>
              <w:top w:val="single" w:sz="4" w:space="0" w:color="auto"/>
            </w:tcBorders>
            <w:shd w:val="clear" w:color="auto" w:fill="auto"/>
            <w:vAlign w:val="center"/>
          </w:tcPr>
          <w:p w14:paraId="2C0E8216" w14:textId="77777777" w:rsidR="00A45A26" w:rsidRPr="00A45A26" w:rsidRDefault="00A45A26" w:rsidP="00A45A26">
            <w:pPr>
              <w:rPr>
                <w:rFonts w:cs="Arial"/>
              </w:rPr>
            </w:pPr>
          </w:p>
        </w:tc>
        <w:tc>
          <w:tcPr>
            <w:tcW w:w="2460" w:type="dxa"/>
            <w:tcBorders>
              <w:top w:val="single" w:sz="4" w:space="0" w:color="auto"/>
            </w:tcBorders>
            <w:shd w:val="clear" w:color="auto" w:fill="auto"/>
            <w:noWrap/>
            <w:vAlign w:val="center"/>
          </w:tcPr>
          <w:p w14:paraId="43A15963" w14:textId="77777777" w:rsidR="00A45A26" w:rsidRPr="00A45A26" w:rsidRDefault="00A45A26" w:rsidP="00A45A26">
            <w:pPr>
              <w:rPr>
                <w:rFonts w:cs="Arial"/>
              </w:rPr>
            </w:pPr>
          </w:p>
        </w:tc>
      </w:tr>
      <w:tr w:rsidR="00A45A26" w:rsidRPr="00A45A26" w14:paraId="618D9F3E" w14:textId="77777777" w:rsidTr="00921EF9">
        <w:trPr>
          <w:gridAfter w:val="1"/>
          <w:wAfter w:w="612" w:type="dxa"/>
          <w:trHeight w:val="60"/>
        </w:trPr>
        <w:tc>
          <w:tcPr>
            <w:tcW w:w="4496" w:type="dxa"/>
            <w:gridSpan w:val="2"/>
            <w:shd w:val="clear" w:color="auto" w:fill="auto"/>
            <w:vAlign w:val="center"/>
            <w:hideMark/>
          </w:tcPr>
          <w:p w14:paraId="308C7984" w14:textId="77777777" w:rsidR="00A45A26" w:rsidRPr="00A45A26" w:rsidRDefault="00A45A26" w:rsidP="00A45A26">
            <w:pPr>
              <w:rPr>
                <w:rFonts w:cs="Arial"/>
              </w:rPr>
            </w:pPr>
            <w:r w:rsidRPr="00A45A26">
              <w:rPr>
                <w:rFonts w:cs="Arial"/>
              </w:rPr>
              <w:t>Any depression (mild, moderate or severe)</w:t>
            </w:r>
          </w:p>
        </w:tc>
        <w:tc>
          <w:tcPr>
            <w:tcW w:w="889" w:type="dxa"/>
            <w:shd w:val="clear" w:color="auto" w:fill="auto"/>
            <w:vAlign w:val="center"/>
            <w:hideMark/>
          </w:tcPr>
          <w:p w14:paraId="181E9153" w14:textId="77777777" w:rsidR="00A45A26" w:rsidRPr="00A45A26" w:rsidRDefault="00A45A26" w:rsidP="00A45A26">
            <w:pPr>
              <w:rPr>
                <w:rFonts w:cs="Arial"/>
              </w:rPr>
            </w:pPr>
            <w:r w:rsidRPr="00A45A26">
              <w:rPr>
                <w:rFonts w:cs="Arial"/>
              </w:rPr>
              <w:t>50/148</w:t>
            </w:r>
          </w:p>
        </w:tc>
        <w:tc>
          <w:tcPr>
            <w:tcW w:w="2460" w:type="dxa"/>
            <w:shd w:val="clear" w:color="auto" w:fill="auto"/>
            <w:noWrap/>
            <w:vAlign w:val="center"/>
            <w:hideMark/>
          </w:tcPr>
          <w:p w14:paraId="67B9E4DB" w14:textId="77777777" w:rsidR="00A45A26" w:rsidRPr="00A45A26" w:rsidRDefault="00A45A26" w:rsidP="00A45A26">
            <w:pPr>
              <w:rPr>
                <w:rFonts w:cs="Arial"/>
              </w:rPr>
            </w:pPr>
            <w:r w:rsidRPr="00A45A26">
              <w:rPr>
                <w:rFonts w:cs="Arial"/>
              </w:rPr>
              <w:t>33.8% (26.7, 41.7)</w:t>
            </w:r>
          </w:p>
        </w:tc>
      </w:tr>
      <w:tr w:rsidR="00A45A26" w:rsidRPr="00A45A26" w14:paraId="63E0E6CB" w14:textId="77777777" w:rsidTr="00921EF9">
        <w:trPr>
          <w:gridBefore w:val="1"/>
          <w:wBefore w:w="612" w:type="dxa"/>
          <w:trHeight w:val="60"/>
        </w:trPr>
        <w:tc>
          <w:tcPr>
            <w:tcW w:w="3884" w:type="dxa"/>
            <w:tcBorders>
              <w:top w:val="nil"/>
            </w:tcBorders>
            <w:shd w:val="clear" w:color="auto" w:fill="auto"/>
            <w:vAlign w:val="center"/>
            <w:hideMark/>
          </w:tcPr>
          <w:p w14:paraId="1122E6C4" w14:textId="77777777" w:rsidR="00A45A26" w:rsidRPr="00A45A26" w:rsidRDefault="00A45A26" w:rsidP="00A45A26">
            <w:pPr>
              <w:rPr>
                <w:rFonts w:cs="Arial"/>
              </w:rPr>
            </w:pPr>
            <w:r w:rsidRPr="00A45A26">
              <w:rPr>
                <w:rFonts w:cs="Arial"/>
              </w:rPr>
              <w:t>Mild depression</w:t>
            </w:r>
          </w:p>
        </w:tc>
        <w:tc>
          <w:tcPr>
            <w:tcW w:w="889" w:type="dxa"/>
            <w:tcBorders>
              <w:top w:val="nil"/>
            </w:tcBorders>
            <w:shd w:val="clear" w:color="auto" w:fill="auto"/>
            <w:vAlign w:val="center"/>
            <w:hideMark/>
          </w:tcPr>
          <w:p w14:paraId="02FBAD7F" w14:textId="77777777" w:rsidR="00A45A26" w:rsidRPr="00A45A26" w:rsidRDefault="00A45A26" w:rsidP="00A45A26">
            <w:pPr>
              <w:rPr>
                <w:rFonts w:cs="Arial"/>
              </w:rPr>
            </w:pPr>
            <w:r w:rsidRPr="00A45A26">
              <w:rPr>
                <w:rFonts w:cs="Arial"/>
              </w:rPr>
              <w:t>27/148</w:t>
            </w:r>
          </w:p>
        </w:tc>
        <w:tc>
          <w:tcPr>
            <w:tcW w:w="3072" w:type="dxa"/>
            <w:gridSpan w:val="2"/>
            <w:tcBorders>
              <w:top w:val="nil"/>
            </w:tcBorders>
            <w:shd w:val="clear" w:color="auto" w:fill="auto"/>
            <w:noWrap/>
            <w:vAlign w:val="center"/>
            <w:hideMark/>
          </w:tcPr>
          <w:p w14:paraId="0C3B8EC6" w14:textId="77777777" w:rsidR="00A45A26" w:rsidRPr="00A45A26" w:rsidRDefault="00A45A26" w:rsidP="00A45A26">
            <w:pPr>
              <w:rPr>
                <w:rFonts w:cs="Arial"/>
              </w:rPr>
            </w:pPr>
            <w:r w:rsidRPr="00A45A26">
              <w:rPr>
                <w:rFonts w:cs="Arial"/>
              </w:rPr>
              <w:t>18.2% (12.9, 25.2)</w:t>
            </w:r>
          </w:p>
        </w:tc>
      </w:tr>
      <w:tr w:rsidR="00A45A26" w:rsidRPr="00A45A26" w14:paraId="3CF5B02A" w14:textId="77777777" w:rsidTr="00921EF9">
        <w:trPr>
          <w:gridBefore w:val="1"/>
          <w:wBefore w:w="612" w:type="dxa"/>
          <w:trHeight w:val="69"/>
        </w:trPr>
        <w:tc>
          <w:tcPr>
            <w:tcW w:w="3884" w:type="dxa"/>
            <w:tcBorders>
              <w:top w:val="nil"/>
            </w:tcBorders>
            <w:shd w:val="clear" w:color="auto" w:fill="auto"/>
            <w:vAlign w:val="center"/>
            <w:hideMark/>
          </w:tcPr>
          <w:p w14:paraId="4602F8AA" w14:textId="77777777" w:rsidR="00A45A26" w:rsidRPr="00A45A26" w:rsidRDefault="00A45A26" w:rsidP="00A45A26">
            <w:pPr>
              <w:rPr>
                <w:rFonts w:cs="Arial"/>
              </w:rPr>
            </w:pPr>
            <w:r w:rsidRPr="00A45A26">
              <w:rPr>
                <w:rFonts w:cs="Arial"/>
              </w:rPr>
              <w:t>Moderate depression</w:t>
            </w:r>
          </w:p>
        </w:tc>
        <w:tc>
          <w:tcPr>
            <w:tcW w:w="889" w:type="dxa"/>
            <w:tcBorders>
              <w:top w:val="nil"/>
            </w:tcBorders>
            <w:shd w:val="clear" w:color="auto" w:fill="auto"/>
            <w:vAlign w:val="center"/>
            <w:hideMark/>
          </w:tcPr>
          <w:p w14:paraId="7B0A7722" w14:textId="77777777" w:rsidR="00A45A26" w:rsidRPr="00A45A26" w:rsidRDefault="00A45A26" w:rsidP="00A45A26">
            <w:pPr>
              <w:rPr>
                <w:rFonts w:cs="Arial"/>
              </w:rPr>
            </w:pPr>
            <w:r w:rsidRPr="00A45A26">
              <w:rPr>
                <w:rFonts w:cs="Arial"/>
              </w:rPr>
              <w:t>19/148</w:t>
            </w:r>
          </w:p>
        </w:tc>
        <w:tc>
          <w:tcPr>
            <w:tcW w:w="3072" w:type="dxa"/>
            <w:gridSpan w:val="2"/>
            <w:tcBorders>
              <w:top w:val="nil"/>
            </w:tcBorders>
            <w:shd w:val="clear" w:color="auto" w:fill="auto"/>
            <w:noWrap/>
            <w:vAlign w:val="center"/>
            <w:hideMark/>
          </w:tcPr>
          <w:p w14:paraId="5B894A56" w14:textId="77777777" w:rsidR="00A45A26" w:rsidRPr="00A45A26" w:rsidRDefault="00A45A26" w:rsidP="00A45A26">
            <w:pPr>
              <w:rPr>
                <w:rFonts w:cs="Arial"/>
              </w:rPr>
            </w:pPr>
            <w:r w:rsidRPr="00A45A26">
              <w:rPr>
                <w:rFonts w:cs="Arial"/>
              </w:rPr>
              <w:t>12.8% (8.4, 19.2)</w:t>
            </w:r>
          </w:p>
        </w:tc>
      </w:tr>
      <w:tr w:rsidR="00A45A26" w:rsidRPr="00A45A26" w14:paraId="043C71FA" w14:textId="77777777" w:rsidTr="00921EF9">
        <w:trPr>
          <w:gridBefore w:val="1"/>
          <w:wBefore w:w="612" w:type="dxa"/>
          <w:trHeight w:val="69"/>
        </w:trPr>
        <w:tc>
          <w:tcPr>
            <w:tcW w:w="3884" w:type="dxa"/>
            <w:tcBorders>
              <w:top w:val="nil"/>
            </w:tcBorders>
            <w:shd w:val="clear" w:color="auto" w:fill="auto"/>
            <w:vAlign w:val="center"/>
          </w:tcPr>
          <w:p w14:paraId="38741CD1" w14:textId="77777777" w:rsidR="00A45A26" w:rsidRPr="00A45A26" w:rsidRDefault="00A45A26" w:rsidP="00A45A26">
            <w:pPr>
              <w:rPr>
                <w:rFonts w:cs="Arial"/>
              </w:rPr>
            </w:pPr>
            <w:r w:rsidRPr="00A45A26">
              <w:rPr>
                <w:rFonts w:cs="Arial"/>
              </w:rPr>
              <w:t>Severe depression</w:t>
            </w:r>
          </w:p>
        </w:tc>
        <w:tc>
          <w:tcPr>
            <w:tcW w:w="889" w:type="dxa"/>
            <w:tcBorders>
              <w:top w:val="nil"/>
            </w:tcBorders>
            <w:shd w:val="clear" w:color="auto" w:fill="auto"/>
            <w:vAlign w:val="center"/>
          </w:tcPr>
          <w:p w14:paraId="5982446F" w14:textId="77777777" w:rsidR="00A45A26" w:rsidRPr="00A45A26" w:rsidRDefault="00A45A26" w:rsidP="00A45A26">
            <w:pPr>
              <w:rPr>
                <w:rFonts w:cs="Arial"/>
              </w:rPr>
            </w:pPr>
            <w:r w:rsidRPr="00A45A26">
              <w:rPr>
                <w:rFonts w:cs="Arial"/>
              </w:rPr>
              <w:t>4/148</w:t>
            </w:r>
          </w:p>
        </w:tc>
        <w:tc>
          <w:tcPr>
            <w:tcW w:w="3072" w:type="dxa"/>
            <w:gridSpan w:val="2"/>
            <w:tcBorders>
              <w:top w:val="nil"/>
            </w:tcBorders>
            <w:shd w:val="clear" w:color="auto" w:fill="auto"/>
            <w:noWrap/>
            <w:vAlign w:val="center"/>
          </w:tcPr>
          <w:p w14:paraId="75882D3D" w14:textId="77777777" w:rsidR="00A45A26" w:rsidRPr="00A45A26" w:rsidRDefault="00A45A26" w:rsidP="00A45A26">
            <w:pPr>
              <w:rPr>
                <w:rFonts w:cs="Arial"/>
              </w:rPr>
            </w:pPr>
            <w:r w:rsidRPr="00A45A26">
              <w:rPr>
                <w:rFonts w:cs="Arial"/>
              </w:rPr>
              <w:t>2.7% (1.1, 6.7)</w:t>
            </w:r>
          </w:p>
        </w:tc>
      </w:tr>
      <w:tr w:rsidR="00A45A26" w:rsidRPr="00A45A26" w14:paraId="121382BE" w14:textId="77777777" w:rsidTr="00921EF9">
        <w:trPr>
          <w:gridAfter w:val="1"/>
          <w:wAfter w:w="612" w:type="dxa"/>
          <w:trHeight w:val="69"/>
        </w:trPr>
        <w:tc>
          <w:tcPr>
            <w:tcW w:w="4496" w:type="dxa"/>
            <w:gridSpan w:val="2"/>
            <w:tcBorders>
              <w:top w:val="nil"/>
            </w:tcBorders>
            <w:shd w:val="clear" w:color="auto" w:fill="auto"/>
            <w:vAlign w:val="center"/>
          </w:tcPr>
          <w:p w14:paraId="1DED3E31" w14:textId="77777777" w:rsidR="00A45A26" w:rsidRPr="00A45A26" w:rsidRDefault="00A45A26" w:rsidP="00A45A26">
            <w:pPr>
              <w:rPr>
                <w:rFonts w:cs="Arial"/>
                <w:b/>
              </w:rPr>
            </w:pPr>
            <w:r w:rsidRPr="00A45A26">
              <w:rPr>
                <w:rFonts w:cs="Arial"/>
                <w:b/>
              </w:rPr>
              <w:t>Males only</w:t>
            </w:r>
          </w:p>
        </w:tc>
        <w:tc>
          <w:tcPr>
            <w:tcW w:w="889" w:type="dxa"/>
            <w:tcBorders>
              <w:top w:val="nil"/>
            </w:tcBorders>
            <w:shd w:val="clear" w:color="auto" w:fill="auto"/>
            <w:vAlign w:val="center"/>
          </w:tcPr>
          <w:p w14:paraId="3177A462" w14:textId="77777777" w:rsidR="00A45A26" w:rsidRPr="00A45A26" w:rsidRDefault="00A45A26" w:rsidP="00A45A26">
            <w:pPr>
              <w:rPr>
                <w:rFonts w:cs="Arial"/>
              </w:rPr>
            </w:pPr>
          </w:p>
        </w:tc>
        <w:tc>
          <w:tcPr>
            <w:tcW w:w="2460" w:type="dxa"/>
            <w:tcBorders>
              <w:top w:val="nil"/>
            </w:tcBorders>
            <w:shd w:val="clear" w:color="auto" w:fill="auto"/>
            <w:noWrap/>
            <w:vAlign w:val="center"/>
          </w:tcPr>
          <w:p w14:paraId="55EA217C" w14:textId="77777777" w:rsidR="00A45A26" w:rsidRPr="00A45A26" w:rsidRDefault="00A45A26" w:rsidP="00A45A26">
            <w:pPr>
              <w:rPr>
                <w:rFonts w:cs="Arial"/>
              </w:rPr>
            </w:pPr>
          </w:p>
        </w:tc>
      </w:tr>
      <w:tr w:rsidR="00A45A26" w:rsidRPr="00A45A26" w14:paraId="4E184F91" w14:textId="77777777" w:rsidTr="00921EF9">
        <w:trPr>
          <w:gridAfter w:val="1"/>
          <w:wAfter w:w="612" w:type="dxa"/>
          <w:trHeight w:val="69"/>
        </w:trPr>
        <w:tc>
          <w:tcPr>
            <w:tcW w:w="4496" w:type="dxa"/>
            <w:gridSpan w:val="2"/>
            <w:tcBorders>
              <w:top w:val="nil"/>
            </w:tcBorders>
            <w:shd w:val="clear" w:color="auto" w:fill="auto"/>
            <w:vAlign w:val="center"/>
          </w:tcPr>
          <w:p w14:paraId="118B6DB2" w14:textId="77777777" w:rsidR="00A45A26" w:rsidRPr="00A45A26" w:rsidRDefault="00A45A26" w:rsidP="00A45A26">
            <w:pPr>
              <w:rPr>
                <w:rFonts w:cs="Arial"/>
              </w:rPr>
            </w:pPr>
            <w:r w:rsidRPr="00A45A26">
              <w:rPr>
                <w:rFonts w:cs="Arial"/>
              </w:rPr>
              <w:t>Any depression (mild, moderate or severe)</w:t>
            </w:r>
          </w:p>
        </w:tc>
        <w:tc>
          <w:tcPr>
            <w:tcW w:w="889" w:type="dxa"/>
            <w:tcBorders>
              <w:top w:val="nil"/>
            </w:tcBorders>
            <w:shd w:val="clear" w:color="auto" w:fill="auto"/>
          </w:tcPr>
          <w:p w14:paraId="2CFC01C2" w14:textId="77777777" w:rsidR="00A45A26" w:rsidRPr="00A45A26" w:rsidRDefault="00A45A26" w:rsidP="00A45A26">
            <w:pPr>
              <w:rPr>
                <w:rFonts w:cs="Arial"/>
              </w:rPr>
            </w:pPr>
            <w:r w:rsidRPr="00A45A26">
              <w:rPr>
                <w:rFonts w:cs="Arial"/>
              </w:rPr>
              <w:t>28/92</w:t>
            </w:r>
          </w:p>
        </w:tc>
        <w:tc>
          <w:tcPr>
            <w:tcW w:w="2460" w:type="dxa"/>
            <w:tcBorders>
              <w:top w:val="nil"/>
            </w:tcBorders>
            <w:shd w:val="clear" w:color="auto" w:fill="auto"/>
            <w:noWrap/>
          </w:tcPr>
          <w:p w14:paraId="5ADC3CE0" w14:textId="77777777" w:rsidR="00A45A26" w:rsidRPr="00A45A26" w:rsidRDefault="00A45A26" w:rsidP="00A45A26">
            <w:pPr>
              <w:rPr>
                <w:rFonts w:cs="Arial"/>
              </w:rPr>
            </w:pPr>
            <w:r w:rsidRPr="00A45A26">
              <w:rPr>
                <w:rFonts w:cs="Arial"/>
              </w:rPr>
              <w:t>30.4% (22, 40.5)</w:t>
            </w:r>
          </w:p>
        </w:tc>
      </w:tr>
      <w:tr w:rsidR="00A45A26" w:rsidRPr="00A45A26" w14:paraId="34E1EE86" w14:textId="77777777" w:rsidTr="00921EF9">
        <w:trPr>
          <w:gridBefore w:val="1"/>
          <w:wBefore w:w="612" w:type="dxa"/>
          <w:trHeight w:val="69"/>
        </w:trPr>
        <w:tc>
          <w:tcPr>
            <w:tcW w:w="3884" w:type="dxa"/>
            <w:tcBorders>
              <w:top w:val="nil"/>
            </w:tcBorders>
            <w:shd w:val="clear" w:color="auto" w:fill="auto"/>
          </w:tcPr>
          <w:p w14:paraId="15B140A0" w14:textId="77777777" w:rsidR="00A45A26" w:rsidRPr="00A45A26" w:rsidRDefault="00A45A26" w:rsidP="00A45A26">
            <w:pPr>
              <w:rPr>
                <w:rFonts w:cs="Arial"/>
              </w:rPr>
            </w:pPr>
            <w:r w:rsidRPr="00A45A26">
              <w:rPr>
                <w:rFonts w:cs="Arial"/>
              </w:rPr>
              <w:t>Mild depression</w:t>
            </w:r>
          </w:p>
        </w:tc>
        <w:tc>
          <w:tcPr>
            <w:tcW w:w="889" w:type="dxa"/>
            <w:tcBorders>
              <w:top w:val="nil"/>
            </w:tcBorders>
            <w:shd w:val="clear" w:color="auto" w:fill="auto"/>
          </w:tcPr>
          <w:p w14:paraId="4C08F086" w14:textId="77777777" w:rsidR="00A45A26" w:rsidRPr="00A45A26" w:rsidRDefault="00A45A26" w:rsidP="00A45A26">
            <w:pPr>
              <w:rPr>
                <w:rFonts w:cs="Arial"/>
              </w:rPr>
            </w:pPr>
            <w:r w:rsidRPr="00A45A26">
              <w:rPr>
                <w:rFonts w:cs="Arial"/>
              </w:rPr>
              <w:t>17/92</w:t>
            </w:r>
          </w:p>
        </w:tc>
        <w:tc>
          <w:tcPr>
            <w:tcW w:w="3072" w:type="dxa"/>
            <w:gridSpan w:val="2"/>
            <w:tcBorders>
              <w:top w:val="nil"/>
            </w:tcBorders>
            <w:shd w:val="clear" w:color="auto" w:fill="auto"/>
            <w:noWrap/>
          </w:tcPr>
          <w:p w14:paraId="0E001994" w14:textId="77777777" w:rsidR="00A45A26" w:rsidRPr="00A45A26" w:rsidRDefault="00A45A26" w:rsidP="00A45A26">
            <w:pPr>
              <w:rPr>
                <w:rFonts w:cs="Arial"/>
              </w:rPr>
            </w:pPr>
            <w:r w:rsidRPr="00A45A26">
              <w:rPr>
                <w:rFonts w:cs="Arial"/>
              </w:rPr>
              <w:t>18.5% (11.9, 27.6)</w:t>
            </w:r>
          </w:p>
        </w:tc>
      </w:tr>
      <w:tr w:rsidR="00A45A26" w:rsidRPr="00A45A26" w14:paraId="42EAA24F" w14:textId="77777777" w:rsidTr="00921EF9">
        <w:trPr>
          <w:gridBefore w:val="1"/>
          <w:wBefore w:w="612" w:type="dxa"/>
          <w:trHeight w:val="69"/>
        </w:trPr>
        <w:tc>
          <w:tcPr>
            <w:tcW w:w="3884" w:type="dxa"/>
            <w:tcBorders>
              <w:top w:val="nil"/>
            </w:tcBorders>
            <w:shd w:val="clear" w:color="auto" w:fill="auto"/>
          </w:tcPr>
          <w:p w14:paraId="5A886784" w14:textId="77777777" w:rsidR="00A45A26" w:rsidRPr="00A45A26" w:rsidRDefault="00A45A26" w:rsidP="00A45A26">
            <w:pPr>
              <w:rPr>
                <w:rFonts w:cs="Arial"/>
              </w:rPr>
            </w:pPr>
            <w:r w:rsidRPr="00A45A26">
              <w:rPr>
                <w:rFonts w:cs="Arial"/>
              </w:rPr>
              <w:t>Moderate depression</w:t>
            </w:r>
          </w:p>
        </w:tc>
        <w:tc>
          <w:tcPr>
            <w:tcW w:w="889" w:type="dxa"/>
            <w:tcBorders>
              <w:top w:val="nil"/>
            </w:tcBorders>
            <w:shd w:val="clear" w:color="auto" w:fill="auto"/>
          </w:tcPr>
          <w:p w14:paraId="3DF80ED1" w14:textId="77777777" w:rsidR="00A45A26" w:rsidRPr="00A45A26" w:rsidRDefault="00A45A26" w:rsidP="00A45A26">
            <w:pPr>
              <w:rPr>
                <w:rFonts w:cs="Arial"/>
              </w:rPr>
            </w:pPr>
            <w:r w:rsidRPr="00A45A26">
              <w:rPr>
                <w:rFonts w:cs="Arial"/>
              </w:rPr>
              <w:t>9/92</w:t>
            </w:r>
          </w:p>
        </w:tc>
        <w:tc>
          <w:tcPr>
            <w:tcW w:w="3072" w:type="dxa"/>
            <w:gridSpan w:val="2"/>
            <w:tcBorders>
              <w:top w:val="nil"/>
            </w:tcBorders>
            <w:shd w:val="clear" w:color="auto" w:fill="auto"/>
            <w:noWrap/>
          </w:tcPr>
          <w:p w14:paraId="705D35EC" w14:textId="77777777" w:rsidR="00A45A26" w:rsidRPr="00A45A26" w:rsidRDefault="00A45A26" w:rsidP="00A45A26">
            <w:pPr>
              <w:rPr>
                <w:rFonts w:cs="Arial"/>
              </w:rPr>
            </w:pPr>
            <w:r w:rsidRPr="00A45A26">
              <w:rPr>
                <w:rFonts w:cs="Arial"/>
              </w:rPr>
              <w:t>9.8% (5.2, 17.6)</w:t>
            </w:r>
          </w:p>
        </w:tc>
      </w:tr>
      <w:tr w:rsidR="00A45A26" w:rsidRPr="00A45A26" w14:paraId="28187C3E" w14:textId="77777777" w:rsidTr="00921EF9">
        <w:trPr>
          <w:gridBefore w:val="1"/>
          <w:wBefore w:w="612" w:type="dxa"/>
          <w:trHeight w:val="69"/>
        </w:trPr>
        <w:tc>
          <w:tcPr>
            <w:tcW w:w="3884" w:type="dxa"/>
            <w:tcBorders>
              <w:top w:val="nil"/>
            </w:tcBorders>
            <w:shd w:val="clear" w:color="auto" w:fill="auto"/>
          </w:tcPr>
          <w:p w14:paraId="3E61890A" w14:textId="77777777" w:rsidR="00A45A26" w:rsidRPr="00A45A26" w:rsidRDefault="00A45A26" w:rsidP="00A45A26">
            <w:pPr>
              <w:rPr>
                <w:rFonts w:cs="Arial"/>
              </w:rPr>
            </w:pPr>
            <w:r w:rsidRPr="00A45A26">
              <w:rPr>
                <w:rFonts w:cs="Arial"/>
              </w:rPr>
              <w:t>Severe depression</w:t>
            </w:r>
          </w:p>
        </w:tc>
        <w:tc>
          <w:tcPr>
            <w:tcW w:w="889" w:type="dxa"/>
            <w:tcBorders>
              <w:top w:val="nil"/>
            </w:tcBorders>
            <w:shd w:val="clear" w:color="auto" w:fill="auto"/>
          </w:tcPr>
          <w:p w14:paraId="3ED32464" w14:textId="77777777" w:rsidR="00A45A26" w:rsidRPr="00A45A26" w:rsidRDefault="00A45A26" w:rsidP="00A45A26">
            <w:pPr>
              <w:rPr>
                <w:rFonts w:cs="Arial"/>
              </w:rPr>
            </w:pPr>
            <w:r w:rsidRPr="00A45A26">
              <w:rPr>
                <w:rFonts w:cs="Arial"/>
              </w:rPr>
              <w:t>2/92</w:t>
            </w:r>
          </w:p>
        </w:tc>
        <w:tc>
          <w:tcPr>
            <w:tcW w:w="3072" w:type="dxa"/>
            <w:gridSpan w:val="2"/>
            <w:tcBorders>
              <w:top w:val="nil"/>
            </w:tcBorders>
            <w:shd w:val="clear" w:color="auto" w:fill="auto"/>
            <w:noWrap/>
          </w:tcPr>
          <w:p w14:paraId="4527EF6A" w14:textId="77777777" w:rsidR="00A45A26" w:rsidRPr="00A45A26" w:rsidRDefault="00A45A26" w:rsidP="00A45A26">
            <w:pPr>
              <w:rPr>
                <w:rFonts w:cs="Arial"/>
              </w:rPr>
            </w:pPr>
            <w:r w:rsidRPr="00A45A26">
              <w:rPr>
                <w:rFonts w:cs="Arial"/>
              </w:rPr>
              <w:t>2.2% (0.6, 7.6)</w:t>
            </w:r>
          </w:p>
        </w:tc>
      </w:tr>
      <w:tr w:rsidR="00A45A26" w:rsidRPr="00A45A26" w14:paraId="13779E44" w14:textId="77777777" w:rsidTr="00921EF9">
        <w:trPr>
          <w:gridAfter w:val="1"/>
          <w:wAfter w:w="612" w:type="dxa"/>
          <w:trHeight w:val="69"/>
        </w:trPr>
        <w:tc>
          <w:tcPr>
            <w:tcW w:w="4496" w:type="dxa"/>
            <w:gridSpan w:val="2"/>
            <w:tcBorders>
              <w:top w:val="nil"/>
            </w:tcBorders>
            <w:shd w:val="clear" w:color="auto" w:fill="auto"/>
            <w:vAlign w:val="center"/>
          </w:tcPr>
          <w:p w14:paraId="4E631BFB" w14:textId="77777777" w:rsidR="00A45A26" w:rsidRPr="00A45A26" w:rsidRDefault="00A45A26" w:rsidP="00A45A26">
            <w:pPr>
              <w:rPr>
                <w:rFonts w:cs="Arial"/>
                <w:b/>
              </w:rPr>
            </w:pPr>
            <w:r w:rsidRPr="00A45A26">
              <w:rPr>
                <w:rFonts w:cs="Arial"/>
                <w:b/>
              </w:rPr>
              <w:t>Females only</w:t>
            </w:r>
          </w:p>
        </w:tc>
        <w:tc>
          <w:tcPr>
            <w:tcW w:w="889" w:type="dxa"/>
            <w:tcBorders>
              <w:top w:val="nil"/>
            </w:tcBorders>
            <w:shd w:val="clear" w:color="auto" w:fill="auto"/>
            <w:vAlign w:val="center"/>
          </w:tcPr>
          <w:p w14:paraId="4B3554A2" w14:textId="77777777" w:rsidR="00A45A26" w:rsidRPr="00A45A26" w:rsidRDefault="00A45A26" w:rsidP="00A45A26">
            <w:pPr>
              <w:rPr>
                <w:rFonts w:cs="Arial"/>
              </w:rPr>
            </w:pPr>
          </w:p>
        </w:tc>
        <w:tc>
          <w:tcPr>
            <w:tcW w:w="2460" w:type="dxa"/>
            <w:tcBorders>
              <w:top w:val="nil"/>
            </w:tcBorders>
            <w:shd w:val="clear" w:color="auto" w:fill="auto"/>
            <w:noWrap/>
            <w:vAlign w:val="center"/>
          </w:tcPr>
          <w:p w14:paraId="57FCACA2" w14:textId="77777777" w:rsidR="00A45A26" w:rsidRPr="00A45A26" w:rsidRDefault="00A45A26" w:rsidP="00A45A26">
            <w:pPr>
              <w:rPr>
                <w:rFonts w:cs="Arial"/>
              </w:rPr>
            </w:pPr>
          </w:p>
        </w:tc>
      </w:tr>
      <w:tr w:rsidR="00A45A26" w:rsidRPr="00A45A26" w14:paraId="36DDDCB1" w14:textId="77777777" w:rsidTr="00921EF9">
        <w:trPr>
          <w:gridAfter w:val="1"/>
          <w:wAfter w:w="612" w:type="dxa"/>
          <w:trHeight w:val="69"/>
        </w:trPr>
        <w:tc>
          <w:tcPr>
            <w:tcW w:w="4496" w:type="dxa"/>
            <w:gridSpan w:val="2"/>
            <w:tcBorders>
              <w:top w:val="nil"/>
            </w:tcBorders>
            <w:shd w:val="clear" w:color="auto" w:fill="auto"/>
            <w:vAlign w:val="center"/>
          </w:tcPr>
          <w:p w14:paraId="6EFF6141" w14:textId="77777777" w:rsidR="00A45A26" w:rsidRPr="00A45A26" w:rsidRDefault="00A45A26" w:rsidP="00A45A26">
            <w:pPr>
              <w:rPr>
                <w:rFonts w:cs="Arial"/>
              </w:rPr>
            </w:pPr>
            <w:r w:rsidRPr="00A45A26">
              <w:rPr>
                <w:rFonts w:cs="Arial"/>
              </w:rPr>
              <w:t>Any depression (mild, moderate or severe)</w:t>
            </w:r>
          </w:p>
        </w:tc>
        <w:tc>
          <w:tcPr>
            <w:tcW w:w="889" w:type="dxa"/>
            <w:tcBorders>
              <w:top w:val="nil"/>
            </w:tcBorders>
            <w:shd w:val="clear" w:color="auto" w:fill="auto"/>
          </w:tcPr>
          <w:p w14:paraId="5642F08D" w14:textId="77777777" w:rsidR="00A45A26" w:rsidRPr="00A45A26" w:rsidRDefault="00A45A26" w:rsidP="00A45A26">
            <w:pPr>
              <w:rPr>
                <w:rFonts w:cs="Arial"/>
              </w:rPr>
            </w:pPr>
            <w:r w:rsidRPr="00A45A26">
              <w:rPr>
                <w:rFonts w:cs="Arial"/>
              </w:rPr>
              <w:t>22/56</w:t>
            </w:r>
          </w:p>
        </w:tc>
        <w:tc>
          <w:tcPr>
            <w:tcW w:w="2460" w:type="dxa"/>
            <w:tcBorders>
              <w:top w:val="nil"/>
            </w:tcBorders>
            <w:shd w:val="clear" w:color="auto" w:fill="auto"/>
            <w:noWrap/>
          </w:tcPr>
          <w:p w14:paraId="61132777" w14:textId="77777777" w:rsidR="00A45A26" w:rsidRPr="00A45A26" w:rsidRDefault="00A45A26" w:rsidP="00A45A26">
            <w:pPr>
              <w:rPr>
                <w:rFonts w:cs="Arial"/>
              </w:rPr>
            </w:pPr>
            <w:r w:rsidRPr="00A45A26">
              <w:rPr>
                <w:rFonts w:cs="Arial"/>
              </w:rPr>
              <w:t>39.3% (27.6, 52.4)</w:t>
            </w:r>
          </w:p>
        </w:tc>
      </w:tr>
      <w:tr w:rsidR="00A45A26" w:rsidRPr="00A45A26" w14:paraId="116E0750" w14:textId="77777777" w:rsidTr="00921EF9">
        <w:trPr>
          <w:gridBefore w:val="1"/>
          <w:wBefore w:w="612" w:type="dxa"/>
          <w:trHeight w:val="69"/>
        </w:trPr>
        <w:tc>
          <w:tcPr>
            <w:tcW w:w="3884" w:type="dxa"/>
            <w:tcBorders>
              <w:top w:val="nil"/>
            </w:tcBorders>
            <w:shd w:val="clear" w:color="auto" w:fill="auto"/>
          </w:tcPr>
          <w:p w14:paraId="786851AE" w14:textId="77777777" w:rsidR="00A45A26" w:rsidRPr="00A45A26" w:rsidRDefault="00A45A26" w:rsidP="00A45A26">
            <w:pPr>
              <w:rPr>
                <w:rFonts w:cs="Arial"/>
              </w:rPr>
            </w:pPr>
            <w:r w:rsidRPr="00A45A26">
              <w:rPr>
                <w:rFonts w:cs="Arial"/>
              </w:rPr>
              <w:t>Mild depression</w:t>
            </w:r>
          </w:p>
        </w:tc>
        <w:tc>
          <w:tcPr>
            <w:tcW w:w="889" w:type="dxa"/>
            <w:tcBorders>
              <w:top w:val="nil"/>
            </w:tcBorders>
            <w:shd w:val="clear" w:color="auto" w:fill="auto"/>
          </w:tcPr>
          <w:p w14:paraId="5512892E" w14:textId="77777777" w:rsidR="00A45A26" w:rsidRPr="00A45A26" w:rsidRDefault="00A45A26" w:rsidP="00A45A26">
            <w:pPr>
              <w:rPr>
                <w:rFonts w:cs="Arial"/>
              </w:rPr>
            </w:pPr>
            <w:r w:rsidRPr="00A45A26">
              <w:rPr>
                <w:rFonts w:cs="Arial"/>
              </w:rPr>
              <w:t>10/56</w:t>
            </w:r>
          </w:p>
        </w:tc>
        <w:tc>
          <w:tcPr>
            <w:tcW w:w="3072" w:type="dxa"/>
            <w:gridSpan w:val="2"/>
            <w:tcBorders>
              <w:top w:val="nil"/>
            </w:tcBorders>
            <w:shd w:val="clear" w:color="auto" w:fill="auto"/>
            <w:noWrap/>
          </w:tcPr>
          <w:p w14:paraId="4325850C" w14:textId="77777777" w:rsidR="00A45A26" w:rsidRPr="00A45A26" w:rsidRDefault="00A45A26" w:rsidP="00A45A26">
            <w:pPr>
              <w:rPr>
                <w:rFonts w:cs="Arial"/>
              </w:rPr>
            </w:pPr>
            <w:r w:rsidRPr="00A45A26">
              <w:rPr>
                <w:rFonts w:cs="Arial"/>
              </w:rPr>
              <w:t>17.9% (10, 29.8)</w:t>
            </w:r>
          </w:p>
        </w:tc>
      </w:tr>
      <w:tr w:rsidR="00A45A26" w:rsidRPr="00A45A26" w14:paraId="728584AA" w14:textId="77777777" w:rsidTr="00921EF9">
        <w:trPr>
          <w:gridBefore w:val="1"/>
          <w:wBefore w:w="612" w:type="dxa"/>
          <w:trHeight w:val="69"/>
        </w:trPr>
        <w:tc>
          <w:tcPr>
            <w:tcW w:w="3884" w:type="dxa"/>
            <w:tcBorders>
              <w:top w:val="nil"/>
            </w:tcBorders>
            <w:shd w:val="clear" w:color="auto" w:fill="auto"/>
          </w:tcPr>
          <w:p w14:paraId="451B3565" w14:textId="77777777" w:rsidR="00A45A26" w:rsidRPr="00A45A26" w:rsidRDefault="00A45A26" w:rsidP="00A45A26">
            <w:pPr>
              <w:rPr>
                <w:rFonts w:cs="Arial"/>
              </w:rPr>
            </w:pPr>
            <w:r w:rsidRPr="00A45A26">
              <w:rPr>
                <w:rFonts w:cs="Arial"/>
              </w:rPr>
              <w:t>Moderate depression</w:t>
            </w:r>
          </w:p>
        </w:tc>
        <w:tc>
          <w:tcPr>
            <w:tcW w:w="889" w:type="dxa"/>
            <w:tcBorders>
              <w:top w:val="nil"/>
            </w:tcBorders>
            <w:shd w:val="clear" w:color="auto" w:fill="auto"/>
          </w:tcPr>
          <w:p w14:paraId="3FDC3969" w14:textId="77777777" w:rsidR="00A45A26" w:rsidRPr="00A45A26" w:rsidRDefault="00A45A26" w:rsidP="00A45A26">
            <w:pPr>
              <w:rPr>
                <w:rFonts w:cs="Arial"/>
              </w:rPr>
            </w:pPr>
            <w:r w:rsidRPr="00A45A26">
              <w:rPr>
                <w:rFonts w:cs="Arial"/>
              </w:rPr>
              <w:t>10/56</w:t>
            </w:r>
          </w:p>
        </w:tc>
        <w:tc>
          <w:tcPr>
            <w:tcW w:w="3072" w:type="dxa"/>
            <w:gridSpan w:val="2"/>
            <w:tcBorders>
              <w:top w:val="nil"/>
            </w:tcBorders>
            <w:shd w:val="clear" w:color="auto" w:fill="auto"/>
            <w:noWrap/>
          </w:tcPr>
          <w:p w14:paraId="7E934330" w14:textId="77777777" w:rsidR="00A45A26" w:rsidRPr="00A45A26" w:rsidRDefault="00A45A26" w:rsidP="00A45A26">
            <w:pPr>
              <w:rPr>
                <w:rFonts w:cs="Arial"/>
              </w:rPr>
            </w:pPr>
            <w:r w:rsidRPr="00A45A26">
              <w:rPr>
                <w:rFonts w:cs="Arial"/>
              </w:rPr>
              <w:t>17.9% (10, 29.8)</w:t>
            </w:r>
          </w:p>
        </w:tc>
      </w:tr>
      <w:tr w:rsidR="00A45A26" w:rsidRPr="00A45A26" w14:paraId="35654C54" w14:textId="77777777" w:rsidTr="00921EF9">
        <w:trPr>
          <w:gridBefore w:val="1"/>
          <w:wBefore w:w="612" w:type="dxa"/>
          <w:trHeight w:val="74"/>
        </w:trPr>
        <w:tc>
          <w:tcPr>
            <w:tcW w:w="3884" w:type="dxa"/>
            <w:tcBorders>
              <w:top w:val="nil"/>
              <w:bottom w:val="single" w:sz="4" w:space="0" w:color="auto"/>
            </w:tcBorders>
            <w:shd w:val="clear" w:color="auto" w:fill="auto"/>
          </w:tcPr>
          <w:p w14:paraId="073F7442" w14:textId="77777777" w:rsidR="00A45A26" w:rsidRPr="00A45A26" w:rsidRDefault="00A45A26" w:rsidP="00A45A26">
            <w:pPr>
              <w:rPr>
                <w:rFonts w:cs="Arial"/>
              </w:rPr>
            </w:pPr>
            <w:r w:rsidRPr="00A45A26">
              <w:rPr>
                <w:rFonts w:cs="Arial"/>
              </w:rPr>
              <w:t>Severe depression</w:t>
            </w:r>
          </w:p>
        </w:tc>
        <w:tc>
          <w:tcPr>
            <w:tcW w:w="889" w:type="dxa"/>
            <w:tcBorders>
              <w:top w:val="nil"/>
              <w:bottom w:val="single" w:sz="4" w:space="0" w:color="auto"/>
            </w:tcBorders>
            <w:shd w:val="clear" w:color="auto" w:fill="auto"/>
          </w:tcPr>
          <w:p w14:paraId="285BBD41" w14:textId="77777777" w:rsidR="00A45A26" w:rsidRPr="00A45A26" w:rsidRDefault="00A45A26" w:rsidP="00A45A26">
            <w:pPr>
              <w:rPr>
                <w:rFonts w:cs="Arial"/>
              </w:rPr>
            </w:pPr>
            <w:r w:rsidRPr="00A45A26">
              <w:rPr>
                <w:rFonts w:cs="Arial"/>
              </w:rPr>
              <w:t>2/56</w:t>
            </w:r>
          </w:p>
        </w:tc>
        <w:tc>
          <w:tcPr>
            <w:tcW w:w="3072" w:type="dxa"/>
            <w:gridSpan w:val="2"/>
            <w:tcBorders>
              <w:top w:val="nil"/>
              <w:bottom w:val="single" w:sz="4" w:space="0" w:color="auto"/>
            </w:tcBorders>
            <w:shd w:val="clear" w:color="auto" w:fill="auto"/>
            <w:noWrap/>
          </w:tcPr>
          <w:p w14:paraId="62781FB5" w14:textId="77777777" w:rsidR="00A45A26" w:rsidRPr="00A45A26" w:rsidRDefault="00A45A26" w:rsidP="00A45A26">
            <w:pPr>
              <w:rPr>
                <w:rFonts w:cs="Arial"/>
              </w:rPr>
            </w:pPr>
            <w:r w:rsidRPr="00A45A26">
              <w:rPr>
                <w:rFonts w:cs="Arial"/>
              </w:rPr>
              <w:t>3.6% (1, 12.1)</w:t>
            </w:r>
          </w:p>
        </w:tc>
      </w:tr>
      <w:tr w:rsidR="00A45A26" w:rsidRPr="00A45A26" w14:paraId="23383542" w14:textId="77777777" w:rsidTr="00921EF9">
        <w:trPr>
          <w:gridAfter w:val="1"/>
          <w:wAfter w:w="612" w:type="dxa"/>
          <w:trHeight w:val="74"/>
        </w:trPr>
        <w:tc>
          <w:tcPr>
            <w:tcW w:w="7845" w:type="dxa"/>
            <w:gridSpan w:val="4"/>
            <w:tcBorders>
              <w:top w:val="single" w:sz="4" w:space="0" w:color="auto"/>
            </w:tcBorders>
            <w:shd w:val="clear" w:color="auto" w:fill="auto"/>
            <w:vAlign w:val="center"/>
          </w:tcPr>
          <w:p w14:paraId="0A2E09BC" w14:textId="77777777" w:rsidR="00A45A26" w:rsidRPr="00A45A26" w:rsidRDefault="00A45A26" w:rsidP="00A45A26">
            <w:pPr>
              <w:rPr>
                <w:rFonts w:cs="Arial"/>
              </w:rPr>
            </w:pPr>
            <w:r w:rsidRPr="00A45A26">
              <w:rPr>
                <w:rFonts w:cs="Arial"/>
              </w:rPr>
              <w:t xml:space="preserve">N = 148 (SCID outcomes missing for 2 patients). 95% CIs calculated using Wilson score method using R package </w:t>
            </w:r>
            <w:proofErr w:type="spellStart"/>
            <w:r w:rsidRPr="00A45A26">
              <w:rPr>
                <w:rFonts w:cs="Arial"/>
              </w:rPr>
              <w:t>binom</w:t>
            </w:r>
            <w:proofErr w:type="spellEnd"/>
            <w:r w:rsidRPr="00A45A26">
              <w:rPr>
                <w:rFonts w:cs="Arial"/>
              </w:rPr>
              <w:t>(28)</w:t>
            </w:r>
          </w:p>
        </w:tc>
      </w:tr>
    </w:tbl>
    <w:p w14:paraId="3E5FF526" w14:textId="77777777" w:rsidR="00A45A26" w:rsidRPr="00A45A26" w:rsidRDefault="00A45A26" w:rsidP="00A45A26">
      <w:pPr>
        <w:rPr>
          <w:rFonts w:cs="Arial"/>
        </w:rPr>
      </w:pPr>
    </w:p>
    <w:tbl>
      <w:tblPr>
        <w:tblW w:w="9134" w:type="dxa"/>
        <w:tblBorders>
          <w:top w:val="single" w:sz="4" w:space="0" w:color="auto"/>
          <w:bottom w:val="single" w:sz="4" w:space="0" w:color="auto"/>
        </w:tblBorders>
        <w:tblLook w:val="04A0" w:firstRow="1" w:lastRow="0" w:firstColumn="1" w:lastColumn="0" w:noHBand="0" w:noVBand="1"/>
      </w:tblPr>
      <w:tblGrid>
        <w:gridCol w:w="4024"/>
        <w:gridCol w:w="5110"/>
      </w:tblGrid>
      <w:tr w:rsidR="00A45A26" w:rsidRPr="00A45A26" w14:paraId="018B6400" w14:textId="77777777" w:rsidTr="00921EF9">
        <w:trPr>
          <w:trHeight w:val="255"/>
        </w:trPr>
        <w:tc>
          <w:tcPr>
            <w:tcW w:w="9134" w:type="dxa"/>
            <w:gridSpan w:val="2"/>
            <w:tcBorders>
              <w:top w:val="nil"/>
              <w:bottom w:val="single" w:sz="4" w:space="0" w:color="auto"/>
            </w:tcBorders>
            <w:shd w:val="clear" w:color="auto" w:fill="auto"/>
            <w:noWrap/>
            <w:vAlign w:val="bottom"/>
          </w:tcPr>
          <w:p w14:paraId="1BC8CDC9" w14:textId="77777777" w:rsidR="00A45A26" w:rsidRPr="00A45A26" w:rsidRDefault="00A45A26" w:rsidP="00A45A26">
            <w:pPr>
              <w:rPr>
                <w:rFonts w:cs="Arial"/>
                <w:b/>
              </w:rPr>
            </w:pPr>
            <w:r w:rsidRPr="00A45A26">
              <w:rPr>
                <w:rFonts w:cs="Arial"/>
                <w:b/>
              </w:rPr>
              <w:t>Table 3. Logistic regression exploring associations between socio-demographic and health related variables and a SCID-based diagnosis of depression.</w:t>
            </w:r>
          </w:p>
        </w:tc>
      </w:tr>
      <w:tr w:rsidR="00A45A26" w:rsidRPr="00A45A26" w14:paraId="15086ADA" w14:textId="77777777" w:rsidTr="00921EF9">
        <w:trPr>
          <w:trHeight w:val="255"/>
        </w:trPr>
        <w:tc>
          <w:tcPr>
            <w:tcW w:w="4024" w:type="dxa"/>
            <w:tcBorders>
              <w:top w:val="single" w:sz="4" w:space="0" w:color="auto"/>
            </w:tcBorders>
            <w:shd w:val="clear" w:color="auto" w:fill="auto"/>
            <w:noWrap/>
            <w:vAlign w:val="bottom"/>
          </w:tcPr>
          <w:p w14:paraId="5B880E85" w14:textId="77777777" w:rsidR="00A45A26" w:rsidRPr="00A45A26" w:rsidRDefault="00A45A26" w:rsidP="00A45A26">
            <w:pPr>
              <w:rPr>
                <w:rFonts w:cs="Arial"/>
                <w:b/>
              </w:rPr>
            </w:pPr>
            <w:r w:rsidRPr="00A45A26">
              <w:rPr>
                <w:rFonts w:cs="Arial"/>
                <w:b/>
              </w:rPr>
              <w:t>Covariates</w:t>
            </w:r>
          </w:p>
        </w:tc>
        <w:tc>
          <w:tcPr>
            <w:tcW w:w="5110" w:type="dxa"/>
            <w:tcBorders>
              <w:top w:val="single" w:sz="4" w:space="0" w:color="auto"/>
            </w:tcBorders>
            <w:shd w:val="clear" w:color="auto" w:fill="auto"/>
            <w:noWrap/>
            <w:vAlign w:val="bottom"/>
          </w:tcPr>
          <w:p w14:paraId="0DA1D8D7" w14:textId="77777777" w:rsidR="00A45A26" w:rsidRPr="00A45A26" w:rsidRDefault="00A45A26" w:rsidP="00A45A26">
            <w:pPr>
              <w:rPr>
                <w:rFonts w:cs="Arial"/>
                <w:b/>
              </w:rPr>
            </w:pPr>
            <w:r w:rsidRPr="00A45A26">
              <w:rPr>
                <w:rFonts w:cs="Arial"/>
                <w:b/>
              </w:rPr>
              <w:t>Adjusted odds ratio (95% CI)</w:t>
            </w:r>
          </w:p>
        </w:tc>
      </w:tr>
      <w:tr w:rsidR="00A45A26" w:rsidRPr="00A45A26" w14:paraId="1CDCF955" w14:textId="77777777" w:rsidTr="00921EF9">
        <w:trPr>
          <w:trHeight w:val="255"/>
        </w:trPr>
        <w:tc>
          <w:tcPr>
            <w:tcW w:w="4024" w:type="dxa"/>
            <w:tcBorders>
              <w:top w:val="single" w:sz="4" w:space="0" w:color="auto"/>
              <w:bottom w:val="nil"/>
            </w:tcBorders>
            <w:shd w:val="clear" w:color="auto" w:fill="auto"/>
            <w:noWrap/>
            <w:vAlign w:val="bottom"/>
            <w:hideMark/>
          </w:tcPr>
          <w:p w14:paraId="7EF7F041" w14:textId="77777777" w:rsidR="00A45A26" w:rsidRPr="00A45A26" w:rsidRDefault="00A45A26" w:rsidP="00A45A26">
            <w:pPr>
              <w:rPr>
                <w:rFonts w:cs="Arial"/>
              </w:rPr>
            </w:pPr>
            <w:r w:rsidRPr="00A45A26">
              <w:rPr>
                <w:rFonts w:cs="Arial"/>
              </w:rPr>
              <w:t>Age ≤40</w:t>
            </w:r>
          </w:p>
        </w:tc>
        <w:tc>
          <w:tcPr>
            <w:tcW w:w="5110" w:type="dxa"/>
            <w:tcBorders>
              <w:top w:val="single" w:sz="4" w:space="0" w:color="auto"/>
              <w:bottom w:val="nil"/>
            </w:tcBorders>
            <w:shd w:val="clear" w:color="auto" w:fill="auto"/>
            <w:noWrap/>
            <w:vAlign w:val="bottom"/>
            <w:hideMark/>
          </w:tcPr>
          <w:p w14:paraId="08C8DD43" w14:textId="77777777" w:rsidR="00A45A26" w:rsidRPr="00A45A26" w:rsidRDefault="00A45A26" w:rsidP="00A45A26">
            <w:pPr>
              <w:rPr>
                <w:rFonts w:cs="Arial"/>
              </w:rPr>
            </w:pPr>
            <w:r w:rsidRPr="00A45A26">
              <w:rPr>
                <w:rFonts w:cs="Arial"/>
              </w:rPr>
              <w:t>Ref</w:t>
            </w:r>
          </w:p>
        </w:tc>
      </w:tr>
      <w:tr w:rsidR="00A45A26" w:rsidRPr="00A45A26" w14:paraId="2C6C4130" w14:textId="77777777" w:rsidTr="00921EF9">
        <w:trPr>
          <w:trHeight w:val="255"/>
        </w:trPr>
        <w:tc>
          <w:tcPr>
            <w:tcW w:w="4024" w:type="dxa"/>
            <w:tcBorders>
              <w:top w:val="nil"/>
              <w:bottom w:val="nil"/>
            </w:tcBorders>
            <w:shd w:val="clear" w:color="auto" w:fill="auto"/>
            <w:noWrap/>
            <w:vAlign w:val="bottom"/>
          </w:tcPr>
          <w:p w14:paraId="6455E8E0" w14:textId="77777777" w:rsidR="00A45A26" w:rsidRPr="00A45A26" w:rsidRDefault="00A45A26" w:rsidP="00A45A26">
            <w:pPr>
              <w:rPr>
                <w:rFonts w:cs="Arial"/>
              </w:rPr>
            </w:pPr>
            <w:r w:rsidRPr="00A45A26">
              <w:rPr>
                <w:rFonts w:cs="Arial"/>
              </w:rPr>
              <w:t>Age &gt;40</w:t>
            </w:r>
          </w:p>
        </w:tc>
        <w:tc>
          <w:tcPr>
            <w:tcW w:w="5110" w:type="dxa"/>
            <w:tcBorders>
              <w:top w:val="nil"/>
              <w:bottom w:val="nil"/>
            </w:tcBorders>
            <w:shd w:val="clear" w:color="auto" w:fill="auto"/>
            <w:noWrap/>
            <w:vAlign w:val="bottom"/>
          </w:tcPr>
          <w:p w14:paraId="4ED3BFA7" w14:textId="77777777" w:rsidR="00A45A26" w:rsidRPr="00A45A26" w:rsidRDefault="00A45A26" w:rsidP="00A45A26">
            <w:pPr>
              <w:rPr>
                <w:rFonts w:cs="Arial"/>
              </w:rPr>
            </w:pPr>
            <w:r w:rsidRPr="00A45A26">
              <w:rPr>
                <w:rFonts w:cs="Arial"/>
              </w:rPr>
              <w:t>0.95 (0.38, 2.35)</w:t>
            </w:r>
          </w:p>
        </w:tc>
      </w:tr>
      <w:tr w:rsidR="00A45A26" w:rsidRPr="00A45A26" w14:paraId="1EF066DB" w14:textId="77777777" w:rsidTr="00921EF9">
        <w:trPr>
          <w:trHeight w:val="255"/>
        </w:trPr>
        <w:tc>
          <w:tcPr>
            <w:tcW w:w="4024" w:type="dxa"/>
            <w:tcBorders>
              <w:top w:val="nil"/>
            </w:tcBorders>
            <w:shd w:val="clear" w:color="auto" w:fill="auto"/>
            <w:noWrap/>
            <w:vAlign w:val="bottom"/>
          </w:tcPr>
          <w:p w14:paraId="500D87E8" w14:textId="77777777" w:rsidR="00A45A26" w:rsidRPr="00A45A26" w:rsidRDefault="00A45A26" w:rsidP="00A45A26">
            <w:pPr>
              <w:rPr>
                <w:rFonts w:cs="Arial"/>
              </w:rPr>
            </w:pPr>
            <w:r w:rsidRPr="00A45A26">
              <w:rPr>
                <w:rFonts w:cs="Arial"/>
              </w:rPr>
              <w:t>Male</w:t>
            </w:r>
          </w:p>
        </w:tc>
        <w:tc>
          <w:tcPr>
            <w:tcW w:w="5110" w:type="dxa"/>
            <w:tcBorders>
              <w:top w:val="nil"/>
            </w:tcBorders>
            <w:shd w:val="clear" w:color="auto" w:fill="auto"/>
            <w:noWrap/>
            <w:vAlign w:val="bottom"/>
          </w:tcPr>
          <w:p w14:paraId="3223B556" w14:textId="77777777" w:rsidR="00A45A26" w:rsidRPr="00A45A26" w:rsidRDefault="00A45A26" w:rsidP="00A45A26">
            <w:pPr>
              <w:rPr>
                <w:rFonts w:cs="Arial"/>
              </w:rPr>
            </w:pPr>
            <w:r w:rsidRPr="00A45A26">
              <w:rPr>
                <w:rFonts w:cs="Arial"/>
              </w:rPr>
              <w:t>Ref</w:t>
            </w:r>
          </w:p>
        </w:tc>
      </w:tr>
      <w:tr w:rsidR="00A45A26" w:rsidRPr="00A45A26" w14:paraId="3C45FB27" w14:textId="77777777" w:rsidTr="00921EF9">
        <w:trPr>
          <w:trHeight w:val="255"/>
        </w:trPr>
        <w:tc>
          <w:tcPr>
            <w:tcW w:w="4024" w:type="dxa"/>
            <w:tcBorders>
              <w:top w:val="nil"/>
            </w:tcBorders>
            <w:shd w:val="clear" w:color="auto" w:fill="auto"/>
            <w:noWrap/>
            <w:vAlign w:val="bottom"/>
          </w:tcPr>
          <w:p w14:paraId="07A6A565" w14:textId="77777777" w:rsidR="00A45A26" w:rsidRPr="00A45A26" w:rsidRDefault="00A45A26" w:rsidP="00A45A26">
            <w:pPr>
              <w:rPr>
                <w:rFonts w:cs="Arial"/>
              </w:rPr>
            </w:pPr>
            <w:r w:rsidRPr="00A45A26">
              <w:rPr>
                <w:rFonts w:cs="Arial"/>
              </w:rPr>
              <w:t xml:space="preserve">   Female</w:t>
            </w:r>
          </w:p>
        </w:tc>
        <w:tc>
          <w:tcPr>
            <w:tcW w:w="5110" w:type="dxa"/>
            <w:tcBorders>
              <w:top w:val="nil"/>
            </w:tcBorders>
            <w:shd w:val="clear" w:color="auto" w:fill="auto"/>
            <w:noWrap/>
            <w:vAlign w:val="bottom"/>
          </w:tcPr>
          <w:p w14:paraId="1F23D242" w14:textId="77777777" w:rsidR="00A45A26" w:rsidRPr="00A45A26" w:rsidRDefault="00A45A26" w:rsidP="00A45A26">
            <w:pPr>
              <w:rPr>
                <w:rFonts w:cs="Arial"/>
              </w:rPr>
            </w:pPr>
            <w:r w:rsidRPr="00A45A26">
              <w:rPr>
                <w:rFonts w:cs="Arial"/>
              </w:rPr>
              <w:t>1.57 (0.57, 4.33)</w:t>
            </w:r>
          </w:p>
        </w:tc>
      </w:tr>
      <w:tr w:rsidR="00A45A26" w:rsidRPr="00A45A26" w14:paraId="4988B86A" w14:textId="77777777" w:rsidTr="00921EF9">
        <w:trPr>
          <w:trHeight w:val="255"/>
        </w:trPr>
        <w:tc>
          <w:tcPr>
            <w:tcW w:w="4024" w:type="dxa"/>
            <w:tcBorders>
              <w:top w:val="nil"/>
            </w:tcBorders>
            <w:shd w:val="clear" w:color="auto" w:fill="auto"/>
            <w:noWrap/>
            <w:vAlign w:val="bottom"/>
          </w:tcPr>
          <w:p w14:paraId="63C0E474" w14:textId="77777777" w:rsidR="00A45A26" w:rsidRPr="00A45A26" w:rsidRDefault="00A45A26" w:rsidP="00A45A26">
            <w:pPr>
              <w:rPr>
                <w:rFonts w:cs="Arial"/>
              </w:rPr>
            </w:pPr>
            <w:r w:rsidRPr="00A45A26">
              <w:rPr>
                <w:rFonts w:cs="Arial"/>
              </w:rPr>
              <w:t>Not currently/never married</w:t>
            </w:r>
          </w:p>
        </w:tc>
        <w:tc>
          <w:tcPr>
            <w:tcW w:w="5110" w:type="dxa"/>
            <w:tcBorders>
              <w:top w:val="nil"/>
            </w:tcBorders>
            <w:shd w:val="clear" w:color="auto" w:fill="auto"/>
            <w:noWrap/>
            <w:vAlign w:val="bottom"/>
          </w:tcPr>
          <w:p w14:paraId="7A091572" w14:textId="77777777" w:rsidR="00A45A26" w:rsidRPr="00A45A26" w:rsidRDefault="00A45A26" w:rsidP="00A45A26">
            <w:pPr>
              <w:rPr>
                <w:rFonts w:cs="Arial"/>
              </w:rPr>
            </w:pPr>
            <w:r w:rsidRPr="00A45A26">
              <w:rPr>
                <w:rFonts w:cs="Arial"/>
              </w:rPr>
              <w:t>Ref</w:t>
            </w:r>
          </w:p>
        </w:tc>
      </w:tr>
      <w:tr w:rsidR="00A45A26" w:rsidRPr="00A45A26" w14:paraId="3E2C2B72" w14:textId="77777777" w:rsidTr="00921EF9">
        <w:trPr>
          <w:trHeight w:val="255"/>
        </w:trPr>
        <w:tc>
          <w:tcPr>
            <w:tcW w:w="4024" w:type="dxa"/>
            <w:tcBorders>
              <w:top w:val="nil"/>
            </w:tcBorders>
            <w:shd w:val="clear" w:color="auto" w:fill="auto"/>
            <w:noWrap/>
            <w:vAlign w:val="bottom"/>
          </w:tcPr>
          <w:p w14:paraId="1D179A0B" w14:textId="77777777" w:rsidR="00A45A26" w:rsidRPr="00A45A26" w:rsidRDefault="00A45A26" w:rsidP="00A45A26">
            <w:pPr>
              <w:rPr>
                <w:rFonts w:cs="Arial"/>
              </w:rPr>
            </w:pPr>
            <w:r w:rsidRPr="00A45A26">
              <w:rPr>
                <w:rFonts w:cs="Arial"/>
              </w:rPr>
              <w:t xml:space="preserve">   Married</w:t>
            </w:r>
          </w:p>
        </w:tc>
        <w:tc>
          <w:tcPr>
            <w:tcW w:w="5110" w:type="dxa"/>
            <w:tcBorders>
              <w:top w:val="nil"/>
            </w:tcBorders>
            <w:shd w:val="clear" w:color="auto" w:fill="auto"/>
            <w:noWrap/>
            <w:vAlign w:val="bottom"/>
          </w:tcPr>
          <w:p w14:paraId="2D7D622D" w14:textId="77777777" w:rsidR="00A45A26" w:rsidRPr="00A45A26" w:rsidRDefault="00A45A26" w:rsidP="00A45A26">
            <w:pPr>
              <w:rPr>
                <w:rFonts w:cs="Arial"/>
              </w:rPr>
            </w:pPr>
            <w:r w:rsidRPr="00A45A26">
              <w:rPr>
                <w:rFonts w:cs="Arial"/>
              </w:rPr>
              <w:t>2.89 (1, 8.37)</w:t>
            </w:r>
          </w:p>
        </w:tc>
      </w:tr>
      <w:tr w:rsidR="00A45A26" w:rsidRPr="00A45A26" w14:paraId="08FB844B" w14:textId="77777777" w:rsidTr="00921EF9">
        <w:trPr>
          <w:trHeight w:val="255"/>
        </w:trPr>
        <w:tc>
          <w:tcPr>
            <w:tcW w:w="4024" w:type="dxa"/>
            <w:shd w:val="clear" w:color="auto" w:fill="auto"/>
            <w:noWrap/>
            <w:vAlign w:val="bottom"/>
          </w:tcPr>
          <w:p w14:paraId="3F8B78C0" w14:textId="77777777" w:rsidR="00A45A26" w:rsidRPr="00A45A26" w:rsidRDefault="00A45A26" w:rsidP="00A45A26">
            <w:pPr>
              <w:rPr>
                <w:rFonts w:cs="Arial"/>
              </w:rPr>
            </w:pPr>
            <w:r w:rsidRPr="00A45A26">
              <w:rPr>
                <w:rFonts w:cs="Arial"/>
              </w:rPr>
              <w:t>No education</w:t>
            </w:r>
          </w:p>
        </w:tc>
        <w:tc>
          <w:tcPr>
            <w:tcW w:w="5110" w:type="dxa"/>
            <w:shd w:val="clear" w:color="auto" w:fill="auto"/>
            <w:noWrap/>
            <w:vAlign w:val="bottom"/>
          </w:tcPr>
          <w:p w14:paraId="64A42A66" w14:textId="77777777" w:rsidR="00A45A26" w:rsidRPr="00A45A26" w:rsidRDefault="00A45A26" w:rsidP="00A45A26">
            <w:pPr>
              <w:rPr>
                <w:rFonts w:cs="Arial"/>
              </w:rPr>
            </w:pPr>
            <w:r w:rsidRPr="00A45A26">
              <w:rPr>
                <w:rFonts w:cs="Arial"/>
              </w:rPr>
              <w:t>Ref</w:t>
            </w:r>
          </w:p>
        </w:tc>
      </w:tr>
      <w:tr w:rsidR="00A45A26" w:rsidRPr="00A45A26" w14:paraId="348F6108" w14:textId="77777777" w:rsidTr="00921EF9">
        <w:trPr>
          <w:trHeight w:val="255"/>
        </w:trPr>
        <w:tc>
          <w:tcPr>
            <w:tcW w:w="4024" w:type="dxa"/>
            <w:shd w:val="clear" w:color="auto" w:fill="auto"/>
            <w:noWrap/>
            <w:vAlign w:val="bottom"/>
            <w:hideMark/>
          </w:tcPr>
          <w:p w14:paraId="340EE0AD" w14:textId="77777777" w:rsidR="00A45A26" w:rsidRPr="00A45A26" w:rsidRDefault="00A45A26" w:rsidP="00A45A26">
            <w:pPr>
              <w:rPr>
                <w:rFonts w:cs="Arial"/>
              </w:rPr>
            </w:pPr>
            <w:r w:rsidRPr="00A45A26">
              <w:rPr>
                <w:rFonts w:cs="Arial"/>
              </w:rPr>
              <w:t xml:space="preserve">   Primary/Junior</w:t>
            </w:r>
          </w:p>
        </w:tc>
        <w:tc>
          <w:tcPr>
            <w:tcW w:w="5110" w:type="dxa"/>
            <w:shd w:val="clear" w:color="auto" w:fill="auto"/>
            <w:noWrap/>
            <w:vAlign w:val="bottom"/>
            <w:hideMark/>
          </w:tcPr>
          <w:p w14:paraId="39CE25DD" w14:textId="77777777" w:rsidR="00A45A26" w:rsidRPr="00A45A26" w:rsidRDefault="00A45A26" w:rsidP="00A45A26">
            <w:pPr>
              <w:rPr>
                <w:rFonts w:cs="Arial"/>
              </w:rPr>
            </w:pPr>
            <w:r w:rsidRPr="00A45A26">
              <w:rPr>
                <w:rFonts w:cs="Arial"/>
              </w:rPr>
              <w:t>0.73 (0.29, 1.88)</w:t>
            </w:r>
          </w:p>
        </w:tc>
      </w:tr>
      <w:tr w:rsidR="00A45A26" w:rsidRPr="00A45A26" w14:paraId="28497367" w14:textId="77777777" w:rsidTr="00921EF9">
        <w:trPr>
          <w:trHeight w:val="255"/>
        </w:trPr>
        <w:tc>
          <w:tcPr>
            <w:tcW w:w="4024" w:type="dxa"/>
            <w:shd w:val="clear" w:color="auto" w:fill="auto"/>
            <w:noWrap/>
            <w:vAlign w:val="bottom"/>
            <w:hideMark/>
          </w:tcPr>
          <w:p w14:paraId="7B8A5043" w14:textId="77777777" w:rsidR="00A45A26" w:rsidRPr="00A45A26" w:rsidRDefault="00A45A26" w:rsidP="00A45A26">
            <w:pPr>
              <w:rPr>
                <w:rFonts w:cs="Arial"/>
              </w:rPr>
            </w:pPr>
            <w:r w:rsidRPr="00A45A26">
              <w:rPr>
                <w:rFonts w:cs="Arial"/>
              </w:rPr>
              <w:t xml:space="preserve">   Secondary/Higher</w:t>
            </w:r>
          </w:p>
        </w:tc>
        <w:tc>
          <w:tcPr>
            <w:tcW w:w="5110" w:type="dxa"/>
            <w:shd w:val="clear" w:color="auto" w:fill="auto"/>
            <w:noWrap/>
            <w:vAlign w:val="bottom"/>
            <w:hideMark/>
          </w:tcPr>
          <w:p w14:paraId="04360AD0" w14:textId="77777777" w:rsidR="00A45A26" w:rsidRPr="00A45A26" w:rsidRDefault="00A45A26" w:rsidP="00A45A26">
            <w:pPr>
              <w:rPr>
                <w:rFonts w:cs="Arial"/>
              </w:rPr>
            </w:pPr>
            <w:r w:rsidRPr="00A45A26">
              <w:rPr>
                <w:rFonts w:cs="Arial"/>
              </w:rPr>
              <w:t>0.81 (0.29, 2.27)</w:t>
            </w:r>
          </w:p>
        </w:tc>
      </w:tr>
      <w:tr w:rsidR="00A45A26" w:rsidRPr="00A45A26" w14:paraId="07698BE5" w14:textId="77777777" w:rsidTr="00921EF9">
        <w:trPr>
          <w:trHeight w:val="255"/>
        </w:trPr>
        <w:tc>
          <w:tcPr>
            <w:tcW w:w="4024" w:type="dxa"/>
            <w:shd w:val="clear" w:color="auto" w:fill="auto"/>
            <w:noWrap/>
            <w:vAlign w:val="bottom"/>
          </w:tcPr>
          <w:p w14:paraId="24DD05D8" w14:textId="77777777" w:rsidR="00A45A26" w:rsidRPr="00A45A26" w:rsidRDefault="00A45A26" w:rsidP="00A45A26">
            <w:pPr>
              <w:rPr>
                <w:rFonts w:cs="Arial"/>
              </w:rPr>
            </w:pPr>
            <w:r w:rsidRPr="00A45A26">
              <w:rPr>
                <w:rFonts w:cs="Arial"/>
              </w:rPr>
              <w:t>Urban location</w:t>
            </w:r>
          </w:p>
        </w:tc>
        <w:tc>
          <w:tcPr>
            <w:tcW w:w="5110" w:type="dxa"/>
            <w:shd w:val="clear" w:color="auto" w:fill="auto"/>
            <w:noWrap/>
            <w:vAlign w:val="bottom"/>
          </w:tcPr>
          <w:p w14:paraId="4E35F7A0" w14:textId="77777777" w:rsidR="00A45A26" w:rsidRPr="00A45A26" w:rsidRDefault="00A45A26" w:rsidP="00A45A26">
            <w:pPr>
              <w:rPr>
                <w:rFonts w:cs="Arial"/>
              </w:rPr>
            </w:pPr>
            <w:r w:rsidRPr="00A45A26">
              <w:rPr>
                <w:rFonts w:cs="Arial"/>
              </w:rPr>
              <w:t>Ref</w:t>
            </w:r>
          </w:p>
        </w:tc>
      </w:tr>
      <w:tr w:rsidR="00A45A26" w:rsidRPr="00A45A26" w14:paraId="554A261C" w14:textId="77777777" w:rsidTr="00921EF9">
        <w:trPr>
          <w:trHeight w:val="255"/>
        </w:trPr>
        <w:tc>
          <w:tcPr>
            <w:tcW w:w="4024" w:type="dxa"/>
            <w:shd w:val="clear" w:color="auto" w:fill="auto"/>
            <w:noWrap/>
            <w:vAlign w:val="bottom"/>
            <w:hideMark/>
          </w:tcPr>
          <w:p w14:paraId="772890B4" w14:textId="77777777" w:rsidR="00A45A26" w:rsidRPr="00A45A26" w:rsidRDefault="00A45A26" w:rsidP="00A45A26">
            <w:pPr>
              <w:rPr>
                <w:rFonts w:cs="Arial"/>
              </w:rPr>
            </w:pPr>
            <w:r w:rsidRPr="00A45A26">
              <w:rPr>
                <w:rFonts w:cs="Arial"/>
              </w:rPr>
              <w:t xml:space="preserve">   Rural location</w:t>
            </w:r>
          </w:p>
        </w:tc>
        <w:tc>
          <w:tcPr>
            <w:tcW w:w="5110" w:type="dxa"/>
            <w:shd w:val="clear" w:color="auto" w:fill="auto"/>
            <w:noWrap/>
            <w:vAlign w:val="bottom"/>
            <w:hideMark/>
          </w:tcPr>
          <w:p w14:paraId="6A44324A" w14:textId="77777777" w:rsidR="00A45A26" w:rsidRPr="00A45A26" w:rsidRDefault="00A45A26" w:rsidP="00A45A26">
            <w:pPr>
              <w:rPr>
                <w:rFonts w:cs="Arial"/>
              </w:rPr>
            </w:pPr>
            <w:r w:rsidRPr="00A45A26">
              <w:rPr>
                <w:rFonts w:cs="Arial"/>
              </w:rPr>
              <w:t>1.19 (0.55, 2.57)</w:t>
            </w:r>
          </w:p>
        </w:tc>
      </w:tr>
      <w:tr w:rsidR="00A45A26" w:rsidRPr="00A45A26" w14:paraId="0D4AE80A" w14:textId="77777777" w:rsidTr="00921EF9">
        <w:trPr>
          <w:trHeight w:val="255"/>
        </w:trPr>
        <w:tc>
          <w:tcPr>
            <w:tcW w:w="4024" w:type="dxa"/>
            <w:shd w:val="clear" w:color="auto" w:fill="auto"/>
            <w:noWrap/>
            <w:vAlign w:val="bottom"/>
            <w:hideMark/>
          </w:tcPr>
          <w:p w14:paraId="18A4E939" w14:textId="77777777" w:rsidR="00A45A26" w:rsidRPr="00A45A26" w:rsidRDefault="00A45A26" w:rsidP="00A45A26">
            <w:pPr>
              <w:rPr>
                <w:rFonts w:cs="Arial"/>
                <w:vertAlign w:val="superscript"/>
              </w:rPr>
            </w:pPr>
            <w:r w:rsidRPr="00A45A26">
              <w:rPr>
                <w:rFonts w:cs="Arial"/>
              </w:rPr>
              <w:t xml:space="preserve">Days since treatment </w:t>
            </w:r>
            <w:proofErr w:type="spellStart"/>
            <w:r w:rsidRPr="00A45A26">
              <w:rPr>
                <w:rFonts w:cs="Arial"/>
              </w:rPr>
              <w:t>start</w:t>
            </w:r>
            <w:r w:rsidRPr="00A45A26">
              <w:rPr>
                <w:rFonts w:cs="Arial"/>
                <w:vertAlign w:val="superscript"/>
              </w:rPr>
              <w:t>a</w:t>
            </w:r>
            <w:proofErr w:type="spellEnd"/>
          </w:p>
        </w:tc>
        <w:tc>
          <w:tcPr>
            <w:tcW w:w="5110" w:type="dxa"/>
            <w:shd w:val="clear" w:color="auto" w:fill="auto"/>
            <w:noWrap/>
            <w:vAlign w:val="bottom"/>
            <w:hideMark/>
          </w:tcPr>
          <w:p w14:paraId="0993FC83" w14:textId="77777777" w:rsidR="00A45A26" w:rsidRPr="00A45A26" w:rsidRDefault="00A45A26" w:rsidP="00A45A26">
            <w:pPr>
              <w:rPr>
                <w:rFonts w:cs="Arial"/>
              </w:rPr>
            </w:pPr>
            <w:r w:rsidRPr="00A45A26">
              <w:rPr>
                <w:rFonts w:cs="Arial"/>
              </w:rPr>
              <w:t>1.01 (0.99, 1.02)</w:t>
            </w:r>
          </w:p>
        </w:tc>
      </w:tr>
      <w:tr w:rsidR="00A45A26" w:rsidRPr="00A45A26" w14:paraId="18350BCB" w14:textId="77777777" w:rsidTr="00921EF9">
        <w:trPr>
          <w:trHeight w:val="255"/>
        </w:trPr>
        <w:tc>
          <w:tcPr>
            <w:tcW w:w="4024" w:type="dxa"/>
            <w:shd w:val="clear" w:color="auto" w:fill="auto"/>
            <w:noWrap/>
            <w:vAlign w:val="bottom"/>
          </w:tcPr>
          <w:p w14:paraId="0DB46ED3" w14:textId="77777777" w:rsidR="00A45A26" w:rsidRPr="00A45A26" w:rsidRDefault="00A45A26" w:rsidP="00A45A26">
            <w:pPr>
              <w:rPr>
                <w:rFonts w:cs="Arial"/>
              </w:rPr>
            </w:pPr>
            <w:r w:rsidRPr="00A45A26">
              <w:rPr>
                <w:rFonts w:cs="Arial"/>
              </w:rPr>
              <w:t>Previously treated MDR-TB case</w:t>
            </w:r>
          </w:p>
        </w:tc>
        <w:tc>
          <w:tcPr>
            <w:tcW w:w="5110" w:type="dxa"/>
            <w:shd w:val="clear" w:color="auto" w:fill="auto"/>
            <w:noWrap/>
            <w:vAlign w:val="bottom"/>
          </w:tcPr>
          <w:p w14:paraId="5E0C480D" w14:textId="77777777" w:rsidR="00A45A26" w:rsidRPr="00A45A26" w:rsidRDefault="00A45A26" w:rsidP="00A45A26">
            <w:pPr>
              <w:rPr>
                <w:rFonts w:cs="Arial"/>
              </w:rPr>
            </w:pPr>
            <w:r w:rsidRPr="00A45A26">
              <w:rPr>
                <w:rFonts w:cs="Arial"/>
              </w:rPr>
              <w:t>Ref</w:t>
            </w:r>
          </w:p>
        </w:tc>
      </w:tr>
      <w:tr w:rsidR="00A45A26" w:rsidRPr="00A45A26" w14:paraId="7F5FA144" w14:textId="77777777" w:rsidTr="00921EF9">
        <w:trPr>
          <w:trHeight w:val="255"/>
        </w:trPr>
        <w:tc>
          <w:tcPr>
            <w:tcW w:w="4024" w:type="dxa"/>
            <w:shd w:val="clear" w:color="auto" w:fill="auto"/>
            <w:noWrap/>
            <w:vAlign w:val="bottom"/>
            <w:hideMark/>
          </w:tcPr>
          <w:p w14:paraId="461221E5" w14:textId="77777777" w:rsidR="00A45A26" w:rsidRPr="00A45A26" w:rsidRDefault="00A45A26" w:rsidP="00A45A26">
            <w:pPr>
              <w:rPr>
                <w:rFonts w:cs="Arial"/>
              </w:rPr>
            </w:pPr>
            <w:r w:rsidRPr="00A45A26">
              <w:rPr>
                <w:rFonts w:cs="Arial"/>
              </w:rPr>
              <w:t xml:space="preserve">   New MDR-TB case</w:t>
            </w:r>
          </w:p>
        </w:tc>
        <w:tc>
          <w:tcPr>
            <w:tcW w:w="5110" w:type="dxa"/>
            <w:shd w:val="clear" w:color="auto" w:fill="auto"/>
            <w:noWrap/>
            <w:vAlign w:val="bottom"/>
            <w:hideMark/>
          </w:tcPr>
          <w:p w14:paraId="40AB1C0B" w14:textId="77777777" w:rsidR="00A45A26" w:rsidRPr="00A45A26" w:rsidRDefault="00A45A26" w:rsidP="00A45A26">
            <w:pPr>
              <w:rPr>
                <w:rFonts w:cs="Arial"/>
              </w:rPr>
            </w:pPr>
            <w:r w:rsidRPr="00A45A26">
              <w:rPr>
                <w:rFonts w:cs="Arial"/>
              </w:rPr>
              <w:t>2.33 (1.06, 5.14)</w:t>
            </w:r>
          </w:p>
        </w:tc>
      </w:tr>
      <w:tr w:rsidR="00A45A26" w:rsidRPr="00A45A26" w14:paraId="69A77A0F" w14:textId="77777777" w:rsidTr="00921EF9">
        <w:trPr>
          <w:trHeight w:val="255"/>
        </w:trPr>
        <w:tc>
          <w:tcPr>
            <w:tcW w:w="4024" w:type="dxa"/>
            <w:shd w:val="clear" w:color="auto" w:fill="auto"/>
            <w:noWrap/>
            <w:vAlign w:val="bottom"/>
          </w:tcPr>
          <w:p w14:paraId="12BAB4A7" w14:textId="77777777" w:rsidR="00A45A26" w:rsidRPr="00A45A26" w:rsidRDefault="00A45A26" w:rsidP="00A45A26">
            <w:pPr>
              <w:rPr>
                <w:rFonts w:cs="Arial"/>
              </w:rPr>
            </w:pPr>
            <w:r w:rsidRPr="00A45A26">
              <w:rPr>
                <w:rFonts w:cs="Arial"/>
              </w:rPr>
              <w:t>Non-smoker</w:t>
            </w:r>
          </w:p>
        </w:tc>
        <w:tc>
          <w:tcPr>
            <w:tcW w:w="5110" w:type="dxa"/>
            <w:shd w:val="clear" w:color="auto" w:fill="auto"/>
            <w:noWrap/>
            <w:vAlign w:val="bottom"/>
          </w:tcPr>
          <w:p w14:paraId="1FB12364" w14:textId="77777777" w:rsidR="00A45A26" w:rsidRPr="00A45A26" w:rsidRDefault="00A45A26" w:rsidP="00A45A26">
            <w:pPr>
              <w:rPr>
                <w:rFonts w:cs="Arial"/>
              </w:rPr>
            </w:pPr>
            <w:r w:rsidRPr="00A45A26">
              <w:rPr>
                <w:rFonts w:cs="Arial"/>
              </w:rPr>
              <w:t>Ref</w:t>
            </w:r>
          </w:p>
        </w:tc>
      </w:tr>
      <w:tr w:rsidR="00A45A26" w:rsidRPr="00A45A26" w14:paraId="6229B1BC" w14:textId="77777777" w:rsidTr="00921EF9">
        <w:trPr>
          <w:trHeight w:val="255"/>
        </w:trPr>
        <w:tc>
          <w:tcPr>
            <w:tcW w:w="4024" w:type="dxa"/>
            <w:shd w:val="clear" w:color="auto" w:fill="auto"/>
            <w:noWrap/>
            <w:vAlign w:val="bottom"/>
            <w:hideMark/>
          </w:tcPr>
          <w:p w14:paraId="59027D45" w14:textId="77777777" w:rsidR="00A45A26" w:rsidRPr="00A45A26" w:rsidRDefault="00A45A26" w:rsidP="00A45A26">
            <w:pPr>
              <w:rPr>
                <w:rFonts w:cs="Arial"/>
              </w:rPr>
            </w:pPr>
            <w:r w:rsidRPr="00A45A26">
              <w:rPr>
                <w:rFonts w:cs="Arial"/>
              </w:rPr>
              <w:t xml:space="preserve">   Smoker</w:t>
            </w:r>
          </w:p>
        </w:tc>
        <w:tc>
          <w:tcPr>
            <w:tcW w:w="5110" w:type="dxa"/>
            <w:shd w:val="clear" w:color="auto" w:fill="auto"/>
            <w:noWrap/>
            <w:vAlign w:val="bottom"/>
            <w:hideMark/>
          </w:tcPr>
          <w:p w14:paraId="4F8CA884" w14:textId="77777777" w:rsidR="00A45A26" w:rsidRPr="00A45A26" w:rsidRDefault="00A45A26" w:rsidP="00A45A26">
            <w:pPr>
              <w:rPr>
                <w:rFonts w:cs="Arial"/>
              </w:rPr>
            </w:pPr>
            <w:r w:rsidRPr="00A45A26">
              <w:rPr>
                <w:rFonts w:cs="Arial"/>
              </w:rPr>
              <w:t>1 (0.37, 2.73)</w:t>
            </w:r>
          </w:p>
        </w:tc>
      </w:tr>
      <w:tr w:rsidR="00A45A26" w:rsidRPr="00A45A26" w14:paraId="218E5A23" w14:textId="77777777" w:rsidTr="00921EF9">
        <w:trPr>
          <w:trHeight w:val="255"/>
        </w:trPr>
        <w:tc>
          <w:tcPr>
            <w:tcW w:w="4024" w:type="dxa"/>
            <w:shd w:val="clear" w:color="auto" w:fill="auto"/>
            <w:noWrap/>
            <w:vAlign w:val="bottom"/>
          </w:tcPr>
          <w:p w14:paraId="749454B5" w14:textId="77777777" w:rsidR="00A45A26" w:rsidRPr="00A45A26" w:rsidRDefault="00A45A26" w:rsidP="00A45A26">
            <w:pPr>
              <w:rPr>
                <w:rFonts w:cs="Arial"/>
              </w:rPr>
            </w:pPr>
            <w:r w:rsidRPr="00A45A26">
              <w:rPr>
                <w:rFonts w:cs="Arial"/>
              </w:rPr>
              <w:t>No co-morbidities</w:t>
            </w:r>
          </w:p>
        </w:tc>
        <w:tc>
          <w:tcPr>
            <w:tcW w:w="5110" w:type="dxa"/>
            <w:shd w:val="clear" w:color="auto" w:fill="auto"/>
            <w:noWrap/>
            <w:vAlign w:val="bottom"/>
          </w:tcPr>
          <w:p w14:paraId="798294AB" w14:textId="77777777" w:rsidR="00A45A26" w:rsidRPr="00A45A26" w:rsidRDefault="00A45A26" w:rsidP="00A45A26">
            <w:pPr>
              <w:rPr>
                <w:rFonts w:cs="Arial"/>
              </w:rPr>
            </w:pPr>
            <w:r w:rsidRPr="00A45A26">
              <w:rPr>
                <w:rFonts w:cs="Arial"/>
              </w:rPr>
              <w:t>Ref</w:t>
            </w:r>
          </w:p>
        </w:tc>
      </w:tr>
      <w:tr w:rsidR="00A45A26" w:rsidRPr="00A45A26" w14:paraId="7E7AD7AF" w14:textId="77777777" w:rsidTr="00921EF9">
        <w:trPr>
          <w:trHeight w:val="255"/>
        </w:trPr>
        <w:tc>
          <w:tcPr>
            <w:tcW w:w="4024" w:type="dxa"/>
            <w:shd w:val="clear" w:color="auto" w:fill="auto"/>
            <w:noWrap/>
            <w:vAlign w:val="bottom"/>
            <w:hideMark/>
          </w:tcPr>
          <w:p w14:paraId="6D24A77C" w14:textId="77777777" w:rsidR="00A45A26" w:rsidRPr="00A45A26" w:rsidRDefault="00A45A26" w:rsidP="00A45A26">
            <w:pPr>
              <w:rPr>
                <w:rFonts w:cs="Arial"/>
              </w:rPr>
            </w:pPr>
            <w:r w:rsidRPr="00A45A26">
              <w:rPr>
                <w:rFonts w:cs="Arial"/>
              </w:rPr>
              <w:t xml:space="preserve">   One or more co-morbidity</w:t>
            </w:r>
          </w:p>
        </w:tc>
        <w:tc>
          <w:tcPr>
            <w:tcW w:w="5110" w:type="dxa"/>
            <w:shd w:val="clear" w:color="auto" w:fill="auto"/>
            <w:noWrap/>
            <w:vAlign w:val="bottom"/>
            <w:hideMark/>
          </w:tcPr>
          <w:p w14:paraId="323A37C9" w14:textId="77777777" w:rsidR="00A45A26" w:rsidRPr="00A45A26" w:rsidRDefault="00A45A26" w:rsidP="00A45A26">
            <w:pPr>
              <w:rPr>
                <w:rFonts w:cs="Arial"/>
              </w:rPr>
            </w:pPr>
            <w:r w:rsidRPr="00A45A26">
              <w:rPr>
                <w:rFonts w:cs="Arial"/>
              </w:rPr>
              <w:t>2.88 (1.13, 7.33)</w:t>
            </w:r>
          </w:p>
        </w:tc>
      </w:tr>
      <w:tr w:rsidR="00A45A26" w:rsidRPr="00A45A26" w14:paraId="535BD266" w14:textId="77777777" w:rsidTr="00921EF9">
        <w:trPr>
          <w:trHeight w:val="255"/>
        </w:trPr>
        <w:tc>
          <w:tcPr>
            <w:tcW w:w="4024" w:type="dxa"/>
            <w:shd w:val="clear" w:color="auto" w:fill="auto"/>
            <w:noWrap/>
            <w:vAlign w:val="bottom"/>
          </w:tcPr>
          <w:p w14:paraId="49B14138" w14:textId="77777777" w:rsidR="00A45A26" w:rsidRPr="00A45A26" w:rsidRDefault="00A45A26" w:rsidP="00A45A26">
            <w:pPr>
              <w:rPr>
                <w:rFonts w:cs="Arial"/>
              </w:rPr>
            </w:pPr>
            <w:r w:rsidRPr="00A45A26">
              <w:rPr>
                <w:rFonts w:cs="Arial"/>
              </w:rPr>
              <w:t>Sought treatment for side effects</w:t>
            </w:r>
          </w:p>
        </w:tc>
        <w:tc>
          <w:tcPr>
            <w:tcW w:w="5110" w:type="dxa"/>
            <w:shd w:val="clear" w:color="auto" w:fill="auto"/>
            <w:noWrap/>
            <w:vAlign w:val="bottom"/>
          </w:tcPr>
          <w:p w14:paraId="301FE9DF" w14:textId="77777777" w:rsidR="00A45A26" w:rsidRPr="00A45A26" w:rsidRDefault="00A45A26" w:rsidP="00A45A26">
            <w:pPr>
              <w:rPr>
                <w:rFonts w:cs="Arial"/>
              </w:rPr>
            </w:pPr>
            <w:r w:rsidRPr="00A45A26">
              <w:rPr>
                <w:rFonts w:cs="Arial"/>
              </w:rPr>
              <w:t>Ref</w:t>
            </w:r>
          </w:p>
        </w:tc>
      </w:tr>
      <w:tr w:rsidR="00A45A26" w:rsidRPr="00A45A26" w14:paraId="340B0D65" w14:textId="77777777" w:rsidTr="00921EF9">
        <w:trPr>
          <w:trHeight w:val="255"/>
        </w:trPr>
        <w:tc>
          <w:tcPr>
            <w:tcW w:w="4024" w:type="dxa"/>
            <w:tcBorders>
              <w:bottom w:val="single" w:sz="4" w:space="0" w:color="auto"/>
            </w:tcBorders>
            <w:shd w:val="clear" w:color="auto" w:fill="auto"/>
            <w:noWrap/>
            <w:vAlign w:val="bottom"/>
            <w:hideMark/>
          </w:tcPr>
          <w:p w14:paraId="04A36A5A" w14:textId="77777777" w:rsidR="00A45A26" w:rsidRPr="00A45A26" w:rsidRDefault="00A45A26" w:rsidP="00A45A26">
            <w:pPr>
              <w:rPr>
                <w:rFonts w:cs="Arial"/>
              </w:rPr>
            </w:pPr>
            <w:r w:rsidRPr="00A45A26">
              <w:rPr>
                <w:rFonts w:cs="Arial"/>
              </w:rPr>
              <w:t xml:space="preserve">   Not sought treatment for side effects</w:t>
            </w:r>
          </w:p>
        </w:tc>
        <w:tc>
          <w:tcPr>
            <w:tcW w:w="5110" w:type="dxa"/>
            <w:tcBorders>
              <w:bottom w:val="single" w:sz="4" w:space="0" w:color="auto"/>
            </w:tcBorders>
            <w:shd w:val="clear" w:color="auto" w:fill="auto"/>
            <w:noWrap/>
            <w:vAlign w:val="bottom"/>
            <w:hideMark/>
          </w:tcPr>
          <w:p w14:paraId="0C33A344" w14:textId="77777777" w:rsidR="00A45A26" w:rsidRPr="00A45A26" w:rsidRDefault="00A45A26" w:rsidP="00A45A26">
            <w:pPr>
              <w:rPr>
                <w:rFonts w:cs="Arial"/>
              </w:rPr>
            </w:pPr>
            <w:r w:rsidRPr="00A45A26">
              <w:rPr>
                <w:rFonts w:cs="Arial"/>
              </w:rPr>
              <w:t>1.38 (0.63, 3.02)</w:t>
            </w:r>
          </w:p>
        </w:tc>
      </w:tr>
      <w:tr w:rsidR="00A45A26" w:rsidRPr="00A45A26" w14:paraId="5053BE1C" w14:textId="77777777" w:rsidTr="00921EF9">
        <w:trPr>
          <w:trHeight w:val="531"/>
        </w:trPr>
        <w:tc>
          <w:tcPr>
            <w:tcW w:w="9134" w:type="dxa"/>
            <w:gridSpan w:val="2"/>
            <w:tcBorders>
              <w:top w:val="single" w:sz="4" w:space="0" w:color="auto"/>
              <w:bottom w:val="single" w:sz="4" w:space="0" w:color="auto"/>
            </w:tcBorders>
            <w:shd w:val="clear" w:color="auto" w:fill="auto"/>
            <w:noWrap/>
            <w:vAlign w:val="bottom"/>
          </w:tcPr>
          <w:p w14:paraId="270D9D2E" w14:textId="77777777" w:rsidR="00A45A26" w:rsidRPr="00A45A26" w:rsidRDefault="00A45A26" w:rsidP="00A45A26">
            <w:pPr>
              <w:rPr>
                <w:rFonts w:cs="Arial"/>
              </w:rPr>
            </w:pPr>
            <w:r w:rsidRPr="00A45A26">
              <w:rPr>
                <w:rFonts w:cs="Arial"/>
              </w:rPr>
              <w:t xml:space="preserve">Ref = reference/comparison group for dummy coded categorical variable comparisons. N = 148 (SCID outcomes missing for 2 patients). Adjusted odds ratios are adjusted for all variables/levels listed in the table in a logistic regression model. 95% CIs are approximate Wald-based CIs. </w:t>
            </w:r>
            <w:r w:rsidRPr="00A45A26">
              <w:rPr>
                <w:rFonts w:cs="Arial"/>
                <w:vertAlign w:val="superscript"/>
              </w:rPr>
              <w:t>a</w:t>
            </w:r>
            <w:r w:rsidRPr="00A45A26">
              <w:rPr>
                <w:rFonts w:cs="Arial"/>
              </w:rPr>
              <w:t xml:space="preserve"> Days since treatment start and SCID diagnosis: numerical discrete variable (range = 3-138).</w:t>
            </w:r>
          </w:p>
        </w:tc>
      </w:tr>
    </w:tbl>
    <w:p w14:paraId="37903DD1" w14:textId="6D09EA01" w:rsidR="00A45A26" w:rsidRDefault="00A45A26" w:rsidP="004C2A00">
      <w:pPr>
        <w:rPr>
          <w:rFonts w:cs="Arial"/>
        </w:rPr>
      </w:pPr>
    </w:p>
    <w:p w14:paraId="30631E3A" w14:textId="77777777" w:rsidR="00A45A26" w:rsidRDefault="00A45A26">
      <w:pPr>
        <w:rPr>
          <w:rFonts w:cs="Arial"/>
        </w:rPr>
      </w:pPr>
      <w:r>
        <w:rPr>
          <w:rFonts w:cs="Arial"/>
        </w:rPr>
        <w:br w:type="page"/>
      </w:r>
    </w:p>
    <w:p w14:paraId="63B53C81" w14:textId="77777777" w:rsidR="00A45A26" w:rsidRPr="00A45A26" w:rsidRDefault="00A45A26" w:rsidP="00A45A26">
      <w:pPr>
        <w:rPr>
          <w:rFonts w:cs="Arial"/>
          <w:b/>
        </w:rPr>
      </w:pPr>
      <w:r w:rsidRPr="00A45A26">
        <w:rPr>
          <w:rFonts w:cs="Arial"/>
          <w:b/>
        </w:rPr>
        <w:t xml:space="preserve">Table 4: Qualitative interview participant characteristics </w:t>
      </w:r>
    </w:p>
    <w:tbl>
      <w:tblPr>
        <w:tblStyle w:val="TableGrid"/>
        <w:tblW w:w="5028" w:type="pct"/>
        <w:shd w:val="clear" w:color="auto" w:fill="FFFFFF" w:themeFill="background1"/>
        <w:tblLayout w:type="fixed"/>
        <w:tblLook w:val="04A0" w:firstRow="1" w:lastRow="0" w:firstColumn="1" w:lastColumn="0" w:noHBand="0" w:noVBand="1"/>
      </w:tblPr>
      <w:tblGrid>
        <w:gridCol w:w="1130"/>
        <w:gridCol w:w="707"/>
        <w:gridCol w:w="1276"/>
        <w:gridCol w:w="1135"/>
        <w:gridCol w:w="994"/>
        <w:gridCol w:w="1135"/>
        <w:gridCol w:w="1416"/>
        <w:gridCol w:w="1273"/>
      </w:tblGrid>
      <w:tr w:rsidR="00A45A26" w:rsidRPr="00A45A26" w14:paraId="17221E9E" w14:textId="77777777" w:rsidTr="00921EF9">
        <w:trPr>
          <w:trHeight w:val="290"/>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ADEF9CE" w14:textId="77777777" w:rsidR="00A45A26" w:rsidRPr="00A45A26" w:rsidRDefault="00A45A26" w:rsidP="00A45A26">
            <w:pPr>
              <w:spacing w:after="160" w:line="259" w:lineRule="auto"/>
              <w:rPr>
                <w:rFonts w:cs="Arial"/>
                <w:b/>
                <w:sz w:val="18"/>
                <w:szCs w:val="18"/>
              </w:rPr>
            </w:pPr>
            <w:r w:rsidRPr="00A45A26">
              <w:rPr>
                <w:rFonts w:cs="Arial"/>
                <w:b/>
                <w:sz w:val="18"/>
                <w:szCs w:val="18"/>
              </w:rPr>
              <w:t>Care-givers</w:t>
            </w:r>
          </w:p>
        </w:tc>
      </w:tr>
      <w:tr w:rsidR="00A45A26" w:rsidRPr="00A45A26" w14:paraId="0BDB57FF"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2FD5184" w14:textId="77777777" w:rsidR="00A45A26" w:rsidRPr="00A45A26" w:rsidRDefault="00A45A26" w:rsidP="00A45A26">
            <w:pPr>
              <w:spacing w:after="160" w:line="259" w:lineRule="auto"/>
              <w:rPr>
                <w:rFonts w:cs="Arial"/>
                <w:sz w:val="18"/>
                <w:szCs w:val="18"/>
              </w:rPr>
            </w:pPr>
            <w:r w:rsidRPr="00A45A26">
              <w:rPr>
                <w:rFonts w:cs="Arial"/>
                <w:sz w:val="18"/>
                <w:szCs w:val="18"/>
              </w:rPr>
              <w:t>Participant ID</w:t>
            </w:r>
          </w:p>
        </w:tc>
        <w:tc>
          <w:tcPr>
            <w:tcW w:w="390"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B2CFEAF" w14:textId="77777777" w:rsidR="00A45A26" w:rsidRPr="00A45A26" w:rsidRDefault="00A45A26" w:rsidP="00A45A26">
            <w:pPr>
              <w:spacing w:after="160" w:line="259" w:lineRule="auto"/>
              <w:rPr>
                <w:rFonts w:cs="Arial"/>
                <w:sz w:val="18"/>
                <w:szCs w:val="18"/>
              </w:rPr>
            </w:pPr>
            <w:r w:rsidRPr="00A45A26">
              <w:rPr>
                <w:rFonts w:cs="Arial"/>
                <w:sz w:val="18"/>
                <w:szCs w:val="18"/>
              </w:rPr>
              <w:t>Age</w:t>
            </w:r>
          </w:p>
        </w:tc>
        <w:tc>
          <w:tcPr>
            <w:tcW w:w="70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8334F3A" w14:textId="77777777" w:rsidR="00A45A26" w:rsidRPr="00A45A26" w:rsidRDefault="00A45A26" w:rsidP="00A45A26">
            <w:pPr>
              <w:spacing w:after="160" w:line="259" w:lineRule="auto"/>
              <w:rPr>
                <w:rFonts w:cs="Arial"/>
                <w:sz w:val="18"/>
                <w:szCs w:val="18"/>
              </w:rPr>
            </w:pPr>
            <w:r w:rsidRPr="00A45A26">
              <w:rPr>
                <w:rFonts w:cs="Arial"/>
                <w:sz w:val="18"/>
                <w:szCs w:val="18"/>
              </w:rPr>
              <w:t>Relationship with patient</w:t>
            </w:r>
          </w:p>
        </w:tc>
        <w:tc>
          <w:tcPr>
            <w:tcW w:w="626"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3731AC4" w14:textId="77777777" w:rsidR="00A45A26" w:rsidRPr="00A45A26" w:rsidRDefault="00A45A26" w:rsidP="00A45A26">
            <w:pPr>
              <w:spacing w:after="160" w:line="259" w:lineRule="auto"/>
              <w:rPr>
                <w:rFonts w:cs="Arial"/>
                <w:sz w:val="18"/>
                <w:szCs w:val="18"/>
              </w:rPr>
            </w:pPr>
            <w:r w:rsidRPr="00A45A26">
              <w:rPr>
                <w:rFonts w:cs="Arial"/>
                <w:sz w:val="18"/>
                <w:szCs w:val="18"/>
              </w:rPr>
              <w:t>Education</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01D6C1F9" w14:textId="77777777" w:rsidR="00A45A26" w:rsidRPr="00A45A26" w:rsidRDefault="00A45A26" w:rsidP="00A45A26">
            <w:pPr>
              <w:spacing w:after="160" w:line="259" w:lineRule="auto"/>
              <w:rPr>
                <w:rFonts w:cs="Arial"/>
                <w:sz w:val="18"/>
                <w:szCs w:val="18"/>
              </w:rPr>
            </w:pPr>
            <w:r w:rsidRPr="00A45A26">
              <w:rPr>
                <w:rFonts w:cs="Arial"/>
                <w:sz w:val="18"/>
                <w:szCs w:val="18"/>
              </w:rPr>
              <w:t>Home location</w:t>
            </w:r>
          </w:p>
        </w:tc>
        <w:tc>
          <w:tcPr>
            <w:tcW w:w="626"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26DC2F19" w14:textId="77777777" w:rsidR="00A45A26" w:rsidRPr="00A45A26" w:rsidRDefault="00A45A26" w:rsidP="00A45A26">
            <w:pPr>
              <w:spacing w:after="160" w:line="259" w:lineRule="auto"/>
              <w:rPr>
                <w:rFonts w:cs="Arial"/>
                <w:sz w:val="18"/>
                <w:szCs w:val="18"/>
              </w:rPr>
            </w:pPr>
            <w:r w:rsidRPr="00A45A26">
              <w:rPr>
                <w:rFonts w:cs="Arial"/>
                <w:sz w:val="18"/>
                <w:szCs w:val="18"/>
              </w:rPr>
              <w:t>Marital status</w:t>
            </w:r>
          </w:p>
        </w:tc>
        <w:tc>
          <w:tcPr>
            <w:tcW w:w="781"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8078A0E" w14:textId="77777777" w:rsidR="00A45A26" w:rsidRPr="00A45A26" w:rsidRDefault="00A45A26" w:rsidP="00A45A26">
            <w:pPr>
              <w:spacing w:after="160" w:line="259" w:lineRule="auto"/>
              <w:rPr>
                <w:rFonts w:cs="Arial"/>
                <w:sz w:val="18"/>
                <w:szCs w:val="18"/>
              </w:rPr>
            </w:pPr>
            <w:r w:rsidRPr="00A45A26">
              <w:rPr>
                <w:rFonts w:cs="Arial"/>
                <w:sz w:val="18"/>
                <w:szCs w:val="18"/>
              </w:rPr>
              <w:t>Occupation</w:t>
            </w:r>
          </w:p>
        </w:tc>
        <w:tc>
          <w:tcPr>
            <w:tcW w:w="702"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04481FDE" w14:textId="77777777" w:rsidR="00A45A26" w:rsidRPr="00A45A26" w:rsidRDefault="00A45A26" w:rsidP="00A45A26">
            <w:pPr>
              <w:spacing w:after="160" w:line="259" w:lineRule="auto"/>
              <w:rPr>
                <w:rFonts w:cs="Arial"/>
                <w:sz w:val="18"/>
                <w:szCs w:val="18"/>
              </w:rPr>
            </w:pPr>
            <w:r w:rsidRPr="00A45A26">
              <w:rPr>
                <w:rFonts w:cs="Arial"/>
                <w:sz w:val="18"/>
                <w:szCs w:val="18"/>
              </w:rPr>
              <w:t>Sex of patient</w:t>
            </w:r>
          </w:p>
          <w:p w14:paraId="5DFB46E3" w14:textId="77777777" w:rsidR="00A45A26" w:rsidRPr="00A45A26" w:rsidRDefault="00A45A26" w:rsidP="00A45A26">
            <w:pPr>
              <w:spacing w:after="160" w:line="259" w:lineRule="auto"/>
              <w:rPr>
                <w:rFonts w:cs="Arial"/>
                <w:sz w:val="18"/>
                <w:szCs w:val="18"/>
              </w:rPr>
            </w:pPr>
          </w:p>
        </w:tc>
      </w:tr>
      <w:tr w:rsidR="00A45A26" w:rsidRPr="00A45A26" w14:paraId="62604114"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CB89D4" w14:textId="77777777" w:rsidR="00A45A26" w:rsidRPr="00A45A26" w:rsidRDefault="00A45A26" w:rsidP="00A45A26">
            <w:pPr>
              <w:spacing w:after="160" w:line="259" w:lineRule="auto"/>
              <w:rPr>
                <w:rFonts w:cs="Arial"/>
                <w:sz w:val="18"/>
                <w:szCs w:val="18"/>
              </w:rPr>
            </w:pPr>
            <w:r w:rsidRPr="00A45A26">
              <w:rPr>
                <w:rFonts w:cs="Arial"/>
                <w:sz w:val="18"/>
                <w:szCs w:val="18"/>
              </w:rPr>
              <w:t>CGFP01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39310"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tcPr>
          <w:p w14:paraId="73DD88D4" w14:textId="77777777" w:rsidR="00A45A26" w:rsidRPr="00A45A26" w:rsidRDefault="00A45A26" w:rsidP="00A45A26">
            <w:pPr>
              <w:spacing w:after="160" w:line="259" w:lineRule="auto"/>
              <w:rPr>
                <w:rFonts w:cs="Arial"/>
                <w:sz w:val="18"/>
                <w:szCs w:val="18"/>
              </w:rPr>
            </w:pPr>
            <w:r w:rsidRPr="00A45A26">
              <w:rPr>
                <w:rFonts w:cs="Arial"/>
                <w:sz w:val="18"/>
                <w:szCs w:val="18"/>
              </w:rPr>
              <w:t>Mother</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719D1" w14:textId="77777777" w:rsidR="00A45A26" w:rsidRPr="00A45A26" w:rsidRDefault="00A45A26" w:rsidP="00A45A26">
            <w:pPr>
              <w:spacing w:after="160" w:line="259" w:lineRule="auto"/>
              <w:rPr>
                <w:rFonts w:cs="Arial"/>
                <w:sz w:val="18"/>
                <w:szCs w:val="18"/>
              </w:rPr>
            </w:pPr>
            <w:r w:rsidRPr="00A45A26">
              <w:rPr>
                <w:rFonts w:cs="Arial"/>
                <w:sz w:val="18"/>
                <w:szCs w:val="18"/>
              </w:rPr>
              <w:t>No formal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61083"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B44429"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A7B92D"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7DCDA"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r>
      <w:tr w:rsidR="00A45A26" w:rsidRPr="00A45A26" w14:paraId="7E97852C"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AD8AB6" w14:textId="77777777" w:rsidR="00A45A26" w:rsidRPr="00A45A26" w:rsidRDefault="00A45A26" w:rsidP="00A45A26">
            <w:pPr>
              <w:spacing w:after="160" w:line="259" w:lineRule="auto"/>
              <w:rPr>
                <w:rFonts w:cs="Arial"/>
                <w:sz w:val="18"/>
                <w:szCs w:val="18"/>
              </w:rPr>
            </w:pPr>
            <w:r w:rsidRPr="00A45A26">
              <w:rPr>
                <w:rFonts w:cs="Arial"/>
                <w:sz w:val="18"/>
                <w:szCs w:val="18"/>
              </w:rPr>
              <w:t>CGFP02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F37EB"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tcPr>
          <w:p w14:paraId="7200F701" w14:textId="77777777" w:rsidR="00A45A26" w:rsidRPr="00A45A26" w:rsidRDefault="00A45A26" w:rsidP="00A45A26">
            <w:pPr>
              <w:spacing w:after="160" w:line="259" w:lineRule="auto"/>
              <w:rPr>
                <w:rFonts w:cs="Arial"/>
                <w:sz w:val="18"/>
                <w:szCs w:val="18"/>
              </w:rPr>
            </w:pPr>
            <w:r w:rsidRPr="00A45A26">
              <w:rPr>
                <w:rFonts w:cs="Arial"/>
                <w:sz w:val="18"/>
                <w:szCs w:val="18"/>
              </w:rPr>
              <w:t>Mother</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10C9E4" w14:textId="77777777" w:rsidR="00A45A26" w:rsidRPr="00A45A26" w:rsidRDefault="00A45A26" w:rsidP="00A45A26">
            <w:pPr>
              <w:spacing w:after="160" w:line="259" w:lineRule="auto"/>
              <w:rPr>
                <w:rFonts w:cs="Arial"/>
                <w:sz w:val="18"/>
                <w:szCs w:val="18"/>
              </w:rPr>
            </w:pPr>
            <w:r w:rsidRPr="00A45A26">
              <w:rPr>
                <w:rFonts w:cs="Arial"/>
                <w:sz w:val="18"/>
                <w:szCs w:val="18"/>
              </w:rPr>
              <w:t>Primary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1DF24A"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4DF24"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51553F"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044AE"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r>
      <w:tr w:rsidR="00A45A26" w:rsidRPr="00A45A26" w14:paraId="091A32C8"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CF182" w14:textId="77777777" w:rsidR="00A45A26" w:rsidRPr="00A45A26" w:rsidRDefault="00A45A26" w:rsidP="00A45A26">
            <w:pPr>
              <w:spacing w:after="160" w:line="259" w:lineRule="auto"/>
              <w:rPr>
                <w:rFonts w:cs="Arial"/>
                <w:sz w:val="18"/>
                <w:szCs w:val="18"/>
              </w:rPr>
            </w:pPr>
            <w:r w:rsidRPr="00A45A26">
              <w:rPr>
                <w:rFonts w:cs="Arial"/>
                <w:sz w:val="18"/>
                <w:szCs w:val="18"/>
              </w:rPr>
              <w:t>CGMP01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9B9E7"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tcPr>
          <w:p w14:paraId="53CDBD2A" w14:textId="77777777" w:rsidR="00A45A26" w:rsidRPr="00A45A26" w:rsidRDefault="00A45A26" w:rsidP="00A45A26">
            <w:pPr>
              <w:spacing w:after="160" w:line="259" w:lineRule="auto"/>
              <w:rPr>
                <w:rFonts w:cs="Arial"/>
                <w:sz w:val="18"/>
                <w:szCs w:val="18"/>
              </w:rPr>
            </w:pPr>
            <w:r w:rsidRPr="00A45A26">
              <w:rPr>
                <w:rFonts w:cs="Arial"/>
                <w:sz w:val="18"/>
                <w:szCs w:val="18"/>
              </w:rPr>
              <w:t>Mother</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DEE3D4" w14:textId="77777777" w:rsidR="00A45A26" w:rsidRPr="00A45A26" w:rsidRDefault="00A45A26" w:rsidP="00A45A26">
            <w:pPr>
              <w:spacing w:after="160" w:line="259" w:lineRule="auto"/>
              <w:rPr>
                <w:rFonts w:cs="Arial"/>
                <w:sz w:val="18"/>
                <w:szCs w:val="18"/>
              </w:rPr>
            </w:pPr>
            <w:r w:rsidRPr="00A45A26">
              <w:rPr>
                <w:rFonts w:cs="Arial"/>
                <w:sz w:val="18"/>
                <w:szCs w:val="18"/>
              </w:rPr>
              <w:t>No formal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D7013F"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7C7CB"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8A4F8"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FD7911"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r>
      <w:tr w:rsidR="00A45A26" w:rsidRPr="00A45A26" w14:paraId="1E233A7C"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ADF93" w14:textId="77777777" w:rsidR="00A45A26" w:rsidRPr="00A45A26" w:rsidRDefault="00A45A26" w:rsidP="00A45A26">
            <w:pPr>
              <w:spacing w:after="160" w:line="259" w:lineRule="auto"/>
              <w:rPr>
                <w:rFonts w:cs="Arial"/>
                <w:sz w:val="18"/>
                <w:szCs w:val="18"/>
              </w:rPr>
            </w:pPr>
            <w:r w:rsidRPr="00A45A26">
              <w:rPr>
                <w:rFonts w:cs="Arial"/>
                <w:sz w:val="18"/>
                <w:szCs w:val="18"/>
              </w:rPr>
              <w:t>CGMP02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FFD7BB"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3E5CA" w14:textId="77777777" w:rsidR="00A45A26" w:rsidRPr="00A45A26" w:rsidRDefault="00A45A26" w:rsidP="00A45A26">
            <w:pPr>
              <w:spacing w:after="160" w:line="259" w:lineRule="auto"/>
              <w:rPr>
                <w:rFonts w:cs="Arial"/>
                <w:sz w:val="18"/>
                <w:szCs w:val="18"/>
              </w:rPr>
            </w:pPr>
            <w:r w:rsidRPr="00A45A26">
              <w:rPr>
                <w:rFonts w:cs="Arial"/>
                <w:sz w:val="18"/>
                <w:szCs w:val="18"/>
              </w:rPr>
              <w:t>Wife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9373D1" w14:textId="77777777" w:rsidR="00A45A26" w:rsidRPr="00A45A26" w:rsidRDefault="00A45A26" w:rsidP="00A45A26">
            <w:pPr>
              <w:spacing w:after="160" w:line="259" w:lineRule="auto"/>
              <w:rPr>
                <w:rFonts w:cs="Arial"/>
                <w:sz w:val="18"/>
                <w:szCs w:val="18"/>
              </w:rPr>
            </w:pPr>
            <w:r w:rsidRPr="00A45A26">
              <w:rPr>
                <w:rFonts w:cs="Arial"/>
                <w:sz w:val="18"/>
                <w:szCs w:val="18"/>
              </w:rPr>
              <w:t>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ECEF3"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E618B1"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4E2506"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EF5881"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r>
      <w:tr w:rsidR="00A45A26" w:rsidRPr="00A45A26" w14:paraId="0FEA0757" w14:textId="77777777" w:rsidTr="00921EF9">
        <w:trPr>
          <w:trHeight w:val="290"/>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88776EC" w14:textId="77777777" w:rsidR="00A45A26" w:rsidRPr="00A45A26" w:rsidRDefault="00A45A26" w:rsidP="00A45A26">
            <w:pPr>
              <w:spacing w:after="160" w:line="259" w:lineRule="auto"/>
              <w:rPr>
                <w:rFonts w:cs="Arial"/>
                <w:b/>
                <w:sz w:val="18"/>
                <w:szCs w:val="18"/>
              </w:rPr>
            </w:pPr>
            <w:r w:rsidRPr="00A45A26">
              <w:rPr>
                <w:rFonts w:cs="Arial"/>
                <w:b/>
                <w:sz w:val="18"/>
                <w:szCs w:val="18"/>
              </w:rPr>
              <w:t>Patients, cured and on treatment</w:t>
            </w:r>
          </w:p>
        </w:tc>
      </w:tr>
      <w:tr w:rsidR="00A45A26" w:rsidRPr="00A45A26" w14:paraId="2A9ED070"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E7E6E6" w:themeFill="background2"/>
            <w:noWrap/>
          </w:tcPr>
          <w:p w14:paraId="202852A6" w14:textId="77777777" w:rsidR="00A45A26" w:rsidRPr="00A45A26" w:rsidRDefault="00A45A26" w:rsidP="00A45A26">
            <w:pPr>
              <w:spacing w:after="160" w:line="259" w:lineRule="auto"/>
              <w:rPr>
                <w:rFonts w:cs="Arial"/>
                <w:sz w:val="18"/>
                <w:szCs w:val="18"/>
              </w:rPr>
            </w:pPr>
            <w:r w:rsidRPr="00A45A26">
              <w:rPr>
                <w:rFonts w:cs="Arial"/>
                <w:sz w:val="18"/>
                <w:szCs w:val="18"/>
              </w:rPr>
              <w:t>Participant ID</w:t>
            </w:r>
          </w:p>
        </w:tc>
        <w:tc>
          <w:tcPr>
            <w:tcW w:w="390" w:type="pct"/>
            <w:tcBorders>
              <w:top w:val="single" w:sz="4" w:space="0" w:color="auto"/>
              <w:left w:val="single" w:sz="4" w:space="0" w:color="auto"/>
              <w:bottom w:val="single" w:sz="4" w:space="0" w:color="auto"/>
              <w:right w:val="single" w:sz="4" w:space="0" w:color="auto"/>
            </w:tcBorders>
            <w:shd w:val="clear" w:color="auto" w:fill="E7E6E6" w:themeFill="background2"/>
          </w:tcPr>
          <w:p w14:paraId="45F76D11" w14:textId="77777777" w:rsidR="00A45A26" w:rsidRPr="00A45A26" w:rsidRDefault="00A45A26" w:rsidP="00A45A26">
            <w:pPr>
              <w:spacing w:after="160" w:line="259" w:lineRule="auto"/>
              <w:rPr>
                <w:rFonts w:cs="Arial"/>
                <w:sz w:val="18"/>
                <w:szCs w:val="18"/>
              </w:rPr>
            </w:pPr>
            <w:r w:rsidRPr="00A45A26">
              <w:rPr>
                <w:rFonts w:cs="Arial"/>
                <w:sz w:val="18"/>
                <w:szCs w:val="18"/>
              </w:rPr>
              <w:t>Age</w:t>
            </w:r>
          </w:p>
        </w:tc>
        <w:tc>
          <w:tcPr>
            <w:tcW w:w="704" w:type="pct"/>
            <w:tcBorders>
              <w:top w:val="single" w:sz="4" w:space="0" w:color="auto"/>
              <w:left w:val="single" w:sz="4" w:space="0" w:color="auto"/>
              <w:bottom w:val="single" w:sz="4" w:space="0" w:color="auto"/>
              <w:right w:val="single" w:sz="4" w:space="0" w:color="auto"/>
            </w:tcBorders>
            <w:shd w:val="clear" w:color="auto" w:fill="E7E6E6" w:themeFill="background2"/>
          </w:tcPr>
          <w:p w14:paraId="401FF8F2" w14:textId="77777777" w:rsidR="00A45A26" w:rsidRPr="00A45A26" w:rsidRDefault="00A45A26" w:rsidP="00A45A26">
            <w:pPr>
              <w:spacing w:after="160" w:line="259" w:lineRule="auto"/>
              <w:rPr>
                <w:rFonts w:cs="Arial"/>
                <w:sz w:val="18"/>
                <w:szCs w:val="18"/>
              </w:rPr>
            </w:pPr>
            <w:r w:rsidRPr="00A45A26">
              <w:rPr>
                <w:rFonts w:cs="Arial"/>
                <w:sz w:val="18"/>
                <w:szCs w:val="18"/>
              </w:rPr>
              <w:t>Sex</w:t>
            </w:r>
          </w:p>
        </w:tc>
        <w:tc>
          <w:tcPr>
            <w:tcW w:w="626" w:type="pct"/>
            <w:tcBorders>
              <w:top w:val="single" w:sz="4" w:space="0" w:color="auto"/>
              <w:left w:val="single" w:sz="4" w:space="0" w:color="auto"/>
              <w:bottom w:val="single" w:sz="4" w:space="0" w:color="auto"/>
              <w:right w:val="single" w:sz="4" w:space="0" w:color="auto"/>
            </w:tcBorders>
            <w:shd w:val="clear" w:color="auto" w:fill="E7E6E6" w:themeFill="background2"/>
          </w:tcPr>
          <w:p w14:paraId="259E389A" w14:textId="77777777" w:rsidR="00A45A26" w:rsidRPr="00A45A26" w:rsidRDefault="00A45A26" w:rsidP="00A45A26">
            <w:pPr>
              <w:spacing w:after="160" w:line="259" w:lineRule="auto"/>
              <w:rPr>
                <w:rFonts w:cs="Arial"/>
                <w:sz w:val="18"/>
                <w:szCs w:val="18"/>
              </w:rPr>
            </w:pPr>
            <w:r w:rsidRPr="00A45A26">
              <w:rPr>
                <w:rFonts w:cs="Arial"/>
                <w:sz w:val="18"/>
                <w:szCs w:val="18"/>
              </w:rPr>
              <w:t>Education</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Pr>
          <w:p w14:paraId="41EE39DF" w14:textId="77777777" w:rsidR="00A45A26" w:rsidRPr="00A45A26" w:rsidRDefault="00A45A26" w:rsidP="00A45A26">
            <w:pPr>
              <w:spacing w:after="160" w:line="259" w:lineRule="auto"/>
              <w:rPr>
                <w:rFonts w:cs="Arial"/>
                <w:sz w:val="18"/>
                <w:szCs w:val="18"/>
              </w:rPr>
            </w:pPr>
            <w:r w:rsidRPr="00A45A26">
              <w:rPr>
                <w:rFonts w:cs="Arial"/>
                <w:sz w:val="18"/>
                <w:szCs w:val="18"/>
              </w:rPr>
              <w:t>Home location</w:t>
            </w:r>
          </w:p>
        </w:tc>
        <w:tc>
          <w:tcPr>
            <w:tcW w:w="626" w:type="pct"/>
            <w:tcBorders>
              <w:top w:val="single" w:sz="4" w:space="0" w:color="auto"/>
              <w:left w:val="single" w:sz="4" w:space="0" w:color="auto"/>
              <w:bottom w:val="single" w:sz="4" w:space="0" w:color="auto"/>
              <w:right w:val="single" w:sz="4" w:space="0" w:color="auto"/>
            </w:tcBorders>
            <w:shd w:val="clear" w:color="auto" w:fill="E7E6E6" w:themeFill="background2"/>
          </w:tcPr>
          <w:p w14:paraId="6B2EF640" w14:textId="77777777" w:rsidR="00A45A26" w:rsidRPr="00A45A26" w:rsidRDefault="00A45A26" w:rsidP="00A45A26">
            <w:pPr>
              <w:spacing w:after="160" w:line="259" w:lineRule="auto"/>
              <w:rPr>
                <w:rFonts w:cs="Arial"/>
                <w:sz w:val="18"/>
                <w:szCs w:val="18"/>
              </w:rPr>
            </w:pPr>
            <w:r w:rsidRPr="00A45A26">
              <w:rPr>
                <w:rFonts w:cs="Arial"/>
                <w:sz w:val="18"/>
                <w:szCs w:val="18"/>
              </w:rPr>
              <w:t>Marital status</w:t>
            </w:r>
          </w:p>
        </w:tc>
        <w:tc>
          <w:tcPr>
            <w:tcW w:w="148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A9F814" w14:textId="77777777" w:rsidR="00A45A26" w:rsidRPr="00A45A26" w:rsidRDefault="00A45A26" w:rsidP="00A45A26">
            <w:pPr>
              <w:spacing w:after="160" w:line="259" w:lineRule="auto"/>
              <w:rPr>
                <w:rFonts w:cs="Arial"/>
                <w:sz w:val="18"/>
                <w:szCs w:val="18"/>
              </w:rPr>
            </w:pPr>
            <w:r w:rsidRPr="00A45A26">
              <w:rPr>
                <w:rFonts w:cs="Arial"/>
                <w:sz w:val="18"/>
                <w:szCs w:val="18"/>
              </w:rPr>
              <w:t>Occupation</w:t>
            </w:r>
          </w:p>
        </w:tc>
      </w:tr>
      <w:tr w:rsidR="00A45A26" w:rsidRPr="00A45A26" w14:paraId="6C394178"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F22DE" w14:textId="77777777" w:rsidR="00A45A26" w:rsidRPr="00A45A26" w:rsidRDefault="00A45A26" w:rsidP="00A45A26">
            <w:pPr>
              <w:spacing w:after="160" w:line="259" w:lineRule="auto"/>
              <w:rPr>
                <w:rFonts w:cs="Arial"/>
                <w:sz w:val="18"/>
                <w:szCs w:val="18"/>
              </w:rPr>
            </w:pPr>
            <w:r w:rsidRPr="00A45A26">
              <w:rPr>
                <w:rFonts w:cs="Arial"/>
                <w:sz w:val="18"/>
                <w:szCs w:val="18"/>
              </w:rPr>
              <w:t>CPF01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971BF"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D70B9"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0A35DC" w14:textId="77777777" w:rsidR="00A45A26" w:rsidRPr="00A45A26" w:rsidRDefault="00A45A26" w:rsidP="00A45A26">
            <w:pPr>
              <w:spacing w:after="160" w:line="259" w:lineRule="auto"/>
              <w:rPr>
                <w:rFonts w:cs="Arial"/>
                <w:sz w:val="18"/>
                <w:szCs w:val="18"/>
              </w:rPr>
            </w:pPr>
            <w:r w:rsidRPr="00A45A26">
              <w:rPr>
                <w:rFonts w:cs="Arial"/>
                <w:sz w:val="18"/>
                <w:szCs w:val="18"/>
              </w:rPr>
              <w:t>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C10BCA"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EE408B" w14:textId="77777777" w:rsidR="00A45A26" w:rsidRPr="00A45A26" w:rsidRDefault="00A45A26" w:rsidP="00A45A26">
            <w:pPr>
              <w:spacing w:after="160" w:line="259" w:lineRule="auto"/>
              <w:rPr>
                <w:rFonts w:cs="Arial"/>
                <w:sz w:val="18"/>
                <w:szCs w:val="18"/>
              </w:rPr>
            </w:pPr>
            <w:r w:rsidRPr="00A45A26">
              <w:rPr>
                <w:rFonts w:cs="Arial"/>
                <w:sz w:val="18"/>
                <w:szCs w:val="18"/>
              </w:rPr>
              <w:t>Widow</w:t>
            </w:r>
          </w:p>
        </w:tc>
        <w:tc>
          <w:tcPr>
            <w:tcW w:w="1483" w:type="pct"/>
            <w:gridSpan w:val="2"/>
            <w:tcBorders>
              <w:top w:val="single" w:sz="4" w:space="0" w:color="auto"/>
              <w:left w:val="single" w:sz="4" w:space="0" w:color="auto"/>
              <w:right w:val="single" w:sz="4" w:space="0" w:color="auto"/>
            </w:tcBorders>
            <w:shd w:val="clear" w:color="auto" w:fill="FFFFFF" w:themeFill="background1"/>
            <w:noWrap/>
            <w:hideMark/>
          </w:tcPr>
          <w:p w14:paraId="6F2EC738" w14:textId="77777777" w:rsidR="00A45A26" w:rsidRPr="00A45A26" w:rsidRDefault="00A45A26" w:rsidP="00A45A26">
            <w:pPr>
              <w:spacing w:after="160" w:line="259" w:lineRule="auto"/>
              <w:rPr>
                <w:rFonts w:cs="Arial"/>
                <w:sz w:val="18"/>
                <w:szCs w:val="18"/>
              </w:rPr>
            </w:pPr>
            <w:r w:rsidRPr="00A45A26">
              <w:rPr>
                <w:rFonts w:cs="Arial"/>
                <w:sz w:val="18"/>
                <w:szCs w:val="18"/>
              </w:rPr>
              <w:t>Unemployed</w:t>
            </w:r>
          </w:p>
          <w:p w14:paraId="709DAE6B" w14:textId="77777777" w:rsidR="00A45A26" w:rsidRPr="00A45A26" w:rsidRDefault="00A45A26" w:rsidP="00A45A26">
            <w:pPr>
              <w:spacing w:after="160" w:line="259" w:lineRule="auto"/>
              <w:rPr>
                <w:rFonts w:cs="Arial"/>
                <w:sz w:val="18"/>
                <w:szCs w:val="18"/>
              </w:rPr>
            </w:pPr>
          </w:p>
        </w:tc>
      </w:tr>
      <w:tr w:rsidR="00A45A26" w:rsidRPr="00A45A26" w14:paraId="1FDD9B3F"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18982" w14:textId="77777777" w:rsidR="00A45A26" w:rsidRPr="00A45A26" w:rsidRDefault="00A45A26" w:rsidP="00A45A26">
            <w:pPr>
              <w:spacing w:after="160" w:line="259" w:lineRule="auto"/>
              <w:rPr>
                <w:rFonts w:cs="Arial"/>
                <w:sz w:val="18"/>
                <w:szCs w:val="18"/>
              </w:rPr>
            </w:pPr>
            <w:r w:rsidRPr="00A45A26">
              <w:rPr>
                <w:rFonts w:cs="Arial"/>
                <w:sz w:val="18"/>
                <w:szCs w:val="18"/>
              </w:rPr>
              <w:t>CPF02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5363D"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E9F4B"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01F7FA" w14:textId="77777777" w:rsidR="00A45A26" w:rsidRPr="00A45A26" w:rsidRDefault="00A45A26" w:rsidP="00A45A26">
            <w:pPr>
              <w:spacing w:after="160" w:line="259" w:lineRule="auto"/>
              <w:rPr>
                <w:rFonts w:cs="Arial"/>
                <w:sz w:val="18"/>
                <w:szCs w:val="18"/>
              </w:rPr>
            </w:pPr>
            <w:r w:rsidRPr="00A45A26">
              <w:rPr>
                <w:rFonts w:cs="Arial"/>
                <w:sz w:val="18"/>
                <w:szCs w:val="18"/>
              </w:rPr>
              <w:t>Higher 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33C10" w14:textId="77777777" w:rsidR="00A45A26" w:rsidRPr="00A45A26" w:rsidRDefault="00A45A26" w:rsidP="00A45A26">
            <w:pPr>
              <w:spacing w:after="160" w:line="259" w:lineRule="auto"/>
              <w:rPr>
                <w:rFonts w:cs="Arial"/>
                <w:sz w:val="18"/>
                <w:szCs w:val="18"/>
              </w:rPr>
            </w:pPr>
            <w:r w:rsidRPr="00A45A26">
              <w:rPr>
                <w:rFonts w:cs="Arial"/>
                <w:sz w:val="18"/>
                <w:szCs w:val="18"/>
              </w:rPr>
              <w:t>Urban</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741098" w14:textId="77777777" w:rsidR="00A45A26" w:rsidRPr="00A45A26" w:rsidRDefault="00A45A26" w:rsidP="00A45A26">
            <w:pPr>
              <w:spacing w:after="160" w:line="259" w:lineRule="auto"/>
              <w:rPr>
                <w:rFonts w:cs="Arial"/>
                <w:sz w:val="18"/>
                <w:szCs w:val="18"/>
              </w:rPr>
            </w:pPr>
            <w:r w:rsidRPr="00A45A26">
              <w:rPr>
                <w:rFonts w:cs="Arial"/>
                <w:sz w:val="18"/>
                <w:szCs w:val="18"/>
              </w:rPr>
              <w:t>Unmarried</w:t>
            </w:r>
          </w:p>
        </w:tc>
        <w:tc>
          <w:tcPr>
            <w:tcW w:w="1483" w:type="pct"/>
            <w:gridSpan w:val="2"/>
            <w:tcBorders>
              <w:left w:val="single" w:sz="4" w:space="0" w:color="auto"/>
              <w:right w:val="single" w:sz="4" w:space="0" w:color="auto"/>
            </w:tcBorders>
            <w:shd w:val="clear" w:color="auto" w:fill="FFFFFF" w:themeFill="background1"/>
            <w:noWrap/>
            <w:hideMark/>
          </w:tcPr>
          <w:p w14:paraId="25AD8ECE" w14:textId="77777777" w:rsidR="00A45A26" w:rsidRPr="00A45A26" w:rsidRDefault="00A45A26" w:rsidP="00A45A26">
            <w:pPr>
              <w:spacing w:after="160" w:line="259" w:lineRule="auto"/>
              <w:rPr>
                <w:rFonts w:cs="Arial"/>
                <w:sz w:val="18"/>
                <w:szCs w:val="18"/>
              </w:rPr>
            </w:pPr>
            <w:r w:rsidRPr="00A45A26">
              <w:rPr>
                <w:rFonts w:cs="Arial"/>
                <w:sz w:val="18"/>
                <w:szCs w:val="18"/>
              </w:rPr>
              <w:t>Student</w:t>
            </w:r>
          </w:p>
          <w:p w14:paraId="0E4C4AC8" w14:textId="77777777" w:rsidR="00A45A26" w:rsidRPr="00A45A26" w:rsidRDefault="00A45A26" w:rsidP="00A45A26">
            <w:pPr>
              <w:spacing w:after="160" w:line="259" w:lineRule="auto"/>
              <w:rPr>
                <w:rFonts w:cs="Arial"/>
                <w:sz w:val="18"/>
                <w:szCs w:val="18"/>
              </w:rPr>
            </w:pPr>
          </w:p>
        </w:tc>
      </w:tr>
      <w:tr w:rsidR="00A45A26" w:rsidRPr="00A45A26" w14:paraId="13E7B27A"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998965" w14:textId="77777777" w:rsidR="00A45A26" w:rsidRPr="00A45A26" w:rsidRDefault="00A45A26" w:rsidP="00A45A26">
            <w:pPr>
              <w:spacing w:after="160" w:line="259" w:lineRule="auto"/>
              <w:rPr>
                <w:rFonts w:cs="Arial"/>
                <w:sz w:val="18"/>
                <w:szCs w:val="18"/>
              </w:rPr>
            </w:pPr>
            <w:r w:rsidRPr="00A45A26">
              <w:rPr>
                <w:rFonts w:cs="Arial"/>
                <w:sz w:val="18"/>
                <w:szCs w:val="18"/>
              </w:rPr>
              <w:t>CPM01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38A270"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C65C0"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984007" w14:textId="77777777" w:rsidR="00A45A26" w:rsidRPr="00A45A26" w:rsidRDefault="00A45A26" w:rsidP="00A45A26">
            <w:pPr>
              <w:spacing w:after="160" w:line="259" w:lineRule="auto"/>
              <w:rPr>
                <w:rFonts w:cs="Arial"/>
                <w:sz w:val="18"/>
                <w:szCs w:val="18"/>
              </w:rPr>
            </w:pPr>
            <w:r w:rsidRPr="00A45A26">
              <w:rPr>
                <w:rFonts w:cs="Arial"/>
                <w:sz w:val="18"/>
                <w:szCs w:val="18"/>
              </w:rPr>
              <w:t>Higher 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DD3F1C" w14:textId="77777777" w:rsidR="00A45A26" w:rsidRPr="00A45A26" w:rsidRDefault="00A45A26" w:rsidP="00A45A26">
            <w:pPr>
              <w:spacing w:after="160" w:line="259" w:lineRule="auto"/>
              <w:rPr>
                <w:rFonts w:cs="Arial"/>
                <w:sz w:val="18"/>
                <w:szCs w:val="18"/>
              </w:rPr>
            </w:pPr>
            <w:r w:rsidRPr="00A45A26">
              <w:rPr>
                <w:rFonts w:cs="Arial"/>
                <w:sz w:val="18"/>
                <w:szCs w:val="18"/>
              </w:rPr>
              <w:t>Urban</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AE498"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28B089BD"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Small business </w:t>
            </w:r>
          </w:p>
          <w:p w14:paraId="17A0EE6E" w14:textId="77777777" w:rsidR="00A45A26" w:rsidRPr="00A45A26" w:rsidRDefault="00A45A26" w:rsidP="00A45A26">
            <w:pPr>
              <w:spacing w:after="160" w:line="259" w:lineRule="auto"/>
              <w:rPr>
                <w:rFonts w:cs="Arial"/>
                <w:sz w:val="18"/>
                <w:szCs w:val="18"/>
              </w:rPr>
            </w:pPr>
          </w:p>
        </w:tc>
      </w:tr>
      <w:tr w:rsidR="00A45A26" w:rsidRPr="00A45A26" w14:paraId="5DF000F9"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6B4DB" w14:textId="77777777" w:rsidR="00A45A26" w:rsidRPr="00A45A26" w:rsidRDefault="00A45A26" w:rsidP="00A45A26">
            <w:pPr>
              <w:spacing w:after="160" w:line="259" w:lineRule="auto"/>
              <w:rPr>
                <w:rFonts w:cs="Arial"/>
                <w:sz w:val="18"/>
                <w:szCs w:val="18"/>
              </w:rPr>
            </w:pPr>
            <w:r w:rsidRPr="00A45A26">
              <w:rPr>
                <w:rFonts w:cs="Arial"/>
                <w:sz w:val="18"/>
                <w:szCs w:val="18"/>
              </w:rPr>
              <w:t>CPM02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51ACA"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17A13"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54D156" w14:textId="77777777" w:rsidR="00A45A26" w:rsidRPr="00A45A26" w:rsidRDefault="00A45A26" w:rsidP="00A45A26">
            <w:pPr>
              <w:spacing w:after="160" w:line="259" w:lineRule="auto"/>
              <w:rPr>
                <w:rFonts w:cs="Arial"/>
                <w:sz w:val="18"/>
                <w:szCs w:val="18"/>
              </w:rPr>
            </w:pPr>
            <w:r w:rsidRPr="00A45A26">
              <w:rPr>
                <w:rFonts w:cs="Arial"/>
                <w:sz w:val="18"/>
                <w:szCs w:val="18"/>
              </w:rPr>
              <w:t>Higher 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EFD769"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27CB0F"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24A5D84A" w14:textId="77777777" w:rsidR="00A45A26" w:rsidRPr="00A45A26" w:rsidRDefault="00A45A26" w:rsidP="00A45A26">
            <w:pPr>
              <w:spacing w:after="160" w:line="259" w:lineRule="auto"/>
              <w:rPr>
                <w:rFonts w:cs="Arial"/>
                <w:sz w:val="18"/>
                <w:szCs w:val="18"/>
              </w:rPr>
            </w:pPr>
            <w:r w:rsidRPr="00A45A26">
              <w:rPr>
                <w:rFonts w:cs="Arial"/>
                <w:sz w:val="18"/>
                <w:szCs w:val="18"/>
              </w:rPr>
              <w:t>Small business</w:t>
            </w:r>
          </w:p>
          <w:p w14:paraId="0967608F" w14:textId="77777777" w:rsidR="00A45A26" w:rsidRPr="00A45A26" w:rsidRDefault="00A45A26" w:rsidP="00A45A26">
            <w:pPr>
              <w:spacing w:after="160" w:line="259" w:lineRule="auto"/>
              <w:rPr>
                <w:rFonts w:cs="Arial"/>
                <w:sz w:val="18"/>
                <w:szCs w:val="18"/>
              </w:rPr>
            </w:pPr>
          </w:p>
        </w:tc>
      </w:tr>
      <w:tr w:rsidR="00A45A26" w:rsidRPr="00A45A26" w14:paraId="1C6FF40C"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2450B" w14:textId="77777777" w:rsidR="00A45A26" w:rsidRPr="00A45A26" w:rsidRDefault="00A45A26" w:rsidP="00A45A26">
            <w:pPr>
              <w:spacing w:after="160" w:line="259" w:lineRule="auto"/>
              <w:rPr>
                <w:rFonts w:cs="Arial"/>
                <w:sz w:val="18"/>
                <w:szCs w:val="18"/>
              </w:rPr>
            </w:pPr>
            <w:r w:rsidRPr="00A45A26">
              <w:rPr>
                <w:rFonts w:cs="Arial"/>
                <w:sz w:val="18"/>
                <w:szCs w:val="18"/>
              </w:rPr>
              <w:t>TBPF01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FFA91C"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78983"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334779" w14:textId="77777777" w:rsidR="00A45A26" w:rsidRPr="00A45A26" w:rsidRDefault="00A45A26" w:rsidP="00A45A26">
            <w:pPr>
              <w:spacing w:after="160" w:line="259" w:lineRule="auto"/>
              <w:rPr>
                <w:rFonts w:cs="Arial"/>
                <w:sz w:val="18"/>
                <w:szCs w:val="18"/>
              </w:rPr>
            </w:pPr>
            <w:r w:rsidRPr="00A45A26">
              <w:rPr>
                <w:rFonts w:cs="Arial"/>
                <w:sz w:val="18"/>
                <w:szCs w:val="18"/>
              </w:rPr>
              <w:t>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49C17B" w14:textId="77777777" w:rsidR="00A45A26" w:rsidRPr="00A45A26" w:rsidRDefault="00A45A26" w:rsidP="00A45A26">
            <w:pPr>
              <w:spacing w:after="160" w:line="259" w:lineRule="auto"/>
              <w:rPr>
                <w:rFonts w:cs="Arial"/>
                <w:sz w:val="18"/>
                <w:szCs w:val="18"/>
              </w:rPr>
            </w:pPr>
            <w:r w:rsidRPr="00A45A26">
              <w:rPr>
                <w:rFonts w:cs="Arial"/>
                <w:sz w:val="18"/>
                <w:szCs w:val="18"/>
              </w:rPr>
              <w:t>Urban</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903AF7"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0832E0D0" w14:textId="77777777" w:rsidR="00A45A26" w:rsidRPr="00A45A26" w:rsidRDefault="00A45A26" w:rsidP="00A45A26">
            <w:pPr>
              <w:spacing w:after="160" w:line="259" w:lineRule="auto"/>
              <w:rPr>
                <w:rFonts w:cs="Arial"/>
                <w:sz w:val="18"/>
                <w:szCs w:val="18"/>
              </w:rPr>
            </w:pPr>
            <w:r w:rsidRPr="00A45A26">
              <w:rPr>
                <w:rFonts w:cs="Arial"/>
                <w:sz w:val="18"/>
                <w:szCs w:val="18"/>
              </w:rPr>
              <w:t>Factory worker</w:t>
            </w:r>
          </w:p>
          <w:p w14:paraId="22E73F31" w14:textId="77777777" w:rsidR="00A45A26" w:rsidRPr="00A45A26" w:rsidRDefault="00A45A26" w:rsidP="00A45A26">
            <w:pPr>
              <w:spacing w:after="160" w:line="259" w:lineRule="auto"/>
              <w:rPr>
                <w:rFonts w:cs="Arial"/>
                <w:sz w:val="18"/>
                <w:szCs w:val="18"/>
              </w:rPr>
            </w:pPr>
          </w:p>
        </w:tc>
      </w:tr>
      <w:tr w:rsidR="00A45A26" w:rsidRPr="00A45A26" w14:paraId="13F5A628"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24183" w14:textId="77777777" w:rsidR="00A45A26" w:rsidRPr="00A45A26" w:rsidRDefault="00A45A26" w:rsidP="00A45A26">
            <w:pPr>
              <w:spacing w:after="160" w:line="259" w:lineRule="auto"/>
              <w:rPr>
                <w:rFonts w:cs="Arial"/>
                <w:sz w:val="18"/>
                <w:szCs w:val="18"/>
              </w:rPr>
            </w:pPr>
            <w:r w:rsidRPr="00A45A26">
              <w:rPr>
                <w:rFonts w:cs="Arial"/>
                <w:sz w:val="18"/>
                <w:szCs w:val="18"/>
              </w:rPr>
              <w:t>TBPF02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C7E734"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D7A9A"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552F13" w14:textId="77777777" w:rsidR="00A45A26" w:rsidRPr="00A45A26" w:rsidRDefault="00A45A26" w:rsidP="00A45A26">
            <w:pPr>
              <w:spacing w:after="160" w:line="259" w:lineRule="auto"/>
              <w:rPr>
                <w:rFonts w:cs="Arial"/>
                <w:sz w:val="18"/>
                <w:szCs w:val="18"/>
              </w:rPr>
            </w:pPr>
            <w:r w:rsidRPr="00A45A26">
              <w:rPr>
                <w:rFonts w:cs="Arial"/>
                <w:sz w:val="18"/>
                <w:szCs w:val="18"/>
              </w:rPr>
              <w:t>Primary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FBD088"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7BC926"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4FE0852E"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p w14:paraId="73620F66" w14:textId="77777777" w:rsidR="00A45A26" w:rsidRPr="00A45A26" w:rsidRDefault="00A45A26" w:rsidP="00A45A26">
            <w:pPr>
              <w:spacing w:after="160" w:line="259" w:lineRule="auto"/>
              <w:rPr>
                <w:rFonts w:cs="Arial"/>
                <w:sz w:val="18"/>
                <w:szCs w:val="18"/>
              </w:rPr>
            </w:pPr>
          </w:p>
        </w:tc>
      </w:tr>
      <w:tr w:rsidR="00A45A26" w:rsidRPr="00A45A26" w14:paraId="1C29BED0"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F407CC" w14:textId="77777777" w:rsidR="00A45A26" w:rsidRPr="00A45A26" w:rsidRDefault="00A45A26" w:rsidP="00A45A26">
            <w:pPr>
              <w:spacing w:after="160" w:line="259" w:lineRule="auto"/>
              <w:rPr>
                <w:rFonts w:cs="Arial"/>
                <w:sz w:val="18"/>
                <w:szCs w:val="18"/>
              </w:rPr>
            </w:pPr>
            <w:r w:rsidRPr="00A45A26">
              <w:rPr>
                <w:rFonts w:cs="Arial"/>
                <w:sz w:val="18"/>
                <w:szCs w:val="18"/>
              </w:rPr>
              <w:t>TBPF03</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DC10F3"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30D13"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9960BB" w14:textId="77777777" w:rsidR="00A45A26" w:rsidRPr="00A45A26" w:rsidRDefault="00A45A26" w:rsidP="00A45A26">
            <w:pPr>
              <w:spacing w:after="160" w:line="259" w:lineRule="auto"/>
              <w:rPr>
                <w:rFonts w:cs="Arial"/>
                <w:sz w:val="18"/>
                <w:szCs w:val="18"/>
              </w:rPr>
            </w:pPr>
            <w:r w:rsidRPr="00A45A26">
              <w:rPr>
                <w:rFonts w:cs="Arial"/>
                <w:sz w:val="18"/>
                <w:szCs w:val="18"/>
              </w:rPr>
              <w:t>Primary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209CB6" w14:textId="77777777" w:rsidR="00A45A26" w:rsidRPr="00A45A26" w:rsidRDefault="00A45A26" w:rsidP="00A45A26">
            <w:pPr>
              <w:spacing w:after="160" w:line="259" w:lineRule="auto"/>
              <w:rPr>
                <w:rFonts w:cs="Arial"/>
                <w:sz w:val="18"/>
                <w:szCs w:val="18"/>
              </w:rPr>
            </w:pPr>
            <w:r w:rsidRPr="00A45A26">
              <w:rPr>
                <w:rFonts w:cs="Arial"/>
                <w:sz w:val="18"/>
                <w:szCs w:val="18"/>
              </w:rPr>
              <w:t>Urban</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89D20"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0620C402"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p w14:paraId="320C47C2" w14:textId="77777777" w:rsidR="00A45A26" w:rsidRPr="00A45A26" w:rsidRDefault="00A45A26" w:rsidP="00A45A26">
            <w:pPr>
              <w:spacing w:after="160" w:line="259" w:lineRule="auto"/>
              <w:rPr>
                <w:rFonts w:cs="Arial"/>
                <w:sz w:val="18"/>
                <w:szCs w:val="18"/>
              </w:rPr>
            </w:pPr>
          </w:p>
        </w:tc>
      </w:tr>
      <w:tr w:rsidR="00A45A26" w:rsidRPr="00A45A26" w14:paraId="1B6BCED8"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9E32B" w14:textId="77777777" w:rsidR="00A45A26" w:rsidRPr="00A45A26" w:rsidRDefault="00A45A26" w:rsidP="00A45A26">
            <w:pPr>
              <w:spacing w:after="160" w:line="259" w:lineRule="auto"/>
              <w:rPr>
                <w:rFonts w:cs="Arial"/>
                <w:sz w:val="18"/>
                <w:szCs w:val="18"/>
              </w:rPr>
            </w:pPr>
            <w:r w:rsidRPr="00A45A26">
              <w:rPr>
                <w:rFonts w:cs="Arial"/>
                <w:sz w:val="18"/>
                <w:szCs w:val="18"/>
              </w:rPr>
              <w:t>TBPF04</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DCA58A" w14:textId="77777777" w:rsidR="00A45A26" w:rsidRPr="00A45A26" w:rsidRDefault="00A45A26" w:rsidP="00A45A26">
            <w:pPr>
              <w:spacing w:after="160" w:line="259" w:lineRule="auto"/>
              <w:rPr>
                <w:rFonts w:cs="Arial"/>
                <w:sz w:val="18"/>
                <w:szCs w:val="18"/>
              </w:rPr>
            </w:pPr>
            <w:r w:rsidRPr="00A45A26">
              <w:rPr>
                <w:rFonts w:cs="Arial"/>
                <w:sz w:val="18"/>
                <w:szCs w:val="18"/>
              </w:rPr>
              <w:t>51 plus</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76C76"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8AFBA" w14:textId="77777777" w:rsidR="00A45A26" w:rsidRPr="00A45A26" w:rsidRDefault="00A45A26" w:rsidP="00A45A26">
            <w:pPr>
              <w:spacing w:after="160" w:line="259" w:lineRule="auto"/>
              <w:rPr>
                <w:rFonts w:cs="Arial"/>
                <w:sz w:val="18"/>
                <w:szCs w:val="18"/>
              </w:rPr>
            </w:pPr>
            <w:r w:rsidRPr="00A45A26">
              <w:rPr>
                <w:rFonts w:cs="Arial"/>
                <w:sz w:val="18"/>
                <w:szCs w:val="18"/>
              </w:rPr>
              <w:t>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9A49A4"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07CE9A"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7C8DC25B" w14:textId="77777777" w:rsidR="00A45A26" w:rsidRPr="00A45A26" w:rsidRDefault="00A45A26" w:rsidP="00A45A26">
            <w:pPr>
              <w:spacing w:after="160" w:line="259" w:lineRule="auto"/>
              <w:rPr>
                <w:rFonts w:cs="Arial"/>
                <w:sz w:val="18"/>
                <w:szCs w:val="18"/>
              </w:rPr>
            </w:pPr>
            <w:r w:rsidRPr="00A45A26">
              <w:rPr>
                <w:rFonts w:cs="Arial"/>
                <w:sz w:val="18"/>
                <w:szCs w:val="18"/>
              </w:rPr>
              <w:t>Home-maker</w:t>
            </w:r>
          </w:p>
          <w:p w14:paraId="65662A26" w14:textId="77777777" w:rsidR="00A45A26" w:rsidRPr="00A45A26" w:rsidRDefault="00A45A26" w:rsidP="00A45A26">
            <w:pPr>
              <w:spacing w:after="160" w:line="259" w:lineRule="auto"/>
              <w:rPr>
                <w:rFonts w:cs="Arial"/>
                <w:sz w:val="18"/>
                <w:szCs w:val="18"/>
              </w:rPr>
            </w:pPr>
          </w:p>
        </w:tc>
      </w:tr>
      <w:tr w:rsidR="00A45A26" w:rsidRPr="00A45A26" w14:paraId="206F7DDA"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EB028C" w14:textId="77777777" w:rsidR="00A45A26" w:rsidRPr="00A45A26" w:rsidRDefault="00A45A26" w:rsidP="00A45A26">
            <w:pPr>
              <w:spacing w:after="160" w:line="259" w:lineRule="auto"/>
              <w:rPr>
                <w:rFonts w:cs="Arial"/>
                <w:sz w:val="18"/>
                <w:szCs w:val="18"/>
              </w:rPr>
            </w:pPr>
            <w:r w:rsidRPr="00A45A26">
              <w:rPr>
                <w:rFonts w:cs="Arial"/>
                <w:sz w:val="18"/>
                <w:szCs w:val="18"/>
              </w:rPr>
              <w:t>TBPM01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CD72AC"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52B12"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420B4F" w14:textId="77777777" w:rsidR="00A45A26" w:rsidRPr="00A45A26" w:rsidRDefault="00A45A26" w:rsidP="00A45A26">
            <w:pPr>
              <w:spacing w:after="160" w:line="259" w:lineRule="auto"/>
              <w:rPr>
                <w:rFonts w:cs="Arial"/>
                <w:sz w:val="18"/>
                <w:szCs w:val="18"/>
              </w:rPr>
            </w:pPr>
            <w:r w:rsidRPr="00A45A26">
              <w:rPr>
                <w:rFonts w:cs="Arial"/>
                <w:sz w:val="18"/>
                <w:szCs w:val="18"/>
              </w:rPr>
              <w:t>Primary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8B144"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752FD4"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4EB8C5B6" w14:textId="77777777" w:rsidR="00A45A26" w:rsidRPr="00A45A26" w:rsidRDefault="00A45A26" w:rsidP="00A45A26">
            <w:pPr>
              <w:spacing w:after="160" w:line="259" w:lineRule="auto"/>
              <w:rPr>
                <w:rFonts w:cs="Arial"/>
                <w:sz w:val="18"/>
                <w:szCs w:val="18"/>
              </w:rPr>
            </w:pPr>
            <w:r w:rsidRPr="00A45A26">
              <w:rPr>
                <w:rFonts w:cs="Arial"/>
                <w:sz w:val="18"/>
                <w:szCs w:val="18"/>
              </w:rPr>
              <w:t>Garment worker</w:t>
            </w:r>
          </w:p>
          <w:p w14:paraId="2185ADF6" w14:textId="77777777" w:rsidR="00A45A26" w:rsidRPr="00A45A26" w:rsidRDefault="00A45A26" w:rsidP="00A45A26">
            <w:pPr>
              <w:spacing w:after="160" w:line="259" w:lineRule="auto"/>
              <w:rPr>
                <w:rFonts w:cs="Arial"/>
                <w:sz w:val="18"/>
                <w:szCs w:val="18"/>
              </w:rPr>
            </w:pPr>
          </w:p>
        </w:tc>
      </w:tr>
      <w:tr w:rsidR="00A45A26" w:rsidRPr="00A45A26" w14:paraId="1B55FE61"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3BD29C" w14:textId="77777777" w:rsidR="00A45A26" w:rsidRPr="00A45A26" w:rsidRDefault="00A45A26" w:rsidP="00A45A26">
            <w:pPr>
              <w:spacing w:after="160" w:line="259" w:lineRule="auto"/>
              <w:rPr>
                <w:rFonts w:cs="Arial"/>
                <w:sz w:val="18"/>
                <w:szCs w:val="18"/>
              </w:rPr>
            </w:pPr>
            <w:r w:rsidRPr="00A45A26">
              <w:rPr>
                <w:rFonts w:cs="Arial"/>
                <w:sz w:val="18"/>
                <w:szCs w:val="18"/>
              </w:rPr>
              <w:t>TBPM02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0B9046"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AB2F5"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A03F90" w14:textId="77777777" w:rsidR="00A45A26" w:rsidRPr="00A45A26" w:rsidRDefault="00A45A26" w:rsidP="00A45A26">
            <w:pPr>
              <w:spacing w:after="160" w:line="259" w:lineRule="auto"/>
              <w:rPr>
                <w:rFonts w:cs="Arial"/>
                <w:sz w:val="18"/>
                <w:szCs w:val="18"/>
              </w:rPr>
            </w:pPr>
            <w:r w:rsidRPr="00A45A26">
              <w:rPr>
                <w:rFonts w:cs="Arial"/>
                <w:sz w:val="18"/>
                <w:szCs w:val="18"/>
              </w:rPr>
              <w:t>No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B359FF"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904794" w14:textId="77777777" w:rsidR="00A45A26" w:rsidRPr="00A45A26" w:rsidRDefault="00A45A26" w:rsidP="00A45A26">
            <w:pPr>
              <w:spacing w:after="160" w:line="259" w:lineRule="auto"/>
              <w:rPr>
                <w:rFonts w:cs="Arial"/>
                <w:sz w:val="18"/>
                <w:szCs w:val="18"/>
              </w:rPr>
            </w:pPr>
            <w:r w:rsidRPr="00A45A26">
              <w:rPr>
                <w:rFonts w:cs="Arial"/>
                <w:sz w:val="18"/>
                <w:szCs w:val="18"/>
              </w:rPr>
              <w:t>Unmarried</w:t>
            </w:r>
          </w:p>
        </w:tc>
        <w:tc>
          <w:tcPr>
            <w:tcW w:w="1483" w:type="pct"/>
            <w:gridSpan w:val="2"/>
            <w:tcBorders>
              <w:left w:val="single" w:sz="4" w:space="0" w:color="auto"/>
              <w:right w:val="single" w:sz="4" w:space="0" w:color="auto"/>
            </w:tcBorders>
            <w:shd w:val="clear" w:color="auto" w:fill="FFFFFF" w:themeFill="background1"/>
            <w:noWrap/>
            <w:hideMark/>
          </w:tcPr>
          <w:p w14:paraId="3216DE99" w14:textId="77777777" w:rsidR="00A45A26" w:rsidRPr="00A45A26" w:rsidRDefault="00A45A26" w:rsidP="00A45A26">
            <w:pPr>
              <w:spacing w:after="160" w:line="259" w:lineRule="auto"/>
              <w:rPr>
                <w:rFonts w:cs="Arial"/>
                <w:sz w:val="18"/>
                <w:szCs w:val="18"/>
              </w:rPr>
            </w:pPr>
            <w:r w:rsidRPr="00A45A26">
              <w:rPr>
                <w:rFonts w:cs="Arial"/>
                <w:sz w:val="18"/>
                <w:szCs w:val="18"/>
              </w:rPr>
              <w:t>Garment worker</w:t>
            </w:r>
          </w:p>
          <w:p w14:paraId="3266584B" w14:textId="77777777" w:rsidR="00A45A26" w:rsidRPr="00A45A26" w:rsidRDefault="00A45A26" w:rsidP="00A45A26">
            <w:pPr>
              <w:spacing w:after="160" w:line="259" w:lineRule="auto"/>
              <w:rPr>
                <w:rFonts w:cs="Arial"/>
                <w:sz w:val="18"/>
                <w:szCs w:val="18"/>
              </w:rPr>
            </w:pPr>
          </w:p>
        </w:tc>
      </w:tr>
      <w:tr w:rsidR="00A45A26" w:rsidRPr="00A45A26" w14:paraId="723F7BB6"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C8D81" w14:textId="77777777" w:rsidR="00A45A26" w:rsidRPr="00A45A26" w:rsidRDefault="00A45A26" w:rsidP="00A45A26">
            <w:pPr>
              <w:spacing w:after="160" w:line="259" w:lineRule="auto"/>
              <w:rPr>
                <w:rFonts w:cs="Arial"/>
                <w:sz w:val="18"/>
                <w:szCs w:val="18"/>
              </w:rPr>
            </w:pPr>
            <w:r w:rsidRPr="00A45A26">
              <w:rPr>
                <w:rFonts w:cs="Arial"/>
                <w:sz w:val="18"/>
                <w:szCs w:val="18"/>
              </w:rPr>
              <w:t>TBPM03</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9D6587"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CD9D0"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4CDE73" w14:textId="77777777" w:rsidR="00A45A26" w:rsidRPr="00A45A26" w:rsidRDefault="00A45A26" w:rsidP="00A45A26">
            <w:pPr>
              <w:spacing w:after="160" w:line="259" w:lineRule="auto"/>
              <w:rPr>
                <w:rFonts w:cs="Arial"/>
                <w:sz w:val="18"/>
                <w:szCs w:val="18"/>
              </w:rPr>
            </w:pPr>
            <w:r w:rsidRPr="00A45A26">
              <w:rPr>
                <w:rFonts w:cs="Arial"/>
                <w:sz w:val="18"/>
                <w:szCs w:val="18"/>
              </w:rPr>
              <w:t>Secondary education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FEAC1C" w14:textId="77777777" w:rsidR="00A45A26" w:rsidRPr="00A45A26" w:rsidRDefault="00A45A26" w:rsidP="00A45A26">
            <w:pPr>
              <w:spacing w:after="160" w:line="259" w:lineRule="auto"/>
              <w:rPr>
                <w:rFonts w:cs="Arial"/>
                <w:sz w:val="18"/>
                <w:szCs w:val="18"/>
              </w:rPr>
            </w:pPr>
            <w:r w:rsidRPr="00A45A26">
              <w:rPr>
                <w:rFonts w:cs="Arial"/>
                <w:sz w:val="18"/>
                <w:szCs w:val="18"/>
              </w:rPr>
              <w:t>Urban</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1D68D7"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right w:val="single" w:sz="4" w:space="0" w:color="auto"/>
            </w:tcBorders>
            <w:shd w:val="clear" w:color="auto" w:fill="FFFFFF" w:themeFill="background1"/>
            <w:noWrap/>
            <w:hideMark/>
          </w:tcPr>
          <w:p w14:paraId="584BE28F" w14:textId="77777777" w:rsidR="00A45A26" w:rsidRPr="00A45A26" w:rsidRDefault="00A45A26" w:rsidP="00A45A26">
            <w:pPr>
              <w:spacing w:after="160" w:line="259" w:lineRule="auto"/>
              <w:rPr>
                <w:rFonts w:cs="Arial"/>
                <w:sz w:val="18"/>
                <w:szCs w:val="18"/>
              </w:rPr>
            </w:pPr>
            <w:r w:rsidRPr="00A45A26">
              <w:rPr>
                <w:rFonts w:cs="Arial"/>
                <w:sz w:val="18"/>
                <w:szCs w:val="18"/>
              </w:rPr>
              <w:t>Small-business</w:t>
            </w:r>
          </w:p>
        </w:tc>
      </w:tr>
      <w:tr w:rsidR="00A45A26" w:rsidRPr="00A45A26" w14:paraId="25324AAA"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9E750" w14:textId="77777777" w:rsidR="00A45A26" w:rsidRPr="00A45A26" w:rsidRDefault="00A45A26" w:rsidP="00A45A26">
            <w:pPr>
              <w:spacing w:after="160" w:line="259" w:lineRule="auto"/>
              <w:rPr>
                <w:rFonts w:cs="Arial"/>
                <w:sz w:val="18"/>
                <w:szCs w:val="18"/>
              </w:rPr>
            </w:pPr>
            <w:r w:rsidRPr="00A45A26">
              <w:rPr>
                <w:rFonts w:cs="Arial"/>
                <w:sz w:val="18"/>
                <w:szCs w:val="18"/>
              </w:rPr>
              <w:t>TBPM04</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AB94A5" w14:textId="77777777" w:rsidR="00A45A26" w:rsidRPr="00A45A26" w:rsidRDefault="00A45A26" w:rsidP="00A45A26">
            <w:pPr>
              <w:spacing w:after="160" w:line="259" w:lineRule="auto"/>
              <w:rPr>
                <w:rFonts w:cs="Arial"/>
                <w:sz w:val="18"/>
                <w:szCs w:val="18"/>
              </w:rPr>
            </w:pPr>
            <w:r w:rsidRPr="00A45A26">
              <w:rPr>
                <w:rFonts w:cs="Arial"/>
                <w:sz w:val="18"/>
                <w:szCs w:val="18"/>
              </w:rPr>
              <w:t>18-30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25AB5"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0E8048" w14:textId="77777777" w:rsidR="00A45A26" w:rsidRPr="00A45A26" w:rsidRDefault="00A45A26" w:rsidP="00A45A26">
            <w:pPr>
              <w:spacing w:after="160" w:line="259" w:lineRule="auto"/>
              <w:rPr>
                <w:rFonts w:cs="Arial"/>
                <w:sz w:val="18"/>
                <w:szCs w:val="18"/>
              </w:rPr>
            </w:pPr>
            <w:r w:rsidRPr="00A45A26">
              <w:rPr>
                <w:rFonts w:cs="Arial"/>
                <w:sz w:val="18"/>
                <w:szCs w:val="18"/>
              </w:rPr>
              <w:t>Unknown</w:t>
            </w:r>
          </w:p>
        </w:tc>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C42A4" w14:textId="77777777" w:rsidR="00A45A26" w:rsidRPr="00A45A26" w:rsidRDefault="00A45A26" w:rsidP="00A45A26">
            <w:pPr>
              <w:spacing w:after="160" w:line="259" w:lineRule="auto"/>
              <w:rPr>
                <w:rFonts w:cs="Arial"/>
                <w:sz w:val="18"/>
                <w:szCs w:val="18"/>
              </w:rPr>
            </w:pPr>
            <w:r w:rsidRPr="00A45A26">
              <w:rPr>
                <w:rFonts w:cs="Arial"/>
                <w:sz w:val="18"/>
                <w:szCs w:val="18"/>
              </w:rPr>
              <w:t>Rural</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756A69" w14:textId="77777777" w:rsidR="00A45A26" w:rsidRPr="00A45A26" w:rsidRDefault="00A45A26" w:rsidP="00A45A26">
            <w:pPr>
              <w:spacing w:after="160" w:line="259" w:lineRule="auto"/>
              <w:rPr>
                <w:rFonts w:cs="Arial"/>
                <w:sz w:val="18"/>
                <w:szCs w:val="18"/>
              </w:rPr>
            </w:pPr>
            <w:r w:rsidRPr="00A45A26">
              <w:rPr>
                <w:rFonts w:cs="Arial"/>
                <w:sz w:val="18"/>
                <w:szCs w:val="18"/>
              </w:rPr>
              <w:t>Married</w:t>
            </w:r>
          </w:p>
        </w:tc>
        <w:tc>
          <w:tcPr>
            <w:tcW w:w="1483" w:type="pct"/>
            <w:gridSpan w:val="2"/>
            <w:tcBorders>
              <w:left w:val="single" w:sz="4" w:space="0" w:color="auto"/>
              <w:bottom w:val="single" w:sz="4" w:space="0" w:color="auto"/>
              <w:right w:val="single" w:sz="4" w:space="0" w:color="auto"/>
            </w:tcBorders>
            <w:shd w:val="clear" w:color="auto" w:fill="FFFFFF" w:themeFill="background1"/>
            <w:noWrap/>
            <w:hideMark/>
          </w:tcPr>
          <w:p w14:paraId="7A80405E" w14:textId="77777777" w:rsidR="00A45A26" w:rsidRPr="00A45A26" w:rsidRDefault="00A45A26" w:rsidP="00A45A26">
            <w:pPr>
              <w:spacing w:after="160" w:line="259" w:lineRule="auto"/>
              <w:rPr>
                <w:rFonts w:cs="Arial"/>
                <w:sz w:val="18"/>
                <w:szCs w:val="18"/>
              </w:rPr>
            </w:pPr>
            <w:r w:rsidRPr="00A45A26">
              <w:rPr>
                <w:rFonts w:cs="Arial"/>
                <w:sz w:val="18"/>
                <w:szCs w:val="18"/>
              </w:rPr>
              <w:t>Unemployed</w:t>
            </w:r>
          </w:p>
        </w:tc>
      </w:tr>
      <w:tr w:rsidR="00A45A26" w:rsidRPr="00A45A26" w14:paraId="305B2477" w14:textId="77777777" w:rsidTr="00921EF9">
        <w:trPr>
          <w:trHeight w:val="290"/>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567209F" w14:textId="77777777" w:rsidR="00A45A26" w:rsidRPr="00A45A26" w:rsidRDefault="00A45A26" w:rsidP="00A45A26">
            <w:pPr>
              <w:spacing w:after="160" w:line="259" w:lineRule="auto"/>
              <w:rPr>
                <w:rFonts w:cs="Arial"/>
                <w:b/>
                <w:sz w:val="18"/>
                <w:szCs w:val="18"/>
              </w:rPr>
            </w:pPr>
            <w:r w:rsidRPr="00A45A26">
              <w:rPr>
                <w:rFonts w:cs="Arial"/>
                <w:b/>
                <w:sz w:val="18"/>
                <w:szCs w:val="18"/>
              </w:rPr>
              <w:t>Health Professionals</w:t>
            </w:r>
          </w:p>
        </w:tc>
      </w:tr>
      <w:tr w:rsidR="00A45A26" w:rsidRPr="00A45A26" w14:paraId="294CA77D"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E7E6E6" w:themeFill="background2"/>
            <w:noWrap/>
          </w:tcPr>
          <w:p w14:paraId="3392C59E" w14:textId="77777777" w:rsidR="00A45A26" w:rsidRPr="00A45A26" w:rsidRDefault="00A45A26" w:rsidP="00A45A26">
            <w:pPr>
              <w:spacing w:after="160" w:line="259" w:lineRule="auto"/>
              <w:rPr>
                <w:rFonts w:cs="Arial"/>
                <w:sz w:val="18"/>
                <w:szCs w:val="18"/>
              </w:rPr>
            </w:pPr>
            <w:r w:rsidRPr="00A45A26">
              <w:rPr>
                <w:rFonts w:cs="Arial"/>
                <w:sz w:val="18"/>
                <w:szCs w:val="18"/>
              </w:rPr>
              <w:t>Participant ID</w:t>
            </w:r>
          </w:p>
        </w:tc>
        <w:tc>
          <w:tcPr>
            <w:tcW w:w="390" w:type="pct"/>
            <w:tcBorders>
              <w:top w:val="single" w:sz="4" w:space="0" w:color="auto"/>
              <w:left w:val="single" w:sz="4" w:space="0" w:color="auto"/>
              <w:bottom w:val="single" w:sz="4" w:space="0" w:color="auto"/>
              <w:right w:val="single" w:sz="4" w:space="0" w:color="auto"/>
            </w:tcBorders>
            <w:shd w:val="clear" w:color="auto" w:fill="E7E6E6" w:themeFill="background2"/>
          </w:tcPr>
          <w:p w14:paraId="20B416D1" w14:textId="77777777" w:rsidR="00A45A26" w:rsidRPr="00A45A26" w:rsidRDefault="00A45A26" w:rsidP="00A45A26">
            <w:pPr>
              <w:spacing w:after="160" w:line="259" w:lineRule="auto"/>
              <w:rPr>
                <w:rFonts w:cs="Arial"/>
                <w:sz w:val="18"/>
                <w:szCs w:val="18"/>
              </w:rPr>
            </w:pPr>
            <w:r w:rsidRPr="00A45A26">
              <w:rPr>
                <w:rFonts w:cs="Arial"/>
                <w:sz w:val="18"/>
                <w:szCs w:val="18"/>
              </w:rPr>
              <w:t>Age</w:t>
            </w:r>
          </w:p>
        </w:tc>
        <w:tc>
          <w:tcPr>
            <w:tcW w:w="704" w:type="pct"/>
            <w:tcBorders>
              <w:top w:val="single" w:sz="4" w:space="0" w:color="auto"/>
              <w:left w:val="single" w:sz="4" w:space="0" w:color="auto"/>
              <w:bottom w:val="single" w:sz="4" w:space="0" w:color="auto"/>
              <w:right w:val="single" w:sz="4" w:space="0" w:color="auto"/>
            </w:tcBorders>
            <w:shd w:val="clear" w:color="auto" w:fill="E7E6E6" w:themeFill="background2"/>
          </w:tcPr>
          <w:p w14:paraId="37DC104A" w14:textId="77777777" w:rsidR="00A45A26" w:rsidRPr="00A45A26" w:rsidRDefault="00A45A26" w:rsidP="00A45A26">
            <w:pPr>
              <w:spacing w:after="160" w:line="259" w:lineRule="auto"/>
              <w:rPr>
                <w:rFonts w:cs="Arial"/>
                <w:sz w:val="18"/>
                <w:szCs w:val="18"/>
              </w:rPr>
            </w:pPr>
            <w:r w:rsidRPr="00A45A26">
              <w:rPr>
                <w:rFonts w:cs="Arial"/>
                <w:sz w:val="18"/>
                <w:szCs w:val="18"/>
              </w:rPr>
              <w:t>Sex</w:t>
            </w:r>
          </w:p>
        </w:tc>
        <w:tc>
          <w:tcPr>
            <w:tcW w:w="1174"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069C1D9" w14:textId="77777777" w:rsidR="00A45A26" w:rsidRPr="00A45A26" w:rsidRDefault="00A45A26" w:rsidP="00A45A26">
            <w:pPr>
              <w:spacing w:after="160" w:line="259" w:lineRule="auto"/>
              <w:rPr>
                <w:rFonts w:cs="Arial"/>
                <w:sz w:val="18"/>
                <w:szCs w:val="18"/>
              </w:rPr>
            </w:pPr>
            <w:r w:rsidRPr="00A45A26">
              <w:rPr>
                <w:rFonts w:cs="Arial"/>
                <w:sz w:val="18"/>
                <w:szCs w:val="18"/>
              </w:rPr>
              <w:t>Education</w:t>
            </w:r>
          </w:p>
        </w:tc>
        <w:tc>
          <w:tcPr>
            <w:tcW w:w="2109"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43E68F0" w14:textId="77777777" w:rsidR="00A45A26" w:rsidRPr="00A45A26" w:rsidRDefault="00A45A26" w:rsidP="00A45A26">
            <w:pPr>
              <w:spacing w:after="160" w:line="259" w:lineRule="auto"/>
              <w:rPr>
                <w:rFonts w:cs="Arial"/>
                <w:sz w:val="18"/>
                <w:szCs w:val="18"/>
              </w:rPr>
            </w:pPr>
            <w:r w:rsidRPr="00A45A26">
              <w:rPr>
                <w:rFonts w:cs="Arial"/>
                <w:sz w:val="18"/>
                <w:szCs w:val="18"/>
              </w:rPr>
              <w:t>Occupation</w:t>
            </w:r>
          </w:p>
        </w:tc>
      </w:tr>
      <w:tr w:rsidR="00A45A26" w:rsidRPr="00A45A26" w14:paraId="5689E7F6"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C23A40" w14:textId="77777777" w:rsidR="00A45A26" w:rsidRPr="00A45A26" w:rsidRDefault="00A45A26" w:rsidP="00A45A26">
            <w:pPr>
              <w:spacing w:after="160" w:line="259" w:lineRule="auto"/>
              <w:rPr>
                <w:rFonts w:cs="Arial"/>
                <w:sz w:val="18"/>
                <w:szCs w:val="18"/>
              </w:rPr>
            </w:pPr>
            <w:r w:rsidRPr="00A45A26">
              <w:rPr>
                <w:rFonts w:cs="Arial"/>
                <w:sz w:val="18"/>
                <w:szCs w:val="18"/>
              </w:rPr>
              <w:t>DR01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1B345"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72805"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172C5E" w14:textId="77777777" w:rsidR="00A45A26" w:rsidRPr="00A45A26" w:rsidRDefault="00A45A26" w:rsidP="00A45A26">
            <w:pPr>
              <w:spacing w:after="160" w:line="259" w:lineRule="auto"/>
              <w:rPr>
                <w:rFonts w:cs="Arial"/>
                <w:sz w:val="18"/>
                <w:szCs w:val="18"/>
              </w:rPr>
            </w:pPr>
            <w:r w:rsidRPr="00A45A26">
              <w:rPr>
                <w:rFonts w:cs="Arial"/>
                <w:sz w:val="18"/>
                <w:szCs w:val="18"/>
              </w:rPr>
              <w:t>MBBS</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0E095D" w14:textId="77777777" w:rsidR="00A45A26" w:rsidRPr="00A45A26" w:rsidRDefault="00A45A26" w:rsidP="00A45A26">
            <w:pPr>
              <w:spacing w:after="160" w:line="259" w:lineRule="auto"/>
              <w:rPr>
                <w:rFonts w:cs="Arial"/>
                <w:sz w:val="18"/>
                <w:szCs w:val="18"/>
              </w:rPr>
            </w:pPr>
            <w:r w:rsidRPr="00A45A26">
              <w:rPr>
                <w:rFonts w:cs="Arial"/>
                <w:sz w:val="18"/>
                <w:szCs w:val="18"/>
              </w:rPr>
              <w:t>Doctor</w:t>
            </w:r>
          </w:p>
        </w:tc>
      </w:tr>
      <w:tr w:rsidR="00A45A26" w:rsidRPr="00A45A26" w14:paraId="4E7D262C"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94A488" w14:textId="77777777" w:rsidR="00A45A26" w:rsidRPr="00A45A26" w:rsidRDefault="00A45A26" w:rsidP="00A45A26">
            <w:pPr>
              <w:spacing w:after="160" w:line="259" w:lineRule="auto"/>
              <w:rPr>
                <w:rFonts w:cs="Arial"/>
                <w:sz w:val="18"/>
                <w:szCs w:val="18"/>
              </w:rPr>
            </w:pPr>
            <w:r w:rsidRPr="00A45A26">
              <w:rPr>
                <w:rFonts w:cs="Arial"/>
                <w:sz w:val="18"/>
                <w:szCs w:val="18"/>
              </w:rPr>
              <w:t>DR02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8B8EA"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ADC19"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BA84EC" w14:textId="77777777" w:rsidR="00A45A26" w:rsidRPr="00A45A26" w:rsidRDefault="00A45A26" w:rsidP="00A45A26">
            <w:pPr>
              <w:spacing w:after="160" w:line="259" w:lineRule="auto"/>
              <w:rPr>
                <w:rFonts w:cs="Arial"/>
                <w:sz w:val="18"/>
                <w:szCs w:val="18"/>
              </w:rPr>
            </w:pPr>
            <w:r w:rsidRPr="00A45A26">
              <w:rPr>
                <w:rFonts w:cs="Arial"/>
                <w:sz w:val="18"/>
                <w:szCs w:val="18"/>
              </w:rPr>
              <w:t>MBBS</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8A2369" w14:textId="77777777" w:rsidR="00A45A26" w:rsidRPr="00A45A26" w:rsidRDefault="00A45A26" w:rsidP="00A45A26">
            <w:pPr>
              <w:spacing w:after="160" w:line="259" w:lineRule="auto"/>
              <w:rPr>
                <w:rFonts w:cs="Arial"/>
                <w:sz w:val="18"/>
                <w:szCs w:val="18"/>
              </w:rPr>
            </w:pPr>
            <w:r w:rsidRPr="00A45A26">
              <w:rPr>
                <w:rFonts w:cs="Arial"/>
                <w:sz w:val="18"/>
                <w:szCs w:val="18"/>
              </w:rPr>
              <w:t>Doctor</w:t>
            </w:r>
          </w:p>
        </w:tc>
      </w:tr>
      <w:tr w:rsidR="00A45A26" w:rsidRPr="00A45A26" w14:paraId="5DAC344D"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2E3436" w14:textId="77777777" w:rsidR="00A45A26" w:rsidRPr="00A45A26" w:rsidRDefault="00A45A26" w:rsidP="00A45A26">
            <w:pPr>
              <w:spacing w:after="160" w:line="259" w:lineRule="auto"/>
              <w:rPr>
                <w:rFonts w:cs="Arial"/>
                <w:sz w:val="18"/>
                <w:szCs w:val="18"/>
              </w:rPr>
            </w:pPr>
            <w:r w:rsidRPr="00A45A26">
              <w:rPr>
                <w:rFonts w:cs="Arial"/>
                <w:sz w:val="18"/>
                <w:szCs w:val="18"/>
              </w:rPr>
              <w:t>N01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5D2D6"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61FB3"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B0C90" w14:textId="77777777" w:rsidR="00A45A26" w:rsidRPr="00A45A26" w:rsidRDefault="00A45A26" w:rsidP="00A45A26">
            <w:pPr>
              <w:spacing w:after="160" w:line="259" w:lineRule="auto"/>
              <w:rPr>
                <w:rFonts w:cs="Arial"/>
                <w:sz w:val="18"/>
                <w:szCs w:val="18"/>
              </w:rPr>
            </w:pPr>
            <w:r w:rsidRPr="00A45A26">
              <w:rPr>
                <w:rFonts w:cs="Arial"/>
                <w:sz w:val="18"/>
                <w:szCs w:val="18"/>
                <w:lang w:val="en-US"/>
              </w:rPr>
              <w:t>Diploma in Nursing</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DDD7CA" w14:textId="77777777" w:rsidR="00A45A26" w:rsidRPr="00A45A26" w:rsidRDefault="00A45A26" w:rsidP="00A45A26">
            <w:pPr>
              <w:spacing w:after="160" w:line="259" w:lineRule="auto"/>
              <w:rPr>
                <w:rFonts w:cs="Arial"/>
                <w:sz w:val="18"/>
                <w:szCs w:val="18"/>
              </w:rPr>
            </w:pPr>
            <w:r w:rsidRPr="00A45A26">
              <w:rPr>
                <w:rFonts w:cs="Arial"/>
                <w:sz w:val="18"/>
                <w:szCs w:val="18"/>
              </w:rPr>
              <w:t>Nurse</w:t>
            </w:r>
          </w:p>
        </w:tc>
      </w:tr>
      <w:tr w:rsidR="00A45A26" w:rsidRPr="00A45A26" w14:paraId="7128BB9B"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F5899" w14:textId="77777777" w:rsidR="00A45A26" w:rsidRPr="00A45A26" w:rsidRDefault="00A45A26" w:rsidP="00A45A26">
            <w:pPr>
              <w:spacing w:after="160" w:line="259" w:lineRule="auto"/>
              <w:rPr>
                <w:rFonts w:cs="Arial"/>
                <w:sz w:val="18"/>
                <w:szCs w:val="18"/>
              </w:rPr>
            </w:pPr>
            <w:r w:rsidRPr="00A45A26">
              <w:rPr>
                <w:rFonts w:cs="Arial"/>
                <w:sz w:val="18"/>
                <w:szCs w:val="18"/>
              </w:rPr>
              <w:t>N02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D6AB45" w14:textId="77777777" w:rsidR="00A45A26" w:rsidRPr="00A45A26" w:rsidRDefault="00A45A26" w:rsidP="00A45A26">
            <w:pPr>
              <w:spacing w:after="160" w:line="259" w:lineRule="auto"/>
              <w:rPr>
                <w:rFonts w:cs="Arial"/>
                <w:sz w:val="18"/>
                <w:szCs w:val="18"/>
              </w:rPr>
            </w:pPr>
            <w:r w:rsidRPr="00A45A26">
              <w:rPr>
                <w:rFonts w:cs="Arial"/>
                <w:sz w:val="18"/>
                <w:szCs w:val="18"/>
              </w:rPr>
              <w:t>31-50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526B2"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A5016" w14:textId="77777777" w:rsidR="00A45A26" w:rsidRPr="00A45A26" w:rsidRDefault="00A45A26" w:rsidP="00A45A26">
            <w:pPr>
              <w:spacing w:after="160" w:line="259" w:lineRule="auto"/>
              <w:rPr>
                <w:rFonts w:cs="Arial"/>
                <w:sz w:val="18"/>
                <w:szCs w:val="18"/>
              </w:rPr>
            </w:pPr>
            <w:r w:rsidRPr="00A45A26">
              <w:rPr>
                <w:rFonts w:cs="Arial"/>
                <w:sz w:val="18"/>
                <w:szCs w:val="18"/>
                <w:lang w:val="en-US"/>
              </w:rPr>
              <w:t>Diploma in Nursing</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BF122A" w14:textId="77777777" w:rsidR="00A45A26" w:rsidRPr="00A45A26" w:rsidRDefault="00A45A26" w:rsidP="00A45A26">
            <w:pPr>
              <w:spacing w:after="160" w:line="259" w:lineRule="auto"/>
              <w:rPr>
                <w:rFonts w:cs="Arial"/>
                <w:sz w:val="18"/>
                <w:szCs w:val="18"/>
              </w:rPr>
            </w:pPr>
            <w:r w:rsidRPr="00A45A26">
              <w:rPr>
                <w:rFonts w:cs="Arial"/>
                <w:sz w:val="18"/>
                <w:szCs w:val="18"/>
              </w:rPr>
              <w:t>Nurse</w:t>
            </w:r>
          </w:p>
        </w:tc>
      </w:tr>
      <w:tr w:rsidR="00A45A26" w:rsidRPr="00A45A26" w14:paraId="48A19051" w14:textId="77777777" w:rsidTr="00921EF9">
        <w:trPr>
          <w:trHeight w:val="290"/>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2B22E28" w14:textId="77777777" w:rsidR="00A45A26" w:rsidRPr="00A45A26" w:rsidRDefault="00A45A26" w:rsidP="00A45A26">
            <w:pPr>
              <w:spacing w:after="160" w:line="259" w:lineRule="auto"/>
              <w:rPr>
                <w:rFonts w:cs="Arial"/>
                <w:b/>
                <w:sz w:val="18"/>
                <w:szCs w:val="18"/>
              </w:rPr>
            </w:pPr>
            <w:r w:rsidRPr="00A45A26">
              <w:rPr>
                <w:rFonts w:cs="Arial"/>
                <w:b/>
                <w:sz w:val="18"/>
                <w:szCs w:val="18"/>
              </w:rPr>
              <w:t xml:space="preserve">Policy Makers </w:t>
            </w:r>
          </w:p>
        </w:tc>
      </w:tr>
      <w:tr w:rsidR="00A45A26" w:rsidRPr="00A45A26" w14:paraId="3609F3D1"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E7E6E6" w:themeFill="background2"/>
            <w:noWrap/>
          </w:tcPr>
          <w:p w14:paraId="792A60D1" w14:textId="77777777" w:rsidR="00A45A26" w:rsidRPr="00A45A26" w:rsidRDefault="00A45A26" w:rsidP="00A45A26">
            <w:pPr>
              <w:spacing w:after="160" w:line="259" w:lineRule="auto"/>
              <w:rPr>
                <w:rFonts w:cs="Arial"/>
                <w:sz w:val="18"/>
                <w:szCs w:val="18"/>
              </w:rPr>
            </w:pPr>
            <w:r w:rsidRPr="00A45A26">
              <w:rPr>
                <w:rFonts w:cs="Arial"/>
                <w:sz w:val="18"/>
                <w:szCs w:val="18"/>
              </w:rPr>
              <w:t>Participant ID</w:t>
            </w:r>
          </w:p>
        </w:tc>
        <w:tc>
          <w:tcPr>
            <w:tcW w:w="390" w:type="pct"/>
            <w:tcBorders>
              <w:top w:val="single" w:sz="4" w:space="0" w:color="auto"/>
              <w:left w:val="single" w:sz="4" w:space="0" w:color="auto"/>
              <w:bottom w:val="single" w:sz="4" w:space="0" w:color="auto"/>
              <w:right w:val="single" w:sz="4" w:space="0" w:color="auto"/>
            </w:tcBorders>
            <w:shd w:val="clear" w:color="auto" w:fill="E7E6E6" w:themeFill="background2"/>
          </w:tcPr>
          <w:p w14:paraId="69D1399E" w14:textId="77777777" w:rsidR="00A45A26" w:rsidRPr="00A45A26" w:rsidRDefault="00A45A26" w:rsidP="00A45A26">
            <w:pPr>
              <w:spacing w:after="160" w:line="259" w:lineRule="auto"/>
              <w:rPr>
                <w:rFonts w:cs="Arial"/>
                <w:sz w:val="18"/>
                <w:szCs w:val="18"/>
              </w:rPr>
            </w:pPr>
            <w:r w:rsidRPr="00A45A26">
              <w:rPr>
                <w:rFonts w:cs="Arial"/>
                <w:sz w:val="18"/>
                <w:szCs w:val="18"/>
              </w:rPr>
              <w:t>Age</w:t>
            </w:r>
          </w:p>
        </w:tc>
        <w:tc>
          <w:tcPr>
            <w:tcW w:w="704" w:type="pct"/>
            <w:tcBorders>
              <w:top w:val="single" w:sz="4" w:space="0" w:color="auto"/>
              <w:left w:val="single" w:sz="4" w:space="0" w:color="auto"/>
              <w:bottom w:val="single" w:sz="4" w:space="0" w:color="auto"/>
              <w:right w:val="single" w:sz="4" w:space="0" w:color="auto"/>
            </w:tcBorders>
            <w:shd w:val="clear" w:color="auto" w:fill="E7E6E6" w:themeFill="background2"/>
          </w:tcPr>
          <w:p w14:paraId="1A9C60CE" w14:textId="77777777" w:rsidR="00A45A26" w:rsidRPr="00A45A26" w:rsidRDefault="00A45A26" w:rsidP="00A45A26">
            <w:pPr>
              <w:spacing w:after="160" w:line="259" w:lineRule="auto"/>
              <w:rPr>
                <w:rFonts w:cs="Arial"/>
                <w:sz w:val="18"/>
                <w:szCs w:val="18"/>
              </w:rPr>
            </w:pPr>
            <w:r w:rsidRPr="00A45A26">
              <w:rPr>
                <w:rFonts w:cs="Arial"/>
                <w:sz w:val="18"/>
                <w:szCs w:val="18"/>
              </w:rPr>
              <w:t>Sex</w:t>
            </w:r>
          </w:p>
        </w:tc>
        <w:tc>
          <w:tcPr>
            <w:tcW w:w="1174"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C3A82B8" w14:textId="77777777" w:rsidR="00A45A26" w:rsidRPr="00A45A26" w:rsidRDefault="00A45A26" w:rsidP="00A45A26">
            <w:pPr>
              <w:spacing w:after="160" w:line="259" w:lineRule="auto"/>
              <w:rPr>
                <w:rFonts w:cs="Arial"/>
                <w:sz w:val="18"/>
                <w:szCs w:val="18"/>
              </w:rPr>
            </w:pPr>
            <w:r w:rsidRPr="00A45A26">
              <w:rPr>
                <w:rFonts w:cs="Arial"/>
                <w:sz w:val="18"/>
                <w:szCs w:val="18"/>
              </w:rPr>
              <w:t>Education</w:t>
            </w:r>
          </w:p>
        </w:tc>
        <w:tc>
          <w:tcPr>
            <w:tcW w:w="2109"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BB5BC69" w14:textId="77777777" w:rsidR="00A45A26" w:rsidRPr="00A45A26" w:rsidRDefault="00A45A26" w:rsidP="00A45A26">
            <w:pPr>
              <w:spacing w:after="160" w:line="259" w:lineRule="auto"/>
              <w:rPr>
                <w:rFonts w:cs="Arial"/>
                <w:sz w:val="18"/>
                <w:szCs w:val="18"/>
              </w:rPr>
            </w:pPr>
            <w:r w:rsidRPr="00A45A26">
              <w:rPr>
                <w:rFonts w:cs="Arial"/>
                <w:sz w:val="18"/>
                <w:szCs w:val="18"/>
              </w:rPr>
              <w:t>Occupation</w:t>
            </w:r>
          </w:p>
        </w:tc>
      </w:tr>
      <w:tr w:rsidR="00A45A26" w:rsidRPr="00A45A26" w14:paraId="6803C185"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DB7384" w14:textId="77777777" w:rsidR="00A45A26" w:rsidRPr="00A45A26" w:rsidRDefault="00A45A26" w:rsidP="00A45A26">
            <w:pPr>
              <w:spacing w:after="160" w:line="259" w:lineRule="auto"/>
              <w:rPr>
                <w:rFonts w:cs="Arial"/>
                <w:sz w:val="18"/>
                <w:szCs w:val="18"/>
              </w:rPr>
            </w:pPr>
            <w:r w:rsidRPr="00A45A26">
              <w:rPr>
                <w:rFonts w:cs="Arial"/>
                <w:sz w:val="18"/>
                <w:szCs w:val="18"/>
              </w:rPr>
              <w:t>PM01</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EB5996" w14:textId="77777777" w:rsidR="00A45A26" w:rsidRPr="00A45A26" w:rsidRDefault="00A45A26" w:rsidP="00A45A26">
            <w:pPr>
              <w:spacing w:after="160" w:line="259" w:lineRule="auto"/>
              <w:rPr>
                <w:rFonts w:cs="Arial"/>
                <w:sz w:val="18"/>
                <w:szCs w:val="18"/>
              </w:rPr>
            </w:pPr>
            <w:r w:rsidRPr="00A45A26">
              <w:rPr>
                <w:rFonts w:cs="Arial"/>
                <w:sz w:val="18"/>
                <w:szCs w:val="18"/>
              </w:rPr>
              <w:t>60</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87FAC"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6BB75" w14:textId="77777777" w:rsidR="00A45A26" w:rsidRPr="00A45A26" w:rsidRDefault="00A45A26" w:rsidP="00A45A26">
            <w:pPr>
              <w:spacing w:after="160" w:line="259" w:lineRule="auto"/>
              <w:rPr>
                <w:rFonts w:cs="Arial"/>
                <w:sz w:val="18"/>
                <w:szCs w:val="18"/>
              </w:rPr>
            </w:pPr>
            <w:r w:rsidRPr="00A45A26">
              <w:rPr>
                <w:rFonts w:cs="Arial"/>
                <w:sz w:val="18"/>
                <w:szCs w:val="18"/>
              </w:rPr>
              <w:t>MBBS, MPhil</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24668"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Government senior official/academic </w:t>
            </w:r>
          </w:p>
        </w:tc>
      </w:tr>
      <w:tr w:rsidR="00A45A26" w:rsidRPr="00A45A26" w14:paraId="7370CD05"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23FEEE" w14:textId="77777777" w:rsidR="00A45A26" w:rsidRPr="00A45A26" w:rsidRDefault="00A45A26" w:rsidP="00A45A26">
            <w:pPr>
              <w:spacing w:after="160" w:line="259" w:lineRule="auto"/>
              <w:rPr>
                <w:rFonts w:cs="Arial"/>
                <w:sz w:val="18"/>
                <w:szCs w:val="18"/>
              </w:rPr>
            </w:pPr>
            <w:r w:rsidRPr="00A45A26">
              <w:rPr>
                <w:rFonts w:cs="Arial"/>
                <w:sz w:val="18"/>
                <w:szCs w:val="18"/>
              </w:rPr>
              <w:t>PM02</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7D4B7" w14:textId="77777777" w:rsidR="00A45A26" w:rsidRPr="00A45A26" w:rsidRDefault="00A45A26" w:rsidP="00A45A26">
            <w:pPr>
              <w:spacing w:after="160" w:line="259" w:lineRule="auto"/>
              <w:rPr>
                <w:rFonts w:cs="Arial"/>
                <w:sz w:val="18"/>
                <w:szCs w:val="18"/>
              </w:rPr>
            </w:pPr>
            <w:r w:rsidRPr="00A45A26">
              <w:rPr>
                <w:rFonts w:cs="Arial"/>
                <w:sz w:val="18"/>
                <w:szCs w:val="18"/>
              </w:rPr>
              <w:t>55</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84BD2" w14:textId="77777777" w:rsidR="00A45A26" w:rsidRPr="00A45A26" w:rsidRDefault="00A45A26" w:rsidP="00A45A26">
            <w:pPr>
              <w:spacing w:after="160" w:line="259" w:lineRule="auto"/>
              <w:rPr>
                <w:rFonts w:cs="Arial"/>
                <w:sz w:val="18"/>
                <w:szCs w:val="18"/>
              </w:rPr>
            </w:pPr>
            <w:r w:rsidRPr="00A45A26">
              <w:rPr>
                <w:rFonts w:cs="Arial"/>
                <w:sz w:val="18"/>
                <w:szCs w:val="18"/>
              </w:rPr>
              <w:t>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17AE0"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MBBS, MCPS, FCPS, </w:t>
            </w:r>
          </w:p>
          <w:p w14:paraId="4F83B712"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MD, FCCP </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30343"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Government senior official </w:t>
            </w:r>
          </w:p>
        </w:tc>
      </w:tr>
      <w:tr w:rsidR="00A45A26" w:rsidRPr="00A45A26" w14:paraId="482A3F54" w14:textId="77777777" w:rsidTr="00921EF9">
        <w:trPr>
          <w:trHeight w:val="290"/>
        </w:trPr>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76350C" w14:textId="77777777" w:rsidR="00A45A26" w:rsidRPr="00A45A26" w:rsidRDefault="00A45A26" w:rsidP="00A45A26">
            <w:pPr>
              <w:spacing w:after="160" w:line="259" w:lineRule="auto"/>
              <w:rPr>
                <w:rFonts w:cs="Arial"/>
                <w:sz w:val="18"/>
                <w:szCs w:val="18"/>
              </w:rPr>
            </w:pPr>
            <w:r w:rsidRPr="00A45A26">
              <w:rPr>
                <w:rFonts w:cs="Arial"/>
                <w:sz w:val="18"/>
                <w:szCs w:val="18"/>
              </w:rPr>
              <w:t>PM03</w:t>
            </w: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DDED7E" w14:textId="77777777" w:rsidR="00A45A26" w:rsidRPr="00A45A26" w:rsidRDefault="00A45A26" w:rsidP="00A45A26">
            <w:pPr>
              <w:spacing w:after="160" w:line="259" w:lineRule="auto"/>
              <w:rPr>
                <w:rFonts w:cs="Arial"/>
                <w:sz w:val="18"/>
                <w:szCs w:val="18"/>
              </w:rPr>
            </w:pPr>
            <w:r w:rsidRPr="00A45A26">
              <w:rPr>
                <w:rFonts w:cs="Arial"/>
                <w:sz w:val="18"/>
                <w:szCs w:val="18"/>
              </w:rPr>
              <w:t>45</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CD657" w14:textId="77777777" w:rsidR="00A45A26" w:rsidRPr="00A45A26" w:rsidRDefault="00A45A26" w:rsidP="00A45A26">
            <w:pPr>
              <w:spacing w:after="160" w:line="259" w:lineRule="auto"/>
              <w:rPr>
                <w:rFonts w:cs="Arial"/>
                <w:sz w:val="18"/>
                <w:szCs w:val="18"/>
              </w:rPr>
            </w:pPr>
            <w:r w:rsidRPr="00A45A26">
              <w:rPr>
                <w:rFonts w:cs="Arial"/>
                <w:sz w:val="18"/>
                <w:szCs w:val="18"/>
              </w:rPr>
              <w:t>Female</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E779BC" w14:textId="77777777" w:rsidR="00A45A26" w:rsidRPr="00A45A26" w:rsidRDefault="00A45A26" w:rsidP="00A45A26">
            <w:pPr>
              <w:spacing w:after="160" w:line="259" w:lineRule="auto"/>
              <w:rPr>
                <w:rFonts w:cs="Arial"/>
                <w:sz w:val="18"/>
                <w:szCs w:val="18"/>
              </w:rPr>
            </w:pPr>
            <w:r w:rsidRPr="00A45A26">
              <w:rPr>
                <w:rFonts w:cs="Arial"/>
                <w:sz w:val="18"/>
                <w:szCs w:val="18"/>
              </w:rPr>
              <w:t>MBBS, MPH</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35E8A0" w14:textId="77777777" w:rsidR="00A45A26" w:rsidRPr="00A45A26" w:rsidRDefault="00A45A26" w:rsidP="00A45A26">
            <w:pPr>
              <w:spacing w:after="160" w:line="259" w:lineRule="auto"/>
              <w:rPr>
                <w:rFonts w:cs="Arial"/>
                <w:sz w:val="18"/>
                <w:szCs w:val="18"/>
              </w:rPr>
            </w:pPr>
            <w:r w:rsidRPr="00A45A26">
              <w:rPr>
                <w:rFonts w:cs="Arial"/>
                <w:sz w:val="18"/>
                <w:szCs w:val="18"/>
              </w:rPr>
              <w:t xml:space="preserve">Government senor official </w:t>
            </w:r>
          </w:p>
        </w:tc>
      </w:tr>
    </w:tbl>
    <w:p w14:paraId="17CC6770" w14:textId="77777777" w:rsidR="00A45A26" w:rsidRPr="00A45A26" w:rsidRDefault="00A45A26" w:rsidP="00A45A26">
      <w:pPr>
        <w:rPr>
          <w:rFonts w:cs="Arial"/>
        </w:rPr>
      </w:pPr>
    </w:p>
    <w:p w14:paraId="76065C25" w14:textId="77777777" w:rsidR="00A45A26" w:rsidRPr="00025399" w:rsidRDefault="00A45A26" w:rsidP="004C2A00">
      <w:pPr>
        <w:rPr>
          <w:rFonts w:cs="Arial"/>
        </w:rPr>
      </w:pPr>
    </w:p>
    <w:sectPr w:rsidR="00A45A26" w:rsidRPr="0002539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7216E" w14:textId="77777777" w:rsidR="000450FB" w:rsidRDefault="000450FB" w:rsidP="001078E5">
      <w:pPr>
        <w:spacing w:after="0" w:line="240" w:lineRule="auto"/>
      </w:pPr>
      <w:r>
        <w:separator/>
      </w:r>
    </w:p>
  </w:endnote>
  <w:endnote w:type="continuationSeparator" w:id="0">
    <w:p w14:paraId="5854F2D9" w14:textId="77777777" w:rsidR="000450FB" w:rsidRDefault="000450FB" w:rsidP="0010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586279"/>
      <w:docPartObj>
        <w:docPartGallery w:val="Page Numbers (Bottom of Page)"/>
        <w:docPartUnique/>
      </w:docPartObj>
    </w:sdtPr>
    <w:sdtEndPr>
      <w:rPr>
        <w:noProof/>
      </w:rPr>
    </w:sdtEndPr>
    <w:sdtContent>
      <w:p w14:paraId="5C529E8A" w14:textId="3212ECD6" w:rsidR="00921EF9" w:rsidRDefault="00921E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8BD09C" w14:textId="77777777" w:rsidR="00921EF9" w:rsidRDefault="0092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6D493" w14:textId="77777777" w:rsidR="000450FB" w:rsidRDefault="000450FB" w:rsidP="001078E5">
      <w:pPr>
        <w:spacing w:after="0" w:line="240" w:lineRule="auto"/>
      </w:pPr>
      <w:r>
        <w:separator/>
      </w:r>
    </w:p>
  </w:footnote>
  <w:footnote w:type="continuationSeparator" w:id="0">
    <w:p w14:paraId="668B20E9" w14:textId="77777777" w:rsidR="000450FB" w:rsidRDefault="000450FB" w:rsidP="00107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7187"/>
    <w:multiLevelType w:val="hybridMultilevel"/>
    <w:tmpl w:val="2CE47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C12AC"/>
    <w:multiLevelType w:val="hybridMultilevel"/>
    <w:tmpl w:val="EE84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D388E"/>
    <w:multiLevelType w:val="hybridMultilevel"/>
    <w:tmpl w:val="2BC6BD12"/>
    <w:lvl w:ilvl="0" w:tplc="4E8E17E6">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87184"/>
    <w:multiLevelType w:val="hybridMultilevel"/>
    <w:tmpl w:val="80000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D554FB"/>
    <w:multiLevelType w:val="hybridMultilevel"/>
    <w:tmpl w:val="B9B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247BC"/>
    <w:multiLevelType w:val="hybridMultilevel"/>
    <w:tmpl w:val="590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1D"/>
    <w:rsid w:val="0000703F"/>
    <w:rsid w:val="00011145"/>
    <w:rsid w:val="00012BC4"/>
    <w:rsid w:val="000164B0"/>
    <w:rsid w:val="00025399"/>
    <w:rsid w:val="00027EA9"/>
    <w:rsid w:val="000345A4"/>
    <w:rsid w:val="00035145"/>
    <w:rsid w:val="00040312"/>
    <w:rsid w:val="00040F1D"/>
    <w:rsid w:val="00044419"/>
    <w:rsid w:val="000450FB"/>
    <w:rsid w:val="00063540"/>
    <w:rsid w:val="00067418"/>
    <w:rsid w:val="000710D3"/>
    <w:rsid w:val="0007703A"/>
    <w:rsid w:val="00081E00"/>
    <w:rsid w:val="000832E1"/>
    <w:rsid w:val="000848D1"/>
    <w:rsid w:val="00086646"/>
    <w:rsid w:val="0009141F"/>
    <w:rsid w:val="000A04A8"/>
    <w:rsid w:val="000A2596"/>
    <w:rsid w:val="000A4F31"/>
    <w:rsid w:val="000C773A"/>
    <w:rsid w:val="000E559C"/>
    <w:rsid w:val="000F0EA3"/>
    <w:rsid w:val="000F4489"/>
    <w:rsid w:val="000F57FB"/>
    <w:rsid w:val="000F7530"/>
    <w:rsid w:val="00101031"/>
    <w:rsid w:val="001078E5"/>
    <w:rsid w:val="00110AF0"/>
    <w:rsid w:val="00120F9B"/>
    <w:rsid w:val="00130733"/>
    <w:rsid w:val="00133D12"/>
    <w:rsid w:val="001617F4"/>
    <w:rsid w:val="00161B7B"/>
    <w:rsid w:val="0016323D"/>
    <w:rsid w:val="00163304"/>
    <w:rsid w:val="00166493"/>
    <w:rsid w:val="00167200"/>
    <w:rsid w:val="00172AC0"/>
    <w:rsid w:val="0017712F"/>
    <w:rsid w:val="00180AE3"/>
    <w:rsid w:val="00186483"/>
    <w:rsid w:val="001919E2"/>
    <w:rsid w:val="001942C9"/>
    <w:rsid w:val="00194490"/>
    <w:rsid w:val="001A20CF"/>
    <w:rsid w:val="001C0D73"/>
    <w:rsid w:val="001C1F49"/>
    <w:rsid w:val="001C358F"/>
    <w:rsid w:val="001E37B5"/>
    <w:rsid w:val="001E4760"/>
    <w:rsid w:val="001F0E29"/>
    <w:rsid w:val="001F1940"/>
    <w:rsid w:val="001F34EA"/>
    <w:rsid w:val="002036C2"/>
    <w:rsid w:val="00212015"/>
    <w:rsid w:val="00212627"/>
    <w:rsid w:val="00222F57"/>
    <w:rsid w:val="0023014A"/>
    <w:rsid w:val="002326B7"/>
    <w:rsid w:val="00232902"/>
    <w:rsid w:val="0023384B"/>
    <w:rsid w:val="0024046A"/>
    <w:rsid w:val="00246AEA"/>
    <w:rsid w:val="00247161"/>
    <w:rsid w:val="0025003F"/>
    <w:rsid w:val="00251299"/>
    <w:rsid w:val="002554E4"/>
    <w:rsid w:val="00257521"/>
    <w:rsid w:val="00264D40"/>
    <w:rsid w:val="002726A2"/>
    <w:rsid w:val="00286BC0"/>
    <w:rsid w:val="00294355"/>
    <w:rsid w:val="00295E9A"/>
    <w:rsid w:val="002A0417"/>
    <w:rsid w:val="002A4765"/>
    <w:rsid w:val="002A731E"/>
    <w:rsid w:val="002B50FA"/>
    <w:rsid w:val="002C2413"/>
    <w:rsid w:val="002C360F"/>
    <w:rsid w:val="002C5EEA"/>
    <w:rsid w:val="002D0692"/>
    <w:rsid w:val="002D35E3"/>
    <w:rsid w:val="002D5C77"/>
    <w:rsid w:val="002E77AE"/>
    <w:rsid w:val="002F3478"/>
    <w:rsid w:val="002F416B"/>
    <w:rsid w:val="002F630F"/>
    <w:rsid w:val="00307774"/>
    <w:rsid w:val="00317321"/>
    <w:rsid w:val="00325893"/>
    <w:rsid w:val="00326D85"/>
    <w:rsid w:val="0033261E"/>
    <w:rsid w:val="00335C0E"/>
    <w:rsid w:val="0034650C"/>
    <w:rsid w:val="00360011"/>
    <w:rsid w:val="003641D9"/>
    <w:rsid w:val="0036750C"/>
    <w:rsid w:val="00367901"/>
    <w:rsid w:val="0038323F"/>
    <w:rsid w:val="0038350E"/>
    <w:rsid w:val="0038384F"/>
    <w:rsid w:val="00385E95"/>
    <w:rsid w:val="003A0B32"/>
    <w:rsid w:val="003A33F6"/>
    <w:rsid w:val="003A40A8"/>
    <w:rsid w:val="003C3ED8"/>
    <w:rsid w:val="003C5356"/>
    <w:rsid w:val="003C5E9A"/>
    <w:rsid w:val="003C6704"/>
    <w:rsid w:val="003D0CF4"/>
    <w:rsid w:val="003D1DB6"/>
    <w:rsid w:val="003D3D82"/>
    <w:rsid w:val="003D50E7"/>
    <w:rsid w:val="003D5F53"/>
    <w:rsid w:val="003D7DC1"/>
    <w:rsid w:val="003E0BC3"/>
    <w:rsid w:val="003E5EA4"/>
    <w:rsid w:val="003E6C50"/>
    <w:rsid w:val="003F230C"/>
    <w:rsid w:val="004003B3"/>
    <w:rsid w:val="00402B3E"/>
    <w:rsid w:val="00430C4B"/>
    <w:rsid w:val="004573FD"/>
    <w:rsid w:val="0047691F"/>
    <w:rsid w:val="004908F7"/>
    <w:rsid w:val="0049299F"/>
    <w:rsid w:val="004A675E"/>
    <w:rsid w:val="004B394B"/>
    <w:rsid w:val="004C2A00"/>
    <w:rsid w:val="004C484F"/>
    <w:rsid w:val="004D5892"/>
    <w:rsid w:val="004E16F9"/>
    <w:rsid w:val="004E5706"/>
    <w:rsid w:val="004E7CFA"/>
    <w:rsid w:val="004F2068"/>
    <w:rsid w:val="004F27FA"/>
    <w:rsid w:val="004F2F39"/>
    <w:rsid w:val="004F2F7E"/>
    <w:rsid w:val="004F6273"/>
    <w:rsid w:val="00505093"/>
    <w:rsid w:val="0050570F"/>
    <w:rsid w:val="00511A48"/>
    <w:rsid w:val="00517147"/>
    <w:rsid w:val="005171CB"/>
    <w:rsid w:val="00517EF1"/>
    <w:rsid w:val="00524C64"/>
    <w:rsid w:val="0053009B"/>
    <w:rsid w:val="00532144"/>
    <w:rsid w:val="00532C8F"/>
    <w:rsid w:val="00533FC9"/>
    <w:rsid w:val="0053791D"/>
    <w:rsid w:val="00546491"/>
    <w:rsid w:val="00546645"/>
    <w:rsid w:val="00552644"/>
    <w:rsid w:val="005633AD"/>
    <w:rsid w:val="00565B4A"/>
    <w:rsid w:val="00570175"/>
    <w:rsid w:val="00585B38"/>
    <w:rsid w:val="00586ABA"/>
    <w:rsid w:val="00590640"/>
    <w:rsid w:val="00595F1D"/>
    <w:rsid w:val="005A7D22"/>
    <w:rsid w:val="005C24B6"/>
    <w:rsid w:val="005C3B0A"/>
    <w:rsid w:val="005D056B"/>
    <w:rsid w:val="005D1670"/>
    <w:rsid w:val="005E02BE"/>
    <w:rsid w:val="005E2117"/>
    <w:rsid w:val="005E511F"/>
    <w:rsid w:val="005E53D7"/>
    <w:rsid w:val="00601423"/>
    <w:rsid w:val="00602770"/>
    <w:rsid w:val="00615197"/>
    <w:rsid w:val="006224F1"/>
    <w:rsid w:val="00627D98"/>
    <w:rsid w:val="00634374"/>
    <w:rsid w:val="006361F7"/>
    <w:rsid w:val="00641FCD"/>
    <w:rsid w:val="00647078"/>
    <w:rsid w:val="0066087B"/>
    <w:rsid w:val="00671D9B"/>
    <w:rsid w:val="00682913"/>
    <w:rsid w:val="00683147"/>
    <w:rsid w:val="00684703"/>
    <w:rsid w:val="00685CCC"/>
    <w:rsid w:val="006979B6"/>
    <w:rsid w:val="006A50C1"/>
    <w:rsid w:val="006A7B29"/>
    <w:rsid w:val="006B2D2E"/>
    <w:rsid w:val="006B2E93"/>
    <w:rsid w:val="006B6CB0"/>
    <w:rsid w:val="006E12EB"/>
    <w:rsid w:val="006E3435"/>
    <w:rsid w:val="006F41FB"/>
    <w:rsid w:val="00702154"/>
    <w:rsid w:val="00703C5C"/>
    <w:rsid w:val="00705C08"/>
    <w:rsid w:val="00715590"/>
    <w:rsid w:val="00722DD1"/>
    <w:rsid w:val="007236B7"/>
    <w:rsid w:val="00731063"/>
    <w:rsid w:val="00736153"/>
    <w:rsid w:val="007372E6"/>
    <w:rsid w:val="0073771E"/>
    <w:rsid w:val="007412B0"/>
    <w:rsid w:val="00743A10"/>
    <w:rsid w:val="00746590"/>
    <w:rsid w:val="007522F4"/>
    <w:rsid w:val="00753812"/>
    <w:rsid w:val="00753E6E"/>
    <w:rsid w:val="0076104C"/>
    <w:rsid w:val="0076309D"/>
    <w:rsid w:val="00766021"/>
    <w:rsid w:val="00766D88"/>
    <w:rsid w:val="00774768"/>
    <w:rsid w:val="007754F7"/>
    <w:rsid w:val="007C4F6A"/>
    <w:rsid w:val="007D0849"/>
    <w:rsid w:val="007D63C0"/>
    <w:rsid w:val="007E2355"/>
    <w:rsid w:val="007E531F"/>
    <w:rsid w:val="007F0366"/>
    <w:rsid w:val="007F1288"/>
    <w:rsid w:val="007F16BE"/>
    <w:rsid w:val="007F1E43"/>
    <w:rsid w:val="007F25B0"/>
    <w:rsid w:val="007F7251"/>
    <w:rsid w:val="00802793"/>
    <w:rsid w:val="00804209"/>
    <w:rsid w:val="008068CF"/>
    <w:rsid w:val="00810324"/>
    <w:rsid w:val="0081502D"/>
    <w:rsid w:val="00820781"/>
    <w:rsid w:val="00821ACE"/>
    <w:rsid w:val="00831008"/>
    <w:rsid w:val="0084739F"/>
    <w:rsid w:val="00847518"/>
    <w:rsid w:val="00852D62"/>
    <w:rsid w:val="00854CE0"/>
    <w:rsid w:val="008550DA"/>
    <w:rsid w:val="0086635F"/>
    <w:rsid w:val="0086777B"/>
    <w:rsid w:val="00870A4E"/>
    <w:rsid w:val="00870E9A"/>
    <w:rsid w:val="0087221D"/>
    <w:rsid w:val="00873BE9"/>
    <w:rsid w:val="00876725"/>
    <w:rsid w:val="00877853"/>
    <w:rsid w:val="00882314"/>
    <w:rsid w:val="00890F1A"/>
    <w:rsid w:val="00894600"/>
    <w:rsid w:val="0089461E"/>
    <w:rsid w:val="008A2143"/>
    <w:rsid w:val="008A6BC0"/>
    <w:rsid w:val="008B1DAE"/>
    <w:rsid w:val="008C757C"/>
    <w:rsid w:val="008D1E33"/>
    <w:rsid w:val="008D228D"/>
    <w:rsid w:val="008E2108"/>
    <w:rsid w:val="008E6632"/>
    <w:rsid w:val="008E70CA"/>
    <w:rsid w:val="008F6606"/>
    <w:rsid w:val="00906BA8"/>
    <w:rsid w:val="00921EF9"/>
    <w:rsid w:val="00922C68"/>
    <w:rsid w:val="00924462"/>
    <w:rsid w:val="0093097A"/>
    <w:rsid w:val="00930E03"/>
    <w:rsid w:val="00934FA6"/>
    <w:rsid w:val="009364DF"/>
    <w:rsid w:val="00937726"/>
    <w:rsid w:val="00942F70"/>
    <w:rsid w:val="009516DA"/>
    <w:rsid w:val="00967472"/>
    <w:rsid w:val="00971858"/>
    <w:rsid w:val="00975F1F"/>
    <w:rsid w:val="00976EF0"/>
    <w:rsid w:val="009800B7"/>
    <w:rsid w:val="00991630"/>
    <w:rsid w:val="0099233B"/>
    <w:rsid w:val="009A7F12"/>
    <w:rsid w:val="009B14E9"/>
    <w:rsid w:val="009B2775"/>
    <w:rsid w:val="009B7A7F"/>
    <w:rsid w:val="009B7E0C"/>
    <w:rsid w:val="009C134B"/>
    <w:rsid w:val="009D02ED"/>
    <w:rsid w:val="009D3397"/>
    <w:rsid w:val="009D61F7"/>
    <w:rsid w:val="009E07F1"/>
    <w:rsid w:val="009E44F0"/>
    <w:rsid w:val="00A07494"/>
    <w:rsid w:val="00A149AF"/>
    <w:rsid w:val="00A22374"/>
    <w:rsid w:val="00A25C3F"/>
    <w:rsid w:val="00A25F38"/>
    <w:rsid w:val="00A31969"/>
    <w:rsid w:val="00A3712D"/>
    <w:rsid w:val="00A43514"/>
    <w:rsid w:val="00A45A26"/>
    <w:rsid w:val="00A53F94"/>
    <w:rsid w:val="00A55974"/>
    <w:rsid w:val="00A66373"/>
    <w:rsid w:val="00A704DD"/>
    <w:rsid w:val="00A70D15"/>
    <w:rsid w:val="00A813BA"/>
    <w:rsid w:val="00A85C76"/>
    <w:rsid w:val="00A86D09"/>
    <w:rsid w:val="00AA2ACF"/>
    <w:rsid w:val="00AA483B"/>
    <w:rsid w:val="00AB1EC1"/>
    <w:rsid w:val="00AB514B"/>
    <w:rsid w:val="00AC5603"/>
    <w:rsid w:val="00AC5DAA"/>
    <w:rsid w:val="00AC7256"/>
    <w:rsid w:val="00AC7C1F"/>
    <w:rsid w:val="00AE2DE5"/>
    <w:rsid w:val="00AE3BF5"/>
    <w:rsid w:val="00B12C97"/>
    <w:rsid w:val="00B1462F"/>
    <w:rsid w:val="00B21556"/>
    <w:rsid w:val="00B2795B"/>
    <w:rsid w:val="00B3137B"/>
    <w:rsid w:val="00B31CC9"/>
    <w:rsid w:val="00B36225"/>
    <w:rsid w:val="00B418DE"/>
    <w:rsid w:val="00B518F2"/>
    <w:rsid w:val="00B57ADB"/>
    <w:rsid w:val="00B62518"/>
    <w:rsid w:val="00B62E89"/>
    <w:rsid w:val="00B916EB"/>
    <w:rsid w:val="00B9505C"/>
    <w:rsid w:val="00BA0A14"/>
    <w:rsid w:val="00BB0B31"/>
    <w:rsid w:val="00BC642F"/>
    <w:rsid w:val="00BD31EA"/>
    <w:rsid w:val="00BD5DD8"/>
    <w:rsid w:val="00BD7BA2"/>
    <w:rsid w:val="00BF3BCF"/>
    <w:rsid w:val="00C10381"/>
    <w:rsid w:val="00C11976"/>
    <w:rsid w:val="00C22018"/>
    <w:rsid w:val="00C27715"/>
    <w:rsid w:val="00C3022D"/>
    <w:rsid w:val="00C311D5"/>
    <w:rsid w:val="00C327BA"/>
    <w:rsid w:val="00C33FF2"/>
    <w:rsid w:val="00C57140"/>
    <w:rsid w:val="00C60571"/>
    <w:rsid w:val="00C6279A"/>
    <w:rsid w:val="00C65A07"/>
    <w:rsid w:val="00C7468A"/>
    <w:rsid w:val="00C76966"/>
    <w:rsid w:val="00C84E95"/>
    <w:rsid w:val="00C9084F"/>
    <w:rsid w:val="00CB0B2A"/>
    <w:rsid w:val="00CB1433"/>
    <w:rsid w:val="00CB36B5"/>
    <w:rsid w:val="00CC3A86"/>
    <w:rsid w:val="00CD0072"/>
    <w:rsid w:val="00CD02E2"/>
    <w:rsid w:val="00CD538A"/>
    <w:rsid w:val="00CE554A"/>
    <w:rsid w:val="00CE5F6F"/>
    <w:rsid w:val="00CE6FF8"/>
    <w:rsid w:val="00D0331D"/>
    <w:rsid w:val="00D05A24"/>
    <w:rsid w:val="00D073F7"/>
    <w:rsid w:val="00D17B33"/>
    <w:rsid w:val="00D2185E"/>
    <w:rsid w:val="00D256FD"/>
    <w:rsid w:val="00D27081"/>
    <w:rsid w:val="00D314FB"/>
    <w:rsid w:val="00D32B53"/>
    <w:rsid w:val="00D33EDB"/>
    <w:rsid w:val="00D34EFD"/>
    <w:rsid w:val="00D377EE"/>
    <w:rsid w:val="00D57CC0"/>
    <w:rsid w:val="00D65A67"/>
    <w:rsid w:val="00D75277"/>
    <w:rsid w:val="00D816F7"/>
    <w:rsid w:val="00D844FF"/>
    <w:rsid w:val="00D84A86"/>
    <w:rsid w:val="00D90A33"/>
    <w:rsid w:val="00D928E8"/>
    <w:rsid w:val="00D929A3"/>
    <w:rsid w:val="00D954B1"/>
    <w:rsid w:val="00D95FE1"/>
    <w:rsid w:val="00D96904"/>
    <w:rsid w:val="00DA162D"/>
    <w:rsid w:val="00DB3B13"/>
    <w:rsid w:val="00DB4096"/>
    <w:rsid w:val="00DC36D9"/>
    <w:rsid w:val="00DD219E"/>
    <w:rsid w:val="00DD2A60"/>
    <w:rsid w:val="00DD4D68"/>
    <w:rsid w:val="00DE03A4"/>
    <w:rsid w:val="00DE118F"/>
    <w:rsid w:val="00DE17C4"/>
    <w:rsid w:val="00DE19FF"/>
    <w:rsid w:val="00DF1EEC"/>
    <w:rsid w:val="00DF66D5"/>
    <w:rsid w:val="00E0442D"/>
    <w:rsid w:val="00E11E3B"/>
    <w:rsid w:val="00E126F1"/>
    <w:rsid w:val="00E1706B"/>
    <w:rsid w:val="00E17AED"/>
    <w:rsid w:val="00E209BE"/>
    <w:rsid w:val="00E2529B"/>
    <w:rsid w:val="00E25F67"/>
    <w:rsid w:val="00E303BB"/>
    <w:rsid w:val="00E369AE"/>
    <w:rsid w:val="00E42209"/>
    <w:rsid w:val="00E442DE"/>
    <w:rsid w:val="00E457C5"/>
    <w:rsid w:val="00E625BA"/>
    <w:rsid w:val="00E71B7B"/>
    <w:rsid w:val="00E71EFC"/>
    <w:rsid w:val="00E72FAF"/>
    <w:rsid w:val="00E838B1"/>
    <w:rsid w:val="00E84BF9"/>
    <w:rsid w:val="00E91E01"/>
    <w:rsid w:val="00E93923"/>
    <w:rsid w:val="00E969CF"/>
    <w:rsid w:val="00EA0E80"/>
    <w:rsid w:val="00EA2025"/>
    <w:rsid w:val="00EA543C"/>
    <w:rsid w:val="00EC38D0"/>
    <w:rsid w:val="00EC7445"/>
    <w:rsid w:val="00EC7FBB"/>
    <w:rsid w:val="00EE30E2"/>
    <w:rsid w:val="00EE3F7C"/>
    <w:rsid w:val="00EE4303"/>
    <w:rsid w:val="00EF0596"/>
    <w:rsid w:val="00EF0DE7"/>
    <w:rsid w:val="00EF2A89"/>
    <w:rsid w:val="00EF2F34"/>
    <w:rsid w:val="00F001FF"/>
    <w:rsid w:val="00F00880"/>
    <w:rsid w:val="00F01139"/>
    <w:rsid w:val="00F035E2"/>
    <w:rsid w:val="00F05DB2"/>
    <w:rsid w:val="00F17E67"/>
    <w:rsid w:val="00F24569"/>
    <w:rsid w:val="00F30440"/>
    <w:rsid w:val="00F55400"/>
    <w:rsid w:val="00F57D88"/>
    <w:rsid w:val="00F93647"/>
    <w:rsid w:val="00F938F4"/>
    <w:rsid w:val="00FB7483"/>
    <w:rsid w:val="00FB77B9"/>
    <w:rsid w:val="00FB7D99"/>
    <w:rsid w:val="00FC1379"/>
    <w:rsid w:val="00FD239A"/>
    <w:rsid w:val="00FE2C6C"/>
    <w:rsid w:val="00FF0D20"/>
    <w:rsid w:val="00FF4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5C86"/>
  <w15:chartTrackingRefBased/>
  <w15:docId w15:val="{AB641A79-2861-455F-A083-70E0F048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145"/>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068"/>
    <w:pPr>
      <w:ind w:left="720"/>
      <w:contextualSpacing/>
    </w:pPr>
  </w:style>
  <w:style w:type="character" w:styleId="Hyperlink">
    <w:name w:val="Hyperlink"/>
    <w:basedOn w:val="DefaultParagraphFont"/>
    <w:uiPriority w:val="99"/>
    <w:unhideWhenUsed/>
    <w:rsid w:val="00C22018"/>
    <w:rPr>
      <w:color w:val="0000FF"/>
      <w:u w:val="single"/>
    </w:rPr>
  </w:style>
  <w:style w:type="character" w:customStyle="1" w:styleId="gnkrckgcgsb">
    <w:name w:val="gnkrckgcgsb"/>
    <w:basedOn w:val="DefaultParagraphFont"/>
    <w:rsid w:val="003A40A8"/>
    <w:rPr>
      <w:rFonts w:cs="Times New Roman"/>
    </w:rPr>
  </w:style>
  <w:style w:type="character" w:styleId="CommentReference">
    <w:name w:val="annotation reference"/>
    <w:basedOn w:val="DefaultParagraphFont"/>
    <w:uiPriority w:val="99"/>
    <w:semiHidden/>
    <w:unhideWhenUsed/>
    <w:rsid w:val="003A40A8"/>
    <w:rPr>
      <w:rFonts w:cs="Times New Roman"/>
      <w:sz w:val="16"/>
      <w:szCs w:val="16"/>
    </w:rPr>
  </w:style>
  <w:style w:type="paragraph" w:styleId="CommentText">
    <w:name w:val="annotation text"/>
    <w:basedOn w:val="Normal"/>
    <w:link w:val="CommentTextChar"/>
    <w:uiPriority w:val="99"/>
    <w:unhideWhenUsed/>
    <w:rsid w:val="003A40A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3A40A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A4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0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40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A40A8"/>
    <w:rPr>
      <w:rFonts w:ascii="Arial" w:eastAsia="Times New Roman" w:hAnsi="Arial" w:cs="Times New Roman"/>
      <w:b/>
      <w:bCs/>
      <w:sz w:val="20"/>
      <w:szCs w:val="20"/>
    </w:rPr>
  </w:style>
  <w:style w:type="paragraph" w:customStyle="1" w:styleId="Normal0">
    <w:name w:val="[Normal]"/>
    <w:uiPriority w:val="99"/>
    <w:rsid w:val="007754F7"/>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671D9B"/>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link w:val="NoSpacingChar"/>
    <w:uiPriority w:val="1"/>
    <w:qFormat/>
    <w:rsid w:val="006F41FB"/>
    <w:pPr>
      <w:spacing w:after="0" w:line="240" w:lineRule="auto"/>
    </w:pPr>
  </w:style>
  <w:style w:type="character" w:customStyle="1" w:styleId="NoSpacingChar">
    <w:name w:val="No Spacing Char"/>
    <w:basedOn w:val="DefaultParagraphFont"/>
    <w:link w:val="NoSpacing"/>
    <w:uiPriority w:val="1"/>
    <w:rsid w:val="006F41FB"/>
    <w:rPr>
      <w:rFonts w:ascii="Arial" w:hAnsi="Arial"/>
    </w:rPr>
  </w:style>
  <w:style w:type="paragraph" w:styleId="HTMLPreformatted">
    <w:name w:val="HTML Preformatted"/>
    <w:basedOn w:val="Normal"/>
    <w:link w:val="HTMLPreformattedChar"/>
    <w:uiPriority w:val="99"/>
    <w:unhideWhenUsed/>
    <w:rsid w:val="006F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F41FB"/>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107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8E5"/>
    <w:rPr>
      <w:rFonts w:ascii="Arial" w:hAnsi="Arial"/>
    </w:rPr>
  </w:style>
  <w:style w:type="paragraph" w:styleId="Footer">
    <w:name w:val="footer"/>
    <w:basedOn w:val="Normal"/>
    <w:link w:val="FooterChar"/>
    <w:uiPriority w:val="99"/>
    <w:unhideWhenUsed/>
    <w:rsid w:val="00107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8E5"/>
    <w:rPr>
      <w:rFonts w:ascii="Arial" w:hAnsi="Arial"/>
    </w:rPr>
  </w:style>
  <w:style w:type="character" w:customStyle="1" w:styleId="UnresolvedMention1">
    <w:name w:val="Unresolved Mention1"/>
    <w:basedOn w:val="DefaultParagraphFont"/>
    <w:uiPriority w:val="99"/>
    <w:semiHidden/>
    <w:unhideWhenUsed/>
    <w:rsid w:val="00DA162D"/>
    <w:rPr>
      <w:color w:val="605E5C"/>
      <w:shd w:val="clear" w:color="auto" w:fill="E1DFDD"/>
    </w:rPr>
  </w:style>
  <w:style w:type="paragraph" w:styleId="EndnoteText">
    <w:name w:val="endnote text"/>
    <w:basedOn w:val="Normal"/>
    <w:link w:val="EndnoteTextChar"/>
    <w:uiPriority w:val="99"/>
    <w:semiHidden/>
    <w:unhideWhenUsed/>
    <w:rsid w:val="00130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733"/>
    <w:rPr>
      <w:rFonts w:ascii="Arial" w:hAnsi="Arial"/>
      <w:sz w:val="20"/>
      <w:szCs w:val="20"/>
    </w:rPr>
  </w:style>
  <w:style w:type="character" w:styleId="EndnoteReference">
    <w:name w:val="endnote reference"/>
    <w:basedOn w:val="DefaultParagraphFont"/>
    <w:uiPriority w:val="99"/>
    <w:semiHidden/>
    <w:unhideWhenUsed/>
    <w:rsid w:val="00130733"/>
    <w:rPr>
      <w:vertAlign w:val="superscript"/>
    </w:rPr>
  </w:style>
  <w:style w:type="character" w:customStyle="1" w:styleId="gmaildefault">
    <w:name w:val="gmail_default"/>
    <w:basedOn w:val="DefaultParagraphFont"/>
    <w:rsid w:val="00A66373"/>
  </w:style>
  <w:style w:type="character" w:styleId="FollowedHyperlink">
    <w:name w:val="FollowedHyperlink"/>
    <w:basedOn w:val="DefaultParagraphFont"/>
    <w:uiPriority w:val="99"/>
    <w:semiHidden/>
    <w:unhideWhenUsed/>
    <w:rsid w:val="00A66373"/>
    <w:rPr>
      <w:color w:val="954F72" w:themeColor="followedHyperlink"/>
      <w:u w:val="single"/>
    </w:rPr>
  </w:style>
  <w:style w:type="paragraph" w:styleId="NormalWeb">
    <w:name w:val="Normal (Web)"/>
    <w:basedOn w:val="Normal"/>
    <w:uiPriority w:val="99"/>
    <w:semiHidden/>
    <w:unhideWhenUsed/>
    <w:rsid w:val="004E5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25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842">
      <w:bodyDiv w:val="1"/>
      <w:marLeft w:val="0"/>
      <w:marRight w:val="0"/>
      <w:marTop w:val="0"/>
      <w:marBottom w:val="0"/>
      <w:divBdr>
        <w:top w:val="none" w:sz="0" w:space="0" w:color="auto"/>
        <w:left w:val="none" w:sz="0" w:space="0" w:color="auto"/>
        <w:bottom w:val="none" w:sz="0" w:space="0" w:color="auto"/>
        <w:right w:val="none" w:sz="0" w:space="0" w:color="auto"/>
      </w:divBdr>
    </w:div>
    <w:div w:id="52704572">
      <w:bodyDiv w:val="1"/>
      <w:marLeft w:val="0"/>
      <w:marRight w:val="0"/>
      <w:marTop w:val="0"/>
      <w:marBottom w:val="0"/>
      <w:divBdr>
        <w:top w:val="none" w:sz="0" w:space="0" w:color="auto"/>
        <w:left w:val="none" w:sz="0" w:space="0" w:color="auto"/>
        <w:bottom w:val="none" w:sz="0" w:space="0" w:color="auto"/>
        <w:right w:val="none" w:sz="0" w:space="0" w:color="auto"/>
      </w:divBdr>
    </w:div>
    <w:div w:id="220018692">
      <w:bodyDiv w:val="1"/>
      <w:marLeft w:val="0"/>
      <w:marRight w:val="0"/>
      <w:marTop w:val="0"/>
      <w:marBottom w:val="0"/>
      <w:divBdr>
        <w:top w:val="none" w:sz="0" w:space="0" w:color="auto"/>
        <w:left w:val="none" w:sz="0" w:space="0" w:color="auto"/>
        <w:bottom w:val="none" w:sz="0" w:space="0" w:color="auto"/>
        <w:right w:val="none" w:sz="0" w:space="0" w:color="auto"/>
      </w:divBdr>
    </w:div>
    <w:div w:id="220023672">
      <w:bodyDiv w:val="1"/>
      <w:marLeft w:val="0"/>
      <w:marRight w:val="0"/>
      <w:marTop w:val="0"/>
      <w:marBottom w:val="0"/>
      <w:divBdr>
        <w:top w:val="none" w:sz="0" w:space="0" w:color="auto"/>
        <w:left w:val="none" w:sz="0" w:space="0" w:color="auto"/>
        <w:bottom w:val="none" w:sz="0" w:space="0" w:color="auto"/>
        <w:right w:val="none" w:sz="0" w:space="0" w:color="auto"/>
      </w:divBdr>
      <w:divsChild>
        <w:div w:id="1337655423">
          <w:marLeft w:val="0"/>
          <w:marRight w:val="0"/>
          <w:marTop w:val="0"/>
          <w:marBottom w:val="0"/>
          <w:divBdr>
            <w:top w:val="none" w:sz="0" w:space="0" w:color="auto"/>
            <w:left w:val="none" w:sz="0" w:space="0" w:color="auto"/>
            <w:bottom w:val="none" w:sz="0" w:space="0" w:color="auto"/>
            <w:right w:val="none" w:sz="0" w:space="0" w:color="auto"/>
          </w:divBdr>
        </w:div>
        <w:div w:id="387923798">
          <w:marLeft w:val="0"/>
          <w:marRight w:val="0"/>
          <w:marTop w:val="0"/>
          <w:marBottom w:val="0"/>
          <w:divBdr>
            <w:top w:val="none" w:sz="0" w:space="0" w:color="auto"/>
            <w:left w:val="none" w:sz="0" w:space="0" w:color="auto"/>
            <w:bottom w:val="none" w:sz="0" w:space="0" w:color="auto"/>
            <w:right w:val="none" w:sz="0" w:space="0" w:color="auto"/>
          </w:divBdr>
        </w:div>
        <w:div w:id="1449933037">
          <w:marLeft w:val="0"/>
          <w:marRight w:val="0"/>
          <w:marTop w:val="0"/>
          <w:marBottom w:val="0"/>
          <w:divBdr>
            <w:top w:val="none" w:sz="0" w:space="0" w:color="auto"/>
            <w:left w:val="none" w:sz="0" w:space="0" w:color="auto"/>
            <w:bottom w:val="none" w:sz="0" w:space="0" w:color="auto"/>
            <w:right w:val="none" w:sz="0" w:space="0" w:color="auto"/>
          </w:divBdr>
        </w:div>
        <w:div w:id="2035492950">
          <w:marLeft w:val="0"/>
          <w:marRight w:val="0"/>
          <w:marTop w:val="0"/>
          <w:marBottom w:val="0"/>
          <w:divBdr>
            <w:top w:val="none" w:sz="0" w:space="0" w:color="auto"/>
            <w:left w:val="none" w:sz="0" w:space="0" w:color="auto"/>
            <w:bottom w:val="none" w:sz="0" w:space="0" w:color="auto"/>
            <w:right w:val="none" w:sz="0" w:space="0" w:color="auto"/>
          </w:divBdr>
        </w:div>
      </w:divsChild>
    </w:div>
    <w:div w:id="257760787">
      <w:bodyDiv w:val="1"/>
      <w:marLeft w:val="0"/>
      <w:marRight w:val="0"/>
      <w:marTop w:val="0"/>
      <w:marBottom w:val="0"/>
      <w:divBdr>
        <w:top w:val="none" w:sz="0" w:space="0" w:color="auto"/>
        <w:left w:val="none" w:sz="0" w:space="0" w:color="auto"/>
        <w:bottom w:val="none" w:sz="0" w:space="0" w:color="auto"/>
        <w:right w:val="none" w:sz="0" w:space="0" w:color="auto"/>
      </w:divBdr>
    </w:div>
    <w:div w:id="329673820">
      <w:bodyDiv w:val="1"/>
      <w:marLeft w:val="0"/>
      <w:marRight w:val="0"/>
      <w:marTop w:val="0"/>
      <w:marBottom w:val="0"/>
      <w:divBdr>
        <w:top w:val="none" w:sz="0" w:space="0" w:color="auto"/>
        <w:left w:val="none" w:sz="0" w:space="0" w:color="auto"/>
        <w:bottom w:val="none" w:sz="0" w:space="0" w:color="auto"/>
        <w:right w:val="none" w:sz="0" w:space="0" w:color="auto"/>
      </w:divBdr>
    </w:div>
    <w:div w:id="378288421">
      <w:bodyDiv w:val="1"/>
      <w:marLeft w:val="0"/>
      <w:marRight w:val="0"/>
      <w:marTop w:val="0"/>
      <w:marBottom w:val="0"/>
      <w:divBdr>
        <w:top w:val="none" w:sz="0" w:space="0" w:color="auto"/>
        <w:left w:val="none" w:sz="0" w:space="0" w:color="auto"/>
        <w:bottom w:val="none" w:sz="0" w:space="0" w:color="auto"/>
        <w:right w:val="none" w:sz="0" w:space="0" w:color="auto"/>
      </w:divBdr>
      <w:divsChild>
        <w:div w:id="2033257800">
          <w:marLeft w:val="0"/>
          <w:marRight w:val="0"/>
          <w:marTop w:val="34"/>
          <w:marBottom w:val="34"/>
          <w:divBdr>
            <w:top w:val="none" w:sz="0" w:space="0" w:color="auto"/>
            <w:left w:val="none" w:sz="0" w:space="0" w:color="auto"/>
            <w:bottom w:val="none" w:sz="0" w:space="0" w:color="auto"/>
            <w:right w:val="none" w:sz="0" w:space="0" w:color="auto"/>
          </w:divBdr>
        </w:div>
      </w:divsChild>
    </w:div>
    <w:div w:id="396636741">
      <w:bodyDiv w:val="1"/>
      <w:marLeft w:val="0"/>
      <w:marRight w:val="0"/>
      <w:marTop w:val="0"/>
      <w:marBottom w:val="0"/>
      <w:divBdr>
        <w:top w:val="none" w:sz="0" w:space="0" w:color="auto"/>
        <w:left w:val="none" w:sz="0" w:space="0" w:color="auto"/>
        <w:bottom w:val="none" w:sz="0" w:space="0" w:color="auto"/>
        <w:right w:val="none" w:sz="0" w:space="0" w:color="auto"/>
      </w:divBdr>
    </w:div>
    <w:div w:id="455759598">
      <w:bodyDiv w:val="1"/>
      <w:marLeft w:val="0"/>
      <w:marRight w:val="0"/>
      <w:marTop w:val="0"/>
      <w:marBottom w:val="0"/>
      <w:divBdr>
        <w:top w:val="none" w:sz="0" w:space="0" w:color="auto"/>
        <w:left w:val="none" w:sz="0" w:space="0" w:color="auto"/>
        <w:bottom w:val="none" w:sz="0" w:space="0" w:color="auto"/>
        <w:right w:val="none" w:sz="0" w:space="0" w:color="auto"/>
      </w:divBdr>
    </w:div>
    <w:div w:id="556742078">
      <w:bodyDiv w:val="1"/>
      <w:marLeft w:val="0"/>
      <w:marRight w:val="0"/>
      <w:marTop w:val="0"/>
      <w:marBottom w:val="0"/>
      <w:divBdr>
        <w:top w:val="none" w:sz="0" w:space="0" w:color="auto"/>
        <w:left w:val="none" w:sz="0" w:space="0" w:color="auto"/>
        <w:bottom w:val="none" w:sz="0" w:space="0" w:color="auto"/>
        <w:right w:val="none" w:sz="0" w:space="0" w:color="auto"/>
      </w:divBdr>
    </w:div>
    <w:div w:id="574625507">
      <w:bodyDiv w:val="1"/>
      <w:marLeft w:val="0"/>
      <w:marRight w:val="0"/>
      <w:marTop w:val="0"/>
      <w:marBottom w:val="0"/>
      <w:divBdr>
        <w:top w:val="none" w:sz="0" w:space="0" w:color="auto"/>
        <w:left w:val="none" w:sz="0" w:space="0" w:color="auto"/>
        <w:bottom w:val="none" w:sz="0" w:space="0" w:color="auto"/>
        <w:right w:val="none" w:sz="0" w:space="0" w:color="auto"/>
      </w:divBdr>
    </w:div>
    <w:div w:id="681514297">
      <w:bodyDiv w:val="1"/>
      <w:marLeft w:val="0"/>
      <w:marRight w:val="0"/>
      <w:marTop w:val="0"/>
      <w:marBottom w:val="0"/>
      <w:divBdr>
        <w:top w:val="none" w:sz="0" w:space="0" w:color="auto"/>
        <w:left w:val="none" w:sz="0" w:space="0" w:color="auto"/>
        <w:bottom w:val="none" w:sz="0" w:space="0" w:color="auto"/>
        <w:right w:val="none" w:sz="0" w:space="0" w:color="auto"/>
      </w:divBdr>
    </w:div>
    <w:div w:id="889222804">
      <w:bodyDiv w:val="1"/>
      <w:marLeft w:val="0"/>
      <w:marRight w:val="0"/>
      <w:marTop w:val="0"/>
      <w:marBottom w:val="0"/>
      <w:divBdr>
        <w:top w:val="none" w:sz="0" w:space="0" w:color="auto"/>
        <w:left w:val="none" w:sz="0" w:space="0" w:color="auto"/>
        <w:bottom w:val="none" w:sz="0" w:space="0" w:color="auto"/>
        <w:right w:val="none" w:sz="0" w:space="0" w:color="auto"/>
      </w:divBdr>
    </w:div>
    <w:div w:id="984822404">
      <w:bodyDiv w:val="1"/>
      <w:marLeft w:val="0"/>
      <w:marRight w:val="0"/>
      <w:marTop w:val="0"/>
      <w:marBottom w:val="0"/>
      <w:divBdr>
        <w:top w:val="none" w:sz="0" w:space="0" w:color="auto"/>
        <w:left w:val="none" w:sz="0" w:space="0" w:color="auto"/>
        <w:bottom w:val="none" w:sz="0" w:space="0" w:color="auto"/>
        <w:right w:val="none" w:sz="0" w:space="0" w:color="auto"/>
      </w:divBdr>
    </w:div>
    <w:div w:id="1030498765">
      <w:bodyDiv w:val="1"/>
      <w:marLeft w:val="0"/>
      <w:marRight w:val="0"/>
      <w:marTop w:val="0"/>
      <w:marBottom w:val="0"/>
      <w:divBdr>
        <w:top w:val="none" w:sz="0" w:space="0" w:color="auto"/>
        <w:left w:val="none" w:sz="0" w:space="0" w:color="auto"/>
        <w:bottom w:val="none" w:sz="0" w:space="0" w:color="auto"/>
        <w:right w:val="none" w:sz="0" w:space="0" w:color="auto"/>
      </w:divBdr>
      <w:divsChild>
        <w:div w:id="834489179">
          <w:marLeft w:val="0"/>
          <w:marRight w:val="0"/>
          <w:marTop w:val="0"/>
          <w:marBottom w:val="0"/>
          <w:divBdr>
            <w:top w:val="none" w:sz="0" w:space="0" w:color="auto"/>
            <w:left w:val="none" w:sz="0" w:space="0" w:color="auto"/>
            <w:bottom w:val="none" w:sz="0" w:space="0" w:color="auto"/>
            <w:right w:val="none" w:sz="0" w:space="0" w:color="auto"/>
          </w:divBdr>
        </w:div>
        <w:div w:id="1869564953">
          <w:marLeft w:val="0"/>
          <w:marRight w:val="0"/>
          <w:marTop w:val="75"/>
          <w:marBottom w:val="0"/>
          <w:divBdr>
            <w:top w:val="none" w:sz="0" w:space="0" w:color="auto"/>
            <w:left w:val="none" w:sz="0" w:space="0" w:color="auto"/>
            <w:bottom w:val="none" w:sz="0" w:space="0" w:color="auto"/>
            <w:right w:val="none" w:sz="0" w:space="0" w:color="auto"/>
          </w:divBdr>
        </w:div>
        <w:div w:id="42216920">
          <w:marLeft w:val="0"/>
          <w:marRight w:val="0"/>
          <w:marTop w:val="75"/>
          <w:marBottom w:val="0"/>
          <w:divBdr>
            <w:top w:val="none" w:sz="0" w:space="0" w:color="auto"/>
            <w:left w:val="none" w:sz="0" w:space="0" w:color="auto"/>
            <w:bottom w:val="none" w:sz="0" w:space="0" w:color="auto"/>
            <w:right w:val="none" w:sz="0" w:space="0" w:color="auto"/>
          </w:divBdr>
        </w:div>
      </w:divsChild>
    </w:div>
    <w:div w:id="1033652677">
      <w:bodyDiv w:val="1"/>
      <w:marLeft w:val="0"/>
      <w:marRight w:val="0"/>
      <w:marTop w:val="0"/>
      <w:marBottom w:val="0"/>
      <w:divBdr>
        <w:top w:val="none" w:sz="0" w:space="0" w:color="auto"/>
        <w:left w:val="none" w:sz="0" w:space="0" w:color="auto"/>
        <w:bottom w:val="none" w:sz="0" w:space="0" w:color="auto"/>
        <w:right w:val="none" w:sz="0" w:space="0" w:color="auto"/>
      </w:divBdr>
      <w:divsChild>
        <w:div w:id="716319358">
          <w:marLeft w:val="0"/>
          <w:marRight w:val="0"/>
          <w:marTop w:val="100"/>
          <w:marBottom w:val="100"/>
          <w:divBdr>
            <w:top w:val="none" w:sz="0" w:space="0" w:color="auto"/>
            <w:left w:val="none" w:sz="0" w:space="0" w:color="auto"/>
            <w:bottom w:val="none" w:sz="0" w:space="0" w:color="auto"/>
            <w:right w:val="none" w:sz="0" w:space="0" w:color="auto"/>
          </w:divBdr>
          <w:divsChild>
            <w:div w:id="4060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1274">
          <w:marLeft w:val="0"/>
          <w:marRight w:val="0"/>
          <w:marTop w:val="0"/>
          <w:marBottom w:val="0"/>
          <w:divBdr>
            <w:top w:val="none" w:sz="0" w:space="0" w:color="auto"/>
            <w:left w:val="none" w:sz="0" w:space="0" w:color="auto"/>
            <w:bottom w:val="none" w:sz="0" w:space="0" w:color="auto"/>
            <w:right w:val="none" w:sz="0" w:space="0" w:color="auto"/>
          </w:divBdr>
        </w:div>
      </w:divsChild>
    </w:div>
    <w:div w:id="1061556252">
      <w:bodyDiv w:val="1"/>
      <w:marLeft w:val="0"/>
      <w:marRight w:val="0"/>
      <w:marTop w:val="0"/>
      <w:marBottom w:val="0"/>
      <w:divBdr>
        <w:top w:val="none" w:sz="0" w:space="0" w:color="auto"/>
        <w:left w:val="none" w:sz="0" w:space="0" w:color="auto"/>
        <w:bottom w:val="none" w:sz="0" w:space="0" w:color="auto"/>
        <w:right w:val="none" w:sz="0" w:space="0" w:color="auto"/>
      </w:divBdr>
    </w:div>
    <w:div w:id="1074160583">
      <w:bodyDiv w:val="1"/>
      <w:marLeft w:val="0"/>
      <w:marRight w:val="0"/>
      <w:marTop w:val="0"/>
      <w:marBottom w:val="0"/>
      <w:divBdr>
        <w:top w:val="none" w:sz="0" w:space="0" w:color="auto"/>
        <w:left w:val="none" w:sz="0" w:space="0" w:color="auto"/>
        <w:bottom w:val="none" w:sz="0" w:space="0" w:color="auto"/>
        <w:right w:val="none" w:sz="0" w:space="0" w:color="auto"/>
      </w:divBdr>
    </w:div>
    <w:div w:id="1108699138">
      <w:bodyDiv w:val="1"/>
      <w:marLeft w:val="0"/>
      <w:marRight w:val="0"/>
      <w:marTop w:val="0"/>
      <w:marBottom w:val="0"/>
      <w:divBdr>
        <w:top w:val="none" w:sz="0" w:space="0" w:color="auto"/>
        <w:left w:val="none" w:sz="0" w:space="0" w:color="auto"/>
        <w:bottom w:val="none" w:sz="0" w:space="0" w:color="auto"/>
        <w:right w:val="none" w:sz="0" w:space="0" w:color="auto"/>
      </w:divBdr>
      <w:divsChild>
        <w:div w:id="1289775460">
          <w:marLeft w:val="0"/>
          <w:marRight w:val="0"/>
          <w:marTop w:val="0"/>
          <w:marBottom w:val="0"/>
          <w:divBdr>
            <w:top w:val="none" w:sz="0" w:space="0" w:color="auto"/>
            <w:left w:val="none" w:sz="0" w:space="0" w:color="auto"/>
            <w:bottom w:val="none" w:sz="0" w:space="0" w:color="auto"/>
            <w:right w:val="none" w:sz="0" w:space="0" w:color="auto"/>
          </w:divBdr>
        </w:div>
      </w:divsChild>
    </w:div>
    <w:div w:id="1125924308">
      <w:bodyDiv w:val="1"/>
      <w:marLeft w:val="0"/>
      <w:marRight w:val="0"/>
      <w:marTop w:val="0"/>
      <w:marBottom w:val="0"/>
      <w:divBdr>
        <w:top w:val="none" w:sz="0" w:space="0" w:color="auto"/>
        <w:left w:val="none" w:sz="0" w:space="0" w:color="auto"/>
        <w:bottom w:val="none" w:sz="0" w:space="0" w:color="auto"/>
        <w:right w:val="none" w:sz="0" w:space="0" w:color="auto"/>
      </w:divBdr>
      <w:divsChild>
        <w:div w:id="2056393090">
          <w:marLeft w:val="0"/>
          <w:marRight w:val="0"/>
          <w:marTop w:val="0"/>
          <w:marBottom w:val="0"/>
          <w:divBdr>
            <w:top w:val="none" w:sz="0" w:space="0" w:color="auto"/>
            <w:left w:val="none" w:sz="0" w:space="0" w:color="auto"/>
            <w:bottom w:val="none" w:sz="0" w:space="0" w:color="auto"/>
            <w:right w:val="none" w:sz="0" w:space="0" w:color="auto"/>
          </w:divBdr>
        </w:div>
      </w:divsChild>
    </w:div>
    <w:div w:id="1197429304">
      <w:bodyDiv w:val="1"/>
      <w:marLeft w:val="0"/>
      <w:marRight w:val="0"/>
      <w:marTop w:val="0"/>
      <w:marBottom w:val="0"/>
      <w:divBdr>
        <w:top w:val="none" w:sz="0" w:space="0" w:color="auto"/>
        <w:left w:val="none" w:sz="0" w:space="0" w:color="auto"/>
        <w:bottom w:val="none" w:sz="0" w:space="0" w:color="auto"/>
        <w:right w:val="none" w:sz="0" w:space="0" w:color="auto"/>
      </w:divBdr>
    </w:div>
    <w:div w:id="1289236039">
      <w:bodyDiv w:val="1"/>
      <w:marLeft w:val="0"/>
      <w:marRight w:val="0"/>
      <w:marTop w:val="0"/>
      <w:marBottom w:val="0"/>
      <w:divBdr>
        <w:top w:val="none" w:sz="0" w:space="0" w:color="auto"/>
        <w:left w:val="none" w:sz="0" w:space="0" w:color="auto"/>
        <w:bottom w:val="none" w:sz="0" w:space="0" w:color="auto"/>
        <w:right w:val="none" w:sz="0" w:space="0" w:color="auto"/>
      </w:divBdr>
      <w:divsChild>
        <w:div w:id="1127621470">
          <w:marLeft w:val="0"/>
          <w:marRight w:val="0"/>
          <w:marTop w:val="0"/>
          <w:marBottom w:val="120"/>
          <w:divBdr>
            <w:top w:val="none" w:sz="0" w:space="0" w:color="auto"/>
            <w:left w:val="none" w:sz="0" w:space="0" w:color="auto"/>
            <w:bottom w:val="none" w:sz="0" w:space="0" w:color="auto"/>
            <w:right w:val="none" w:sz="0" w:space="0" w:color="auto"/>
          </w:divBdr>
          <w:divsChild>
            <w:div w:id="1353341773">
              <w:marLeft w:val="0"/>
              <w:marRight w:val="0"/>
              <w:marTop w:val="0"/>
              <w:marBottom w:val="0"/>
              <w:divBdr>
                <w:top w:val="none" w:sz="0" w:space="0" w:color="auto"/>
                <w:left w:val="none" w:sz="0" w:space="0" w:color="auto"/>
                <w:bottom w:val="none" w:sz="0" w:space="0" w:color="auto"/>
                <w:right w:val="none" w:sz="0" w:space="0" w:color="auto"/>
              </w:divBdr>
              <w:divsChild>
                <w:div w:id="513345335">
                  <w:marLeft w:val="0"/>
                  <w:marRight w:val="0"/>
                  <w:marTop w:val="0"/>
                  <w:marBottom w:val="0"/>
                  <w:divBdr>
                    <w:top w:val="none" w:sz="0" w:space="0" w:color="auto"/>
                    <w:left w:val="none" w:sz="0" w:space="0" w:color="auto"/>
                    <w:bottom w:val="none" w:sz="0" w:space="0" w:color="auto"/>
                    <w:right w:val="none" w:sz="0" w:space="0" w:color="auto"/>
                  </w:divBdr>
                  <w:divsChild>
                    <w:div w:id="6153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6810">
      <w:bodyDiv w:val="1"/>
      <w:marLeft w:val="0"/>
      <w:marRight w:val="0"/>
      <w:marTop w:val="0"/>
      <w:marBottom w:val="0"/>
      <w:divBdr>
        <w:top w:val="none" w:sz="0" w:space="0" w:color="auto"/>
        <w:left w:val="none" w:sz="0" w:space="0" w:color="auto"/>
        <w:bottom w:val="none" w:sz="0" w:space="0" w:color="auto"/>
        <w:right w:val="none" w:sz="0" w:space="0" w:color="auto"/>
      </w:divBdr>
    </w:div>
    <w:div w:id="1309438818">
      <w:bodyDiv w:val="1"/>
      <w:marLeft w:val="0"/>
      <w:marRight w:val="0"/>
      <w:marTop w:val="0"/>
      <w:marBottom w:val="0"/>
      <w:divBdr>
        <w:top w:val="none" w:sz="0" w:space="0" w:color="auto"/>
        <w:left w:val="none" w:sz="0" w:space="0" w:color="auto"/>
        <w:bottom w:val="none" w:sz="0" w:space="0" w:color="auto"/>
        <w:right w:val="none" w:sz="0" w:space="0" w:color="auto"/>
      </w:divBdr>
      <w:divsChild>
        <w:div w:id="1799184389">
          <w:marLeft w:val="0"/>
          <w:marRight w:val="0"/>
          <w:marTop w:val="0"/>
          <w:marBottom w:val="0"/>
          <w:divBdr>
            <w:top w:val="none" w:sz="0" w:space="0" w:color="auto"/>
            <w:left w:val="none" w:sz="0" w:space="0" w:color="auto"/>
            <w:bottom w:val="none" w:sz="0" w:space="0" w:color="auto"/>
            <w:right w:val="none" w:sz="0" w:space="0" w:color="auto"/>
          </w:divBdr>
        </w:div>
      </w:divsChild>
    </w:div>
    <w:div w:id="1558392663">
      <w:bodyDiv w:val="1"/>
      <w:marLeft w:val="0"/>
      <w:marRight w:val="0"/>
      <w:marTop w:val="0"/>
      <w:marBottom w:val="0"/>
      <w:divBdr>
        <w:top w:val="none" w:sz="0" w:space="0" w:color="auto"/>
        <w:left w:val="none" w:sz="0" w:space="0" w:color="auto"/>
        <w:bottom w:val="none" w:sz="0" w:space="0" w:color="auto"/>
        <w:right w:val="none" w:sz="0" w:space="0" w:color="auto"/>
      </w:divBdr>
      <w:divsChild>
        <w:div w:id="7604109">
          <w:marLeft w:val="0"/>
          <w:marRight w:val="0"/>
          <w:marTop w:val="75"/>
          <w:marBottom w:val="0"/>
          <w:divBdr>
            <w:top w:val="none" w:sz="0" w:space="0" w:color="auto"/>
            <w:left w:val="none" w:sz="0" w:space="0" w:color="auto"/>
            <w:bottom w:val="none" w:sz="0" w:space="0" w:color="auto"/>
            <w:right w:val="none" w:sz="0" w:space="0" w:color="auto"/>
          </w:divBdr>
        </w:div>
        <w:div w:id="1039664100">
          <w:marLeft w:val="0"/>
          <w:marRight w:val="0"/>
          <w:marTop w:val="75"/>
          <w:marBottom w:val="0"/>
          <w:divBdr>
            <w:top w:val="none" w:sz="0" w:space="0" w:color="auto"/>
            <w:left w:val="none" w:sz="0" w:space="0" w:color="auto"/>
            <w:bottom w:val="none" w:sz="0" w:space="0" w:color="auto"/>
            <w:right w:val="none" w:sz="0" w:space="0" w:color="auto"/>
          </w:divBdr>
        </w:div>
      </w:divsChild>
    </w:div>
    <w:div w:id="1584222501">
      <w:bodyDiv w:val="1"/>
      <w:marLeft w:val="0"/>
      <w:marRight w:val="0"/>
      <w:marTop w:val="0"/>
      <w:marBottom w:val="0"/>
      <w:divBdr>
        <w:top w:val="none" w:sz="0" w:space="0" w:color="auto"/>
        <w:left w:val="none" w:sz="0" w:space="0" w:color="auto"/>
        <w:bottom w:val="none" w:sz="0" w:space="0" w:color="auto"/>
        <w:right w:val="none" w:sz="0" w:space="0" w:color="auto"/>
      </w:divBdr>
    </w:div>
    <w:div w:id="1646472609">
      <w:bodyDiv w:val="1"/>
      <w:marLeft w:val="0"/>
      <w:marRight w:val="0"/>
      <w:marTop w:val="0"/>
      <w:marBottom w:val="0"/>
      <w:divBdr>
        <w:top w:val="none" w:sz="0" w:space="0" w:color="auto"/>
        <w:left w:val="none" w:sz="0" w:space="0" w:color="auto"/>
        <w:bottom w:val="none" w:sz="0" w:space="0" w:color="auto"/>
        <w:right w:val="none" w:sz="0" w:space="0" w:color="auto"/>
      </w:divBdr>
    </w:div>
    <w:div w:id="1974631303">
      <w:bodyDiv w:val="1"/>
      <w:marLeft w:val="0"/>
      <w:marRight w:val="0"/>
      <w:marTop w:val="0"/>
      <w:marBottom w:val="0"/>
      <w:divBdr>
        <w:top w:val="none" w:sz="0" w:space="0" w:color="auto"/>
        <w:left w:val="none" w:sz="0" w:space="0" w:color="auto"/>
        <w:bottom w:val="none" w:sz="0" w:space="0" w:color="auto"/>
        <w:right w:val="none" w:sz="0" w:space="0" w:color="auto"/>
      </w:divBdr>
      <w:divsChild>
        <w:div w:id="1970938692">
          <w:marLeft w:val="0"/>
          <w:marRight w:val="0"/>
          <w:marTop w:val="34"/>
          <w:marBottom w:val="34"/>
          <w:divBdr>
            <w:top w:val="none" w:sz="0" w:space="0" w:color="auto"/>
            <w:left w:val="none" w:sz="0" w:space="0" w:color="auto"/>
            <w:bottom w:val="none" w:sz="0" w:space="0" w:color="auto"/>
            <w:right w:val="none" w:sz="0" w:space="0" w:color="auto"/>
          </w:divBdr>
        </w:div>
      </w:divsChild>
    </w:div>
    <w:div w:id="20305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tb/publications/global_repor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5518/75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who.int/iris/bitstream/handle/10665/254610/WHO-MSD-MER-2017.2-e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ve.researchdata.leeds.ac.uk/" TargetMode="External"/><Relationship Id="rId5" Type="http://schemas.openxmlformats.org/officeDocument/2006/relationships/numbering" Target="numbering.xml"/><Relationship Id="rId15" Type="http://schemas.openxmlformats.org/officeDocument/2006/relationships/hyperlink" Target="https://www.R-projec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tb/publications/2019/consolidated-guidelines-drug-resistant-TB-treatme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6" ma:contentTypeDescription="Create a new document." ma:contentTypeScope="" ma:versionID="da5429b972b122a721910b664732347d">
  <xsd:schema xmlns:xsd="http://www.w3.org/2001/XMLSchema" xmlns:xs="http://www.w3.org/2001/XMLSchema" xmlns:p="http://schemas.microsoft.com/office/2006/metadata/properties" xmlns:ns3="e3060dd4-3e4f-4fe5-b88f-a928187c0acd" targetNamespace="http://schemas.microsoft.com/office/2006/metadata/properties" ma:root="true" ma:fieldsID="444431dacdc741aa13758b962f680a6c" ns3:_="">
    <xsd:import namespace="e3060dd4-3e4f-4fe5-b88f-a928187c0a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7E9A-0E44-477F-90ED-A82C028D73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94C83-1CF9-484E-95BB-20C0A37419E4}">
  <ds:schemaRefs>
    <ds:schemaRef ds:uri="http://schemas.microsoft.com/sharepoint/v3/contenttype/forms"/>
  </ds:schemaRefs>
</ds:datastoreItem>
</file>

<file path=customXml/itemProps3.xml><?xml version="1.0" encoding="utf-8"?>
<ds:datastoreItem xmlns:ds="http://schemas.openxmlformats.org/officeDocument/2006/customXml" ds:itemID="{33544E60-AF41-4133-8EFB-FDEF0AEDB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E169F-C312-4C25-ACED-B990095F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cp:lastPrinted>2019-12-19T16:13:00Z</cp:lastPrinted>
  <dcterms:created xsi:type="dcterms:W3CDTF">2020-05-12T11:11:00Z</dcterms:created>
  <dcterms:modified xsi:type="dcterms:W3CDTF">2020-05-12T11:37:00Z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