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97AD0" w14:textId="4C51F359" w:rsidR="009246AD" w:rsidRDefault="006372F8" w:rsidP="00AB34C5">
      <w:pPr>
        <w:pStyle w:val="BATitle"/>
        <w:jc w:val="left"/>
      </w:pPr>
      <w:proofErr w:type="spellStart"/>
      <w:r w:rsidRPr="00617F21">
        <w:t>Characterisation</w:t>
      </w:r>
      <w:proofErr w:type="spellEnd"/>
      <w:r w:rsidRPr="00617F21">
        <w:t xml:space="preserve"> of Host-Guest Complexes of Supramolecular Self-Assembled Cages using EPR Spectroscopy</w:t>
      </w:r>
    </w:p>
    <w:p w14:paraId="612945A4" w14:textId="035ED355" w:rsidR="009246AD" w:rsidRDefault="008461FC" w:rsidP="00AB34C5">
      <w:pPr>
        <w:pStyle w:val="BBAuthorName"/>
        <w:jc w:val="left"/>
      </w:pPr>
      <w:r>
        <w:t>James D. Nicholas</w:t>
      </w:r>
      <w:r w:rsidR="001937CA" w:rsidRPr="00731871">
        <w:rPr>
          <w:rStyle w:val="FootnoteReference"/>
        </w:rPr>
        <w:footnoteReference w:id="1"/>
      </w:r>
      <w:r w:rsidRPr="008461FC">
        <w:rPr>
          <w:vertAlign w:val="superscript"/>
        </w:rPr>
        <w:t>†</w:t>
      </w:r>
      <w:r>
        <w:t xml:space="preserve"> and Victor Chechik*</w:t>
      </w:r>
    </w:p>
    <w:p w14:paraId="07619ABE" w14:textId="3A239D85" w:rsidR="009246AD" w:rsidRDefault="008461FC" w:rsidP="00AB34C5">
      <w:pPr>
        <w:pStyle w:val="BCAuthorAddress"/>
        <w:jc w:val="left"/>
      </w:pPr>
      <w:r>
        <w:t xml:space="preserve">Department of Chemistry, University of York, </w:t>
      </w:r>
      <w:proofErr w:type="spellStart"/>
      <w:r>
        <w:t>Heslington</w:t>
      </w:r>
      <w:proofErr w:type="spellEnd"/>
      <w:r>
        <w:t>, York, YO10 5DD, UK</w:t>
      </w:r>
    </w:p>
    <w:p w14:paraId="5883288E" w14:textId="779297F7" w:rsidR="007D5A57" w:rsidRDefault="007D5A57">
      <w:pPr>
        <w:spacing w:after="0"/>
        <w:jc w:val="left"/>
      </w:pPr>
      <w:r>
        <w:br w:type="page"/>
      </w:r>
    </w:p>
    <w:p w14:paraId="7BC32DCD" w14:textId="09C0F9ED" w:rsidR="00B75551" w:rsidRPr="00981EDD" w:rsidRDefault="00AB34C5" w:rsidP="00683131">
      <w:pPr>
        <w:pStyle w:val="BDAbstract"/>
        <w:rPr>
          <w:b/>
          <w:bCs/>
        </w:rPr>
      </w:pPr>
      <w:r w:rsidRPr="00981EDD">
        <w:rPr>
          <w:b/>
          <w:bCs/>
        </w:rPr>
        <w:lastRenderedPageBreak/>
        <w:t>ABSTRACT</w:t>
      </w:r>
    </w:p>
    <w:p w14:paraId="3AB7B856" w14:textId="5E65237E" w:rsidR="007D5A57" w:rsidRDefault="00A0262F" w:rsidP="00683131">
      <w:pPr>
        <w:pStyle w:val="BDAbstract"/>
      </w:pPr>
      <w:r>
        <w:t>Host-guest interactions between nitroxide stable radicals and supramolecular coordination cages were investigated using EPR spectroscopy in water and acetonitrile. TEMPO showed negligible association with the cages in water while 4-oxo-TEMPO bound with a strength comparable to that previously reported for related ketones. Carboxylic acid-</w:t>
      </w:r>
      <w:proofErr w:type="spellStart"/>
      <w:r>
        <w:t>functionalised</w:t>
      </w:r>
      <w:proofErr w:type="spellEnd"/>
      <w:r>
        <w:t xml:space="preserve"> </w:t>
      </w:r>
      <w:proofErr w:type="spellStart"/>
      <w:r>
        <w:t>nitroxides</w:t>
      </w:r>
      <w:proofErr w:type="spellEnd"/>
      <w:r>
        <w:t xml:space="preserve"> bound strongly to the acetonitrile-soluble coordination cages. In all cases, host-guest complex formation resulted in significant decreases in the molecular tumbling rate of the guests, with tumbling becoming strongly anisotropic. The polarity of the cage environment in both solvents was found to be intermediate between water and acetonitrile</w:t>
      </w:r>
      <w:r w:rsidR="00AB34C5">
        <w:t>.</w:t>
      </w:r>
    </w:p>
    <w:p w14:paraId="690F736F" w14:textId="77777777" w:rsidR="007D5A57" w:rsidRDefault="007D5A57">
      <w:pPr>
        <w:spacing w:after="0"/>
        <w:jc w:val="left"/>
      </w:pPr>
      <w:r>
        <w:br w:type="page"/>
      </w:r>
    </w:p>
    <w:p w14:paraId="0063142E" w14:textId="77777777" w:rsidR="00D91C77" w:rsidRPr="0043547E" w:rsidRDefault="00D91C77" w:rsidP="00D91C77">
      <w:pPr>
        <w:pStyle w:val="TAMainText"/>
        <w:spacing w:after="240"/>
        <w:ind w:firstLine="0"/>
        <w:jc w:val="left"/>
        <w:rPr>
          <w:b/>
          <w:bCs/>
        </w:rPr>
      </w:pPr>
      <w:r w:rsidRPr="0043547E">
        <w:rPr>
          <w:b/>
          <w:bCs/>
        </w:rPr>
        <w:lastRenderedPageBreak/>
        <w:t>I</w:t>
      </w:r>
      <w:r>
        <w:rPr>
          <w:b/>
          <w:bCs/>
        </w:rPr>
        <w:t>NTRODUCTION</w:t>
      </w:r>
      <w:r w:rsidRPr="0043547E">
        <w:rPr>
          <w:b/>
          <w:bCs/>
        </w:rPr>
        <w:t xml:space="preserve"> </w:t>
      </w:r>
    </w:p>
    <w:p w14:paraId="7409EAF2" w14:textId="33907F95" w:rsidR="00D91C77" w:rsidRDefault="00D91C77" w:rsidP="00D91C77">
      <w:pPr>
        <w:pStyle w:val="TAMainText"/>
      </w:pPr>
      <w:r>
        <w:t>Self-assembled supramolecular coordination cages and the host-guest complexes they can form are an area of interest due to the variety of potential applications these structures can afford, ranging from the storage and transport of specific molecules (dangerous</w:t>
      </w:r>
      <w:r w:rsidR="00727D00" w:rsidRPr="00727D00">
        <w:rPr>
          <w:vertAlign w:val="superscript"/>
        </w:rPr>
        <w:t>1,2</w:t>
      </w:r>
      <w:r>
        <w:t xml:space="preserve"> or drug-like</w:t>
      </w:r>
      <w:r w:rsidR="00727D00" w:rsidRPr="00727D00">
        <w:rPr>
          <w:vertAlign w:val="superscript"/>
        </w:rPr>
        <w:t>3,4</w:t>
      </w:r>
      <w:r>
        <w:t xml:space="preserve"> for example) to using cages to enable efficient catalysis of chemical reactions</w:t>
      </w:r>
      <w:r w:rsidR="00727D00" w:rsidRPr="00727D00">
        <w:rPr>
          <w:vertAlign w:val="superscript"/>
        </w:rPr>
        <w:t>5–7</w:t>
      </w:r>
      <w:r>
        <w:t xml:space="preserve"> or provide control over reaction dynamics.</w:t>
      </w:r>
      <w:r w:rsidR="00727D00" w:rsidRPr="00727D00">
        <w:rPr>
          <w:vertAlign w:val="superscript"/>
        </w:rPr>
        <w:t>8,9</w:t>
      </w:r>
      <w:r>
        <w:t xml:space="preserve"> Therefore, investigating the binding environments of these structures, and the nature of the interactions between host and guest molecule, is vital to enable further development and understanding of these potential applications.</w:t>
      </w:r>
    </w:p>
    <w:p w14:paraId="3B8735A2" w14:textId="3A36DFBC" w:rsidR="00D91C77" w:rsidRDefault="00D91C77" w:rsidP="00D91C77">
      <w:pPr>
        <w:pStyle w:val="TAMainText"/>
      </w:pPr>
      <w:r>
        <w:t xml:space="preserve">Although not previously applied to </w:t>
      </w:r>
      <w:proofErr w:type="spellStart"/>
      <w:r>
        <w:t>characterisation</w:t>
      </w:r>
      <w:proofErr w:type="spellEnd"/>
      <w:r>
        <w:t xml:space="preserve"> of coordination cages, EPR spectroscopy is well suited for studying supramolecular interactions by using guest molecules labelled with a stable free radical (e.g., nitroxide). Molecular motion of the guest probe on the ns timescale may be investigated by observing the linewidth changes upon binding. The hyperfine value of the EPR signal of stable radicals is sensitive to changes in polarity, and hence may be used as a reporter on the polarity of the microenvironment around the guest molecule. Deconvoluting complex spectra into contributions from different components can be used to determine equilibrium constants. Finally, interactions between adjacent radical guests can provide information about intermolecular distances. For instance, Fujita et al. observed encapsulation of two radicals in a coordination cage resulting in a radical pair in triplet state.</w:t>
      </w:r>
      <w:r w:rsidR="00727D00" w:rsidRPr="00727D00">
        <w:rPr>
          <w:vertAlign w:val="superscript"/>
        </w:rPr>
        <w:t>10,11</w:t>
      </w:r>
      <w:r>
        <w:t xml:space="preserve"> EPR spectroscopy has been successfully used to </w:t>
      </w:r>
      <w:proofErr w:type="spellStart"/>
      <w:r>
        <w:t>characterise</w:t>
      </w:r>
      <w:proofErr w:type="spellEnd"/>
      <w:r>
        <w:t xml:space="preserve"> a range of supramolecular complexes including cyclodextrins,</w:t>
      </w:r>
      <w:r w:rsidR="00727D00" w:rsidRPr="00727D00">
        <w:rPr>
          <w:vertAlign w:val="superscript"/>
        </w:rPr>
        <w:t>12–16</w:t>
      </w:r>
      <w:r>
        <w:t xml:space="preserve"> cucurbiturils</w:t>
      </w:r>
      <w:r w:rsidR="00727D00" w:rsidRPr="00727D00">
        <w:rPr>
          <w:vertAlign w:val="superscript"/>
        </w:rPr>
        <w:t>17–22</w:t>
      </w:r>
      <w:r>
        <w:t xml:space="preserve"> and resorcinarenes.</w:t>
      </w:r>
      <w:r w:rsidR="00727D00" w:rsidRPr="00727D00">
        <w:rPr>
          <w:vertAlign w:val="superscript"/>
        </w:rPr>
        <w:t>23,24</w:t>
      </w:r>
    </w:p>
    <w:p w14:paraId="4D21697C" w14:textId="77777777" w:rsidR="00D91C77" w:rsidRDefault="00D91C77" w:rsidP="00D91C77">
      <w:pPr>
        <w:pStyle w:val="TAMainText"/>
      </w:pPr>
      <w:r>
        <w:t xml:space="preserve">In this work, several nitroxide radicals were used to probe the host-guest complexes for cage structures which had not previously been studied in this way. Analysis of EPR spectra allowed us </w:t>
      </w:r>
      <w:r>
        <w:lastRenderedPageBreak/>
        <w:t xml:space="preserve">to measure equilibrium constants for host-guest complex formation and </w:t>
      </w:r>
      <w:proofErr w:type="spellStart"/>
      <w:r>
        <w:t>characterise</w:t>
      </w:r>
      <w:proofErr w:type="spellEnd"/>
      <w:r>
        <w:t xml:space="preserve"> the polarity and rotational diffusion parameters of the encapsulated guests.</w:t>
      </w:r>
    </w:p>
    <w:p w14:paraId="15D88787" w14:textId="77777777" w:rsidR="00D91C77" w:rsidRPr="008F3B5B" w:rsidRDefault="00D91C77" w:rsidP="00D91C77">
      <w:pPr>
        <w:pStyle w:val="TAMainText"/>
        <w:ind w:firstLine="0"/>
        <w:rPr>
          <w:b/>
          <w:bCs/>
        </w:rPr>
      </w:pPr>
      <w:r w:rsidRPr="008F3B5B">
        <w:rPr>
          <w:b/>
          <w:bCs/>
        </w:rPr>
        <w:t>EXPERIMENTAL SECTION</w:t>
      </w:r>
    </w:p>
    <w:p w14:paraId="2ED3F27A" w14:textId="77777777" w:rsidR="00D91C77" w:rsidRPr="00B60678" w:rsidRDefault="00D91C77" w:rsidP="00D91C77">
      <w:pPr>
        <w:pStyle w:val="TAMainText"/>
        <w:rPr>
          <w:b/>
          <w:bCs/>
        </w:rPr>
      </w:pPr>
      <w:r w:rsidRPr="00B60678">
        <w:rPr>
          <w:b/>
          <w:bCs/>
        </w:rPr>
        <w:t>General Details</w:t>
      </w:r>
    </w:p>
    <w:p w14:paraId="140A0126" w14:textId="77777777" w:rsidR="00D91C77" w:rsidRPr="0043547E" w:rsidRDefault="00D91C77" w:rsidP="00D91C77">
      <w:pPr>
        <w:pStyle w:val="TAMainText"/>
      </w:pPr>
      <w:r w:rsidRPr="0043547E">
        <w:t xml:space="preserve">Cages </w:t>
      </w:r>
      <w:r w:rsidRPr="008F3B5B">
        <w:rPr>
          <w:b/>
          <w:bCs/>
        </w:rPr>
        <w:t>C1w</w:t>
      </w:r>
      <w:r w:rsidRPr="0043547E">
        <w:t xml:space="preserve"> and </w:t>
      </w:r>
      <w:r w:rsidRPr="008F3B5B">
        <w:rPr>
          <w:b/>
          <w:bCs/>
        </w:rPr>
        <w:t>C2org</w:t>
      </w:r>
      <w:r w:rsidRPr="0043547E">
        <w:t xml:space="preserve"> and the precursors required were prepared by adapting literature procedures. Full experimental procedures are given in the Supporting Information. All guests used in this work were obtained from commercial sources and used as received.</w:t>
      </w:r>
    </w:p>
    <w:p w14:paraId="5EDAC593" w14:textId="77777777" w:rsidR="00D91C77" w:rsidRPr="00B60678" w:rsidRDefault="00D91C77" w:rsidP="00D91C77">
      <w:pPr>
        <w:pStyle w:val="TAMainText"/>
        <w:rPr>
          <w:b/>
          <w:bCs/>
        </w:rPr>
      </w:pPr>
      <w:r w:rsidRPr="00B60678">
        <w:rPr>
          <w:b/>
          <w:bCs/>
        </w:rPr>
        <w:t>EPR Spectroscopy</w:t>
      </w:r>
    </w:p>
    <w:p w14:paraId="09DA9024" w14:textId="77777777" w:rsidR="00D91C77" w:rsidRPr="0043547E" w:rsidRDefault="00D91C77" w:rsidP="00D91C77">
      <w:pPr>
        <w:pStyle w:val="TAMainText"/>
      </w:pPr>
      <w:r>
        <w:t xml:space="preserve">EPR spectra were recorded on a Bruker </w:t>
      </w:r>
      <w:proofErr w:type="spellStart"/>
      <w:r>
        <w:t>EMXmicro</w:t>
      </w:r>
      <w:proofErr w:type="spellEnd"/>
      <w:r>
        <w:t xml:space="preserve"> spectrometer. Samples in MeCN were transferred to sealed Pasteur pipettes and were degassed with N</w:t>
      </w:r>
      <w:r w:rsidRPr="000825F1">
        <w:rPr>
          <w:vertAlign w:val="subscript"/>
        </w:rPr>
        <w:t>2</w:t>
      </w:r>
      <w:r>
        <w:t xml:space="preserve"> prior to recording, whilst samples in H</w:t>
      </w:r>
      <w:r w:rsidRPr="000825F1">
        <w:rPr>
          <w:vertAlign w:val="subscript"/>
        </w:rPr>
        <w:t>2</w:t>
      </w:r>
      <w:r>
        <w:t xml:space="preserve">O were recorded in sealed </w:t>
      </w:r>
      <w:proofErr w:type="spellStart"/>
      <w:r>
        <w:t>Marienfeld</w:t>
      </w:r>
      <w:proofErr w:type="spellEnd"/>
      <w:r>
        <w:t xml:space="preserve"> melting point tubes. Samples in H</w:t>
      </w:r>
      <w:r w:rsidRPr="000825F1">
        <w:rPr>
          <w:vertAlign w:val="subscript"/>
        </w:rPr>
        <w:t>2</w:t>
      </w:r>
      <w:r>
        <w:t xml:space="preserve">O were not degassed due to the lower dissolved oxygen content, and to avoid potential issues arising due to difficulty in obtaining a uniform level of degassing in these samples. All samples were run at room temperature except for frozen spectra which were recorded at 125 K. Typical EPR parameters were: Power = 5.024 </w:t>
      </w:r>
      <w:proofErr w:type="spellStart"/>
      <w:r>
        <w:t>mW</w:t>
      </w:r>
      <w:proofErr w:type="spellEnd"/>
      <w:r>
        <w:t xml:space="preserve">; Frequency = 9.32 GHz, Field Modulation Width = 1.0 G. </w:t>
      </w:r>
    </w:p>
    <w:p w14:paraId="20D87299" w14:textId="77777777" w:rsidR="00D91C77" w:rsidRDefault="00D91C77" w:rsidP="00D91C77">
      <w:pPr>
        <w:pStyle w:val="TAMainText"/>
      </w:pPr>
      <w:r>
        <w:t xml:space="preserve">Experimental EPR spectra were presented without </w:t>
      </w:r>
      <w:proofErr w:type="spellStart"/>
      <w:r>
        <w:t>normalisation</w:t>
      </w:r>
      <w:proofErr w:type="spellEnd"/>
      <w:r>
        <w:t xml:space="preserve">, and absolute integrals were reported. To ensure comparison between spectra was possible, measurements of samples in the same solvent were recorded in identical EPR cells, and controls showed that absolute integrals were reproducible to within 2.5 %. </w:t>
      </w:r>
    </w:p>
    <w:p w14:paraId="7E06E52E" w14:textId="77777777" w:rsidR="007D5A57" w:rsidRPr="00B60678" w:rsidRDefault="0043547E" w:rsidP="00B60678">
      <w:pPr>
        <w:pStyle w:val="TAMainText"/>
        <w:rPr>
          <w:b/>
          <w:bCs/>
        </w:rPr>
      </w:pPr>
      <w:r w:rsidRPr="00B60678">
        <w:rPr>
          <w:b/>
          <w:bCs/>
        </w:rPr>
        <w:t>EPR Simulations</w:t>
      </w:r>
    </w:p>
    <w:p w14:paraId="64AFB981" w14:textId="4159414A" w:rsidR="0043547E" w:rsidRPr="002E261B" w:rsidRDefault="00D66899" w:rsidP="00D66899">
      <w:pPr>
        <w:pStyle w:val="TAMainText"/>
      </w:pPr>
      <w:proofErr w:type="spellStart"/>
      <w:r>
        <w:t>EWVoigt</w:t>
      </w:r>
      <w:proofErr w:type="spellEnd"/>
      <w:r>
        <w:t xml:space="preserve"> software developed by Alex I. Smirnov was used for fast motion nitroxide EPR simulations,</w:t>
      </w:r>
      <w:r w:rsidR="00727D00" w:rsidRPr="00727D00">
        <w:rPr>
          <w:vertAlign w:val="superscript"/>
        </w:rPr>
        <w:t>25</w:t>
      </w:r>
      <w:r>
        <w:t xml:space="preserve"> and EasySpin version 5.2.15 was used in MATLAB R2017b for slow-motion simulations and determination of molecular motion parameters.</w:t>
      </w:r>
      <w:r w:rsidR="00727D00" w:rsidRPr="00727D00">
        <w:rPr>
          <w:vertAlign w:val="superscript"/>
        </w:rPr>
        <w:t>26</w:t>
      </w:r>
      <w:r>
        <w:t xml:space="preserve"> </w:t>
      </w:r>
      <w:proofErr w:type="spellStart"/>
      <w:r w:rsidR="007105E3">
        <w:rPr>
          <w:rFonts w:cs="Times"/>
          <w:szCs w:val="24"/>
        </w:rPr>
        <w:t>EWVoigt</w:t>
      </w:r>
      <w:proofErr w:type="spellEnd"/>
      <w:r w:rsidR="007105E3">
        <w:rPr>
          <w:rFonts w:cs="Times"/>
          <w:szCs w:val="24"/>
        </w:rPr>
        <w:t xml:space="preserve"> was chosen for fast-</w:t>
      </w:r>
      <w:r w:rsidR="007105E3">
        <w:rPr>
          <w:rFonts w:cs="Times"/>
          <w:szCs w:val="24"/>
        </w:rPr>
        <w:lastRenderedPageBreak/>
        <w:t>motion spectra as it allow</w:t>
      </w:r>
      <w:r w:rsidR="00B33F8F">
        <w:rPr>
          <w:rFonts w:cs="Times"/>
          <w:szCs w:val="24"/>
        </w:rPr>
        <w:t>ed</w:t>
      </w:r>
      <w:r w:rsidR="007105E3">
        <w:rPr>
          <w:rFonts w:cs="Times"/>
          <w:szCs w:val="24"/>
        </w:rPr>
        <w:t xml:space="preserve"> for more efficient correction of phase errors in the spectrum than the corresponding function in EasySpin.</w:t>
      </w:r>
    </w:p>
    <w:p w14:paraId="14C501CC" w14:textId="7FAC47D3" w:rsidR="00B86EFB" w:rsidRDefault="008461FC" w:rsidP="0043547E">
      <w:pPr>
        <w:pStyle w:val="TAMainText"/>
        <w:spacing w:after="240"/>
        <w:ind w:firstLine="0"/>
        <w:jc w:val="left"/>
        <w:rPr>
          <w:b/>
          <w:bCs/>
        </w:rPr>
      </w:pPr>
      <w:r w:rsidRPr="0043547E">
        <w:rPr>
          <w:b/>
          <w:bCs/>
        </w:rPr>
        <w:t>R</w:t>
      </w:r>
      <w:r w:rsidR="00B75551">
        <w:rPr>
          <w:b/>
          <w:bCs/>
        </w:rPr>
        <w:t>ESULTS AND DISCUSSION</w:t>
      </w:r>
    </w:p>
    <w:p w14:paraId="111F754B" w14:textId="77777777" w:rsidR="0092714B" w:rsidRPr="00B24843" w:rsidRDefault="0043547E" w:rsidP="00B60678">
      <w:pPr>
        <w:pStyle w:val="TAMainText"/>
        <w:rPr>
          <w:b/>
          <w:bCs/>
          <w:lang w:val="en-GB"/>
        </w:rPr>
      </w:pPr>
      <w:r w:rsidRPr="00B24843">
        <w:rPr>
          <w:b/>
          <w:bCs/>
          <w:lang w:val="en-GB"/>
        </w:rPr>
        <w:t xml:space="preserve">Synthesis and characterisation of the cage structures </w:t>
      </w:r>
    </w:p>
    <w:p w14:paraId="35843F70" w14:textId="4416643F" w:rsidR="00B55DC5" w:rsidRDefault="00233792" w:rsidP="00B60678">
      <w:pPr>
        <w:pStyle w:val="TAMainText"/>
        <w:rPr>
          <w:rFonts w:cs="Arial"/>
          <w:szCs w:val="17"/>
          <w:lang w:val="en-GB"/>
        </w:rPr>
      </w:pPr>
      <w:r w:rsidRPr="00617F21">
        <w:rPr>
          <w:lang w:val="en-GB"/>
        </w:rPr>
        <w:t xml:space="preserve">The cage structures used in this work were based on those </w:t>
      </w:r>
      <w:r w:rsidRPr="00617F21">
        <w:rPr>
          <w:rFonts w:cs="Arial"/>
          <w:szCs w:val="17"/>
          <w:lang w:val="en-GB"/>
        </w:rPr>
        <w:t>reported by Ward and co-workers</w:t>
      </w:r>
      <w:proofErr w:type="gramStart"/>
      <w:r w:rsidRPr="00617F21">
        <w:rPr>
          <w:rFonts w:cs="Arial"/>
          <w:szCs w:val="17"/>
          <w:lang w:val="en-GB"/>
        </w:rPr>
        <w:t>,</w:t>
      </w:r>
      <w:r w:rsidR="00727D00" w:rsidRPr="00727D00">
        <w:rPr>
          <w:vertAlign w:val="superscript"/>
        </w:rPr>
        <w:t>27</w:t>
      </w:r>
      <w:proofErr w:type="gramEnd"/>
      <w:r>
        <w:rPr>
          <w:rFonts w:cs="Arial"/>
          <w:szCs w:val="17"/>
          <w:lang w:val="en-GB"/>
        </w:rPr>
        <w:t xml:space="preserve"> </w:t>
      </w:r>
      <w:r w:rsidR="0043547E" w:rsidRPr="00617F21">
        <w:rPr>
          <w:rFonts w:cs="Arial"/>
          <w:szCs w:val="17"/>
          <w:lang w:val="en-GB"/>
        </w:rPr>
        <w:t>and have the general formula [M</w:t>
      </w:r>
      <w:r w:rsidR="0043547E" w:rsidRPr="00617F21">
        <w:rPr>
          <w:rFonts w:cs="Arial"/>
          <w:szCs w:val="17"/>
          <w:vertAlign w:val="subscript"/>
          <w:lang w:val="en-GB"/>
        </w:rPr>
        <w:t>8</w:t>
      </w:r>
      <w:r w:rsidR="0043547E" w:rsidRPr="00617F21">
        <w:rPr>
          <w:rFonts w:cs="Arial"/>
          <w:szCs w:val="17"/>
          <w:lang w:val="en-GB"/>
        </w:rPr>
        <w:t>L</w:t>
      </w:r>
      <w:r w:rsidR="0043547E" w:rsidRPr="00617F21">
        <w:rPr>
          <w:rFonts w:cs="Arial"/>
          <w:szCs w:val="17"/>
          <w:vertAlign w:val="subscript"/>
          <w:lang w:val="en-GB"/>
        </w:rPr>
        <w:t>12</w:t>
      </w:r>
      <w:r w:rsidR="0043547E" w:rsidRPr="00617F21">
        <w:rPr>
          <w:rFonts w:cs="Arial"/>
          <w:szCs w:val="17"/>
          <w:lang w:val="en-GB"/>
        </w:rPr>
        <w:t>][X]</w:t>
      </w:r>
      <w:r w:rsidR="0043547E" w:rsidRPr="00617F21">
        <w:rPr>
          <w:rFonts w:cs="Arial"/>
          <w:szCs w:val="17"/>
          <w:vertAlign w:val="subscript"/>
          <w:lang w:val="en-GB"/>
        </w:rPr>
        <w:t>16</w:t>
      </w:r>
      <w:r w:rsidR="0043547E" w:rsidRPr="00617F21">
        <w:rPr>
          <w:rFonts w:cs="Arial"/>
          <w:szCs w:val="17"/>
          <w:lang w:val="en-GB"/>
        </w:rPr>
        <w:t>, where M = Co</w:t>
      </w:r>
      <w:r w:rsidR="0043547E" w:rsidRPr="00617F21">
        <w:rPr>
          <w:rFonts w:cs="Arial"/>
          <w:szCs w:val="17"/>
          <w:vertAlign w:val="superscript"/>
          <w:lang w:val="en-GB"/>
        </w:rPr>
        <w:t>2+</w:t>
      </w:r>
      <w:r w:rsidR="0043547E" w:rsidRPr="00617F21">
        <w:rPr>
          <w:rFonts w:cs="Arial"/>
          <w:szCs w:val="17"/>
          <w:lang w:val="en-GB"/>
        </w:rPr>
        <w:t xml:space="preserve"> or Cd</w:t>
      </w:r>
      <w:r w:rsidR="0043547E" w:rsidRPr="00617F21">
        <w:rPr>
          <w:rFonts w:cs="Arial"/>
          <w:szCs w:val="17"/>
          <w:vertAlign w:val="superscript"/>
          <w:lang w:val="en-GB"/>
        </w:rPr>
        <w:t>2+</w:t>
      </w:r>
      <w:r w:rsidR="0043547E" w:rsidRPr="00617F21">
        <w:rPr>
          <w:rFonts w:cs="Arial"/>
          <w:szCs w:val="17"/>
          <w:lang w:val="en-GB"/>
        </w:rPr>
        <w:t>, L = C</w:t>
      </w:r>
      <w:r w:rsidR="0043547E" w:rsidRPr="00617F21">
        <w:rPr>
          <w:rFonts w:cs="Arial"/>
          <w:szCs w:val="17"/>
          <w:vertAlign w:val="subscript"/>
          <w:lang w:val="en-GB"/>
        </w:rPr>
        <w:t>28</w:t>
      </w:r>
      <w:r w:rsidR="0043547E" w:rsidRPr="00617F21">
        <w:rPr>
          <w:rFonts w:cs="Arial"/>
          <w:szCs w:val="17"/>
          <w:lang w:val="en-GB"/>
        </w:rPr>
        <w:t>H</w:t>
      </w:r>
      <w:r w:rsidR="0043547E" w:rsidRPr="00617F21">
        <w:rPr>
          <w:rFonts w:cs="Arial"/>
          <w:szCs w:val="17"/>
          <w:vertAlign w:val="subscript"/>
          <w:lang w:val="en-GB"/>
        </w:rPr>
        <w:t>22</w:t>
      </w:r>
      <w:r w:rsidR="0043547E" w:rsidRPr="00617F21">
        <w:rPr>
          <w:rFonts w:cs="Arial"/>
          <w:szCs w:val="17"/>
          <w:lang w:val="en-GB"/>
        </w:rPr>
        <w:t>N</w:t>
      </w:r>
      <w:r w:rsidR="0043547E" w:rsidRPr="00617F21">
        <w:rPr>
          <w:rFonts w:cs="Arial"/>
          <w:szCs w:val="17"/>
          <w:vertAlign w:val="subscript"/>
          <w:lang w:val="en-GB"/>
        </w:rPr>
        <w:t>6</w:t>
      </w:r>
      <w:r w:rsidR="0043547E" w:rsidRPr="00617F21">
        <w:rPr>
          <w:rFonts w:cs="Arial"/>
          <w:szCs w:val="17"/>
          <w:lang w:val="en-GB"/>
        </w:rPr>
        <w:t>, and X = ClO</w:t>
      </w:r>
      <w:r w:rsidR="0043547E" w:rsidRPr="00617F21">
        <w:rPr>
          <w:rFonts w:cs="Arial"/>
          <w:szCs w:val="17"/>
          <w:vertAlign w:val="subscript"/>
          <w:lang w:val="en-GB"/>
        </w:rPr>
        <w:t>4</w:t>
      </w:r>
      <w:r w:rsidR="0043547E" w:rsidRPr="00617F21">
        <w:rPr>
          <w:rFonts w:cs="Arial"/>
          <w:szCs w:val="17"/>
          <w:vertAlign w:val="superscript"/>
          <w:lang w:val="en-GB"/>
        </w:rPr>
        <w:t>-</w:t>
      </w:r>
      <w:r w:rsidR="0043547E" w:rsidRPr="00617F21">
        <w:rPr>
          <w:rFonts w:cs="Arial"/>
          <w:szCs w:val="17"/>
          <w:lang w:val="en-GB"/>
        </w:rPr>
        <w:t xml:space="preserve"> or Cl</w:t>
      </w:r>
      <w:r w:rsidR="0043547E" w:rsidRPr="00617F21">
        <w:rPr>
          <w:rFonts w:cs="Arial"/>
          <w:szCs w:val="17"/>
          <w:vertAlign w:val="superscript"/>
          <w:lang w:val="en-GB"/>
        </w:rPr>
        <w:t>-</w:t>
      </w:r>
      <w:r w:rsidR="005A4459">
        <w:rPr>
          <w:rFonts w:cs="Arial"/>
          <w:szCs w:val="17"/>
          <w:lang w:val="en-GB"/>
        </w:rPr>
        <w:t>, as depicted in</w:t>
      </w:r>
      <w:r w:rsidR="008F3B5B">
        <w:rPr>
          <w:rFonts w:cs="Arial"/>
          <w:szCs w:val="17"/>
          <w:lang w:val="en-GB"/>
        </w:rPr>
        <w:t xml:space="preserve"> </w:t>
      </w:r>
      <w:r w:rsidR="008F3B5B">
        <w:rPr>
          <w:rFonts w:cs="Arial"/>
          <w:szCs w:val="17"/>
          <w:lang w:val="en-GB"/>
        </w:rPr>
        <w:fldChar w:fldCharType="begin"/>
      </w:r>
      <w:r w:rsidR="008F3B5B">
        <w:rPr>
          <w:rFonts w:cs="Arial"/>
          <w:szCs w:val="17"/>
          <w:lang w:val="en-GB"/>
        </w:rPr>
        <w:instrText xml:space="preserve"> REF _Ref35642082 \h </w:instrText>
      </w:r>
      <w:r w:rsidR="008F3B5B">
        <w:rPr>
          <w:rFonts w:cs="Arial"/>
          <w:szCs w:val="17"/>
          <w:lang w:val="en-GB"/>
        </w:rPr>
      </w:r>
      <w:r w:rsidR="008F3B5B">
        <w:rPr>
          <w:rFonts w:cs="Arial"/>
          <w:szCs w:val="17"/>
          <w:lang w:val="en-GB"/>
        </w:rPr>
        <w:fldChar w:fldCharType="separate"/>
      </w:r>
      <w:r w:rsidR="00CE0E94" w:rsidRPr="00617F21">
        <w:rPr>
          <w:b/>
        </w:rPr>
        <w:t xml:space="preserve">Figure </w:t>
      </w:r>
      <w:r w:rsidR="00CE0E94">
        <w:rPr>
          <w:rFonts w:cs="Arial"/>
          <w:b/>
          <w:bCs/>
          <w:noProof/>
        </w:rPr>
        <w:t>1</w:t>
      </w:r>
      <w:r w:rsidR="008F3B5B">
        <w:rPr>
          <w:rFonts w:cs="Arial"/>
          <w:szCs w:val="17"/>
          <w:lang w:val="en-GB"/>
        </w:rPr>
        <w:fldChar w:fldCharType="end"/>
      </w:r>
      <w:r w:rsidR="00CD11ED">
        <w:rPr>
          <w:rFonts w:cs="Arial"/>
          <w:szCs w:val="17"/>
          <w:lang w:val="en-GB"/>
        </w:rPr>
        <w:t>.</w:t>
      </w:r>
    </w:p>
    <w:p w14:paraId="2D004AFD" w14:textId="77777777" w:rsidR="00212EBF" w:rsidRDefault="00212EBF" w:rsidP="00212EBF">
      <w:pPr>
        <w:pStyle w:val="TAMainText"/>
        <w:spacing w:after="240"/>
        <w:ind w:firstLine="0"/>
        <w:jc w:val="left"/>
      </w:pPr>
    </w:p>
    <w:p w14:paraId="7F4993FD" w14:textId="77777777" w:rsidR="00212EBF" w:rsidRDefault="00731871" w:rsidP="00212EBF">
      <w:pPr>
        <w:pStyle w:val="TAMainText"/>
        <w:spacing w:after="240"/>
        <w:ind w:firstLine="0"/>
        <w:jc w:val="center"/>
      </w:pPr>
      <w:r w:rsidRPr="008137C4">
        <w:rPr>
          <w:noProof/>
        </w:rPr>
        <w:object w:dxaOrig="7046" w:dyaOrig="7909" w14:anchorId="06169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3.75pt;height:268.35pt;mso-width-percent:0;mso-height-percent:0;mso-width-percent:0;mso-height-percent:0" o:ole="">
            <v:imagedata r:id="rId8" o:title=""/>
          </v:shape>
          <o:OLEObject Type="Embed" ProgID="ChemDraw.Document.6.0" ShapeID="_x0000_i1025" DrawAspect="Content" ObjectID="_1651413917" r:id="rId9"/>
        </w:object>
      </w:r>
    </w:p>
    <w:p w14:paraId="44BF4712" w14:textId="6DA8BBEF" w:rsidR="00212EBF" w:rsidRPr="00D97E81" w:rsidRDefault="00212EBF" w:rsidP="00212EBF">
      <w:pPr>
        <w:pStyle w:val="VAFigureCaption"/>
        <w:spacing w:after="240"/>
        <w:rPr>
          <w:lang w:val="en-GB"/>
        </w:rPr>
      </w:pPr>
      <w:bookmarkStart w:id="0" w:name="_Ref35642082"/>
      <w:r w:rsidRPr="00617F21">
        <w:rPr>
          <w:b/>
        </w:rPr>
        <w:t xml:space="preserve">Figure </w:t>
      </w:r>
      <w:r w:rsidRPr="00D75F1E">
        <w:rPr>
          <w:rFonts w:cs="Arial"/>
          <w:b/>
          <w:bCs/>
        </w:rPr>
        <w:fldChar w:fldCharType="begin"/>
      </w:r>
      <w:r w:rsidRPr="00D75F1E">
        <w:rPr>
          <w:rFonts w:cs="Arial"/>
          <w:b/>
          <w:bCs/>
        </w:rPr>
        <w:instrText xml:space="preserve"> SEQ Figure \* ARABIC </w:instrText>
      </w:r>
      <w:r w:rsidRPr="00D75F1E">
        <w:rPr>
          <w:rFonts w:cs="Arial"/>
          <w:b/>
          <w:bCs/>
        </w:rPr>
        <w:fldChar w:fldCharType="separate"/>
      </w:r>
      <w:r w:rsidR="00CE0E94">
        <w:rPr>
          <w:rFonts w:cs="Arial"/>
          <w:b/>
          <w:bCs/>
          <w:noProof/>
        </w:rPr>
        <w:t>1</w:t>
      </w:r>
      <w:r w:rsidRPr="00D75F1E">
        <w:rPr>
          <w:rFonts w:cs="Arial"/>
          <w:b/>
          <w:bCs/>
        </w:rPr>
        <w:fldChar w:fldCharType="end"/>
      </w:r>
      <w:bookmarkEnd w:id="0"/>
      <w:r w:rsidRPr="00617F21">
        <w:rPr>
          <w:b/>
        </w:rPr>
        <w:t>.</w:t>
      </w:r>
      <w:r w:rsidRPr="00617F21">
        <w:t xml:space="preserve"> </w:t>
      </w:r>
      <w:r w:rsidRPr="00D97E81">
        <w:rPr>
          <w:lang w:val="en-GB"/>
        </w:rPr>
        <w:t xml:space="preserve">Schematic representation of the cage structures </w:t>
      </w:r>
      <w:r w:rsidRPr="008F3B5B">
        <w:rPr>
          <w:b/>
          <w:bCs/>
          <w:lang w:val="en-GB"/>
        </w:rPr>
        <w:t>C1w</w:t>
      </w:r>
      <w:r w:rsidRPr="00D97E81">
        <w:rPr>
          <w:lang w:val="en-GB"/>
        </w:rPr>
        <w:t xml:space="preserve"> ([Co</w:t>
      </w:r>
      <w:r w:rsidRPr="00D97E81">
        <w:rPr>
          <w:vertAlign w:val="subscript"/>
          <w:lang w:val="en-GB"/>
        </w:rPr>
        <w:t>8</w:t>
      </w:r>
      <w:r w:rsidRPr="00D97E81">
        <w:rPr>
          <w:lang w:val="en-GB"/>
        </w:rPr>
        <w:t>L</w:t>
      </w:r>
      <w:r w:rsidRPr="00D97E81">
        <w:rPr>
          <w:vertAlign w:val="subscript"/>
          <w:lang w:val="en-GB"/>
        </w:rPr>
        <w:t>12</w:t>
      </w:r>
      <w:proofErr w:type="gramStart"/>
      <w:r w:rsidRPr="00D97E81">
        <w:rPr>
          <w:lang w:val="en-GB"/>
        </w:rPr>
        <w:t>][</w:t>
      </w:r>
      <w:proofErr w:type="gramEnd"/>
      <w:r w:rsidRPr="00D97E81">
        <w:rPr>
          <w:lang w:val="en-GB"/>
        </w:rPr>
        <w:t>Cl]</w:t>
      </w:r>
      <w:r w:rsidRPr="00D97E81">
        <w:rPr>
          <w:vertAlign w:val="subscript"/>
          <w:lang w:val="en-GB"/>
        </w:rPr>
        <w:t>16</w:t>
      </w:r>
      <w:r w:rsidRPr="00D97E81">
        <w:rPr>
          <w:lang w:val="en-GB"/>
        </w:rPr>
        <w:t xml:space="preserve">) and </w:t>
      </w:r>
      <w:r w:rsidRPr="008F3B5B">
        <w:rPr>
          <w:b/>
          <w:bCs/>
          <w:lang w:val="en-GB"/>
        </w:rPr>
        <w:t>C2org</w:t>
      </w:r>
      <w:r w:rsidRPr="00D97E81">
        <w:rPr>
          <w:lang w:val="en-GB"/>
        </w:rPr>
        <w:t xml:space="preserve"> ([Cd</w:t>
      </w:r>
      <w:r w:rsidRPr="00D97E81">
        <w:rPr>
          <w:vertAlign w:val="subscript"/>
          <w:lang w:val="en-GB"/>
        </w:rPr>
        <w:t>8</w:t>
      </w:r>
      <w:r w:rsidRPr="00D97E81">
        <w:rPr>
          <w:lang w:val="en-GB"/>
        </w:rPr>
        <w:t>L</w:t>
      </w:r>
      <w:r w:rsidRPr="00D97E81">
        <w:rPr>
          <w:vertAlign w:val="subscript"/>
          <w:lang w:val="en-GB"/>
        </w:rPr>
        <w:t>12</w:t>
      </w:r>
      <w:r w:rsidRPr="00D97E81">
        <w:rPr>
          <w:lang w:val="en-GB"/>
        </w:rPr>
        <w:t>][ClO</w:t>
      </w:r>
      <w:r w:rsidRPr="00D97E81">
        <w:rPr>
          <w:vertAlign w:val="subscript"/>
          <w:lang w:val="en-GB"/>
        </w:rPr>
        <w:t>4</w:t>
      </w:r>
      <w:r w:rsidRPr="00D97E81">
        <w:rPr>
          <w:lang w:val="en-GB"/>
        </w:rPr>
        <w:t>]</w:t>
      </w:r>
      <w:r w:rsidRPr="00D97E81">
        <w:rPr>
          <w:vertAlign w:val="subscript"/>
          <w:lang w:val="en-GB"/>
        </w:rPr>
        <w:t>16</w:t>
      </w:r>
      <w:r w:rsidRPr="00D97E81">
        <w:rPr>
          <w:lang w:val="en-GB"/>
        </w:rPr>
        <w:t xml:space="preserve">), highlighting the approximately cubic shape. Only two of the 12 ligands are depicted, illustrating the bis-bidentate binding of the ligand to the metal atoms. The "w" and </w:t>
      </w:r>
      <w:r w:rsidRPr="00D97E81">
        <w:rPr>
          <w:lang w:val="en-GB"/>
        </w:rPr>
        <w:lastRenderedPageBreak/>
        <w:t>"org" endings represent solvents (water and acetonitrile) which were used for experiments with these cages.</w:t>
      </w:r>
    </w:p>
    <w:p w14:paraId="3EAB4C15" w14:textId="0008E7D9" w:rsidR="00DA4C0E" w:rsidRPr="00B55DC5" w:rsidRDefault="00CE2FC5" w:rsidP="00B60678">
      <w:pPr>
        <w:pStyle w:val="TAMainText"/>
      </w:pPr>
      <w:r w:rsidRPr="00617F21">
        <w:rPr>
          <w:lang w:val="en-GB"/>
        </w:rPr>
        <w:t>These structures were chosen due to their reported stability in solid form and in solution,</w:t>
      </w:r>
      <w:r w:rsidR="00727D00" w:rsidRPr="00727D00">
        <w:rPr>
          <w:vertAlign w:val="superscript"/>
        </w:rPr>
        <w:t>27</w:t>
      </w:r>
      <w:r w:rsidRPr="00617F21">
        <w:rPr>
          <w:lang w:val="en-GB"/>
        </w:rPr>
        <w:t xml:space="preserve"> and </w:t>
      </w:r>
      <w:r w:rsidR="00DA4C0E" w:rsidRPr="00617F21">
        <w:rPr>
          <w:lang w:val="en-GB"/>
        </w:rPr>
        <w:t xml:space="preserve">the ability to fine-tune the properties of the cage by substituting metal and counterions. </w:t>
      </w:r>
      <w:r w:rsidR="00DA4C0E">
        <w:rPr>
          <w:lang w:val="en-GB"/>
        </w:rPr>
        <w:t>By using paramagnetic Co</w:t>
      </w:r>
      <w:r w:rsidR="00DA4C0E" w:rsidRPr="002B118B">
        <w:rPr>
          <w:vertAlign w:val="superscript"/>
          <w:lang w:val="en-GB"/>
        </w:rPr>
        <w:t>2+</w:t>
      </w:r>
      <w:r w:rsidR="00DA4C0E">
        <w:rPr>
          <w:lang w:val="en-GB"/>
        </w:rPr>
        <w:t xml:space="preserve"> and diamagnetic Cd</w:t>
      </w:r>
      <w:r w:rsidR="00DA4C0E" w:rsidRPr="00F376D4">
        <w:rPr>
          <w:vertAlign w:val="superscript"/>
          <w:lang w:val="en-GB"/>
        </w:rPr>
        <w:t>2+</w:t>
      </w:r>
      <w:r w:rsidR="00DA4C0E">
        <w:rPr>
          <w:lang w:val="en-GB"/>
        </w:rPr>
        <w:t xml:space="preserve"> ions in cages </w:t>
      </w:r>
      <w:r w:rsidR="008F3B5B" w:rsidRPr="008F3B5B">
        <w:rPr>
          <w:b/>
          <w:bCs/>
          <w:lang w:val="en-GB"/>
        </w:rPr>
        <w:t>C1w</w:t>
      </w:r>
      <w:r w:rsidR="00DA4C0E">
        <w:rPr>
          <w:lang w:val="en-GB"/>
        </w:rPr>
        <w:t xml:space="preserve"> and </w:t>
      </w:r>
      <w:r w:rsidR="008F3B5B" w:rsidRPr="008F3B5B">
        <w:rPr>
          <w:b/>
          <w:bCs/>
          <w:lang w:val="en-GB"/>
        </w:rPr>
        <w:t>C2org</w:t>
      </w:r>
      <w:r w:rsidR="00DA4C0E">
        <w:rPr>
          <w:lang w:val="en-GB"/>
        </w:rPr>
        <w:t xml:space="preserve"> respectively, the interaction between the EPR-active spin probes and an EPR-active or inactive host system could be investigated and compared. Additionally, </w:t>
      </w:r>
      <w:r w:rsidR="00DA4C0E" w:rsidRPr="00617F21">
        <w:rPr>
          <w:lang w:val="en-GB"/>
        </w:rPr>
        <w:t xml:space="preserve">cage </w:t>
      </w:r>
      <w:r w:rsidR="008F3B5B" w:rsidRPr="008F3B5B">
        <w:rPr>
          <w:b/>
          <w:bCs/>
          <w:lang w:val="en-GB"/>
        </w:rPr>
        <w:t>C1w</w:t>
      </w:r>
      <w:r w:rsidR="00DA4C0E">
        <w:rPr>
          <w:lang w:val="en-GB"/>
        </w:rPr>
        <w:t xml:space="preserve"> (chloride counterions) </w:t>
      </w:r>
      <w:r w:rsidR="00DA4C0E" w:rsidRPr="00F376D4">
        <w:rPr>
          <w:lang w:val="en-GB"/>
        </w:rPr>
        <w:t>is water-soluble</w:t>
      </w:r>
      <w:r w:rsidR="00DA4C0E">
        <w:rPr>
          <w:lang w:val="en-GB"/>
        </w:rPr>
        <w:t xml:space="preserve"> while cage </w:t>
      </w:r>
      <w:r w:rsidR="008F3B5B" w:rsidRPr="008F3B5B">
        <w:rPr>
          <w:b/>
          <w:bCs/>
          <w:lang w:val="en-GB"/>
        </w:rPr>
        <w:t>C2org</w:t>
      </w:r>
      <w:r w:rsidR="00DA4C0E">
        <w:rPr>
          <w:lang w:val="en-GB"/>
        </w:rPr>
        <w:t xml:space="preserve"> </w:t>
      </w:r>
      <w:r w:rsidR="00DA4C0E" w:rsidRPr="00F376D4">
        <w:rPr>
          <w:lang w:val="en-GB"/>
        </w:rPr>
        <w:t>(</w:t>
      </w:r>
      <w:r w:rsidR="00DA4C0E">
        <w:rPr>
          <w:lang w:val="en-GB"/>
        </w:rPr>
        <w:t>perchlorate counterions</w:t>
      </w:r>
      <w:r w:rsidR="00DA4C0E" w:rsidRPr="00F376D4">
        <w:rPr>
          <w:lang w:val="en-GB"/>
        </w:rPr>
        <w:t>)</w:t>
      </w:r>
      <w:r w:rsidR="00DA4C0E">
        <w:rPr>
          <w:lang w:val="en-GB"/>
        </w:rPr>
        <w:t xml:space="preserve"> is soluble in MeCN. Attempts to form a water-soluble diamagnetic Cd</w:t>
      </w:r>
      <w:r w:rsidR="00DA4C0E" w:rsidRPr="00F376D4">
        <w:rPr>
          <w:vertAlign w:val="superscript"/>
          <w:lang w:val="en-GB"/>
        </w:rPr>
        <w:t>2+</w:t>
      </w:r>
      <w:r w:rsidR="00DA4C0E">
        <w:rPr>
          <w:lang w:val="en-GB"/>
        </w:rPr>
        <w:t xml:space="preserve">-based cage with chloride anions were unsuccessful, </w:t>
      </w:r>
      <w:r w:rsidR="007C3828">
        <w:rPr>
          <w:lang w:val="en-GB"/>
        </w:rPr>
        <w:t xml:space="preserve">most </w:t>
      </w:r>
      <w:r w:rsidR="00DA4C0E">
        <w:rPr>
          <w:lang w:val="en-GB"/>
        </w:rPr>
        <w:t>likely</w:t>
      </w:r>
      <w:r w:rsidR="00E21049">
        <w:rPr>
          <w:lang w:val="en-GB"/>
        </w:rPr>
        <w:t xml:space="preserve"> </w:t>
      </w:r>
      <w:r w:rsidR="007C3828">
        <w:rPr>
          <w:lang w:val="en-GB"/>
        </w:rPr>
        <w:t>because</w:t>
      </w:r>
      <w:r w:rsidR="00E21049">
        <w:rPr>
          <w:lang w:val="en-GB"/>
        </w:rPr>
        <w:t xml:space="preserve"> Cd</w:t>
      </w:r>
      <w:r w:rsidR="00E21049">
        <w:rPr>
          <w:vertAlign w:val="superscript"/>
          <w:lang w:val="en-GB"/>
        </w:rPr>
        <w:t>2</w:t>
      </w:r>
      <w:r w:rsidR="00E21049" w:rsidRPr="005A6B90">
        <w:rPr>
          <w:vertAlign w:val="superscript"/>
          <w:lang w:val="en-GB"/>
        </w:rPr>
        <w:t>+</w:t>
      </w:r>
      <w:r w:rsidR="00E21049">
        <w:rPr>
          <w:lang w:val="en-GB"/>
        </w:rPr>
        <w:t xml:space="preserve"> is </w:t>
      </w:r>
      <w:r w:rsidR="00B1557F">
        <w:rPr>
          <w:lang w:val="en-GB"/>
        </w:rPr>
        <w:t>more kinetically labile than Co</w:t>
      </w:r>
      <w:r w:rsidR="00B1557F">
        <w:rPr>
          <w:vertAlign w:val="superscript"/>
          <w:lang w:val="en-GB"/>
        </w:rPr>
        <w:t>2+</w:t>
      </w:r>
      <w:r w:rsidR="00DA4C0E" w:rsidRPr="00E21049">
        <w:rPr>
          <w:lang w:val="en-GB"/>
        </w:rPr>
        <w:t>,</w:t>
      </w:r>
      <w:r w:rsidR="00DA4C0E">
        <w:rPr>
          <w:lang w:val="en-GB"/>
        </w:rPr>
        <w:t xml:space="preserve"> </w:t>
      </w:r>
      <w:r w:rsidR="00AD7950">
        <w:rPr>
          <w:lang w:val="en-GB"/>
        </w:rPr>
        <w:t>and</w:t>
      </w:r>
      <w:r w:rsidR="0080533B">
        <w:rPr>
          <w:lang w:val="en-GB"/>
        </w:rPr>
        <w:t xml:space="preserve"> so exchange between the lin</w:t>
      </w:r>
      <w:r w:rsidR="008B69F3">
        <w:rPr>
          <w:lang w:val="en-GB"/>
        </w:rPr>
        <w:t>k</w:t>
      </w:r>
      <w:r w:rsidR="0080533B">
        <w:rPr>
          <w:lang w:val="en-GB"/>
        </w:rPr>
        <w:t>er</w:t>
      </w:r>
      <w:r w:rsidR="008B69F3">
        <w:rPr>
          <w:lang w:val="en-GB"/>
        </w:rPr>
        <w:t xml:space="preserve"> ligands and aqua ligands</w:t>
      </w:r>
      <w:r w:rsidR="00745325">
        <w:rPr>
          <w:lang w:val="en-GB"/>
        </w:rPr>
        <w:t xml:space="preserve"> in water is faster, leading to </w:t>
      </w:r>
      <w:r w:rsidR="00DA4C0E">
        <w:rPr>
          <w:lang w:val="en-GB"/>
        </w:rPr>
        <w:t>destruction of the cage when dissolved in water.</w:t>
      </w:r>
      <w:r w:rsidR="000F734F" w:rsidRPr="000F734F">
        <w:rPr>
          <w:vertAlign w:val="superscript"/>
        </w:rPr>
        <w:t>28</w:t>
      </w:r>
      <w:r w:rsidR="008A556E">
        <w:rPr>
          <w:noProof/>
          <w:lang w:val="en-GB"/>
        </w:rPr>
        <w:t xml:space="preserve"> </w:t>
      </w:r>
    </w:p>
    <w:p w14:paraId="7910F611" w14:textId="65F9068D" w:rsidR="004828A7" w:rsidRDefault="004828A7" w:rsidP="004828A7">
      <w:pPr>
        <w:pStyle w:val="TAMainText"/>
        <w:rPr>
          <w:lang w:val="en-GB"/>
        </w:rPr>
      </w:pPr>
      <w:r w:rsidRPr="00617F21">
        <w:rPr>
          <w:lang w:val="en-GB"/>
        </w:rPr>
        <w:t>The approximately 400 Å</w:t>
      </w:r>
      <w:r w:rsidRPr="00617F21">
        <w:rPr>
          <w:vertAlign w:val="superscript"/>
          <w:lang w:val="en-GB"/>
        </w:rPr>
        <w:t>3</w:t>
      </w:r>
      <w:r w:rsidRPr="00617F21">
        <w:rPr>
          <w:lang w:val="en-GB"/>
        </w:rPr>
        <w:t xml:space="preserve"> cavity size made the cage a suitable host for the nitroxide guests studied in this work (</w:t>
      </w:r>
      <w:r w:rsidRPr="008F3B5B">
        <w:rPr>
          <w:b/>
          <w:bCs/>
          <w:lang w:val="en-GB"/>
        </w:rPr>
        <w:t>Chart</w:t>
      </w:r>
      <w:r>
        <w:rPr>
          <w:b/>
          <w:bCs/>
          <w:lang w:val="en-GB"/>
        </w:rPr>
        <w:t xml:space="preserve"> </w:t>
      </w:r>
      <w:r w:rsidRPr="008F3B5B">
        <w:rPr>
          <w:b/>
          <w:bCs/>
          <w:lang w:val="en-GB"/>
        </w:rPr>
        <w:t>1</w:t>
      </w:r>
      <w:r w:rsidRPr="00617F21">
        <w:rPr>
          <w:lang w:val="en-GB"/>
        </w:rPr>
        <w:t xml:space="preserve">), as they occupied around 44 % of the internal cavity volume. Based on the optimal occupancy value suggested by </w:t>
      </w:r>
      <w:proofErr w:type="spellStart"/>
      <w:r w:rsidRPr="00617F21">
        <w:rPr>
          <w:lang w:val="en-GB"/>
        </w:rPr>
        <w:t>Rebek’s</w:t>
      </w:r>
      <w:proofErr w:type="spellEnd"/>
      <w:r w:rsidRPr="00617F21">
        <w:rPr>
          <w:lang w:val="en-GB"/>
        </w:rPr>
        <w:t xml:space="preserve"> Rule of 55 %,</w:t>
      </w:r>
      <w:r w:rsidR="000F734F" w:rsidRPr="000F734F">
        <w:rPr>
          <w:vertAlign w:val="superscript"/>
        </w:rPr>
        <w:t>29,30</w:t>
      </w:r>
      <w:r w:rsidRPr="00617F21">
        <w:rPr>
          <w:lang w:val="en-GB"/>
        </w:rPr>
        <w:t xml:space="preserve"> it was expected that binding of the guests should be reasonably favourable.</w:t>
      </w:r>
    </w:p>
    <w:p w14:paraId="31EC6094" w14:textId="77777777" w:rsidR="00563629" w:rsidRDefault="00563629" w:rsidP="00563629">
      <w:pPr>
        <w:pStyle w:val="VBChartTitle"/>
      </w:pPr>
      <w:r w:rsidRPr="00C10EE0">
        <w:rPr>
          <w:b/>
        </w:rPr>
        <w:t>Chart 1.</w:t>
      </w:r>
      <w:r>
        <w:t xml:space="preserve"> </w:t>
      </w:r>
      <w:r w:rsidRPr="00617F21">
        <w:t>Structures of the guests used in this wor</w:t>
      </w:r>
      <w:r>
        <w:t>k: (</w:t>
      </w:r>
      <w:r w:rsidRPr="008F3B5B">
        <w:rPr>
          <w:b/>
          <w:bCs/>
        </w:rPr>
        <w:t>R3</w:t>
      </w:r>
      <w:r w:rsidRPr="00BA4043">
        <w:t>)</w:t>
      </w:r>
      <w:r>
        <w:t xml:space="preserve"> TEMPO, (</w:t>
      </w:r>
      <w:r w:rsidRPr="008F3B5B">
        <w:rPr>
          <w:b/>
          <w:bCs/>
        </w:rPr>
        <w:t>R4</w:t>
      </w:r>
      <w:r w:rsidRPr="00BA4043">
        <w:t>)</w:t>
      </w:r>
      <w:r>
        <w:t xml:space="preserve"> 4-oxo-TEMPO, (</w:t>
      </w:r>
      <w:r w:rsidRPr="008F3B5B">
        <w:rPr>
          <w:b/>
          <w:bCs/>
        </w:rPr>
        <w:t>R5</w:t>
      </w:r>
      <w:r w:rsidRPr="00BA4043">
        <w:t>) 4</w:t>
      </w:r>
      <w:r>
        <w:t>-carboxy-TEMPO, (</w:t>
      </w:r>
      <w:r w:rsidRPr="008F3B5B">
        <w:rPr>
          <w:b/>
          <w:bCs/>
        </w:rPr>
        <w:t>R6</w:t>
      </w:r>
      <w:r w:rsidRPr="00BA4043">
        <w:t>) 3-carboxy</w:t>
      </w:r>
      <w:r>
        <w:t>-PROXYL, (</w:t>
      </w:r>
      <w:r w:rsidRPr="008F3B5B">
        <w:rPr>
          <w:b/>
          <w:bCs/>
        </w:rPr>
        <w:t>R7</w:t>
      </w:r>
      <w:r w:rsidRPr="00BA4043">
        <w:t>) 3-carbamoyl</w:t>
      </w:r>
      <w:r>
        <w:t xml:space="preserve">-PROXYL, </w:t>
      </w:r>
      <w:r w:rsidRPr="00BA4043">
        <w:t>(</w:t>
      </w:r>
      <w:r w:rsidRPr="008F3B5B">
        <w:rPr>
          <w:b/>
          <w:bCs/>
        </w:rPr>
        <w:t>CG8</w:t>
      </w:r>
      <w:r>
        <w:t>) hexamethylacetone, (</w:t>
      </w:r>
      <w:r w:rsidRPr="008F3B5B">
        <w:rPr>
          <w:b/>
          <w:bCs/>
        </w:rPr>
        <w:t>CG9</w:t>
      </w:r>
      <w:r>
        <w:t>) benzoic acid.</w:t>
      </w:r>
    </w:p>
    <w:p w14:paraId="5441C8F5" w14:textId="77777777" w:rsidR="00563629" w:rsidRDefault="00731871" w:rsidP="00563629">
      <w:pPr>
        <w:pStyle w:val="VBChartTitle"/>
        <w:jc w:val="center"/>
        <w:rPr>
          <w:noProof/>
        </w:rPr>
      </w:pPr>
      <w:r w:rsidRPr="008137C4">
        <w:rPr>
          <w:noProof/>
        </w:rPr>
        <w:object w:dxaOrig="4091" w:dyaOrig="5017" w14:anchorId="5933C3D3">
          <v:shape id="_x0000_i1026" type="#_x0000_t75" alt="" style="width:153.35pt;height:188.9pt;mso-width-percent:0;mso-height-percent:0;mso-width-percent:0;mso-height-percent:0" o:ole="">
            <v:imagedata r:id="rId10" o:title=""/>
          </v:shape>
          <o:OLEObject Type="Embed" ProgID="ChemDraw.Document.6.0" ShapeID="_x0000_i1026" DrawAspect="Content" ObjectID="_1651413918" r:id="rId11"/>
        </w:object>
      </w:r>
    </w:p>
    <w:p w14:paraId="15A6D1D5" w14:textId="79CF2ECE" w:rsidR="00B45963" w:rsidRDefault="00B45963" w:rsidP="00B45963">
      <w:pPr>
        <w:pStyle w:val="TAMainText"/>
        <w:rPr>
          <w:lang w:val="en-GB"/>
        </w:rPr>
      </w:pPr>
      <w:r w:rsidRPr="00617F21">
        <w:rPr>
          <w:lang w:val="en-GB"/>
        </w:rPr>
        <w:t xml:space="preserve">The cages were synthesised by adapting literature procedures </w:t>
      </w:r>
      <w:r>
        <w:rPr>
          <w:lang w:val="en-GB"/>
        </w:rPr>
        <w:t xml:space="preserve">and characterised by a range of analytical techniques </w:t>
      </w:r>
      <w:r w:rsidRPr="00617F21">
        <w:rPr>
          <w:lang w:val="en-GB"/>
        </w:rPr>
        <w:t xml:space="preserve">(see </w:t>
      </w:r>
      <w:r>
        <w:rPr>
          <w:lang w:val="en-GB"/>
        </w:rPr>
        <w:t>Supporting Information</w:t>
      </w:r>
      <w:r w:rsidRPr="00617F21">
        <w:rPr>
          <w:lang w:val="en-GB"/>
        </w:rPr>
        <w:t>).</w:t>
      </w:r>
      <w:r w:rsidR="000F734F" w:rsidRPr="000F734F">
        <w:rPr>
          <w:vertAlign w:val="superscript"/>
        </w:rPr>
        <w:t>7,27,31,32</w:t>
      </w:r>
      <w:r w:rsidRPr="00617F21">
        <w:rPr>
          <w:lang w:val="en-GB"/>
        </w:rPr>
        <w:t xml:space="preserve"> </w:t>
      </w:r>
    </w:p>
    <w:p w14:paraId="29D4FECD" w14:textId="77777777" w:rsidR="0003146A" w:rsidRPr="00571F9C" w:rsidRDefault="0003146A" w:rsidP="00C90C1F">
      <w:pPr>
        <w:pStyle w:val="TAMainText"/>
        <w:ind w:firstLine="0"/>
        <w:rPr>
          <w:b/>
          <w:bCs/>
          <w:lang w:val="en-GB"/>
        </w:rPr>
      </w:pPr>
      <w:r w:rsidRPr="00571F9C">
        <w:rPr>
          <w:b/>
          <w:bCs/>
          <w:lang w:val="en-GB"/>
        </w:rPr>
        <w:t xml:space="preserve">Host-guest interactions in </w:t>
      </w:r>
      <w:proofErr w:type="spellStart"/>
      <w:r w:rsidRPr="00571F9C">
        <w:rPr>
          <w:b/>
          <w:bCs/>
          <w:lang w:val="en-GB"/>
        </w:rPr>
        <w:t>radical+cage</w:t>
      </w:r>
      <w:proofErr w:type="spellEnd"/>
      <w:r w:rsidRPr="00571F9C">
        <w:rPr>
          <w:b/>
          <w:bCs/>
          <w:lang w:val="en-GB"/>
        </w:rPr>
        <w:t xml:space="preserve"> (R+C) systems</w:t>
      </w:r>
    </w:p>
    <w:p w14:paraId="08828781" w14:textId="09B85576" w:rsidR="00011738" w:rsidRDefault="00011738" w:rsidP="0003146A">
      <w:pPr>
        <w:pStyle w:val="TAMainText"/>
        <w:rPr>
          <w:lang w:val="en-GB"/>
        </w:rPr>
      </w:pPr>
      <w:r>
        <w:t xml:space="preserve">In this section, we describe </w:t>
      </w:r>
      <w:r w:rsidRPr="00617F21">
        <w:t xml:space="preserve">qualitative studies </w:t>
      </w:r>
      <w:r>
        <w:t>aimed at identifying</w:t>
      </w:r>
      <w:r w:rsidRPr="00617F21">
        <w:t xml:space="preserve"> </w:t>
      </w:r>
      <w:r>
        <w:t xml:space="preserve">the types of radical guest molecules that could </w:t>
      </w:r>
      <w:r w:rsidRPr="00617F21">
        <w:t>bind to the cage structure</w:t>
      </w:r>
      <w:r>
        <w:t xml:space="preserve">s, comparing the </w:t>
      </w:r>
      <w:proofErr w:type="spellStart"/>
      <w:r>
        <w:t>behaviour</w:t>
      </w:r>
      <w:proofErr w:type="spellEnd"/>
      <w:r>
        <w:t xml:space="preserve"> of two cages</w:t>
      </w:r>
      <w:r w:rsidR="00561C50">
        <w:t>, one</w:t>
      </w:r>
      <w:r>
        <w:t xml:space="preserve"> in water</w:t>
      </w:r>
      <w:r w:rsidR="00561C50">
        <w:t xml:space="preserve">, the other in </w:t>
      </w:r>
      <w:r>
        <w:t xml:space="preserve">MeCN. The EPR spectra of </w:t>
      </w:r>
      <w:proofErr w:type="spellStart"/>
      <w:r>
        <w:t>radical+cage</w:t>
      </w:r>
      <w:proofErr w:type="spellEnd"/>
      <w:r>
        <w:t xml:space="preserve"> systems are explained qualitatively in terms of a combination of host-guest interactions and additional effects in both solvents. In the second part of the results and discussion section, we present quantitative analysis of selected examples. We use spectr</w:t>
      </w:r>
      <w:r w:rsidR="007F671A">
        <w:t>um</w:t>
      </w:r>
      <w:r>
        <w:t xml:space="preserve"> simulations to extract information about</w:t>
      </w:r>
      <w:r w:rsidR="007F671A">
        <w:t xml:space="preserve"> the</w:t>
      </w:r>
      <w:r>
        <w:t xml:space="preserve"> microenvironment of encapsulated guests</w:t>
      </w:r>
      <w:r w:rsidR="00B84028">
        <w:t>, including polarity and rotational motion of the guests,</w:t>
      </w:r>
      <w:r>
        <w:t xml:space="preserve"> and estimate the binding constants</w:t>
      </w:r>
      <w:r w:rsidR="00B84028">
        <w:t>.</w:t>
      </w:r>
    </w:p>
    <w:p w14:paraId="6B3FC7FA" w14:textId="193DC30B" w:rsidR="0003146A" w:rsidRDefault="0003146A" w:rsidP="0003146A">
      <w:pPr>
        <w:pStyle w:val="TAMainText"/>
        <w:rPr>
          <w:rStyle w:val="CommentReference"/>
          <w:rFonts w:ascii="Times New Roman" w:hAnsi="Times New Roman"/>
        </w:rPr>
      </w:pPr>
      <w:r>
        <w:rPr>
          <w:lang w:val="en-GB"/>
        </w:rPr>
        <w:t>G</w:t>
      </w:r>
      <w:r w:rsidRPr="00617F21">
        <w:rPr>
          <w:lang w:val="en-GB"/>
        </w:rPr>
        <w:t xml:space="preserve">uests </w:t>
      </w:r>
      <w:r w:rsidRPr="008F3B5B">
        <w:rPr>
          <w:b/>
          <w:bCs/>
          <w:lang w:val="en-GB"/>
        </w:rPr>
        <w:t>R3</w:t>
      </w:r>
      <w:r w:rsidRPr="00617F21">
        <w:rPr>
          <w:lang w:val="en-GB"/>
        </w:rPr>
        <w:t xml:space="preserve"> and </w:t>
      </w:r>
      <w:r w:rsidRPr="008F3B5B">
        <w:rPr>
          <w:b/>
          <w:bCs/>
          <w:lang w:val="en-GB"/>
        </w:rPr>
        <w:t>R4</w:t>
      </w:r>
      <w:r w:rsidRPr="00617F21">
        <w:rPr>
          <w:lang w:val="en-GB"/>
        </w:rPr>
        <w:t xml:space="preserve"> w</w:t>
      </w:r>
      <w:r>
        <w:rPr>
          <w:lang w:val="en-GB"/>
        </w:rPr>
        <w:t>ere investigated with</w:t>
      </w:r>
      <w:r w:rsidRPr="00617F21">
        <w:rPr>
          <w:lang w:val="en-GB"/>
        </w:rPr>
        <w:t xml:space="preserve"> cage </w:t>
      </w:r>
      <w:r w:rsidRPr="008F3B5B">
        <w:rPr>
          <w:b/>
          <w:bCs/>
          <w:lang w:val="en-GB"/>
        </w:rPr>
        <w:t>C1w</w:t>
      </w:r>
      <w:r w:rsidRPr="00617F21">
        <w:rPr>
          <w:lang w:val="en-GB"/>
        </w:rPr>
        <w:t xml:space="preserve"> in water</w:t>
      </w:r>
      <w:r>
        <w:rPr>
          <w:lang w:val="en-GB"/>
        </w:rPr>
        <w:t xml:space="preserve"> and guests </w:t>
      </w:r>
      <w:r w:rsidRPr="008F3B5B">
        <w:rPr>
          <w:b/>
          <w:bCs/>
          <w:lang w:val="en-GB"/>
        </w:rPr>
        <w:t>R5</w:t>
      </w:r>
      <w:r>
        <w:rPr>
          <w:lang w:val="en-GB"/>
        </w:rPr>
        <w:t xml:space="preserve"> and </w:t>
      </w:r>
      <w:r w:rsidRPr="008F3B5B">
        <w:rPr>
          <w:b/>
          <w:bCs/>
          <w:lang w:val="en-GB"/>
        </w:rPr>
        <w:t>R6</w:t>
      </w:r>
      <w:r w:rsidRPr="003C2669">
        <w:rPr>
          <w:lang w:val="en-GB"/>
        </w:rPr>
        <w:t xml:space="preserve"> with cage </w:t>
      </w:r>
      <w:r w:rsidRPr="008F3B5B">
        <w:rPr>
          <w:b/>
          <w:bCs/>
          <w:lang w:val="en-GB"/>
        </w:rPr>
        <w:t>C2org</w:t>
      </w:r>
      <w:r w:rsidRPr="003C2669">
        <w:rPr>
          <w:lang w:val="en-GB"/>
        </w:rPr>
        <w:t xml:space="preserve"> in MeCN</w:t>
      </w:r>
      <w:r>
        <w:rPr>
          <w:lang w:val="en-GB"/>
        </w:rPr>
        <w:t xml:space="preserve">. In previous studies with cages of this type hydrophobic factors were found to dominate binding of guests in </w:t>
      </w:r>
      <w:r w:rsidRPr="003F2E4E">
        <w:rPr>
          <w:lang w:val="en-GB"/>
        </w:rPr>
        <w:t>H</w:t>
      </w:r>
      <w:r w:rsidRPr="003F2E4E">
        <w:rPr>
          <w:vertAlign w:val="subscript"/>
          <w:lang w:val="en-GB"/>
        </w:rPr>
        <w:t>2</w:t>
      </w:r>
      <w:r w:rsidRPr="003F2E4E">
        <w:rPr>
          <w:lang w:val="en-GB"/>
        </w:rPr>
        <w:t>O</w:t>
      </w:r>
      <w:r>
        <w:rPr>
          <w:lang w:val="en-GB"/>
        </w:rPr>
        <w:t>-soluble cages, whilst H-bonding interactions dominate in the MeCN-soluble analogues.</w:t>
      </w:r>
      <w:r w:rsidR="000F734F" w:rsidRPr="000F734F">
        <w:rPr>
          <w:vertAlign w:val="superscript"/>
        </w:rPr>
        <w:t>33–35</w:t>
      </w:r>
      <w:r>
        <w:rPr>
          <w:lang w:val="en-GB"/>
        </w:rPr>
        <w:t xml:space="preserve"> </w:t>
      </w:r>
      <w:r w:rsidR="00015CE4">
        <w:rPr>
          <w:lang w:val="en-GB"/>
        </w:rPr>
        <w:t>In</w:t>
      </w:r>
      <w:r w:rsidR="00AC68BB">
        <w:rPr>
          <w:lang w:val="en-GB"/>
        </w:rPr>
        <w:t>side the cage cavity</w:t>
      </w:r>
      <w:r w:rsidR="00C9472D">
        <w:rPr>
          <w:lang w:val="en-GB"/>
        </w:rPr>
        <w:t xml:space="preserve">, </w:t>
      </w:r>
      <w:r w:rsidR="00FE2A83">
        <w:rPr>
          <w:lang w:val="en-GB"/>
        </w:rPr>
        <w:t xml:space="preserve">two </w:t>
      </w:r>
      <w:r w:rsidR="009C3EC9">
        <w:rPr>
          <w:lang w:val="en-GB"/>
        </w:rPr>
        <w:t>H-bon</w:t>
      </w:r>
      <w:r w:rsidR="004F2512">
        <w:rPr>
          <w:lang w:val="en-GB"/>
        </w:rPr>
        <w:t>d donor</w:t>
      </w:r>
      <w:r w:rsidR="009C3EC9">
        <w:rPr>
          <w:lang w:val="en-GB"/>
        </w:rPr>
        <w:t xml:space="preserve"> “pockets” are </w:t>
      </w:r>
      <w:r w:rsidR="004F2512">
        <w:rPr>
          <w:lang w:val="en-GB"/>
        </w:rPr>
        <w:t xml:space="preserve">located </w:t>
      </w:r>
      <w:r w:rsidR="00DF3103">
        <w:rPr>
          <w:lang w:val="en-GB"/>
        </w:rPr>
        <w:t>on opposite corners</w:t>
      </w:r>
      <w:r w:rsidR="00ED69B0">
        <w:rPr>
          <w:lang w:val="en-GB"/>
        </w:rPr>
        <w:t>, at</w:t>
      </w:r>
      <w:r w:rsidR="00FE4B87">
        <w:rPr>
          <w:lang w:val="en-GB"/>
        </w:rPr>
        <w:t xml:space="preserve"> the two </w:t>
      </w:r>
      <w:proofErr w:type="spellStart"/>
      <w:r w:rsidR="00FE4B87" w:rsidRPr="00FE4B87">
        <w:rPr>
          <w:i/>
          <w:iCs/>
          <w:lang w:val="en-GB"/>
        </w:rPr>
        <w:t>fac</w:t>
      </w:r>
      <w:proofErr w:type="spellEnd"/>
      <w:r w:rsidR="00FE4B87">
        <w:rPr>
          <w:lang w:val="en-GB"/>
        </w:rPr>
        <w:t xml:space="preserve"> </w:t>
      </w:r>
      <w:proofErr w:type="spellStart"/>
      <w:r w:rsidR="005350A0">
        <w:rPr>
          <w:lang w:val="en-GB"/>
        </w:rPr>
        <w:t>tris</w:t>
      </w:r>
      <w:proofErr w:type="spellEnd"/>
      <w:r w:rsidR="005350A0">
        <w:rPr>
          <w:lang w:val="en-GB"/>
        </w:rPr>
        <w:t xml:space="preserve">-chelate </w:t>
      </w:r>
      <w:r w:rsidR="00D43CD0">
        <w:rPr>
          <w:lang w:val="en-GB"/>
        </w:rPr>
        <w:t>binding sites</w:t>
      </w:r>
      <w:r w:rsidR="00E6109F">
        <w:rPr>
          <w:lang w:val="en-GB"/>
        </w:rPr>
        <w:t xml:space="preserve">. </w:t>
      </w:r>
      <w:r w:rsidR="00B82A35">
        <w:rPr>
          <w:lang w:val="en-GB"/>
        </w:rPr>
        <w:t xml:space="preserve">Multiple CH bonds from the cage </w:t>
      </w:r>
      <w:r w:rsidR="00B82A35">
        <w:rPr>
          <w:lang w:val="en-GB"/>
        </w:rPr>
        <w:lastRenderedPageBreak/>
        <w:t xml:space="preserve">ligands point inwards towards the cage cavity at these positions, </w:t>
      </w:r>
      <w:r w:rsidR="006E1C50">
        <w:rPr>
          <w:lang w:val="en-GB"/>
        </w:rPr>
        <w:t xml:space="preserve">and have previously be found to </w:t>
      </w:r>
      <w:r w:rsidR="00B144C6">
        <w:rPr>
          <w:lang w:val="en-GB"/>
        </w:rPr>
        <w:t>effectively form CH···X</w:t>
      </w:r>
      <w:r w:rsidR="00B748A6">
        <w:rPr>
          <w:lang w:val="en-GB"/>
        </w:rPr>
        <w:t xml:space="preserve"> hydrogen bonding interactions to bind guest molecules inside cages in organic solvents.</w:t>
      </w:r>
      <w:r w:rsidR="00774464" w:rsidRPr="00774464">
        <w:rPr>
          <w:vertAlign w:val="superscript"/>
        </w:rPr>
        <w:t>36–38</w:t>
      </w:r>
      <w:r w:rsidR="00FE4B87">
        <w:rPr>
          <w:lang w:val="en-GB"/>
        </w:rPr>
        <w:t xml:space="preserve"> </w:t>
      </w:r>
      <w:r w:rsidRPr="00FE4B87">
        <w:rPr>
          <w:lang w:val="en-GB"/>
        </w:rPr>
        <w:t>Hence</w:t>
      </w:r>
      <w:r>
        <w:rPr>
          <w:lang w:val="en-GB"/>
        </w:rPr>
        <w:t xml:space="preserve"> it was expected the more hydrophobic molecules </w:t>
      </w:r>
      <w:r w:rsidRPr="008F3B5B">
        <w:rPr>
          <w:b/>
          <w:bCs/>
          <w:lang w:val="en-GB"/>
        </w:rPr>
        <w:t>R3</w:t>
      </w:r>
      <w:r>
        <w:rPr>
          <w:lang w:val="en-GB"/>
        </w:rPr>
        <w:t xml:space="preserve"> and </w:t>
      </w:r>
      <w:r w:rsidRPr="008F3B5B">
        <w:rPr>
          <w:b/>
          <w:bCs/>
          <w:lang w:val="en-GB"/>
        </w:rPr>
        <w:t>R4</w:t>
      </w:r>
      <w:r>
        <w:rPr>
          <w:lang w:val="en-GB"/>
        </w:rPr>
        <w:t xml:space="preserve"> would best suit cage </w:t>
      </w:r>
      <w:r w:rsidRPr="008F3B5B">
        <w:rPr>
          <w:b/>
          <w:bCs/>
          <w:lang w:val="en-GB"/>
        </w:rPr>
        <w:t>C1w</w:t>
      </w:r>
      <w:r>
        <w:rPr>
          <w:lang w:val="en-GB"/>
        </w:rPr>
        <w:t xml:space="preserve">, whilst the carboxylic acid functionality of </w:t>
      </w:r>
      <w:r w:rsidRPr="008F3B5B">
        <w:rPr>
          <w:b/>
          <w:bCs/>
          <w:lang w:val="en-GB"/>
        </w:rPr>
        <w:t>R5</w:t>
      </w:r>
      <w:r>
        <w:rPr>
          <w:lang w:val="en-GB"/>
        </w:rPr>
        <w:t xml:space="preserve"> and </w:t>
      </w:r>
      <w:r w:rsidRPr="008F3B5B">
        <w:rPr>
          <w:b/>
          <w:bCs/>
          <w:lang w:val="en-GB"/>
        </w:rPr>
        <w:t>R6</w:t>
      </w:r>
      <w:r>
        <w:rPr>
          <w:lang w:val="en-GB"/>
        </w:rPr>
        <w:t xml:space="preserve"> would provide a better H-bonding acceptor group for cage </w:t>
      </w:r>
      <w:r w:rsidRPr="008F3B5B">
        <w:rPr>
          <w:b/>
          <w:bCs/>
          <w:lang w:val="en-GB"/>
        </w:rPr>
        <w:t>C2org</w:t>
      </w:r>
      <w:r>
        <w:rPr>
          <w:lang w:val="en-GB"/>
        </w:rPr>
        <w:t>.</w:t>
      </w:r>
    </w:p>
    <w:p w14:paraId="08E7A2EE" w14:textId="77777777" w:rsidR="0003146A" w:rsidRPr="00617F21" w:rsidRDefault="0003146A" w:rsidP="0003146A">
      <w:pPr>
        <w:pStyle w:val="TAMainText"/>
        <w:rPr>
          <w:lang w:val="en-GB"/>
        </w:rPr>
      </w:pPr>
      <w:r>
        <w:rPr>
          <w:lang w:val="en-GB"/>
        </w:rPr>
        <w:t>Stock</w:t>
      </w:r>
      <w:r w:rsidRPr="00617F21">
        <w:rPr>
          <w:lang w:val="en-GB"/>
        </w:rPr>
        <w:t xml:space="preserve"> solutions of the radical guests at 4</w:t>
      </w:r>
      <w:r w:rsidRPr="00617F21">
        <w:rPr>
          <w:rFonts w:ascii="Symbol" w:eastAsia="Symbol" w:hAnsi="Symbol" w:cs="Symbol"/>
          <w:lang w:val="en-GB"/>
        </w:rPr>
        <w:sym w:font="Symbol" w:char="F0B4"/>
      </w:r>
      <w:r w:rsidRPr="00617F21">
        <w:rPr>
          <w:lang w:val="en-GB"/>
        </w:rPr>
        <w:t>10</w:t>
      </w:r>
      <w:r w:rsidRPr="00617F21">
        <w:rPr>
          <w:vertAlign w:val="superscript"/>
          <w:lang w:val="en-GB"/>
        </w:rPr>
        <w:t>-5</w:t>
      </w:r>
      <w:r w:rsidRPr="00617F21">
        <w:rPr>
          <w:lang w:val="en-GB"/>
        </w:rPr>
        <w:t xml:space="preserve"> M concentration were prepared and combined with an equal volume of either neat solvent or 1</w:t>
      </w:r>
      <w:r w:rsidRPr="00617F21">
        <w:rPr>
          <w:rFonts w:ascii="Symbol" w:eastAsia="Symbol" w:hAnsi="Symbol" w:cs="Symbol"/>
          <w:lang w:val="en-GB"/>
        </w:rPr>
        <w:sym w:font="Symbol" w:char="F0B4"/>
      </w:r>
      <w:r w:rsidRPr="00617F21">
        <w:rPr>
          <w:lang w:val="en-GB"/>
        </w:rPr>
        <w:t>10</w:t>
      </w:r>
      <w:r w:rsidRPr="00617F21">
        <w:rPr>
          <w:vertAlign w:val="superscript"/>
          <w:lang w:val="en-GB"/>
        </w:rPr>
        <w:t>-3</w:t>
      </w:r>
      <w:r w:rsidRPr="00617F21">
        <w:rPr>
          <w:lang w:val="en-GB"/>
        </w:rPr>
        <w:t xml:space="preserve"> M cage solution, yielding radical (</w:t>
      </w:r>
      <w:r w:rsidRPr="0041124B">
        <w:rPr>
          <w:lang w:val="en-GB"/>
        </w:rPr>
        <w:t>R</w:t>
      </w:r>
      <w:r w:rsidRPr="00617F21">
        <w:rPr>
          <w:lang w:val="en-GB"/>
        </w:rPr>
        <w:t xml:space="preserve">) and </w:t>
      </w:r>
      <w:proofErr w:type="spellStart"/>
      <w:r w:rsidRPr="00617F21">
        <w:rPr>
          <w:lang w:val="en-GB"/>
        </w:rPr>
        <w:t>radical+cage</w:t>
      </w:r>
      <w:proofErr w:type="spellEnd"/>
      <w:r w:rsidRPr="00617F21">
        <w:rPr>
          <w:lang w:val="en-GB"/>
        </w:rPr>
        <w:t xml:space="preserve"> (</w:t>
      </w:r>
      <w:r w:rsidRPr="0041124B">
        <w:rPr>
          <w:lang w:val="en-GB"/>
        </w:rPr>
        <w:t>R</w:t>
      </w:r>
      <w:r w:rsidRPr="00617F21">
        <w:rPr>
          <w:lang w:val="en-GB"/>
        </w:rPr>
        <w:t>+</w:t>
      </w:r>
      <w:r>
        <w:rPr>
          <w:lang w:val="en-GB"/>
        </w:rPr>
        <w:t>C</w:t>
      </w:r>
      <w:r w:rsidRPr="00617F21">
        <w:rPr>
          <w:lang w:val="en-GB"/>
        </w:rPr>
        <w:t>) solutions with the same radical concentration: 2</w:t>
      </w:r>
      <w:r w:rsidRPr="00617F21">
        <w:rPr>
          <w:rFonts w:ascii="Symbol" w:eastAsia="Symbol" w:hAnsi="Symbol" w:cs="Symbol"/>
          <w:lang w:val="en-GB"/>
        </w:rPr>
        <w:sym w:font="Symbol" w:char="F0B4"/>
      </w:r>
      <w:r w:rsidRPr="00617F21">
        <w:rPr>
          <w:lang w:val="en-GB"/>
        </w:rPr>
        <w:t>10</w:t>
      </w:r>
      <w:r w:rsidRPr="00617F21">
        <w:rPr>
          <w:vertAlign w:val="superscript"/>
          <w:lang w:val="en-GB"/>
        </w:rPr>
        <w:noBreakHyphen/>
        <w:t>5</w:t>
      </w:r>
      <w:r w:rsidRPr="00617F21">
        <w:rPr>
          <w:lang w:val="en-GB"/>
        </w:rPr>
        <w:t> M. This ensured that accurate comparisons could be made between the EPR spectra for these solutions.</w:t>
      </w:r>
    </w:p>
    <w:p w14:paraId="39624786" w14:textId="70B328B3" w:rsidR="0003146A" w:rsidRDefault="0003146A" w:rsidP="0003146A">
      <w:pPr>
        <w:pStyle w:val="TAMainText"/>
        <w:rPr>
          <w:lang w:val="en-GB"/>
        </w:rPr>
      </w:pPr>
      <w:r w:rsidRPr="00617F21">
        <w:rPr>
          <w:lang w:val="en-GB"/>
        </w:rPr>
        <w:t xml:space="preserve">The initial spectra </w:t>
      </w:r>
      <w:r>
        <w:rPr>
          <w:lang w:val="en-GB"/>
        </w:rPr>
        <w:t xml:space="preserve">revealed decreases in signal intensity for the </w:t>
      </w:r>
      <w:r w:rsidRPr="008F3B5B">
        <w:rPr>
          <w:b/>
          <w:bCs/>
          <w:lang w:val="en-GB"/>
        </w:rPr>
        <w:t>R+C</w:t>
      </w:r>
      <w:r>
        <w:rPr>
          <w:lang w:val="en-GB"/>
        </w:rPr>
        <w:t xml:space="preserve"> samples compared to the cage-free controls (</w:t>
      </w:r>
      <w:r w:rsidRPr="008F3B5B">
        <w:rPr>
          <w:b/>
          <w:bCs/>
          <w:lang w:val="en-GB"/>
        </w:rPr>
        <w:t>R</w:t>
      </w:r>
      <w:r>
        <w:rPr>
          <w:lang w:val="en-GB"/>
        </w:rPr>
        <w:t xml:space="preserve">), with the smallest decrease observed for the </w:t>
      </w:r>
      <w:r w:rsidRPr="008F3B5B">
        <w:rPr>
          <w:b/>
          <w:bCs/>
          <w:lang w:val="en-GB"/>
        </w:rPr>
        <w:t>R3</w:t>
      </w:r>
      <w:r>
        <w:rPr>
          <w:lang w:val="en-GB"/>
        </w:rPr>
        <w:t>+</w:t>
      </w:r>
      <w:r w:rsidRPr="008F3B5B">
        <w:rPr>
          <w:b/>
          <w:bCs/>
          <w:lang w:val="en-GB"/>
        </w:rPr>
        <w:t>C1w</w:t>
      </w:r>
      <w:r>
        <w:rPr>
          <w:lang w:val="en-GB"/>
        </w:rPr>
        <w:t xml:space="preserve"> sample</w:t>
      </w:r>
      <w:r w:rsidR="0063019D">
        <w:rPr>
          <w:lang w:val="en-GB"/>
        </w:rPr>
        <w:t xml:space="preserve"> (Figure 2a)</w:t>
      </w:r>
      <w:r>
        <w:rPr>
          <w:lang w:val="en-GB"/>
        </w:rPr>
        <w:t xml:space="preserve">, and the largest observed for the </w:t>
      </w:r>
      <w:r w:rsidRPr="008F3B5B">
        <w:rPr>
          <w:b/>
          <w:bCs/>
          <w:lang w:val="en-GB"/>
        </w:rPr>
        <w:t>R6</w:t>
      </w:r>
      <w:r>
        <w:rPr>
          <w:lang w:val="en-GB"/>
        </w:rPr>
        <w:t>+</w:t>
      </w:r>
      <w:r w:rsidRPr="008F3B5B">
        <w:rPr>
          <w:b/>
          <w:bCs/>
          <w:lang w:val="en-GB"/>
        </w:rPr>
        <w:t>C2org</w:t>
      </w:r>
      <w:r>
        <w:rPr>
          <w:lang w:val="en-GB"/>
        </w:rPr>
        <w:t xml:space="preserve"> sample (</w:t>
      </w:r>
      <w:r w:rsidR="0063019D">
        <w:rPr>
          <w:lang w:val="en-GB"/>
        </w:rPr>
        <w:t>Figure 4b</w:t>
      </w:r>
      <w:r>
        <w:rPr>
          <w:lang w:val="en-GB"/>
        </w:rPr>
        <w:t>). This is indicative of host-guest interactions, as line broadening which results from slower tumbling of encapsulated guest manifests itself visually as drop in signal intensity.</w:t>
      </w:r>
    </w:p>
    <w:p w14:paraId="5B67070E" w14:textId="244E9048" w:rsidR="00563629" w:rsidRDefault="00992958" w:rsidP="00B77A4E">
      <w:pPr>
        <w:pStyle w:val="VAFigureCaption"/>
        <w:spacing w:after="240"/>
        <w:jc w:val="left"/>
      </w:pPr>
      <w:r>
        <w:rPr>
          <w:noProof/>
          <w:lang w:val="en-GB" w:eastAsia="en-GB"/>
        </w:rPr>
        <w:lastRenderedPageBreak/>
        <w:drawing>
          <wp:inline distT="0" distB="0" distL="0" distR="0" wp14:anchorId="6C92A792" wp14:editId="3EFD1646">
            <wp:extent cx="3048000" cy="731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tif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0" cy="7315200"/>
                    </a:xfrm>
                    <a:prstGeom prst="rect">
                      <a:avLst/>
                    </a:prstGeom>
                  </pic:spPr>
                </pic:pic>
              </a:graphicData>
            </a:graphic>
          </wp:inline>
        </w:drawing>
      </w:r>
    </w:p>
    <w:p w14:paraId="1A86989A" w14:textId="239C8CAC" w:rsidR="00563629" w:rsidRDefault="00563629" w:rsidP="00563629">
      <w:pPr>
        <w:pStyle w:val="VAFigureCaption"/>
        <w:rPr>
          <w:b/>
          <w:bCs/>
        </w:rPr>
      </w:pPr>
      <w:bookmarkStart w:id="1" w:name="_Ref35872655"/>
      <w:r w:rsidRPr="00617F21">
        <w:rPr>
          <w:b/>
        </w:rPr>
        <w:t xml:space="preserve">Figure </w:t>
      </w:r>
      <w:r w:rsidRPr="00D75F1E">
        <w:rPr>
          <w:rFonts w:cs="Arial"/>
          <w:b/>
          <w:bCs/>
        </w:rPr>
        <w:fldChar w:fldCharType="begin"/>
      </w:r>
      <w:r w:rsidRPr="00D75F1E">
        <w:rPr>
          <w:rFonts w:cs="Arial"/>
          <w:b/>
          <w:bCs/>
        </w:rPr>
        <w:instrText xml:space="preserve"> SEQ Figure \* ARABIC </w:instrText>
      </w:r>
      <w:r w:rsidRPr="00D75F1E">
        <w:rPr>
          <w:rFonts w:cs="Arial"/>
          <w:b/>
          <w:bCs/>
        </w:rPr>
        <w:fldChar w:fldCharType="separate"/>
      </w:r>
      <w:r w:rsidR="00CE0E94">
        <w:rPr>
          <w:rFonts w:cs="Arial"/>
          <w:b/>
          <w:bCs/>
          <w:noProof/>
        </w:rPr>
        <w:t>2</w:t>
      </w:r>
      <w:r w:rsidRPr="00D75F1E">
        <w:rPr>
          <w:rFonts w:cs="Arial"/>
          <w:b/>
          <w:bCs/>
        </w:rPr>
        <w:fldChar w:fldCharType="end"/>
      </w:r>
      <w:bookmarkEnd w:id="1"/>
      <w:r w:rsidRPr="00617F21">
        <w:rPr>
          <w:b/>
        </w:rPr>
        <w:t>.</w:t>
      </w:r>
      <w:r w:rsidRPr="00617F21">
        <w:t xml:space="preserve"> EPR spectra of </w:t>
      </w:r>
      <w:r>
        <w:t>radical</w:t>
      </w:r>
      <w:r w:rsidRPr="00617F21">
        <w:t xml:space="preserve"> (top, black), </w:t>
      </w:r>
      <w:proofErr w:type="spellStart"/>
      <w:r>
        <w:t>radical</w:t>
      </w:r>
      <w:r w:rsidRPr="00617F21">
        <w:t>+</w:t>
      </w:r>
      <w:r>
        <w:t>cage</w:t>
      </w:r>
      <w:proofErr w:type="spellEnd"/>
      <w:r w:rsidRPr="00617F21">
        <w:t xml:space="preserve"> (middle, blue), </w:t>
      </w:r>
      <w:proofErr w:type="spellStart"/>
      <w:r>
        <w:t>radical+cage+competing</w:t>
      </w:r>
      <w:proofErr w:type="spellEnd"/>
      <w:r>
        <w:t xml:space="preserve"> guest (bottom, red). a) </w:t>
      </w:r>
      <w:r w:rsidRPr="008F3B5B">
        <w:rPr>
          <w:b/>
          <w:bCs/>
        </w:rPr>
        <w:t>R3</w:t>
      </w:r>
      <w:r>
        <w:t xml:space="preserve">, </w:t>
      </w:r>
      <w:r w:rsidRPr="008F3B5B">
        <w:rPr>
          <w:b/>
          <w:bCs/>
        </w:rPr>
        <w:t>C1w</w:t>
      </w:r>
      <w:r>
        <w:t xml:space="preserve">, </w:t>
      </w:r>
      <w:r w:rsidRPr="008F3B5B">
        <w:rPr>
          <w:b/>
          <w:bCs/>
        </w:rPr>
        <w:t>CG8</w:t>
      </w:r>
      <w:r>
        <w:t xml:space="preserve">; b) </w:t>
      </w:r>
      <w:r w:rsidRPr="008F3B5B">
        <w:rPr>
          <w:b/>
          <w:bCs/>
        </w:rPr>
        <w:t>R4</w:t>
      </w:r>
      <w:r>
        <w:t xml:space="preserve">, </w:t>
      </w:r>
      <w:r w:rsidRPr="008F3B5B">
        <w:rPr>
          <w:b/>
          <w:bCs/>
        </w:rPr>
        <w:t>C1w</w:t>
      </w:r>
      <w:r>
        <w:t xml:space="preserve">, </w:t>
      </w:r>
      <w:r w:rsidRPr="008F3B5B">
        <w:rPr>
          <w:b/>
          <w:bCs/>
        </w:rPr>
        <w:t>CG8</w:t>
      </w:r>
      <w:r w:rsidR="005B480E">
        <w:t>.</w:t>
      </w:r>
      <w:r w:rsidR="0042536A">
        <w:t xml:space="preserve"> Radical </w:t>
      </w:r>
      <w:r w:rsidR="0042536A">
        <w:lastRenderedPageBreak/>
        <w:t xml:space="preserve">concentration </w:t>
      </w:r>
      <w:r w:rsidR="00E4135D">
        <w:t>was</w:t>
      </w:r>
      <w:r w:rsidR="00D33916">
        <w:t xml:space="preserve"> 2</w:t>
      </w:r>
      <w:r w:rsidR="00D33916" w:rsidRPr="00A22240">
        <w:sym w:font="Symbol" w:char="F0B4"/>
      </w:r>
      <w:r w:rsidR="00D33916" w:rsidRPr="00A22240">
        <w:t>10</w:t>
      </w:r>
      <w:r w:rsidR="00D33916">
        <w:rPr>
          <w:vertAlign w:val="superscript"/>
        </w:rPr>
        <w:t>-5</w:t>
      </w:r>
      <w:r w:rsidR="00D33916">
        <w:t xml:space="preserve"> M, cage c</w:t>
      </w:r>
      <w:r w:rsidR="00295DF3">
        <w:t xml:space="preserve">oncentration </w:t>
      </w:r>
      <w:r w:rsidR="00626909">
        <w:t>5</w:t>
      </w:r>
      <w:r w:rsidR="00295DF3" w:rsidRPr="00A22240">
        <w:sym w:font="Symbol" w:char="F0B4"/>
      </w:r>
      <w:r w:rsidR="00295DF3" w:rsidRPr="00A22240">
        <w:t>10</w:t>
      </w:r>
      <w:r w:rsidR="00295DF3">
        <w:rPr>
          <w:vertAlign w:val="superscript"/>
        </w:rPr>
        <w:t>-4</w:t>
      </w:r>
      <w:r w:rsidR="00626909">
        <w:t xml:space="preserve"> M and competing guest concentration ~2</w:t>
      </w:r>
      <w:r w:rsidR="00626909" w:rsidRPr="00A22240">
        <w:sym w:font="Symbol" w:char="F0B4"/>
      </w:r>
      <w:r w:rsidR="00626909" w:rsidRPr="00A22240">
        <w:t>10</w:t>
      </w:r>
      <w:r w:rsidR="00626909">
        <w:rPr>
          <w:vertAlign w:val="superscript"/>
        </w:rPr>
        <w:t>-3</w:t>
      </w:r>
      <w:r w:rsidR="00626909">
        <w:t xml:space="preserve"> M.</w:t>
      </w:r>
    </w:p>
    <w:p w14:paraId="5C20986A" w14:textId="1AF34154" w:rsidR="0019051B" w:rsidRDefault="0019051B" w:rsidP="0019051B">
      <w:pPr>
        <w:pStyle w:val="TAMainText"/>
        <w:rPr>
          <w:lang w:val="en-GB"/>
        </w:rPr>
      </w:pPr>
      <w:r w:rsidRPr="00617F21">
        <w:rPr>
          <w:lang w:val="en-GB"/>
        </w:rPr>
        <w:t xml:space="preserve">To </w:t>
      </w:r>
      <w:r>
        <w:rPr>
          <w:lang w:val="en-GB"/>
        </w:rPr>
        <w:t xml:space="preserve">confirm that </w:t>
      </w:r>
      <w:r w:rsidRPr="00617F21">
        <w:rPr>
          <w:lang w:val="en-GB"/>
        </w:rPr>
        <w:t>th</w:t>
      </w:r>
      <w:r>
        <w:rPr>
          <w:lang w:val="en-GB"/>
        </w:rPr>
        <w:t>ese</w:t>
      </w:r>
      <w:r w:rsidRPr="00617F21">
        <w:rPr>
          <w:lang w:val="en-GB"/>
        </w:rPr>
        <w:t xml:space="preserve"> decrease</w:t>
      </w:r>
      <w:r>
        <w:rPr>
          <w:lang w:val="en-GB"/>
        </w:rPr>
        <w:t>s</w:t>
      </w:r>
      <w:r w:rsidRPr="00617F21">
        <w:rPr>
          <w:lang w:val="en-GB"/>
        </w:rPr>
        <w:t xml:space="preserve"> w</w:t>
      </w:r>
      <w:r>
        <w:rPr>
          <w:lang w:val="en-GB"/>
        </w:rPr>
        <w:t>ere</w:t>
      </w:r>
      <w:r w:rsidRPr="00617F21">
        <w:rPr>
          <w:lang w:val="en-GB"/>
        </w:rPr>
        <w:t xml:space="preserve"> </w:t>
      </w:r>
      <w:r>
        <w:rPr>
          <w:lang w:val="en-GB"/>
        </w:rPr>
        <w:t xml:space="preserve">indeed </w:t>
      </w:r>
      <w:r w:rsidRPr="00617F21">
        <w:rPr>
          <w:lang w:val="en-GB"/>
        </w:rPr>
        <w:t xml:space="preserve">due to </w:t>
      </w:r>
      <w:r>
        <w:rPr>
          <w:lang w:val="en-GB"/>
        </w:rPr>
        <w:t xml:space="preserve">guest-cage </w:t>
      </w:r>
      <w:r w:rsidRPr="00617F21">
        <w:rPr>
          <w:lang w:val="en-GB"/>
        </w:rPr>
        <w:t>binding, a competing guest was added</w:t>
      </w:r>
      <w:r>
        <w:rPr>
          <w:lang w:val="en-GB"/>
        </w:rPr>
        <w:t xml:space="preserve"> at ~2</w:t>
      </w:r>
      <w:r w:rsidRPr="002666A3">
        <w:rPr>
          <w:lang w:val="en-GB"/>
        </w:rPr>
        <w:sym w:font="Symbol" w:char="F0B4"/>
      </w:r>
      <w:r w:rsidRPr="002666A3">
        <w:rPr>
          <w:lang w:val="en-GB"/>
        </w:rPr>
        <w:t>10</w:t>
      </w:r>
      <w:r>
        <w:rPr>
          <w:vertAlign w:val="superscript"/>
          <w:lang w:val="en-GB"/>
        </w:rPr>
        <w:t>-3</w:t>
      </w:r>
      <w:r>
        <w:rPr>
          <w:lang w:val="en-GB"/>
        </w:rPr>
        <w:t xml:space="preserve"> M</w:t>
      </w:r>
      <w:r w:rsidRPr="00617F21">
        <w:rPr>
          <w:lang w:val="en-GB"/>
        </w:rPr>
        <w:t xml:space="preserve">. </w:t>
      </w:r>
      <w:r>
        <w:rPr>
          <w:lang w:val="en-GB"/>
        </w:rPr>
        <w:t xml:space="preserve">For cage </w:t>
      </w:r>
      <w:r w:rsidRPr="008F3B5B">
        <w:rPr>
          <w:b/>
          <w:bCs/>
        </w:rPr>
        <w:t>C1w</w:t>
      </w:r>
      <w:r>
        <w:rPr>
          <w:lang w:val="en-GB"/>
        </w:rPr>
        <w:t>, h</w:t>
      </w:r>
      <w:r w:rsidRPr="00617F21">
        <w:rPr>
          <w:lang w:val="en-GB"/>
        </w:rPr>
        <w:t>examethylacetone</w:t>
      </w:r>
      <w:r>
        <w:rPr>
          <w:lang w:val="en-GB"/>
        </w:rPr>
        <w:t xml:space="preserve"> (</w:t>
      </w:r>
      <w:r w:rsidRPr="008F3B5B">
        <w:rPr>
          <w:b/>
          <w:bCs/>
        </w:rPr>
        <w:t>CG8</w:t>
      </w:r>
      <w:r>
        <w:rPr>
          <w:lang w:val="en-GB"/>
        </w:rPr>
        <w:t>)</w:t>
      </w:r>
      <w:r w:rsidRPr="00617F21">
        <w:rPr>
          <w:lang w:val="en-GB"/>
        </w:rPr>
        <w:t xml:space="preserve"> was chosen as the competing guest, as previous studies with these cage structures had shown it to bind strongly</w:t>
      </w:r>
      <w:r>
        <w:rPr>
          <w:lang w:val="en-GB"/>
        </w:rPr>
        <w:t xml:space="preserve"> in an aqueous environment</w:t>
      </w:r>
      <w:r w:rsidRPr="00617F21">
        <w:rPr>
          <w:lang w:val="en-GB"/>
        </w:rPr>
        <w:t>.</w:t>
      </w:r>
      <w:r w:rsidR="000F734F" w:rsidRPr="000F734F">
        <w:rPr>
          <w:vertAlign w:val="superscript"/>
        </w:rPr>
        <w:t>39</w:t>
      </w:r>
      <w:r>
        <w:rPr>
          <w:lang w:val="en-GB"/>
        </w:rPr>
        <w:t xml:space="preserve"> For cage </w:t>
      </w:r>
      <w:r w:rsidRPr="008F3B5B">
        <w:rPr>
          <w:b/>
          <w:bCs/>
          <w:lang w:val="en-GB"/>
        </w:rPr>
        <w:t>C2org</w:t>
      </w:r>
      <w:r>
        <w:rPr>
          <w:lang w:val="en-GB"/>
        </w:rPr>
        <w:t>, benzoic acid (</w:t>
      </w:r>
      <w:r w:rsidRPr="008F3B5B">
        <w:rPr>
          <w:b/>
          <w:bCs/>
          <w:lang w:val="en-GB"/>
        </w:rPr>
        <w:t>CG9</w:t>
      </w:r>
      <w:r>
        <w:rPr>
          <w:lang w:val="en-GB"/>
        </w:rPr>
        <w:t xml:space="preserve">) was chosen as the competing guest as </w:t>
      </w:r>
      <w:r w:rsidRPr="008F3B5B">
        <w:rPr>
          <w:b/>
          <w:bCs/>
          <w:lang w:val="en-GB"/>
        </w:rPr>
        <w:t>CG8</w:t>
      </w:r>
      <w:r>
        <w:rPr>
          <w:lang w:val="en-GB"/>
        </w:rPr>
        <w:t xml:space="preserve"> was </w:t>
      </w:r>
      <w:r w:rsidRPr="003D7C7F">
        <w:rPr>
          <w:lang w:val="en-GB"/>
        </w:rPr>
        <w:t>fo</w:t>
      </w:r>
      <w:r>
        <w:rPr>
          <w:lang w:val="en-GB"/>
        </w:rPr>
        <w:t xml:space="preserve">und to bind less strongly to the cage structures in MeCN. It was predicted that binding of radicals </w:t>
      </w:r>
      <w:r w:rsidRPr="008F3B5B">
        <w:rPr>
          <w:b/>
          <w:bCs/>
          <w:lang w:val="en-GB"/>
        </w:rPr>
        <w:t>R5</w:t>
      </w:r>
      <w:r>
        <w:rPr>
          <w:lang w:val="en-GB"/>
        </w:rPr>
        <w:t xml:space="preserve"> and </w:t>
      </w:r>
      <w:r w:rsidRPr="008F3B5B">
        <w:rPr>
          <w:b/>
          <w:bCs/>
          <w:lang w:val="en-GB"/>
        </w:rPr>
        <w:t>R6</w:t>
      </w:r>
      <w:r>
        <w:rPr>
          <w:lang w:val="en-GB"/>
        </w:rPr>
        <w:t xml:space="preserve"> </w:t>
      </w:r>
      <w:r w:rsidRPr="00FB7FE4">
        <w:rPr>
          <w:lang w:val="en-GB"/>
        </w:rPr>
        <w:t>to cage</w:t>
      </w:r>
      <w:r>
        <w:rPr>
          <w:lang w:val="en-GB"/>
        </w:rPr>
        <w:t xml:space="preserve"> </w:t>
      </w:r>
      <w:r w:rsidRPr="008F3B5B">
        <w:rPr>
          <w:b/>
          <w:bCs/>
          <w:lang w:val="en-GB"/>
        </w:rPr>
        <w:t>C2org</w:t>
      </w:r>
      <w:r>
        <w:rPr>
          <w:lang w:val="en-GB"/>
        </w:rPr>
        <w:t xml:space="preserve"> </w:t>
      </w:r>
      <w:r w:rsidRPr="0094660B">
        <w:rPr>
          <w:lang w:val="en-GB"/>
        </w:rPr>
        <w:t>would</w:t>
      </w:r>
      <w:r>
        <w:rPr>
          <w:lang w:val="en-GB"/>
        </w:rPr>
        <w:t xml:space="preserve"> occur through the </w:t>
      </w:r>
      <w:r w:rsidRPr="00617F21">
        <w:rPr>
          <w:lang w:val="en-GB"/>
        </w:rPr>
        <w:t>carboxy grou</w:t>
      </w:r>
      <w:r>
        <w:rPr>
          <w:lang w:val="en-GB"/>
        </w:rPr>
        <w:t>p</w:t>
      </w:r>
      <w:r w:rsidRPr="00617F21">
        <w:rPr>
          <w:lang w:val="en-GB"/>
        </w:rPr>
        <w:t xml:space="preserve">, </w:t>
      </w:r>
      <w:r>
        <w:rPr>
          <w:lang w:val="en-GB"/>
        </w:rPr>
        <w:t xml:space="preserve">and so using </w:t>
      </w:r>
      <w:r w:rsidRPr="008F3B5B">
        <w:rPr>
          <w:b/>
          <w:bCs/>
          <w:lang w:val="en-GB"/>
        </w:rPr>
        <w:t>CG9</w:t>
      </w:r>
      <w:r>
        <w:rPr>
          <w:lang w:val="en-GB"/>
        </w:rPr>
        <w:t xml:space="preserve"> as a competing guest also provided this functionality. T</w:t>
      </w:r>
      <w:r w:rsidRPr="00617F21">
        <w:rPr>
          <w:lang w:val="en-GB"/>
        </w:rPr>
        <w:t xml:space="preserve">he additional aromatic ring </w:t>
      </w:r>
      <w:r>
        <w:rPr>
          <w:lang w:val="en-GB"/>
        </w:rPr>
        <w:t>was expected to</w:t>
      </w:r>
      <w:r w:rsidRPr="00617F21">
        <w:rPr>
          <w:lang w:val="en-GB"/>
        </w:rPr>
        <w:t xml:space="preserve"> enhance</w:t>
      </w:r>
      <w:r>
        <w:rPr>
          <w:lang w:val="en-GB"/>
        </w:rPr>
        <w:t xml:space="preserve"> the</w:t>
      </w:r>
      <w:r w:rsidRPr="00617F21">
        <w:rPr>
          <w:lang w:val="en-GB"/>
        </w:rPr>
        <w:t xml:space="preserve"> H-bonding acceptor nature of the guest, improving the binding ability as discussed by </w:t>
      </w:r>
      <w:proofErr w:type="spellStart"/>
      <w:r w:rsidRPr="00617F21">
        <w:rPr>
          <w:lang w:val="en-GB"/>
        </w:rPr>
        <w:t>Turega</w:t>
      </w:r>
      <w:proofErr w:type="spellEnd"/>
      <w:r w:rsidRPr="00617F21">
        <w:rPr>
          <w:lang w:val="en-GB"/>
        </w:rPr>
        <w:t xml:space="preserve"> et al. </w:t>
      </w:r>
      <w:r>
        <w:rPr>
          <w:lang w:val="en-GB"/>
        </w:rPr>
        <w:t xml:space="preserve">and thus making </w:t>
      </w:r>
      <w:r w:rsidRPr="008F3B5B">
        <w:rPr>
          <w:b/>
          <w:bCs/>
          <w:lang w:val="en-GB"/>
        </w:rPr>
        <w:t>CG9</w:t>
      </w:r>
      <w:r>
        <w:rPr>
          <w:lang w:val="en-GB"/>
        </w:rPr>
        <w:t xml:space="preserve"> a suitable competing guest.</w:t>
      </w:r>
      <w:r w:rsidR="000F734F" w:rsidRPr="000F734F">
        <w:rPr>
          <w:vertAlign w:val="superscript"/>
        </w:rPr>
        <w:t>37</w:t>
      </w:r>
    </w:p>
    <w:p w14:paraId="7751728E" w14:textId="780B52F5" w:rsidR="00DF4C1A" w:rsidRPr="00B24843" w:rsidRDefault="00DF4C1A" w:rsidP="00B60678">
      <w:pPr>
        <w:pStyle w:val="TAMainText"/>
        <w:rPr>
          <w:b/>
          <w:bCs/>
        </w:rPr>
      </w:pPr>
      <w:r w:rsidRPr="00B24843">
        <w:rPr>
          <w:b/>
          <w:bCs/>
        </w:rPr>
        <w:t xml:space="preserve">EPR spectra of R+C system in water </w:t>
      </w:r>
    </w:p>
    <w:p w14:paraId="3CC29A5A" w14:textId="20A2CFAA" w:rsidR="001B18B3" w:rsidRDefault="001B18B3" w:rsidP="001B18B3">
      <w:pPr>
        <w:pStyle w:val="TAMainText"/>
        <w:rPr>
          <w:lang w:val="en-GB"/>
        </w:rPr>
      </w:pPr>
      <w:r w:rsidRPr="00617F21">
        <w:rPr>
          <w:lang w:val="en-GB"/>
        </w:rPr>
        <w:t xml:space="preserve">Upon addition of </w:t>
      </w:r>
      <w:r w:rsidRPr="008F3B5B">
        <w:rPr>
          <w:b/>
          <w:bCs/>
          <w:lang w:val="en-GB"/>
        </w:rPr>
        <w:t>CG8</w:t>
      </w:r>
      <w:r>
        <w:rPr>
          <w:lang w:val="en-GB"/>
        </w:rPr>
        <w:t xml:space="preserve"> to the radical+</w:t>
      </w:r>
      <w:r w:rsidRPr="008F3B5B">
        <w:rPr>
          <w:b/>
          <w:bCs/>
          <w:lang w:val="en-GB"/>
        </w:rPr>
        <w:t>C1w</w:t>
      </w:r>
      <w:r>
        <w:rPr>
          <w:lang w:val="en-GB"/>
        </w:rPr>
        <w:t xml:space="preserve"> samples</w:t>
      </w:r>
      <w:r w:rsidRPr="00617F21">
        <w:rPr>
          <w:lang w:val="en-GB"/>
        </w:rPr>
        <w:t xml:space="preserve"> it was observed that for </w:t>
      </w:r>
      <w:r w:rsidRPr="008F3B5B">
        <w:rPr>
          <w:b/>
          <w:bCs/>
          <w:lang w:val="en-GB"/>
        </w:rPr>
        <w:t>R3</w:t>
      </w:r>
      <w:r w:rsidRPr="00617F21">
        <w:rPr>
          <w:lang w:val="en-GB"/>
        </w:rPr>
        <w:t xml:space="preserve">, the signal intensity did not return to that of radical in neat solvent, and instead remained at a level similar to that </w:t>
      </w:r>
      <w:r>
        <w:rPr>
          <w:lang w:val="en-GB"/>
        </w:rPr>
        <w:t>of the</w:t>
      </w:r>
      <w:r w:rsidRPr="00617F21">
        <w:rPr>
          <w:lang w:val="en-GB"/>
        </w:rPr>
        <w:t xml:space="preserve"> </w:t>
      </w:r>
      <w:r w:rsidRPr="008F3B5B">
        <w:rPr>
          <w:b/>
          <w:bCs/>
          <w:lang w:val="en-GB"/>
        </w:rPr>
        <w:t>R3</w:t>
      </w:r>
      <w:r w:rsidRPr="00617F21">
        <w:rPr>
          <w:lang w:val="en-GB"/>
        </w:rPr>
        <w:t>+</w:t>
      </w:r>
      <w:r w:rsidRPr="008F3B5B">
        <w:rPr>
          <w:b/>
          <w:bCs/>
          <w:lang w:val="en-GB"/>
        </w:rPr>
        <w:t>C1w</w:t>
      </w:r>
      <w:r>
        <w:rPr>
          <w:lang w:val="en-GB"/>
        </w:rPr>
        <w:t xml:space="preserve"> </w:t>
      </w:r>
      <w:r w:rsidRPr="00D83739">
        <w:rPr>
          <w:lang w:val="en-GB"/>
        </w:rPr>
        <w:t>spectrum</w:t>
      </w:r>
      <w:r>
        <w:rPr>
          <w:lang w:val="en-GB"/>
        </w:rPr>
        <w:t xml:space="preserve"> (</w:t>
      </w:r>
      <w:r>
        <w:rPr>
          <w:lang w:val="en-GB"/>
        </w:rPr>
        <w:fldChar w:fldCharType="begin"/>
      </w:r>
      <w:r>
        <w:rPr>
          <w:lang w:val="en-GB"/>
        </w:rPr>
        <w:instrText xml:space="preserve"> REF _Ref35872655 \h </w:instrText>
      </w:r>
      <w:r>
        <w:rPr>
          <w:lang w:val="en-GB"/>
        </w:rPr>
      </w:r>
      <w:r>
        <w:rPr>
          <w:lang w:val="en-GB"/>
        </w:rPr>
        <w:fldChar w:fldCharType="separate"/>
      </w:r>
      <w:r w:rsidR="00CE0E94" w:rsidRPr="00617F21">
        <w:rPr>
          <w:b/>
        </w:rPr>
        <w:t xml:space="preserve">Figure </w:t>
      </w:r>
      <w:r w:rsidR="00CE0E94">
        <w:rPr>
          <w:rFonts w:cs="Arial"/>
          <w:b/>
          <w:bCs/>
          <w:noProof/>
        </w:rPr>
        <w:t>2</w:t>
      </w:r>
      <w:r>
        <w:rPr>
          <w:lang w:val="en-GB"/>
        </w:rPr>
        <w:fldChar w:fldCharType="end"/>
      </w:r>
      <w:r w:rsidRPr="008F3B5B">
        <w:rPr>
          <w:b/>
          <w:bCs/>
          <w:lang w:val="en-GB"/>
        </w:rPr>
        <w:t>a</w:t>
      </w:r>
      <w:r>
        <w:rPr>
          <w:lang w:val="en-GB"/>
        </w:rPr>
        <w:t xml:space="preserve">). </w:t>
      </w:r>
      <w:r w:rsidR="003A6CBA">
        <w:rPr>
          <w:lang w:val="en-GB"/>
        </w:rPr>
        <w:t>F</w:t>
      </w:r>
      <w:r w:rsidRPr="00617F21">
        <w:rPr>
          <w:lang w:val="en-GB"/>
        </w:rPr>
        <w:t xml:space="preserve">or </w:t>
      </w:r>
      <w:r w:rsidRPr="008F3B5B">
        <w:rPr>
          <w:b/>
          <w:bCs/>
          <w:lang w:val="en-GB"/>
        </w:rPr>
        <w:t>R4</w:t>
      </w:r>
      <w:r w:rsidR="003A6CBA">
        <w:rPr>
          <w:lang w:val="en-GB"/>
        </w:rPr>
        <w:t xml:space="preserve"> however</w:t>
      </w:r>
      <w:r w:rsidRPr="00617F21">
        <w:rPr>
          <w:lang w:val="en-GB"/>
        </w:rPr>
        <w:t>, the signal intensity did increase</w:t>
      </w:r>
      <w:r>
        <w:rPr>
          <w:lang w:val="en-GB"/>
        </w:rPr>
        <w:t xml:space="preserve"> above that</w:t>
      </w:r>
      <w:r w:rsidRPr="00617F21">
        <w:rPr>
          <w:lang w:val="en-GB"/>
        </w:rPr>
        <w:t xml:space="preserve"> </w:t>
      </w:r>
      <w:r>
        <w:rPr>
          <w:lang w:val="en-GB"/>
        </w:rPr>
        <w:t xml:space="preserve">of </w:t>
      </w:r>
      <w:r w:rsidRPr="00617F21">
        <w:rPr>
          <w:lang w:val="en-GB"/>
        </w:rPr>
        <w:t xml:space="preserve">the </w:t>
      </w:r>
      <w:r w:rsidRPr="008F3B5B">
        <w:rPr>
          <w:b/>
          <w:bCs/>
          <w:lang w:val="en-GB"/>
        </w:rPr>
        <w:t>R4</w:t>
      </w:r>
      <w:r w:rsidRPr="00617F21">
        <w:rPr>
          <w:lang w:val="en-GB"/>
        </w:rPr>
        <w:t>+</w:t>
      </w:r>
      <w:r w:rsidRPr="008F3B5B">
        <w:rPr>
          <w:b/>
          <w:bCs/>
          <w:lang w:val="en-GB"/>
        </w:rPr>
        <w:t>C1w</w:t>
      </w:r>
      <w:r w:rsidRPr="00617F21">
        <w:rPr>
          <w:lang w:val="en-GB"/>
        </w:rPr>
        <w:t xml:space="preserve"> signal, but did not reach </w:t>
      </w:r>
      <w:r w:rsidR="00783844">
        <w:rPr>
          <w:lang w:val="en-GB"/>
        </w:rPr>
        <w:t>that</w:t>
      </w:r>
      <w:r w:rsidRPr="00617F21">
        <w:rPr>
          <w:lang w:val="en-GB"/>
        </w:rPr>
        <w:t xml:space="preserve"> of the radical in neat solvent</w:t>
      </w:r>
      <w:r>
        <w:rPr>
          <w:lang w:val="en-GB"/>
        </w:rPr>
        <w:t xml:space="preserve"> (</w:t>
      </w:r>
      <w:r>
        <w:rPr>
          <w:lang w:val="en-GB"/>
        </w:rPr>
        <w:fldChar w:fldCharType="begin"/>
      </w:r>
      <w:r>
        <w:rPr>
          <w:lang w:val="en-GB"/>
        </w:rPr>
        <w:instrText xml:space="preserve"> REF _Ref35872655 \h </w:instrText>
      </w:r>
      <w:r>
        <w:rPr>
          <w:lang w:val="en-GB"/>
        </w:rPr>
      </w:r>
      <w:r>
        <w:rPr>
          <w:lang w:val="en-GB"/>
        </w:rPr>
        <w:fldChar w:fldCharType="separate"/>
      </w:r>
      <w:r w:rsidR="00CE0E94" w:rsidRPr="00617F21">
        <w:rPr>
          <w:b/>
        </w:rPr>
        <w:t xml:space="preserve">Figure </w:t>
      </w:r>
      <w:r w:rsidR="00CE0E94">
        <w:rPr>
          <w:rFonts w:cs="Arial"/>
          <w:b/>
          <w:bCs/>
          <w:noProof/>
        </w:rPr>
        <w:t>2</w:t>
      </w:r>
      <w:r>
        <w:rPr>
          <w:lang w:val="en-GB"/>
        </w:rPr>
        <w:fldChar w:fldCharType="end"/>
      </w:r>
      <w:r w:rsidRPr="008F3B5B">
        <w:rPr>
          <w:b/>
          <w:bCs/>
          <w:lang w:val="en-GB"/>
        </w:rPr>
        <w:t>b</w:t>
      </w:r>
      <w:r>
        <w:rPr>
          <w:lang w:val="en-GB"/>
        </w:rPr>
        <w:t>)</w:t>
      </w:r>
      <w:r w:rsidRPr="00617F21">
        <w:rPr>
          <w:lang w:val="en-GB"/>
        </w:rPr>
        <w:t>. This suggested that</w:t>
      </w:r>
      <w:r>
        <w:rPr>
          <w:lang w:val="en-GB"/>
        </w:rPr>
        <w:t xml:space="preserve"> an additional broadening effect was present in these samples, and that</w:t>
      </w:r>
      <w:r w:rsidRPr="00617F21">
        <w:rPr>
          <w:lang w:val="en-GB"/>
        </w:rPr>
        <w:t xml:space="preserve"> for </w:t>
      </w:r>
      <w:r w:rsidRPr="008F3B5B">
        <w:rPr>
          <w:b/>
          <w:bCs/>
          <w:lang w:val="en-GB"/>
        </w:rPr>
        <w:t>R3</w:t>
      </w:r>
      <w:r w:rsidRPr="00617F21">
        <w:rPr>
          <w:lang w:val="en-GB"/>
        </w:rPr>
        <w:t>+</w:t>
      </w:r>
      <w:r w:rsidRPr="008F3B5B">
        <w:rPr>
          <w:b/>
          <w:bCs/>
          <w:lang w:val="en-GB"/>
        </w:rPr>
        <w:t>C1w</w:t>
      </w:r>
      <w:r w:rsidRPr="00617F21">
        <w:rPr>
          <w:lang w:val="en-GB"/>
        </w:rPr>
        <w:t>, there was no binding occurring</w:t>
      </w:r>
      <w:r>
        <w:rPr>
          <w:lang w:val="en-GB"/>
        </w:rPr>
        <w:t xml:space="preserve">, with the decrease in intensity observed solely due to this additional effect, </w:t>
      </w:r>
      <w:r w:rsidRPr="00617F21">
        <w:rPr>
          <w:lang w:val="en-GB"/>
        </w:rPr>
        <w:t xml:space="preserve">whilst for </w:t>
      </w:r>
      <w:r w:rsidRPr="008F3B5B">
        <w:rPr>
          <w:b/>
          <w:bCs/>
          <w:lang w:val="en-GB"/>
        </w:rPr>
        <w:t>R4</w:t>
      </w:r>
      <w:r w:rsidRPr="00617F21">
        <w:rPr>
          <w:lang w:val="en-GB"/>
        </w:rPr>
        <w:t>+</w:t>
      </w:r>
      <w:r w:rsidRPr="008F3B5B">
        <w:rPr>
          <w:b/>
          <w:bCs/>
          <w:lang w:val="en-GB"/>
        </w:rPr>
        <w:t>C1w</w:t>
      </w:r>
      <w:r>
        <w:rPr>
          <w:lang w:val="en-GB"/>
        </w:rPr>
        <w:t xml:space="preserve"> the larger decrease in signal intensity could be ascribed to a combination of binding and the other effect.</w:t>
      </w:r>
    </w:p>
    <w:p w14:paraId="03406C87" w14:textId="45AD0F77" w:rsidR="009F5E42" w:rsidRPr="00617F21" w:rsidRDefault="009F5E42" w:rsidP="009F5E42">
      <w:pPr>
        <w:pStyle w:val="TAMainText"/>
        <w:rPr>
          <w:lang w:val="en-GB"/>
        </w:rPr>
      </w:pPr>
      <w:r w:rsidRPr="00617F21">
        <w:rPr>
          <w:lang w:val="en-GB"/>
        </w:rPr>
        <w:t>To explain these observations</w:t>
      </w:r>
      <w:r>
        <w:rPr>
          <w:lang w:val="en-GB"/>
        </w:rPr>
        <w:t>,</w:t>
      </w:r>
      <w:r w:rsidRPr="00617F21">
        <w:rPr>
          <w:lang w:val="en-GB"/>
        </w:rPr>
        <w:t xml:space="preserve"> Heisenberg exchange between the radical guest and the paramagnetic cobalt atoms of the cage structure </w:t>
      </w:r>
      <w:r>
        <w:rPr>
          <w:lang w:val="en-GB"/>
        </w:rPr>
        <w:t>was considered.</w:t>
      </w:r>
      <w:r w:rsidR="000F734F" w:rsidRPr="000F734F">
        <w:rPr>
          <w:vertAlign w:val="superscript"/>
        </w:rPr>
        <w:t>40</w:t>
      </w:r>
      <w:r w:rsidRPr="00617F21">
        <w:rPr>
          <w:lang w:val="en-GB"/>
        </w:rPr>
        <w:t xml:space="preserve"> Th</w:t>
      </w:r>
      <w:r>
        <w:rPr>
          <w:lang w:val="en-GB"/>
        </w:rPr>
        <w:t>is</w:t>
      </w:r>
      <w:r w:rsidRPr="00617F21">
        <w:rPr>
          <w:lang w:val="en-GB"/>
        </w:rPr>
        <w:t xml:space="preserve"> effect </w:t>
      </w:r>
      <w:r>
        <w:rPr>
          <w:lang w:val="en-GB"/>
        </w:rPr>
        <w:t>would significantly broaden</w:t>
      </w:r>
      <w:r w:rsidRPr="00617F21">
        <w:rPr>
          <w:lang w:val="en-GB"/>
        </w:rPr>
        <w:t xml:space="preserve"> the </w:t>
      </w:r>
      <w:r>
        <w:rPr>
          <w:lang w:val="en-GB"/>
        </w:rPr>
        <w:t xml:space="preserve">EPR </w:t>
      </w:r>
      <w:r w:rsidRPr="00617F21">
        <w:rPr>
          <w:lang w:val="en-GB"/>
        </w:rPr>
        <w:t>signal</w:t>
      </w:r>
      <w:r>
        <w:rPr>
          <w:lang w:val="en-GB"/>
        </w:rPr>
        <w:t xml:space="preserve"> of the encapsulated radical due to collisions of the radical with the cobalt </w:t>
      </w:r>
      <w:r>
        <w:rPr>
          <w:lang w:val="en-GB"/>
        </w:rPr>
        <w:lastRenderedPageBreak/>
        <w:t xml:space="preserve">atoms in close proximity. The broadening would be reduced when the radicals are displaced from the cage by large excess of </w:t>
      </w:r>
      <w:r w:rsidRPr="00617F21">
        <w:rPr>
          <w:lang w:val="en-GB"/>
        </w:rPr>
        <w:t>competing guest</w:t>
      </w:r>
      <w:r>
        <w:rPr>
          <w:lang w:val="en-GB"/>
        </w:rPr>
        <w:t>, as the radical-cobalt collisions would be less frequent</w:t>
      </w:r>
      <w:r w:rsidRPr="00617F21">
        <w:rPr>
          <w:lang w:val="en-GB"/>
        </w:rPr>
        <w:t>.</w:t>
      </w:r>
    </w:p>
    <w:p w14:paraId="68372B07" w14:textId="6B237799" w:rsidR="00DF4C1A" w:rsidRDefault="00DF4C1A" w:rsidP="00B60678">
      <w:pPr>
        <w:pStyle w:val="TAMainText"/>
        <w:rPr>
          <w:lang w:val="en-GB"/>
        </w:rPr>
      </w:pPr>
      <w:r w:rsidRPr="00617F21">
        <w:rPr>
          <w:lang w:val="en-GB"/>
        </w:rPr>
        <w:t xml:space="preserve">To confirm this </w:t>
      </w:r>
      <w:r>
        <w:rPr>
          <w:lang w:val="en-GB"/>
        </w:rPr>
        <w:t xml:space="preserve">hypothesis </w:t>
      </w:r>
      <w:r w:rsidRPr="00617F21">
        <w:rPr>
          <w:lang w:val="en-GB"/>
        </w:rPr>
        <w:t xml:space="preserve">further, a control experiment was run where </w:t>
      </w:r>
      <w:proofErr w:type="gramStart"/>
      <w:r w:rsidRPr="00617F21">
        <w:rPr>
          <w:lang w:val="en-GB"/>
        </w:rPr>
        <w:t>Co(</w:t>
      </w:r>
      <w:proofErr w:type="gramEnd"/>
      <w:r w:rsidRPr="00617F21">
        <w:rPr>
          <w:lang w:val="en-GB"/>
        </w:rPr>
        <w:t>ClO</w:t>
      </w:r>
      <w:r w:rsidRPr="00617F21">
        <w:rPr>
          <w:vertAlign w:val="subscript"/>
          <w:lang w:val="en-GB"/>
        </w:rPr>
        <w:t>4</w:t>
      </w:r>
      <w:r w:rsidRPr="00617F21">
        <w:rPr>
          <w:lang w:val="en-GB"/>
        </w:rPr>
        <w:t>)</w:t>
      </w:r>
      <w:r w:rsidRPr="00617F21">
        <w:rPr>
          <w:vertAlign w:val="subscript"/>
          <w:lang w:val="en-GB"/>
        </w:rPr>
        <w:t>2</w:t>
      </w:r>
      <w:r w:rsidRPr="00617F21">
        <w:rPr>
          <w:lang w:val="en-GB"/>
        </w:rPr>
        <w:t>·6H</w:t>
      </w:r>
      <w:r w:rsidRPr="00617F21">
        <w:rPr>
          <w:vertAlign w:val="subscript"/>
          <w:lang w:val="en-GB"/>
        </w:rPr>
        <w:t>2</w:t>
      </w:r>
      <w:r w:rsidRPr="00617F21">
        <w:rPr>
          <w:lang w:val="en-GB"/>
        </w:rPr>
        <w:t xml:space="preserve">O solution was combined with </w:t>
      </w:r>
      <w:r w:rsidR="008F3B5B" w:rsidRPr="008F3B5B">
        <w:rPr>
          <w:b/>
          <w:bCs/>
          <w:lang w:val="en-GB"/>
        </w:rPr>
        <w:t>R4</w:t>
      </w:r>
      <w:r w:rsidRPr="00617F21">
        <w:rPr>
          <w:lang w:val="en-GB"/>
        </w:rPr>
        <w:t xml:space="preserve"> and </w:t>
      </w:r>
      <w:r w:rsidR="008F3B5B" w:rsidRPr="008F3B5B">
        <w:rPr>
          <w:b/>
          <w:bCs/>
          <w:lang w:val="en-GB"/>
        </w:rPr>
        <w:t>R4</w:t>
      </w:r>
      <w:r w:rsidRPr="00617F21">
        <w:rPr>
          <w:lang w:val="en-GB"/>
        </w:rPr>
        <w:t>+</w:t>
      </w:r>
      <w:r w:rsidR="008F3B5B" w:rsidRPr="008F3B5B">
        <w:rPr>
          <w:b/>
          <w:bCs/>
          <w:lang w:val="en-GB"/>
        </w:rPr>
        <w:t>CG8</w:t>
      </w:r>
      <w:r w:rsidRPr="00617F21">
        <w:rPr>
          <w:lang w:val="en-GB"/>
        </w:rPr>
        <w:t xml:space="preserve"> solutions, and EPR spectra recorded</w:t>
      </w:r>
      <w:r>
        <w:rPr>
          <w:lang w:val="en-GB"/>
        </w:rPr>
        <w:t xml:space="preserve"> (</w:t>
      </w:r>
      <w:r w:rsidR="008F3B5B">
        <w:rPr>
          <w:lang w:val="en-GB"/>
        </w:rPr>
        <w:fldChar w:fldCharType="begin"/>
      </w:r>
      <w:r w:rsidR="008F3B5B">
        <w:rPr>
          <w:lang w:val="en-GB"/>
        </w:rPr>
        <w:instrText xml:space="preserve"> REF _Ref29732682 \h </w:instrText>
      </w:r>
      <w:r w:rsidR="008F3B5B">
        <w:rPr>
          <w:lang w:val="en-GB"/>
        </w:rPr>
      </w:r>
      <w:r w:rsidR="008F3B5B">
        <w:rPr>
          <w:lang w:val="en-GB"/>
        </w:rPr>
        <w:fldChar w:fldCharType="separate"/>
      </w:r>
      <w:r w:rsidR="00CE0E94" w:rsidRPr="00617F21">
        <w:rPr>
          <w:b/>
        </w:rPr>
        <w:t xml:space="preserve">Figure </w:t>
      </w:r>
      <w:r w:rsidR="00CE0E94">
        <w:rPr>
          <w:rFonts w:cs="Arial"/>
          <w:b/>
          <w:bCs/>
          <w:noProof/>
        </w:rPr>
        <w:t>3</w:t>
      </w:r>
      <w:r w:rsidR="008F3B5B">
        <w:rPr>
          <w:lang w:val="en-GB"/>
        </w:rPr>
        <w:fldChar w:fldCharType="end"/>
      </w:r>
      <w:r>
        <w:rPr>
          <w:lang w:val="en-GB"/>
        </w:rPr>
        <w:t>)</w:t>
      </w:r>
      <w:r w:rsidRPr="00617F21">
        <w:rPr>
          <w:lang w:val="en-GB"/>
        </w:rPr>
        <w:t xml:space="preserve">. </w:t>
      </w:r>
      <w:r>
        <w:rPr>
          <w:lang w:val="en-GB"/>
        </w:rPr>
        <w:t>Co</w:t>
      </w:r>
      <w:r w:rsidRPr="00F376D4">
        <w:rPr>
          <w:vertAlign w:val="superscript"/>
          <w:lang w:val="en-GB"/>
        </w:rPr>
        <w:t>2+</w:t>
      </w:r>
      <w:r w:rsidRPr="00617F21">
        <w:rPr>
          <w:lang w:val="en-GB"/>
        </w:rPr>
        <w:t xml:space="preserve"> concentration was </w:t>
      </w:r>
      <w:r>
        <w:rPr>
          <w:lang w:val="en-GB"/>
        </w:rPr>
        <w:t xml:space="preserve">the same as </w:t>
      </w:r>
      <w:r w:rsidRPr="00617F21">
        <w:rPr>
          <w:lang w:val="en-GB"/>
        </w:rPr>
        <w:t xml:space="preserve">in the </w:t>
      </w:r>
      <w:r w:rsidR="008F3B5B" w:rsidRPr="008F3B5B">
        <w:rPr>
          <w:b/>
          <w:bCs/>
          <w:lang w:val="en-GB"/>
        </w:rPr>
        <w:t>R4</w:t>
      </w:r>
      <w:r w:rsidRPr="00617F21">
        <w:rPr>
          <w:lang w:val="en-GB"/>
        </w:rPr>
        <w:t>+</w:t>
      </w:r>
      <w:r w:rsidR="008F3B5B" w:rsidRPr="008F3B5B">
        <w:rPr>
          <w:b/>
          <w:bCs/>
          <w:lang w:val="en-GB"/>
        </w:rPr>
        <w:t>C1w</w:t>
      </w:r>
      <w:r w:rsidRPr="00617F21">
        <w:rPr>
          <w:lang w:val="en-GB"/>
        </w:rPr>
        <w:t xml:space="preserve"> solution. However, no binding of </w:t>
      </w:r>
      <w:r w:rsidR="008F3B5B" w:rsidRPr="008F3B5B">
        <w:rPr>
          <w:b/>
          <w:bCs/>
          <w:lang w:val="en-GB"/>
        </w:rPr>
        <w:t>R4</w:t>
      </w:r>
      <w:r w:rsidRPr="00617F21">
        <w:rPr>
          <w:lang w:val="en-GB"/>
        </w:rPr>
        <w:t xml:space="preserve"> to </w:t>
      </w:r>
      <w:proofErr w:type="gramStart"/>
      <w:r w:rsidRPr="00617F21">
        <w:rPr>
          <w:lang w:val="en-GB"/>
        </w:rPr>
        <w:t>Co(</w:t>
      </w:r>
      <w:proofErr w:type="gramEnd"/>
      <w:r w:rsidRPr="00617F21">
        <w:rPr>
          <w:lang w:val="en-GB"/>
        </w:rPr>
        <w:t>ClO</w:t>
      </w:r>
      <w:r w:rsidRPr="00617F21">
        <w:rPr>
          <w:vertAlign w:val="subscript"/>
          <w:lang w:val="en-GB"/>
        </w:rPr>
        <w:t>4</w:t>
      </w:r>
      <w:r w:rsidRPr="00617F21">
        <w:rPr>
          <w:lang w:val="en-GB"/>
        </w:rPr>
        <w:t>)</w:t>
      </w:r>
      <w:r w:rsidRPr="00617F21">
        <w:rPr>
          <w:vertAlign w:val="subscript"/>
          <w:lang w:val="en-GB"/>
        </w:rPr>
        <w:t>2</w:t>
      </w:r>
      <w:r w:rsidRPr="00617F21">
        <w:rPr>
          <w:lang w:val="en-GB"/>
        </w:rPr>
        <w:t xml:space="preserve"> was expected</w:t>
      </w:r>
      <w:r>
        <w:rPr>
          <w:lang w:val="en-GB"/>
        </w:rPr>
        <w:t xml:space="preserve"> in the absence of the cage</w:t>
      </w:r>
      <w:r w:rsidRPr="00617F21">
        <w:rPr>
          <w:lang w:val="en-GB"/>
        </w:rPr>
        <w:t>, so if broadening was observed this could be attributed to Heisenberg exchange.</w:t>
      </w:r>
    </w:p>
    <w:p w14:paraId="1F0A5DAA" w14:textId="77777777" w:rsidR="00563629" w:rsidRDefault="00563629" w:rsidP="00563629">
      <w:pPr>
        <w:jc w:val="center"/>
      </w:pPr>
      <w:r>
        <w:rPr>
          <w:noProof/>
          <w:lang w:val="en-GB" w:eastAsia="en-GB"/>
        </w:rPr>
        <w:drawing>
          <wp:inline distT="0" distB="0" distL="0" distR="0" wp14:anchorId="0CC71DF4" wp14:editId="4DD4D103">
            <wp:extent cx="3022600" cy="2311400"/>
            <wp:effectExtent l="0" t="0" r="0"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oxo-TEMPO + Co(ClO4)2 Stack.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2600" cy="2311400"/>
                    </a:xfrm>
                    <a:prstGeom prst="rect">
                      <a:avLst/>
                    </a:prstGeom>
                  </pic:spPr>
                </pic:pic>
              </a:graphicData>
            </a:graphic>
          </wp:inline>
        </w:drawing>
      </w:r>
    </w:p>
    <w:p w14:paraId="6BB7FF39" w14:textId="6EBF7CC3" w:rsidR="00563629" w:rsidRPr="00886E73" w:rsidRDefault="00563629" w:rsidP="00563629">
      <w:pPr>
        <w:pStyle w:val="VAFigureCaption"/>
      </w:pPr>
      <w:bookmarkStart w:id="2" w:name="_Ref29732682"/>
      <w:r w:rsidRPr="00617F21">
        <w:rPr>
          <w:b/>
        </w:rPr>
        <w:t xml:space="preserve">Figure </w:t>
      </w:r>
      <w:r w:rsidRPr="00D75F1E">
        <w:rPr>
          <w:rFonts w:cs="Arial"/>
          <w:b/>
          <w:bCs/>
        </w:rPr>
        <w:fldChar w:fldCharType="begin"/>
      </w:r>
      <w:r w:rsidRPr="00D75F1E">
        <w:rPr>
          <w:rFonts w:cs="Arial"/>
          <w:b/>
          <w:bCs/>
        </w:rPr>
        <w:instrText xml:space="preserve"> SEQ Figure \* ARABIC </w:instrText>
      </w:r>
      <w:r w:rsidRPr="00D75F1E">
        <w:rPr>
          <w:rFonts w:cs="Arial"/>
          <w:b/>
          <w:bCs/>
        </w:rPr>
        <w:fldChar w:fldCharType="separate"/>
      </w:r>
      <w:r w:rsidR="00CE0E94">
        <w:rPr>
          <w:rFonts w:cs="Arial"/>
          <w:b/>
          <w:bCs/>
          <w:noProof/>
        </w:rPr>
        <w:t>3</w:t>
      </w:r>
      <w:r w:rsidRPr="00D75F1E">
        <w:rPr>
          <w:rFonts w:cs="Arial"/>
          <w:b/>
          <w:bCs/>
        </w:rPr>
        <w:fldChar w:fldCharType="end"/>
      </w:r>
      <w:bookmarkEnd w:id="2"/>
      <w:r w:rsidRPr="00617F21">
        <w:rPr>
          <w:b/>
        </w:rPr>
        <w:t>.</w:t>
      </w:r>
      <w:r w:rsidRPr="00886E73">
        <w:rPr>
          <w:i/>
          <w:iCs/>
        </w:rPr>
        <w:t xml:space="preserve"> </w:t>
      </w:r>
      <w:r w:rsidRPr="006B1982">
        <w:t>EPR spectra of solutions of: 4-oxo-TEMPO (</w:t>
      </w:r>
      <w:r w:rsidRPr="008F3B5B">
        <w:rPr>
          <w:b/>
          <w:bCs/>
        </w:rPr>
        <w:t>R4</w:t>
      </w:r>
      <w:r w:rsidRPr="006B1982">
        <w:t xml:space="preserve">) (top, black); </w:t>
      </w:r>
      <w:r w:rsidRPr="008F3B5B">
        <w:rPr>
          <w:b/>
          <w:bCs/>
        </w:rPr>
        <w:t>R4</w:t>
      </w:r>
      <w:r w:rsidRPr="006B1982">
        <w:rPr>
          <w:bCs/>
        </w:rPr>
        <w:t xml:space="preserve"> </w:t>
      </w:r>
      <w:r w:rsidRPr="006B1982">
        <w:t>+ Co</w:t>
      </w:r>
      <w:r w:rsidRPr="00F376D4">
        <w:rPr>
          <w:vertAlign w:val="superscript"/>
        </w:rPr>
        <w:t>2+</w:t>
      </w:r>
      <w:r w:rsidRPr="006B1982">
        <w:t xml:space="preserve"> (middle, green); </w:t>
      </w:r>
      <w:r w:rsidRPr="008F3B5B">
        <w:rPr>
          <w:b/>
          <w:bCs/>
        </w:rPr>
        <w:t>R4</w:t>
      </w:r>
      <w:r>
        <w:t>+</w:t>
      </w:r>
      <w:r w:rsidRPr="006B1982">
        <w:t>Co</w:t>
      </w:r>
      <w:r w:rsidRPr="00F376D4">
        <w:rPr>
          <w:vertAlign w:val="superscript"/>
        </w:rPr>
        <w:t>2+</w:t>
      </w:r>
      <w:r w:rsidRPr="006B1982">
        <w:t>+</w:t>
      </w:r>
      <w:r w:rsidRPr="008F3B5B">
        <w:rPr>
          <w:b/>
          <w:bCs/>
        </w:rPr>
        <w:t>CG8</w:t>
      </w:r>
      <w:r w:rsidRPr="006B1982">
        <w:rPr>
          <w:bCs/>
        </w:rPr>
        <w:t xml:space="preserve"> </w:t>
      </w:r>
      <w:r w:rsidRPr="006B1982">
        <w:t>(bottom, red). Concentration of radical is 2</w:t>
      </w:r>
      <w:r>
        <w:sym w:font="Symbol" w:char="F0B4"/>
      </w:r>
      <w:r w:rsidRPr="006B1982">
        <w:t>10</w:t>
      </w:r>
      <w:r w:rsidRPr="00F376D4">
        <w:rPr>
          <w:vertAlign w:val="superscript"/>
        </w:rPr>
        <w:t>-5</w:t>
      </w:r>
      <w:r w:rsidRPr="006B1982">
        <w:t xml:space="preserve"> M in all cases, concentration of </w:t>
      </w:r>
      <w:proofErr w:type="gramStart"/>
      <w:r w:rsidRPr="006B1982">
        <w:t>Co(</w:t>
      </w:r>
      <w:proofErr w:type="gramEnd"/>
      <w:r w:rsidRPr="006B1982">
        <w:t>ClO</w:t>
      </w:r>
      <w:r w:rsidRPr="006B1982">
        <w:rPr>
          <w:vertAlign w:val="subscript"/>
        </w:rPr>
        <w:t>4</w:t>
      </w:r>
      <w:r w:rsidRPr="006B1982">
        <w:t>)</w:t>
      </w:r>
      <w:r w:rsidRPr="006B1982">
        <w:rPr>
          <w:vertAlign w:val="subscript"/>
        </w:rPr>
        <w:t>2</w:t>
      </w:r>
      <w:r w:rsidRPr="006B1982">
        <w:t>• 6H</w:t>
      </w:r>
      <w:r w:rsidRPr="006B1982">
        <w:rPr>
          <w:vertAlign w:val="subscript"/>
        </w:rPr>
        <w:t>2</w:t>
      </w:r>
      <w:r w:rsidRPr="006B1982">
        <w:t xml:space="preserve">O was </w:t>
      </w:r>
      <w:r w:rsidR="00AE083B">
        <w:t>4</w:t>
      </w:r>
      <w:r>
        <w:sym w:font="Symbol" w:char="F0B4"/>
      </w:r>
      <w:r w:rsidRPr="006B1982">
        <w:t>10</w:t>
      </w:r>
      <w:r w:rsidRPr="00F376D4">
        <w:rPr>
          <w:vertAlign w:val="superscript"/>
        </w:rPr>
        <w:t>-</w:t>
      </w:r>
      <w:r w:rsidR="00AE083B">
        <w:rPr>
          <w:vertAlign w:val="superscript"/>
        </w:rPr>
        <w:t>3</w:t>
      </w:r>
      <w:r w:rsidRPr="006B1982">
        <w:t xml:space="preserve"> M and concentration of </w:t>
      </w:r>
      <w:r w:rsidRPr="008F3B5B">
        <w:rPr>
          <w:b/>
          <w:bCs/>
        </w:rPr>
        <w:t>CG8</w:t>
      </w:r>
      <w:r w:rsidRPr="006B1982">
        <w:rPr>
          <w:bCs/>
        </w:rPr>
        <w:t xml:space="preserve"> </w:t>
      </w:r>
      <w:r w:rsidRPr="006B1982">
        <w:t>was 2</w:t>
      </w:r>
      <w:r w:rsidRPr="006B1982">
        <w:sym w:font="Symbol" w:char="F0B4"/>
      </w:r>
      <w:r w:rsidRPr="006B1982">
        <w:t>10</w:t>
      </w:r>
      <w:r>
        <w:rPr>
          <w:vertAlign w:val="superscript"/>
        </w:rPr>
        <w:t>-3</w:t>
      </w:r>
      <w:r w:rsidRPr="006B1982">
        <w:t xml:space="preserve"> M.</w:t>
      </w:r>
      <w:r w:rsidRPr="00886E73">
        <w:rPr>
          <w:i/>
          <w:iCs/>
        </w:rPr>
        <w:t xml:space="preserve"> </w:t>
      </w:r>
    </w:p>
    <w:p w14:paraId="4AE07345" w14:textId="345E52F6" w:rsidR="00DE4E4C" w:rsidRPr="00DB22F8" w:rsidRDefault="00DE4E4C" w:rsidP="00B24843">
      <w:pPr>
        <w:pStyle w:val="TAMainText"/>
        <w:rPr>
          <w:lang w:val="en-GB"/>
        </w:rPr>
      </w:pPr>
      <w:r>
        <w:rPr>
          <w:lang w:val="en-GB"/>
        </w:rPr>
        <w:t>T</w:t>
      </w:r>
      <w:r w:rsidRPr="00617F21">
        <w:rPr>
          <w:lang w:val="en-GB"/>
        </w:rPr>
        <w:t>he EPR spectra</w:t>
      </w:r>
      <w:r>
        <w:rPr>
          <w:lang w:val="en-GB"/>
        </w:rPr>
        <w:t xml:space="preserve"> </w:t>
      </w:r>
      <w:r w:rsidRPr="00617F21">
        <w:rPr>
          <w:lang w:val="en-GB"/>
        </w:rPr>
        <w:t>showed that the intensity</w:t>
      </w:r>
      <w:r>
        <w:rPr>
          <w:lang w:val="en-GB"/>
        </w:rPr>
        <w:t xml:space="preserve"> of</w:t>
      </w:r>
      <w:r w:rsidRPr="00617F21">
        <w:rPr>
          <w:lang w:val="en-GB"/>
        </w:rPr>
        <w:t xml:space="preserve"> </w:t>
      </w:r>
      <w:r w:rsidR="008F3B5B" w:rsidRPr="008F3B5B">
        <w:rPr>
          <w:b/>
          <w:bCs/>
          <w:lang w:val="en-GB"/>
        </w:rPr>
        <w:t>R4</w:t>
      </w:r>
      <w:r>
        <w:rPr>
          <w:lang w:val="en-GB"/>
        </w:rPr>
        <w:t>+Co</w:t>
      </w:r>
      <w:r w:rsidRPr="00F376D4">
        <w:rPr>
          <w:vertAlign w:val="superscript"/>
          <w:lang w:val="en-GB"/>
        </w:rPr>
        <w:t>2+</w:t>
      </w:r>
      <w:r>
        <w:rPr>
          <w:lang w:val="en-GB"/>
        </w:rPr>
        <w:t xml:space="preserve"> was similar to that of </w:t>
      </w:r>
      <w:r w:rsidR="008F3B5B" w:rsidRPr="008F3B5B">
        <w:rPr>
          <w:b/>
          <w:bCs/>
        </w:rPr>
        <w:t>R4</w:t>
      </w:r>
      <w:r>
        <w:t>+</w:t>
      </w:r>
      <w:r w:rsidRPr="006B1982">
        <w:t>Co</w:t>
      </w:r>
      <w:r w:rsidRPr="006F4C2D">
        <w:rPr>
          <w:vertAlign w:val="superscript"/>
        </w:rPr>
        <w:t>2+</w:t>
      </w:r>
      <w:r w:rsidRPr="006B1982">
        <w:t>+</w:t>
      </w:r>
      <w:r w:rsidR="008F3B5B" w:rsidRPr="008F3B5B">
        <w:rPr>
          <w:b/>
          <w:bCs/>
        </w:rPr>
        <w:t>CG8</w:t>
      </w:r>
      <w:r w:rsidRPr="00617F21">
        <w:rPr>
          <w:lang w:val="en-GB"/>
        </w:rPr>
        <w:t xml:space="preserve">, </w:t>
      </w:r>
      <w:r w:rsidR="00566663">
        <w:rPr>
          <w:lang w:val="en-GB"/>
        </w:rPr>
        <w:t>indicating that</w:t>
      </w:r>
      <w:r>
        <w:rPr>
          <w:lang w:val="en-GB"/>
        </w:rPr>
        <w:t xml:space="preserve"> Heisenberg exchange </w:t>
      </w:r>
      <w:r w:rsidR="00566663">
        <w:rPr>
          <w:lang w:val="en-GB"/>
        </w:rPr>
        <w:t xml:space="preserve">was </w:t>
      </w:r>
      <w:r w:rsidRPr="00617F21">
        <w:rPr>
          <w:lang w:val="en-GB"/>
        </w:rPr>
        <w:t>broadening the signal</w:t>
      </w:r>
      <w:r>
        <w:rPr>
          <w:lang w:val="en-GB"/>
        </w:rPr>
        <w:t>.</w:t>
      </w:r>
      <w:r w:rsidR="00696CF4">
        <w:rPr>
          <w:lang w:val="en-GB"/>
        </w:rPr>
        <w:t xml:space="preserve"> </w:t>
      </w:r>
      <w:r w:rsidR="00183B65">
        <w:rPr>
          <w:lang w:val="en-GB"/>
        </w:rPr>
        <w:t xml:space="preserve">Simulation of the </w:t>
      </w:r>
      <w:r w:rsidR="008611F5">
        <w:rPr>
          <w:lang w:val="en-GB"/>
        </w:rPr>
        <w:t xml:space="preserve">exchange-broadened </w:t>
      </w:r>
      <w:r w:rsidR="00182879" w:rsidRPr="008F3B5B">
        <w:rPr>
          <w:b/>
          <w:bCs/>
          <w:lang w:val="en-GB"/>
        </w:rPr>
        <w:t>R4</w:t>
      </w:r>
      <w:r w:rsidR="00182879">
        <w:rPr>
          <w:lang w:val="en-GB"/>
        </w:rPr>
        <w:t>+Co</w:t>
      </w:r>
      <w:r w:rsidR="00182879" w:rsidRPr="00F376D4">
        <w:rPr>
          <w:vertAlign w:val="superscript"/>
          <w:lang w:val="en-GB"/>
        </w:rPr>
        <w:t>2+</w:t>
      </w:r>
      <w:r w:rsidR="00182879">
        <w:rPr>
          <w:lang w:val="en-GB"/>
        </w:rPr>
        <w:t xml:space="preserve"> </w:t>
      </w:r>
      <w:r w:rsidR="00D21BE4">
        <w:rPr>
          <w:lang w:val="en-GB"/>
        </w:rPr>
        <w:t xml:space="preserve">spectrum as the convolution of </w:t>
      </w:r>
      <w:r w:rsidR="00D73D4A">
        <w:rPr>
          <w:lang w:val="en-GB"/>
        </w:rPr>
        <w:t xml:space="preserve">the </w:t>
      </w:r>
      <w:r w:rsidR="00D73D4A" w:rsidRPr="00C90C1F">
        <w:rPr>
          <w:b/>
          <w:bCs/>
          <w:lang w:val="en-GB"/>
        </w:rPr>
        <w:t>R4</w:t>
      </w:r>
      <w:r w:rsidR="00D73D4A">
        <w:rPr>
          <w:lang w:val="en-GB"/>
        </w:rPr>
        <w:t xml:space="preserve"> spectrum and a Lorentzian </w:t>
      </w:r>
      <w:r w:rsidR="00DA0A83">
        <w:rPr>
          <w:lang w:val="en-GB"/>
        </w:rPr>
        <w:t>line</w:t>
      </w:r>
      <w:r w:rsidR="00B77928">
        <w:rPr>
          <w:lang w:val="en-GB"/>
        </w:rPr>
        <w:t xml:space="preserve"> </w:t>
      </w:r>
      <w:r w:rsidR="007A3768">
        <w:rPr>
          <w:lang w:val="en-GB"/>
        </w:rPr>
        <w:t>revealed a peak-to-peak width of 0.21 G for the Lorentzian component</w:t>
      </w:r>
      <w:r w:rsidR="009D3CFA">
        <w:rPr>
          <w:lang w:val="en-GB"/>
        </w:rPr>
        <w:t>. This value is</w:t>
      </w:r>
      <w:r w:rsidR="00107FBD">
        <w:rPr>
          <w:lang w:val="en-GB"/>
        </w:rPr>
        <w:t xml:space="preserve"> in perfect agreement with </w:t>
      </w:r>
      <w:r w:rsidR="004C6E3B">
        <w:rPr>
          <w:lang w:val="en-GB"/>
        </w:rPr>
        <w:t xml:space="preserve">the </w:t>
      </w:r>
      <w:r w:rsidR="00107FBD">
        <w:rPr>
          <w:lang w:val="en-GB"/>
        </w:rPr>
        <w:t xml:space="preserve">literature value of 0.24 G </w:t>
      </w:r>
      <w:r w:rsidR="008263A0">
        <w:rPr>
          <w:lang w:val="en-GB"/>
        </w:rPr>
        <w:t xml:space="preserve">reported </w:t>
      </w:r>
      <w:r w:rsidR="00107FBD">
        <w:rPr>
          <w:lang w:val="en-GB"/>
        </w:rPr>
        <w:t xml:space="preserve">for </w:t>
      </w:r>
      <w:proofErr w:type="gramStart"/>
      <w:r w:rsidR="00A37FA1">
        <w:rPr>
          <w:lang w:val="en-GB"/>
        </w:rPr>
        <w:t>Co(</w:t>
      </w:r>
      <w:proofErr w:type="gramEnd"/>
      <w:r w:rsidR="00A37FA1" w:rsidRPr="00A37FA1">
        <w:rPr>
          <w:lang w:val="en-GB"/>
        </w:rPr>
        <w:t>H</w:t>
      </w:r>
      <w:r w:rsidR="00A37FA1" w:rsidRPr="00A37FA1">
        <w:rPr>
          <w:vertAlign w:val="subscript"/>
          <w:lang w:val="en-GB"/>
        </w:rPr>
        <w:t>2</w:t>
      </w:r>
      <w:r w:rsidR="00A37FA1" w:rsidRPr="00A37FA1">
        <w:rPr>
          <w:lang w:val="en-GB"/>
        </w:rPr>
        <w:t>O</w:t>
      </w:r>
      <w:r w:rsidR="00A37FA1">
        <w:rPr>
          <w:lang w:val="en-GB"/>
        </w:rPr>
        <w:t>)</w:t>
      </w:r>
      <w:r w:rsidR="00A37FA1">
        <w:rPr>
          <w:vertAlign w:val="subscript"/>
          <w:lang w:val="en-GB"/>
        </w:rPr>
        <w:t>6</w:t>
      </w:r>
      <w:r w:rsidR="00A37FA1">
        <w:rPr>
          <w:vertAlign w:val="superscript"/>
          <w:lang w:val="en-GB"/>
        </w:rPr>
        <w:t>2+</w:t>
      </w:r>
      <w:r w:rsidR="00552BCC">
        <w:rPr>
          <w:lang w:val="en-GB"/>
        </w:rPr>
        <w:t xml:space="preserve"> at the same concentration</w:t>
      </w:r>
      <w:r w:rsidR="008F7F1B">
        <w:rPr>
          <w:lang w:val="en-GB"/>
        </w:rPr>
        <w:t xml:space="preserve">, </w:t>
      </w:r>
      <w:r w:rsidR="008F7F1B">
        <w:rPr>
          <w:lang w:val="en-GB"/>
        </w:rPr>
        <w:lastRenderedPageBreak/>
        <w:t>also</w:t>
      </w:r>
      <w:r w:rsidR="00552BCC">
        <w:rPr>
          <w:lang w:val="en-GB"/>
        </w:rPr>
        <w:t xml:space="preserve"> in the presence of </w:t>
      </w:r>
      <w:r w:rsidR="00552BCC" w:rsidRPr="00225285">
        <w:rPr>
          <w:b/>
          <w:bCs/>
          <w:lang w:val="en-GB"/>
        </w:rPr>
        <w:t>R4</w:t>
      </w:r>
      <w:r w:rsidR="00057F4E">
        <w:rPr>
          <w:lang w:val="en-GB"/>
        </w:rPr>
        <w:t xml:space="preserve"> in water</w:t>
      </w:r>
      <w:r w:rsidR="008F7F1B">
        <w:rPr>
          <w:lang w:val="en-GB"/>
        </w:rPr>
        <w:t>, co</w:t>
      </w:r>
      <w:r w:rsidR="001F2591">
        <w:rPr>
          <w:lang w:val="en-GB"/>
        </w:rPr>
        <w:t xml:space="preserve">nfirming </w:t>
      </w:r>
      <w:r w:rsidR="008611F5">
        <w:rPr>
          <w:lang w:val="en-GB"/>
        </w:rPr>
        <w:t xml:space="preserve">that </w:t>
      </w:r>
      <w:r w:rsidR="001F2591">
        <w:rPr>
          <w:lang w:val="en-GB"/>
        </w:rPr>
        <w:t xml:space="preserve">the </w:t>
      </w:r>
      <w:r w:rsidR="001659C3">
        <w:rPr>
          <w:lang w:val="en-GB"/>
        </w:rPr>
        <w:t xml:space="preserve">broadening was due to Heisenberg exchange </w:t>
      </w:r>
      <w:r w:rsidR="00DB22F8">
        <w:rPr>
          <w:lang w:val="en-GB"/>
        </w:rPr>
        <w:t>between the radical and Co</w:t>
      </w:r>
      <w:r w:rsidR="00DB22F8">
        <w:rPr>
          <w:vertAlign w:val="superscript"/>
          <w:lang w:val="en-GB"/>
        </w:rPr>
        <w:t>2+</w:t>
      </w:r>
      <w:r w:rsidR="00DB22F8">
        <w:rPr>
          <w:lang w:val="en-GB"/>
        </w:rPr>
        <w:t>.</w:t>
      </w:r>
      <w:r w:rsidR="000F734F" w:rsidRPr="000F734F">
        <w:rPr>
          <w:vertAlign w:val="superscript"/>
        </w:rPr>
        <w:t>41</w:t>
      </w:r>
    </w:p>
    <w:p w14:paraId="3075AA1A" w14:textId="2E269589" w:rsidR="00DE4E4C" w:rsidRPr="001373C3" w:rsidRDefault="001472A3" w:rsidP="00AE32C3">
      <w:pPr>
        <w:pStyle w:val="TAMainText"/>
        <w:rPr>
          <w:bCs/>
          <w:lang w:val="en-GB"/>
        </w:rPr>
      </w:pPr>
      <w:r>
        <w:rPr>
          <w:bCs/>
          <w:lang w:val="en-GB"/>
        </w:rPr>
        <w:t>Thus,</w:t>
      </w:r>
      <w:r w:rsidR="00CC4DFC">
        <w:rPr>
          <w:bCs/>
          <w:lang w:val="en-GB"/>
        </w:rPr>
        <w:t xml:space="preserve"> </w:t>
      </w:r>
      <w:r w:rsidR="00412D64">
        <w:rPr>
          <w:bCs/>
          <w:lang w:val="en-GB"/>
        </w:rPr>
        <w:t xml:space="preserve">addition of </w:t>
      </w:r>
      <w:r w:rsidR="0002063F">
        <w:rPr>
          <w:bCs/>
          <w:lang w:val="en-GB"/>
        </w:rPr>
        <w:t xml:space="preserve">cage </w:t>
      </w:r>
      <w:r w:rsidR="0002063F" w:rsidRPr="00225285">
        <w:rPr>
          <w:b/>
          <w:lang w:val="en-GB"/>
        </w:rPr>
        <w:t>C1w</w:t>
      </w:r>
      <w:r w:rsidR="0002063F">
        <w:rPr>
          <w:b/>
          <w:lang w:val="en-GB"/>
        </w:rPr>
        <w:t xml:space="preserve"> </w:t>
      </w:r>
      <w:r w:rsidR="0002063F">
        <w:rPr>
          <w:bCs/>
          <w:lang w:val="en-GB"/>
        </w:rPr>
        <w:t xml:space="preserve">to both </w:t>
      </w:r>
      <w:r w:rsidR="0002063F" w:rsidRPr="00225285">
        <w:rPr>
          <w:b/>
          <w:lang w:val="en-GB"/>
        </w:rPr>
        <w:t>R3</w:t>
      </w:r>
      <w:r w:rsidR="0002063F">
        <w:rPr>
          <w:bCs/>
          <w:lang w:val="en-GB"/>
        </w:rPr>
        <w:t xml:space="preserve"> and </w:t>
      </w:r>
      <w:r w:rsidR="0002063F">
        <w:rPr>
          <w:b/>
          <w:lang w:val="en-GB"/>
        </w:rPr>
        <w:t>R4</w:t>
      </w:r>
      <w:r w:rsidR="0002063F">
        <w:rPr>
          <w:bCs/>
          <w:lang w:val="en-GB"/>
        </w:rPr>
        <w:t xml:space="preserve"> leads to </w:t>
      </w:r>
      <w:r w:rsidR="00F43591">
        <w:rPr>
          <w:bCs/>
          <w:lang w:val="en-GB"/>
        </w:rPr>
        <w:t xml:space="preserve">interactions between </w:t>
      </w:r>
      <w:r w:rsidR="00DF1BAA">
        <w:rPr>
          <w:bCs/>
          <w:lang w:val="en-GB"/>
        </w:rPr>
        <w:t xml:space="preserve">unbound radical </w:t>
      </w:r>
      <w:r w:rsidR="002F219E">
        <w:rPr>
          <w:bCs/>
          <w:lang w:val="en-GB"/>
        </w:rPr>
        <w:t xml:space="preserve">in solution and the Co atoms of the cage, </w:t>
      </w:r>
      <w:r w:rsidR="00DC5B6F">
        <w:rPr>
          <w:bCs/>
          <w:lang w:val="en-GB"/>
        </w:rPr>
        <w:t>causing</w:t>
      </w:r>
      <w:r w:rsidR="001133A5">
        <w:rPr>
          <w:bCs/>
          <w:lang w:val="en-GB"/>
        </w:rPr>
        <w:t xml:space="preserve"> </w:t>
      </w:r>
      <w:r w:rsidR="00FC3C54">
        <w:rPr>
          <w:bCs/>
          <w:lang w:val="en-GB"/>
        </w:rPr>
        <w:t xml:space="preserve">broadening </w:t>
      </w:r>
      <w:r w:rsidR="00511601">
        <w:rPr>
          <w:bCs/>
          <w:lang w:val="en-GB"/>
        </w:rPr>
        <w:t xml:space="preserve">of the EPR signal </w:t>
      </w:r>
      <w:r w:rsidR="00FC3C54">
        <w:rPr>
          <w:bCs/>
          <w:lang w:val="en-GB"/>
        </w:rPr>
        <w:t xml:space="preserve">as a result of </w:t>
      </w:r>
      <w:r w:rsidR="00741039">
        <w:rPr>
          <w:bCs/>
          <w:lang w:val="en-GB"/>
        </w:rPr>
        <w:t>Heisenberg exchange</w:t>
      </w:r>
      <w:r w:rsidR="001133A5">
        <w:rPr>
          <w:bCs/>
          <w:lang w:val="en-GB"/>
        </w:rPr>
        <w:t>.</w:t>
      </w:r>
      <w:r w:rsidR="0002063F">
        <w:rPr>
          <w:bCs/>
          <w:lang w:val="en-GB"/>
        </w:rPr>
        <w:t xml:space="preserve"> </w:t>
      </w:r>
      <w:r w:rsidR="00BE13A4">
        <w:rPr>
          <w:bCs/>
          <w:lang w:val="en-GB"/>
        </w:rPr>
        <w:t xml:space="preserve">However, </w:t>
      </w:r>
      <w:r w:rsidR="00695C25">
        <w:rPr>
          <w:bCs/>
          <w:lang w:val="en-GB"/>
        </w:rPr>
        <w:t xml:space="preserve">for </w:t>
      </w:r>
      <w:r w:rsidR="00695C25" w:rsidRPr="00225285">
        <w:rPr>
          <w:b/>
          <w:lang w:val="en-GB"/>
        </w:rPr>
        <w:t>R4</w:t>
      </w:r>
      <w:r w:rsidR="00695C25">
        <w:rPr>
          <w:bCs/>
          <w:lang w:val="en-GB"/>
        </w:rPr>
        <w:t>+</w:t>
      </w:r>
      <w:r w:rsidR="00695C25" w:rsidRPr="00225285">
        <w:rPr>
          <w:b/>
          <w:lang w:val="en-GB"/>
        </w:rPr>
        <w:t>C1w</w:t>
      </w:r>
      <w:r w:rsidR="00695C25">
        <w:rPr>
          <w:bCs/>
          <w:lang w:val="en-GB"/>
        </w:rPr>
        <w:t xml:space="preserve">, </w:t>
      </w:r>
      <w:r w:rsidR="00883A2E">
        <w:rPr>
          <w:bCs/>
          <w:lang w:val="en-GB"/>
        </w:rPr>
        <w:t xml:space="preserve">greater broadening is observed </w:t>
      </w:r>
      <w:r w:rsidR="003616C9">
        <w:rPr>
          <w:bCs/>
          <w:lang w:val="en-GB"/>
        </w:rPr>
        <w:t>for two reasons: (</w:t>
      </w:r>
      <w:proofErr w:type="spellStart"/>
      <w:r w:rsidR="003616C9">
        <w:rPr>
          <w:bCs/>
          <w:lang w:val="en-GB"/>
        </w:rPr>
        <w:t>i</w:t>
      </w:r>
      <w:proofErr w:type="spellEnd"/>
      <w:r w:rsidR="003616C9">
        <w:rPr>
          <w:bCs/>
          <w:lang w:val="en-GB"/>
        </w:rPr>
        <w:t xml:space="preserve">) </w:t>
      </w:r>
      <w:r w:rsidR="00DA5CFF">
        <w:rPr>
          <w:bCs/>
          <w:lang w:val="en-GB"/>
        </w:rPr>
        <w:t>binding of the radical to the cag</w:t>
      </w:r>
      <w:r w:rsidR="00A55D1D">
        <w:rPr>
          <w:bCs/>
          <w:lang w:val="en-GB"/>
        </w:rPr>
        <w:t xml:space="preserve">e </w:t>
      </w:r>
      <w:r w:rsidR="00493CD1">
        <w:rPr>
          <w:bCs/>
          <w:lang w:val="en-GB"/>
        </w:rPr>
        <w:t>enhance</w:t>
      </w:r>
      <w:r w:rsidR="00A55D1D">
        <w:rPr>
          <w:bCs/>
          <w:lang w:val="en-GB"/>
        </w:rPr>
        <w:t>s Heisenberg exchange</w:t>
      </w:r>
      <w:r w:rsidR="00493CD1">
        <w:rPr>
          <w:bCs/>
          <w:lang w:val="en-GB"/>
        </w:rPr>
        <w:t xml:space="preserve"> </w:t>
      </w:r>
      <w:r w:rsidR="00A55D1D">
        <w:rPr>
          <w:bCs/>
          <w:lang w:val="en-GB"/>
        </w:rPr>
        <w:t>due to increased</w:t>
      </w:r>
      <w:r w:rsidR="00493CD1">
        <w:rPr>
          <w:bCs/>
          <w:lang w:val="en-GB"/>
        </w:rPr>
        <w:t xml:space="preserve"> </w:t>
      </w:r>
      <w:r w:rsidR="00835E0A">
        <w:rPr>
          <w:bCs/>
          <w:lang w:val="en-GB"/>
        </w:rPr>
        <w:t xml:space="preserve">proximity of the radical </w:t>
      </w:r>
      <w:r w:rsidR="00A55D1D">
        <w:rPr>
          <w:bCs/>
          <w:lang w:val="en-GB"/>
        </w:rPr>
        <w:t>to the</w:t>
      </w:r>
      <w:r w:rsidR="00835E0A">
        <w:rPr>
          <w:bCs/>
          <w:lang w:val="en-GB"/>
        </w:rPr>
        <w:t xml:space="preserve"> Co atoms</w:t>
      </w:r>
      <w:r w:rsidR="00712DFF">
        <w:rPr>
          <w:bCs/>
          <w:lang w:val="en-GB"/>
        </w:rPr>
        <w:t>,</w:t>
      </w:r>
      <w:r w:rsidR="006A0C53">
        <w:rPr>
          <w:bCs/>
          <w:lang w:val="en-GB"/>
        </w:rPr>
        <w:t xml:space="preserve"> and (ii) </w:t>
      </w:r>
      <w:r w:rsidR="004B64FF">
        <w:rPr>
          <w:bCs/>
          <w:lang w:val="en-GB"/>
        </w:rPr>
        <w:t xml:space="preserve">binding </w:t>
      </w:r>
      <w:r w:rsidR="003C5B60">
        <w:rPr>
          <w:bCs/>
          <w:lang w:val="en-GB"/>
        </w:rPr>
        <w:t>restrict</w:t>
      </w:r>
      <w:r w:rsidR="004B64FF">
        <w:rPr>
          <w:bCs/>
          <w:lang w:val="en-GB"/>
        </w:rPr>
        <w:t>s</w:t>
      </w:r>
      <w:r w:rsidR="003C5B60">
        <w:rPr>
          <w:bCs/>
          <w:lang w:val="en-GB"/>
        </w:rPr>
        <w:t xml:space="preserve"> </w:t>
      </w:r>
      <w:r w:rsidR="004B64FF">
        <w:rPr>
          <w:bCs/>
          <w:lang w:val="en-GB"/>
        </w:rPr>
        <w:t xml:space="preserve">the </w:t>
      </w:r>
      <w:r w:rsidR="003C5B60">
        <w:rPr>
          <w:bCs/>
          <w:lang w:val="en-GB"/>
        </w:rPr>
        <w:t>tumbling motion</w:t>
      </w:r>
      <w:r w:rsidR="004B64FF">
        <w:rPr>
          <w:bCs/>
          <w:lang w:val="en-GB"/>
        </w:rPr>
        <w:t xml:space="preserve"> of the radical</w:t>
      </w:r>
      <w:r w:rsidR="003C5B60">
        <w:rPr>
          <w:bCs/>
          <w:lang w:val="en-GB"/>
        </w:rPr>
        <w:t xml:space="preserve">. </w:t>
      </w:r>
      <w:r w:rsidR="009453CC">
        <w:rPr>
          <w:bCs/>
          <w:lang w:val="en-GB"/>
        </w:rPr>
        <w:t xml:space="preserve">Upon addition of </w:t>
      </w:r>
      <w:r w:rsidR="00DE5712" w:rsidRPr="00225285">
        <w:rPr>
          <w:b/>
          <w:lang w:val="en-GB"/>
        </w:rPr>
        <w:t>CG8</w:t>
      </w:r>
      <w:r w:rsidR="00DE5712">
        <w:rPr>
          <w:bCs/>
          <w:lang w:val="en-GB"/>
        </w:rPr>
        <w:t xml:space="preserve"> to </w:t>
      </w:r>
      <w:r w:rsidR="00DE5712" w:rsidRPr="00225285">
        <w:rPr>
          <w:b/>
          <w:lang w:val="en-GB"/>
        </w:rPr>
        <w:t>R4+C1w</w:t>
      </w:r>
      <w:r w:rsidR="00DE5712">
        <w:rPr>
          <w:bCs/>
          <w:lang w:val="en-GB"/>
        </w:rPr>
        <w:t>, the bound radical is released</w:t>
      </w:r>
      <w:r w:rsidR="001002A2">
        <w:rPr>
          <w:bCs/>
          <w:lang w:val="en-GB"/>
        </w:rPr>
        <w:t>,</w:t>
      </w:r>
      <w:r w:rsidR="00DE5712">
        <w:rPr>
          <w:bCs/>
          <w:lang w:val="en-GB"/>
        </w:rPr>
        <w:t xml:space="preserve"> and these e</w:t>
      </w:r>
      <w:r w:rsidR="00FB590F">
        <w:rPr>
          <w:bCs/>
          <w:lang w:val="en-GB"/>
        </w:rPr>
        <w:t xml:space="preserve">ffects disappear, leaving only </w:t>
      </w:r>
      <w:r w:rsidR="00025719">
        <w:rPr>
          <w:bCs/>
          <w:lang w:val="en-GB"/>
        </w:rPr>
        <w:t>interactions</w:t>
      </w:r>
      <w:r w:rsidR="00FB590F">
        <w:rPr>
          <w:bCs/>
          <w:lang w:val="en-GB"/>
        </w:rPr>
        <w:t xml:space="preserve"> between unbound radical and Co atoms</w:t>
      </w:r>
      <w:r w:rsidR="004102C7">
        <w:rPr>
          <w:bCs/>
          <w:lang w:val="en-GB"/>
        </w:rPr>
        <w:t xml:space="preserve"> of the cage</w:t>
      </w:r>
      <w:r w:rsidR="003F3C24">
        <w:rPr>
          <w:bCs/>
          <w:lang w:val="en-GB"/>
        </w:rPr>
        <w:t xml:space="preserve">. This </w:t>
      </w:r>
      <w:r w:rsidR="00DE4E4C">
        <w:rPr>
          <w:bCs/>
          <w:lang w:val="en-GB"/>
        </w:rPr>
        <w:t xml:space="preserve">confirms that unlike </w:t>
      </w:r>
      <w:r w:rsidR="008F3B5B" w:rsidRPr="008F3B5B">
        <w:rPr>
          <w:b/>
          <w:bCs/>
        </w:rPr>
        <w:t>R3</w:t>
      </w:r>
      <w:r w:rsidR="00DE4E4C">
        <w:rPr>
          <w:bCs/>
          <w:lang w:val="en-GB"/>
        </w:rPr>
        <w:t xml:space="preserve">, </w:t>
      </w:r>
      <w:r w:rsidR="008F3B5B" w:rsidRPr="008F3B5B">
        <w:rPr>
          <w:b/>
          <w:bCs/>
        </w:rPr>
        <w:t>R4</w:t>
      </w:r>
      <w:r w:rsidR="00DE4E4C">
        <w:rPr>
          <w:bCs/>
          <w:lang w:val="en-GB"/>
        </w:rPr>
        <w:t xml:space="preserve"> forms a host-guest complex with cage </w:t>
      </w:r>
      <w:r w:rsidR="008F3B5B" w:rsidRPr="008F3B5B">
        <w:rPr>
          <w:b/>
          <w:bCs/>
        </w:rPr>
        <w:t>C1w</w:t>
      </w:r>
      <w:r w:rsidR="00A9571B">
        <w:rPr>
          <w:bCs/>
          <w:lang w:val="en-GB"/>
        </w:rPr>
        <w:t xml:space="preserve">, </w:t>
      </w:r>
      <w:r w:rsidR="00DE4E4C">
        <w:rPr>
          <w:bCs/>
          <w:lang w:val="en-GB"/>
        </w:rPr>
        <w:t>indicat</w:t>
      </w:r>
      <w:r w:rsidR="00A9571B">
        <w:rPr>
          <w:bCs/>
          <w:lang w:val="en-GB"/>
        </w:rPr>
        <w:t>ing</w:t>
      </w:r>
      <w:r w:rsidR="00DE4E4C">
        <w:rPr>
          <w:bCs/>
          <w:lang w:val="en-GB"/>
        </w:rPr>
        <w:t xml:space="preserve"> </w:t>
      </w:r>
      <w:r w:rsidR="00DE4E4C" w:rsidRPr="00617F21">
        <w:rPr>
          <w:bCs/>
          <w:lang w:val="en-GB"/>
        </w:rPr>
        <w:t xml:space="preserve">the carbonyl group in </w:t>
      </w:r>
      <w:r w:rsidR="008F3B5B" w:rsidRPr="008F3B5B">
        <w:rPr>
          <w:b/>
          <w:bCs/>
          <w:lang w:val="en-GB"/>
        </w:rPr>
        <w:t>R4</w:t>
      </w:r>
      <w:r w:rsidR="00DE4E4C" w:rsidRPr="00617F21">
        <w:rPr>
          <w:bCs/>
          <w:lang w:val="en-GB"/>
        </w:rPr>
        <w:t xml:space="preserve"> </w:t>
      </w:r>
      <w:r w:rsidR="00DE4E4C">
        <w:rPr>
          <w:bCs/>
          <w:lang w:val="en-GB"/>
        </w:rPr>
        <w:t>i</w:t>
      </w:r>
      <w:r w:rsidR="00DE4E4C" w:rsidRPr="00617F21">
        <w:rPr>
          <w:bCs/>
          <w:lang w:val="en-GB"/>
        </w:rPr>
        <w:t>s necessary to facilitate binding, supporting previous literature reports of ketones binding to the cage</w:t>
      </w:r>
      <w:r w:rsidR="00DE4E4C">
        <w:rPr>
          <w:bCs/>
          <w:lang w:val="en-GB"/>
        </w:rPr>
        <w:t xml:space="preserve"> and</w:t>
      </w:r>
      <w:r w:rsidR="00DE4E4C" w:rsidRPr="00617F21">
        <w:rPr>
          <w:bCs/>
          <w:lang w:val="en-GB"/>
        </w:rPr>
        <w:t xml:space="preserve"> suggesting that the hydrophobicity of the cavity is not the sole driving force for binding.</w:t>
      </w:r>
      <w:r w:rsidR="00DE4E4C">
        <w:rPr>
          <w:bCs/>
          <w:lang w:val="en-GB"/>
        </w:rPr>
        <w:t xml:space="preserve"> On the other hand, </w:t>
      </w:r>
      <w:r w:rsidR="008F3B5B" w:rsidRPr="008F3B5B">
        <w:rPr>
          <w:b/>
          <w:bCs/>
          <w:lang w:val="en-GB"/>
        </w:rPr>
        <w:t>R3</w:t>
      </w:r>
      <w:r w:rsidR="00DE4E4C">
        <w:t xml:space="preserve"> has been reported to bind with moderate affinity to a similar water-soluble cage (with a hydroxylated ligand and ClO</w:t>
      </w:r>
      <w:r w:rsidR="00DE4E4C" w:rsidRPr="00F376D4">
        <w:rPr>
          <w:vertAlign w:val="subscript"/>
        </w:rPr>
        <w:t>4</w:t>
      </w:r>
      <w:r w:rsidR="00DE4E4C" w:rsidRPr="00F376D4">
        <w:rPr>
          <w:vertAlign w:val="superscript"/>
        </w:rPr>
        <w:t>-</w:t>
      </w:r>
      <w:r w:rsidR="00DE4E4C">
        <w:t xml:space="preserve"> counterions), </w:t>
      </w:r>
      <w:r w:rsidR="00970DDC">
        <w:t>K = 1.3</w:t>
      </w:r>
      <w:r w:rsidR="00970DDC">
        <w:sym w:font="Symbol" w:char="F0B4"/>
      </w:r>
      <w:r w:rsidR="00970DDC">
        <w:t>10</w:t>
      </w:r>
      <w:r w:rsidR="00970DDC" w:rsidRPr="00F376D4">
        <w:rPr>
          <w:vertAlign w:val="superscript"/>
        </w:rPr>
        <w:t>4</w:t>
      </w:r>
      <w:r w:rsidR="00970DDC">
        <w:t xml:space="preserve"> M</w:t>
      </w:r>
      <w:r w:rsidR="00970DDC">
        <w:rPr>
          <w:vertAlign w:val="superscript"/>
        </w:rPr>
        <w:noBreakHyphen/>
      </w:r>
      <w:r w:rsidR="00970DDC" w:rsidRPr="00F376D4">
        <w:rPr>
          <w:vertAlign w:val="superscript"/>
        </w:rPr>
        <w:t>1</w:t>
      </w:r>
      <w:r w:rsidR="00970DDC">
        <w:t>).</w:t>
      </w:r>
      <w:r w:rsidR="000F734F" w:rsidRPr="000F734F">
        <w:rPr>
          <w:vertAlign w:val="superscript"/>
        </w:rPr>
        <w:t>42</w:t>
      </w:r>
      <w:r w:rsidR="00970DDC">
        <w:t xml:space="preserve"> </w:t>
      </w:r>
      <w:r w:rsidR="00DE4E4C">
        <w:t xml:space="preserve">This discrepancy with our observation of no binding of </w:t>
      </w:r>
      <w:r w:rsidR="008F3B5B" w:rsidRPr="008F3B5B">
        <w:rPr>
          <w:b/>
          <w:bCs/>
        </w:rPr>
        <w:t>R3</w:t>
      </w:r>
      <w:r w:rsidR="00DE4E4C">
        <w:t xml:space="preserve"> with the cage </w:t>
      </w:r>
      <w:r w:rsidR="008F3B5B" w:rsidRPr="008F3B5B">
        <w:rPr>
          <w:b/>
          <w:bCs/>
        </w:rPr>
        <w:t>C1w</w:t>
      </w:r>
      <w:r w:rsidR="00DE4E4C">
        <w:t xml:space="preserve"> suggests that the strength of intermolecular interactions is strongly dependent on subtle changes in the host structure, and although good quantitative structure-activity relationships have been </w:t>
      </w:r>
      <w:r w:rsidR="0056147D">
        <w:t>reported,</w:t>
      </w:r>
      <w:r w:rsidR="000F734F" w:rsidRPr="000F734F">
        <w:rPr>
          <w:vertAlign w:val="superscript"/>
        </w:rPr>
        <w:t>35,42</w:t>
      </w:r>
      <w:r w:rsidR="0056147D">
        <w:t xml:space="preserve"> </w:t>
      </w:r>
      <w:r w:rsidR="00DE4E4C">
        <w:t>small changes in the host structure (including counterion) can significantly affect intermolecular interactions.</w:t>
      </w:r>
    </w:p>
    <w:p w14:paraId="2D0B663D" w14:textId="77777777" w:rsidR="00DE4E4C" w:rsidRPr="006F4C2D" w:rsidRDefault="00DE4E4C" w:rsidP="00B24843">
      <w:pPr>
        <w:pStyle w:val="TAMainText"/>
      </w:pPr>
      <w:r>
        <w:rPr>
          <w:b/>
        </w:rPr>
        <w:t xml:space="preserve">EPR spectra of </w:t>
      </w:r>
      <w:r w:rsidRPr="006F4C2D">
        <w:rPr>
          <w:b/>
        </w:rPr>
        <w:t xml:space="preserve">R+C system in </w:t>
      </w:r>
      <w:r>
        <w:rPr>
          <w:b/>
        </w:rPr>
        <w:t>MeCN</w:t>
      </w:r>
      <w:r w:rsidRPr="006F4C2D">
        <w:rPr>
          <w:b/>
        </w:rPr>
        <w:t>.</w:t>
      </w:r>
      <w:r w:rsidRPr="006F4C2D">
        <w:t xml:space="preserve"> </w:t>
      </w:r>
    </w:p>
    <w:p w14:paraId="533C4D1F" w14:textId="498CBF2B" w:rsidR="00302C47" w:rsidRPr="00D16B14" w:rsidRDefault="00DE4E4C" w:rsidP="00B24843">
      <w:pPr>
        <w:pStyle w:val="TAMainText"/>
        <w:rPr>
          <w:b/>
          <w:lang w:val="en-GB"/>
        </w:rPr>
      </w:pPr>
      <w:r>
        <w:rPr>
          <w:bCs/>
          <w:lang w:val="en-GB"/>
        </w:rPr>
        <w:t xml:space="preserve">Although the EPR signal intensity of </w:t>
      </w:r>
      <w:r w:rsidR="008F3B5B" w:rsidRPr="008F3B5B">
        <w:rPr>
          <w:b/>
          <w:bCs/>
        </w:rPr>
        <w:t>R5</w:t>
      </w:r>
      <w:r>
        <w:rPr>
          <w:bCs/>
          <w:lang w:val="en-GB"/>
        </w:rPr>
        <w:t xml:space="preserve"> and </w:t>
      </w:r>
      <w:r w:rsidR="008F3B5B" w:rsidRPr="008F3B5B">
        <w:rPr>
          <w:b/>
          <w:bCs/>
        </w:rPr>
        <w:t>R6</w:t>
      </w:r>
      <w:r>
        <w:rPr>
          <w:bCs/>
          <w:lang w:val="en-GB"/>
        </w:rPr>
        <w:t xml:space="preserve"> was reduced in the presence of cage </w:t>
      </w:r>
      <w:r w:rsidR="008F3B5B" w:rsidRPr="008F3B5B">
        <w:rPr>
          <w:b/>
          <w:bCs/>
        </w:rPr>
        <w:t>C2org</w:t>
      </w:r>
      <w:r>
        <w:rPr>
          <w:bCs/>
          <w:lang w:val="en-GB"/>
        </w:rPr>
        <w:t xml:space="preserve"> (which indicates host-guest interactions), addition of </w:t>
      </w:r>
      <w:r w:rsidR="008F3B5B" w:rsidRPr="008F3B5B">
        <w:rPr>
          <w:b/>
          <w:bCs/>
          <w:lang w:val="en-GB"/>
        </w:rPr>
        <w:t>CG9</w:t>
      </w:r>
      <w:r>
        <w:rPr>
          <w:lang w:val="en-GB"/>
        </w:rPr>
        <w:t xml:space="preserve"> led to</w:t>
      </w:r>
      <w:r>
        <w:rPr>
          <w:bCs/>
          <w:lang w:val="en-GB"/>
        </w:rPr>
        <w:t xml:space="preserve"> a surprisingly large </w:t>
      </w:r>
      <w:r w:rsidRPr="00617F21">
        <w:rPr>
          <w:bCs/>
          <w:lang w:val="en-GB"/>
        </w:rPr>
        <w:t>increase in signal intensity</w:t>
      </w:r>
      <w:r>
        <w:rPr>
          <w:bCs/>
          <w:lang w:val="en-GB"/>
        </w:rPr>
        <w:t>,</w:t>
      </w:r>
      <w:r w:rsidRPr="00617F21">
        <w:rPr>
          <w:bCs/>
          <w:lang w:val="en-GB"/>
        </w:rPr>
        <w:t xml:space="preserve"> </w:t>
      </w:r>
      <w:r>
        <w:rPr>
          <w:bCs/>
          <w:lang w:val="en-GB"/>
        </w:rPr>
        <w:t xml:space="preserve">well </w:t>
      </w:r>
      <w:r w:rsidRPr="00617F21">
        <w:rPr>
          <w:bCs/>
          <w:lang w:val="en-GB"/>
        </w:rPr>
        <w:t>above that of the radical in neat solvent</w:t>
      </w:r>
      <w:r>
        <w:rPr>
          <w:bCs/>
          <w:lang w:val="en-GB"/>
        </w:rPr>
        <w:t xml:space="preserve"> </w:t>
      </w:r>
      <w:r w:rsidR="00D16B14">
        <w:rPr>
          <w:bCs/>
          <w:lang w:val="en-GB"/>
        </w:rPr>
        <w:t>(</w:t>
      </w:r>
      <w:r w:rsidR="00D16B14">
        <w:rPr>
          <w:bCs/>
          <w:lang w:val="en-GB"/>
        </w:rPr>
        <w:fldChar w:fldCharType="begin"/>
      </w:r>
      <w:r w:rsidR="00D16B14">
        <w:rPr>
          <w:bCs/>
          <w:lang w:val="en-GB"/>
        </w:rPr>
        <w:instrText xml:space="preserve"> REF _Ref40537780 \h </w:instrText>
      </w:r>
      <w:r w:rsidR="00D16B14">
        <w:rPr>
          <w:bCs/>
          <w:lang w:val="en-GB"/>
        </w:rPr>
      </w:r>
      <w:r w:rsidR="00D16B14">
        <w:rPr>
          <w:bCs/>
          <w:lang w:val="en-GB"/>
        </w:rPr>
        <w:fldChar w:fldCharType="separate"/>
      </w:r>
      <w:r w:rsidR="00CE0E94" w:rsidRPr="00617F21">
        <w:rPr>
          <w:b/>
        </w:rPr>
        <w:t xml:space="preserve">Figure </w:t>
      </w:r>
      <w:r w:rsidR="00CE0E94">
        <w:rPr>
          <w:rFonts w:cs="Arial"/>
          <w:b/>
          <w:bCs/>
          <w:noProof/>
        </w:rPr>
        <w:t>4</w:t>
      </w:r>
      <w:r w:rsidR="00D16B14">
        <w:rPr>
          <w:bCs/>
          <w:lang w:val="en-GB"/>
        </w:rPr>
        <w:fldChar w:fldCharType="end"/>
      </w:r>
      <w:r w:rsidR="00D16B14">
        <w:rPr>
          <w:b/>
          <w:lang w:val="en-GB"/>
        </w:rPr>
        <w:t>).</w:t>
      </w:r>
    </w:p>
    <w:p w14:paraId="15BA5F38" w14:textId="35F1819B" w:rsidR="00302C47" w:rsidRDefault="00302C47" w:rsidP="00B24843">
      <w:pPr>
        <w:pStyle w:val="TAMainText"/>
        <w:rPr>
          <w:bCs/>
          <w:lang w:val="en-GB"/>
        </w:rPr>
      </w:pPr>
      <w:r>
        <w:rPr>
          <w:bCs/>
          <w:noProof/>
          <w:lang w:val="en-GB" w:eastAsia="en-GB"/>
        </w:rPr>
        <w:lastRenderedPageBreak/>
        <w:drawing>
          <wp:inline distT="0" distB="0" distL="0" distR="0" wp14:anchorId="056113F2" wp14:editId="51DFB339">
            <wp:extent cx="3048000" cy="748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tif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8000" cy="7480300"/>
                    </a:xfrm>
                    <a:prstGeom prst="rect">
                      <a:avLst/>
                    </a:prstGeom>
                  </pic:spPr>
                </pic:pic>
              </a:graphicData>
            </a:graphic>
          </wp:inline>
        </w:drawing>
      </w:r>
    </w:p>
    <w:p w14:paraId="554AF185" w14:textId="3F645A4D" w:rsidR="007428FF" w:rsidRDefault="007428FF" w:rsidP="007428FF">
      <w:pPr>
        <w:pStyle w:val="VAFigureCaption"/>
        <w:rPr>
          <w:b/>
          <w:bCs/>
        </w:rPr>
      </w:pPr>
      <w:bookmarkStart w:id="3" w:name="_Ref40537780"/>
      <w:r w:rsidRPr="00617F21">
        <w:rPr>
          <w:b/>
        </w:rPr>
        <w:t xml:space="preserve">Figure </w:t>
      </w:r>
      <w:r w:rsidRPr="00D75F1E">
        <w:rPr>
          <w:rFonts w:cs="Arial"/>
          <w:b/>
          <w:bCs/>
        </w:rPr>
        <w:fldChar w:fldCharType="begin"/>
      </w:r>
      <w:r w:rsidRPr="00D75F1E">
        <w:rPr>
          <w:rFonts w:cs="Arial"/>
          <w:b/>
          <w:bCs/>
        </w:rPr>
        <w:instrText xml:space="preserve"> SEQ Figure \* ARABIC </w:instrText>
      </w:r>
      <w:r w:rsidRPr="00D75F1E">
        <w:rPr>
          <w:rFonts w:cs="Arial"/>
          <w:b/>
          <w:bCs/>
        </w:rPr>
        <w:fldChar w:fldCharType="separate"/>
      </w:r>
      <w:r w:rsidR="00CE0E94">
        <w:rPr>
          <w:rFonts w:cs="Arial"/>
          <w:b/>
          <w:bCs/>
          <w:noProof/>
        </w:rPr>
        <w:t>4</w:t>
      </w:r>
      <w:r w:rsidRPr="00D75F1E">
        <w:rPr>
          <w:rFonts w:cs="Arial"/>
          <w:b/>
          <w:bCs/>
        </w:rPr>
        <w:fldChar w:fldCharType="end"/>
      </w:r>
      <w:bookmarkEnd w:id="3"/>
      <w:r w:rsidRPr="00617F21">
        <w:rPr>
          <w:b/>
        </w:rPr>
        <w:t>.</w:t>
      </w:r>
      <w:r w:rsidRPr="00617F21">
        <w:t xml:space="preserve"> EPR spectra of </w:t>
      </w:r>
      <w:r>
        <w:t>radical</w:t>
      </w:r>
      <w:r w:rsidRPr="00617F21">
        <w:t xml:space="preserve"> (top, black), </w:t>
      </w:r>
      <w:proofErr w:type="spellStart"/>
      <w:r>
        <w:t>radical</w:t>
      </w:r>
      <w:r w:rsidRPr="00617F21">
        <w:t>+</w:t>
      </w:r>
      <w:r>
        <w:t>cage</w:t>
      </w:r>
      <w:proofErr w:type="spellEnd"/>
      <w:r w:rsidRPr="00617F21">
        <w:t xml:space="preserve"> (middle, blue), </w:t>
      </w:r>
      <w:proofErr w:type="spellStart"/>
      <w:r>
        <w:t>radical+cage+competing</w:t>
      </w:r>
      <w:proofErr w:type="spellEnd"/>
      <w:r>
        <w:t xml:space="preserve"> guest (bottom, red). a) </w:t>
      </w:r>
      <w:r w:rsidRPr="008F3B5B">
        <w:rPr>
          <w:b/>
          <w:bCs/>
        </w:rPr>
        <w:t>R5</w:t>
      </w:r>
      <w:r>
        <w:t xml:space="preserve">, </w:t>
      </w:r>
      <w:r w:rsidRPr="008F3B5B">
        <w:rPr>
          <w:b/>
          <w:bCs/>
        </w:rPr>
        <w:t>C2org</w:t>
      </w:r>
      <w:r>
        <w:t xml:space="preserve">, </w:t>
      </w:r>
      <w:r w:rsidRPr="008F3B5B">
        <w:rPr>
          <w:b/>
          <w:bCs/>
        </w:rPr>
        <w:t>CG9</w:t>
      </w:r>
      <w:r>
        <w:t xml:space="preserve">; b) </w:t>
      </w:r>
      <w:r w:rsidRPr="008F3B5B">
        <w:rPr>
          <w:b/>
          <w:bCs/>
        </w:rPr>
        <w:t>R6</w:t>
      </w:r>
      <w:r>
        <w:t xml:space="preserve">, </w:t>
      </w:r>
      <w:r w:rsidRPr="008F3B5B">
        <w:rPr>
          <w:b/>
          <w:bCs/>
        </w:rPr>
        <w:t>C2org</w:t>
      </w:r>
      <w:r>
        <w:t xml:space="preserve">, </w:t>
      </w:r>
      <w:r w:rsidRPr="008F3B5B">
        <w:rPr>
          <w:b/>
          <w:bCs/>
        </w:rPr>
        <w:t>CG9</w:t>
      </w:r>
      <w:r>
        <w:t>.</w:t>
      </w:r>
      <w:r w:rsidR="00626909">
        <w:t xml:space="preserve"> Radical </w:t>
      </w:r>
      <w:r w:rsidR="00626909">
        <w:lastRenderedPageBreak/>
        <w:t>concentration was 2</w:t>
      </w:r>
      <w:r w:rsidR="00626909" w:rsidRPr="00A22240">
        <w:sym w:font="Symbol" w:char="F0B4"/>
      </w:r>
      <w:r w:rsidR="00626909" w:rsidRPr="00A22240">
        <w:t>10</w:t>
      </w:r>
      <w:r w:rsidR="00626909">
        <w:rPr>
          <w:vertAlign w:val="superscript"/>
        </w:rPr>
        <w:t>-5</w:t>
      </w:r>
      <w:r w:rsidR="00626909">
        <w:t xml:space="preserve"> M, cage concentration 5</w:t>
      </w:r>
      <w:r w:rsidR="00626909" w:rsidRPr="00A22240">
        <w:sym w:font="Symbol" w:char="F0B4"/>
      </w:r>
      <w:r w:rsidR="00626909" w:rsidRPr="00A22240">
        <w:t>10</w:t>
      </w:r>
      <w:r w:rsidR="00626909">
        <w:rPr>
          <w:vertAlign w:val="superscript"/>
        </w:rPr>
        <w:t>-4</w:t>
      </w:r>
      <w:r w:rsidR="00626909">
        <w:t xml:space="preserve"> M and competing guest concentration ~2</w:t>
      </w:r>
      <w:r w:rsidR="00626909" w:rsidRPr="00A22240">
        <w:sym w:font="Symbol" w:char="F0B4"/>
      </w:r>
      <w:r w:rsidR="00626909" w:rsidRPr="00A22240">
        <w:t>10</w:t>
      </w:r>
      <w:r w:rsidR="00626909">
        <w:rPr>
          <w:vertAlign w:val="superscript"/>
        </w:rPr>
        <w:t>-3</w:t>
      </w:r>
      <w:r w:rsidR="00626909">
        <w:t xml:space="preserve"> M.</w:t>
      </w:r>
    </w:p>
    <w:p w14:paraId="137BA1AA" w14:textId="378EB654" w:rsidR="00DE4E4C" w:rsidRDefault="00DE4E4C" w:rsidP="00203294">
      <w:pPr>
        <w:pStyle w:val="TAMainText"/>
        <w:rPr>
          <w:bCs/>
          <w:lang w:val="en-GB"/>
        </w:rPr>
      </w:pPr>
      <w:r>
        <w:rPr>
          <w:bCs/>
          <w:lang w:val="en-GB"/>
        </w:rPr>
        <w:t>The</w:t>
      </w:r>
      <w:r w:rsidRPr="00617F21">
        <w:rPr>
          <w:bCs/>
          <w:lang w:val="en-GB"/>
        </w:rPr>
        <w:t xml:space="preserve"> effect </w:t>
      </w:r>
      <w:r>
        <w:rPr>
          <w:bCs/>
          <w:lang w:val="en-GB"/>
        </w:rPr>
        <w:t>wa</w:t>
      </w:r>
      <w:r w:rsidRPr="00617F21">
        <w:rPr>
          <w:bCs/>
          <w:lang w:val="en-GB"/>
        </w:rPr>
        <w:t xml:space="preserve">s attributed to the fact that in solution the radical-containing carboxylic acid may form </w:t>
      </w:r>
      <w:r>
        <w:rPr>
          <w:bCs/>
          <w:lang w:val="en-GB"/>
        </w:rPr>
        <w:t>H-bonded</w:t>
      </w:r>
      <w:r w:rsidR="00A850D7">
        <w:rPr>
          <w:bCs/>
          <w:lang w:val="en-GB"/>
        </w:rPr>
        <w:t xml:space="preserve"> </w:t>
      </w:r>
      <w:r w:rsidR="00A850D7" w:rsidRPr="00617F21">
        <w:rPr>
          <w:bCs/>
          <w:lang w:val="en-GB"/>
        </w:rPr>
        <w:t>dimers.</w:t>
      </w:r>
      <w:r w:rsidR="000F734F" w:rsidRPr="000F734F">
        <w:rPr>
          <w:vertAlign w:val="superscript"/>
        </w:rPr>
        <w:t>43</w:t>
      </w:r>
      <w:proofErr w:type="gramStart"/>
      <w:r w:rsidR="000F734F" w:rsidRPr="000F734F">
        <w:rPr>
          <w:vertAlign w:val="superscript"/>
        </w:rPr>
        <w:t>,44</w:t>
      </w:r>
      <w:proofErr w:type="gramEnd"/>
      <w:r w:rsidR="00A850D7">
        <w:rPr>
          <w:bCs/>
          <w:lang w:val="en-GB"/>
        </w:rPr>
        <w:t xml:space="preserve"> </w:t>
      </w:r>
      <w:r w:rsidR="001F13DC">
        <w:rPr>
          <w:bCs/>
        </w:rPr>
        <w:t xml:space="preserve">Radical dimerisation leads to spin exchange which manifests itself in the EPR spectra as reduction in intensity of the three </w:t>
      </w:r>
      <w:proofErr w:type="spellStart"/>
      <w:r w:rsidR="001F13DC">
        <w:rPr>
          <w:bCs/>
        </w:rPr>
        <w:t>nitroxide</w:t>
      </w:r>
      <w:proofErr w:type="spellEnd"/>
      <w:r w:rsidR="001F13DC">
        <w:rPr>
          <w:bCs/>
        </w:rPr>
        <w:t xml:space="preserve"> hyperfine lines</w:t>
      </w:r>
      <w:r>
        <w:rPr>
          <w:bCs/>
          <w:lang w:val="en-GB"/>
        </w:rPr>
        <w:t>. A</w:t>
      </w:r>
      <w:r w:rsidRPr="00617F21">
        <w:rPr>
          <w:bCs/>
          <w:lang w:val="en-GB"/>
        </w:rPr>
        <w:t xml:space="preserve">ddition of </w:t>
      </w:r>
      <w:r>
        <w:rPr>
          <w:bCs/>
          <w:lang w:val="en-GB"/>
        </w:rPr>
        <w:t xml:space="preserve">benzoic </w:t>
      </w:r>
      <w:r w:rsidRPr="00617F21">
        <w:rPr>
          <w:bCs/>
          <w:lang w:val="en-GB"/>
        </w:rPr>
        <w:t xml:space="preserve">acid to the </w:t>
      </w:r>
      <w:proofErr w:type="spellStart"/>
      <w:r w:rsidRPr="00617F21">
        <w:rPr>
          <w:bCs/>
          <w:lang w:val="en-GB"/>
        </w:rPr>
        <w:t>radical+cage</w:t>
      </w:r>
      <w:proofErr w:type="spellEnd"/>
      <w:r w:rsidRPr="00617F21">
        <w:rPr>
          <w:bCs/>
          <w:lang w:val="en-GB"/>
        </w:rPr>
        <w:t xml:space="preserve"> solution </w:t>
      </w:r>
      <w:r>
        <w:rPr>
          <w:bCs/>
          <w:lang w:val="en-GB"/>
        </w:rPr>
        <w:t xml:space="preserve">hence resulted </w:t>
      </w:r>
      <w:r w:rsidRPr="00617F21">
        <w:rPr>
          <w:bCs/>
          <w:lang w:val="en-GB"/>
        </w:rPr>
        <w:t xml:space="preserve">not only </w:t>
      </w:r>
      <w:r>
        <w:rPr>
          <w:bCs/>
          <w:lang w:val="en-GB"/>
        </w:rPr>
        <w:t>in</w:t>
      </w:r>
      <w:r w:rsidRPr="00617F21">
        <w:rPr>
          <w:bCs/>
          <w:lang w:val="en-GB"/>
        </w:rPr>
        <w:t xml:space="preserve"> displacement of the bound radical, but </w:t>
      </w:r>
      <w:r>
        <w:rPr>
          <w:bCs/>
          <w:lang w:val="en-GB"/>
        </w:rPr>
        <w:t xml:space="preserve">also </w:t>
      </w:r>
      <w:r w:rsidRPr="00617F21">
        <w:rPr>
          <w:bCs/>
          <w:lang w:val="en-GB"/>
        </w:rPr>
        <w:t xml:space="preserve">disrupted </w:t>
      </w:r>
      <w:r>
        <w:rPr>
          <w:bCs/>
          <w:lang w:val="en-GB"/>
        </w:rPr>
        <w:t>radical-radical dimers, increasing signal intensity.</w:t>
      </w:r>
      <w:r w:rsidRPr="00617F21">
        <w:rPr>
          <w:bCs/>
          <w:lang w:val="en-GB"/>
        </w:rPr>
        <w:t xml:space="preserve"> </w:t>
      </w:r>
    </w:p>
    <w:p w14:paraId="08F5B0D5" w14:textId="5F412049" w:rsidR="00DE4E4C" w:rsidRPr="00617F21" w:rsidRDefault="00DE4E4C" w:rsidP="00B24843">
      <w:pPr>
        <w:pStyle w:val="TAMainText"/>
        <w:rPr>
          <w:bCs/>
          <w:lang w:val="en-GB"/>
        </w:rPr>
      </w:pPr>
      <w:r w:rsidRPr="00617F21">
        <w:rPr>
          <w:bCs/>
          <w:lang w:val="en-GB"/>
        </w:rPr>
        <w:t xml:space="preserve">Addition of benzoic acid to a solution containing only radical </w:t>
      </w:r>
      <w:r w:rsidR="008F3B5B" w:rsidRPr="008F3B5B">
        <w:rPr>
          <w:b/>
          <w:bCs/>
          <w:lang w:val="en-GB"/>
        </w:rPr>
        <w:t>R5</w:t>
      </w:r>
      <w:r w:rsidRPr="00617F21">
        <w:rPr>
          <w:bCs/>
          <w:lang w:val="en-GB"/>
        </w:rPr>
        <w:t xml:space="preserve">, with no cage present, also led to an apparent increase in intensity, thus confirming the presence and subsequent disruption of dimerisation between the radicals. </w:t>
      </w:r>
    </w:p>
    <w:p w14:paraId="4FDBB980" w14:textId="1F34D926" w:rsidR="00D520F6" w:rsidRDefault="00DE4E4C" w:rsidP="00B24843">
      <w:pPr>
        <w:pStyle w:val="TAMainText"/>
        <w:rPr>
          <w:bCs/>
          <w:lang w:val="en-GB"/>
        </w:rPr>
      </w:pPr>
      <w:r w:rsidRPr="00617F21">
        <w:rPr>
          <w:bCs/>
          <w:lang w:val="en-GB"/>
        </w:rPr>
        <w:t>To confirm that binding of these radicals was dependent on the presence of the carboxylic acid group, 3-carbamoyl-PROXYL (</w:t>
      </w:r>
      <w:r w:rsidR="008F3B5B" w:rsidRPr="008F3B5B">
        <w:rPr>
          <w:b/>
          <w:bCs/>
          <w:lang w:val="en-GB"/>
        </w:rPr>
        <w:t>R7</w:t>
      </w:r>
      <w:r w:rsidRPr="00617F21">
        <w:rPr>
          <w:bCs/>
          <w:lang w:val="en-GB"/>
        </w:rPr>
        <w:t xml:space="preserve">), with an amide group in the place of the carboxylic acid was investigated. </w:t>
      </w:r>
      <w:r>
        <w:rPr>
          <w:bCs/>
          <w:lang w:val="en-GB"/>
        </w:rPr>
        <w:t>T</w:t>
      </w:r>
      <w:r w:rsidRPr="00617F21">
        <w:rPr>
          <w:bCs/>
          <w:lang w:val="en-GB"/>
        </w:rPr>
        <w:t>he spectr</w:t>
      </w:r>
      <w:r>
        <w:rPr>
          <w:bCs/>
          <w:lang w:val="en-GB"/>
        </w:rPr>
        <w:t xml:space="preserve">a </w:t>
      </w:r>
      <w:r w:rsidRPr="00617F21">
        <w:rPr>
          <w:bCs/>
          <w:lang w:val="en-GB"/>
        </w:rPr>
        <w:t xml:space="preserve">of </w:t>
      </w:r>
      <w:r>
        <w:rPr>
          <w:bCs/>
          <w:lang w:val="en-GB"/>
        </w:rPr>
        <w:t xml:space="preserve">radical </w:t>
      </w:r>
      <w:r w:rsidR="008F3B5B" w:rsidRPr="008F3B5B">
        <w:rPr>
          <w:b/>
          <w:bCs/>
          <w:lang w:val="en-GB"/>
        </w:rPr>
        <w:t>R7</w:t>
      </w:r>
      <w:r w:rsidRPr="00617F21">
        <w:rPr>
          <w:bCs/>
          <w:lang w:val="en-GB"/>
        </w:rPr>
        <w:t xml:space="preserve"> </w:t>
      </w:r>
      <w:r>
        <w:rPr>
          <w:bCs/>
          <w:lang w:val="en-GB"/>
        </w:rPr>
        <w:t xml:space="preserve">and </w:t>
      </w:r>
      <w:proofErr w:type="spellStart"/>
      <w:r>
        <w:rPr>
          <w:bCs/>
          <w:lang w:val="en-GB"/>
        </w:rPr>
        <w:t>radical+cage</w:t>
      </w:r>
      <w:proofErr w:type="spellEnd"/>
      <w:r>
        <w:rPr>
          <w:bCs/>
          <w:lang w:val="en-GB"/>
        </w:rPr>
        <w:t xml:space="preserve"> (</w:t>
      </w:r>
      <w:r w:rsidR="008F3B5B" w:rsidRPr="008F3B5B">
        <w:rPr>
          <w:b/>
          <w:bCs/>
          <w:lang w:val="en-GB"/>
        </w:rPr>
        <w:t>R7</w:t>
      </w:r>
      <w:r>
        <w:rPr>
          <w:bCs/>
          <w:lang w:val="en-GB"/>
        </w:rPr>
        <w:t>+</w:t>
      </w:r>
      <w:r w:rsidR="008F3B5B" w:rsidRPr="008F3B5B">
        <w:rPr>
          <w:b/>
          <w:bCs/>
          <w:lang w:val="en-GB"/>
        </w:rPr>
        <w:t>C2org</w:t>
      </w:r>
      <w:r w:rsidRPr="00F376D4">
        <w:rPr>
          <w:lang w:val="en-GB"/>
        </w:rPr>
        <w:t>)</w:t>
      </w:r>
      <w:r w:rsidRPr="00617F21">
        <w:rPr>
          <w:bCs/>
          <w:lang w:val="en-GB"/>
        </w:rPr>
        <w:t xml:space="preserve"> </w:t>
      </w:r>
      <w:r>
        <w:rPr>
          <w:bCs/>
          <w:lang w:val="en-GB"/>
        </w:rPr>
        <w:t xml:space="preserve">were nearly identical, </w:t>
      </w:r>
      <w:r w:rsidRPr="00617F21">
        <w:rPr>
          <w:bCs/>
          <w:lang w:val="en-GB"/>
        </w:rPr>
        <w:t xml:space="preserve">suggesting that no binding was occurring. This indicates that the carboxylic acid group plays a </w:t>
      </w:r>
      <w:r>
        <w:rPr>
          <w:bCs/>
          <w:lang w:val="en-GB"/>
        </w:rPr>
        <w:t xml:space="preserve">critical role </w:t>
      </w:r>
      <w:r w:rsidRPr="00617F21">
        <w:rPr>
          <w:bCs/>
          <w:lang w:val="en-GB"/>
        </w:rPr>
        <w:t>in forming the host-guest interaction for this system</w:t>
      </w:r>
      <w:r w:rsidR="00913D54">
        <w:rPr>
          <w:bCs/>
          <w:lang w:val="en-GB"/>
        </w:rPr>
        <w:t>.</w:t>
      </w:r>
      <w:r w:rsidR="00E93D37">
        <w:rPr>
          <w:bCs/>
          <w:lang w:val="en-GB"/>
        </w:rPr>
        <w:t xml:space="preserve"> This big difference between binding properties of </w:t>
      </w:r>
      <w:r w:rsidR="00E93D37" w:rsidRPr="00C90C1F">
        <w:rPr>
          <w:b/>
          <w:bCs/>
          <w:lang w:val="en-GB"/>
        </w:rPr>
        <w:t>R6</w:t>
      </w:r>
      <w:r w:rsidR="00E93D37">
        <w:rPr>
          <w:bCs/>
          <w:lang w:val="en-GB"/>
        </w:rPr>
        <w:t xml:space="preserve"> and </w:t>
      </w:r>
      <w:r w:rsidR="00E93D37" w:rsidRPr="00C90C1F">
        <w:rPr>
          <w:b/>
          <w:bCs/>
          <w:lang w:val="en-GB"/>
        </w:rPr>
        <w:t>R7</w:t>
      </w:r>
      <w:r w:rsidR="00E93D37">
        <w:rPr>
          <w:bCs/>
          <w:lang w:val="en-GB"/>
        </w:rPr>
        <w:t xml:space="preserve"> is surprising taking into account the similarity between the size/shape and H-bonding acceptor properties (which correlate </w:t>
      </w:r>
      <w:r w:rsidR="00084D01">
        <w:rPr>
          <w:bCs/>
          <w:lang w:val="en-GB"/>
        </w:rPr>
        <w:t xml:space="preserve">strongly </w:t>
      </w:r>
      <w:r w:rsidR="00E93D37">
        <w:rPr>
          <w:bCs/>
          <w:lang w:val="en-GB"/>
        </w:rPr>
        <w:t xml:space="preserve">with the association constant for related </w:t>
      </w:r>
      <w:r w:rsidR="00084D01">
        <w:rPr>
          <w:bCs/>
          <w:lang w:val="en-GB"/>
        </w:rPr>
        <w:t>systems</w:t>
      </w:r>
      <w:r w:rsidR="00CE0E94">
        <w:rPr>
          <w:bCs/>
          <w:lang w:val="en-GB"/>
        </w:rPr>
        <w:t xml:space="preserve"> due to </w:t>
      </w:r>
      <w:r w:rsidR="00CE0E94" w:rsidRPr="00CE0E94">
        <w:rPr>
          <w:bCs/>
          <w:lang w:val="en-GB"/>
        </w:rPr>
        <w:t>t</w:t>
      </w:r>
      <w:r w:rsidR="00CE0E94">
        <w:rPr>
          <w:bCs/>
          <w:lang w:val="en-GB"/>
        </w:rPr>
        <w:t>he</w:t>
      </w:r>
      <w:r w:rsidR="00CE0E94" w:rsidRPr="00CE0E94">
        <w:rPr>
          <w:bCs/>
          <w:lang w:val="en-GB"/>
        </w:rPr>
        <w:t xml:space="preserve"> H-bond donor “pockets” </w:t>
      </w:r>
      <w:r w:rsidR="00CE0E94">
        <w:rPr>
          <w:bCs/>
          <w:lang w:val="en-GB"/>
        </w:rPr>
        <w:t xml:space="preserve">in the cage, </w:t>
      </w:r>
      <w:r w:rsidR="00CE0E94" w:rsidRPr="00C90C1F">
        <w:rPr>
          <w:bCs/>
          <w:i/>
          <w:lang w:val="en-GB"/>
        </w:rPr>
        <w:t>vide supra</w:t>
      </w:r>
      <w:r w:rsidR="00084D01" w:rsidRPr="00C90C1F">
        <w:rPr>
          <w:bCs/>
          <w:vertAlign w:val="superscript"/>
          <w:lang w:val="en-GB"/>
        </w:rPr>
        <w:t>42</w:t>
      </w:r>
      <w:r w:rsidR="00E93D37">
        <w:rPr>
          <w:bCs/>
          <w:lang w:val="en-GB"/>
        </w:rPr>
        <w:t>) of the COOH and CONH</w:t>
      </w:r>
      <w:r w:rsidR="00E93D37" w:rsidRPr="00C90C1F">
        <w:rPr>
          <w:bCs/>
          <w:vertAlign w:val="subscript"/>
          <w:lang w:val="en-GB"/>
        </w:rPr>
        <w:t>2</w:t>
      </w:r>
      <w:r w:rsidR="00E93D37">
        <w:rPr>
          <w:bCs/>
          <w:lang w:val="en-GB"/>
        </w:rPr>
        <w:t xml:space="preserve"> groups. We note that carboxylic acids (e.g., </w:t>
      </w:r>
      <w:proofErr w:type="spellStart"/>
      <w:r w:rsidR="00E93D37">
        <w:rPr>
          <w:bCs/>
          <w:lang w:val="en-GB"/>
        </w:rPr>
        <w:t>adamantane</w:t>
      </w:r>
      <w:proofErr w:type="spellEnd"/>
      <w:r w:rsidR="00E93D37">
        <w:rPr>
          <w:bCs/>
          <w:lang w:val="en-GB"/>
        </w:rPr>
        <w:t xml:space="preserve"> and aromatic derivatives) were previously reported to show strong binding to such coordination cages</w:t>
      </w:r>
      <w:r w:rsidR="00084D01">
        <w:rPr>
          <w:bCs/>
          <w:lang w:val="en-GB"/>
        </w:rPr>
        <w:t xml:space="preserve"> in a neutral, </w:t>
      </w:r>
      <w:proofErr w:type="spellStart"/>
      <w:r w:rsidR="00084D01">
        <w:rPr>
          <w:bCs/>
          <w:lang w:val="en-GB"/>
        </w:rPr>
        <w:t>undissociated</w:t>
      </w:r>
      <w:proofErr w:type="spellEnd"/>
      <w:r w:rsidR="00084D01">
        <w:rPr>
          <w:bCs/>
          <w:lang w:val="en-GB"/>
        </w:rPr>
        <w:t xml:space="preserve"> state</w:t>
      </w:r>
      <w:r w:rsidR="00E93D37">
        <w:rPr>
          <w:bCs/>
          <w:lang w:val="en-GB"/>
        </w:rPr>
        <w:t>.</w:t>
      </w:r>
      <w:r w:rsidR="00084D01" w:rsidRPr="00C90C1F">
        <w:rPr>
          <w:bCs/>
          <w:vertAlign w:val="superscript"/>
          <w:lang w:val="en-GB"/>
        </w:rPr>
        <w:t>45</w:t>
      </w:r>
      <w:proofErr w:type="gramStart"/>
      <w:r w:rsidR="00084D01" w:rsidRPr="00C90C1F">
        <w:rPr>
          <w:bCs/>
          <w:vertAlign w:val="superscript"/>
          <w:lang w:val="en-GB"/>
        </w:rPr>
        <w:t>,46</w:t>
      </w:r>
      <w:proofErr w:type="gramEnd"/>
    </w:p>
    <w:p w14:paraId="31A8009E" w14:textId="77777777" w:rsidR="00DE4E4C" w:rsidRPr="00F376D4" w:rsidRDefault="00DE4E4C" w:rsidP="00B24843">
      <w:pPr>
        <w:pStyle w:val="TAMainText"/>
        <w:rPr>
          <w:b/>
          <w:bCs/>
          <w:lang w:val="en-GB"/>
        </w:rPr>
      </w:pPr>
      <w:r w:rsidRPr="00F376D4">
        <w:rPr>
          <w:b/>
          <w:bCs/>
          <w:lang w:val="en-GB"/>
        </w:rPr>
        <w:t xml:space="preserve">Quantitative analysis of EPR spectra </w:t>
      </w:r>
    </w:p>
    <w:p w14:paraId="65BD9E51" w14:textId="2D474514" w:rsidR="00DE4E4C" w:rsidRPr="00617F21" w:rsidRDefault="00DE4E4C" w:rsidP="00B24843">
      <w:pPr>
        <w:pStyle w:val="TAMainText"/>
        <w:rPr>
          <w:bCs/>
          <w:lang w:val="en-GB"/>
        </w:rPr>
      </w:pPr>
      <w:r>
        <w:rPr>
          <w:bCs/>
          <w:lang w:val="en-GB"/>
        </w:rPr>
        <w:lastRenderedPageBreak/>
        <w:t>Once the</w:t>
      </w:r>
      <w:r w:rsidR="00F0363A">
        <w:rPr>
          <w:bCs/>
          <w:lang w:val="en-GB"/>
        </w:rPr>
        <w:t xml:space="preserve"> formation of </w:t>
      </w:r>
      <w:r w:rsidR="00DE608B">
        <w:rPr>
          <w:bCs/>
          <w:lang w:val="en-GB"/>
        </w:rPr>
        <w:t xml:space="preserve">host-guest </w:t>
      </w:r>
      <w:r w:rsidR="004A6A84">
        <w:rPr>
          <w:bCs/>
          <w:lang w:val="en-GB"/>
        </w:rPr>
        <w:t>complexes</w:t>
      </w:r>
      <w:r w:rsidR="00DE608B">
        <w:rPr>
          <w:bCs/>
          <w:lang w:val="en-GB"/>
        </w:rPr>
        <w:t xml:space="preserve"> of</w:t>
      </w:r>
      <w:r w:rsidR="000555B0">
        <w:rPr>
          <w:bCs/>
          <w:lang w:val="en-GB"/>
        </w:rPr>
        <w:t xml:space="preserve"> </w:t>
      </w:r>
      <w:r w:rsidR="00550B9C" w:rsidRPr="00C90C1F">
        <w:rPr>
          <w:b/>
          <w:lang w:val="en-GB"/>
        </w:rPr>
        <w:t>R4</w:t>
      </w:r>
      <w:r w:rsidR="004A6A84">
        <w:rPr>
          <w:bCs/>
          <w:lang w:val="en-GB"/>
        </w:rPr>
        <w:t>+</w:t>
      </w:r>
      <w:r w:rsidR="000555B0" w:rsidRPr="00C90C1F">
        <w:rPr>
          <w:b/>
          <w:lang w:val="en-GB"/>
        </w:rPr>
        <w:t>C1w</w:t>
      </w:r>
      <w:r w:rsidR="004F32B4">
        <w:rPr>
          <w:b/>
          <w:lang w:val="en-GB"/>
        </w:rPr>
        <w:t>,</w:t>
      </w:r>
      <w:r w:rsidR="004A6A84">
        <w:rPr>
          <w:b/>
          <w:lang w:val="en-GB"/>
        </w:rPr>
        <w:t xml:space="preserve"> </w:t>
      </w:r>
      <w:r w:rsidR="000555B0" w:rsidRPr="00C90C1F">
        <w:rPr>
          <w:b/>
          <w:lang w:val="en-GB"/>
        </w:rPr>
        <w:t>R5</w:t>
      </w:r>
      <w:r w:rsidR="004A6A84">
        <w:rPr>
          <w:bCs/>
          <w:lang w:val="en-GB"/>
        </w:rPr>
        <w:t>+</w:t>
      </w:r>
      <w:r w:rsidR="004A6A84">
        <w:rPr>
          <w:b/>
          <w:lang w:val="en-GB"/>
        </w:rPr>
        <w:t>C2org</w:t>
      </w:r>
      <w:r w:rsidR="000555B0">
        <w:rPr>
          <w:bCs/>
          <w:lang w:val="en-GB"/>
        </w:rPr>
        <w:t xml:space="preserve"> and </w:t>
      </w:r>
      <w:r w:rsidR="000555B0" w:rsidRPr="00C90C1F">
        <w:rPr>
          <w:b/>
          <w:lang w:val="en-GB"/>
        </w:rPr>
        <w:t>R6</w:t>
      </w:r>
      <w:r w:rsidR="004A6A84">
        <w:rPr>
          <w:bCs/>
          <w:lang w:val="en-GB"/>
        </w:rPr>
        <w:t>+</w:t>
      </w:r>
      <w:r w:rsidR="000555B0" w:rsidRPr="00C90C1F">
        <w:rPr>
          <w:b/>
          <w:lang w:val="en-GB"/>
        </w:rPr>
        <w:t>C2org</w:t>
      </w:r>
      <w:r w:rsidR="004F32B4">
        <w:rPr>
          <w:b/>
          <w:lang w:val="en-GB"/>
        </w:rPr>
        <w:t>,</w:t>
      </w:r>
      <w:r w:rsidR="000555B0">
        <w:rPr>
          <w:bCs/>
          <w:lang w:val="en-GB"/>
        </w:rPr>
        <w:t xml:space="preserve"> had</w:t>
      </w:r>
      <w:r>
        <w:rPr>
          <w:bCs/>
          <w:lang w:val="en-GB"/>
        </w:rPr>
        <w:t xml:space="preserve"> been established qualitatively, </w:t>
      </w:r>
      <w:r w:rsidR="00FD19EB">
        <w:rPr>
          <w:bCs/>
          <w:lang w:val="en-GB"/>
        </w:rPr>
        <w:t xml:space="preserve">we </w:t>
      </w:r>
      <w:r w:rsidR="00B67CB7">
        <w:rPr>
          <w:bCs/>
          <w:lang w:val="en-GB"/>
        </w:rPr>
        <w:t xml:space="preserve">explored the </w:t>
      </w:r>
      <w:r>
        <w:rPr>
          <w:bCs/>
          <w:lang w:val="en-GB"/>
        </w:rPr>
        <w:t xml:space="preserve">host-guest interactions </w:t>
      </w:r>
      <w:r w:rsidR="00B67CB7">
        <w:rPr>
          <w:bCs/>
          <w:lang w:val="en-GB"/>
        </w:rPr>
        <w:t>of these complexes quantitatively</w:t>
      </w:r>
      <w:r>
        <w:rPr>
          <w:bCs/>
          <w:lang w:val="en-GB"/>
        </w:rPr>
        <w:t xml:space="preserve"> </w:t>
      </w:r>
      <w:r w:rsidR="004D7C40">
        <w:rPr>
          <w:bCs/>
          <w:lang w:val="en-GB"/>
        </w:rPr>
        <w:t xml:space="preserve">to obtain information about </w:t>
      </w:r>
      <w:r w:rsidR="00266FB8">
        <w:rPr>
          <w:bCs/>
          <w:lang w:val="en-GB"/>
        </w:rPr>
        <w:t>binding constants</w:t>
      </w:r>
      <w:r w:rsidR="002C4A27">
        <w:rPr>
          <w:bCs/>
          <w:lang w:val="en-GB"/>
        </w:rPr>
        <w:t xml:space="preserve">, </w:t>
      </w:r>
      <w:r w:rsidR="00CB7CDE">
        <w:rPr>
          <w:bCs/>
          <w:lang w:val="en-GB"/>
        </w:rPr>
        <w:t xml:space="preserve">the local microenvironment of the cage cavity, and how the radical guests </w:t>
      </w:r>
      <w:r w:rsidR="002C4A27">
        <w:rPr>
          <w:bCs/>
          <w:lang w:val="en-GB"/>
        </w:rPr>
        <w:t>behaved inside.</w:t>
      </w:r>
      <w:r w:rsidR="0027466B">
        <w:rPr>
          <w:bCs/>
          <w:lang w:val="en-GB"/>
        </w:rPr>
        <w:t xml:space="preserve"> </w:t>
      </w:r>
      <w:r w:rsidR="00BE70E4">
        <w:rPr>
          <w:bCs/>
          <w:lang w:val="en-GB"/>
        </w:rPr>
        <w:t>Experiments were performed</w:t>
      </w:r>
      <w:r w:rsidR="00240E72">
        <w:rPr>
          <w:bCs/>
          <w:lang w:val="en-GB"/>
        </w:rPr>
        <w:t xml:space="preserve"> with</w:t>
      </w:r>
      <w:r>
        <w:rPr>
          <w:bCs/>
          <w:lang w:val="en-GB"/>
        </w:rPr>
        <w:t xml:space="preserve"> radical concentrations </w:t>
      </w:r>
      <w:r w:rsidRPr="00617F21">
        <w:rPr>
          <w:bCs/>
          <w:lang w:val="en-GB"/>
        </w:rPr>
        <w:t>1</w:t>
      </w:r>
      <w:r w:rsidRPr="00617F21">
        <w:rPr>
          <w:rFonts w:ascii="Symbol" w:eastAsia="Symbol" w:hAnsi="Symbol" w:cs="Symbol"/>
          <w:lang w:val="en-GB"/>
        </w:rPr>
        <w:sym w:font="Symbol" w:char="F0B4"/>
      </w:r>
      <w:r w:rsidRPr="00617F21">
        <w:rPr>
          <w:bCs/>
          <w:lang w:val="en-GB"/>
        </w:rPr>
        <w:t>10</w:t>
      </w:r>
      <w:r w:rsidRPr="00617F21">
        <w:rPr>
          <w:bCs/>
          <w:vertAlign w:val="superscript"/>
          <w:lang w:val="en-GB"/>
        </w:rPr>
        <w:noBreakHyphen/>
        <w:t>5</w:t>
      </w:r>
      <w:r w:rsidRPr="00617F21">
        <w:rPr>
          <w:bCs/>
          <w:lang w:val="en-GB"/>
        </w:rPr>
        <w:t xml:space="preserve"> M, </w:t>
      </w:r>
      <w:r w:rsidR="0051046B">
        <w:rPr>
          <w:bCs/>
          <w:lang w:val="en-GB"/>
        </w:rPr>
        <w:t>2</w:t>
      </w:r>
      <w:r w:rsidR="0051046B" w:rsidRPr="00617F21">
        <w:rPr>
          <w:rFonts w:ascii="Symbol" w:eastAsia="Symbol" w:hAnsi="Symbol" w:cs="Symbol"/>
          <w:lang w:val="en-GB"/>
        </w:rPr>
        <w:sym w:font="Symbol" w:char="F0B4"/>
      </w:r>
      <w:r w:rsidR="0051046B" w:rsidRPr="00617F21">
        <w:rPr>
          <w:bCs/>
          <w:lang w:val="en-GB"/>
        </w:rPr>
        <w:t>10</w:t>
      </w:r>
      <w:r w:rsidR="0051046B" w:rsidRPr="00617F21">
        <w:rPr>
          <w:bCs/>
          <w:vertAlign w:val="superscript"/>
          <w:lang w:val="en-GB"/>
        </w:rPr>
        <w:noBreakHyphen/>
        <w:t>5</w:t>
      </w:r>
      <w:r w:rsidR="0051046B" w:rsidRPr="00617F21">
        <w:rPr>
          <w:bCs/>
          <w:lang w:val="en-GB"/>
        </w:rPr>
        <w:t xml:space="preserve"> M</w:t>
      </w:r>
      <w:r w:rsidR="0051046B">
        <w:rPr>
          <w:bCs/>
          <w:lang w:val="en-GB"/>
        </w:rPr>
        <w:t xml:space="preserve">, </w:t>
      </w:r>
      <w:r w:rsidRPr="00617F21">
        <w:rPr>
          <w:bCs/>
          <w:lang w:val="en-GB"/>
        </w:rPr>
        <w:t>4</w:t>
      </w:r>
      <w:r w:rsidRPr="00617F21">
        <w:rPr>
          <w:rFonts w:ascii="Symbol" w:eastAsia="Symbol" w:hAnsi="Symbol" w:cs="Symbol"/>
          <w:lang w:val="en-GB"/>
        </w:rPr>
        <w:sym w:font="Symbol" w:char="F0B4"/>
      </w:r>
      <w:r w:rsidRPr="00617F21">
        <w:rPr>
          <w:bCs/>
          <w:lang w:val="en-GB"/>
        </w:rPr>
        <w:t>10</w:t>
      </w:r>
      <w:r w:rsidR="00EA0BAB">
        <w:rPr>
          <w:bCs/>
          <w:vertAlign w:val="superscript"/>
          <w:lang w:val="en-GB"/>
        </w:rPr>
        <w:noBreakHyphen/>
      </w:r>
      <w:r w:rsidRPr="00617F21">
        <w:rPr>
          <w:bCs/>
          <w:vertAlign w:val="superscript"/>
          <w:lang w:val="en-GB"/>
        </w:rPr>
        <w:t>5</w:t>
      </w:r>
      <w:r w:rsidRPr="00617F21">
        <w:rPr>
          <w:bCs/>
          <w:lang w:val="en-GB"/>
        </w:rPr>
        <w:t xml:space="preserve"> M and 5</w:t>
      </w:r>
      <w:r w:rsidRPr="00617F21">
        <w:rPr>
          <w:rFonts w:ascii="Symbol" w:eastAsia="Symbol" w:hAnsi="Symbol" w:cs="Symbol"/>
          <w:lang w:val="en-GB"/>
        </w:rPr>
        <w:sym w:font="Symbol" w:char="F0B4"/>
      </w:r>
      <w:r w:rsidRPr="00617F21">
        <w:rPr>
          <w:bCs/>
          <w:lang w:val="en-GB"/>
        </w:rPr>
        <w:t>10</w:t>
      </w:r>
      <w:r w:rsidRPr="00617F21">
        <w:rPr>
          <w:bCs/>
          <w:vertAlign w:val="superscript"/>
          <w:lang w:val="en-GB"/>
        </w:rPr>
        <w:noBreakHyphen/>
        <w:t>5</w:t>
      </w:r>
      <w:r w:rsidRPr="00617F21">
        <w:rPr>
          <w:bCs/>
          <w:lang w:val="en-GB"/>
        </w:rPr>
        <w:t xml:space="preserve"> M</w:t>
      </w:r>
      <w:r w:rsidR="00BE70E4">
        <w:rPr>
          <w:bCs/>
          <w:lang w:val="en-GB"/>
        </w:rPr>
        <w:t xml:space="preserve">, and </w:t>
      </w:r>
      <w:r w:rsidR="00B72851">
        <w:rPr>
          <w:bCs/>
          <w:lang w:val="en-GB"/>
        </w:rPr>
        <w:t xml:space="preserve">the resulting spectra simulated </w:t>
      </w:r>
      <w:r w:rsidR="00D41E34">
        <w:rPr>
          <w:bCs/>
          <w:lang w:val="en-GB"/>
        </w:rPr>
        <w:t>to extract the necessary parameters for analysis.</w:t>
      </w:r>
    </w:p>
    <w:p w14:paraId="366F75B3" w14:textId="6B76D2F3" w:rsidR="00DE4E4C" w:rsidRDefault="00DE4E4C" w:rsidP="00B24843">
      <w:pPr>
        <w:pStyle w:val="TAMainText"/>
        <w:rPr>
          <w:lang w:val="en-GB"/>
        </w:rPr>
      </w:pPr>
      <w:r>
        <w:rPr>
          <w:bCs/>
          <w:lang w:val="en-GB"/>
        </w:rPr>
        <w:t xml:space="preserve">The EPR spectra were simulated as the combination of two components, </w:t>
      </w:r>
      <w:r w:rsidRPr="00617F21">
        <w:rPr>
          <w:bCs/>
          <w:lang w:val="en-GB"/>
        </w:rPr>
        <w:t>corresponding to a narrower, unbound component, and a broader, bound radical component</w:t>
      </w:r>
      <w:r>
        <w:rPr>
          <w:bCs/>
          <w:lang w:val="en-GB"/>
        </w:rPr>
        <w:t xml:space="preserve">. </w:t>
      </w:r>
      <w:r w:rsidRPr="00617F21">
        <w:rPr>
          <w:lang w:val="en-GB"/>
        </w:rPr>
        <w:t>The simulations showed the unbound component with three sharp signals, as expected for a nitroxide radical in the fast-motion regime. However, in the bound component, these signals appear to be far broader, providing evidence of restricted motion</w:t>
      </w:r>
      <w:r>
        <w:rPr>
          <w:lang w:val="en-GB"/>
        </w:rPr>
        <w:t xml:space="preserve"> (and Heisenberg exchange in the case of cage </w:t>
      </w:r>
      <w:r w:rsidR="008F3B5B" w:rsidRPr="008F3B5B">
        <w:rPr>
          <w:b/>
          <w:bCs/>
          <w:lang w:val="en-GB"/>
        </w:rPr>
        <w:t>C1w</w:t>
      </w:r>
      <w:r>
        <w:rPr>
          <w:lang w:val="en-GB"/>
        </w:rPr>
        <w:t>) (</w:t>
      </w:r>
      <w:r w:rsidR="008F3B5B" w:rsidRPr="008F3B5B">
        <w:rPr>
          <w:b/>
          <w:bCs/>
          <w:lang w:val="en-GB"/>
        </w:rPr>
        <w:fldChar w:fldCharType="begin"/>
      </w:r>
      <w:r w:rsidR="008F3B5B" w:rsidRPr="008F3B5B">
        <w:rPr>
          <w:b/>
          <w:bCs/>
          <w:lang w:val="en-GB"/>
        </w:rPr>
        <w:instrText xml:space="preserve"> REF _Ref35872735 \h </w:instrText>
      </w:r>
      <w:r w:rsidR="008F3B5B">
        <w:rPr>
          <w:b/>
          <w:bCs/>
          <w:lang w:val="en-GB"/>
        </w:rPr>
        <w:instrText xml:space="preserve"> \* MERGEFORMAT </w:instrText>
      </w:r>
      <w:r w:rsidR="008F3B5B" w:rsidRPr="008F3B5B">
        <w:rPr>
          <w:b/>
          <w:bCs/>
          <w:lang w:val="en-GB"/>
        </w:rPr>
      </w:r>
      <w:r w:rsidR="008F3B5B" w:rsidRPr="008F3B5B">
        <w:rPr>
          <w:b/>
          <w:bCs/>
          <w:lang w:val="en-GB"/>
        </w:rPr>
        <w:fldChar w:fldCharType="separate"/>
      </w:r>
      <w:r w:rsidR="00CE0E94" w:rsidRPr="0063019D">
        <w:rPr>
          <w:b/>
          <w:bCs/>
        </w:rPr>
        <w:t xml:space="preserve">Figure </w:t>
      </w:r>
      <w:r w:rsidR="00CE0E94" w:rsidRPr="0063019D">
        <w:rPr>
          <w:rFonts w:cs="Arial"/>
          <w:b/>
          <w:bCs/>
          <w:noProof/>
        </w:rPr>
        <w:t>5</w:t>
      </w:r>
      <w:r w:rsidR="008F3B5B" w:rsidRPr="008F3B5B">
        <w:rPr>
          <w:b/>
          <w:bCs/>
          <w:lang w:val="en-GB"/>
        </w:rPr>
        <w:fldChar w:fldCharType="end"/>
      </w:r>
      <w:r w:rsidRPr="008F3B5B">
        <w:rPr>
          <w:b/>
          <w:bCs/>
          <w:lang w:val="en-GB"/>
        </w:rPr>
        <w:t>a-c</w:t>
      </w:r>
      <w:r w:rsidR="00563629">
        <w:rPr>
          <w:lang w:val="en-GB"/>
        </w:rPr>
        <w:t>).</w:t>
      </w:r>
    </w:p>
    <w:p w14:paraId="0DDA5F1D" w14:textId="77777777" w:rsidR="00563629" w:rsidRDefault="00563629" w:rsidP="00563629">
      <w:pPr>
        <w:pStyle w:val="VAFigureCaption"/>
        <w:jc w:val="center"/>
      </w:pPr>
      <w:r>
        <w:rPr>
          <w:noProof/>
          <w:lang w:val="en-GB" w:eastAsia="en-GB"/>
        </w:rPr>
        <w:lastRenderedPageBreak/>
        <w:drawing>
          <wp:inline distT="0" distB="0" distL="0" distR="0" wp14:anchorId="712B3CEF" wp14:editId="22CD819B">
            <wp:extent cx="3035300" cy="6781800"/>
            <wp:effectExtent l="0" t="0" r="0" b="0"/>
            <wp:docPr id="19" name="Picture 19"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C Simulations Figure 2.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5300" cy="6781800"/>
                    </a:xfrm>
                    <a:prstGeom prst="rect">
                      <a:avLst/>
                    </a:prstGeom>
                  </pic:spPr>
                </pic:pic>
              </a:graphicData>
            </a:graphic>
          </wp:inline>
        </w:drawing>
      </w:r>
    </w:p>
    <w:p w14:paraId="0D7F8C04" w14:textId="0706ED83" w:rsidR="00563629" w:rsidRPr="00B83542" w:rsidRDefault="00563629" w:rsidP="00563629">
      <w:pPr>
        <w:pStyle w:val="VAFigureCaption"/>
      </w:pPr>
      <w:bookmarkStart w:id="4" w:name="_Ref35872735"/>
      <w:r w:rsidRPr="00617F21">
        <w:rPr>
          <w:b/>
        </w:rPr>
        <w:t xml:space="preserve">Figure </w:t>
      </w:r>
      <w:r w:rsidRPr="00D75F1E">
        <w:rPr>
          <w:rFonts w:cs="Arial"/>
          <w:b/>
        </w:rPr>
        <w:fldChar w:fldCharType="begin"/>
      </w:r>
      <w:r w:rsidRPr="00D75F1E">
        <w:rPr>
          <w:rFonts w:cs="Arial"/>
          <w:b/>
        </w:rPr>
        <w:instrText xml:space="preserve"> SEQ Figure \* ARABIC </w:instrText>
      </w:r>
      <w:r w:rsidRPr="00D75F1E">
        <w:rPr>
          <w:rFonts w:cs="Arial"/>
          <w:b/>
        </w:rPr>
        <w:fldChar w:fldCharType="separate"/>
      </w:r>
      <w:r w:rsidR="00CE0E94">
        <w:rPr>
          <w:rFonts w:cs="Arial"/>
          <w:b/>
          <w:noProof/>
        </w:rPr>
        <w:t>5</w:t>
      </w:r>
      <w:r w:rsidRPr="00D75F1E">
        <w:rPr>
          <w:rFonts w:cs="Arial"/>
          <w:b/>
        </w:rPr>
        <w:fldChar w:fldCharType="end"/>
      </w:r>
      <w:bookmarkEnd w:id="4"/>
      <w:r w:rsidRPr="00617F21">
        <w:rPr>
          <w:b/>
        </w:rPr>
        <w:t>.</w:t>
      </w:r>
      <w:r w:rsidRPr="00617F21">
        <w:t xml:space="preserve"> </w:t>
      </w:r>
      <w:r>
        <w:t>a) EPR spectrum of 2</w:t>
      </w:r>
      <w:r w:rsidR="007B15DA" w:rsidRPr="00617F21">
        <w:rPr>
          <w:rFonts w:ascii="Symbol" w:eastAsia="Symbol" w:hAnsi="Symbol" w:cs="Symbol"/>
        </w:rPr>
        <w:sym w:font="Symbol" w:char="F0B4"/>
      </w:r>
      <w:r>
        <w:t>10</w:t>
      </w:r>
      <w:r w:rsidRPr="00F376D4">
        <w:rPr>
          <w:vertAlign w:val="superscript"/>
        </w:rPr>
        <w:t>-5</w:t>
      </w:r>
      <w:r>
        <w:t xml:space="preserve"> M </w:t>
      </w:r>
      <w:r w:rsidRPr="008F3B5B">
        <w:rPr>
          <w:b/>
          <w:bCs/>
        </w:rPr>
        <w:t>R4</w:t>
      </w:r>
      <w:r>
        <w:t xml:space="preserve"> + </w:t>
      </w:r>
      <w:r w:rsidR="0057001F">
        <w:t>5</w:t>
      </w:r>
      <w:r w:rsidR="0057001F" w:rsidRPr="00A22240">
        <w:sym w:font="Symbol" w:char="F0B4"/>
      </w:r>
      <w:r w:rsidR="0057001F" w:rsidRPr="00A22240">
        <w:t>10</w:t>
      </w:r>
      <w:r w:rsidR="0057001F">
        <w:rPr>
          <w:vertAlign w:val="superscript"/>
        </w:rPr>
        <w:t>-4</w:t>
      </w:r>
      <w:r w:rsidR="0057001F">
        <w:t xml:space="preserve"> M </w:t>
      </w:r>
      <w:r w:rsidRPr="008F3B5B">
        <w:rPr>
          <w:b/>
          <w:bCs/>
        </w:rPr>
        <w:t>C1w</w:t>
      </w:r>
      <w:r>
        <w:t xml:space="preserve">. b) EPR spectrum of </w:t>
      </w:r>
      <w:r w:rsidRPr="00617F21">
        <w:t>2</w:t>
      </w:r>
      <w:r w:rsidRPr="00617F21">
        <w:rPr>
          <w:rFonts w:ascii="Symbol" w:eastAsia="Symbol" w:hAnsi="Symbol" w:cs="Symbol"/>
        </w:rPr>
        <w:sym w:font="Symbol" w:char="F0B4"/>
      </w:r>
      <w:r w:rsidRPr="00617F21">
        <w:t>10</w:t>
      </w:r>
      <w:r w:rsidRPr="00617F21">
        <w:rPr>
          <w:vertAlign w:val="superscript"/>
        </w:rPr>
        <w:t>-5</w:t>
      </w:r>
      <w:r w:rsidRPr="00617F21">
        <w:t xml:space="preserve"> M </w:t>
      </w:r>
      <w:r w:rsidRPr="008F3B5B">
        <w:rPr>
          <w:b/>
          <w:bCs/>
        </w:rPr>
        <w:t>R5</w:t>
      </w:r>
      <w:r w:rsidR="0057001F">
        <w:rPr>
          <w:b/>
          <w:bCs/>
        </w:rPr>
        <w:t xml:space="preserve"> </w:t>
      </w:r>
      <w:r w:rsidRPr="00617F21">
        <w:t>+</w:t>
      </w:r>
      <w:r w:rsidR="0057001F">
        <w:t xml:space="preserve"> </w:t>
      </w:r>
      <w:r w:rsidR="005B7488">
        <w:t>5</w:t>
      </w:r>
      <w:r w:rsidR="005B7488" w:rsidRPr="00A22240">
        <w:sym w:font="Symbol" w:char="F0B4"/>
      </w:r>
      <w:r w:rsidR="005B7488" w:rsidRPr="00A22240">
        <w:t>10</w:t>
      </w:r>
      <w:r w:rsidR="005B7488">
        <w:rPr>
          <w:vertAlign w:val="superscript"/>
        </w:rPr>
        <w:t>-4</w:t>
      </w:r>
      <w:r w:rsidR="005B7488">
        <w:t xml:space="preserve"> M </w:t>
      </w:r>
      <w:r w:rsidRPr="008F3B5B">
        <w:rPr>
          <w:b/>
          <w:bCs/>
        </w:rPr>
        <w:t>C2org</w:t>
      </w:r>
      <w:r>
        <w:t xml:space="preserve"> c) EPR spectrum of </w:t>
      </w:r>
      <w:r w:rsidRPr="00617F21">
        <w:t>4</w:t>
      </w:r>
      <w:r w:rsidRPr="00617F21">
        <w:rPr>
          <w:rFonts w:ascii="Symbol" w:eastAsia="Symbol" w:hAnsi="Symbol" w:cs="Symbol"/>
        </w:rPr>
        <w:sym w:font="Symbol" w:char="F0B4"/>
      </w:r>
      <w:r w:rsidRPr="00617F21">
        <w:t>10</w:t>
      </w:r>
      <w:r w:rsidRPr="00617F21">
        <w:rPr>
          <w:vertAlign w:val="superscript"/>
        </w:rPr>
        <w:t>-5</w:t>
      </w:r>
      <w:r w:rsidRPr="00617F21">
        <w:t xml:space="preserve"> M </w:t>
      </w:r>
      <w:r w:rsidRPr="008F3B5B">
        <w:rPr>
          <w:b/>
          <w:bCs/>
        </w:rPr>
        <w:t>R6</w:t>
      </w:r>
      <w:r>
        <w:t xml:space="preserve"> + </w:t>
      </w:r>
      <w:r w:rsidR="005B7488">
        <w:t>5</w:t>
      </w:r>
      <w:r w:rsidR="005B7488" w:rsidRPr="00A22240">
        <w:sym w:font="Symbol" w:char="F0B4"/>
      </w:r>
      <w:r w:rsidR="005B7488" w:rsidRPr="00A22240">
        <w:t>10</w:t>
      </w:r>
      <w:r w:rsidR="005B7488">
        <w:rPr>
          <w:vertAlign w:val="superscript"/>
        </w:rPr>
        <w:t>-4</w:t>
      </w:r>
      <w:r w:rsidR="005B7488">
        <w:t xml:space="preserve"> M </w:t>
      </w:r>
      <w:r w:rsidRPr="008F3B5B">
        <w:rPr>
          <w:b/>
          <w:bCs/>
        </w:rPr>
        <w:t>C2org</w:t>
      </w:r>
      <w:r>
        <w:rPr>
          <w:b/>
        </w:rPr>
        <w:t xml:space="preserve">. </w:t>
      </w:r>
      <w:r>
        <w:t>Experimental (dotted, black), simulated (green), simulated unbound (red), and bound (blue) components.</w:t>
      </w:r>
    </w:p>
    <w:p w14:paraId="4A6EA37C" w14:textId="668817BA" w:rsidR="007F2ED4" w:rsidRDefault="007F2ED4" w:rsidP="00B24843">
      <w:pPr>
        <w:pStyle w:val="TAMainText"/>
      </w:pPr>
      <w:r>
        <w:rPr>
          <w:bCs/>
        </w:rPr>
        <w:lastRenderedPageBreak/>
        <w:t xml:space="preserve">For </w:t>
      </w:r>
      <w:r w:rsidR="008F3B5B" w:rsidRPr="008F3B5B">
        <w:rPr>
          <w:b/>
          <w:bCs/>
        </w:rPr>
        <w:t>R4</w:t>
      </w:r>
      <w:r w:rsidRPr="00617F21">
        <w:rPr>
          <w:b/>
        </w:rPr>
        <w:t>+</w:t>
      </w:r>
      <w:r w:rsidR="008F3B5B" w:rsidRPr="008F3B5B">
        <w:rPr>
          <w:b/>
          <w:bCs/>
        </w:rPr>
        <w:t>C1w</w:t>
      </w:r>
      <w:r>
        <w:t xml:space="preserve"> and </w:t>
      </w:r>
      <w:r w:rsidR="008F3B5B" w:rsidRPr="008F3B5B">
        <w:rPr>
          <w:b/>
          <w:bCs/>
        </w:rPr>
        <w:t>R5</w:t>
      </w:r>
      <w:r w:rsidRPr="00617F21">
        <w:rPr>
          <w:b/>
        </w:rPr>
        <w:t>+</w:t>
      </w:r>
      <w:r w:rsidR="008F3B5B" w:rsidRPr="008F3B5B">
        <w:rPr>
          <w:b/>
          <w:bCs/>
        </w:rPr>
        <w:t>C2org</w:t>
      </w:r>
      <w:r>
        <w:t xml:space="preserve"> the</w:t>
      </w:r>
      <w:bookmarkStart w:id="5" w:name="_GoBack"/>
      <w:bookmarkEnd w:id="5"/>
      <w:r>
        <w:t xml:space="preserve"> bound components were still considered to be in the fast-motion regime, whilst for </w:t>
      </w:r>
      <w:r w:rsidR="008F3B5B" w:rsidRPr="008F3B5B">
        <w:rPr>
          <w:b/>
          <w:bCs/>
        </w:rPr>
        <w:t>R6</w:t>
      </w:r>
      <w:r w:rsidRPr="00617F21">
        <w:rPr>
          <w:b/>
        </w:rPr>
        <w:t>+</w:t>
      </w:r>
      <w:r w:rsidR="008F3B5B" w:rsidRPr="008F3B5B">
        <w:rPr>
          <w:b/>
          <w:bCs/>
        </w:rPr>
        <w:t>C2org</w:t>
      </w:r>
      <w:r>
        <w:t xml:space="preserve"> the change in </w:t>
      </w:r>
      <w:proofErr w:type="spellStart"/>
      <w:r>
        <w:t>lineshape</w:t>
      </w:r>
      <w:proofErr w:type="spellEnd"/>
      <w:r>
        <w:t xml:space="preserve"> for the bound component appeared to be significant enough that the motion was considered to be in the slow-motion regime. </w:t>
      </w:r>
    </w:p>
    <w:p w14:paraId="2400B6B9" w14:textId="17A83581" w:rsidR="007F2ED4" w:rsidRDefault="007F2ED4" w:rsidP="00B24843">
      <w:pPr>
        <w:pStyle w:val="TAMainText"/>
      </w:pPr>
      <w:r>
        <w:t xml:space="preserve">For all </w:t>
      </w:r>
      <w:proofErr w:type="spellStart"/>
      <w:r>
        <w:t>radical+cage</w:t>
      </w:r>
      <w:proofErr w:type="spellEnd"/>
      <w:r>
        <w:t xml:space="preserve"> combinations, the spectra for each concentration were simulated with the same set of optimized EPR parameters (</w:t>
      </w:r>
      <w:r w:rsidR="008F3B5B" w:rsidRPr="008F3B5B">
        <w:rPr>
          <w:b/>
          <w:bCs/>
        </w:rPr>
        <w:t>Tables 1-2</w:t>
      </w:r>
      <w:r>
        <w:t>), which made it possible to determine the contribution from free and encapsulated guests and hence calculate the association constants for host-guest interaction (</w:t>
      </w:r>
      <w:r w:rsidR="008F3B5B">
        <w:fldChar w:fldCharType="begin"/>
      </w:r>
      <w:r w:rsidR="008F3B5B">
        <w:instrText xml:space="preserve"> REF _Ref35872926 \h </w:instrText>
      </w:r>
      <w:r w:rsidR="008F3B5B">
        <w:fldChar w:fldCharType="separate"/>
      </w:r>
      <w:r w:rsidR="00CE0E94" w:rsidRPr="00DD759E">
        <w:rPr>
          <w:b/>
          <w:bCs/>
        </w:rPr>
        <w:t xml:space="preserve">Table </w:t>
      </w:r>
      <w:r w:rsidR="00CE0E94">
        <w:rPr>
          <w:b/>
          <w:bCs/>
          <w:noProof/>
        </w:rPr>
        <w:t>3</w:t>
      </w:r>
      <w:r w:rsidR="008F3B5B">
        <w:fldChar w:fldCharType="end"/>
      </w:r>
      <w:r>
        <w:t>, see details in supporting information). This approach assumes that encapsulation is slow on the EPR time scale, which is commonly observed for supramolecular interactions at room temperature.</w:t>
      </w:r>
    </w:p>
    <w:p w14:paraId="6266C470" w14:textId="3D8F3EC4" w:rsidR="00563629" w:rsidRDefault="00563629" w:rsidP="00563629">
      <w:pPr>
        <w:pStyle w:val="VDTableTitle"/>
      </w:pPr>
      <w:bookmarkStart w:id="6" w:name="_Ref35872842"/>
      <w:r w:rsidRPr="00DD759E">
        <w:rPr>
          <w:b/>
          <w:bCs/>
        </w:rPr>
        <w:t xml:space="preserve">Table </w:t>
      </w:r>
      <w:r w:rsidRPr="00DD759E">
        <w:rPr>
          <w:b/>
          <w:bCs/>
        </w:rPr>
        <w:fldChar w:fldCharType="begin"/>
      </w:r>
      <w:r w:rsidRPr="00DD759E">
        <w:rPr>
          <w:b/>
          <w:bCs/>
        </w:rPr>
        <w:instrText xml:space="preserve"> SEQ Table \* ARABIC </w:instrText>
      </w:r>
      <w:r w:rsidRPr="00DD759E">
        <w:rPr>
          <w:b/>
          <w:bCs/>
        </w:rPr>
        <w:fldChar w:fldCharType="separate"/>
      </w:r>
      <w:r w:rsidR="00CE0E94">
        <w:rPr>
          <w:b/>
          <w:bCs/>
          <w:noProof/>
        </w:rPr>
        <w:t>1</w:t>
      </w:r>
      <w:r w:rsidRPr="00DD759E">
        <w:rPr>
          <w:b/>
          <w:bCs/>
        </w:rPr>
        <w:fldChar w:fldCharType="end"/>
      </w:r>
      <w:bookmarkEnd w:id="6"/>
      <w:r w:rsidRPr="00DD759E">
        <w:rPr>
          <w:b/>
          <w:bCs/>
        </w:rPr>
        <w:t>.</w:t>
      </w:r>
      <w:r>
        <w:t xml:space="preserve"> </w:t>
      </w:r>
      <w:r w:rsidRPr="00617F21">
        <w:t xml:space="preserve">Averaged parameters for the simulations of </w:t>
      </w:r>
      <w:r w:rsidRPr="00617F21">
        <w:rPr>
          <w:b/>
          <w:bCs/>
        </w:rPr>
        <w:t>R</w:t>
      </w:r>
      <w:r w:rsidRPr="00617F21">
        <w:t>+</w:t>
      </w:r>
      <w:r w:rsidRPr="00617F21">
        <w:rPr>
          <w:b/>
          <w:bCs/>
        </w:rPr>
        <w:t>C</w:t>
      </w:r>
      <w:r w:rsidRPr="00617F21">
        <w:t xml:space="preserve"> spectra</w:t>
      </w:r>
    </w:p>
    <w:tbl>
      <w:tblPr>
        <w:tblW w:w="5000" w:type="pct"/>
        <w:tblLook w:val="01E0" w:firstRow="1" w:lastRow="1" w:firstColumn="1" w:lastColumn="1" w:noHBand="0" w:noVBand="0"/>
      </w:tblPr>
      <w:tblGrid>
        <w:gridCol w:w="1594"/>
        <w:gridCol w:w="1659"/>
        <w:gridCol w:w="787"/>
        <w:gridCol w:w="787"/>
        <w:gridCol w:w="789"/>
        <w:gridCol w:w="1685"/>
        <w:gridCol w:w="2275"/>
      </w:tblGrid>
      <w:tr w:rsidR="00563629" w:rsidRPr="00617F21" w14:paraId="19C6C460" w14:textId="77777777" w:rsidTr="00C37BCB">
        <w:trPr>
          <w:trHeight w:val="37"/>
        </w:trPr>
        <w:tc>
          <w:tcPr>
            <w:tcW w:w="832" w:type="pct"/>
            <w:vMerge w:val="restart"/>
            <w:tcBorders>
              <w:top w:val="single" w:sz="8" w:space="0" w:color="auto"/>
            </w:tcBorders>
          </w:tcPr>
          <w:p w14:paraId="1B8AF4A6" w14:textId="77777777" w:rsidR="00563629" w:rsidRPr="00617F21" w:rsidRDefault="00563629" w:rsidP="00C37BCB">
            <w:pPr>
              <w:pStyle w:val="TCTableBody"/>
            </w:pPr>
          </w:p>
        </w:tc>
        <w:tc>
          <w:tcPr>
            <w:tcW w:w="866" w:type="pct"/>
            <w:vMerge w:val="restart"/>
            <w:tcBorders>
              <w:top w:val="single" w:sz="8" w:space="0" w:color="auto"/>
            </w:tcBorders>
            <w:vAlign w:val="center"/>
          </w:tcPr>
          <w:p w14:paraId="3CD856BA" w14:textId="77777777" w:rsidR="00563629" w:rsidRPr="00617F21" w:rsidRDefault="00563629" w:rsidP="00C37BCB">
            <w:pPr>
              <w:pStyle w:val="TCTableBody"/>
            </w:pPr>
            <w:r w:rsidRPr="00617F21">
              <w:t>Component</w:t>
            </w:r>
          </w:p>
        </w:tc>
        <w:tc>
          <w:tcPr>
            <w:tcW w:w="1234" w:type="pct"/>
            <w:gridSpan w:val="3"/>
            <w:tcBorders>
              <w:top w:val="single" w:sz="8" w:space="0" w:color="auto"/>
            </w:tcBorders>
            <w:vAlign w:val="center"/>
          </w:tcPr>
          <w:p w14:paraId="5283EFEA" w14:textId="77777777" w:rsidR="00563629" w:rsidRPr="00617F21" w:rsidRDefault="00563629" w:rsidP="00C37BCB">
            <w:pPr>
              <w:pStyle w:val="TCTableBody"/>
              <w:rPr>
                <w:vertAlign w:val="superscript"/>
              </w:rPr>
            </w:pPr>
            <w:r w:rsidRPr="00617F21">
              <w:t>Lorentzian / G</w:t>
            </w:r>
            <w:r w:rsidRPr="00617F21">
              <w:rPr>
                <w:vertAlign w:val="superscript"/>
              </w:rPr>
              <w:t>[a]</w:t>
            </w:r>
          </w:p>
        </w:tc>
        <w:tc>
          <w:tcPr>
            <w:tcW w:w="880" w:type="pct"/>
            <w:tcBorders>
              <w:top w:val="single" w:sz="8" w:space="0" w:color="auto"/>
            </w:tcBorders>
            <w:vAlign w:val="center"/>
          </w:tcPr>
          <w:p w14:paraId="2A97D5C0" w14:textId="77777777" w:rsidR="00563629" w:rsidRPr="00617F21" w:rsidRDefault="00563629" w:rsidP="00C37BCB">
            <w:pPr>
              <w:pStyle w:val="TCTableBody"/>
              <w:rPr>
                <w:vertAlign w:val="superscript"/>
              </w:rPr>
            </w:pPr>
            <w:r w:rsidRPr="00617F21">
              <w:t>Gaussian / G</w:t>
            </w:r>
            <w:r w:rsidRPr="00617F21">
              <w:rPr>
                <w:vertAlign w:val="superscript"/>
              </w:rPr>
              <w:t>[b]</w:t>
            </w:r>
          </w:p>
        </w:tc>
        <w:tc>
          <w:tcPr>
            <w:tcW w:w="1188" w:type="pct"/>
            <w:vMerge w:val="restart"/>
            <w:tcBorders>
              <w:top w:val="single" w:sz="8" w:space="0" w:color="auto"/>
            </w:tcBorders>
            <w:vAlign w:val="center"/>
          </w:tcPr>
          <w:p w14:paraId="1DEFF640" w14:textId="77777777" w:rsidR="00563629" w:rsidRPr="00617F21" w:rsidRDefault="00563629" w:rsidP="00C37BCB">
            <w:pPr>
              <w:pStyle w:val="TCTableBody"/>
              <w:rPr>
                <w:vertAlign w:val="superscript"/>
              </w:rPr>
            </w:pPr>
            <w:r w:rsidRPr="00617F21">
              <w:t>Nitroxide Hyperfine / G</w:t>
            </w:r>
          </w:p>
        </w:tc>
      </w:tr>
      <w:tr w:rsidR="00563629" w:rsidRPr="00617F21" w14:paraId="1FB5929D" w14:textId="77777777" w:rsidTr="00C37BCB">
        <w:trPr>
          <w:trHeight w:val="57"/>
        </w:trPr>
        <w:tc>
          <w:tcPr>
            <w:tcW w:w="832" w:type="pct"/>
            <w:vMerge/>
            <w:tcBorders>
              <w:bottom w:val="single" w:sz="8" w:space="0" w:color="auto"/>
            </w:tcBorders>
          </w:tcPr>
          <w:p w14:paraId="79686985" w14:textId="77777777" w:rsidR="00563629" w:rsidRPr="00617F21" w:rsidRDefault="00563629" w:rsidP="00C37BCB">
            <w:pPr>
              <w:pStyle w:val="TCTableBody"/>
            </w:pPr>
          </w:p>
        </w:tc>
        <w:tc>
          <w:tcPr>
            <w:tcW w:w="866" w:type="pct"/>
            <w:vMerge/>
            <w:tcBorders>
              <w:bottom w:val="single" w:sz="8" w:space="0" w:color="auto"/>
            </w:tcBorders>
            <w:vAlign w:val="center"/>
          </w:tcPr>
          <w:p w14:paraId="35A4FA92" w14:textId="77777777" w:rsidR="00563629" w:rsidRPr="00617F21" w:rsidRDefault="00563629" w:rsidP="00C37BCB">
            <w:pPr>
              <w:pStyle w:val="TCTableBody"/>
            </w:pPr>
          </w:p>
        </w:tc>
        <w:tc>
          <w:tcPr>
            <w:tcW w:w="411" w:type="pct"/>
            <w:tcBorders>
              <w:bottom w:val="single" w:sz="8" w:space="0" w:color="auto"/>
            </w:tcBorders>
            <w:vAlign w:val="center"/>
          </w:tcPr>
          <w:p w14:paraId="152D7235" w14:textId="77777777" w:rsidR="00563629" w:rsidRPr="00617F21" w:rsidRDefault="00563629" w:rsidP="00C37BCB">
            <w:pPr>
              <w:pStyle w:val="TCTableBody"/>
            </w:pPr>
            <w:r w:rsidRPr="00617F21">
              <w:t>(1)</w:t>
            </w:r>
          </w:p>
        </w:tc>
        <w:tc>
          <w:tcPr>
            <w:tcW w:w="411" w:type="pct"/>
            <w:tcBorders>
              <w:bottom w:val="single" w:sz="8" w:space="0" w:color="auto"/>
            </w:tcBorders>
            <w:vAlign w:val="center"/>
          </w:tcPr>
          <w:p w14:paraId="0B831374" w14:textId="77777777" w:rsidR="00563629" w:rsidRPr="00617F21" w:rsidRDefault="00563629" w:rsidP="00C37BCB">
            <w:pPr>
              <w:pStyle w:val="TCTableBody"/>
            </w:pPr>
            <w:r w:rsidRPr="00617F21">
              <w:t>(0)</w:t>
            </w:r>
          </w:p>
        </w:tc>
        <w:tc>
          <w:tcPr>
            <w:tcW w:w="412" w:type="pct"/>
            <w:tcBorders>
              <w:bottom w:val="single" w:sz="8" w:space="0" w:color="auto"/>
            </w:tcBorders>
            <w:vAlign w:val="center"/>
          </w:tcPr>
          <w:p w14:paraId="3E8E0575" w14:textId="77777777" w:rsidR="00563629" w:rsidRPr="00617F21" w:rsidRDefault="00563629" w:rsidP="00C37BCB">
            <w:pPr>
              <w:pStyle w:val="TCTableBody"/>
            </w:pPr>
            <w:r w:rsidRPr="00617F21">
              <w:t>(-1)</w:t>
            </w:r>
          </w:p>
        </w:tc>
        <w:tc>
          <w:tcPr>
            <w:tcW w:w="880" w:type="pct"/>
            <w:tcBorders>
              <w:bottom w:val="single" w:sz="8" w:space="0" w:color="auto"/>
            </w:tcBorders>
          </w:tcPr>
          <w:p w14:paraId="69743BCF" w14:textId="77777777" w:rsidR="00563629" w:rsidRPr="00617F21" w:rsidRDefault="00563629" w:rsidP="00C37BCB">
            <w:pPr>
              <w:pStyle w:val="TCTableBody"/>
            </w:pPr>
          </w:p>
        </w:tc>
        <w:tc>
          <w:tcPr>
            <w:tcW w:w="1188" w:type="pct"/>
            <w:vMerge/>
            <w:tcBorders>
              <w:bottom w:val="single" w:sz="8" w:space="0" w:color="auto"/>
            </w:tcBorders>
          </w:tcPr>
          <w:p w14:paraId="2B275A07" w14:textId="77777777" w:rsidR="00563629" w:rsidRPr="00617F21" w:rsidRDefault="00563629" w:rsidP="00C37BCB">
            <w:pPr>
              <w:pStyle w:val="TCTableBody"/>
            </w:pPr>
          </w:p>
        </w:tc>
      </w:tr>
      <w:tr w:rsidR="00563629" w:rsidRPr="00617F21" w14:paraId="1F65A3EC" w14:textId="77777777" w:rsidTr="00C37BCB">
        <w:trPr>
          <w:trHeight w:val="37"/>
        </w:trPr>
        <w:tc>
          <w:tcPr>
            <w:tcW w:w="832" w:type="pct"/>
            <w:tcBorders>
              <w:top w:val="single" w:sz="8" w:space="0" w:color="auto"/>
            </w:tcBorders>
          </w:tcPr>
          <w:p w14:paraId="13C6633C" w14:textId="77777777" w:rsidR="00563629" w:rsidRPr="00617F21" w:rsidRDefault="00563629" w:rsidP="00C37BCB">
            <w:pPr>
              <w:pStyle w:val="TCTableBody"/>
            </w:pPr>
            <w:r w:rsidRPr="008F3B5B">
              <w:rPr>
                <w:b/>
                <w:bCs/>
              </w:rPr>
              <w:t>R4</w:t>
            </w:r>
            <w:r>
              <w:t>+</w:t>
            </w:r>
            <w:r w:rsidRPr="008F3B5B">
              <w:rPr>
                <w:b/>
                <w:bCs/>
              </w:rPr>
              <w:t>C1w</w:t>
            </w:r>
          </w:p>
        </w:tc>
        <w:tc>
          <w:tcPr>
            <w:tcW w:w="866" w:type="pct"/>
            <w:tcBorders>
              <w:top w:val="single" w:sz="8" w:space="0" w:color="auto"/>
            </w:tcBorders>
          </w:tcPr>
          <w:p w14:paraId="3CD9B23D" w14:textId="77777777" w:rsidR="00563629" w:rsidRPr="00617F21" w:rsidRDefault="00563629" w:rsidP="00C37BCB">
            <w:pPr>
              <w:pStyle w:val="TCTableBody"/>
            </w:pPr>
            <w:r w:rsidRPr="00617F21">
              <w:t>Unbound</w:t>
            </w:r>
          </w:p>
        </w:tc>
        <w:tc>
          <w:tcPr>
            <w:tcW w:w="411" w:type="pct"/>
            <w:tcBorders>
              <w:top w:val="single" w:sz="8" w:space="0" w:color="auto"/>
            </w:tcBorders>
            <w:vAlign w:val="center"/>
          </w:tcPr>
          <w:p w14:paraId="0697A5E8" w14:textId="77777777" w:rsidR="00563629" w:rsidRPr="00617F21" w:rsidRDefault="00563629" w:rsidP="00C37BCB">
            <w:pPr>
              <w:pStyle w:val="TCTableBody"/>
            </w:pPr>
            <w:r w:rsidRPr="00617F21">
              <w:t>0.18</w:t>
            </w:r>
          </w:p>
        </w:tc>
        <w:tc>
          <w:tcPr>
            <w:tcW w:w="411" w:type="pct"/>
            <w:tcBorders>
              <w:top w:val="single" w:sz="8" w:space="0" w:color="auto"/>
            </w:tcBorders>
            <w:vAlign w:val="center"/>
          </w:tcPr>
          <w:p w14:paraId="02C45D4C" w14:textId="77777777" w:rsidR="00563629" w:rsidRPr="00617F21" w:rsidRDefault="00563629" w:rsidP="00C37BCB">
            <w:pPr>
              <w:pStyle w:val="TCTableBody"/>
            </w:pPr>
            <w:r w:rsidRPr="00617F21">
              <w:t>0.19</w:t>
            </w:r>
          </w:p>
        </w:tc>
        <w:tc>
          <w:tcPr>
            <w:tcW w:w="412" w:type="pct"/>
            <w:tcBorders>
              <w:top w:val="single" w:sz="8" w:space="0" w:color="auto"/>
            </w:tcBorders>
            <w:vAlign w:val="center"/>
          </w:tcPr>
          <w:p w14:paraId="423BDFEF" w14:textId="77777777" w:rsidR="00563629" w:rsidRPr="00617F21" w:rsidRDefault="00563629" w:rsidP="00C37BCB">
            <w:pPr>
              <w:pStyle w:val="TCTableBody"/>
            </w:pPr>
            <w:r w:rsidRPr="00617F21">
              <w:t>0.22</w:t>
            </w:r>
          </w:p>
        </w:tc>
        <w:tc>
          <w:tcPr>
            <w:tcW w:w="880" w:type="pct"/>
            <w:tcBorders>
              <w:top w:val="single" w:sz="8" w:space="0" w:color="auto"/>
            </w:tcBorders>
            <w:vAlign w:val="center"/>
          </w:tcPr>
          <w:p w14:paraId="0E0ABDEE" w14:textId="77777777" w:rsidR="00563629" w:rsidRPr="00617F21" w:rsidRDefault="00563629" w:rsidP="00C37BCB">
            <w:pPr>
              <w:pStyle w:val="TCTableBody"/>
            </w:pPr>
            <w:r w:rsidRPr="00617F21">
              <w:t>0.64</w:t>
            </w:r>
          </w:p>
        </w:tc>
        <w:tc>
          <w:tcPr>
            <w:tcW w:w="1188" w:type="pct"/>
            <w:tcBorders>
              <w:top w:val="single" w:sz="8" w:space="0" w:color="auto"/>
            </w:tcBorders>
            <w:vAlign w:val="center"/>
          </w:tcPr>
          <w:p w14:paraId="4D24FF5E" w14:textId="77777777" w:rsidR="00563629" w:rsidRPr="00617F21" w:rsidRDefault="00563629" w:rsidP="00C37BCB">
            <w:pPr>
              <w:pStyle w:val="TCTableBody"/>
            </w:pPr>
            <w:r w:rsidRPr="00617F21">
              <w:t>16.03</w:t>
            </w:r>
          </w:p>
        </w:tc>
      </w:tr>
      <w:tr w:rsidR="00563629" w:rsidRPr="00617F21" w14:paraId="2D2B3A96" w14:textId="77777777" w:rsidTr="00C37BCB">
        <w:trPr>
          <w:trHeight w:val="57"/>
        </w:trPr>
        <w:tc>
          <w:tcPr>
            <w:tcW w:w="832" w:type="pct"/>
          </w:tcPr>
          <w:p w14:paraId="194E685B" w14:textId="77777777" w:rsidR="00563629" w:rsidRPr="00617F21" w:rsidRDefault="00563629" w:rsidP="00C37BCB">
            <w:pPr>
              <w:pStyle w:val="TCTableBody"/>
            </w:pPr>
            <w:r w:rsidRPr="008F3B5B">
              <w:rPr>
                <w:b/>
                <w:bCs/>
              </w:rPr>
              <w:t>R4</w:t>
            </w:r>
            <w:r>
              <w:t>+</w:t>
            </w:r>
            <w:r w:rsidRPr="008F3B5B">
              <w:rPr>
                <w:b/>
                <w:bCs/>
              </w:rPr>
              <w:t>C1w</w:t>
            </w:r>
          </w:p>
        </w:tc>
        <w:tc>
          <w:tcPr>
            <w:tcW w:w="866" w:type="pct"/>
          </w:tcPr>
          <w:p w14:paraId="700639CE" w14:textId="77777777" w:rsidR="00563629" w:rsidRPr="00617F21" w:rsidRDefault="00563629" w:rsidP="00C37BCB">
            <w:pPr>
              <w:pStyle w:val="TCTableBody"/>
            </w:pPr>
            <w:r w:rsidRPr="00617F21">
              <w:t>Bound</w:t>
            </w:r>
          </w:p>
        </w:tc>
        <w:tc>
          <w:tcPr>
            <w:tcW w:w="411" w:type="pct"/>
            <w:vAlign w:val="center"/>
          </w:tcPr>
          <w:p w14:paraId="39E4905E" w14:textId="77777777" w:rsidR="00563629" w:rsidRPr="00617F21" w:rsidRDefault="00563629" w:rsidP="00C37BCB">
            <w:pPr>
              <w:pStyle w:val="TCTableBody"/>
            </w:pPr>
            <w:r w:rsidRPr="00617F21">
              <w:t>3.73</w:t>
            </w:r>
          </w:p>
        </w:tc>
        <w:tc>
          <w:tcPr>
            <w:tcW w:w="411" w:type="pct"/>
            <w:vAlign w:val="center"/>
          </w:tcPr>
          <w:p w14:paraId="10833BCB" w14:textId="77777777" w:rsidR="00563629" w:rsidRPr="00617F21" w:rsidRDefault="00563629" w:rsidP="00C37BCB">
            <w:pPr>
              <w:pStyle w:val="TCTableBody"/>
            </w:pPr>
            <w:r w:rsidRPr="00617F21">
              <w:t>3.68</w:t>
            </w:r>
          </w:p>
        </w:tc>
        <w:tc>
          <w:tcPr>
            <w:tcW w:w="412" w:type="pct"/>
            <w:vAlign w:val="center"/>
          </w:tcPr>
          <w:p w14:paraId="1599A5D4" w14:textId="77777777" w:rsidR="00563629" w:rsidRPr="00617F21" w:rsidRDefault="00563629" w:rsidP="00C37BCB">
            <w:pPr>
              <w:pStyle w:val="TCTableBody"/>
            </w:pPr>
            <w:r w:rsidRPr="00617F21">
              <w:t>4.50</w:t>
            </w:r>
          </w:p>
        </w:tc>
        <w:tc>
          <w:tcPr>
            <w:tcW w:w="880" w:type="pct"/>
            <w:vAlign w:val="center"/>
          </w:tcPr>
          <w:p w14:paraId="427B69A4" w14:textId="77777777" w:rsidR="00563629" w:rsidRPr="00617F21" w:rsidRDefault="00563629" w:rsidP="00C37BCB">
            <w:pPr>
              <w:pStyle w:val="TCTableBody"/>
            </w:pPr>
            <w:r w:rsidRPr="00617F21">
              <w:t>0.14</w:t>
            </w:r>
          </w:p>
        </w:tc>
        <w:tc>
          <w:tcPr>
            <w:tcW w:w="1188" w:type="pct"/>
            <w:vAlign w:val="center"/>
          </w:tcPr>
          <w:p w14:paraId="13909831" w14:textId="77777777" w:rsidR="00563629" w:rsidRPr="00617F21" w:rsidRDefault="00563629" w:rsidP="00C37BCB">
            <w:pPr>
              <w:pStyle w:val="TCTableBody"/>
            </w:pPr>
            <w:r w:rsidRPr="00617F21">
              <w:t>15.74</w:t>
            </w:r>
          </w:p>
        </w:tc>
      </w:tr>
      <w:tr w:rsidR="00563629" w:rsidRPr="00617F21" w14:paraId="12011E70" w14:textId="77777777" w:rsidTr="00C37BCB">
        <w:trPr>
          <w:trHeight w:val="57"/>
        </w:trPr>
        <w:tc>
          <w:tcPr>
            <w:tcW w:w="832" w:type="pct"/>
          </w:tcPr>
          <w:p w14:paraId="6E735B77" w14:textId="77777777" w:rsidR="00563629" w:rsidRDefault="00563629" w:rsidP="00C37BCB">
            <w:pPr>
              <w:pStyle w:val="TCTableBody"/>
            </w:pPr>
            <w:r w:rsidRPr="008F3B5B">
              <w:rPr>
                <w:b/>
                <w:bCs/>
              </w:rPr>
              <w:t>R5</w:t>
            </w:r>
            <w:r>
              <w:t>+</w:t>
            </w:r>
            <w:r w:rsidRPr="008F3B5B">
              <w:rPr>
                <w:b/>
                <w:bCs/>
              </w:rPr>
              <w:t>C2org</w:t>
            </w:r>
          </w:p>
        </w:tc>
        <w:tc>
          <w:tcPr>
            <w:tcW w:w="866" w:type="pct"/>
          </w:tcPr>
          <w:p w14:paraId="5A88CF4D" w14:textId="77777777" w:rsidR="00563629" w:rsidRPr="00617F21" w:rsidRDefault="00563629" w:rsidP="00C37BCB">
            <w:pPr>
              <w:pStyle w:val="TCTableBody"/>
            </w:pPr>
            <w:r w:rsidRPr="00617F21">
              <w:t>Unbound</w:t>
            </w:r>
          </w:p>
        </w:tc>
        <w:tc>
          <w:tcPr>
            <w:tcW w:w="411" w:type="pct"/>
            <w:vAlign w:val="center"/>
          </w:tcPr>
          <w:p w14:paraId="4D85AC8A" w14:textId="77777777" w:rsidR="00563629" w:rsidRPr="00617F21" w:rsidRDefault="00563629" w:rsidP="00C37BCB">
            <w:pPr>
              <w:pStyle w:val="TCTableBody"/>
            </w:pPr>
            <w:r w:rsidRPr="00617F21">
              <w:t>0.18</w:t>
            </w:r>
          </w:p>
        </w:tc>
        <w:tc>
          <w:tcPr>
            <w:tcW w:w="411" w:type="pct"/>
            <w:vAlign w:val="center"/>
          </w:tcPr>
          <w:p w14:paraId="1C3915BB" w14:textId="77777777" w:rsidR="00563629" w:rsidRPr="00617F21" w:rsidRDefault="00563629" w:rsidP="00C37BCB">
            <w:pPr>
              <w:pStyle w:val="TCTableBody"/>
            </w:pPr>
            <w:r w:rsidRPr="00617F21">
              <w:t>0.22</w:t>
            </w:r>
          </w:p>
        </w:tc>
        <w:tc>
          <w:tcPr>
            <w:tcW w:w="412" w:type="pct"/>
            <w:vAlign w:val="center"/>
          </w:tcPr>
          <w:p w14:paraId="55037A7A" w14:textId="77777777" w:rsidR="00563629" w:rsidRPr="00617F21" w:rsidRDefault="00563629" w:rsidP="00C37BCB">
            <w:pPr>
              <w:pStyle w:val="TCTableBody"/>
            </w:pPr>
            <w:r w:rsidRPr="00617F21">
              <w:t>0.40</w:t>
            </w:r>
          </w:p>
        </w:tc>
        <w:tc>
          <w:tcPr>
            <w:tcW w:w="880" w:type="pct"/>
            <w:vAlign w:val="center"/>
          </w:tcPr>
          <w:p w14:paraId="017E8878" w14:textId="77777777" w:rsidR="00563629" w:rsidRPr="00617F21" w:rsidRDefault="00563629" w:rsidP="00C37BCB">
            <w:pPr>
              <w:pStyle w:val="TCTableBody"/>
            </w:pPr>
            <w:r w:rsidRPr="00617F21">
              <w:t>1.56</w:t>
            </w:r>
          </w:p>
        </w:tc>
        <w:tc>
          <w:tcPr>
            <w:tcW w:w="1188" w:type="pct"/>
            <w:vAlign w:val="center"/>
          </w:tcPr>
          <w:p w14:paraId="6E461784" w14:textId="77777777" w:rsidR="00563629" w:rsidRPr="00617F21" w:rsidRDefault="00563629" w:rsidP="00C37BCB">
            <w:pPr>
              <w:pStyle w:val="TCTableBody"/>
            </w:pPr>
            <w:r w:rsidRPr="00617F21">
              <w:t>15.79</w:t>
            </w:r>
          </w:p>
        </w:tc>
      </w:tr>
      <w:tr w:rsidR="00563629" w:rsidRPr="00617F21" w14:paraId="767DB9E1" w14:textId="77777777" w:rsidTr="00C37BCB">
        <w:trPr>
          <w:trHeight w:val="57"/>
        </w:trPr>
        <w:tc>
          <w:tcPr>
            <w:tcW w:w="832" w:type="pct"/>
            <w:tcBorders>
              <w:bottom w:val="single" w:sz="8" w:space="0" w:color="auto"/>
            </w:tcBorders>
          </w:tcPr>
          <w:p w14:paraId="4FF97AE4" w14:textId="77777777" w:rsidR="00563629" w:rsidRDefault="00563629" w:rsidP="00C37BCB">
            <w:pPr>
              <w:pStyle w:val="TCTableBody"/>
            </w:pPr>
            <w:r w:rsidRPr="008F3B5B">
              <w:rPr>
                <w:b/>
                <w:bCs/>
              </w:rPr>
              <w:t>R5</w:t>
            </w:r>
            <w:r>
              <w:t>+</w:t>
            </w:r>
            <w:r w:rsidRPr="008F3B5B">
              <w:rPr>
                <w:b/>
                <w:bCs/>
              </w:rPr>
              <w:t>C2org</w:t>
            </w:r>
          </w:p>
        </w:tc>
        <w:tc>
          <w:tcPr>
            <w:tcW w:w="866" w:type="pct"/>
            <w:tcBorders>
              <w:bottom w:val="single" w:sz="8" w:space="0" w:color="auto"/>
            </w:tcBorders>
          </w:tcPr>
          <w:p w14:paraId="30EC4C41" w14:textId="77777777" w:rsidR="00563629" w:rsidRPr="00617F21" w:rsidRDefault="00563629" w:rsidP="00C37BCB">
            <w:pPr>
              <w:pStyle w:val="TCTableBody"/>
            </w:pPr>
            <w:r w:rsidRPr="00617F21">
              <w:t>Bound</w:t>
            </w:r>
          </w:p>
        </w:tc>
        <w:tc>
          <w:tcPr>
            <w:tcW w:w="411" w:type="pct"/>
            <w:tcBorders>
              <w:bottom w:val="single" w:sz="8" w:space="0" w:color="auto"/>
            </w:tcBorders>
            <w:vAlign w:val="center"/>
          </w:tcPr>
          <w:p w14:paraId="743621C4" w14:textId="77777777" w:rsidR="00563629" w:rsidRPr="00617F21" w:rsidRDefault="00563629" w:rsidP="00C37BCB">
            <w:pPr>
              <w:pStyle w:val="TCTableBody"/>
            </w:pPr>
            <w:r w:rsidRPr="00617F21">
              <w:t>4.10</w:t>
            </w:r>
          </w:p>
        </w:tc>
        <w:tc>
          <w:tcPr>
            <w:tcW w:w="411" w:type="pct"/>
            <w:tcBorders>
              <w:bottom w:val="single" w:sz="8" w:space="0" w:color="auto"/>
            </w:tcBorders>
            <w:vAlign w:val="center"/>
          </w:tcPr>
          <w:p w14:paraId="5BBA5955" w14:textId="77777777" w:rsidR="00563629" w:rsidRPr="00617F21" w:rsidRDefault="00563629" w:rsidP="00C37BCB">
            <w:pPr>
              <w:pStyle w:val="TCTableBody"/>
            </w:pPr>
            <w:r w:rsidRPr="00617F21">
              <w:t>3.94</w:t>
            </w:r>
          </w:p>
        </w:tc>
        <w:tc>
          <w:tcPr>
            <w:tcW w:w="412" w:type="pct"/>
            <w:tcBorders>
              <w:bottom w:val="single" w:sz="8" w:space="0" w:color="auto"/>
            </w:tcBorders>
            <w:vAlign w:val="center"/>
          </w:tcPr>
          <w:p w14:paraId="1701F8E8" w14:textId="77777777" w:rsidR="00563629" w:rsidRPr="00617F21" w:rsidRDefault="00563629" w:rsidP="00C37BCB">
            <w:pPr>
              <w:pStyle w:val="TCTableBody"/>
            </w:pPr>
            <w:r w:rsidRPr="00617F21">
              <w:t>7.70</w:t>
            </w:r>
          </w:p>
        </w:tc>
        <w:tc>
          <w:tcPr>
            <w:tcW w:w="880" w:type="pct"/>
            <w:tcBorders>
              <w:bottom w:val="single" w:sz="8" w:space="0" w:color="auto"/>
            </w:tcBorders>
            <w:vAlign w:val="center"/>
          </w:tcPr>
          <w:p w14:paraId="41B6ACC1" w14:textId="77777777" w:rsidR="00563629" w:rsidRPr="00617F21" w:rsidRDefault="00563629" w:rsidP="00C37BCB">
            <w:pPr>
              <w:pStyle w:val="TCTableBody"/>
            </w:pPr>
            <w:r w:rsidRPr="00617F21">
              <w:t>0.32</w:t>
            </w:r>
          </w:p>
        </w:tc>
        <w:tc>
          <w:tcPr>
            <w:tcW w:w="1188" w:type="pct"/>
            <w:tcBorders>
              <w:bottom w:val="single" w:sz="8" w:space="0" w:color="auto"/>
            </w:tcBorders>
            <w:vAlign w:val="center"/>
          </w:tcPr>
          <w:p w14:paraId="180E451A" w14:textId="77777777" w:rsidR="00563629" w:rsidRPr="00617F21" w:rsidRDefault="00563629" w:rsidP="00C37BCB">
            <w:pPr>
              <w:pStyle w:val="TCTableBody"/>
            </w:pPr>
            <w:r w:rsidRPr="00617F21">
              <w:t>16.36</w:t>
            </w:r>
          </w:p>
        </w:tc>
      </w:tr>
    </w:tbl>
    <w:p w14:paraId="5050D8DC" w14:textId="77777777" w:rsidR="00563629" w:rsidRDefault="00563629" w:rsidP="00563629">
      <w:pPr>
        <w:pStyle w:val="FETableFootnote"/>
        <w:ind w:firstLine="0"/>
      </w:pPr>
      <w:r w:rsidRPr="00617F21">
        <w:t>[a] Contribution of the Lorentzian function to the linewidth</w:t>
      </w:r>
      <w:r>
        <w:t>, for m</w:t>
      </w:r>
      <w:r>
        <w:rPr>
          <w:vertAlign w:val="subscript"/>
        </w:rPr>
        <w:t>l</w:t>
      </w:r>
      <w:r>
        <w:t xml:space="preserve"> = 1, 0 and -1.</w:t>
      </w:r>
      <w:r w:rsidRPr="00617F21">
        <w:t xml:space="preserve"> </w:t>
      </w:r>
    </w:p>
    <w:p w14:paraId="452CC59F" w14:textId="0621E922" w:rsidR="00563629" w:rsidRDefault="00563629" w:rsidP="00C90C1F">
      <w:pPr>
        <w:pStyle w:val="FETableFootnote"/>
        <w:ind w:firstLine="0"/>
      </w:pPr>
      <w:r w:rsidRPr="00617F21">
        <w:t>[</w:t>
      </w:r>
      <w:proofErr w:type="gramStart"/>
      <w:r w:rsidRPr="00617F21">
        <w:t>b</w:t>
      </w:r>
      <w:proofErr w:type="gramEnd"/>
      <w:r w:rsidRPr="00617F21">
        <w:t>] Contribution of the Gaussian envelope function</w:t>
      </w:r>
      <w:r>
        <w:t xml:space="preserve"> to the linewidth.</w:t>
      </w:r>
      <w:bookmarkStart w:id="7" w:name="_Ref35872851"/>
    </w:p>
    <w:p w14:paraId="31E397DC" w14:textId="095CDFC7" w:rsidR="00563629" w:rsidRPr="00656F50" w:rsidRDefault="00563629" w:rsidP="00563629">
      <w:pPr>
        <w:pStyle w:val="VDTableTitle"/>
      </w:pPr>
      <w:r w:rsidRPr="00DD759E">
        <w:rPr>
          <w:b/>
          <w:bCs/>
        </w:rPr>
        <w:t xml:space="preserve">Table </w:t>
      </w:r>
      <w:r w:rsidRPr="00DD759E">
        <w:rPr>
          <w:b/>
          <w:bCs/>
        </w:rPr>
        <w:fldChar w:fldCharType="begin"/>
      </w:r>
      <w:r w:rsidRPr="00DD759E">
        <w:rPr>
          <w:b/>
          <w:bCs/>
        </w:rPr>
        <w:instrText xml:space="preserve"> SEQ Table \* ARABIC </w:instrText>
      </w:r>
      <w:r w:rsidRPr="00DD759E">
        <w:rPr>
          <w:b/>
          <w:bCs/>
        </w:rPr>
        <w:fldChar w:fldCharType="separate"/>
      </w:r>
      <w:r w:rsidR="00CE0E94">
        <w:rPr>
          <w:b/>
          <w:bCs/>
          <w:noProof/>
        </w:rPr>
        <w:t>2</w:t>
      </w:r>
      <w:r w:rsidRPr="00DD759E">
        <w:rPr>
          <w:b/>
          <w:bCs/>
        </w:rPr>
        <w:fldChar w:fldCharType="end"/>
      </w:r>
      <w:bookmarkEnd w:id="7"/>
      <w:r w:rsidRPr="00DD759E">
        <w:rPr>
          <w:b/>
          <w:bCs/>
        </w:rPr>
        <w:t>.</w:t>
      </w:r>
      <w:r>
        <w:t xml:space="preserve"> </w:t>
      </w:r>
      <w:r w:rsidRPr="00617F21">
        <w:t xml:space="preserve">Averaged parameters for the simulations of </w:t>
      </w:r>
      <w:r w:rsidRPr="008F3B5B">
        <w:rPr>
          <w:b/>
          <w:bCs/>
        </w:rPr>
        <w:t>R6</w:t>
      </w:r>
      <w:r w:rsidRPr="00617F21">
        <w:t>+</w:t>
      </w:r>
      <w:r w:rsidRPr="008F3B5B">
        <w:rPr>
          <w:b/>
          <w:bCs/>
        </w:rPr>
        <w:t>C2org</w:t>
      </w:r>
      <w:r w:rsidRPr="00617F21">
        <w:t xml:space="preserve"> spectra</w:t>
      </w:r>
    </w:p>
    <w:tbl>
      <w:tblPr>
        <w:tblStyle w:val="TableGrid"/>
        <w:tblW w:w="0" w:type="auto"/>
        <w:tblLook w:val="04A0" w:firstRow="1" w:lastRow="0" w:firstColumn="1" w:lastColumn="0" w:noHBand="0" w:noVBand="1"/>
      </w:tblPr>
      <w:tblGrid>
        <w:gridCol w:w="1341"/>
        <w:gridCol w:w="1266"/>
        <w:gridCol w:w="1108"/>
        <w:gridCol w:w="1075"/>
        <w:gridCol w:w="655"/>
        <w:gridCol w:w="849"/>
        <w:gridCol w:w="1098"/>
        <w:gridCol w:w="1092"/>
        <w:gridCol w:w="1092"/>
      </w:tblGrid>
      <w:tr w:rsidR="0070579A" w14:paraId="085CD88C" w14:textId="77777777" w:rsidTr="0086191A">
        <w:trPr>
          <w:trHeight w:val="78"/>
        </w:trPr>
        <w:tc>
          <w:tcPr>
            <w:tcW w:w="1342" w:type="dxa"/>
            <w:vMerge w:val="restart"/>
            <w:tcBorders>
              <w:top w:val="single" w:sz="8" w:space="0" w:color="auto"/>
              <w:right w:val="nil"/>
            </w:tcBorders>
          </w:tcPr>
          <w:p w14:paraId="65EBA127" w14:textId="77777777" w:rsidR="0070579A" w:rsidRDefault="0070579A" w:rsidP="0086191A">
            <w:pPr>
              <w:pStyle w:val="TCTableBody"/>
            </w:pPr>
            <w:r w:rsidRPr="00617F21">
              <w:t>Component</w:t>
            </w:r>
          </w:p>
        </w:tc>
        <w:tc>
          <w:tcPr>
            <w:tcW w:w="1268" w:type="dxa"/>
            <w:vMerge w:val="restart"/>
            <w:tcBorders>
              <w:top w:val="single" w:sz="8" w:space="0" w:color="auto"/>
              <w:left w:val="nil"/>
              <w:right w:val="nil"/>
            </w:tcBorders>
          </w:tcPr>
          <w:p w14:paraId="1B9251C7" w14:textId="77777777" w:rsidR="0070579A" w:rsidRDefault="0070579A" w:rsidP="0086191A">
            <w:pPr>
              <w:pStyle w:val="TCTableBody"/>
            </w:pPr>
            <w:r w:rsidRPr="00617F21">
              <w:t>Lorentzian / G</w:t>
            </w:r>
          </w:p>
        </w:tc>
        <w:tc>
          <w:tcPr>
            <w:tcW w:w="1110" w:type="dxa"/>
            <w:vMerge w:val="restart"/>
            <w:tcBorders>
              <w:top w:val="single" w:sz="8" w:space="0" w:color="auto"/>
              <w:left w:val="nil"/>
              <w:right w:val="nil"/>
            </w:tcBorders>
          </w:tcPr>
          <w:p w14:paraId="5757F564" w14:textId="77777777" w:rsidR="0070579A" w:rsidRDefault="0070579A" w:rsidP="0086191A">
            <w:pPr>
              <w:pStyle w:val="TCTableBody"/>
            </w:pPr>
            <w:r w:rsidRPr="00617F21">
              <w:t>Gaussian / G</w:t>
            </w:r>
          </w:p>
        </w:tc>
        <w:tc>
          <w:tcPr>
            <w:tcW w:w="2625" w:type="dxa"/>
            <w:gridSpan w:val="3"/>
            <w:tcBorders>
              <w:top w:val="single" w:sz="8" w:space="0" w:color="auto"/>
              <w:left w:val="nil"/>
              <w:bottom w:val="nil"/>
              <w:right w:val="nil"/>
            </w:tcBorders>
          </w:tcPr>
          <w:p w14:paraId="646DDCB6" w14:textId="77777777" w:rsidR="0070579A" w:rsidRDefault="0070579A" w:rsidP="0086191A">
            <w:pPr>
              <w:pStyle w:val="TCTableBody"/>
            </w:pPr>
            <w:r w:rsidRPr="00617F21">
              <w:t>log[Diffusion Rate / s</w:t>
            </w:r>
            <w:r w:rsidRPr="00617F21">
              <w:rPr>
                <w:vertAlign w:val="superscript"/>
              </w:rPr>
              <w:t>-1</w:t>
            </w:r>
            <w:r w:rsidRPr="00617F21">
              <w:t>]</w:t>
            </w:r>
          </w:p>
        </w:tc>
        <w:tc>
          <w:tcPr>
            <w:tcW w:w="3231" w:type="dxa"/>
            <w:gridSpan w:val="3"/>
            <w:tcBorders>
              <w:top w:val="single" w:sz="8" w:space="0" w:color="auto"/>
              <w:left w:val="nil"/>
              <w:bottom w:val="nil"/>
            </w:tcBorders>
          </w:tcPr>
          <w:p w14:paraId="65B914B9" w14:textId="77777777" w:rsidR="0070579A" w:rsidRDefault="0070579A" w:rsidP="0086191A">
            <w:pPr>
              <w:pStyle w:val="TCTableBody"/>
              <w:jc w:val="center"/>
            </w:pPr>
            <w:r>
              <w:t>Rotational Diffusion Rate / s</w:t>
            </w:r>
            <w:r w:rsidRPr="00DC2EC6">
              <w:rPr>
                <w:vertAlign w:val="superscript"/>
              </w:rPr>
              <w:noBreakHyphen/>
              <w:t>1</w:t>
            </w:r>
          </w:p>
        </w:tc>
      </w:tr>
      <w:tr w:rsidR="0070579A" w14:paraId="090A83E2" w14:textId="77777777" w:rsidTr="0086191A">
        <w:trPr>
          <w:trHeight w:val="155"/>
        </w:trPr>
        <w:tc>
          <w:tcPr>
            <w:tcW w:w="1342" w:type="dxa"/>
            <w:vMerge/>
            <w:tcBorders>
              <w:bottom w:val="single" w:sz="8" w:space="0" w:color="auto"/>
              <w:right w:val="nil"/>
            </w:tcBorders>
          </w:tcPr>
          <w:p w14:paraId="6CEC3671" w14:textId="77777777" w:rsidR="0070579A" w:rsidRDefault="0070579A" w:rsidP="0086191A">
            <w:pPr>
              <w:pStyle w:val="TCTableBody"/>
            </w:pPr>
          </w:p>
        </w:tc>
        <w:tc>
          <w:tcPr>
            <w:tcW w:w="1268" w:type="dxa"/>
            <w:vMerge/>
            <w:tcBorders>
              <w:left w:val="nil"/>
              <w:bottom w:val="single" w:sz="8" w:space="0" w:color="auto"/>
              <w:right w:val="nil"/>
            </w:tcBorders>
          </w:tcPr>
          <w:p w14:paraId="3CF1871C" w14:textId="77777777" w:rsidR="0070579A" w:rsidRDefault="0070579A" w:rsidP="0086191A">
            <w:pPr>
              <w:pStyle w:val="TCTableBody"/>
            </w:pPr>
          </w:p>
        </w:tc>
        <w:tc>
          <w:tcPr>
            <w:tcW w:w="1110" w:type="dxa"/>
            <w:vMerge/>
            <w:tcBorders>
              <w:left w:val="nil"/>
              <w:bottom w:val="single" w:sz="8" w:space="0" w:color="auto"/>
              <w:right w:val="nil"/>
            </w:tcBorders>
          </w:tcPr>
          <w:p w14:paraId="18D912F8" w14:textId="77777777" w:rsidR="0070579A" w:rsidRDefault="0070579A" w:rsidP="0086191A">
            <w:pPr>
              <w:pStyle w:val="TCTableBody"/>
            </w:pPr>
          </w:p>
        </w:tc>
        <w:tc>
          <w:tcPr>
            <w:tcW w:w="1076" w:type="dxa"/>
            <w:tcBorders>
              <w:top w:val="nil"/>
              <w:left w:val="nil"/>
              <w:bottom w:val="single" w:sz="8" w:space="0" w:color="auto"/>
              <w:right w:val="nil"/>
            </w:tcBorders>
          </w:tcPr>
          <w:p w14:paraId="5AB966BE" w14:textId="77777777" w:rsidR="0070579A" w:rsidRDefault="0070579A" w:rsidP="0086191A">
            <w:pPr>
              <w:pStyle w:val="TCTableBody"/>
            </w:pPr>
            <w:r w:rsidRPr="00617F21">
              <w:t>Isotropic</w:t>
            </w:r>
          </w:p>
        </w:tc>
        <w:tc>
          <w:tcPr>
            <w:tcW w:w="659" w:type="dxa"/>
            <w:tcBorders>
              <w:top w:val="nil"/>
              <w:left w:val="nil"/>
              <w:bottom w:val="single" w:sz="8" w:space="0" w:color="auto"/>
              <w:right w:val="nil"/>
            </w:tcBorders>
          </w:tcPr>
          <w:p w14:paraId="15A77F23" w14:textId="77777777" w:rsidR="0070579A" w:rsidRPr="00886588" w:rsidRDefault="0070579A" w:rsidP="0086191A">
            <w:pPr>
              <w:pStyle w:val="TCTableBody"/>
              <w:rPr>
                <w:vertAlign w:val="subscript"/>
              </w:rPr>
            </w:pPr>
            <w:proofErr w:type="spellStart"/>
            <w:r w:rsidRPr="00617F21">
              <w:t>D</w:t>
            </w:r>
            <w:r w:rsidRPr="00617F21">
              <w:rPr>
                <w:vertAlign w:val="subscript"/>
              </w:rPr>
              <w:t>xy</w:t>
            </w:r>
            <w:proofErr w:type="spellEnd"/>
          </w:p>
        </w:tc>
        <w:tc>
          <w:tcPr>
            <w:tcW w:w="890" w:type="dxa"/>
            <w:tcBorders>
              <w:top w:val="nil"/>
              <w:left w:val="nil"/>
              <w:bottom w:val="single" w:sz="8" w:space="0" w:color="auto"/>
              <w:right w:val="nil"/>
            </w:tcBorders>
          </w:tcPr>
          <w:p w14:paraId="55C51BB5" w14:textId="77777777" w:rsidR="0070579A" w:rsidRDefault="0070579A" w:rsidP="0086191A">
            <w:pPr>
              <w:pStyle w:val="TCTableBody"/>
            </w:pPr>
            <w:proofErr w:type="spellStart"/>
            <w:r w:rsidRPr="00617F21">
              <w:t>D</w:t>
            </w:r>
            <w:r w:rsidRPr="00617F21">
              <w:rPr>
                <w:vertAlign w:val="subscript"/>
              </w:rPr>
              <w:t>z</w:t>
            </w:r>
            <w:proofErr w:type="spellEnd"/>
          </w:p>
        </w:tc>
        <w:tc>
          <w:tcPr>
            <w:tcW w:w="1099" w:type="dxa"/>
            <w:tcBorders>
              <w:top w:val="nil"/>
              <w:left w:val="nil"/>
              <w:bottom w:val="single" w:sz="8" w:space="0" w:color="auto"/>
              <w:right w:val="nil"/>
            </w:tcBorders>
          </w:tcPr>
          <w:p w14:paraId="05C4DF3A" w14:textId="77777777" w:rsidR="0070579A" w:rsidRPr="00617F21" w:rsidRDefault="0070579A" w:rsidP="0086191A">
            <w:pPr>
              <w:pStyle w:val="TCTableBody"/>
            </w:pPr>
            <w:r>
              <w:t>Isotropic</w:t>
            </w:r>
          </w:p>
        </w:tc>
        <w:tc>
          <w:tcPr>
            <w:tcW w:w="1066" w:type="dxa"/>
            <w:tcBorders>
              <w:top w:val="nil"/>
              <w:left w:val="nil"/>
              <w:bottom w:val="single" w:sz="8" w:space="0" w:color="auto"/>
              <w:right w:val="nil"/>
            </w:tcBorders>
          </w:tcPr>
          <w:p w14:paraId="6CB459D5" w14:textId="77777777" w:rsidR="0070579A" w:rsidRPr="008D1D2A" w:rsidRDefault="0070579A" w:rsidP="0086191A">
            <w:pPr>
              <w:pStyle w:val="TCTableBody"/>
            </w:pPr>
            <w:proofErr w:type="spellStart"/>
            <w:r>
              <w:t>D</w:t>
            </w:r>
            <w:r>
              <w:rPr>
                <w:vertAlign w:val="subscript"/>
              </w:rPr>
              <w:t>xy</w:t>
            </w:r>
            <w:proofErr w:type="spellEnd"/>
          </w:p>
        </w:tc>
        <w:tc>
          <w:tcPr>
            <w:tcW w:w="1066" w:type="dxa"/>
            <w:tcBorders>
              <w:top w:val="nil"/>
              <w:left w:val="nil"/>
              <w:bottom w:val="single" w:sz="8" w:space="0" w:color="auto"/>
            </w:tcBorders>
          </w:tcPr>
          <w:p w14:paraId="5DE72F32" w14:textId="77777777" w:rsidR="0070579A" w:rsidRPr="008D1D2A" w:rsidRDefault="0070579A" w:rsidP="0086191A">
            <w:pPr>
              <w:pStyle w:val="TCTableBody"/>
              <w:rPr>
                <w:vertAlign w:val="subscript"/>
              </w:rPr>
            </w:pPr>
            <w:proofErr w:type="spellStart"/>
            <w:r>
              <w:t>D</w:t>
            </w:r>
            <w:r>
              <w:rPr>
                <w:vertAlign w:val="subscript"/>
              </w:rPr>
              <w:t>z</w:t>
            </w:r>
            <w:proofErr w:type="spellEnd"/>
          </w:p>
        </w:tc>
      </w:tr>
      <w:tr w:rsidR="0070579A" w14:paraId="2E5BD025" w14:textId="77777777" w:rsidTr="0086191A">
        <w:tc>
          <w:tcPr>
            <w:tcW w:w="1342" w:type="dxa"/>
            <w:tcBorders>
              <w:top w:val="single" w:sz="8" w:space="0" w:color="auto"/>
              <w:bottom w:val="nil"/>
              <w:right w:val="nil"/>
            </w:tcBorders>
          </w:tcPr>
          <w:p w14:paraId="73722C19" w14:textId="77777777" w:rsidR="0070579A" w:rsidRDefault="0070579A" w:rsidP="0086191A">
            <w:pPr>
              <w:pStyle w:val="TCTableBody"/>
            </w:pPr>
            <w:r w:rsidRPr="00617F21">
              <w:t>Unbound</w:t>
            </w:r>
          </w:p>
        </w:tc>
        <w:tc>
          <w:tcPr>
            <w:tcW w:w="1268" w:type="dxa"/>
            <w:tcBorders>
              <w:top w:val="single" w:sz="8" w:space="0" w:color="auto"/>
              <w:left w:val="nil"/>
              <w:bottom w:val="nil"/>
              <w:right w:val="nil"/>
            </w:tcBorders>
          </w:tcPr>
          <w:p w14:paraId="7E12A15B" w14:textId="77777777" w:rsidR="0070579A" w:rsidRDefault="0070579A" w:rsidP="0086191A">
            <w:pPr>
              <w:pStyle w:val="TCTableBody"/>
            </w:pPr>
            <w:r w:rsidRPr="00617F21">
              <w:t>0.</w:t>
            </w:r>
            <w:r>
              <w:t>61</w:t>
            </w:r>
            <w:r w:rsidRPr="00617F21">
              <w:t xml:space="preserve"> </w:t>
            </w:r>
          </w:p>
        </w:tc>
        <w:tc>
          <w:tcPr>
            <w:tcW w:w="1110" w:type="dxa"/>
            <w:tcBorders>
              <w:top w:val="single" w:sz="8" w:space="0" w:color="auto"/>
              <w:left w:val="nil"/>
              <w:bottom w:val="nil"/>
              <w:right w:val="nil"/>
            </w:tcBorders>
          </w:tcPr>
          <w:p w14:paraId="2BC51E04" w14:textId="77777777" w:rsidR="0070579A" w:rsidRDefault="0070579A" w:rsidP="0086191A">
            <w:pPr>
              <w:pStyle w:val="TCTableBody"/>
            </w:pPr>
            <w:r w:rsidRPr="00617F21">
              <w:t>1.3</w:t>
            </w:r>
            <w:r>
              <w:t>1</w:t>
            </w:r>
          </w:p>
        </w:tc>
        <w:tc>
          <w:tcPr>
            <w:tcW w:w="1076" w:type="dxa"/>
            <w:tcBorders>
              <w:top w:val="single" w:sz="8" w:space="0" w:color="auto"/>
              <w:left w:val="nil"/>
              <w:bottom w:val="nil"/>
              <w:right w:val="nil"/>
            </w:tcBorders>
          </w:tcPr>
          <w:p w14:paraId="441D3FF7" w14:textId="77777777" w:rsidR="0070579A" w:rsidRDefault="0070579A" w:rsidP="0086191A">
            <w:pPr>
              <w:pStyle w:val="TCTableBody"/>
            </w:pPr>
            <w:r w:rsidRPr="00617F21">
              <w:t>9.3</w:t>
            </w:r>
            <w:r>
              <w:t>1</w:t>
            </w:r>
          </w:p>
        </w:tc>
        <w:tc>
          <w:tcPr>
            <w:tcW w:w="659" w:type="dxa"/>
            <w:tcBorders>
              <w:top w:val="single" w:sz="8" w:space="0" w:color="auto"/>
              <w:left w:val="nil"/>
              <w:bottom w:val="nil"/>
              <w:right w:val="nil"/>
            </w:tcBorders>
          </w:tcPr>
          <w:p w14:paraId="312BCFA2" w14:textId="77777777" w:rsidR="0070579A" w:rsidRDefault="0070579A" w:rsidP="0086191A">
            <w:pPr>
              <w:pStyle w:val="TCTableBody"/>
            </w:pPr>
            <w:r w:rsidRPr="00617F21">
              <w:t>-</w:t>
            </w:r>
          </w:p>
        </w:tc>
        <w:tc>
          <w:tcPr>
            <w:tcW w:w="890" w:type="dxa"/>
            <w:tcBorders>
              <w:top w:val="single" w:sz="8" w:space="0" w:color="auto"/>
              <w:left w:val="nil"/>
              <w:bottom w:val="nil"/>
              <w:right w:val="nil"/>
            </w:tcBorders>
          </w:tcPr>
          <w:p w14:paraId="78C938B7" w14:textId="77777777" w:rsidR="0070579A" w:rsidRDefault="0070579A" w:rsidP="0086191A">
            <w:pPr>
              <w:pStyle w:val="TCTableBody"/>
            </w:pPr>
            <w:r w:rsidRPr="00617F21">
              <w:t>-</w:t>
            </w:r>
          </w:p>
        </w:tc>
        <w:tc>
          <w:tcPr>
            <w:tcW w:w="1099" w:type="dxa"/>
            <w:tcBorders>
              <w:top w:val="single" w:sz="8" w:space="0" w:color="auto"/>
              <w:left w:val="nil"/>
              <w:bottom w:val="nil"/>
              <w:right w:val="nil"/>
            </w:tcBorders>
          </w:tcPr>
          <w:p w14:paraId="5A91AD87" w14:textId="77777777" w:rsidR="0070579A" w:rsidRPr="00027212" w:rsidRDefault="0070579A" w:rsidP="0086191A">
            <w:pPr>
              <w:pStyle w:val="TCTableBody"/>
              <w:rPr>
                <w:vertAlign w:val="superscript"/>
              </w:rPr>
            </w:pPr>
            <w:r>
              <w:t>2.04×10</w:t>
            </w:r>
            <w:r>
              <w:rPr>
                <w:vertAlign w:val="superscript"/>
              </w:rPr>
              <w:t>9</w:t>
            </w:r>
          </w:p>
        </w:tc>
        <w:tc>
          <w:tcPr>
            <w:tcW w:w="1066" w:type="dxa"/>
            <w:tcBorders>
              <w:top w:val="single" w:sz="8" w:space="0" w:color="auto"/>
              <w:left w:val="nil"/>
              <w:bottom w:val="nil"/>
              <w:right w:val="nil"/>
            </w:tcBorders>
          </w:tcPr>
          <w:p w14:paraId="21BB075C" w14:textId="77777777" w:rsidR="0070579A" w:rsidRPr="00617F21" w:rsidRDefault="0070579A" w:rsidP="0086191A">
            <w:pPr>
              <w:pStyle w:val="TCTableBody"/>
            </w:pPr>
            <w:r>
              <w:t>-</w:t>
            </w:r>
          </w:p>
        </w:tc>
        <w:tc>
          <w:tcPr>
            <w:tcW w:w="1066" w:type="dxa"/>
            <w:tcBorders>
              <w:top w:val="single" w:sz="8" w:space="0" w:color="auto"/>
              <w:left w:val="nil"/>
              <w:bottom w:val="nil"/>
            </w:tcBorders>
          </w:tcPr>
          <w:p w14:paraId="1F161CCE" w14:textId="77777777" w:rsidR="0070579A" w:rsidRPr="00617F21" w:rsidRDefault="0070579A" w:rsidP="0086191A">
            <w:pPr>
              <w:pStyle w:val="TCTableBody"/>
            </w:pPr>
            <w:r>
              <w:t>-</w:t>
            </w:r>
          </w:p>
        </w:tc>
      </w:tr>
      <w:tr w:rsidR="0070579A" w14:paraId="1727091D" w14:textId="77777777" w:rsidTr="0086191A">
        <w:tc>
          <w:tcPr>
            <w:tcW w:w="1342" w:type="dxa"/>
            <w:tcBorders>
              <w:top w:val="nil"/>
              <w:bottom w:val="single" w:sz="8" w:space="0" w:color="auto"/>
              <w:right w:val="nil"/>
            </w:tcBorders>
          </w:tcPr>
          <w:p w14:paraId="134CF5F5" w14:textId="77777777" w:rsidR="0070579A" w:rsidRDefault="0070579A" w:rsidP="0086191A">
            <w:pPr>
              <w:pStyle w:val="TCTableBody"/>
            </w:pPr>
            <w:r w:rsidRPr="00617F21">
              <w:t>Bound</w:t>
            </w:r>
          </w:p>
        </w:tc>
        <w:tc>
          <w:tcPr>
            <w:tcW w:w="1268" w:type="dxa"/>
            <w:tcBorders>
              <w:top w:val="nil"/>
              <w:left w:val="nil"/>
              <w:bottom w:val="single" w:sz="8" w:space="0" w:color="auto"/>
              <w:right w:val="nil"/>
            </w:tcBorders>
          </w:tcPr>
          <w:p w14:paraId="0A847BAB" w14:textId="77777777" w:rsidR="0070579A" w:rsidRDefault="0070579A" w:rsidP="0086191A">
            <w:pPr>
              <w:pStyle w:val="TCTableBody"/>
            </w:pPr>
            <w:r w:rsidRPr="00617F21">
              <w:t>1.4</w:t>
            </w:r>
            <w:r>
              <w:t>0</w:t>
            </w:r>
          </w:p>
        </w:tc>
        <w:tc>
          <w:tcPr>
            <w:tcW w:w="1110" w:type="dxa"/>
            <w:tcBorders>
              <w:top w:val="nil"/>
              <w:left w:val="nil"/>
              <w:bottom w:val="single" w:sz="8" w:space="0" w:color="auto"/>
              <w:right w:val="nil"/>
            </w:tcBorders>
          </w:tcPr>
          <w:p w14:paraId="1789036D" w14:textId="77777777" w:rsidR="0070579A" w:rsidRDefault="0070579A" w:rsidP="0086191A">
            <w:pPr>
              <w:pStyle w:val="TCTableBody"/>
            </w:pPr>
            <w:r w:rsidRPr="00617F21">
              <w:t>2.5</w:t>
            </w:r>
            <w:r>
              <w:t>7</w:t>
            </w:r>
          </w:p>
        </w:tc>
        <w:tc>
          <w:tcPr>
            <w:tcW w:w="1076" w:type="dxa"/>
            <w:tcBorders>
              <w:top w:val="nil"/>
              <w:left w:val="nil"/>
              <w:bottom w:val="single" w:sz="8" w:space="0" w:color="auto"/>
              <w:right w:val="nil"/>
            </w:tcBorders>
          </w:tcPr>
          <w:p w14:paraId="7E5517D4" w14:textId="77777777" w:rsidR="0070579A" w:rsidRDefault="0070579A" w:rsidP="0086191A">
            <w:pPr>
              <w:pStyle w:val="TCTableBody"/>
            </w:pPr>
            <w:r w:rsidRPr="00617F21">
              <w:t>-</w:t>
            </w:r>
          </w:p>
        </w:tc>
        <w:tc>
          <w:tcPr>
            <w:tcW w:w="659" w:type="dxa"/>
            <w:tcBorders>
              <w:top w:val="nil"/>
              <w:left w:val="nil"/>
              <w:bottom w:val="single" w:sz="8" w:space="0" w:color="auto"/>
              <w:right w:val="nil"/>
            </w:tcBorders>
          </w:tcPr>
          <w:p w14:paraId="218018CD" w14:textId="77777777" w:rsidR="0070579A" w:rsidRDefault="0070579A" w:rsidP="0086191A">
            <w:pPr>
              <w:pStyle w:val="TCTableBody"/>
            </w:pPr>
            <w:r w:rsidRPr="00617F21">
              <w:t>7.1</w:t>
            </w:r>
            <w:r>
              <w:t>5</w:t>
            </w:r>
          </w:p>
        </w:tc>
        <w:tc>
          <w:tcPr>
            <w:tcW w:w="890" w:type="dxa"/>
            <w:tcBorders>
              <w:top w:val="nil"/>
              <w:left w:val="nil"/>
              <w:bottom w:val="single" w:sz="8" w:space="0" w:color="auto"/>
              <w:right w:val="nil"/>
            </w:tcBorders>
          </w:tcPr>
          <w:p w14:paraId="4A4442D2" w14:textId="77777777" w:rsidR="0070579A" w:rsidRDefault="0070579A" w:rsidP="0086191A">
            <w:pPr>
              <w:pStyle w:val="TCTableBody"/>
            </w:pPr>
            <w:r>
              <w:t>7.58</w:t>
            </w:r>
          </w:p>
        </w:tc>
        <w:tc>
          <w:tcPr>
            <w:tcW w:w="1099" w:type="dxa"/>
            <w:tcBorders>
              <w:top w:val="nil"/>
              <w:left w:val="nil"/>
              <w:bottom w:val="single" w:sz="8" w:space="0" w:color="auto"/>
              <w:right w:val="nil"/>
            </w:tcBorders>
          </w:tcPr>
          <w:p w14:paraId="37C43DAB" w14:textId="77777777" w:rsidR="0070579A" w:rsidRDefault="0070579A" w:rsidP="0086191A">
            <w:pPr>
              <w:pStyle w:val="TCTableBody"/>
            </w:pPr>
            <w:r>
              <w:t>-</w:t>
            </w:r>
          </w:p>
        </w:tc>
        <w:tc>
          <w:tcPr>
            <w:tcW w:w="1066" w:type="dxa"/>
            <w:tcBorders>
              <w:top w:val="nil"/>
              <w:left w:val="nil"/>
              <w:bottom w:val="single" w:sz="8" w:space="0" w:color="auto"/>
              <w:right w:val="nil"/>
            </w:tcBorders>
          </w:tcPr>
          <w:p w14:paraId="7E7E989E" w14:textId="77777777" w:rsidR="0070579A" w:rsidRPr="00B45F59" w:rsidRDefault="0070579A" w:rsidP="0086191A">
            <w:pPr>
              <w:pStyle w:val="TCTableBody"/>
            </w:pPr>
            <w:r>
              <w:t>1.41×10</w:t>
            </w:r>
            <w:r>
              <w:rPr>
                <w:vertAlign w:val="superscript"/>
              </w:rPr>
              <w:t>6</w:t>
            </w:r>
          </w:p>
        </w:tc>
        <w:tc>
          <w:tcPr>
            <w:tcW w:w="1066" w:type="dxa"/>
            <w:tcBorders>
              <w:top w:val="nil"/>
              <w:left w:val="nil"/>
              <w:bottom w:val="single" w:sz="8" w:space="0" w:color="auto"/>
            </w:tcBorders>
          </w:tcPr>
          <w:p w14:paraId="59B1DAE2" w14:textId="77777777" w:rsidR="0070579A" w:rsidRPr="00DC2EC6" w:rsidRDefault="0070579A" w:rsidP="0086191A">
            <w:pPr>
              <w:pStyle w:val="TCTableBody"/>
            </w:pPr>
            <w:r>
              <w:t>3.80×10</w:t>
            </w:r>
            <w:r>
              <w:rPr>
                <w:vertAlign w:val="superscript"/>
              </w:rPr>
              <w:t>7</w:t>
            </w:r>
          </w:p>
        </w:tc>
      </w:tr>
    </w:tbl>
    <w:p w14:paraId="193D8C50" w14:textId="77777777" w:rsidR="00563629" w:rsidRPr="004214F3" w:rsidRDefault="00563629" w:rsidP="00563629"/>
    <w:p w14:paraId="693CA423" w14:textId="3B19CB0C" w:rsidR="00563629" w:rsidRPr="00A05EC3" w:rsidRDefault="00563629" w:rsidP="00563629">
      <w:pPr>
        <w:pStyle w:val="VDTableTitle"/>
      </w:pPr>
      <w:bookmarkStart w:id="8" w:name="_Ref35872926"/>
      <w:r w:rsidRPr="00DD759E">
        <w:rPr>
          <w:b/>
          <w:bCs/>
        </w:rPr>
        <w:lastRenderedPageBreak/>
        <w:t xml:space="preserve">Table </w:t>
      </w:r>
      <w:r w:rsidRPr="00DD759E">
        <w:rPr>
          <w:b/>
          <w:bCs/>
        </w:rPr>
        <w:fldChar w:fldCharType="begin"/>
      </w:r>
      <w:r w:rsidRPr="00DD759E">
        <w:rPr>
          <w:b/>
          <w:bCs/>
        </w:rPr>
        <w:instrText xml:space="preserve"> SEQ Table \* ARABIC </w:instrText>
      </w:r>
      <w:r w:rsidRPr="00DD759E">
        <w:rPr>
          <w:b/>
          <w:bCs/>
        </w:rPr>
        <w:fldChar w:fldCharType="separate"/>
      </w:r>
      <w:r w:rsidR="00CE0E94">
        <w:rPr>
          <w:b/>
          <w:bCs/>
          <w:noProof/>
        </w:rPr>
        <w:t>3</w:t>
      </w:r>
      <w:r w:rsidRPr="00DD759E">
        <w:rPr>
          <w:b/>
          <w:bCs/>
        </w:rPr>
        <w:fldChar w:fldCharType="end"/>
      </w:r>
      <w:bookmarkEnd w:id="8"/>
      <w:r w:rsidRPr="00DD759E">
        <w:rPr>
          <w:b/>
          <w:bCs/>
        </w:rPr>
        <w:t>.</w:t>
      </w:r>
      <w:r>
        <w:rPr>
          <w:b/>
          <w:bCs/>
        </w:rPr>
        <w:t xml:space="preserve"> </w:t>
      </w:r>
      <w:r>
        <w:t xml:space="preserve">Calculated association constants for each </w:t>
      </w:r>
      <w:r w:rsidRPr="009B763E">
        <w:rPr>
          <w:b/>
          <w:bCs/>
        </w:rPr>
        <w:t>R</w:t>
      </w:r>
      <w:r>
        <w:t>+</w:t>
      </w:r>
      <w:r w:rsidRPr="009B763E">
        <w:rPr>
          <w:b/>
          <w:bCs/>
        </w:rPr>
        <w:t>C</w:t>
      </w:r>
      <w:r>
        <w:t xml:space="preserve"> complex</w:t>
      </w:r>
    </w:p>
    <w:tbl>
      <w:tblPr>
        <w:tblW w:w="0" w:type="auto"/>
        <w:tblLook w:val="01E0" w:firstRow="1" w:lastRow="1" w:firstColumn="1" w:lastColumn="1" w:noHBand="0" w:noVBand="0"/>
      </w:tblPr>
      <w:tblGrid>
        <w:gridCol w:w="975"/>
        <w:gridCol w:w="967"/>
        <w:gridCol w:w="976"/>
        <w:gridCol w:w="1957"/>
      </w:tblGrid>
      <w:tr w:rsidR="00563629" w:rsidRPr="00617F21" w14:paraId="673FBC4A" w14:textId="77777777" w:rsidTr="00C37BCB">
        <w:tc>
          <w:tcPr>
            <w:tcW w:w="975" w:type="dxa"/>
            <w:tcBorders>
              <w:top w:val="single" w:sz="8" w:space="0" w:color="auto"/>
              <w:bottom w:val="single" w:sz="8" w:space="0" w:color="auto"/>
            </w:tcBorders>
          </w:tcPr>
          <w:p w14:paraId="5671D311" w14:textId="77777777" w:rsidR="00563629" w:rsidRPr="00617F21" w:rsidRDefault="00563629" w:rsidP="00C37BCB">
            <w:pPr>
              <w:pStyle w:val="TCTableBody"/>
            </w:pPr>
            <w:r w:rsidRPr="00617F21">
              <w:t>Radical</w:t>
            </w:r>
          </w:p>
        </w:tc>
        <w:tc>
          <w:tcPr>
            <w:tcW w:w="967" w:type="dxa"/>
            <w:tcBorders>
              <w:top w:val="single" w:sz="8" w:space="0" w:color="auto"/>
              <w:bottom w:val="single" w:sz="8" w:space="0" w:color="auto"/>
            </w:tcBorders>
          </w:tcPr>
          <w:p w14:paraId="67BB12C8" w14:textId="77777777" w:rsidR="00563629" w:rsidRPr="00617F21" w:rsidRDefault="00563629" w:rsidP="00C37BCB">
            <w:pPr>
              <w:pStyle w:val="TCTableBody"/>
            </w:pPr>
            <w:r w:rsidRPr="00617F21">
              <w:t>Cage</w:t>
            </w:r>
          </w:p>
        </w:tc>
        <w:tc>
          <w:tcPr>
            <w:tcW w:w="976" w:type="dxa"/>
            <w:tcBorders>
              <w:top w:val="single" w:sz="8" w:space="0" w:color="auto"/>
              <w:bottom w:val="single" w:sz="8" w:space="0" w:color="auto"/>
            </w:tcBorders>
          </w:tcPr>
          <w:p w14:paraId="0ECC7A2C" w14:textId="77777777" w:rsidR="00563629" w:rsidRPr="00617F21" w:rsidRDefault="00563629" w:rsidP="00C37BCB">
            <w:pPr>
              <w:pStyle w:val="TCTableBody"/>
            </w:pPr>
            <w:r w:rsidRPr="00617F21">
              <w:t>Solvent</w:t>
            </w:r>
          </w:p>
        </w:tc>
        <w:tc>
          <w:tcPr>
            <w:tcW w:w="1957" w:type="dxa"/>
            <w:tcBorders>
              <w:top w:val="single" w:sz="8" w:space="0" w:color="auto"/>
              <w:bottom w:val="single" w:sz="8" w:space="0" w:color="auto"/>
            </w:tcBorders>
          </w:tcPr>
          <w:p w14:paraId="55779298" w14:textId="77777777" w:rsidR="00563629" w:rsidRPr="00617F21" w:rsidRDefault="00563629" w:rsidP="00C37BCB">
            <w:pPr>
              <w:pStyle w:val="TCTableBody"/>
            </w:pPr>
            <w:r w:rsidRPr="00617F21">
              <w:t>K / 10</w:t>
            </w:r>
            <w:r w:rsidRPr="00617F21">
              <w:rPr>
                <w:vertAlign w:val="superscript"/>
              </w:rPr>
              <w:t>3</w:t>
            </w:r>
            <w:r w:rsidRPr="00617F21">
              <w:t xml:space="preserve"> M</w:t>
            </w:r>
            <w:r w:rsidRPr="00617F21">
              <w:rPr>
                <w:vertAlign w:val="superscript"/>
              </w:rPr>
              <w:t>-1</w:t>
            </w:r>
          </w:p>
        </w:tc>
      </w:tr>
      <w:tr w:rsidR="00563629" w:rsidRPr="00617F21" w14:paraId="53FE725F" w14:textId="77777777" w:rsidTr="00C37BCB">
        <w:tc>
          <w:tcPr>
            <w:tcW w:w="975" w:type="dxa"/>
            <w:tcBorders>
              <w:top w:val="single" w:sz="8" w:space="0" w:color="auto"/>
            </w:tcBorders>
          </w:tcPr>
          <w:p w14:paraId="13275261" w14:textId="77777777" w:rsidR="00563629" w:rsidRPr="00617F21" w:rsidRDefault="00563629" w:rsidP="00C37BCB">
            <w:pPr>
              <w:pStyle w:val="TCTableBody"/>
              <w:rPr>
                <w:b/>
                <w:bCs/>
              </w:rPr>
            </w:pPr>
            <w:r w:rsidRPr="008F3B5B">
              <w:rPr>
                <w:b/>
                <w:bCs/>
              </w:rPr>
              <w:t>R4</w:t>
            </w:r>
          </w:p>
        </w:tc>
        <w:tc>
          <w:tcPr>
            <w:tcW w:w="967" w:type="dxa"/>
            <w:tcBorders>
              <w:top w:val="single" w:sz="8" w:space="0" w:color="auto"/>
            </w:tcBorders>
          </w:tcPr>
          <w:p w14:paraId="66901180" w14:textId="77777777" w:rsidR="00563629" w:rsidRPr="00617F21" w:rsidRDefault="00563629" w:rsidP="00C37BCB">
            <w:pPr>
              <w:pStyle w:val="TCTableBody"/>
              <w:rPr>
                <w:b/>
                <w:bCs/>
              </w:rPr>
            </w:pPr>
            <w:r w:rsidRPr="008F3B5B">
              <w:rPr>
                <w:b/>
                <w:bCs/>
              </w:rPr>
              <w:t>C1w</w:t>
            </w:r>
          </w:p>
        </w:tc>
        <w:tc>
          <w:tcPr>
            <w:tcW w:w="976" w:type="dxa"/>
            <w:tcBorders>
              <w:top w:val="single" w:sz="8" w:space="0" w:color="auto"/>
            </w:tcBorders>
          </w:tcPr>
          <w:p w14:paraId="3FFC5988" w14:textId="77777777" w:rsidR="00563629" w:rsidRPr="00617F21" w:rsidRDefault="00563629" w:rsidP="00C37BCB">
            <w:pPr>
              <w:pStyle w:val="TCTableBody"/>
            </w:pPr>
            <w:r w:rsidRPr="00617F21">
              <w:t>H</w:t>
            </w:r>
            <w:r w:rsidRPr="00617F21">
              <w:rPr>
                <w:vertAlign w:val="subscript"/>
              </w:rPr>
              <w:t>2</w:t>
            </w:r>
            <w:r w:rsidRPr="00617F21">
              <w:t xml:space="preserve">O </w:t>
            </w:r>
          </w:p>
        </w:tc>
        <w:tc>
          <w:tcPr>
            <w:tcW w:w="1957" w:type="dxa"/>
            <w:tcBorders>
              <w:top w:val="single" w:sz="8" w:space="0" w:color="auto"/>
            </w:tcBorders>
          </w:tcPr>
          <w:p w14:paraId="4F037DD0" w14:textId="77777777" w:rsidR="00563629" w:rsidRPr="00617F21" w:rsidRDefault="00563629" w:rsidP="00C37BCB">
            <w:pPr>
              <w:pStyle w:val="TCTableBody"/>
            </w:pPr>
            <w:r w:rsidRPr="00617F21">
              <w:t>7.9 ± 0.3</w:t>
            </w:r>
          </w:p>
        </w:tc>
      </w:tr>
      <w:tr w:rsidR="00563629" w:rsidRPr="00617F21" w14:paraId="2729A867" w14:textId="77777777" w:rsidTr="00C37BCB">
        <w:tc>
          <w:tcPr>
            <w:tcW w:w="975" w:type="dxa"/>
          </w:tcPr>
          <w:p w14:paraId="6376903C" w14:textId="77777777" w:rsidR="00563629" w:rsidRPr="00617F21" w:rsidRDefault="00563629" w:rsidP="00C37BCB">
            <w:pPr>
              <w:pStyle w:val="TCTableBody"/>
              <w:rPr>
                <w:b/>
                <w:bCs/>
              </w:rPr>
            </w:pPr>
            <w:r w:rsidRPr="008F3B5B">
              <w:rPr>
                <w:b/>
                <w:bCs/>
              </w:rPr>
              <w:t>R5</w:t>
            </w:r>
          </w:p>
        </w:tc>
        <w:tc>
          <w:tcPr>
            <w:tcW w:w="967" w:type="dxa"/>
          </w:tcPr>
          <w:p w14:paraId="568832F3" w14:textId="77777777" w:rsidR="00563629" w:rsidRPr="00617F21" w:rsidRDefault="00563629" w:rsidP="00C37BCB">
            <w:pPr>
              <w:pStyle w:val="TCTableBody"/>
              <w:rPr>
                <w:b/>
                <w:bCs/>
              </w:rPr>
            </w:pPr>
            <w:r w:rsidRPr="008F3B5B">
              <w:rPr>
                <w:b/>
                <w:bCs/>
              </w:rPr>
              <w:t>C2org</w:t>
            </w:r>
          </w:p>
        </w:tc>
        <w:tc>
          <w:tcPr>
            <w:tcW w:w="976" w:type="dxa"/>
          </w:tcPr>
          <w:p w14:paraId="4217765C" w14:textId="77777777" w:rsidR="00563629" w:rsidRPr="00617F21" w:rsidRDefault="00563629" w:rsidP="00C37BCB">
            <w:pPr>
              <w:pStyle w:val="TCTableBody"/>
            </w:pPr>
            <w:r w:rsidRPr="00617F21">
              <w:t>MeCN</w:t>
            </w:r>
          </w:p>
        </w:tc>
        <w:tc>
          <w:tcPr>
            <w:tcW w:w="1957" w:type="dxa"/>
          </w:tcPr>
          <w:p w14:paraId="19247859" w14:textId="77777777" w:rsidR="00563629" w:rsidRPr="00617F21" w:rsidRDefault="00563629" w:rsidP="00C37BCB">
            <w:pPr>
              <w:pStyle w:val="TCTableBody"/>
            </w:pPr>
            <w:r w:rsidRPr="00617F21">
              <w:t>9.2 ± 0.6</w:t>
            </w:r>
          </w:p>
        </w:tc>
      </w:tr>
      <w:tr w:rsidR="00563629" w:rsidRPr="00617F21" w14:paraId="1E93C569" w14:textId="77777777" w:rsidTr="00C37BCB">
        <w:tc>
          <w:tcPr>
            <w:tcW w:w="975" w:type="dxa"/>
            <w:tcBorders>
              <w:bottom w:val="single" w:sz="8" w:space="0" w:color="auto"/>
            </w:tcBorders>
          </w:tcPr>
          <w:p w14:paraId="042E487F" w14:textId="77777777" w:rsidR="00563629" w:rsidRPr="00617F21" w:rsidRDefault="00563629" w:rsidP="00C37BCB">
            <w:pPr>
              <w:pStyle w:val="TCTableBody"/>
              <w:rPr>
                <w:b/>
                <w:bCs/>
              </w:rPr>
            </w:pPr>
            <w:r w:rsidRPr="008F3B5B">
              <w:rPr>
                <w:b/>
                <w:bCs/>
              </w:rPr>
              <w:t>R6</w:t>
            </w:r>
          </w:p>
        </w:tc>
        <w:tc>
          <w:tcPr>
            <w:tcW w:w="967" w:type="dxa"/>
            <w:tcBorders>
              <w:bottom w:val="single" w:sz="8" w:space="0" w:color="auto"/>
            </w:tcBorders>
          </w:tcPr>
          <w:p w14:paraId="7E9FD1C7" w14:textId="77777777" w:rsidR="00563629" w:rsidRPr="00617F21" w:rsidRDefault="00563629" w:rsidP="00C37BCB">
            <w:pPr>
              <w:pStyle w:val="TCTableBody"/>
              <w:rPr>
                <w:b/>
                <w:bCs/>
              </w:rPr>
            </w:pPr>
            <w:r w:rsidRPr="008F3B5B">
              <w:rPr>
                <w:b/>
                <w:bCs/>
              </w:rPr>
              <w:t>C2org</w:t>
            </w:r>
          </w:p>
        </w:tc>
        <w:tc>
          <w:tcPr>
            <w:tcW w:w="976" w:type="dxa"/>
            <w:tcBorders>
              <w:bottom w:val="single" w:sz="8" w:space="0" w:color="auto"/>
            </w:tcBorders>
          </w:tcPr>
          <w:p w14:paraId="543FAE7C" w14:textId="77777777" w:rsidR="00563629" w:rsidRPr="00617F21" w:rsidRDefault="00563629" w:rsidP="00C37BCB">
            <w:pPr>
              <w:pStyle w:val="TCTableBody"/>
            </w:pPr>
            <w:r w:rsidRPr="00617F21">
              <w:t>MeCN</w:t>
            </w:r>
          </w:p>
        </w:tc>
        <w:tc>
          <w:tcPr>
            <w:tcW w:w="1957" w:type="dxa"/>
            <w:tcBorders>
              <w:bottom w:val="single" w:sz="8" w:space="0" w:color="auto"/>
            </w:tcBorders>
          </w:tcPr>
          <w:p w14:paraId="2A15BA2B" w14:textId="77777777" w:rsidR="00563629" w:rsidRPr="00617F21" w:rsidRDefault="00563629" w:rsidP="00C37BCB">
            <w:pPr>
              <w:pStyle w:val="TCTableBody"/>
            </w:pPr>
            <w:r>
              <w:t>11.9</w:t>
            </w:r>
            <w:r w:rsidRPr="00617F21">
              <w:t xml:space="preserve"> ± </w:t>
            </w:r>
            <w:r>
              <w:t>0.3</w:t>
            </w:r>
          </w:p>
        </w:tc>
      </w:tr>
    </w:tbl>
    <w:p w14:paraId="37FC3526" w14:textId="77777777" w:rsidR="00563629" w:rsidRPr="00D520F6" w:rsidRDefault="00563629" w:rsidP="00B24843">
      <w:pPr>
        <w:pStyle w:val="TAMainText"/>
      </w:pPr>
    </w:p>
    <w:p w14:paraId="25CD8E04" w14:textId="0E9CED62" w:rsidR="006C5518" w:rsidRPr="009C62BB" w:rsidRDefault="006C5518" w:rsidP="00B24843">
      <w:pPr>
        <w:pStyle w:val="TAMainText"/>
        <w:rPr>
          <w:b/>
          <w:bCs/>
          <w:lang w:val="en-GB"/>
        </w:rPr>
      </w:pPr>
      <w:r>
        <w:rPr>
          <w:b/>
          <w:bCs/>
          <w:lang w:val="en-GB"/>
        </w:rPr>
        <w:t>Effect of solvent and the nature of functional groups on binding</w:t>
      </w:r>
    </w:p>
    <w:p w14:paraId="59CE01B9" w14:textId="5B2C19AD" w:rsidR="006C5518" w:rsidRDefault="006C5518" w:rsidP="00B24843">
      <w:pPr>
        <w:pStyle w:val="TAMainText"/>
        <w:rPr>
          <w:lang w:val="en-GB"/>
        </w:rPr>
      </w:pPr>
      <w:r w:rsidRPr="00617F21">
        <w:rPr>
          <w:lang w:val="en-GB"/>
        </w:rPr>
        <w:t xml:space="preserve">Comparison to previous literature </w:t>
      </w:r>
      <w:r w:rsidR="00D85DD4" w:rsidRPr="00617F21">
        <w:rPr>
          <w:lang w:val="en-GB"/>
        </w:rPr>
        <w:t>investigations</w:t>
      </w:r>
      <w:r w:rsidRPr="00617F21">
        <w:rPr>
          <w:lang w:val="en-GB"/>
        </w:rPr>
        <w:t xml:space="preserve"> with similar H</w:t>
      </w:r>
      <w:r w:rsidRPr="00617F21">
        <w:rPr>
          <w:vertAlign w:val="subscript"/>
          <w:lang w:val="en-GB"/>
        </w:rPr>
        <w:t>2</w:t>
      </w:r>
      <w:r w:rsidRPr="00617F21">
        <w:rPr>
          <w:lang w:val="en-GB"/>
        </w:rPr>
        <w:t>O</w:t>
      </w:r>
      <w:r>
        <w:rPr>
          <w:lang w:val="en-GB"/>
        </w:rPr>
        <w:t>- and MeCN-</w:t>
      </w:r>
      <w:r w:rsidRPr="00617F21">
        <w:rPr>
          <w:lang w:val="en-GB"/>
        </w:rPr>
        <w:t>soluble cage</w:t>
      </w:r>
      <w:r>
        <w:rPr>
          <w:lang w:val="en-GB"/>
        </w:rPr>
        <w:t>s</w:t>
      </w:r>
      <w:r w:rsidRPr="00617F21">
        <w:rPr>
          <w:lang w:val="en-GB"/>
        </w:rPr>
        <w:t xml:space="preserve"> revealed </w:t>
      </w:r>
      <w:r>
        <w:rPr>
          <w:lang w:val="en-GB"/>
        </w:rPr>
        <w:t>comparable</w:t>
      </w:r>
      <w:r w:rsidRPr="00617F21">
        <w:rPr>
          <w:lang w:val="en-GB"/>
        </w:rPr>
        <w:t xml:space="preserve"> association constants</w:t>
      </w:r>
      <w:r>
        <w:rPr>
          <w:lang w:val="en-GB"/>
        </w:rPr>
        <w:t xml:space="preserve"> to those</w:t>
      </w:r>
      <w:r w:rsidRPr="00617F21">
        <w:rPr>
          <w:lang w:val="en-GB"/>
        </w:rPr>
        <w:t xml:space="preserve"> obtained for </w:t>
      </w:r>
      <w:r>
        <w:rPr>
          <w:lang w:val="en-GB"/>
        </w:rPr>
        <w:t>coumarin (7.6</w:t>
      </w:r>
      <w:r w:rsidRPr="00B34E89">
        <w:rPr>
          <w:lang w:val="en-GB"/>
        </w:rPr>
        <w:sym w:font="Symbol" w:char="F0B4"/>
      </w:r>
      <w:r>
        <w:rPr>
          <w:lang w:val="en-GB"/>
        </w:rPr>
        <w:t>10</w:t>
      </w:r>
      <w:r>
        <w:rPr>
          <w:vertAlign w:val="superscript"/>
          <w:lang w:val="en-GB"/>
        </w:rPr>
        <w:t>3</w:t>
      </w:r>
      <w:r>
        <w:rPr>
          <w:lang w:val="en-GB"/>
        </w:rPr>
        <w:t xml:space="preserve"> M</w:t>
      </w:r>
      <w:r>
        <w:rPr>
          <w:vertAlign w:val="superscript"/>
          <w:lang w:val="en-GB"/>
        </w:rPr>
        <w:t>-1</w:t>
      </w:r>
      <w:r>
        <w:rPr>
          <w:lang w:val="en-GB"/>
        </w:rPr>
        <w:t>) and 2-quinolone (6.7</w:t>
      </w:r>
      <w:r w:rsidRPr="00B34E89">
        <w:rPr>
          <w:lang w:val="en-GB"/>
        </w:rPr>
        <w:sym w:font="Symbol" w:char="F0B4"/>
      </w:r>
      <w:r>
        <w:rPr>
          <w:lang w:val="en-GB"/>
        </w:rPr>
        <w:t>10</w:t>
      </w:r>
      <w:r>
        <w:rPr>
          <w:vertAlign w:val="superscript"/>
          <w:lang w:val="en-GB"/>
        </w:rPr>
        <w:t>3</w:t>
      </w:r>
      <w:r>
        <w:rPr>
          <w:lang w:val="en-GB"/>
        </w:rPr>
        <w:t xml:space="preserve"> M</w:t>
      </w:r>
      <w:r>
        <w:rPr>
          <w:vertAlign w:val="superscript"/>
          <w:lang w:val="en-GB"/>
        </w:rPr>
        <w:t>-1</w:t>
      </w:r>
      <w:r>
        <w:rPr>
          <w:lang w:val="en-GB"/>
        </w:rPr>
        <w:t>) in the water-soluble cage.</w:t>
      </w:r>
      <w:r w:rsidR="000F734F" w:rsidRPr="000F734F">
        <w:rPr>
          <w:vertAlign w:val="superscript"/>
        </w:rPr>
        <w:t>39</w:t>
      </w:r>
      <w:r>
        <w:rPr>
          <w:lang w:val="en-GB"/>
        </w:rPr>
        <w:t xml:space="preserve"> This suggests that </w:t>
      </w:r>
      <w:r w:rsidR="008F3B5B" w:rsidRPr="008F3B5B">
        <w:rPr>
          <w:b/>
          <w:bCs/>
          <w:lang w:val="en-GB"/>
        </w:rPr>
        <w:t>R4</w:t>
      </w:r>
      <w:r>
        <w:rPr>
          <w:lang w:val="en-GB"/>
        </w:rPr>
        <w:t xml:space="preserve"> has a similar binding affinity for </w:t>
      </w:r>
      <w:r w:rsidR="008F3B5B" w:rsidRPr="008F3B5B">
        <w:rPr>
          <w:b/>
          <w:bCs/>
          <w:lang w:val="en-GB"/>
        </w:rPr>
        <w:t>C1w</w:t>
      </w:r>
      <w:r>
        <w:rPr>
          <w:lang w:val="en-GB"/>
        </w:rPr>
        <w:t xml:space="preserve">, potentially due to hydrophobic interactions and H-bonding between the cage structure and the carbonyl and nitroxide groups in </w:t>
      </w:r>
      <w:r w:rsidR="008F3B5B" w:rsidRPr="008F3B5B">
        <w:rPr>
          <w:b/>
          <w:bCs/>
          <w:lang w:val="en-GB"/>
        </w:rPr>
        <w:t>R4</w:t>
      </w:r>
      <w:r>
        <w:rPr>
          <w:bCs/>
          <w:lang w:val="en-GB"/>
        </w:rPr>
        <w:t xml:space="preserve"> being analogous to the interactions between the cage and the </w:t>
      </w:r>
      <w:r>
        <w:rPr>
          <w:lang w:val="en-GB"/>
        </w:rPr>
        <w:t xml:space="preserve">carbonyl group and fused aromatic ring in the previously investigated guests. The strength of binding in a similar water-soluble cage has been shown to correlate with several parameters including shape complementarity, hydrophobic interactions, guest flexibility </w:t>
      </w:r>
      <w:r w:rsidR="00092919">
        <w:rPr>
          <w:lang w:val="en-GB"/>
        </w:rPr>
        <w:t>etc.</w:t>
      </w:r>
      <w:r w:rsidR="000F734F" w:rsidRPr="000F734F">
        <w:rPr>
          <w:vertAlign w:val="superscript"/>
        </w:rPr>
        <w:t>42</w:t>
      </w:r>
    </w:p>
    <w:p w14:paraId="59A370CD" w14:textId="56AFC541" w:rsidR="006C5518" w:rsidRPr="009C62BB" w:rsidRDefault="006C5518" w:rsidP="00B24843">
      <w:pPr>
        <w:pStyle w:val="TAMainText"/>
        <w:rPr>
          <w:lang w:val="en-GB"/>
        </w:rPr>
      </w:pPr>
      <w:r>
        <w:rPr>
          <w:lang w:val="en-GB"/>
        </w:rPr>
        <w:t xml:space="preserve">In the previously studied </w:t>
      </w:r>
      <w:r w:rsidR="00523735">
        <w:rPr>
          <w:lang w:val="en-GB"/>
        </w:rPr>
        <w:t>MeCN cage,</w:t>
      </w:r>
      <w:r w:rsidR="000F734F" w:rsidRPr="000F734F">
        <w:rPr>
          <w:vertAlign w:val="superscript"/>
        </w:rPr>
        <w:t>39</w:t>
      </w:r>
      <w:r w:rsidR="00523735">
        <w:rPr>
          <w:lang w:val="en-GB"/>
        </w:rPr>
        <w:t xml:space="preserve"> </w:t>
      </w:r>
      <w:r>
        <w:rPr>
          <w:lang w:val="en-GB"/>
        </w:rPr>
        <w:t>these molecules had association constants of 7.8</w:t>
      </w:r>
      <w:r w:rsidRPr="00B34E89">
        <w:rPr>
          <w:lang w:val="en-GB"/>
        </w:rPr>
        <w:sym w:font="Symbol" w:char="F0B4"/>
      </w:r>
      <w:r>
        <w:rPr>
          <w:lang w:val="en-GB"/>
        </w:rPr>
        <w:t>10</w:t>
      </w:r>
      <w:r>
        <w:rPr>
          <w:vertAlign w:val="superscript"/>
          <w:lang w:val="en-GB"/>
        </w:rPr>
        <w:t>1</w:t>
      </w:r>
      <w:r w:rsidR="002051EF">
        <w:rPr>
          <w:vertAlign w:val="superscript"/>
          <w:lang w:val="en-GB"/>
        </w:rPr>
        <w:t> </w:t>
      </w:r>
      <w:r>
        <w:rPr>
          <w:lang w:val="en-GB"/>
        </w:rPr>
        <w:t>M</w:t>
      </w:r>
      <w:r>
        <w:rPr>
          <w:vertAlign w:val="superscript"/>
          <w:lang w:val="en-GB"/>
        </w:rPr>
        <w:t>-1</w:t>
      </w:r>
      <w:r>
        <w:rPr>
          <w:lang w:val="en-GB"/>
        </w:rPr>
        <w:t xml:space="preserve"> (coumarin) and 6.0</w:t>
      </w:r>
      <w:r w:rsidRPr="00B34E89">
        <w:rPr>
          <w:lang w:val="en-GB"/>
        </w:rPr>
        <w:sym w:font="Symbol" w:char="F0B4"/>
      </w:r>
      <w:r>
        <w:rPr>
          <w:lang w:val="en-GB"/>
        </w:rPr>
        <w:t>10</w:t>
      </w:r>
      <w:r>
        <w:rPr>
          <w:vertAlign w:val="superscript"/>
          <w:lang w:val="en-GB"/>
        </w:rPr>
        <w:t>2</w:t>
      </w:r>
      <w:r>
        <w:rPr>
          <w:lang w:val="en-GB"/>
        </w:rPr>
        <w:t xml:space="preserve"> M</w:t>
      </w:r>
      <w:r>
        <w:rPr>
          <w:vertAlign w:val="superscript"/>
          <w:lang w:val="en-GB"/>
        </w:rPr>
        <w:t>-1</w:t>
      </w:r>
      <w:r w:rsidRPr="00617F21">
        <w:rPr>
          <w:lang w:val="en-GB"/>
        </w:rPr>
        <w:t xml:space="preserve"> </w:t>
      </w:r>
      <w:r>
        <w:rPr>
          <w:lang w:val="en-GB"/>
        </w:rPr>
        <w:t xml:space="preserve">(2-quinolone), showing far weaker binding than the radicals </w:t>
      </w:r>
      <w:r w:rsidR="008F3B5B" w:rsidRPr="008F3B5B">
        <w:rPr>
          <w:b/>
          <w:bCs/>
          <w:lang w:val="en-GB"/>
        </w:rPr>
        <w:t>R5</w:t>
      </w:r>
      <w:r>
        <w:rPr>
          <w:lang w:val="en-GB"/>
        </w:rPr>
        <w:t xml:space="preserve"> and </w:t>
      </w:r>
      <w:r w:rsidR="008F3B5B" w:rsidRPr="008F3B5B">
        <w:rPr>
          <w:b/>
          <w:bCs/>
          <w:lang w:val="en-GB"/>
        </w:rPr>
        <w:t>R6</w:t>
      </w:r>
      <w:r>
        <w:rPr>
          <w:lang w:val="en-GB"/>
        </w:rPr>
        <w:t xml:space="preserve"> studied in this work in MeCN. The carboxylic acid functional group of the radicals may be the main reason for this, providing greater H-bonding interaction strength than that of the carbonyl of the previous guests. </w:t>
      </w:r>
    </w:p>
    <w:p w14:paraId="6E2B5D95" w14:textId="77777777" w:rsidR="006C5518" w:rsidRPr="00B24843" w:rsidRDefault="006C5518" w:rsidP="00B24843">
      <w:pPr>
        <w:pStyle w:val="TAMainText"/>
        <w:rPr>
          <w:b/>
          <w:bCs/>
          <w:lang w:val="en-GB"/>
        </w:rPr>
      </w:pPr>
      <w:r w:rsidRPr="00B24843">
        <w:rPr>
          <w:b/>
          <w:bCs/>
          <w:lang w:val="en-GB"/>
        </w:rPr>
        <w:t>Microenvironment of bound guests</w:t>
      </w:r>
    </w:p>
    <w:p w14:paraId="10B219AA" w14:textId="77777777" w:rsidR="006C5518" w:rsidRPr="00B24843" w:rsidRDefault="006C5518" w:rsidP="00B24843">
      <w:pPr>
        <w:pStyle w:val="TAMainText"/>
        <w:rPr>
          <w:b/>
          <w:bCs/>
          <w:i/>
          <w:lang w:val="en-GB"/>
        </w:rPr>
      </w:pPr>
      <w:r w:rsidRPr="00B24843">
        <w:rPr>
          <w:b/>
          <w:bCs/>
          <w:i/>
          <w:lang w:val="en-GB"/>
        </w:rPr>
        <w:t>Polarity</w:t>
      </w:r>
    </w:p>
    <w:p w14:paraId="6A7D2040" w14:textId="295A7BD4" w:rsidR="00173ED5" w:rsidRDefault="006C5518" w:rsidP="00B24843">
      <w:pPr>
        <w:pStyle w:val="TAMainText"/>
        <w:rPr>
          <w:lang w:val="en-GB"/>
        </w:rPr>
      </w:pPr>
      <w:r>
        <w:rPr>
          <w:lang w:val="en-GB"/>
        </w:rPr>
        <w:lastRenderedPageBreak/>
        <w:t>The EPR</w:t>
      </w:r>
      <w:r w:rsidRPr="00617F21">
        <w:rPr>
          <w:lang w:val="en-GB"/>
        </w:rPr>
        <w:t xml:space="preserve"> simulation</w:t>
      </w:r>
      <w:r>
        <w:rPr>
          <w:lang w:val="en-GB"/>
        </w:rPr>
        <w:t>s</w:t>
      </w:r>
      <w:r w:rsidRPr="00617F21">
        <w:rPr>
          <w:lang w:val="en-GB"/>
        </w:rPr>
        <w:t xml:space="preserve"> revealed a </w:t>
      </w:r>
      <w:r>
        <w:rPr>
          <w:lang w:val="en-GB"/>
        </w:rPr>
        <w:t xml:space="preserve">small </w:t>
      </w:r>
      <w:r w:rsidRPr="00617F21">
        <w:rPr>
          <w:lang w:val="en-GB"/>
        </w:rPr>
        <w:t xml:space="preserve">change in hyperfine value observed for the </w:t>
      </w:r>
      <w:r w:rsidR="008F3B5B" w:rsidRPr="008F3B5B">
        <w:rPr>
          <w:b/>
          <w:bCs/>
          <w:lang w:val="en-GB"/>
        </w:rPr>
        <w:t>R4</w:t>
      </w:r>
      <w:r>
        <w:rPr>
          <w:lang w:val="en-GB"/>
        </w:rPr>
        <w:t>+</w:t>
      </w:r>
      <w:r w:rsidR="008F3B5B" w:rsidRPr="008F3B5B">
        <w:rPr>
          <w:b/>
          <w:bCs/>
          <w:lang w:val="en-GB"/>
        </w:rPr>
        <w:t>C1w</w:t>
      </w:r>
      <w:r>
        <w:rPr>
          <w:lang w:val="en-GB"/>
        </w:rPr>
        <w:t xml:space="preserve"> (15.74 G) </w:t>
      </w:r>
      <w:r w:rsidRPr="00617F21">
        <w:rPr>
          <w:lang w:val="en-GB"/>
        </w:rPr>
        <w:t xml:space="preserve">compared to that of the unbound </w:t>
      </w:r>
      <w:r w:rsidR="008F3B5B" w:rsidRPr="008F3B5B">
        <w:rPr>
          <w:b/>
          <w:bCs/>
          <w:lang w:val="en-GB"/>
        </w:rPr>
        <w:t>R4</w:t>
      </w:r>
      <w:r>
        <w:rPr>
          <w:lang w:val="en-GB"/>
        </w:rPr>
        <w:t xml:space="preserve"> </w:t>
      </w:r>
      <w:r w:rsidRPr="00021512">
        <w:rPr>
          <w:lang w:val="en-GB"/>
        </w:rPr>
        <w:t>(16.03 G)</w:t>
      </w:r>
      <w:r w:rsidRPr="00AD6FEB">
        <w:rPr>
          <w:lang w:val="en-GB"/>
        </w:rPr>
        <w:t>.</w:t>
      </w:r>
      <w:r w:rsidRPr="00617F21">
        <w:rPr>
          <w:lang w:val="en-GB"/>
        </w:rPr>
        <w:t xml:space="preserve"> </w:t>
      </w:r>
      <w:r w:rsidR="00173ED5">
        <w:rPr>
          <w:lang w:val="en-GB"/>
        </w:rPr>
        <w:t>The</w:t>
      </w:r>
      <w:r w:rsidR="00173ED5" w:rsidRPr="00617F21">
        <w:rPr>
          <w:lang w:val="en-GB"/>
        </w:rPr>
        <w:t xml:space="preserve"> decrease in the hyperfine value suggests that the cavity environment of the cage is less polar than the bulk H</w:t>
      </w:r>
      <w:r w:rsidR="00173ED5" w:rsidRPr="00617F21">
        <w:rPr>
          <w:vertAlign w:val="subscript"/>
          <w:lang w:val="en-GB"/>
        </w:rPr>
        <w:t>2</w:t>
      </w:r>
      <w:r w:rsidR="00173ED5" w:rsidRPr="00617F21">
        <w:rPr>
          <w:lang w:val="en-GB"/>
        </w:rPr>
        <w:t>O solution,</w:t>
      </w:r>
      <w:r w:rsidR="000F734F" w:rsidRPr="000F734F">
        <w:rPr>
          <w:vertAlign w:val="superscript"/>
        </w:rPr>
        <w:t>47–49</w:t>
      </w:r>
      <w:r w:rsidR="00173ED5">
        <w:rPr>
          <w:lang w:val="en-GB"/>
        </w:rPr>
        <w:t xml:space="preserve"> </w:t>
      </w:r>
      <w:r w:rsidR="00173ED5" w:rsidRPr="00617F21">
        <w:rPr>
          <w:lang w:val="en-GB"/>
        </w:rPr>
        <w:t>supporting observations in previous work</w:t>
      </w:r>
      <w:r w:rsidR="00173ED5">
        <w:rPr>
          <w:lang w:val="en-GB"/>
        </w:rPr>
        <w:t>.</w:t>
      </w:r>
      <w:r w:rsidR="000F734F" w:rsidRPr="000F734F">
        <w:rPr>
          <w:vertAlign w:val="superscript"/>
        </w:rPr>
        <w:t>33</w:t>
      </w:r>
      <w:r w:rsidR="00173ED5">
        <w:rPr>
          <w:lang w:val="en-GB"/>
        </w:rPr>
        <w:t xml:space="preserve"> </w:t>
      </w:r>
    </w:p>
    <w:p w14:paraId="614BD0B6" w14:textId="19A50352" w:rsidR="006C5518" w:rsidRDefault="006C5518" w:rsidP="00B24843">
      <w:pPr>
        <w:pStyle w:val="TAMainText"/>
        <w:rPr>
          <w:lang w:val="en-GB"/>
        </w:rPr>
      </w:pPr>
      <w:r>
        <w:rPr>
          <w:rFonts w:cs="Arial"/>
          <w:lang w:val="en-GB"/>
        </w:rPr>
        <w:t xml:space="preserve">In contrast, the increase in hyperfine value for radical </w:t>
      </w:r>
      <w:r w:rsidR="008F3B5B" w:rsidRPr="008F3B5B">
        <w:rPr>
          <w:rFonts w:cs="Arial"/>
          <w:b/>
          <w:bCs/>
          <w:lang w:val="en-GB"/>
        </w:rPr>
        <w:t>R5</w:t>
      </w:r>
      <w:r w:rsidRPr="00F376D4">
        <w:rPr>
          <w:rFonts w:cs="Arial"/>
          <w:lang w:val="en-GB"/>
        </w:rPr>
        <w:t>+</w:t>
      </w:r>
      <w:r w:rsidR="008F3B5B" w:rsidRPr="008F3B5B">
        <w:rPr>
          <w:rFonts w:cs="Arial"/>
          <w:b/>
          <w:bCs/>
          <w:lang w:val="en-GB"/>
        </w:rPr>
        <w:t>C2org</w:t>
      </w:r>
      <w:r>
        <w:rPr>
          <w:rFonts w:cs="Arial"/>
          <w:lang w:val="en-GB"/>
        </w:rPr>
        <w:t xml:space="preserve"> (16.36 G) compared to unbound </w:t>
      </w:r>
      <w:r w:rsidR="008F3B5B" w:rsidRPr="008F3B5B">
        <w:rPr>
          <w:rFonts w:cs="Arial"/>
          <w:b/>
          <w:bCs/>
          <w:lang w:val="en-GB"/>
        </w:rPr>
        <w:t>R5</w:t>
      </w:r>
      <w:r>
        <w:rPr>
          <w:rFonts w:cs="Arial"/>
          <w:lang w:val="en-GB"/>
        </w:rPr>
        <w:t xml:space="preserve"> (15.79 G) in solution, indicates the binding environment of the radical is more polar than that of the unbound radical for this </w:t>
      </w:r>
      <w:proofErr w:type="spellStart"/>
      <w:r>
        <w:rPr>
          <w:rFonts w:cs="Arial"/>
          <w:lang w:val="en-GB"/>
        </w:rPr>
        <w:t>radical+cage</w:t>
      </w:r>
      <w:proofErr w:type="spellEnd"/>
      <w:r>
        <w:rPr>
          <w:rFonts w:cs="Arial"/>
          <w:lang w:val="en-GB"/>
        </w:rPr>
        <w:t xml:space="preserve"> complex. This suggests that the binding environment of the cage structures is more polar than MeCN but less polar than H</w:t>
      </w:r>
      <w:r>
        <w:rPr>
          <w:rFonts w:cs="Arial"/>
          <w:vertAlign w:val="subscript"/>
          <w:lang w:val="en-GB"/>
        </w:rPr>
        <w:t>2</w:t>
      </w:r>
      <w:r>
        <w:rPr>
          <w:rFonts w:cs="Arial"/>
          <w:lang w:val="en-GB"/>
        </w:rPr>
        <w:t>O.</w:t>
      </w:r>
    </w:p>
    <w:p w14:paraId="7A7ADB6A" w14:textId="0663F728" w:rsidR="006C5518" w:rsidRPr="009C62BB" w:rsidRDefault="006C5518" w:rsidP="00B24843">
      <w:pPr>
        <w:pStyle w:val="TAMainText"/>
        <w:rPr>
          <w:lang w:val="en-GB"/>
        </w:rPr>
      </w:pPr>
      <w:r>
        <w:rPr>
          <w:lang w:val="en-GB"/>
        </w:rPr>
        <w:t>I</w:t>
      </w:r>
      <w:r w:rsidRPr="00617F21">
        <w:rPr>
          <w:lang w:val="en-GB"/>
        </w:rPr>
        <w:t>t is important to note the change in hyperfine value is only small (~0.3 G), and so strong conclusions may not be drawn from this data alone,</w:t>
      </w:r>
      <w:r>
        <w:rPr>
          <w:lang w:val="en-GB"/>
        </w:rPr>
        <w:t xml:space="preserve"> as the change in hyperfine value could arise as a simulation artefact due to using the fast-motion approximation to fit the bound components.</w:t>
      </w:r>
      <w:r w:rsidRPr="00617F21">
        <w:rPr>
          <w:lang w:val="en-GB"/>
        </w:rPr>
        <w:t xml:space="preserve"> </w:t>
      </w:r>
      <w:r>
        <w:rPr>
          <w:lang w:val="en-GB"/>
        </w:rPr>
        <w:t xml:space="preserve">However, </w:t>
      </w:r>
      <w:r w:rsidRPr="00617F21">
        <w:rPr>
          <w:lang w:val="en-GB"/>
        </w:rPr>
        <w:t>the observation</w:t>
      </w:r>
      <w:r>
        <w:rPr>
          <w:lang w:val="en-GB"/>
        </w:rPr>
        <w:t>s</w:t>
      </w:r>
      <w:r w:rsidRPr="00617F21">
        <w:rPr>
          <w:lang w:val="en-GB"/>
        </w:rPr>
        <w:t xml:space="preserve"> </w:t>
      </w:r>
      <w:r>
        <w:rPr>
          <w:lang w:val="en-GB"/>
        </w:rPr>
        <w:t>appear to</w:t>
      </w:r>
      <w:r w:rsidRPr="00617F21">
        <w:rPr>
          <w:lang w:val="en-GB"/>
        </w:rPr>
        <w:t xml:space="preserve"> support </w:t>
      </w:r>
      <w:r>
        <w:rPr>
          <w:lang w:val="en-GB"/>
        </w:rPr>
        <w:t>the</w:t>
      </w:r>
      <w:r w:rsidRPr="00617F21">
        <w:rPr>
          <w:lang w:val="en-GB"/>
        </w:rPr>
        <w:t xml:space="preserve"> previously observed characteristics of the host-guest complexes of cages of this type.</w:t>
      </w:r>
    </w:p>
    <w:p w14:paraId="56406904" w14:textId="77777777" w:rsidR="006C5518" w:rsidRPr="00B24843" w:rsidRDefault="006C5518" w:rsidP="00B24843">
      <w:pPr>
        <w:pStyle w:val="TAMainText"/>
        <w:rPr>
          <w:b/>
          <w:bCs/>
          <w:i/>
          <w:iCs/>
          <w:lang w:val="en-GB"/>
        </w:rPr>
      </w:pPr>
      <w:r w:rsidRPr="00B24843">
        <w:rPr>
          <w:b/>
          <w:bCs/>
          <w:i/>
          <w:iCs/>
          <w:lang w:val="en-GB"/>
        </w:rPr>
        <w:t>Rotational Diffusion</w:t>
      </w:r>
    </w:p>
    <w:p w14:paraId="60BF2239" w14:textId="2982581B" w:rsidR="00116047" w:rsidRDefault="006C5518" w:rsidP="00AC40A0">
      <w:pPr>
        <w:pStyle w:val="TAMainText"/>
        <w:rPr>
          <w:lang w:val="en-GB"/>
        </w:rPr>
      </w:pPr>
      <w:r>
        <w:rPr>
          <w:lang w:val="en-GB"/>
        </w:rPr>
        <w:t>D</w:t>
      </w:r>
      <w:r w:rsidRPr="00617F21">
        <w:rPr>
          <w:lang w:val="en-GB"/>
        </w:rPr>
        <w:t>iffusion parameters</w:t>
      </w:r>
      <w:r>
        <w:rPr>
          <w:lang w:val="en-GB"/>
        </w:rPr>
        <w:t xml:space="preserve"> were</w:t>
      </w:r>
      <w:r w:rsidRPr="00617F21">
        <w:rPr>
          <w:lang w:val="en-GB"/>
        </w:rPr>
        <w:t xml:space="preserve"> obtained from spectral simulations</w:t>
      </w:r>
      <w:r>
        <w:rPr>
          <w:lang w:val="en-GB"/>
        </w:rPr>
        <w:t>, allowing characterisation of the molecular motion of the radical guests in their bound and unbound states</w:t>
      </w:r>
      <w:r w:rsidRPr="00617F21">
        <w:rPr>
          <w:lang w:val="en-GB"/>
        </w:rPr>
        <w:t xml:space="preserve">. </w:t>
      </w:r>
      <w:r w:rsidR="00E90825">
        <w:rPr>
          <w:lang w:val="en-GB"/>
        </w:rPr>
        <w:t xml:space="preserve">For unbound radicals the isotropic diffusion parameter </w:t>
      </w:r>
      <w:proofErr w:type="spellStart"/>
      <w:r w:rsidR="00E90825">
        <w:rPr>
          <w:lang w:val="en-GB"/>
        </w:rPr>
        <w:t>D</w:t>
      </w:r>
      <w:r w:rsidR="00E90825">
        <w:rPr>
          <w:vertAlign w:val="subscript"/>
          <w:lang w:val="en-GB"/>
        </w:rPr>
        <w:t>iso</w:t>
      </w:r>
      <w:proofErr w:type="spellEnd"/>
      <w:r w:rsidR="00E90825">
        <w:rPr>
          <w:lang w:val="en-GB"/>
        </w:rPr>
        <w:t xml:space="preserve"> was </w:t>
      </w:r>
      <w:r w:rsidR="00E56C5D">
        <w:rPr>
          <w:lang w:val="en-GB"/>
        </w:rPr>
        <w:t xml:space="preserve">calculated, whilst for the </w:t>
      </w:r>
      <w:r w:rsidR="006117F4">
        <w:rPr>
          <w:lang w:val="en-GB"/>
        </w:rPr>
        <w:t>bound radicals</w:t>
      </w:r>
      <w:r w:rsidR="00E90825">
        <w:rPr>
          <w:lang w:val="en-GB"/>
        </w:rPr>
        <w:t xml:space="preserve"> </w:t>
      </w:r>
      <w:r w:rsidR="00E56C5D">
        <w:rPr>
          <w:lang w:val="en-GB"/>
        </w:rPr>
        <w:t>t</w:t>
      </w:r>
      <w:r w:rsidR="00D63CF4">
        <w:rPr>
          <w:lang w:val="en-GB"/>
        </w:rPr>
        <w:t xml:space="preserve">he </w:t>
      </w:r>
      <w:r>
        <w:rPr>
          <w:lang w:val="en-GB"/>
        </w:rPr>
        <w:t xml:space="preserve">axial </w:t>
      </w:r>
      <w:r w:rsidRPr="00617F21">
        <w:rPr>
          <w:lang w:val="en-GB"/>
        </w:rPr>
        <w:t>diffusion parameter</w:t>
      </w:r>
      <w:r>
        <w:rPr>
          <w:lang w:val="en-GB"/>
        </w:rPr>
        <w:t>s</w:t>
      </w:r>
      <w:r w:rsidRPr="00617F21">
        <w:rPr>
          <w:lang w:val="en-GB"/>
        </w:rPr>
        <w:t xml:space="preserve"> </w:t>
      </w:r>
      <w:proofErr w:type="spellStart"/>
      <w:r w:rsidRPr="00617F21">
        <w:rPr>
          <w:lang w:val="en-GB"/>
        </w:rPr>
        <w:t>D</w:t>
      </w:r>
      <w:r w:rsidRPr="00617F21">
        <w:rPr>
          <w:vertAlign w:val="subscript"/>
          <w:lang w:val="en-GB"/>
        </w:rPr>
        <w:t>xy</w:t>
      </w:r>
      <w:proofErr w:type="spellEnd"/>
      <w:r w:rsidRPr="00617F21">
        <w:rPr>
          <w:lang w:val="en-GB"/>
        </w:rPr>
        <w:t xml:space="preserve"> and </w:t>
      </w:r>
      <w:proofErr w:type="spellStart"/>
      <w:r w:rsidRPr="00617F21">
        <w:rPr>
          <w:lang w:val="en-GB"/>
        </w:rPr>
        <w:t>D</w:t>
      </w:r>
      <w:r w:rsidRPr="00617F21">
        <w:rPr>
          <w:vertAlign w:val="subscript"/>
          <w:lang w:val="en-GB"/>
        </w:rPr>
        <w:t>z</w:t>
      </w:r>
      <w:proofErr w:type="spellEnd"/>
      <w:r w:rsidR="00D63CF4">
        <w:rPr>
          <w:lang w:val="en-GB"/>
        </w:rPr>
        <w:t xml:space="preserve"> were determined</w:t>
      </w:r>
      <w:r w:rsidR="00E56C5D">
        <w:rPr>
          <w:lang w:val="en-GB"/>
        </w:rPr>
        <w:t>.</w:t>
      </w:r>
      <w:r w:rsidR="008865F5">
        <w:rPr>
          <w:lang w:val="en-GB"/>
        </w:rPr>
        <w:t xml:space="preserve"> </w:t>
      </w:r>
      <w:r>
        <w:rPr>
          <w:lang w:val="en-GB"/>
        </w:rPr>
        <w:t xml:space="preserve">To assign these values to the rotational diffusion axes </w:t>
      </w:r>
      <w:r w:rsidRPr="00617F21">
        <w:rPr>
          <w:lang w:val="en-GB"/>
        </w:rPr>
        <w:t>D</w:t>
      </w:r>
      <w:r w:rsidRPr="00617F21">
        <w:rPr>
          <w:rFonts w:ascii="Cambria Math" w:hAnsi="Cambria Math" w:cs="Cambria Math"/>
          <w:vertAlign w:val="subscript"/>
          <w:lang w:val="en-GB"/>
        </w:rPr>
        <w:t>⊥</w:t>
      </w:r>
      <w:r w:rsidRPr="00617F21">
        <w:rPr>
          <w:lang w:val="en-GB"/>
        </w:rPr>
        <w:t xml:space="preserve"> and D</w:t>
      </w:r>
      <w:r w:rsidRPr="00617F21">
        <w:rPr>
          <w:rFonts w:ascii="Cambria Math" w:hAnsi="Cambria Math" w:cs="Cambria Math"/>
          <w:vertAlign w:val="subscript"/>
          <w:lang w:val="en-GB"/>
        </w:rPr>
        <w:t>∥</w:t>
      </w:r>
      <w:r w:rsidRPr="00617F21">
        <w:rPr>
          <w:lang w:val="en-GB"/>
        </w:rPr>
        <w:t xml:space="preserve"> respectively</w:t>
      </w:r>
      <w:r>
        <w:rPr>
          <w:lang w:val="en-GB"/>
        </w:rPr>
        <w:t>, the nitroxide was approximated</w:t>
      </w:r>
      <w:r w:rsidRPr="00617F21">
        <w:rPr>
          <w:lang w:val="en-GB"/>
        </w:rPr>
        <w:t xml:space="preserve"> as a rigid rod, with one end fixed to the cag</w:t>
      </w:r>
      <w:r>
        <w:rPr>
          <w:lang w:val="en-GB"/>
        </w:rPr>
        <w:t>e</w:t>
      </w:r>
      <w:r w:rsidRPr="00617F21">
        <w:rPr>
          <w:lang w:val="en-GB"/>
        </w:rPr>
        <w:t xml:space="preserve"> and the other terminating in the N-O bond</w:t>
      </w:r>
      <w:r>
        <w:rPr>
          <w:lang w:val="en-GB"/>
        </w:rPr>
        <w:t xml:space="preserve">, defining the </w:t>
      </w:r>
      <w:r w:rsidRPr="00617F21">
        <w:rPr>
          <w:lang w:val="en-GB"/>
        </w:rPr>
        <w:t>D</w:t>
      </w:r>
      <w:r w:rsidRPr="00617F21">
        <w:rPr>
          <w:rFonts w:ascii="Cambria Math" w:hAnsi="Cambria Math" w:cs="Cambria Math"/>
          <w:vertAlign w:val="subscript"/>
          <w:lang w:val="en-GB"/>
        </w:rPr>
        <w:t>∥</w:t>
      </w:r>
      <w:r w:rsidRPr="00617F21">
        <w:rPr>
          <w:lang w:val="en-GB"/>
        </w:rPr>
        <w:t xml:space="preserve"> axis </w:t>
      </w:r>
      <w:r>
        <w:rPr>
          <w:lang w:val="en-GB"/>
        </w:rPr>
        <w:t>a</w:t>
      </w:r>
      <w:r w:rsidRPr="00617F21">
        <w:rPr>
          <w:lang w:val="en-GB"/>
        </w:rPr>
        <w:t>s parallel to the N-O bond</w:t>
      </w:r>
      <w:r>
        <w:rPr>
          <w:lang w:val="en-GB"/>
        </w:rPr>
        <w:t>. T</w:t>
      </w:r>
      <w:r w:rsidRPr="00617F21">
        <w:rPr>
          <w:lang w:val="en-GB"/>
        </w:rPr>
        <w:t>he angle between D</w:t>
      </w:r>
      <w:r w:rsidRPr="00617F21">
        <w:rPr>
          <w:rFonts w:ascii="Cambria Math" w:hAnsi="Cambria Math" w:cs="Cambria Math"/>
          <w:vertAlign w:val="subscript"/>
          <w:lang w:val="en-GB"/>
        </w:rPr>
        <w:t>∥</w:t>
      </w:r>
      <w:r w:rsidRPr="00617F21">
        <w:rPr>
          <w:lang w:val="en-GB"/>
        </w:rPr>
        <w:t xml:space="preserve"> and the magnetic z-axis</w:t>
      </w:r>
      <w:r>
        <w:rPr>
          <w:lang w:val="en-GB"/>
        </w:rPr>
        <w:t>,</w:t>
      </w:r>
      <w:r w:rsidRPr="00617F21">
        <w:rPr>
          <w:lang w:val="en-GB"/>
        </w:rPr>
        <w:t xml:space="preserve"> β</w:t>
      </w:r>
      <w:r w:rsidRPr="00617F21">
        <w:rPr>
          <w:vertAlign w:val="subscript"/>
          <w:lang w:val="en-GB"/>
        </w:rPr>
        <w:t>D</w:t>
      </w:r>
      <w:r>
        <w:rPr>
          <w:lang w:val="en-GB"/>
        </w:rPr>
        <w:t>, in this work was</w:t>
      </w:r>
      <w:r w:rsidRPr="00617F21">
        <w:rPr>
          <w:lang w:val="en-GB"/>
        </w:rPr>
        <w:t xml:space="preserve"> 90º</w:t>
      </w:r>
      <w:r>
        <w:rPr>
          <w:lang w:val="en-GB"/>
        </w:rPr>
        <w:t xml:space="preserve"> (</w:t>
      </w:r>
      <w:r w:rsidR="008F3B5B">
        <w:rPr>
          <w:lang w:val="en-GB"/>
        </w:rPr>
        <w:fldChar w:fldCharType="begin"/>
      </w:r>
      <w:r w:rsidR="008F3B5B">
        <w:rPr>
          <w:lang w:val="en-GB"/>
        </w:rPr>
        <w:instrText xml:space="preserve"> REF _Ref35872758 \h </w:instrText>
      </w:r>
      <w:r w:rsidR="008F3B5B">
        <w:rPr>
          <w:lang w:val="en-GB"/>
        </w:rPr>
      </w:r>
      <w:r w:rsidR="008F3B5B">
        <w:rPr>
          <w:lang w:val="en-GB"/>
        </w:rPr>
        <w:fldChar w:fldCharType="separate"/>
      </w:r>
      <w:r w:rsidR="00CE0E94">
        <w:rPr>
          <w:rFonts w:cs="Arial"/>
          <w:b/>
          <w:bCs/>
        </w:rPr>
        <w:t xml:space="preserve">Figure </w:t>
      </w:r>
      <w:r w:rsidR="00CE0E94">
        <w:rPr>
          <w:rFonts w:cs="Arial"/>
          <w:b/>
          <w:bCs/>
          <w:noProof/>
        </w:rPr>
        <w:t>6</w:t>
      </w:r>
      <w:r w:rsidR="008F3B5B">
        <w:rPr>
          <w:lang w:val="en-GB"/>
        </w:rPr>
        <w:fldChar w:fldCharType="end"/>
      </w:r>
      <w:r>
        <w:rPr>
          <w:lang w:val="en-GB"/>
        </w:rPr>
        <w:t>)</w:t>
      </w:r>
      <w:r w:rsidRPr="00617F21">
        <w:rPr>
          <w:lang w:val="en-GB"/>
        </w:rPr>
        <w:t>.</w:t>
      </w:r>
    </w:p>
    <w:p w14:paraId="18A82C89" w14:textId="77777777" w:rsidR="00563629" w:rsidRDefault="00563629" w:rsidP="00563629">
      <w:pPr>
        <w:pStyle w:val="VAFigureCaption"/>
        <w:jc w:val="center"/>
      </w:pPr>
      <w:r>
        <w:rPr>
          <w:noProof/>
          <w:lang w:val="en-GB" w:eastAsia="en-GB"/>
        </w:rPr>
        <w:lastRenderedPageBreak/>
        <w:drawing>
          <wp:inline distT="0" distB="0" distL="0" distR="0" wp14:anchorId="3D5A3E98" wp14:editId="4A202137">
            <wp:extent cx="3084830" cy="943610"/>
            <wp:effectExtent l="0" t="0" r="1270" b="8890"/>
            <wp:docPr id="6" name="Picture 6" descr="Rotation Axes Nitr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tation Axes Nitroxi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4830" cy="943610"/>
                    </a:xfrm>
                    <a:prstGeom prst="rect">
                      <a:avLst/>
                    </a:prstGeom>
                    <a:noFill/>
                    <a:ln>
                      <a:noFill/>
                    </a:ln>
                  </pic:spPr>
                </pic:pic>
              </a:graphicData>
            </a:graphic>
          </wp:inline>
        </w:drawing>
      </w:r>
    </w:p>
    <w:p w14:paraId="06C136A6" w14:textId="1C9A997B" w:rsidR="00563629" w:rsidRDefault="00563629" w:rsidP="00563629">
      <w:pPr>
        <w:pStyle w:val="VAFigureCaption"/>
      </w:pPr>
      <w:bookmarkStart w:id="9" w:name="_Ref35872758"/>
      <w:r>
        <w:rPr>
          <w:rFonts w:cs="Arial"/>
          <w:b/>
          <w:bCs/>
        </w:rPr>
        <w:t xml:space="preserve">Figure </w:t>
      </w:r>
      <w:r w:rsidRPr="00D75F1E">
        <w:rPr>
          <w:rFonts w:cs="Arial"/>
          <w:b/>
          <w:bCs/>
        </w:rPr>
        <w:fldChar w:fldCharType="begin"/>
      </w:r>
      <w:r w:rsidRPr="00D75F1E">
        <w:rPr>
          <w:rFonts w:cs="Arial"/>
          <w:b/>
          <w:bCs/>
        </w:rPr>
        <w:instrText xml:space="preserve"> SEQ Figure \* ARABIC </w:instrText>
      </w:r>
      <w:r w:rsidRPr="00D75F1E">
        <w:rPr>
          <w:rFonts w:cs="Arial"/>
          <w:b/>
          <w:bCs/>
        </w:rPr>
        <w:fldChar w:fldCharType="separate"/>
      </w:r>
      <w:r w:rsidR="00CE0E94">
        <w:rPr>
          <w:rFonts w:cs="Arial"/>
          <w:b/>
          <w:bCs/>
          <w:noProof/>
        </w:rPr>
        <w:t>6</w:t>
      </w:r>
      <w:r w:rsidRPr="00D75F1E">
        <w:rPr>
          <w:rFonts w:cs="Arial"/>
          <w:b/>
          <w:bCs/>
        </w:rPr>
        <w:fldChar w:fldCharType="end"/>
      </w:r>
      <w:bookmarkEnd w:id="9"/>
      <w:r w:rsidRPr="00617F21">
        <w:rPr>
          <w:b/>
        </w:rPr>
        <w:t>.</w:t>
      </w:r>
      <w:r w:rsidRPr="00617F21">
        <w:t xml:space="preserve"> Diagrams showing the orientation of the magnetic axes for nitroxides in this work: Top view (left), side view (</w:t>
      </w:r>
      <w:proofErr w:type="spellStart"/>
      <w:r w:rsidRPr="00617F21">
        <w:t>centre</w:t>
      </w:r>
      <w:proofErr w:type="spellEnd"/>
      <w:r w:rsidRPr="00617F21">
        <w:t>), and diagram showing rotation about the diffusion axes, where angle between the magnetic z-axis and D</w:t>
      </w:r>
      <w:r w:rsidRPr="00617F21">
        <w:rPr>
          <w:rFonts w:ascii="Cambria Math" w:hAnsi="Cambria Math" w:cs="Cambria Math"/>
          <w:vertAlign w:val="subscript"/>
        </w:rPr>
        <w:t>∥</w:t>
      </w:r>
      <w:r w:rsidRPr="00617F21">
        <w:t>, given by β</w:t>
      </w:r>
      <w:r w:rsidRPr="00617F21">
        <w:rPr>
          <w:vertAlign w:val="subscript"/>
        </w:rPr>
        <w:t>D</w:t>
      </w:r>
      <w:r w:rsidRPr="00617F21">
        <w:t>, is 90º (right). D</w:t>
      </w:r>
      <w:r w:rsidRPr="00617F21">
        <w:rPr>
          <w:rFonts w:ascii="Cambria Math" w:hAnsi="Cambria Math" w:cs="Cambria Math"/>
          <w:vertAlign w:val="subscript"/>
        </w:rPr>
        <w:t>⊥</w:t>
      </w:r>
      <w:r w:rsidRPr="00617F21">
        <w:t xml:space="preserve"> is perpendicular to D</w:t>
      </w:r>
      <w:r w:rsidRPr="00617F21">
        <w:rPr>
          <w:rFonts w:ascii="Cambria Math" w:hAnsi="Cambria Math" w:cs="Cambria Math"/>
          <w:vertAlign w:val="subscript"/>
        </w:rPr>
        <w:t>∥</w:t>
      </w:r>
      <w:r w:rsidRPr="00617F21">
        <w:t>.</w:t>
      </w:r>
    </w:p>
    <w:p w14:paraId="45888669" w14:textId="6A069876" w:rsidR="00116047" w:rsidRDefault="00B328E8" w:rsidP="00B24843">
      <w:pPr>
        <w:pStyle w:val="TAMainText"/>
      </w:pPr>
      <w:r w:rsidRPr="00541288">
        <w:t xml:space="preserve">Using this basis, the </w:t>
      </w:r>
      <w:proofErr w:type="spellStart"/>
      <w:r w:rsidRPr="00541288">
        <w:t>D</w:t>
      </w:r>
      <w:r w:rsidRPr="00541288">
        <w:rPr>
          <w:vertAlign w:val="subscript"/>
        </w:rPr>
        <w:t>iso</w:t>
      </w:r>
      <w:proofErr w:type="spellEnd"/>
      <w:r w:rsidRPr="00541288">
        <w:t xml:space="preserve"> and D</w:t>
      </w:r>
      <w:r w:rsidRPr="00541288">
        <w:rPr>
          <w:rFonts w:ascii="Cambria Math" w:hAnsi="Cambria Math" w:cs="Cambria Math"/>
          <w:vertAlign w:val="subscript"/>
        </w:rPr>
        <w:t>⊥</w:t>
      </w:r>
      <w:r w:rsidRPr="00541288">
        <w:t xml:space="preserve"> and D</w:t>
      </w:r>
      <w:r w:rsidRPr="00541288">
        <w:rPr>
          <w:rFonts w:ascii="Cambria Math" w:hAnsi="Cambria Math" w:cs="Cambria Math"/>
          <w:vertAlign w:val="subscript"/>
        </w:rPr>
        <w:t>∥</w:t>
      </w:r>
      <w:r w:rsidRPr="00541288">
        <w:t xml:space="preserve"> </w:t>
      </w:r>
      <w:r>
        <w:t xml:space="preserve">parameters were calculated for each radical, as shown in </w:t>
      </w:r>
      <w:r w:rsidR="008F3B5B">
        <w:fldChar w:fldCharType="begin"/>
      </w:r>
      <w:r w:rsidR="008F3B5B">
        <w:instrText xml:space="preserve"> REF _Ref35872942 \h </w:instrText>
      </w:r>
      <w:r w:rsidR="008F3B5B">
        <w:fldChar w:fldCharType="separate"/>
      </w:r>
      <w:r w:rsidR="00CE0E94" w:rsidRPr="00DD759E">
        <w:rPr>
          <w:b/>
          <w:bCs/>
        </w:rPr>
        <w:t xml:space="preserve">Table </w:t>
      </w:r>
      <w:r w:rsidR="00CE0E94">
        <w:rPr>
          <w:b/>
          <w:bCs/>
          <w:noProof/>
        </w:rPr>
        <w:t>4</w:t>
      </w:r>
      <w:r w:rsidR="008F3B5B">
        <w:fldChar w:fldCharType="end"/>
      </w:r>
      <w:r>
        <w:t>.</w:t>
      </w:r>
    </w:p>
    <w:p w14:paraId="7B6AE5F6" w14:textId="32D6BBEF" w:rsidR="00563629" w:rsidRPr="00C23F39" w:rsidRDefault="00563629" w:rsidP="00563629">
      <w:pPr>
        <w:pStyle w:val="VDTableTitle"/>
      </w:pPr>
      <w:bookmarkStart w:id="10" w:name="_Ref35872942"/>
      <w:r w:rsidRPr="00DD759E">
        <w:rPr>
          <w:b/>
          <w:bCs/>
        </w:rPr>
        <w:t xml:space="preserve">Table </w:t>
      </w:r>
      <w:r w:rsidRPr="00DD759E">
        <w:rPr>
          <w:b/>
          <w:bCs/>
        </w:rPr>
        <w:fldChar w:fldCharType="begin"/>
      </w:r>
      <w:r w:rsidRPr="00DD759E">
        <w:rPr>
          <w:b/>
          <w:bCs/>
        </w:rPr>
        <w:instrText xml:space="preserve"> SEQ Table \* ARABIC </w:instrText>
      </w:r>
      <w:r w:rsidRPr="00DD759E">
        <w:rPr>
          <w:b/>
          <w:bCs/>
        </w:rPr>
        <w:fldChar w:fldCharType="separate"/>
      </w:r>
      <w:r w:rsidR="00CE0E94">
        <w:rPr>
          <w:b/>
          <w:bCs/>
          <w:noProof/>
        </w:rPr>
        <w:t>4</w:t>
      </w:r>
      <w:r w:rsidRPr="00DD759E">
        <w:rPr>
          <w:b/>
          <w:bCs/>
        </w:rPr>
        <w:fldChar w:fldCharType="end"/>
      </w:r>
      <w:bookmarkEnd w:id="10"/>
      <w:r w:rsidRPr="00DD759E">
        <w:rPr>
          <w:b/>
          <w:bCs/>
        </w:rPr>
        <w:t>.</w:t>
      </w:r>
      <w:r>
        <w:rPr>
          <w:b/>
          <w:bCs/>
        </w:rPr>
        <w:t xml:space="preserve"> </w:t>
      </w:r>
      <w:r>
        <w:t xml:space="preserve">Calculated diffusion parameters for each </w:t>
      </w:r>
      <w:r w:rsidRPr="009B763E">
        <w:rPr>
          <w:b/>
          <w:bCs/>
        </w:rPr>
        <w:t>R</w:t>
      </w:r>
      <w:r>
        <w:t>+</w:t>
      </w:r>
      <w:r w:rsidRPr="009B763E">
        <w:rPr>
          <w:b/>
          <w:bCs/>
        </w:rPr>
        <w:t>C</w:t>
      </w:r>
      <w:r>
        <w:t xml:space="preserve"> complex</w:t>
      </w:r>
    </w:p>
    <w:tbl>
      <w:tblPr>
        <w:tblW w:w="6296" w:type="dxa"/>
        <w:tblLook w:val="01E0" w:firstRow="1" w:lastRow="1" w:firstColumn="1" w:lastColumn="1" w:noHBand="0" w:noVBand="0"/>
      </w:tblPr>
      <w:tblGrid>
        <w:gridCol w:w="950"/>
        <w:gridCol w:w="870"/>
        <w:gridCol w:w="950"/>
        <w:gridCol w:w="1230"/>
        <w:gridCol w:w="1088"/>
        <w:gridCol w:w="1208"/>
      </w:tblGrid>
      <w:tr w:rsidR="00563629" w:rsidRPr="00617F21" w14:paraId="1F2556A4" w14:textId="77777777" w:rsidTr="00C37BCB">
        <w:trPr>
          <w:trHeight w:val="269"/>
        </w:trPr>
        <w:tc>
          <w:tcPr>
            <w:tcW w:w="950" w:type="dxa"/>
            <w:vMerge w:val="restart"/>
            <w:tcBorders>
              <w:top w:val="single" w:sz="8" w:space="0" w:color="auto"/>
            </w:tcBorders>
            <w:vAlign w:val="center"/>
          </w:tcPr>
          <w:p w14:paraId="4F04F6F7" w14:textId="77777777" w:rsidR="00563629" w:rsidRPr="00617F21" w:rsidRDefault="00563629" w:rsidP="00C37BCB">
            <w:pPr>
              <w:pStyle w:val="TCTableBody"/>
            </w:pPr>
            <w:r w:rsidRPr="00617F21">
              <w:t>Radical</w:t>
            </w:r>
          </w:p>
        </w:tc>
        <w:tc>
          <w:tcPr>
            <w:tcW w:w="870" w:type="dxa"/>
            <w:vMerge w:val="restart"/>
            <w:tcBorders>
              <w:top w:val="single" w:sz="8" w:space="0" w:color="auto"/>
            </w:tcBorders>
            <w:vAlign w:val="center"/>
          </w:tcPr>
          <w:p w14:paraId="0C835174" w14:textId="77777777" w:rsidR="00563629" w:rsidRPr="00617F21" w:rsidRDefault="00563629" w:rsidP="00C37BCB">
            <w:pPr>
              <w:pStyle w:val="TCTableBody"/>
            </w:pPr>
            <w:r w:rsidRPr="00617F21">
              <w:t>Cage</w:t>
            </w:r>
          </w:p>
        </w:tc>
        <w:tc>
          <w:tcPr>
            <w:tcW w:w="950" w:type="dxa"/>
            <w:vMerge w:val="restart"/>
            <w:tcBorders>
              <w:top w:val="single" w:sz="8" w:space="0" w:color="auto"/>
            </w:tcBorders>
            <w:vAlign w:val="center"/>
          </w:tcPr>
          <w:p w14:paraId="24D87BF3" w14:textId="77777777" w:rsidR="00563629" w:rsidRPr="00617F21" w:rsidRDefault="00563629" w:rsidP="00C37BCB">
            <w:pPr>
              <w:pStyle w:val="TCTableBody"/>
            </w:pPr>
            <w:r w:rsidRPr="00617F21">
              <w:t>Solvent</w:t>
            </w:r>
          </w:p>
        </w:tc>
        <w:tc>
          <w:tcPr>
            <w:tcW w:w="1230" w:type="dxa"/>
            <w:tcBorders>
              <w:top w:val="single" w:sz="8" w:space="0" w:color="auto"/>
            </w:tcBorders>
            <w:vAlign w:val="center"/>
          </w:tcPr>
          <w:p w14:paraId="2017E495" w14:textId="77777777" w:rsidR="00563629" w:rsidRPr="00617F21" w:rsidRDefault="00563629" w:rsidP="00C37BCB">
            <w:pPr>
              <w:pStyle w:val="TCTableBody"/>
            </w:pPr>
            <w:r>
              <w:t>Unb</w:t>
            </w:r>
            <w:r w:rsidRPr="00617F21">
              <w:t>ound</w:t>
            </w:r>
          </w:p>
        </w:tc>
        <w:tc>
          <w:tcPr>
            <w:tcW w:w="2296" w:type="dxa"/>
            <w:gridSpan w:val="2"/>
            <w:tcBorders>
              <w:top w:val="single" w:sz="8" w:space="0" w:color="auto"/>
            </w:tcBorders>
            <w:vAlign w:val="center"/>
          </w:tcPr>
          <w:p w14:paraId="4FA8F0A9" w14:textId="77777777" w:rsidR="00563629" w:rsidRPr="00617F21" w:rsidRDefault="00563629" w:rsidP="00C37BCB">
            <w:pPr>
              <w:pStyle w:val="TCTableBody"/>
            </w:pPr>
            <w:r>
              <w:t>B</w:t>
            </w:r>
            <w:r w:rsidRPr="00617F21">
              <w:t>ound</w:t>
            </w:r>
          </w:p>
        </w:tc>
      </w:tr>
      <w:tr w:rsidR="00563629" w:rsidRPr="00617F21" w14:paraId="6303BD76" w14:textId="77777777" w:rsidTr="00C37BCB">
        <w:trPr>
          <w:trHeight w:val="408"/>
        </w:trPr>
        <w:tc>
          <w:tcPr>
            <w:tcW w:w="950" w:type="dxa"/>
            <w:vMerge/>
            <w:tcBorders>
              <w:bottom w:val="single" w:sz="8" w:space="0" w:color="auto"/>
            </w:tcBorders>
            <w:vAlign w:val="center"/>
          </w:tcPr>
          <w:p w14:paraId="7679A3D9" w14:textId="77777777" w:rsidR="00563629" w:rsidRPr="00617F21" w:rsidRDefault="00563629" w:rsidP="00C37BCB">
            <w:pPr>
              <w:pStyle w:val="TCTableBody"/>
            </w:pPr>
          </w:p>
        </w:tc>
        <w:tc>
          <w:tcPr>
            <w:tcW w:w="870" w:type="dxa"/>
            <w:vMerge/>
            <w:tcBorders>
              <w:bottom w:val="single" w:sz="8" w:space="0" w:color="auto"/>
            </w:tcBorders>
            <w:vAlign w:val="center"/>
          </w:tcPr>
          <w:p w14:paraId="338FA69B" w14:textId="77777777" w:rsidR="00563629" w:rsidRPr="00617F21" w:rsidRDefault="00563629" w:rsidP="00C37BCB">
            <w:pPr>
              <w:pStyle w:val="TCTableBody"/>
            </w:pPr>
          </w:p>
        </w:tc>
        <w:tc>
          <w:tcPr>
            <w:tcW w:w="950" w:type="dxa"/>
            <w:vMerge/>
            <w:tcBorders>
              <w:bottom w:val="single" w:sz="8" w:space="0" w:color="auto"/>
            </w:tcBorders>
            <w:vAlign w:val="center"/>
          </w:tcPr>
          <w:p w14:paraId="28F75C01" w14:textId="77777777" w:rsidR="00563629" w:rsidRPr="00617F21" w:rsidRDefault="00563629" w:rsidP="00C37BCB">
            <w:pPr>
              <w:pStyle w:val="TCTableBody"/>
            </w:pPr>
          </w:p>
        </w:tc>
        <w:tc>
          <w:tcPr>
            <w:tcW w:w="1230" w:type="dxa"/>
            <w:tcBorders>
              <w:bottom w:val="single" w:sz="8" w:space="0" w:color="auto"/>
            </w:tcBorders>
            <w:vAlign w:val="center"/>
          </w:tcPr>
          <w:p w14:paraId="34916815" w14:textId="77777777" w:rsidR="00563629" w:rsidRPr="00617F21" w:rsidRDefault="00563629" w:rsidP="00C37BCB">
            <w:pPr>
              <w:pStyle w:val="TCTableBody"/>
              <w:rPr>
                <w:vertAlign w:val="superscript"/>
              </w:rPr>
            </w:pPr>
            <w:proofErr w:type="spellStart"/>
            <w:r w:rsidRPr="00617F21">
              <w:t>D</w:t>
            </w:r>
            <w:r w:rsidRPr="00617F21">
              <w:rPr>
                <w:vertAlign w:val="subscript"/>
              </w:rPr>
              <w:t>iso</w:t>
            </w:r>
            <w:proofErr w:type="spellEnd"/>
            <w:r w:rsidRPr="00617F21">
              <w:t xml:space="preserve"> / s</w:t>
            </w:r>
            <w:r w:rsidRPr="00617F21">
              <w:rPr>
                <w:vertAlign w:val="superscript"/>
              </w:rPr>
              <w:t>-1</w:t>
            </w:r>
          </w:p>
        </w:tc>
        <w:tc>
          <w:tcPr>
            <w:tcW w:w="1088" w:type="dxa"/>
            <w:tcBorders>
              <w:bottom w:val="single" w:sz="8" w:space="0" w:color="auto"/>
            </w:tcBorders>
            <w:vAlign w:val="center"/>
          </w:tcPr>
          <w:p w14:paraId="4952BFAD" w14:textId="77777777" w:rsidR="00563629" w:rsidRPr="00617F21" w:rsidRDefault="00563629" w:rsidP="00C37BCB">
            <w:pPr>
              <w:pStyle w:val="TCTableBody"/>
            </w:pPr>
            <w:r w:rsidRPr="00617F21">
              <w:t>(D</w:t>
            </w:r>
            <w:r w:rsidRPr="00617F21">
              <w:rPr>
                <w:rFonts w:ascii="Cambria Math" w:hAnsi="Cambria Math" w:cs="Cambria Math"/>
                <w:vertAlign w:val="subscript"/>
              </w:rPr>
              <w:t>⊥</w:t>
            </w:r>
            <w:r w:rsidRPr="00617F21">
              <w:t>) / s</w:t>
            </w:r>
            <w:r w:rsidRPr="00617F21">
              <w:rPr>
                <w:vertAlign w:val="superscript"/>
              </w:rPr>
              <w:t>-1</w:t>
            </w:r>
          </w:p>
        </w:tc>
        <w:tc>
          <w:tcPr>
            <w:tcW w:w="1208" w:type="dxa"/>
            <w:tcBorders>
              <w:bottom w:val="single" w:sz="8" w:space="0" w:color="auto"/>
            </w:tcBorders>
            <w:vAlign w:val="center"/>
          </w:tcPr>
          <w:p w14:paraId="069025B8" w14:textId="77777777" w:rsidR="00563629" w:rsidRPr="00617F21" w:rsidRDefault="00563629" w:rsidP="00C37BCB">
            <w:pPr>
              <w:pStyle w:val="TCTableBody"/>
            </w:pPr>
            <w:r w:rsidRPr="00617F21">
              <w:t>(D</w:t>
            </w:r>
            <w:r w:rsidRPr="00617F21">
              <w:rPr>
                <w:rFonts w:ascii="Cambria Math" w:hAnsi="Cambria Math" w:cs="Cambria Math"/>
                <w:vertAlign w:val="subscript"/>
              </w:rPr>
              <w:t>∥</w:t>
            </w:r>
            <w:r w:rsidRPr="00617F21">
              <w:t>) / s</w:t>
            </w:r>
            <w:r w:rsidRPr="00617F21">
              <w:rPr>
                <w:vertAlign w:val="superscript"/>
              </w:rPr>
              <w:t>-1</w:t>
            </w:r>
          </w:p>
        </w:tc>
      </w:tr>
      <w:tr w:rsidR="00563629" w:rsidRPr="00617F21" w14:paraId="74D5E8D3" w14:textId="77777777" w:rsidTr="00C37BCB">
        <w:tc>
          <w:tcPr>
            <w:tcW w:w="950" w:type="dxa"/>
            <w:tcBorders>
              <w:top w:val="single" w:sz="8" w:space="0" w:color="auto"/>
            </w:tcBorders>
            <w:vAlign w:val="center"/>
          </w:tcPr>
          <w:p w14:paraId="21884BDC" w14:textId="77777777" w:rsidR="00563629" w:rsidRPr="00426E7A" w:rsidRDefault="00563629" w:rsidP="00C37BCB">
            <w:pPr>
              <w:pStyle w:val="TCTableBody"/>
              <w:rPr>
                <w:b/>
                <w:bCs/>
              </w:rPr>
            </w:pPr>
            <w:r w:rsidRPr="008F3B5B">
              <w:rPr>
                <w:b/>
                <w:bCs/>
              </w:rPr>
              <w:t>R4</w:t>
            </w:r>
          </w:p>
        </w:tc>
        <w:tc>
          <w:tcPr>
            <w:tcW w:w="870" w:type="dxa"/>
            <w:tcBorders>
              <w:top w:val="single" w:sz="8" w:space="0" w:color="auto"/>
            </w:tcBorders>
            <w:vAlign w:val="center"/>
          </w:tcPr>
          <w:p w14:paraId="04D2F14C" w14:textId="77777777" w:rsidR="00563629" w:rsidRPr="00F47904" w:rsidRDefault="00563629" w:rsidP="00C37BCB">
            <w:pPr>
              <w:pStyle w:val="TCTableBody"/>
              <w:rPr>
                <w:b/>
                <w:bCs/>
                <w:vertAlign w:val="superscript"/>
              </w:rPr>
            </w:pPr>
            <w:r w:rsidRPr="008F3B5B">
              <w:rPr>
                <w:b/>
                <w:bCs/>
              </w:rPr>
              <w:t>C1w</w:t>
            </w:r>
            <w:r>
              <w:rPr>
                <w:b/>
                <w:bCs/>
                <w:vertAlign w:val="superscript"/>
              </w:rPr>
              <w:t>[a]</w:t>
            </w:r>
          </w:p>
        </w:tc>
        <w:tc>
          <w:tcPr>
            <w:tcW w:w="950" w:type="dxa"/>
            <w:tcBorders>
              <w:top w:val="single" w:sz="8" w:space="0" w:color="auto"/>
            </w:tcBorders>
            <w:vAlign w:val="center"/>
          </w:tcPr>
          <w:p w14:paraId="2B7F90D5" w14:textId="77777777" w:rsidR="00563629" w:rsidRPr="00617F21" w:rsidRDefault="00563629" w:rsidP="00C37BCB">
            <w:pPr>
              <w:pStyle w:val="TCTableBody"/>
            </w:pPr>
            <w:r w:rsidRPr="00617F21">
              <w:t>H</w:t>
            </w:r>
            <w:r w:rsidRPr="00617F21">
              <w:rPr>
                <w:vertAlign w:val="subscript"/>
              </w:rPr>
              <w:t>2</w:t>
            </w:r>
            <w:r w:rsidRPr="00617F21">
              <w:t>O</w:t>
            </w:r>
          </w:p>
        </w:tc>
        <w:tc>
          <w:tcPr>
            <w:tcW w:w="1230" w:type="dxa"/>
            <w:tcBorders>
              <w:top w:val="single" w:sz="8" w:space="0" w:color="auto"/>
            </w:tcBorders>
            <w:vAlign w:val="center"/>
          </w:tcPr>
          <w:p w14:paraId="57E3F2E6" w14:textId="77777777" w:rsidR="00563629" w:rsidRPr="00617F21" w:rsidRDefault="00563629" w:rsidP="00C37BCB">
            <w:pPr>
              <w:pStyle w:val="TCTableBody"/>
            </w:pPr>
            <w:r w:rsidRPr="00617F21">
              <w:t>9.52</w:t>
            </w:r>
            <w:r w:rsidRPr="00617F21">
              <w:rPr>
                <w:rFonts w:ascii="Symbol" w:eastAsia="Symbol" w:hAnsi="Symbol" w:cs="Symbol"/>
              </w:rPr>
              <w:sym w:font="Symbol" w:char="F0B4"/>
            </w:r>
            <w:r w:rsidRPr="00617F21">
              <w:t>10</w:t>
            </w:r>
            <w:r w:rsidRPr="00617F21">
              <w:rPr>
                <w:vertAlign w:val="superscript"/>
              </w:rPr>
              <w:t>9</w:t>
            </w:r>
          </w:p>
        </w:tc>
        <w:tc>
          <w:tcPr>
            <w:tcW w:w="1088" w:type="dxa"/>
            <w:tcBorders>
              <w:top w:val="single" w:sz="8" w:space="0" w:color="auto"/>
            </w:tcBorders>
            <w:vAlign w:val="center"/>
          </w:tcPr>
          <w:p w14:paraId="5EEA523F" w14:textId="77777777" w:rsidR="00563629" w:rsidRPr="005D741A" w:rsidRDefault="00563629" w:rsidP="00C37BCB">
            <w:pPr>
              <w:pStyle w:val="TCTableBody"/>
              <w:rPr>
                <w:rFonts w:cs="Times"/>
                <w:szCs w:val="24"/>
                <w:lang w:eastAsia="en-GB"/>
              </w:rPr>
            </w:pPr>
            <w:r w:rsidRPr="005D741A">
              <w:rPr>
                <w:rFonts w:cs="Times"/>
                <w:szCs w:val="24"/>
              </w:rPr>
              <w:t>2.44</w:t>
            </w:r>
            <w:r w:rsidRPr="005D741A">
              <w:rPr>
                <w:rFonts w:eastAsia="Symbol" w:cs="Times"/>
                <w:szCs w:val="24"/>
              </w:rPr>
              <w:sym w:font="Symbol" w:char="F0B4"/>
            </w:r>
            <w:r w:rsidRPr="005D741A">
              <w:rPr>
                <w:rFonts w:cs="Times"/>
                <w:szCs w:val="24"/>
              </w:rPr>
              <w:t>10</w:t>
            </w:r>
            <w:r w:rsidRPr="005D741A">
              <w:rPr>
                <w:rFonts w:cs="Times"/>
                <w:szCs w:val="24"/>
                <w:vertAlign w:val="superscript"/>
              </w:rPr>
              <w:t>8</w:t>
            </w:r>
          </w:p>
        </w:tc>
        <w:tc>
          <w:tcPr>
            <w:tcW w:w="1208" w:type="dxa"/>
            <w:tcBorders>
              <w:top w:val="single" w:sz="8" w:space="0" w:color="auto"/>
            </w:tcBorders>
            <w:vAlign w:val="center"/>
          </w:tcPr>
          <w:p w14:paraId="5E621BEB" w14:textId="77777777" w:rsidR="00563629" w:rsidRPr="005D741A" w:rsidRDefault="00563629" w:rsidP="00C37BCB">
            <w:pPr>
              <w:pStyle w:val="TCTableBody"/>
              <w:rPr>
                <w:rFonts w:cs="Times"/>
                <w:szCs w:val="24"/>
                <w:lang w:eastAsia="en-GB"/>
              </w:rPr>
            </w:pPr>
            <w:r w:rsidRPr="005D741A">
              <w:rPr>
                <w:rFonts w:cs="Times"/>
                <w:szCs w:val="24"/>
              </w:rPr>
              <w:t>3.98</w:t>
            </w:r>
            <w:r w:rsidRPr="005D741A">
              <w:rPr>
                <w:rFonts w:eastAsia="Symbol" w:cs="Times"/>
                <w:szCs w:val="24"/>
              </w:rPr>
              <w:sym w:font="Symbol" w:char="F0B4"/>
            </w:r>
            <w:r w:rsidRPr="005D741A">
              <w:rPr>
                <w:rFonts w:cs="Times"/>
                <w:szCs w:val="24"/>
              </w:rPr>
              <w:t>10</w:t>
            </w:r>
            <w:r w:rsidRPr="005D741A">
              <w:rPr>
                <w:rFonts w:cs="Times"/>
                <w:szCs w:val="24"/>
                <w:vertAlign w:val="superscript"/>
              </w:rPr>
              <w:t>5</w:t>
            </w:r>
          </w:p>
        </w:tc>
      </w:tr>
      <w:tr w:rsidR="00563629" w:rsidRPr="00617F21" w14:paraId="311D2CE6" w14:textId="77777777" w:rsidTr="00C37BCB">
        <w:tc>
          <w:tcPr>
            <w:tcW w:w="950" w:type="dxa"/>
            <w:vAlign w:val="center"/>
          </w:tcPr>
          <w:p w14:paraId="4D51DA6B" w14:textId="77777777" w:rsidR="00563629" w:rsidRPr="00617F21" w:rsidRDefault="00563629" w:rsidP="00C37BCB">
            <w:pPr>
              <w:pStyle w:val="TCTableBody"/>
              <w:rPr>
                <w:b/>
                <w:bCs/>
              </w:rPr>
            </w:pPr>
            <w:r w:rsidRPr="008F3B5B">
              <w:rPr>
                <w:b/>
                <w:bCs/>
              </w:rPr>
              <w:t>R5</w:t>
            </w:r>
          </w:p>
        </w:tc>
        <w:tc>
          <w:tcPr>
            <w:tcW w:w="870" w:type="dxa"/>
            <w:vAlign w:val="center"/>
          </w:tcPr>
          <w:p w14:paraId="583506C6" w14:textId="77777777" w:rsidR="00563629" w:rsidRPr="00617F21" w:rsidRDefault="00563629" w:rsidP="00C37BCB">
            <w:pPr>
              <w:pStyle w:val="TCTableBody"/>
              <w:rPr>
                <w:b/>
                <w:bCs/>
              </w:rPr>
            </w:pPr>
            <w:r w:rsidRPr="008F3B5B">
              <w:rPr>
                <w:b/>
                <w:bCs/>
              </w:rPr>
              <w:t>C2org</w:t>
            </w:r>
          </w:p>
        </w:tc>
        <w:tc>
          <w:tcPr>
            <w:tcW w:w="950" w:type="dxa"/>
            <w:vAlign w:val="center"/>
          </w:tcPr>
          <w:p w14:paraId="0551B3D9" w14:textId="77777777" w:rsidR="00563629" w:rsidRPr="00617F21" w:rsidRDefault="00563629" w:rsidP="00C37BCB">
            <w:pPr>
              <w:pStyle w:val="TCTableBody"/>
            </w:pPr>
            <w:r w:rsidRPr="00617F21">
              <w:t>MeCN</w:t>
            </w:r>
          </w:p>
        </w:tc>
        <w:tc>
          <w:tcPr>
            <w:tcW w:w="1230" w:type="dxa"/>
            <w:vAlign w:val="center"/>
          </w:tcPr>
          <w:p w14:paraId="2A6D3E1C" w14:textId="77777777" w:rsidR="00563629" w:rsidRPr="00617F21" w:rsidRDefault="00563629" w:rsidP="00C37BCB">
            <w:pPr>
              <w:pStyle w:val="TCTableBody"/>
            </w:pPr>
            <w:r w:rsidRPr="00617F21">
              <w:t>2.34</w:t>
            </w:r>
            <w:r w:rsidRPr="00617F21">
              <w:rPr>
                <w:rFonts w:ascii="Symbol" w:eastAsia="Symbol" w:hAnsi="Symbol" w:cs="Symbol"/>
              </w:rPr>
              <w:sym w:font="Symbol" w:char="F0B4"/>
            </w:r>
            <w:r w:rsidRPr="00617F21">
              <w:t>10</w:t>
            </w:r>
            <w:r w:rsidRPr="00617F21">
              <w:rPr>
                <w:vertAlign w:val="superscript"/>
              </w:rPr>
              <w:t>9</w:t>
            </w:r>
          </w:p>
        </w:tc>
        <w:tc>
          <w:tcPr>
            <w:tcW w:w="1088" w:type="dxa"/>
            <w:vAlign w:val="center"/>
          </w:tcPr>
          <w:p w14:paraId="3BF48D71" w14:textId="77777777" w:rsidR="00563629" w:rsidRPr="00617F21" w:rsidRDefault="00563629" w:rsidP="00C37BCB">
            <w:pPr>
              <w:pStyle w:val="TCTableBody"/>
            </w:pPr>
            <w:r w:rsidRPr="00617F21">
              <w:t>3.39</w:t>
            </w:r>
            <w:r w:rsidRPr="00617F21">
              <w:rPr>
                <w:rFonts w:ascii="Symbol" w:eastAsia="Symbol" w:hAnsi="Symbol" w:cs="Symbol"/>
              </w:rPr>
              <w:sym w:font="Symbol" w:char="F0B4"/>
            </w:r>
            <w:r w:rsidRPr="00617F21">
              <w:t>10</w:t>
            </w:r>
            <w:r w:rsidRPr="00617F21">
              <w:rPr>
                <w:vertAlign w:val="superscript"/>
              </w:rPr>
              <w:t>5</w:t>
            </w:r>
          </w:p>
        </w:tc>
        <w:tc>
          <w:tcPr>
            <w:tcW w:w="1208" w:type="dxa"/>
            <w:vAlign w:val="center"/>
          </w:tcPr>
          <w:p w14:paraId="2FE2F6A7" w14:textId="77777777" w:rsidR="00563629" w:rsidRPr="00617F21" w:rsidRDefault="00563629" w:rsidP="00C37BCB">
            <w:pPr>
              <w:pStyle w:val="TCTableBody"/>
            </w:pPr>
            <w:r w:rsidRPr="00617F21">
              <w:t>1.63</w:t>
            </w:r>
            <w:r w:rsidRPr="00617F21">
              <w:rPr>
                <w:rFonts w:ascii="Symbol" w:eastAsia="Symbol" w:hAnsi="Symbol" w:cs="Symbol"/>
              </w:rPr>
              <w:sym w:font="Symbol" w:char="F0B4"/>
            </w:r>
            <w:r w:rsidRPr="00617F21">
              <w:t>10</w:t>
            </w:r>
            <w:r w:rsidRPr="00617F21">
              <w:rPr>
                <w:vertAlign w:val="superscript"/>
              </w:rPr>
              <w:t>8</w:t>
            </w:r>
          </w:p>
        </w:tc>
      </w:tr>
      <w:tr w:rsidR="00563629" w:rsidRPr="00617F21" w14:paraId="1688FF59" w14:textId="77777777" w:rsidTr="00C37BCB">
        <w:tc>
          <w:tcPr>
            <w:tcW w:w="950" w:type="dxa"/>
            <w:tcBorders>
              <w:bottom w:val="single" w:sz="8" w:space="0" w:color="auto"/>
            </w:tcBorders>
            <w:vAlign w:val="center"/>
          </w:tcPr>
          <w:p w14:paraId="4750514A" w14:textId="77777777" w:rsidR="00563629" w:rsidRPr="00617F21" w:rsidRDefault="00563629" w:rsidP="00C37BCB">
            <w:pPr>
              <w:pStyle w:val="TCTableBody"/>
              <w:rPr>
                <w:b/>
                <w:bCs/>
              </w:rPr>
            </w:pPr>
            <w:r w:rsidRPr="008F3B5B">
              <w:rPr>
                <w:b/>
                <w:bCs/>
              </w:rPr>
              <w:t>R6</w:t>
            </w:r>
          </w:p>
        </w:tc>
        <w:tc>
          <w:tcPr>
            <w:tcW w:w="870" w:type="dxa"/>
            <w:tcBorders>
              <w:bottom w:val="single" w:sz="8" w:space="0" w:color="auto"/>
            </w:tcBorders>
            <w:vAlign w:val="center"/>
          </w:tcPr>
          <w:p w14:paraId="6F4B66A3" w14:textId="77777777" w:rsidR="00563629" w:rsidRPr="00617F21" w:rsidRDefault="00563629" w:rsidP="00C37BCB">
            <w:pPr>
              <w:pStyle w:val="TCTableBody"/>
              <w:rPr>
                <w:b/>
                <w:bCs/>
              </w:rPr>
            </w:pPr>
            <w:r w:rsidRPr="008F3B5B">
              <w:rPr>
                <w:b/>
                <w:bCs/>
              </w:rPr>
              <w:t>C2org</w:t>
            </w:r>
          </w:p>
        </w:tc>
        <w:tc>
          <w:tcPr>
            <w:tcW w:w="950" w:type="dxa"/>
            <w:tcBorders>
              <w:bottom w:val="single" w:sz="8" w:space="0" w:color="auto"/>
            </w:tcBorders>
            <w:vAlign w:val="center"/>
          </w:tcPr>
          <w:p w14:paraId="3AAD647D" w14:textId="77777777" w:rsidR="00563629" w:rsidRPr="00617F21" w:rsidRDefault="00563629" w:rsidP="00C37BCB">
            <w:pPr>
              <w:pStyle w:val="TCTableBody"/>
            </w:pPr>
            <w:r w:rsidRPr="00617F21">
              <w:t>MeCN</w:t>
            </w:r>
          </w:p>
        </w:tc>
        <w:tc>
          <w:tcPr>
            <w:tcW w:w="1230" w:type="dxa"/>
            <w:tcBorders>
              <w:bottom w:val="single" w:sz="8" w:space="0" w:color="auto"/>
            </w:tcBorders>
            <w:vAlign w:val="center"/>
          </w:tcPr>
          <w:p w14:paraId="28F4F131" w14:textId="77777777" w:rsidR="00563629" w:rsidRPr="00617F21" w:rsidRDefault="00563629" w:rsidP="00C37BCB">
            <w:pPr>
              <w:pStyle w:val="TCTableBody"/>
            </w:pPr>
            <w:r w:rsidRPr="00617F21">
              <w:t>2.41</w:t>
            </w:r>
            <w:r w:rsidRPr="00617F21">
              <w:rPr>
                <w:rFonts w:ascii="Symbol" w:eastAsia="Symbol" w:hAnsi="Symbol" w:cs="Symbol"/>
              </w:rPr>
              <w:sym w:font="Symbol" w:char="F0B4"/>
            </w:r>
            <w:r w:rsidRPr="00617F21">
              <w:t>10</w:t>
            </w:r>
            <w:r w:rsidRPr="00617F21">
              <w:rPr>
                <w:vertAlign w:val="superscript"/>
              </w:rPr>
              <w:t>9</w:t>
            </w:r>
          </w:p>
        </w:tc>
        <w:tc>
          <w:tcPr>
            <w:tcW w:w="1088" w:type="dxa"/>
            <w:tcBorders>
              <w:bottom w:val="single" w:sz="8" w:space="0" w:color="auto"/>
            </w:tcBorders>
            <w:vAlign w:val="center"/>
          </w:tcPr>
          <w:p w14:paraId="57D5C036" w14:textId="77777777" w:rsidR="00563629" w:rsidRPr="00617F21" w:rsidRDefault="00563629" w:rsidP="00C37BCB">
            <w:pPr>
              <w:pStyle w:val="TCTableBody"/>
            </w:pPr>
            <w:r w:rsidRPr="00617F21">
              <w:t>1.33</w:t>
            </w:r>
            <w:r w:rsidRPr="00617F21">
              <w:rPr>
                <w:rFonts w:ascii="Symbol" w:eastAsia="Symbol" w:hAnsi="Symbol" w:cs="Symbol"/>
              </w:rPr>
              <w:sym w:font="Symbol" w:char="F0B4"/>
            </w:r>
            <w:r w:rsidRPr="00617F21">
              <w:t>10</w:t>
            </w:r>
            <w:r w:rsidRPr="00617F21">
              <w:rPr>
                <w:vertAlign w:val="superscript"/>
              </w:rPr>
              <w:t>6</w:t>
            </w:r>
          </w:p>
        </w:tc>
        <w:tc>
          <w:tcPr>
            <w:tcW w:w="1208" w:type="dxa"/>
            <w:tcBorders>
              <w:bottom w:val="single" w:sz="8" w:space="0" w:color="auto"/>
            </w:tcBorders>
            <w:vAlign w:val="center"/>
          </w:tcPr>
          <w:p w14:paraId="3E3BC889" w14:textId="77777777" w:rsidR="00563629" w:rsidRPr="00617F21" w:rsidRDefault="00563629" w:rsidP="00C37BCB">
            <w:pPr>
              <w:pStyle w:val="TCTableBody"/>
            </w:pPr>
            <w:r w:rsidRPr="00617F21">
              <w:t>3.93</w:t>
            </w:r>
            <w:r w:rsidRPr="00617F21">
              <w:rPr>
                <w:rFonts w:ascii="Symbol" w:eastAsia="Symbol" w:hAnsi="Symbol" w:cs="Symbol"/>
              </w:rPr>
              <w:sym w:font="Symbol" w:char="F0B4"/>
            </w:r>
            <w:r w:rsidRPr="00617F21">
              <w:t>10</w:t>
            </w:r>
            <w:r w:rsidRPr="00617F21">
              <w:rPr>
                <w:vertAlign w:val="superscript"/>
              </w:rPr>
              <w:t>6</w:t>
            </w:r>
          </w:p>
        </w:tc>
      </w:tr>
    </w:tbl>
    <w:p w14:paraId="26D95A53" w14:textId="47B3DDF3" w:rsidR="00563629" w:rsidRPr="009D5426" w:rsidRDefault="00563629" w:rsidP="00563629">
      <w:pPr>
        <w:pStyle w:val="FETableFootnote"/>
      </w:pPr>
      <w:r w:rsidRPr="00563629">
        <w:t>[a] Inclusion of 7.54 MHz Heisenberg exchange in the R4+C1w simulation gave better fit to the experimental spectrum than simulation that did not include this parameter. (See Supplementary Figure S2)</w:t>
      </w:r>
    </w:p>
    <w:p w14:paraId="219952F9" w14:textId="0620FFD6" w:rsidR="00116047" w:rsidRDefault="00116047" w:rsidP="00B24843">
      <w:pPr>
        <w:pStyle w:val="TAMainText"/>
        <w:rPr>
          <w:lang w:val="en-GB"/>
        </w:rPr>
      </w:pPr>
      <w:r>
        <w:rPr>
          <w:lang w:val="en-GB"/>
        </w:rPr>
        <w:t>The diffusion parameters of unbound guests are similar to the values reported in the literature (2.64</w:t>
      </w:r>
      <w:r w:rsidRPr="00750F06">
        <w:rPr>
          <w:lang w:val="en-GB"/>
        </w:rPr>
        <w:sym w:font="Symbol" w:char="F0B4"/>
      </w:r>
      <w:r w:rsidRPr="00750F06">
        <w:rPr>
          <w:lang w:val="en-GB"/>
        </w:rPr>
        <w:t>10</w:t>
      </w:r>
      <w:r>
        <w:rPr>
          <w:vertAlign w:val="superscript"/>
          <w:lang w:val="en-GB"/>
        </w:rPr>
        <w:t>9</w:t>
      </w:r>
      <w:r>
        <w:rPr>
          <w:lang w:val="en-GB"/>
        </w:rPr>
        <w:t xml:space="preserve"> - 6.67</w:t>
      </w:r>
      <w:r w:rsidRPr="00C771C7">
        <w:rPr>
          <w:lang w:val="en-GB"/>
        </w:rPr>
        <w:sym w:font="Symbol" w:char="F0B4"/>
      </w:r>
      <w:r w:rsidRPr="00C771C7">
        <w:rPr>
          <w:lang w:val="en-GB"/>
        </w:rPr>
        <w:t>10</w:t>
      </w:r>
      <w:r>
        <w:rPr>
          <w:vertAlign w:val="superscript"/>
          <w:lang w:val="en-GB"/>
        </w:rPr>
        <w:t>9</w:t>
      </w:r>
      <w:r>
        <w:rPr>
          <w:lang w:val="en-GB"/>
        </w:rPr>
        <w:t xml:space="preserve"> s</w:t>
      </w:r>
      <w:r>
        <w:rPr>
          <w:vertAlign w:val="superscript"/>
          <w:lang w:val="en-GB"/>
        </w:rPr>
        <w:t>-1</w:t>
      </w:r>
      <w:r w:rsidRPr="00426E7A">
        <w:rPr>
          <w:lang w:val="en-GB"/>
        </w:rPr>
        <w:t xml:space="preserve"> </w:t>
      </w:r>
      <w:r w:rsidRPr="00F376D4">
        <w:rPr>
          <w:lang w:val="en-GB"/>
        </w:rPr>
        <w:t xml:space="preserve">for </w:t>
      </w:r>
      <w:r w:rsidR="008F3B5B" w:rsidRPr="008F3B5B">
        <w:rPr>
          <w:b/>
          <w:bCs/>
          <w:lang w:val="en-GB"/>
        </w:rPr>
        <w:t>R3</w:t>
      </w:r>
      <w:r>
        <w:rPr>
          <w:lang w:val="en-GB"/>
        </w:rPr>
        <w:t>,</w:t>
      </w:r>
      <w:r w:rsidR="00727D00" w:rsidRPr="00727D00">
        <w:rPr>
          <w:vertAlign w:val="superscript"/>
        </w:rPr>
        <w:t>19,20</w:t>
      </w:r>
      <w:r w:rsidR="00DF1B3E">
        <w:rPr>
          <w:lang w:val="en-GB"/>
        </w:rPr>
        <w:t xml:space="preserve"> </w:t>
      </w:r>
      <w:r>
        <w:rPr>
          <w:lang w:val="en-GB"/>
        </w:rPr>
        <w:t>7.58</w:t>
      </w:r>
      <w:r w:rsidRPr="00674780">
        <w:rPr>
          <w:lang w:val="en-GB"/>
        </w:rPr>
        <w:sym w:font="Symbol" w:char="F0B4"/>
      </w:r>
      <w:r w:rsidRPr="00674780">
        <w:rPr>
          <w:lang w:val="en-GB"/>
        </w:rPr>
        <w:t>10</w:t>
      </w:r>
      <w:r>
        <w:rPr>
          <w:vertAlign w:val="superscript"/>
          <w:lang w:val="en-GB"/>
        </w:rPr>
        <w:t>9</w:t>
      </w:r>
      <w:r>
        <w:rPr>
          <w:lang w:val="en-GB"/>
        </w:rPr>
        <w:t xml:space="preserve"> s</w:t>
      </w:r>
      <w:r>
        <w:rPr>
          <w:vertAlign w:val="superscript"/>
          <w:lang w:val="en-GB"/>
        </w:rPr>
        <w:t>-1</w:t>
      </w:r>
      <w:r>
        <w:rPr>
          <w:lang w:val="en-GB"/>
        </w:rPr>
        <w:t xml:space="preserve"> for </w:t>
      </w:r>
      <w:r w:rsidR="008F3B5B" w:rsidRPr="008F3B5B">
        <w:rPr>
          <w:b/>
          <w:bCs/>
          <w:lang w:val="en-GB"/>
        </w:rPr>
        <w:t>R4</w:t>
      </w:r>
      <w:r>
        <w:rPr>
          <w:lang w:val="en-GB"/>
        </w:rPr>
        <w:t xml:space="preserve"> in water,</w:t>
      </w:r>
      <w:r w:rsidR="00727D00" w:rsidRPr="00727D00">
        <w:rPr>
          <w:vertAlign w:val="superscript"/>
        </w:rPr>
        <w:t>20</w:t>
      </w:r>
      <w:r>
        <w:rPr>
          <w:lang w:val="en-GB"/>
        </w:rPr>
        <w:t xml:space="preserve"> </w:t>
      </w:r>
      <w:r w:rsidRPr="00617F21">
        <w:rPr>
          <w:lang w:val="en-GB"/>
        </w:rPr>
        <w:t>3.96</w:t>
      </w:r>
      <w:r w:rsidRPr="00617F21">
        <w:rPr>
          <w:rFonts w:ascii="Symbol" w:eastAsia="Symbol" w:hAnsi="Symbol" w:cs="Symbol"/>
          <w:lang w:val="en-GB"/>
        </w:rPr>
        <w:sym w:font="Symbol" w:char="F0B4"/>
      </w:r>
      <w:r w:rsidRPr="00617F21">
        <w:rPr>
          <w:lang w:val="en-GB"/>
        </w:rPr>
        <w:t>10</w:t>
      </w:r>
      <w:r w:rsidRPr="00617F21">
        <w:rPr>
          <w:vertAlign w:val="superscript"/>
          <w:lang w:val="en-GB"/>
        </w:rPr>
        <w:t>9</w:t>
      </w:r>
      <w:r w:rsidRPr="00617F21">
        <w:rPr>
          <w:lang w:val="en-GB"/>
        </w:rPr>
        <w:t xml:space="preserve"> s</w:t>
      </w:r>
      <w:r w:rsidRPr="00617F21">
        <w:rPr>
          <w:vertAlign w:val="superscript"/>
          <w:lang w:val="en-GB"/>
        </w:rPr>
        <w:t>-1</w:t>
      </w:r>
      <w:r w:rsidRPr="00617F21">
        <w:rPr>
          <w:lang w:val="en-GB"/>
        </w:rPr>
        <w:t xml:space="preserve"> and 1.39</w:t>
      </w:r>
      <w:r w:rsidRPr="00617F21">
        <w:rPr>
          <w:rFonts w:ascii="Symbol" w:eastAsia="Symbol" w:hAnsi="Symbol" w:cs="Symbol"/>
          <w:lang w:val="en-GB"/>
        </w:rPr>
        <w:sym w:font="Symbol" w:char="F0B4"/>
      </w:r>
      <w:r w:rsidRPr="00617F21">
        <w:rPr>
          <w:lang w:val="en-GB"/>
        </w:rPr>
        <w:t>10</w:t>
      </w:r>
      <w:r w:rsidRPr="00617F21">
        <w:rPr>
          <w:vertAlign w:val="superscript"/>
          <w:lang w:val="en-GB"/>
        </w:rPr>
        <w:t>10</w:t>
      </w:r>
      <w:r>
        <w:rPr>
          <w:lang w:val="en-GB"/>
        </w:rPr>
        <w:t> </w:t>
      </w:r>
      <w:r w:rsidRPr="00617F21">
        <w:rPr>
          <w:lang w:val="en-GB"/>
        </w:rPr>
        <w:t>s</w:t>
      </w:r>
      <w:r w:rsidRPr="00617F21">
        <w:rPr>
          <w:vertAlign w:val="superscript"/>
          <w:lang w:val="en-GB"/>
        </w:rPr>
        <w:t>-1</w:t>
      </w:r>
      <w:r>
        <w:rPr>
          <w:lang w:val="en-GB"/>
        </w:rPr>
        <w:t xml:space="preserve"> for </w:t>
      </w:r>
      <w:r w:rsidRPr="00617F21">
        <w:rPr>
          <w:lang w:val="en-GB"/>
        </w:rPr>
        <w:t>TEMPO-Me</w:t>
      </w:r>
      <w:r w:rsidRPr="00617F21">
        <w:rPr>
          <w:vertAlign w:val="subscript"/>
          <w:lang w:val="en-GB"/>
        </w:rPr>
        <w:t>3</w:t>
      </w:r>
      <w:r w:rsidRPr="00617F21">
        <w:rPr>
          <w:lang w:val="en-GB"/>
        </w:rPr>
        <w:t>N</w:t>
      </w:r>
      <w:r w:rsidRPr="00617F21">
        <w:rPr>
          <w:vertAlign w:val="superscript"/>
          <w:lang w:val="en-GB"/>
        </w:rPr>
        <w:t>+</w:t>
      </w:r>
      <w:r w:rsidRPr="00617F21">
        <w:rPr>
          <w:lang w:val="en-GB"/>
        </w:rPr>
        <w:t xml:space="preserve"> and 4-amino-TEMPO</w:t>
      </w:r>
      <w:r>
        <w:rPr>
          <w:lang w:val="en-GB"/>
        </w:rPr>
        <w:t xml:space="preserve"> in </w:t>
      </w:r>
      <w:r w:rsidRPr="00617F21">
        <w:rPr>
          <w:lang w:val="en-GB"/>
        </w:rPr>
        <w:t>water-saturated dichloromethane</w:t>
      </w:r>
      <w:r>
        <w:rPr>
          <w:lang w:val="en-GB"/>
        </w:rPr>
        <w:t>, respectively</w:t>
      </w:r>
      <w:r w:rsidRPr="00F376D4">
        <w:rPr>
          <w:lang w:val="en-GB"/>
        </w:rPr>
        <w:t>).</w:t>
      </w:r>
      <w:r w:rsidR="00727D00" w:rsidRPr="00727D00">
        <w:rPr>
          <w:vertAlign w:val="superscript"/>
        </w:rPr>
        <w:t>23</w:t>
      </w:r>
    </w:p>
    <w:p w14:paraId="1210D25B" w14:textId="305941DE" w:rsidR="00116047" w:rsidRPr="00CF40F3" w:rsidRDefault="00116047" w:rsidP="00B24843">
      <w:pPr>
        <w:pStyle w:val="TAMainText"/>
        <w:rPr>
          <w:lang w:val="en-GB"/>
        </w:rPr>
      </w:pPr>
      <w:r>
        <w:rPr>
          <w:lang w:val="en-GB"/>
        </w:rPr>
        <w:t>Highly anisotropic diffusion parameters (</w:t>
      </w:r>
      <w:r w:rsidRPr="00617F21">
        <w:t>D</w:t>
      </w:r>
      <w:r w:rsidRPr="00617F21">
        <w:rPr>
          <w:rFonts w:ascii="Cambria Math" w:hAnsi="Cambria Math" w:cs="Cambria Math"/>
          <w:vertAlign w:val="subscript"/>
        </w:rPr>
        <w:t>⊥</w:t>
      </w:r>
      <w:r w:rsidRPr="004934B4">
        <w:t xml:space="preserve"> </w:t>
      </w:r>
      <w:r>
        <w:sym w:font="Symbol" w:char="F0B9"/>
      </w:r>
      <w:r>
        <w:t xml:space="preserve"> </w:t>
      </w:r>
      <w:r w:rsidRPr="00617F21">
        <w:t>D</w:t>
      </w:r>
      <w:r w:rsidRPr="00617F21">
        <w:rPr>
          <w:rFonts w:ascii="Cambria Math" w:hAnsi="Cambria Math" w:cs="Cambria Math"/>
          <w:vertAlign w:val="subscript"/>
        </w:rPr>
        <w:t>∥</w:t>
      </w:r>
      <w:r w:rsidRPr="00617F21">
        <w:t>)</w:t>
      </w:r>
      <w:r>
        <w:t xml:space="preserve"> suggest that EPR-detected motion is dominated by the tumbling of the guest and the movement of the whole complex (</w:t>
      </w:r>
      <w:proofErr w:type="spellStart"/>
      <w:r>
        <w:t>radical+cage</w:t>
      </w:r>
      <w:proofErr w:type="spellEnd"/>
      <w:r>
        <w:t>) is slow on the EPR timescale (as rotational diffusion of the cubic cage would have been nearly isotropic). The absolute values of the faster diffusion component (</w:t>
      </w:r>
      <w:r w:rsidRPr="00617F21">
        <w:rPr>
          <w:lang w:val="en-GB"/>
        </w:rPr>
        <w:t>10</w:t>
      </w:r>
      <w:r w:rsidRPr="00617F21">
        <w:rPr>
          <w:vertAlign w:val="superscript"/>
          <w:lang w:val="en-GB"/>
        </w:rPr>
        <w:t>8</w:t>
      </w:r>
      <w:r w:rsidRPr="00617F21">
        <w:rPr>
          <w:lang w:val="en-GB"/>
        </w:rPr>
        <w:t xml:space="preserve"> to 10</w:t>
      </w:r>
      <w:r w:rsidRPr="00617F21">
        <w:rPr>
          <w:vertAlign w:val="superscript"/>
          <w:lang w:val="en-GB"/>
        </w:rPr>
        <w:t>9</w:t>
      </w:r>
      <w:r w:rsidRPr="00617F21">
        <w:rPr>
          <w:lang w:val="en-GB"/>
        </w:rPr>
        <w:t xml:space="preserve"> s</w:t>
      </w:r>
      <w:r w:rsidRPr="00617F21">
        <w:rPr>
          <w:vertAlign w:val="superscript"/>
          <w:lang w:val="en-GB"/>
        </w:rPr>
        <w:t>-1</w:t>
      </w:r>
      <w:r>
        <w:t xml:space="preserve">) are similar to </w:t>
      </w:r>
      <w:r>
        <w:lastRenderedPageBreak/>
        <w:t xml:space="preserve">those for many encapsulated nitroxides, e.g., in disulfide-crosslinked </w:t>
      </w:r>
      <w:r w:rsidR="00271D2E">
        <w:t>cyclodextrins</w:t>
      </w:r>
      <w:r w:rsidR="00727D00" w:rsidRPr="00727D00">
        <w:rPr>
          <w:vertAlign w:val="superscript"/>
        </w:rPr>
        <w:t>16</w:t>
      </w:r>
      <w:r w:rsidR="00271D2E">
        <w:t xml:space="preserve"> </w:t>
      </w:r>
      <w:r w:rsidR="00212EBF">
        <w:t>or</w:t>
      </w:r>
      <w:r w:rsidRPr="00617F21">
        <w:rPr>
          <w:lang w:val="en-GB"/>
        </w:rPr>
        <w:t xml:space="preserve"> </w:t>
      </w:r>
      <w:r>
        <w:rPr>
          <w:lang w:val="en-GB"/>
        </w:rPr>
        <w:t xml:space="preserve">in larger </w:t>
      </w:r>
      <w:r w:rsidR="00DD4E05" w:rsidRPr="00617F21">
        <w:rPr>
          <w:lang w:val="en-GB"/>
        </w:rPr>
        <w:t>cryptophane</w:t>
      </w:r>
      <w:r w:rsidR="00DD4E05">
        <w:rPr>
          <w:lang w:val="en-GB"/>
        </w:rPr>
        <w:t>s.</w:t>
      </w:r>
      <w:r w:rsidR="000F734F" w:rsidRPr="000F734F">
        <w:rPr>
          <w:vertAlign w:val="superscript"/>
        </w:rPr>
        <w:t>50</w:t>
      </w:r>
    </w:p>
    <w:p w14:paraId="2A62B3DE" w14:textId="178C174D" w:rsidR="00116047" w:rsidRPr="00C90C1F" w:rsidRDefault="00116047" w:rsidP="00B24843">
      <w:pPr>
        <w:pStyle w:val="TAMainText"/>
      </w:pPr>
      <w:r>
        <w:rPr>
          <w:lang w:val="en-GB"/>
        </w:rPr>
        <w:t>The</w:t>
      </w:r>
      <w:r w:rsidRPr="00617F21">
        <w:rPr>
          <w:lang w:val="en-GB"/>
        </w:rPr>
        <w:t xml:space="preserve"> D</w:t>
      </w:r>
      <w:r w:rsidRPr="00617F21">
        <w:rPr>
          <w:rFonts w:ascii="Cambria Math" w:hAnsi="Cambria Math" w:cs="Cambria Math"/>
          <w:vertAlign w:val="subscript"/>
          <w:lang w:val="en-GB"/>
        </w:rPr>
        <w:t>∥</w:t>
      </w:r>
      <w:r w:rsidRPr="00617F21">
        <w:rPr>
          <w:rFonts w:cs="Cambria Math"/>
          <w:vertAlign w:val="subscript"/>
          <w:lang w:val="en-GB"/>
        </w:rPr>
        <w:t xml:space="preserve"> </w:t>
      </w:r>
      <w:r w:rsidRPr="00617F21">
        <w:rPr>
          <w:lang w:val="en-GB"/>
        </w:rPr>
        <w:t>value</w:t>
      </w:r>
      <w:r>
        <w:rPr>
          <w:lang w:val="en-GB"/>
        </w:rPr>
        <w:t xml:space="preserve"> for </w:t>
      </w:r>
      <w:r w:rsidR="008F3B5B" w:rsidRPr="008F3B5B">
        <w:rPr>
          <w:b/>
          <w:bCs/>
          <w:lang w:val="en-GB"/>
        </w:rPr>
        <w:t>R4</w:t>
      </w:r>
      <w:r>
        <w:rPr>
          <w:lang w:val="en-GB"/>
        </w:rPr>
        <w:t>+</w:t>
      </w:r>
      <w:r w:rsidR="008F3B5B" w:rsidRPr="008F3B5B">
        <w:rPr>
          <w:b/>
          <w:bCs/>
          <w:lang w:val="en-GB"/>
        </w:rPr>
        <w:t>C1w</w:t>
      </w:r>
      <w:r>
        <w:rPr>
          <w:lang w:val="en-GB"/>
        </w:rPr>
        <w:t xml:space="preserve"> (</w:t>
      </w:r>
      <w:r w:rsidRPr="00617F21">
        <w:rPr>
          <w:lang w:val="en-GB"/>
        </w:rPr>
        <w:t>3.</w:t>
      </w:r>
      <w:r>
        <w:rPr>
          <w:lang w:val="en-GB"/>
        </w:rPr>
        <w:t>98</w:t>
      </w:r>
      <w:r w:rsidRPr="00617F21">
        <w:rPr>
          <w:rFonts w:ascii="Symbol" w:eastAsia="Symbol" w:hAnsi="Symbol" w:cs="Symbol"/>
          <w:lang w:val="en-GB"/>
        </w:rPr>
        <w:sym w:font="Symbol" w:char="F0B4"/>
      </w:r>
      <w:r w:rsidRPr="00617F21">
        <w:rPr>
          <w:lang w:val="en-GB"/>
        </w:rPr>
        <w:t>10</w:t>
      </w:r>
      <w:r w:rsidRPr="00617F21">
        <w:rPr>
          <w:vertAlign w:val="superscript"/>
          <w:lang w:val="en-GB"/>
        </w:rPr>
        <w:t>5</w:t>
      </w:r>
      <w:r>
        <w:rPr>
          <w:lang w:val="en-GB"/>
        </w:rPr>
        <w:t xml:space="preserve"> s</w:t>
      </w:r>
      <w:r>
        <w:rPr>
          <w:vertAlign w:val="superscript"/>
          <w:lang w:val="en-GB"/>
        </w:rPr>
        <w:t>-1</w:t>
      </w:r>
      <w:r>
        <w:rPr>
          <w:lang w:val="en-GB"/>
        </w:rPr>
        <w:t xml:space="preserve">) and </w:t>
      </w:r>
      <w:r>
        <w:t>D</w:t>
      </w:r>
      <w:r>
        <w:rPr>
          <w:rFonts w:ascii="Cambria Math" w:hAnsi="Cambria Math" w:cs="Cambria Math"/>
          <w:vertAlign w:val="subscript"/>
        </w:rPr>
        <w:t>⊥</w:t>
      </w:r>
      <w:r>
        <w:t xml:space="preserve"> for </w:t>
      </w:r>
      <w:r w:rsidR="008F3B5B" w:rsidRPr="008F3B5B">
        <w:rPr>
          <w:b/>
          <w:bCs/>
        </w:rPr>
        <w:t>R5</w:t>
      </w:r>
      <w:r>
        <w:t>+</w:t>
      </w:r>
      <w:r w:rsidR="008F3B5B" w:rsidRPr="008F3B5B">
        <w:rPr>
          <w:b/>
          <w:bCs/>
        </w:rPr>
        <w:t>C2org</w:t>
      </w:r>
      <w:r>
        <w:t xml:space="preserve"> </w:t>
      </w:r>
      <w:r>
        <w:rPr>
          <w:rFonts w:ascii="Cambria Math" w:hAnsi="Cambria Math" w:cs="Cambria Math"/>
          <w:lang w:val="en-GB"/>
        </w:rPr>
        <w:t>(</w:t>
      </w:r>
      <w:r w:rsidRPr="00617F21">
        <w:rPr>
          <w:lang w:val="en-GB"/>
        </w:rPr>
        <w:t>3.39</w:t>
      </w:r>
      <w:r w:rsidRPr="00617F21">
        <w:rPr>
          <w:rFonts w:ascii="Symbol" w:eastAsia="Symbol" w:hAnsi="Symbol" w:cs="Symbol"/>
          <w:lang w:val="en-GB"/>
        </w:rPr>
        <w:sym w:font="Symbol" w:char="F0B4"/>
      </w:r>
      <w:r w:rsidRPr="00617F21">
        <w:rPr>
          <w:lang w:val="en-GB"/>
        </w:rPr>
        <w:t>10</w:t>
      </w:r>
      <w:r w:rsidRPr="00617F21">
        <w:rPr>
          <w:vertAlign w:val="superscript"/>
          <w:lang w:val="en-GB"/>
        </w:rPr>
        <w:t>5</w:t>
      </w:r>
      <w:r>
        <w:rPr>
          <w:lang w:val="en-GB"/>
        </w:rPr>
        <w:t xml:space="preserve"> s</w:t>
      </w:r>
      <w:r>
        <w:rPr>
          <w:vertAlign w:val="superscript"/>
          <w:lang w:val="en-GB"/>
        </w:rPr>
        <w:t>-1</w:t>
      </w:r>
      <w:r>
        <w:rPr>
          <w:lang w:val="en-GB"/>
        </w:rPr>
        <w:t xml:space="preserve">) </w:t>
      </w:r>
      <w:r>
        <w:t xml:space="preserve">indicate that these motions </w:t>
      </w:r>
      <w:r>
        <w:rPr>
          <w:lang w:val="en-GB"/>
        </w:rPr>
        <w:t>are almost</w:t>
      </w:r>
      <w:r w:rsidRPr="00617F21">
        <w:rPr>
          <w:lang w:val="en-GB"/>
        </w:rPr>
        <w:t xml:space="preserve"> frozen on the EPR timescale.</w:t>
      </w:r>
      <w:r>
        <w:rPr>
          <w:lang w:val="en-GB"/>
        </w:rPr>
        <w:t xml:space="preserve"> For </w:t>
      </w:r>
      <w:r w:rsidR="008F3B5B" w:rsidRPr="008F3B5B">
        <w:rPr>
          <w:b/>
          <w:bCs/>
          <w:lang w:val="en-GB"/>
        </w:rPr>
        <w:t>R4</w:t>
      </w:r>
      <w:r w:rsidRPr="00EC1A6A">
        <w:rPr>
          <w:lang w:val="en-GB"/>
        </w:rPr>
        <w:t>,</w:t>
      </w:r>
      <w:r>
        <w:rPr>
          <w:lang w:val="en-GB"/>
        </w:rPr>
        <w:t xml:space="preserve"> this is surprising, as </w:t>
      </w:r>
      <w:r w:rsidRPr="00617F21">
        <w:rPr>
          <w:lang w:val="en-GB"/>
        </w:rPr>
        <w:t xml:space="preserve">H-bonding between the cage and the carbonyl </w:t>
      </w:r>
      <w:r>
        <w:rPr>
          <w:lang w:val="en-GB"/>
        </w:rPr>
        <w:t xml:space="preserve">group </w:t>
      </w:r>
      <w:r w:rsidRPr="00617F21">
        <w:rPr>
          <w:lang w:val="en-GB"/>
        </w:rPr>
        <w:t>of the radi</w:t>
      </w:r>
      <w:r>
        <w:rPr>
          <w:lang w:val="en-GB"/>
        </w:rPr>
        <w:t>c</w:t>
      </w:r>
      <w:r w:rsidRPr="00617F21">
        <w:rPr>
          <w:lang w:val="en-GB"/>
        </w:rPr>
        <w:t>al</w:t>
      </w:r>
      <w:r>
        <w:rPr>
          <w:lang w:val="en-GB"/>
        </w:rPr>
        <w:t xml:space="preserve"> should not affect </w:t>
      </w:r>
      <w:r w:rsidRPr="00617F21">
        <w:rPr>
          <w:lang w:val="en-GB"/>
        </w:rPr>
        <w:t>D</w:t>
      </w:r>
      <w:r w:rsidRPr="00617F21">
        <w:rPr>
          <w:rFonts w:ascii="Cambria Math" w:hAnsi="Cambria Math" w:cs="Cambria Math"/>
          <w:vertAlign w:val="subscript"/>
          <w:lang w:val="en-GB"/>
        </w:rPr>
        <w:t>∥</w:t>
      </w:r>
      <w:r>
        <w:rPr>
          <w:lang w:val="en-GB"/>
        </w:rPr>
        <w:t xml:space="preserve"> tumbling. The motion is probably slowed down by a specific steric interaction with the host molecule in this case.</w:t>
      </w:r>
      <w:r w:rsidR="008B562D">
        <w:rPr>
          <w:lang w:val="en-GB"/>
        </w:rPr>
        <w:t xml:space="preserve"> </w:t>
      </w:r>
      <w:r w:rsidR="005D05DF">
        <w:rPr>
          <w:lang w:val="en-GB"/>
        </w:rPr>
        <w:t>Additionally, t</w:t>
      </w:r>
      <w:r w:rsidR="008B562D">
        <w:rPr>
          <w:lang w:val="en-GB"/>
        </w:rPr>
        <w:t xml:space="preserve">he relatively large </w:t>
      </w:r>
      <w:r w:rsidR="008B562D">
        <w:t>D</w:t>
      </w:r>
      <w:r w:rsidR="008B562D">
        <w:rPr>
          <w:rFonts w:ascii="Cambria Math" w:hAnsi="Cambria Math" w:cs="Cambria Math"/>
          <w:vertAlign w:val="subscript"/>
        </w:rPr>
        <w:t xml:space="preserve">⊥ </w:t>
      </w:r>
      <w:r w:rsidR="008B562D">
        <w:t xml:space="preserve">for </w:t>
      </w:r>
      <w:r w:rsidR="008B562D" w:rsidRPr="00AF1C72">
        <w:rPr>
          <w:b/>
          <w:bCs/>
        </w:rPr>
        <w:t>R4</w:t>
      </w:r>
      <w:r w:rsidR="008B562D">
        <w:t xml:space="preserve"> (2.44</w:t>
      </w:r>
      <w:r w:rsidR="008B562D" w:rsidRPr="00A22240">
        <w:sym w:font="Symbol" w:char="F0B4"/>
      </w:r>
      <w:r w:rsidR="008B562D" w:rsidRPr="00A22240">
        <w:t>10</w:t>
      </w:r>
      <w:r w:rsidR="008B562D">
        <w:rPr>
          <w:vertAlign w:val="superscript"/>
        </w:rPr>
        <w:t>8</w:t>
      </w:r>
      <w:r w:rsidR="008B562D">
        <w:t xml:space="preserve"> s</w:t>
      </w:r>
      <w:r w:rsidR="008B562D">
        <w:rPr>
          <w:vertAlign w:val="superscript"/>
        </w:rPr>
        <w:t>-1</w:t>
      </w:r>
      <w:r w:rsidR="008B562D">
        <w:t>)</w:t>
      </w:r>
      <w:r w:rsidR="00280BF6">
        <w:t xml:space="preserve">, </w:t>
      </w:r>
      <w:r w:rsidR="005D05DF">
        <w:t xml:space="preserve">suggests that </w:t>
      </w:r>
      <w:r w:rsidR="00FF5287">
        <w:t xml:space="preserve">the motion of the radical within the cavity about this axis is almost unrestricted, </w:t>
      </w:r>
      <w:r w:rsidR="00AD5596">
        <w:t xml:space="preserve">potentially indicating a </w:t>
      </w:r>
      <w:r w:rsidR="0048429A">
        <w:t>good match between the radical and the cage cavity</w:t>
      </w:r>
      <w:r w:rsidR="008A5020">
        <w:t xml:space="preserve">, such that such a specific </w:t>
      </w:r>
      <w:r w:rsidR="00541522">
        <w:t>interaction and motion can be achieved.</w:t>
      </w:r>
    </w:p>
    <w:p w14:paraId="759529B5" w14:textId="763B5F30" w:rsidR="006C3021" w:rsidRPr="008935EB" w:rsidRDefault="00116047" w:rsidP="00B24843">
      <w:pPr>
        <w:pStyle w:val="TAMainText"/>
      </w:pPr>
      <w:r>
        <w:rPr>
          <w:lang w:val="en-GB"/>
        </w:rPr>
        <w:t xml:space="preserve">In </w:t>
      </w:r>
      <w:r w:rsidR="008F3B5B" w:rsidRPr="008F3B5B">
        <w:rPr>
          <w:b/>
          <w:bCs/>
          <w:lang w:val="en-GB"/>
        </w:rPr>
        <w:t>R5</w:t>
      </w:r>
      <w:r>
        <w:rPr>
          <w:lang w:val="en-GB"/>
        </w:rPr>
        <w:t xml:space="preserve"> and </w:t>
      </w:r>
      <w:r w:rsidR="008F3B5B" w:rsidRPr="008F3B5B">
        <w:rPr>
          <w:b/>
          <w:bCs/>
        </w:rPr>
        <w:t>R6</w:t>
      </w:r>
      <w:r>
        <w:rPr>
          <w:lang w:val="en-GB"/>
        </w:rPr>
        <w:t xml:space="preserve">, the motion </w:t>
      </w:r>
      <w:r>
        <w:rPr>
          <w:rFonts w:cs="Arial"/>
          <w:lang w:val="en-GB"/>
        </w:rPr>
        <w:t xml:space="preserve">about the </w:t>
      </w:r>
      <w:r>
        <w:t>D</w:t>
      </w:r>
      <w:r>
        <w:rPr>
          <w:rFonts w:ascii="Cambria Math" w:hAnsi="Cambria Math" w:cs="Cambria Math"/>
          <w:vertAlign w:val="subscript"/>
        </w:rPr>
        <w:t xml:space="preserve">⊥ </w:t>
      </w:r>
      <w:r>
        <w:rPr>
          <w:rFonts w:cs="Arial"/>
          <w:lang w:val="en-GB"/>
        </w:rPr>
        <w:t xml:space="preserve">is strongly restricted, presumably due to strong H-bonding of the carboxylic acid. The rod-like, nearly axially-symmetric </w:t>
      </w:r>
      <w:r w:rsidR="008F3B5B" w:rsidRPr="008F3B5B">
        <w:rPr>
          <w:rFonts w:cs="Arial"/>
          <w:b/>
          <w:bCs/>
        </w:rPr>
        <w:t>R5</w:t>
      </w:r>
      <w:r>
        <w:rPr>
          <w:rFonts w:cs="Arial"/>
          <w:lang w:val="en-GB"/>
        </w:rPr>
        <w:t xml:space="preserve"> shows fast motion about the </w:t>
      </w:r>
      <w:r w:rsidRPr="00617F21">
        <w:rPr>
          <w:lang w:val="en-GB"/>
        </w:rPr>
        <w:t>D</w:t>
      </w:r>
      <w:r w:rsidRPr="00617F21">
        <w:rPr>
          <w:rFonts w:ascii="Cambria Math" w:hAnsi="Cambria Math" w:cs="Cambria Math"/>
          <w:vertAlign w:val="subscript"/>
          <w:lang w:val="en-GB"/>
        </w:rPr>
        <w:t>∥</w:t>
      </w:r>
      <w:r>
        <w:t xml:space="preserve"> axis, whereas tumbling of bent </w:t>
      </w:r>
      <w:r w:rsidR="008F3B5B" w:rsidRPr="008F3B5B">
        <w:rPr>
          <w:b/>
          <w:bCs/>
        </w:rPr>
        <w:t>R6</w:t>
      </w:r>
      <w:r>
        <w:t xml:space="preserve"> about this axis is significantly slower.</w:t>
      </w:r>
    </w:p>
    <w:p w14:paraId="36688BF6" w14:textId="0F365A1E" w:rsidR="008935EB" w:rsidRPr="008935EB" w:rsidRDefault="008461FC" w:rsidP="008935EB">
      <w:pPr>
        <w:pStyle w:val="TAMainText"/>
        <w:ind w:firstLine="0"/>
        <w:rPr>
          <w:b/>
          <w:bCs/>
        </w:rPr>
      </w:pPr>
      <w:r w:rsidRPr="008935EB">
        <w:rPr>
          <w:b/>
          <w:bCs/>
        </w:rPr>
        <w:t>C</w:t>
      </w:r>
      <w:r w:rsidR="00B75551">
        <w:rPr>
          <w:b/>
          <w:bCs/>
        </w:rPr>
        <w:t>ONCLUSIONS</w:t>
      </w:r>
    </w:p>
    <w:p w14:paraId="62D54504" w14:textId="0D4EE5FA" w:rsidR="00090544" w:rsidRDefault="008935EB" w:rsidP="00563629">
      <w:pPr>
        <w:pStyle w:val="TAMainText"/>
        <w:rPr>
          <w:b/>
          <w:bCs/>
          <w:lang w:val="en-GB"/>
        </w:rPr>
      </w:pPr>
      <w:r w:rsidRPr="00617F21">
        <w:rPr>
          <w:lang w:val="en-GB"/>
        </w:rPr>
        <w:t xml:space="preserve">Using a </w:t>
      </w:r>
      <w:r>
        <w:rPr>
          <w:lang w:val="en-GB"/>
        </w:rPr>
        <w:t>range</w:t>
      </w:r>
      <w:r w:rsidRPr="00617F21">
        <w:rPr>
          <w:lang w:val="en-GB"/>
        </w:rPr>
        <w:t xml:space="preserve"> of nitroxide radicals as spin probes, EPR spectroscopy has been </w:t>
      </w:r>
      <w:r>
        <w:rPr>
          <w:lang w:val="en-GB"/>
        </w:rPr>
        <w:t xml:space="preserve">used to characterise host-guest interactions in </w:t>
      </w:r>
      <w:r w:rsidRPr="00617F21">
        <w:rPr>
          <w:lang w:val="en-GB"/>
        </w:rPr>
        <w:t>supramolecular coordination cages</w:t>
      </w:r>
      <w:r>
        <w:rPr>
          <w:lang w:val="en-GB"/>
        </w:rPr>
        <w:t xml:space="preserve"> and determine equilibrium constants for binding</w:t>
      </w:r>
      <w:r w:rsidRPr="00617F21">
        <w:rPr>
          <w:lang w:val="en-GB"/>
        </w:rPr>
        <w:t xml:space="preserve">. </w:t>
      </w:r>
      <w:r>
        <w:rPr>
          <w:lang w:val="en-GB"/>
        </w:rPr>
        <w:t>In water, 4-oxo-TEMPO showed comparable binding strength to those previously reported for similar ketones. In an organic solvent (acetonitrile), carboxylic acid-functionalised nitroxides showed strong binding to the cages. The environment around the encapsulated guests showed intermediate polarity between water and acetonitrile, and anisotropic rotational diffusion.</w:t>
      </w:r>
    </w:p>
    <w:p w14:paraId="7F8DAAF0" w14:textId="77777777" w:rsidR="00DD6DBB" w:rsidRDefault="00C10EE0" w:rsidP="000B5610">
      <w:pPr>
        <w:pStyle w:val="TESupportingInformation"/>
        <w:spacing w:after="240"/>
        <w:ind w:firstLine="0"/>
        <w:jc w:val="left"/>
      </w:pPr>
      <w:r>
        <w:t>ASSOCIATED CONTENT</w:t>
      </w:r>
    </w:p>
    <w:p w14:paraId="78E3A2D5" w14:textId="440CB25A" w:rsidR="00C10EE0" w:rsidRPr="00C10EE0" w:rsidRDefault="00C10EE0" w:rsidP="000B5610">
      <w:pPr>
        <w:pStyle w:val="TESupportingInformation"/>
        <w:spacing w:after="240"/>
        <w:ind w:firstLine="0"/>
        <w:jc w:val="left"/>
      </w:pPr>
      <w:r w:rsidRPr="00157E12">
        <w:rPr>
          <w:b/>
        </w:rPr>
        <w:lastRenderedPageBreak/>
        <w:t>Supporting Information</w:t>
      </w:r>
      <w:r>
        <w:t>.</w:t>
      </w:r>
      <w:r w:rsidR="009B763E">
        <w:t xml:space="preserve"> Synthetic procedures for cages and precursors; EPR sample preparation details; EPR simulation procedures and information</w:t>
      </w:r>
    </w:p>
    <w:p w14:paraId="4FEACA14" w14:textId="77777777" w:rsidR="00DD6DBB" w:rsidRDefault="00DD6DBB" w:rsidP="00DD6DBB">
      <w:pPr>
        <w:pStyle w:val="FACorrespondingAuthorFootnote"/>
        <w:spacing w:after="0"/>
        <w:jc w:val="left"/>
      </w:pPr>
      <w:r>
        <w:t>AUTHOR INFORMATION</w:t>
      </w:r>
    </w:p>
    <w:p w14:paraId="7D572F1D" w14:textId="77777777" w:rsidR="00DD6DBB" w:rsidRPr="00DD6DBB" w:rsidRDefault="00DD6DBB" w:rsidP="004E7185">
      <w:pPr>
        <w:pStyle w:val="FAAuthorInfoSubtitle"/>
      </w:pPr>
      <w:r w:rsidRPr="00DD6DBB">
        <w:t>Corresponding Author</w:t>
      </w:r>
    </w:p>
    <w:p w14:paraId="14B7612D" w14:textId="77777777" w:rsidR="009246AD" w:rsidRPr="00DF3103" w:rsidRDefault="00DD6DBB" w:rsidP="00DD6DBB">
      <w:pPr>
        <w:pStyle w:val="FACorrespondingAuthorFootnote"/>
        <w:spacing w:after="240"/>
        <w:jc w:val="left"/>
        <w:rPr>
          <w:lang w:val="en-GB"/>
        </w:rPr>
      </w:pPr>
      <w:r w:rsidRPr="00DF3103">
        <w:rPr>
          <w:lang w:val="en-GB"/>
        </w:rPr>
        <w:t>*</w:t>
      </w:r>
      <w:r w:rsidR="00AA7B49" w:rsidRPr="00DF3103">
        <w:rPr>
          <w:lang w:val="en-GB"/>
        </w:rPr>
        <w:t>E-mail: victor.chechik@york.ac.uk</w:t>
      </w:r>
    </w:p>
    <w:p w14:paraId="5A17B5B7" w14:textId="3FCA0EC8" w:rsidR="00C10EE0" w:rsidRPr="00DD6DBB" w:rsidRDefault="00A67D1A" w:rsidP="00DD6DBB">
      <w:pPr>
        <w:pStyle w:val="FAAuthorInfoSubtitle"/>
      </w:pPr>
      <w:r>
        <w:t>Present Address</w:t>
      </w:r>
    </w:p>
    <w:p w14:paraId="5AA31A6D" w14:textId="77777777" w:rsidR="00C10EE0" w:rsidRPr="00DD6DBB" w:rsidRDefault="00C10EE0" w:rsidP="00DD6DBB">
      <w:pPr>
        <w:pStyle w:val="StyleFACorrespondingAuthorFootnote7pt"/>
        <w:spacing w:after="240" w:line="480" w:lineRule="auto"/>
        <w:rPr>
          <w:rFonts w:ascii="Times" w:hAnsi="Times"/>
          <w:kern w:val="0"/>
          <w:sz w:val="24"/>
        </w:rPr>
      </w:pPr>
      <w:r w:rsidRPr="00DD6DBB">
        <w:rPr>
          <w:rFonts w:ascii="Times" w:hAnsi="Times"/>
          <w:kern w:val="0"/>
          <w:sz w:val="24"/>
        </w:rPr>
        <w:t>†</w:t>
      </w:r>
      <w:r w:rsidR="00AA7B49" w:rsidRPr="00AA7B49">
        <w:rPr>
          <w:rFonts w:ascii="Times" w:hAnsi="Times"/>
          <w:kern w:val="0"/>
          <w:sz w:val="24"/>
        </w:rPr>
        <w:t>Institute of Chemical and Bioengineering, Department of Chemistry and Applied Biosciences, ETH Zürich, 1 5/10 Vladimir-Prelog-</w:t>
      </w:r>
      <w:proofErr w:type="spellStart"/>
      <w:r w:rsidR="00AA7B49" w:rsidRPr="00AA7B49">
        <w:rPr>
          <w:rFonts w:ascii="Times" w:hAnsi="Times"/>
          <w:kern w:val="0"/>
          <w:sz w:val="24"/>
        </w:rPr>
        <w:t>Weg</w:t>
      </w:r>
      <w:proofErr w:type="spellEnd"/>
      <w:r w:rsidR="00AA7B49" w:rsidRPr="00AA7B49">
        <w:rPr>
          <w:rFonts w:ascii="Times" w:hAnsi="Times"/>
          <w:kern w:val="0"/>
          <w:sz w:val="24"/>
        </w:rPr>
        <w:t>, 8093 Zürich, Switzerland.</w:t>
      </w:r>
    </w:p>
    <w:p w14:paraId="3E39A57C" w14:textId="77777777" w:rsidR="00C10EE0" w:rsidRPr="00DD6DBB" w:rsidRDefault="00C10EE0" w:rsidP="00DD6DBB">
      <w:pPr>
        <w:pStyle w:val="FAAuthorInfoSubtitle"/>
      </w:pPr>
      <w:r w:rsidRPr="00DD6DBB">
        <w:t>Author Contributions</w:t>
      </w:r>
    </w:p>
    <w:p w14:paraId="448E5060" w14:textId="69291ECB" w:rsidR="00C10EE0" w:rsidRPr="00DD6DBB" w:rsidRDefault="00C10EE0" w:rsidP="00DD6DBB">
      <w:pPr>
        <w:pStyle w:val="StyleFACorrespondingAuthorFootnote7pt"/>
        <w:spacing w:after="240" w:line="480" w:lineRule="auto"/>
        <w:rPr>
          <w:rFonts w:ascii="Times" w:hAnsi="Times"/>
          <w:kern w:val="0"/>
          <w:sz w:val="24"/>
        </w:rPr>
      </w:pPr>
      <w:r w:rsidRPr="00DD6DBB">
        <w:rPr>
          <w:rFonts w:ascii="Times" w:hAnsi="Times"/>
          <w:kern w:val="0"/>
          <w:sz w:val="24"/>
        </w:rPr>
        <w:t>The manuscript was written throug</w:t>
      </w:r>
      <w:r w:rsidR="00DD6DBB">
        <w:rPr>
          <w:rFonts w:ascii="Times" w:hAnsi="Times"/>
          <w:kern w:val="0"/>
          <w:sz w:val="24"/>
        </w:rPr>
        <w:t xml:space="preserve">h contributions of all authors. </w:t>
      </w:r>
      <w:r w:rsidRPr="00DD6DBB">
        <w:rPr>
          <w:rFonts w:ascii="Times" w:hAnsi="Times"/>
          <w:kern w:val="0"/>
          <w:sz w:val="24"/>
        </w:rPr>
        <w:t>All authors have given approval to the final version of the manuscript.</w:t>
      </w:r>
    </w:p>
    <w:p w14:paraId="040844F3" w14:textId="77777777" w:rsidR="00DD6DBB" w:rsidRDefault="00DD6DBB" w:rsidP="00DD6DBB">
      <w:r>
        <w:t>ABBREVIATIONS</w:t>
      </w:r>
    </w:p>
    <w:p w14:paraId="4C49CA09" w14:textId="39391AFC" w:rsidR="00DD6DBB" w:rsidRDefault="000E1264" w:rsidP="00DD6DBB">
      <w:pPr>
        <w:spacing w:line="480" w:lineRule="auto"/>
        <w:jc w:val="left"/>
      </w:pPr>
      <w:r>
        <w:t>EPR</w:t>
      </w:r>
      <w:r w:rsidR="00DD6DBB" w:rsidRPr="00101D1F">
        <w:t xml:space="preserve">, </w:t>
      </w:r>
      <w:r w:rsidR="00A8624D">
        <w:t>electron paramagnetic resonance</w:t>
      </w:r>
      <w:r w:rsidR="0007406F">
        <w:t>.</w:t>
      </w:r>
    </w:p>
    <w:p w14:paraId="00732AD8" w14:textId="4403B376" w:rsidR="00BF161E" w:rsidRDefault="00696EC2" w:rsidP="0028397C">
      <w:pPr>
        <w:pStyle w:val="TDAcknowledgments"/>
        <w:ind w:firstLine="0"/>
      </w:pPr>
      <w:r>
        <w:t>A</w:t>
      </w:r>
      <w:r w:rsidR="003B01CD">
        <w:t>CKNOWLEDGEMENTS</w:t>
      </w:r>
    </w:p>
    <w:p w14:paraId="4BC95AFB" w14:textId="5852A105" w:rsidR="003B01CD" w:rsidRPr="003B01CD" w:rsidRDefault="00E3711A" w:rsidP="00C90C1F">
      <w:pPr>
        <w:pStyle w:val="TDAcknowledgments"/>
        <w:ind w:firstLine="0"/>
      </w:pPr>
      <w:r>
        <w:t xml:space="preserve">The authors thank the </w:t>
      </w:r>
      <w:r w:rsidR="007E26F9">
        <w:t>University</w:t>
      </w:r>
      <w:r>
        <w:t xml:space="preserve"> of York for f</w:t>
      </w:r>
      <w:r w:rsidR="00C12E83">
        <w:t>inancial support.</w:t>
      </w:r>
    </w:p>
    <w:p w14:paraId="45A5D23E" w14:textId="0BB377D9" w:rsidR="00A67D1A" w:rsidRDefault="00DD6DBB" w:rsidP="00664FBA">
      <w:pPr>
        <w:pStyle w:val="TFReferencesSection"/>
        <w:spacing w:after="0"/>
        <w:ind w:firstLine="0"/>
      </w:pPr>
      <w:r>
        <w:t>REFERENCES</w:t>
      </w:r>
    </w:p>
    <w:p w14:paraId="6282EED7" w14:textId="5C90A0F0" w:rsidR="00774464" w:rsidRPr="00774464" w:rsidRDefault="00774464" w:rsidP="00EF607A">
      <w:pPr>
        <w:pStyle w:val="TFReferencesSection"/>
      </w:pPr>
      <w:r w:rsidRPr="00774464">
        <w:t xml:space="preserve">(1) </w:t>
      </w:r>
      <w:r w:rsidRPr="00774464">
        <w:tab/>
        <w:t xml:space="preserve">Mal, P.; </w:t>
      </w:r>
      <w:proofErr w:type="spellStart"/>
      <w:r w:rsidRPr="00774464">
        <w:t>Breiner</w:t>
      </w:r>
      <w:proofErr w:type="spellEnd"/>
      <w:r w:rsidRPr="00774464">
        <w:t xml:space="preserve">, B.; </w:t>
      </w:r>
      <w:proofErr w:type="spellStart"/>
      <w:r w:rsidRPr="00774464">
        <w:t>Rissanen</w:t>
      </w:r>
      <w:proofErr w:type="spellEnd"/>
      <w:r w:rsidRPr="00774464">
        <w:t xml:space="preserve">, K.; Nitschke, J. R. White Phosphorus Is Air-Stable within a Self-Assembled Tetrahedral Capsule. </w:t>
      </w:r>
      <w:r w:rsidRPr="00774464">
        <w:rPr>
          <w:i/>
          <w:iCs/>
        </w:rPr>
        <w:t>Science</w:t>
      </w:r>
      <w:r w:rsidRPr="00774464">
        <w:t xml:space="preserve"> </w:t>
      </w:r>
      <w:r w:rsidRPr="00774464">
        <w:rPr>
          <w:b/>
          <w:bCs/>
        </w:rPr>
        <w:t>2009</w:t>
      </w:r>
      <w:r w:rsidRPr="00774464">
        <w:t xml:space="preserve">, </w:t>
      </w:r>
      <w:r w:rsidRPr="00774464">
        <w:rPr>
          <w:i/>
          <w:iCs/>
        </w:rPr>
        <w:t>324</w:t>
      </w:r>
      <w:r w:rsidRPr="00774464">
        <w:t xml:space="preserve"> (5935), 1697–1699. https://doi.org/10.1126/science.1175313.</w:t>
      </w:r>
    </w:p>
    <w:p w14:paraId="541191E9" w14:textId="77777777" w:rsidR="00774464" w:rsidRPr="00774464" w:rsidRDefault="00774464" w:rsidP="00EF607A">
      <w:pPr>
        <w:pStyle w:val="TFReferencesSection"/>
      </w:pPr>
      <w:r w:rsidRPr="00774464">
        <w:lastRenderedPageBreak/>
        <w:t xml:space="preserve">(2) </w:t>
      </w:r>
      <w:r w:rsidRPr="00774464">
        <w:tab/>
        <w:t xml:space="preserve">Taylor, C. G. P.; Piper, J. R.; Ward, M. D. Binding of Chemical Warfare Agent Simulants as Guests in a Coordination Cage: Contributions to Binding and a Fluorescence-Based Response. </w:t>
      </w:r>
      <w:r w:rsidRPr="00774464">
        <w:rPr>
          <w:i/>
          <w:iCs/>
        </w:rPr>
        <w:t xml:space="preserve">Chem. </w:t>
      </w:r>
      <w:proofErr w:type="spellStart"/>
      <w:r w:rsidRPr="00774464">
        <w:rPr>
          <w:i/>
          <w:iCs/>
        </w:rPr>
        <w:t>Commun</w:t>
      </w:r>
      <w:proofErr w:type="spellEnd"/>
      <w:r w:rsidRPr="00774464">
        <w:rPr>
          <w:i/>
          <w:iCs/>
        </w:rPr>
        <w:t>.</w:t>
      </w:r>
      <w:r w:rsidRPr="00774464">
        <w:t xml:space="preserve"> </w:t>
      </w:r>
      <w:r w:rsidRPr="00774464">
        <w:rPr>
          <w:b/>
          <w:bCs/>
        </w:rPr>
        <w:t>2016</w:t>
      </w:r>
      <w:r w:rsidRPr="00774464">
        <w:t xml:space="preserve">, </w:t>
      </w:r>
      <w:r w:rsidRPr="00774464">
        <w:rPr>
          <w:i/>
          <w:iCs/>
        </w:rPr>
        <w:t>52</w:t>
      </w:r>
      <w:r w:rsidRPr="00774464">
        <w:t xml:space="preserve"> (37), 6225–6228. https://doi.org/10.1039/C6CC02021F.</w:t>
      </w:r>
    </w:p>
    <w:p w14:paraId="41176F63" w14:textId="77777777" w:rsidR="00774464" w:rsidRPr="00774464" w:rsidRDefault="00774464" w:rsidP="00EF607A">
      <w:pPr>
        <w:pStyle w:val="TFReferencesSection"/>
      </w:pPr>
      <w:r w:rsidRPr="00774464">
        <w:t xml:space="preserve">(3) </w:t>
      </w:r>
      <w:r w:rsidRPr="00774464">
        <w:tab/>
        <w:t xml:space="preserve">Lewis, J. E. M.; </w:t>
      </w:r>
      <w:proofErr w:type="spellStart"/>
      <w:r w:rsidRPr="00774464">
        <w:t>Gavey</w:t>
      </w:r>
      <w:proofErr w:type="spellEnd"/>
      <w:r w:rsidRPr="00774464">
        <w:t xml:space="preserve">, E. L.; Cameron, S. A.; Crowley, J. D. Stimuli-Responsive Pd 2 L 4 </w:t>
      </w:r>
      <w:proofErr w:type="spellStart"/>
      <w:r w:rsidRPr="00774464">
        <w:t>Metallosupramolecular</w:t>
      </w:r>
      <w:proofErr w:type="spellEnd"/>
      <w:r w:rsidRPr="00774464">
        <w:t xml:space="preserve"> Cages: Towards Targeted Cisplatin Drug Delivery. </w:t>
      </w:r>
      <w:r w:rsidRPr="00774464">
        <w:rPr>
          <w:i/>
          <w:iCs/>
        </w:rPr>
        <w:t>Chem. Sci.</w:t>
      </w:r>
      <w:r w:rsidRPr="00774464">
        <w:t xml:space="preserve"> </w:t>
      </w:r>
      <w:r w:rsidRPr="00774464">
        <w:rPr>
          <w:b/>
          <w:bCs/>
        </w:rPr>
        <w:t>2012</w:t>
      </w:r>
      <w:r w:rsidRPr="00774464">
        <w:t xml:space="preserve">, </w:t>
      </w:r>
      <w:r w:rsidRPr="00774464">
        <w:rPr>
          <w:i/>
          <w:iCs/>
        </w:rPr>
        <w:t>3</w:t>
      </w:r>
      <w:r w:rsidRPr="00774464">
        <w:t xml:space="preserve"> (3), 778–784. https://doi.org/10.1039/c2sc00899h.</w:t>
      </w:r>
    </w:p>
    <w:p w14:paraId="3B18F757" w14:textId="77777777" w:rsidR="00774464" w:rsidRPr="00774464" w:rsidRDefault="00774464" w:rsidP="00EF607A">
      <w:pPr>
        <w:pStyle w:val="TFReferencesSection"/>
      </w:pPr>
      <w:r w:rsidRPr="00774464">
        <w:t xml:space="preserve">(4) </w:t>
      </w:r>
      <w:r w:rsidRPr="00774464">
        <w:tab/>
        <w:t xml:space="preserve">Kim, T. Y.; Lucas, N. T.; Crowley, J. D. A </w:t>
      </w:r>
      <w:proofErr w:type="spellStart"/>
      <w:r w:rsidRPr="00774464">
        <w:t>Diaryl</w:t>
      </w:r>
      <w:proofErr w:type="spellEnd"/>
      <w:r w:rsidRPr="00774464">
        <w:t xml:space="preserve">-Linked [Pd2L4]4+ </w:t>
      </w:r>
      <w:proofErr w:type="spellStart"/>
      <w:r w:rsidRPr="00774464">
        <w:t>Metallosupramolecular</w:t>
      </w:r>
      <w:proofErr w:type="spellEnd"/>
      <w:r w:rsidRPr="00774464">
        <w:t xml:space="preserve"> Architecture: Synthesis, Structures and Cisplatin Binding Studies. </w:t>
      </w:r>
      <w:proofErr w:type="spellStart"/>
      <w:r w:rsidRPr="00774464">
        <w:rPr>
          <w:i/>
          <w:iCs/>
        </w:rPr>
        <w:t>Supramol</w:t>
      </w:r>
      <w:proofErr w:type="spellEnd"/>
      <w:r w:rsidRPr="00774464">
        <w:rPr>
          <w:i/>
          <w:iCs/>
        </w:rPr>
        <w:t>. Chem.</w:t>
      </w:r>
      <w:r w:rsidRPr="00774464">
        <w:t xml:space="preserve"> </w:t>
      </w:r>
      <w:r w:rsidRPr="00774464">
        <w:rPr>
          <w:b/>
          <w:bCs/>
        </w:rPr>
        <w:t>2015</w:t>
      </w:r>
      <w:r w:rsidRPr="00774464">
        <w:t xml:space="preserve">, </w:t>
      </w:r>
      <w:r w:rsidRPr="00774464">
        <w:rPr>
          <w:i/>
          <w:iCs/>
        </w:rPr>
        <w:t>27</w:t>
      </w:r>
      <w:r w:rsidRPr="00774464">
        <w:t xml:space="preserve"> (11–12), 734–745. https://doi.org/10.1080/10610278.2015.1063633.</w:t>
      </w:r>
    </w:p>
    <w:p w14:paraId="47D59E4B" w14:textId="77777777" w:rsidR="00774464" w:rsidRPr="00774464" w:rsidRDefault="00774464" w:rsidP="00EF607A">
      <w:pPr>
        <w:pStyle w:val="TFReferencesSection"/>
      </w:pPr>
      <w:r w:rsidRPr="00774464">
        <w:t xml:space="preserve">(5) </w:t>
      </w:r>
      <w:r w:rsidRPr="00774464">
        <w:tab/>
      </w:r>
      <w:proofErr w:type="spellStart"/>
      <w:r w:rsidRPr="00774464">
        <w:t>Pluth</w:t>
      </w:r>
      <w:proofErr w:type="spellEnd"/>
      <w:r w:rsidRPr="00774464">
        <w:t xml:space="preserve">, M. D.; Bergman, R. G.; Raymond, K. N. Proton-Mediated Chemistry and Catalysis in a Self-Assembled Supramolecular Host. </w:t>
      </w:r>
      <w:r w:rsidRPr="00774464">
        <w:rPr>
          <w:i/>
          <w:iCs/>
        </w:rPr>
        <w:t>Acc. Chem. Res.</w:t>
      </w:r>
      <w:r w:rsidRPr="00774464">
        <w:t xml:space="preserve"> </w:t>
      </w:r>
      <w:r w:rsidRPr="00774464">
        <w:rPr>
          <w:b/>
          <w:bCs/>
        </w:rPr>
        <w:t>2009</w:t>
      </w:r>
      <w:r w:rsidRPr="00774464">
        <w:t xml:space="preserve">, </w:t>
      </w:r>
      <w:r w:rsidRPr="00774464">
        <w:rPr>
          <w:i/>
          <w:iCs/>
        </w:rPr>
        <w:t>42</w:t>
      </w:r>
      <w:r w:rsidRPr="00774464">
        <w:t xml:space="preserve"> (10), 1650–1659. https://doi.org/10.1021/ar900118t.</w:t>
      </w:r>
    </w:p>
    <w:p w14:paraId="69268D58" w14:textId="77777777" w:rsidR="00774464" w:rsidRPr="00774464" w:rsidRDefault="00774464" w:rsidP="00EF607A">
      <w:pPr>
        <w:pStyle w:val="TFReferencesSection"/>
      </w:pPr>
      <w:r w:rsidRPr="00774464">
        <w:t xml:space="preserve">(6) </w:t>
      </w:r>
      <w:r w:rsidRPr="00774464">
        <w:tab/>
        <w:t xml:space="preserve">Cullen, W.; </w:t>
      </w:r>
      <w:proofErr w:type="spellStart"/>
      <w:r w:rsidRPr="00774464">
        <w:t>Misuraca</w:t>
      </w:r>
      <w:proofErr w:type="spellEnd"/>
      <w:r w:rsidRPr="00774464">
        <w:t xml:space="preserve">, M. C.; Hunter, C. A.; Williams, N. H.; Ward, M. D. Highly Efficient Catalysis of the Kemp Elimination in the Cavity of a Cubic Coordination Cage. </w:t>
      </w:r>
      <w:r w:rsidRPr="00774464">
        <w:rPr>
          <w:i/>
          <w:iCs/>
        </w:rPr>
        <w:t>Nat. Chem.</w:t>
      </w:r>
      <w:r w:rsidRPr="00774464">
        <w:t xml:space="preserve"> </w:t>
      </w:r>
      <w:r w:rsidRPr="00774464">
        <w:rPr>
          <w:b/>
          <w:bCs/>
        </w:rPr>
        <w:t>2016</w:t>
      </w:r>
      <w:r w:rsidRPr="00774464">
        <w:t xml:space="preserve">, </w:t>
      </w:r>
      <w:r w:rsidRPr="00774464">
        <w:rPr>
          <w:i/>
          <w:iCs/>
        </w:rPr>
        <w:t>8</w:t>
      </w:r>
      <w:r w:rsidRPr="00774464">
        <w:t xml:space="preserve"> (3), 231–236. https://doi.org/10.1038/nchem.2452.</w:t>
      </w:r>
    </w:p>
    <w:p w14:paraId="07094A9B" w14:textId="77777777" w:rsidR="00774464" w:rsidRPr="00774464" w:rsidRDefault="00774464" w:rsidP="00EF607A">
      <w:pPr>
        <w:pStyle w:val="TFReferencesSection"/>
      </w:pPr>
      <w:r w:rsidRPr="00774464">
        <w:t xml:space="preserve">(7) </w:t>
      </w:r>
      <w:r w:rsidRPr="00774464">
        <w:tab/>
        <w:t xml:space="preserve">Cullen, W.; </w:t>
      </w:r>
      <w:proofErr w:type="spellStart"/>
      <w:r w:rsidRPr="00774464">
        <w:t>Metherell</w:t>
      </w:r>
      <w:proofErr w:type="spellEnd"/>
      <w:r w:rsidRPr="00774464">
        <w:t xml:space="preserve">, A. J.; Wragg, A. B.; Taylor, C. G. P.; Williams, N. H.; Ward, M. D. Catalysis in a Cationic Coordination Cage Using a Cavity-Bound Guest and Surface-Bound Anions: Inhibition, Activation, and Autocatalysis. </w:t>
      </w:r>
      <w:r w:rsidRPr="00774464">
        <w:rPr>
          <w:i/>
          <w:iCs/>
        </w:rPr>
        <w:t>J. Am. Chem. Soc.</w:t>
      </w:r>
      <w:r w:rsidRPr="00774464">
        <w:t xml:space="preserve"> </w:t>
      </w:r>
      <w:r w:rsidRPr="00774464">
        <w:rPr>
          <w:b/>
          <w:bCs/>
        </w:rPr>
        <w:t>2018</w:t>
      </w:r>
      <w:r w:rsidRPr="00774464">
        <w:t xml:space="preserve">, </w:t>
      </w:r>
      <w:r w:rsidRPr="00774464">
        <w:rPr>
          <w:i/>
          <w:iCs/>
        </w:rPr>
        <w:t>140</w:t>
      </w:r>
      <w:r w:rsidRPr="00774464">
        <w:t xml:space="preserve"> (8), 2821–2828. https://doi.org/10.1021/jacs.7b11334.</w:t>
      </w:r>
    </w:p>
    <w:p w14:paraId="0A7FC36D" w14:textId="77777777" w:rsidR="00774464" w:rsidRPr="00774464" w:rsidRDefault="00774464" w:rsidP="00EF607A">
      <w:pPr>
        <w:pStyle w:val="TFReferencesSection"/>
      </w:pPr>
      <w:r w:rsidRPr="00774464">
        <w:lastRenderedPageBreak/>
        <w:t xml:space="preserve">(8) </w:t>
      </w:r>
      <w:r w:rsidRPr="00774464">
        <w:tab/>
        <w:t xml:space="preserve">Yoshizawa, M.; Klosterman, J. K.; Fujita, M. Functional Molecular Flasks: New Properties and Reactions within Discrete, Self-Assembled Hosts. </w:t>
      </w:r>
      <w:proofErr w:type="spellStart"/>
      <w:r w:rsidRPr="00774464">
        <w:rPr>
          <w:i/>
          <w:iCs/>
        </w:rPr>
        <w:t>Angew</w:t>
      </w:r>
      <w:proofErr w:type="spellEnd"/>
      <w:r w:rsidRPr="00774464">
        <w:rPr>
          <w:i/>
          <w:iCs/>
        </w:rPr>
        <w:t>. Chem. Int. Ed.</w:t>
      </w:r>
      <w:r w:rsidRPr="00774464">
        <w:t xml:space="preserve"> </w:t>
      </w:r>
      <w:r w:rsidRPr="00774464">
        <w:rPr>
          <w:b/>
          <w:bCs/>
        </w:rPr>
        <w:t>2009</w:t>
      </w:r>
      <w:r w:rsidRPr="00774464">
        <w:t xml:space="preserve">, </w:t>
      </w:r>
      <w:r w:rsidRPr="00774464">
        <w:rPr>
          <w:i/>
          <w:iCs/>
        </w:rPr>
        <w:t>48</w:t>
      </w:r>
      <w:r w:rsidRPr="00774464">
        <w:t xml:space="preserve"> (19), 3418–3438. https://doi.org/10.1002/anie.200805340.</w:t>
      </w:r>
    </w:p>
    <w:p w14:paraId="6278D907" w14:textId="77777777" w:rsidR="00774464" w:rsidRPr="00774464" w:rsidRDefault="00774464" w:rsidP="00EF607A">
      <w:pPr>
        <w:pStyle w:val="TFReferencesSection"/>
      </w:pPr>
      <w:r w:rsidRPr="00774464">
        <w:t xml:space="preserve">(9) </w:t>
      </w:r>
      <w:r w:rsidRPr="00774464">
        <w:tab/>
        <w:t xml:space="preserve">Smulders, M. M. J.; Nitschke, J. R. Supramolecular Control over Diels–Alder Reactivity by Encapsulation and Competitive Displacement. </w:t>
      </w:r>
      <w:r w:rsidRPr="00774464">
        <w:rPr>
          <w:i/>
          <w:iCs/>
        </w:rPr>
        <w:t>Chem. Sci.</w:t>
      </w:r>
      <w:r w:rsidRPr="00774464">
        <w:t xml:space="preserve"> </w:t>
      </w:r>
      <w:r w:rsidRPr="00774464">
        <w:rPr>
          <w:b/>
          <w:bCs/>
        </w:rPr>
        <w:t>2012</w:t>
      </w:r>
      <w:r w:rsidRPr="00774464">
        <w:t xml:space="preserve">, </w:t>
      </w:r>
      <w:r w:rsidRPr="00774464">
        <w:rPr>
          <w:i/>
          <w:iCs/>
        </w:rPr>
        <w:t>3</w:t>
      </w:r>
      <w:r w:rsidRPr="00774464">
        <w:t xml:space="preserve"> (3), 785–788. https://doi.org/10.1039/c1sc00847a.</w:t>
      </w:r>
    </w:p>
    <w:p w14:paraId="512AD6BB" w14:textId="77777777" w:rsidR="00774464" w:rsidRPr="00774464" w:rsidRDefault="00774464" w:rsidP="00EF607A">
      <w:pPr>
        <w:pStyle w:val="TFReferencesSection"/>
      </w:pPr>
      <w:r w:rsidRPr="00774464">
        <w:t xml:space="preserve">(10) </w:t>
      </w:r>
      <w:r w:rsidRPr="00774464">
        <w:tab/>
        <w:t xml:space="preserve">Nakabayashi, K.; Kawano, M.; Yoshizawa, M.; </w:t>
      </w:r>
      <w:proofErr w:type="spellStart"/>
      <w:r w:rsidRPr="00774464">
        <w:t>Ohkoshi</w:t>
      </w:r>
      <w:proofErr w:type="spellEnd"/>
      <w:r w:rsidRPr="00774464">
        <w:t xml:space="preserve">, S.-I.; Fujita, M. Cavity-Induced Spin-Spin Interaction between Organic Radicals within a Self-Assembled Coordination Cage. </w:t>
      </w:r>
      <w:r w:rsidRPr="00774464">
        <w:rPr>
          <w:i/>
          <w:iCs/>
        </w:rPr>
        <w:t>J. Am. Chem. Soc.</w:t>
      </w:r>
      <w:r w:rsidRPr="00774464">
        <w:t xml:space="preserve"> </w:t>
      </w:r>
      <w:r w:rsidRPr="00774464">
        <w:rPr>
          <w:b/>
          <w:bCs/>
        </w:rPr>
        <w:t>2004</w:t>
      </w:r>
      <w:r w:rsidRPr="00774464">
        <w:t xml:space="preserve">, </w:t>
      </w:r>
      <w:r w:rsidRPr="00774464">
        <w:rPr>
          <w:i/>
          <w:iCs/>
        </w:rPr>
        <w:t>126</w:t>
      </w:r>
      <w:r w:rsidRPr="00774464">
        <w:t xml:space="preserve"> (51), 16694–16695. https://doi.org/10.1021/ja044445p.</w:t>
      </w:r>
    </w:p>
    <w:p w14:paraId="737CA111" w14:textId="77777777" w:rsidR="00774464" w:rsidRPr="00774464" w:rsidRDefault="00774464" w:rsidP="00EF607A">
      <w:pPr>
        <w:pStyle w:val="TFReferencesSection"/>
      </w:pPr>
      <w:r w:rsidRPr="00774464">
        <w:t xml:space="preserve">(11) </w:t>
      </w:r>
      <w:r w:rsidRPr="00774464">
        <w:tab/>
        <w:t xml:space="preserve">Nakabayashi, K.; Kawano, M.; Kato, T.; Furukawa, K.; </w:t>
      </w:r>
      <w:proofErr w:type="spellStart"/>
      <w:r w:rsidRPr="00774464">
        <w:t>Ohkoshi</w:t>
      </w:r>
      <w:proofErr w:type="spellEnd"/>
      <w:r w:rsidRPr="00774464">
        <w:t xml:space="preserve">, S.-I.; </w:t>
      </w:r>
      <w:proofErr w:type="spellStart"/>
      <w:r w:rsidRPr="00774464">
        <w:t>Hozumi</w:t>
      </w:r>
      <w:proofErr w:type="spellEnd"/>
      <w:r w:rsidRPr="00774464">
        <w:t xml:space="preserve">, T.; Fujita, M. Manipulating the Through-Space Spin-Spin Interaction of Organic Radicals in the Confined Cavity of a Self-Assembled Cage. </w:t>
      </w:r>
      <w:r w:rsidRPr="00774464">
        <w:rPr>
          <w:i/>
          <w:iCs/>
        </w:rPr>
        <w:t>Chem. - Asian J.</w:t>
      </w:r>
      <w:r w:rsidRPr="00774464">
        <w:t xml:space="preserve"> </w:t>
      </w:r>
      <w:r w:rsidRPr="00774464">
        <w:rPr>
          <w:b/>
          <w:bCs/>
        </w:rPr>
        <w:t>2007</w:t>
      </w:r>
      <w:r w:rsidRPr="00774464">
        <w:t xml:space="preserve">, </w:t>
      </w:r>
      <w:r w:rsidRPr="00774464">
        <w:rPr>
          <w:i/>
          <w:iCs/>
        </w:rPr>
        <w:t>2</w:t>
      </w:r>
      <w:r w:rsidRPr="00774464">
        <w:t xml:space="preserve"> (1), 164–170. https://doi.org/10.1002/asia.200600293.</w:t>
      </w:r>
    </w:p>
    <w:p w14:paraId="0F3C00EA" w14:textId="77777777" w:rsidR="00774464" w:rsidRPr="00774464" w:rsidRDefault="00774464" w:rsidP="00EF607A">
      <w:pPr>
        <w:pStyle w:val="TFReferencesSection"/>
      </w:pPr>
      <w:r w:rsidRPr="00774464">
        <w:t xml:space="preserve">(12) </w:t>
      </w:r>
      <w:r w:rsidRPr="00774464">
        <w:tab/>
        <w:t xml:space="preserve">Franchi, P.; Lucarini, M.; </w:t>
      </w:r>
      <w:proofErr w:type="spellStart"/>
      <w:r w:rsidRPr="00774464">
        <w:t>Pedulli</w:t>
      </w:r>
      <w:proofErr w:type="spellEnd"/>
      <w:r w:rsidRPr="00774464">
        <w:t xml:space="preserve">, G. F. Detection of Paramagnetic PH-Dependent Inclusion Complexes between β-Cyclodextrin Dimers and Nitroxide Radicals. </w:t>
      </w:r>
      <w:proofErr w:type="spellStart"/>
      <w:r w:rsidRPr="00774464">
        <w:rPr>
          <w:i/>
          <w:iCs/>
        </w:rPr>
        <w:t>Angew</w:t>
      </w:r>
      <w:proofErr w:type="spellEnd"/>
      <w:r w:rsidRPr="00774464">
        <w:rPr>
          <w:i/>
          <w:iCs/>
        </w:rPr>
        <w:t>. Chem. Int. Ed.</w:t>
      </w:r>
      <w:r w:rsidRPr="00774464">
        <w:t xml:space="preserve"> </w:t>
      </w:r>
      <w:r w:rsidRPr="00774464">
        <w:rPr>
          <w:b/>
          <w:bCs/>
        </w:rPr>
        <w:t>2003</w:t>
      </w:r>
      <w:r w:rsidRPr="00774464">
        <w:t xml:space="preserve">, </w:t>
      </w:r>
      <w:r w:rsidRPr="00774464">
        <w:rPr>
          <w:i/>
          <w:iCs/>
        </w:rPr>
        <w:t>42</w:t>
      </w:r>
      <w:r w:rsidRPr="00774464">
        <w:t xml:space="preserve"> (16), 1842–1845. https://doi.org/10.1002/anie.200250526.</w:t>
      </w:r>
    </w:p>
    <w:p w14:paraId="0BFBCEAD" w14:textId="77777777" w:rsidR="00774464" w:rsidRPr="00774464" w:rsidRDefault="00774464" w:rsidP="00EF607A">
      <w:pPr>
        <w:pStyle w:val="TFReferencesSection"/>
      </w:pPr>
      <w:r w:rsidRPr="00774464">
        <w:t xml:space="preserve">(13) </w:t>
      </w:r>
      <w:r w:rsidRPr="00774464">
        <w:tab/>
        <w:t xml:space="preserve">Franchi, P.; </w:t>
      </w:r>
      <w:proofErr w:type="spellStart"/>
      <w:r w:rsidRPr="00774464">
        <w:t>Pedulli</w:t>
      </w:r>
      <w:proofErr w:type="spellEnd"/>
      <w:r w:rsidRPr="00774464">
        <w:t xml:space="preserve">, G. F.; Lucarini, M. The Binding Behavior of Cyclodextrins toward a Nitroxide Spin Probe in the Presence of Different Alcohols as Studied by EPR. </w:t>
      </w:r>
      <w:r w:rsidRPr="00774464">
        <w:rPr>
          <w:i/>
          <w:iCs/>
        </w:rPr>
        <w:t>J. Phys. Chem. A</w:t>
      </w:r>
      <w:r w:rsidRPr="00774464">
        <w:t xml:space="preserve"> </w:t>
      </w:r>
      <w:r w:rsidRPr="00774464">
        <w:rPr>
          <w:b/>
          <w:bCs/>
        </w:rPr>
        <w:t>2008</w:t>
      </w:r>
      <w:r w:rsidRPr="00774464">
        <w:t xml:space="preserve">, </w:t>
      </w:r>
      <w:r w:rsidRPr="00774464">
        <w:rPr>
          <w:i/>
          <w:iCs/>
        </w:rPr>
        <w:t>112</w:t>
      </w:r>
      <w:r w:rsidRPr="00774464">
        <w:t xml:space="preserve"> (37), 8706–8714. https://doi.org/10.1021/jp8051642.</w:t>
      </w:r>
    </w:p>
    <w:p w14:paraId="56348921" w14:textId="77777777" w:rsidR="00774464" w:rsidRPr="00774464" w:rsidRDefault="00774464" w:rsidP="00EF607A">
      <w:pPr>
        <w:pStyle w:val="TFReferencesSection"/>
      </w:pPr>
      <w:r w:rsidRPr="00774464">
        <w:t xml:space="preserve">(14) </w:t>
      </w:r>
      <w:r w:rsidRPr="00774464">
        <w:tab/>
      </w:r>
      <w:proofErr w:type="spellStart"/>
      <w:r w:rsidRPr="00774464">
        <w:t>Mileo</w:t>
      </w:r>
      <w:proofErr w:type="spellEnd"/>
      <w:r w:rsidRPr="00774464">
        <w:t xml:space="preserve">, E.; Franchi, P.; </w:t>
      </w:r>
      <w:proofErr w:type="spellStart"/>
      <w:r w:rsidRPr="00774464">
        <w:t>Gotti</w:t>
      </w:r>
      <w:proofErr w:type="spellEnd"/>
      <w:r w:rsidRPr="00774464">
        <w:t xml:space="preserve">, R.; </w:t>
      </w:r>
      <w:proofErr w:type="spellStart"/>
      <w:r w:rsidRPr="00774464">
        <w:t>Bendazzoli</w:t>
      </w:r>
      <w:proofErr w:type="spellEnd"/>
      <w:r w:rsidRPr="00774464">
        <w:t xml:space="preserve">, C.; </w:t>
      </w:r>
      <w:proofErr w:type="spellStart"/>
      <w:r w:rsidRPr="00774464">
        <w:t>Mezzina</w:t>
      </w:r>
      <w:proofErr w:type="spellEnd"/>
      <w:r w:rsidRPr="00774464">
        <w:t xml:space="preserve">, E.; Lucarini, M. An EPR Method for Measuring the Rate of Distribution of Organic Substrates between Cyclodextrin, </w:t>
      </w:r>
      <w:r w:rsidRPr="00774464">
        <w:lastRenderedPageBreak/>
        <w:t xml:space="preserve">Micelles and Water. </w:t>
      </w:r>
      <w:r w:rsidRPr="00774464">
        <w:rPr>
          <w:i/>
          <w:iCs/>
        </w:rPr>
        <w:t xml:space="preserve">Chem. </w:t>
      </w:r>
      <w:proofErr w:type="spellStart"/>
      <w:r w:rsidRPr="00774464">
        <w:rPr>
          <w:i/>
          <w:iCs/>
        </w:rPr>
        <w:t>Commun</w:t>
      </w:r>
      <w:proofErr w:type="spellEnd"/>
      <w:r w:rsidRPr="00774464">
        <w:rPr>
          <w:i/>
          <w:iCs/>
        </w:rPr>
        <w:t>.</w:t>
      </w:r>
      <w:r w:rsidRPr="00774464">
        <w:t xml:space="preserve"> </w:t>
      </w:r>
      <w:r w:rsidRPr="00774464">
        <w:rPr>
          <w:b/>
          <w:bCs/>
        </w:rPr>
        <w:t>2008</w:t>
      </w:r>
      <w:r w:rsidRPr="00774464">
        <w:t>, No. 11, 1311–1313. https://doi.org/10.1039/b718049g.</w:t>
      </w:r>
    </w:p>
    <w:p w14:paraId="387D9F5D" w14:textId="77777777" w:rsidR="00774464" w:rsidRPr="00774464" w:rsidRDefault="00774464" w:rsidP="00EF607A">
      <w:pPr>
        <w:pStyle w:val="TFReferencesSection"/>
      </w:pPr>
      <w:r w:rsidRPr="00774464">
        <w:t xml:space="preserve">(15) </w:t>
      </w:r>
      <w:r w:rsidRPr="00774464">
        <w:tab/>
      </w:r>
      <w:proofErr w:type="spellStart"/>
      <w:r w:rsidRPr="00774464">
        <w:t>Ionita</w:t>
      </w:r>
      <w:proofErr w:type="spellEnd"/>
      <w:r w:rsidRPr="00774464">
        <w:t xml:space="preserve">, G.; Florent, M.; Goldfarb, D.; Chechik, V. Studying Supramolecular Assemblies by ESEEM Spectroscopy: Inclusion Complexes of Cyclodextrins. </w:t>
      </w:r>
      <w:r w:rsidRPr="00774464">
        <w:rPr>
          <w:i/>
          <w:iCs/>
        </w:rPr>
        <w:t>J. Phys. Chem. B</w:t>
      </w:r>
      <w:r w:rsidRPr="00774464">
        <w:t xml:space="preserve"> </w:t>
      </w:r>
      <w:r w:rsidRPr="00774464">
        <w:rPr>
          <w:b/>
          <w:bCs/>
        </w:rPr>
        <w:t>2009</w:t>
      </w:r>
      <w:r w:rsidRPr="00774464">
        <w:t xml:space="preserve">, </w:t>
      </w:r>
      <w:r w:rsidRPr="00774464">
        <w:rPr>
          <w:i/>
          <w:iCs/>
        </w:rPr>
        <w:t>113</w:t>
      </w:r>
      <w:r w:rsidRPr="00774464">
        <w:t xml:space="preserve"> (17), 5781–5787. https://doi.org/10.1021/jp8099048.</w:t>
      </w:r>
    </w:p>
    <w:p w14:paraId="46578D99" w14:textId="77777777" w:rsidR="00774464" w:rsidRPr="00774464" w:rsidRDefault="00774464" w:rsidP="00EF607A">
      <w:pPr>
        <w:pStyle w:val="TFReferencesSection"/>
      </w:pPr>
      <w:r w:rsidRPr="00774464">
        <w:t xml:space="preserve">(16) </w:t>
      </w:r>
      <w:r w:rsidRPr="00774464">
        <w:tab/>
      </w:r>
      <w:proofErr w:type="spellStart"/>
      <w:r w:rsidRPr="00774464">
        <w:t>Ionita</w:t>
      </w:r>
      <w:proofErr w:type="spellEnd"/>
      <w:r w:rsidRPr="00774464">
        <w:t xml:space="preserve">, G.; </w:t>
      </w:r>
      <w:proofErr w:type="spellStart"/>
      <w:r w:rsidRPr="00774464">
        <w:t>Caragheorgheopol</w:t>
      </w:r>
      <w:proofErr w:type="spellEnd"/>
      <w:r w:rsidRPr="00774464">
        <w:t xml:space="preserve">, A.; </w:t>
      </w:r>
      <w:proofErr w:type="spellStart"/>
      <w:r w:rsidRPr="00774464">
        <w:t>Caldararu</w:t>
      </w:r>
      <w:proofErr w:type="spellEnd"/>
      <w:r w:rsidRPr="00774464">
        <w:t xml:space="preserve">, H.; Jones, L.; Chechik, V. Inclusion Complexes of Cyclodextrins with Nitroxide-Based Spin Probes in Aqueous Solutions. </w:t>
      </w:r>
      <w:r w:rsidRPr="00774464">
        <w:rPr>
          <w:i/>
          <w:iCs/>
        </w:rPr>
        <w:t xml:space="preserve">Org. </w:t>
      </w:r>
      <w:proofErr w:type="spellStart"/>
      <w:r w:rsidRPr="00774464">
        <w:rPr>
          <w:i/>
          <w:iCs/>
        </w:rPr>
        <w:t>Biomol</w:t>
      </w:r>
      <w:proofErr w:type="spellEnd"/>
      <w:r w:rsidRPr="00774464">
        <w:rPr>
          <w:i/>
          <w:iCs/>
        </w:rPr>
        <w:t>. Chem.</w:t>
      </w:r>
      <w:r w:rsidRPr="00774464">
        <w:t xml:space="preserve"> </w:t>
      </w:r>
      <w:r w:rsidRPr="00774464">
        <w:rPr>
          <w:b/>
          <w:bCs/>
        </w:rPr>
        <w:t>2009</w:t>
      </w:r>
      <w:r w:rsidRPr="00774464">
        <w:t xml:space="preserve">, </w:t>
      </w:r>
      <w:r w:rsidRPr="00774464">
        <w:rPr>
          <w:i/>
          <w:iCs/>
        </w:rPr>
        <w:t>7</w:t>
      </w:r>
      <w:r w:rsidRPr="00774464">
        <w:t xml:space="preserve"> (3), 598–602. https://doi.org/10.1039/b817290k.</w:t>
      </w:r>
    </w:p>
    <w:p w14:paraId="27E0061E" w14:textId="77777777" w:rsidR="00774464" w:rsidRPr="00774464" w:rsidRDefault="00774464" w:rsidP="00EF607A">
      <w:pPr>
        <w:pStyle w:val="TFReferencesSection"/>
      </w:pPr>
      <w:r w:rsidRPr="00774464">
        <w:t xml:space="preserve">(17) </w:t>
      </w:r>
      <w:r w:rsidRPr="00774464">
        <w:tab/>
      </w:r>
      <w:proofErr w:type="spellStart"/>
      <w:r w:rsidRPr="00774464">
        <w:t>Mezzina</w:t>
      </w:r>
      <w:proofErr w:type="spellEnd"/>
      <w:r w:rsidRPr="00774464">
        <w:t xml:space="preserve">, E.; </w:t>
      </w:r>
      <w:proofErr w:type="spellStart"/>
      <w:r w:rsidRPr="00774464">
        <w:t>Cruciani</w:t>
      </w:r>
      <w:proofErr w:type="spellEnd"/>
      <w:r w:rsidRPr="00774464">
        <w:t xml:space="preserve">, F.; </w:t>
      </w:r>
      <w:proofErr w:type="spellStart"/>
      <w:r w:rsidRPr="00774464">
        <w:t>Pedulli</w:t>
      </w:r>
      <w:proofErr w:type="spellEnd"/>
      <w:r w:rsidRPr="00774464">
        <w:t xml:space="preserve">, G. F.; Lucarini, M. Nitroxide Radicals as Probes for Exploring the Binding Properties of the </w:t>
      </w:r>
      <w:proofErr w:type="gramStart"/>
      <w:r w:rsidRPr="00774464">
        <w:t>Cucurbit[</w:t>
      </w:r>
      <w:proofErr w:type="gramEnd"/>
      <w:r w:rsidRPr="00774464">
        <w:t>7]</w:t>
      </w:r>
      <w:proofErr w:type="spellStart"/>
      <w:r w:rsidRPr="00774464">
        <w:t>Uril</w:t>
      </w:r>
      <w:proofErr w:type="spellEnd"/>
      <w:r w:rsidRPr="00774464">
        <w:t xml:space="preserve"> Host. </w:t>
      </w:r>
      <w:r w:rsidRPr="00774464">
        <w:rPr>
          <w:i/>
          <w:iCs/>
        </w:rPr>
        <w:t>Chem. – Eur. J.</w:t>
      </w:r>
      <w:r w:rsidRPr="00774464">
        <w:t xml:space="preserve"> </w:t>
      </w:r>
      <w:r w:rsidRPr="00774464">
        <w:rPr>
          <w:b/>
          <w:bCs/>
        </w:rPr>
        <w:t>2007</w:t>
      </w:r>
      <w:r w:rsidRPr="00774464">
        <w:t xml:space="preserve">, </w:t>
      </w:r>
      <w:r w:rsidRPr="00774464">
        <w:rPr>
          <w:i/>
          <w:iCs/>
        </w:rPr>
        <w:t>13</w:t>
      </w:r>
      <w:r w:rsidRPr="00774464">
        <w:t xml:space="preserve"> (25), 7223–7233. https://doi.org/10.1002/chem.200601830.</w:t>
      </w:r>
    </w:p>
    <w:p w14:paraId="58577714" w14:textId="77777777" w:rsidR="00774464" w:rsidRPr="00774464" w:rsidRDefault="00774464" w:rsidP="00EF607A">
      <w:pPr>
        <w:pStyle w:val="TFReferencesSection"/>
      </w:pPr>
      <w:r w:rsidRPr="00774464">
        <w:t xml:space="preserve">(18) </w:t>
      </w:r>
      <w:r w:rsidRPr="00774464">
        <w:tab/>
      </w:r>
      <w:proofErr w:type="spellStart"/>
      <w:r w:rsidRPr="00774464">
        <w:t>Bardelang</w:t>
      </w:r>
      <w:proofErr w:type="spellEnd"/>
      <w:r w:rsidRPr="00774464">
        <w:t xml:space="preserve">, D.; Banaszak, K.; </w:t>
      </w:r>
      <w:proofErr w:type="spellStart"/>
      <w:r w:rsidRPr="00774464">
        <w:t>Karoui</w:t>
      </w:r>
      <w:proofErr w:type="spellEnd"/>
      <w:r w:rsidRPr="00774464">
        <w:t xml:space="preserve">, H.; </w:t>
      </w:r>
      <w:proofErr w:type="spellStart"/>
      <w:r w:rsidRPr="00774464">
        <w:t>Rockenbauer</w:t>
      </w:r>
      <w:proofErr w:type="spellEnd"/>
      <w:r w:rsidRPr="00774464">
        <w:t xml:space="preserve">, A.; Waite, M.; </w:t>
      </w:r>
      <w:proofErr w:type="spellStart"/>
      <w:r w:rsidRPr="00774464">
        <w:t>Udachin</w:t>
      </w:r>
      <w:proofErr w:type="spellEnd"/>
      <w:r w:rsidRPr="00774464">
        <w:t xml:space="preserve">, K.; </w:t>
      </w:r>
      <w:proofErr w:type="spellStart"/>
      <w:r w:rsidRPr="00774464">
        <w:t>Ripmeester</w:t>
      </w:r>
      <w:proofErr w:type="spellEnd"/>
      <w:r w:rsidRPr="00774464">
        <w:t xml:space="preserve">, J. A.; Ratcliffe, C. I.; </w:t>
      </w:r>
      <w:proofErr w:type="spellStart"/>
      <w:r w:rsidRPr="00774464">
        <w:t>Ouari</w:t>
      </w:r>
      <w:proofErr w:type="spellEnd"/>
      <w:r w:rsidRPr="00774464">
        <w:t xml:space="preserve">, O.; </w:t>
      </w:r>
      <w:proofErr w:type="spellStart"/>
      <w:r w:rsidRPr="00774464">
        <w:t>Tordo</w:t>
      </w:r>
      <w:proofErr w:type="spellEnd"/>
      <w:r w:rsidRPr="00774464">
        <w:t xml:space="preserve">, P. Probing Cucurbituril Assemblies in Water with TEMPO-like </w:t>
      </w:r>
      <w:proofErr w:type="spellStart"/>
      <w:r w:rsidRPr="00774464">
        <w:t>Nitroxides</w:t>
      </w:r>
      <w:proofErr w:type="spellEnd"/>
      <w:r w:rsidRPr="00774464">
        <w:t xml:space="preserve">: A </w:t>
      </w:r>
      <w:proofErr w:type="spellStart"/>
      <w:r w:rsidRPr="00774464">
        <w:t>Trinitroxide</w:t>
      </w:r>
      <w:proofErr w:type="spellEnd"/>
      <w:r w:rsidRPr="00774464">
        <w:t xml:space="preserve"> </w:t>
      </w:r>
      <w:proofErr w:type="spellStart"/>
      <w:r w:rsidRPr="00774464">
        <w:t>Supraradical</w:t>
      </w:r>
      <w:proofErr w:type="spellEnd"/>
      <w:r w:rsidRPr="00774464">
        <w:t xml:space="preserve"> with Spin−Spin Interactions. </w:t>
      </w:r>
      <w:r w:rsidRPr="00774464">
        <w:rPr>
          <w:i/>
          <w:iCs/>
        </w:rPr>
        <w:t>J. Am. Chem. Soc.</w:t>
      </w:r>
      <w:r w:rsidRPr="00774464">
        <w:t xml:space="preserve"> </w:t>
      </w:r>
      <w:r w:rsidRPr="00774464">
        <w:rPr>
          <w:b/>
          <w:bCs/>
        </w:rPr>
        <w:t>2009</w:t>
      </w:r>
      <w:r w:rsidRPr="00774464">
        <w:t xml:space="preserve">, </w:t>
      </w:r>
      <w:r w:rsidRPr="00774464">
        <w:rPr>
          <w:i/>
          <w:iCs/>
        </w:rPr>
        <w:t>131</w:t>
      </w:r>
      <w:r w:rsidRPr="00774464">
        <w:t xml:space="preserve"> (15), 5402–5404. https://doi.org/10/d8wvxx.</w:t>
      </w:r>
    </w:p>
    <w:p w14:paraId="2E800D5D" w14:textId="524C6215" w:rsidR="00774464" w:rsidRPr="00774464" w:rsidRDefault="00774464" w:rsidP="00EF607A">
      <w:pPr>
        <w:pStyle w:val="TFReferencesSection"/>
      </w:pPr>
      <w:r w:rsidRPr="00774464">
        <w:t xml:space="preserve">(19) </w:t>
      </w:r>
      <w:r w:rsidRPr="00774464">
        <w:tab/>
      </w:r>
      <w:proofErr w:type="spellStart"/>
      <w:r w:rsidRPr="00774464">
        <w:t>Jayaraj</w:t>
      </w:r>
      <w:proofErr w:type="spellEnd"/>
      <w:r w:rsidRPr="00774464">
        <w:t xml:space="preserve">, N.; </w:t>
      </w:r>
      <w:proofErr w:type="spellStart"/>
      <w:r w:rsidRPr="00774464">
        <w:t>Porel</w:t>
      </w:r>
      <w:proofErr w:type="spellEnd"/>
      <w:r w:rsidRPr="00774464">
        <w:t xml:space="preserve">, M.; Ottaviani, M. F.; </w:t>
      </w:r>
      <w:proofErr w:type="spellStart"/>
      <w:r w:rsidRPr="00774464">
        <w:t>Maddipatla</w:t>
      </w:r>
      <w:proofErr w:type="spellEnd"/>
      <w:r w:rsidRPr="00774464">
        <w:t xml:space="preserve">, M. V. S. N.; </w:t>
      </w:r>
      <w:proofErr w:type="spellStart"/>
      <w:r w:rsidRPr="00774464">
        <w:t>Modelli</w:t>
      </w:r>
      <w:proofErr w:type="spellEnd"/>
      <w:r w:rsidRPr="00774464">
        <w:t xml:space="preserve">, A.; Da Silva, J. P.; </w:t>
      </w:r>
      <w:proofErr w:type="spellStart"/>
      <w:r w:rsidRPr="00774464">
        <w:t>Bhogala</w:t>
      </w:r>
      <w:proofErr w:type="spellEnd"/>
      <w:r w:rsidRPr="00774464">
        <w:t xml:space="preserve">, B. R.; Captain, B.; </w:t>
      </w:r>
      <w:proofErr w:type="spellStart"/>
      <w:r w:rsidRPr="00774464">
        <w:t>Jockusch</w:t>
      </w:r>
      <w:proofErr w:type="spellEnd"/>
      <w:r w:rsidRPr="00774464">
        <w:t>, S.; Turro, N. J.;</w:t>
      </w:r>
      <w:r w:rsidR="0047338E">
        <w:t xml:space="preserve"> </w:t>
      </w:r>
      <w:r w:rsidR="0047338E" w:rsidRPr="00CC498E">
        <w:t>et al</w:t>
      </w:r>
      <w:r w:rsidRPr="00774464">
        <w:t xml:space="preserve">. </w:t>
      </w:r>
      <w:proofErr w:type="spellStart"/>
      <w:r w:rsidRPr="00774464">
        <w:t>Self Aggregation</w:t>
      </w:r>
      <w:proofErr w:type="spellEnd"/>
      <w:r w:rsidRPr="00774464">
        <w:t xml:space="preserve"> of </w:t>
      </w:r>
      <w:proofErr w:type="spellStart"/>
      <w:r w:rsidRPr="00774464">
        <w:t>Supramolecules</w:t>
      </w:r>
      <w:proofErr w:type="spellEnd"/>
      <w:r w:rsidRPr="00774464">
        <w:t xml:space="preserve"> of </w:t>
      </w:r>
      <w:proofErr w:type="spellStart"/>
      <w:r w:rsidRPr="00774464">
        <w:t>Nitroxides@Cucurbit</w:t>
      </w:r>
      <w:proofErr w:type="spellEnd"/>
      <w:r w:rsidRPr="00774464">
        <w:t>[8]</w:t>
      </w:r>
      <w:proofErr w:type="spellStart"/>
      <w:r w:rsidRPr="00774464">
        <w:t>Uril</w:t>
      </w:r>
      <w:proofErr w:type="spellEnd"/>
      <w:r w:rsidRPr="00774464">
        <w:t xml:space="preserve"> Revealed by EPR Spectra. </w:t>
      </w:r>
      <w:r w:rsidRPr="00774464">
        <w:rPr>
          <w:i/>
          <w:iCs/>
        </w:rPr>
        <w:t>Langmuir</w:t>
      </w:r>
      <w:r w:rsidRPr="00774464">
        <w:t xml:space="preserve"> </w:t>
      </w:r>
      <w:r w:rsidRPr="00774464">
        <w:rPr>
          <w:b/>
          <w:bCs/>
        </w:rPr>
        <w:t>2009</w:t>
      </w:r>
      <w:r w:rsidRPr="00774464">
        <w:t xml:space="preserve">, </w:t>
      </w:r>
      <w:r w:rsidRPr="00774464">
        <w:rPr>
          <w:i/>
          <w:iCs/>
        </w:rPr>
        <w:t>25</w:t>
      </w:r>
      <w:r w:rsidRPr="00774464">
        <w:t xml:space="preserve"> (24), 13820–13832. https://doi.org/10/fsvw7x.</w:t>
      </w:r>
    </w:p>
    <w:p w14:paraId="018D6D20" w14:textId="77777777" w:rsidR="00774464" w:rsidRPr="00774464" w:rsidRDefault="00774464" w:rsidP="00EF607A">
      <w:pPr>
        <w:pStyle w:val="TFReferencesSection"/>
      </w:pPr>
      <w:r w:rsidRPr="00774464">
        <w:t xml:space="preserve">(20) </w:t>
      </w:r>
      <w:r w:rsidRPr="00774464">
        <w:tab/>
        <w:t xml:space="preserve">Lucarini, M.; </w:t>
      </w:r>
      <w:proofErr w:type="spellStart"/>
      <w:r w:rsidRPr="00774464">
        <w:t>Mezzina</w:t>
      </w:r>
      <w:proofErr w:type="spellEnd"/>
      <w:r w:rsidRPr="00774464">
        <w:t xml:space="preserve">, E. EPR Investigations of Organic Non-Covalent Assemblies with Spin Labels and Spin Probes. In </w:t>
      </w:r>
      <w:r w:rsidRPr="00774464">
        <w:rPr>
          <w:i/>
          <w:iCs/>
        </w:rPr>
        <w:t>Electron Paramagnetic Resonance</w:t>
      </w:r>
      <w:r w:rsidRPr="00774464">
        <w:t xml:space="preserve">; Gilbert, B. C., Murphy, D. </w:t>
      </w:r>
      <w:r w:rsidRPr="00774464">
        <w:lastRenderedPageBreak/>
        <w:t>M., Chechik, V., Eds.; Royal Society of Chemistry: Cambridge, 2010; Vol. 22, pp 41–70. https://doi.org/10.1039/9781849730877-00041.</w:t>
      </w:r>
    </w:p>
    <w:p w14:paraId="29A00AEA" w14:textId="77777777" w:rsidR="00774464" w:rsidRPr="00774464" w:rsidRDefault="00774464" w:rsidP="00EF607A">
      <w:pPr>
        <w:pStyle w:val="TFReferencesSection"/>
      </w:pPr>
      <w:r w:rsidRPr="00774464">
        <w:t xml:space="preserve">(21) </w:t>
      </w:r>
      <w:r w:rsidRPr="00774464">
        <w:tab/>
      </w:r>
      <w:proofErr w:type="spellStart"/>
      <w:r w:rsidRPr="00774464">
        <w:t>Kirilyuk</w:t>
      </w:r>
      <w:proofErr w:type="spellEnd"/>
      <w:r w:rsidRPr="00774464">
        <w:t xml:space="preserve">, I.; </w:t>
      </w:r>
      <w:proofErr w:type="spellStart"/>
      <w:r w:rsidRPr="00774464">
        <w:t>Polovyanenko</w:t>
      </w:r>
      <w:proofErr w:type="spellEnd"/>
      <w:r w:rsidRPr="00774464">
        <w:t xml:space="preserve">, D.; Semenov, S.; </w:t>
      </w:r>
      <w:proofErr w:type="spellStart"/>
      <w:r w:rsidRPr="00774464">
        <w:t>Grigor’ev</w:t>
      </w:r>
      <w:proofErr w:type="spellEnd"/>
      <w:r w:rsidRPr="00774464">
        <w:t xml:space="preserve">, I.; </w:t>
      </w:r>
      <w:proofErr w:type="spellStart"/>
      <w:r w:rsidRPr="00774464">
        <w:t>Gerasko</w:t>
      </w:r>
      <w:proofErr w:type="spellEnd"/>
      <w:r w:rsidRPr="00774464">
        <w:t xml:space="preserve">, O.; </w:t>
      </w:r>
      <w:proofErr w:type="spellStart"/>
      <w:r w:rsidRPr="00774464">
        <w:t>Fedin</w:t>
      </w:r>
      <w:proofErr w:type="spellEnd"/>
      <w:r w:rsidRPr="00774464">
        <w:t xml:space="preserve">, V.; </w:t>
      </w:r>
      <w:proofErr w:type="spellStart"/>
      <w:r w:rsidRPr="00774464">
        <w:t>Bagryanskaya</w:t>
      </w:r>
      <w:proofErr w:type="spellEnd"/>
      <w:r w:rsidRPr="00774464">
        <w:t xml:space="preserve">, E. Inclusion Complexes of Nitroxides of Pyrrolidine and Imidazoline Series with </w:t>
      </w:r>
      <w:proofErr w:type="gramStart"/>
      <w:r w:rsidRPr="00774464">
        <w:t>Cucurbit[</w:t>
      </w:r>
      <w:proofErr w:type="gramEnd"/>
      <w:r w:rsidRPr="00774464">
        <w:t>7]</w:t>
      </w:r>
      <w:proofErr w:type="spellStart"/>
      <w:r w:rsidRPr="00774464">
        <w:t>Uril</w:t>
      </w:r>
      <w:proofErr w:type="spellEnd"/>
      <w:r w:rsidRPr="00774464">
        <w:t xml:space="preserve">. </w:t>
      </w:r>
      <w:r w:rsidRPr="00774464">
        <w:rPr>
          <w:i/>
          <w:iCs/>
        </w:rPr>
        <w:t>J. Phys. Chem. B</w:t>
      </w:r>
      <w:r w:rsidRPr="00774464">
        <w:t xml:space="preserve"> </w:t>
      </w:r>
      <w:r w:rsidRPr="00774464">
        <w:rPr>
          <w:b/>
          <w:bCs/>
        </w:rPr>
        <w:t>2010</w:t>
      </w:r>
      <w:r w:rsidRPr="00774464">
        <w:t xml:space="preserve">, </w:t>
      </w:r>
      <w:r w:rsidRPr="00774464">
        <w:rPr>
          <w:i/>
          <w:iCs/>
        </w:rPr>
        <w:t>114</w:t>
      </w:r>
      <w:r w:rsidRPr="00774464">
        <w:t xml:space="preserve"> (4), 1719–1728. https://doi.org/10/frd8np.</w:t>
      </w:r>
    </w:p>
    <w:p w14:paraId="7BCF85E0" w14:textId="77777777" w:rsidR="00774464" w:rsidRPr="00774464" w:rsidRDefault="00774464" w:rsidP="00EF607A">
      <w:pPr>
        <w:pStyle w:val="TFReferencesSection"/>
      </w:pPr>
      <w:r w:rsidRPr="00774464">
        <w:t xml:space="preserve">(22) </w:t>
      </w:r>
      <w:r w:rsidRPr="00774464">
        <w:tab/>
      </w:r>
      <w:proofErr w:type="spellStart"/>
      <w:r w:rsidRPr="00774464">
        <w:t>Spulber</w:t>
      </w:r>
      <w:proofErr w:type="spellEnd"/>
      <w:r w:rsidRPr="00774464">
        <w:t xml:space="preserve">, M.; </w:t>
      </w:r>
      <w:proofErr w:type="spellStart"/>
      <w:r w:rsidRPr="00774464">
        <w:t>Schlick</w:t>
      </w:r>
      <w:proofErr w:type="spellEnd"/>
      <w:r w:rsidRPr="00774464">
        <w:t xml:space="preserve">, S.; </w:t>
      </w:r>
      <w:proofErr w:type="spellStart"/>
      <w:r w:rsidRPr="00774464">
        <w:t>Villamena</w:t>
      </w:r>
      <w:proofErr w:type="spellEnd"/>
      <w:r w:rsidRPr="00774464">
        <w:t xml:space="preserve">, F. A. Guest Inclusion in Cucurbiturils Studied by ESR and DFT: The Case of Nitroxide Radicals and Spin Adducts of DMPO and MNP. </w:t>
      </w:r>
      <w:r w:rsidRPr="00774464">
        <w:rPr>
          <w:i/>
          <w:iCs/>
        </w:rPr>
        <w:t>J. Phys. Chem. A</w:t>
      </w:r>
      <w:r w:rsidRPr="00774464">
        <w:t xml:space="preserve"> </w:t>
      </w:r>
      <w:r w:rsidRPr="00774464">
        <w:rPr>
          <w:b/>
          <w:bCs/>
        </w:rPr>
        <w:t>2012</w:t>
      </w:r>
      <w:r w:rsidRPr="00774464">
        <w:t xml:space="preserve">, </w:t>
      </w:r>
      <w:r w:rsidRPr="00774464">
        <w:rPr>
          <w:i/>
          <w:iCs/>
        </w:rPr>
        <w:t>116</w:t>
      </w:r>
      <w:r w:rsidRPr="00774464">
        <w:t xml:space="preserve"> (33), 8475–8483. https://doi.org/10/f36dww.</w:t>
      </w:r>
    </w:p>
    <w:p w14:paraId="634FEA08" w14:textId="77777777" w:rsidR="00774464" w:rsidRPr="00774464" w:rsidRDefault="00774464" w:rsidP="00EF607A">
      <w:pPr>
        <w:pStyle w:val="TFReferencesSection"/>
      </w:pPr>
      <w:r w:rsidRPr="00774464">
        <w:t xml:space="preserve">(23) </w:t>
      </w:r>
      <w:r w:rsidRPr="00774464">
        <w:tab/>
      </w:r>
      <w:proofErr w:type="spellStart"/>
      <w:r w:rsidRPr="00774464">
        <w:t>Mileo</w:t>
      </w:r>
      <w:proofErr w:type="spellEnd"/>
      <w:r w:rsidRPr="00774464">
        <w:t xml:space="preserve">, E.; Yi, S.; Bhattacharya, P.; </w:t>
      </w:r>
      <w:proofErr w:type="spellStart"/>
      <w:r w:rsidRPr="00774464">
        <w:t>Kaifer</w:t>
      </w:r>
      <w:proofErr w:type="spellEnd"/>
      <w:r w:rsidRPr="00774464">
        <w:t xml:space="preserve">, A. E. Probing the Inner Space of </w:t>
      </w:r>
      <w:proofErr w:type="spellStart"/>
      <w:r w:rsidRPr="00774464">
        <w:t>Resorcinarene</w:t>
      </w:r>
      <w:proofErr w:type="spellEnd"/>
      <w:r w:rsidRPr="00774464">
        <w:t xml:space="preserve"> Molecular Capsules with Nitroxide Guests. </w:t>
      </w:r>
      <w:proofErr w:type="spellStart"/>
      <w:r w:rsidRPr="00774464">
        <w:rPr>
          <w:i/>
          <w:iCs/>
        </w:rPr>
        <w:t>Angew</w:t>
      </w:r>
      <w:proofErr w:type="spellEnd"/>
      <w:r w:rsidRPr="00774464">
        <w:rPr>
          <w:i/>
          <w:iCs/>
        </w:rPr>
        <w:t>. Chem. Int. Ed.</w:t>
      </w:r>
      <w:r w:rsidRPr="00774464">
        <w:t xml:space="preserve"> </w:t>
      </w:r>
      <w:r w:rsidRPr="00774464">
        <w:rPr>
          <w:b/>
          <w:bCs/>
        </w:rPr>
        <w:t>2009</w:t>
      </w:r>
      <w:r w:rsidRPr="00774464">
        <w:t xml:space="preserve">, </w:t>
      </w:r>
      <w:r w:rsidRPr="00774464">
        <w:rPr>
          <w:i/>
          <w:iCs/>
        </w:rPr>
        <w:t>48</w:t>
      </w:r>
      <w:r w:rsidRPr="00774464">
        <w:t xml:space="preserve"> (29), 5337–5340. https://doi.org/10.1002/anie.200901272.</w:t>
      </w:r>
    </w:p>
    <w:p w14:paraId="0BD21CAF" w14:textId="77777777" w:rsidR="00774464" w:rsidRPr="00774464" w:rsidRDefault="00774464" w:rsidP="00EF607A">
      <w:pPr>
        <w:pStyle w:val="TFReferencesSection"/>
      </w:pPr>
      <w:r w:rsidRPr="00774464">
        <w:t xml:space="preserve">(24) </w:t>
      </w:r>
      <w:r w:rsidRPr="00774464">
        <w:tab/>
      </w:r>
      <w:proofErr w:type="spellStart"/>
      <w:r w:rsidRPr="00774464">
        <w:t>Ayhan</w:t>
      </w:r>
      <w:proofErr w:type="spellEnd"/>
      <w:r w:rsidRPr="00774464">
        <w:t xml:space="preserve">, M. M.; </w:t>
      </w:r>
      <w:proofErr w:type="spellStart"/>
      <w:r w:rsidRPr="00774464">
        <w:t>Casano</w:t>
      </w:r>
      <w:proofErr w:type="spellEnd"/>
      <w:r w:rsidRPr="00774464">
        <w:t xml:space="preserve">, G.; </w:t>
      </w:r>
      <w:proofErr w:type="spellStart"/>
      <w:r w:rsidRPr="00774464">
        <w:t>Karoui</w:t>
      </w:r>
      <w:proofErr w:type="spellEnd"/>
      <w:r w:rsidRPr="00774464">
        <w:t xml:space="preserve">, H.; </w:t>
      </w:r>
      <w:proofErr w:type="spellStart"/>
      <w:r w:rsidRPr="00774464">
        <w:t>Rockenbauer</w:t>
      </w:r>
      <w:proofErr w:type="spellEnd"/>
      <w:r w:rsidRPr="00774464">
        <w:t xml:space="preserve">, A.; Monnier, V.; Hardy, M.; </w:t>
      </w:r>
      <w:proofErr w:type="spellStart"/>
      <w:r w:rsidRPr="00774464">
        <w:t>Tordo</w:t>
      </w:r>
      <w:proofErr w:type="spellEnd"/>
      <w:r w:rsidRPr="00774464">
        <w:t xml:space="preserve">, P.; </w:t>
      </w:r>
      <w:proofErr w:type="spellStart"/>
      <w:r w:rsidRPr="00774464">
        <w:t>Bardelang</w:t>
      </w:r>
      <w:proofErr w:type="spellEnd"/>
      <w:r w:rsidRPr="00774464">
        <w:t xml:space="preserve">, D.; </w:t>
      </w:r>
      <w:proofErr w:type="spellStart"/>
      <w:r w:rsidRPr="00774464">
        <w:t>Ouari</w:t>
      </w:r>
      <w:proofErr w:type="spellEnd"/>
      <w:r w:rsidRPr="00774464">
        <w:t xml:space="preserve">, O. EPR Studies of the Binding Properties, Guest Dynamics, and Inner-Space Dimensions of a Water-Soluble </w:t>
      </w:r>
      <w:proofErr w:type="spellStart"/>
      <w:r w:rsidRPr="00774464">
        <w:t>Resorcinarene</w:t>
      </w:r>
      <w:proofErr w:type="spellEnd"/>
      <w:r w:rsidRPr="00774464">
        <w:t xml:space="preserve"> Capsule. </w:t>
      </w:r>
      <w:r w:rsidRPr="00774464">
        <w:rPr>
          <w:i/>
          <w:iCs/>
        </w:rPr>
        <w:t>Chem. – Eur. J.</w:t>
      </w:r>
      <w:r w:rsidRPr="00774464">
        <w:t xml:space="preserve"> </w:t>
      </w:r>
      <w:r w:rsidRPr="00774464">
        <w:rPr>
          <w:b/>
          <w:bCs/>
        </w:rPr>
        <w:t>2015</w:t>
      </w:r>
      <w:r w:rsidRPr="00774464">
        <w:t xml:space="preserve">, </w:t>
      </w:r>
      <w:r w:rsidRPr="00774464">
        <w:rPr>
          <w:i/>
          <w:iCs/>
        </w:rPr>
        <w:t>21</w:t>
      </w:r>
      <w:r w:rsidRPr="00774464">
        <w:t xml:space="preserve"> (46), 16404–16410. https://doi.org/10.1002/chem.201502212.</w:t>
      </w:r>
    </w:p>
    <w:p w14:paraId="16A32F02" w14:textId="77777777" w:rsidR="00774464" w:rsidRPr="00774464" w:rsidRDefault="00774464" w:rsidP="00EF607A">
      <w:pPr>
        <w:pStyle w:val="TFReferencesSection"/>
      </w:pPr>
      <w:r w:rsidRPr="00774464">
        <w:t xml:space="preserve">(25) </w:t>
      </w:r>
      <w:r w:rsidRPr="00774464">
        <w:tab/>
        <w:t xml:space="preserve">Smirnova, T. I.; Smirnov, A. I. High-Field ESR Spectroscopy in Membrane and Protein Biophysics. In </w:t>
      </w:r>
      <w:r w:rsidRPr="00774464">
        <w:rPr>
          <w:i/>
          <w:iCs/>
        </w:rPr>
        <w:t>ESR Spectroscopy in Membrane Biophysics</w:t>
      </w:r>
      <w:r w:rsidRPr="00774464">
        <w:t xml:space="preserve">; </w:t>
      </w:r>
      <w:proofErr w:type="spellStart"/>
      <w:r w:rsidRPr="00774464">
        <w:t>Hemminga</w:t>
      </w:r>
      <w:proofErr w:type="spellEnd"/>
      <w:r w:rsidRPr="00774464">
        <w:t>, M. A., Berliner, L. J., Eds.; Biological Magnetic Resonance; Springer US: Boston, MA, 2007; Vol. 27, pp 165–251. https://doi.org/10.1007/978-0-387-49367-1_6.</w:t>
      </w:r>
    </w:p>
    <w:p w14:paraId="0D4F1381" w14:textId="77777777" w:rsidR="00774464" w:rsidRPr="00774464" w:rsidRDefault="00774464" w:rsidP="00EF607A">
      <w:pPr>
        <w:pStyle w:val="TFReferencesSection"/>
      </w:pPr>
      <w:r w:rsidRPr="00774464">
        <w:t xml:space="preserve">(26) </w:t>
      </w:r>
      <w:r w:rsidRPr="00774464">
        <w:tab/>
        <w:t xml:space="preserve">Stoll, S.; Schweiger, A. EasySpin, a Comprehensive Software Package for Spectral Simulation and Analysis in EPR. </w:t>
      </w:r>
      <w:r w:rsidRPr="00774464">
        <w:rPr>
          <w:i/>
          <w:iCs/>
        </w:rPr>
        <w:t xml:space="preserve">J. </w:t>
      </w:r>
      <w:proofErr w:type="spellStart"/>
      <w:r w:rsidRPr="00774464">
        <w:rPr>
          <w:i/>
          <w:iCs/>
        </w:rPr>
        <w:t>Magn</w:t>
      </w:r>
      <w:proofErr w:type="spellEnd"/>
      <w:r w:rsidRPr="00774464">
        <w:rPr>
          <w:i/>
          <w:iCs/>
        </w:rPr>
        <w:t xml:space="preserve">. </w:t>
      </w:r>
      <w:proofErr w:type="spellStart"/>
      <w:r w:rsidRPr="00774464">
        <w:rPr>
          <w:i/>
          <w:iCs/>
        </w:rPr>
        <w:t>Reson</w:t>
      </w:r>
      <w:proofErr w:type="spellEnd"/>
      <w:r w:rsidRPr="00774464">
        <w:rPr>
          <w:i/>
          <w:iCs/>
        </w:rPr>
        <w:t>.</w:t>
      </w:r>
      <w:r w:rsidRPr="00774464">
        <w:t xml:space="preserve"> </w:t>
      </w:r>
      <w:r w:rsidRPr="00774464">
        <w:rPr>
          <w:b/>
          <w:bCs/>
        </w:rPr>
        <w:t>2006</w:t>
      </w:r>
      <w:r w:rsidRPr="00774464">
        <w:t xml:space="preserve">, </w:t>
      </w:r>
      <w:r w:rsidRPr="00774464">
        <w:rPr>
          <w:i/>
          <w:iCs/>
        </w:rPr>
        <w:t>178</w:t>
      </w:r>
      <w:r w:rsidRPr="00774464">
        <w:t xml:space="preserve"> (1), 42–55. https://doi.org/10/d5rcsj.</w:t>
      </w:r>
    </w:p>
    <w:p w14:paraId="2DAC030C" w14:textId="77777777" w:rsidR="00774464" w:rsidRPr="00774464" w:rsidRDefault="00774464" w:rsidP="00EF607A">
      <w:pPr>
        <w:pStyle w:val="TFReferencesSection"/>
      </w:pPr>
      <w:r w:rsidRPr="00774464">
        <w:lastRenderedPageBreak/>
        <w:t xml:space="preserve">(27) </w:t>
      </w:r>
      <w:r w:rsidRPr="00774464">
        <w:tab/>
        <w:t xml:space="preserve">Tidmarsh, I. S.; Faust, T. B.; Adams, H.; Harding, L. P.; Russo, L.; Clegg, W.; Ward, M. D. </w:t>
      </w:r>
      <w:proofErr w:type="spellStart"/>
      <w:r w:rsidRPr="00774464">
        <w:t>Octanuclear</w:t>
      </w:r>
      <w:proofErr w:type="spellEnd"/>
      <w:r w:rsidRPr="00774464">
        <w:t xml:space="preserve"> Cubic Coordination Cages. </w:t>
      </w:r>
      <w:r w:rsidRPr="00774464">
        <w:rPr>
          <w:i/>
          <w:iCs/>
        </w:rPr>
        <w:t>J. Am. Chem. Soc.</w:t>
      </w:r>
      <w:r w:rsidRPr="00774464">
        <w:t xml:space="preserve"> </w:t>
      </w:r>
      <w:r w:rsidRPr="00774464">
        <w:rPr>
          <w:b/>
          <w:bCs/>
        </w:rPr>
        <w:t>2008</w:t>
      </w:r>
      <w:r w:rsidRPr="00774464">
        <w:t xml:space="preserve">, </w:t>
      </w:r>
      <w:r w:rsidRPr="00774464">
        <w:rPr>
          <w:i/>
          <w:iCs/>
        </w:rPr>
        <w:t>130</w:t>
      </w:r>
      <w:r w:rsidRPr="00774464">
        <w:t xml:space="preserve"> (45), 15167–15175. https://doi.org/10.1021/ja805605y.</w:t>
      </w:r>
    </w:p>
    <w:p w14:paraId="3AFDAC44" w14:textId="77777777" w:rsidR="00774464" w:rsidRPr="009E0D01" w:rsidRDefault="00774464" w:rsidP="00EF607A">
      <w:pPr>
        <w:pStyle w:val="TFReferencesSection"/>
        <w:rPr>
          <w:lang w:val="de-DE"/>
        </w:rPr>
      </w:pPr>
      <w:r w:rsidRPr="00774464">
        <w:t xml:space="preserve">(28) </w:t>
      </w:r>
      <w:r w:rsidRPr="00774464">
        <w:tab/>
      </w:r>
      <w:proofErr w:type="spellStart"/>
      <w:r w:rsidRPr="00774464">
        <w:t>Percástegui</w:t>
      </w:r>
      <w:proofErr w:type="spellEnd"/>
      <w:r w:rsidRPr="00774464">
        <w:t xml:space="preserve">, E. G.; Mosquera, J.; </w:t>
      </w:r>
      <w:proofErr w:type="spellStart"/>
      <w:r w:rsidRPr="00774464">
        <w:t>Ronson</w:t>
      </w:r>
      <w:proofErr w:type="spellEnd"/>
      <w:r w:rsidRPr="00774464">
        <w:t xml:space="preserve">, T. K.; </w:t>
      </w:r>
      <w:proofErr w:type="spellStart"/>
      <w:r w:rsidRPr="00774464">
        <w:t>Plajer</w:t>
      </w:r>
      <w:proofErr w:type="spellEnd"/>
      <w:r w:rsidRPr="00774464">
        <w:t xml:space="preserve">, A. J.; Kieffer, M.; Nitschke, J. R. Waterproof Architectures through Subcomponent Self-Assembly. </w:t>
      </w:r>
      <w:r w:rsidRPr="009E0D01">
        <w:rPr>
          <w:i/>
          <w:iCs/>
          <w:lang w:val="de-DE"/>
        </w:rPr>
        <w:t>Chem. Sci.</w:t>
      </w:r>
      <w:r w:rsidRPr="009E0D01">
        <w:rPr>
          <w:lang w:val="de-DE"/>
        </w:rPr>
        <w:t xml:space="preserve"> </w:t>
      </w:r>
      <w:r w:rsidRPr="009E0D01">
        <w:rPr>
          <w:b/>
          <w:bCs/>
          <w:lang w:val="de-DE"/>
        </w:rPr>
        <w:t>2019</w:t>
      </w:r>
      <w:r w:rsidRPr="009E0D01">
        <w:rPr>
          <w:lang w:val="de-DE"/>
        </w:rPr>
        <w:t xml:space="preserve">, </w:t>
      </w:r>
      <w:r w:rsidRPr="009E0D01">
        <w:rPr>
          <w:i/>
          <w:iCs/>
          <w:lang w:val="de-DE"/>
        </w:rPr>
        <w:t>10</w:t>
      </w:r>
      <w:r w:rsidRPr="009E0D01">
        <w:rPr>
          <w:lang w:val="de-DE"/>
        </w:rPr>
        <w:t xml:space="preserve"> (7), 2006–2018. https://doi.org/10.1039/C8SC05085F.</w:t>
      </w:r>
    </w:p>
    <w:p w14:paraId="30C67C6E" w14:textId="77777777" w:rsidR="00774464" w:rsidRPr="00774464" w:rsidRDefault="00774464" w:rsidP="00EF607A">
      <w:pPr>
        <w:pStyle w:val="TFReferencesSection"/>
      </w:pPr>
      <w:r w:rsidRPr="009E0D01">
        <w:rPr>
          <w:lang w:val="de-DE"/>
        </w:rPr>
        <w:t xml:space="preserve">(29) </w:t>
      </w:r>
      <w:r w:rsidRPr="009E0D01">
        <w:rPr>
          <w:lang w:val="de-DE"/>
        </w:rPr>
        <w:tab/>
        <w:t xml:space="preserve">Mecozzi, S.; Rebek, J., Jr. </w:t>
      </w:r>
      <w:r w:rsidRPr="00774464">
        <w:t xml:space="preserve">The 55 % Solution: A Formula for Molecular Recognition in the Liquid State. </w:t>
      </w:r>
      <w:r w:rsidRPr="00774464">
        <w:rPr>
          <w:i/>
          <w:iCs/>
        </w:rPr>
        <w:t>Chem. – Eur. J.</w:t>
      </w:r>
      <w:r w:rsidRPr="00774464">
        <w:t xml:space="preserve"> </w:t>
      </w:r>
      <w:r w:rsidRPr="00774464">
        <w:rPr>
          <w:b/>
          <w:bCs/>
        </w:rPr>
        <w:t>1998</w:t>
      </w:r>
      <w:r w:rsidRPr="00774464">
        <w:t xml:space="preserve">, </w:t>
      </w:r>
      <w:r w:rsidRPr="00774464">
        <w:rPr>
          <w:i/>
          <w:iCs/>
        </w:rPr>
        <w:t>4</w:t>
      </w:r>
      <w:r w:rsidRPr="00774464">
        <w:t xml:space="preserve"> (6), 1016–1022. https://doi.org/10/cnwjtj.</w:t>
      </w:r>
    </w:p>
    <w:p w14:paraId="49A045A0" w14:textId="77777777" w:rsidR="00774464" w:rsidRPr="00774464" w:rsidRDefault="00774464" w:rsidP="00EF607A">
      <w:pPr>
        <w:pStyle w:val="TFReferencesSection"/>
      </w:pPr>
      <w:r w:rsidRPr="00774464">
        <w:t xml:space="preserve">(30) </w:t>
      </w:r>
      <w:r w:rsidRPr="00774464">
        <w:tab/>
      </w:r>
      <w:proofErr w:type="spellStart"/>
      <w:r w:rsidRPr="00774464">
        <w:t>Ams</w:t>
      </w:r>
      <w:proofErr w:type="spellEnd"/>
      <w:r w:rsidRPr="00774464">
        <w:t xml:space="preserve">, M. R.; </w:t>
      </w:r>
      <w:proofErr w:type="spellStart"/>
      <w:r w:rsidRPr="00774464">
        <w:t>Ajami</w:t>
      </w:r>
      <w:proofErr w:type="spellEnd"/>
      <w:r w:rsidRPr="00774464">
        <w:t xml:space="preserve">, D.; Craig, S. L.; Yang, J.-S.; </w:t>
      </w:r>
      <w:proofErr w:type="spellStart"/>
      <w:r w:rsidRPr="00774464">
        <w:t>Rebek</w:t>
      </w:r>
      <w:proofErr w:type="spellEnd"/>
      <w:r w:rsidRPr="00774464">
        <w:t xml:space="preserve">, J., Jr. “Too Small, Too Big, and Just Right”--Optical Sensing of Molecular Conformations in Self-Assembled Capsules. </w:t>
      </w:r>
      <w:r w:rsidRPr="00774464">
        <w:rPr>
          <w:i/>
          <w:iCs/>
        </w:rPr>
        <w:t>J. Am. Chem. Soc.</w:t>
      </w:r>
      <w:r w:rsidRPr="00774464">
        <w:t xml:space="preserve"> </w:t>
      </w:r>
      <w:r w:rsidRPr="00774464">
        <w:rPr>
          <w:b/>
          <w:bCs/>
        </w:rPr>
        <w:t>2009</w:t>
      </w:r>
      <w:r w:rsidRPr="00774464">
        <w:t xml:space="preserve">, </w:t>
      </w:r>
      <w:r w:rsidRPr="00774464">
        <w:rPr>
          <w:i/>
          <w:iCs/>
        </w:rPr>
        <w:t>131</w:t>
      </w:r>
      <w:r w:rsidRPr="00774464">
        <w:t xml:space="preserve"> (37), 13190–13191. https://doi.org/10.1021/ja903198v.</w:t>
      </w:r>
    </w:p>
    <w:p w14:paraId="249BF7C6" w14:textId="77777777" w:rsidR="00774464" w:rsidRPr="00774464" w:rsidRDefault="00774464" w:rsidP="00EF607A">
      <w:pPr>
        <w:pStyle w:val="TFReferencesSection"/>
      </w:pPr>
      <w:r w:rsidRPr="00774464">
        <w:t xml:space="preserve">(31) </w:t>
      </w:r>
      <w:r w:rsidRPr="00774464">
        <w:tab/>
        <w:t xml:space="preserve">Fleming, R. H.; </w:t>
      </w:r>
      <w:proofErr w:type="spellStart"/>
      <w:r w:rsidRPr="00774464">
        <w:t>Quina</w:t>
      </w:r>
      <w:proofErr w:type="spellEnd"/>
      <w:r w:rsidRPr="00774464">
        <w:t xml:space="preserve">, F. H.; Hammond, G. S. Mechanisms of Photochemical Reactions in Solution. LXXXI. Photocyclization of 1,8-Divinylnaphthalene. New Method for Determining the Multiplicity of Excited State Intermediates. </w:t>
      </w:r>
      <w:r w:rsidRPr="00774464">
        <w:rPr>
          <w:i/>
          <w:iCs/>
        </w:rPr>
        <w:t>J. Am. Chem. Soc.</w:t>
      </w:r>
      <w:r w:rsidRPr="00774464">
        <w:t xml:space="preserve"> </w:t>
      </w:r>
      <w:r w:rsidRPr="00774464">
        <w:rPr>
          <w:b/>
          <w:bCs/>
        </w:rPr>
        <w:t>1974</w:t>
      </w:r>
      <w:r w:rsidRPr="00774464">
        <w:t xml:space="preserve">, </w:t>
      </w:r>
      <w:r w:rsidRPr="00774464">
        <w:rPr>
          <w:i/>
          <w:iCs/>
        </w:rPr>
        <w:t>96</w:t>
      </w:r>
      <w:r w:rsidRPr="00774464">
        <w:t xml:space="preserve"> (25), 7738–7741. https://doi.org/10.1021/ja00832a020.</w:t>
      </w:r>
    </w:p>
    <w:p w14:paraId="0E7D28F2" w14:textId="77777777" w:rsidR="00774464" w:rsidRPr="00774464" w:rsidRDefault="00774464" w:rsidP="00EF607A">
      <w:pPr>
        <w:pStyle w:val="TFReferencesSection"/>
      </w:pPr>
      <w:r w:rsidRPr="00774464">
        <w:t xml:space="preserve">(32) </w:t>
      </w:r>
      <w:r w:rsidRPr="00774464">
        <w:tab/>
        <w:t xml:space="preserve">Higashi, T.; </w:t>
      </w:r>
      <w:proofErr w:type="spellStart"/>
      <w:r w:rsidRPr="00774464">
        <w:t>Uemura</w:t>
      </w:r>
      <w:proofErr w:type="spellEnd"/>
      <w:r w:rsidRPr="00774464">
        <w:t xml:space="preserve">, K.; </w:t>
      </w:r>
      <w:proofErr w:type="spellStart"/>
      <w:r w:rsidRPr="00774464">
        <w:t>Inami</w:t>
      </w:r>
      <w:proofErr w:type="spellEnd"/>
      <w:r w:rsidRPr="00774464">
        <w:t>, K.; Mochizuki, M. Unique Behavior of 2</w:t>
      </w:r>
      <w:proofErr w:type="gramStart"/>
      <w:r w:rsidRPr="00774464">
        <w:t>,6</w:t>
      </w:r>
      <w:proofErr w:type="gramEnd"/>
      <w:r w:rsidRPr="00774464">
        <w:t xml:space="preserve">-Bis(Bromomethyl)Naphthalene as a Highly Active Organic DNA Crosslinking Molecule. </w:t>
      </w:r>
      <w:proofErr w:type="spellStart"/>
      <w:r w:rsidRPr="00774464">
        <w:rPr>
          <w:i/>
          <w:iCs/>
        </w:rPr>
        <w:t>Bioorg</w:t>
      </w:r>
      <w:proofErr w:type="spellEnd"/>
      <w:r w:rsidRPr="00774464">
        <w:rPr>
          <w:i/>
          <w:iCs/>
        </w:rPr>
        <w:t>. Med. Chem.</w:t>
      </w:r>
      <w:r w:rsidRPr="00774464">
        <w:t xml:space="preserve"> </w:t>
      </w:r>
      <w:r w:rsidRPr="00774464">
        <w:rPr>
          <w:b/>
          <w:bCs/>
        </w:rPr>
        <w:t>2009</w:t>
      </w:r>
      <w:r w:rsidRPr="00774464">
        <w:t xml:space="preserve">, </w:t>
      </w:r>
      <w:r w:rsidRPr="00774464">
        <w:rPr>
          <w:i/>
          <w:iCs/>
        </w:rPr>
        <w:t>17</w:t>
      </w:r>
      <w:r w:rsidRPr="00774464">
        <w:t xml:space="preserve"> (10), 3568–3571. https://doi.org/10.1016/j.bmc.2009.04.009.</w:t>
      </w:r>
    </w:p>
    <w:p w14:paraId="7298805C" w14:textId="77777777" w:rsidR="00774464" w:rsidRPr="00774464" w:rsidRDefault="00774464" w:rsidP="00EF607A">
      <w:pPr>
        <w:pStyle w:val="TFReferencesSection"/>
      </w:pPr>
      <w:r w:rsidRPr="00774464">
        <w:t xml:space="preserve">(33) </w:t>
      </w:r>
      <w:r w:rsidRPr="00774464">
        <w:tab/>
        <w:t xml:space="preserve">Whitehead, M.; </w:t>
      </w:r>
      <w:proofErr w:type="spellStart"/>
      <w:r w:rsidRPr="00774464">
        <w:t>Turega</w:t>
      </w:r>
      <w:proofErr w:type="spellEnd"/>
      <w:r w:rsidRPr="00774464">
        <w:t xml:space="preserve">, S.; Stephenson, A.; Hunter, C. A.; Ward, M. D. Quantification of Solvent Effects on Molecular Recognition in Polyhedral Coordination Cage Hosts. </w:t>
      </w:r>
      <w:r w:rsidRPr="00774464">
        <w:rPr>
          <w:i/>
          <w:iCs/>
        </w:rPr>
        <w:t>Chem. Sci.</w:t>
      </w:r>
      <w:r w:rsidRPr="00774464">
        <w:t xml:space="preserve"> </w:t>
      </w:r>
      <w:r w:rsidRPr="00774464">
        <w:rPr>
          <w:b/>
          <w:bCs/>
        </w:rPr>
        <w:t>2013</w:t>
      </w:r>
      <w:r w:rsidRPr="00774464">
        <w:t xml:space="preserve">, </w:t>
      </w:r>
      <w:r w:rsidRPr="00774464">
        <w:rPr>
          <w:i/>
          <w:iCs/>
        </w:rPr>
        <w:t>4</w:t>
      </w:r>
      <w:r w:rsidRPr="00774464">
        <w:t xml:space="preserve"> (7), 2744–2751. https://doi.org/10.1039/C3SC50546D.</w:t>
      </w:r>
    </w:p>
    <w:p w14:paraId="5F814F51" w14:textId="77777777" w:rsidR="00774464" w:rsidRPr="00774464" w:rsidRDefault="00774464" w:rsidP="00EF607A">
      <w:pPr>
        <w:pStyle w:val="TFReferencesSection"/>
      </w:pPr>
      <w:r w:rsidRPr="00774464">
        <w:lastRenderedPageBreak/>
        <w:t xml:space="preserve">(34) </w:t>
      </w:r>
      <w:r w:rsidRPr="00774464">
        <w:tab/>
      </w:r>
      <w:proofErr w:type="spellStart"/>
      <w:r w:rsidRPr="00774464">
        <w:t>Metherell</w:t>
      </w:r>
      <w:proofErr w:type="spellEnd"/>
      <w:r w:rsidRPr="00774464">
        <w:t xml:space="preserve">, A. J.; Cullen, W.; Williams, N. H.; Ward, M. D. Binding of Hydrophobic Guests in a Coordination Cage Cavity Is Driven by Liberation of “High-Energy” Water. </w:t>
      </w:r>
      <w:r w:rsidRPr="00774464">
        <w:rPr>
          <w:i/>
          <w:iCs/>
        </w:rPr>
        <w:t>Chem. – Eur. J.</w:t>
      </w:r>
      <w:r w:rsidRPr="00774464">
        <w:t xml:space="preserve"> </w:t>
      </w:r>
      <w:r w:rsidRPr="00774464">
        <w:rPr>
          <w:b/>
          <w:bCs/>
        </w:rPr>
        <w:t>2018</w:t>
      </w:r>
      <w:r w:rsidRPr="00774464">
        <w:t xml:space="preserve">, </w:t>
      </w:r>
      <w:r w:rsidRPr="00774464">
        <w:rPr>
          <w:i/>
          <w:iCs/>
        </w:rPr>
        <w:t>24</w:t>
      </w:r>
      <w:r w:rsidRPr="00774464">
        <w:t xml:space="preserve"> (7), 1554–1560. https://doi.org/10.1002/chem.201704163.</w:t>
      </w:r>
    </w:p>
    <w:p w14:paraId="7ECCC70A" w14:textId="77777777" w:rsidR="00774464" w:rsidRPr="00774464" w:rsidRDefault="00774464" w:rsidP="00EF607A">
      <w:pPr>
        <w:pStyle w:val="TFReferencesSection"/>
      </w:pPr>
      <w:r w:rsidRPr="00774464">
        <w:t xml:space="preserve">(35) </w:t>
      </w:r>
      <w:r w:rsidRPr="00774464">
        <w:tab/>
        <w:t xml:space="preserve">Ward, M. D.; Hunter, C. A.; Williams, N. H. Coordination Cages Based on </w:t>
      </w:r>
      <w:proofErr w:type="spellStart"/>
      <w:proofErr w:type="gramStart"/>
      <w:r w:rsidRPr="00774464">
        <w:t>Bis</w:t>
      </w:r>
      <w:proofErr w:type="spellEnd"/>
      <w:r w:rsidRPr="00774464">
        <w:t>(</w:t>
      </w:r>
      <w:proofErr w:type="spellStart"/>
      <w:proofErr w:type="gramEnd"/>
      <w:r w:rsidRPr="00774464">
        <w:t>Pyrazolylpyridine</w:t>
      </w:r>
      <w:proofErr w:type="spellEnd"/>
      <w:r w:rsidRPr="00774464">
        <w:t xml:space="preserve">) Ligands: Structures, Dynamic Behavior, Guest Binding, and Catalysis. </w:t>
      </w:r>
      <w:r w:rsidRPr="00774464">
        <w:rPr>
          <w:i/>
          <w:iCs/>
        </w:rPr>
        <w:t>Acc. Chem. Res.</w:t>
      </w:r>
      <w:r w:rsidRPr="00774464">
        <w:t xml:space="preserve"> </w:t>
      </w:r>
      <w:r w:rsidRPr="00774464">
        <w:rPr>
          <w:b/>
          <w:bCs/>
        </w:rPr>
        <w:t>2018</w:t>
      </w:r>
      <w:r w:rsidRPr="00774464">
        <w:t xml:space="preserve">, </w:t>
      </w:r>
      <w:r w:rsidRPr="00774464">
        <w:rPr>
          <w:i/>
          <w:iCs/>
        </w:rPr>
        <w:t>51</w:t>
      </w:r>
      <w:r w:rsidRPr="00774464">
        <w:t xml:space="preserve"> (9), 2073–2082. https://doi.org/10.1021/acs.accounts.8b00261.</w:t>
      </w:r>
    </w:p>
    <w:p w14:paraId="10FCCB10" w14:textId="77777777" w:rsidR="00774464" w:rsidRPr="00774464" w:rsidRDefault="00774464" w:rsidP="00EF607A">
      <w:pPr>
        <w:pStyle w:val="TFReferencesSection"/>
      </w:pPr>
      <w:r w:rsidRPr="00774464">
        <w:t xml:space="preserve">(36) </w:t>
      </w:r>
      <w:r w:rsidRPr="00774464">
        <w:tab/>
      </w:r>
      <w:proofErr w:type="spellStart"/>
      <w:r w:rsidRPr="00774464">
        <w:t>Turega</w:t>
      </w:r>
      <w:proofErr w:type="spellEnd"/>
      <w:r w:rsidRPr="00774464">
        <w:t xml:space="preserve">, S.; Whitehead, M.; Hall, B. R.; Meijer, A. J. H. M.; Hunter, C. A.; Ward, M. D. Shape-, Size-, and Functional Group-Selective Binding of Small Organic Guests in a Paramagnetic Coordination Cage. </w:t>
      </w:r>
      <w:proofErr w:type="spellStart"/>
      <w:r w:rsidRPr="00774464">
        <w:rPr>
          <w:i/>
          <w:iCs/>
        </w:rPr>
        <w:t>Inorg</w:t>
      </w:r>
      <w:proofErr w:type="spellEnd"/>
      <w:r w:rsidRPr="00774464">
        <w:rPr>
          <w:i/>
          <w:iCs/>
        </w:rPr>
        <w:t>. Chem.</w:t>
      </w:r>
      <w:r w:rsidRPr="00774464">
        <w:t xml:space="preserve"> </w:t>
      </w:r>
      <w:r w:rsidRPr="00774464">
        <w:rPr>
          <w:b/>
          <w:bCs/>
        </w:rPr>
        <w:t>2013</w:t>
      </w:r>
      <w:r w:rsidRPr="00774464">
        <w:t xml:space="preserve">, </w:t>
      </w:r>
      <w:r w:rsidRPr="00774464">
        <w:rPr>
          <w:i/>
          <w:iCs/>
        </w:rPr>
        <w:t>52</w:t>
      </w:r>
      <w:r w:rsidRPr="00774464">
        <w:t xml:space="preserve"> (2), 1122–1132. https://doi.org/10.1021/ic302498t.</w:t>
      </w:r>
    </w:p>
    <w:p w14:paraId="4D06E52D" w14:textId="77777777" w:rsidR="00774464" w:rsidRPr="00774464" w:rsidRDefault="00774464" w:rsidP="00EF607A">
      <w:pPr>
        <w:pStyle w:val="TFReferencesSection"/>
      </w:pPr>
      <w:r w:rsidRPr="00774464">
        <w:t xml:space="preserve">(37) </w:t>
      </w:r>
      <w:r w:rsidRPr="00774464">
        <w:tab/>
      </w:r>
      <w:proofErr w:type="spellStart"/>
      <w:r w:rsidRPr="00774464">
        <w:t>Turega</w:t>
      </w:r>
      <w:proofErr w:type="spellEnd"/>
      <w:r w:rsidRPr="00774464">
        <w:t xml:space="preserve">, S.; Whitehead, M.; Hall, B. R.; Haddow, M. F.; Hunter, C. A.; Ward, M. D. Selective Guest Recognition by a Self-Assembled Paramagnetic Cage Complex. </w:t>
      </w:r>
      <w:r w:rsidRPr="00774464">
        <w:rPr>
          <w:i/>
          <w:iCs/>
        </w:rPr>
        <w:t xml:space="preserve">Chem. </w:t>
      </w:r>
      <w:proofErr w:type="spellStart"/>
      <w:r w:rsidRPr="00774464">
        <w:rPr>
          <w:i/>
          <w:iCs/>
        </w:rPr>
        <w:t>Commun</w:t>
      </w:r>
      <w:proofErr w:type="spellEnd"/>
      <w:r w:rsidRPr="00774464">
        <w:rPr>
          <w:i/>
          <w:iCs/>
        </w:rPr>
        <w:t>.</w:t>
      </w:r>
      <w:r w:rsidRPr="00774464">
        <w:t xml:space="preserve"> </w:t>
      </w:r>
      <w:r w:rsidRPr="00774464">
        <w:rPr>
          <w:b/>
          <w:bCs/>
        </w:rPr>
        <w:t>2012</w:t>
      </w:r>
      <w:r w:rsidRPr="00774464">
        <w:t xml:space="preserve">, </w:t>
      </w:r>
      <w:r w:rsidRPr="00774464">
        <w:rPr>
          <w:i/>
          <w:iCs/>
        </w:rPr>
        <w:t>48</w:t>
      </w:r>
      <w:r w:rsidRPr="00774464">
        <w:t xml:space="preserve"> (22), 2752–2754. https://doi.org/10.1039/c2cc17369g.</w:t>
      </w:r>
    </w:p>
    <w:p w14:paraId="1C92CA50" w14:textId="77777777" w:rsidR="00774464" w:rsidRPr="00774464" w:rsidRDefault="00774464" w:rsidP="00EF607A">
      <w:pPr>
        <w:pStyle w:val="TFReferencesSection"/>
      </w:pPr>
      <w:r w:rsidRPr="00774464">
        <w:t xml:space="preserve">(38) </w:t>
      </w:r>
      <w:r w:rsidRPr="00774464">
        <w:tab/>
      </w:r>
      <w:proofErr w:type="spellStart"/>
      <w:r w:rsidRPr="00774464">
        <w:t>Metherell</w:t>
      </w:r>
      <w:proofErr w:type="spellEnd"/>
      <w:r w:rsidRPr="00774464">
        <w:t xml:space="preserve">, A. J.; Ward, M. D. Geometric Isomerism in Coordination Cages Based on Tris-Chelate Vertices: A Tool to Control Both Assembly and Host/Guest Chemistry. </w:t>
      </w:r>
      <w:r w:rsidRPr="00774464">
        <w:rPr>
          <w:i/>
          <w:iCs/>
        </w:rPr>
        <w:t>Dalton Trans.</w:t>
      </w:r>
      <w:r w:rsidRPr="00774464">
        <w:t xml:space="preserve"> </w:t>
      </w:r>
      <w:r w:rsidRPr="00774464">
        <w:rPr>
          <w:b/>
          <w:bCs/>
        </w:rPr>
        <w:t>2016</w:t>
      </w:r>
      <w:r w:rsidRPr="00774464">
        <w:t xml:space="preserve">, </w:t>
      </w:r>
      <w:r w:rsidRPr="00774464">
        <w:rPr>
          <w:i/>
          <w:iCs/>
        </w:rPr>
        <w:t>45</w:t>
      </w:r>
      <w:r w:rsidRPr="00774464">
        <w:t xml:space="preserve"> (41), 16096–16111. https://doi.org/10.1039/C6DT03041F.</w:t>
      </w:r>
    </w:p>
    <w:p w14:paraId="4668262B" w14:textId="77777777" w:rsidR="00774464" w:rsidRPr="00774464" w:rsidRDefault="00774464" w:rsidP="00EF607A">
      <w:pPr>
        <w:pStyle w:val="TFReferencesSection"/>
      </w:pPr>
      <w:r w:rsidRPr="00774464">
        <w:t xml:space="preserve">(39) </w:t>
      </w:r>
      <w:r w:rsidRPr="00774464">
        <w:tab/>
        <w:t xml:space="preserve">Taylor, C. G. P.; Cullen, W.; Collier, O. M.; Ward, M. D. A Quantitative Study of the Effects of Guest Flexibility on Binding Inside a Coordination Cage Host. </w:t>
      </w:r>
      <w:r w:rsidRPr="00774464">
        <w:rPr>
          <w:i/>
          <w:iCs/>
        </w:rPr>
        <w:t>Chem. – Eur. J.</w:t>
      </w:r>
      <w:r w:rsidRPr="00774464">
        <w:t xml:space="preserve"> </w:t>
      </w:r>
      <w:r w:rsidRPr="00774464">
        <w:rPr>
          <w:b/>
          <w:bCs/>
        </w:rPr>
        <w:t>2017</w:t>
      </w:r>
      <w:r w:rsidRPr="00774464">
        <w:t xml:space="preserve">, </w:t>
      </w:r>
      <w:r w:rsidRPr="00774464">
        <w:rPr>
          <w:i/>
          <w:iCs/>
        </w:rPr>
        <w:t>23</w:t>
      </w:r>
      <w:r w:rsidRPr="00774464">
        <w:t xml:space="preserve"> (1), 206–213. https://doi.org/10.1002/chem.201604796.</w:t>
      </w:r>
    </w:p>
    <w:p w14:paraId="248D27EC" w14:textId="77777777" w:rsidR="00774464" w:rsidRPr="00774464" w:rsidRDefault="00774464" w:rsidP="00EF607A">
      <w:pPr>
        <w:pStyle w:val="TFReferencesSection"/>
      </w:pPr>
      <w:r w:rsidRPr="00774464">
        <w:lastRenderedPageBreak/>
        <w:t xml:space="preserve">(40) </w:t>
      </w:r>
      <w:r w:rsidRPr="00774464">
        <w:tab/>
        <w:t xml:space="preserve">Freed, J. H. Theory of Saturation and Double Resonance Effects in Electron Spin Resonance Spectra. II. Exchange vs. Dipolar Mechanisms. </w:t>
      </w:r>
      <w:r w:rsidRPr="00774464">
        <w:rPr>
          <w:i/>
          <w:iCs/>
        </w:rPr>
        <w:t>J. Phys. Chem.</w:t>
      </w:r>
      <w:r w:rsidRPr="00774464">
        <w:t xml:space="preserve"> </w:t>
      </w:r>
      <w:r w:rsidRPr="00774464">
        <w:rPr>
          <w:b/>
          <w:bCs/>
        </w:rPr>
        <w:t>1967</w:t>
      </w:r>
      <w:r w:rsidRPr="00774464">
        <w:t xml:space="preserve">, </w:t>
      </w:r>
      <w:r w:rsidRPr="00774464">
        <w:rPr>
          <w:i/>
          <w:iCs/>
        </w:rPr>
        <w:t>71</w:t>
      </w:r>
      <w:r w:rsidRPr="00774464">
        <w:t xml:space="preserve"> (1), 38–51. https://doi.org/10/bnjxpz.</w:t>
      </w:r>
    </w:p>
    <w:p w14:paraId="56415C94" w14:textId="77777777" w:rsidR="00774464" w:rsidRPr="00774464" w:rsidRDefault="00774464" w:rsidP="00EF607A">
      <w:pPr>
        <w:pStyle w:val="TFReferencesSection"/>
      </w:pPr>
      <w:r w:rsidRPr="00774464">
        <w:t xml:space="preserve">(41) </w:t>
      </w:r>
      <w:r w:rsidRPr="00774464">
        <w:tab/>
      </w:r>
      <w:proofErr w:type="spellStart"/>
      <w:r w:rsidRPr="00774464">
        <w:t>Salikhov</w:t>
      </w:r>
      <w:proofErr w:type="spellEnd"/>
      <w:r w:rsidRPr="00774464">
        <w:t xml:space="preserve">, K. M.; </w:t>
      </w:r>
      <w:proofErr w:type="spellStart"/>
      <w:r w:rsidRPr="00774464">
        <w:t>Doctorov</w:t>
      </w:r>
      <w:proofErr w:type="spellEnd"/>
      <w:r w:rsidRPr="00774464">
        <w:t xml:space="preserve">, A. B.; Molin, Yu. N.; </w:t>
      </w:r>
      <w:proofErr w:type="spellStart"/>
      <w:r w:rsidRPr="00774464">
        <w:t>Zamaraev</w:t>
      </w:r>
      <w:proofErr w:type="spellEnd"/>
      <w:r w:rsidRPr="00774464">
        <w:t xml:space="preserve">, K. I. Exchange Broadening of ESR Lines for Solutions of Free Radicals and Transition Metal Complexes. </w:t>
      </w:r>
      <w:r w:rsidRPr="00774464">
        <w:rPr>
          <w:i/>
          <w:iCs/>
        </w:rPr>
        <w:t xml:space="preserve">J. </w:t>
      </w:r>
      <w:proofErr w:type="spellStart"/>
      <w:r w:rsidRPr="00774464">
        <w:rPr>
          <w:i/>
          <w:iCs/>
        </w:rPr>
        <w:t>Magn</w:t>
      </w:r>
      <w:proofErr w:type="spellEnd"/>
      <w:r w:rsidRPr="00774464">
        <w:rPr>
          <w:i/>
          <w:iCs/>
        </w:rPr>
        <w:t xml:space="preserve">. </w:t>
      </w:r>
      <w:proofErr w:type="spellStart"/>
      <w:r w:rsidRPr="00774464">
        <w:rPr>
          <w:i/>
          <w:iCs/>
        </w:rPr>
        <w:t>Reson</w:t>
      </w:r>
      <w:proofErr w:type="spellEnd"/>
      <w:r w:rsidRPr="00774464">
        <w:rPr>
          <w:i/>
          <w:iCs/>
        </w:rPr>
        <w:t>. 1969</w:t>
      </w:r>
      <w:r w:rsidRPr="00774464">
        <w:t xml:space="preserve"> </w:t>
      </w:r>
      <w:r w:rsidRPr="00774464">
        <w:rPr>
          <w:b/>
          <w:bCs/>
        </w:rPr>
        <w:t>1971</w:t>
      </w:r>
      <w:r w:rsidRPr="00774464">
        <w:t xml:space="preserve">, </w:t>
      </w:r>
      <w:r w:rsidRPr="00774464">
        <w:rPr>
          <w:i/>
          <w:iCs/>
        </w:rPr>
        <w:t>5</w:t>
      </w:r>
      <w:r w:rsidRPr="00774464">
        <w:t xml:space="preserve"> (2), 189–205. https://doi.org/10.1016/0022-2364(71)90005-9.</w:t>
      </w:r>
    </w:p>
    <w:p w14:paraId="24897D6C" w14:textId="77777777" w:rsidR="00774464" w:rsidRPr="00774464" w:rsidRDefault="00774464" w:rsidP="00EF607A">
      <w:pPr>
        <w:pStyle w:val="TFReferencesSection"/>
      </w:pPr>
      <w:r w:rsidRPr="00774464">
        <w:t xml:space="preserve">(42) </w:t>
      </w:r>
      <w:r w:rsidRPr="00774464">
        <w:tab/>
        <w:t xml:space="preserve">Cullen, W.; </w:t>
      </w:r>
      <w:proofErr w:type="spellStart"/>
      <w:r w:rsidRPr="00774464">
        <w:t>Turega</w:t>
      </w:r>
      <w:proofErr w:type="spellEnd"/>
      <w:r w:rsidRPr="00774464">
        <w:t xml:space="preserve">, S.; Hunter, C. A.; Ward, M. D. Virtual Screening for High Affinity Guests for Synthetic Supramolecular Receptors. </w:t>
      </w:r>
      <w:r w:rsidRPr="00774464">
        <w:rPr>
          <w:i/>
          <w:iCs/>
        </w:rPr>
        <w:t>Chem. Sci.</w:t>
      </w:r>
      <w:r w:rsidRPr="00774464">
        <w:t xml:space="preserve"> </w:t>
      </w:r>
      <w:r w:rsidRPr="00774464">
        <w:rPr>
          <w:b/>
          <w:bCs/>
        </w:rPr>
        <w:t>2015</w:t>
      </w:r>
      <w:r w:rsidRPr="00774464">
        <w:t xml:space="preserve">, </w:t>
      </w:r>
      <w:r w:rsidRPr="00774464">
        <w:rPr>
          <w:i/>
          <w:iCs/>
        </w:rPr>
        <w:t>6</w:t>
      </w:r>
      <w:r w:rsidRPr="00774464">
        <w:t xml:space="preserve"> (5), 2790–2794. https://doi.org/10.1039/c5sc00534e.</w:t>
      </w:r>
    </w:p>
    <w:p w14:paraId="499D620A" w14:textId="77777777" w:rsidR="00774464" w:rsidRPr="00774464" w:rsidRDefault="00774464" w:rsidP="00EF607A">
      <w:pPr>
        <w:pStyle w:val="TFReferencesSection"/>
      </w:pPr>
      <w:r w:rsidRPr="00774464">
        <w:t xml:space="preserve">(43) </w:t>
      </w:r>
      <w:r w:rsidRPr="00774464">
        <w:tab/>
        <w:t xml:space="preserve">Marshall, J. H. Spin Exchange in the Carboxylic Acid Dimer of a </w:t>
      </w:r>
      <w:proofErr w:type="spellStart"/>
      <w:r w:rsidRPr="00774464">
        <w:t>Nitroxide</w:t>
      </w:r>
      <w:proofErr w:type="spellEnd"/>
      <w:r w:rsidRPr="00774464">
        <w:t xml:space="preserve"> </w:t>
      </w:r>
      <w:proofErr w:type="spellStart"/>
      <w:r w:rsidRPr="00774464">
        <w:t>Monoradical</w:t>
      </w:r>
      <w:proofErr w:type="spellEnd"/>
      <w:r w:rsidRPr="00774464">
        <w:t xml:space="preserve">. </w:t>
      </w:r>
      <w:r w:rsidRPr="00774464">
        <w:rPr>
          <w:i/>
          <w:iCs/>
        </w:rPr>
        <w:t>J. Chem. Phys.</w:t>
      </w:r>
      <w:r w:rsidRPr="00774464">
        <w:t xml:space="preserve"> </w:t>
      </w:r>
      <w:r w:rsidRPr="00774464">
        <w:rPr>
          <w:b/>
          <w:bCs/>
        </w:rPr>
        <w:t>1971</w:t>
      </w:r>
      <w:r w:rsidRPr="00774464">
        <w:t xml:space="preserve">, </w:t>
      </w:r>
      <w:r w:rsidRPr="00774464">
        <w:rPr>
          <w:i/>
          <w:iCs/>
        </w:rPr>
        <w:t>54</w:t>
      </w:r>
      <w:r w:rsidRPr="00774464">
        <w:t xml:space="preserve"> (6), 2762–2763. https://doi.org/10/b2jq3p.</w:t>
      </w:r>
    </w:p>
    <w:p w14:paraId="35C6F040" w14:textId="77777777" w:rsidR="00774464" w:rsidRPr="00774464" w:rsidRDefault="00774464" w:rsidP="00EF607A">
      <w:pPr>
        <w:pStyle w:val="TFReferencesSection"/>
      </w:pPr>
      <w:r w:rsidRPr="00774464">
        <w:t xml:space="preserve">(44) </w:t>
      </w:r>
      <w:r w:rsidRPr="00774464">
        <w:tab/>
      </w:r>
      <w:proofErr w:type="spellStart"/>
      <w:r w:rsidRPr="00774464">
        <w:t>Kooser</w:t>
      </w:r>
      <w:proofErr w:type="spellEnd"/>
      <w:r w:rsidRPr="00774464">
        <w:t xml:space="preserve">, R. G. Nitroxide Spin Label Dimer Pairing: A Cautionary Note. </w:t>
      </w:r>
      <w:r w:rsidRPr="00774464">
        <w:rPr>
          <w:i/>
          <w:iCs/>
        </w:rPr>
        <w:t>Macromolecules</w:t>
      </w:r>
      <w:r w:rsidRPr="00774464">
        <w:t xml:space="preserve"> </w:t>
      </w:r>
      <w:r w:rsidRPr="00774464">
        <w:rPr>
          <w:b/>
          <w:bCs/>
        </w:rPr>
        <w:t>1987</w:t>
      </w:r>
      <w:r w:rsidRPr="00774464">
        <w:t xml:space="preserve">, </w:t>
      </w:r>
      <w:r w:rsidRPr="00774464">
        <w:rPr>
          <w:i/>
          <w:iCs/>
        </w:rPr>
        <w:t>20</w:t>
      </w:r>
      <w:r w:rsidRPr="00774464">
        <w:t xml:space="preserve"> (2), 435–436. https://doi.org/10.1021/ma00168a037.</w:t>
      </w:r>
    </w:p>
    <w:p w14:paraId="2BFBA031" w14:textId="77777777" w:rsidR="00774464" w:rsidRPr="00774464" w:rsidRDefault="00774464" w:rsidP="00EF607A">
      <w:pPr>
        <w:pStyle w:val="TFReferencesSection"/>
      </w:pPr>
      <w:r w:rsidRPr="00774464">
        <w:t xml:space="preserve">(45) </w:t>
      </w:r>
      <w:r w:rsidRPr="00774464">
        <w:tab/>
        <w:t xml:space="preserve">Cullen, W.; </w:t>
      </w:r>
      <w:proofErr w:type="spellStart"/>
      <w:r w:rsidRPr="00774464">
        <w:t>Turega</w:t>
      </w:r>
      <w:proofErr w:type="spellEnd"/>
      <w:r w:rsidRPr="00774464">
        <w:t xml:space="preserve">, S.; Hunter, C. A.; Ward, M. D. PH-Dependent Binding of Guests in the Cavity of a Polyhedral Coordination Cage: Reversible Uptake and Release of Drug Molecules. </w:t>
      </w:r>
      <w:r w:rsidRPr="00774464">
        <w:rPr>
          <w:i/>
          <w:iCs/>
        </w:rPr>
        <w:t>Chem. Sci.</w:t>
      </w:r>
      <w:r w:rsidRPr="00774464">
        <w:t xml:space="preserve"> </w:t>
      </w:r>
      <w:r w:rsidRPr="00774464">
        <w:rPr>
          <w:b/>
          <w:bCs/>
        </w:rPr>
        <w:t>2015</w:t>
      </w:r>
      <w:r w:rsidRPr="00774464">
        <w:t xml:space="preserve">, </w:t>
      </w:r>
      <w:r w:rsidRPr="00774464">
        <w:rPr>
          <w:i/>
          <w:iCs/>
        </w:rPr>
        <w:t>6</w:t>
      </w:r>
      <w:r w:rsidRPr="00774464">
        <w:t xml:space="preserve"> (1), 625–631. https://doi.org/10.1039/c4sc02090a.</w:t>
      </w:r>
    </w:p>
    <w:p w14:paraId="6F3D4294" w14:textId="77777777" w:rsidR="00774464" w:rsidRPr="00774464" w:rsidRDefault="00774464" w:rsidP="00EF607A">
      <w:pPr>
        <w:pStyle w:val="TFReferencesSection"/>
      </w:pPr>
      <w:r w:rsidRPr="00774464">
        <w:t xml:space="preserve">(46) </w:t>
      </w:r>
      <w:r w:rsidRPr="00774464">
        <w:tab/>
        <w:t xml:space="preserve">Cullen, W.; Thomas, K. A.; Hunter, C. A.; Ward, M. D. PH-Controlled Selection between One of Three Guests from a Mixture Using a Coordination Cage Host. </w:t>
      </w:r>
      <w:r w:rsidRPr="00774464">
        <w:rPr>
          <w:i/>
          <w:iCs/>
        </w:rPr>
        <w:t>Chem. Sci.</w:t>
      </w:r>
      <w:r w:rsidRPr="00774464">
        <w:t xml:space="preserve"> </w:t>
      </w:r>
      <w:r w:rsidRPr="00774464">
        <w:rPr>
          <w:b/>
          <w:bCs/>
        </w:rPr>
        <w:t>2015</w:t>
      </w:r>
      <w:r w:rsidRPr="00774464">
        <w:t xml:space="preserve">, </w:t>
      </w:r>
      <w:r w:rsidRPr="00774464">
        <w:rPr>
          <w:i/>
          <w:iCs/>
        </w:rPr>
        <w:t>6</w:t>
      </w:r>
      <w:r w:rsidRPr="00774464">
        <w:t xml:space="preserve"> (7), 4025–4028. https://doi.org/10.1039/c5sc01475a.</w:t>
      </w:r>
    </w:p>
    <w:p w14:paraId="1C300C3F" w14:textId="77777777" w:rsidR="00774464" w:rsidRPr="00774464" w:rsidRDefault="00774464" w:rsidP="00EF607A">
      <w:pPr>
        <w:pStyle w:val="TFReferencesSection"/>
      </w:pPr>
      <w:r w:rsidRPr="00774464">
        <w:t xml:space="preserve">(47) </w:t>
      </w:r>
      <w:r w:rsidRPr="00774464">
        <w:tab/>
        <w:t xml:space="preserve">Janzen, E. G.; Coulter, G. A.; </w:t>
      </w:r>
      <w:proofErr w:type="spellStart"/>
      <w:r w:rsidRPr="00774464">
        <w:t>Oehler</w:t>
      </w:r>
      <w:proofErr w:type="spellEnd"/>
      <w:r w:rsidRPr="00774464">
        <w:t xml:space="preserve">, U. M.; Bergsma, J. P. Solvent Effects on the Nitrogen and β-Hydrogen Hyperfine Splitting Constants of Aminoxyl Radicals Obtained in Spin </w:t>
      </w:r>
      <w:r w:rsidRPr="00774464">
        <w:lastRenderedPageBreak/>
        <w:t xml:space="preserve">Trapping Experiments. </w:t>
      </w:r>
      <w:r w:rsidRPr="00774464">
        <w:rPr>
          <w:i/>
          <w:iCs/>
        </w:rPr>
        <w:t>Can. J. Chem.</w:t>
      </w:r>
      <w:r w:rsidRPr="00774464">
        <w:t xml:space="preserve"> </w:t>
      </w:r>
      <w:r w:rsidRPr="00774464">
        <w:rPr>
          <w:b/>
          <w:bCs/>
        </w:rPr>
        <w:t>1982</w:t>
      </w:r>
      <w:r w:rsidRPr="00774464">
        <w:t xml:space="preserve">, </w:t>
      </w:r>
      <w:r w:rsidRPr="00774464">
        <w:rPr>
          <w:i/>
          <w:iCs/>
        </w:rPr>
        <w:t>60</w:t>
      </w:r>
      <w:r w:rsidRPr="00774464">
        <w:t xml:space="preserve"> (21), 2725–2733. https://doi.org/10.1139/v82-392.</w:t>
      </w:r>
    </w:p>
    <w:p w14:paraId="7A5296B0" w14:textId="77777777" w:rsidR="00774464" w:rsidRPr="00774464" w:rsidRDefault="00774464" w:rsidP="00EF607A">
      <w:pPr>
        <w:pStyle w:val="TFReferencesSection"/>
      </w:pPr>
      <w:r w:rsidRPr="00774464">
        <w:t xml:space="preserve">(48) </w:t>
      </w:r>
      <w:r w:rsidRPr="00774464">
        <w:tab/>
      </w:r>
      <w:proofErr w:type="spellStart"/>
      <w:r w:rsidRPr="00774464">
        <w:t>Mukerjee</w:t>
      </w:r>
      <w:proofErr w:type="spellEnd"/>
      <w:r w:rsidRPr="00774464">
        <w:t xml:space="preserve">, P.; Ramachandran, C.; </w:t>
      </w:r>
      <w:proofErr w:type="spellStart"/>
      <w:r w:rsidRPr="00774464">
        <w:t>Pyter</w:t>
      </w:r>
      <w:proofErr w:type="spellEnd"/>
      <w:r w:rsidRPr="00774464">
        <w:t xml:space="preserve">, R. A. Solvent Effects on the Visible Spectra of Nitroxides and Relation to Nitrogen Hyperfine Splitting Constants. Nonempirical Polarity Scales for Aprotic and Hydroxylic Solvents. </w:t>
      </w:r>
      <w:r w:rsidRPr="00774464">
        <w:rPr>
          <w:i/>
          <w:iCs/>
        </w:rPr>
        <w:t>J. Phys. Chem.</w:t>
      </w:r>
      <w:r w:rsidRPr="00774464">
        <w:t xml:space="preserve"> </w:t>
      </w:r>
      <w:r w:rsidRPr="00774464">
        <w:rPr>
          <w:b/>
          <w:bCs/>
        </w:rPr>
        <w:t>1982</w:t>
      </w:r>
      <w:r w:rsidRPr="00774464">
        <w:t xml:space="preserve">, </w:t>
      </w:r>
      <w:r w:rsidRPr="00774464">
        <w:rPr>
          <w:i/>
          <w:iCs/>
        </w:rPr>
        <w:t>86</w:t>
      </w:r>
      <w:r w:rsidRPr="00774464">
        <w:t xml:space="preserve"> (16), 3189–3197. https://doi.org/10.1021/j100213a025.</w:t>
      </w:r>
    </w:p>
    <w:p w14:paraId="4D6BDAEB" w14:textId="77777777" w:rsidR="00774464" w:rsidRPr="00774464" w:rsidRDefault="00774464" w:rsidP="00EF607A">
      <w:pPr>
        <w:pStyle w:val="TFReferencesSection"/>
      </w:pPr>
      <w:r w:rsidRPr="00774464">
        <w:t xml:space="preserve">(49) </w:t>
      </w:r>
      <w:r w:rsidRPr="00774464">
        <w:tab/>
        <w:t>Al-</w:t>
      </w:r>
      <w:proofErr w:type="spellStart"/>
      <w:r w:rsidRPr="00774464">
        <w:t>bala’a</w:t>
      </w:r>
      <w:proofErr w:type="spellEnd"/>
      <w:r w:rsidRPr="00774464">
        <w:t xml:space="preserve">, I.; Bates, R. D. Medium Effects on ESR Spectra in Studies of Hydrogen-Bonded Transient Solvent-Solute Complexes. </w:t>
      </w:r>
      <w:r w:rsidRPr="00774464">
        <w:rPr>
          <w:i/>
          <w:iCs/>
        </w:rPr>
        <w:t xml:space="preserve">J. </w:t>
      </w:r>
      <w:proofErr w:type="spellStart"/>
      <w:r w:rsidRPr="00774464">
        <w:rPr>
          <w:i/>
          <w:iCs/>
        </w:rPr>
        <w:t>Magn</w:t>
      </w:r>
      <w:proofErr w:type="spellEnd"/>
      <w:r w:rsidRPr="00774464">
        <w:rPr>
          <w:i/>
          <w:iCs/>
        </w:rPr>
        <w:t xml:space="preserve">. </w:t>
      </w:r>
      <w:proofErr w:type="spellStart"/>
      <w:r w:rsidRPr="00774464">
        <w:rPr>
          <w:i/>
          <w:iCs/>
        </w:rPr>
        <w:t>Reson</w:t>
      </w:r>
      <w:proofErr w:type="spellEnd"/>
      <w:r w:rsidRPr="00774464">
        <w:rPr>
          <w:i/>
          <w:iCs/>
        </w:rPr>
        <w:t>.</w:t>
      </w:r>
      <w:r w:rsidRPr="00774464">
        <w:t xml:space="preserve"> </w:t>
      </w:r>
      <w:r w:rsidRPr="00774464">
        <w:rPr>
          <w:b/>
          <w:bCs/>
        </w:rPr>
        <w:t>1987</w:t>
      </w:r>
      <w:r w:rsidRPr="00774464">
        <w:t xml:space="preserve">, </w:t>
      </w:r>
      <w:r w:rsidRPr="00774464">
        <w:rPr>
          <w:i/>
          <w:iCs/>
        </w:rPr>
        <w:t>73</w:t>
      </w:r>
      <w:r w:rsidRPr="00774464">
        <w:t xml:space="preserve"> (1), 78–89. https://doi.org/10.1016/0022-2364(87)90226-5.</w:t>
      </w:r>
    </w:p>
    <w:p w14:paraId="3DBA4250" w14:textId="77777777" w:rsidR="00774464" w:rsidRPr="00774464" w:rsidRDefault="00774464" w:rsidP="00EF607A">
      <w:pPr>
        <w:pStyle w:val="TFReferencesSection"/>
      </w:pPr>
      <w:r w:rsidRPr="00774464">
        <w:t xml:space="preserve">(50) </w:t>
      </w:r>
      <w:r w:rsidRPr="00774464">
        <w:tab/>
      </w:r>
      <w:proofErr w:type="spellStart"/>
      <w:r w:rsidRPr="00774464">
        <w:t>Garel</w:t>
      </w:r>
      <w:proofErr w:type="spellEnd"/>
      <w:r w:rsidRPr="00774464">
        <w:t xml:space="preserve">, L.; </w:t>
      </w:r>
      <w:proofErr w:type="spellStart"/>
      <w:r w:rsidRPr="00774464">
        <w:t>Vezin</w:t>
      </w:r>
      <w:proofErr w:type="spellEnd"/>
      <w:r w:rsidRPr="00774464">
        <w:t xml:space="preserve">, H.; </w:t>
      </w:r>
      <w:proofErr w:type="spellStart"/>
      <w:r w:rsidRPr="00774464">
        <w:t>Dutasta</w:t>
      </w:r>
      <w:proofErr w:type="spellEnd"/>
      <w:r w:rsidRPr="00774464">
        <w:t xml:space="preserve">, J.-P.; Collet, A. Piperidine Aminoxyl Radicals as EPR Probes for Exploring the Cavity of a Water-Soluble Cryptophane. </w:t>
      </w:r>
      <w:r w:rsidRPr="00774464">
        <w:rPr>
          <w:i/>
          <w:iCs/>
        </w:rPr>
        <w:t xml:space="preserve">Chem. </w:t>
      </w:r>
      <w:proofErr w:type="spellStart"/>
      <w:r w:rsidRPr="00774464">
        <w:rPr>
          <w:i/>
          <w:iCs/>
        </w:rPr>
        <w:t>Commun</w:t>
      </w:r>
      <w:proofErr w:type="spellEnd"/>
      <w:r w:rsidRPr="00774464">
        <w:rPr>
          <w:i/>
          <w:iCs/>
        </w:rPr>
        <w:t>.</w:t>
      </w:r>
      <w:r w:rsidRPr="00774464">
        <w:t xml:space="preserve"> </w:t>
      </w:r>
      <w:r w:rsidRPr="00774464">
        <w:rPr>
          <w:b/>
          <w:bCs/>
        </w:rPr>
        <w:t>1996</w:t>
      </w:r>
      <w:r w:rsidRPr="00774464">
        <w:t>, No. 6, 719–720. https://doi.org/10.1039/cc9960000719.</w:t>
      </w:r>
    </w:p>
    <w:p w14:paraId="7F096A76" w14:textId="516D4A31" w:rsidR="00637D54" w:rsidRPr="00664FBA" w:rsidRDefault="00637D54" w:rsidP="00C90C1F">
      <w:pPr>
        <w:pStyle w:val="Bibliography"/>
      </w:pPr>
    </w:p>
    <w:p w14:paraId="24C5F552" w14:textId="44185ACA" w:rsidR="009246AD" w:rsidRPr="00090544" w:rsidRDefault="00A67D1A" w:rsidP="009B763E">
      <w:pPr>
        <w:pStyle w:val="TFReferencesSection"/>
        <w:ind w:firstLine="0"/>
        <w:rPr>
          <w:b/>
          <w:bCs/>
        </w:rPr>
      </w:pPr>
      <w:r>
        <w:rPr>
          <w:b/>
          <w:bCs/>
        </w:rPr>
        <w:t>Table of Contents</w:t>
      </w:r>
    </w:p>
    <w:p w14:paraId="7661F86C" w14:textId="778356C2" w:rsidR="00B323A5" w:rsidRDefault="00220571" w:rsidP="009B763E">
      <w:pPr>
        <w:pStyle w:val="TFReferencesSection"/>
        <w:ind w:firstLine="0"/>
      </w:pPr>
      <w:r>
        <w:rPr>
          <w:noProof/>
          <w:lang w:val="en-GB" w:eastAsia="en-GB"/>
        </w:rPr>
        <w:drawing>
          <wp:inline distT="0" distB="0" distL="0" distR="0" wp14:anchorId="04A44931" wp14:editId="4EBBDE4B">
            <wp:extent cx="2870200" cy="1574800"/>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ge Paper TOC 300dpi.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0200" cy="1574800"/>
                    </a:xfrm>
                    <a:prstGeom prst="rect">
                      <a:avLst/>
                    </a:prstGeom>
                  </pic:spPr>
                </pic:pic>
              </a:graphicData>
            </a:graphic>
          </wp:inline>
        </w:drawing>
      </w:r>
    </w:p>
    <w:sectPr w:rsidR="00B323A5" w:rsidSect="000F6F51">
      <w:footerReference w:type="even" r:id="rId18"/>
      <w:footerReference w:type="default" r:id="rId19"/>
      <w:type w:val="continuous"/>
      <w:pgSz w:w="12240" w:h="15840"/>
      <w:pgMar w:top="1440" w:right="1440" w:bottom="1440" w:left="1440" w:header="0" w:footer="0" w:gutter="0"/>
      <w:lnNumType w:countBy="1"/>
      <w:cols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A9A13" w14:textId="77777777" w:rsidR="009B1C83" w:rsidRDefault="009B1C83">
      <w:r>
        <w:separator/>
      </w:r>
    </w:p>
  </w:endnote>
  <w:endnote w:type="continuationSeparator" w:id="0">
    <w:p w14:paraId="796CA59F" w14:textId="77777777" w:rsidR="009B1C83" w:rsidRDefault="009B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2794D" w14:textId="77777777" w:rsidR="008F3B5B" w:rsidRDefault="008F3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445238" w14:textId="77777777" w:rsidR="008F3B5B" w:rsidRDefault="008F3B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71D0" w14:textId="77777777" w:rsidR="008F3B5B" w:rsidRDefault="008F3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5DA">
      <w:rPr>
        <w:rStyle w:val="PageNumber"/>
        <w:noProof/>
      </w:rPr>
      <w:t>17</w:t>
    </w:r>
    <w:r>
      <w:rPr>
        <w:rStyle w:val="PageNumber"/>
      </w:rPr>
      <w:fldChar w:fldCharType="end"/>
    </w:r>
  </w:p>
  <w:p w14:paraId="0A19E5E6" w14:textId="77777777" w:rsidR="008F3B5B" w:rsidRDefault="008F3B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30CFB" w14:textId="77777777" w:rsidR="009B1C83" w:rsidRDefault="009B1C83">
      <w:r>
        <w:separator/>
      </w:r>
    </w:p>
  </w:footnote>
  <w:footnote w:type="continuationSeparator" w:id="0">
    <w:p w14:paraId="099E93AD" w14:textId="77777777" w:rsidR="009B1C83" w:rsidRDefault="009B1C83">
      <w:r>
        <w:continuationSeparator/>
      </w:r>
    </w:p>
  </w:footnote>
  <w:footnote w:id="1">
    <w:p w14:paraId="67DE1973" w14:textId="6B23CF12" w:rsidR="001937CA" w:rsidRPr="00DD6DBB" w:rsidRDefault="001937CA" w:rsidP="001937CA">
      <w:pPr>
        <w:pStyle w:val="FAAuthorInfoSubtitle"/>
      </w:pPr>
      <w:r w:rsidRPr="00731871">
        <w:rPr>
          <w:rStyle w:val="FootnoteReference"/>
        </w:rPr>
        <w:footnoteRef/>
      </w:r>
      <w:r>
        <w:rPr>
          <w:lang w:val="en-GB"/>
        </w:rPr>
        <w:t xml:space="preserve"> </w:t>
      </w:r>
      <w:r w:rsidR="00A67D1A">
        <w:t>Present Address</w:t>
      </w:r>
    </w:p>
    <w:p w14:paraId="4E834C1C" w14:textId="77777777" w:rsidR="001937CA" w:rsidRPr="00DD6DBB" w:rsidRDefault="001937CA" w:rsidP="001937CA">
      <w:pPr>
        <w:pStyle w:val="StyleFACorrespondingAuthorFootnote7pt"/>
        <w:spacing w:after="240" w:line="480" w:lineRule="auto"/>
        <w:rPr>
          <w:rFonts w:ascii="Times" w:hAnsi="Times"/>
          <w:kern w:val="0"/>
          <w:sz w:val="24"/>
        </w:rPr>
      </w:pPr>
      <w:r w:rsidRPr="00DD6DBB">
        <w:rPr>
          <w:rFonts w:ascii="Times" w:hAnsi="Times"/>
          <w:kern w:val="0"/>
          <w:sz w:val="24"/>
        </w:rPr>
        <w:t>†</w:t>
      </w:r>
      <w:r w:rsidRPr="00AA7B49">
        <w:rPr>
          <w:rFonts w:ascii="Times" w:hAnsi="Times"/>
          <w:kern w:val="0"/>
          <w:sz w:val="24"/>
        </w:rPr>
        <w:t>Institute of Chemical and Bioengineering, Department of Chemistry and Applied Biosciences, ETH Zürich, 1 5/10 Vladimir-Prelog-</w:t>
      </w:r>
      <w:proofErr w:type="spellStart"/>
      <w:r w:rsidRPr="00AA7B49">
        <w:rPr>
          <w:rFonts w:ascii="Times" w:hAnsi="Times"/>
          <w:kern w:val="0"/>
          <w:sz w:val="24"/>
        </w:rPr>
        <w:t>Weg</w:t>
      </w:r>
      <w:proofErr w:type="spellEnd"/>
      <w:r w:rsidRPr="00AA7B49">
        <w:rPr>
          <w:rFonts w:ascii="Times" w:hAnsi="Times"/>
          <w:kern w:val="0"/>
          <w:sz w:val="24"/>
        </w:rPr>
        <w:t>, 8093 Zürich, Switzerland.</w:t>
      </w:r>
    </w:p>
    <w:p w14:paraId="1E0BA744" w14:textId="77777777" w:rsidR="001937CA" w:rsidRPr="00F75AD0" w:rsidRDefault="001937CA" w:rsidP="001937CA">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8"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8"/>
  </w:num>
  <w:num w:numId="2">
    <w:abstractNumId w:val="6"/>
  </w:num>
  <w:num w:numId="3">
    <w:abstractNumId w:val="9"/>
  </w:num>
  <w:num w:numId="4">
    <w:abstractNumId w:val="7"/>
  </w:num>
  <w:num w:numId="5">
    <w:abstractNumId w:val="5"/>
  </w:num>
  <w:num w:numId="6">
    <w:abstractNumId w:val="4"/>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F8"/>
    <w:rsid w:val="000002F2"/>
    <w:rsid w:val="00011738"/>
    <w:rsid w:val="0001255F"/>
    <w:rsid w:val="00015CE4"/>
    <w:rsid w:val="0002063F"/>
    <w:rsid w:val="00023B49"/>
    <w:rsid w:val="00025719"/>
    <w:rsid w:val="0003146A"/>
    <w:rsid w:val="00031498"/>
    <w:rsid w:val="000327E8"/>
    <w:rsid w:val="00033276"/>
    <w:rsid w:val="00034449"/>
    <w:rsid w:val="0003708C"/>
    <w:rsid w:val="00042BB9"/>
    <w:rsid w:val="000555B0"/>
    <w:rsid w:val="0005660F"/>
    <w:rsid w:val="00057F4E"/>
    <w:rsid w:val="00060C36"/>
    <w:rsid w:val="000702AD"/>
    <w:rsid w:val="0007406F"/>
    <w:rsid w:val="00080C9A"/>
    <w:rsid w:val="000825F1"/>
    <w:rsid w:val="00084D01"/>
    <w:rsid w:val="00090544"/>
    <w:rsid w:val="000908C9"/>
    <w:rsid w:val="00092919"/>
    <w:rsid w:val="000A0A38"/>
    <w:rsid w:val="000A68A6"/>
    <w:rsid w:val="000B0DA9"/>
    <w:rsid w:val="000B2CE6"/>
    <w:rsid w:val="000B2EEB"/>
    <w:rsid w:val="000B5610"/>
    <w:rsid w:val="000B6906"/>
    <w:rsid w:val="000C05CC"/>
    <w:rsid w:val="000D264B"/>
    <w:rsid w:val="000E1264"/>
    <w:rsid w:val="000E4C1D"/>
    <w:rsid w:val="000F0EAD"/>
    <w:rsid w:val="000F6F51"/>
    <w:rsid w:val="000F734F"/>
    <w:rsid w:val="001002A2"/>
    <w:rsid w:val="00107FBD"/>
    <w:rsid w:val="001133A5"/>
    <w:rsid w:val="00113CD1"/>
    <w:rsid w:val="00116047"/>
    <w:rsid w:val="001373C3"/>
    <w:rsid w:val="0014288D"/>
    <w:rsid w:val="00145453"/>
    <w:rsid w:val="0014647C"/>
    <w:rsid w:val="001472A3"/>
    <w:rsid w:val="001477D7"/>
    <w:rsid w:val="001659C3"/>
    <w:rsid w:val="00166C44"/>
    <w:rsid w:val="00173ED5"/>
    <w:rsid w:val="001750AC"/>
    <w:rsid w:val="00182879"/>
    <w:rsid w:val="00183B65"/>
    <w:rsid w:val="001902A0"/>
    <w:rsid w:val="0019051B"/>
    <w:rsid w:val="001937CA"/>
    <w:rsid w:val="00194061"/>
    <w:rsid w:val="00195ACA"/>
    <w:rsid w:val="001A7A90"/>
    <w:rsid w:val="001B18B3"/>
    <w:rsid w:val="001E361C"/>
    <w:rsid w:val="001F13DC"/>
    <w:rsid w:val="001F2591"/>
    <w:rsid w:val="00203294"/>
    <w:rsid w:val="002051EF"/>
    <w:rsid w:val="00212B1D"/>
    <w:rsid w:val="00212EBF"/>
    <w:rsid w:val="00220571"/>
    <w:rsid w:val="00220789"/>
    <w:rsid w:val="00225285"/>
    <w:rsid w:val="00233792"/>
    <w:rsid w:val="00233F21"/>
    <w:rsid w:val="00240E72"/>
    <w:rsid w:val="00253FD7"/>
    <w:rsid w:val="0025652D"/>
    <w:rsid w:val="00266FB8"/>
    <w:rsid w:val="00271A02"/>
    <w:rsid w:val="00271D2E"/>
    <w:rsid w:val="0027466B"/>
    <w:rsid w:val="002749D5"/>
    <w:rsid w:val="00280BF6"/>
    <w:rsid w:val="00282647"/>
    <w:rsid w:val="0028397C"/>
    <w:rsid w:val="00285F87"/>
    <w:rsid w:val="00295DF3"/>
    <w:rsid w:val="002A7493"/>
    <w:rsid w:val="002A7CB0"/>
    <w:rsid w:val="002C3431"/>
    <w:rsid w:val="002C4A27"/>
    <w:rsid w:val="002D12B8"/>
    <w:rsid w:val="002D4599"/>
    <w:rsid w:val="002E261B"/>
    <w:rsid w:val="002E43CF"/>
    <w:rsid w:val="002F219E"/>
    <w:rsid w:val="00302C47"/>
    <w:rsid w:val="003065D2"/>
    <w:rsid w:val="00310507"/>
    <w:rsid w:val="0031373B"/>
    <w:rsid w:val="00313F1E"/>
    <w:rsid w:val="00317D55"/>
    <w:rsid w:val="00324128"/>
    <w:rsid w:val="00330C84"/>
    <w:rsid w:val="00332202"/>
    <w:rsid w:val="00343A08"/>
    <w:rsid w:val="00353623"/>
    <w:rsid w:val="00354A5A"/>
    <w:rsid w:val="003616C9"/>
    <w:rsid w:val="00361E35"/>
    <w:rsid w:val="003664E9"/>
    <w:rsid w:val="003679A1"/>
    <w:rsid w:val="00397B4B"/>
    <w:rsid w:val="003A0A5C"/>
    <w:rsid w:val="003A42F0"/>
    <w:rsid w:val="003A6CBA"/>
    <w:rsid w:val="003B01CD"/>
    <w:rsid w:val="003B29B0"/>
    <w:rsid w:val="003B2B8B"/>
    <w:rsid w:val="003B4AF3"/>
    <w:rsid w:val="003B688A"/>
    <w:rsid w:val="003B79CF"/>
    <w:rsid w:val="003C5B60"/>
    <w:rsid w:val="003D0E22"/>
    <w:rsid w:val="003D3FC5"/>
    <w:rsid w:val="003E1718"/>
    <w:rsid w:val="003E1F76"/>
    <w:rsid w:val="003E5E6A"/>
    <w:rsid w:val="003E784D"/>
    <w:rsid w:val="003F018E"/>
    <w:rsid w:val="003F3C24"/>
    <w:rsid w:val="004102C7"/>
    <w:rsid w:val="0041124B"/>
    <w:rsid w:val="00412D64"/>
    <w:rsid w:val="004214E0"/>
    <w:rsid w:val="004214F3"/>
    <w:rsid w:val="0042536A"/>
    <w:rsid w:val="0043547E"/>
    <w:rsid w:val="004358F2"/>
    <w:rsid w:val="004367C3"/>
    <w:rsid w:val="004434DD"/>
    <w:rsid w:val="00446457"/>
    <w:rsid w:val="00454E58"/>
    <w:rsid w:val="00460364"/>
    <w:rsid w:val="0046214D"/>
    <w:rsid w:val="0047338E"/>
    <w:rsid w:val="0047396B"/>
    <w:rsid w:val="00475FD2"/>
    <w:rsid w:val="004828A7"/>
    <w:rsid w:val="0048429A"/>
    <w:rsid w:val="00493CD1"/>
    <w:rsid w:val="004A1657"/>
    <w:rsid w:val="004A476C"/>
    <w:rsid w:val="004A6A84"/>
    <w:rsid w:val="004B1C39"/>
    <w:rsid w:val="004B385F"/>
    <w:rsid w:val="004B64FF"/>
    <w:rsid w:val="004C0682"/>
    <w:rsid w:val="004C6E3B"/>
    <w:rsid w:val="004D7C40"/>
    <w:rsid w:val="004E06A6"/>
    <w:rsid w:val="004E283C"/>
    <w:rsid w:val="004E7185"/>
    <w:rsid w:val="004F135B"/>
    <w:rsid w:val="004F1B48"/>
    <w:rsid w:val="004F2512"/>
    <w:rsid w:val="004F32B4"/>
    <w:rsid w:val="0051046B"/>
    <w:rsid w:val="00511601"/>
    <w:rsid w:val="00523735"/>
    <w:rsid w:val="005350A0"/>
    <w:rsid w:val="00541522"/>
    <w:rsid w:val="0054425D"/>
    <w:rsid w:val="00550B9C"/>
    <w:rsid w:val="00552601"/>
    <w:rsid w:val="00552BCC"/>
    <w:rsid w:val="005553EF"/>
    <w:rsid w:val="0056147D"/>
    <w:rsid w:val="00561C50"/>
    <w:rsid w:val="00563629"/>
    <w:rsid w:val="00566663"/>
    <w:rsid w:val="00567E81"/>
    <w:rsid w:val="0057001F"/>
    <w:rsid w:val="00591A57"/>
    <w:rsid w:val="005930E7"/>
    <w:rsid w:val="005A3A53"/>
    <w:rsid w:val="005A4459"/>
    <w:rsid w:val="005A4FA7"/>
    <w:rsid w:val="005A6B90"/>
    <w:rsid w:val="005B1B86"/>
    <w:rsid w:val="005B2D96"/>
    <w:rsid w:val="005B480E"/>
    <w:rsid w:val="005B48F9"/>
    <w:rsid w:val="005B7488"/>
    <w:rsid w:val="005C1025"/>
    <w:rsid w:val="005D05DF"/>
    <w:rsid w:val="005D0C10"/>
    <w:rsid w:val="005D6298"/>
    <w:rsid w:val="005D64F6"/>
    <w:rsid w:val="005D741A"/>
    <w:rsid w:val="005F1F33"/>
    <w:rsid w:val="00601561"/>
    <w:rsid w:val="00604127"/>
    <w:rsid w:val="0060494B"/>
    <w:rsid w:val="006117F4"/>
    <w:rsid w:val="00625282"/>
    <w:rsid w:val="00626909"/>
    <w:rsid w:val="0063019D"/>
    <w:rsid w:val="00636428"/>
    <w:rsid w:val="006372F8"/>
    <w:rsid w:val="00637D54"/>
    <w:rsid w:val="006455A5"/>
    <w:rsid w:val="006474A6"/>
    <w:rsid w:val="00656F50"/>
    <w:rsid w:val="00663FB5"/>
    <w:rsid w:val="00664FBA"/>
    <w:rsid w:val="00665A70"/>
    <w:rsid w:val="0067732A"/>
    <w:rsid w:val="00683131"/>
    <w:rsid w:val="00685B33"/>
    <w:rsid w:val="00695C25"/>
    <w:rsid w:val="00696CF4"/>
    <w:rsid w:val="00696EC2"/>
    <w:rsid w:val="006A0C53"/>
    <w:rsid w:val="006A3E34"/>
    <w:rsid w:val="006B2581"/>
    <w:rsid w:val="006B6325"/>
    <w:rsid w:val="006C0696"/>
    <w:rsid w:val="006C3021"/>
    <w:rsid w:val="006C3896"/>
    <w:rsid w:val="006C4355"/>
    <w:rsid w:val="006C5518"/>
    <w:rsid w:val="006D43B3"/>
    <w:rsid w:val="006E084F"/>
    <w:rsid w:val="006E1C50"/>
    <w:rsid w:val="006F74BE"/>
    <w:rsid w:val="007000D9"/>
    <w:rsid w:val="0070579A"/>
    <w:rsid w:val="007105E3"/>
    <w:rsid w:val="00710771"/>
    <w:rsid w:val="00712DFF"/>
    <w:rsid w:val="00717E39"/>
    <w:rsid w:val="007261C5"/>
    <w:rsid w:val="00727D00"/>
    <w:rsid w:val="00730D18"/>
    <w:rsid w:val="00731871"/>
    <w:rsid w:val="00732224"/>
    <w:rsid w:val="00740B42"/>
    <w:rsid w:val="00741039"/>
    <w:rsid w:val="0074186E"/>
    <w:rsid w:val="007428FF"/>
    <w:rsid w:val="00745325"/>
    <w:rsid w:val="00747701"/>
    <w:rsid w:val="00751D27"/>
    <w:rsid w:val="007606E5"/>
    <w:rsid w:val="007629D3"/>
    <w:rsid w:val="00763EEA"/>
    <w:rsid w:val="00770D69"/>
    <w:rsid w:val="00774464"/>
    <w:rsid w:val="00783844"/>
    <w:rsid w:val="00783A8F"/>
    <w:rsid w:val="00794616"/>
    <w:rsid w:val="007A11AD"/>
    <w:rsid w:val="007A3768"/>
    <w:rsid w:val="007A3B3B"/>
    <w:rsid w:val="007B1192"/>
    <w:rsid w:val="007B15DA"/>
    <w:rsid w:val="007C1D35"/>
    <w:rsid w:val="007C3828"/>
    <w:rsid w:val="007C3FD9"/>
    <w:rsid w:val="007D5A57"/>
    <w:rsid w:val="007E26F9"/>
    <w:rsid w:val="007F2ED4"/>
    <w:rsid w:val="007F671A"/>
    <w:rsid w:val="007F7734"/>
    <w:rsid w:val="008047DE"/>
    <w:rsid w:val="0080533B"/>
    <w:rsid w:val="008263A0"/>
    <w:rsid w:val="0083500F"/>
    <w:rsid w:val="00835E0A"/>
    <w:rsid w:val="00837954"/>
    <w:rsid w:val="008461FC"/>
    <w:rsid w:val="0085016E"/>
    <w:rsid w:val="0085031F"/>
    <w:rsid w:val="008611F5"/>
    <w:rsid w:val="008633FA"/>
    <w:rsid w:val="00863A73"/>
    <w:rsid w:val="008652E0"/>
    <w:rsid w:val="008655C0"/>
    <w:rsid w:val="00883A2E"/>
    <w:rsid w:val="00886588"/>
    <w:rsid w:val="008865F5"/>
    <w:rsid w:val="00891C40"/>
    <w:rsid w:val="00892127"/>
    <w:rsid w:val="008935EB"/>
    <w:rsid w:val="00894E9D"/>
    <w:rsid w:val="00896574"/>
    <w:rsid w:val="008A3342"/>
    <w:rsid w:val="008A5020"/>
    <w:rsid w:val="008A556E"/>
    <w:rsid w:val="008A5D48"/>
    <w:rsid w:val="008B562D"/>
    <w:rsid w:val="008B69F3"/>
    <w:rsid w:val="008B7BFD"/>
    <w:rsid w:val="008C519D"/>
    <w:rsid w:val="008D30F9"/>
    <w:rsid w:val="008D53B2"/>
    <w:rsid w:val="008F3B5B"/>
    <w:rsid w:val="008F7F1B"/>
    <w:rsid w:val="00912169"/>
    <w:rsid w:val="00913D54"/>
    <w:rsid w:val="00914503"/>
    <w:rsid w:val="0092037A"/>
    <w:rsid w:val="00920E8B"/>
    <w:rsid w:val="009219BC"/>
    <w:rsid w:val="0092396E"/>
    <w:rsid w:val="009246AD"/>
    <w:rsid w:val="0092714B"/>
    <w:rsid w:val="0094235D"/>
    <w:rsid w:val="0094411A"/>
    <w:rsid w:val="009453CC"/>
    <w:rsid w:val="009524C7"/>
    <w:rsid w:val="00961BBB"/>
    <w:rsid w:val="00964F69"/>
    <w:rsid w:val="00970DDC"/>
    <w:rsid w:val="00971D22"/>
    <w:rsid w:val="00981EDD"/>
    <w:rsid w:val="009821BF"/>
    <w:rsid w:val="00990942"/>
    <w:rsid w:val="00992958"/>
    <w:rsid w:val="009B1C83"/>
    <w:rsid w:val="009B248F"/>
    <w:rsid w:val="009B763E"/>
    <w:rsid w:val="009C3EC9"/>
    <w:rsid w:val="009C62BB"/>
    <w:rsid w:val="009D3CFA"/>
    <w:rsid w:val="009D5426"/>
    <w:rsid w:val="009D65DB"/>
    <w:rsid w:val="009E0D01"/>
    <w:rsid w:val="009E4083"/>
    <w:rsid w:val="009F2E7E"/>
    <w:rsid w:val="009F5E42"/>
    <w:rsid w:val="00A0262F"/>
    <w:rsid w:val="00A02D62"/>
    <w:rsid w:val="00A0387D"/>
    <w:rsid w:val="00A0572B"/>
    <w:rsid w:val="00A05EC3"/>
    <w:rsid w:val="00A10452"/>
    <w:rsid w:val="00A20EB5"/>
    <w:rsid w:val="00A37FA1"/>
    <w:rsid w:val="00A542C4"/>
    <w:rsid w:val="00A55D1D"/>
    <w:rsid w:val="00A60A1A"/>
    <w:rsid w:val="00A67D1A"/>
    <w:rsid w:val="00A716D8"/>
    <w:rsid w:val="00A764EF"/>
    <w:rsid w:val="00A80C7D"/>
    <w:rsid w:val="00A81CCE"/>
    <w:rsid w:val="00A83D58"/>
    <w:rsid w:val="00A850D7"/>
    <w:rsid w:val="00A8624D"/>
    <w:rsid w:val="00A9571B"/>
    <w:rsid w:val="00AA4C55"/>
    <w:rsid w:val="00AA7B49"/>
    <w:rsid w:val="00AB34C5"/>
    <w:rsid w:val="00AB4F3E"/>
    <w:rsid w:val="00AC204D"/>
    <w:rsid w:val="00AC22E7"/>
    <w:rsid w:val="00AC3CA0"/>
    <w:rsid w:val="00AC40A0"/>
    <w:rsid w:val="00AC4FD0"/>
    <w:rsid w:val="00AC68BB"/>
    <w:rsid w:val="00AD2622"/>
    <w:rsid w:val="00AD3477"/>
    <w:rsid w:val="00AD5596"/>
    <w:rsid w:val="00AD7950"/>
    <w:rsid w:val="00AE083B"/>
    <w:rsid w:val="00AE32C3"/>
    <w:rsid w:val="00AF1C72"/>
    <w:rsid w:val="00AF4F6D"/>
    <w:rsid w:val="00AF7F6A"/>
    <w:rsid w:val="00B01A87"/>
    <w:rsid w:val="00B04EE0"/>
    <w:rsid w:val="00B05A88"/>
    <w:rsid w:val="00B0630A"/>
    <w:rsid w:val="00B144C6"/>
    <w:rsid w:val="00B1557F"/>
    <w:rsid w:val="00B15BAB"/>
    <w:rsid w:val="00B24843"/>
    <w:rsid w:val="00B27984"/>
    <w:rsid w:val="00B27C03"/>
    <w:rsid w:val="00B323A5"/>
    <w:rsid w:val="00B328E8"/>
    <w:rsid w:val="00B33F8F"/>
    <w:rsid w:val="00B3641E"/>
    <w:rsid w:val="00B367BF"/>
    <w:rsid w:val="00B42FE0"/>
    <w:rsid w:val="00B44641"/>
    <w:rsid w:val="00B45963"/>
    <w:rsid w:val="00B4775D"/>
    <w:rsid w:val="00B55D35"/>
    <w:rsid w:val="00B55DC5"/>
    <w:rsid w:val="00B60678"/>
    <w:rsid w:val="00B63553"/>
    <w:rsid w:val="00B67CB7"/>
    <w:rsid w:val="00B72851"/>
    <w:rsid w:val="00B748A6"/>
    <w:rsid w:val="00B75551"/>
    <w:rsid w:val="00B7618D"/>
    <w:rsid w:val="00B77928"/>
    <w:rsid w:val="00B77A4E"/>
    <w:rsid w:val="00B81373"/>
    <w:rsid w:val="00B82A35"/>
    <w:rsid w:val="00B83FE7"/>
    <w:rsid w:val="00B84028"/>
    <w:rsid w:val="00B858D2"/>
    <w:rsid w:val="00B86EFB"/>
    <w:rsid w:val="00BB6F8C"/>
    <w:rsid w:val="00BC41F1"/>
    <w:rsid w:val="00BD236A"/>
    <w:rsid w:val="00BD2C44"/>
    <w:rsid w:val="00BE13A4"/>
    <w:rsid w:val="00BE70E4"/>
    <w:rsid w:val="00BF161E"/>
    <w:rsid w:val="00BF576F"/>
    <w:rsid w:val="00BF723F"/>
    <w:rsid w:val="00C10EE0"/>
    <w:rsid w:val="00C11556"/>
    <w:rsid w:val="00C12556"/>
    <w:rsid w:val="00C12E83"/>
    <w:rsid w:val="00C130D3"/>
    <w:rsid w:val="00C23F39"/>
    <w:rsid w:val="00C3232E"/>
    <w:rsid w:val="00C33EA5"/>
    <w:rsid w:val="00C34B69"/>
    <w:rsid w:val="00C547DB"/>
    <w:rsid w:val="00C60707"/>
    <w:rsid w:val="00C6170A"/>
    <w:rsid w:val="00C63370"/>
    <w:rsid w:val="00C63D8A"/>
    <w:rsid w:val="00C7129A"/>
    <w:rsid w:val="00C73D2B"/>
    <w:rsid w:val="00C818F6"/>
    <w:rsid w:val="00C83D20"/>
    <w:rsid w:val="00C90C1F"/>
    <w:rsid w:val="00C9472D"/>
    <w:rsid w:val="00CA0E0B"/>
    <w:rsid w:val="00CB2324"/>
    <w:rsid w:val="00CB26FB"/>
    <w:rsid w:val="00CB5382"/>
    <w:rsid w:val="00CB7CDE"/>
    <w:rsid w:val="00CC498E"/>
    <w:rsid w:val="00CC4DFC"/>
    <w:rsid w:val="00CD11ED"/>
    <w:rsid w:val="00CE0E94"/>
    <w:rsid w:val="00CE2FC5"/>
    <w:rsid w:val="00D0178F"/>
    <w:rsid w:val="00D05EEA"/>
    <w:rsid w:val="00D11A7B"/>
    <w:rsid w:val="00D16B14"/>
    <w:rsid w:val="00D21BE4"/>
    <w:rsid w:val="00D318E5"/>
    <w:rsid w:val="00D32E24"/>
    <w:rsid w:val="00D33916"/>
    <w:rsid w:val="00D41E34"/>
    <w:rsid w:val="00D43CD0"/>
    <w:rsid w:val="00D520F6"/>
    <w:rsid w:val="00D57363"/>
    <w:rsid w:val="00D5795B"/>
    <w:rsid w:val="00D63CF4"/>
    <w:rsid w:val="00D66899"/>
    <w:rsid w:val="00D73D4A"/>
    <w:rsid w:val="00D7613B"/>
    <w:rsid w:val="00D85DD4"/>
    <w:rsid w:val="00D91C77"/>
    <w:rsid w:val="00D97E81"/>
    <w:rsid w:val="00DA0A83"/>
    <w:rsid w:val="00DA11B0"/>
    <w:rsid w:val="00DA4C0E"/>
    <w:rsid w:val="00DA5B2B"/>
    <w:rsid w:val="00DA5CFF"/>
    <w:rsid w:val="00DB22F8"/>
    <w:rsid w:val="00DC0F53"/>
    <w:rsid w:val="00DC1283"/>
    <w:rsid w:val="00DC1D17"/>
    <w:rsid w:val="00DC21F9"/>
    <w:rsid w:val="00DC4D11"/>
    <w:rsid w:val="00DC5B6F"/>
    <w:rsid w:val="00DD152C"/>
    <w:rsid w:val="00DD4E05"/>
    <w:rsid w:val="00DD5DA8"/>
    <w:rsid w:val="00DD6DBB"/>
    <w:rsid w:val="00DD759E"/>
    <w:rsid w:val="00DE3641"/>
    <w:rsid w:val="00DE4E4C"/>
    <w:rsid w:val="00DE5712"/>
    <w:rsid w:val="00DE608B"/>
    <w:rsid w:val="00DF1B3E"/>
    <w:rsid w:val="00DF1BAA"/>
    <w:rsid w:val="00DF3103"/>
    <w:rsid w:val="00DF4C1A"/>
    <w:rsid w:val="00DF7B93"/>
    <w:rsid w:val="00E074F2"/>
    <w:rsid w:val="00E11F38"/>
    <w:rsid w:val="00E1332B"/>
    <w:rsid w:val="00E179DA"/>
    <w:rsid w:val="00E21049"/>
    <w:rsid w:val="00E2192B"/>
    <w:rsid w:val="00E3317B"/>
    <w:rsid w:val="00E3711A"/>
    <w:rsid w:val="00E4135D"/>
    <w:rsid w:val="00E56C5D"/>
    <w:rsid w:val="00E6109F"/>
    <w:rsid w:val="00E62C79"/>
    <w:rsid w:val="00E72E36"/>
    <w:rsid w:val="00E73B3F"/>
    <w:rsid w:val="00E90825"/>
    <w:rsid w:val="00E91482"/>
    <w:rsid w:val="00E93D37"/>
    <w:rsid w:val="00E96302"/>
    <w:rsid w:val="00EA0BAB"/>
    <w:rsid w:val="00EA2F76"/>
    <w:rsid w:val="00EA49C2"/>
    <w:rsid w:val="00EB4C55"/>
    <w:rsid w:val="00ED15CE"/>
    <w:rsid w:val="00ED69B0"/>
    <w:rsid w:val="00EF607A"/>
    <w:rsid w:val="00F0363A"/>
    <w:rsid w:val="00F03975"/>
    <w:rsid w:val="00F12409"/>
    <w:rsid w:val="00F13048"/>
    <w:rsid w:val="00F134F5"/>
    <w:rsid w:val="00F143AA"/>
    <w:rsid w:val="00F20A11"/>
    <w:rsid w:val="00F301AA"/>
    <w:rsid w:val="00F35D1E"/>
    <w:rsid w:val="00F43591"/>
    <w:rsid w:val="00F46C87"/>
    <w:rsid w:val="00F47B85"/>
    <w:rsid w:val="00F53B02"/>
    <w:rsid w:val="00F54BDD"/>
    <w:rsid w:val="00F5645C"/>
    <w:rsid w:val="00F56C32"/>
    <w:rsid w:val="00F663C1"/>
    <w:rsid w:val="00F6763D"/>
    <w:rsid w:val="00F75AD0"/>
    <w:rsid w:val="00F75E85"/>
    <w:rsid w:val="00F77F23"/>
    <w:rsid w:val="00F851F2"/>
    <w:rsid w:val="00F953D4"/>
    <w:rsid w:val="00FB21FE"/>
    <w:rsid w:val="00FB590F"/>
    <w:rsid w:val="00FC3C54"/>
    <w:rsid w:val="00FC5948"/>
    <w:rsid w:val="00FD19EB"/>
    <w:rsid w:val="00FD5B37"/>
    <w:rsid w:val="00FE2A83"/>
    <w:rsid w:val="00FE4B87"/>
    <w:rsid w:val="00FE6219"/>
    <w:rsid w:val="00FF2D4B"/>
    <w:rsid w:val="00FF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10C9B"/>
  <w15:docId w15:val="{CCDA266D-623B-4A69-BA49-183622DB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both"/>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link w:val="TFReferencesSectionChar"/>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paragraph" w:customStyle="1" w:styleId="P1">
    <w:name w:val="P1"/>
    <w:basedOn w:val="Normal"/>
    <w:qFormat/>
    <w:rsid w:val="0043547E"/>
    <w:pPr>
      <w:spacing w:after="0" w:line="225" w:lineRule="exact"/>
    </w:pPr>
    <w:rPr>
      <w:rFonts w:ascii="Arial" w:eastAsia="MS Mincho" w:hAnsi="Arial"/>
      <w:sz w:val="17"/>
      <w:szCs w:val="24"/>
      <w:lang w:eastAsia="ja-JP"/>
    </w:rPr>
  </w:style>
  <w:style w:type="paragraph" w:customStyle="1" w:styleId="FigureCaption">
    <w:name w:val="FigureCaption"/>
    <w:basedOn w:val="Normal"/>
    <w:rsid w:val="00D97E81"/>
    <w:pPr>
      <w:spacing w:before="230" w:after="460" w:line="180" w:lineRule="exact"/>
    </w:pPr>
    <w:rPr>
      <w:rFonts w:ascii="Arial" w:eastAsia="MS Mincho" w:hAnsi="Arial"/>
      <w:sz w:val="14"/>
      <w:szCs w:val="14"/>
      <w:lang w:val="en-GB" w:eastAsia="ja-JP"/>
    </w:rPr>
  </w:style>
  <w:style w:type="paragraph" w:customStyle="1" w:styleId="TableCaption">
    <w:name w:val="TableCaption"/>
    <w:basedOn w:val="Normal"/>
    <w:qFormat/>
    <w:rsid w:val="008A3342"/>
    <w:pPr>
      <w:pBdr>
        <w:top w:val="single" w:sz="4" w:space="4" w:color="DDDDDD"/>
        <w:left w:val="single" w:sz="4" w:space="4" w:color="DDDDDD"/>
        <w:bottom w:val="single" w:sz="4" w:space="4" w:color="DDDDDD"/>
        <w:right w:val="single" w:sz="4" w:space="4" w:color="DDDDDD"/>
      </w:pBdr>
      <w:spacing w:after="0" w:line="180" w:lineRule="exact"/>
    </w:pPr>
    <w:rPr>
      <w:rFonts w:ascii="Arial" w:eastAsia="MS Mincho" w:hAnsi="Arial"/>
      <w:sz w:val="14"/>
      <w:szCs w:val="14"/>
      <w:lang w:val="en-GB" w:eastAsia="ja-JP"/>
    </w:rPr>
  </w:style>
  <w:style w:type="paragraph" w:customStyle="1" w:styleId="TableHead">
    <w:name w:val="TableHead"/>
    <w:basedOn w:val="TableCaption"/>
    <w:rsid w:val="008A3342"/>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A3342"/>
  </w:style>
  <w:style w:type="paragraph" w:customStyle="1" w:styleId="TableFoot">
    <w:name w:val="TableFoot"/>
    <w:basedOn w:val="TableBody"/>
    <w:rsid w:val="008A3342"/>
    <w:pPr>
      <w:spacing w:before="60" w:after="60"/>
    </w:pPr>
  </w:style>
  <w:style w:type="paragraph" w:customStyle="1" w:styleId="TableSpacer">
    <w:name w:val="TableSpacer"/>
    <w:basedOn w:val="Normal"/>
    <w:qFormat/>
    <w:rsid w:val="008A3342"/>
    <w:pPr>
      <w:spacing w:before="360" w:after="0"/>
      <w:jc w:val="left"/>
    </w:pPr>
    <w:rPr>
      <w:rFonts w:ascii="Arial" w:eastAsia="MS Mincho" w:hAnsi="Arial"/>
      <w:noProof/>
      <w:sz w:val="14"/>
      <w:szCs w:val="24"/>
      <w:lang w:val="en-GB" w:eastAsia="ja-JP"/>
    </w:rPr>
  </w:style>
  <w:style w:type="paragraph" w:styleId="Caption">
    <w:name w:val="caption"/>
    <w:basedOn w:val="Normal"/>
    <w:next w:val="Normal"/>
    <w:unhideWhenUsed/>
    <w:qFormat/>
    <w:rsid w:val="008A3342"/>
    <w:rPr>
      <w:i/>
      <w:iCs/>
      <w:color w:val="1F497D" w:themeColor="text2"/>
      <w:sz w:val="18"/>
      <w:szCs w:val="18"/>
    </w:rPr>
  </w:style>
  <w:style w:type="table" w:styleId="TableGrid">
    <w:name w:val="Table Grid"/>
    <w:basedOn w:val="TableNormal"/>
    <w:rsid w:val="00AC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741A"/>
    <w:pPr>
      <w:spacing w:after="0"/>
      <w:jc w:val="left"/>
    </w:pPr>
    <w:rPr>
      <w:rFonts w:ascii="Times New Roman" w:eastAsia="MS Mincho" w:hAnsi="Times New Roman"/>
      <w:szCs w:val="24"/>
      <w:lang w:val="en-GB" w:eastAsia="ja-JP"/>
    </w:rPr>
  </w:style>
  <w:style w:type="character" w:styleId="CommentReference">
    <w:name w:val="annotation reference"/>
    <w:basedOn w:val="DefaultParagraphFont"/>
    <w:uiPriority w:val="99"/>
    <w:semiHidden/>
    <w:unhideWhenUsed/>
    <w:rsid w:val="00837954"/>
    <w:rPr>
      <w:sz w:val="16"/>
      <w:szCs w:val="16"/>
    </w:rPr>
  </w:style>
  <w:style w:type="paragraph" w:styleId="CommentText">
    <w:name w:val="annotation text"/>
    <w:basedOn w:val="Normal"/>
    <w:link w:val="CommentTextChar"/>
    <w:semiHidden/>
    <w:unhideWhenUsed/>
    <w:rsid w:val="007C1D35"/>
    <w:rPr>
      <w:sz w:val="20"/>
    </w:rPr>
  </w:style>
  <w:style w:type="character" w:customStyle="1" w:styleId="CommentTextChar">
    <w:name w:val="Comment Text Char"/>
    <w:basedOn w:val="DefaultParagraphFont"/>
    <w:link w:val="CommentText"/>
    <w:semiHidden/>
    <w:rsid w:val="007C1D35"/>
    <w:rPr>
      <w:rFonts w:ascii="Times" w:hAnsi="Times"/>
    </w:rPr>
  </w:style>
  <w:style w:type="paragraph" w:styleId="CommentSubject">
    <w:name w:val="annotation subject"/>
    <w:basedOn w:val="CommentText"/>
    <w:next w:val="CommentText"/>
    <w:link w:val="CommentSubjectChar"/>
    <w:semiHidden/>
    <w:unhideWhenUsed/>
    <w:rsid w:val="007C1D35"/>
    <w:rPr>
      <w:b/>
      <w:bCs/>
    </w:rPr>
  </w:style>
  <w:style w:type="character" w:customStyle="1" w:styleId="CommentSubjectChar">
    <w:name w:val="Comment Subject Char"/>
    <w:basedOn w:val="CommentTextChar"/>
    <w:link w:val="CommentSubject"/>
    <w:semiHidden/>
    <w:rsid w:val="007C1D35"/>
    <w:rPr>
      <w:rFonts w:ascii="Times" w:hAnsi="Times"/>
      <w:b/>
      <w:bCs/>
    </w:rPr>
  </w:style>
  <w:style w:type="paragraph" w:styleId="Bibliography">
    <w:name w:val="Bibliography"/>
    <w:basedOn w:val="Normal"/>
    <w:next w:val="Normal"/>
    <w:uiPriority w:val="37"/>
    <w:unhideWhenUsed/>
    <w:rsid w:val="00B0630A"/>
    <w:pPr>
      <w:tabs>
        <w:tab w:val="left" w:pos="504"/>
      </w:tabs>
      <w:spacing w:after="0"/>
      <w:ind w:left="504" w:hanging="504"/>
    </w:pPr>
  </w:style>
  <w:style w:type="character" w:styleId="FootnoteReference">
    <w:name w:val="footnote reference"/>
    <w:basedOn w:val="DefaultParagraphFont"/>
    <w:semiHidden/>
    <w:unhideWhenUsed/>
    <w:rsid w:val="00F75AD0"/>
    <w:rPr>
      <w:vertAlign w:val="superscript"/>
    </w:rPr>
  </w:style>
  <w:style w:type="paragraph" w:customStyle="1" w:styleId="References">
    <w:name w:val="References"/>
    <w:basedOn w:val="TFReferencesSection"/>
    <w:link w:val="ReferencesChar"/>
    <w:qFormat/>
    <w:rsid w:val="009B763E"/>
  </w:style>
  <w:style w:type="character" w:customStyle="1" w:styleId="TFReferencesSectionChar">
    <w:name w:val="TF_References_Section Char"/>
    <w:basedOn w:val="DefaultParagraphFont"/>
    <w:link w:val="TFReferencesSection"/>
    <w:rsid w:val="009B763E"/>
    <w:rPr>
      <w:rFonts w:ascii="Times" w:hAnsi="Times"/>
      <w:sz w:val="24"/>
    </w:rPr>
  </w:style>
  <w:style w:type="character" w:customStyle="1" w:styleId="ReferencesChar">
    <w:name w:val="References Char"/>
    <w:basedOn w:val="TFReferencesSectionChar"/>
    <w:link w:val="References"/>
    <w:rsid w:val="009B763E"/>
    <w:rPr>
      <w:rFonts w:ascii="Times" w:hAnsi="Times"/>
      <w:sz w:val="24"/>
    </w:rPr>
  </w:style>
  <w:style w:type="character" w:styleId="LineNumber">
    <w:name w:val="line number"/>
    <w:basedOn w:val="DefaultParagraphFont"/>
    <w:semiHidden/>
    <w:unhideWhenUsed/>
    <w:rsid w:val="00DA11B0"/>
  </w:style>
  <w:style w:type="paragraph" w:styleId="Revision">
    <w:name w:val="Revision"/>
    <w:hidden/>
    <w:uiPriority w:val="99"/>
    <w:semiHidden/>
    <w:rsid w:val="00E62C79"/>
    <w:rPr>
      <w:rFonts w:ascii="Times" w:hAnsi="Times"/>
      <w:sz w:val="24"/>
    </w:rPr>
  </w:style>
  <w:style w:type="paragraph" w:styleId="Header">
    <w:name w:val="header"/>
    <w:basedOn w:val="Normal"/>
    <w:link w:val="HeaderChar"/>
    <w:unhideWhenUsed/>
    <w:rsid w:val="009D3CFA"/>
    <w:pPr>
      <w:tabs>
        <w:tab w:val="center" w:pos="4513"/>
        <w:tab w:val="right" w:pos="9026"/>
      </w:tabs>
      <w:spacing w:after="0"/>
    </w:pPr>
  </w:style>
  <w:style w:type="character" w:customStyle="1" w:styleId="HeaderChar">
    <w:name w:val="Header Char"/>
    <w:basedOn w:val="DefaultParagraphFont"/>
    <w:link w:val="Header"/>
    <w:rsid w:val="009D3CFA"/>
    <w:rPr>
      <w:rFonts w:ascii="Times" w:hAnsi="Times"/>
      <w:sz w:val="24"/>
    </w:rPr>
  </w:style>
  <w:style w:type="character" w:styleId="EndnoteReference">
    <w:name w:val="endnote reference"/>
    <w:basedOn w:val="DefaultParagraphFont"/>
    <w:semiHidden/>
    <w:unhideWhenUsed/>
    <w:rsid w:val="00731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t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Local\Temp\acstemplate_msw201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9766-3FBF-43A6-AF4B-8F46DDE6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acstemplate_msw2010-1.dotx</Template>
  <TotalTime>8</TotalTime>
  <Pages>30</Pages>
  <Words>5918</Words>
  <Characters>33738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39577</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James</dc:creator>
  <cp:keywords/>
  <cp:lastModifiedBy>Victor</cp:lastModifiedBy>
  <cp:revision>3</cp:revision>
  <cp:lastPrinted>2008-06-11T21:33:00Z</cp:lastPrinted>
  <dcterms:created xsi:type="dcterms:W3CDTF">2020-05-19T16:11:00Z</dcterms:created>
  <dcterms:modified xsi:type="dcterms:W3CDTF">2020-05-19T16:19:00Z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zotero-version="5.0.87-beta.7+c9e90417e"&gt;&lt;session id="1F4BUrzI"/&gt;&lt;style id="http://www.zotero.org/styles/the-journal-of-physical-chemistry-c" hasBibliography="1" bibliographyStyleHasBeenSet="1"/&gt;&lt;prefs&gt;&lt;pref name="fieldType" value="</vt:lpwstr>
  </property>
  <property fmtid="{D5CDD505-2E9C-101B-9397-08002B2CF9AE}" pid="3" name="ZOTERO_PREF_2">
    <vt:lpwstr>Field"/&gt;&lt;pref name="automaticJournalAbbreviations" value="true"/&gt;&lt;pref name="dontAskDelayCitationUpdates" value="true"/&gt;&lt;/prefs&gt;&lt;/data&gt;</vt:lpwstr>
  </property>
</Properties>
</file>